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D7015B" w14:textId="04EF1EC5" w:rsidR="00D3451A" w:rsidRPr="003D5B85" w:rsidRDefault="00D3451A" w:rsidP="001C4059">
      <w:pPr>
        <w:adjustRightInd w:val="0"/>
        <w:snapToGrid w:val="0"/>
        <w:spacing w:line="360" w:lineRule="auto"/>
        <w:rPr>
          <w:rFonts w:ascii="Book Antiqua" w:eastAsia="Times New Roman" w:hAnsi="Book Antiqua" w:cs="宋体"/>
          <w:i/>
          <w:color w:val="000000" w:themeColor="text1"/>
          <w:sz w:val="24"/>
          <w:szCs w:val="24"/>
        </w:rPr>
      </w:pPr>
      <w:bookmarkStart w:id="0" w:name="OLE_LINK17"/>
      <w:bookmarkStart w:id="1" w:name="OLE_LINK18"/>
      <w:bookmarkStart w:id="2" w:name="OLE_LINK22"/>
      <w:bookmarkStart w:id="3" w:name="OLE_LINK371"/>
      <w:bookmarkStart w:id="4" w:name="OLE_LINK423"/>
      <w:bookmarkStart w:id="5" w:name="OLE_LINK77"/>
      <w:bookmarkStart w:id="6" w:name="OLE_LINK435"/>
      <w:bookmarkStart w:id="7" w:name="OLE_LINK112"/>
      <w:r w:rsidRPr="003D5B85">
        <w:rPr>
          <w:rFonts w:ascii="Book Antiqua" w:eastAsia="Times New Roman" w:hAnsi="Book Antiqua" w:cs="宋体"/>
          <w:b/>
          <w:color w:val="000000" w:themeColor="text1"/>
          <w:sz w:val="24"/>
          <w:szCs w:val="24"/>
        </w:rPr>
        <w:t xml:space="preserve">Name of Journal: </w:t>
      </w:r>
      <w:r w:rsidR="001C4059" w:rsidRPr="003D5B85">
        <w:rPr>
          <w:rFonts w:ascii="Book Antiqua" w:hAnsi="Book Antiqua" w:cs="Tahoma"/>
          <w:i/>
          <w:color w:val="000000" w:themeColor="text1"/>
          <w:sz w:val="24"/>
          <w:szCs w:val="24"/>
        </w:rPr>
        <w:t>World Journal of Gastroenterology</w:t>
      </w:r>
    </w:p>
    <w:p w14:paraId="785BE7E8" w14:textId="5C50BF3D" w:rsidR="00D3451A" w:rsidRPr="003D5B85" w:rsidRDefault="00D3451A" w:rsidP="001C4059">
      <w:pPr>
        <w:adjustRightInd w:val="0"/>
        <w:snapToGrid w:val="0"/>
        <w:spacing w:line="360" w:lineRule="auto"/>
        <w:rPr>
          <w:rFonts w:ascii="Book Antiqua" w:hAnsi="Book Antiqua" w:cs="Arial"/>
          <w:color w:val="000000" w:themeColor="text1"/>
          <w:sz w:val="24"/>
          <w:szCs w:val="24"/>
          <w:lang w:val="en"/>
        </w:rPr>
      </w:pPr>
      <w:bookmarkStart w:id="8" w:name="_Hlk5632321"/>
      <w:r w:rsidRPr="003D5B85">
        <w:rPr>
          <w:rFonts w:ascii="Book Antiqua" w:eastAsia="Times New Roman" w:hAnsi="Book Antiqua"/>
          <w:b/>
          <w:bCs/>
          <w:color w:val="000000" w:themeColor="text1"/>
          <w:sz w:val="24"/>
          <w:szCs w:val="24"/>
        </w:rPr>
        <w:t>Manuscript NO</w:t>
      </w:r>
      <w:r w:rsidRPr="003D5B85">
        <w:rPr>
          <w:rFonts w:ascii="Book Antiqua" w:hAnsi="Book Antiqua" w:cs="Arial"/>
          <w:b/>
          <w:color w:val="000000" w:themeColor="text1"/>
          <w:sz w:val="24"/>
          <w:szCs w:val="24"/>
          <w:lang w:val="en"/>
        </w:rPr>
        <w:t xml:space="preserve">: </w:t>
      </w:r>
      <w:r w:rsidR="001C4059" w:rsidRPr="003D5B85">
        <w:rPr>
          <w:rFonts w:ascii="Book Antiqua" w:hAnsi="Book Antiqua" w:cs="Arial"/>
          <w:color w:val="000000" w:themeColor="text1"/>
          <w:sz w:val="24"/>
          <w:szCs w:val="24"/>
          <w:lang w:val="en"/>
        </w:rPr>
        <w:t>47009</w:t>
      </w:r>
    </w:p>
    <w:bookmarkEnd w:id="8"/>
    <w:p w14:paraId="5E73076F" w14:textId="2516AC20" w:rsidR="00226860" w:rsidRPr="003D5B85" w:rsidRDefault="00D3451A" w:rsidP="00226860">
      <w:pPr>
        <w:autoSpaceDE w:val="0"/>
        <w:autoSpaceDN w:val="0"/>
        <w:adjustRightInd w:val="0"/>
        <w:snapToGrid w:val="0"/>
        <w:spacing w:line="360" w:lineRule="auto"/>
        <w:rPr>
          <w:rFonts w:ascii="Book Antiqua" w:hAnsi="Book Antiqua" w:cs="Times New Roman"/>
          <w:b/>
          <w:i/>
          <w:color w:val="000000" w:themeColor="text1"/>
          <w:kern w:val="0"/>
          <w:sz w:val="24"/>
          <w:szCs w:val="24"/>
        </w:rPr>
      </w:pPr>
      <w:r w:rsidRPr="003D5B85">
        <w:rPr>
          <w:rFonts w:ascii="Book Antiqua" w:hAnsi="Book Antiqua"/>
          <w:b/>
          <w:color w:val="000000" w:themeColor="text1"/>
          <w:sz w:val="24"/>
          <w:szCs w:val="24"/>
          <w:shd w:val="clear" w:color="auto" w:fill="FFFFFF"/>
        </w:rPr>
        <w:t>Manuscript Type</w:t>
      </w:r>
      <w:r w:rsidRPr="003D5B85">
        <w:rPr>
          <w:rFonts w:ascii="Book Antiqua" w:hAnsi="Book Antiqua"/>
          <w:b/>
          <w:color w:val="000000" w:themeColor="text1"/>
          <w:sz w:val="24"/>
          <w:szCs w:val="24"/>
        </w:rPr>
        <w:t>:</w:t>
      </w:r>
      <w:r w:rsidR="001C4059" w:rsidRPr="003D5B85">
        <w:rPr>
          <w:rFonts w:ascii="Book Antiqua" w:hAnsi="Book Antiqua"/>
          <w:b/>
          <w:color w:val="000000" w:themeColor="text1"/>
          <w:sz w:val="24"/>
          <w:szCs w:val="24"/>
        </w:rPr>
        <w:t xml:space="preserve"> </w:t>
      </w:r>
      <w:r w:rsidR="00226860" w:rsidRPr="003D5B85">
        <w:rPr>
          <w:rFonts w:ascii="Book Antiqua" w:hAnsi="Book Antiqua"/>
          <w:color w:val="000000" w:themeColor="text1"/>
          <w:sz w:val="24"/>
          <w:szCs w:val="24"/>
        </w:rPr>
        <w:t>META-ANALYSIS</w:t>
      </w:r>
    </w:p>
    <w:bookmarkEnd w:id="0"/>
    <w:bookmarkEnd w:id="1"/>
    <w:bookmarkEnd w:id="2"/>
    <w:bookmarkEnd w:id="3"/>
    <w:bookmarkEnd w:id="4"/>
    <w:bookmarkEnd w:id="5"/>
    <w:bookmarkEnd w:id="6"/>
    <w:bookmarkEnd w:id="7"/>
    <w:p w14:paraId="756B67D5" w14:textId="24BCA8B6" w:rsidR="00D3451A" w:rsidRPr="003D5B85" w:rsidRDefault="00D3451A" w:rsidP="001C4059">
      <w:pPr>
        <w:autoSpaceDE w:val="0"/>
        <w:autoSpaceDN w:val="0"/>
        <w:adjustRightInd w:val="0"/>
        <w:snapToGrid w:val="0"/>
        <w:spacing w:line="360" w:lineRule="auto"/>
        <w:rPr>
          <w:rFonts w:ascii="Book Antiqua" w:hAnsi="Book Antiqua" w:cs="Times New Roman"/>
          <w:b/>
          <w:color w:val="000000" w:themeColor="text1"/>
          <w:kern w:val="0"/>
          <w:sz w:val="24"/>
          <w:szCs w:val="24"/>
        </w:rPr>
      </w:pPr>
    </w:p>
    <w:p w14:paraId="70A4961D" w14:textId="6A77E820" w:rsidR="002878A3" w:rsidRPr="003D5B85" w:rsidRDefault="002878A3" w:rsidP="001C4059">
      <w:pPr>
        <w:autoSpaceDE w:val="0"/>
        <w:autoSpaceDN w:val="0"/>
        <w:adjustRightInd w:val="0"/>
        <w:snapToGrid w:val="0"/>
        <w:spacing w:line="360" w:lineRule="auto"/>
        <w:rPr>
          <w:rFonts w:ascii="Book Antiqua" w:eastAsia="Times New Roman" w:hAnsi="Book Antiqua" w:cs="Times New Roman"/>
          <w:b/>
          <w:color w:val="000000" w:themeColor="text1"/>
          <w:kern w:val="0"/>
          <w:sz w:val="24"/>
          <w:szCs w:val="24"/>
        </w:rPr>
      </w:pPr>
      <w:bookmarkStart w:id="9" w:name="OLE_LINK1"/>
      <w:r w:rsidRPr="003D5B85">
        <w:rPr>
          <w:rFonts w:ascii="Book Antiqua" w:eastAsia="Times New Roman" w:hAnsi="Book Antiqua" w:cs="Times New Roman"/>
          <w:b/>
          <w:color w:val="000000" w:themeColor="text1"/>
          <w:kern w:val="0"/>
          <w:sz w:val="24"/>
          <w:szCs w:val="24"/>
        </w:rPr>
        <w:t>Association of proton pump inhibitors</w:t>
      </w:r>
      <w:r w:rsidRPr="003D5B85">
        <w:rPr>
          <w:rFonts w:ascii="Book Antiqua" w:hAnsi="Book Antiqua" w:cs="Times New Roman"/>
          <w:b/>
          <w:color w:val="000000" w:themeColor="text1"/>
          <w:kern w:val="0"/>
          <w:sz w:val="24"/>
          <w:szCs w:val="24"/>
        </w:rPr>
        <w:t xml:space="preserve"> </w:t>
      </w:r>
      <w:r w:rsidRPr="003D5B85">
        <w:rPr>
          <w:rFonts w:ascii="Book Antiqua" w:eastAsia="Times New Roman" w:hAnsi="Book Antiqua" w:cs="Times New Roman"/>
          <w:b/>
          <w:color w:val="000000" w:themeColor="text1"/>
          <w:kern w:val="0"/>
          <w:sz w:val="24"/>
          <w:szCs w:val="24"/>
        </w:rPr>
        <w:t>with</w:t>
      </w:r>
      <w:bookmarkStart w:id="10" w:name="_Hlk535102087"/>
      <w:r w:rsidR="0026736D" w:rsidRPr="003D5B85">
        <w:rPr>
          <w:rFonts w:ascii="Book Antiqua" w:eastAsia="Times New Roman" w:hAnsi="Book Antiqua" w:cs="Times New Roman"/>
          <w:b/>
          <w:color w:val="000000" w:themeColor="text1"/>
          <w:kern w:val="0"/>
          <w:sz w:val="24"/>
          <w:szCs w:val="24"/>
        </w:rPr>
        <w:t xml:space="preserve"> </w:t>
      </w:r>
      <w:r w:rsidRPr="003D5B85">
        <w:rPr>
          <w:rFonts w:ascii="Book Antiqua" w:eastAsia="Times New Roman" w:hAnsi="Book Antiqua" w:cs="Times New Roman"/>
          <w:b/>
          <w:color w:val="000000" w:themeColor="text1"/>
          <w:kern w:val="0"/>
          <w:sz w:val="24"/>
          <w:szCs w:val="24"/>
        </w:rPr>
        <w:t>risk of hepatic encephalopathy in</w:t>
      </w:r>
      <w:r w:rsidRPr="003D5B85">
        <w:rPr>
          <w:rFonts w:ascii="Book Antiqua" w:hAnsi="Book Antiqua"/>
          <w:b/>
          <w:color w:val="000000" w:themeColor="text1"/>
          <w:sz w:val="24"/>
          <w:szCs w:val="24"/>
        </w:rPr>
        <w:t xml:space="preserve"> </w:t>
      </w:r>
      <w:r w:rsidRPr="003D5B85">
        <w:rPr>
          <w:rFonts w:ascii="Book Antiqua" w:eastAsia="Times New Roman" w:hAnsi="Book Antiqua" w:cs="Times New Roman"/>
          <w:b/>
          <w:color w:val="000000" w:themeColor="text1"/>
          <w:kern w:val="0"/>
          <w:sz w:val="24"/>
          <w:szCs w:val="24"/>
        </w:rPr>
        <w:t xml:space="preserve">advanced liver disease: </w:t>
      </w:r>
      <w:r w:rsidR="001C4059" w:rsidRPr="003D5B85">
        <w:rPr>
          <w:rFonts w:ascii="Book Antiqua" w:eastAsia="Times New Roman" w:hAnsi="Book Antiqua" w:cs="Times New Roman"/>
          <w:b/>
          <w:color w:val="000000" w:themeColor="text1"/>
          <w:kern w:val="0"/>
          <w:sz w:val="24"/>
          <w:szCs w:val="24"/>
        </w:rPr>
        <w:t>A</w:t>
      </w:r>
      <w:r w:rsidRPr="003D5B85">
        <w:rPr>
          <w:rFonts w:ascii="Book Antiqua" w:eastAsia="Times New Roman" w:hAnsi="Book Antiqua" w:cs="Times New Roman"/>
          <w:b/>
          <w:color w:val="000000" w:themeColor="text1"/>
          <w:kern w:val="0"/>
          <w:sz w:val="24"/>
          <w:szCs w:val="24"/>
        </w:rPr>
        <w:t xml:space="preserve"> meta-analysis</w:t>
      </w:r>
    </w:p>
    <w:bookmarkEnd w:id="9"/>
    <w:bookmarkEnd w:id="10"/>
    <w:p w14:paraId="751FD097" w14:textId="736FF3E7" w:rsidR="002878A3" w:rsidRPr="003D5B85" w:rsidRDefault="002878A3" w:rsidP="001C4059">
      <w:pPr>
        <w:spacing w:line="360" w:lineRule="auto"/>
        <w:rPr>
          <w:rFonts w:ascii="Book Antiqua" w:hAnsi="Book Antiqua"/>
          <w:color w:val="000000" w:themeColor="text1"/>
          <w:sz w:val="24"/>
          <w:szCs w:val="24"/>
        </w:rPr>
      </w:pPr>
    </w:p>
    <w:p w14:paraId="158D740D" w14:textId="2BE0CA73" w:rsidR="00D3451A" w:rsidRPr="003D5B85" w:rsidRDefault="006178B7" w:rsidP="001C4059">
      <w:pPr>
        <w:spacing w:line="360" w:lineRule="auto"/>
        <w:rPr>
          <w:rFonts w:ascii="Book Antiqua" w:hAnsi="Book Antiqua"/>
          <w:color w:val="000000" w:themeColor="text1"/>
          <w:sz w:val="24"/>
          <w:szCs w:val="24"/>
        </w:rPr>
      </w:pPr>
      <w:bookmarkStart w:id="11" w:name="_Hlk5627141"/>
      <w:proofErr w:type="spellStart"/>
      <w:r w:rsidRPr="003D5B85">
        <w:rPr>
          <w:rFonts w:ascii="Book Antiqua" w:hAnsi="Book Antiqua" w:cs="Garamond-Bold"/>
          <w:bCs/>
          <w:color w:val="000000" w:themeColor="text1"/>
          <w:sz w:val="24"/>
          <w:szCs w:val="24"/>
        </w:rPr>
        <w:t>Tantai</w:t>
      </w:r>
      <w:proofErr w:type="spellEnd"/>
      <w:r w:rsidR="00BF02E1" w:rsidRPr="003D5B85">
        <w:rPr>
          <w:rFonts w:ascii="Book Antiqua" w:hAnsi="Book Antiqua" w:cs="Garamond-Bold"/>
          <w:bCs/>
          <w:color w:val="000000" w:themeColor="text1"/>
          <w:sz w:val="24"/>
          <w:szCs w:val="24"/>
        </w:rPr>
        <w:t xml:space="preserve"> XX </w:t>
      </w:r>
      <w:r w:rsidR="00BF02E1" w:rsidRPr="003D5B85">
        <w:rPr>
          <w:rFonts w:ascii="Book Antiqua" w:hAnsi="Book Antiqua" w:cs="Garamond-Bold"/>
          <w:bCs/>
          <w:i/>
          <w:color w:val="000000" w:themeColor="text1"/>
          <w:sz w:val="24"/>
          <w:szCs w:val="24"/>
        </w:rPr>
        <w:t>et al</w:t>
      </w:r>
      <w:r w:rsidR="00BF02E1" w:rsidRPr="003D5B85">
        <w:rPr>
          <w:rFonts w:ascii="Book Antiqua" w:hAnsi="Book Antiqua" w:cs="Garamond-Bold"/>
          <w:bCs/>
          <w:color w:val="000000" w:themeColor="text1"/>
          <w:sz w:val="24"/>
          <w:szCs w:val="24"/>
        </w:rPr>
        <w:t>.</w:t>
      </w:r>
      <w:r w:rsidR="0015089F" w:rsidRPr="003D5B85">
        <w:rPr>
          <w:rFonts w:ascii="Book Antiqua" w:hAnsi="Book Antiqua" w:cs="Garamond-Bold"/>
          <w:bCs/>
          <w:color w:val="000000" w:themeColor="text1"/>
          <w:sz w:val="24"/>
          <w:szCs w:val="24"/>
        </w:rPr>
        <w:t xml:space="preserve"> </w:t>
      </w:r>
      <w:bookmarkStart w:id="12" w:name="OLE_LINK2"/>
      <w:r w:rsidR="00D212A9" w:rsidRPr="003D5B85">
        <w:rPr>
          <w:rFonts w:ascii="Book Antiqua" w:hAnsi="Book Antiqua" w:cs="Garamond-Bold"/>
          <w:bCs/>
          <w:color w:val="000000" w:themeColor="text1"/>
          <w:sz w:val="24"/>
          <w:szCs w:val="24"/>
        </w:rPr>
        <w:t>R</w:t>
      </w:r>
      <w:r w:rsidR="004E117C" w:rsidRPr="003D5B85">
        <w:rPr>
          <w:rFonts w:ascii="Book Antiqua" w:hAnsi="Book Antiqua" w:cs="Garamond-Bold"/>
          <w:bCs/>
          <w:color w:val="000000" w:themeColor="text1"/>
          <w:sz w:val="24"/>
          <w:szCs w:val="24"/>
        </w:rPr>
        <w:t>isk of HE in PPI users</w:t>
      </w:r>
      <w:bookmarkEnd w:id="12"/>
    </w:p>
    <w:bookmarkEnd w:id="11"/>
    <w:p w14:paraId="28ECDCCE" w14:textId="77777777" w:rsidR="00D3451A" w:rsidRPr="003D5B85" w:rsidRDefault="00D3451A" w:rsidP="001C4059">
      <w:pPr>
        <w:spacing w:line="360" w:lineRule="auto"/>
        <w:rPr>
          <w:rFonts w:ascii="Book Antiqua" w:hAnsi="Book Antiqua"/>
          <w:color w:val="000000" w:themeColor="text1"/>
          <w:sz w:val="24"/>
          <w:szCs w:val="24"/>
        </w:rPr>
      </w:pPr>
    </w:p>
    <w:p w14:paraId="60922D03" w14:textId="63E4A764" w:rsidR="002878A3" w:rsidRPr="003D5B85" w:rsidRDefault="002878A3" w:rsidP="001C4059">
      <w:pPr>
        <w:spacing w:line="360" w:lineRule="auto"/>
        <w:rPr>
          <w:rFonts w:ascii="Book Antiqua" w:hAnsi="Book Antiqua" w:cs="Times New Roman"/>
          <w:color w:val="000000" w:themeColor="text1"/>
          <w:sz w:val="24"/>
          <w:szCs w:val="24"/>
          <w:vertAlign w:val="superscript"/>
        </w:rPr>
      </w:pPr>
      <w:proofErr w:type="spellStart"/>
      <w:r w:rsidRPr="003D5B85">
        <w:rPr>
          <w:rFonts w:ascii="Book Antiqua" w:hAnsi="Book Antiqua" w:cs="Times New Roman"/>
          <w:color w:val="000000" w:themeColor="text1"/>
          <w:sz w:val="24"/>
          <w:szCs w:val="24"/>
        </w:rPr>
        <w:t>Xin</w:t>
      </w:r>
      <w:proofErr w:type="spellEnd"/>
      <w:r w:rsidR="001C4059" w:rsidRPr="003D5B85">
        <w:rPr>
          <w:rFonts w:ascii="Book Antiqua" w:hAnsi="Book Antiqua" w:cs="Times New Roman"/>
          <w:color w:val="000000" w:themeColor="text1"/>
          <w:sz w:val="24"/>
          <w:szCs w:val="24"/>
        </w:rPr>
        <w:t>-X</w:t>
      </w:r>
      <w:r w:rsidRPr="003D5B85">
        <w:rPr>
          <w:rFonts w:ascii="Book Antiqua" w:hAnsi="Book Antiqua" w:cs="Times New Roman"/>
          <w:color w:val="000000" w:themeColor="text1"/>
          <w:sz w:val="24"/>
          <w:szCs w:val="24"/>
        </w:rPr>
        <w:t xml:space="preserve">ing </w:t>
      </w:r>
      <w:proofErr w:type="spellStart"/>
      <w:r w:rsidRPr="003D5B85">
        <w:rPr>
          <w:rFonts w:ascii="Book Antiqua" w:hAnsi="Book Antiqua" w:cs="Times New Roman"/>
          <w:color w:val="000000" w:themeColor="text1"/>
          <w:sz w:val="24"/>
          <w:szCs w:val="24"/>
        </w:rPr>
        <w:t>Tantai</w:t>
      </w:r>
      <w:proofErr w:type="spellEnd"/>
      <w:r w:rsidRPr="003D5B85">
        <w:rPr>
          <w:rFonts w:ascii="Book Antiqua" w:hAnsi="Book Antiqua" w:cs="Times New Roman"/>
          <w:color w:val="000000" w:themeColor="text1"/>
          <w:sz w:val="24"/>
          <w:szCs w:val="24"/>
        </w:rPr>
        <w:t>, Long</w:t>
      </w:r>
      <w:r w:rsidR="001C4059" w:rsidRPr="003D5B85">
        <w:rPr>
          <w:rFonts w:ascii="Book Antiqua" w:hAnsi="Book Antiqua" w:cs="Times New Roman"/>
          <w:color w:val="000000" w:themeColor="text1"/>
          <w:sz w:val="24"/>
          <w:szCs w:val="24"/>
        </w:rPr>
        <w:t>-</w:t>
      </w:r>
      <w:proofErr w:type="spellStart"/>
      <w:r w:rsidR="001C4059" w:rsidRPr="003D5B85">
        <w:rPr>
          <w:rFonts w:ascii="Book Antiqua" w:hAnsi="Book Antiqua" w:cs="Times New Roman"/>
          <w:color w:val="000000" w:themeColor="text1"/>
          <w:sz w:val="24"/>
          <w:szCs w:val="24"/>
        </w:rPr>
        <w:t>B</w:t>
      </w:r>
      <w:r w:rsidRPr="003D5B85">
        <w:rPr>
          <w:rFonts w:ascii="Book Antiqua" w:hAnsi="Book Antiqua" w:cs="Times New Roman"/>
          <w:color w:val="000000" w:themeColor="text1"/>
          <w:sz w:val="24"/>
          <w:szCs w:val="24"/>
        </w:rPr>
        <w:t>ao</w:t>
      </w:r>
      <w:proofErr w:type="spellEnd"/>
      <w:r w:rsidRPr="003D5B85">
        <w:rPr>
          <w:rFonts w:ascii="Book Antiqua" w:hAnsi="Book Antiqua" w:cs="Times New Roman"/>
          <w:color w:val="000000" w:themeColor="text1"/>
          <w:sz w:val="24"/>
          <w:szCs w:val="24"/>
        </w:rPr>
        <w:t xml:space="preserve"> Yang, </w:t>
      </w:r>
      <w:proofErr w:type="spellStart"/>
      <w:r w:rsidRPr="003D5B85">
        <w:rPr>
          <w:rFonts w:ascii="Book Antiqua" w:hAnsi="Book Antiqua" w:cs="Times New Roman"/>
          <w:color w:val="000000" w:themeColor="text1"/>
          <w:sz w:val="24"/>
          <w:szCs w:val="24"/>
        </w:rPr>
        <w:t>Zhong</w:t>
      </w:r>
      <w:proofErr w:type="spellEnd"/>
      <w:r w:rsidR="001C4059" w:rsidRPr="003D5B85">
        <w:rPr>
          <w:rFonts w:ascii="Book Antiqua" w:hAnsi="Book Antiqua" w:cs="Times New Roman"/>
          <w:color w:val="000000" w:themeColor="text1"/>
          <w:sz w:val="24"/>
          <w:szCs w:val="24"/>
        </w:rPr>
        <w:t>-C</w:t>
      </w:r>
      <w:r w:rsidRPr="003D5B85">
        <w:rPr>
          <w:rFonts w:ascii="Book Antiqua" w:hAnsi="Book Antiqua" w:cs="Times New Roman"/>
          <w:color w:val="000000" w:themeColor="text1"/>
          <w:sz w:val="24"/>
          <w:szCs w:val="24"/>
        </w:rPr>
        <w:t xml:space="preserve">ao Wei, </w:t>
      </w:r>
      <w:proofErr w:type="spellStart"/>
      <w:r w:rsidRPr="003D5B85">
        <w:rPr>
          <w:rFonts w:ascii="Book Antiqua" w:hAnsi="Book Antiqua" w:cs="Times New Roman"/>
          <w:color w:val="000000" w:themeColor="text1"/>
          <w:sz w:val="24"/>
          <w:szCs w:val="24"/>
        </w:rPr>
        <w:t>Cai</w:t>
      </w:r>
      <w:r w:rsidR="001C4059" w:rsidRPr="003D5B85">
        <w:rPr>
          <w:rFonts w:ascii="Book Antiqua" w:hAnsi="Book Antiqua" w:cs="Times New Roman"/>
          <w:color w:val="000000" w:themeColor="text1"/>
          <w:sz w:val="24"/>
          <w:szCs w:val="24"/>
        </w:rPr>
        <w:t>-L</w:t>
      </w:r>
      <w:r w:rsidRPr="003D5B85">
        <w:rPr>
          <w:rFonts w:ascii="Book Antiqua" w:hAnsi="Book Antiqua" w:cs="Times New Roman"/>
          <w:color w:val="000000" w:themeColor="text1"/>
          <w:sz w:val="24"/>
          <w:szCs w:val="24"/>
        </w:rPr>
        <w:t>an</w:t>
      </w:r>
      <w:proofErr w:type="spellEnd"/>
      <w:r w:rsidRPr="003D5B85">
        <w:rPr>
          <w:rFonts w:ascii="Book Antiqua" w:hAnsi="Book Antiqua" w:cs="Times New Roman"/>
          <w:color w:val="000000" w:themeColor="text1"/>
          <w:sz w:val="24"/>
          <w:szCs w:val="24"/>
        </w:rPr>
        <w:t xml:space="preserve"> Xiao, Li</w:t>
      </w:r>
      <w:r w:rsidR="001C4059" w:rsidRPr="003D5B85">
        <w:rPr>
          <w:rFonts w:ascii="Book Antiqua" w:hAnsi="Book Antiqua" w:cs="Times New Roman"/>
          <w:color w:val="000000" w:themeColor="text1"/>
          <w:sz w:val="24"/>
          <w:szCs w:val="24"/>
        </w:rPr>
        <w:t>-</w:t>
      </w:r>
      <w:proofErr w:type="spellStart"/>
      <w:r w:rsidR="001C4059" w:rsidRPr="003D5B85">
        <w:rPr>
          <w:rFonts w:ascii="Book Antiqua" w:hAnsi="Book Antiqua" w:cs="Times New Roman"/>
          <w:color w:val="000000" w:themeColor="text1"/>
          <w:sz w:val="24"/>
          <w:szCs w:val="24"/>
        </w:rPr>
        <w:t>R</w:t>
      </w:r>
      <w:r w:rsidRPr="003D5B85">
        <w:rPr>
          <w:rFonts w:ascii="Book Antiqua" w:hAnsi="Book Antiqua" w:cs="Times New Roman"/>
          <w:color w:val="000000" w:themeColor="text1"/>
          <w:sz w:val="24"/>
          <w:szCs w:val="24"/>
        </w:rPr>
        <w:t>ong</w:t>
      </w:r>
      <w:proofErr w:type="spellEnd"/>
      <w:r w:rsidRPr="003D5B85">
        <w:rPr>
          <w:rFonts w:ascii="Book Antiqua" w:hAnsi="Book Antiqua" w:cs="Times New Roman"/>
          <w:color w:val="000000" w:themeColor="text1"/>
          <w:sz w:val="24"/>
          <w:szCs w:val="24"/>
        </w:rPr>
        <w:t xml:space="preserve"> Chen, Jin</w:t>
      </w:r>
      <w:r w:rsidR="001C4059" w:rsidRPr="003D5B85">
        <w:rPr>
          <w:rFonts w:ascii="Book Antiqua" w:hAnsi="Book Antiqua" w:cs="Times New Roman"/>
          <w:color w:val="000000" w:themeColor="text1"/>
          <w:sz w:val="24"/>
          <w:szCs w:val="24"/>
        </w:rPr>
        <w:t>-</w:t>
      </w:r>
      <w:proofErr w:type="spellStart"/>
      <w:r w:rsidR="001C4059" w:rsidRPr="003D5B85">
        <w:rPr>
          <w:rFonts w:ascii="Book Antiqua" w:hAnsi="Book Antiqua" w:cs="Times New Roman"/>
          <w:color w:val="000000" w:themeColor="text1"/>
          <w:sz w:val="24"/>
          <w:szCs w:val="24"/>
        </w:rPr>
        <w:t>H</w:t>
      </w:r>
      <w:r w:rsidRPr="003D5B85">
        <w:rPr>
          <w:rFonts w:ascii="Book Antiqua" w:hAnsi="Book Antiqua" w:cs="Times New Roman"/>
          <w:color w:val="000000" w:themeColor="text1"/>
          <w:sz w:val="24"/>
          <w:szCs w:val="24"/>
        </w:rPr>
        <w:t>ai</w:t>
      </w:r>
      <w:proofErr w:type="spellEnd"/>
      <w:r w:rsidRPr="003D5B85">
        <w:rPr>
          <w:rFonts w:ascii="Book Antiqua" w:hAnsi="Book Antiqua" w:cs="Times New Roman"/>
          <w:color w:val="000000" w:themeColor="text1"/>
          <w:sz w:val="24"/>
          <w:szCs w:val="24"/>
        </w:rPr>
        <w:t xml:space="preserve"> Wang, Na Liu</w:t>
      </w:r>
    </w:p>
    <w:p w14:paraId="7A42690C" w14:textId="77777777" w:rsidR="00D3451A" w:rsidRPr="003D5B85" w:rsidRDefault="00D3451A" w:rsidP="001C4059">
      <w:pPr>
        <w:spacing w:line="360" w:lineRule="auto"/>
        <w:rPr>
          <w:rFonts w:ascii="Book Antiqua" w:hAnsi="Book Antiqua" w:cs="Times New Roman"/>
          <w:color w:val="000000" w:themeColor="text1"/>
          <w:sz w:val="24"/>
          <w:szCs w:val="24"/>
        </w:rPr>
      </w:pPr>
    </w:p>
    <w:p w14:paraId="62D5A52E" w14:textId="0F502A30" w:rsidR="002878A3" w:rsidRPr="003D5B85" w:rsidRDefault="001C4059" w:rsidP="001C4059">
      <w:pPr>
        <w:spacing w:line="360" w:lineRule="auto"/>
        <w:rPr>
          <w:rFonts w:ascii="Book Antiqua" w:hAnsi="Book Antiqua" w:cs="Times New Roman"/>
          <w:color w:val="000000" w:themeColor="text1"/>
          <w:sz w:val="24"/>
          <w:szCs w:val="24"/>
          <w:vertAlign w:val="superscript"/>
        </w:rPr>
      </w:pPr>
      <w:proofErr w:type="spellStart"/>
      <w:r w:rsidRPr="003D5B85">
        <w:rPr>
          <w:rFonts w:ascii="Book Antiqua" w:hAnsi="Book Antiqua" w:cs="Times New Roman"/>
          <w:b/>
          <w:color w:val="000000" w:themeColor="text1"/>
          <w:sz w:val="24"/>
          <w:szCs w:val="24"/>
        </w:rPr>
        <w:t>Xin</w:t>
      </w:r>
      <w:proofErr w:type="spellEnd"/>
      <w:r w:rsidRPr="003D5B85">
        <w:rPr>
          <w:rFonts w:ascii="Book Antiqua" w:hAnsi="Book Antiqua" w:cs="Times New Roman"/>
          <w:b/>
          <w:color w:val="000000" w:themeColor="text1"/>
          <w:sz w:val="24"/>
          <w:szCs w:val="24"/>
        </w:rPr>
        <w:t xml:space="preserve">-Xing </w:t>
      </w:r>
      <w:proofErr w:type="spellStart"/>
      <w:r w:rsidRPr="003D5B85">
        <w:rPr>
          <w:rFonts w:ascii="Book Antiqua" w:hAnsi="Book Antiqua" w:cs="Times New Roman"/>
          <w:b/>
          <w:color w:val="000000" w:themeColor="text1"/>
          <w:sz w:val="24"/>
          <w:szCs w:val="24"/>
        </w:rPr>
        <w:t>Tantai</w:t>
      </w:r>
      <w:proofErr w:type="spellEnd"/>
      <w:r w:rsidRPr="003D5B85">
        <w:rPr>
          <w:rFonts w:ascii="Book Antiqua" w:hAnsi="Book Antiqua" w:cs="Times New Roman"/>
          <w:b/>
          <w:color w:val="000000" w:themeColor="text1"/>
          <w:sz w:val="24"/>
          <w:szCs w:val="24"/>
        </w:rPr>
        <w:t>, Long-</w:t>
      </w:r>
      <w:proofErr w:type="spellStart"/>
      <w:r w:rsidRPr="003D5B85">
        <w:rPr>
          <w:rFonts w:ascii="Book Antiqua" w:hAnsi="Book Antiqua" w:cs="Times New Roman"/>
          <w:b/>
          <w:color w:val="000000" w:themeColor="text1"/>
          <w:sz w:val="24"/>
          <w:szCs w:val="24"/>
        </w:rPr>
        <w:t>Bao</w:t>
      </w:r>
      <w:proofErr w:type="spellEnd"/>
      <w:r w:rsidRPr="003D5B85">
        <w:rPr>
          <w:rFonts w:ascii="Book Antiqua" w:hAnsi="Book Antiqua" w:cs="Times New Roman"/>
          <w:b/>
          <w:color w:val="000000" w:themeColor="text1"/>
          <w:sz w:val="24"/>
          <w:szCs w:val="24"/>
        </w:rPr>
        <w:t xml:space="preserve"> Yang, </w:t>
      </w:r>
      <w:proofErr w:type="spellStart"/>
      <w:r w:rsidRPr="003D5B85">
        <w:rPr>
          <w:rFonts w:ascii="Book Antiqua" w:hAnsi="Book Antiqua" w:cs="Times New Roman"/>
          <w:b/>
          <w:color w:val="000000" w:themeColor="text1"/>
          <w:sz w:val="24"/>
          <w:szCs w:val="24"/>
        </w:rPr>
        <w:t>Zhong</w:t>
      </w:r>
      <w:proofErr w:type="spellEnd"/>
      <w:r w:rsidRPr="003D5B85">
        <w:rPr>
          <w:rFonts w:ascii="Book Antiqua" w:hAnsi="Book Antiqua" w:cs="Times New Roman"/>
          <w:b/>
          <w:color w:val="000000" w:themeColor="text1"/>
          <w:sz w:val="24"/>
          <w:szCs w:val="24"/>
        </w:rPr>
        <w:t xml:space="preserve">-Cao Wei, </w:t>
      </w:r>
      <w:proofErr w:type="spellStart"/>
      <w:r w:rsidRPr="003D5B85">
        <w:rPr>
          <w:rFonts w:ascii="Book Antiqua" w:hAnsi="Book Antiqua" w:cs="Times New Roman"/>
          <w:b/>
          <w:color w:val="000000" w:themeColor="text1"/>
          <w:sz w:val="24"/>
          <w:szCs w:val="24"/>
        </w:rPr>
        <w:t>Cai-Lan</w:t>
      </w:r>
      <w:proofErr w:type="spellEnd"/>
      <w:r w:rsidRPr="003D5B85">
        <w:rPr>
          <w:rFonts w:ascii="Book Antiqua" w:hAnsi="Book Antiqua" w:cs="Times New Roman"/>
          <w:b/>
          <w:color w:val="000000" w:themeColor="text1"/>
          <w:sz w:val="24"/>
          <w:szCs w:val="24"/>
        </w:rPr>
        <w:t xml:space="preserve"> Xiao, Li-</w:t>
      </w:r>
      <w:proofErr w:type="spellStart"/>
      <w:r w:rsidRPr="003D5B85">
        <w:rPr>
          <w:rFonts w:ascii="Book Antiqua" w:hAnsi="Book Antiqua" w:cs="Times New Roman"/>
          <w:b/>
          <w:color w:val="000000" w:themeColor="text1"/>
          <w:sz w:val="24"/>
          <w:szCs w:val="24"/>
        </w:rPr>
        <w:t>Rong</w:t>
      </w:r>
      <w:proofErr w:type="spellEnd"/>
      <w:r w:rsidRPr="003D5B85">
        <w:rPr>
          <w:rFonts w:ascii="Book Antiqua" w:hAnsi="Book Antiqua" w:cs="Times New Roman"/>
          <w:b/>
          <w:color w:val="000000" w:themeColor="text1"/>
          <w:sz w:val="24"/>
          <w:szCs w:val="24"/>
        </w:rPr>
        <w:t xml:space="preserve"> Chen, Jin-</w:t>
      </w:r>
      <w:proofErr w:type="spellStart"/>
      <w:r w:rsidRPr="003D5B85">
        <w:rPr>
          <w:rFonts w:ascii="Book Antiqua" w:hAnsi="Book Antiqua" w:cs="Times New Roman"/>
          <w:b/>
          <w:color w:val="000000" w:themeColor="text1"/>
          <w:sz w:val="24"/>
          <w:szCs w:val="24"/>
        </w:rPr>
        <w:t>Hai</w:t>
      </w:r>
      <w:proofErr w:type="spellEnd"/>
      <w:r w:rsidRPr="003D5B85">
        <w:rPr>
          <w:rFonts w:ascii="Book Antiqua" w:hAnsi="Book Antiqua" w:cs="Times New Roman"/>
          <w:b/>
          <w:color w:val="000000" w:themeColor="text1"/>
          <w:sz w:val="24"/>
          <w:szCs w:val="24"/>
        </w:rPr>
        <w:t xml:space="preserve"> Wang, Na Liu,</w:t>
      </w:r>
      <w:r w:rsidRPr="003D5B85">
        <w:rPr>
          <w:rFonts w:ascii="Book Antiqua" w:hAnsi="Book Antiqua" w:cs="Times New Roman"/>
          <w:color w:val="000000" w:themeColor="text1"/>
          <w:sz w:val="24"/>
          <w:szCs w:val="24"/>
        </w:rPr>
        <w:t xml:space="preserve"> </w:t>
      </w:r>
      <w:bookmarkStart w:id="13" w:name="OLE_LINK50"/>
      <w:bookmarkStart w:id="14" w:name="OLE_LINK51"/>
      <w:r w:rsidR="002878A3" w:rsidRPr="003D5B85">
        <w:rPr>
          <w:rFonts w:ascii="Book Antiqua" w:hAnsi="Book Antiqua" w:cs="Times New Roman"/>
          <w:color w:val="000000" w:themeColor="text1"/>
          <w:sz w:val="24"/>
          <w:szCs w:val="24"/>
        </w:rPr>
        <w:t>Division of Gastroenterology, The Second Affiliated Hospital, Xi</w:t>
      </w:r>
      <w:r w:rsidRPr="003D5B85">
        <w:rPr>
          <w:rFonts w:ascii="Book Antiqua" w:hAnsi="Book Antiqua" w:cs="Times New Roman"/>
          <w:color w:val="000000" w:themeColor="text1"/>
          <w:sz w:val="24"/>
          <w:szCs w:val="24"/>
        </w:rPr>
        <w:t>’</w:t>
      </w:r>
      <w:r w:rsidR="002878A3" w:rsidRPr="003D5B85">
        <w:rPr>
          <w:rFonts w:ascii="Book Antiqua" w:hAnsi="Book Antiqua" w:cs="Times New Roman"/>
          <w:color w:val="000000" w:themeColor="text1"/>
          <w:sz w:val="24"/>
          <w:szCs w:val="24"/>
        </w:rPr>
        <w:t xml:space="preserve">an </w:t>
      </w:r>
      <w:proofErr w:type="spellStart"/>
      <w:r w:rsidR="002878A3" w:rsidRPr="003D5B85">
        <w:rPr>
          <w:rFonts w:ascii="Book Antiqua" w:hAnsi="Book Antiqua" w:cs="Times New Roman"/>
          <w:color w:val="000000" w:themeColor="text1"/>
          <w:sz w:val="24"/>
          <w:szCs w:val="24"/>
        </w:rPr>
        <w:t>Jiaotong</w:t>
      </w:r>
      <w:proofErr w:type="spellEnd"/>
      <w:r w:rsidR="002878A3" w:rsidRPr="003D5B85">
        <w:rPr>
          <w:rFonts w:ascii="Book Antiqua" w:hAnsi="Book Antiqua" w:cs="Times New Roman"/>
          <w:color w:val="000000" w:themeColor="text1"/>
          <w:sz w:val="24"/>
          <w:szCs w:val="24"/>
        </w:rPr>
        <w:t xml:space="preserve"> University,</w:t>
      </w:r>
      <w:bookmarkEnd w:id="13"/>
      <w:bookmarkEnd w:id="14"/>
      <w:r w:rsidR="002878A3" w:rsidRPr="003D5B85">
        <w:rPr>
          <w:rFonts w:ascii="Book Antiqua" w:hAnsi="Book Antiqua" w:cs="Times New Roman"/>
          <w:color w:val="000000" w:themeColor="text1"/>
          <w:sz w:val="24"/>
          <w:szCs w:val="24"/>
        </w:rPr>
        <w:t xml:space="preserve"> Xi</w:t>
      </w:r>
      <w:r w:rsidRPr="003D5B85">
        <w:rPr>
          <w:rFonts w:ascii="Book Antiqua" w:hAnsi="Book Antiqua" w:cs="Times New Roman"/>
          <w:color w:val="000000" w:themeColor="text1"/>
          <w:sz w:val="24"/>
          <w:szCs w:val="24"/>
        </w:rPr>
        <w:t>’</w:t>
      </w:r>
      <w:r w:rsidR="002878A3" w:rsidRPr="003D5B85">
        <w:rPr>
          <w:rFonts w:ascii="Book Antiqua" w:hAnsi="Book Antiqua" w:cs="Times New Roman"/>
          <w:color w:val="000000" w:themeColor="text1"/>
          <w:sz w:val="24"/>
          <w:szCs w:val="24"/>
        </w:rPr>
        <w:t>an</w:t>
      </w:r>
      <w:r w:rsidR="00D3451A" w:rsidRPr="003D5B85">
        <w:rPr>
          <w:rFonts w:ascii="Book Antiqua" w:hAnsi="Book Antiqua" w:cs="Times New Roman"/>
          <w:color w:val="000000" w:themeColor="text1"/>
          <w:sz w:val="24"/>
          <w:szCs w:val="24"/>
        </w:rPr>
        <w:t xml:space="preserve"> </w:t>
      </w:r>
      <w:bookmarkStart w:id="15" w:name="_Hlk5631342"/>
      <w:r w:rsidR="002F11EE" w:rsidRPr="003D5B85">
        <w:rPr>
          <w:rFonts w:ascii="Book Antiqua" w:hAnsi="Book Antiqua" w:cs="Times New Roman"/>
          <w:color w:val="000000" w:themeColor="text1"/>
          <w:sz w:val="24"/>
          <w:szCs w:val="24"/>
        </w:rPr>
        <w:t>710004</w:t>
      </w:r>
      <w:bookmarkEnd w:id="15"/>
      <w:r w:rsidR="002878A3" w:rsidRPr="003D5B85">
        <w:rPr>
          <w:rFonts w:ascii="Book Antiqua" w:hAnsi="Book Antiqua" w:cs="Times New Roman"/>
          <w:color w:val="000000" w:themeColor="text1"/>
          <w:sz w:val="24"/>
          <w:szCs w:val="24"/>
        </w:rPr>
        <w:t>, Shaanxi</w:t>
      </w:r>
      <w:r w:rsidRPr="003D5B85">
        <w:rPr>
          <w:rFonts w:ascii="Book Antiqua" w:hAnsi="Book Antiqua" w:cs="Times New Roman"/>
          <w:color w:val="000000" w:themeColor="text1"/>
          <w:sz w:val="24"/>
          <w:szCs w:val="24"/>
        </w:rPr>
        <w:t xml:space="preserve"> Province</w:t>
      </w:r>
      <w:r w:rsidR="002878A3" w:rsidRPr="003D5B85">
        <w:rPr>
          <w:rFonts w:ascii="Book Antiqua" w:hAnsi="Book Antiqua" w:cs="Times New Roman"/>
          <w:color w:val="000000" w:themeColor="text1"/>
          <w:sz w:val="24"/>
          <w:szCs w:val="24"/>
        </w:rPr>
        <w:t>, China</w:t>
      </w:r>
    </w:p>
    <w:p w14:paraId="7B633670" w14:textId="634A0333" w:rsidR="00D3451A" w:rsidRPr="003D5B85" w:rsidRDefault="00D3451A" w:rsidP="001C4059">
      <w:pPr>
        <w:spacing w:line="360" w:lineRule="auto"/>
        <w:rPr>
          <w:rFonts w:ascii="Book Antiqua" w:hAnsi="Book Antiqua" w:cs="Times New Roman"/>
          <w:b/>
          <w:color w:val="000000" w:themeColor="text1"/>
          <w:sz w:val="24"/>
          <w:szCs w:val="24"/>
        </w:rPr>
      </w:pPr>
    </w:p>
    <w:p w14:paraId="629323E2" w14:textId="61BDF61E" w:rsidR="00D3451A" w:rsidRPr="003D5B85" w:rsidRDefault="006978FD" w:rsidP="001C4059">
      <w:pPr>
        <w:spacing w:line="360" w:lineRule="auto"/>
        <w:rPr>
          <w:rFonts w:ascii="Book Antiqua" w:hAnsi="Book Antiqua"/>
          <w:bCs/>
          <w:color w:val="000000" w:themeColor="text1"/>
          <w:sz w:val="24"/>
          <w:szCs w:val="24"/>
          <w:shd w:val="clear" w:color="auto" w:fill="FFFFFF"/>
        </w:rPr>
      </w:pPr>
      <w:bookmarkStart w:id="16" w:name="_Hlk5615127"/>
      <w:r w:rsidRPr="003D5B85">
        <w:rPr>
          <w:rFonts w:ascii="Book Antiqua" w:hAnsi="Book Antiqua"/>
          <w:b/>
          <w:bCs/>
          <w:color w:val="000000" w:themeColor="text1"/>
          <w:sz w:val="24"/>
          <w:szCs w:val="24"/>
          <w:shd w:val="clear" w:color="auto" w:fill="FFFFFF"/>
        </w:rPr>
        <w:t>ORCID number</w:t>
      </w:r>
      <w:r w:rsidRPr="003D5B85">
        <w:rPr>
          <w:rFonts w:ascii="Book Antiqua" w:hAnsi="Book Antiqua"/>
          <w:b/>
          <w:color w:val="000000" w:themeColor="text1"/>
          <w:sz w:val="24"/>
          <w:szCs w:val="24"/>
          <w:lang w:val="en-GB"/>
        </w:rPr>
        <w:t>:</w:t>
      </w:r>
      <w:r w:rsidRPr="003D5B85">
        <w:rPr>
          <w:rFonts w:ascii="Book Antiqua" w:eastAsia="宋体" w:hAnsi="Book Antiqua" w:hint="eastAsia"/>
          <w:b/>
          <w:color w:val="000000" w:themeColor="text1"/>
          <w:lang w:val="en-GB"/>
        </w:rPr>
        <w:t xml:space="preserve"> </w:t>
      </w:r>
      <w:proofErr w:type="spellStart"/>
      <w:r w:rsidR="00570C7F" w:rsidRPr="003D5B85">
        <w:rPr>
          <w:rFonts w:ascii="Book Antiqua" w:hAnsi="Book Antiqua"/>
          <w:bCs/>
          <w:color w:val="000000" w:themeColor="text1"/>
          <w:sz w:val="24"/>
          <w:szCs w:val="24"/>
          <w:shd w:val="clear" w:color="auto" w:fill="FFFFFF"/>
        </w:rPr>
        <w:t>Xin</w:t>
      </w:r>
      <w:proofErr w:type="spellEnd"/>
      <w:r w:rsidRPr="003D5B85">
        <w:rPr>
          <w:rFonts w:ascii="Book Antiqua" w:hAnsi="Book Antiqua"/>
          <w:bCs/>
          <w:color w:val="000000" w:themeColor="text1"/>
          <w:sz w:val="24"/>
          <w:szCs w:val="24"/>
          <w:shd w:val="clear" w:color="auto" w:fill="FFFFFF"/>
        </w:rPr>
        <w:t>-X</w:t>
      </w:r>
      <w:r w:rsidR="00570C7F" w:rsidRPr="003D5B85">
        <w:rPr>
          <w:rFonts w:ascii="Book Antiqua" w:hAnsi="Book Antiqua"/>
          <w:bCs/>
          <w:color w:val="000000" w:themeColor="text1"/>
          <w:sz w:val="24"/>
          <w:szCs w:val="24"/>
          <w:shd w:val="clear" w:color="auto" w:fill="FFFFFF"/>
        </w:rPr>
        <w:t xml:space="preserve">ing </w:t>
      </w:r>
      <w:proofErr w:type="spellStart"/>
      <w:r w:rsidR="00570C7F" w:rsidRPr="003D5B85">
        <w:rPr>
          <w:rFonts w:ascii="Book Antiqua" w:hAnsi="Book Antiqua"/>
          <w:bCs/>
          <w:color w:val="000000" w:themeColor="text1"/>
          <w:sz w:val="24"/>
          <w:szCs w:val="24"/>
          <w:shd w:val="clear" w:color="auto" w:fill="FFFFFF"/>
        </w:rPr>
        <w:t>Tantai</w:t>
      </w:r>
      <w:proofErr w:type="spellEnd"/>
      <w:r w:rsidR="00BA5823" w:rsidRPr="003D5B85">
        <w:rPr>
          <w:rFonts w:ascii="Book Antiqua" w:hAnsi="Book Antiqua"/>
          <w:bCs/>
          <w:color w:val="000000" w:themeColor="text1"/>
          <w:sz w:val="24"/>
          <w:szCs w:val="24"/>
          <w:shd w:val="clear" w:color="auto" w:fill="FFFFFF"/>
        </w:rPr>
        <w:t xml:space="preserve"> (0000-0002-4105-6890); </w:t>
      </w:r>
      <w:r w:rsidR="00570C7F" w:rsidRPr="003D5B85">
        <w:rPr>
          <w:rFonts w:ascii="Book Antiqua" w:hAnsi="Book Antiqua"/>
          <w:bCs/>
          <w:color w:val="000000" w:themeColor="text1"/>
          <w:sz w:val="24"/>
          <w:szCs w:val="24"/>
          <w:shd w:val="clear" w:color="auto" w:fill="FFFFFF"/>
        </w:rPr>
        <w:t>Long</w:t>
      </w:r>
      <w:r w:rsidRPr="003D5B85">
        <w:rPr>
          <w:rFonts w:ascii="Book Antiqua" w:hAnsi="Book Antiqua"/>
          <w:bCs/>
          <w:color w:val="000000" w:themeColor="text1"/>
          <w:sz w:val="24"/>
          <w:szCs w:val="24"/>
          <w:shd w:val="clear" w:color="auto" w:fill="FFFFFF"/>
        </w:rPr>
        <w:t>-</w:t>
      </w:r>
      <w:proofErr w:type="spellStart"/>
      <w:r w:rsidRPr="003D5B85">
        <w:rPr>
          <w:rFonts w:ascii="Book Antiqua" w:hAnsi="Book Antiqua"/>
          <w:bCs/>
          <w:color w:val="000000" w:themeColor="text1"/>
          <w:sz w:val="24"/>
          <w:szCs w:val="24"/>
          <w:shd w:val="clear" w:color="auto" w:fill="FFFFFF"/>
        </w:rPr>
        <w:t>B</w:t>
      </w:r>
      <w:r w:rsidR="00570C7F" w:rsidRPr="003D5B85">
        <w:rPr>
          <w:rFonts w:ascii="Book Antiqua" w:hAnsi="Book Antiqua"/>
          <w:bCs/>
          <w:color w:val="000000" w:themeColor="text1"/>
          <w:sz w:val="24"/>
          <w:szCs w:val="24"/>
          <w:shd w:val="clear" w:color="auto" w:fill="FFFFFF"/>
        </w:rPr>
        <w:t>ao</w:t>
      </w:r>
      <w:proofErr w:type="spellEnd"/>
      <w:r w:rsidR="00570C7F" w:rsidRPr="003D5B85">
        <w:rPr>
          <w:rFonts w:ascii="Book Antiqua" w:hAnsi="Book Antiqua"/>
          <w:bCs/>
          <w:color w:val="000000" w:themeColor="text1"/>
          <w:sz w:val="24"/>
          <w:szCs w:val="24"/>
          <w:shd w:val="clear" w:color="auto" w:fill="FFFFFF"/>
        </w:rPr>
        <w:t xml:space="preserve"> Yang</w:t>
      </w:r>
      <w:r w:rsidR="00BA5823" w:rsidRPr="003D5B85">
        <w:rPr>
          <w:rFonts w:ascii="Book Antiqua" w:hAnsi="Book Antiqua"/>
          <w:bCs/>
          <w:color w:val="000000" w:themeColor="text1"/>
          <w:sz w:val="24"/>
          <w:szCs w:val="24"/>
          <w:shd w:val="clear" w:color="auto" w:fill="FFFFFF"/>
        </w:rPr>
        <w:t xml:space="preserve"> (0000-0001-7731-0910);</w:t>
      </w:r>
      <w:r w:rsidR="00570C7F" w:rsidRPr="003D5B85">
        <w:rPr>
          <w:rFonts w:ascii="Book Antiqua" w:hAnsi="Book Antiqua"/>
          <w:bCs/>
          <w:color w:val="000000" w:themeColor="text1"/>
          <w:sz w:val="24"/>
          <w:szCs w:val="24"/>
          <w:shd w:val="clear" w:color="auto" w:fill="FFFFFF"/>
        </w:rPr>
        <w:t xml:space="preserve"> </w:t>
      </w:r>
      <w:proofErr w:type="spellStart"/>
      <w:r w:rsidR="00570C7F" w:rsidRPr="003D5B85">
        <w:rPr>
          <w:rFonts w:ascii="Book Antiqua" w:hAnsi="Book Antiqua"/>
          <w:bCs/>
          <w:color w:val="000000" w:themeColor="text1"/>
          <w:sz w:val="24"/>
          <w:szCs w:val="24"/>
          <w:shd w:val="clear" w:color="auto" w:fill="FFFFFF"/>
        </w:rPr>
        <w:t>Zhong</w:t>
      </w:r>
      <w:proofErr w:type="spellEnd"/>
      <w:r w:rsidRPr="003D5B85">
        <w:rPr>
          <w:rFonts w:ascii="Book Antiqua" w:hAnsi="Book Antiqua"/>
          <w:bCs/>
          <w:color w:val="000000" w:themeColor="text1"/>
          <w:sz w:val="24"/>
          <w:szCs w:val="24"/>
          <w:shd w:val="clear" w:color="auto" w:fill="FFFFFF"/>
        </w:rPr>
        <w:t>-C</w:t>
      </w:r>
      <w:r w:rsidR="00570C7F" w:rsidRPr="003D5B85">
        <w:rPr>
          <w:rFonts w:ascii="Book Antiqua" w:hAnsi="Book Antiqua"/>
          <w:bCs/>
          <w:color w:val="000000" w:themeColor="text1"/>
          <w:sz w:val="24"/>
          <w:szCs w:val="24"/>
          <w:shd w:val="clear" w:color="auto" w:fill="FFFFFF"/>
        </w:rPr>
        <w:t>ao Wei</w:t>
      </w:r>
      <w:r w:rsidR="00BA5823" w:rsidRPr="003D5B85">
        <w:rPr>
          <w:rFonts w:ascii="Book Antiqua" w:hAnsi="Book Antiqua"/>
          <w:bCs/>
          <w:color w:val="000000" w:themeColor="text1"/>
          <w:sz w:val="24"/>
          <w:szCs w:val="24"/>
          <w:shd w:val="clear" w:color="auto" w:fill="FFFFFF"/>
        </w:rPr>
        <w:t xml:space="preserve"> (0000-0001-8931-680X);</w:t>
      </w:r>
      <w:r w:rsidR="00570C7F" w:rsidRPr="003D5B85">
        <w:rPr>
          <w:rFonts w:ascii="Book Antiqua" w:hAnsi="Book Antiqua"/>
          <w:bCs/>
          <w:color w:val="000000" w:themeColor="text1"/>
          <w:sz w:val="24"/>
          <w:szCs w:val="24"/>
          <w:shd w:val="clear" w:color="auto" w:fill="FFFFFF"/>
        </w:rPr>
        <w:t xml:space="preserve"> </w:t>
      </w:r>
      <w:proofErr w:type="spellStart"/>
      <w:r w:rsidR="00570C7F" w:rsidRPr="003D5B85">
        <w:rPr>
          <w:rFonts w:ascii="Book Antiqua" w:hAnsi="Book Antiqua"/>
          <w:bCs/>
          <w:color w:val="000000" w:themeColor="text1"/>
          <w:sz w:val="24"/>
          <w:szCs w:val="24"/>
          <w:shd w:val="clear" w:color="auto" w:fill="FFFFFF"/>
        </w:rPr>
        <w:t>Cai</w:t>
      </w:r>
      <w:r w:rsidRPr="003D5B85">
        <w:rPr>
          <w:rFonts w:ascii="Book Antiqua" w:hAnsi="Book Antiqua"/>
          <w:bCs/>
          <w:color w:val="000000" w:themeColor="text1"/>
          <w:sz w:val="24"/>
          <w:szCs w:val="24"/>
          <w:shd w:val="clear" w:color="auto" w:fill="FFFFFF"/>
        </w:rPr>
        <w:t>-L</w:t>
      </w:r>
      <w:r w:rsidR="00570C7F" w:rsidRPr="003D5B85">
        <w:rPr>
          <w:rFonts w:ascii="Book Antiqua" w:hAnsi="Book Antiqua"/>
          <w:bCs/>
          <w:color w:val="000000" w:themeColor="text1"/>
          <w:sz w:val="24"/>
          <w:szCs w:val="24"/>
          <w:shd w:val="clear" w:color="auto" w:fill="FFFFFF"/>
        </w:rPr>
        <w:t>an</w:t>
      </w:r>
      <w:proofErr w:type="spellEnd"/>
      <w:r w:rsidR="00570C7F" w:rsidRPr="003D5B85">
        <w:rPr>
          <w:rFonts w:ascii="Book Antiqua" w:hAnsi="Book Antiqua"/>
          <w:bCs/>
          <w:color w:val="000000" w:themeColor="text1"/>
          <w:sz w:val="24"/>
          <w:szCs w:val="24"/>
          <w:shd w:val="clear" w:color="auto" w:fill="FFFFFF"/>
        </w:rPr>
        <w:t xml:space="preserve"> Xiao</w:t>
      </w:r>
      <w:r w:rsidR="00BA5823" w:rsidRPr="003D5B85">
        <w:rPr>
          <w:rFonts w:ascii="Book Antiqua" w:hAnsi="Book Antiqua"/>
          <w:bCs/>
          <w:color w:val="000000" w:themeColor="text1"/>
          <w:sz w:val="24"/>
          <w:szCs w:val="24"/>
          <w:shd w:val="clear" w:color="auto" w:fill="FFFFFF"/>
        </w:rPr>
        <w:t xml:space="preserve"> (0000-0001-8476-5008);</w:t>
      </w:r>
      <w:r w:rsidR="00570C7F" w:rsidRPr="003D5B85">
        <w:rPr>
          <w:rFonts w:ascii="Book Antiqua" w:hAnsi="Book Antiqua"/>
          <w:bCs/>
          <w:color w:val="000000" w:themeColor="text1"/>
          <w:sz w:val="24"/>
          <w:szCs w:val="24"/>
          <w:shd w:val="clear" w:color="auto" w:fill="FFFFFF"/>
        </w:rPr>
        <w:t xml:space="preserve"> Li</w:t>
      </w:r>
      <w:r w:rsidRPr="003D5B85">
        <w:rPr>
          <w:rFonts w:ascii="Book Antiqua" w:hAnsi="Book Antiqua"/>
          <w:bCs/>
          <w:color w:val="000000" w:themeColor="text1"/>
          <w:sz w:val="24"/>
          <w:szCs w:val="24"/>
          <w:shd w:val="clear" w:color="auto" w:fill="FFFFFF"/>
        </w:rPr>
        <w:t>-</w:t>
      </w:r>
      <w:proofErr w:type="spellStart"/>
      <w:r w:rsidRPr="003D5B85">
        <w:rPr>
          <w:rFonts w:ascii="Book Antiqua" w:hAnsi="Book Antiqua"/>
          <w:bCs/>
          <w:color w:val="000000" w:themeColor="text1"/>
          <w:sz w:val="24"/>
          <w:szCs w:val="24"/>
          <w:shd w:val="clear" w:color="auto" w:fill="FFFFFF"/>
        </w:rPr>
        <w:t>R</w:t>
      </w:r>
      <w:r w:rsidR="00570C7F" w:rsidRPr="003D5B85">
        <w:rPr>
          <w:rFonts w:ascii="Book Antiqua" w:hAnsi="Book Antiqua"/>
          <w:bCs/>
          <w:color w:val="000000" w:themeColor="text1"/>
          <w:sz w:val="24"/>
          <w:szCs w:val="24"/>
          <w:shd w:val="clear" w:color="auto" w:fill="FFFFFF"/>
        </w:rPr>
        <w:t>ong</w:t>
      </w:r>
      <w:proofErr w:type="spellEnd"/>
      <w:r w:rsidR="00570C7F" w:rsidRPr="003D5B85">
        <w:rPr>
          <w:rFonts w:ascii="Book Antiqua" w:hAnsi="Book Antiqua"/>
          <w:bCs/>
          <w:color w:val="000000" w:themeColor="text1"/>
          <w:sz w:val="24"/>
          <w:szCs w:val="24"/>
          <w:shd w:val="clear" w:color="auto" w:fill="FFFFFF"/>
        </w:rPr>
        <w:t xml:space="preserve"> Chen</w:t>
      </w:r>
      <w:r w:rsidR="00BA5823" w:rsidRPr="003D5B85">
        <w:rPr>
          <w:rFonts w:ascii="Book Antiqua" w:hAnsi="Book Antiqua"/>
          <w:bCs/>
          <w:color w:val="000000" w:themeColor="text1"/>
          <w:sz w:val="24"/>
          <w:szCs w:val="24"/>
          <w:shd w:val="clear" w:color="auto" w:fill="FFFFFF"/>
        </w:rPr>
        <w:t xml:space="preserve"> (0000-0001-8901-2830);</w:t>
      </w:r>
      <w:r w:rsidR="00570C7F" w:rsidRPr="003D5B85">
        <w:rPr>
          <w:rFonts w:ascii="Book Antiqua" w:hAnsi="Book Antiqua"/>
          <w:bCs/>
          <w:color w:val="000000" w:themeColor="text1"/>
          <w:sz w:val="24"/>
          <w:szCs w:val="24"/>
          <w:shd w:val="clear" w:color="auto" w:fill="FFFFFF"/>
        </w:rPr>
        <w:t xml:space="preserve"> Jin</w:t>
      </w:r>
      <w:r w:rsidRPr="003D5B85">
        <w:rPr>
          <w:rFonts w:ascii="Book Antiqua" w:hAnsi="Book Antiqua"/>
          <w:bCs/>
          <w:color w:val="000000" w:themeColor="text1"/>
          <w:sz w:val="24"/>
          <w:szCs w:val="24"/>
          <w:shd w:val="clear" w:color="auto" w:fill="FFFFFF"/>
        </w:rPr>
        <w:t>-</w:t>
      </w:r>
      <w:proofErr w:type="spellStart"/>
      <w:r w:rsidRPr="003D5B85">
        <w:rPr>
          <w:rFonts w:ascii="Book Antiqua" w:hAnsi="Book Antiqua"/>
          <w:bCs/>
          <w:color w:val="000000" w:themeColor="text1"/>
          <w:sz w:val="24"/>
          <w:szCs w:val="24"/>
          <w:shd w:val="clear" w:color="auto" w:fill="FFFFFF"/>
        </w:rPr>
        <w:t>H</w:t>
      </w:r>
      <w:r w:rsidR="00570C7F" w:rsidRPr="003D5B85">
        <w:rPr>
          <w:rFonts w:ascii="Book Antiqua" w:hAnsi="Book Antiqua"/>
          <w:bCs/>
          <w:color w:val="000000" w:themeColor="text1"/>
          <w:sz w:val="24"/>
          <w:szCs w:val="24"/>
          <w:shd w:val="clear" w:color="auto" w:fill="FFFFFF"/>
        </w:rPr>
        <w:t>ai</w:t>
      </w:r>
      <w:proofErr w:type="spellEnd"/>
      <w:r w:rsidR="00570C7F" w:rsidRPr="003D5B85">
        <w:rPr>
          <w:rFonts w:ascii="Book Antiqua" w:hAnsi="Book Antiqua"/>
          <w:bCs/>
          <w:color w:val="000000" w:themeColor="text1"/>
          <w:sz w:val="24"/>
          <w:szCs w:val="24"/>
          <w:shd w:val="clear" w:color="auto" w:fill="FFFFFF"/>
        </w:rPr>
        <w:t xml:space="preserve"> Wang</w:t>
      </w:r>
      <w:r w:rsidRPr="003D5B85">
        <w:rPr>
          <w:rFonts w:ascii="Book Antiqua" w:hAnsi="Book Antiqua"/>
          <w:bCs/>
          <w:color w:val="000000" w:themeColor="text1"/>
          <w:sz w:val="24"/>
          <w:szCs w:val="24"/>
          <w:shd w:val="clear" w:color="auto" w:fill="FFFFFF"/>
        </w:rPr>
        <w:t xml:space="preserve"> </w:t>
      </w:r>
      <w:r w:rsidR="00BA5823" w:rsidRPr="003D5B85">
        <w:rPr>
          <w:rFonts w:ascii="Book Antiqua" w:hAnsi="Book Antiqua"/>
          <w:bCs/>
          <w:color w:val="000000" w:themeColor="text1"/>
          <w:sz w:val="24"/>
          <w:szCs w:val="24"/>
          <w:shd w:val="clear" w:color="auto" w:fill="FFFFFF"/>
        </w:rPr>
        <w:t>(0000-0003-1365-4727);</w:t>
      </w:r>
      <w:r w:rsidR="00570C7F" w:rsidRPr="003D5B85">
        <w:rPr>
          <w:rFonts w:ascii="Book Antiqua" w:hAnsi="Book Antiqua"/>
          <w:bCs/>
          <w:color w:val="000000" w:themeColor="text1"/>
          <w:sz w:val="24"/>
          <w:szCs w:val="24"/>
          <w:shd w:val="clear" w:color="auto" w:fill="FFFFFF"/>
        </w:rPr>
        <w:t xml:space="preserve"> Na Liu</w:t>
      </w:r>
      <w:r w:rsidRPr="003D5B85">
        <w:rPr>
          <w:rFonts w:ascii="Book Antiqua" w:hAnsi="Book Antiqua"/>
          <w:bCs/>
          <w:color w:val="000000" w:themeColor="text1"/>
          <w:sz w:val="24"/>
          <w:szCs w:val="24"/>
          <w:shd w:val="clear" w:color="auto" w:fill="FFFFFF"/>
        </w:rPr>
        <w:t xml:space="preserve"> </w:t>
      </w:r>
      <w:r w:rsidR="00BA5823" w:rsidRPr="003D5B85">
        <w:rPr>
          <w:rFonts w:ascii="Book Antiqua" w:hAnsi="Book Antiqua"/>
          <w:bCs/>
          <w:color w:val="000000" w:themeColor="text1"/>
          <w:sz w:val="24"/>
          <w:szCs w:val="24"/>
          <w:shd w:val="clear" w:color="auto" w:fill="FFFFFF"/>
        </w:rPr>
        <w:t>(0000-0003-3246-9674).</w:t>
      </w:r>
    </w:p>
    <w:bookmarkEnd w:id="16"/>
    <w:p w14:paraId="29699D89" w14:textId="53CD5AB9" w:rsidR="00D3451A" w:rsidRPr="003D5B85" w:rsidRDefault="00D3451A" w:rsidP="001C4059">
      <w:pPr>
        <w:spacing w:line="360" w:lineRule="auto"/>
        <w:rPr>
          <w:rFonts w:ascii="Book Antiqua" w:hAnsi="Book Antiqua" w:cs="Times New Roman"/>
          <w:b/>
          <w:color w:val="000000" w:themeColor="text1"/>
          <w:sz w:val="24"/>
          <w:szCs w:val="24"/>
        </w:rPr>
      </w:pPr>
    </w:p>
    <w:p w14:paraId="02AE43C7" w14:textId="1511139B" w:rsidR="006978FD" w:rsidRPr="003D5B85" w:rsidRDefault="006978FD" w:rsidP="001C4059">
      <w:pPr>
        <w:spacing w:line="360" w:lineRule="auto"/>
        <w:rPr>
          <w:rFonts w:ascii="Book Antiqua" w:hAnsi="Book Antiqua" w:cs="Times New Roman"/>
          <w:color w:val="000000" w:themeColor="text1"/>
          <w:sz w:val="24"/>
          <w:szCs w:val="24"/>
        </w:rPr>
      </w:pPr>
      <w:r w:rsidRPr="003D5B85">
        <w:rPr>
          <w:rFonts w:ascii="Book Antiqua" w:eastAsia="Times New Roman" w:hAnsi="Book Antiqua"/>
          <w:b/>
          <w:color w:val="000000" w:themeColor="text1"/>
          <w:sz w:val="24"/>
          <w:szCs w:val="24"/>
        </w:rPr>
        <w:t>Author contributions:</w:t>
      </w:r>
      <w:r w:rsidRPr="003D5B85">
        <w:rPr>
          <w:rFonts w:ascii="Book Antiqua" w:eastAsia="Times New Roman" w:hAnsi="Book Antiqua"/>
          <w:color w:val="000000" w:themeColor="text1"/>
          <w:sz w:val="24"/>
          <w:szCs w:val="24"/>
        </w:rPr>
        <w:t xml:space="preserve"> </w:t>
      </w:r>
      <w:proofErr w:type="spellStart"/>
      <w:r w:rsidRPr="003D5B85">
        <w:rPr>
          <w:rFonts w:ascii="Book Antiqua" w:hAnsi="Book Antiqua"/>
          <w:bCs/>
          <w:color w:val="000000" w:themeColor="text1"/>
          <w:sz w:val="24"/>
          <w:szCs w:val="24"/>
          <w:shd w:val="clear" w:color="auto" w:fill="FFFFFF"/>
        </w:rPr>
        <w:t>Tantai</w:t>
      </w:r>
      <w:proofErr w:type="spellEnd"/>
      <w:r w:rsidRPr="003D5B85">
        <w:rPr>
          <w:rFonts w:ascii="Book Antiqua" w:hAnsi="Book Antiqua"/>
          <w:bCs/>
          <w:color w:val="000000" w:themeColor="text1"/>
          <w:sz w:val="24"/>
          <w:szCs w:val="24"/>
          <w:shd w:val="clear" w:color="auto" w:fill="FFFFFF"/>
        </w:rPr>
        <w:t xml:space="preserve"> XX, </w:t>
      </w:r>
      <w:r w:rsidRPr="003D5B85">
        <w:rPr>
          <w:rFonts w:ascii="Book Antiqua" w:hAnsi="Book Antiqua" w:cs="Times New Roman"/>
          <w:color w:val="000000" w:themeColor="text1"/>
          <w:sz w:val="24"/>
          <w:szCs w:val="24"/>
        </w:rPr>
        <w:t xml:space="preserve">Wang JH, and Liu N contributed to the study concept and design; Yang LB and Wei ZC contributed to the acquisition of data; </w:t>
      </w:r>
      <w:proofErr w:type="spellStart"/>
      <w:r w:rsidRPr="003D5B85">
        <w:rPr>
          <w:rFonts w:ascii="Book Antiqua" w:hAnsi="Book Antiqua"/>
          <w:bCs/>
          <w:color w:val="000000" w:themeColor="text1"/>
          <w:sz w:val="24"/>
          <w:szCs w:val="24"/>
          <w:shd w:val="clear" w:color="auto" w:fill="FFFFFF"/>
        </w:rPr>
        <w:t>Tantai</w:t>
      </w:r>
      <w:proofErr w:type="spellEnd"/>
      <w:r w:rsidRPr="003D5B85">
        <w:rPr>
          <w:rFonts w:ascii="Book Antiqua" w:hAnsi="Book Antiqua"/>
          <w:bCs/>
          <w:color w:val="000000" w:themeColor="text1"/>
          <w:sz w:val="24"/>
          <w:szCs w:val="24"/>
          <w:shd w:val="clear" w:color="auto" w:fill="FFFFFF"/>
        </w:rPr>
        <w:t xml:space="preserve"> XX, </w:t>
      </w:r>
      <w:r w:rsidRPr="003D5B85">
        <w:rPr>
          <w:rFonts w:ascii="Book Antiqua" w:hAnsi="Book Antiqua" w:cs="Times New Roman"/>
          <w:color w:val="000000" w:themeColor="text1"/>
          <w:sz w:val="24"/>
          <w:szCs w:val="24"/>
        </w:rPr>
        <w:t xml:space="preserve">Wang JH, Liu N, Xiao CL, and </w:t>
      </w:r>
      <w:r w:rsidRPr="003D5B85">
        <w:rPr>
          <w:rFonts w:ascii="Book Antiqua" w:hAnsi="Book Antiqua"/>
          <w:bCs/>
          <w:color w:val="000000" w:themeColor="text1"/>
          <w:sz w:val="24"/>
          <w:szCs w:val="24"/>
          <w:shd w:val="clear" w:color="auto" w:fill="FFFFFF"/>
        </w:rPr>
        <w:t xml:space="preserve">Chen LR </w:t>
      </w:r>
      <w:r w:rsidRPr="003D5B85">
        <w:rPr>
          <w:rFonts w:ascii="Book Antiqua" w:hAnsi="Book Antiqua" w:cs="Times New Roman"/>
          <w:color w:val="000000" w:themeColor="text1"/>
          <w:sz w:val="24"/>
          <w:szCs w:val="24"/>
        </w:rPr>
        <w:t xml:space="preserve">contributed to the analysis and interpretation of data; </w:t>
      </w:r>
      <w:proofErr w:type="spellStart"/>
      <w:r w:rsidR="00043586" w:rsidRPr="003D5B85">
        <w:rPr>
          <w:rFonts w:ascii="Book Antiqua" w:hAnsi="Book Antiqua"/>
          <w:bCs/>
          <w:color w:val="000000" w:themeColor="text1"/>
          <w:sz w:val="24"/>
          <w:szCs w:val="24"/>
          <w:shd w:val="clear" w:color="auto" w:fill="FFFFFF"/>
        </w:rPr>
        <w:t>Tantai</w:t>
      </w:r>
      <w:proofErr w:type="spellEnd"/>
      <w:r w:rsidR="00043586" w:rsidRPr="003D5B85">
        <w:rPr>
          <w:rFonts w:ascii="Book Antiqua" w:hAnsi="Book Antiqua"/>
          <w:bCs/>
          <w:color w:val="000000" w:themeColor="text1"/>
          <w:sz w:val="24"/>
          <w:szCs w:val="24"/>
          <w:shd w:val="clear" w:color="auto" w:fill="FFFFFF"/>
        </w:rPr>
        <w:t xml:space="preserve"> XX </w:t>
      </w:r>
      <w:r w:rsidR="00043586" w:rsidRPr="003D5B85">
        <w:rPr>
          <w:rFonts w:ascii="Book Antiqua" w:hAnsi="Book Antiqua" w:cs="Times New Roman"/>
          <w:color w:val="000000" w:themeColor="text1"/>
          <w:sz w:val="24"/>
          <w:szCs w:val="24"/>
        </w:rPr>
        <w:t xml:space="preserve">contributed to the statistical analysis; </w:t>
      </w:r>
      <w:proofErr w:type="spellStart"/>
      <w:r w:rsidR="00043586" w:rsidRPr="003D5B85">
        <w:rPr>
          <w:rFonts w:ascii="Book Antiqua" w:hAnsi="Book Antiqua"/>
          <w:bCs/>
          <w:color w:val="000000" w:themeColor="text1"/>
          <w:sz w:val="24"/>
          <w:szCs w:val="24"/>
          <w:shd w:val="clear" w:color="auto" w:fill="FFFFFF"/>
        </w:rPr>
        <w:t>Tantai</w:t>
      </w:r>
      <w:proofErr w:type="spellEnd"/>
      <w:r w:rsidR="00043586" w:rsidRPr="003D5B85">
        <w:rPr>
          <w:rFonts w:ascii="Book Antiqua" w:hAnsi="Book Antiqua"/>
          <w:bCs/>
          <w:color w:val="000000" w:themeColor="text1"/>
          <w:sz w:val="24"/>
          <w:szCs w:val="24"/>
          <w:shd w:val="clear" w:color="auto" w:fill="FFFFFF"/>
        </w:rPr>
        <w:t xml:space="preserve"> XX drafted the manuscript; </w:t>
      </w:r>
      <w:r w:rsidR="00043586" w:rsidRPr="003D5B85">
        <w:rPr>
          <w:rFonts w:ascii="Book Antiqua" w:hAnsi="Book Antiqua" w:cs="Times New Roman"/>
          <w:color w:val="000000" w:themeColor="text1"/>
          <w:sz w:val="24"/>
          <w:szCs w:val="24"/>
        </w:rPr>
        <w:t>Wang JH</w:t>
      </w:r>
      <w:r w:rsidR="0026736D" w:rsidRPr="003D5B85">
        <w:rPr>
          <w:rFonts w:ascii="Book Antiqua" w:hAnsi="Book Antiqua" w:cs="Times New Roman"/>
          <w:color w:val="000000" w:themeColor="text1"/>
          <w:sz w:val="24"/>
          <w:szCs w:val="24"/>
        </w:rPr>
        <w:t xml:space="preserve"> </w:t>
      </w:r>
      <w:r w:rsidR="00043586" w:rsidRPr="003D5B85">
        <w:rPr>
          <w:rFonts w:ascii="Book Antiqua" w:hAnsi="Book Antiqua" w:cs="Times New Roman"/>
          <w:color w:val="000000" w:themeColor="text1"/>
          <w:sz w:val="24"/>
          <w:szCs w:val="24"/>
        </w:rPr>
        <w:t>and Liu N contributed to the critical revision of the manuscript for important intellectual content, and study supervision</w:t>
      </w:r>
      <w:r w:rsidR="00F46703" w:rsidRPr="003D5B85">
        <w:rPr>
          <w:rFonts w:ascii="Book Antiqua" w:hAnsi="Book Antiqua" w:cs="Times New Roman"/>
          <w:color w:val="000000" w:themeColor="text1"/>
          <w:sz w:val="24"/>
          <w:szCs w:val="24"/>
        </w:rPr>
        <w:t>.</w:t>
      </w:r>
    </w:p>
    <w:p w14:paraId="2C619891" w14:textId="3726B0B8" w:rsidR="00F46703" w:rsidRPr="003D5B85" w:rsidRDefault="00F46703" w:rsidP="001C4059">
      <w:pPr>
        <w:spacing w:line="360" w:lineRule="auto"/>
        <w:rPr>
          <w:rFonts w:ascii="Book Antiqua" w:hAnsi="Book Antiqua" w:cs="Times New Roman"/>
          <w:color w:val="000000" w:themeColor="text1"/>
          <w:sz w:val="24"/>
          <w:szCs w:val="24"/>
        </w:rPr>
      </w:pPr>
    </w:p>
    <w:p w14:paraId="6256459A" w14:textId="2D943064" w:rsidR="00F46703" w:rsidRPr="003D5B85" w:rsidRDefault="00F46703" w:rsidP="001C4059">
      <w:pPr>
        <w:spacing w:line="360" w:lineRule="auto"/>
        <w:rPr>
          <w:rFonts w:ascii="Book Antiqua" w:eastAsia="等线" w:hAnsi="Book Antiqua" w:cs="Times New Roman"/>
          <w:color w:val="000000" w:themeColor="text1"/>
          <w:sz w:val="24"/>
          <w:szCs w:val="24"/>
        </w:rPr>
      </w:pPr>
      <w:r w:rsidRPr="003D5B85">
        <w:rPr>
          <w:rFonts w:ascii="Book Antiqua" w:eastAsia="Times New Roman" w:hAnsi="Book Antiqua"/>
          <w:b/>
          <w:color w:val="000000" w:themeColor="text1"/>
          <w:sz w:val="24"/>
          <w:szCs w:val="24"/>
          <w:lang w:val="it-IT"/>
        </w:rPr>
        <w:lastRenderedPageBreak/>
        <w:t>Conflict-of-interest statement</w:t>
      </w:r>
      <w:r w:rsidRPr="003D5B85">
        <w:rPr>
          <w:rFonts w:ascii="Book Antiqua" w:eastAsia="Times New Roman" w:hAnsi="Book Antiqua" w:hint="eastAsia"/>
          <w:b/>
          <w:bCs/>
          <w:iCs/>
          <w:color w:val="000000" w:themeColor="text1"/>
          <w:sz w:val="24"/>
          <w:szCs w:val="24"/>
        </w:rPr>
        <w:t>:</w:t>
      </w:r>
      <w:r w:rsidRPr="003D5B85">
        <w:rPr>
          <w:rFonts w:ascii="Book Antiqua" w:eastAsia="Times New Roman" w:hAnsi="Book Antiqua"/>
          <w:b/>
          <w:bCs/>
          <w:iCs/>
          <w:color w:val="000000" w:themeColor="text1"/>
          <w:sz w:val="24"/>
          <w:szCs w:val="24"/>
        </w:rPr>
        <w:t xml:space="preserve"> </w:t>
      </w:r>
      <w:r w:rsidRPr="003D5B85">
        <w:rPr>
          <w:rFonts w:ascii="Book Antiqua" w:eastAsia="等线" w:hAnsi="Book Antiqua" w:cs="Times New Roman"/>
          <w:color w:val="000000" w:themeColor="text1"/>
          <w:sz w:val="24"/>
          <w:szCs w:val="24"/>
        </w:rPr>
        <w:t>The authors have no potential conflicts of interest to disclose.</w:t>
      </w:r>
    </w:p>
    <w:p w14:paraId="2911286C" w14:textId="124884A3" w:rsidR="00F46703" w:rsidRPr="003D5B85" w:rsidRDefault="00F46703" w:rsidP="001C4059">
      <w:pPr>
        <w:spacing w:line="360" w:lineRule="auto"/>
        <w:rPr>
          <w:rFonts w:ascii="Book Antiqua" w:eastAsia="等线" w:hAnsi="Book Antiqua" w:cs="Times New Roman"/>
          <w:color w:val="000000" w:themeColor="text1"/>
          <w:sz w:val="24"/>
          <w:szCs w:val="24"/>
        </w:rPr>
      </w:pPr>
    </w:p>
    <w:p w14:paraId="197A9B19" w14:textId="08DD1851" w:rsidR="00085FAE" w:rsidRPr="003D5B85" w:rsidRDefault="00F46703" w:rsidP="001C4059">
      <w:pPr>
        <w:spacing w:line="360" w:lineRule="auto"/>
        <w:rPr>
          <w:rStyle w:val="ad"/>
          <w:rFonts w:ascii="Book Antiqua" w:hAnsi="Book Antiqua"/>
          <w:b w:val="0"/>
          <w:color w:val="000000" w:themeColor="text1"/>
          <w:sz w:val="24"/>
          <w:szCs w:val="24"/>
        </w:rPr>
      </w:pPr>
      <w:r w:rsidRPr="003D5B85">
        <w:rPr>
          <w:rFonts w:ascii="Book Antiqua" w:eastAsia="等线" w:hAnsi="Book Antiqua" w:cs="Times New Roman"/>
          <w:b/>
          <w:color w:val="000000" w:themeColor="text1"/>
          <w:sz w:val="24"/>
          <w:szCs w:val="24"/>
        </w:rPr>
        <w:t>PRISMA 2009 Checklist</w:t>
      </w:r>
      <w:r w:rsidRPr="003D5B85">
        <w:rPr>
          <w:rFonts w:ascii="Book Antiqua" w:eastAsia="等线" w:hAnsi="Book Antiqua" w:cs="Times New Roman" w:hint="eastAsia"/>
          <w:b/>
          <w:color w:val="000000" w:themeColor="text1"/>
          <w:sz w:val="24"/>
          <w:szCs w:val="24"/>
        </w:rPr>
        <w:t xml:space="preserve"> </w:t>
      </w:r>
      <w:r w:rsidRPr="003D5B85">
        <w:rPr>
          <w:rFonts w:ascii="Book Antiqua" w:eastAsia="等线" w:hAnsi="Book Antiqua" w:cs="Times New Roman"/>
          <w:b/>
          <w:color w:val="000000" w:themeColor="text1"/>
          <w:sz w:val="24"/>
          <w:szCs w:val="24"/>
          <w:lang w:val="it-IT"/>
        </w:rPr>
        <w:t>statement</w:t>
      </w:r>
      <w:r w:rsidRPr="003D5B85">
        <w:rPr>
          <w:rFonts w:ascii="Book Antiqua" w:eastAsia="等线" w:hAnsi="Book Antiqua" w:cs="Times New Roman" w:hint="eastAsia"/>
          <w:b/>
          <w:bCs/>
          <w:iCs/>
          <w:color w:val="000000" w:themeColor="text1"/>
          <w:sz w:val="24"/>
          <w:szCs w:val="24"/>
        </w:rPr>
        <w:t>:</w:t>
      </w:r>
      <w:r w:rsidRPr="003D5B85">
        <w:rPr>
          <w:rFonts w:ascii="Book Antiqua" w:eastAsia="等线" w:hAnsi="Book Antiqua" w:cs="Times New Roman"/>
          <w:b/>
          <w:bCs/>
          <w:iCs/>
          <w:color w:val="000000" w:themeColor="text1"/>
          <w:sz w:val="24"/>
          <w:szCs w:val="24"/>
        </w:rPr>
        <w:t xml:space="preserve"> </w:t>
      </w:r>
      <w:r w:rsidR="00085FAE" w:rsidRPr="003D5B85">
        <w:rPr>
          <w:rStyle w:val="ad"/>
          <w:rFonts w:ascii="Book Antiqua" w:hAnsi="Book Antiqua"/>
          <w:b w:val="0"/>
          <w:color w:val="000000" w:themeColor="text1"/>
          <w:sz w:val="24"/>
          <w:szCs w:val="24"/>
        </w:rPr>
        <w:t>The authors have read the PRISMA 2009 Checklist, and the manuscript was prepared and revised according to the PRISMA 2009 Checklist.</w:t>
      </w:r>
    </w:p>
    <w:p w14:paraId="24FA8D08" w14:textId="3B0128D3" w:rsidR="00F46703" w:rsidRPr="003D5B85" w:rsidRDefault="00F46703" w:rsidP="001C4059">
      <w:pPr>
        <w:spacing w:line="360" w:lineRule="auto"/>
        <w:rPr>
          <w:rStyle w:val="ad"/>
          <w:rFonts w:ascii="Book Antiqua" w:hAnsi="Book Antiqua"/>
          <w:b w:val="0"/>
          <w:color w:val="000000" w:themeColor="text1"/>
          <w:sz w:val="24"/>
          <w:szCs w:val="24"/>
        </w:rPr>
      </w:pPr>
    </w:p>
    <w:p w14:paraId="2962E905" w14:textId="77777777" w:rsidR="00F46703" w:rsidRPr="003D5B85" w:rsidRDefault="00F46703" w:rsidP="00F46703">
      <w:pPr>
        <w:widowControl/>
        <w:spacing w:line="360" w:lineRule="auto"/>
        <w:rPr>
          <w:rFonts w:ascii="Book Antiqua" w:eastAsia="MS Mincho" w:hAnsi="Book Antiqua" w:cs="Times New Roman"/>
          <w:b/>
          <w:color w:val="000000" w:themeColor="text1"/>
          <w:kern w:val="0"/>
          <w:sz w:val="24"/>
          <w:szCs w:val="24"/>
          <w:lang w:eastAsia="it-IT"/>
        </w:rPr>
      </w:pPr>
      <w:r w:rsidRPr="003D5B85">
        <w:rPr>
          <w:rFonts w:ascii="Book Antiqua" w:eastAsia="MS Mincho" w:hAnsi="Book Antiqua" w:cs="Times New Roman"/>
          <w:b/>
          <w:color w:val="000000" w:themeColor="text1"/>
          <w:kern w:val="0"/>
          <w:sz w:val="24"/>
          <w:szCs w:val="24"/>
          <w:lang w:eastAsia="it-IT"/>
        </w:rPr>
        <w:t xml:space="preserve">Open-Access: </w:t>
      </w:r>
      <w:r w:rsidRPr="003D5B85">
        <w:rPr>
          <w:rFonts w:ascii="Book Antiqua" w:eastAsia="MS Mincho" w:hAnsi="Book Antiqua" w:cs="Times New Roman"/>
          <w:color w:val="000000" w:themeColor="text1"/>
          <w:kern w:val="0"/>
          <w:sz w:val="24"/>
          <w:szCs w:val="24"/>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87F3FB" w14:textId="44519BC9" w:rsidR="00F46703" w:rsidRPr="003D5B85" w:rsidRDefault="00F46703" w:rsidP="001C4059">
      <w:pPr>
        <w:spacing w:line="360" w:lineRule="auto"/>
        <w:rPr>
          <w:rStyle w:val="ad"/>
          <w:rFonts w:ascii="Book Antiqua" w:eastAsia="等线" w:hAnsi="Book Antiqua" w:cs="Times New Roman"/>
          <w:b w:val="0"/>
          <w:bCs w:val="0"/>
          <w:color w:val="000000" w:themeColor="text1"/>
          <w:sz w:val="24"/>
          <w:szCs w:val="24"/>
        </w:rPr>
      </w:pPr>
    </w:p>
    <w:p w14:paraId="09D252CD" w14:textId="03AFC4DB" w:rsidR="00F46703" w:rsidRPr="003D5B85" w:rsidRDefault="00F46703" w:rsidP="001C4059">
      <w:pPr>
        <w:spacing w:line="360" w:lineRule="auto"/>
        <w:rPr>
          <w:rStyle w:val="ad"/>
          <w:rFonts w:ascii="Book Antiqua" w:eastAsia="等线" w:hAnsi="Book Antiqua" w:cs="Times New Roman"/>
          <w:b w:val="0"/>
          <w:bCs w:val="0"/>
          <w:color w:val="000000" w:themeColor="text1"/>
          <w:sz w:val="24"/>
          <w:szCs w:val="24"/>
        </w:rPr>
      </w:pPr>
      <w:r w:rsidRPr="003D5B85">
        <w:rPr>
          <w:rStyle w:val="ad"/>
          <w:rFonts w:ascii="Book Antiqua" w:eastAsia="等线" w:hAnsi="Book Antiqua" w:cs="Times New Roman"/>
          <w:bCs w:val="0"/>
          <w:color w:val="000000" w:themeColor="text1"/>
          <w:sz w:val="24"/>
          <w:szCs w:val="24"/>
        </w:rPr>
        <w:t>Manuscript source:</w:t>
      </w:r>
      <w:r w:rsidRPr="003D5B85">
        <w:rPr>
          <w:rStyle w:val="ad"/>
          <w:rFonts w:ascii="Book Antiqua" w:eastAsia="等线" w:hAnsi="Book Antiqua" w:cs="Times New Roman"/>
          <w:b w:val="0"/>
          <w:bCs w:val="0"/>
          <w:color w:val="000000" w:themeColor="text1"/>
          <w:sz w:val="24"/>
          <w:szCs w:val="24"/>
        </w:rPr>
        <w:t xml:space="preserve"> Unsolicited manuscript</w:t>
      </w:r>
    </w:p>
    <w:p w14:paraId="4F1AED3A" w14:textId="77777777" w:rsidR="00D3451A" w:rsidRPr="003D5B85" w:rsidRDefault="00D3451A" w:rsidP="001C4059">
      <w:pPr>
        <w:spacing w:line="360" w:lineRule="auto"/>
        <w:rPr>
          <w:rFonts w:ascii="Book Antiqua" w:hAnsi="Book Antiqua" w:cs="Times New Roman"/>
          <w:b/>
          <w:color w:val="000000" w:themeColor="text1"/>
          <w:sz w:val="24"/>
          <w:szCs w:val="24"/>
        </w:rPr>
      </w:pPr>
    </w:p>
    <w:p w14:paraId="4EE667D5" w14:textId="4B29DE13" w:rsidR="002878A3" w:rsidRPr="003D5B85" w:rsidRDefault="00F46703" w:rsidP="001C4059">
      <w:pPr>
        <w:spacing w:line="360" w:lineRule="auto"/>
        <w:rPr>
          <w:rFonts w:ascii="Book Antiqua" w:hAnsi="Book Antiqua" w:cs="Times New Roman"/>
          <w:color w:val="000000" w:themeColor="text1"/>
          <w:sz w:val="24"/>
          <w:szCs w:val="24"/>
        </w:rPr>
      </w:pPr>
      <w:bookmarkStart w:id="17" w:name="OLE_LINK535"/>
      <w:bookmarkStart w:id="18" w:name="OLE_LINK536"/>
      <w:r w:rsidRPr="003D5B85">
        <w:rPr>
          <w:rFonts w:ascii="Book Antiqua" w:hAnsi="Book Antiqua"/>
          <w:b/>
          <w:color w:val="000000" w:themeColor="text1"/>
          <w:sz w:val="24"/>
          <w:szCs w:val="24"/>
        </w:rPr>
        <w:t>Corresponding author:</w:t>
      </w:r>
      <w:bookmarkEnd w:id="17"/>
      <w:bookmarkEnd w:id="18"/>
      <w:r w:rsidRPr="003D5B85">
        <w:rPr>
          <w:rFonts w:ascii="Book Antiqua" w:eastAsia="宋体" w:hAnsi="Book Antiqua" w:hint="eastAsia"/>
          <w:b/>
          <w:color w:val="000000" w:themeColor="text1"/>
        </w:rPr>
        <w:t xml:space="preserve"> </w:t>
      </w:r>
      <w:r w:rsidR="002878A3" w:rsidRPr="003D5B85">
        <w:rPr>
          <w:rFonts w:ascii="Book Antiqua" w:hAnsi="Book Antiqua" w:cs="Times New Roman"/>
          <w:b/>
          <w:color w:val="000000" w:themeColor="text1"/>
          <w:sz w:val="24"/>
          <w:szCs w:val="24"/>
        </w:rPr>
        <w:t>Na Liu,</w:t>
      </w:r>
      <w:r w:rsidR="002878A3" w:rsidRPr="003D5B85">
        <w:rPr>
          <w:rFonts w:ascii="Book Antiqua" w:hAnsi="Book Antiqua" w:cs="Times New Roman"/>
          <w:color w:val="000000" w:themeColor="text1"/>
          <w:sz w:val="24"/>
          <w:szCs w:val="24"/>
        </w:rPr>
        <w:t xml:space="preserve"> </w:t>
      </w:r>
      <w:r w:rsidRPr="003D5B85">
        <w:rPr>
          <w:rFonts w:ascii="Book Antiqua" w:hAnsi="Book Antiqua" w:cs="Times New Roman"/>
          <w:b/>
          <w:color w:val="000000" w:themeColor="text1"/>
          <w:sz w:val="24"/>
          <w:szCs w:val="24"/>
        </w:rPr>
        <w:t>PhD, Doctor,</w:t>
      </w:r>
      <w:r w:rsidRPr="003D5B85">
        <w:rPr>
          <w:rFonts w:ascii="Book Antiqua" w:hAnsi="Book Antiqua" w:cs="Times New Roman"/>
          <w:color w:val="000000" w:themeColor="text1"/>
          <w:sz w:val="24"/>
          <w:szCs w:val="24"/>
        </w:rPr>
        <w:t xml:space="preserve"> </w:t>
      </w:r>
      <w:bookmarkStart w:id="19" w:name="OLE_LINK5"/>
      <w:bookmarkStart w:id="20" w:name="OLE_LINK6"/>
      <w:r w:rsidR="004D14F0" w:rsidRPr="003D5B85">
        <w:rPr>
          <w:rFonts w:ascii="Book Antiqua" w:hAnsi="Book Antiqua" w:cs="Times New Roman"/>
          <w:color w:val="000000" w:themeColor="text1"/>
          <w:sz w:val="24"/>
          <w:szCs w:val="24"/>
        </w:rPr>
        <w:t>Division of Gastroenterology</w:t>
      </w:r>
      <w:bookmarkEnd w:id="19"/>
      <w:bookmarkEnd w:id="20"/>
      <w:r w:rsidR="004D14F0" w:rsidRPr="003D5B85">
        <w:rPr>
          <w:rFonts w:ascii="Book Antiqua" w:hAnsi="Book Antiqua" w:cs="Times New Roman"/>
          <w:color w:val="000000" w:themeColor="text1"/>
          <w:sz w:val="24"/>
          <w:szCs w:val="24"/>
        </w:rPr>
        <w:t xml:space="preserve">, </w:t>
      </w:r>
      <w:bookmarkStart w:id="21" w:name="OLE_LINK7"/>
      <w:r w:rsidR="004D14F0" w:rsidRPr="003D5B85">
        <w:rPr>
          <w:rFonts w:ascii="Book Antiqua" w:hAnsi="Book Antiqua" w:cs="Times New Roman"/>
          <w:color w:val="000000" w:themeColor="text1"/>
          <w:sz w:val="24"/>
          <w:szCs w:val="24"/>
        </w:rPr>
        <w:t xml:space="preserve">The Second Affiliated Hospital, Xi’an </w:t>
      </w:r>
      <w:proofErr w:type="spellStart"/>
      <w:r w:rsidR="004D14F0" w:rsidRPr="003D5B85">
        <w:rPr>
          <w:rFonts w:ascii="Book Antiqua" w:hAnsi="Book Antiqua" w:cs="Times New Roman"/>
          <w:color w:val="000000" w:themeColor="text1"/>
          <w:sz w:val="24"/>
          <w:szCs w:val="24"/>
        </w:rPr>
        <w:t>Jiaotong</w:t>
      </w:r>
      <w:proofErr w:type="spellEnd"/>
      <w:r w:rsidR="004D14F0" w:rsidRPr="003D5B85">
        <w:rPr>
          <w:rFonts w:ascii="Book Antiqua" w:hAnsi="Book Antiqua" w:cs="Times New Roman"/>
          <w:color w:val="000000" w:themeColor="text1"/>
          <w:sz w:val="24"/>
          <w:szCs w:val="24"/>
        </w:rPr>
        <w:t xml:space="preserve"> University</w:t>
      </w:r>
      <w:bookmarkEnd w:id="21"/>
      <w:r w:rsidR="004D14F0" w:rsidRPr="003D5B85">
        <w:rPr>
          <w:rFonts w:ascii="Book Antiqua" w:hAnsi="Book Antiqua" w:cs="Times New Roman"/>
          <w:color w:val="000000" w:themeColor="text1"/>
          <w:sz w:val="24"/>
          <w:szCs w:val="24"/>
        </w:rPr>
        <w:t xml:space="preserve">, </w:t>
      </w:r>
      <w:bookmarkStart w:id="22" w:name="OLE_LINK8"/>
      <w:bookmarkStart w:id="23" w:name="OLE_LINK9"/>
      <w:r w:rsidR="002878A3" w:rsidRPr="003D5B85">
        <w:rPr>
          <w:rFonts w:ascii="Book Antiqua" w:hAnsi="Book Antiqua" w:cs="Times New Roman"/>
          <w:color w:val="000000" w:themeColor="text1"/>
          <w:sz w:val="24"/>
          <w:szCs w:val="24"/>
        </w:rPr>
        <w:t xml:space="preserve">No. 157, </w:t>
      </w:r>
      <w:proofErr w:type="spellStart"/>
      <w:r w:rsidR="002878A3" w:rsidRPr="003D5B85">
        <w:rPr>
          <w:rFonts w:ascii="Book Antiqua" w:hAnsi="Book Antiqua" w:cs="Times New Roman"/>
          <w:color w:val="000000" w:themeColor="text1"/>
          <w:sz w:val="24"/>
          <w:szCs w:val="24"/>
        </w:rPr>
        <w:t>Xi</w:t>
      </w:r>
      <w:r w:rsidR="0026736D" w:rsidRPr="003D5B85">
        <w:rPr>
          <w:rFonts w:ascii="Book Antiqua" w:hAnsi="Book Antiqua" w:cs="Times New Roman"/>
          <w:color w:val="000000" w:themeColor="text1"/>
          <w:sz w:val="24"/>
          <w:szCs w:val="24"/>
        </w:rPr>
        <w:t>w</w:t>
      </w:r>
      <w:r w:rsidR="002878A3" w:rsidRPr="003D5B85">
        <w:rPr>
          <w:rFonts w:ascii="Book Antiqua" w:hAnsi="Book Antiqua" w:cs="Times New Roman"/>
          <w:color w:val="000000" w:themeColor="text1"/>
          <w:sz w:val="24"/>
          <w:szCs w:val="24"/>
        </w:rPr>
        <w:t>u</w:t>
      </w:r>
      <w:proofErr w:type="spellEnd"/>
      <w:r w:rsidR="002878A3" w:rsidRPr="003D5B85">
        <w:rPr>
          <w:rFonts w:ascii="Book Antiqua" w:hAnsi="Book Antiqua" w:cs="Times New Roman"/>
          <w:color w:val="000000" w:themeColor="text1"/>
          <w:sz w:val="24"/>
          <w:szCs w:val="24"/>
        </w:rPr>
        <w:t xml:space="preserve"> Road</w:t>
      </w:r>
      <w:bookmarkEnd w:id="22"/>
      <w:bookmarkEnd w:id="23"/>
      <w:r w:rsidR="002878A3" w:rsidRPr="003D5B85">
        <w:rPr>
          <w:rFonts w:ascii="Book Antiqua" w:hAnsi="Book Antiqua" w:cs="Times New Roman"/>
          <w:color w:val="000000" w:themeColor="text1"/>
          <w:sz w:val="24"/>
          <w:szCs w:val="24"/>
        </w:rPr>
        <w:t xml:space="preserve">, </w:t>
      </w:r>
      <w:bookmarkStart w:id="24" w:name="OLE_LINK10"/>
      <w:r w:rsidR="002878A3" w:rsidRPr="003D5B85">
        <w:rPr>
          <w:rFonts w:ascii="Book Antiqua" w:hAnsi="Book Antiqua" w:cs="Times New Roman"/>
          <w:color w:val="000000" w:themeColor="text1"/>
          <w:sz w:val="24"/>
          <w:szCs w:val="24"/>
        </w:rPr>
        <w:t>Xi’an</w:t>
      </w:r>
      <w:bookmarkEnd w:id="24"/>
      <w:r w:rsidR="002878A3" w:rsidRPr="003D5B85">
        <w:rPr>
          <w:rFonts w:ascii="Book Antiqua" w:hAnsi="Book Antiqua" w:cs="Times New Roman"/>
          <w:color w:val="000000" w:themeColor="text1"/>
          <w:sz w:val="24"/>
          <w:szCs w:val="24"/>
        </w:rPr>
        <w:t>, Shaanxi</w:t>
      </w:r>
      <w:r w:rsidR="004D14F0" w:rsidRPr="003D5B85">
        <w:rPr>
          <w:rFonts w:ascii="Book Antiqua" w:hAnsi="Book Antiqua" w:cs="Times New Roman"/>
          <w:color w:val="000000" w:themeColor="text1"/>
          <w:sz w:val="24"/>
          <w:szCs w:val="24"/>
        </w:rPr>
        <w:t xml:space="preserve"> Province</w:t>
      </w:r>
      <w:r w:rsidR="002878A3" w:rsidRPr="003D5B85">
        <w:rPr>
          <w:rFonts w:ascii="Book Antiqua" w:hAnsi="Book Antiqua" w:cs="Times New Roman"/>
          <w:color w:val="000000" w:themeColor="text1"/>
          <w:sz w:val="24"/>
          <w:szCs w:val="24"/>
        </w:rPr>
        <w:t>, China</w:t>
      </w:r>
      <w:r w:rsidR="004D14F0" w:rsidRPr="003D5B85">
        <w:rPr>
          <w:rFonts w:ascii="Book Antiqua" w:hAnsi="Book Antiqua" w:cs="Times New Roman"/>
          <w:color w:val="000000" w:themeColor="text1"/>
          <w:sz w:val="24"/>
          <w:szCs w:val="24"/>
        </w:rPr>
        <w:t>. liunafmmu@163.com</w:t>
      </w:r>
    </w:p>
    <w:p w14:paraId="075A85B0" w14:textId="1C7B4307" w:rsidR="00AC4B2F" w:rsidRPr="003D5B85" w:rsidRDefault="00AC4B2F" w:rsidP="001C4059">
      <w:pPr>
        <w:spacing w:line="360" w:lineRule="auto"/>
        <w:rPr>
          <w:rFonts w:ascii="Book Antiqua" w:hAnsi="Book Antiqua" w:cs="Times New Roman"/>
          <w:color w:val="000000" w:themeColor="text1"/>
          <w:sz w:val="24"/>
          <w:szCs w:val="24"/>
        </w:rPr>
      </w:pPr>
      <w:r w:rsidRPr="003D5B85">
        <w:rPr>
          <w:rFonts w:ascii="Book Antiqua" w:hAnsi="Book Antiqua" w:cs="Times New Roman"/>
          <w:b/>
          <w:color w:val="000000" w:themeColor="text1"/>
          <w:sz w:val="24"/>
          <w:szCs w:val="24"/>
        </w:rPr>
        <w:t>Telephone:</w:t>
      </w:r>
      <w:r w:rsidRPr="003D5B85">
        <w:rPr>
          <w:rFonts w:ascii="Book Antiqua" w:hAnsi="Book Antiqua" w:cs="Times New Roman"/>
          <w:color w:val="000000" w:themeColor="text1"/>
          <w:sz w:val="24"/>
          <w:szCs w:val="24"/>
        </w:rPr>
        <w:t xml:space="preserve"> +86-29-8767</w:t>
      </w:r>
      <w:r w:rsidR="004D14F0" w:rsidRPr="003D5B85">
        <w:rPr>
          <w:rFonts w:ascii="Book Antiqua" w:hAnsi="Book Antiqua" w:cs="Times New Roman"/>
          <w:color w:val="000000" w:themeColor="text1"/>
          <w:sz w:val="24"/>
          <w:szCs w:val="24"/>
        </w:rPr>
        <w:t>-</w:t>
      </w:r>
      <w:r w:rsidRPr="003D5B85">
        <w:rPr>
          <w:rFonts w:ascii="Book Antiqua" w:hAnsi="Book Antiqua" w:cs="Times New Roman"/>
          <w:color w:val="000000" w:themeColor="text1"/>
          <w:sz w:val="24"/>
          <w:szCs w:val="24"/>
        </w:rPr>
        <w:t>9335</w:t>
      </w:r>
    </w:p>
    <w:p w14:paraId="0368295D" w14:textId="3FC721A9" w:rsidR="00AC4B2F" w:rsidRPr="003D5B85" w:rsidRDefault="00AC4B2F" w:rsidP="001C4059">
      <w:pPr>
        <w:spacing w:line="360" w:lineRule="auto"/>
        <w:rPr>
          <w:rFonts w:ascii="Book Antiqua" w:hAnsi="Book Antiqua" w:cs="Times New Roman"/>
          <w:color w:val="000000" w:themeColor="text1"/>
          <w:sz w:val="24"/>
          <w:szCs w:val="24"/>
        </w:rPr>
      </w:pPr>
      <w:r w:rsidRPr="003D5B85">
        <w:rPr>
          <w:rFonts w:ascii="Book Antiqua" w:hAnsi="Book Antiqua" w:cs="Times New Roman"/>
          <w:b/>
          <w:color w:val="000000" w:themeColor="text1"/>
          <w:sz w:val="24"/>
          <w:szCs w:val="24"/>
        </w:rPr>
        <w:t>Fax:</w:t>
      </w:r>
      <w:r w:rsidRPr="003D5B85">
        <w:rPr>
          <w:rFonts w:ascii="Book Antiqua" w:hAnsi="Book Antiqua" w:cs="Times New Roman"/>
          <w:color w:val="000000" w:themeColor="text1"/>
          <w:sz w:val="24"/>
          <w:szCs w:val="24"/>
        </w:rPr>
        <w:t xml:space="preserve"> +86-29-8767</w:t>
      </w:r>
      <w:r w:rsidR="004D14F0" w:rsidRPr="003D5B85">
        <w:rPr>
          <w:rFonts w:ascii="Book Antiqua" w:hAnsi="Book Antiqua" w:cs="Times New Roman"/>
          <w:color w:val="000000" w:themeColor="text1"/>
          <w:sz w:val="24"/>
          <w:szCs w:val="24"/>
        </w:rPr>
        <w:t>-</w:t>
      </w:r>
      <w:r w:rsidRPr="003D5B85">
        <w:rPr>
          <w:rFonts w:ascii="Book Antiqua" w:hAnsi="Book Antiqua" w:cs="Times New Roman"/>
          <w:color w:val="000000" w:themeColor="text1"/>
          <w:sz w:val="24"/>
          <w:szCs w:val="24"/>
        </w:rPr>
        <w:t>9368</w:t>
      </w:r>
    </w:p>
    <w:p w14:paraId="3680B0DC" w14:textId="77777777" w:rsidR="002878A3" w:rsidRPr="003D5B85" w:rsidRDefault="002878A3" w:rsidP="001C4059">
      <w:pPr>
        <w:spacing w:line="360" w:lineRule="auto"/>
        <w:rPr>
          <w:rFonts w:ascii="Book Antiqua" w:hAnsi="Book Antiqua" w:cs="Times New Roman"/>
          <w:b/>
          <w:color w:val="000000" w:themeColor="text1"/>
          <w:sz w:val="24"/>
          <w:szCs w:val="24"/>
        </w:rPr>
      </w:pPr>
      <w:bookmarkStart w:id="25" w:name="OLE_LINK82"/>
    </w:p>
    <w:p w14:paraId="49E1F5B3" w14:textId="766700B5" w:rsidR="004D14F0" w:rsidRPr="003D5B85" w:rsidRDefault="004D14F0" w:rsidP="004D14F0">
      <w:pPr>
        <w:spacing w:line="360" w:lineRule="auto"/>
        <w:rPr>
          <w:rFonts w:ascii="Book Antiqua" w:eastAsia="宋体" w:hAnsi="Book Antiqua" w:cs="Times New Roman"/>
          <w:b/>
          <w:color w:val="000000" w:themeColor="text1"/>
          <w:sz w:val="24"/>
          <w:szCs w:val="24"/>
        </w:rPr>
      </w:pPr>
      <w:bookmarkStart w:id="26" w:name="OLE_LINK75"/>
      <w:bookmarkStart w:id="27" w:name="OLE_LINK76"/>
      <w:bookmarkStart w:id="28" w:name="OLE_LINK269"/>
      <w:bookmarkStart w:id="29" w:name="OLE_LINK239"/>
      <w:r w:rsidRPr="003D5B85">
        <w:rPr>
          <w:rFonts w:ascii="Book Antiqua" w:eastAsia="宋体" w:hAnsi="Book Antiqua" w:cs="Times New Roman"/>
          <w:b/>
          <w:color w:val="000000" w:themeColor="text1"/>
          <w:sz w:val="24"/>
          <w:szCs w:val="24"/>
        </w:rPr>
        <w:t xml:space="preserve">Received: </w:t>
      </w:r>
      <w:r w:rsidRPr="003D5B85">
        <w:rPr>
          <w:rFonts w:ascii="Book Antiqua" w:eastAsia="宋体" w:hAnsi="Book Antiqua" w:cs="Times New Roman"/>
          <w:color w:val="000000" w:themeColor="text1"/>
          <w:sz w:val="24"/>
          <w:szCs w:val="24"/>
        </w:rPr>
        <w:t>March 12, 2019</w:t>
      </w:r>
    </w:p>
    <w:p w14:paraId="7C9BB9A0" w14:textId="7485F38E" w:rsidR="004D14F0" w:rsidRPr="003D5B85" w:rsidRDefault="004D14F0" w:rsidP="004D14F0">
      <w:pPr>
        <w:spacing w:line="360" w:lineRule="auto"/>
        <w:rPr>
          <w:rFonts w:ascii="Book Antiqua" w:eastAsia="宋体" w:hAnsi="Book Antiqua" w:cs="Times New Roman"/>
          <w:b/>
          <w:color w:val="000000" w:themeColor="text1"/>
          <w:sz w:val="24"/>
          <w:szCs w:val="24"/>
        </w:rPr>
      </w:pPr>
      <w:r w:rsidRPr="003D5B85">
        <w:rPr>
          <w:rFonts w:ascii="Book Antiqua" w:eastAsia="宋体" w:hAnsi="Book Antiqua" w:cs="Times New Roman"/>
          <w:b/>
          <w:color w:val="000000" w:themeColor="text1"/>
          <w:sz w:val="24"/>
          <w:szCs w:val="24"/>
        </w:rPr>
        <w:t xml:space="preserve">Peer-review started: </w:t>
      </w:r>
      <w:r w:rsidRPr="003D5B85">
        <w:rPr>
          <w:rFonts w:ascii="Book Antiqua" w:eastAsia="宋体" w:hAnsi="Book Antiqua" w:cs="Times New Roman"/>
          <w:color w:val="000000" w:themeColor="text1"/>
          <w:sz w:val="24"/>
          <w:szCs w:val="24"/>
        </w:rPr>
        <w:t>March 13, 2019</w:t>
      </w:r>
    </w:p>
    <w:p w14:paraId="7D2D3B03" w14:textId="57553EAB" w:rsidR="004D14F0" w:rsidRPr="003D5B85" w:rsidRDefault="004D14F0" w:rsidP="004D14F0">
      <w:pPr>
        <w:spacing w:line="360" w:lineRule="auto"/>
        <w:rPr>
          <w:rFonts w:ascii="Book Antiqua" w:eastAsia="宋体" w:hAnsi="Book Antiqua" w:cs="Times New Roman"/>
          <w:b/>
          <w:color w:val="000000" w:themeColor="text1"/>
          <w:sz w:val="24"/>
          <w:szCs w:val="24"/>
        </w:rPr>
      </w:pPr>
      <w:r w:rsidRPr="003D5B85">
        <w:rPr>
          <w:rFonts w:ascii="Book Antiqua" w:eastAsia="宋体" w:hAnsi="Book Antiqua" w:cs="Times New Roman"/>
          <w:b/>
          <w:color w:val="000000" w:themeColor="text1"/>
          <w:sz w:val="24"/>
          <w:szCs w:val="24"/>
        </w:rPr>
        <w:t xml:space="preserve">First decision: </w:t>
      </w:r>
      <w:r w:rsidRPr="003D5B85">
        <w:rPr>
          <w:rFonts w:ascii="Book Antiqua" w:eastAsia="宋体" w:hAnsi="Book Antiqua" w:cs="Times New Roman"/>
          <w:color w:val="000000" w:themeColor="text1"/>
          <w:sz w:val="24"/>
          <w:szCs w:val="24"/>
        </w:rPr>
        <w:t>April 11, 2019</w:t>
      </w:r>
    </w:p>
    <w:p w14:paraId="4B3DE716" w14:textId="75DDD12C" w:rsidR="004D14F0" w:rsidRPr="003D5B85" w:rsidRDefault="004D14F0" w:rsidP="004D14F0">
      <w:pPr>
        <w:spacing w:line="360" w:lineRule="auto"/>
        <w:rPr>
          <w:rFonts w:ascii="Book Antiqua" w:eastAsia="宋体" w:hAnsi="Book Antiqua" w:cs="Times New Roman"/>
          <w:b/>
          <w:color w:val="000000" w:themeColor="text1"/>
          <w:sz w:val="24"/>
          <w:szCs w:val="24"/>
        </w:rPr>
      </w:pPr>
      <w:r w:rsidRPr="003D5B85">
        <w:rPr>
          <w:rFonts w:ascii="Book Antiqua" w:eastAsia="宋体" w:hAnsi="Book Antiqua" w:cs="Times New Roman"/>
          <w:b/>
          <w:color w:val="000000" w:themeColor="text1"/>
          <w:sz w:val="24"/>
          <w:szCs w:val="24"/>
        </w:rPr>
        <w:t xml:space="preserve">Revised: </w:t>
      </w:r>
      <w:r w:rsidRPr="003D5B85">
        <w:rPr>
          <w:rFonts w:ascii="Book Antiqua" w:eastAsia="宋体" w:hAnsi="Book Antiqua" w:cs="Times New Roman"/>
          <w:color w:val="000000" w:themeColor="text1"/>
          <w:sz w:val="24"/>
          <w:szCs w:val="24"/>
        </w:rPr>
        <w:t>April 21, 2019</w:t>
      </w:r>
    </w:p>
    <w:p w14:paraId="20D720B8" w14:textId="0F368054" w:rsidR="004D14F0" w:rsidRPr="003D5B85" w:rsidRDefault="004D14F0" w:rsidP="004D14F0">
      <w:pPr>
        <w:spacing w:line="360" w:lineRule="auto"/>
        <w:rPr>
          <w:rFonts w:ascii="Book Antiqua" w:eastAsia="宋体" w:hAnsi="Book Antiqua" w:cs="Times New Roman"/>
          <w:color w:val="000000" w:themeColor="text1"/>
          <w:sz w:val="24"/>
          <w:szCs w:val="24"/>
        </w:rPr>
      </w:pPr>
      <w:r w:rsidRPr="003D5B85">
        <w:rPr>
          <w:rFonts w:ascii="Book Antiqua" w:eastAsia="宋体" w:hAnsi="Book Antiqua" w:cs="Times New Roman"/>
          <w:b/>
          <w:color w:val="000000" w:themeColor="text1"/>
          <w:sz w:val="24"/>
          <w:szCs w:val="24"/>
        </w:rPr>
        <w:t>Accepted:</w:t>
      </w:r>
      <w:r w:rsidR="002A64CA" w:rsidRPr="003D5B85">
        <w:t xml:space="preserve"> </w:t>
      </w:r>
      <w:r w:rsidR="002A64CA" w:rsidRPr="003D5B85">
        <w:rPr>
          <w:rFonts w:ascii="Book Antiqua" w:eastAsia="宋体" w:hAnsi="Book Antiqua" w:cs="Times New Roman"/>
          <w:color w:val="000000" w:themeColor="text1"/>
          <w:sz w:val="24"/>
          <w:szCs w:val="24"/>
        </w:rPr>
        <w:t>May 3, 2019</w:t>
      </w:r>
      <w:r w:rsidRPr="003D5B85">
        <w:rPr>
          <w:rFonts w:ascii="Book Antiqua" w:eastAsia="宋体" w:hAnsi="Book Antiqua" w:cs="Times New Roman"/>
          <w:b/>
          <w:color w:val="000000" w:themeColor="text1"/>
          <w:sz w:val="24"/>
          <w:szCs w:val="24"/>
        </w:rPr>
        <w:t xml:space="preserve"> </w:t>
      </w:r>
    </w:p>
    <w:p w14:paraId="780EF1A1" w14:textId="134468E7" w:rsidR="004D14F0" w:rsidRPr="003D5B85" w:rsidRDefault="004D14F0" w:rsidP="004D14F0">
      <w:pPr>
        <w:spacing w:line="360" w:lineRule="auto"/>
        <w:rPr>
          <w:rFonts w:ascii="Book Antiqua" w:eastAsia="宋体" w:hAnsi="Book Antiqua" w:cs="Times New Roman"/>
          <w:b/>
          <w:color w:val="000000" w:themeColor="text1"/>
          <w:sz w:val="24"/>
          <w:szCs w:val="24"/>
        </w:rPr>
      </w:pPr>
      <w:r w:rsidRPr="003D5B85">
        <w:rPr>
          <w:rFonts w:ascii="Book Antiqua" w:eastAsia="宋体" w:hAnsi="Book Antiqua" w:cs="Times New Roman"/>
          <w:b/>
          <w:color w:val="000000" w:themeColor="text1"/>
          <w:sz w:val="24"/>
          <w:szCs w:val="24"/>
        </w:rPr>
        <w:t>Article in press:</w:t>
      </w:r>
      <w:r w:rsidR="003D5B85" w:rsidRPr="003D5B85">
        <w:rPr>
          <w:rFonts w:ascii="Book Antiqua" w:eastAsia="宋体" w:hAnsi="Book Antiqua" w:cs="Times New Roman" w:hint="eastAsia"/>
          <w:b/>
          <w:color w:val="000000" w:themeColor="text1"/>
          <w:sz w:val="24"/>
          <w:szCs w:val="24"/>
        </w:rPr>
        <w:t xml:space="preserve"> </w:t>
      </w:r>
      <w:r w:rsidR="003D5B85" w:rsidRPr="003D5B85">
        <w:rPr>
          <w:rFonts w:ascii="Book Antiqua" w:eastAsia="宋体" w:hAnsi="Book Antiqua" w:cs="Times New Roman"/>
          <w:color w:val="000000" w:themeColor="text1"/>
          <w:sz w:val="24"/>
          <w:szCs w:val="24"/>
        </w:rPr>
        <w:t>May 3, 2019</w:t>
      </w:r>
    </w:p>
    <w:p w14:paraId="7058B5EE" w14:textId="0E72CF07" w:rsidR="004D14F0" w:rsidRPr="003D5B85" w:rsidRDefault="004D14F0" w:rsidP="004D14F0">
      <w:pPr>
        <w:spacing w:line="360" w:lineRule="auto"/>
        <w:rPr>
          <w:rFonts w:ascii="Book Antiqua" w:eastAsia="宋体" w:hAnsi="Book Antiqua" w:cs="Times New Roman"/>
          <w:b/>
          <w:color w:val="000000" w:themeColor="text1"/>
          <w:sz w:val="24"/>
          <w:szCs w:val="24"/>
        </w:rPr>
      </w:pPr>
      <w:r w:rsidRPr="003D5B85">
        <w:rPr>
          <w:rFonts w:ascii="Book Antiqua" w:eastAsia="宋体" w:hAnsi="Book Antiqua" w:cs="Times New Roman"/>
          <w:b/>
          <w:color w:val="000000" w:themeColor="text1"/>
          <w:sz w:val="24"/>
          <w:szCs w:val="24"/>
        </w:rPr>
        <w:lastRenderedPageBreak/>
        <w:t>Published online:</w:t>
      </w:r>
      <w:r w:rsidR="003D5B85" w:rsidRPr="003D5B85">
        <w:rPr>
          <w:rFonts w:ascii="Book Antiqua" w:eastAsia="宋体" w:hAnsi="Book Antiqua" w:cs="Times New Roman" w:hint="eastAsia"/>
          <w:b/>
          <w:color w:val="000000" w:themeColor="text1"/>
          <w:sz w:val="24"/>
          <w:szCs w:val="24"/>
        </w:rPr>
        <w:t xml:space="preserve"> </w:t>
      </w:r>
      <w:r w:rsidR="003D5B85" w:rsidRPr="003D5B85">
        <w:rPr>
          <w:rFonts w:ascii="Book Antiqua" w:eastAsia="宋体" w:hAnsi="Book Antiqua" w:cs="Times New Roman" w:hint="eastAsia"/>
          <w:color w:val="000000" w:themeColor="text1"/>
          <w:sz w:val="24"/>
          <w:szCs w:val="24"/>
        </w:rPr>
        <w:t>June</w:t>
      </w:r>
      <w:r w:rsidR="003D5B85" w:rsidRPr="003D5B85">
        <w:rPr>
          <w:rFonts w:ascii="Book Antiqua" w:eastAsia="宋体" w:hAnsi="Book Antiqua" w:cs="Times New Roman"/>
          <w:color w:val="000000" w:themeColor="text1"/>
          <w:sz w:val="24"/>
          <w:szCs w:val="24"/>
        </w:rPr>
        <w:t xml:space="preserve"> </w:t>
      </w:r>
      <w:r w:rsidR="003D5B85" w:rsidRPr="003D5B85">
        <w:rPr>
          <w:rFonts w:ascii="Book Antiqua" w:eastAsia="宋体" w:hAnsi="Book Antiqua" w:cs="Times New Roman" w:hint="eastAsia"/>
          <w:color w:val="000000" w:themeColor="text1"/>
          <w:sz w:val="24"/>
          <w:szCs w:val="24"/>
        </w:rPr>
        <w:t>7</w:t>
      </w:r>
      <w:r w:rsidR="003D5B85" w:rsidRPr="003D5B85">
        <w:rPr>
          <w:rFonts w:ascii="Book Antiqua" w:eastAsia="宋体" w:hAnsi="Book Antiqua" w:cs="Times New Roman"/>
          <w:color w:val="000000" w:themeColor="text1"/>
          <w:sz w:val="24"/>
          <w:szCs w:val="24"/>
        </w:rPr>
        <w:t>, 2019</w:t>
      </w:r>
    </w:p>
    <w:bookmarkEnd w:id="26"/>
    <w:bookmarkEnd w:id="27"/>
    <w:bookmarkEnd w:id="28"/>
    <w:bookmarkEnd w:id="29"/>
    <w:p w14:paraId="1AB945FF" w14:textId="77777777" w:rsidR="003D5B85" w:rsidRPr="003D5B85" w:rsidRDefault="003D5B85" w:rsidP="001C4059">
      <w:pPr>
        <w:spacing w:line="360" w:lineRule="auto"/>
        <w:rPr>
          <w:rFonts w:ascii="Book Antiqua" w:hAnsi="Book Antiqua" w:cs="Times New Roman"/>
          <w:b/>
          <w:color w:val="000000" w:themeColor="text1"/>
          <w:sz w:val="24"/>
          <w:szCs w:val="24"/>
        </w:rPr>
      </w:pPr>
    </w:p>
    <w:p w14:paraId="50BF0095" w14:textId="77777777" w:rsidR="003D5B85" w:rsidRPr="003D5B85" w:rsidRDefault="003D5B85" w:rsidP="001C4059">
      <w:pPr>
        <w:spacing w:line="360" w:lineRule="auto"/>
        <w:rPr>
          <w:rFonts w:ascii="Book Antiqua" w:hAnsi="Book Antiqua" w:cs="Times New Roman"/>
          <w:b/>
          <w:color w:val="000000" w:themeColor="text1"/>
          <w:sz w:val="24"/>
          <w:szCs w:val="24"/>
        </w:rPr>
      </w:pPr>
    </w:p>
    <w:p w14:paraId="1D20E66A" w14:textId="77777777" w:rsidR="002878A3" w:rsidRPr="003D5B85" w:rsidRDefault="002878A3" w:rsidP="001C4059">
      <w:pPr>
        <w:spacing w:line="360" w:lineRule="auto"/>
        <w:rPr>
          <w:rFonts w:ascii="Book Antiqua" w:hAnsi="Book Antiqua" w:cs="Times New Roman"/>
          <w:b/>
          <w:color w:val="000000" w:themeColor="text1"/>
          <w:sz w:val="24"/>
          <w:szCs w:val="24"/>
        </w:rPr>
      </w:pPr>
      <w:r w:rsidRPr="003D5B85">
        <w:rPr>
          <w:rFonts w:ascii="Book Antiqua" w:hAnsi="Book Antiqua" w:cs="Times New Roman"/>
          <w:b/>
          <w:color w:val="000000" w:themeColor="text1"/>
          <w:sz w:val="24"/>
          <w:szCs w:val="24"/>
        </w:rPr>
        <w:t>Abstract</w:t>
      </w:r>
    </w:p>
    <w:p w14:paraId="5844BA90" w14:textId="19842519" w:rsidR="00290F92" w:rsidRPr="003D5B85" w:rsidRDefault="00290F92" w:rsidP="001C4059">
      <w:pPr>
        <w:spacing w:line="360" w:lineRule="auto"/>
        <w:rPr>
          <w:rFonts w:ascii="Book Antiqua" w:hAnsi="Book Antiqua" w:cs="Times New Roman"/>
          <w:b/>
          <w:i/>
          <w:color w:val="000000" w:themeColor="text1"/>
          <w:sz w:val="24"/>
          <w:szCs w:val="24"/>
        </w:rPr>
      </w:pPr>
      <w:r w:rsidRPr="003D5B85">
        <w:rPr>
          <w:rFonts w:ascii="Book Antiqua" w:hAnsi="Book Antiqua" w:cs="Times New Roman"/>
          <w:b/>
          <w:i/>
          <w:color w:val="000000" w:themeColor="text1"/>
          <w:sz w:val="24"/>
          <w:szCs w:val="24"/>
        </w:rPr>
        <w:t>BACKGROUND</w:t>
      </w:r>
    </w:p>
    <w:p w14:paraId="6E5E16E4" w14:textId="1CC37DC5" w:rsidR="00B905B3" w:rsidRPr="003D5B85" w:rsidRDefault="00290F92" w:rsidP="001C4059">
      <w:pPr>
        <w:spacing w:line="360" w:lineRule="auto"/>
        <w:rPr>
          <w:rFonts w:ascii="Book Antiqua" w:hAnsi="Book Antiqua" w:cs="Times New Roman"/>
          <w:color w:val="000000" w:themeColor="text1"/>
          <w:sz w:val="24"/>
          <w:szCs w:val="24"/>
        </w:rPr>
      </w:pPr>
      <w:r w:rsidRPr="003D5B85">
        <w:rPr>
          <w:rFonts w:ascii="Book Antiqua" w:hAnsi="Book Antiqua" w:cs="Times New Roman"/>
          <w:color w:val="000000" w:themeColor="text1"/>
          <w:sz w:val="24"/>
          <w:szCs w:val="24"/>
        </w:rPr>
        <w:t xml:space="preserve">Several studies have explored the association between the use of proton pump inhibitors (PPIs) and the risk of developing hepatic encephalopathy (HE) in patients with advanced liver disease. However, the </w:t>
      </w:r>
      <w:r w:rsidRPr="003D5B85">
        <w:rPr>
          <w:rFonts w:ascii="Book Antiqua" w:hAnsi="Book Antiqua" w:cs="Times New Roman"/>
          <w:sz w:val="24"/>
          <w:szCs w:val="24"/>
        </w:rPr>
        <w:t>evidence</w:t>
      </w:r>
      <w:r w:rsidR="00B21FE9" w:rsidRPr="003D5B85">
        <w:rPr>
          <w:rFonts w:ascii="Book Antiqua" w:hAnsi="Book Antiqua" w:cs="Times New Roman"/>
          <w:sz w:val="24"/>
          <w:szCs w:val="24"/>
        </w:rPr>
        <w:t>-</w:t>
      </w:r>
      <w:r w:rsidRPr="003D5B85">
        <w:rPr>
          <w:rFonts w:ascii="Book Antiqua" w:hAnsi="Book Antiqua" w:cs="Times New Roman"/>
          <w:sz w:val="24"/>
          <w:szCs w:val="24"/>
        </w:rPr>
        <w:t xml:space="preserve">based </w:t>
      </w:r>
      <w:r w:rsidRPr="003D5B85">
        <w:rPr>
          <w:rFonts w:ascii="Book Antiqua" w:hAnsi="Book Antiqua" w:cs="Times New Roman"/>
          <w:color w:val="000000" w:themeColor="text1"/>
          <w:sz w:val="24"/>
          <w:szCs w:val="24"/>
        </w:rPr>
        <w:t>conclusions are controversial.</w:t>
      </w:r>
      <w:r w:rsidR="00CF68BF" w:rsidRPr="003D5B85">
        <w:rPr>
          <w:rFonts w:ascii="Book Antiqua" w:hAnsi="Book Antiqua"/>
          <w:color w:val="000000" w:themeColor="text1"/>
          <w:sz w:val="24"/>
          <w:szCs w:val="24"/>
        </w:rPr>
        <w:t xml:space="preserve"> </w:t>
      </w:r>
      <w:r w:rsidR="00CF68BF" w:rsidRPr="003D5B85">
        <w:rPr>
          <w:rFonts w:ascii="Book Antiqua" w:hAnsi="Book Antiqua" w:cs="Times New Roman"/>
          <w:color w:val="000000" w:themeColor="text1"/>
          <w:sz w:val="24"/>
          <w:szCs w:val="24"/>
        </w:rPr>
        <w:t>We hypothesize</w:t>
      </w:r>
      <w:r w:rsidR="0026736D" w:rsidRPr="003D5B85">
        <w:rPr>
          <w:rFonts w:ascii="Book Antiqua" w:hAnsi="Book Antiqua" w:cs="Times New Roman"/>
          <w:color w:val="000000" w:themeColor="text1"/>
          <w:sz w:val="24"/>
          <w:szCs w:val="24"/>
        </w:rPr>
        <w:t>d</w:t>
      </w:r>
      <w:r w:rsidR="00CF68BF" w:rsidRPr="003D5B85">
        <w:rPr>
          <w:rFonts w:ascii="Book Antiqua" w:hAnsi="Book Antiqua" w:cs="Times New Roman"/>
          <w:color w:val="000000" w:themeColor="text1"/>
          <w:sz w:val="24"/>
          <w:szCs w:val="24"/>
        </w:rPr>
        <w:t xml:space="preserve"> that</w:t>
      </w:r>
      <w:r w:rsidR="00D345FB" w:rsidRPr="003D5B85">
        <w:rPr>
          <w:rFonts w:ascii="Book Antiqua" w:hAnsi="Book Antiqua" w:cs="Times New Roman"/>
          <w:color w:val="000000" w:themeColor="text1"/>
          <w:sz w:val="24"/>
          <w:szCs w:val="24"/>
        </w:rPr>
        <w:t xml:space="preserve"> using PPIs may increase the risk of HE </w:t>
      </w:r>
      <w:r w:rsidR="003D23BD" w:rsidRPr="003D5B85">
        <w:rPr>
          <w:rFonts w:ascii="Book Antiqua" w:hAnsi="Book Antiqua" w:cs="Times New Roman"/>
          <w:color w:val="000000" w:themeColor="text1"/>
          <w:sz w:val="24"/>
          <w:szCs w:val="24"/>
        </w:rPr>
        <w:t>in patients with advanced liver disease</w:t>
      </w:r>
      <w:r w:rsidR="00CB0F18" w:rsidRPr="003D5B85">
        <w:rPr>
          <w:rFonts w:ascii="Book Antiqua" w:hAnsi="Book Antiqua" w:cs="Times New Roman"/>
          <w:color w:val="000000" w:themeColor="text1"/>
          <w:sz w:val="24"/>
          <w:szCs w:val="24"/>
        </w:rPr>
        <w:t xml:space="preserve">. </w:t>
      </w:r>
      <w:r w:rsidR="002759C9" w:rsidRPr="003D5B85">
        <w:rPr>
          <w:rFonts w:ascii="Book Antiqua" w:hAnsi="Book Antiqua" w:cs="Times New Roman"/>
          <w:color w:val="000000" w:themeColor="text1"/>
          <w:sz w:val="24"/>
          <w:szCs w:val="24"/>
        </w:rPr>
        <w:t>I</w:t>
      </w:r>
      <w:r w:rsidR="00CB0F18" w:rsidRPr="003D5B85">
        <w:rPr>
          <w:rFonts w:ascii="Book Antiqua" w:hAnsi="Book Antiqua" w:cs="Times New Roman"/>
          <w:color w:val="000000" w:themeColor="text1"/>
          <w:sz w:val="24"/>
          <w:szCs w:val="24"/>
        </w:rPr>
        <w:t>f confirmed,</w:t>
      </w:r>
      <w:r w:rsidR="001E6387" w:rsidRPr="003D5B85">
        <w:rPr>
          <w:rFonts w:ascii="Book Antiqua" w:hAnsi="Book Antiqua" w:cs="Times New Roman"/>
          <w:color w:val="000000" w:themeColor="text1"/>
          <w:sz w:val="24"/>
          <w:szCs w:val="24"/>
        </w:rPr>
        <w:t xml:space="preserve"> </w:t>
      </w:r>
      <w:r w:rsidR="00CB0F18" w:rsidRPr="003D5B85">
        <w:rPr>
          <w:rFonts w:ascii="Book Antiqua" w:hAnsi="Book Antiqua" w:cs="Times New Roman"/>
          <w:color w:val="000000" w:themeColor="text1"/>
          <w:sz w:val="24"/>
          <w:szCs w:val="24"/>
        </w:rPr>
        <w:t>clinician</w:t>
      </w:r>
      <w:r w:rsidR="001E6387" w:rsidRPr="003D5B85">
        <w:rPr>
          <w:rFonts w:ascii="Book Antiqua" w:hAnsi="Book Antiqua" w:cs="Times New Roman"/>
          <w:color w:val="000000" w:themeColor="text1"/>
          <w:sz w:val="24"/>
          <w:szCs w:val="24"/>
        </w:rPr>
        <w:t xml:space="preserve">s must </w:t>
      </w:r>
      <w:r w:rsidR="00CB0F18" w:rsidRPr="003D5B85">
        <w:rPr>
          <w:rFonts w:ascii="Book Antiqua" w:hAnsi="Book Antiqua" w:cs="Times New Roman"/>
          <w:color w:val="000000" w:themeColor="text1"/>
          <w:sz w:val="24"/>
          <w:szCs w:val="24"/>
        </w:rPr>
        <w:t xml:space="preserve">strictly adhere to the indications for PPI </w:t>
      </w:r>
      <w:r w:rsidR="001E6387" w:rsidRPr="003D5B85">
        <w:rPr>
          <w:rFonts w:ascii="Book Antiqua" w:hAnsi="Book Antiqua" w:cs="Times New Roman"/>
          <w:color w:val="000000" w:themeColor="text1"/>
          <w:sz w:val="24"/>
          <w:szCs w:val="24"/>
        </w:rPr>
        <w:t>treatment</w:t>
      </w:r>
      <w:r w:rsidR="00CB0F18" w:rsidRPr="003D5B85">
        <w:rPr>
          <w:rFonts w:ascii="Book Antiqua" w:hAnsi="Book Antiqua" w:cs="Times New Roman"/>
          <w:color w:val="000000" w:themeColor="text1"/>
          <w:sz w:val="24"/>
          <w:szCs w:val="24"/>
        </w:rPr>
        <w:t xml:space="preserve"> in </w:t>
      </w:r>
      <w:r w:rsidR="001E6387" w:rsidRPr="003D5B85">
        <w:rPr>
          <w:rFonts w:ascii="Book Antiqua" w:hAnsi="Book Antiqua" w:cs="Times New Roman"/>
          <w:color w:val="000000" w:themeColor="text1"/>
          <w:sz w:val="24"/>
          <w:szCs w:val="24"/>
        </w:rPr>
        <w:t>this population.</w:t>
      </w:r>
    </w:p>
    <w:p w14:paraId="6FF32E42" w14:textId="77777777" w:rsidR="00B94402" w:rsidRPr="003D5B85" w:rsidRDefault="00B94402" w:rsidP="001C4059">
      <w:pPr>
        <w:spacing w:line="360" w:lineRule="auto"/>
        <w:rPr>
          <w:rFonts w:ascii="Book Antiqua" w:hAnsi="Book Antiqua"/>
          <w:color w:val="000000" w:themeColor="text1"/>
          <w:sz w:val="24"/>
          <w:szCs w:val="24"/>
        </w:rPr>
      </w:pPr>
    </w:p>
    <w:p w14:paraId="6D3652AF" w14:textId="03B1E837" w:rsidR="00290F92" w:rsidRPr="003D5B85" w:rsidRDefault="00290F92" w:rsidP="001C4059">
      <w:pPr>
        <w:spacing w:line="360" w:lineRule="auto"/>
        <w:rPr>
          <w:rFonts w:ascii="Book Antiqua" w:hAnsi="Book Antiqua" w:cs="Times New Roman"/>
          <w:b/>
          <w:i/>
          <w:color w:val="000000" w:themeColor="text1"/>
          <w:sz w:val="24"/>
          <w:szCs w:val="24"/>
        </w:rPr>
      </w:pPr>
      <w:r w:rsidRPr="003D5B85">
        <w:rPr>
          <w:rFonts w:ascii="Book Antiqua" w:hAnsi="Book Antiqua" w:cs="Times New Roman"/>
          <w:b/>
          <w:i/>
          <w:color w:val="000000" w:themeColor="text1"/>
          <w:sz w:val="24"/>
          <w:szCs w:val="24"/>
        </w:rPr>
        <w:t>AIM</w:t>
      </w:r>
    </w:p>
    <w:p w14:paraId="5B26478B" w14:textId="5F429801" w:rsidR="00290F92" w:rsidRPr="003D5B85" w:rsidRDefault="00290F92" w:rsidP="001C4059">
      <w:pPr>
        <w:spacing w:line="360" w:lineRule="auto"/>
        <w:rPr>
          <w:rFonts w:ascii="Book Antiqua" w:hAnsi="Book Antiqua" w:cs="Times New Roman"/>
          <w:color w:val="000000" w:themeColor="text1"/>
          <w:sz w:val="24"/>
          <w:szCs w:val="24"/>
        </w:rPr>
      </w:pPr>
      <w:r w:rsidRPr="003D5B85">
        <w:rPr>
          <w:rFonts w:ascii="Book Antiqua" w:hAnsi="Book Antiqua" w:cs="Times New Roman"/>
          <w:color w:val="000000" w:themeColor="text1"/>
          <w:sz w:val="24"/>
          <w:szCs w:val="24"/>
        </w:rPr>
        <w:t>To evaluate the pooled risk of HE in patients with advanced liver disease who use PPIs.</w:t>
      </w:r>
    </w:p>
    <w:p w14:paraId="18CE4C49" w14:textId="77777777" w:rsidR="00B94402" w:rsidRPr="003D5B85" w:rsidRDefault="00B94402" w:rsidP="001C4059">
      <w:pPr>
        <w:spacing w:line="360" w:lineRule="auto"/>
        <w:rPr>
          <w:rFonts w:ascii="Book Antiqua" w:hAnsi="Book Antiqua" w:cs="Times New Roman"/>
          <w:color w:val="000000" w:themeColor="text1"/>
          <w:sz w:val="24"/>
          <w:szCs w:val="24"/>
        </w:rPr>
      </w:pPr>
    </w:p>
    <w:p w14:paraId="5E294006" w14:textId="3889CDF7" w:rsidR="00A33BF0" w:rsidRPr="003D5B85" w:rsidRDefault="00A33BF0" w:rsidP="001C4059">
      <w:pPr>
        <w:spacing w:line="360" w:lineRule="auto"/>
        <w:rPr>
          <w:rFonts w:ascii="Book Antiqua" w:hAnsi="Book Antiqua" w:cs="Times New Roman"/>
          <w:b/>
          <w:i/>
          <w:color w:val="000000" w:themeColor="text1"/>
          <w:sz w:val="24"/>
          <w:szCs w:val="24"/>
        </w:rPr>
      </w:pPr>
      <w:r w:rsidRPr="003D5B85">
        <w:rPr>
          <w:rFonts w:ascii="Book Antiqua" w:hAnsi="Book Antiqua" w:cs="Times New Roman"/>
          <w:b/>
          <w:i/>
          <w:color w:val="000000" w:themeColor="text1"/>
          <w:sz w:val="24"/>
          <w:szCs w:val="24"/>
        </w:rPr>
        <w:t>METHODS</w:t>
      </w:r>
    </w:p>
    <w:p w14:paraId="68BADD8E" w14:textId="12BC9DC6" w:rsidR="001E2560" w:rsidRPr="003D5B85" w:rsidRDefault="00F80C80" w:rsidP="001C4059">
      <w:pPr>
        <w:spacing w:line="360" w:lineRule="auto"/>
        <w:rPr>
          <w:rFonts w:ascii="Book Antiqua" w:hAnsi="Book Antiqua" w:cs="Times New Roman"/>
          <w:color w:val="000000" w:themeColor="text1"/>
          <w:sz w:val="24"/>
          <w:szCs w:val="24"/>
        </w:rPr>
      </w:pPr>
      <w:r w:rsidRPr="003D5B85">
        <w:rPr>
          <w:rFonts w:ascii="Book Antiqua" w:hAnsi="Book Antiqua" w:cs="Times New Roman"/>
          <w:color w:val="000000" w:themeColor="text1"/>
          <w:sz w:val="24"/>
          <w:szCs w:val="24"/>
        </w:rPr>
        <w:t>Three electronic databases</w:t>
      </w:r>
      <w:r w:rsidR="00B94402" w:rsidRPr="003D5B85">
        <w:rPr>
          <w:rFonts w:ascii="Book Antiqua" w:hAnsi="Book Antiqua" w:cs="Times New Roman"/>
          <w:color w:val="000000" w:themeColor="text1"/>
          <w:sz w:val="24"/>
          <w:szCs w:val="24"/>
        </w:rPr>
        <w:t xml:space="preserve"> </w:t>
      </w:r>
      <w:r w:rsidRPr="003D5B85">
        <w:rPr>
          <w:rFonts w:ascii="Book Antiqua" w:hAnsi="Book Antiqua" w:cs="Times New Roman"/>
          <w:color w:val="000000" w:themeColor="text1"/>
          <w:sz w:val="24"/>
          <w:szCs w:val="24"/>
        </w:rPr>
        <w:t>(</w:t>
      </w:r>
      <w:r w:rsidR="002878A3" w:rsidRPr="003D5B85">
        <w:rPr>
          <w:rFonts w:ascii="Book Antiqua" w:hAnsi="Book Antiqua" w:cs="Times New Roman"/>
          <w:color w:val="000000" w:themeColor="text1"/>
          <w:sz w:val="24"/>
          <w:szCs w:val="24"/>
        </w:rPr>
        <w:t>PubMed, EMBASE, and the Cochrane Library</w:t>
      </w:r>
      <w:r w:rsidRPr="003D5B85">
        <w:rPr>
          <w:rFonts w:ascii="Book Antiqua" w:hAnsi="Book Antiqua" w:cs="Times New Roman"/>
          <w:color w:val="000000" w:themeColor="text1"/>
          <w:sz w:val="24"/>
          <w:szCs w:val="24"/>
        </w:rPr>
        <w:t>)</w:t>
      </w:r>
      <w:r w:rsidR="00B94402" w:rsidRPr="003D5B85">
        <w:rPr>
          <w:rFonts w:ascii="Book Antiqua" w:hAnsi="Book Antiqua" w:cs="Times New Roman"/>
          <w:color w:val="000000" w:themeColor="text1"/>
          <w:sz w:val="24"/>
          <w:szCs w:val="24"/>
        </w:rPr>
        <w:t xml:space="preserve"> </w:t>
      </w:r>
      <w:r w:rsidR="000059D2" w:rsidRPr="003D5B85">
        <w:rPr>
          <w:rFonts w:ascii="Book Antiqua" w:hAnsi="Book Antiqua" w:cs="Times New Roman"/>
          <w:color w:val="000000" w:themeColor="text1"/>
          <w:sz w:val="24"/>
          <w:szCs w:val="24"/>
        </w:rPr>
        <w:t>were searched</w:t>
      </w:r>
      <w:r w:rsidR="002878A3" w:rsidRPr="003D5B85">
        <w:rPr>
          <w:rFonts w:ascii="Book Antiqua" w:hAnsi="Book Antiqua" w:cs="Times New Roman"/>
          <w:color w:val="000000" w:themeColor="text1"/>
          <w:sz w:val="24"/>
          <w:szCs w:val="24"/>
        </w:rPr>
        <w:t xml:space="preserve"> from the date of database inception through January 8, 2019 to identify comparative studies evaluating the association between PPI use and the risk of </w:t>
      </w:r>
      <w:proofErr w:type="gramStart"/>
      <w:r w:rsidR="002878A3" w:rsidRPr="003D5B85">
        <w:rPr>
          <w:rFonts w:ascii="Book Antiqua" w:hAnsi="Book Antiqua" w:cs="Times New Roman"/>
          <w:color w:val="000000" w:themeColor="text1"/>
          <w:sz w:val="24"/>
          <w:szCs w:val="24"/>
        </w:rPr>
        <w:t>HE</w:t>
      </w:r>
      <w:proofErr w:type="gramEnd"/>
      <w:r w:rsidR="002878A3" w:rsidRPr="003D5B85">
        <w:rPr>
          <w:rFonts w:ascii="Book Antiqua" w:hAnsi="Book Antiqua" w:cs="Times New Roman"/>
          <w:color w:val="000000" w:themeColor="text1"/>
          <w:sz w:val="24"/>
          <w:szCs w:val="24"/>
        </w:rPr>
        <w:t>.</w:t>
      </w:r>
      <w:r w:rsidR="002878A3" w:rsidRPr="003D5B85">
        <w:rPr>
          <w:rFonts w:ascii="Book Antiqua" w:hAnsi="Book Antiqua"/>
          <w:color w:val="000000" w:themeColor="text1"/>
          <w:sz w:val="24"/>
          <w:szCs w:val="24"/>
        </w:rPr>
        <w:t xml:space="preserve"> </w:t>
      </w:r>
      <w:r w:rsidR="002878A3" w:rsidRPr="003D5B85">
        <w:rPr>
          <w:rFonts w:ascii="Book Antiqua" w:hAnsi="Book Antiqua" w:cs="Times New Roman"/>
          <w:color w:val="000000" w:themeColor="text1"/>
          <w:sz w:val="24"/>
          <w:szCs w:val="24"/>
        </w:rPr>
        <w:t xml:space="preserve">Data from </w:t>
      </w:r>
      <w:r w:rsidR="002878A3" w:rsidRPr="003D5B85">
        <w:rPr>
          <w:rFonts w:ascii="Book Antiqua" w:eastAsia="等线" w:hAnsi="Book Antiqua" w:cs="Times New Roman"/>
          <w:color w:val="000000" w:themeColor="text1"/>
          <w:sz w:val="24"/>
          <w:szCs w:val="24"/>
        </w:rPr>
        <w:t xml:space="preserve">the </w:t>
      </w:r>
      <w:r w:rsidR="002878A3" w:rsidRPr="003D5B85">
        <w:rPr>
          <w:rFonts w:ascii="Book Antiqua" w:hAnsi="Book Antiqua" w:cs="Times New Roman"/>
          <w:color w:val="000000" w:themeColor="text1"/>
          <w:sz w:val="24"/>
          <w:szCs w:val="24"/>
        </w:rPr>
        <w:t xml:space="preserve">included studies were extracted. </w:t>
      </w:r>
      <w:r w:rsidR="00601B40" w:rsidRPr="003D5B85">
        <w:rPr>
          <w:rFonts w:ascii="Book Antiqua" w:hAnsi="Book Antiqua" w:cs="Times New Roman"/>
          <w:color w:val="000000" w:themeColor="text1"/>
          <w:sz w:val="24"/>
          <w:szCs w:val="24"/>
        </w:rPr>
        <w:t>The random-effects model was used for pooling risk estimates and the corresponding 95% confidence intervals (CIs).</w:t>
      </w:r>
      <w:r w:rsidR="002878A3" w:rsidRPr="003D5B85">
        <w:rPr>
          <w:rFonts w:ascii="Book Antiqua" w:hAnsi="Book Antiqua" w:cs="Times New Roman"/>
          <w:color w:val="000000" w:themeColor="text1"/>
          <w:sz w:val="24"/>
          <w:szCs w:val="24"/>
        </w:rPr>
        <w:t xml:space="preserve"> Subgroup</w:t>
      </w:r>
      <w:r w:rsidR="0026736D" w:rsidRPr="003D5B85">
        <w:rPr>
          <w:rFonts w:ascii="Book Antiqua" w:hAnsi="Book Antiqua" w:cs="Times New Roman"/>
          <w:color w:val="000000" w:themeColor="text1"/>
          <w:sz w:val="24"/>
          <w:szCs w:val="24"/>
        </w:rPr>
        <w:t xml:space="preserve"> </w:t>
      </w:r>
      <w:r w:rsidR="002878A3" w:rsidRPr="003D5B85">
        <w:rPr>
          <w:rFonts w:ascii="Book Antiqua" w:hAnsi="Book Antiqua" w:cs="Times New Roman"/>
          <w:color w:val="000000" w:themeColor="text1"/>
          <w:sz w:val="24"/>
          <w:szCs w:val="24"/>
        </w:rPr>
        <w:t xml:space="preserve">and sensitivity analyses were </w:t>
      </w:r>
      <w:r w:rsidR="00E50C04" w:rsidRPr="003D5B85">
        <w:rPr>
          <w:rFonts w:ascii="Book Antiqua" w:hAnsi="Book Antiqua" w:cs="Times New Roman"/>
          <w:color w:val="000000" w:themeColor="text1"/>
          <w:sz w:val="24"/>
          <w:szCs w:val="24"/>
        </w:rPr>
        <w:t xml:space="preserve">also </w:t>
      </w:r>
      <w:r w:rsidR="002878A3" w:rsidRPr="003D5B85">
        <w:rPr>
          <w:rFonts w:ascii="Book Antiqua" w:hAnsi="Book Antiqua" w:cs="Times New Roman"/>
          <w:color w:val="000000" w:themeColor="text1"/>
          <w:sz w:val="24"/>
          <w:szCs w:val="24"/>
        </w:rPr>
        <w:t>performed.</w:t>
      </w:r>
    </w:p>
    <w:p w14:paraId="4A2E940B" w14:textId="77777777" w:rsidR="00B94402" w:rsidRPr="003D5B85" w:rsidRDefault="00B94402" w:rsidP="001C4059">
      <w:pPr>
        <w:spacing w:line="360" w:lineRule="auto"/>
        <w:rPr>
          <w:rFonts w:ascii="Book Antiqua" w:hAnsi="Book Antiqua" w:cs="Times New Roman"/>
          <w:color w:val="000000" w:themeColor="text1"/>
          <w:sz w:val="24"/>
          <w:szCs w:val="24"/>
        </w:rPr>
      </w:pPr>
    </w:p>
    <w:p w14:paraId="51A98A86" w14:textId="7716E7CE" w:rsidR="00A33BF0" w:rsidRPr="003D5B85" w:rsidRDefault="00A33BF0" w:rsidP="001C4059">
      <w:pPr>
        <w:spacing w:line="360" w:lineRule="auto"/>
        <w:rPr>
          <w:rFonts w:ascii="Book Antiqua" w:hAnsi="Book Antiqua" w:cs="Times New Roman"/>
          <w:b/>
          <w:i/>
          <w:color w:val="000000" w:themeColor="text1"/>
          <w:sz w:val="24"/>
          <w:szCs w:val="24"/>
        </w:rPr>
      </w:pPr>
      <w:r w:rsidRPr="003D5B85">
        <w:rPr>
          <w:rFonts w:ascii="Book Antiqua" w:hAnsi="Book Antiqua" w:cs="Times New Roman"/>
          <w:b/>
          <w:i/>
          <w:color w:val="000000" w:themeColor="text1"/>
          <w:sz w:val="24"/>
          <w:szCs w:val="24"/>
        </w:rPr>
        <w:t>RESULTS</w:t>
      </w:r>
    </w:p>
    <w:p w14:paraId="503CEB22" w14:textId="69882241" w:rsidR="002878A3" w:rsidRPr="003D5B85" w:rsidRDefault="002878A3" w:rsidP="001C4059">
      <w:pPr>
        <w:spacing w:line="360" w:lineRule="auto"/>
        <w:rPr>
          <w:rFonts w:ascii="Book Antiqua" w:hAnsi="Book Antiqua" w:cs="Times New Roman"/>
          <w:color w:val="000000" w:themeColor="text1"/>
          <w:sz w:val="24"/>
          <w:szCs w:val="24"/>
        </w:rPr>
      </w:pPr>
      <w:r w:rsidRPr="003D5B85">
        <w:rPr>
          <w:rFonts w:ascii="Book Antiqua" w:eastAsia="等线" w:hAnsi="Book Antiqua" w:cs="Times New Roman"/>
          <w:color w:val="000000" w:themeColor="text1"/>
          <w:sz w:val="24"/>
          <w:szCs w:val="24"/>
        </w:rPr>
        <w:t>In total,</w:t>
      </w:r>
      <w:r w:rsidRPr="003D5B85">
        <w:rPr>
          <w:rFonts w:ascii="Book Antiqua" w:eastAsia="等线" w:hAnsi="Book Antiqua" w:cs="Times New Roman"/>
          <w:b/>
          <w:color w:val="000000" w:themeColor="text1"/>
          <w:sz w:val="24"/>
          <w:szCs w:val="24"/>
        </w:rPr>
        <w:t xml:space="preserve"> </w:t>
      </w:r>
      <w:r w:rsidRPr="003D5B85">
        <w:rPr>
          <w:rFonts w:ascii="Book Antiqua" w:hAnsi="Book Antiqua" w:cs="Times New Roman"/>
          <w:color w:val="000000" w:themeColor="text1"/>
          <w:sz w:val="24"/>
          <w:szCs w:val="24"/>
        </w:rPr>
        <w:t xml:space="preserve">4342 patients from five case-control studies and 188053 patients from four cohort studies were included in this analysis. In patients with advanced liver disease, PPI use was associated with an elevated risk of developing </w:t>
      </w:r>
      <w:proofErr w:type="gramStart"/>
      <w:r w:rsidRPr="003D5B85">
        <w:rPr>
          <w:rFonts w:ascii="Book Antiqua" w:hAnsi="Book Antiqua" w:cs="Times New Roman"/>
          <w:color w:val="000000" w:themeColor="text1"/>
          <w:sz w:val="24"/>
          <w:szCs w:val="24"/>
        </w:rPr>
        <w:t>HE</w:t>
      </w:r>
      <w:proofErr w:type="gramEnd"/>
      <w:r w:rsidRPr="003D5B85">
        <w:rPr>
          <w:rFonts w:ascii="Book Antiqua" w:hAnsi="Book Antiqua" w:cs="Times New Roman"/>
          <w:color w:val="000000" w:themeColor="text1"/>
          <w:sz w:val="24"/>
          <w:szCs w:val="24"/>
        </w:rPr>
        <w:t xml:space="preserve">, with significant heterogeneity. </w:t>
      </w:r>
      <w:r w:rsidRPr="003D5B85">
        <w:rPr>
          <w:rFonts w:ascii="Book Antiqua" w:eastAsia="等线" w:hAnsi="Book Antiqua" w:cs="Times New Roman"/>
          <w:color w:val="000000" w:themeColor="text1"/>
          <w:sz w:val="24"/>
          <w:szCs w:val="24"/>
        </w:rPr>
        <w:t>The pooled</w:t>
      </w:r>
      <w:r w:rsidRPr="003D5B85">
        <w:rPr>
          <w:rFonts w:ascii="Book Antiqua" w:hAnsi="Book Antiqua" w:cs="Times New Roman"/>
          <w:color w:val="000000" w:themeColor="text1"/>
          <w:sz w:val="24"/>
          <w:szCs w:val="24"/>
        </w:rPr>
        <w:t xml:space="preserve"> </w:t>
      </w:r>
      <w:r w:rsidR="00B94402" w:rsidRPr="003D5B85">
        <w:rPr>
          <w:rFonts w:ascii="Book Antiqua" w:hAnsi="Book Antiqua"/>
          <w:color w:val="000000" w:themeColor="text1"/>
          <w:sz w:val="24"/>
          <w:szCs w:val="24"/>
        </w:rPr>
        <w:t>odds ratio</w:t>
      </w:r>
      <w:r w:rsidRPr="003D5B85">
        <w:rPr>
          <w:rFonts w:ascii="Book Antiqua" w:hAnsi="Book Antiqua" w:cs="Times New Roman"/>
          <w:color w:val="000000" w:themeColor="text1"/>
          <w:sz w:val="24"/>
          <w:szCs w:val="24"/>
        </w:rPr>
        <w:t xml:space="preserve"> for case-control studies was </w:t>
      </w:r>
      <w:r w:rsidRPr="003D5B85">
        <w:rPr>
          <w:rFonts w:ascii="Book Antiqua" w:hAnsi="Book Antiqua" w:cs="Times New Roman"/>
          <w:color w:val="000000" w:themeColor="text1"/>
          <w:sz w:val="24"/>
          <w:szCs w:val="24"/>
        </w:rPr>
        <w:lastRenderedPageBreak/>
        <w:t>2.58</w:t>
      </w:r>
      <w:r w:rsidR="0026736D" w:rsidRPr="003D5B85">
        <w:rPr>
          <w:rFonts w:ascii="Book Antiqua" w:hAnsi="Book Antiqua" w:cs="Times New Roman"/>
          <w:color w:val="000000" w:themeColor="text1"/>
          <w:sz w:val="24"/>
          <w:szCs w:val="24"/>
        </w:rPr>
        <w:t xml:space="preserve"> (</w:t>
      </w:r>
      <w:r w:rsidRPr="003D5B85">
        <w:rPr>
          <w:rFonts w:ascii="Book Antiqua" w:hAnsi="Book Antiqua" w:cs="Times New Roman"/>
          <w:color w:val="000000" w:themeColor="text1"/>
          <w:sz w:val="24"/>
          <w:szCs w:val="24"/>
        </w:rPr>
        <w:t>95%CI</w:t>
      </w:r>
      <w:r w:rsidR="0026736D" w:rsidRPr="003D5B85">
        <w:rPr>
          <w:rFonts w:ascii="Book Antiqua" w:hAnsi="Book Antiqua" w:cs="Times New Roman"/>
          <w:color w:val="000000" w:themeColor="text1"/>
          <w:sz w:val="24"/>
          <w:szCs w:val="24"/>
        </w:rPr>
        <w:t>:</w:t>
      </w:r>
      <w:r w:rsidRPr="003D5B85">
        <w:rPr>
          <w:rFonts w:ascii="Book Antiqua" w:hAnsi="Book Antiqua" w:cs="Times New Roman"/>
          <w:color w:val="000000" w:themeColor="text1"/>
          <w:sz w:val="24"/>
          <w:szCs w:val="24"/>
        </w:rPr>
        <w:t xml:space="preserve"> 1.68</w:t>
      </w:r>
      <w:r w:rsidR="00B94402" w:rsidRPr="003D5B85">
        <w:rPr>
          <w:rFonts w:ascii="Book Antiqua" w:hAnsi="Book Antiqua" w:cs="Times New Roman" w:hint="eastAsia"/>
          <w:color w:val="000000" w:themeColor="text1"/>
          <w:sz w:val="24"/>
          <w:szCs w:val="24"/>
        </w:rPr>
        <w:t>-</w:t>
      </w:r>
      <w:r w:rsidRPr="003D5B85">
        <w:rPr>
          <w:rFonts w:ascii="Book Antiqua" w:hAnsi="Book Antiqua" w:cs="Times New Roman"/>
          <w:color w:val="000000" w:themeColor="text1"/>
          <w:sz w:val="24"/>
          <w:szCs w:val="24"/>
        </w:rPr>
        <w:t xml:space="preserve">3.94, </w:t>
      </w:r>
      <w:r w:rsidRPr="003D5B85">
        <w:rPr>
          <w:rFonts w:ascii="Book Antiqua" w:hAnsi="Book Antiqua" w:cs="Times New Roman"/>
          <w:i/>
          <w:color w:val="000000" w:themeColor="text1"/>
          <w:sz w:val="24"/>
          <w:szCs w:val="24"/>
        </w:rPr>
        <w:t>I</w:t>
      </w:r>
      <w:r w:rsidRPr="003D5B85">
        <w:rPr>
          <w:rFonts w:ascii="Book Antiqua" w:hAnsi="Book Antiqua" w:cs="Times New Roman"/>
          <w:i/>
          <w:color w:val="000000" w:themeColor="text1"/>
          <w:sz w:val="24"/>
          <w:szCs w:val="24"/>
          <w:vertAlign w:val="superscript"/>
        </w:rPr>
        <w:t>2</w:t>
      </w:r>
      <w:r w:rsidR="00B94402" w:rsidRPr="003D5B85">
        <w:rPr>
          <w:rFonts w:ascii="Book Antiqua" w:hAnsi="Book Antiqua" w:cs="Times New Roman"/>
          <w:color w:val="000000" w:themeColor="text1"/>
          <w:sz w:val="24"/>
          <w:szCs w:val="24"/>
        </w:rPr>
        <w:t xml:space="preserve"> </w:t>
      </w:r>
      <w:r w:rsidRPr="003D5B85">
        <w:rPr>
          <w:rFonts w:ascii="Book Antiqua" w:hAnsi="Book Antiqua" w:cs="Times New Roman"/>
          <w:color w:val="000000" w:themeColor="text1"/>
          <w:sz w:val="24"/>
          <w:szCs w:val="24"/>
        </w:rPr>
        <w:t>=</w:t>
      </w:r>
      <w:r w:rsidR="00B94402" w:rsidRPr="003D5B85">
        <w:rPr>
          <w:rFonts w:ascii="Book Antiqua" w:hAnsi="Book Antiqua" w:cs="Times New Roman"/>
          <w:color w:val="000000" w:themeColor="text1"/>
          <w:sz w:val="24"/>
          <w:szCs w:val="24"/>
        </w:rPr>
        <w:t xml:space="preserve"> </w:t>
      </w:r>
      <w:r w:rsidRPr="003D5B85">
        <w:rPr>
          <w:rFonts w:ascii="Book Antiqua" w:hAnsi="Book Antiqua" w:cs="Times New Roman"/>
          <w:color w:val="000000" w:themeColor="text1"/>
          <w:sz w:val="24"/>
          <w:szCs w:val="24"/>
        </w:rPr>
        <w:t>72%</w:t>
      </w:r>
      <w:r w:rsidR="0026736D" w:rsidRPr="003D5B85">
        <w:rPr>
          <w:rFonts w:ascii="Book Antiqua" w:hAnsi="Book Antiqua" w:cs="Times New Roman"/>
          <w:color w:val="000000" w:themeColor="text1"/>
          <w:sz w:val="24"/>
          <w:szCs w:val="24"/>
        </w:rPr>
        <w:t>)</w:t>
      </w:r>
      <w:r w:rsidRPr="003D5B85">
        <w:rPr>
          <w:rFonts w:ascii="Book Antiqua" w:hAnsi="Book Antiqua" w:cs="Times New Roman"/>
          <w:color w:val="000000" w:themeColor="text1"/>
          <w:sz w:val="24"/>
          <w:szCs w:val="24"/>
        </w:rPr>
        <w:t>.</w:t>
      </w:r>
      <w:r w:rsidRPr="003D5B85">
        <w:rPr>
          <w:rFonts w:ascii="Book Antiqua" w:eastAsia="等线" w:hAnsi="Book Antiqua" w:cs="Times New Roman"/>
          <w:color w:val="000000" w:themeColor="text1"/>
          <w:sz w:val="24"/>
          <w:szCs w:val="24"/>
        </w:rPr>
        <w:t xml:space="preserve"> The pooled</w:t>
      </w:r>
      <w:r w:rsidRPr="003D5B85">
        <w:rPr>
          <w:rFonts w:ascii="Book Antiqua" w:hAnsi="Book Antiqua" w:cs="Times New Roman"/>
          <w:color w:val="000000" w:themeColor="text1"/>
          <w:sz w:val="24"/>
          <w:szCs w:val="24"/>
        </w:rPr>
        <w:t xml:space="preserve"> RR for cohort studies was 1.67</w:t>
      </w:r>
      <w:r w:rsidR="0026736D" w:rsidRPr="003D5B85">
        <w:rPr>
          <w:rFonts w:ascii="Book Antiqua" w:hAnsi="Book Antiqua" w:cs="Times New Roman"/>
          <w:color w:val="000000" w:themeColor="text1"/>
          <w:sz w:val="24"/>
          <w:szCs w:val="24"/>
        </w:rPr>
        <w:t xml:space="preserve"> (</w:t>
      </w:r>
      <w:r w:rsidRPr="003D5B85">
        <w:rPr>
          <w:rFonts w:ascii="Book Antiqua" w:hAnsi="Book Antiqua" w:cs="Times New Roman"/>
          <w:color w:val="000000" w:themeColor="text1"/>
          <w:sz w:val="24"/>
          <w:szCs w:val="24"/>
        </w:rPr>
        <w:t>95%CI</w:t>
      </w:r>
      <w:r w:rsidR="0026736D" w:rsidRPr="003D5B85">
        <w:rPr>
          <w:rFonts w:ascii="Book Antiqua" w:hAnsi="Book Antiqua" w:cs="Times New Roman"/>
          <w:color w:val="000000" w:themeColor="text1"/>
          <w:sz w:val="24"/>
          <w:szCs w:val="24"/>
        </w:rPr>
        <w:t>:</w:t>
      </w:r>
      <w:r w:rsidRPr="003D5B85">
        <w:rPr>
          <w:rFonts w:ascii="Book Antiqua" w:hAnsi="Book Antiqua" w:cs="Times New Roman"/>
          <w:color w:val="000000" w:themeColor="text1"/>
          <w:sz w:val="24"/>
          <w:szCs w:val="24"/>
        </w:rPr>
        <w:t xml:space="preserve"> 1.30</w:t>
      </w:r>
      <w:r w:rsidR="00B94402" w:rsidRPr="003D5B85">
        <w:rPr>
          <w:rFonts w:ascii="Book Antiqua" w:hAnsi="Book Antiqua" w:cs="Times New Roman" w:hint="eastAsia"/>
          <w:color w:val="000000" w:themeColor="text1"/>
          <w:sz w:val="24"/>
          <w:szCs w:val="24"/>
        </w:rPr>
        <w:t>-</w:t>
      </w:r>
      <w:r w:rsidRPr="003D5B85">
        <w:rPr>
          <w:rFonts w:ascii="Book Antiqua" w:hAnsi="Book Antiqua" w:cs="Times New Roman"/>
          <w:color w:val="000000" w:themeColor="text1"/>
          <w:sz w:val="24"/>
          <w:szCs w:val="24"/>
        </w:rPr>
        <w:t xml:space="preserve">2.14, </w:t>
      </w:r>
      <w:r w:rsidRPr="003D5B85">
        <w:rPr>
          <w:rFonts w:ascii="Book Antiqua" w:hAnsi="Book Antiqua" w:cs="Times New Roman"/>
          <w:i/>
          <w:color w:val="000000" w:themeColor="text1"/>
          <w:sz w:val="24"/>
          <w:szCs w:val="24"/>
        </w:rPr>
        <w:t>I</w:t>
      </w:r>
      <w:r w:rsidRPr="003D5B85">
        <w:rPr>
          <w:rFonts w:ascii="Book Antiqua" w:hAnsi="Book Antiqua" w:cs="Times New Roman"/>
          <w:i/>
          <w:color w:val="000000" w:themeColor="text1"/>
          <w:sz w:val="24"/>
          <w:szCs w:val="24"/>
          <w:vertAlign w:val="superscript"/>
        </w:rPr>
        <w:t>2</w:t>
      </w:r>
      <w:r w:rsidR="00B94402" w:rsidRPr="003D5B85">
        <w:rPr>
          <w:rFonts w:ascii="Book Antiqua" w:hAnsi="Book Antiqua" w:cs="Times New Roman"/>
          <w:color w:val="000000" w:themeColor="text1"/>
          <w:sz w:val="24"/>
          <w:szCs w:val="24"/>
        </w:rPr>
        <w:t xml:space="preserve"> </w:t>
      </w:r>
      <w:r w:rsidRPr="003D5B85">
        <w:rPr>
          <w:rFonts w:ascii="Book Antiqua" w:hAnsi="Book Antiqua" w:cs="Times New Roman"/>
          <w:color w:val="000000" w:themeColor="text1"/>
          <w:sz w:val="24"/>
          <w:szCs w:val="24"/>
        </w:rPr>
        <w:t>=</w:t>
      </w:r>
      <w:r w:rsidR="00B94402" w:rsidRPr="003D5B85">
        <w:rPr>
          <w:rFonts w:ascii="Book Antiqua" w:hAnsi="Book Antiqua" w:cs="Times New Roman"/>
          <w:color w:val="000000" w:themeColor="text1"/>
          <w:sz w:val="24"/>
          <w:szCs w:val="24"/>
        </w:rPr>
        <w:t xml:space="preserve"> </w:t>
      </w:r>
      <w:r w:rsidRPr="003D5B85">
        <w:rPr>
          <w:rFonts w:ascii="Book Antiqua" w:hAnsi="Book Antiqua" w:cs="Times New Roman"/>
          <w:color w:val="000000" w:themeColor="text1"/>
          <w:sz w:val="24"/>
          <w:szCs w:val="24"/>
        </w:rPr>
        <w:t>67%</w:t>
      </w:r>
      <w:r w:rsidR="0026736D" w:rsidRPr="003D5B85">
        <w:rPr>
          <w:rFonts w:ascii="Book Antiqua" w:hAnsi="Book Antiqua" w:cs="Times New Roman"/>
          <w:color w:val="000000" w:themeColor="text1"/>
          <w:sz w:val="24"/>
          <w:szCs w:val="24"/>
        </w:rPr>
        <w:t>)</w:t>
      </w:r>
      <w:r w:rsidRPr="003D5B85">
        <w:rPr>
          <w:rFonts w:ascii="Book Antiqua" w:hAnsi="Book Antiqua" w:cs="Times New Roman"/>
          <w:color w:val="000000" w:themeColor="text1"/>
          <w:sz w:val="24"/>
          <w:szCs w:val="24"/>
        </w:rPr>
        <w:t>.</w:t>
      </w:r>
      <w:r w:rsidRPr="003D5B85">
        <w:rPr>
          <w:rFonts w:ascii="Book Antiqua" w:hAnsi="Book Antiqua"/>
          <w:color w:val="000000" w:themeColor="text1"/>
          <w:sz w:val="24"/>
          <w:szCs w:val="24"/>
        </w:rPr>
        <w:t xml:space="preserve"> </w:t>
      </w:r>
      <w:r w:rsidRPr="003D5B85">
        <w:rPr>
          <w:rFonts w:ascii="Book Antiqua" w:eastAsia="等线" w:hAnsi="Book Antiqua" w:cs="Times New Roman"/>
          <w:color w:val="000000" w:themeColor="text1"/>
          <w:kern w:val="0"/>
          <w:sz w:val="24"/>
          <w:szCs w:val="24"/>
        </w:rPr>
        <w:t>The results of the subgroup analyses suggested that the heterogeneity may be the result of differences in the study designs and the definitions of PPI use.</w:t>
      </w:r>
      <w:r w:rsidRPr="003D5B85">
        <w:rPr>
          <w:rFonts w:ascii="Book Antiqua" w:hAnsi="Book Antiqua" w:cs="Times New Roman"/>
          <w:color w:val="000000" w:themeColor="text1"/>
          <w:sz w:val="24"/>
          <w:szCs w:val="24"/>
        </w:rPr>
        <w:t xml:space="preserve"> The sensitivity</w:t>
      </w:r>
      <w:r w:rsidR="0026736D" w:rsidRPr="003D5B85">
        <w:rPr>
          <w:rFonts w:ascii="Book Antiqua" w:hAnsi="Book Antiqua" w:cs="Times New Roman"/>
          <w:color w:val="000000" w:themeColor="text1"/>
          <w:sz w:val="24"/>
          <w:szCs w:val="24"/>
        </w:rPr>
        <w:t xml:space="preserve"> </w:t>
      </w:r>
      <w:r w:rsidRPr="003D5B85">
        <w:rPr>
          <w:rFonts w:ascii="Book Antiqua" w:hAnsi="Book Antiqua" w:cs="Times New Roman"/>
          <w:color w:val="000000" w:themeColor="text1"/>
          <w:sz w:val="24"/>
          <w:szCs w:val="24"/>
        </w:rPr>
        <w:t>and subgroup analyses did not alter our findings.</w:t>
      </w:r>
    </w:p>
    <w:p w14:paraId="6EFD96CC" w14:textId="77777777" w:rsidR="00B94402" w:rsidRPr="003D5B85" w:rsidRDefault="00B94402" w:rsidP="001C4059">
      <w:pPr>
        <w:spacing w:line="360" w:lineRule="auto"/>
        <w:rPr>
          <w:rFonts w:ascii="Book Antiqua" w:hAnsi="Book Antiqua" w:cs="Times New Roman"/>
          <w:color w:val="000000" w:themeColor="text1"/>
          <w:sz w:val="24"/>
          <w:szCs w:val="24"/>
        </w:rPr>
      </w:pPr>
    </w:p>
    <w:p w14:paraId="763719A9" w14:textId="44C7BA01" w:rsidR="00A33BF0" w:rsidRPr="003D5B85" w:rsidRDefault="00A33BF0" w:rsidP="001C4059">
      <w:pPr>
        <w:spacing w:line="360" w:lineRule="auto"/>
        <w:rPr>
          <w:rFonts w:ascii="Book Antiqua" w:hAnsi="Book Antiqua" w:cs="Times New Roman"/>
          <w:b/>
          <w:i/>
          <w:color w:val="000000" w:themeColor="text1"/>
          <w:sz w:val="24"/>
          <w:szCs w:val="24"/>
        </w:rPr>
      </w:pPr>
      <w:r w:rsidRPr="003D5B85">
        <w:rPr>
          <w:rFonts w:ascii="Book Antiqua" w:hAnsi="Book Antiqua" w:cs="Times New Roman"/>
          <w:b/>
          <w:i/>
          <w:color w:val="000000" w:themeColor="text1"/>
          <w:sz w:val="24"/>
          <w:szCs w:val="24"/>
        </w:rPr>
        <w:t>CONCLUSION</w:t>
      </w:r>
    </w:p>
    <w:p w14:paraId="4C154D4B" w14:textId="269712A6" w:rsidR="002878A3" w:rsidRPr="003D5B85" w:rsidRDefault="002878A3" w:rsidP="001C4059">
      <w:pPr>
        <w:spacing w:line="360" w:lineRule="auto"/>
        <w:rPr>
          <w:rFonts w:ascii="Book Antiqua" w:hAnsi="Book Antiqua" w:cs="Times New Roman"/>
          <w:color w:val="000000" w:themeColor="text1"/>
          <w:sz w:val="24"/>
          <w:szCs w:val="24"/>
        </w:rPr>
      </w:pPr>
      <w:r w:rsidRPr="003D5B85">
        <w:rPr>
          <w:rFonts w:ascii="Book Antiqua" w:hAnsi="Book Antiqua" w:cs="Times New Roman"/>
          <w:color w:val="000000" w:themeColor="text1"/>
          <w:sz w:val="24"/>
          <w:szCs w:val="24"/>
        </w:rPr>
        <w:t xml:space="preserve">In patients with advanced liver disease, PPI use </w:t>
      </w:r>
      <w:r w:rsidRPr="003D5B85">
        <w:rPr>
          <w:rFonts w:ascii="Book Antiqua" w:eastAsia="等线" w:hAnsi="Book Antiqua" w:cs="Times New Roman"/>
          <w:color w:val="000000" w:themeColor="text1"/>
          <w:sz w:val="24"/>
          <w:szCs w:val="24"/>
        </w:rPr>
        <w:t>is</w:t>
      </w:r>
      <w:r w:rsidRPr="003D5B85">
        <w:rPr>
          <w:rFonts w:ascii="Book Antiqua" w:hAnsi="Book Antiqua" w:cs="Times New Roman"/>
          <w:color w:val="000000" w:themeColor="text1"/>
          <w:sz w:val="24"/>
          <w:szCs w:val="24"/>
        </w:rPr>
        <w:t xml:space="preserve"> associated with an elevated risk of </w:t>
      </w:r>
      <w:proofErr w:type="gramStart"/>
      <w:r w:rsidRPr="003D5B85">
        <w:rPr>
          <w:rFonts w:ascii="Book Antiqua" w:hAnsi="Book Antiqua" w:cs="Times New Roman"/>
          <w:color w:val="000000" w:themeColor="text1"/>
          <w:sz w:val="24"/>
          <w:szCs w:val="24"/>
        </w:rPr>
        <w:t>HE</w:t>
      </w:r>
      <w:proofErr w:type="gramEnd"/>
      <w:r w:rsidRPr="003D5B85">
        <w:rPr>
          <w:rFonts w:ascii="Book Antiqua" w:hAnsi="Book Antiqua" w:cs="Times New Roman"/>
          <w:color w:val="000000" w:themeColor="text1"/>
          <w:sz w:val="24"/>
          <w:szCs w:val="24"/>
        </w:rPr>
        <w:t xml:space="preserve">. </w:t>
      </w:r>
      <w:r w:rsidR="00F67577" w:rsidRPr="003D5B85">
        <w:rPr>
          <w:rFonts w:ascii="Book Antiqua" w:hAnsi="Book Antiqua" w:cs="Times New Roman"/>
          <w:color w:val="000000" w:themeColor="text1"/>
          <w:sz w:val="24"/>
          <w:szCs w:val="24"/>
        </w:rPr>
        <w:t xml:space="preserve">Future large prospective studies are needed to confirm </w:t>
      </w:r>
      <w:r w:rsidR="0026736D" w:rsidRPr="003D5B85">
        <w:rPr>
          <w:rFonts w:ascii="Book Antiqua" w:hAnsi="Book Antiqua" w:cs="Times New Roman"/>
          <w:color w:val="000000" w:themeColor="text1"/>
          <w:sz w:val="24"/>
          <w:szCs w:val="24"/>
        </w:rPr>
        <w:t xml:space="preserve">this </w:t>
      </w:r>
      <w:r w:rsidR="00F67577" w:rsidRPr="003D5B85">
        <w:rPr>
          <w:rFonts w:ascii="Book Antiqua" w:hAnsi="Book Antiqua" w:cs="Times New Roman"/>
          <w:color w:val="000000" w:themeColor="text1"/>
          <w:sz w:val="24"/>
          <w:szCs w:val="24"/>
        </w:rPr>
        <w:t>association.</w:t>
      </w:r>
    </w:p>
    <w:p w14:paraId="36F35016" w14:textId="77777777" w:rsidR="00B94402" w:rsidRPr="003D5B85" w:rsidRDefault="00B94402" w:rsidP="001C4059">
      <w:pPr>
        <w:spacing w:line="360" w:lineRule="auto"/>
        <w:rPr>
          <w:rFonts w:ascii="Book Antiqua" w:hAnsi="Book Antiqua" w:cs="Times New Roman"/>
          <w:b/>
          <w:color w:val="000000" w:themeColor="text1"/>
          <w:sz w:val="24"/>
          <w:szCs w:val="24"/>
        </w:rPr>
      </w:pPr>
    </w:p>
    <w:bookmarkEnd w:id="25"/>
    <w:p w14:paraId="21441EF0" w14:textId="77777777" w:rsidR="00B94402" w:rsidRPr="003D5B85" w:rsidRDefault="00B94402" w:rsidP="001C4059">
      <w:pPr>
        <w:spacing w:line="360" w:lineRule="auto"/>
        <w:rPr>
          <w:rFonts w:ascii="Book Antiqua" w:hAnsi="Book Antiqua" w:cs="Times New Roman"/>
          <w:color w:val="000000" w:themeColor="text1"/>
          <w:sz w:val="24"/>
          <w:szCs w:val="24"/>
        </w:rPr>
      </w:pPr>
      <w:r w:rsidRPr="003D5B85">
        <w:rPr>
          <w:rFonts w:ascii="Book Antiqua" w:eastAsia="Times New Roman" w:hAnsi="Book Antiqua"/>
          <w:b/>
          <w:color w:val="000000" w:themeColor="text1"/>
          <w:sz w:val="24"/>
          <w:szCs w:val="24"/>
        </w:rPr>
        <w:t>Key words:</w:t>
      </w:r>
      <w:r w:rsidRPr="003D5B85">
        <w:rPr>
          <w:rFonts w:ascii="Book Antiqua" w:eastAsia="Times New Roman" w:hAnsi="Book Antiqua"/>
          <w:color w:val="000000" w:themeColor="text1"/>
        </w:rPr>
        <w:t xml:space="preserve"> </w:t>
      </w:r>
      <w:bookmarkStart w:id="30" w:name="OLE_LINK3"/>
      <w:bookmarkStart w:id="31" w:name="OLE_LINK4"/>
      <w:r w:rsidR="002878A3" w:rsidRPr="003D5B85">
        <w:rPr>
          <w:rFonts w:ascii="Book Antiqua" w:hAnsi="Book Antiqua" w:cs="Times New Roman"/>
          <w:color w:val="000000" w:themeColor="text1"/>
          <w:sz w:val="24"/>
          <w:szCs w:val="24"/>
        </w:rPr>
        <w:t xml:space="preserve">Proton pump inhibitors; </w:t>
      </w:r>
      <w:r w:rsidR="002A5FAF" w:rsidRPr="003D5B85">
        <w:rPr>
          <w:rFonts w:ascii="Book Antiqua" w:hAnsi="Book Antiqua" w:cs="Times New Roman"/>
          <w:color w:val="000000" w:themeColor="text1"/>
          <w:sz w:val="24"/>
          <w:szCs w:val="24"/>
        </w:rPr>
        <w:t>Cirrhosis</w:t>
      </w:r>
      <w:r w:rsidR="002878A3" w:rsidRPr="003D5B85">
        <w:rPr>
          <w:rFonts w:ascii="Book Antiqua" w:hAnsi="Book Antiqua" w:cs="Times New Roman"/>
          <w:color w:val="000000" w:themeColor="text1"/>
          <w:sz w:val="24"/>
          <w:szCs w:val="24"/>
        </w:rPr>
        <w:t xml:space="preserve">; </w:t>
      </w:r>
      <w:r w:rsidR="002A5FAF" w:rsidRPr="003D5B85">
        <w:rPr>
          <w:rFonts w:ascii="Book Antiqua" w:hAnsi="Book Antiqua" w:cs="Times New Roman"/>
          <w:color w:val="000000" w:themeColor="text1"/>
          <w:sz w:val="24"/>
          <w:szCs w:val="24"/>
        </w:rPr>
        <w:t xml:space="preserve">Hepatic </w:t>
      </w:r>
      <w:r w:rsidR="002878A3" w:rsidRPr="003D5B85">
        <w:rPr>
          <w:rFonts w:ascii="Book Antiqua" w:hAnsi="Book Antiqua" w:cs="Times New Roman"/>
          <w:color w:val="000000" w:themeColor="text1"/>
          <w:sz w:val="24"/>
          <w:szCs w:val="24"/>
        </w:rPr>
        <w:t>encephalopathy;</w:t>
      </w:r>
      <w:r w:rsidR="004647BD" w:rsidRPr="003D5B85">
        <w:rPr>
          <w:rFonts w:ascii="Book Antiqua" w:hAnsi="Book Antiqua" w:cs="Times New Roman"/>
          <w:color w:val="000000" w:themeColor="text1"/>
          <w:sz w:val="24"/>
          <w:szCs w:val="24"/>
        </w:rPr>
        <w:t xml:space="preserve"> </w:t>
      </w:r>
      <w:r w:rsidR="006B1D51" w:rsidRPr="003D5B85">
        <w:rPr>
          <w:rFonts w:ascii="Book Antiqua" w:hAnsi="Book Antiqua" w:cs="Times New Roman"/>
          <w:color w:val="000000" w:themeColor="text1"/>
          <w:sz w:val="24"/>
          <w:szCs w:val="24"/>
        </w:rPr>
        <w:t xml:space="preserve">Systematic review; </w:t>
      </w:r>
      <w:r w:rsidR="002A5FAF" w:rsidRPr="003D5B85">
        <w:rPr>
          <w:rFonts w:ascii="Book Antiqua" w:hAnsi="Book Antiqua" w:cs="Times New Roman"/>
          <w:color w:val="000000" w:themeColor="text1"/>
          <w:sz w:val="24"/>
          <w:szCs w:val="24"/>
        </w:rPr>
        <w:t>Meta</w:t>
      </w:r>
      <w:r w:rsidR="002878A3" w:rsidRPr="003D5B85">
        <w:rPr>
          <w:rFonts w:ascii="Book Antiqua" w:hAnsi="Book Antiqua" w:cs="Times New Roman"/>
          <w:color w:val="000000" w:themeColor="text1"/>
          <w:sz w:val="24"/>
          <w:szCs w:val="24"/>
        </w:rPr>
        <w:t>-analysis</w:t>
      </w:r>
      <w:bookmarkStart w:id="32" w:name="OLE_LINK19"/>
      <w:bookmarkStart w:id="33" w:name="OLE_LINK20"/>
      <w:bookmarkStart w:id="34" w:name="_Hlk5627428"/>
      <w:bookmarkEnd w:id="30"/>
      <w:bookmarkEnd w:id="31"/>
    </w:p>
    <w:p w14:paraId="006B0E98" w14:textId="77777777" w:rsidR="00B94402" w:rsidRPr="003D5B85" w:rsidRDefault="00B94402" w:rsidP="001C4059">
      <w:pPr>
        <w:spacing w:line="360" w:lineRule="auto"/>
        <w:rPr>
          <w:rFonts w:ascii="Book Antiqua" w:hAnsi="Book Antiqua" w:cs="Times New Roman"/>
          <w:color w:val="000000" w:themeColor="text1"/>
          <w:sz w:val="24"/>
          <w:szCs w:val="24"/>
        </w:rPr>
      </w:pPr>
    </w:p>
    <w:p w14:paraId="4BAC4F2A" w14:textId="370D663F" w:rsidR="00B94402" w:rsidRPr="003D5B85" w:rsidRDefault="00B94402" w:rsidP="00B94402">
      <w:pPr>
        <w:widowControl/>
        <w:spacing w:line="360" w:lineRule="auto"/>
        <w:jc w:val="left"/>
        <w:rPr>
          <w:rFonts w:ascii="Book Antiqua" w:eastAsia="MS Mincho" w:hAnsi="Book Antiqua" w:cs="Arial"/>
          <w:color w:val="000000" w:themeColor="text1"/>
          <w:kern w:val="0"/>
          <w:sz w:val="24"/>
          <w:szCs w:val="24"/>
          <w:lang w:eastAsia="it-IT"/>
        </w:rPr>
      </w:pPr>
      <w:bookmarkStart w:id="35" w:name="OLE_LINK55"/>
      <w:bookmarkStart w:id="36" w:name="OLE_LINK56"/>
      <w:bookmarkStart w:id="37" w:name="OLE_LINK105"/>
      <w:bookmarkStart w:id="38" w:name="OLE_LINK116"/>
      <w:bookmarkStart w:id="39" w:name="OLE_LINK89"/>
      <w:proofErr w:type="gramStart"/>
      <w:r w:rsidRPr="003D5B85">
        <w:rPr>
          <w:rFonts w:ascii="Book Antiqua" w:eastAsia="MS Mincho" w:hAnsi="Book Antiqua" w:cs="Times New Roman"/>
          <w:b/>
          <w:color w:val="000000" w:themeColor="text1"/>
          <w:kern w:val="0"/>
          <w:sz w:val="24"/>
          <w:szCs w:val="24"/>
          <w:lang w:eastAsia="it-IT"/>
        </w:rPr>
        <w:t>©</w:t>
      </w:r>
      <w:bookmarkEnd w:id="35"/>
      <w:bookmarkEnd w:id="36"/>
      <w:r w:rsidRPr="003D5B85">
        <w:rPr>
          <w:rFonts w:ascii="Book Antiqua" w:eastAsia="MS Mincho" w:hAnsi="Book Antiqua" w:cs="Times New Roman" w:hint="eastAsia"/>
          <w:b/>
          <w:color w:val="000000" w:themeColor="text1"/>
          <w:kern w:val="0"/>
          <w:sz w:val="24"/>
          <w:szCs w:val="24"/>
          <w:lang w:eastAsia="it-IT"/>
        </w:rPr>
        <w:t xml:space="preserve"> </w:t>
      </w:r>
      <w:r w:rsidRPr="003D5B85">
        <w:rPr>
          <w:rFonts w:ascii="Book Antiqua" w:eastAsia="MS Mincho" w:hAnsi="Book Antiqua" w:cs="Arial"/>
          <w:b/>
          <w:color w:val="000000" w:themeColor="text1"/>
          <w:kern w:val="0"/>
          <w:sz w:val="24"/>
          <w:szCs w:val="24"/>
          <w:lang w:eastAsia="it-IT"/>
        </w:rPr>
        <w:t xml:space="preserve">The Author(s) </w:t>
      </w:r>
      <w:r w:rsidRPr="003D5B85">
        <w:rPr>
          <w:rFonts w:ascii="Book Antiqua" w:eastAsia="宋体" w:hAnsi="Book Antiqua" w:cs="Arial" w:hint="eastAsia"/>
          <w:b/>
          <w:color w:val="000000" w:themeColor="text1"/>
          <w:kern w:val="0"/>
          <w:sz w:val="24"/>
          <w:szCs w:val="24"/>
        </w:rPr>
        <w:t>201</w:t>
      </w:r>
      <w:r w:rsidRPr="003D5B85">
        <w:rPr>
          <w:rFonts w:ascii="Book Antiqua" w:eastAsia="宋体" w:hAnsi="Book Antiqua" w:cs="Arial"/>
          <w:b/>
          <w:color w:val="000000" w:themeColor="text1"/>
          <w:kern w:val="0"/>
          <w:sz w:val="24"/>
          <w:szCs w:val="24"/>
        </w:rPr>
        <w:t>9</w:t>
      </w:r>
      <w:r w:rsidRPr="003D5B85">
        <w:rPr>
          <w:rFonts w:ascii="Book Antiqua" w:eastAsia="MS Mincho" w:hAnsi="Book Antiqua" w:cs="Arial"/>
          <w:b/>
          <w:color w:val="000000" w:themeColor="text1"/>
          <w:kern w:val="0"/>
          <w:sz w:val="24"/>
          <w:szCs w:val="24"/>
          <w:lang w:eastAsia="it-IT"/>
        </w:rPr>
        <w:t>.</w:t>
      </w:r>
      <w:proofErr w:type="gramEnd"/>
      <w:r w:rsidRPr="003D5B85">
        <w:rPr>
          <w:rFonts w:ascii="Book Antiqua" w:eastAsia="MS Mincho" w:hAnsi="Book Antiqua" w:cs="Arial"/>
          <w:b/>
          <w:color w:val="000000" w:themeColor="text1"/>
          <w:kern w:val="0"/>
          <w:sz w:val="24"/>
          <w:szCs w:val="24"/>
          <w:lang w:eastAsia="it-IT"/>
        </w:rPr>
        <w:t xml:space="preserve"> </w:t>
      </w:r>
      <w:proofErr w:type="gramStart"/>
      <w:r w:rsidRPr="003D5B85">
        <w:rPr>
          <w:rFonts w:ascii="Book Antiqua" w:eastAsia="MS Mincho" w:hAnsi="Book Antiqua" w:cs="Arial"/>
          <w:color w:val="000000" w:themeColor="text1"/>
          <w:kern w:val="0"/>
          <w:sz w:val="24"/>
          <w:szCs w:val="24"/>
          <w:lang w:eastAsia="it-IT"/>
        </w:rPr>
        <w:t xml:space="preserve">Published by </w:t>
      </w:r>
      <w:proofErr w:type="spellStart"/>
      <w:r w:rsidRPr="003D5B85">
        <w:rPr>
          <w:rFonts w:ascii="Book Antiqua" w:eastAsia="MS Mincho" w:hAnsi="Book Antiqua" w:cs="Arial"/>
          <w:color w:val="000000" w:themeColor="text1"/>
          <w:kern w:val="0"/>
          <w:sz w:val="24"/>
          <w:szCs w:val="24"/>
          <w:lang w:eastAsia="it-IT"/>
        </w:rPr>
        <w:t>Baishideng</w:t>
      </w:r>
      <w:proofErr w:type="spellEnd"/>
      <w:r w:rsidRPr="003D5B85">
        <w:rPr>
          <w:rFonts w:ascii="Book Antiqua" w:eastAsia="MS Mincho" w:hAnsi="Book Antiqua" w:cs="Arial"/>
          <w:color w:val="000000" w:themeColor="text1"/>
          <w:kern w:val="0"/>
          <w:sz w:val="24"/>
          <w:szCs w:val="24"/>
          <w:lang w:eastAsia="it-IT"/>
        </w:rPr>
        <w:t xml:space="preserve"> Publishing Group Inc.</w:t>
      </w:r>
      <w:proofErr w:type="gramEnd"/>
      <w:r w:rsidRPr="003D5B85">
        <w:rPr>
          <w:rFonts w:ascii="Book Antiqua" w:eastAsia="MS Mincho" w:hAnsi="Book Antiqua" w:cs="Arial"/>
          <w:color w:val="000000" w:themeColor="text1"/>
          <w:kern w:val="0"/>
          <w:sz w:val="24"/>
          <w:szCs w:val="24"/>
          <w:lang w:eastAsia="it-IT"/>
        </w:rPr>
        <w:t xml:space="preserve"> All rights reserved.</w:t>
      </w:r>
    </w:p>
    <w:bookmarkEnd w:id="37"/>
    <w:bookmarkEnd w:id="38"/>
    <w:bookmarkEnd w:id="39"/>
    <w:p w14:paraId="0A349238" w14:textId="77777777" w:rsidR="00B94402" w:rsidRPr="003D5B85" w:rsidRDefault="00B94402" w:rsidP="001C4059">
      <w:pPr>
        <w:spacing w:line="360" w:lineRule="auto"/>
        <w:rPr>
          <w:rFonts w:ascii="Book Antiqua" w:hAnsi="Book Antiqua" w:cs="Times New Roman"/>
          <w:color w:val="000000" w:themeColor="text1"/>
          <w:sz w:val="24"/>
          <w:szCs w:val="24"/>
        </w:rPr>
      </w:pPr>
    </w:p>
    <w:p w14:paraId="68C2C7B9" w14:textId="0CB32786" w:rsidR="0086293F" w:rsidRPr="003D5B85" w:rsidRDefault="00D3451A" w:rsidP="001C4059">
      <w:pPr>
        <w:spacing w:line="360" w:lineRule="auto"/>
        <w:rPr>
          <w:rFonts w:ascii="Book Antiqua" w:hAnsi="Book Antiqua"/>
          <w:color w:val="000000" w:themeColor="text1"/>
          <w:sz w:val="24"/>
          <w:szCs w:val="24"/>
          <w:lang w:val="en"/>
        </w:rPr>
      </w:pPr>
      <w:r w:rsidRPr="003D5B85">
        <w:rPr>
          <w:rFonts w:ascii="Book Antiqua" w:eastAsia="Arial Unicode MS" w:hAnsi="Book Antiqua" w:cs="Arial Unicode MS"/>
          <w:b/>
          <w:color w:val="000000" w:themeColor="text1"/>
          <w:sz w:val="24"/>
          <w:szCs w:val="24"/>
        </w:rPr>
        <w:t>Core tip:</w:t>
      </w:r>
      <w:bookmarkEnd w:id="32"/>
      <w:bookmarkEnd w:id="33"/>
      <w:r w:rsidRPr="003D5B85">
        <w:rPr>
          <w:rFonts w:ascii="Book Antiqua" w:eastAsia="Arial Unicode MS" w:hAnsi="Book Antiqua" w:cs="Arial Unicode MS"/>
          <w:b/>
          <w:color w:val="000000" w:themeColor="text1"/>
          <w:sz w:val="24"/>
          <w:szCs w:val="24"/>
        </w:rPr>
        <w:t xml:space="preserve"> </w:t>
      </w:r>
      <w:r w:rsidR="00CA2C9D" w:rsidRPr="003D5B85">
        <w:rPr>
          <w:rFonts w:ascii="Book Antiqua" w:hAnsi="Book Antiqua"/>
          <w:color w:val="000000" w:themeColor="text1"/>
          <w:sz w:val="24"/>
          <w:szCs w:val="24"/>
          <w:lang w:val="en"/>
        </w:rPr>
        <w:t>P</w:t>
      </w:r>
      <w:r w:rsidR="00AF7141" w:rsidRPr="003D5B85">
        <w:rPr>
          <w:rFonts w:ascii="Book Antiqua" w:hAnsi="Book Antiqua"/>
          <w:color w:val="000000" w:themeColor="text1"/>
          <w:sz w:val="24"/>
          <w:szCs w:val="24"/>
          <w:lang w:val="en"/>
        </w:rPr>
        <w:t>roton pump inhibitors</w:t>
      </w:r>
      <w:r w:rsidR="00B94402" w:rsidRPr="003D5B85">
        <w:rPr>
          <w:rFonts w:ascii="Book Antiqua" w:hAnsi="Book Antiqua"/>
          <w:color w:val="000000" w:themeColor="text1"/>
          <w:sz w:val="24"/>
          <w:szCs w:val="24"/>
          <w:lang w:val="en"/>
        </w:rPr>
        <w:t xml:space="preserve"> </w:t>
      </w:r>
      <w:r w:rsidR="007E3E5C" w:rsidRPr="003D5B85">
        <w:rPr>
          <w:rFonts w:ascii="Book Antiqua" w:hAnsi="Book Antiqua"/>
          <w:color w:val="000000" w:themeColor="text1"/>
          <w:sz w:val="24"/>
          <w:szCs w:val="24"/>
          <w:lang w:val="en"/>
        </w:rPr>
        <w:t>(PPIs)</w:t>
      </w:r>
      <w:r w:rsidR="00AF7141" w:rsidRPr="003D5B85">
        <w:rPr>
          <w:rFonts w:ascii="Book Antiqua" w:hAnsi="Book Antiqua"/>
          <w:color w:val="000000" w:themeColor="text1"/>
          <w:sz w:val="24"/>
          <w:szCs w:val="24"/>
          <w:lang w:val="en"/>
        </w:rPr>
        <w:t xml:space="preserve"> </w:t>
      </w:r>
      <w:r w:rsidR="00CA2C9D" w:rsidRPr="003D5B85">
        <w:rPr>
          <w:rFonts w:ascii="Book Antiqua" w:hAnsi="Book Antiqua"/>
          <w:color w:val="000000" w:themeColor="text1"/>
          <w:sz w:val="24"/>
          <w:szCs w:val="24"/>
          <w:lang w:val="en"/>
        </w:rPr>
        <w:t>are very commonly used in patients with advanced liver disease.</w:t>
      </w:r>
      <w:r w:rsidR="00B72AA1" w:rsidRPr="003D5B85">
        <w:rPr>
          <w:rFonts w:ascii="Book Antiqua" w:hAnsi="Book Antiqua"/>
          <w:color w:val="000000" w:themeColor="text1"/>
          <w:sz w:val="24"/>
          <w:szCs w:val="24"/>
          <w:lang w:val="en"/>
        </w:rPr>
        <w:t xml:space="preserve"> </w:t>
      </w:r>
      <w:r w:rsidR="00D94D9E" w:rsidRPr="003D5B85">
        <w:rPr>
          <w:rFonts w:ascii="Book Antiqua" w:hAnsi="Book Antiqua"/>
          <w:color w:val="000000" w:themeColor="text1"/>
          <w:sz w:val="24"/>
          <w:szCs w:val="24"/>
          <w:lang w:val="en"/>
        </w:rPr>
        <w:t>Remarkably,</w:t>
      </w:r>
      <w:r w:rsidR="009C6361" w:rsidRPr="003D5B85">
        <w:rPr>
          <w:rFonts w:ascii="Book Antiqua" w:hAnsi="Book Antiqua"/>
          <w:color w:val="000000" w:themeColor="text1"/>
          <w:sz w:val="24"/>
          <w:szCs w:val="24"/>
        </w:rPr>
        <w:t xml:space="preserve"> </w:t>
      </w:r>
      <w:r w:rsidR="009C6361" w:rsidRPr="003D5B85">
        <w:rPr>
          <w:rFonts w:ascii="Book Antiqua" w:hAnsi="Book Antiqua"/>
          <w:color w:val="000000" w:themeColor="text1"/>
          <w:sz w:val="24"/>
          <w:szCs w:val="24"/>
          <w:lang w:val="en"/>
        </w:rPr>
        <w:t>previous studies have shown that approximately 50% of indications for PPI</w:t>
      </w:r>
      <w:r w:rsidR="007E3E5C" w:rsidRPr="003D5B85">
        <w:rPr>
          <w:rFonts w:ascii="Book Antiqua" w:hAnsi="Book Antiqua"/>
          <w:color w:val="000000" w:themeColor="text1"/>
          <w:sz w:val="24"/>
          <w:szCs w:val="24"/>
          <w:lang w:val="en"/>
        </w:rPr>
        <w:t>s</w:t>
      </w:r>
      <w:r w:rsidR="009C6361" w:rsidRPr="003D5B85">
        <w:rPr>
          <w:rFonts w:ascii="Book Antiqua" w:hAnsi="Book Antiqua"/>
          <w:color w:val="000000" w:themeColor="text1"/>
          <w:sz w:val="24"/>
          <w:szCs w:val="24"/>
          <w:lang w:val="en"/>
        </w:rPr>
        <w:t xml:space="preserve"> treatment were unclear or inadequate in this </w:t>
      </w:r>
      <w:r w:rsidR="00F054FE" w:rsidRPr="003D5B85">
        <w:rPr>
          <w:rFonts w:ascii="Book Antiqua" w:hAnsi="Book Antiqua"/>
          <w:color w:val="000000" w:themeColor="text1"/>
          <w:sz w:val="24"/>
          <w:szCs w:val="24"/>
          <w:lang w:val="en"/>
        </w:rPr>
        <w:t xml:space="preserve">special </w:t>
      </w:r>
      <w:r w:rsidR="009C6361" w:rsidRPr="003D5B85">
        <w:rPr>
          <w:rFonts w:ascii="Book Antiqua" w:hAnsi="Book Antiqua"/>
          <w:color w:val="000000" w:themeColor="text1"/>
          <w:sz w:val="24"/>
          <w:szCs w:val="24"/>
          <w:lang w:val="en"/>
        </w:rPr>
        <w:t>group of patients.</w:t>
      </w:r>
      <w:r w:rsidR="00F054FE" w:rsidRPr="003D5B85">
        <w:rPr>
          <w:rFonts w:ascii="Book Antiqua" w:hAnsi="Book Antiqua"/>
          <w:color w:val="000000" w:themeColor="text1"/>
          <w:sz w:val="24"/>
          <w:szCs w:val="24"/>
        </w:rPr>
        <w:t xml:space="preserve"> </w:t>
      </w:r>
      <w:r w:rsidR="00F054FE" w:rsidRPr="003D5B85">
        <w:rPr>
          <w:rFonts w:ascii="Book Antiqua" w:hAnsi="Book Antiqua"/>
          <w:color w:val="000000" w:themeColor="text1"/>
          <w:sz w:val="24"/>
          <w:szCs w:val="24"/>
          <w:lang w:val="en"/>
        </w:rPr>
        <w:t xml:space="preserve">All </w:t>
      </w:r>
      <w:r w:rsidR="0026736D" w:rsidRPr="003D5B85">
        <w:rPr>
          <w:rFonts w:ascii="Book Antiqua" w:hAnsi="Book Antiqua"/>
          <w:color w:val="000000" w:themeColor="text1"/>
          <w:sz w:val="24"/>
          <w:szCs w:val="24"/>
          <w:lang w:val="en"/>
        </w:rPr>
        <w:t xml:space="preserve">these </w:t>
      </w:r>
      <w:r w:rsidR="00685BBA" w:rsidRPr="003D5B85">
        <w:rPr>
          <w:rFonts w:ascii="Book Antiqua" w:hAnsi="Book Antiqua"/>
          <w:color w:val="000000" w:themeColor="text1"/>
          <w:sz w:val="24"/>
          <w:szCs w:val="24"/>
          <w:lang w:val="en"/>
        </w:rPr>
        <w:t>may be</w:t>
      </w:r>
      <w:r w:rsidR="00F054FE" w:rsidRPr="003D5B85">
        <w:rPr>
          <w:rFonts w:ascii="Book Antiqua" w:hAnsi="Book Antiqua"/>
          <w:color w:val="000000" w:themeColor="text1"/>
          <w:sz w:val="24"/>
          <w:szCs w:val="24"/>
          <w:lang w:val="en"/>
        </w:rPr>
        <w:t xml:space="preserve"> because</w:t>
      </w:r>
      <w:r w:rsidR="00D72F04" w:rsidRPr="003D5B85">
        <w:rPr>
          <w:rFonts w:ascii="Book Antiqua" w:hAnsi="Book Antiqua"/>
          <w:color w:val="000000" w:themeColor="text1"/>
          <w:sz w:val="24"/>
          <w:szCs w:val="24"/>
        </w:rPr>
        <w:t xml:space="preserve"> </w:t>
      </w:r>
      <w:r w:rsidR="00D72F04" w:rsidRPr="003D5B85">
        <w:rPr>
          <w:rFonts w:ascii="Book Antiqua" w:hAnsi="Book Antiqua"/>
          <w:color w:val="000000" w:themeColor="text1"/>
          <w:sz w:val="24"/>
          <w:szCs w:val="24"/>
          <w:lang w:val="en"/>
        </w:rPr>
        <w:t>PPIs are generally considered safe. However,</w:t>
      </w:r>
      <w:r w:rsidR="002C272B" w:rsidRPr="003D5B85">
        <w:rPr>
          <w:rFonts w:ascii="Book Antiqua" w:hAnsi="Book Antiqua"/>
          <w:color w:val="000000" w:themeColor="text1"/>
          <w:sz w:val="24"/>
          <w:szCs w:val="24"/>
          <w:lang w:val="en"/>
        </w:rPr>
        <w:t xml:space="preserve"> this meta-analysis </w:t>
      </w:r>
      <w:r w:rsidR="00686C46" w:rsidRPr="003D5B85">
        <w:rPr>
          <w:rFonts w:ascii="Book Antiqua" w:hAnsi="Book Antiqua"/>
          <w:color w:val="000000" w:themeColor="text1"/>
          <w:sz w:val="24"/>
          <w:szCs w:val="24"/>
          <w:lang w:val="en"/>
        </w:rPr>
        <w:t>shows that</w:t>
      </w:r>
      <w:r w:rsidR="00653A27" w:rsidRPr="003D5B85">
        <w:rPr>
          <w:rFonts w:ascii="Book Antiqua" w:hAnsi="Book Antiqua"/>
          <w:color w:val="000000" w:themeColor="text1"/>
          <w:sz w:val="24"/>
          <w:szCs w:val="24"/>
          <w:lang w:val="en"/>
        </w:rPr>
        <w:t xml:space="preserve"> </w:t>
      </w:r>
      <w:r w:rsidR="007E3E5C" w:rsidRPr="003D5B85">
        <w:rPr>
          <w:rFonts w:ascii="Book Antiqua" w:hAnsi="Book Antiqua"/>
          <w:color w:val="000000" w:themeColor="text1"/>
          <w:sz w:val="24"/>
          <w:szCs w:val="24"/>
          <w:lang w:val="en"/>
        </w:rPr>
        <w:t xml:space="preserve">using PPIs </w:t>
      </w:r>
      <w:r w:rsidR="00686C46" w:rsidRPr="003D5B85">
        <w:rPr>
          <w:rFonts w:ascii="Book Antiqua" w:hAnsi="Book Antiqua"/>
          <w:color w:val="000000" w:themeColor="text1"/>
          <w:sz w:val="24"/>
          <w:szCs w:val="24"/>
          <w:lang w:val="en"/>
        </w:rPr>
        <w:t xml:space="preserve">is associated with an </w:t>
      </w:r>
      <w:r w:rsidR="009B0A3A" w:rsidRPr="003D5B85">
        <w:rPr>
          <w:rFonts w:ascii="Book Antiqua" w:hAnsi="Book Antiqua"/>
          <w:color w:val="000000" w:themeColor="text1"/>
          <w:sz w:val="24"/>
          <w:szCs w:val="24"/>
          <w:lang w:val="en"/>
        </w:rPr>
        <w:t>increased</w:t>
      </w:r>
      <w:r w:rsidR="00686C46" w:rsidRPr="003D5B85">
        <w:rPr>
          <w:rFonts w:ascii="Book Antiqua" w:hAnsi="Book Antiqua"/>
          <w:color w:val="000000" w:themeColor="text1"/>
          <w:sz w:val="24"/>
          <w:szCs w:val="24"/>
          <w:lang w:val="en"/>
        </w:rPr>
        <w:t xml:space="preserve"> risk of hepatic encephalopathy</w:t>
      </w:r>
      <w:r w:rsidR="009B0A3A" w:rsidRPr="003D5B85">
        <w:rPr>
          <w:rFonts w:ascii="Book Antiqua" w:hAnsi="Book Antiqua"/>
          <w:color w:val="000000" w:themeColor="text1"/>
          <w:sz w:val="24"/>
          <w:szCs w:val="24"/>
          <w:lang w:val="en"/>
        </w:rPr>
        <w:t xml:space="preserve"> </w:t>
      </w:r>
      <w:r w:rsidR="00516B63" w:rsidRPr="003D5B85">
        <w:rPr>
          <w:rFonts w:ascii="Book Antiqua" w:hAnsi="Book Antiqua"/>
          <w:color w:val="000000" w:themeColor="text1"/>
          <w:sz w:val="24"/>
          <w:szCs w:val="24"/>
          <w:lang w:val="en"/>
        </w:rPr>
        <w:t xml:space="preserve">(HE) </w:t>
      </w:r>
      <w:r w:rsidR="009B0A3A" w:rsidRPr="003D5B85">
        <w:rPr>
          <w:rFonts w:ascii="Book Antiqua" w:hAnsi="Book Antiqua"/>
          <w:color w:val="000000" w:themeColor="text1"/>
          <w:sz w:val="24"/>
          <w:szCs w:val="24"/>
          <w:lang w:val="en"/>
        </w:rPr>
        <w:t>in patients with advanced liver disease.</w:t>
      </w:r>
      <w:r w:rsidR="00516B63" w:rsidRPr="003D5B85">
        <w:rPr>
          <w:rFonts w:ascii="Book Antiqua" w:hAnsi="Book Antiqua"/>
          <w:color w:val="000000" w:themeColor="text1"/>
          <w:sz w:val="24"/>
          <w:szCs w:val="24"/>
          <w:lang w:val="en"/>
        </w:rPr>
        <w:t xml:space="preserve"> </w:t>
      </w:r>
      <w:r w:rsidR="00CB7DB1" w:rsidRPr="003D5B85">
        <w:rPr>
          <w:rFonts w:ascii="Book Antiqua" w:hAnsi="Book Antiqua"/>
          <w:color w:val="000000" w:themeColor="text1"/>
          <w:sz w:val="24"/>
          <w:szCs w:val="24"/>
          <w:lang w:val="en"/>
        </w:rPr>
        <w:t>This reminds clinicians that</w:t>
      </w:r>
      <w:r w:rsidR="00CB7DB1" w:rsidRPr="003D5B85">
        <w:rPr>
          <w:rFonts w:ascii="Book Antiqua" w:hAnsi="Book Antiqua"/>
          <w:color w:val="000000" w:themeColor="text1"/>
          <w:sz w:val="24"/>
          <w:szCs w:val="24"/>
        </w:rPr>
        <w:t xml:space="preserve"> </w:t>
      </w:r>
      <w:r w:rsidR="00CB7DB1" w:rsidRPr="003D5B85">
        <w:rPr>
          <w:rFonts w:ascii="Book Antiqua" w:hAnsi="Book Antiqua"/>
          <w:color w:val="000000" w:themeColor="text1"/>
          <w:sz w:val="24"/>
          <w:szCs w:val="24"/>
          <w:lang w:val="en"/>
        </w:rPr>
        <w:t>inappropriate use of PPIs may be no</w:t>
      </w:r>
      <w:r w:rsidR="00866CFA" w:rsidRPr="003D5B85">
        <w:rPr>
          <w:rFonts w:ascii="Book Antiqua" w:hAnsi="Book Antiqua"/>
          <w:color w:val="000000" w:themeColor="text1"/>
          <w:sz w:val="24"/>
          <w:szCs w:val="24"/>
          <w:lang w:val="en"/>
        </w:rPr>
        <w:t>t</w:t>
      </w:r>
      <w:r w:rsidR="00CB7DB1" w:rsidRPr="003D5B85">
        <w:rPr>
          <w:rFonts w:ascii="Book Antiqua" w:hAnsi="Book Antiqua"/>
          <w:color w:val="000000" w:themeColor="text1"/>
          <w:sz w:val="24"/>
          <w:szCs w:val="24"/>
          <w:lang w:val="en"/>
        </w:rPr>
        <w:t xml:space="preserve"> beneficial but put patients at an elevated risk of </w:t>
      </w:r>
      <w:proofErr w:type="gramStart"/>
      <w:r w:rsidR="00CB7DB1" w:rsidRPr="003D5B85">
        <w:rPr>
          <w:rFonts w:ascii="Book Antiqua" w:hAnsi="Book Antiqua"/>
          <w:color w:val="000000" w:themeColor="text1"/>
          <w:sz w:val="24"/>
          <w:szCs w:val="24"/>
          <w:lang w:val="en"/>
        </w:rPr>
        <w:t>HE</w:t>
      </w:r>
      <w:proofErr w:type="gramEnd"/>
      <w:r w:rsidR="00CB7DB1" w:rsidRPr="003D5B85">
        <w:rPr>
          <w:rFonts w:ascii="Book Antiqua" w:hAnsi="Book Antiqua"/>
          <w:color w:val="000000" w:themeColor="text1"/>
          <w:sz w:val="24"/>
          <w:szCs w:val="24"/>
          <w:lang w:val="en"/>
        </w:rPr>
        <w:t xml:space="preserve">. </w:t>
      </w:r>
      <w:r w:rsidR="001903B7" w:rsidRPr="003D5B85">
        <w:rPr>
          <w:rFonts w:ascii="Book Antiqua" w:hAnsi="Book Antiqua"/>
          <w:color w:val="000000" w:themeColor="text1"/>
          <w:sz w:val="24"/>
          <w:szCs w:val="24"/>
          <w:lang w:val="en"/>
        </w:rPr>
        <w:t xml:space="preserve">These findings </w:t>
      </w:r>
      <w:r w:rsidR="0086293F" w:rsidRPr="003D5B85">
        <w:rPr>
          <w:rFonts w:ascii="Book Antiqua" w:hAnsi="Book Antiqua"/>
          <w:color w:val="000000" w:themeColor="text1"/>
          <w:sz w:val="24"/>
          <w:szCs w:val="24"/>
          <w:lang w:val="en"/>
        </w:rPr>
        <w:t>still need to be confirmed by more high-quality prospective studies</w:t>
      </w:r>
      <w:r w:rsidR="001A23AC" w:rsidRPr="003D5B85">
        <w:rPr>
          <w:rFonts w:ascii="Book Antiqua" w:hAnsi="Book Antiqua"/>
          <w:color w:val="000000" w:themeColor="text1"/>
          <w:sz w:val="24"/>
          <w:szCs w:val="24"/>
          <w:lang w:val="en"/>
        </w:rPr>
        <w:t xml:space="preserve"> because of the limitations of </w:t>
      </w:r>
      <w:r w:rsidR="001B2D13" w:rsidRPr="003D5B85">
        <w:rPr>
          <w:rFonts w:ascii="Book Antiqua" w:hAnsi="Book Antiqua"/>
          <w:color w:val="000000" w:themeColor="text1"/>
          <w:sz w:val="24"/>
          <w:szCs w:val="24"/>
          <w:lang w:val="en"/>
        </w:rPr>
        <w:t>this meta-analysis</w:t>
      </w:r>
      <w:r w:rsidR="00CB7DB1" w:rsidRPr="003D5B85">
        <w:rPr>
          <w:rFonts w:ascii="Book Antiqua" w:hAnsi="Book Antiqua"/>
          <w:color w:val="000000" w:themeColor="text1"/>
          <w:sz w:val="24"/>
          <w:szCs w:val="24"/>
          <w:lang w:val="en"/>
        </w:rPr>
        <w:t xml:space="preserve">. </w:t>
      </w:r>
    </w:p>
    <w:p w14:paraId="7B01FCDC" w14:textId="77777777" w:rsidR="00947462" w:rsidRPr="003D5B85" w:rsidRDefault="00947462" w:rsidP="00947462">
      <w:pPr>
        <w:autoSpaceDE w:val="0"/>
        <w:autoSpaceDN w:val="0"/>
        <w:adjustRightInd w:val="0"/>
        <w:snapToGrid w:val="0"/>
        <w:spacing w:line="360" w:lineRule="auto"/>
        <w:rPr>
          <w:rFonts w:ascii="Book Antiqua" w:hAnsi="Book Antiqua" w:cs="Garamond-Bold"/>
          <w:bCs/>
          <w:color w:val="000000" w:themeColor="text1"/>
          <w:sz w:val="24"/>
          <w:szCs w:val="24"/>
        </w:rPr>
      </w:pPr>
    </w:p>
    <w:bookmarkEnd w:id="34"/>
    <w:p w14:paraId="44651CA8" w14:textId="77777777" w:rsidR="00507186" w:rsidRDefault="00507186" w:rsidP="003D5B85">
      <w:pPr>
        <w:autoSpaceDE w:val="0"/>
        <w:autoSpaceDN w:val="0"/>
        <w:adjustRightInd w:val="0"/>
        <w:snapToGrid w:val="0"/>
        <w:spacing w:line="360" w:lineRule="auto"/>
        <w:rPr>
          <w:rFonts w:ascii="Book Antiqua" w:hAnsi="Book Antiqua" w:cs="Times New Roman" w:hint="eastAsia"/>
          <w:color w:val="000000" w:themeColor="text1"/>
          <w:kern w:val="0"/>
          <w:sz w:val="24"/>
          <w:szCs w:val="24"/>
        </w:rPr>
      </w:pPr>
      <w:r w:rsidRPr="00507186">
        <w:rPr>
          <w:rFonts w:ascii="Book Antiqua" w:hAnsi="Book Antiqua" w:cs="Garamond-Bold" w:hint="eastAsia"/>
          <w:b/>
          <w:bCs/>
          <w:color w:val="000000" w:themeColor="text1"/>
          <w:sz w:val="24"/>
          <w:szCs w:val="24"/>
        </w:rPr>
        <w:t>Citation</w:t>
      </w:r>
      <w:r>
        <w:rPr>
          <w:rFonts w:ascii="Book Antiqua" w:hAnsi="Book Antiqua" w:cs="Garamond-Bold" w:hint="eastAsia"/>
          <w:bCs/>
          <w:color w:val="000000" w:themeColor="text1"/>
          <w:sz w:val="24"/>
          <w:szCs w:val="24"/>
        </w:rPr>
        <w:t xml:space="preserve">: </w:t>
      </w:r>
      <w:proofErr w:type="spellStart"/>
      <w:r w:rsidR="003D5B85" w:rsidRPr="003D5B85">
        <w:rPr>
          <w:rFonts w:ascii="Book Antiqua" w:hAnsi="Book Antiqua" w:cs="Garamond-Bold"/>
          <w:bCs/>
          <w:color w:val="000000" w:themeColor="text1"/>
          <w:sz w:val="24"/>
          <w:szCs w:val="24"/>
        </w:rPr>
        <w:t>Tantai</w:t>
      </w:r>
      <w:proofErr w:type="spellEnd"/>
      <w:r w:rsidR="003D5B85" w:rsidRPr="003D5B85">
        <w:rPr>
          <w:rFonts w:ascii="Book Antiqua" w:hAnsi="Book Antiqua" w:cs="Garamond-Bold"/>
          <w:bCs/>
          <w:color w:val="000000" w:themeColor="text1"/>
          <w:sz w:val="24"/>
          <w:szCs w:val="24"/>
        </w:rPr>
        <w:t xml:space="preserve"> XX, </w:t>
      </w:r>
      <w:r w:rsidR="003D5B85" w:rsidRPr="003D5B85">
        <w:rPr>
          <w:rFonts w:ascii="Book Antiqua" w:hAnsi="Book Antiqua" w:cs="Times New Roman"/>
          <w:color w:val="000000" w:themeColor="text1"/>
          <w:sz w:val="24"/>
          <w:szCs w:val="24"/>
        </w:rPr>
        <w:t>Yang LB, Wei ZC, Xiao CL, Chen LR, Wang JH, Liu N.</w:t>
      </w:r>
      <w:r w:rsidR="003D5B85" w:rsidRPr="003D5B85">
        <w:rPr>
          <w:rFonts w:ascii="Book Antiqua" w:hAnsi="Book Antiqua" w:cs="Garamond-Bold"/>
          <w:bCs/>
          <w:color w:val="000000" w:themeColor="text1"/>
          <w:sz w:val="24"/>
          <w:szCs w:val="24"/>
        </w:rPr>
        <w:t xml:space="preserve"> </w:t>
      </w:r>
      <w:r w:rsidR="003D5B85" w:rsidRPr="003D5B85">
        <w:rPr>
          <w:rFonts w:ascii="Book Antiqua" w:eastAsia="Times New Roman" w:hAnsi="Book Antiqua" w:cs="Times New Roman"/>
          <w:color w:val="000000" w:themeColor="text1"/>
          <w:kern w:val="0"/>
          <w:sz w:val="24"/>
          <w:szCs w:val="24"/>
        </w:rPr>
        <w:lastRenderedPageBreak/>
        <w:t>Association of proton pump inhibitors</w:t>
      </w:r>
      <w:r w:rsidR="003D5B85" w:rsidRPr="003D5B85">
        <w:rPr>
          <w:rFonts w:ascii="Book Antiqua" w:hAnsi="Book Antiqua" w:cs="Times New Roman"/>
          <w:color w:val="000000" w:themeColor="text1"/>
          <w:kern w:val="0"/>
          <w:sz w:val="24"/>
          <w:szCs w:val="24"/>
        </w:rPr>
        <w:t xml:space="preserve"> </w:t>
      </w:r>
      <w:r w:rsidR="003D5B85" w:rsidRPr="003D5B85">
        <w:rPr>
          <w:rFonts w:ascii="Book Antiqua" w:eastAsia="Times New Roman" w:hAnsi="Book Antiqua" w:cs="Times New Roman"/>
          <w:color w:val="000000" w:themeColor="text1"/>
          <w:kern w:val="0"/>
          <w:sz w:val="24"/>
          <w:szCs w:val="24"/>
        </w:rPr>
        <w:t>with risk of hepatic encephalopathy in</w:t>
      </w:r>
      <w:r w:rsidR="003D5B85" w:rsidRPr="003D5B85">
        <w:rPr>
          <w:rFonts w:ascii="Book Antiqua" w:hAnsi="Book Antiqua"/>
          <w:color w:val="000000" w:themeColor="text1"/>
          <w:sz w:val="24"/>
          <w:szCs w:val="24"/>
        </w:rPr>
        <w:t xml:space="preserve"> </w:t>
      </w:r>
      <w:r w:rsidR="003D5B85" w:rsidRPr="003D5B85">
        <w:rPr>
          <w:rFonts w:ascii="Book Antiqua" w:eastAsia="Times New Roman" w:hAnsi="Book Antiqua" w:cs="Times New Roman"/>
          <w:color w:val="000000" w:themeColor="text1"/>
          <w:kern w:val="0"/>
          <w:sz w:val="24"/>
          <w:szCs w:val="24"/>
        </w:rPr>
        <w:t xml:space="preserve">advanced liver disease: A meta-analysis. </w:t>
      </w:r>
      <w:r w:rsidR="003D5B85" w:rsidRPr="003D5B85">
        <w:rPr>
          <w:rFonts w:ascii="Book Antiqua" w:eastAsia="Times New Roman" w:hAnsi="Book Antiqua" w:cs="Times New Roman"/>
          <w:i/>
          <w:color w:val="000000" w:themeColor="text1"/>
          <w:kern w:val="0"/>
          <w:sz w:val="24"/>
          <w:szCs w:val="24"/>
        </w:rPr>
        <w:t xml:space="preserve">World J </w:t>
      </w:r>
      <w:proofErr w:type="spellStart"/>
      <w:r w:rsidR="003D5B85" w:rsidRPr="003D5B85">
        <w:rPr>
          <w:rFonts w:ascii="Book Antiqua" w:eastAsia="Times New Roman" w:hAnsi="Book Antiqua" w:cs="Times New Roman"/>
          <w:i/>
          <w:color w:val="000000" w:themeColor="text1"/>
          <w:kern w:val="0"/>
          <w:sz w:val="24"/>
          <w:szCs w:val="24"/>
        </w:rPr>
        <w:t>Gastroenterol</w:t>
      </w:r>
      <w:proofErr w:type="spellEnd"/>
      <w:r w:rsidR="003D5B85" w:rsidRPr="003D5B85">
        <w:rPr>
          <w:rFonts w:ascii="Book Antiqua" w:eastAsia="Times New Roman" w:hAnsi="Book Antiqua" w:cs="Times New Roman"/>
          <w:i/>
          <w:color w:val="000000" w:themeColor="text1"/>
          <w:kern w:val="0"/>
          <w:sz w:val="24"/>
          <w:szCs w:val="24"/>
        </w:rPr>
        <w:t xml:space="preserve"> </w:t>
      </w:r>
      <w:r w:rsidR="003D5B85" w:rsidRPr="003D5B85">
        <w:rPr>
          <w:rFonts w:ascii="Book Antiqua" w:eastAsia="Times New Roman" w:hAnsi="Book Antiqua" w:cs="Times New Roman"/>
          <w:color w:val="000000" w:themeColor="text1"/>
          <w:kern w:val="0"/>
          <w:sz w:val="24"/>
          <w:szCs w:val="24"/>
        </w:rPr>
        <w:t>2019; 25(21): 2683-</w:t>
      </w:r>
      <w:proofErr w:type="gramStart"/>
      <w:r w:rsidR="003D5B85" w:rsidRPr="003D5B85">
        <w:rPr>
          <w:rFonts w:ascii="Book Antiqua" w:eastAsia="Times New Roman" w:hAnsi="Book Antiqua" w:cs="Times New Roman"/>
          <w:color w:val="000000" w:themeColor="text1"/>
          <w:kern w:val="0"/>
          <w:sz w:val="24"/>
          <w:szCs w:val="24"/>
        </w:rPr>
        <w:t>2698  Available</w:t>
      </w:r>
      <w:proofErr w:type="gramEnd"/>
      <w:r w:rsidR="003D5B85" w:rsidRPr="003D5B85">
        <w:rPr>
          <w:rFonts w:ascii="Book Antiqua" w:eastAsia="Times New Roman" w:hAnsi="Book Antiqua" w:cs="Times New Roman"/>
          <w:color w:val="000000" w:themeColor="text1"/>
          <w:kern w:val="0"/>
          <w:sz w:val="24"/>
          <w:szCs w:val="24"/>
        </w:rPr>
        <w:t xml:space="preserve"> from: </w:t>
      </w:r>
    </w:p>
    <w:p w14:paraId="58AC954C" w14:textId="77777777" w:rsidR="00507186" w:rsidRDefault="003D5B85" w:rsidP="003D5B85">
      <w:pPr>
        <w:autoSpaceDE w:val="0"/>
        <w:autoSpaceDN w:val="0"/>
        <w:adjustRightInd w:val="0"/>
        <w:snapToGrid w:val="0"/>
        <w:spacing w:line="360" w:lineRule="auto"/>
        <w:rPr>
          <w:rFonts w:ascii="Book Antiqua" w:hAnsi="Book Antiqua" w:cs="Times New Roman" w:hint="eastAsia"/>
          <w:color w:val="000000" w:themeColor="text1"/>
          <w:kern w:val="0"/>
          <w:sz w:val="24"/>
          <w:szCs w:val="24"/>
        </w:rPr>
      </w:pPr>
      <w:r w:rsidRPr="00507186">
        <w:rPr>
          <w:rFonts w:ascii="Book Antiqua" w:eastAsia="Times New Roman" w:hAnsi="Book Antiqua" w:cs="Times New Roman"/>
          <w:b/>
          <w:color w:val="000000" w:themeColor="text1"/>
          <w:kern w:val="0"/>
          <w:sz w:val="24"/>
          <w:szCs w:val="24"/>
        </w:rPr>
        <w:t>URL</w:t>
      </w:r>
      <w:r w:rsidRPr="003D5B85">
        <w:rPr>
          <w:rFonts w:ascii="Book Antiqua" w:eastAsia="Times New Roman" w:hAnsi="Book Antiqua" w:cs="Times New Roman"/>
          <w:color w:val="000000" w:themeColor="text1"/>
          <w:kern w:val="0"/>
          <w:sz w:val="24"/>
          <w:szCs w:val="24"/>
        </w:rPr>
        <w:t xml:space="preserve">: https://www.wjgnet.com/1007-9327/full/v25/i21/2683.htm  </w:t>
      </w:r>
    </w:p>
    <w:p w14:paraId="43149F02" w14:textId="6FE86364" w:rsidR="003D5B85" w:rsidRPr="003D5B85" w:rsidRDefault="003D5B85" w:rsidP="003D5B85">
      <w:pPr>
        <w:autoSpaceDE w:val="0"/>
        <w:autoSpaceDN w:val="0"/>
        <w:adjustRightInd w:val="0"/>
        <w:snapToGrid w:val="0"/>
        <w:spacing w:line="360" w:lineRule="auto"/>
        <w:rPr>
          <w:rFonts w:ascii="Book Antiqua" w:hAnsi="Book Antiqua" w:cs="Times New Roman"/>
          <w:color w:val="000000" w:themeColor="text1"/>
          <w:kern w:val="0"/>
          <w:sz w:val="24"/>
          <w:szCs w:val="24"/>
        </w:rPr>
      </w:pPr>
      <w:bookmarkStart w:id="40" w:name="_GoBack"/>
      <w:r w:rsidRPr="00507186">
        <w:rPr>
          <w:rFonts w:ascii="Book Antiqua" w:eastAsia="Times New Roman" w:hAnsi="Book Antiqua" w:cs="Times New Roman"/>
          <w:b/>
          <w:color w:val="000000" w:themeColor="text1"/>
          <w:kern w:val="0"/>
          <w:sz w:val="24"/>
          <w:szCs w:val="24"/>
        </w:rPr>
        <w:t>DOI</w:t>
      </w:r>
      <w:bookmarkEnd w:id="40"/>
      <w:r w:rsidRPr="003D5B85">
        <w:rPr>
          <w:rFonts w:ascii="Book Antiqua" w:eastAsia="Times New Roman" w:hAnsi="Book Antiqua" w:cs="Times New Roman"/>
          <w:color w:val="000000" w:themeColor="text1"/>
          <w:kern w:val="0"/>
          <w:sz w:val="24"/>
          <w:szCs w:val="24"/>
        </w:rPr>
        <w:t>: https://dx.doi.org/10.3748/wjg.v25.i21.2683</w:t>
      </w:r>
    </w:p>
    <w:p w14:paraId="78701BA3" w14:textId="26F8FA21" w:rsidR="00D3451A" w:rsidRPr="003D5B85" w:rsidRDefault="00D3451A" w:rsidP="001C4059">
      <w:pPr>
        <w:widowControl/>
        <w:spacing w:line="360" w:lineRule="auto"/>
        <w:rPr>
          <w:rFonts w:ascii="Book Antiqua" w:hAnsi="Book Antiqua" w:cs="Times New Roman"/>
          <w:color w:val="000000" w:themeColor="text1"/>
          <w:sz w:val="24"/>
          <w:szCs w:val="24"/>
        </w:rPr>
      </w:pPr>
      <w:r w:rsidRPr="003D5B85">
        <w:rPr>
          <w:rFonts w:ascii="Book Antiqua" w:hAnsi="Book Antiqua" w:cs="Times New Roman"/>
          <w:color w:val="000000" w:themeColor="text1"/>
          <w:sz w:val="24"/>
          <w:szCs w:val="24"/>
        </w:rPr>
        <w:br w:type="page"/>
      </w:r>
    </w:p>
    <w:p w14:paraId="71C3F707" w14:textId="51728BFA" w:rsidR="002878A3" w:rsidRPr="003D5B85" w:rsidRDefault="00106496" w:rsidP="001C4059">
      <w:pPr>
        <w:spacing w:line="360" w:lineRule="auto"/>
        <w:rPr>
          <w:rFonts w:ascii="Book Antiqua" w:hAnsi="Book Antiqua" w:cs="Times New Roman"/>
          <w:b/>
          <w:color w:val="000000" w:themeColor="text1"/>
          <w:sz w:val="24"/>
          <w:szCs w:val="24"/>
        </w:rPr>
      </w:pPr>
      <w:r w:rsidRPr="003D5B85">
        <w:rPr>
          <w:rFonts w:ascii="Book Antiqua" w:hAnsi="Book Antiqua" w:cs="Times New Roman"/>
          <w:b/>
          <w:color w:val="000000" w:themeColor="text1"/>
          <w:sz w:val="24"/>
          <w:szCs w:val="24"/>
        </w:rPr>
        <w:lastRenderedPageBreak/>
        <w:t>INTRODUCTION</w:t>
      </w:r>
    </w:p>
    <w:p w14:paraId="05E8CF04" w14:textId="135AE345" w:rsidR="002878A3" w:rsidRPr="003D5B85" w:rsidRDefault="002878A3" w:rsidP="00106496">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3D5B85">
        <w:rPr>
          <w:rFonts w:ascii="Book Antiqua" w:eastAsia="Times New Roman" w:hAnsi="Book Antiqua" w:cs="Times New Roman"/>
          <w:color w:val="000000" w:themeColor="text1"/>
          <w:kern w:val="0"/>
          <w:sz w:val="24"/>
          <w:szCs w:val="24"/>
        </w:rPr>
        <w:t>Hepatic encephalopathy (HE) is a serious neuropsychiatric syndrome usually identified in patients with</w:t>
      </w:r>
      <w:r w:rsidRPr="003D5B85">
        <w:rPr>
          <w:rFonts w:ascii="Book Antiqua" w:hAnsi="Book Antiqua" w:cs="Times New Roman"/>
          <w:color w:val="000000" w:themeColor="text1"/>
          <w:kern w:val="0"/>
          <w:sz w:val="24"/>
          <w:szCs w:val="24"/>
        </w:rPr>
        <w:t xml:space="preserve"> </w:t>
      </w:r>
      <w:r w:rsidRPr="003D5B85">
        <w:rPr>
          <w:rFonts w:ascii="Book Antiqua" w:eastAsia="Times New Roman" w:hAnsi="Book Antiqua" w:cs="Times New Roman"/>
          <w:color w:val="000000" w:themeColor="text1"/>
          <w:kern w:val="0"/>
          <w:sz w:val="24"/>
          <w:szCs w:val="24"/>
        </w:rPr>
        <w:t>advanced liver disease, which manifests along a spectrum spanning from minimal cognitive dysfunction to states of confusion and even</w:t>
      </w:r>
      <w:r w:rsidRPr="003D5B85">
        <w:rPr>
          <w:rFonts w:ascii="Book Antiqua" w:hAnsi="Book Antiqua" w:cs="Times New Roman"/>
          <w:color w:val="000000" w:themeColor="text1"/>
          <w:kern w:val="0"/>
          <w:sz w:val="24"/>
          <w:szCs w:val="24"/>
        </w:rPr>
        <w:t xml:space="preserve"> </w:t>
      </w:r>
      <w:r w:rsidRPr="003D5B85">
        <w:rPr>
          <w:rFonts w:ascii="Book Antiqua" w:eastAsia="Times New Roman" w:hAnsi="Book Antiqua" w:cs="Times New Roman"/>
          <w:color w:val="000000" w:themeColor="text1"/>
          <w:kern w:val="0"/>
          <w:sz w:val="24"/>
          <w:szCs w:val="24"/>
        </w:rPr>
        <w:t>coma</w:t>
      </w:r>
      <w:r w:rsidR="006A2692" w:rsidRPr="003D5B85">
        <w:rPr>
          <w:rFonts w:ascii="Book Antiqua" w:eastAsia="Times New Roman" w:hAnsi="Book Antiqua" w:cs="Times New Roman"/>
          <w:color w:val="000000" w:themeColor="text1"/>
          <w:kern w:val="0"/>
          <w:sz w:val="24"/>
          <w:szCs w:val="24"/>
          <w:vertAlign w:val="superscript"/>
        </w:rPr>
        <w:t>[</w:t>
      </w:r>
      <w:r w:rsidRPr="003D5B85">
        <w:rPr>
          <w:rFonts w:ascii="Book Antiqua" w:hAnsi="Book Antiqua" w:cs="Times New Roman"/>
          <w:color w:val="000000" w:themeColor="text1"/>
          <w:kern w:val="0"/>
          <w:sz w:val="24"/>
          <w:szCs w:val="24"/>
          <w:vertAlign w:val="superscript"/>
        </w:rPr>
        <w:t>1,2</w:t>
      </w:r>
      <w:r w:rsidR="006A2692" w:rsidRPr="003D5B85">
        <w:rPr>
          <w:rFonts w:ascii="Book Antiqua" w:hAnsi="Book Antiqua" w:cs="Times New Roman"/>
          <w:color w:val="000000" w:themeColor="text1"/>
          <w:kern w:val="0"/>
          <w:sz w:val="24"/>
          <w:szCs w:val="24"/>
          <w:vertAlign w:val="superscript"/>
        </w:rPr>
        <w:t>]</w:t>
      </w:r>
      <w:r w:rsidR="006A2692" w:rsidRPr="003D5B85">
        <w:rPr>
          <w:rFonts w:ascii="Book Antiqua" w:eastAsia="Times New Roman" w:hAnsi="Book Antiqua" w:cs="Times New Roman"/>
          <w:color w:val="000000" w:themeColor="text1"/>
          <w:kern w:val="0"/>
          <w:sz w:val="24"/>
          <w:szCs w:val="24"/>
        </w:rPr>
        <w:t xml:space="preserve">. </w:t>
      </w:r>
      <w:r w:rsidRPr="003D5B85">
        <w:rPr>
          <w:rFonts w:ascii="Book Antiqua" w:eastAsia="Times New Roman" w:hAnsi="Book Antiqua" w:cs="Times New Roman"/>
          <w:color w:val="000000" w:themeColor="text1"/>
          <w:kern w:val="0"/>
          <w:sz w:val="24"/>
          <w:szCs w:val="24"/>
        </w:rPr>
        <w:t>HE can be subdivided into covert (minimal, grade 1) and overt (HE</w:t>
      </w:r>
      <w:r w:rsidRPr="003D5B85">
        <w:rPr>
          <w:rFonts w:ascii="Book Antiqua" w:hAnsi="Book Antiqua" w:cs="Times New Roman"/>
          <w:color w:val="000000" w:themeColor="text1"/>
          <w:kern w:val="0"/>
          <w:sz w:val="24"/>
          <w:szCs w:val="24"/>
        </w:rPr>
        <w:t xml:space="preserve"> </w:t>
      </w:r>
      <w:r w:rsidRPr="003D5B85">
        <w:rPr>
          <w:rFonts w:ascii="Book Antiqua" w:eastAsia="Times New Roman" w:hAnsi="Book Antiqua" w:cs="Times New Roman"/>
          <w:color w:val="000000" w:themeColor="text1"/>
          <w:kern w:val="0"/>
          <w:sz w:val="24"/>
          <w:szCs w:val="24"/>
        </w:rPr>
        <w:t>grades</w:t>
      </w:r>
      <w:r w:rsidRPr="003D5B85">
        <w:rPr>
          <w:rFonts w:ascii="Book Antiqua" w:hAnsi="Book Antiqua" w:cs="Times New Roman"/>
          <w:color w:val="000000" w:themeColor="text1"/>
          <w:sz w:val="24"/>
          <w:szCs w:val="24"/>
        </w:rPr>
        <w:t xml:space="preserve"> 2-4) according</w:t>
      </w:r>
      <w:r w:rsidRPr="003D5B85">
        <w:rPr>
          <w:rFonts w:ascii="Book Antiqua" w:eastAsia="Times New Roman" w:hAnsi="Book Antiqua" w:cs="Times New Roman"/>
          <w:color w:val="000000" w:themeColor="text1"/>
          <w:kern w:val="0"/>
          <w:sz w:val="24"/>
          <w:szCs w:val="24"/>
        </w:rPr>
        <w:t xml:space="preserve"> to the severity of the </w:t>
      </w:r>
      <w:proofErr w:type="gramStart"/>
      <w:r w:rsidRPr="003D5B85">
        <w:rPr>
          <w:rFonts w:ascii="Book Antiqua" w:eastAsia="Times New Roman" w:hAnsi="Book Antiqua" w:cs="Times New Roman"/>
          <w:color w:val="000000" w:themeColor="text1"/>
          <w:kern w:val="0"/>
          <w:sz w:val="24"/>
          <w:szCs w:val="24"/>
        </w:rPr>
        <w:t>manifestations</w:t>
      </w:r>
      <w:r w:rsidR="0075126D" w:rsidRPr="003D5B85">
        <w:rPr>
          <w:rFonts w:ascii="Book Antiqua" w:eastAsia="Times New Roman" w:hAnsi="Book Antiqua" w:cs="Times New Roman"/>
          <w:color w:val="000000" w:themeColor="text1"/>
          <w:kern w:val="0"/>
          <w:sz w:val="24"/>
          <w:szCs w:val="24"/>
          <w:vertAlign w:val="superscript"/>
        </w:rPr>
        <w:t>[</w:t>
      </w:r>
      <w:proofErr w:type="gramEnd"/>
      <w:r w:rsidRPr="003D5B85">
        <w:rPr>
          <w:rFonts w:ascii="Book Antiqua" w:hAnsi="Book Antiqua" w:cs="Times New Roman"/>
          <w:color w:val="000000" w:themeColor="text1"/>
          <w:kern w:val="0"/>
          <w:sz w:val="24"/>
          <w:szCs w:val="24"/>
          <w:vertAlign w:val="superscript"/>
        </w:rPr>
        <w:t>2</w:t>
      </w:r>
      <w:r w:rsidR="0075126D" w:rsidRPr="003D5B85">
        <w:rPr>
          <w:rFonts w:ascii="Book Antiqua" w:hAnsi="Book Antiqua" w:cs="Times New Roman"/>
          <w:color w:val="000000" w:themeColor="text1"/>
          <w:kern w:val="0"/>
          <w:sz w:val="24"/>
          <w:szCs w:val="24"/>
          <w:vertAlign w:val="superscript"/>
        </w:rPr>
        <w:t>]</w:t>
      </w:r>
      <w:r w:rsidR="0075126D" w:rsidRPr="003D5B85">
        <w:rPr>
          <w:rFonts w:ascii="Book Antiqua" w:hAnsi="Book Antiqua" w:cs="Times New Roman"/>
          <w:color w:val="000000" w:themeColor="text1"/>
          <w:kern w:val="0"/>
          <w:sz w:val="24"/>
          <w:szCs w:val="24"/>
        </w:rPr>
        <w:t>.</w:t>
      </w:r>
      <w:r w:rsidRPr="003D5B85">
        <w:rPr>
          <w:rFonts w:ascii="Book Antiqua" w:hAnsi="Book Antiqua" w:cs="Times New Roman"/>
          <w:color w:val="000000" w:themeColor="text1"/>
          <w:kern w:val="0"/>
          <w:sz w:val="24"/>
          <w:szCs w:val="24"/>
        </w:rPr>
        <w:t xml:space="preserve"> M</w:t>
      </w:r>
      <w:r w:rsidRPr="003D5B85">
        <w:rPr>
          <w:rFonts w:ascii="Book Antiqua" w:eastAsia="Times New Roman" w:hAnsi="Book Antiqua" w:cs="Times New Roman"/>
          <w:color w:val="000000" w:themeColor="text1"/>
          <w:kern w:val="0"/>
          <w:sz w:val="24"/>
          <w:szCs w:val="24"/>
        </w:rPr>
        <w:t>inimal HE or covert HE is reported in 20%</w:t>
      </w:r>
      <w:r w:rsidR="006439FE" w:rsidRPr="003D5B85">
        <w:rPr>
          <w:rFonts w:ascii="Book Antiqua" w:eastAsia="Times New Roman" w:hAnsi="Book Antiqua" w:cs="Times New Roman"/>
          <w:color w:val="000000" w:themeColor="text1"/>
          <w:kern w:val="0"/>
          <w:sz w:val="24"/>
          <w:szCs w:val="24"/>
        </w:rPr>
        <w:t>-</w:t>
      </w:r>
      <w:r w:rsidRPr="003D5B85">
        <w:rPr>
          <w:rFonts w:ascii="Book Antiqua" w:eastAsia="Times New Roman" w:hAnsi="Book Antiqua" w:cs="Times New Roman"/>
          <w:color w:val="000000" w:themeColor="text1"/>
          <w:kern w:val="0"/>
          <w:sz w:val="24"/>
          <w:szCs w:val="24"/>
        </w:rPr>
        <w:t>80% of patients with cirrhosis, and the incidence of overt HE is</w:t>
      </w:r>
      <w:r w:rsidRPr="003D5B85">
        <w:rPr>
          <w:rFonts w:ascii="Book Antiqua" w:hAnsi="Book Antiqua" w:cs="Times New Roman"/>
          <w:color w:val="000000" w:themeColor="text1"/>
          <w:kern w:val="0"/>
          <w:sz w:val="24"/>
          <w:szCs w:val="24"/>
        </w:rPr>
        <w:t xml:space="preserve"> </w:t>
      </w:r>
      <w:r w:rsidRPr="003D5B85">
        <w:rPr>
          <w:rFonts w:ascii="Book Antiqua" w:eastAsia="Times New Roman" w:hAnsi="Book Antiqua" w:cs="Times New Roman"/>
          <w:color w:val="000000" w:themeColor="text1"/>
          <w:kern w:val="0"/>
          <w:sz w:val="24"/>
          <w:szCs w:val="24"/>
        </w:rPr>
        <w:t>30</w:t>
      </w:r>
      <w:r w:rsidR="006439FE" w:rsidRPr="003D5B85">
        <w:rPr>
          <w:rFonts w:ascii="Book Antiqua" w:eastAsia="Times New Roman" w:hAnsi="Book Antiqua" w:cs="Times New Roman"/>
          <w:color w:val="000000" w:themeColor="text1"/>
          <w:kern w:val="0"/>
          <w:sz w:val="24"/>
          <w:szCs w:val="24"/>
        </w:rPr>
        <w:t>%-</w:t>
      </w:r>
      <w:r w:rsidRPr="003D5B85">
        <w:rPr>
          <w:rFonts w:ascii="Book Antiqua" w:eastAsia="Times New Roman" w:hAnsi="Book Antiqua" w:cs="Times New Roman"/>
          <w:color w:val="000000" w:themeColor="text1"/>
          <w:kern w:val="0"/>
          <w:sz w:val="24"/>
          <w:szCs w:val="24"/>
        </w:rPr>
        <w:t>40</w:t>
      </w:r>
      <w:proofErr w:type="gramStart"/>
      <w:r w:rsidRPr="003D5B85">
        <w:rPr>
          <w:rFonts w:ascii="Book Antiqua" w:eastAsia="Times New Roman" w:hAnsi="Book Antiqua" w:cs="Times New Roman"/>
          <w:color w:val="000000" w:themeColor="text1"/>
          <w:kern w:val="0"/>
          <w:sz w:val="24"/>
          <w:szCs w:val="24"/>
        </w:rPr>
        <w:t>%</w:t>
      </w:r>
      <w:r w:rsidR="0040398F" w:rsidRPr="003D5B85">
        <w:rPr>
          <w:rFonts w:ascii="Book Antiqua" w:eastAsia="Times New Roman" w:hAnsi="Book Antiqua" w:cs="Times New Roman"/>
          <w:color w:val="000000" w:themeColor="text1"/>
          <w:kern w:val="0"/>
          <w:sz w:val="24"/>
          <w:szCs w:val="24"/>
          <w:vertAlign w:val="superscript"/>
        </w:rPr>
        <w:t>[</w:t>
      </w:r>
      <w:proofErr w:type="gramEnd"/>
      <w:r w:rsidR="0040398F" w:rsidRPr="003D5B85">
        <w:rPr>
          <w:rFonts w:ascii="Book Antiqua" w:hAnsi="Book Antiqua" w:cs="Times New Roman"/>
          <w:color w:val="000000" w:themeColor="text1"/>
          <w:kern w:val="0"/>
          <w:sz w:val="24"/>
          <w:szCs w:val="24"/>
          <w:vertAlign w:val="superscript"/>
        </w:rPr>
        <w:t>2]</w:t>
      </w:r>
      <w:r w:rsidR="0040398F" w:rsidRPr="003D5B85">
        <w:rPr>
          <w:rFonts w:ascii="Book Antiqua" w:hAnsi="Book Antiqua" w:cs="Times New Roman"/>
          <w:color w:val="000000" w:themeColor="text1"/>
          <w:kern w:val="0"/>
          <w:sz w:val="24"/>
          <w:szCs w:val="24"/>
        </w:rPr>
        <w:t>.</w:t>
      </w:r>
      <w:r w:rsidRPr="003D5B85">
        <w:rPr>
          <w:rFonts w:ascii="Book Antiqua" w:eastAsia="Times New Roman" w:hAnsi="Book Antiqua" w:cs="Times New Roman"/>
          <w:color w:val="000000" w:themeColor="text1"/>
          <w:kern w:val="0"/>
          <w:sz w:val="24"/>
          <w:szCs w:val="24"/>
        </w:rPr>
        <w:t xml:space="preserve"> These complications are </w:t>
      </w:r>
      <w:r w:rsidRPr="003D5B85">
        <w:rPr>
          <w:rFonts w:ascii="Book Antiqua" w:hAnsi="Book Antiqua" w:cs="Times New Roman"/>
          <w:color w:val="000000" w:themeColor="text1"/>
          <w:sz w:val="24"/>
          <w:szCs w:val="24"/>
        </w:rPr>
        <w:t xml:space="preserve">associated with impaired quality of life and poor </w:t>
      </w:r>
      <w:proofErr w:type="gramStart"/>
      <w:r w:rsidRPr="003D5B85">
        <w:rPr>
          <w:rFonts w:ascii="Book Antiqua" w:hAnsi="Book Antiqua" w:cs="Times New Roman"/>
          <w:color w:val="000000" w:themeColor="text1"/>
          <w:sz w:val="24"/>
          <w:szCs w:val="24"/>
        </w:rPr>
        <w:t>prognosis</w:t>
      </w:r>
      <w:r w:rsidR="00D53E9F" w:rsidRPr="003D5B85">
        <w:rPr>
          <w:rFonts w:ascii="Book Antiqua" w:hAnsi="Book Antiqua" w:cs="Times New Roman"/>
          <w:color w:val="000000" w:themeColor="text1"/>
          <w:sz w:val="24"/>
          <w:szCs w:val="24"/>
          <w:vertAlign w:val="superscript"/>
        </w:rPr>
        <w:t>[</w:t>
      </w:r>
      <w:proofErr w:type="gramEnd"/>
      <w:r w:rsidR="00D53E9F" w:rsidRPr="003D5B85">
        <w:rPr>
          <w:rFonts w:ascii="Book Antiqua" w:hAnsi="Book Antiqua" w:cs="Times New Roman"/>
          <w:color w:val="000000" w:themeColor="text1"/>
          <w:kern w:val="0"/>
          <w:sz w:val="24"/>
          <w:szCs w:val="24"/>
          <w:vertAlign w:val="superscript"/>
        </w:rPr>
        <w:t>2,3]</w:t>
      </w:r>
      <w:r w:rsidRPr="003D5B85">
        <w:rPr>
          <w:rFonts w:ascii="Book Antiqua" w:hAnsi="Book Antiqua" w:cs="Times New Roman"/>
          <w:color w:val="000000" w:themeColor="text1"/>
          <w:sz w:val="24"/>
          <w:szCs w:val="24"/>
        </w:rPr>
        <w:t>.</w:t>
      </w:r>
      <w:r w:rsidRPr="003D5B85">
        <w:rPr>
          <w:rFonts w:ascii="Book Antiqua" w:eastAsia="Times New Roman" w:hAnsi="Book Antiqua" w:cs="Times New Roman"/>
          <w:color w:val="000000" w:themeColor="text1"/>
          <w:kern w:val="0"/>
          <w:sz w:val="24"/>
          <w:szCs w:val="24"/>
        </w:rPr>
        <w:t xml:space="preserve"> At present, several factors have been identified that </w:t>
      </w:r>
      <w:r w:rsidR="00F843B2" w:rsidRPr="003D5B85">
        <w:rPr>
          <w:rFonts w:ascii="Book Antiqua" w:eastAsia="Times New Roman" w:hAnsi="Book Antiqua" w:cs="Times New Roman"/>
          <w:color w:val="000000" w:themeColor="text1"/>
          <w:kern w:val="0"/>
          <w:sz w:val="24"/>
          <w:szCs w:val="24"/>
        </w:rPr>
        <w:t>induce</w:t>
      </w:r>
      <w:r w:rsidRPr="003D5B85">
        <w:rPr>
          <w:rFonts w:ascii="Book Antiqua" w:eastAsia="Times New Roman" w:hAnsi="Book Antiqua" w:cs="Times New Roman"/>
          <w:color w:val="000000" w:themeColor="text1"/>
          <w:kern w:val="0"/>
          <w:sz w:val="24"/>
          <w:szCs w:val="24"/>
        </w:rPr>
        <w:t xml:space="preserve"> the incidence of HE, such as infection</w:t>
      </w:r>
      <w:r w:rsidRPr="003D5B85">
        <w:rPr>
          <w:rFonts w:ascii="Book Antiqua" w:eastAsia="宋体" w:hAnsi="Book Antiqua" w:cs="Times New Roman"/>
          <w:color w:val="000000" w:themeColor="text1"/>
          <w:kern w:val="0"/>
          <w:sz w:val="24"/>
          <w:szCs w:val="24"/>
        </w:rPr>
        <w:t xml:space="preserve">, </w:t>
      </w:r>
      <w:r w:rsidRPr="003D5B85">
        <w:rPr>
          <w:rFonts w:ascii="Book Antiqua" w:eastAsia="Times New Roman" w:hAnsi="Book Antiqua" w:cs="Times New Roman"/>
          <w:color w:val="000000" w:themeColor="text1"/>
          <w:kern w:val="0"/>
          <w:sz w:val="24"/>
          <w:szCs w:val="24"/>
        </w:rPr>
        <w:t>constipation</w:t>
      </w:r>
      <w:r w:rsidRPr="003D5B85">
        <w:rPr>
          <w:rFonts w:ascii="Book Antiqua" w:eastAsia="宋体" w:hAnsi="Book Antiqua" w:cs="Times New Roman"/>
          <w:color w:val="000000" w:themeColor="text1"/>
          <w:kern w:val="0"/>
          <w:sz w:val="24"/>
          <w:szCs w:val="24"/>
        </w:rPr>
        <w:t xml:space="preserve">, </w:t>
      </w:r>
      <w:r w:rsidRPr="003D5B85">
        <w:rPr>
          <w:rFonts w:ascii="Book Antiqua" w:eastAsia="Times New Roman" w:hAnsi="Book Antiqua" w:cs="Times New Roman"/>
          <w:color w:val="000000" w:themeColor="text1"/>
          <w:kern w:val="0"/>
          <w:sz w:val="24"/>
          <w:szCs w:val="24"/>
        </w:rPr>
        <w:t>gastrointestinal bleeding</w:t>
      </w:r>
      <w:r w:rsidRPr="003D5B85">
        <w:rPr>
          <w:rFonts w:ascii="Book Antiqua" w:eastAsia="宋体" w:hAnsi="Book Antiqua" w:cs="Times New Roman"/>
          <w:color w:val="000000" w:themeColor="text1"/>
          <w:kern w:val="0"/>
          <w:sz w:val="24"/>
          <w:szCs w:val="24"/>
        </w:rPr>
        <w:t xml:space="preserve">, </w:t>
      </w:r>
      <w:r w:rsidRPr="003D5B85">
        <w:rPr>
          <w:rFonts w:ascii="Book Antiqua" w:eastAsia="Times New Roman" w:hAnsi="Book Antiqua" w:cs="Times New Roman"/>
          <w:color w:val="000000" w:themeColor="text1"/>
          <w:kern w:val="0"/>
          <w:sz w:val="24"/>
          <w:szCs w:val="24"/>
        </w:rPr>
        <w:t xml:space="preserve">and the use of some nervous system </w:t>
      </w:r>
      <w:proofErr w:type="gramStart"/>
      <w:r w:rsidRPr="003D5B85">
        <w:rPr>
          <w:rFonts w:ascii="Book Antiqua" w:eastAsia="Times New Roman" w:hAnsi="Book Antiqua" w:cs="Times New Roman"/>
          <w:color w:val="000000" w:themeColor="text1"/>
          <w:kern w:val="0"/>
          <w:sz w:val="24"/>
          <w:szCs w:val="24"/>
        </w:rPr>
        <w:t>drugs</w:t>
      </w:r>
      <w:r w:rsidR="00072F54" w:rsidRPr="003D5B85">
        <w:rPr>
          <w:rFonts w:ascii="Book Antiqua" w:eastAsia="Times New Roman" w:hAnsi="Book Antiqua" w:cs="Times New Roman"/>
          <w:color w:val="000000" w:themeColor="text1"/>
          <w:kern w:val="0"/>
          <w:sz w:val="24"/>
          <w:szCs w:val="24"/>
          <w:vertAlign w:val="superscript"/>
        </w:rPr>
        <w:t>[</w:t>
      </w:r>
      <w:proofErr w:type="gramEnd"/>
      <w:r w:rsidR="00072F54" w:rsidRPr="003D5B85">
        <w:rPr>
          <w:rFonts w:ascii="Book Antiqua" w:hAnsi="Book Antiqua" w:cs="Times New Roman"/>
          <w:color w:val="000000" w:themeColor="text1"/>
          <w:kern w:val="0"/>
          <w:sz w:val="24"/>
          <w:szCs w:val="24"/>
          <w:vertAlign w:val="superscript"/>
        </w:rPr>
        <w:t>2]</w:t>
      </w:r>
      <w:r w:rsidR="00072F54" w:rsidRPr="003D5B85">
        <w:rPr>
          <w:rFonts w:ascii="Book Antiqua" w:hAnsi="Book Antiqua" w:cs="Times New Roman"/>
          <w:color w:val="000000" w:themeColor="text1"/>
          <w:kern w:val="0"/>
          <w:sz w:val="24"/>
          <w:szCs w:val="24"/>
        </w:rPr>
        <w:t>.</w:t>
      </w:r>
      <w:r w:rsidRPr="003D5B85">
        <w:rPr>
          <w:rFonts w:ascii="Book Antiqua" w:eastAsia="Times New Roman" w:hAnsi="Book Antiqua" w:cs="Times New Roman"/>
          <w:color w:val="000000" w:themeColor="text1"/>
          <w:kern w:val="0"/>
          <w:sz w:val="24"/>
          <w:szCs w:val="24"/>
        </w:rPr>
        <w:t xml:space="preserve"> However, unknown influential factors still need to be explored to facilitate better management of patients with chronic liver disease.</w:t>
      </w:r>
    </w:p>
    <w:p w14:paraId="4E3E9AE3" w14:textId="772049C5" w:rsidR="006439FE" w:rsidRPr="003D5B85" w:rsidRDefault="002878A3" w:rsidP="006439FE">
      <w:pPr>
        <w:autoSpaceDE w:val="0"/>
        <w:autoSpaceDN w:val="0"/>
        <w:adjustRightInd w:val="0"/>
        <w:spacing w:line="360" w:lineRule="auto"/>
        <w:ind w:firstLineChars="100" w:firstLine="240"/>
        <w:rPr>
          <w:rFonts w:ascii="Book Antiqua" w:hAnsi="Book Antiqua" w:cs="Times New Roman"/>
          <w:color w:val="000000" w:themeColor="text1"/>
          <w:sz w:val="24"/>
          <w:szCs w:val="24"/>
        </w:rPr>
      </w:pPr>
      <w:r w:rsidRPr="003D5B85">
        <w:rPr>
          <w:rFonts w:ascii="Book Antiqua" w:hAnsi="Book Antiqua" w:cs="Times New Roman"/>
          <w:color w:val="000000" w:themeColor="text1"/>
          <w:sz w:val="24"/>
          <w:szCs w:val="24"/>
        </w:rPr>
        <w:t xml:space="preserve">With an excellent safety profile, proton pump inhibitors (PPIs) are commonly prescribed for peptic ulcer disease, reflux disease, esophagitis, </w:t>
      </w:r>
      <w:proofErr w:type="spellStart"/>
      <w:r w:rsidRPr="003D5B85">
        <w:rPr>
          <w:rFonts w:ascii="Book Antiqua" w:hAnsi="Book Antiqua" w:cs="Times New Roman"/>
          <w:color w:val="000000" w:themeColor="text1"/>
          <w:sz w:val="24"/>
          <w:szCs w:val="24"/>
        </w:rPr>
        <w:t>nonvariceal</w:t>
      </w:r>
      <w:proofErr w:type="spellEnd"/>
      <w:r w:rsidRPr="003D5B85">
        <w:rPr>
          <w:rFonts w:ascii="Book Antiqua" w:hAnsi="Book Antiqua" w:cs="Times New Roman"/>
          <w:color w:val="000000" w:themeColor="text1"/>
          <w:sz w:val="24"/>
          <w:szCs w:val="24"/>
        </w:rPr>
        <w:t xml:space="preserve"> upper gastrointestinal bleeding, </w:t>
      </w:r>
      <w:proofErr w:type="spellStart"/>
      <w:proofErr w:type="gramStart"/>
      <w:r w:rsidRPr="003D5B85">
        <w:rPr>
          <w:rFonts w:ascii="Book Antiqua" w:eastAsia="等线" w:hAnsi="Book Antiqua" w:cs="Times New Roman"/>
          <w:i/>
          <w:color w:val="000000" w:themeColor="text1"/>
          <w:sz w:val="24"/>
          <w:szCs w:val="24"/>
        </w:rPr>
        <w:t>etc</w:t>
      </w:r>
      <w:proofErr w:type="spellEnd"/>
      <w:r w:rsidR="00F4717D" w:rsidRPr="003D5B85">
        <w:rPr>
          <w:rFonts w:ascii="Book Antiqua" w:eastAsia="Times New Roman" w:hAnsi="Book Antiqua" w:cs="Times New Roman"/>
          <w:color w:val="000000" w:themeColor="text1"/>
          <w:kern w:val="0"/>
          <w:sz w:val="24"/>
          <w:szCs w:val="24"/>
          <w:vertAlign w:val="superscript"/>
        </w:rPr>
        <w:t>[</w:t>
      </w:r>
      <w:proofErr w:type="gramEnd"/>
      <w:r w:rsidR="00F4717D" w:rsidRPr="003D5B85">
        <w:rPr>
          <w:rFonts w:ascii="Book Antiqua" w:hAnsi="Book Antiqua" w:cs="Times New Roman"/>
          <w:color w:val="000000" w:themeColor="text1"/>
          <w:kern w:val="0"/>
          <w:sz w:val="24"/>
          <w:szCs w:val="24"/>
          <w:vertAlign w:val="superscript"/>
        </w:rPr>
        <w:t>4]</w:t>
      </w:r>
      <w:r w:rsidRPr="003D5B85">
        <w:rPr>
          <w:rFonts w:ascii="Book Antiqua" w:hAnsi="Book Antiqua" w:cs="Times New Roman"/>
          <w:color w:val="000000" w:themeColor="text1"/>
          <w:sz w:val="24"/>
          <w:szCs w:val="24"/>
        </w:rPr>
        <w:t>. PPIs are very commonly used by as many as 46</w:t>
      </w:r>
      <w:r w:rsidR="006439FE" w:rsidRPr="003D5B85">
        <w:rPr>
          <w:rFonts w:ascii="Book Antiqua" w:hAnsi="Book Antiqua" w:cs="Times New Roman"/>
          <w:color w:val="000000" w:themeColor="text1"/>
          <w:sz w:val="24"/>
          <w:szCs w:val="24"/>
        </w:rPr>
        <w:t>%</w:t>
      </w:r>
      <w:r w:rsidRPr="003D5B85">
        <w:rPr>
          <w:rFonts w:ascii="Book Antiqua" w:hAnsi="Book Antiqua" w:cs="Times New Roman"/>
          <w:color w:val="000000" w:themeColor="text1"/>
          <w:sz w:val="24"/>
          <w:szCs w:val="24"/>
        </w:rPr>
        <w:t xml:space="preserve">-78% of patients with cirrhosis, and the excessive use of PPIs leads to a poor </w:t>
      </w:r>
      <w:proofErr w:type="gramStart"/>
      <w:r w:rsidRPr="003D5B85">
        <w:rPr>
          <w:rFonts w:ascii="Book Antiqua" w:hAnsi="Book Antiqua" w:cs="Times New Roman"/>
          <w:color w:val="000000" w:themeColor="text1"/>
          <w:sz w:val="24"/>
          <w:szCs w:val="24"/>
        </w:rPr>
        <w:t>prognosis</w:t>
      </w:r>
      <w:r w:rsidR="002416C0" w:rsidRPr="003D5B85">
        <w:rPr>
          <w:rFonts w:ascii="Book Antiqua" w:eastAsia="Times New Roman" w:hAnsi="Book Antiqua" w:cs="Times New Roman"/>
          <w:color w:val="000000" w:themeColor="text1"/>
          <w:kern w:val="0"/>
          <w:sz w:val="24"/>
          <w:szCs w:val="24"/>
          <w:vertAlign w:val="superscript"/>
        </w:rPr>
        <w:t>[</w:t>
      </w:r>
      <w:proofErr w:type="gramEnd"/>
      <w:r w:rsidR="002416C0" w:rsidRPr="003D5B85">
        <w:rPr>
          <w:rFonts w:ascii="Book Antiqua" w:hAnsi="Book Antiqua" w:cs="Times New Roman"/>
          <w:color w:val="000000" w:themeColor="text1"/>
          <w:kern w:val="0"/>
          <w:sz w:val="24"/>
          <w:szCs w:val="24"/>
          <w:vertAlign w:val="superscript"/>
        </w:rPr>
        <w:t>5-7]</w:t>
      </w:r>
      <w:r w:rsidRPr="003D5B85">
        <w:rPr>
          <w:rFonts w:ascii="Book Antiqua" w:hAnsi="Book Antiqua" w:cs="Times New Roman"/>
          <w:color w:val="000000" w:themeColor="text1"/>
          <w:sz w:val="24"/>
          <w:szCs w:val="24"/>
        </w:rPr>
        <w:t xml:space="preserve">. By altering intestinal microflora and increasing bacterial proliferation, previous studies have reported that </w:t>
      </w:r>
      <w:r w:rsidRPr="003D5B85">
        <w:rPr>
          <w:rFonts w:ascii="Book Antiqua" w:eastAsia="等线" w:hAnsi="Book Antiqua" w:cs="Times New Roman"/>
          <w:color w:val="000000" w:themeColor="text1"/>
          <w:sz w:val="24"/>
          <w:szCs w:val="24"/>
        </w:rPr>
        <w:t>PPI</w:t>
      </w:r>
      <w:r w:rsidRPr="003D5B85">
        <w:rPr>
          <w:rFonts w:ascii="Book Antiqua" w:hAnsi="Book Antiqua" w:cs="Times New Roman"/>
          <w:color w:val="000000" w:themeColor="text1"/>
          <w:sz w:val="24"/>
          <w:szCs w:val="24"/>
        </w:rPr>
        <w:t xml:space="preserve"> treatment is associated with small intestinal bacterial overgrowth (SIBO), spontaneous bacterial peritonitis</w:t>
      </w:r>
      <w:r w:rsidR="00150C7D" w:rsidRPr="003D5B85">
        <w:rPr>
          <w:rFonts w:ascii="Book Antiqua" w:hAnsi="Book Antiqua" w:cs="Times New Roman"/>
          <w:color w:val="000000" w:themeColor="text1"/>
          <w:sz w:val="24"/>
          <w:szCs w:val="24"/>
        </w:rPr>
        <w:t>,</w:t>
      </w:r>
      <w:r w:rsidRPr="003D5B85">
        <w:rPr>
          <w:rFonts w:ascii="Book Antiqua" w:hAnsi="Book Antiqua" w:cs="Times New Roman"/>
          <w:color w:val="000000" w:themeColor="text1"/>
          <w:sz w:val="24"/>
          <w:szCs w:val="24"/>
        </w:rPr>
        <w:t xml:space="preserve"> and other bacterial infections in patients with </w:t>
      </w:r>
      <w:proofErr w:type="gramStart"/>
      <w:r w:rsidRPr="003D5B85">
        <w:rPr>
          <w:rFonts w:ascii="Book Antiqua" w:hAnsi="Book Antiqua" w:cs="Times New Roman"/>
          <w:color w:val="000000" w:themeColor="text1"/>
          <w:sz w:val="24"/>
          <w:szCs w:val="24"/>
        </w:rPr>
        <w:t>cirrhosis</w:t>
      </w:r>
      <w:r w:rsidR="00B61259" w:rsidRPr="003D5B85">
        <w:rPr>
          <w:rFonts w:ascii="Book Antiqua" w:eastAsia="Times New Roman" w:hAnsi="Book Antiqua" w:cs="Times New Roman"/>
          <w:color w:val="000000" w:themeColor="text1"/>
          <w:kern w:val="0"/>
          <w:sz w:val="24"/>
          <w:szCs w:val="24"/>
          <w:vertAlign w:val="superscript"/>
        </w:rPr>
        <w:t>[</w:t>
      </w:r>
      <w:proofErr w:type="gramEnd"/>
      <w:r w:rsidR="00B61259" w:rsidRPr="003D5B85">
        <w:rPr>
          <w:rFonts w:ascii="Book Antiqua" w:hAnsi="Book Antiqua" w:cs="Times New Roman"/>
          <w:color w:val="000000" w:themeColor="text1"/>
          <w:kern w:val="0"/>
          <w:sz w:val="24"/>
          <w:szCs w:val="24"/>
          <w:vertAlign w:val="superscript"/>
        </w:rPr>
        <w:t>8-12]</w:t>
      </w:r>
      <w:r w:rsidRPr="003D5B85">
        <w:rPr>
          <w:rFonts w:ascii="Book Antiqua" w:hAnsi="Book Antiqua" w:cs="Times New Roman"/>
          <w:color w:val="000000" w:themeColor="text1"/>
          <w:sz w:val="24"/>
          <w:szCs w:val="24"/>
        </w:rPr>
        <w:t xml:space="preserve">. In addition, there is growing evidence that </w:t>
      </w:r>
      <w:r w:rsidRPr="003D5B85">
        <w:rPr>
          <w:rFonts w:ascii="Book Antiqua" w:eastAsia="等线" w:hAnsi="Book Antiqua" w:cs="Times New Roman"/>
          <w:color w:val="000000" w:themeColor="text1"/>
          <w:sz w:val="24"/>
          <w:szCs w:val="24"/>
        </w:rPr>
        <w:t>PPI</w:t>
      </w:r>
      <w:r w:rsidRPr="003D5B85">
        <w:rPr>
          <w:rFonts w:ascii="Book Antiqua" w:hAnsi="Book Antiqua" w:cs="Times New Roman"/>
          <w:color w:val="000000" w:themeColor="text1"/>
          <w:sz w:val="24"/>
          <w:szCs w:val="24"/>
        </w:rPr>
        <w:t xml:space="preserve"> therapy is associated with HE in patients with advanced liver </w:t>
      </w:r>
      <w:proofErr w:type="gramStart"/>
      <w:r w:rsidRPr="003D5B85">
        <w:rPr>
          <w:rFonts w:ascii="Book Antiqua" w:hAnsi="Book Antiqua" w:cs="Times New Roman"/>
          <w:color w:val="000000" w:themeColor="text1"/>
          <w:sz w:val="24"/>
          <w:szCs w:val="24"/>
        </w:rPr>
        <w:t>disease</w:t>
      </w:r>
      <w:r w:rsidR="009C5F7F" w:rsidRPr="003D5B85">
        <w:rPr>
          <w:rFonts w:ascii="Book Antiqua" w:eastAsia="Times New Roman" w:hAnsi="Book Antiqua" w:cs="Times New Roman"/>
          <w:color w:val="000000" w:themeColor="text1"/>
          <w:kern w:val="0"/>
          <w:sz w:val="24"/>
          <w:szCs w:val="24"/>
          <w:vertAlign w:val="superscript"/>
        </w:rPr>
        <w:t>[</w:t>
      </w:r>
      <w:proofErr w:type="gramEnd"/>
      <w:r w:rsidR="009C5F7F" w:rsidRPr="003D5B85">
        <w:rPr>
          <w:rFonts w:ascii="Book Antiqua" w:hAnsi="Book Antiqua" w:cs="Times New Roman"/>
          <w:color w:val="000000" w:themeColor="text1"/>
          <w:kern w:val="0"/>
          <w:sz w:val="24"/>
          <w:szCs w:val="24"/>
          <w:vertAlign w:val="superscript"/>
        </w:rPr>
        <w:t>13-18]</w:t>
      </w:r>
      <w:r w:rsidRPr="003D5B85">
        <w:rPr>
          <w:rFonts w:ascii="Book Antiqua" w:hAnsi="Book Antiqua" w:cs="Times New Roman"/>
          <w:color w:val="000000" w:themeColor="text1"/>
          <w:sz w:val="24"/>
          <w:szCs w:val="24"/>
        </w:rPr>
        <w:t xml:space="preserve">. A previous meta-analysis evaluating </w:t>
      </w:r>
      <w:r w:rsidRPr="003D5B85">
        <w:rPr>
          <w:rFonts w:ascii="Book Antiqua" w:eastAsia="等线" w:hAnsi="Book Antiqua" w:cs="Times New Roman"/>
          <w:color w:val="000000" w:themeColor="text1"/>
          <w:sz w:val="24"/>
          <w:szCs w:val="24"/>
        </w:rPr>
        <w:t xml:space="preserve">the </w:t>
      </w:r>
      <w:r w:rsidRPr="003D5B85">
        <w:rPr>
          <w:rFonts w:ascii="Book Antiqua" w:hAnsi="Book Antiqua" w:cs="Times New Roman"/>
          <w:color w:val="000000" w:themeColor="text1"/>
          <w:sz w:val="24"/>
          <w:szCs w:val="24"/>
        </w:rPr>
        <w:t>association between PPIs and HE included only three retrospective studies. Due to the limited number of studies, large heterogeneity</w:t>
      </w:r>
      <w:r w:rsidR="00150C7D" w:rsidRPr="003D5B85">
        <w:rPr>
          <w:rFonts w:ascii="Book Antiqua" w:hAnsi="Book Antiqua" w:cs="Times New Roman"/>
          <w:color w:val="000000" w:themeColor="text1"/>
          <w:sz w:val="24"/>
          <w:szCs w:val="24"/>
        </w:rPr>
        <w:t>,</w:t>
      </w:r>
      <w:r w:rsidRPr="003D5B85">
        <w:rPr>
          <w:rFonts w:ascii="Book Antiqua" w:hAnsi="Book Antiqua" w:cs="Times New Roman"/>
          <w:color w:val="000000" w:themeColor="text1"/>
          <w:sz w:val="24"/>
          <w:szCs w:val="24"/>
        </w:rPr>
        <w:t xml:space="preserve"> and lack of prospective studies, a definite conclusion could not be </w:t>
      </w:r>
      <w:proofErr w:type="gramStart"/>
      <w:r w:rsidRPr="003D5B85">
        <w:rPr>
          <w:rFonts w:ascii="Book Antiqua" w:hAnsi="Book Antiqua" w:cs="Times New Roman"/>
          <w:color w:val="000000" w:themeColor="text1"/>
          <w:sz w:val="24"/>
          <w:szCs w:val="24"/>
        </w:rPr>
        <w:t>drawn</w:t>
      </w:r>
      <w:r w:rsidR="0022393E" w:rsidRPr="003D5B85">
        <w:rPr>
          <w:rFonts w:ascii="Book Antiqua" w:eastAsia="Times New Roman" w:hAnsi="Book Antiqua" w:cs="Times New Roman"/>
          <w:color w:val="000000" w:themeColor="text1"/>
          <w:kern w:val="0"/>
          <w:sz w:val="24"/>
          <w:szCs w:val="24"/>
          <w:vertAlign w:val="superscript"/>
        </w:rPr>
        <w:t>[</w:t>
      </w:r>
      <w:proofErr w:type="gramEnd"/>
      <w:r w:rsidR="0022393E" w:rsidRPr="003D5B85">
        <w:rPr>
          <w:rFonts w:ascii="Book Antiqua" w:hAnsi="Book Antiqua" w:cs="Times New Roman"/>
          <w:color w:val="000000" w:themeColor="text1"/>
          <w:kern w:val="0"/>
          <w:sz w:val="24"/>
          <w:szCs w:val="24"/>
          <w:vertAlign w:val="superscript"/>
        </w:rPr>
        <w:t>19]</w:t>
      </w:r>
      <w:r w:rsidRPr="003D5B85">
        <w:rPr>
          <w:rFonts w:ascii="Book Antiqua" w:hAnsi="Book Antiqua" w:cs="Times New Roman"/>
          <w:color w:val="000000" w:themeColor="text1"/>
          <w:sz w:val="24"/>
          <w:szCs w:val="24"/>
        </w:rPr>
        <w:t xml:space="preserve">. </w:t>
      </w:r>
      <w:r w:rsidRPr="003D5B85">
        <w:rPr>
          <w:rFonts w:ascii="Book Antiqua" w:eastAsia="等线" w:hAnsi="Book Antiqua" w:cs="Times New Roman"/>
          <w:color w:val="000000" w:themeColor="text1"/>
          <w:sz w:val="24"/>
          <w:szCs w:val="24"/>
        </w:rPr>
        <w:t>To</w:t>
      </w:r>
      <w:r w:rsidRPr="003D5B85">
        <w:rPr>
          <w:rFonts w:ascii="Book Antiqua" w:hAnsi="Book Antiqua" w:cs="Times New Roman"/>
          <w:color w:val="000000" w:themeColor="text1"/>
          <w:sz w:val="24"/>
          <w:szCs w:val="24"/>
        </w:rPr>
        <w:t xml:space="preserve"> clarify the conclusions, </w:t>
      </w:r>
      <w:r w:rsidR="00ED378A" w:rsidRPr="003D5B85">
        <w:rPr>
          <w:rFonts w:ascii="Book Antiqua" w:hAnsi="Book Antiqua" w:cs="Times New Roman"/>
          <w:color w:val="000000" w:themeColor="text1"/>
          <w:sz w:val="24"/>
          <w:szCs w:val="24"/>
        </w:rPr>
        <w:t xml:space="preserve">this meta-analysis was performed to further examine the association between PPI use and the risk of </w:t>
      </w:r>
      <w:proofErr w:type="gramStart"/>
      <w:r w:rsidR="00ED378A" w:rsidRPr="003D5B85">
        <w:rPr>
          <w:rFonts w:ascii="Book Antiqua" w:hAnsi="Book Antiqua" w:cs="Times New Roman"/>
          <w:color w:val="000000" w:themeColor="text1"/>
          <w:sz w:val="24"/>
          <w:szCs w:val="24"/>
        </w:rPr>
        <w:t>HE</w:t>
      </w:r>
      <w:proofErr w:type="gramEnd"/>
      <w:r w:rsidR="00ED378A" w:rsidRPr="003D5B85">
        <w:rPr>
          <w:rFonts w:ascii="Book Antiqua" w:hAnsi="Book Antiqua" w:cs="Times New Roman"/>
          <w:color w:val="000000" w:themeColor="text1"/>
          <w:sz w:val="24"/>
          <w:szCs w:val="24"/>
        </w:rPr>
        <w:t xml:space="preserve"> in patients with advanced liver disease.</w:t>
      </w:r>
    </w:p>
    <w:p w14:paraId="7FDA5040" w14:textId="77777777" w:rsidR="006439FE" w:rsidRPr="003D5B85" w:rsidRDefault="006439FE" w:rsidP="006439FE">
      <w:pPr>
        <w:autoSpaceDE w:val="0"/>
        <w:autoSpaceDN w:val="0"/>
        <w:adjustRightInd w:val="0"/>
        <w:spacing w:line="360" w:lineRule="auto"/>
        <w:rPr>
          <w:rFonts w:ascii="Book Antiqua" w:hAnsi="Book Antiqua" w:cs="Times New Roman"/>
          <w:color w:val="000000" w:themeColor="text1"/>
          <w:sz w:val="24"/>
          <w:szCs w:val="24"/>
        </w:rPr>
      </w:pPr>
    </w:p>
    <w:p w14:paraId="0BEE0233" w14:textId="77777777" w:rsidR="006439FE" w:rsidRPr="003D5B85" w:rsidRDefault="006439FE" w:rsidP="006439FE">
      <w:pPr>
        <w:spacing w:line="360" w:lineRule="auto"/>
        <w:rPr>
          <w:rFonts w:ascii="Book Antiqua" w:hAnsi="Book Antiqua"/>
          <w:b/>
          <w:color w:val="000000" w:themeColor="text1"/>
          <w:sz w:val="24"/>
          <w:szCs w:val="24"/>
        </w:rPr>
      </w:pPr>
      <w:r w:rsidRPr="003D5B85">
        <w:rPr>
          <w:rFonts w:ascii="Book Antiqua" w:hAnsi="Book Antiqua"/>
          <w:b/>
          <w:color w:val="000000" w:themeColor="text1"/>
          <w:sz w:val="24"/>
          <w:szCs w:val="24"/>
        </w:rPr>
        <w:lastRenderedPageBreak/>
        <w:t>MATERIALS AND METHODS</w:t>
      </w:r>
    </w:p>
    <w:p w14:paraId="00C27095" w14:textId="77777777" w:rsidR="006439FE" w:rsidRPr="003D5B85" w:rsidRDefault="002878A3" w:rsidP="006439FE">
      <w:pPr>
        <w:spacing w:line="360" w:lineRule="auto"/>
        <w:rPr>
          <w:rFonts w:ascii="Book Antiqua" w:hAnsi="Book Antiqua" w:cs="Times New Roman"/>
          <w:b/>
          <w:i/>
          <w:color w:val="000000" w:themeColor="text1"/>
          <w:kern w:val="0"/>
          <w:sz w:val="24"/>
          <w:szCs w:val="24"/>
        </w:rPr>
      </w:pPr>
      <w:r w:rsidRPr="003D5B85">
        <w:rPr>
          <w:rFonts w:ascii="Book Antiqua" w:hAnsi="Book Antiqua" w:cs="Times New Roman"/>
          <w:b/>
          <w:i/>
          <w:color w:val="000000" w:themeColor="text1"/>
          <w:kern w:val="0"/>
          <w:sz w:val="24"/>
          <w:szCs w:val="24"/>
        </w:rPr>
        <w:t>Literature search</w:t>
      </w:r>
    </w:p>
    <w:p w14:paraId="17F8AF52" w14:textId="2B6D5CB1" w:rsidR="00FF424E" w:rsidRPr="003D5B85" w:rsidRDefault="00F65C4D" w:rsidP="008E3208">
      <w:pPr>
        <w:spacing w:line="360" w:lineRule="auto"/>
        <w:rPr>
          <w:rFonts w:ascii="Book Antiqua" w:hAnsi="Book Antiqua" w:cs="Times New Roman"/>
          <w:color w:val="000000" w:themeColor="text1"/>
          <w:sz w:val="24"/>
          <w:szCs w:val="24"/>
          <w:vertAlign w:val="superscript"/>
        </w:rPr>
      </w:pPr>
      <w:r w:rsidRPr="003D5B85">
        <w:rPr>
          <w:rFonts w:ascii="Book Antiqua" w:hAnsi="Book Antiqua" w:cs="Times New Roman"/>
          <w:color w:val="000000" w:themeColor="text1"/>
          <w:sz w:val="24"/>
          <w:szCs w:val="24"/>
        </w:rPr>
        <w:t xml:space="preserve">Our meta-analysis was conducted in line with the </w:t>
      </w:r>
      <w:r w:rsidR="00FF424E" w:rsidRPr="003D5B85">
        <w:rPr>
          <w:rFonts w:ascii="Book Antiqua" w:hAnsi="Book Antiqua" w:cs="Times New Roman"/>
          <w:color w:val="000000" w:themeColor="text1"/>
          <w:sz w:val="24"/>
          <w:szCs w:val="24"/>
        </w:rPr>
        <w:t>m</w:t>
      </w:r>
      <w:r w:rsidRPr="003D5B85">
        <w:rPr>
          <w:rFonts w:ascii="Book Antiqua" w:hAnsi="Book Antiqua" w:cs="Times New Roman"/>
          <w:color w:val="000000" w:themeColor="text1"/>
          <w:sz w:val="24"/>
          <w:szCs w:val="24"/>
        </w:rPr>
        <w:t>eta</w:t>
      </w:r>
      <w:r w:rsidR="00FF424E" w:rsidRPr="003D5B85">
        <w:rPr>
          <w:rFonts w:ascii="Book Antiqua" w:hAnsi="Book Antiqua" w:cs="Times New Roman"/>
          <w:color w:val="000000" w:themeColor="text1"/>
          <w:sz w:val="24"/>
          <w:szCs w:val="24"/>
        </w:rPr>
        <w:t>-</w:t>
      </w:r>
      <w:r w:rsidRPr="003D5B85">
        <w:rPr>
          <w:rFonts w:ascii="Book Antiqua" w:hAnsi="Book Antiqua" w:cs="Times New Roman"/>
          <w:color w:val="000000" w:themeColor="text1"/>
          <w:sz w:val="24"/>
          <w:szCs w:val="24"/>
        </w:rPr>
        <w:t xml:space="preserve">analysis </w:t>
      </w:r>
      <w:r w:rsidR="00FF424E" w:rsidRPr="003D5B85">
        <w:rPr>
          <w:rFonts w:ascii="Book Antiqua" w:hAnsi="Book Antiqua" w:cs="Times New Roman"/>
          <w:color w:val="000000" w:themeColor="text1"/>
          <w:sz w:val="24"/>
          <w:szCs w:val="24"/>
        </w:rPr>
        <w:t>of observational studies in epidemiology</w:t>
      </w:r>
      <w:r w:rsidRPr="003D5B85">
        <w:rPr>
          <w:rFonts w:ascii="Book Antiqua" w:hAnsi="Book Antiqua" w:cs="Times New Roman"/>
          <w:color w:val="000000" w:themeColor="text1"/>
          <w:sz w:val="24"/>
          <w:szCs w:val="24"/>
        </w:rPr>
        <w:t xml:space="preserve"> </w:t>
      </w:r>
      <w:proofErr w:type="gramStart"/>
      <w:r w:rsidRPr="003D5B85">
        <w:rPr>
          <w:rFonts w:ascii="Book Antiqua" w:hAnsi="Book Antiqua" w:cs="Times New Roman"/>
          <w:color w:val="000000" w:themeColor="text1"/>
          <w:sz w:val="24"/>
          <w:szCs w:val="24"/>
        </w:rPr>
        <w:t>guidelines</w:t>
      </w:r>
      <w:r w:rsidR="00571E49" w:rsidRPr="003D5B85">
        <w:rPr>
          <w:rFonts w:ascii="Book Antiqua" w:eastAsia="Times New Roman" w:hAnsi="Book Antiqua" w:cs="Times New Roman"/>
          <w:color w:val="000000" w:themeColor="text1"/>
          <w:kern w:val="0"/>
          <w:sz w:val="24"/>
          <w:szCs w:val="24"/>
          <w:vertAlign w:val="superscript"/>
        </w:rPr>
        <w:t>[</w:t>
      </w:r>
      <w:proofErr w:type="gramEnd"/>
      <w:r w:rsidR="00571E49" w:rsidRPr="003D5B85">
        <w:rPr>
          <w:rFonts w:ascii="Book Antiqua" w:hAnsi="Book Antiqua" w:cs="Times New Roman"/>
          <w:color w:val="000000" w:themeColor="text1"/>
          <w:kern w:val="0"/>
          <w:sz w:val="24"/>
          <w:szCs w:val="24"/>
          <w:vertAlign w:val="superscript"/>
        </w:rPr>
        <w:t>20]</w:t>
      </w:r>
      <w:r w:rsidRPr="003D5B85">
        <w:rPr>
          <w:rFonts w:ascii="Book Antiqua" w:hAnsi="Book Antiqua" w:cs="Times New Roman"/>
          <w:color w:val="000000" w:themeColor="text1"/>
          <w:sz w:val="24"/>
          <w:szCs w:val="24"/>
        </w:rPr>
        <w:t>.</w:t>
      </w:r>
      <w:r w:rsidR="008E3208" w:rsidRPr="003D5B85">
        <w:rPr>
          <w:rFonts w:ascii="Book Antiqua" w:hAnsi="Book Antiqua" w:cs="Times New Roman" w:hint="eastAsia"/>
          <w:color w:val="000000" w:themeColor="text1"/>
          <w:sz w:val="24"/>
          <w:szCs w:val="24"/>
        </w:rPr>
        <w:t xml:space="preserve"> </w:t>
      </w:r>
      <w:r w:rsidR="0055241E" w:rsidRPr="003D5B85">
        <w:rPr>
          <w:rFonts w:ascii="Book Antiqua" w:hAnsi="Book Antiqua" w:cs="Times New Roman"/>
          <w:color w:val="000000" w:themeColor="text1"/>
          <w:sz w:val="24"/>
          <w:szCs w:val="24"/>
        </w:rPr>
        <w:t>Electronic databases including PubMed</w:t>
      </w:r>
      <w:r w:rsidR="008E3208" w:rsidRPr="003D5B85">
        <w:rPr>
          <w:rFonts w:ascii="Book Antiqua" w:hAnsi="Book Antiqua" w:cs="Times New Roman"/>
          <w:color w:val="000000" w:themeColor="text1"/>
          <w:sz w:val="24"/>
          <w:szCs w:val="24"/>
        </w:rPr>
        <w:t xml:space="preserve"> </w:t>
      </w:r>
      <w:r w:rsidR="0055241E" w:rsidRPr="003D5B85">
        <w:rPr>
          <w:rFonts w:ascii="Book Antiqua" w:hAnsi="Book Antiqua" w:cs="Times New Roman"/>
          <w:color w:val="000000" w:themeColor="text1"/>
          <w:sz w:val="24"/>
          <w:szCs w:val="24"/>
        </w:rPr>
        <w:t>(from 1946 through January 8, 2019), EMBASE</w:t>
      </w:r>
      <w:r w:rsidR="008E3208" w:rsidRPr="003D5B85">
        <w:rPr>
          <w:rFonts w:ascii="Book Antiqua" w:hAnsi="Book Antiqua" w:cs="Times New Roman"/>
          <w:color w:val="000000" w:themeColor="text1"/>
          <w:sz w:val="24"/>
          <w:szCs w:val="24"/>
        </w:rPr>
        <w:t xml:space="preserve"> </w:t>
      </w:r>
      <w:r w:rsidR="0055241E" w:rsidRPr="003D5B85">
        <w:rPr>
          <w:rFonts w:ascii="Book Antiqua" w:hAnsi="Book Antiqua" w:cs="Times New Roman"/>
          <w:color w:val="000000" w:themeColor="text1"/>
          <w:sz w:val="24"/>
          <w:szCs w:val="24"/>
        </w:rPr>
        <w:t xml:space="preserve">(from 1988 through January 8, 2019), Cochrane Central Register of Controlled Trials (CENTRAL) (from 1991through January 8, 2019), and Cochrane Database and Systematic Reviews (from 2005 through January 8, 2019) were searched by </w:t>
      </w:r>
      <w:r w:rsidR="0074083F" w:rsidRPr="003D5B85">
        <w:rPr>
          <w:rFonts w:ascii="Book Antiqua" w:hAnsi="Book Antiqua" w:cs="Times New Roman"/>
          <w:color w:val="000000" w:themeColor="text1"/>
          <w:sz w:val="24"/>
          <w:szCs w:val="24"/>
        </w:rPr>
        <w:t>using</w:t>
      </w:r>
      <w:r w:rsidR="0055241E" w:rsidRPr="003D5B85">
        <w:rPr>
          <w:rFonts w:ascii="Book Antiqua" w:hAnsi="Book Antiqua" w:cs="Times New Roman"/>
          <w:color w:val="000000" w:themeColor="text1"/>
          <w:sz w:val="24"/>
          <w:szCs w:val="24"/>
        </w:rPr>
        <w:t xml:space="preserve"> subject headings and keywords.</w:t>
      </w:r>
      <w:r w:rsidR="002878A3" w:rsidRPr="003D5B85">
        <w:rPr>
          <w:rFonts w:ascii="Book Antiqua" w:hAnsi="Book Antiqua" w:cs="Times New Roman"/>
          <w:color w:val="000000" w:themeColor="text1"/>
          <w:sz w:val="24"/>
          <w:szCs w:val="24"/>
        </w:rPr>
        <w:t xml:space="preserve"> The search terms were proton pump inhibitor, proton pump inhibitors, PPI, PPIs, omeprazole, </w:t>
      </w:r>
      <w:proofErr w:type="spellStart"/>
      <w:r w:rsidR="002878A3" w:rsidRPr="003D5B85">
        <w:rPr>
          <w:rFonts w:ascii="Book Antiqua" w:hAnsi="Book Antiqua" w:cs="Times New Roman"/>
          <w:color w:val="000000" w:themeColor="text1"/>
          <w:sz w:val="24"/>
          <w:szCs w:val="24"/>
        </w:rPr>
        <w:t>lansoprazole</w:t>
      </w:r>
      <w:proofErr w:type="spellEnd"/>
      <w:r w:rsidR="002878A3" w:rsidRPr="003D5B85">
        <w:rPr>
          <w:rFonts w:ascii="Book Antiqua" w:hAnsi="Book Antiqua" w:cs="Times New Roman"/>
          <w:color w:val="000000" w:themeColor="text1"/>
          <w:sz w:val="24"/>
          <w:szCs w:val="24"/>
        </w:rPr>
        <w:t xml:space="preserve">, pantoprazole, </w:t>
      </w:r>
      <w:proofErr w:type="spellStart"/>
      <w:r w:rsidR="002878A3" w:rsidRPr="003D5B85">
        <w:rPr>
          <w:rFonts w:ascii="Book Antiqua" w:hAnsi="Book Antiqua" w:cs="Times New Roman"/>
          <w:color w:val="000000" w:themeColor="text1"/>
          <w:sz w:val="24"/>
          <w:szCs w:val="24"/>
        </w:rPr>
        <w:t>rabeprazole</w:t>
      </w:r>
      <w:proofErr w:type="spellEnd"/>
      <w:r w:rsidR="002878A3" w:rsidRPr="003D5B85">
        <w:rPr>
          <w:rFonts w:ascii="Book Antiqua" w:hAnsi="Book Antiqua" w:cs="Times New Roman"/>
          <w:color w:val="000000" w:themeColor="text1"/>
          <w:sz w:val="24"/>
          <w:szCs w:val="24"/>
        </w:rPr>
        <w:t xml:space="preserve">, esomeprazole, </w:t>
      </w:r>
      <w:proofErr w:type="spellStart"/>
      <w:r w:rsidR="002878A3" w:rsidRPr="003D5B85">
        <w:rPr>
          <w:rFonts w:ascii="Book Antiqua" w:hAnsi="Book Antiqua" w:cs="Times New Roman"/>
          <w:color w:val="000000" w:themeColor="text1"/>
          <w:sz w:val="24"/>
          <w:szCs w:val="24"/>
        </w:rPr>
        <w:t>ilaprazole</w:t>
      </w:r>
      <w:proofErr w:type="spellEnd"/>
      <w:r w:rsidR="002878A3" w:rsidRPr="003D5B85">
        <w:rPr>
          <w:rFonts w:ascii="Book Antiqua" w:hAnsi="Book Antiqua" w:cs="Times New Roman"/>
          <w:color w:val="000000" w:themeColor="text1"/>
          <w:sz w:val="24"/>
          <w:szCs w:val="24"/>
        </w:rPr>
        <w:t xml:space="preserve">, hepatic encephalopathy, HE, </w:t>
      </w:r>
      <w:r w:rsidR="00150C7D" w:rsidRPr="003D5B85">
        <w:rPr>
          <w:rFonts w:ascii="Book Antiqua" w:hAnsi="Book Antiqua" w:cs="Times New Roman"/>
          <w:color w:val="000000" w:themeColor="text1"/>
          <w:sz w:val="24"/>
          <w:szCs w:val="24"/>
        </w:rPr>
        <w:t xml:space="preserve">and </w:t>
      </w:r>
      <w:proofErr w:type="spellStart"/>
      <w:r w:rsidR="002878A3" w:rsidRPr="003D5B85">
        <w:rPr>
          <w:rFonts w:ascii="Book Antiqua" w:hAnsi="Book Antiqua" w:cs="Times New Roman"/>
          <w:color w:val="000000" w:themeColor="text1"/>
          <w:sz w:val="24"/>
          <w:szCs w:val="24"/>
        </w:rPr>
        <w:t>encephalopath</w:t>
      </w:r>
      <w:proofErr w:type="spellEnd"/>
      <w:r w:rsidR="002878A3" w:rsidRPr="003D5B85">
        <w:rPr>
          <w:rFonts w:ascii="Book Antiqua" w:hAnsi="Book Antiqua" w:cs="Times New Roman"/>
          <w:color w:val="000000" w:themeColor="text1"/>
          <w:sz w:val="24"/>
          <w:szCs w:val="24"/>
        </w:rPr>
        <w:t xml:space="preserve">*. No language restrictions were applied. </w:t>
      </w:r>
      <w:proofErr w:type="gramStart"/>
      <w:r w:rsidR="00675A74" w:rsidRPr="003D5B85">
        <w:rPr>
          <w:rFonts w:ascii="Book Antiqua" w:hAnsi="Book Antiqua" w:cs="Times New Roman"/>
          <w:color w:val="000000" w:themeColor="text1"/>
          <w:sz w:val="24"/>
          <w:szCs w:val="24"/>
        </w:rPr>
        <w:t>Two researchers (Z.W. and L.Y.).</w:t>
      </w:r>
      <w:proofErr w:type="gramEnd"/>
      <w:r w:rsidR="00675A74" w:rsidRPr="003D5B85">
        <w:rPr>
          <w:rFonts w:ascii="Book Antiqua" w:hAnsi="Book Antiqua" w:cs="Times New Roman"/>
          <w:color w:val="000000" w:themeColor="text1"/>
          <w:sz w:val="24"/>
          <w:szCs w:val="24"/>
        </w:rPr>
        <w:t xml:space="preserve"> </w:t>
      </w:r>
      <w:proofErr w:type="gramStart"/>
      <w:r w:rsidR="00675A74" w:rsidRPr="003D5B85">
        <w:rPr>
          <w:rFonts w:ascii="Book Antiqua" w:hAnsi="Book Antiqua" w:cs="Times New Roman"/>
          <w:color w:val="000000" w:themeColor="text1"/>
          <w:sz w:val="24"/>
          <w:szCs w:val="24"/>
        </w:rPr>
        <w:t>independently</w:t>
      </w:r>
      <w:proofErr w:type="gramEnd"/>
      <w:r w:rsidR="00675A74" w:rsidRPr="003D5B85">
        <w:rPr>
          <w:rFonts w:ascii="Book Antiqua" w:hAnsi="Book Antiqua" w:cs="Times New Roman"/>
          <w:color w:val="000000" w:themeColor="text1"/>
          <w:sz w:val="24"/>
          <w:szCs w:val="24"/>
        </w:rPr>
        <w:t xml:space="preserve"> completed the process of searching and screening.</w:t>
      </w:r>
      <w:r w:rsidR="002878A3" w:rsidRPr="003D5B85">
        <w:rPr>
          <w:rFonts w:ascii="Book Antiqua" w:hAnsi="Book Antiqua" w:cs="Times New Roman"/>
          <w:color w:val="000000" w:themeColor="text1"/>
          <w:sz w:val="24"/>
          <w:szCs w:val="24"/>
        </w:rPr>
        <w:t xml:space="preserve"> The titles and abstracts of the identified articles were assessed in the initial screening after duplicate citations were removed, and the full texts of potentially eligible studies were further evaluated to determine </w:t>
      </w:r>
      <w:r w:rsidR="002878A3" w:rsidRPr="003D5B85">
        <w:rPr>
          <w:rFonts w:ascii="Book Antiqua" w:eastAsia="等线" w:hAnsi="Book Antiqua" w:cs="Times New Roman"/>
          <w:color w:val="000000" w:themeColor="text1"/>
          <w:sz w:val="24"/>
          <w:szCs w:val="24"/>
        </w:rPr>
        <w:t>whether</w:t>
      </w:r>
      <w:r w:rsidR="002878A3" w:rsidRPr="003D5B85">
        <w:rPr>
          <w:rFonts w:ascii="Book Antiqua" w:hAnsi="Book Antiqua" w:cs="Times New Roman"/>
          <w:color w:val="000000" w:themeColor="text1"/>
          <w:sz w:val="24"/>
          <w:szCs w:val="24"/>
        </w:rPr>
        <w:t xml:space="preserve"> they should be included or not. </w:t>
      </w:r>
      <w:r w:rsidR="00073406" w:rsidRPr="003D5B85">
        <w:rPr>
          <w:rFonts w:ascii="Book Antiqua" w:hAnsi="Book Antiqua" w:cs="Times New Roman"/>
          <w:color w:val="000000" w:themeColor="text1"/>
          <w:sz w:val="24"/>
          <w:szCs w:val="24"/>
        </w:rPr>
        <w:t xml:space="preserve">In addition, additional studies were manually searched by reviewing the bibliographies of the included studies and </w:t>
      </w:r>
      <w:r w:rsidR="00150C7D" w:rsidRPr="003D5B85">
        <w:rPr>
          <w:rFonts w:ascii="Book Antiqua" w:hAnsi="Book Antiqua" w:cs="Times New Roman"/>
          <w:color w:val="000000" w:themeColor="text1"/>
          <w:sz w:val="24"/>
          <w:szCs w:val="24"/>
        </w:rPr>
        <w:t xml:space="preserve">the </w:t>
      </w:r>
      <w:r w:rsidR="00073406" w:rsidRPr="003D5B85">
        <w:rPr>
          <w:rFonts w:ascii="Book Antiqua" w:hAnsi="Book Antiqua" w:cs="Times New Roman"/>
          <w:color w:val="000000" w:themeColor="text1"/>
          <w:sz w:val="24"/>
          <w:szCs w:val="24"/>
        </w:rPr>
        <w:t>relevant review literature.</w:t>
      </w:r>
      <w:r w:rsidR="002878A3" w:rsidRPr="003D5B85">
        <w:rPr>
          <w:rFonts w:ascii="Book Antiqua" w:hAnsi="Book Antiqua" w:cs="Times New Roman"/>
          <w:color w:val="000000" w:themeColor="text1"/>
          <w:sz w:val="24"/>
          <w:szCs w:val="24"/>
        </w:rPr>
        <w:t xml:space="preserve"> ClinicalTrials.gov was also searched for unpublished studies. </w:t>
      </w:r>
      <w:r w:rsidR="007C1FEA" w:rsidRPr="003D5B85">
        <w:rPr>
          <w:rFonts w:ascii="Book Antiqua" w:hAnsi="Book Antiqua" w:cs="Times New Roman"/>
          <w:color w:val="000000" w:themeColor="text1"/>
          <w:sz w:val="24"/>
          <w:szCs w:val="24"/>
        </w:rPr>
        <w:t>Disagreements between the researchers were resolved by discussing with a third researcher (J.W.)</w:t>
      </w:r>
      <w:r w:rsidR="002878A3" w:rsidRPr="003D5B85">
        <w:rPr>
          <w:rFonts w:ascii="Book Antiqua" w:hAnsi="Book Antiqua" w:cs="Times New Roman"/>
          <w:color w:val="000000" w:themeColor="text1"/>
          <w:sz w:val="24"/>
          <w:szCs w:val="24"/>
        </w:rPr>
        <w:t>.</w:t>
      </w:r>
    </w:p>
    <w:p w14:paraId="28F0470D" w14:textId="77777777" w:rsidR="00FF424E" w:rsidRPr="003D5B85" w:rsidRDefault="00FF424E" w:rsidP="001C4059">
      <w:pPr>
        <w:autoSpaceDE w:val="0"/>
        <w:autoSpaceDN w:val="0"/>
        <w:adjustRightInd w:val="0"/>
        <w:spacing w:line="360" w:lineRule="auto"/>
        <w:rPr>
          <w:rFonts w:ascii="Book Antiqua" w:hAnsi="Book Antiqua" w:cs="Times New Roman"/>
          <w:color w:val="000000" w:themeColor="text1"/>
          <w:sz w:val="24"/>
          <w:szCs w:val="24"/>
        </w:rPr>
      </w:pPr>
    </w:p>
    <w:p w14:paraId="23E020DB" w14:textId="77777777" w:rsidR="00FF424E" w:rsidRPr="003D5B85" w:rsidRDefault="002878A3" w:rsidP="001C4059">
      <w:pPr>
        <w:autoSpaceDE w:val="0"/>
        <w:autoSpaceDN w:val="0"/>
        <w:adjustRightInd w:val="0"/>
        <w:spacing w:line="360" w:lineRule="auto"/>
        <w:rPr>
          <w:rFonts w:ascii="Book Antiqua" w:hAnsi="Book Antiqua" w:cs="Times New Roman"/>
          <w:b/>
          <w:i/>
          <w:color w:val="000000" w:themeColor="text1"/>
          <w:kern w:val="0"/>
          <w:sz w:val="24"/>
          <w:szCs w:val="24"/>
        </w:rPr>
      </w:pPr>
      <w:r w:rsidRPr="003D5B85">
        <w:rPr>
          <w:rFonts w:ascii="Book Antiqua" w:hAnsi="Book Antiqua" w:cs="Times New Roman"/>
          <w:b/>
          <w:i/>
          <w:color w:val="000000" w:themeColor="text1"/>
          <w:kern w:val="0"/>
          <w:sz w:val="24"/>
          <w:szCs w:val="24"/>
        </w:rPr>
        <w:t>Inclusion criteria</w:t>
      </w:r>
    </w:p>
    <w:p w14:paraId="25AE72B5" w14:textId="4A3874F3" w:rsidR="002878A3" w:rsidRPr="003D5B85" w:rsidRDefault="0059014F" w:rsidP="001C4059">
      <w:pPr>
        <w:autoSpaceDE w:val="0"/>
        <w:autoSpaceDN w:val="0"/>
        <w:adjustRightInd w:val="0"/>
        <w:spacing w:line="360" w:lineRule="auto"/>
        <w:rPr>
          <w:rFonts w:ascii="Book Antiqua" w:hAnsi="Book Antiqua" w:cs="Times New Roman"/>
          <w:color w:val="000000" w:themeColor="text1"/>
          <w:sz w:val="24"/>
          <w:szCs w:val="24"/>
        </w:rPr>
      </w:pPr>
      <w:r w:rsidRPr="003D5B85">
        <w:rPr>
          <w:rFonts w:ascii="Book Antiqua" w:hAnsi="Book Antiqua" w:cs="Times New Roman"/>
          <w:color w:val="000000" w:themeColor="text1"/>
          <w:sz w:val="24"/>
          <w:szCs w:val="24"/>
        </w:rPr>
        <w:t>Randomized controlled trials, case-control studies</w:t>
      </w:r>
      <w:r w:rsidR="00C63F2E" w:rsidRPr="003D5B85">
        <w:rPr>
          <w:rFonts w:ascii="Book Antiqua" w:hAnsi="Book Antiqua" w:cs="Times New Roman"/>
          <w:color w:val="000000" w:themeColor="text1"/>
          <w:sz w:val="24"/>
          <w:szCs w:val="24"/>
        </w:rPr>
        <w:t>,</w:t>
      </w:r>
      <w:r w:rsidRPr="003D5B85">
        <w:rPr>
          <w:rFonts w:ascii="Book Antiqua" w:hAnsi="Book Antiqua" w:cs="Times New Roman"/>
          <w:color w:val="000000" w:themeColor="text1"/>
          <w:sz w:val="24"/>
          <w:szCs w:val="24"/>
        </w:rPr>
        <w:t xml:space="preserve"> and cohort studies were included if meeting the following criteria:</w:t>
      </w:r>
      <w:r w:rsidR="00E13D7E" w:rsidRPr="003D5B85">
        <w:rPr>
          <w:rFonts w:ascii="Book Antiqua" w:hAnsi="Book Antiqua" w:cs="Times New Roman"/>
          <w:color w:val="000000" w:themeColor="text1"/>
          <w:sz w:val="24"/>
          <w:szCs w:val="24"/>
        </w:rPr>
        <w:t xml:space="preserve"> </w:t>
      </w:r>
      <w:r w:rsidR="008206AE" w:rsidRPr="003D5B85">
        <w:rPr>
          <w:rFonts w:ascii="Book Antiqua" w:hAnsi="Book Antiqua" w:cs="Times New Roman"/>
          <w:color w:val="000000" w:themeColor="text1"/>
          <w:sz w:val="24"/>
          <w:szCs w:val="24"/>
        </w:rPr>
        <w:t>(1)</w:t>
      </w:r>
      <w:r w:rsidR="00E13D7E" w:rsidRPr="003D5B85">
        <w:rPr>
          <w:rFonts w:ascii="Book Antiqua" w:hAnsi="Book Antiqua" w:cs="Times New Roman"/>
          <w:color w:val="000000" w:themeColor="text1"/>
          <w:sz w:val="24"/>
          <w:szCs w:val="24"/>
        </w:rPr>
        <w:t xml:space="preserve"> T</w:t>
      </w:r>
      <w:r w:rsidR="00C53B7F" w:rsidRPr="003D5B85">
        <w:rPr>
          <w:rFonts w:ascii="Book Antiqua" w:hAnsi="Book Antiqua" w:cs="Times New Roman"/>
          <w:color w:val="000000" w:themeColor="text1"/>
          <w:sz w:val="24"/>
          <w:szCs w:val="24"/>
        </w:rPr>
        <w:t>he studies were performed in patients</w:t>
      </w:r>
      <w:r w:rsidR="002878A3" w:rsidRPr="003D5B85">
        <w:rPr>
          <w:rFonts w:ascii="Book Antiqua" w:hAnsi="Book Antiqua" w:cs="Times New Roman"/>
          <w:color w:val="000000" w:themeColor="text1"/>
          <w:sz w:val="24"/>
          <w:szCs w:val="24"/>
        </w:rPr>
        <w:t xml:space="preserve"> with advanced liver disease</w:t>
      </w:r>
      <w:r w:rsidR="002878A3" w:rsidRPr="003D5B85">
        <w:rPr>
          <w:rFonts w:ascii="Book Antiqua" w:eastAsia="等线" w:hAnsi="Book Antiqua" w:cs="Times New Roman"/>
          <w:color w:val="000000" w:themeColor="text1"/>
          <w:sz w:val="24"/>
          <w:szCs w:val="24"/>
        </w:rPr>
        <w:t>,</w:t>
      </w:r>
      <w:r w:rsidR="002878A3" w:rsidRPr="003D5B85">
        <w:rPr>
          <w:rFonts w:ascii="Book Antiqua" w:hAnsi="Book Antiqua" w:cs="Times New Roman"/>
          <w:color w:val="000000" w:themeColor="text1"/>
          <w:sz w:val="24"/>
          <w:szCs w:val="24"/>
        </w:rPr>
        <w:t xml:space="preserve"> including advanced fibrosis, cirrhosis</w:t>
      </w:r>
      <w:r w:rsidR="002878A3" w:rsidRPr="003D5B85">
        <w:rPr>
          <w:rFonts w:ascii="Book Antiqua" w:eastAsia="等线" w:hAnsi="Book Antiqua" w:cs="Times New Roman"/>
          <w:color w:val="000000" w:themeColor="text1"/>
          <w:sz w:val="24"/>
          <w:szCs w:val="24"/>
        </w:rPr>
        <w:t xml:space="preserve"> </w:t>
      </w:r>
      <w:r w:rsidR="002878A3" w:rsidRPr="003D5B85">
        <w:rPr>
          <w:rFonts w:ascii="Book Antiqua" w:hAnsi="Book Antiqua" w:cs="Times New Roman"/>
          <w:color w:val="000000" w:themeColor="text1"/>
          <w:sz w:val="24"/>
          <w:szCs w:val="24"/>
        </w:rPr>
        <w:t>(compensated or decompensated)</w:t>
      </w:r>
      <w:r w:rsidR="00C63F2E" w:rsidRPr="003D5B85">
        <w:rPr>
          <w:rFonts w:ascii="Book Antiqua" w:hAnsi="Book Antiqua" w:cs="Times New Roman"/>
          <w:color w:val="000000" w:themeColor="text1"/>
          <w:sz w:val="24"/>
          <w:szCs w:val="24"/>
        </w:rPr>
        <w:t>,</w:t>
      </w:r>
      <w:r w:rsidR="002878A3" w:rsidRPr="003D5B85">
        <w:rPr>
          <w:rFonts w:ascii="Book Antiqua" w:hAnsi="Book Antiqua" w:cs="Times New Roman"/>
          <w:color w:val="000000" w:themeColor="text1"/>
          <w:sz w:val="24"/>
          <w:szCs w:val="24"/>
        </w:rPr>
        <w:t xml:space="preserve"> and acute-on-chronic liver failure (ACLF)</w:t>
      </w:r>
      <w:r w:rsidR="00E13D7E" w:rsidRPr="003D5B85">
        <w:rPr>
          <w:rFonts w:ascii="Book Antiqua" w:hAnsi="Book Antiqua" w:cs="Times New Roman"/>
          <w:color w:val="000000" w:themeColor="text1"/>
          <w:sz w:val="24"/>
          <w:szCs w:val="24"/>
        </w:rPr>
        <w:t xml:space="preserve">; </w:t>
      </w:r>
      <w:r w:rsidR="002878A3" w:rsidRPr="003D5B85">
        <w:rPr>
          <w:rFonts w:ascii="Book Antiqua" w:hAnsi="Book Antiqua" w:cs="Times New Roman"/>
          <w:color w:val="000000" w:themeColor="text1"/>
          <w:sz w:val="24"/>
          <w:szCs w:val="24"/>
        </w:rPr>
        <w:t xml:space="preserve">(2) </w:t>
      </w:r>
      <w:r w:rsidR="0039439E" w:rsidRPr="003D5B85">
        <w:rPr>
          <w:rFonts w:ascii="Book Antiqua" w:hAnsi="Book Antiqua" w:cs="Times New Roman"/>
          <w:color w:val="000000" w:themeColor="text1"/>
          <w:sz w:val="24"/>
          <w:szCs w:val="24"/>
        </w:rPr>
        <w:t>the studies clearly clarified the definition of PPI exposure</w:t>
      </w:r>
      <w:r w:rsidR="00E13D7E" w:rsidRPr="003D5B85">
        <w:rPr>
          <w:rFonts w:ascii="Book Antiqua" w:hAnsi="Book Antiqua" w:cs="Times New Roman"/>
          <w:color w:val="000000" w:themeColor="text1"/>
          <w:sz w:val="24"/>
          <w:szCs w:val="24"/>
        </w:rPr>
        <w:t>;</w:t>
      </w:r>
      <w:r w:rsidR="00E13D7E" w:rsidRPr="003D5B85">
        <w:rPr>
          <w:rFonts w:ascii="Book Antiqua" w:hAnsi="Book Antiqua" w:cs="Times New Roman" w:hint="eastAsia"/>
          <w:color w:val="000000" w:themeColor="text1"/>
          <w:sz w:val="24"/>
          <w:szCs w:val="24"/>
        </w:rPr>
        <w:t xml:space="preserve"> </w:t>
      </w:r>
      <w:r w:rsidR="002878A3" w:rsidRPr="003D5B85">
        <w:rPr>
          <w:rFonts w:ascii="Book Antiqua" w:hAnsi="Book Antiqua" w:cs="Times New Roman"/>
          <w:color w:val="000000" w:themeColor="text1"/>
          <w:sz w:val="24"/>
          <w:szCs w:val="24"/>
        </w:rPr>
        <w:t xml:space="preserve">(3) </w:t>
      </w:r>
      <w:r w:rsidR="000C5071" w:rsidRPr="003D5B85">
        <w:rPr>
          <w:rFonts w:ascii="Book Antiqua" w:hAnsi="Book Antiqua" w:cs="Times New Roman"/>
          <w:color w:val="000000" w:themeColor="text1"/>
          <w:sz w:val="24"/>
          <w:szCs w:val="24"/>
        </w:rPr>
        <w:t xml:space="preserve">the studies evaluated the association between PPI use and the risk of HE, and reported a risk </w:t>
      </w:r>
      <w:r w:rsidR="000C5071" w:rsidRPr="003D5B85">
        <w:rPr>
          <w:rFonts w:ascii="Book Antiqua" w:hAnsi="Book Antiqua" w:cs="Times New Roman"/>
          <w:color w:val="000000" w:themeColor="text1"/>
          <w:sz w:val="24"/>
          <w:szCs w:val="24"/>
        </w:rPr>
        <w:lastRenderedPageBreak/>
        <w:t xml:space="preserve">estimate and </w:t>
      </w:r>
      <w:r w:rsidR="00C63F2E" w:rsidRPr="003D5B85">
        <w:rPr>
          <w:rFonts w:ascii="Book Antiqua" w:hAnsi="Book Antiqua" w:cs="Times New Roman"/>
          <w:color w:val="000000" w:themeColor="text1"/>
          <w:sz w:val="24"/>
          <w:szCs w:val="24"/>
        </w:rPr>
        <w:t xml:space="preserve">the </w:t>
      </w:r>
      <w:r w:rsidR="000C5071" w:rsidRPr="003D5B85">
        <w:rPr>
          <w:rFonts w:ascii="Book Antiqua" w:hAnsi="Book Antiqua" w:cs="Times New Roman"/>
          <w:color w:val="000000" w:themeColor="text1"/>
          <w:sz w:val="24"/>
          <w:szCs w:val="24"/>
        </w:rPr>
        <w:t>corresponding 95% conﬁdence interval (CI). The risk estimate included odds ratio (OR), relative risk (RR)</w:t>
      </w:r>
      <w:r w:rsidR="00C63F2E" w:rsidRPr="003D5B85">
        <w:rPr>
          <w:rFonts w:ascii="Book Antiqua" w:hAnsi="Book Antiqua" w:cs="Times New Roman"/>
          <w:color w:val="000000" w:themeColor="text1"/>
          <w:sz w:val="24"/>
          <w:szCs w:val="24"/>
        </w:rPr>
        <w:t>,</w:t>
      </w:r>
      <w:r w:rsidR="000C5071" w:rsidRPr="003D5B85">
        <w:rPr>
          <w:rFonts w:ascii="Book Antiqua" w:hAnsi="Book Antiqua" w:cs="Times New Roman"/>
          <w:color w:val="000000" w:themeColor="text1"/>
          <w:sz w:val="24"/>
          <w:szCs w:val="24"/>
        </w:rPr>
        <w:t xml:space="preserve"> and hazard ratio (HR).</w:t>
      </w:r>
      <w:r w:rsidR="002878A3" w:rsidRPr="003D5B85">
        <w:rPr>
          <w:rFonts w:ascii="Book Antiqua" w:hAnsi="Book Antiqua" w:cs="Times New Roman"/>
          <w:color w:val="000000" w:themeColor="text1"/>
          <w:sz w:val="24"/>
          <w:szCs w:val="24"/>
        </w:rPr>
        <w:t xml:space="preserve"> </w:t>
      </w:r>
      <w:r w:rsidR="002878A3" w:rsidRPr="003D5B85">
        <w:rPr>
          <w:rFonts w:ascii="Book Antiqua" w:eastAsia="等线" w:hAnsi="Book Antiqua" w:cs="Times New Roman"/>
          <w:color w:val="000000" w:themeColor="text1"/>
          <w:sz w:val="24"/>
          <w:szCs w:val="24"/>
        </w:rPr>
        <w:t xml:space="preserve">To </w:t>
      </w:r>
      <w:r w:rsidR="002878A3" w:rsidRPr="003D5B85">
        <w:rPr>
          <w:rFonts w:ascii="Book Antiqua" w:hAnsi="Book Antiqua" w:cs="Times New Roman"/>
          <w:color w:val="000000" w:themeColor="text1"/>
          <w:sz w:val="24"/>
          <w:szCs w:val="24"/>
        </w:rPr>
        <w:t xml:space="preserve">reduce the impact of confounding factors, we only extracted the effect estimates adjusted for the greatest number confounding factors. If the same population was used in two or more articles, </w:t>
      </w:r>
      <w:r w:rsidR="00D90107" w:rsidRPr="003D5B85">
        <w:rPr>
          <w:rFonts w:ascii="Book Antiqua" w:hAnsi="Book Antiqua" w:cs="Times New Roman"/>
          <w:color w:val="000000" w:themeColor="text1"/>
          <w:sz w:val="24"/>
          <w:szCs w:val="24"/>
        </w:rPr>
        <w:t>only the study with the most comprehensive information was included</w:t>
      </w:r>
      <w:r w:rsidR="002878A3" w:rsidRPr="003D5B85">
        <w:rPr>
          <w:rFonts w:ascii="Book Antiqua" w:hAnsi="Book Antiqua" w:cs="Times New Roman"/>
          <w:color w:val="000000" w:themeColor="text1"/>
          <w:sz w:val="24"/>
          <w:szCs w:val="24"/>
        </w:rPr>
        <w:t>. The data from conference abstracts were included without distinction. However, due to the uncertain quality of abstracts, we conducted a sensitivity analysis excluding the data from conference abstracts. For articles with incomplete data and abstracts, we attempted to contact the corresponding author via email to request the relevant data.</w:t>
      </w:r>
    </w:p>
    <w:p w14:paraId="6E40F3BD" w14:textId="77777777" w:rsidR="00E13D7E" w:rsidRPr="003D5B85" w:rsidRDefault="00E13D7E" w:rsidP="001C4059">
      <w:pPr>
        <w:autoSpaceDE w:val="0"/>
        <w:autoSpaceDN w:val="0"/>
        <w:adjustRightInd w:val="0"/>
        <w:spacing w:line="360" w:lineRule="auto"/>
        <w:rPr>
          <w:rFonts w:ascii="Book Antiqua" w:hAnsi="Book Antiqua" w:cs="Times New Roman"/>
          <w:color w:val="000000" w:themeColor="text1"/>
          <w:sz w:val="24"/>
          <w:szCs w:val="24"/>
        </w:rPr>
      </w:pPr>
    </w:p>
    <w:p w14:paraId="30734912" w14:textId="77777777" w:rsidR="002878A3" w:rsidRPr="003D5B85" w:rsidRDefault="002878A3" w:rsidP="001C4059">
      <w:pPr>
        <w:autoSpaceDE w:val="0"/>
        <w:autoSpaceDN w:val="0"/>
        <w:adjustRightInd w:val="0"/>
        <w:spacing w:line="360" w:lineRule="auto"/>
        <w:rPr>
          <w:rFonts w:ascii="Book Antiqua" w:hAnsi="Book Antiqua"/>
          <w:i/>
          <w:color w:val="000000" w:themeColor="text1"/>
          <w:sz w:val="24"/>
          <w:szCs w:val="24"/>
        </w:rPr>
      </w:pPr>
      <w:r w:rsidRPr="003D5B85">
        <w:rPr>
          <w:rFonts w:ascii="Book Antiqua" w:hAnsi="Book Antiqua" w:cs="Times New Roman"/>
          <w:b/>
          <w:i/>
          <w:color w:val="000000" w:themeColor="text1"/>
          <w:kern w:val="0"/>
          <w:sz w:val="24"/>
          <w:szCs w:val="24"/>
        </w:rPr>
        <w:t>Data extraction</w:t>
      </w:r>
    </w:p>
    <w:p w14:paraId="51C6FDAC" w14:textId="72EB60FF" w:rsidR="002878A3" w:rsidRPr="003D5B85" w:rsidRDefault="0002696C" w:rsidP="00E13D7E">
      <w:pPr>
        <w:autoSpaceDE w:val="0"/>
        <w:autoSpaceDN w:val="0"/>
        <w:adjustRightInd w:val="0"/>
        <w:spacing w:line="360" w:lineRule="auto"/>
        <w:rPr>
          <w:rFonts w:ascii="Book Antiqua" w:hAnsi="Book Antiqua" w:cs="Times New Roman"/>
          <w:color w:val="000000" w:themeColor="text1"/>
          <w:sz w:val="24"/>
          <w:szCs w:val="24"/>
        </w:rPr>
      </w:pPr>
      <w:r w:rsidRPr="003D5B85">
        <w:rPr>
          <w:rFonts w:ascii="Book Antiqua" w:hAnsi="Book Antiqua" w:cs="Times New Roman"/>
          <w:color w:val="000000" w:themeColor="text1"/>
          <w:sz w:val="24"/>
          <w:szCs w:val="24"/>
        </w:rPr>
        <w:t>Using a pre-established form, two researchers (Z.W. and L.Y.) independently completed data extraction.</w:t>
      </w:r>
      <w:r w:rsidR="002878A3" w:rsidRPr="003D5B85">
        <w:rPr>
          <w:rFonts w:ascii="Book Antiqua" w:hAnsi="Book Antiqua" w:cs="Times New Roman"/>
          <w:color w:val="000000" w:themeColor="text1"/>
          <w:sz w:val="24"/>
          <w:szCs w:val="24"/>
        </w:rPr>
        <w:t xml:space="preserve"> The collected data included the authors’ names, publication year, study location, study design, number of included patients, patient demographics</w:t>
      </w:r>
      <w:r w:rsidR="002878A3" w:rsidRPr="003D5B85">
        <w:rPr>
          <w:rFonts w:ascii="Book Antiqua" w:eastAsia="等线" w:hAnsi="Book Antiqua" w:cs="Times New Roman"/>
          <w:color w:val="000000" w:themeColor="text1"/>
          <w:sz w:val="24"/>
          <w:szCs w:val="24"/>
        </w:rPr>
        <w:t xml:space="preserve"> </w:t>
      </w:r>
      <w:r w:rsidR="002878A3" w:rsidRPr="003D5B85">
        <w:rPr>
          <w:rFonts w:ascii="Book Antiqua" w:hAnsi="Book Antiqua" w:cs="Times New Roman"/>
          <w:color w:val="000000" w:themeColor="text1"/>
          <w:sz w:val="24"/>
          <w:szCs w:val="24"/>
        </w:rPr>
        <w:t>(age</w:t>
      </w:r>
      <w:r w:rsidR="00C63F2E" w:rsidRPr="003D5B85">
        <w:rPr>
          <w:rFonts w:ascii="Book Antiqua" w:hAnsi="Book Antiqua" w:cs="Times New Roman"/>
          <w:color w:val="000000" w:themeColor="text1"/>
          <w:sz w:val="24"/>
          <w:szCs w:val="24"/>
        </w:rPr>
        <w:t xml:space="preserve"> and </w:t>
      </w:r>
      <w:r w:rsidR="002878A3" w:rsidRPr="003D5B85">
        <w:rPr>
          <w:rFonts w:ascii="Book Antiqua" w:hAnsi="Book Antiqua" w:cs="Times New Roman"/>
          <w:color w:val="000000" w:themeColor="text1"/>
          <w:sz w:val="24"/>
          <w:szCs w:val="24"/>
        </w:rPr>
        <w:t>sex), type of advanced liver disease, outcomes analyzed, definition of PPI use, follow-up time, variables used for adjustment, risk estimates with 95% CIs</w:t>
      </w:r>
      <w:r w:rsidR="00C63F2E" w:rsidRPr="003D5B85">
        <w:rPr>
          <w:rFonts w:ascii="Book Antiqua" w:hAnsi="Book Antiqua" w:cs="Times New Roman"/>
          <w:color w:val="000000" w:themeColor="text1"/>
          <w:sz w:val="24"/>
          <w:szCs w:val="24"/>
        </w:rPr>
        <w:t>,</w:t>
      </w:r>
      <w:r w:rsidR="002878A3" w:rsidRPr="003D5B85">
        <w:rPr>
          <w:rFonts w:ascii="Book Antiqua" w:hAnsi="Book Antiqua" w:cs="Times New Roman"/>
          <w:color w:val="000000" w:themeColor="text1"/>
          <w:sz w:val="24"/>
          <w:szCs w:val="24"/>
        </w:rPr>
        <w:t xml:space="preserve"> and information </w:t>
      </w:r>
      <w:r w:rsidR="002878A3" w:rsidRPr="003D5B85">
        <w:rPr>
          <w:rFonts w:ascii="Book Antiqua" w:eastAsia="等线" w:hAnsi="Book Antiqua" w:cs="Times New Roman"/>
          <w:color w:val="000000" w:themeColor="text1"/>
          <w:sz w:val="24"/>
          <w:szCs w:val="24"/>
        </w:rPr>
        <w:t>used</w:t>
      </w:r>
      <w:r w:rsidR="002878A3" w:rsidRPr="003D5B85">
        <w:rPr>
          <w:rFonts w:ascii="Book Antiqua" w:hAnsi="Book Antiqua" w:cs="Times New Roman"/>
          <w:color w:val="000000" w:themeColor="text1"/>
          <w:sz w:val="24"/>
          <w:szCs w:val="24"/>
        </w:rPr>
        <w:t xml:space="preserve"> for the quality assessment. </w:t>
      </w:r>
      <w:r w:rsidR="005A182F" w:rsidRPr="003D5B85">
        <w:rPr>
          <w:rFonts w:ascii="Book Antiqua" w:hAnsi="Book Antiqua" w:cs="Times New Roman"/>
          <w:color w:val="000000" w:themeColor="text1"/>
          <w:sz w:val="24"/>
          <w:szCs w:val="24"/>
        </w:rPr>
        <w:t>If two researchers had some disagreements in the process of data extraction, a third reviewer (J.W.) would be invited to resolve the disagreements.</w:t>
      </w:r>
    </w:p>
    <w:p w14:paraId="6B32F6EE" w14:textId="77777777" w:rsidR="00E13D7E" w:rsidRPr="003D5B85" w:rsidRDefault="00E13D7E" w:rsidP="00E13D7E">
      <w:pPr>
        <w:autoSpaceDE w:val="0"/>
        <w:autoSpaceDN w:val="0"/>
        <w:adjustRightInd w:val="0"/>
        <w:spacing w:line="360" w:lineRule="auto"/>
        <w:rPr>
          <w:rFonts w:ascii="Book Antiqua" w:hAnsi="Book Antiqua" w:cs="Times New Roman"/>
          <w:color w:val="000000" w:themeColor="text1"/>
          <w:sz w:val="24"/>
          <w:szCs w:val="24"/>
        </w:rPr>
      </w:pPr>
    </w:p>
    <w:p w14:paraId="59FE89EC" w14:textId="77777777" w:rsidR="002878A3" w:rsidRPr="003D5B85" w:rsidRDefault="002878A3" w:rsidP="001C4059">
      <w:pPr>
        <w:autoSpaceDE w:val="0"/>
        <w:autoSpaceDN w:val="0"/>
        <w:adjustRightInd w:val="0"/>
        <w:spacing w:line="360" w:lineRule="auto"/>
        <w:rPr>
          <w:rFonts w:ascii="Book Antiqua" w:hAnsi="Book Antiqua" w:cs="Times New Roman"/>
          <w:b/>
          <w:i/>
          <w:color w:val="000000" w:themeColor="text1"/>
          <w:kern w:val="0"/>
          <w:sz w:val="24"/>
          <w:szCs w:val="24"/>
        </w:rPr>
      </w:pPr>
      <w:r w:rsidRPr="003D5B85">
        <w:rPr>
          <w:rFonts w:ascii="Book Antiqua" w:hAnsi="Book Antiqua" w:cs="Times New Roman"/>
          <w:b/>
          <w:i/>
          <w:color w:val="000000" w:themeColor="text1"/>
          <w:kern w:val="0"/>
          <w:sz w:val="24"/>
          <w:szCs w:val="24"/>
        </w:rPr>
        <w:t>Quality assessment</w:t>
      </w:r>
    </w:p>
    <w:p w14:paraId="14FE05CB" w14:textId="207C3264" w:rsidR="002878A3" w:rsidRPr="003D5B85" w:rsidRDefault="002878A3" w:rsidP="00E13D7E">
      <w:pPr>
        <w:autoSpaceDE w:val="0"/>
        <w:autoSpaceDN w:val="0"/>
        <w:adjustRightInd w:val="0"/>
        <w:spacing w:line="360" w:lineRule="auto"/>
        <w:rPr>
          <w:rFonts w:ascii="Book Antiqua" w:hAnsi="Book Antiqua"/>
          <w:color w:val="000000" w:themeColor="text1"/>
          <w:sz w:val="24"/>
          <w:szCs w:val="24"/>
        </w:rPr>
      </w:pPr>
      <w:r w:rsidRPr="003D5B85">
        <w:rPr>
          <w:rFonts w:ascii="Book Antiqua" w:hAnsi="Book Antiqua" w:cs="Times New Roman"/>
          <w:color w:val="000000" w:themeColor="text1"/>
          <w:kern w:val="0"/>
          <w:sz w:val="24"/>
          <w:szCs w:val="24"/>
        </w:rPr>
        <w:t xml:space="preserve">Because all included studies were observational, </w:t>
      </w:r>
      <w:r w:rsidR="00C433B5" w:rsidRPr="003D5B85">
        <w:rPr>
          <w:rFonts w:ascii="Book Antiqua" w:hAnsi="Book Antiqua" w:cs="Times New Roman"/>
          <w:color w:val="000000" w:themeColor="text1"/>
          <w:kern w:val="0"/>
          <w:sz w:val="24"/>
          <w:szCs w:val="24"/>
        </w:rPr>
        <w:t>the Newcastle</w:t>
      </w:r>
      <w:r w:rsidR="00E13D7E" w:rsidRPr="003D5B85">
        <w:rPr>
          <w:rFonts w:ascii="Book Antiqua" w:hAnsi="Book Antiqua" w:cs="Times New Roman"/>
          <w:color w:val="000000" w:themeColor="text1"/>
          <w:kern w:val="0"/>
          <w:sz w:val="24"/>
          <w:szCs w:val="24"/>
        </w:rPr>
        <w:t>-</w:t>
      </w:r>
      <w:r w:rsidR="00C433B5" w:rsidRPr="003D5B85">
        <w:rPr>
          <w:rFonts w:ascii="Book Antiqua" w:hAnsi="Book Antiqua" w:cs="Times New Roman"/>
          <w:color w:val="000000" w:themeColor="text1"/>
          <w:kern w:val="0"/>
          <w:sz w:val="24"/>
          <w:szCs w:val="24"/>
        </w:rPr>
        <w:t xml:space="preserve">Ottawa scale </w:t>
      </w:r>
      <w:r w:rsidR="004A056B" w:rsidRPr="003D5B85">
        <w:rPr>
          <w:rFonts w:ascii="Book Antiqua" w:hAnsi="Book Antiqua" w:cs="Times New Roman"/>
          <w:color w:val="000000" w:themeColor="text1"/>
          <w:kern w:val="0"/>
          <w:sz w:val="24"/>
          <w:szCs w:val="24"/>
        </w:rPr>
        <w:t xml:space="preserve">(NOS) </w:t>
      </w:r>
      <w:r w:rsidR="00C433B5" w:rsidRPr="003D5B85">
        <w:rPr>
          <w:rFonts w:ascii="Book Antiqua" w:hAnsi="Book Antiqua" w:cs="Times New Roman"/>
          <w:color w:val="000000" w:themeColor="text1"/>
          <w:kern w:val="0"/>
          <w:sz w:val="24"/>
          <w:szCs w:val="24"/>
        </w:rPr>
        <w:t xml:space="preserve">was used for quality </w:t>
      </w:r>
      <w:proofErr w:type="gramStart"/>
      <w:r w:rsidR="00C433B5" w:rsidRPr="003D5B85">
        <w:rPr>
          <w:rFonts w:ascii="Book Antiqua" w:hAnsi="Book Antiqua" w:cs="Times New Roman"/>
          <w:color w:val="000000" w:themeColor="text1"/>
          <w:kern w:val="0"/>
          <w:sz w:val="24"/>
          <w:szCs w:val="24"/>
        </w:rPr>
        <w:t>assessment</w:t>
      </w:r>
      <w:r w:rsidR="00ED7861" w:rsidRPr="003D5B85">
        <w:rPr>
          <w:rFonts w:ascii="Book Antiqua" w:eastAsia="Times New Roman" w:hAnsi="Book Antiqua" w:cs="Times New Roman"/>
          <w:color w:val="000000" w:themeColor="text1"/>
          <w:kern w:val="0"/>
          <w:sz w:val="24"/>
          <w:szCs w:val="24"/>
          <w:vertAlign w:val="superscript"/>
        </w:rPr>
        <w:t>[</w:t>
      </w:r>
      <w:proofErr w:type="gramEnd"/>
      <w:r w:rsidR="00ED7861" w:rsidRPr="003D5B85">
        <w:rPr>
          <w:rFonts w:ascii="Book Antiqua" w:hAnsi="Book Antiqua" w:cs="Times New Roman"/>
          <w:color w:val="000000" w:themeColor="text1"/>
          <w:kern w:val="0"/>
          <w:sz w:val="24"/>
          <w:szCs w:val="24"/>
          <w:vertAlign w:val="superscript"/>
        </w:rPr>
        <w:t>20]</w:t>
      </w:r>
      <w:r w:rsidR="00C433B5" w:rsidRPr="003D5B85">
        <w:rPr>
          <w:rFonts w:ascii="Book Antiqua" w:hAnsi="Book Antiqua" w:cs="Times New Roman"/>
          <w:color w:val="000000" w:themeColor="text1"/>
          <w:kern w:val="0"/>
          <w:sz w:val="24"/>
          <w:szCs w:val="24"/>
        </w:rPr>
        <w:t>.</w:t>
      </w:r>
      <w:r w:rsidRPr="003D5B85">
        <w:rPr>
          <w:rFonts w:ascii="Book Antiqua" w:hAnsi="Book Antiqua" w:cs="Times New Roman"/>
          <w:color w:val="000000" w:themeColor="text1"/>
          <w:kern w:val="0"/>
          <w:sz w:val="24"/>
          <w:szCs w:val="24"/>
        </w:rPr>
        <w:t xml:space="preserve"> </w:t>
      </w:r>
      <w:r w:rsidR="00A433AD" w:rsidRPr="003D5B85">
        <w:rPr>
          <w:rFonts w:ascii="Book Antiqua" w:hAnsi="Book Antiqua" w:cs="Times New Roman"/>
          <w:color w:val="000000" w:themeColor="text1"/>
          <w:kern w:val="0"/>
          <w:sz w:val="24"/>
          <w:szCs w:val="24"/>
        </w:rPr>
        <w:t>The NOS evaluates the quality of case-control or cohort studies from three aspects. The scale items include selection (four points), comparability (two points), and exposure/outcome (three points).</w:t>
      </w:r>
      <w:r w:rsidRPr="003D5B85">
        <w:rPr>
          <w:rFonts w:ascii="Book Antiqua" w:hAnsi="Book Antiqua"/>
          <w:color w:val="000000" w:themeColor="text1"/>
          <w:sz w:val="24"/>
          <w:szCs w:val="24"/>
        </w:rPr>
        <w:t xml:space="preserve"> </w:t>
      </w:r>
      <w:r w:rsidRPr="003D5B85">
        <w:rPr>
          <w:rFonts w:ascii="Book Antiqua" w:hAnsi="Book Antiqua" w:cs="Times New Roman"/>
          <w:color w:val="000000" w:themeColor="text1"/>
          <w:kern w:val="0"/>
          <w:sz w:val="24"/>
          <w:szCs w:val="24"/>
        </w:rPr>
        <w:t>The scale has a maximum possible score of 9 points</w:t>
      </w:r>
      <w:r w:rsidRPr="003D5B85">
        <w:rPr>
          <w:rFonts w:ascii="Book Antiqua" w:hAnsi="Book Antiqua"/>
          <w:color w:val="000000" w:themeColor="text1"/>
          <w:sz w:val="24"/>
          <w:szCs w:val="24"/>
        </w:rPr>
        <w:t xml:space="preserve">; </w:t>
      </w:r>
      <w:r w:rsidRPr="003D5B85">
        <w:rPr>
          <w:rFonts w:ascii="Book Antiqua" w:hAnsi="Book Antiqua" w:cs="Times New Roman"/>
          <w:color w:val="000000" w:themeColor="text1"/>
          <w:kern w:val="0"/>
          <w:sz w:val="24"/>
          <w:szCs w:val="24"/>
        </w:rPr>
        <w:t>7 or more points indicate high quality,</w:t>
      </w:r>
      <w:r w:rsidRPr="003D5B85">
        <w:rPr>
          <w:rFonts w:ascii="Book Antiqua" w:hAnsi="Book Antiqua"/>
          <w:color w:val="000000" w:themeColor="text1"/>
          <w:sz w:val="24"/>
          <w:szCs w:val="24"/>
        </w:rPr>
        <w:t xml:space="preserve"> </w:t>
      </w:r>
      <w:r w:rsidRPr="003D5B85">
        <w:rPr>
          <w:rFonts w:ascii="Book Antiqua" w:hAnsi="Book Antiqua" w:cs="Times New Roman"/>
          <w:color w:val="000000" w:themeColor="text1"/>
          <w:kern w:val="0"/>
          <w:sz w:val="24"/>
          <w:szCs w:val="24"/>
        </w:rPr>
        <w:t>5</w:t>
      </w:r>
      <w:r w:rsidR="00E13D7E" w:rsidRPr="003D5B85">
        <w:rPr>
          <w:rFonts w:ascii="Book Antiqua" w:hAnsi="Book Antiqua" w:cs="Times New Roman"/>
          <w:color w:val="000000" w:themeColor="text1"/>
          <w:kern w:val="0"/>
          <w:sz w:val="24"/>
          <w:szCs w:val="24"/>
        </w:rPr>
        <w:t>-</w:t>
      </w:r>
      <w:r w:rsidRPr="003D5B85">
        <w:rPr>
          <w:rFonts w:ascii="Book Antiqua" w:hAnsi="Book Antiqua" w:cs="Times New Roman"/>
          <w:color w:val="000000" w:themeColor="text1"/>
          <w:kern w:val="0"/>
          <w:sz w:val="24"/>
          <w:szCs w:val="24"/>
        </w:rPr>
        <w:t>6 points</w:t>
      </w:r>
      <w:r w:rsidRPr="003D5B85">
        <w:rPr>
          <w:rFonts w:ascii="Book Antiqua" w:hAnsi="Book Antiqua"/>
          <w:color w:val="000000" w:themeColor="text1"/>
          <w:sz w:val="24"/>
          <w:szCs w:val="24"/>
        </w:rPr>
        <w:t xml:space="preserve"> </w:t>
      </w:r>
      <w:r w:rsidRPr="003D5B85">
        <w:rPr>
          <w:rFonts w:ascii="Book Antiqua" w:hAnsi="Book Antiqua" w:cs="Times New Roman"/>
          <w:color w:val="000000" w:themeColor="text1"/>
          <w:kern w:val="0"/>
          <w:sz w:val="24"/>
          <w:szCs w:val="24"/>
        </w:rPr>
        <w:t>indicate moderate quality, and</w:t>
      </w:r>
      <w:r w:rsidRPr="003D5B85">
        <w:rPr>
          <w:rFonts w:ascii="Book Antiqua" w:hAnsi="Book Antiqua"/>
          <w:color w:val="000000" w:themeColor="text1"/>
          <w:sz w:val="24"/>
          <w:szCs w:val="24"/>
        </w:rPr>
        <w:t xml:space="preserve"> </w:t>
      </w:r>
      <w:r w:rsidRPr="003D5B85">
        <w:rPr>
          <w:rFonts w:ascii="Book Antiqua" w:hAnsi="Book Antiqua" w:cs="Times New Roman"/>
          <w:color w:val="000000" w:themeColor="text1"/>
          <w:kern w:val="0"/>
          <w:sz w:val="24"/>
          <w:szCs w:val="24"/>
        </w:rPr>
        <w:t>four or fewer points indicate low quality.</w:t>
      </w:r>
      <w:r w:rsidRPr="003D5B85">
        <w:rPr>
          <w:rFonts w:ascii="Book Antiqua" w:hAnsi="Book Antiqua"/>
          <w:color w:val="000000" w:themeColor="text1"/>
          <w:sz w:val="24"/>
          <w:szCs w:val="24"/>
        </w:rPr>
        <w:t xml:space="preserve"> </w:t>
      </w:r>
      <w:r w:rsidRPr="003D5B85">
        <w:rPr>
          <w:rFonts w:ascii="Book Antiqua" w:hAnsi="Book Antiqua" w:cs="Times New Roman"/>
          <w:color w:val="000000" w:themeColor="text1"/>
          <w:kern w:val="0"/>
          <w:sz w:val="24"/>
          <w:szCs w:val="24"/>
        </w:rPr>
        <w:t xml:space="preserve">Due to incomplete information in the conference </w:t>
      </w:r>
      <w:r w:rsidRPr="003D5B85">
        <w:rPr>
          <w:rFonts w:ascii="Book Antiqua" w:hAnsi="Book Antiqua" w:cs="Times New Roman"/>
          <w:color w:val="000000" w:themeColor="text1"/>
          <w:kern w:val="0"/>
          <w:sz w:val="24"/>
          <w:szCs w:val="24"/>
        </w:rPr>
        <w:lastRenderedPageBreak/>
        <w:t>abstracts, we only conducted</w:t>
      </w:r>
      <w:r w:rsidRPr="003D5B85">
        <w:rPr>
          <w:rFonts w:ascii="Book Antiqua" w:hAnsi="Book Antiqua"/>
          <w:color w:val="000000" w:themeColor="text1"/>
          <w:sz w:val="24"/>
          <w:szCs w:val="24"/>
        </w:rPr>
        <w:t xml:space="preserve"> </w:t>
      </w:r>
      <w:r w:rsidRPr="003D5B85">
        <w:rPr>
          <w:rFonts w:ascii="Book Antiqua" w:hAnsi="Book Antiqua" w:cs="Times New Roman"/>
          <w:color w:val="000000" w:themeColor="text1"/>
          <w:kern w:val="0"/>
          <w:sz w:val="24"/>
          <w:szCs w:val="24"/>
        </w:rPr>
        <w:t>quality assessments of full-text articles.</w:t>
      </w:r>
      <w:r w:rsidRPr="003D5B85">
        <w:rPr>
          <w:rFonts w:ascii="Book Antiqua" w:hAnsi="Book Antiqua"/>
          <w:color w:val="000000" w:themeColor="text1"/>
          <w:sz w:val="24"/>
          <w:szCs w:val="24"/>
        </w:rPr>
        <w:t xml:space="preserve"> </w:t>
      </w:r>
      <w:r w:rsidRPr="003D5B85">
        <w:rPr>
          <w:rFonts w:ascii="Book Antiqua" w:hAnsi="Book Antiqua" w:cs="Times New Roman"/>
          <w:color w:val="000000" w:themeColor="text1"/>
          <w:kern w:val="0"/>
          <w:sz w:val="24"/>
          <w:szCs w:val="24"/>
        </w:rPr>
        <w:t>Two reviewers (C.X. and L.C.) independently completed the quality assessments, and any disagreements were discussed with a third reviewer (N.L.), with agreement determined by consensus.</w:t>
      </w:r>
    </w:p>
    <w:p w14:paraId="1305C9F7" w14:textId="77777777" w:rsidR="00E13D7E" w:rsidRPr="003D5B85" w:rsidRDefault="00E13D7E" w:rsidP="001C4059">
      <w:pPr>
        <w:autoSpaceDE w:val="0"/>
        <w:autoSpaceDN w:val="0"/>
        <w:adjustRightInd w:val="0"/>
        <w:spacing w:line="360" w:lineRule="auto"/>
        <w:rPr>
          <w:rFonts w:ascii="Book Antiqua" w:hAnsi="Book Antiqua" w:cs="Times New Roman"/>
          <w:b/>
          <w:color w:val="000000" w:themeColor="text1"/>
          <w:kern w:val="0"/>
          <w:sz w:val="24"/>
          <w:szCs w:val="24"/>
        </w:rPr>
      </w:pPr>
    </w:p>
    <w:p w14:paraId="7030F52A" w14:textId="4AF504DB" w:rsidR="002878A3" w:rsidRPr="003D5B85" w:rsidRDefault="002878A3" w:rsidP="001C4059">
      <w:pPr>
        <w:autoSpaceDE w:val="0"/>
        <w:autoSpaceDN w:val="0"/>
        <w:adjustRightInd w:val="0"/>
        <w:spacing w:line="360" w:lineRule="auto"/>
        <w:rPr>
          <w:rFonts w:ascii="Book Antiqua" w:hAnsi="Book Antiqua" w:cs="Times New Roman"/>
          <w:b/>
          <w:i/>
          <w:color w:val="000000" w:themeColor="text1"/>
          <w:kern w:val="0"/>
          <w:sz w:val="24"/>
          <w:szCs w:val="24"/>
        </w:rPr>
      </w:pPr>
      <w:r w:rsidRPr="003D5B85">
        <w:rPr>
          <w:rFonts w:ascii="Book Antiqua" w:hAnsi="Book Antiqua" w:cs="Times New Roman"/>
          <w:b/>
          <w:i/>
          <w:color w:val="000000" w:themeColor="text1"/>
          <w:kern w:val="0"/>
          <w:sz w:val="24"/>
          <w:szCs w:val="24"/>
        </w:rPr>
        <w:t xml:space="preserve">Statistical </w:t>
      </w:r>
      <w:r w:rsidR="00C63F2E" w:rsidRPr="003D5B85">
        <w:rPr>
          <w:rFonts w:ascii="Book Antiqua" w:hAnsi="Book Antiqua" w:cs="Times New Roman"/>
          <w:b/>
          <w:i/>
          <w:color w:val="000000" w:themeColor="text1"/>
          <w:kern w:val="0"/>
          <w:sz w:val="24"/>
          <w:szCs w:val="24"/>
        </w:rPr>
        <w:t>analysis</w:t>
      </w:r>
    </w:p>
    <w:p w14:paraId="308CF210" w14:textId="34C826E4" w:rsidR="00E13D7E" w:rsidRPr="003D5B85" w:rsidRDefault="002878A3" w:rsidP="001C4059">
      <w:pPr>
        <w:autoSpaceDE w:val="0"/>
        <w:autoSpaceDN w:val="0"/>
        <w:adjustRightInd w:val="0"/>
        <w:spacing w:line="360" w:lineRule="auto"/>
        <w:rPr>
          <w:rFonts w:ascii="Book Antiqua" w:eastAsia="等线" w:hAnsi="Book Antiqua" w:cs="Times New Roman"/>
          <w:color w:val="000000" w:themeColor="text1"/>
          <w:kern w:val="0"/>
          <w:sz w:val="24"/>
          <w:szCs w:val="24"/>
        </w:rPr>
      </w:pPr>
      <w:r w:rsidRPr="003D5B85">
        <w:rPr>
          <w:rFonts w:ascii="Book Antiqua" w:eastAsia="等线" w:hAnsi="Book Antiqua" w:cs="Times New Roman"/>
          <w:color w:val="000000" w:themeColor="text1"/>
          <w:kern w:val="0"/>
          <w:sz w:val="24"/>
          <w:szCs w:val="24"/>
        </w:rPr>
        <w:t xml:space="preserve">The primary outcome of this meta-analysis was the pooled risk of </w:t>
      </w:r>
      <w:proofErr w:type="gramStart"/>
      <w:r w:rsidRPr="003D5B85">
        <w:rPr>
          <w:rFonts w:ascii="Book Antiqua" w:eastAsia="等线" w:hAnsi="Book Antiqua" w:cs="Times New Roman"/>
          <w:color w:val="000000" w:themeColor="text1"/>
          <w:kern w:val="0"/>
          <w:sz w:val="24"/>
          <w:szCs w:val="24"/>
        </w:rPr>
        <w:t>HE</w:t>
      </w:r>
      <w:proofErr w:type="gramEnd"/>
      <w:r w:rsidRPr="003D5B85">
        <w:rPr>
          <w:rFonts w:ascii="Book Antiqua" w:eastAsia="等线" w:hAnsi="Book Antiqua" w:cs="Times New Roman"/>
          <w:color w:val="000000" w:themeColor="text1"/>
          <w:kern w:val="0"/>
          <w:sz w:val="24"/>
          <w:szCs w:val="24"/>
        </w:rPr>
        <w:t xml:space="preserve"> in patients using PPIs.</w:t>
      </w:r>
      <w:r w:rsidRPr="003D5B85">
        <w:rPr>
          <w:rFonts w:ascii="Book Antiqua" w:eastAsia="等线" w:hAnsi="Book Antiqua" w:cs="Times New Roman"/>
          <w:color w:val="000000" w:themeColor="text1"/>
          <w:sz w:val="24"/>
          <w:szCs w:val="24"/>
        </w:rPr>
        <w:t xml:space="preserve"> We only extracted the adjusted risk estimates instead of the raw data calculated by the events and the total number of patients. </w:t>
      </w:r>
      <w:r w:rsidR="00B53EE5" w:rsidRPr="003D5B85">
        <w:rPr>
          <w:rFonts w:ascii="Book Antiqua" w:eastAsia="等线" w:hAnsi="Book Antiqua" w:cs="Times New Roman"/>
          <w:color w:val="000000" w:themeColor="text1"/>
          <w:sz w:val="24"/>
          <w:szCs w:val="24"/>
        </w:rPr>
        <w:t>Using the random effects model and the inverse variance method, the risk estimates were pooled to obtain an overall effect estimate and the corresponding 95%CI.</w:t>
      </w:r>
      <w:r w:rsidRPr="003D5B85">
        <w:rPr>
          <w:rFonts w:ascii="Book Antiqua" w:hAnsi="Book Antiqua"/>
          <w:color w:val="000000" w:themeColor="text1"/>
          <w:sz w:val="24"/>
          <w:szCs w:val="24"/>
        </w:rPr>
        <w:t xml:space="preserve"> </w:t>
      </w:r>
      <w:r w:rsidRPr="003D5B85">
        <w:rPr>
          <w:rFonts w:ascii="Book Antiqua" w:eastAsia="等线" w:hAnsi="Book Antiqua" w:cs="Times New Roman"/>
          <w:color w:val="000000" w:themeColor="text1"/>
          <w:sz w:val="24"/>
          <w:szCs w:val="24"/>
        </w:rPr>
        <w:t>Because the incidence of HE is relatively low,</w:t>
      </w:r>
      <w:r w:rsidRPr="003D5B85">
        <w:rPr>
          <w:rFonts w:ascii="Book Antiqua" w:hAnsi="Book Antiqua"/>
          <w:color w:val="000000" w:themeColor="text1"/>
          <w:sz w:val="24"/>
          <w:szCs w:val="24"/>
        </w:rPr>
        <w:t xml:space="preserve"> </w:t>
      </w:r>
      <w:r w:rsidRPr="003D5B85">
        <w:rPr>
          <w:rFonts w:ascii="Book Antiqua" w:eastAsia="等线" w:hAnsi="Book Antiqua" w:cs="Times New Roman"/>
          <w:color w:val="000000" w:themeColor="text1"/>
          <w:sz w:val="24"/>
          <w:szCs w:val="24"/>
        </w:rPr>
        <w:t xml:space="preserve">different risk estimates (OR/RR/HR) were considered </w:t>
      </w:r>
      <w:proofErr w:type="gramStart"/>
      <w:r w:rsidRPr="003D5B85">
        <w:rPr>
          <w:rFonts w:ascii="Book Antiqua" w:eastAsia="等线" w:hAnsi="Book Antiqua" w:cs="Times New Roman"/>
          <w:color w:val="000000" w:themeColor="text1"/>
          <w:sz w:val="24"/>
          <w:szCs w:val="24"/>
        </w:rPr>
        <w:t>equivalent</w:t>
      </w:r>
      <w:r w:rsidR="00543B46" w:rsidRPr="003D5B85">
        <w:rPr>
          <w:rFonts w:ascii="Book Antiqua" w:eastAsia="Times New Roman" w:hAnsi="Book Antiqua" w:cs="Times New Roman"/>
          <w:color w:val="000000" w:themeColor="text1"/>
          <w:kern w:val="0"/>
          <w:sz w:val="24"/>
          <w:szCs w:val="24"/>
          <w:vertAlign w:val="superscript"/>
        </w:rPr>
        <w:t>[</w:t>
      </w:r>
      <w:proofErr w:type="gramEnd"/>
      <w:r w:rsidR="00543B46" w:rsidRPr="003D5B85">
        <w:rPr>
          <w:rFonts w:ascii="Book Antiqua" w:hAnsi="Book Antiqua" w:cs="Times New Roman"/>
          <w:color w:val="000000" w:themeColor="text1"/>
          <w:kern w:val="0"/>
          <w:sz w:val="24"/>
          <w:szCs w:val="24"/>
          <w:vertAlign w:val="superscript"/>
        </w:rPr>
        <w:t>21]</w:t>
      </w:r>
      <w:r w:rsidRPr="003D5B85">
        <w:rPr>
          <w:rFonts w:ascii="Book Antiqua" w:eastAsia="等线" w:hAnsi="Book Antiqua" w:cs="Times New Roman"/>
          <w:color w:val="000000" w:themeColor="text1"/>
          <w:sz w:val="24"/>
          <w:szCs w:val="24"/>
        </w:rPr>
        <w:t xml:space="preserve">. </w:t>
      </w:r>
      <w:r w:rsidRPr="003D5B85">
        <w:rPr>
          <w:rFonts w:ascii="Book Antiqua" w:eastAsia="等线" w:hAnsi="Book Antiqua" w:cs="Times New Roman"/>
          <w:color w:val="000000" w:themeColor="text1"/>
          <w:kern w:val="0"/>
          <w:sz w:val="24"/>
          <w:szCs w:val="24"/>
        </w:rPr>
        <w:t xml:space="preserve">Tsai </w:t>
      </w:r>
      <w:r w:rsidRPr="003D5B85">
        <w:rPr>
          <w:rFonts w:ascii="Book Antiqua" w:eastAsia="等线" w:hAnsi="Book Antiqua" w:cs="Times New Roman"/>
          <w:i/>
          <w:color w:val="000000" w:themeColor="text1"/>
          <w:kern w:val="0"/>
          <w:sz w:val="24"/>
          <w:szCs w:val="24"/>
        </w:rPr>
        <w:t>et al</w:t>
      </w:r>
      <w:r w:rsidR="00713174" w:rsidRPr="003D5B85">
        <w:rPr>
          <w:rFonts w:ascii="Book Antiqua" w:eastAsia="Times New Roman" w:hAnsi="Book Antiqua" w:cs="Times New Roman"/>
          <w:color w:val="000000" w:themeColor="text1"/>
          <w:kern w:val="0"/>
          <w:sz w:val="24"/>
          <w:szCs w:val="24"/>
          <w:vertAlign w:val="superscript"/>
        </w:rPr>
        <w:t>[</w:t>
      </w:r>
      <w:r w:rsidR="00713174" w:rsidRPr="003D5B85">
        <w:rPr>
          <w:rFonts w:ascii="Book Antiqua" w:hAnsi="Book Antiqua" w:cs="Times New Roman"/>
          <w:color w:val="000000" w:themeColor="text1"/>
          <w:kern w:val="0"/>
          <w:sz w:val="24"/>
          <w:szCs w:val="24"/>
          <w:vertAlign w:val="superscript"/>
        </w:rPr>
        <w:t>16]</w:t>
      </w:r>
      <w:r w:rsidRPr="003D5B85">
        <w:rPr>
          <w:rFonts w:ascii="Book Antiqua" w:eastAsia="等线" w:hAnsi="Book Antiqua" w:cs="Times New Roman"/>
          <w:color w:val="000000" w:themeColor="text1"/>
          <w:sz w:val="24"/>
          <w:szCs w:val="24"/>
        </w:rPr>
        <w:t xml:space="preserve"> </w:t>
      </w:r>
      <w:r w:rsidRPr="003D5B85">
        <w:rPr>
          <w:rFonts w:ascii="Book Antiqua" w:eastAsia="等线" w:hAnsi="Book Antiqua" w:cs="Times New Roman"/>
          <w:color w:val="000000" w:themeColor="text1"/>
          <w:kern w:val="0"/>
          <w:sz w:val="24"/>
          <w:szCs w:val="24"/>
        </w:rPr>
        <w:t>reported the ORs for HE in a subgroup analysis of patients with different PPI use patterns,</w:t>
      </w:r>
      <w:r w:rsidRPr="003D5B85">
        <w:rPr>
          <w:rFonts w:ascii="Book Antiqua" w:hAnsi="Book Antiqua"/>
          <w:color w:val="000000" w:themeColor="text1"/>
          <w:sz w:val="24"/>
          <w:szCs w:val="24"/>
        </w:rPr>
        <w:t xml:space="preserve"> </w:t>
      </w:r>
      <w:r w:rsidRPr="003D5B85">
        <w:rPr>
          <w:rFonts w:ascii="Book Antiqua" w:eastAsia="等线" w:hAnsi="Book Antiqua" w:cs="Times New Roman"/>
          <w:color w:val="000000" w:themeColor="text1"/>
          <w:sz w:val="24"/>
          <w:szCs w:val="24"/>
        </w:rPr>
        <w:t xml:space="preserve">and </w:t>
      </w:r>
      <w:r w:rsidRPr="003D5B85">
        <w:rPr>
          <w:rFonts w:ascii="Book Antiqua" w:eastAsia="等线" w:hAnsi="Book Antiqua" w:cs="Times New Roman"/>
          <w:color w:val="000000" w:themeColor="text1"/>
          <w:kern w:val="0"/>
          <w:sz w:val="24"/>
          <w:szCs w:val="24"/>
        </w:rPr>
        <w:t xml:space="preserve">we pooled these OR values and 95%CI using a random effects model to obtain an approximate </w:t>
      </w:r>
      <w:r w:rsidRPr="003D5B85">
        <w:rPr>
          <w:rFonts w:ascii="Book Antiqua" w:eastAsia="等线" w:hAnsi="Book Antiqua" w:cs="Times New Roman"/>
          <w:color w:val="000000" w:themeColor="text1"/>
          <w:sz w:val="24"/>
          <w:szCs w:val="24"/>
        </w:rPr>
        <w:t>overall</w:t>
      </w:r>
      <w:r w:rsidRPr="003D5B85">
        <w:rPr>
          <w:rFonts w:ascii="Book Antiqua" w:eastAsia="等线" w:hAnsi="Book Antiqua" w:cs="Times New Roman"/>
          <w:color w:val="000000" w:themeColor="text1"/>
          <w:kern w:val="0"/>
          <w:sz w:val="24"/>
          <w:szCs w:val="24"/>
        </w:rPr>
        <w:t xml:space="preserve"> OR value with the associated 95%CI</w:t>
      </w:r>
      <w:r w:rsidR="00576D4B" w:rsidRPr="003D5B85">
        <w:rPr>
          <w:rFonts w:ascii="Book Antiqua" w:eastAsia="Times New Roman" w:hAnsi="Book Antiqua" w:cs="Times New Roman"/>
          <w:color w:val="000000" w:themeColor="text1"/>
          <w:kern w:val="0"/>
          <w:sz w:val="24"/>
          <w:szCs w:val="24"/>
          <w:vertAlign w:val="superscript"/>
        </w:rPr>
        <w:t>[</w:t>
      </w:r>
      <w:r w:rsidR="00576D4B" w:rsidRPr="003D5B85">
        <w:rPr>
          <w:rFonts w:ascii="Book Antiqua" w:hAnsi="Book Antiqua" w:cs="Times New Roman"/>
          <w:color w:val="000000" w:themeColor="text1"/>
          <w:kern w:val="0"/>
          <w:sz w:val="24"/>
          <w:szCs w:val="24"/>
          <w:vertAlign w:val="superscript"/>
        </w:rPr>
        <w:t>19,22]</w:t>
      </w:r>
      <w:r w:rsidRPr="003D5B85">
        <w:rPr>
          <w:rFonts w:ascii="Book Antiqua" w:eastAsia="等线" w:hAnsi="Book Antiqua" w:cs="Times New Roman"/>
          <w:color w:val="000000" w:themeColor="text1"/>
          <w:kern w:val="0"/>
          <w:sz w:val="24"/>
          <w:szCs w:val="24"/>
        </w:rPr>
        <w:t>. Heterogeneity among the studies was tested by calculating Cochran</w:t>
      </w:r>
      <w:r w:rsidR="00E13D7E" w:rsidRPr="003D5B85">
        <w:rPr>
          <w:rFonts w:ascii="Book Antiqua" w:eastAsia="等线" w:hAnsi="Book Antiqua" w:cs="Times New Roman"/>
          <w:color w:val="000000" w:themeColor="text1"/>
          <w:kern w:val="0"/>
          <w:sz w:val="24"/>
          <w:szCs w:val="24"/>
        </w:rPr>
        <w:t>’</w:t>
      </w:r>
      <w:r w:rsidRPr="003D5B85">
        <w:rPr>
          <w:rFonts w:ascii="Book Antiqua" w:eastAsia="等线" w:hAnsi="Book Antiqua" w:cs="Times New Roman"/>
          <w:color w:val="000000" w:themeColor="text1"/>
          <w:kern w:val="0"/>
          <w:sz w:val="24"/>
          <w:szCs w:val="24"/>
        </w:rPr>
        <w:t xml:space="preserve">s Q (with </w:t>
      </w:r>
      <w:r w:rsidRPr="003D5B85">
        <w:rPr>
          <w:rFonts w:ascii="Book Antiqua" w:eastAsia="等线" w:hAnsi="Book Antiqua" w:cs="Times New Roman"/>
          <w:i/>
          <w:color w:val="000000" w:themeColor="text1"/>
          <w:kern w:val="0"/>
          <w:sz w:val="24"/>
          <w:szCs w:val="24"/>
        </w:rPr>
        <w:t>P</w:t>
      </w:r>
      <w:r w:rsidRPr="003D5B85">
        <w:rPr>
          <w:rFonts w:ascii="Book Antiqua" w:eastAsia="等线" w:hAnsi="Book Antiqua" w:cs="Times New Roman"/>
          <w:color w:val="000000" w:themeColor="text1"/>
          <w:kern w:val="0"/>
          <w:sz w:val="24"/>
          <w:szCs w:val="24"/>
        </w:rPr>
        <w:t xml:space="preserve"> &lt; 0.10 considered significant) and the </w:t>
      </w:r>
      <w:r w:rsidRPr="003D5B85">
        <w:rPr>
          <w:rFonts w:ascii="Book Antiqua" w:eastAsia="等线" w:hAnsi="Book Antiqua" w:cs="Times New Roman"/>
          <w:i/>
          <w:color w:val="000000" w:themeColor="text1"/>
          <w:kern w:val="0"/>
          <w:sz w:val="24"/>
          <w:szCs w:val="24"/>
        </w:rPr>
        <w:t>I</w:t>
      </w:r>
      <w:r w:rsidRPr="003D5B85">
        <w:rPr>
          <w:rFonts w:ascii="Book Antiqua" w:eastAsia="等线" w:hAnsi="Book Antiqua" w:cs="Times New Roman"/>
          <w:i/>
          <w:color w:val="000000" w:themeColor="text1"/>
          <w:kern w:val="0"/>
          <w:sz w:val="24"/>
          <w:szCs w:val="24"/>
          <w:vertAlign w:val="superscript"/>
        </w:rPr>
        <w:t>2</w:t>
      </w:r>
      <w:r w:rsidRPr="003D5B85">
        <w:rPr>
          <w:rFonts w:ascii="Book Antiqua" w:eastAsia="等线" w:hAnsi="Book Antiqua" w:cs="Times New Roman"/>
          <w:color w:val="000000" w:themeColor="text1"/>
          <w:kern w:val="0"/>
          <w:sz w:val="24"/>
          <w:szCs w:val="24"/>
        </w:rPr>
        <w:t xml:space="preserve"> statistic.</w:t>
      </w:r>
      <w:r w:rsidRPr="003D5B85">
        <w:rPr>
          <w:rFonts w:ascii="Book Antiqua" w:hAnsi="Book Antiqua"/>
          <w:color w:val="000000" w:themeColor="text1"/>
          <w:sz w:val="24"/>
          <w:szCs w:val="24"/>
        </w:rPr>
        <w:t xml:space="preserve"> </w:t>
      </w:r>
      <w:r w:rsidRPr="003D5B85">
        <w:rPr>
          <w:rFonts w:ascii="Book Antiqua" w:eastAsia="等线" w:hAnsi="Book Antiqua" w:cs="Times New Roman"/>
          <w:color w:val="000000" w:themeColor="text1"/>
          <w:kern w:val="0"/>
          <w:sz w:val="24"/>
          <w:szCs w:val="24"/>
        </w:rPr>
        <w:t>We considered the heterogeneity to be substantial</w:t>
      </w:r>
      <w:r w:rsidRPr="003D5B85">
        <w:rPr>
          <w:rFonts w:ascii="Book Antiqua" w:hAnsi="Book Antiqua"/>
          <w:color w:val="000000" w:themeColor="text1"/>
          <w:sz w:val="24"/>
          <w:szCs w:val="24"/>
        </w:rPr>
        <w:t xml:space="preserve"> </w:t>
      </w:r>
      <w:r w:rsidRPr="003D5B85">
        <w:rPr>
          <w:rFonts w:ascii="Book Antiqua" w:eastAsia="等线" w:hAnsi="Book Antiqua" w:cs="Times New Roman"/>
          <w:color w:val="000000" w:themeColor="text1"/>
          <w:kern w:val="0"/>
          <w:sz w:val="24"/>
          <w:szCs w:val="24"/>
        </w:rPr>
        <w:t xml:space="preserve">when </w:t>
      </w:r>
      <w:r w:rsidRPr="003D5B85">
        <w:rPr>
          <w:rFonts w:ascii="Book Antiqua" w:eastAsia="等线" w:hAnsi="Book Antiqua" w:cs="Times New Roman"/>
          <w:i/>
          <w:color w:val="000000" w:themeColor="text1"/>
          <w:kern w:val="0"/>
          <w:sz w:val="24"/>
          <w:szCs w:val="24"/>
        </w:rPr>
        <w:t>I</w:t>
      </w:r>
      <w:r w:rsidRPr="003D5B85">
        <w:rPr>
          <w:rFonts w:ascii="Book Antiqua" w:eastAsia="等线" w:hAnsi="Book Antiqua" w:cs="Times New Roman"/>
          <w:i/>
          <w:color w:val="000000" w:themeColor="text1"/>
          <w:kern w:val="0"/>
          <w:sz w:val="24"/>
          <w:szCs w:val="24"/>
          <w:vertAlign w:val="superscript"/>
        </w:rPr>
        <w:t>2</w:t>
      </w:r>
      <w:r w:rsidRPr="003D5B85">
        <w:rPr>
          <w:rFonts w:ascii="Book Antiqua" w:eastAsia="等线" w:hAnsi="Book Antiqua" w:cs="Times New Roman"/>
          <w:color w:val="000000" w:themeColor="text1"/>
          <w:kern w:val="0"/>
          <w:sz w:val="24"/>
          <w:szCs w:val="24"/>
          <w:vertAlign w:val="superscript"/>
        </w:rPr>
        <w:t xml:space="preserve"> </w:t>
      </w:r>
      <w:r w:rsidRPr="003D5B85">
        <w:rPr>
          <w:rFonts w:ascii="Book Antiqua" w:eastAsia="等线" w:hAnsi="Book Antiqua" w:cs="Times New Roman"/>
          <w:color w:val="000000" w:themeColor="text1"/>
          <w:kern w:val="0"/>
          <w:sz w:val="24"/>
          <w:szCs w:val="24"/>
        </w:rPr>
        <w:t>was &gt;</w:t>
      </w:r>
      <w:r w:rsidR="00E13D7E" w:rsidRPr="003D5B85">
        <w:rPr>
          <w:rFonts w:ascii="Book Antiqua" w:eastAsia="等线" w:hAnsi="Book Antiqua" w:cs="Times New Roman"/>
          <w:color w:val="000000" w:themeColor="text1"/>
          <w:kern w:val="0"/>
          <w:sz w:val="24"/>
          <w:szCs w:val="24"/>
        </w:rPr>
        <w:t xml:space="preserve"> </w:t>
      </w:r>
      <w:r w:rsidRPr="003D5B85">
        <w:rPr>
          <w:rFonts w:ascii="Book Antiqua" w:eastAsia="等线" w:hAnsi="Book Antiqua" w:cs="Times New Roman"/>
          <w:color w:val="000000" w:themeColor="text1"/>
          <w:kern w:val="0"/>
          <w:sz w:val="24"/>
          <w:szCs w:val="24"/>
        </w:rPr>
        <w:t>50%.</w:t>
      </w:r>
      <w:r w:rsidRPr="003D5B85">
        <w:rPr>
          <w:rFonts w:ascii="Book Antiqua" w:hAnsi="Book Antiqua"/>
          <w:color w:val="000000" w:themeColor="text1"/>
          <w:sz w:val="24"/>
          <w:szCs w:val="24"/>
        </w:rPr>
        <w:t xml:space="preserve"> </w:t>
      </w:r>
      <w:r w:rsidRPr="003D5B85">
        <w:rPr>
          <w:rFonts w:ascii="Book Antiqua" w:eastAsia="等线" w:hAnsi="Book Antiqua" w:cs="Times New Roman"/>
          <w:color w:val="000000" w:themeColor="text1"/>
          <w:kern w:val="0"/>
          <w:sz w:val="24"/>
          <w:szCs w:val="24"/>
        </w:rPr>
        <w:t>A high degree of heterogeneity was further explored in the subgroup analyses. We estimated in advance that the heterogeneity was mainly the result of differences in study designs and definitions of PPI use.</w:t>
      </w:r>
      <w:r w:rsidRPr="003D5B85">
        <w:rPr>
          <w:rFonts w:ascii="Book Antiqua" w:hAnsi="Book Antiqua"/>
          <w:color w:val="000000" w:themeColor="text1"/>
          <w:sz w:val="24"/>
          <w:szCs w:val="24"/>
        </w:rPr>
        <w:t xml:space="preserve"> </w:t>
      </w:r>
      <w:r w:rsidR="00541A2B" w:rsidRPr="003D5B85">
        <w:rPr>
          <w:rFonts w:ascii="Book Antiqua" w:eastAsia="等线" w:hAnsi="Book Antiqua" w:cs="Times New Roman"/>
          <w:color w:val="000000" w:themeColor="text1"/>
          <w:kern w:val="0"/>
          <w:sz w:val="24"/>
          <w:szCs w:val="24"/>
        </w:rPr>
        <w:t>Pre-arranged subgroup analyses would be performed based on the study design</w:t>
      </w:r>
      <w:r w:rsidRPr="003D5B85">
        <w:rPr>
          <w:rFonts w:ascii="Book Antiqua" w:eastAsia="等线" w:hAnsi="Book Antiqua" w:cs="Times New Roman"/>
          <w:color w:val="000000" w:themeColor="text1"/>
          <w:kern w:val="0"/>
          <w:sz w:val="24"/>
          <w:szCs w:val="24"/>
        </w:rPr>
        <w:t>, definition of PPI use,</w:t>
      </w:r>
      <w:r w:rsidRPr="003D5B85">
        <w:rPr>
          <w:rFonts w:ascii="Book Antiqua" w:hAnsi="Book Antiqua"/>
          <w:color w:val="000000" w:themeColor="text1"/>
          <w:sz w:val="24"/>
          <w:szCs w:val="24"/>
        </w:rPr>
        <w:t xml:space="preserve"> </w:t>
      </w:r>
      <w:r w:rsidRPr="003D5B85">
        <w:rPr>
          <w:rFonts w:ascii="Book Antiqua" w:eastAsia="等线" w:hAnsi="Book Antiqua" w:cs="Times New Roman"/>
          <w:color w:val="000000" w:themeColor="text1"/>
          <w:kern w:val="0"/>
          <w:sz w:val="24"/>
          <w:szCs w:val="24"/>
        </w:rPr>
        <w:t>study location,</w:t>
      </w:r>
      <w:r w:rsidRPr="003D5B85">
        <w:rPr>
          <w:rFonts w:ascii="Book Antiqua" w:hAnsi="Book Antiqua"/>
          <w:color w:val="000000" w:themeColor="text1"/>
          <w:sz w:val="24"/>
          <w:szCs w:val="24"/>
        </w:rPr>
        <w:t xml:space="preserve"> </w:t>
      </w:r>
      <w:r w:rsidRPr="003D5B85">
        <w:rPr>
          <w:rFonts w:ascii="Book Antiqua" w:eastAsia="等线" w:hAnsi="Book Antiqua" w:cs="Times New Roman"/>
          <w:color w:val="000000" w:themeColor="text1"/>
          <w:kern w:val="0"/>
          <w:sz w:val="24"/>
          <w:szCs w:val="24"/>
        </w:rPr>
        <w:t xml:space="preserve">type of advanced liver disease, outcomes analyzed, and quality of the research. We performed the sensitivity analysis by excluding the data from conference abstracts. To eliminate confounding by indication, we also performed a specific sensitivity analysis for patients without prior </w:t>
      </w:r>
      <w:proofErr w:type="gramStart"/>
      <w:r w:rsidRPr="003D5B85">
        <w:rPr>
          <w:rFonts w:ascii="Book Antiqua" w:eastAsia="等线" w:hAnsi="Book Antiqua" w:cs="Times New Roman"/>
          <w:color w:val="000000" w:themeColor="text1"/>
          <w:kern w:val="0"/>
          <w:sz w:val="24"/>
          <w:szCs w:val="24"/>
        </w:rPr>
        <w:t>HE</w:t>
      </w:r>
      <w:proofErr w:type="gramEnd"/>
      <w:r w:rsidRPr="003D5B85">
        <w:rPr>
          <w:rFonts w:ascii="Book Antiqua" w:eastAsia="等线" w:hAnsi="Book Antiqua" w:cs="Times New Roman"/>
          <w:color w:val="000000" w:themeColor="text1"/>
          <w:kern w:val="0"/>
          <w:sz w:val="24"/>
          <w:szCs w:val="24"/>
        </w:rPr>
        <w:t xml:space="preserve">. According to the Cochrane Collaboration </w:t>
      </w:r>
      <w:proofErr w:type="gramStart"/>
      <w:r w:rsidRPr="003D5B85">
        <w:rPr>
          <w:rFonts w:ascii="Book Antiqua" w:eastAsia="等线" w:hAnsi="Book Antiqua" w:cs="Times New Roman"/>
          <w:color w:val="000000" w:themeColor="text1"/>
          <w:kern w:val="0"/>
          <w:sz w:val="24"/>
          <w:szCs w:val="24"/>
        </w:rPr>
        <w:t>Handbook</w:t>
      </w:r>
      <w:r w:rsidR="00BA63CB" w:rsidRPr="003D5B85">
        <w:rPr>
          <w:rFonts w:ascii="Book Antiqua" w:eastAsia="Times New Roman" w:hAnsi="Book Antiqua" w:cs="Times New Roman"/>
          <w:color w:val="000000" w:themeColor="text1"/>
          <w:kern w:val="0"/>
          <w:sz w:val="24"/>
          <w:szCs w:val="24"/>
          <w:vertAlign w:val="superscript"/>
        </w:rPr>
        <w:t>[</w:t>
      </w:r>
      <w:proofErr w:type="gramEnd"/>
      <w:r w:rsidR="00BA63CB" w:rsidRPr="003D5B85">
        <w:rPr>
          <w:rFonts w:ascii="Book Antiqua" w:hAnsi="Book Antiqua" w:cs="Times New Roman"/>
          <w:color w:val="000000" w:themeColor="text1"/>
          <w:kern w:val="0"/>
          <w:sz w:val="24"/>
          <w:szCs w:val="24"/>
          <w:vertAlign w:val="superscript"/>
        </w:rPr>
        <w:t>22]</w:t>
      </w:r>
      <w:r w:rsidRPr="003D5B85">
        <w:rPr>
          <w:rFonts w:ascii="Book Antiqua" w:eastAsia="等线" w:hAnsi="Book Antiqua" w:cs="Times New Roman"/>
          <w:color w:val="000000" w:themeColor="text1"/>
          <w:kern w:val="0"/>
          <w:sz w:val="24"/>
          <w:szCs w:val="24"/>
        </w:rPr>
        <w:t>,</w:t>
      </w:r>
      <w:r w:rsidRPr="003D5B85">
        <w:rPr>
          <w:rFonts w:ascii="Book Antiqua" w:eastAsia="等线" w:hAnsi="Book Antiqua" w:cs="Times New Roman"/>
          <w:color w:val="000000" w:themeColor="text1"/>
          <w:kern w:val="0"/>
          <w:sz w:val="24"/>
          <w:szCs w:val="24"/>
          <w:vertAlign w:val="superscript"/>
        </w:rPr>
        <w:t xml:space="preserve"> </w:t>
      </w:r>
      <w:r w:rsidRPr="003D5B85">
        <w:rPr>
          <w:rFonts w:ascii="Book Antiqua" w:eastAsia="等线" w:hAnsi="Book Antiqua" w:cs="Times New Roman"/>
          <w:color w:val="000000" w:themeColor="text1"/>
          <w:kern w:val="0"/>
          <w:sz w:val="24"/>
          <w:szCs w:val="24"/>
        </w:rPr>
        <w:t>it is not recommended to test for publication bias if the number of included studies is fewer than 10. We only</w:t>
      </w:r>
      <w:r w:rsidRPr="003D5B85">
        <w:rPr>
          <w:rFonts w:ascii="Book Antiqua" w:hAnsi="Book Antiqua"/>
          <w:color w:val="000000" w:themeColor="text1"/>
          <w:sz w:val="24"/>
          <w:szCs w:val="24"/>
        </w:rPr>
        <w:t xml:space="preserve"> </w:t>
      </w:r>
      <w:r w:rsidRPr="003D5B85">
        <w:rPr>
          <w:rFonts w:ascii="Book Antiqua" w:eastAsia="等线" w:hAnsi="Book Antiqua" w:cs="Times New Roman"/>
          <w:color w:val="000000" w:themeColor="text1"/>
          <w:kern w:val="0"/>
          <w:sz w:val="24"/>
          <w:szCs w:val="24"/>
        </w:rPr>
        <w:t xml:space="preserve">explored publication bias by examining a funnel plot. </w:t>
      </w:r>
      <w:r w:rsidR="008C0137" w:rsidRPr="003D5B85">
        <w:rPr>
          <w:rFonts w:ascii="Book Antiqua" w:eastAsia="等线" w:hAnsi="Book Antiqua" w:cs="Times New Roman"/>
          <w:color w:val="000000" w:themeColor="text1"/>
          <w:kern w:val="0"/>
          <w:sz w:val="24"/>
          <w:szCs w:val="24"/>
        </w:rPr>
        <w:t xml:space="preserve">All data analyses were </w:t>
      </w:r>
      <w:r w:rsidR="008C0137" w:rsidRPr="003D5B85">
        <w:rPr>
          <w:rFonts w:ascii="Book Antiqua" w:eastAsia="等线" w:hAnsi="Book Antiqua" w:cs="Times New Roman"/>
          <w:color w:val="000000" w:themeColor="text1"/>
          <w:kern w:val="0"/>
          <w:sz w:val="24"/>
          <w:szCs w:val="24"/>
        </w:rPr>
        <w:lastRenderedPageBreak/>
        <w:t>performed by using Review Manager 5.3 (The Nordic Cochrane Centre, the Cochrane Collaboration, Copenhagen, 2014).</w:t>
      </w:r>
    </w:p>
    <w:p w14:paraId="53498B69" w14:textId="6D35AAA8" w:rsidR="002878A3" w:rsidRPr="003D5B85" w:rsidRDefault="00E13D7E" w:rsidP="001C4059">
      <w:pPr>
        <w:autoSpaceDE w:val="0"/>
        <w:autoSpaceDN w:val="0"/>
        <w:adjustRightInd w:val="0"/>
        <w:spacing w:line="360" w:lineRule="auto"/>
        <w:rPr>
          <w:rFonts w:ascii="Book Antiqua" w:hAnsi="Book Antiqua" w:cs="Times New Roman"/>
          <w:b/>
          <w:color w:val="000000" w:themeColor="text1"/>
          <w:kern w:val="0"/>
          <w:sz w:val="24"/>
          <w:szCs w:val="24"/>
        </w:rPr>
      </w:pPr>
      <w:r w:rsidRPr="003D5B85">
        <w:rPr>
          <w:rFonts w:ascii="Book Antiqua" w:hAnsi="Book Antiqua" w:cs="Times New Roman"/>
          <w:b/>
          <w:color w:val="000000" w:themeColor="text1"/>
          <w:kern w:val="0"/>
          <w:sz w:val="24"/>
          <w:szCs w:val="24"/>
        </w:rPr>
        <w:t>RESULTS</w:t>
      </w:r>
    </w:p>
    <w:p w14:paraId="47762219" w14:textId="77777777" w:rsidR="002878A3" w:rsidRPr="003D5B85" w:rsidRDefault="002878A3" w:rsidP="001C4059">
      <w:pPr>
        <w:autoSpaceDE w:val="0"/>
        <w:autoSpaceDN w:val="0"/>
        <w:adjustRightInd w:val="0"/>
        <w:spacing w:line="360" w:lineRule="auto"/>
        <w:rPr>
          <w:rFonts w:ascii="Book Antiqua" w:hAnsi="Book Antiqua" w:cs="Times New Roman"/>
          <w:b/>
          <w:i/>
          <w:color w:val="000000" w:themeColor="text1"/>
          <w:kern w:val="0"/>
          <w:sz w:val="24"/>
          <w:szCs w:val="24"/>
        </w:rPr>
      </w:pPr>
      <w:r w:rsidRPr="003D5B85">
        <w:rPr>
          <w:rFonts w:ascii="Book Antiqua" w:hAnsi="Book Antiqua" w:cs="Times New Roman"/>
          <w:b/>
          <w:i/>
          <w:color w:val="000000" w:themeColor="text1"/>
          <w:kern w:val="0"/>
          <w:sz w:val="24"/>
          <w:szCs w:val="24"/>
        </w:rPr>
        <w:t>Literature search</w:t>
      </w:r>
    </w:p>
    <w:p w14:paraId="152F759A" w14:textId="407A1EE3" w:rsidR="002878A3" w:rsidRPr="003D5B85" w:rsidRDefault="00E13D7E" w:rsidP="00E13D7E">
      <w:pPr>
        <w:autoSpaceDE w:val="0"/>
        <w:autoSpaceDN w:val="0"/>
        <w:adjustRightInd w:val="0"/>
        <w:spacing w:line="360" w:lineRule="auto"/>
        <w:rPr>
          <w:rFonts w:ascii="Book Antiqua" w:hAnsi="Book Antiqua" w:cs="Times New Roman"/>
          <w:color w:val="000000" w:themeColor="text1"/>
          <w:kern w:val="0"/>
          <w:sz w:val="24"/>
          <w:szCs w:val="24"/>
        </w:rPr>
      </w:pPr>
      <w:r w:rsidRPr="003D5B85">
        <w:rPr>
          <w:rFonts w:ascii="Book Antiqua" w:hAnsi="Book Antiqua" w:cs="Times New Roman"/>
          <w:color w:val="000000" w:themeColor="text1"/>
          <w:kern w:val="0"/>
          <w:sz w:val="24"/>
          <w:szCs w:val="24"/>
        </w:rPr>
        <w:t xml:space="preserve">Of </w:t>
      </w:r>
      <w:r w:rsidR="009B6343" w:rsidRPr="003D5B85">
        <w:rPr>
          <w:rFonts w:ascii="Book Antiqua" w:hAnsi="Book Antiqua" w:cs="Times New Roman"/>
          <w:color w:val="000000" w:themeColor="text1"/>
          <w:kern w:val="0"/>
          <w:sz w:val="24"/>
          <w:szCs w:val="24"/>
        </w:rPr>
        <w:t>3006 studies</w:t>
      </w:r>
      <w:r w:rsidR="007434B9" w:rsidRPr="003D5B85">
        <w:rPr>
          <w:rFonts w:ascii="Book Antiqua" w:hAnsi="Book Antiqua" w:cs="Times New Roman"/>
          <w:color w:val="000000" w:themeColor="text1"/>
          <w:kern w:val="0"/>
          <w:sz w:val="24"/>
          <w:szCs w:val="24"/>
        </w:rPr>
        <w:t xml:space="preserve"> </w:t>
      </w:r>
      <w:r w:rsidR="009B6343" w:rsidRPr="003D5B85">
        <w:rPr>
          <w:rFonts w:ascii="Book Antiqua" w:hAnsi="Book Antiqua" w:cs="Times New Roman"/>
          <w:color w:val="000000" w:themeColor="text1"/>
          <w:kern w:val="0"/>
          <w:sz w:val="24"/>
          <w:szCs w:val="24"/>
        </w:rPr>
        <w:t>initially retrieved, 2578</w:t>
      </w:r>
      <w:r w:rsidR="007434B9" w:rsidRPr="003D5B85">
        <w:rPr>
          <w:rFonts w:ascii="Book Antiqua" w:hAnsi="Book Antiqua" w:cs="Times New Roman"/>
          <w:color w:val="000000" w:themeColor="text1"/>
          <w:kern w:val="0"/>
          <w:sz w:val="24"/>
          <w:szCs w:val="24"/>
        </w:rPr>
        <w:t xml:space="preserve"> </w:t>
      </w:r>
      <w:r w:rsidR="009B6343" w:rsidRPr="003D5B85">
        <w:rPr>
          <w:rFonts w:ascii="Book Antiqua" w:hAnsi="Book Antiqua" w:cs="Times New Roman"/>
          <w:color w:val="000000" w:themeColor="text1"/>
          <w:kern w:val="0"/>
          <w:sz w:val="24"/>
          <w:szCs w:val="24"/>
        </w:rPr>
        <w:t>were from EMBASE, 383</w:t>
      </w:r>
      <w:r w:rsidR="007434B9" w:rsidRPr="003D5B85">
        <w:rPr>
          <w:rFonts w:ascii="Book Antiqua" w:hAnsi="Book Antiqua" w:cs="Times New Roman"/>
          <w:color w:val="000000" w:themeColor="text1"/>
          <w:kern w:val="0"/>
          <w:sz w:val="24"/>
          <w:szCs w:val="24"/>
        </w:rPr>
        <w:t xml:space="preserve"> </w:t>
      </w:r>
      <w:r w:rsidR="009B6343" w:rsidRPr="003D5B85">
        <w:rPr>
          <w:rFonts w:ascii="Book Antiqua" w:hAnsi="Book Antiqua" w:cs="Times New Roman"/>
          <w:color w:val="000000" w:themeColor="text1"/>
          <w:kern w:val="0"/>
          <w:sz w:val="24"/>
          <w:szCs w:val="24"/>
        </w:rPr>
        <w:t>from PubMed</w:t>
      </w:r>
      <w:r w:rsidR="007434B9" w:rsidRPr="003D5B85">
        <w:rPr>
          <w:rFonts w:ascii="Book Antiqua" w:hAnsi="Book Antiqua" w:cs="Times New Roman"/>
          <w:color w:val="000000" w:themeColor="text1"/>
          <w:kern w:val="0"/>
          <w:sz w:val="24"/>
          <w:szCs w:val="24"/>
        </w:rPr>
        <w:t>,</w:t>
      </w:r>
      <w:r w:rsidR="009B6343" w:rsidRPr="003D5B85">
        <w:rPr>
          <w:rFonts w:ascii="Book Antiqua" w:hAnsi="Book Antiqua" w:cs="Times New Roman"/>
          <w:color w:val="000000" w:themeColor="text1"/>
          <w:kern w:val="0"/>
          <w:sz w:val="24"/>
          <w:szCs w:val="24"/>
        </w:rPr>
        <w:t xml:space="preserve"> and 45</w:t>
      </w:r>
      <w:r w:rsidR="007434B9" w:rsidRPr="003D5B85">
        <w:rPr>
          <w:rFonts w:ascii="Book Antiqua" w:hAnsi="Book Antiqua" w:cs="Times New Roman"/>
          <w:color w:val="000000" w:themeColor="text1"/>
          <w:kern w:val="0"/>
          <w:sz w:val="24"/>
          <w:szCs w:val="24"/>
        </w:rPr>
        <w:t xml:space="preserve"> </w:t>
      </w:r>
      <w:r w:rsidR="009B6343" w:rsidRPr="003D5B85">
        <w:rPr>
          <w:rFonts w:ascii="Book Antiqua" w:hAnsi="Book Antiqua" w:cs="Times New Roman"/>
          <w:color w:val="000000" w:themeColor="text1"/>
          <w:kern w:val="0"/>
          <w:sz w:val="24"/>
          <w:szCs w:val="24"/>
        </w:rPr>
        <w:t>from the Cochrane Library.</w:t>
      </w:r>
      <w:r w:rsidRPr="003D5B85">
        <w:rPr>
          <w:rFonts w:ascii="Book Antiqua" w:hAnsi="Book Antiqua" w:cs="Times New Roman"/>
          <w:color w:val="000000" w:themeColor="text1"/>
          <w:kern w:val="0"/>
          <w:sz w:val="24"/>
          <w:szCs w:val="24"/>
        </w:rPr>
        <w:t xml:space="preserve"> </w:t>
      </w:r>
      <w:r w:rsidR="002878A3" w:rsidRPr="003D5B85">
        <w:rPr>
          <w:rFonts w:ascii="Book Antiqua" w:hAnsi="Book Antiqua" w:cs="Times New Roman"/>
          <w:color w:val="000000" w:themeColor="text1"/>
          <w:kern w:val="0"/>
          <w:sz w:val="24"/>
          <w:szCs w:val="24"/>
        </w:rPr>
        <w:t>One study was identified through the manual search.</w:t>
      </w:r>
      <w:r w:rsidR="00685F32" w:rsidRPr="003D5B85">
        <w:rPr>
          <w:rFonts w:ascii="Book Antiqua" w:hAnsi="Book Antiqua" w:cs="Times New Roman"/>
          <w:color w:val="000000" w:themeColor="text1"/>
          <w:kern w:val="0"/>
          <w:sz w:val="24"/>
          <w:szCs w:val="24"/>
        </w:rPr>
        <w:t xml:space="preserve"> </w:t>
      </w:r>
      <w:r w:rsidR="002878A3" w:rsidRPr="003D5B85">
        <w:rPr>
          <w:rFonts w:ascii="Book Antiqua" w:hAnsi="Book Antiqua" w:cs="Times New Roman"/>
          <w:color w:val="000000" w:themeColor="text1"/>
          <w:kern w:val="0"/>
          <w:sz w:val="24"/>
          <w:szCs w:val="24"/>
        </w:rPr>
        <w:t>After excluding duplicates, 2684 titles and abstracts were reviewed, and 60 studies were assessed for eligibility through full</w:t>
      </w:r>
      <w:r w:rsidR="007434B9" w:rsidRPr="003D5B85">
        <w:rPr>
          <w:rFonts w:ascii="Book Antiqua" w:hAnsi="Book Antiqua" w:cs="Times New Roman"/>
          <w:color w:val="000000" w:themeColor="text1"/>
          <w:kern w:val="0"/>
          <w:sz w:val="24"/>
          <w:szCs w:val="24"/>
        </w:rPr>
        <w:t>-</w:t>
      </w:r>
      <w:r w:rsidR="002878A3" w:rsidRPr="003D5B85">
        <w:rPr>
          <w:rFonts w:ascii="Book Antiqua" w:hAnsi="Book Antiqua" w:cs="Times New Roman"/>
          <w:color w:val="000000" w:themeColor="text1"/>
          <w:kern w:val="0"/>
          <w:sz w:val="24"/>
          <w:szCs w:val="24"/>
        </w:rPr>
        <w:t>text review.</w:t>
      </w:r>
      <w:r w:rsidR="002878A3" w:rsidRPr="003D5B85">
        <w:rPr>
          <w:rFonts w:ascii="Book Antiqua" w:hAnsi="Book Antiqua"/>
          <w:color w:val="000000" w:themeColor="text1"/>
          <w:sz w:val="24"/>
          <w:szCs w:val="24"/>
        </w:rPr>
        <w:t xml:space="preserve"> </w:t>
      </w:r>
      <w:r w:rsidR="002878A3" w:rsidRPr="003D5B85">
        <w:rPr>
          <w:rFonts w:ascii="Book Antiqua" w:hAnsi="Book Antiqua" w:cs="Times New Roman"/>
          <w:color w:val="000000" w:themeColor="text1"/>
          <w:kern w:val="0"/>
          <w:sz w:val="24"/>
          <w:szCs w:val="24"/>
        </w:rPr>
        <w:t xml:space="preserve">Based on the inclusion criteria, </w:t>
      </w:r>
      <w:r w:rsidR="007434B9" w:rsidRPr="003D5B85">
        <w:rPr>
          <w:rFonts w:ascii="Book Antiqua" w:hAnsi="Book Antiqua" w:cs="Times New Roman"/>
          <w:color w:val="000000" w:themeColor="text1"/>
          <w:kern w:val="0"/>
          <w:sz w:val="24"/>
          <w:szCs w:val="24"/>
        </w:rPr>
        <w:t>eight</w:t>
      </w:r>
      <w:r w:rsidR="007434B9" w:rsidRPr="003D5B85">
        <w:rPr>
          <w:rFonts w:ascii="Book Antiqua" w:hAnsi="Book Antiqua"/>
          <w:color w:val="000000" w:themeColor="text1"/>
          <w:sz w:val="24"/>
          <w:szCs w:val="24"/>
        </w:rPr>
        <w:t xml:space="preserve"> </w:t>
      </w:r>
      <w:r w:rsidR="002878A3" w:rsidRPr="003D5B85">
        <w:rPr>
          <w:rFonts w:ascii="Book Antiqua" w:hAnsi="Book Antiqua" w:cs="Times New Roman"/>
          <w:color w:val="000000" w:themeColor="text1"/>
          <w:kern w:val="0"/>
          <w:sz w:val="24"/>
          <w:szCs w:val="24"/>
        </w:rPr>
        <w:t xml:space="preserve">observational studies and </w:t>
      </w:r>
      <w:r w:rsidR="007434B9" w:rsidRPr="003D5B85">
        <w:rPr>
          <w:rFonts w:ascii="Book Antiqua" w:hAnsi="Book Antiqua" w:cs="Times New Roman"/>
          <w:color w:val="000000" w:themeColor="text1"/>
          <w:kern w:val="0"/>
          <w:sz w:val="24"/>
          <w:szCs w:val="24"/>
        </w:rPr>
        <w:t xml:space="preserve">six </w:t>
      </w:r>
      <w:r w:rsidR="002878A3" w:rsidRPr="003D5B85">
        <w:rPr>
          <w:rFonts w:ascii="Book Antiqua" w:hAnsi="Book Antiqua" w:cs="Times New Roman"/>
          <w:color w:val="000000" w:themeColor="text1"/>
          <w:kern w:val="0"/>
          <w:sz w:val="24"/>
          <w:szCs w:val="24"/>
        </w:rPr>
        <w:t xml:space="preserve">conference abstracts were identified. Of </w:t>
      </w:r>
      <w:r w:rsidR="002878A3" w:rsidRPr="003D5B85">
        <w:rPr>
          <w:rFonts w:ascii="Book Antiqua" w:eastAsia="等线" w:hAnsi="Book Antiqua" w:cs="Times New Roman"/>
          <w:color w:val="000000" w:themeColor="text1"/>
          <w:kern w:val="0"/>
          <w:sz w:val="24"/>
          <w:szCs w:val="24"/>
        </w:rPr>
        <w:t>these</w:t>
      </w:r>
      <w:r w:rsidR="002878A3" w:rsidRPr="003D5B85">
        <w:rPr>
          <w:rFonts w:ascii="Book Antiqua" w:hAnsi="Book Antiqua" w:cs="Times New Roman"/>
          <w:color w:val="000000" w:themeColor="text1"/>
          <w:kern w:val="0"/>
          <w:sz w:val="24"/>
          <w:szCs w:val="24"/>
        </w:rPr>
        <w:t xml:space="preserve">, </w:t>
      </w:r>
      <w:r w:rsidR="007434B9" w:rsidRPr="003D5B85">
        <w:rPr>
          <w:rFonts w:ascii="Book Antiqua" w:hAnsi="Book Antiqua" w:cs="Times New Roman"/>
          <w:color w:val="000000" w:themeColor="text1"/>
          <w:kern w:val="0"/>
          <w:sz w:val="24"/>
          <w:szCs w:val="24"/>
        </w:rPr>
        <w:t xml:space="preserve">six </w:t>
      </w:r>
      <w:r w:rsidR="002878A3" w:rsidRPr="003D5B85">
        <w:rPr>
          <w:rFonts w:ascii="Book Antiqua" w:hAnsi="Book Antiqua" w:cs="Times New Roman"/>
          <w:color w:val="000000" w:themeColor="text1"/>
          <w:kern w:val="0"/>
          <w:sz w:val="24"/>
          <w:szCs w:val="24"/>
        </w:rPr>
        <w:t>observational studies</w:t>
      </w:r>
      <w:r w:rsidR="002878A3" w:rsidRPr="003D5B85">
        <w:rPr>
          <w:rFonts w:ascii="Book Antiqua" w:eastAsia="等线" w:hAnsi="Book Antiqua" w:cs="Times New Roman"/>
          <w:color w:val="000000" w:themeColor="text1"/>
          <w:kern w:val="0"/>
          <w:sz w:val="24"/>
          <w:szCs w:val="24"/>
        </w:rPr>
        <w:t xml:space="preserve"> </w:t>
      </w:r>
      <w:r w:rsidR="002878A3" w:rsidRPr="003D5B85">
        <w:rPr>
          <w:rFonts w:ascii="Book Antiqua" w:hAnsi="Book Antiqua" w:cs="Times New Roman"/>
          <w:color w:val="000000" w:themeColor="text1"/>
          <w:kern w:val="0"/>
          <w:sz w:val="24"/>
          <w:szCs w:val="24"/>
        </w:rPr>
        <w:t>(</w:t>
      </w:r>
      <w:r w:rsidR="007434B9" w:rsidRPr="003D5B85">
        <w:rPr>
          <w:rFonts w:ascii="Book Antiqua" w:hAnsi="Book Antiqua" w:cs="Times New Roman"/>
          <w:color w:val="000000" w:themeColor="text1"/>
          <w:kern w:val="0"/>
          <w:sz w:val="24"/>
          <w:szCs w:val="24"/>
        </w:rPr>
        <w:t xml:space="preserve">three </w:t>
      </w:r>
      <w:r w:rsidR="002878A3" w:rsidRPr="003D5B85">
        <w:rPr>
          <w:rFonts w:ascii="Book Antiqua" w:hAnsi="Book Antiqua" w:cs="Times New Roman"/>
          <w:color w:val="000000" w:themeColor="text1"/>
          <w:kern w:val="0"/>
          <w:sz w:val="24"/>
          <w:szCs w:val="24"/>
        </w:rPr>
        <w:t xml:space="preserve">case-control studies and </w:t>
      </w:r>
      <w:r w:rsidR="007434B9" w:rsidRPr="003D5B85">
        <w:rPr>
          <w:rFonts w:ascii="Book Antiqua" w:hAnsi="Book Antiqua" w:cs="Times New Roman"/>
          <w:color w:val="000000" w:themeColor="text1"/>
          <w:kern w:val="0"/>
          <w:sz w:val="24"/>
          <w:szCs w:val="24"/>
        </w:rPr>
        <w:t xml:space="preserve">three </w:t>
      </w:r>
      <w:r w:rsidR="002878A3" w:rsidRPr="003D5B85">
        <w:rPr>
          <w:rFonts w:ascii="Book Antiqua" w:hAnsi="Book Antiqua" w:cs="Times New Roman"/>
          <w:color w:val="000000" w:themeColor="text1"/>
          <w:kern w:val="0"/>
          <w:sz w:val="24"/>
          <w:szCs w:val="24"/>
        </w:rPr>
        <w:t>cohort studies</w:t>
      </w:r>
      <w:proofErr w:type="gramStart"/>
      <w:r w:rsidR="002878A3" w:rsidRPr="003D5B85">
        <w:rPr>
          <w:rFonts w:ascii="Book Antiqua" w:hAnsi="Book Antiqua" w:cs="Times New Roman"/>
          <w:color w:val="000000" w:themeColor="text1"/>
          <w:kern w:val="0"/>
          <w:sz w:val="24"/>
          <w:szCs w:val="24"/>
        </w:rPr>
        <w:t>)</w:t>
      </w:r>
      <w:r w:rsidR="001D01B3" w:rsidRPr="003D5B85">
        <w:rPr>
          <w:rFonts w:ascii="Book Antiqua" w:eastAsia="Times New Roman" w:hAnsi="Book Antiqua" w:cs="Times New Roman"/>
          <w:color w:val="000000" w:themeColor="text1"/>
          <w:kern w:val="0"/>
          <w:sz w:val="24"/>
          <w:szCs w:val="24"/>
          <w:vertAlign w:val="superscript"/>
        </w:rPr>
        <w:t>[</w:t>
      </w:r>
      <w:proofErr w:type="gramEnd"/>
      <w:r w:rsidR="001D01B3" w:rsidRPr="003D5B85">
        <w:rPr>
          <w:rFonts w:ascii="Book Antiqua" w:hAnsi="Book Antiqua" w:cs="Times New Roman"/>
          <w:color w:val="000000" w:themeColor="text1"/>
          <w:kern w:val="0"/>
          <w:sz w:val="24"/>
          <w:szCs w:val="24"/>
          <w:vertAlign w:val="superscript"/>
        </w:rPr>
        <w:t>13-18]</w:t>
      </w:r>
      <w:r w:rsidR="002878A3" w:rsidRPr="003D5B85">
        <w:rPr>
          <w:rFonts w:ascii="Book Antiqua" w:hAnsi="Book Antiqua" w:cs="Times New Roman"/>
          <w:color w:val="000000" w:themeColor="text1"/>
          <w:kern w:val="0"/>
          <w:sz w:val="24"/>
          <w:szCs w:val="24"/>
        </w:rPr>
        <w:t xml:space="preserve"> and </w:t>
      </w:r>
      <w:r w:rsidR="007434B9" w:rsidRPr="003D5B85">
        <w:rPr>
          <w:rFonts w:ascii="Book Antiqua" w:hAnsi="Book Antiqua" w:cs="Times New Roman"/>
          <w:color w:val="000000" w:themeColor="text1"/>
          <w:kern w:val="0"/>
          <w:sz w:val="24"/>
          <w:szCs w:val="24"/>
        </w:rPr>
        <w:t xml:space="preserve">three </w:t>
      </w:r>
      <w:r w:rsidR="002878A3" w:rsidRPr="003D5B85">
        <w:rPr>
          <w:rFonts w:ascii="Book Antiqua" w:hAnsi="Book Antiqua" w:cs="Times New Roman"/>
          <w:color w:val="000000" w:themeColor="text1"/>
          <w:kern w:val="0"/>
          <w:sz w:val="24"/>
          <w:szCs w:val="24"/>
        </w:rPr>
        <w:t>conference abstracts</w:t>
      </w:r>
      <w:r w:rsidR="00FA5785" w:rsidRPr="003D5B85">
        <w:rPr>
          <w:rFonts w:ascii="Book Antiqua" w:eastAsia="Times New Roman" w:hAnsi="Book Antiqua" w:cs="Times New Roman"/>
          <w:color w:val="000000" w:themeColor="text1"/>
          <w:kern w:val="0"/>
          <w:sz w:val="24"/>
          <w:szCs w:val="24"/>
          <w:vertAlign w:val="superscript"/>
        </w:rPr>
        <w:t>[</w:t>
      </w:r>
      <w:r w:rsidR="00FA5785" w:rsidRPr="003D5B85">
        <w:rPr>
          <w:rFonts w:ascii="Book Antiqua" w:hAnsi="Book Antiqua" w:cs="Times New Roman"/>
          <w:color w:val="000000" w:themeColor="text1"/>
          <w:kern w:val="0"/>
          <w:sz w:val="24"/>
          <w:szCs w:val="24"/>
          <w:vertAlign w:val="superscript"/>
        </w:rPr>
        <w:t>23-25]</w:t>
      </w:r>
      <w:r w:rsidR="002878A3" w:rsidRPr="003D5B85">
        <w:rPr>
          <w:rFonts w:ascii="Book Antiqua" w:hAnsi="Book Antiqua" w:cs="Times New Roman"/>
          <w:color w:val="000000" w:themeColor="text1"/>
          <w:kern w:val="0"/>
          <w:sz w:val="24"/>
          <w:szCs w:val="24"/>
        </w:rPr>
        <w:t xml:space="preserve"> provided the necessary data and were ultimately included (Figure 1). Two</w:t>
      </w:r>
      <w:r w:rsidR="002878A3" w:rsidRPr="003D5B85">
        <w:rPr>
          <w:rFonts w:ascii="Book Antiqua" w:hAnsi="Book Antiqua"/>
          <w:color w:val="000000" w:themeColor="text1"/>
          <w:sz w:val="24"/>
          <w:szCs w:val="24"/>
        </w:rPr>
        <w:t xml:space="preserve"> </w:t>
      </w:r>
      <w:r w:rsidR="002878A3" w:rsidRPr="003D5B85">
        <w:rPr>
          <w:rFonts w:ascii="Book Antiqua" w:hAnsi="Book Antiqua" w:cs="Times New Roman"/>
          <w:color w:val="000000" w:themeColor="text1"/>
          <w:kern w:val="0"/>
          <w:sz w:val="24"/>
          <w:szCs w:val="24"/>
        </w:rPr>
        <w:t>cohort studies and three conference abstracts were excluded because of incomplete data. We tried to contact the corresponding authors via email. However, our requests did not receive responses.</w:t>
      </w:r>
    </w:p>
    <w:p w14:paraId="03BD5A91" w14:textId="77777777" w:rsidR="00E13D7E" w:rsidRPr="003D5B85" w:rsidRDefault="00E13D7E" w:rsidP="00E13D7E">
      <w:pPr>
        <w:autoSpaceDE w:val="0"/>
        <w:autoSpaceDN w:val="0"/>
        <w:adjustRightInd w:val="0"/>
        <w:spacing w:line="360" w:lineRule="auto"/>
        <w:rPr>
          <w:rFonts w:ascii="Book Antiqua" w:hAnsi="Book Antiqua" w:cs="Times New Roman"/>
          <w:color w:val="000000" w:themeColor="text1"/>
          <w:kern w:val="0"/>
          <w:sz w:val="24"/>
          <w:szCs w:val="24"/>
        </w:rPr>
      </w:pPr>
    </w:p>
    <w:p w14:paraId="58BF5801" w14:textId="77777777" w:rsidR="002878A3" w:rsidRPr="003D5B85" w:rsidRDefault="002878A3" w:rsidP="001C4059">
      <w:pPr>
        <w:autoSpaceDE w:val="0"/>
        <w:autoSpaceDN w:val="0"/>
        <w:adjustRightInd w:val="0"/>
        <w:spacing w:line="360" w:lineRule="auto"/>
        <w:rPr>
          <w:rFonts w:ascii="Book Antiqua" w:hAnsi="Book Antiqua" w:cs="Times New Roman"/>
          <w:b/>
          <w:i/>
          <w:color w:val="000000" w:themeColor="text1"/>
          <w:kern w:val="0"/>
          <w:sz w:val="24"/>
          <w:szCs w:val="24"/>
        </w:rPr>
      </w:pPr>
      <w:r w:rsidRPr="003D5B85">
        <w:rPr>
          <w:rFonts w:ascii="Book Antiqua" w:hAnsi="Book Antiqua" w:cs="Times New Roman"/>
          <w:b/>
          <w:i/>
          <w:color w:val="000000" w:themeColor="text1"/>
          <w:kern w:val="0"/>
          <w:sz w:val="24"/>
          <w:szCs w:val="24"/>
        </w:rPr>
        <w:t>Study characteristics and quality assessment</w:t>
      </w:r>
    </w:p>
    <w:p w14:paraId="3FA00E02" w14:textId="4BF9AC39" w:rsidR="002878A3" w:rsidRPr="003D5B85" w:rsidRDefault="00630767" w:rsidP="00E13D7E">
      <w:pPr>
        <w:autoSpaceDE w:val="0"/>
        <w:autoSpaceDN w:val="0"/>
        <w:adjustRightInd w:val="0"/>
        <w:spacing w:line="360" w:lineRule="auto"/>
        <w:rPr>
          <w:rFonts w:ascii="Book Antiqua" w:hAnsi="Book Antiqua" w:cs="Times New Roman"/>
          <w:color w:val="000000" w:themeColor="text1"/>
          <w:kern w:val="0"/>
          <w:sz w:val="24"/>
          <w:szCs w:val="24"/>
        </w:rPr>
      </w:pPr>
      <w:bookmarkStart w:id="41" w:name="_Hlk535352042"/>
      <w:r w:rsidRPr="003D5B85">
        <w:rPr>
          <w:rFonts w:ascii="Book Antiqua" w:hAnsi="Book Antiqua" w:cs="Times New Roman"/>
          <w:color w:val="000000" w:themeColor="text1"/>
          <w:kern w:val="0"/>
          <w:sz w:val="24"/>
          <w:szCs w:val="24"/>
        </w:rPr>
        <w:t>Table 1 lists the characteristics of the included studies.</w:t>
      </w:r>
      <w:r w:rsidR="002878A3" w:rsidRPr="003D5B85">
        <w:rPr>
          <w:rFonts w:ascii="Book Antiqua" w:hAnsi="Book Antiqua"/>
          <w:color w:val="000000" w:themeColor="text1"/>
          <w:sz w:val="24"/>
          <w:szCs w:val="24"/>
        </w:rPr>
        <w:t xml:space="preserve"> </w:t>
      </w:r>
      <w:r w:rsidR="002878A3" w:rsidRPr="003D5B85">
        <w:rPr>
          <w:rFonts w:ascii="Book Antiqua" w:eastAsia="等线" w:hAnsi="Book Antiqua" w:cs="Times New Roman"/>
          <w:color w:val="000000" w:themeColor="text1"/>
          <w:kern w:val="0"/>
          <w:sz w:val="24"/>
          <w:szCs w:val="24"/>
        </w:rPr>
        <w:t>Six</w:t>
      </w:r>
      <w:r w:rsidR="002878A3" w:rsidRPr="003D5B85">
        <w:rPr>
          <w:rFonts w:ascii="Book Antiqua" w:hAnsi="Book Antiqua" w:cs="Times New Roman"/>
          <w:color w:val="000000" w:themeColor="text1"/>
          <w:kern w:val="0"/>
          <w:sz w:val="24"/>
          <w:szCs w:val="24"/>
        </w:rPr>
        <w:t xml:space="preserve"> observational studies</w:t>
      </w:r>
      <w:r w:rsidR="002878A3" w:rsidRPr="003D5B85">
        <w:rPr>
          <w:rFonts w:ascii="Book Antiqua" w:eastAsia="等线" w:hAnsi="Book Antiqua" w:cs="Times New Roman"/>
          <w:color w:val="000000" w:themeColor="text1"/>
          <w:kern w:val="0"/>
          <w:sz w:val="24"/>
          <w:szCs w:val="24"/>
        </w:rPr>
        <w:t xml:space="preserve"> </w:t>
      </w:r>
      <w:r w:rsidR="002878A3" w:rsidRPr="003D5B85">
        <w:rPr>
          <w:rFonts w:ascii="Book Antiqua" w:hAnsi="Book Antiqua" w:cs="Times New Roman"/>
          <w:color w:val="000000" w:themeColor="text1"/>
          <w:kern w:val="0"/>
          <w:sz w:val="24"/>
          <w:szCs w:val="24"/>
        </w:rPr>
        <w:t>(</w:t>
      </w:r>
      <w:r w:rsidR="007434B9" w:rsidRPr="003D5B85">
        <w:rPr>
          <w:rFonts w:ascii="Book Antiqua" w:hAnsi="Book Antiqua" w:cs="Times New Roman"/>
          <w:color w:val="000000" w:themeColor="text1"/>
          <w:kern w:val="0"/>
          <w:sz w:val="24"/>
          <w:szCs w:val="24"/>
        </w:rPr>
        <w:t xml:space="preserve">three </w:t>
      </w:r>
      <w:r w:rsidR="002878A3" w:rsidRPr="003D5B85">
        <w:rPr>
          <w:rFonts w:ascii="Book Antiqua" w:hAnsi="Book Antiqua" w:cs="Times New Roman"/>
          <w:color w:val="000000" w:themeColor="text1"/>
          <w:kern w:val="0"/>
          <w:sz w:val="24"/>
          <w:szCs w:val="24"/>
        </w:rPr>
        <w:t xml:space="preserve">case-control studies and </w:t>
      </w:r>
      <w:r w:rsidR="007434B9" w:rsidRPr="003D5B85">
        <w:rPr>
          <w:rFonts w:ascii="Book Antiqua" w:hAnsi="Book Antiqua" w:cs="Times New Roman"/>
          <w:color w:val="000000" w:themeColor="text1"/>
          <w:kern w:val="0"/>
          <w:sz w:val="24"/>
          <w:szCs w:val="24"/>
        </w:rPr>
        <w:t xml:space="preserve">three </w:t>
      </w:r>
      <w:r w:rsidR="002878A3" w:rsidRPr="003D5B85">
        <w:rPr>
          <w:rFonts w:ascii="Book Antiqua" w:hAnsi="Book Antiqua" w:cs="Times New Roman"/>
          <w:color w:val="000000" w:themeColor="text1"/>
          <w:kern w:val="0"/>
          <w:sz w:val="24"/>
          <w:szCs w:val="24"/>
        </w:rPr>
        <w:t>cohort studies</w:t>
      </w:r>
      <w:proofErr w:type="gramStart"/>
      <w:r w:rsidR="002878A3" w:rsidRPr="003D5B85">
        <w:rPr>
          <w:rFonts w:ascii="Book Antiqua" w:hAnsi="Book Antiqua" w:cs="Times New Roman"/>
          <w:color w:val="000000" w:themeColor="text1"/>
          <w:kern w:val="0"/>
          <w:sz w:val="24"/>
          <w:szCs w:val="24"/>
        </w:rPr>
        <w:t>)</w:t>
      </w:r>
      <w:r w:rsidR="00AB0868" w:rsidRPr="003D5B85">
        <w:rPr>
          <w:rFonts w:ascii="Book Antiqua" w:eastAsia="Times New Roman" w:hAnsi="Book Antiqua" w:cs="Times New Roman"/>
          <w:color w:val="000000" w:themeColor="text1"/>
          <w:kern w:val="0"/>
          <w:sz w:val="24"/>
          <w:szCs w:val="24"/>
          <w:vertAlign w:val="superscript"/>
        </w:rPr>
        <w:t>[</w:t>
      </w:r>
      <w:proofErr w:type="gramEnd"/>
      <w:r w:rsidR="00AB0868" w:rsidRPr="003D5B85">
        <w:rPr>
          <w:rFonts w:ascii="Book Antiqua" w:hAnsi="Book Antiqua" w:cs="Times New Roman"/>
          <w:color w:val="000000" w:themeColor="text1"/>
          <w:kern w:val="0"/>
          <w:sz w:val="24"/>
          <w:szCs w:val="24"/>
          <w:vertAlign w:val="superscript"/>
        </w:rPr>
        <w:t>13-18]</w:t>
      </w:r>
      <w:r w:rsidR="002878A3" w:rsidRPr="003D5B85">
        <w:rPr>
          <w:rFonts w:ascii="Book Antiqua" w:hAnsi="Book Antiqua" w:cs="Times New Roman"/>
          <w:color w:val="000000" w:themeColor="text1"/>
          <w:kern w:val="0"/>
          <w:sz w:val="24"/>
          <w:szCs w:val="24"/>
        </w:rPr>
        <w:t xml:space="preserve"> and </w:t>
      </w:r>
      <w:r w:rsidR="007434B9" w:rsidRPr="003D5B85">
        <w:rPr>
          <w:rFonts w:ascii="Book Antiqua" w:hAnsi="Book Antiqua" w:cs="Times New Roman"/>
          <w:color w:val="000000" w:themeColor="text1"/>
          <w:kern w:val="0"/>
          <w:sz w:val="24"/>
          <w:szCs w:val="24"/>
        </w:rPr>
        <w:t xml:space="preserve">three </w:t>
      </w:r>
      <w:r w:rsidR="002878A3" w:rsidRPr="003D5B85">
        <w:rPr>
          <w:rFonts w:ascii="Book Antiqua" w:hAnsi="Book Antiqua" w:cs="Times New Roman"/>
          <w:color w:val="000000" w:themeColor="text1"/>
          <w:kern w:val="0"/>
          <w:sz w:val="24"/>
          <w:szCs w:val="24"/>
        </w:rPr>
        <w:t>conference abstracts</w:t>
      </w:r>
      <w:r w:rsidR="002878A3" w:rsidRPr="003D5B85">
        <w:rPr>
          <w:rFonts w:ascii="Book Antiqua" w:eastAsia="等线" w:hAnsi="Book Antiqua" w:cs="Times New Roman"/>
          <w:color w:val="000000" w:themeColor="text1"/>
          <w:kern w:val="0"/>
          <w:sz w:val="24"/>
          <w:szCs w:val="24"/>
        </w:rPr>
        <w:t xml:space="preserve"> </w:t>
      </w:r>
      <w:r w:rsidR="002878A3" w:rsidRPr="003D5B85">
        <w:rPr>
          <w:rFonts w:ascii="Book Antiqua" w:hAnsi="Book Antiqua" w:cs="Times New Roman"/>
          <w:color w:val="000000" w:themeColor="text1"/>
          <w:kern w:val="0"/>
          <w:sz w:val="24"/>
          <w:szCs w:val="24"/>
        </w:rPr>
        <w:t>(</w:t>
      </w:r>
      <w:r w:rsidR="007434B9" w:rsidRPr="003D5B85">
        <w:rPr>
          <w:rFonts w:ascii="Book Antiqua" w:hAnsi="Book Antiqua" w:cs="Times New Roman"/>
          <w:color w:val="000000" w:themeColor="text1"/>
          <w:kern w:val="0"/>
          <w:sz w:val="24"/>
          <w:szCs w:val="24"/>
        </w:rPr>
        <w:t xml:space="preserve">two </w:t>
      </w:r>
      <w:r w:rsidR="002878A3" w:rsidRPr="003D5B85">
        <w:rPr>
          <w:rFonts w:ascii="Book Antiqua" w:hAnsi="Book Antiqua" w:cs="Times New Roman"/>
          <w:color w:val="000000" w:themeColor="text1"/>
          <w:kern w:val="0"/>
          <w:sz w:val="24"/>
          <w:szCs w:val="24"/>
        </w:rPr>
        <w:t>case-control studies and</w:t>
      </w:r>
      <w:r w:rsidR="002878A3" w:rsidRPr="003D5B85">
        <w:rPr>
          <w:rFonts w:ascii="Book Antiqua" w:eastAsia="等线" w:hAnsi="Book Antiqua" w:cs="Times New Roman"/>
          <w:color w:val="000000" w:themeColor="text1"/>
          <w:kern w:val="0"/>
          <w:sz w:val="24"/>
          <w:szCs w:val="24"/>
        </w:rPr>
        <w:t xml:space="preserve"> </w:t>
      </w:r>
      <w:r w:rsidR="007434B9" w:rsidRPr="003D5B85">
        <w:rPr>
          <w:rFonts w:ascii="Book Antiqua" w:eastAsia="等线" w:hAnsi="Book Antiqua" w:cs="Times New Roman"/>
          <w:color w:val="000000" w:themeColor="text1"/>
          <w:kern w:val="0"/>
          <w:sz w:val="24"/>
          <w:szCs w:val="24"/>
        </w:rPr>
        <w:t xml:space="preserve">one </w:t>
      </w:r>
      <w:r w:rsidR="002878A3" w:rsidRPr="003D5B85">
        <w:rPr>
          <w:rFonts w:ascii="Book Antiqua" w:eastAsia="等线" w:hAnsi="Book Antiqua" w:cs="Times New Roman"/>
          <w:color w:val="000000" w:themeColor="text1"/>
          <w:kern w:val="0"/>
          <w:sz w:val="24"/>
          <w:szCs w:val="24"/>
        </w:rPr>
        <w:t>cohort</w:t>
      </w:r>
      <w:r w:rsidR="002878A3" w:rsidRPr="003D5B85">
        <w:rPr>
          <w:rFonts w:ascii="Book Antiqua" w:hAnsi="Book Antiqua" w:cs="Times New Roman"/>
          <w:color w:val="000000" w:themeColor="text1"/>
          <w:kern w:val="0"/>
          <w:sz w:val="24"/>
          <w:szCs w:val="24"/>
        </w:rPr>
        <w:t xml:space="preserve"> study)</w:t>
      </w:r>
      <w:r w:rsidR="00DD20EA" w:rsidRPr="003D5B85">
        <w:rPr>
          <w:rFonts w:ascii="Book Antiqua" w:eastAsia="Times New Roman" w:hAnsi="Book Antiqua" w:cs="Times New Roman"/>
          <w:color w:val="000000" w:themeColor="text1"/>
          <w:kern w:val="0"/>
          <w:sz w:val="24"/>
          <w:szCs w:val="24"/>
          <w:vertAlign w:val="superscript"/>
        </w:rPr>
        <w:t>[</w:t>
      </w:r>
      <w:r w:rsidR="00DD20EA" w:rsidRPr="003D5B85">
        <w:rPr>
          <w:rFonts w:ascii="Book Antiqua" w:hAnsi="Book Antiqua" w:cs="Times New Roman"/>
          <w:color w:val="000000" w:themeColor="text1"/>
          <w:kern w:val="0"/>
          <w:sz w:val="24"/>
          <w:szCs w:val="24"/>
          <w:vertAlign w:val="superscript"/>
        </w:rPr>
        <w:t>23-25]</w:t>
      </w:r>
      <w:r w:rsidR="002878A3" w:rsidRPr="003D5B85">
        <w:rPr>
          <w:rFonts w:ascii="Book Antiqua" w:hAnsi="Book Antiqua" w:cs="Times New Roman"/>
          <w:color w:val="000000" w:themeColor="text1"/>
          <w:kern w:val="0"/>
          <w:sz w:val="24"/>
          <w:szCs w:val="24"/>
        </w:rPr>
        <w:t xml:space="preserve"> were included.</w:t>
      </w:r>
      <w:r w:rsidR="002878A3" w:rsidRPr="003D5B85">
        <w:rPr>
          <w:rFonts w:ascii="Book Antiqua" w:hAnsi="Book Antiqua"/>
          <w:color w:val="000000" w:themeColor="text1"/>
          <w:sz w:val="24"/>
          <w:szCs w:val="24"/>
        </w:rPr>
        <w:t xml:space="preserve"> </w:t>
      </w:r>
      <w:r w:rsidR="002878A3" w:rsidRPr="003D5B85">
        <w:rPr>
          <w:rFonts w:ascii="Book Antiqua" w:eastAsia="等线" w:hAnsi="Book Antiqua" w:cs="Times New Roman"/>
          <w:color w:val="000000" w:themeColor="text1"/>
          <w:sz w:val="24"/>
          <w:szCs w:val="24"/>
        </w:rPr>
        <w:t xml:space="preserve">In total, </w:t>
      </w:r>
      <w:r w:rsidR="002878A3" w:rsidRPr="003D5B85">
        <w:rPr>
          <w:rFonts w:ascii="Book Antiqua" w:hAnsi="Book Antiqua" w:cs="Times New Roman"/>
          <w:color w:val="000000" w:themeColor="text1"/>
          <w:kern w:val="0"/>
          <w:sz w:val="24"/>
          <w:szCs w:val="24"/>
        </w:rPr>
        <w:t>4342 patients from the case-control studies and 188053</w:t>
      </w:r>
      <w:r w:rsidR="002878A3" w:rsidRPr="003D5B85">
        <w:rPr>
          <w:rFonts w:ascii="Book Antiqua" w:hAnsi="Book Antiqua"/>
          <w:color w:val="000000" w:themeColor="text1"/>
          <w:sz w:val="24"/>
          <w:szCs w:val="24"/>
        </w:rPr>
        <w:t xml:space="preserve"> </w:t>
      </w:r>
      <w:r w:rsidR="002878A3" w:rsidRPr="003D5B85">
        <w:rPr>
          <w:rFonts w:ascii="Book Antiqua" w:hAnsi="Book Antiqua" w:cs="Times New Roman"/>
          <w:color w:val="000000" w:themeColor="text1"/>
          <w:kern w:val="0"/>
          <w:sz w:val="24"/>
          <w:szCs w:val="24"/>
        </w:rPr>
        <w:t>patients from the cohort studies</w:t>
      </w:r>
      <w:r w:rsidR="002878A3" w:rsidRPr="003D5B85">
        <w:rPr>
          <w:rFonts w:ascii="Book Antiqua" w:hAnsi="Book Antiqua"/>
          <w:color w:val="000000" w:themeColor="text1"/>
          <w:sz w:val="24"/>
          <w:szCs w:val="24"/>
        </w:rPr>
        <w:t xml:space="preserve"> </w:t>
      </w:r>
      <w:r w:rsidR="002878A3" w:rsidRPr="003D5B85">
        <w:rPr>
          <w:rFonts w:ascii="Book Antiqua" w:hAnsi="Book Antiqua" w:cs="Times New Roman"/>
          <w:color w:val="000000" w:themeColor="text1"/>
          <w:kern w:val="0"/>
          <w:sz w:val="24"/>
          <w:szCs w:val="24"/>
        </w:rPr>
        <w:t xml:space="preserve">were included in this analysis. </w:t>
      </w:r>
      <w:r w:rsidR="002878A3" w:rsidRPr="003D5B85">
        <w:rPr>
          <w:rFonts w:ascii="Book Antiqua" w:eastAsia="等线" w:hAnsi="Book Antiqua" w:cs="Times New Roman"/>
          <w:color w:val="000000" w:themeColor="text1"/>
          <w:kern w:val="0"/>
          <w:sz w:val="24"/>
          <w:szCs w:val="24"/>
        </w:rPr>
        <w:t>Three</w:t>
      </w:r>
      <w:r w:rsidR="002878A3" w:rsidRPr="003D5B85">
        <w:rPr>
          <w:rFonts w:ascii="Book Antiqua" w:hAnsi="Book Antiqua"/>
          <w:color w:val="000000" w:themeColor="text1"/>
          <w:sz w:val="24"/>
          <w:szCs w:val="24"/>
        </w:rPr>
        <w:t xml:space="preserve"> </w:t>
      </w:r>
      <w:r w:rsidR="002878A3" w:rsidRPr="003D5B85">
        <w:rPr>
          <w:rFonts w:ascii="Book Antiqua" w:hAnsi="Book Antiqua" w:cs="Times New Roman"/>
          <w:color w:val="000000" w:themeColor="text1"/>
          <w:kern w:val="0"/>
          <w:sz w:val="24"/>
          <w:szCs w:val="24"/>
        </w:rPr>
        <w:t>studies</w:t>
      </w:r>
      <w:r w:rsidR="007434B9" w:rsidRPr="003D5B85">
        <w:rPr>
          <w:rFonts w:ascii="Book Antiqua" w:hAnsi="Book Antiqua" w:cs="Times New Roman"/>
          <w:color w:val="000000" w:themeColor="text1"/>
          <w:kern w:val="0"/>
          <w:sz w:val="24"/>
          <w:szCs w:val="24"/>
        </w:rPr>
        <w:t xml:space="preserve"> </w:t>
      </w:r>
      <w:r w:rsidR="002878A3" w:rsidRPr="003D5B85">
        <w:rPr>
          <w:rFonts w:ascii="Book Antiqua" w:hAnsi="Book Antiqua" w:cs="Times New Roman"/>
          <w:color w:val="000000" w:themeColor="text1"/>
          <w:kern w:val="0"/>
          <w:sz w:val="24"/>
          <w:szCs w:val="24"/>
        </w:rPr>
        <w:t xml:space="preserve">from Asia used </w:t>
      </w:r>
      <w:r w:rsidR="002878A3" w:rsidRPr="003D5B85">
        <w:rPr>
          <w:rFonts w:ascii="Book Antiqua" w:eastAsia="等线" w:hAnsi="Book Antiqua" w:cs="Times New Roman"/>
          <w:color w:val="000000" w:themeColor="text1"/>
          <w:kern w:val="0"/>
          <w:sz w:val="24"/>
          <w:szCs w:val="24"/>
        </w:rPr>
        <w:t xml:space="preserve">a </w:t>
      </w:r>
      <w:r w:rsidR="002878A3" w:rsidRPr="003D5B85">
        <w:rPr>
          <w:rFonts w:ascii="Book Antiqua" w:hAnsi="Book Antiqua" w:cs="Times New Roman"/>
          <w:color w:val="000000" w:themeColor="text1"/>
          <w:kern w:val="0"/>
          <w:sz w:val="24"/>
          <w:szCs w:val="24"/>
        </w:rPr>
        <w:t xml:space="preserve">case-control </w:t>
      </w:r>
      <w:proofErr w:type="gramStart"/>
      <w:r w:rsidR="002878A3" w:rsidRPr="003D5B85">
        <w:rPr>
          <w:rFonts w:ascii="Book Antiqua" w:hAnsi="Book Antiqua" w:cs="Times New Roman"/>
          <w:color w:val="000000" w:themeColor="text1"/>
          <w:kern w:val="0"/>
          <w:sz w:val="24"/>
          <w:szCs w:val="24"/>
        </w:rPr>
        <w:t>design</w:t>
      </w:r>
      <w:r w:rsidR="00AA25DB" w:rsidRPr="003D5B85">
        <w:rPr>
          <w:rFonts w:ascii="Book Antiqua" w:eastAsia="Times New Roman" w:hAnsi="Book Antiqua" w:cs="Times New Roman"/>
          <w:color w:val="000000" w:themeColor="text1"/>
          <w:kern w:val="0"/>
          <w:sz w:val="24"/>
          <w:szCs w:val="24"/>
          <w:vertAlign w:val="superscript"/>
        </w:rPr>
        <w:t>[</w:t>
      </w:r>
      <w:proofErr w:type="gramEnd"/>
      <w:r w:rsidR="00AA25DB" w:rsidRPr="003D5B85">
        <w:rPr>
          <w:rFonts w:ascii="Book Antiqua" w:hAnsi="Book Antiqua" w:cs="Times New Roman"/>
          <w:color w:val="000000" w:themeColor="text1"/>
          <w:kern w:val="0"/>
          <w:sz w:val="24"/>
          <w:szCs w:val="24"/>
          <w:vertAlign w:val="superscript"/>
        </w:rPr>
        <w:t>15,16,18]</w:t>
      </w:r>
      <w:r w:rsidR="002878A3" w:rsidRPr="003D5B85">
        <w:rPr>
          <w:rFonts w:ascii="Book Antiqua" w:hAnsi="Book Antiqua" w:cs="Times New Roman"/>
          <w:color w:val="000000" w:themeColor="text1"/>
          <w:kern w:val="0"/>
          <w:sz w:val="24"/>
          <w:szCs w:val="24"/>
        </w:rPr>
        <w:t xml:space="preserve">, </w:t>
      </w:r>
      <w:r w:rsidR="007434B9" w:rsidRPr="003D5B85">
        <w:rPr>
          <w:rFonts w:ascii="Book Antiqua" w:hAnsi="Book Antiqua" w:cs="Times New Roman"/>
          <w:color w:val="000000" w:themeColor="text1"/>
          <w:kern w:val="0"/>
          <w:sz w:val="24"/>
          <w:szCs w:val="24"/>
        </w:rPr>
        <w:t xml:space="preserve">six </w:t>
      </w:r>
      <w:r w:rsidR="002878A3" w:rsidRPr="003D5B85">
        <w:rPr>
          <w:rFonts w:ascii="Book Antiqua" w:hAnsi="Book Antiqua" w:cs="Times New Roman"/>
          <w:color w:val="000000" w:themeColor="text1"/>
          <w:kern w:val="0"/>
          <w:sz w:val="24"/>
          <w:szCs w:val="24"/>
        </w:rPr>
        <w:t xml:space="preserve">studies were from Europe, and one study was from </w:t>
      </w:r>
      <w:r w:rsidR="002878A3" w:rsidRPr="003D5B85">
        <w:rPr>
          <w:rFonts w:ascii="Book Antiqua" w:eastAsia="等线" w:hAnsi="Book Antiqua" w:cs="Times New Roman"/>
          <w:color w:val="000000" w:themeColor="text1"/>
          <w:kern w:val="0"/>
          <w:sz w:val="24"/>
          <w:szCs w:val="24"/>
        </w:rPr>
        <w:t xml:space="preserve">the </w:t>
      </w:r>
      <w:r w:rsidR="002878A3" w:rsidRPr="003D5B85">
        <w:rPr>
          <w:rFonts w:ascii="Book Antiqua" w:hAnsi="Book Antiqua" w:cs="Times New Roman"/>
          <w:color w:val="000000" w:themeColor="text1"/>
          <w:kern w:val="0"/>
          <w:sz w:val="24"/>
          <w:szCs w:val="24"/>
        </w:rPr>
        <w:t>U</w:t>
      </w:r>
      <w:r w:rsidR="00E13D7E" w:rsidRPr="003D5B85">
        <w:rPr>
          <w:rFonts w:ascii="Book Antiqua" w:hAnsi="Book Antiqua" w:cs="Times New Roman"/>
          <w:color w:val="000000" w:themeColor="text1"/>
          <w:kern w:val="0"/>
          <w:sz w:val="24"/>
          <w:szCs w:val="24"/>
        </w:rPr>
        <w:t>nited States</w:t>
      </w:r>
      <w:r w:rsidR="00AD7555" w:rsidRPr="003D5B85">
        <w:rPr>
          <w:rFonts w:ascii="Book Antiqua" w:eastAsia="Times New Roman" w:hAnsi="Book Antiqua" w:cs="Times New Roman"/>
          <w:color w:val="000000" w:themeColor="text1"/>
          <w:kern w:val="0"/>
          <w:sz w:val="24"/>
          <w:szCs w:val="24"/>
          <w:vertAlign w:val="superscript"/>
        </w:rPr>
        <w:t>[</w:t>
      </w:r>
      <w:r w:rsidR="00AD7555" w:rsidRPr="003D5B85">
        <w:rPr>
          <w:rFonts w:ascii="Book Antiqua" w:hAnsi="Book Antiqua" w:cs="Times New Roman"/>
          <w:color w:val="000000" w:themeColor="text1"/>
          <w:kern w:val="0"/>
          <w:sz w:val="24"/>
          <w:szCs w:val="24"/>
          <w:vertAlign w:val="superscript"/>
        </w:rPr>
        <w:t>13,14,17,23-25]</w:t>
      </w:r>
      <w:r w:rsidR="002878A3" w:rsidRPr="003D5B85">
        <w:rPr>
          <w:rFonts w:ascii="Book Antiqua" w:hAnsi="Book Antiqua" w:cs="Times New Roman"/>
          <w:color w:val="000000" w:themeColor="text1"/>
          <w:kern w:val="0"/>
          <w:sz w:val="24"/>
          <w:szCs w:val="24"/>
        </w:rPr>
        <w:t xml:space="preserve">. </w:t>
      </w:r>
      <w:bookmarkEnd w:id="41"/>
      <w:r w:rsidR="002878A3" w:rsidRPr="003D5B85">
        <w:rPr>
          <w:rFonts w:ascii="Book Antiqua" w:hAnsi="Book Antiqua" w:cs="Times New Roman"/>
          <w:color w:val="000000" w:themeColor="text1"/>
          <w:kern w:val="0"/>
          <w:sz w:val="24"/>
          <w:szCs w:val="24"/>
        </w:rPr>
        <w:t>Most of these studies included middle</w:t>
      </w:r>
      <w:r w:rsidR="007434B9" w:rsidRPr="003D5B85">
        <w:rPr>
          <w:rFonts w:ascii="Book Antiqua" w:hAnsi="Book Antiqua" w:cs="Times New Roman"/>
          <w:color w:val="000000" w:themeColor="text1"/>
          <w:kern w:val="0"/>
          <w:sz w:val="24"/>
          <w:szCs w:val="24"/>
        </w:rPr>
        <w:t>-</w:t>
      </w:r>
      <w:r w:rsidR="002878A3" w:rsidRPr="003D5B85">
        <w:rPr>
          <w:rFonts w:ascii="Book Antiqua" w:hAnsi="Book Antiqua" w:cs="Times New Roman"/>
          <w:color w:val="000000" w:themeColor="text1"/>
          <w:kern w:val="0"/>
          <w:sz w:val="24"/>
          <w:szCs w:val="24"/>
        </w:rPr>
        <w:t xml:space="preserve">aged and elderly individuals, and there </w:t>
      </w:r>
      <w:r w:rsidR="002878A3" w:rsidRPr="003D5B85">
        <w:rPr>
          <w:rFonts w:ascii="Book Antiqua" w:eastAsia="等线" w:hAnsi="Book Antiqua" w:cs="Times New Roman"/>
          <w:color w:val="000000" w:themeColor="text1"/>
          <w:kern w:val="0"/>
          <w:sz w:val="24"/>
          <w:szCs w:val="24"/>
        </w:rPr>
        <w:t>were</w:t>
      </w:r>
      <w:r w:rsidR="002878A3" w:rsidRPr="003D5B85">
        <w:rPr>
          <w:rFonts w:ascii="Book Antiqua" w:hAnsi="Book Antiqua" w:cs="Times New Roman"/>
          <w:color w:val="000000" w:themeColor="text1"/>
          <w:kern w:val="0"/>
          <w:sz w:val="24"/>
          <w:szCs w:val="24"/>
        </w:rPr>
        <w:t xml:space="preserve"> more men than women. Cirrhotic patients were analyzed in </w:t>
      </w:r>
      <w:r w:rsidR="007434B9" w:rsidRPr="003D5B85">
        <w:rPr>
          <w:rFonts w:ascii="Book Antiqua" w:hAnsi="Book Antiqua" w:cs="Times New Roman"/>
          <w:color w:val="000000" w:themeColor="text1"/>
          <w:kern w:val="0"/>
          <w:sz w:val="24"/>
          <w:szCs w:val="24"/>
        </w:rPr>
        <w:t xml:space="preserve">five </w:t>
      </w:r>
      <w:proofErr w:type="gramStart"/>
      <w:r w:rsidR="002878A3" w:rsidRPr="003D5B85">
        <w:rPr>
          <w:rFonts w:ascii="Book Antiqua" w:hAnsi="Book Antiqua" w:cs="Times New Roman"/>
          <w:color w:val="000000" w:themeColor="text1"/>
          <w:kern w:val="0"/>
          <w:sz w:val="24"/>
          <w:szCs w:val="24"/>
        </w:rPr>
        <w:t>studies</w:t>
      </w:r>
      <w:r w:rsidR="0071527C" w:rsidRPr="003D5B85">
        <w:rPr>
          <w:rFonts w:ascii="Book Antiqua" w:eastAsia="Times New Roman" w:hAnsi="Book Antiqua" w:cs="Times New Roman"/>
          <w:color w:val="000000" w:themeColor="text1"/>
          <w:kern w:val="0"/>
          <w:sz w:val="24"/>
          <w:szCs w:val="24"/>
          <w:vertAlign w:val="superscript"/>
        </w:rPr>
        <w:t>[</w:t>
      </w:r>
      <w:proofErr w:type="gramEnd"/>
      <w:r w:rsidR="0071527C" w:rsidRPr="003D5B85">
        <w:rPr>
          <w:rFonts w:ascii="Book Antiqua" w:hAnsi="Book Antiqua" w:cs="Times New Roman"/>
          <w:color w:val="000000" w:themeColor="text1"/>
          <w:kern w:val="0"/>
          <w:sz w:val="24"/>
          <w:szCs w:val="24"/>
          <w:vertAlign w:val="superscript"/>
        </w:rPr>
        <w:t>14-16,23,24]</w:t>
      </w:r>
      <w:r w:rsidR="002878A3" w:rsidRPr="003D5B85">
        <w:rPr>
          <w:rFonts w:ascii="Book Antiqua" w:hAnsi="Book Antiqua" w:cs="Times New Roman"/>
          <w:color w:val="000000" w:themeColor="text1"/>
          <w:kern w:val="0"/>
          <w:sz w:val="24"/>
          <w:szCs w:val="24"/>
        </w:rPr>
        <w:t>,</w:t>
      </w:r>
      <w:r w:rsidR="002878A3" w:rsidRPr="003D5B85">
        <w:rPr>
          <w:rFonts w:ascii="Book Antiqua" w:eastAsia="等线" w:hAnsi="Book Antiqua" w:cs="Times New Roman"/>
          <w:color w:val="000000" w:themeColor="text1"/>
          <w:sz w:val="24"/>
          <w:szCs w:val="24"/>
        </w:rPr>
        <w:t xml:space="preserve"> patients with</w:t>
      </w:r>
      <w:r w:rsidR="002878A3" w:rsidRPr="003D5B85">
        <w:rPr>
          <w:rFonts w:ascii="Book Antiqua" w:hAnsi="Book Antiqua" w:cs="Times New Roman"/>
          <w:color w:val="000000" w:themeColor="text1"/>
          <w:kern w:val="0"/>
          <w:sz w:val="24"/>
          <w:szCs w:val="24"/>
        </w:rPr>
        <w:t xml:space="preserve"> cirrhosis with ascites in </w:t>
      </w:r>
      <w:r w:rsidR="007434B9" w:rsidRPr="003D5B85">
        <w:rPr>
          <w:rFonts w:ascii="Book Antiqua" w:hAnsi="Book Antiqua" w:cs="Times New Roman"/>
          <w:color w:val="000000" w:themeColor="text1"/>
          <w:kern w:val="0"/>
          <w:sz w:val="24"/>
          <w:szCs w:val="24"/>
        </w:rPr>
        <w:t xml:space="preserve">two </w:t>
      </w:r>
      <w:r w:rsidR="002878A3" w:rsidRPr="003D5B85">
        <w:rPr>
          <w:rFonts w:ascii="Book Antiqua" w:hAnsi="Book Antiqua" w:cs="Times New Roman"/>
          <w:color w:val="000000" w:themeColor="text1"/>
          <w:kern w:val="0"/>
          <w:sz w:val="24"/>
          <w:szCs w:val="24"/>
        </w:rPr>
        <w:t>studies</w:t>
      </w:r>
      <w:r w:rsidR="00127E5F" w:rsidRPr="003D5B85">
        <w:rPr>
          <w:rFonts w:ascii="Book Antiqua" w:eastAsia="Times New Roman" w:hAnsi="Book Antiqua" w:cs="Times New Roman"/>
          <w:color w:val="000000" w:themeColor="text1"/>
          <w:kern w:val="0"/>
          <w:sz w:val="24"/>
          <w:szCs w:val="24"/>
          <w:vertAlign w:val="superscript"/>
        </w:rPr>
        <w:t>[</w:t>
      </w:r>
      <w:r w:rsidR="00127E5F" w:rsidRPr="003D5B85">
        <w:rPr>
          <w:rFonts w:ascii="Book Antiqua" w:hAnsi="Book Antiqua" w:cs="Times New Roman"/>
          <w:color w:val="000000" w:themeColor="text1"/>
          <w:kern w:val="0"/>
          <w:sz w:val="24"/>
          <w:szCs w:val="24"/>
          <w:vertAlign w:val="superscript"/>
        </w:rPr>
        <w:t>17,25]</w:t>
      </w:r>
      <w:r w:rsidR="002878A3" w:rsidRPr="003D5B85">
        <w:rPr>
          <w:rFonts w:ascii="Book Antiqua" w:eastAsia="等线" w:hAnsi="Book Antiqua" w:cs="Times New Roman"/>
          <w:color w:val="000000" w:themeColor="text1"/>
          <w:sz w:val="24"/>
          <w:szCs w:val="24"/>
        </w:rPr>
        <w:t>,</w:t>
      </w:r>
      <w:r w:rsidR="002878A3" w:rsidRPr="003D5B85">
        <w:rPr>
          <w:rFonts w:ascii="Book Antiqua" w:hAnsi="Book Antiqua" w:cs="Times New Roman"/>
          <w:color w:val="000000" w:themeColor="text1"/>
          <w:kern w:val="0"/>
          <w:sz w:val="24"/>
          <w:szCs w:val="24"/>
        </w:rPr>
        <w:t xml:space="preserve"> patients with cirrhosis with </w:t>
      </w:r>
      <w:proofErr w:type="spellStart"/>
      <w:r w:rsidR="00E13D7E" w:rsidRPr="003D5B85">
        <w:rPr>
          <w:rFonts w:ascii="Book Antiqua" w:hAnsi="Book Antiqua" w:cs="Times New Roman"/>
          <w:color w:val="000000" w:themeColor="text1"/>
          <w:kern w:val="0"/>
          <w:sz w:val="24"/>
          <w:szCs w:val="24"/>
        </w:rPr>
        <w:t>transjugular</w:t>
      </w:r>
      <w:proofErr w:type="spellEnd"/>
      <w:r w:rsidR="00E13D7E" w:rsidRPr="003D5B85">
        <w:rPr>
          <w:rFonts w:ascii="Book Antiqua" w:hAnsi="Book Antiqua" w:cs="Times New Roman"/>
          <w:color w:val="000000" w:themeColor="text1"/>
          <w:kern w:val="0"/>
          <w:sz w:val="24"/>
          <w:szCs w:val="24"/>
        </w:rPr>
        <w:t xml:space="preserve"> intrahepatic </w:t>
      </w:r>
      <w:proofErr w:type="spellStart"/>
      <w:r w:rsidR="00E13D7E" w:rsidRPr="003D5B85">
        <w:rPr>
          <w:rFonts w:ascii="Book Antiqua" w:hAnsi="Book Antiqua" w:cs="Times New Roman"/>
          <w:color w:val="000000" w:themeColor="text1"/>
          <w:kern w:val="0"/>
          <w:sz w:val="24"/>
          <w:szCs w:val="24"/>
        </w:rPr>
        <w:t>portosystemic</w:t>
      </w:r>
      <w:proofErr w:type="spellEnd"/>
      <w:r w:rsidR="00E13D7E" w:rsidRPr="003D5B85">
        <w:rPr>
          <w:rFonts w:ascii="Book Antiqua" w:hAnsi="Book Antiqua" w:cs="Times New Roman"/>
          <w:color w:val="000000" w:themeColor="text1"/>
          <w:kern w:val="0"/>
          <w:sz w:val="24"/>
          <w:szCs w:val="24"/>
        </w:rPr>
        <w:t xml:space="preserve"> shunt</w:t>
      </w:r>
      <w:r w:rsidR="002878A3" w:rsidRPr="003D5B85">
        <w:rPr>
          <w:rFonts w:ascii="Book Antiqua" w:hAnsi="Book Antiqua" w:cs="Times New Roman"/>
          <w:color w:val="000000" w:themeColor="text1"/>
          <w:kern w:val="0"/>
          <w:sz w:val="24"/>
          <w:szCs w:val="24"/>
        </w:rPr>
        <w:t xml:space="preserve"> implantation in one study</w:t>
      </w:r>
      <w:r w:rsidR="0046427C" w:rsidRPr="003D5B85">
        <w:rPr>
          <w:rFonts w:ascii="Book Antiqua" w:eastAsia="Times New Roman" w:hAnsi="Book Antiqua" w:cs="Times New Roman"/>
          <w:color w:val="000000" w:themeColor="text1"/>
          <w:kern w:val="0"/>
          <w:sz w:val="24"/>
          <w:szCs w:val="24"/>
          <w:vertAlign w:val="superscript"/>
        </w:rPr>
        <w:t>[</w:t>
      </w:r>
      <w:r w:rsidR="0046427C" w:rsidRPr="003D5B85">
        <w:rPr>
          <w:rFonts w:ascii="Book Antiqua" w:hAnsi="Book Antiqua" w:cs="Times New Roman"/>
          <w:color w:val="000000" w:themeColor="text1"/>
          <w:kern w:val="0"/>
          <w:sz w:val="24"/>
          <w:szCs w:val="24"/>
          <w:vertAlign w:val="superscript"/>
        </w:rPr>
        <w:t>13]</w:t>
      </w:r>
      <w:r w:rsidR="002878A3" w:rsidRPr="003D5B85">
        <w:rPr>
          <w:rFonts w:ascii="Book Antiqua" w:eastAsia="等线" w:hAnsi="Book Antiqua" w:cs="Times New Roman"/>
          <w:color w:val="000000" w:themeColor="text1"/>
          <w:sz w:val="24"/>
          <w:szCs w:val="24"/>
        </w:rPr>
        <w:t>,</w:t>
      </w:r>
      <w:r w:rsidR="002878A3" w:rsidRPr="003D5B85">
        <w:rPr>
          <w:rFonts w:ascii="Book Antiqua" w:hAnsi="Book Antiqua" w:cs="Times New Roman"/>
          <w:color w:val="000000" w:themeColor="text1"/>
          <w:kern w:val="0"/>
          <w:sz w:val="24"/>
          <w:szCs w:val="24"/>
        </w:rPr>
        <w:t xml:space="preserve"> and patients with </w:t>
      </w:r>
      <w:r w:rsidR="00E13D7E" w:rsidRPr="003D5B85">
        <w:rPr>
          <w:rFonts w:ascii="Book Antiqua" w:hAnsi="Book Antiqua" w:cs="Times New Roman"/>
          <w:color w:val="000000" w:themeColor="text1"/>
          <w:kern w:val="0"/>
          <w:sz w:val="24"/>
          <w:szCs w:val="24"/>
        </w:rPr>
        <w:t>hepatitis B virus</w:t>
      </w:r>
      <w:r w:rsidR="002878A3" w:rsidRPr="003D5B85">
        <w:rPr>
          <w:rFonts w:ascii="Book Antiqua" w:hAnsi="Book Antiqua" w:cs="Times New Roman"/>
          <w:color w:val="000000" w:themeColor="text1"/>
          <w:kern w:val="0"/>
          <w:sz w:val="24"/>
          <w:szCs w:val="24"/>
        </w:rPr>
        <w:t>-related ACLF in one study</w:t>
      </w:r>
      <w:r w:rsidR="00C246FA" w:rsidRPr="003D5B85">
        <w:rPr>
          <w:rFonts w:ascii="Book Antiqua" w:eastAsia="Times New Roman" w:hAnsi="Book Antiqua" w:cs="Times New Roman"/>
          <w:color w:val="000000" w:themeColor="text1"/>
          <w:kern w:val="0"/>
          <w:sz w:val="24"/>
          <w:szCs w:val="24"/>
          <w:vertAlign w:val="superscript"/>
        </w:rPr>
        <w:t>[</w:t>
      </w:r>
      <w:r w:rsidR="00C246FA" w:rsidRPr="003D5B85">
        <w:rPr>
          <w:rFonts w:ascii="Book Antiqua" w:hAnsi="Book Antiqua" w:cs="Times New Roman"/>
          <w:color w:val="000000" w:themeColor="text1"/>
          <w:kern w:val="0"/>
          <w:sz w:val="24"/>
          <w:szCs w:val="24"/>
          <w:vertAlign w:val="superscript"/>
        </w:rPr>
        <w:t>18]</w:t>
      </w:r>
      <w:r w:rsidR="002878A3" w:rsidRPr="003D5B85">
        <w:rPr>
          <w:rFonts w:ascii="Book Antiqua" w:eastAsia="等线" w:hAnsi="Book Antiqua" w:cs="Times New Roman"/>
          <w:color w:val="000000" w:themeColor="text1"/>
          <w:sz w:val="24"/>
          <w:szCs w:val="24"/>
        </w:rPr>
        <w:t>.</w:t>
      </w:r>
      <w:r w:rsidR="002878A3" w:rsidRPr="003D5B85">
        <w:rPr>
          <w:rFonts w:ascii="Book Antiqua" w:hAnsi="Book Antiqua" w:cs="Times New Roman"/>
          <w:color w:val="000000" w:themeColor="text1"/>
          <w:kern w:val="0"/>
          <w:sz w:val="24"/>
          <w:szCs w:val="24"/>
        </w:rPr>
        <w:t xml:space="preserve"> </w:t>
      </w:r>
      <w:r w:rsidR="002878A3" w:rsidRPr="003D5B85">
        <w:rPr>
          <w:rFonts w:ascii="Book Antiqua" w:eastAsia="等线" w:hAnsi="Book Antiqua" w:cs="Times New Roman"/>
          <w:color w:val="000000" w:themeColor="text1"/>
          <w:kern w:val="0"/>
          <w:sz w:val="24"/>
          <w:szCs w:val="24"/>
        </w:rPr>
        <w:t>Seven</w:t>
      </w:r>
      <w:r w:rsidR="002878A3" w:rsidRPr="003D5B85">
        <w:rPr>
          <w:rFonts w:ascii="Book Antiqua" w:hAnsi="Book Antiqua" w:cs="Times New Roman"/>
          <w:color w:val="000000" w:themeColor="text1"/>
          <w:kern w:val="0"/>
          <w:sz w:val="24"/>
          <w:szCs w:val="24"/>
        </w:rPr>
        <w:t xml:space="preserve"> studies provided outcomes regarding the risk of HE </w:t>
      </w:r>
      <w:r w:rsidR="002878A3" w:rsidRPr="003D5B85">
        <w:rPr>
          <w:rFonts w:ascii="Book Antiqua" w:hAnsi="Book Antiqua" w:cs="Times New Roman"/>
          <w:color w:val="000000" w:themeColor="text1"/>
          <w:kern w:val="0"/>
          <w:sz w:val="24"/>
          <w:szCs w:val="24"/>
        </w:rPr>
        <w:lastRenderedPageBreak/>
        <w:t>grades 1-4</w:t>
      </w:r>
      <w:r w:rsidR="00C77DD6" w:rsidRPr="003D5B85">
        <w:rPr>
          <w:rFonts w:ascii="Book Antiqua" w:eastAsia="Times New Roman" w:hAnsi="Book Antiqua" w:cs="Times New Roman"/>
          <w:color w:val="000000" w:themeColor="text1"/>
          <w:kern w:val="0"/>
          <w:sz w:val="24"/>
          <w:szCs w:val="24"/>
          <w:vertAlign w:val="superscript"/>
        </w:rPr>
        <w:t>[</w:t>
      </w:r>
      <w:r w:rsidR="00C77DD6" w:rsidRPr="003D5B85">
        <w:rPr>
          <w:rFonts w:ascii="Book Antiqua" w:hAnsi="Book Antiqua" w:cs="Times New Roman"/>
          <w:color w:val="000000" w:themeColor="text1"/>
          <w:kern w:val="0"/>
          <w:sz w:val="24"/>
          <w:szCs w:val="24"/>
          <w:vertAlign w:val="superscript"/>
        </w:rPr>
        <w:t>13,15-17,23-25]</w:t>
      </w:r>
      <w:r w:rsidR="002878A3" w:rsidRPr="003D5B85">
        <w:rPr>
          <w:rFonts w:ascii="Book Antiqua" w:eastAsia="等线" w:hAnsi="Book Antiqua" w:cs="Times New Roman"/>
          <w:color w:val="000000" w:themeColor="text1"/>
          <w:sz w:val="24"/>
          <w:szCs w:val="24"/>
        </w:rPr>
        <w:t>,</w:t>
      </w:r>
      <w:r w:rsidR="002878A3" w:rsidRPr="003D5B85">
        <w:rPr>
          <w:rFonts w:ascii="Book Antiqua" w:hAnsi="Book Antiqua" w:cs="Times New Roman"/>
          <w:color w:val="000000" w:themeColor="text1"/>
          <w:kern w:val="0"/>
          <w:sz w:val="24"/>
          <w:szCs w:val="24"/>
        </w:rPr>
        <w:t xml:space="preserve"> </w:t>
      </w:r>
      <w:r w:rsidR="007434B9" w:rsidRPr="003D5B85">
        <w:rPr>
          <w:rFonts w:ascii="Book Antiqua" w:hAnsi="Book Antiqua" w:cs="Times New Roman"/>
          <w:color w:val="000000" w:themeColor="text1"/>
          <w:kern w:val="0"/>
          <w:sz w:val="24"/>
          <w:szCs w:val="24"/>
        </w:rPr>
        <w:t xml:space="preserve">three </w:t>
      </w:r>
      <w:r w:rsidR="002878A3" w:rsidRPr="003D5B85">
        <w:rPr>
          <w:rFonts w:ascii="Book Antiqua" w:hAnsi="Book Antiqua" w:cs="Times New Roman"/>
          <w:color w:val="000000" w:themeColor="text1"/>
          <w:kern w:val="0"/>
          <w:sz w:val="24"/>
          <w:szCs w:val="24"/>
        </w:rPr>
        <w:t>studies provided</w:t>
      </w:r>
      <w:r w:rsidR="002878A3" w:rsidRPr="003D5B85">
        <w:rPr>
          <w:rFonts w:ascii="Book Antiqua" w:hAnsi="Book Antiqua"/>
          <w:color w:val="000000" w:themeColor="text1"/>
          <w:sz w:val="24"/>
          <w:szCs w:val="24"/>
        </w:rPr>
        <w:t xml:space="preserve"> </w:t>
      </w:r>
      <w:r w:rsidR="002878A3" w:rsidRPr="003D5B85">
        <w:rPr>
          <w:rFonts w:ascii="Book Antiqua" w:hAnsi="Book Antiqua" w:cs="Times New Roman"/>
          <w:color w:val="000000" w:themeColor="text1"/>
          <w:sz w:val="24"/>
          <w:szCs w:val="24"/>
        </w:rPr>
        <w:t xml:space="preserve">the risk of </w:t>
      </w:r>
      <w:r w:rsidR="002878A3" w:rsidRPr="003D5B85">
        <w:rPr>
          <w:rFonts w:ascii="Book Antiqua" w:hAnsi="Book Antiqua" w:cs="Times New Roman"/>
          <w:color w:val="000000" w:themeColor="text1"/>
          <w:kern w:val="0"/>
          <w:sz w:val="24"/>
          <w:szCs w:val="24"/>
        </w:rPr>
        <w:t>HE grades 2-4</w:t>
      </w:r>
      <w:r w:rsidR="00EF0C40" w:rsidRPr="003D5B85">
        <w:rPr>
          <w:rFonts w:ascii="Book Antiqua" w:eastAsia="Times New Roman" w:hAnsi="Book Antiqua" w:cs="Times New Roman"/>
          <w:color w:val="000000" w:themeColor="text1"/>
          <w:kern w:val="0"/>
          <w:sz w:val="24"/>
          <w:szCs w:val="24"/>
          <w:vertAlign w:val="superscript"/>
        </w:rPr>
        <w:t>[</w:t>
      </w:r>
      <w:r w:rsidR="00EF0C40" w:rsidRPr="003D5B85">
        <w:rPr>
          <w:rFonts w:ascii="Book Antiqua" w:hAnsi="Book Antiqua" w:cs="Times New Roman"/>
          <w:color w:val="000000" w:themeColor="text1"/>
          <w:kern w:val="0"/>
          <w:sz w:val="24"/>
          <w:szCs w:val="24"/>
          <w:vertAlign w:val="superscript"/>
        </w:rPr>
        <w:t>14,17,18]</w:t>
      </w:r>
      <w:r w:rsidR="002878A3" w:rsidRPr="003D5B85">
        <w:rPr>
          <w:rFonts w:ascii="Book Antiqua" w:eastAsia="等线" w:hAnsi="Book Antiqua" w:cs="Times New Roman"/>
          <w:color w:val="000000" w:themeColor="text1"/>
          <w:sz w:val="24"/>
          <w:szCs w:val="24"/>
        </w:rPr>
        <w:t>,</w:t>
      </w:r>
      <w:r w:rsidR="002878A3" w:rsidRPr="003D5B85">
        <w:rPr>
          <w:rFonts w:ascii="Book Antiqua" w:hAnsi="Book Antiqua" w:cs="Times New Roman"/>
          <w:color w:val="000000" w:themeColor="text1"/>
          <w:kern w:val="0"/>
          <w:sz w:val="24"/>
          <w:szCs w:val="24"/>
        </w:rPr>
        <w:t xml:space="preserve"> and one study provided the risk of minimal HE</w:t>
      </w:r>
      <w:r w:rsidR="00F50757" w:rsidRPr="003D5B85">
        <w:rPr>
          <w:rFonts w:ascii="Book Antiqua" w:eastAsia="Times New Roman" w:hAnsi="Book Antiqua" w:cs="Times New Roman"/>
          <w:color w:val="000000" w:themeColor="text1"/>
          <w:kern w:val="0"/>
          <w:sz w:val="24"/>
          <w:szCs w:val="24"/>
          <w:vertAlign w:val="superscript"/>
        </w:rPr>
        <w:t>[</w:t>
      </w:r>
      <w:r w:rsidR="00F50757" w:rsidRPr="003D5B85">
        <w:rPr>
          <w:rFonts w:ascii="Book Antiqua" w:hAnsi="Book Antiqua" w:cs="Times New Roman"/>
          <w:color w:val="000000" w:themeColor="text1"/>
          <w:kern w:val="0"/>
          <w:sz w:val="24"/>
          <w:szCs w:val="24"/>
          <w:vertAlign w:val="superscript"/>
        </w:rPr>
        <w:t>14]</w:t>
      </w:r>
      <w:r w:rsidR="002878A3" w:rsidRPr="003D5B85">
        <w:rPr>
          <w:rFonts w:ascii="Book Antiqua" w:eastAsia="等线" w:hAnsi="Book Antiqua" w:cs="Times New Roman"/>
          <w:color w:val="000000" w:themeColor="text1"/>
          <w:sz w:val="24"/>
          <w:szCs w:val="24"/>
        </w:rPr>
        <w:t>.</w:t>
      </w:r>
      <w:r w:rsidR="002878A3" w:rsidRPr="003D5B85">
        <w:rPr>
          <w:rFonts w:ascii="Book Antiqua" w:hAnsi="Book Antiqua" w:cs="Times New Roman"/>
          <w:color w:val="000000" w:themeColor="text1"/>
          <w:kern w:val="0"/>
          <w:sz w:val="24"/>
          <w:szCs w:val="24"/>
        </w:rPr>
        <w:t xml:space="preserve"> With regard to </w:t>
      </w:r>
      <w:r w:rsidR="002878A3" w:rsidRPr="003D5B85">
        <w:rPr>
          <w:rFonts w:ascii="Book Antiqua" w:eastAsia="等线" w:hAnsi="Book Antiqua" w:cs="Times New Roman"/>
          <w:color w:val="000000" w:themeColor="text1"/>
          <w:kern w:val="0"/>
          <w:sz w:val="24"/>
          <w:szCs w:val="24"/>
        </w:rPr>
        <w:t xml:space="preserve">the </w:t>
      </w:r>
      <w:r w:rsidR="002878A3" w:rsidRPr="003D5B85">
        <w:rPr>
          <w:rFonts w:ascii="Book Antiqua" w:hAnsi="Book Antiqua" w:cs="Times New Roman"/>
          <w:color w:val="000000" w:themeColor="text1"/>
          <w:kern w:val="0"/>
          <w:sz w:val="24"/>
          <w:szCs w:val="24"/>
        </w:rPr>
        <w:t xml:space="preserve">definition of PPI use, there </w:t>
      </w:r>
      <w:r w:rsidR="007434B9" w:rsidRPr="003D5B85">
        <w:rPr>
          <w:rFonts w:ascii="Book Antiqua" w:hAnsi="Book Antiqua" w:cs="Times New Roman"/>
          <w:color w:val="000000" w:themeColor="text1"/>
          <w:kern w:val="0"/>
          <w:sz w:val="24"/>
          <w:szCs w:val="24"/>
        </w:rPr>
        <w:t xml:space="preserve">was a </w:t>
      </w:r>
      <w:r w:rsidR="002878A3" w:rsidRPr="003D5B85">
        <w:rPr>
          <w:rFonts w:ascii="Book Antiqua" w:hAnsi="Book Antiqua" w:cs="Times New Roman"/>
          <w:color w:val="000000" w:themeColor="text1"/>
          <w:kern w:val="0"/>
          <w:sz w:val="24"/>
          <w:szCs w:val="24"/>
        </w:rPr>
        <w:t xml:space="preserve">clear difference among the included studies. </w:t>
      </w:r>
      <w:r w:rsidR="002878A3" w:rsidRPr="003D5B85">
        <w:rPr>
          <w:rFonts w:ascii="Book Antiqua" w:eastAsia="等线" w:hAnsi="Book Antiqua" w:cs="Times New Roman"/>
          <w:color w:val="000000" w:themeColor="text1"/>
          <w:kern w:val="0"/>
          <w:sz w:val="24"/>
          <w:szCs w:val="24"/>
        </w:rPr>
        <w:t>Three</w:t>
      </w:r>
      <w:r w:rsidR="002878A3" w:rsidRPr="003D5B85">
        <w:rPr>
          <w:rFonts w:ascii="Book Antiqua" w:hAnsi="Book Antiqua" w:cs="Times New Roman"/>
          <w:color w:val="000000" w:themeColor="text1"/>
          <w:kern w:val="0"/>
          <w:sz w:val="24"/>
          <w:szCs w:val="24"/>
        </w:rPr>
        <w:t xml:space="preserve"> studies adopted the definition of </w:t>
      </w:r>
      <w:bookmarkStart w:id="42" w:name="_Hlk535268387"/>
      <w:r w:rsidR="002878A3" w:rsidRPr="003D5B85">
        <w:rPr>
          <w:rFonts w:ascii="Book Antiqua" w:hAnsi="Book Antiqua" w:cs="Times New Roman"/>
          <w:color w:val="000000" w:themeColor="text1"/>
          <w:kern w:val="0"/>
          <w:sz w:val="24"/>
          <w:szCs w:val="24"/>
        </w:rPr>
        <w:t>in-hospital</w:t>
      </w:r>
      <w:bookmarkEnd w:id="42"/>
      <w:r w:rsidR="002878A3" w:rsidRPr="003D5B85">
        <w:rPr>
          <w:rFonts w:ascii="Book Antiqua" w:hAnsi="Book Antiqua" w:cs="Times New Roman"/>
          <w:color w:val="000000" w:themeColor="text1"/>
          <w:kern w:val="0"/>
          <w:sz w:val="24"/>
          <w:szCs w:val="24"/>
        </w:rPr>
        <w:t xml:space="preserve"> PPI use as PPI exposure</w:t>
      </w:r>
      <w:r w:rsidR="002878A3" w:rsidRPr="003D5B85">
        <w:rPr>
          <w:rFonts w:ascii="Book Antiqua" w:eastAsia="等线" w:hAnsi="Book Antiqua" w:cs="Times New Roman"/>
          <w:color w:val="000000" w:themeColor="text1"/>
          <w:kern w:val="0"/>
          <w:sz w:val="24"/>
          <w:szCs w:val="24"/>
        </w:rPr>
        <w:t xml:space="preserve"> </w:t>
      </w:r>
      <w:r w:rsidR="002878A3" w:rsidRPr="003D5B85">
        <w:rPr>
          <w:rFonts w:ascii="Book Antiqua" w:hAnsi="Book Antiqua" w:cs="Times New Roman"/>
          <w:color w:val="000000" w:themeColor="text1"/>
          <w:kern w:val="0"/>
          <w:sz w:val="24"/>
          <w:szCs w:val="24"/>
        </w:rPr>
        <w:t>(in-hospital definition</w:t>
      </w:r>
      <w:proofErr w:type="gramStart"/>
      <w:r w:rsidR="002878A3" w:rsidRPr="003D5B85">
        <w:rPr>
          <w:rFonts w:ascii="Book Antiqua" w:hAnsi="Book Antiqua" w:cs="Times New Roman"/>
          <w:color w:val="000000" w:themeColor="text1"/>
          <w:kern w:val="0"/>
          <w:sz w:val="24"/>
          <w:szCs w:val="24"/>
        </w:rPr>
        <w:t>)</w:t>
      </w:r>
      <w:r w:rsidR="00FD21B4" w:rsidRPr="003D5B85">
        <w:rPr>
          <w:rFonts w:ascii="Book Antiqua" w:eastAsia="Times New Roman" w:hAnsi="Book Antiqua" w:cs="Times New Roman"/>
          <w:color w:val="000000" w:themeColor="text1"/>
          <w:kern w:val="0"/>
          <w:sz w:val="24"/>
          <w:szCs w:val="24"/>
          <w:vertAlign w:val="superscript"/>
        </w:rPr>
        <w:t>[</w:t>
      </w:r>
      <w:proofErr w:type="gramEnd"/>
      <w:r w:rsidR="00FD21B4" w:rsidRPr="003D5B85">
        <w:rPr>
          <w:rFonts w:ascii="Book Antiqua" w:hAnsi="Book Antiqua" w:cs="Times New Roman"/>
          <w:color w:val="000000" w:themeColor="text1"/>
          <w:kern w:val="0"/>
          <w:sz w:val="24"/>
          <w:szCs w:val="24"/>
          <w:vertAlign w:val="superscript"/>
        </w:rPr>
        <w:t>13,15,18]</w:t>
      </w:r>
      <w:r w:rsidR="002878A3" w:rsidRPr="003D5B85">
        <w:rPr>
          <w:rFonts w:ascii="Book Antiqua" w:hAnsi="Book Antiqua" w:cs="Times New Roman"/>
          <w:color w:val="000000" w:themeColor="text1"/>
          <w:kern w:val="0"/>
          <w:sz w:val="24"/>
          <w:szCs w:val="24"/>
        </w:rPr>
        <w:t xml:space="preserve">, </w:t>
      </w:r>
      <w:r w:rsidR="007434B9" w:rsidRPr="003D5B85">
        <w:rPr>
          <w:rFonts w:ascii="Book Antiqua" w:hAnsi="Book Antiqua" w:cs="Times New Roman"/>
          <w:color w:val="000000" w:themeColor="text1"/>
          <w:kern w:val="0"/>
          <w:sz w:val="24"/>
          <w:szCs w:val="24"/>
        </w:rPr>
        <w:t xml:space="preserve">two </w:t>
      </w:r>
      <w:r w:rsidR="002878A3" w:rsidRPr="003D5B85">
        <w:rPr>
          <w:rFonts w:ascii="Book Antiqua" w:hAnsi="Book Antiqua" w:cs="Times New Roman"/>
          <w:color w:val="000000" w:themeColor="text1"/>
          <w:kern w:val="0"/>
          <w:sz w:val="24"/>
          <w:szCs w:val="24"/>
        </w:rPr>
        <w:t>studies adopted the definition of</w:t>
      </w:r>
      <w:r w:rsidR="002878A3" w:rsidRPr="003D5B85">
        <w:rPr>
          <w:rFonts w:ascii="Book Antiqua" w:hAnsi="Book Antiqua"/>
          <w:color w:val="000000" w:themeColor="text1"/>
          <w:sz w:val="24"/>
          <w:szCs w:val="24"/>
        </w:rPr>
        <w:t xml:space="preserve"> </w:t>
      </w:r>
      <w:r w:rsidR="002878A3" w:rsidRPr="003D5B85">
        <w:rPr>
          <w:rFonts w:ascii="Book Antiqua" w:hAnsi="Book Antiqua" w:cs="Times New Roman"/>
          <w:color w:val="000000" w:themeColor="text1"/>
          <w:kern w:val="0"/>
          <w:sz w:val="24"/>
          <w:szCs w:val="24"/>
        </w:rPr>
        <w:t>current PPI use</w:t>
      </w:r>
      <w:r w:rsidR="002878A3" w:rsidRPr="003D5B85">
        <w:rPr>
          <w:rFonts w:ascii="Book Antiqua" w:hAnsi="Book Antiqua"/>
          <w:color w:val="000000" w:themeColor="text1"/>
          <w:sz w:val="24"/>
          <w:szCs w:val="24"/>
        </w:rPr>
        <w:t xml:space="preserve"> </w:t>
      </w:r>
      <w:r w:rsidR="002878A3" w:rsidRPr="003D5B85">
        <w:rPr>
          <w:rFonts w:ascii="Book Antiqua" w:hAnsi="Book Antiqua" w:cs="Times New Roman"/>
          <w:color w:val="000000" w:themeColor="text1"/>
          <w:kern w:val="0"/>
          <w:sz w:val="24"/>
          <w:szCs w:val="24"/>
        </w:rPr>
        <w:t>as PPI exposure</w:t>
      </w:r>
      <w:r w:rsidR="002878A3" w:rsidRPr="003D5B85">
        <w:rPr>
          <w:rFonts w:ascii="Book Antiqua" w:eastAsia="等线" w:hAnsi="Book Antiqua" w:cs="Times New Roman"/>
          <w:color w:val="000000" w:themeColor="text1"/>
          <w:kern w:val="0"/>
          <w:sz w:val="24"/>
          <w:szCs w:val="24"/>
        </w:rPr>
        <w:t xml:space="preserve"> </w:t>
      </w:r>
      <w:r w:rsidR="002878A3" w:rsidRPr="003D5B85">
        <w:rPr>
          <w:rFonts w:ascii="Book Antiqua" w:hAnsi="Book Antiqua" w:cs="Times New Roman"/>
          <w:color w:val="000000" w:themeColor="text1"/>
          <w:kern w:val="0"/>
          <w:sz w:val="24"/>
          <w:szCs w:val="24"/>
        </w:rPr>
        <w:t>(current definition)</w:t>
      </w:r>
      <w:r w:rsidR="004F6109" w:rsidRPr="003D5B85">
        <w:rPr>
          <w:rFonts w:ascii="Book Antiqua" w:eastAsia="Times New Roman" w:hAnsi="Book Antiqua" w:cs="Times New Roman"/>
          <w:color w:val="000000" w:themeColor="text1"/>
          <w:kern w:val="0"/>
          <w:sz w:val="24"/>
          <w:szCs w:val="24"/>
          <w:vertAlign w:val="superscript"/>
        </w:rPr>
        <w:t>[</w:t>
      </w:r>
      <w:r w:rsidR="004F6109" w:rsidRPr="003D5B85">
        <w:rPr>
          <w:rFonts w:ascii="Book Antiqua" w:hAnsi="Book Antiqua" w:cs="Times New Roman"/>
          <w:color w:val="000000" w:themeColor="text1"/>
          <w:kern w:val="0"/>
          <w:sz w:val="24"/>
          <w:szCs w:val="24"/>
          <w:vertAlign w:val="superscript"/>
        </w:rPr>
        <w:t>17,23]</w:t>
      </w:r>
      <w:r w:rsidR="002878A3" w:rsidRPr="003D5B85">
        <w:rPr>
          <w:rFonts w:ascii="Book Antiqua" w:hAnsi="Book Antiqua" w:cs="Times New Roman"/>
          <w:color w:val="000000" w:themeColor="text1"/>
          <w:kern w:val="0"/>
          <w:sz w:val="24"/>
          <w:szCs w:val="24"/>
        </w:rPr>
        <w:t>, and the remaining studies specified the time of PPI exposure</w:t>
      </w:r>
      <w:r w:rsidR="002878A3" w:rsidRPr="003D5B85">
        <w:rPr>
          <w:rFonts w:ascii="Book Antiqua" w:eastAsia="等线" w:hAnsi="Book Antiqua" w:cs="Times New Roman"/>
          <w:color w:val="000000" w:themeColor="text1"/>
          <w:kern w:val="0"/>
          <w:sz w:val="24"/>
          <w:szCs w:val="24"/>
        </w:rPr>
        <w:t xml:space="preserve"> </w:t>
      </w:r>
      <w:r w:rsidR="002878A3" w:rsidRPr="003D5B85">
        <w:rPr>
          <w:rFonts w:ascii="Book Antiqua" w:hAnsi="Book Antiqua" w:cs="Times New Roman"/>
          <w:color w:val="000000" w:themeColor="text1"/>
          <w:kern w:val="0"/>
          <w:sz w:val="24"/>
          <w:szCs w:val="24"/>
        </w:rPr>
        <w:t>(≥2 weeks;</w:t>
      </w:r>
      <w:r w:rsidR="002878A3" w:rsidRPr="003D5B85">
        <w:rPr>
          <w:rFonts w:ascii="Book Antiqua" w:hAnsi="Book Antiqua"/>
          <w:color w:val="000000" w:themeColor="text1"/>
          <w:sz w:val="24"/>
          <w:szCs w:val="24"/>
        </w:rPr>
        <w:t xml:space="preserve"> </w:t>
      </w:r>
      <w:r w:rsidR="002878A3" w:rsidRPr="003D5B85">
        <w:rPr>
          <w:rFonts w:ascii="Book Antiqua" w:hAnsi="Book Antiqua" w:cs="Times New Roman"/>
          <w:color w:val="000000" w:themeColor="text1"/>
          <w:kern w:val="0"/>
          <w:sz w:val="24"/>
          <w:szCs w:val="24"/>
        </w:rPr>
        <w:t>&gt;30cDDDs;</w:t>
      </w:r>
      <w:r w:rsidR="002878A3" w:rsidRPr="003D5B85">
        <w:rPr>
          <w:rFonts w:ascii="Book Antiqua" w:hAnsi="Book Antiqua"/>
          <w:color w:val="000000" w:themeColor="text1"/>
          <w:sz w:val="24"/>
          <w:szCs w:val="24"/>
        </w:rPr>
        <w:t xml:space="preserve"> </w:t>
      </w:r>
      <w:r w:rsidR="002878A3" w:rsidRPr="003D5B85">
        <w:rPr>
          <w:rFonts w:ascii="Book Antiqua" w:hAnsi="Book Antiqua" w:cs="Times New Roman"/>
          <w:color w:val="000000" w:themeColor="text1"/>
          <w:kern w:val="0"/>
          <w:sz w:val="24"/>
          <w:szCs w:val="24"/>
        </w:rPr>
        <w:t>≥4</w:t>
      </w:r>
      <w:r w:rsidR="00E13D7E" w:rsidRPr="003D5B85">
        <w:rPr>
          <w:rFonts w:ascii="Book Antiqua" w:hAnsi="Book Antiqua" w:cs="Times New Roman"/>
          <w:color w:val="000000" w:themeColor="text1"/>
          <w:kern w:val="0"/>
          <w:sz w:val="24"/>
          <w:szCs w:val="24"/>
        </w:rPr>
        <w:t xml:space="preserve"> </w:t>
      </w:r>
      <w:proofErr w:type="spellStart"/>
      <w:r w:rsidR="002878A3" w:rsidRPr="003D5B85">
        <w:rPr>
          <w:rFonts w:ascii="Book Antiqua" w:hAnsi="Book Antiqua" w:cs="Times New Roman"/>
          <w:color w:val="000000" w:themeColor="text1"/>
          <w:kern w:val="0"/>
          <w:sz w:val="24"/>
          <w:szCs w:val="24"/>
        </w:rPr>
        <w:t>wk</w:t>
      </w:r>
      <w:proofErr w:type="spellEnd"/>
      <w:r w:rsidR="002878A3" w:rsidRPr="003D5B85">
        <w:rPr>
          <w:rFonts w:ascii="Book Antiqua" w:hAnsi="Book Antiqua" w:cs="Times New Roman"/>
          <w:color w:val="000000" w:themeColor="text1"/>
          <w:kern w:val="0"/>
          <w:sz w:val="24"/>
          <w:szCs w:val="24"/>
        </w:rPr>
        <w:t>; &gt;90 d) (time-based definition)</w:t>
      </w:r>
      <w:r w:rsidR="00414223" w:rsidRPr="003D5B85">
        <w:rPr>
          <w:rFonts w:ascii="Book Antiqua" w:eastAsia="Times New Roman" w:hAnsi="Book Antiqua" w:cs="Times New Roman"/>
          <w:color w:val="000000" w:themeColor="text1"/>
          <w:kern w:val="0"/>
          <w:sz w:val="24"/>
          <w:szCs w:val="24"/>
          <w:vertAlign w:val="superscript"/>
        </w:rPr>
        <w:t>[</w:t>
      </w:r>
      <w:r w:rsidR="00414223" w:rsidRPr="003D5B85">
        <w:rPr>
          <w:rFonts w:ascii="Book Antiqua" w:hAnsi="Book Antiqua" w:cs="Times New Roman"/>
          <w:color w:val="000000" w:themeColor="text1"/>
          <w:kern w:val="0"/>
          <w:sz w:val="24"/>
          <w:szCs w:val="24"/>
          <w:vertAlign w:val="superscript"/>
        </w:rPr>
        <w:t>14,16,24,25]</w:t>
      </w:r>
      <w:r w:rsidR="002878A3" w:rsidRPr="003D5B85">
        <w:rPr>
          <w:rFonts w:ascii="Book Antiqua" w:hAnsi="Book Antiqua" w:cs="Times New Roman"/>
          <w:color w:val="000000" w:themeColor="text1"/>
          <w:kern w:val="0"/>
          <w:sz w:val="24"/>
          <w:szCs w:val="24"/>
        </w:rPr>
        <w:t xml:space="preserve">. </w:t>
      </w:r>
      <w:r w:rsidR="002878A3" w:rsidRPr="003D5B85">
        <w:rPr>
          <w:rFonts w:ascii="Book Antiqua" w:eastAsia="等线" w:hAnsi="Book Antiqua" w:cs="Times New Roman"/>
          <w:color w:val="000000" w:themeColor="text1"/>
          <w:kern w:val="0"/>
          <w:sz w:val="24"/>
          <w:szCs w:val="24"/>
        </w:rPr>
        <w:t>Five</w:t>
      </w:r>
      <w:r w:rsidR="002878A3" w:rsidRPr="003D5B85">
        <w:rPr>
          <w:rFonts w:ascii="Book Antiqua" w:hAnsi="Book Antiqua" w:cs="Times New Roman"/>
          <w:color w:val="000000" w:themeColor="text1"/>
          <w:kern w:val="0"/>
          <w:sz w:val="24"/>
          <w:szCs w:val="24"/>
        </w:rPr>
        <w:t xml:space="preserve"> studies provided the follow-up time, and the approximate follow-up time ranged from 4 </w:t>
      </w:r>
      <w:proofErr w:type="spellStart"/>
      <w:proofErr w:type="gramStart"/>
      <w:r w:rsidR="002878A3" w:rsidRPr="003D5B85">
        <w:rPr>
          <w:rFonts w:ascii="Book Antiqua" w:hAnsi="Book Antiqua" w:cs="Times New Roman"/>
          <w:color w:val="000000" w:themeColor="text1"/>
          <w:kern w:val="0"/>
          <w:sz w:val="24"/>
          <w:szCs w:val="24"/>
        </w:rPr>
        <w:t>mo</w:t>
      </w:r>
      <w:proofErr w:type="spellEnd"/>
      <w:proofErr w:type="gramEnd"/>
      <w:r w:rsidR="002878A3" w:rsidRPr="003D5B85">
        <w:rPr>
          <w:rFonts w:ascii="Book Antiqua" w:hAnsi="Book Antiqua" w:cs="Times New Roman"/>
          <w:color w:val="000000" w:themeColor="text1"/>
          <w:kern w:val="0"/>
          <w:sz w:val="24"/>
          <w:szCs w:val="24"/>
        </w:rPr>
        <w:t xml:space="preserve"> to 3 years.</w:t>
      </w:r>
      <w:r w:rsidR="002878A3" w:rsidRPr="003D5B85">
        <w:rPr>
          <w:rFonts w:ascii="Book Antiqua" w:hAnsi="Book Antiqua"/>
          <w:color w:val="000000" w:themeColor="text1"/>
          <w:sz w:val="24"/>
          <w:szCs w:val="24"/>
        </w:rPr>
        <w:t xml:space="preserve"> </w:t>
      </w:r>
      <w:r w:rsidR="002878A3" w:rsidRPr="003D5B85">
        <w:rPr>
          <w:rFonts w:ascii="Book Antiqua" w:hAnsi="Book Antiqua" w:cs="Times New Roman"/>
          <w:color w:val="000000" w:themeColor="text1"/>
          <w:kern w:val="0"/>
          <w:sz w:val="24"/>
          <w:szCs w:val="24"/>
        </w:rPr>
        <w:t xml:space="preserve">All the included studies adjusted for various confounding factors except for two abstracts, which reported adjusted OR values but lacked details regarding the variables used for the </w:t>
      </w:r>
      <w:proofErr w:type="gramStart"/>
      <w:r w:rsidR="002878A3" w:rsidRPr="003D5B85">
        <w:rPr>
          <w:rFonts w:ascii="Book Antiqua" w:hAnsi="Book Antiqua" w:cs="Times New Roman"/>
          <w:color w:val="000000" w:themeColor="text1"/>
          <w:kern w:val="0"/>
          <w:sz w:val="24"/>
          <w:szCs w:val="24"/>
        </w:rPr>
        <w:t>adjustment</w:t>
      </w:r>
      <w:r w:rsidR="007A2AAB" w:rsidRPr="003D5B85">
        <w:rPr>
          <w:rFonts w:ascii="Book Antiqua" w:eastAsia="Times New Roman" w:hAnsi="Book Antiqua" w:cs="Times New Roman"/>
          <w:color w:val="000000" w:themeColor="text1"/>
          <w:kern w:val="0"/>
          <w:sz w:val="24"/>
          <w:szCs w:val="24"/>
          <w:vertAlign w:val="superscript"/>
        </w:rPr>
        <w:t>[</w:t>
      </w:r>
      <w:proofErr w:type="gramEnd"/>
      <w:r w:rsidR="007A2AAB" w:rsidRPr="003D5B85">
        <w:rPr>
          <w:rFonts w:ascii="Book Antiqua" w:hAnsi="Book Antiqua" w:cs="Times New Roman"/>
          <w:color w:val="000000" w:themeColor="text1"/>
          <w:kern w:val="0"/>
          <w:sz w:val="24"/>
          <w:szCs w:val="24"/>
          <w:vertAlign w:val="superscript"/>
        </w:rPr>
        <w:t>23,25]</w:t>
      </w:r>
      <w:r w:rsidR="002878A3" w:rsidRPr="003D5B85">
        <w:rPr>
          <w:rFonts w:ascii="Book Antiqua" w:hAnsi="Book Antiqua" w:cs="Times New Roman"/>
          <w:color w:val="000000" w:themeColor="text1"/>
          <w:kern w:val="0"/>
          <w:sz w:val="24"/>
          <w:szCs w:val="24"/>
        </w:rPr>
        <w:t xml:space="preserve">. We assessed the quality of six full-text studies. </w:t>
      </w:r>
      <w:r w:rsidR="002878A3" w:rsidRPr="003D5B85">
        <w:rPr>
          <w:rFonts w:ascii="Book Antiqua" w:eastAsia="等线" w:hAnsi="Book Antiqua" w:cs="Times New Roman"/>
          <w:color w:val="000000" w:themeColor="text1"/>
          <w:kern w:val="0"/>
          <w:sz w:val="24"/>
          <w:szCs w:val="24"/>
        </w:rPr>
        <w:t>Four</w:t>
      </w:r>
      <w:r w:rsidR="002878A3" w:rsidRPr="003D5B85">
        <w:rPr>
          <w:rFonts w:ascii="Book Antiqua" w:hAnsi="Book Antiqua" w:cs="Times New Roman"/>
          <w:color w:val="000000" w:themeColor="text1"/>
          <w:kern w:val="0"/>
          <w:sz w:val="24"/>
          <w:szCs w:val="24"/>
        </w:rPr>
        <w:t xml:space="preserve"> studies scored 9 </w:t>
      </w:r>
      <w:proofErr w:type="gramStart"/>
      <w:r w:rsidR="002878A3" w:rsidRPr="003D5B85">
        <w:rPr>
          <w:rFonts w:ascii="Book Antiqua" w:hAnsi="Book Antiqua" w:cs="Times New Roman"/>
          <w:color w:val="000000" w:themeColor="text1"/>
          <w:kern w:val="0"/>
          <w:sz w:val="24"/>
          <w:szCs w:val="24"/>
        </w:rPr>
        <w:t>points</w:t>
      </w:r>
      <w:r w:rsidR="00002715" w:rsidRPr="003D5B85">
        <w:rPr>
          <w:rFonts w:ascii="Book Antiqua" w:eastAsia="Times New Roman" w:hAnsi="Book Antiqua" w:cs="Times New Roman"/>
          <w:color w:val="000000" w:themeColor="text1"/>
          <w:kern w:val="0"/>
          <w:sz w:val="24"/>
          <w:szCs w:val="24"/>
          <w:vertAlign w:val="superscript"/>
        </w:rPr>
        <w:t>[</w:t>
      </w:r>
      <w:proofErr w:type="gramEnd"/>
      <w:r w:rsidR="00002715" w:rsidRPr="003D5B85">
        <w:rPr>
          <w:rFonts w:ascii="Book Antiqua" w:hAnsi="Book Antiqua" w:cs="Times New Roman"/>
          <w:color w:val="000000" w:themeColor="text1"/>
          <w:kern w:val="0"/>
          <w:sz w:val="24"/>
          <w:szCs w:val="24"/>
          <w:vertAlign w:val="superscript"/>
        </w:rPr>
        <w:t>13,14,16,17]</w:t>
      </w:r>
      <w:r w:rsidR="002878A3" w:rsidRPr="003D5B85">
        <w:rPr>
          <w:rFonts w:ascii="Book Antiqua" w:hAnsi="Book Antiqua" w:cs="Times New Roman"/>
          <w:color w:val="000000" w:themeColor="text1"/>
          <w:kern w:val="0"/>
          <w:sz w:val="24"/>
          <w:szCs w:val="24"/>
        </w:rPr>
        <w:t xml:space="preserve">, and </w:t>
      </w:r>
      <w:r w:rsidR="007434B9" w:rsidRPr="003D5B85">
        <w:rPr>
          <w:rFonts w:ascii="Book Antiqua" w:hAnsi="Book Antiqua" w:cs="Times New Roman"/>
          <w:color w:val="000000" w:themeColor="text1"/>
          <w:kern w:val="0"/>
          <w:sz w:val="24"/>
          <w:szCs w:val="24"/>
        </w:rPr>
        <w:t xml:space="preserve">two </w:t>
      </w:r>
      <w:r w:rsidR="002878A3" w:rsidRPr="003D5B85">
        <w:rPr>
          <w:rFonts w:ascii="Book Antiqua" w:hAnsi="Book Antiqua" w:cs="Times New Roman"/>
          <w:color w:val="000000" w:themeColor="text1"/>
          <w:kern w:val="0"/>
          <w:sz w:val="24"/>
          <w:szCs w:val="24"/>
        </w:rPr>
        <w:t>case-control studies scored 8 points (1 point was deducted for using hospital controls as a control group)</w:t>
      </w:r>
      <w:r w:rsidR="00FC6B76" w:rsidRPr="003D5B85">
        <w:rPr>
          <w:rFonts w:ascii="Book Antiqua" w:eastAsia="Times New Roman" w:hAnsi="Book Antiqua" w:cs="Times New Roman"/>
          <w:color w:val="000000" w:themeColor="text1"/>
          <w:kern w:val="0"/>
          <w:sz w:val="24"/>
          <w:szCs w:val="24"/>
          <w:vertAlign w:val="superscript"/>
        </w:rPr>
        <w:t>[</w:t>
      </w:r>
      <w:r w:rsidR="00FC6B76" w:rsidRPr="003D5B85">
        <w:rPr>
          <w:rFonts w:ascii="Book Antiqua" w:hAnsi="Book Antiqua" w:cs="Times New Roman"/>
          <w:color w:val="000000" w:themeColor="text1"/>
          <w:kern w:val="0"/>
          <w:sz w:val="24"/>
          <w:szCs w:val="24"/>
          <w:vertAlign w:val="superscript"/>
        </w:rPr>
        <w:t>15,18]</w:t>
      </w:r>
      <w:r w:rsidR="002878A3" w:rsidRPr="003D5B85">
        <w:rPr>
          <w:rFonts w:ascii="Book Antiqua" w:hAnsi="Book Antiqua" w:cs="Times New Roman"/>
          <w:color w:val="000000" w:themeColor="text1"/>
          <w:kern w:val="0"/>
          <w:sz w:val="24"/>
          <w:szCs w:val="24"/>
        </w:rPr>
        <w:t>. All these studies</w:t>
      </w:r>
      <w:r w:rsidR="002878A3" w:rsidRPr="003D5B85">
        <w:rPr>
          <w:rFonts w:ascii="Book Antiqua" w:hAnsi="Book Antiqua"/>
          <w:color w:val="000000" w:themeColor="text1"/>
          <w:sz w:val="24"/>
          <w:szCs w:val="24"/>
        </w:rPr>
        <w:t xml:space="preserve"> </w:t>
      </w:r>
      <w:r w:rsidR="002878A3" w:rsidRPr="003D5B85">
        <w:rPr>
          <w:rFonts w:ascii="Book Antiqua" w:hAnsi="Book Antiqua" w:cs="Times New Roman"/>
          <w:color w:val="000000" w:themeColor="text1"/>
          <w:kern w:val="0"/>
          <w:sz w:val="24"/>
          <w:szCs w:val="24"/>
        </w:rPr>
        <w:t>were considered high quality because of their relatively low risk of bias.</w:t>
      </w:r>
    </w:p>
    <w:p w14:paraId="7D455C4F" w14:textId="77777777" w:rsidR="00E13D7E" w:rsidRPr="003D5B85" w:rsidRDefault="00E13D7E" w:rsidP="00E13D7E">
      <w:pPr>
        <w:autoSpaceDE w:val="0"/>
        <w:autoSpaceDN w:val="0"/>
        <w:adjustRightInd w:val="0"/>
        <w:spacing w:line="360" w:lineRule="auto"/>
        <w:rPr>
          <w:rFonts w:ascii="Book Antiqua" w:hAnsi="Book Antiqua" w:cs="Times New Roman"/>
          <w:color w:val="000000" w:themeColor="text1"/>
          <w:kern w:val="0"/>
          <w:sz w:val="24"/>
          <w:szCs w:val="24"/>
        </w:rPr>
      </w:pPr>
    </w:p>
    <w:p w14:paraId="7A462EED" w14:textId="77777777" w:rsidR="002878A3" w:rsidRPr="003D5B85" w:rsidRDefault="002878A3" w:rsidP="001C4059">
      <w:pPr>
        <w:autoSpaceDE w:val="0"/>
        <w:autoSpaceDN w:val="0"/>
        <w:adjustRightInd w:val="0"/>
        <w:spacing w:line="360" w:lineRule="auto"/>
        <w:rPr>
          <w:rFonts w:ascii="Book Antiqua" w:hAnsi="Book Antiqua" w:cs="Times New Roman"/>
          <w:b/>
          <w:i/>
          <w:color w:val="000000" w:themeColor="text1"/>
          <w:kern w:val="0"/>
          <w:sz w:val="24"/>
          <w:szCs w:val="24"/>
        </w:rPr>
      </w:pPr>
      <w:r w:rsidRPr="003D5B85">
        <w:rPr>
          <w:rFonts w:ascii="Book Antiqua" w:hAnsi="Book Antiqua" w:cs="Times New Roman"/>
          <w:b/>
          <w:i/>
          <w:color w:val="000000" w:themeColor="text1"/>
          <w:kern w:val="0"/>
          <w:sz w:val="24"/>
          <w:szCs w:val="24"/>
        </w:rPr>
        <w:t>HE risk in PPI users</w:t>
      </w:r>
    </w:p>
    <w:p w14:paraId="71832FE2" w14:textId="63CCD673" w:rsidR="002878A3" w:rsidRPr="003D5B85" w:rsidRDefault="002878A3" w:rsidP="00E13D7E">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3D5B85">
        <w:rPr>
          <w:rFonts w:ascii="Book Antiqua" w:hAnsi="Book Antiqua" w:cs="Times New Roman"/>
          <w:color w:val="000000" w:themeColor="text1"/>
          <w:kern w:val="0"/>
          <w:sz w:val="24"/>
          <w:szCs w:val="24"/>
        </w:rPr>
        <w:t xml:space="preserve">Figure 2 </w:t>
      </w:r>
      <w:r w:rsidRPr="003D5B85">
        <w:rPr>
          <w:rFonts w:ascii="Book Antiqua" w:eastAsia="等线" w:hAnsi="Book Antiqua" w:cs="Times New Roman"/>
          <w:color w:val="000000" w:themeColor="text1"/>
          <w:kern w:val="0"/>
          <w:sz w:val="24"/>
          <w:szCs w:val="24"/>
        </w:rPr>
        <w:t>demonstrates</w:t>
      </w:r>
      <w:r w:rsidRPr="003D5B85">
        <w:rPr>
          <w:rFonts w:ascii="Book Antiqua" w:hAnsi="Book Antiqua" w:cs="Times New Roman"/>
          <w:color w:val="000000" w:themeColor="text1"/>
          <w:kern w:val="0"/>
          <w:sz w:val="24"/>
          <w:szCs w:val="24"/>
        </w:rPr>
        <w:t xml:space="preserve"> that the risk of HE was elevated in PPI users. </w:t>
      </w:r>
      <w:r w:rsidRPr="003D5B85">
        <w:rPr>
          <w:rFonts w:ascii="Book Antiqua" w:eastAsia="等线" w:hAnsi="Book Antiqua" w:cs="Times New Roman"/>
          <w:color w:val="000000" w:themeColor="text1"/>
          <w:kern w:val="0"/>
          <w:sz w:val="24"/>
          <w:szCs w:val="24"/>
        </w:rPr>
        <w:t>The pooled</w:t>
      </w:r>
      <w:r w:rsidRPr="003D5B85">
        <w:rPr>
          <w:rFonts w:ascii="Book Antiqua" w:hAnsi="Book Antiqua" w:cs="Times New Roman"/>
          <w:color w:val="000000" w:themeColor="text1"/>
          <w:kern w:val="0"/>
          <w:sz w:val="24"/>
          <w:szCs w:val="24"/>
        </w:rPr>
        <w:t xml:space="preserve"> RR</w:t>
      </w:r>
      <w:r w:rsidR="007434B9" w:rsidRPr="003D5B85">
        <w:rPr>
          <w:rFonts w:ascii="Book Antiqua" w:hAnsi="Book Antiqua" w:cs="Times New Roman"/>
          <w:color w:val="000000" w:themeColor="text1"/>
          <w:kern w:val="0"/>
          <w:sz w:val="24"/>
          <w:szCs w:val="24"/>
        </w:rPr>
        <w:t xml:space="preserve"> </w:t>
      </w:r>
      <w:r w:rsidRPr="003D5B85">
        <w:rPr>
          <w:rFonts w:ascii="Book Antiqua" w:hAnsi="Book Antiqua" w:cs="Times New Roman"/>
          <w:color w:val="000000" w:themeColor="text1"/>
          <w:kern w:val="0"/>
          <w:sz w:val="24"/>
          <w:szCs w:val="24"/>
        </w:rPr>
        <w:t>was 2.08</w:t>
      </w:r>
      <w:r w:rsidRPr="003D5B85">
        <w:rPr>
          <w:rFonts w:ascii="Book Antiqua" w:eastAsia="等线" w:hAnsi="Book Antiqua" w:cs="Times New Roman"/>
          <w:color w:val="000000" w:themeColor="text1"/>
          <w:kern w:val="0"/>
          <w:sz w:val="24"/>
          <w:szCs w:val="24"/>
        </w:rPr>
        <w:t xml:space="preserve"> </w:t>
      </w:r>
      <w:r w:rsidRPr="003D5B85">
        <w:rPr>
          <w:rFonts w:ascii="Book Antiqua" w:hAnsi="Book Antiqua" w:cs="Times New Roman"/>
          <w:color w:val="000000" w:themeColor="text1"/>
          <w:kern w:val="0"/>
          <w:sz w:val="24"/>
          <w:szCs w:val="24"/>
        </w:rPr>
        <w:t>(</w:t>
      </w:r>
      <w:r w:rsidR="007434B9" w:rsidRPr="003D5B85">
        <w:rPr>
          <w:rFonts w:ascii="Book Antiqua" w:hAnsi="Book Antiqua" w:cs="Times New Roman"/>
          <w:color w:val="000000" w:themeColor="text1"/>
          <w:kern w:val="0"/>
          <w:sz w:val="24"/>
          <w:szCs w:val="24"/>
        </w:rPr>
        <w:t xml:space="preserve">95%CI: </w:t>
      </w:r>
      <w:r w:rsidRPr="003D5B85">
        <w:rPr>
          <w:rFonts w:ascii="Book Antiqua" w:hAnsi="Book Antiqua" w:cs="Times New Roman"/>
          <w:color w:val="000000" w:themeColor="text1"/>
          <w:kern w:val="0"/>
          <w:sz w:val="24"/>
          <w:szCs w:val="24"/>
        </w:rPr>
        <w:t>1.62</w:t>
      </w:r>
      <w:r w:rsidR="00115F98" w:rsidRPr="003D5B85">
        <w:rPr>
          <w:rFonts w:ascii="Book Antiqua" w:hAnsi="Book Antiqua" w:cs="Times New Roman"/>
          <w:color w:val="000000" w:themeColor="text1"/>
          <w:kern w:val="0"/>
          <w:sz w:val="24"/>
          <w:szCs w:val="24"/>
        </w:rPr>
        <w:t>-</w:t>
      </w:r>
      <w:r w:rsidRPr="003D5B85">
        <w:rPr>
          <w:rFonts w:ascii="Book Antiqua" w:hAnsi="Book Antiqua" w:cs="Times New Roman"/>
          <w:color w:val="000000" w:themeColor="text1"/>
          <w:kern w:val="0"/>
          <w:sz w:val="24"/>
          <w:szCs w:val="24"/>
        </w:rPr>
        <w:t xml:space="preserve">2.68, Cochran </w:t>
      </w:r>
      <w:r w:rsidRPr="003D5B85">
        <w:rPr>
          <w:rFonts w:ascii="Book Antiqua" w:hAnsi="Book Antiqua" w:cs="Times New Roman"/>
          <w:i/>
          <w:color w:val="000000" w:themeColor="text1"/>
          <w:kern w:val="0"/>
          <w:sz w:val="24"/>
          <w:szCs w:val="24"/>
        </w:rPr>
        <w:t>Q</w:t>
      </w:r>
      <w:r w:rsidRPr="003D5B85">
        <w:rPr>
          <w:rFonts w:ascii="Book Antiqua" w:hAnsi="Book Antiqua" w:cs="Times New Roman"/>
          <w:color w:val="000000" w:themeColor="text1"/>
          <w:kern w:val="0"/>
          <w:sz w:val="24"/>
          <w:szCs w:val="24"/>
        </w:rPr>
        <w:t xml:space="preserve"> test </w:t>
      </w:r>
      <w:r w:rsidRPr="003D5B85">
        <w:rPr>
          <w:rFonts w:ascii="Book Antiqua" w:hAnsi="Book Antiqua" w:cs="Times New Roman"/>
          <w:i/>
          <w:color w:val="000000" w:themeColor="text1"/>
          <w:kern w:val="0"/>
          <w:sz w:val="24"/>
          <w:szCs w:val="24"/>
        </w:rPr>
        <w:t>P</w:t>
      </w:r>
      <w:r w:rsidR="00115F98" w:rsidRPr="003D5B85">
        <w:rPr>
          <w:rFonts w:ascii="Book Antiqua" w:hAnsi="Book Antiqua" w:cs="Times New Roman"/>
          <w:i/>
          <w:color w:val="000000" w:themeColor="text1"/>
          <w:kern w:val="0"/>
          <w:sz w:val="24"/>
          <w:szCs w:val="24"/>
        </w:rPr>
        <w:t xml:space="preserve"> &lt; </w:t>
      </w:r>
      <w:r w:rsidRPr="003D5B85">
        <w:rPr>
          <w:rFonts w:ascii="Book Antiqua" w:hAnsi="Book Antiqua" w:cs="Times New Roman"/>
          <w:color w:val="000000" w:themeColor="text1"/>
          <w:kern w:val="0"/>
          <w:sz w:val="24"/>
          <w:szCs w:val="24"/>
        </w:rPr>
        <w:t xml:space="preserve">0.001, </w:t>
      </w:r>
      <w:r w:rsidRPr="003D5B85">
        <w:rPr>
          <w:rFonts w:ascii="Book Antiqua" w:hAnsi="Book Antiqua" w:cs="Times New Roman"/>
          <w:i/>
          <w:color w:val="000000" w:themeColor="text1"/>
          <w:kern w:val="0"/>
          <w:sz w:val="24"/>
          <w:szCs w:val="24"/>
        </w:rPr>
        <w:t>I</w:t>
      </w:r>
      <w:r w:rsidRPr="003D5B85">
        <w:rPr>
          <w:rFonts w:ascii="Book Antiqua" w:hAnsi="Book Antiqua" w:cs="Times New Roman"/>
          <w:i/>
          <w:color w:val="000000" w:themeColor="text1"/>
          <w:kern w:val="0"/>
          <w:sz w:val="24"/>
          <w:szCs w:val="24"/>
          <w:vertAlign w:val="superscript"/>
        </w:rPr>
        <w:t>2</w:t>
      </w:r>
      <w:r w:rsidR="00E13D7E" w:rsidRPr="003D5B85">
        <w:rPr>
          <w:rFonts w:ascii="Book Antiqua" w:hAnsi="Book Antiqua" w:cs="Times New Roman"/>
          <w:color w:val="000000" w:themeColor="text1"/>
          <w:kern w:val="0"/>
          <w:sz w:val="24"/>
          <w:szCs w:val="24"/>
          <w:vertAlign w:val="superscript"/>
        </w:rPr>
        <w:t xml:space="preserve"> </w:t>
      </w:r>
      <w:r w:rsidRPr="003D5B85">
        <w:rPr>
          <w:rFonts w:ascii="Book Antiqua" w:hAnsi="Book Antiqua" w:cs="Times New Roman"/>
          <w:color w:val="000000" w:themeColor="text1"/>
          <w:kern w:val="0"/>
          <w:sz w:val="24"/>
          <w:szCs w:val="24"/>
        </w:rPr>
        <w:t>=</w:t>
      </w:r>
      <w:r w:rsidR="00E13D7E" w:rsidRPr="003D5B85">
        <w:rPr>
          <w:rFonts w:ascii="Book Antiqua" w:hAnsi="Book Antiqua" w:cs="Times New Roman"/>
          <w:color w:val="000000" w:themeColor="text1"/>
          <w:kern w:val="0"/>
          <w:sz w:val="24"/>
          <w:szCs w:val="24"/>
        </w:rPr>
        <w:t xml:space="preserve"> </w:t>
      </w:r>
      <w:r w:rsidRPr="003D5B85">
        <w:rPr>
          <w:rFonts w:ascii="Book Antiqua" w:hAnsi="Book Antiqua" w:cs="Times New Roman"/>
          <w:color w:val="000000" w:themeColor="text1"/>
          <w:kern w:val="0"/>
          <w:sz w:val="24"/>
          <w:szCs w:val="24"/>
        </w:rPr>
        <w:t>80%</w:t>
      </w:r>
      <w:r w:rsidR="007434B9" w:rsidRPr="003D5B85">
        <w:rPr>
          <w:rFonts w:ascii="Book Antiqua" w:hAnsi="Book Antiqua" w:cs="Times New Roman"/>
          <w:color w:val="000000" w:themeColor="text1"/>
          <w:kern w:val="0"/>
          <w:sz w:val="24"/>
          <w:szCs w:val="24"/>
        </w:rPr>
        <w:t>)</w:t>
      </w:r>
      <w:r w:rsidRPr="003D5B85">
        <w:rPr>
          <w:rFonts w:ascii="Book Antiqua" w:hAnsi="Book Antiqua" w:cs="Times New Roman"/>
          <w:color w:val="000000" w:themeColor="text1"/>
          <w:kern w:val="0"/>
          <w:sz w:val="24"/>
          <w:szCs w:val="24"/>
        </w:rPr>
        <w:t xml:space="preserve">, indicating </w:t>
      </w:r>
      <w:r w:rsidRPr="003D5B85">
        <w:rPr>
          <w:rFonts w:ascii="Book Antiqua" w:eastAsia="等线" w:hAnsi="Book Antiqua" w:cs="Times New Roman"/>
          <w:color w:val="000000" w:themeColor="text1"/>
          <w:kern w:val="0"/>
          <w:sz w:val="24"/>
          <w:szCs w:val="24"/>
        </w:rPr>
        <w:t xml:space="preserve">that compared with patients who did not use PPIs, </w:t>
      </w:r>
      <w:r w:rsidRPr="003D5B85">
        <w:rPr>
          <w:rFonts w:ascii="Book Antiqua" w:hAnsi="Book Antiqua" w:cs="Times New Roman"/>
          <w:color w:val="000000" w:themeColor="text1"/>
          <w:kern w:val="0"/>
          <w:sz w:val="24"/>
          <w:szCs w:val="24"/>
        </w:rPr>
        <w:t xml:space="preserve">PPI users had </w:t>
      </w:r>
      <w:r w:rsidRPr="003D5B85">
        <w:rPr>
          <w:rFonts w:ascii="Book Antiqua" w:eastAsia="等线" w:hAnsi="Book Antiqua" w:cs="Times New Roman"/>
          <w:color w:val="000000" w:themeColor="text1"/>
          <w:kern w:val="0"/>
          <w:sz w:val="24"/>
          <w:szCs w:val="24"/>
        </w:rPr>
        <w:t xml:space="preserve">a </w:t>
      </w:r>
      <w:r w:rsidRPr="003D5B85">
        <w:rPr>
          <w:rFonts w:ascii="Book Antiqua" w:hAnsi="Book Antiqua" w:cs="Times New Roman"/>
          <w:color w:val="000000" w:themeColor="text1"/>
          <w:kern w:val="0"/>
          <w:sz w:val="24"/>
          <w:szCs w:val="24"/>
        </w:rPr>
        <w:t>2.08-fold higher risk of developing HE, with significant heterogeneity.</w:t>
      </w:r>
      <w:r w:rsidRPr="003D5B85">
        <w:rPr>
          <w:rFonts w:ascii="Book Antiqua" w:hAnsi="Book Antiqua"/>
          <w:color w:val="000000" w:themeColor="text1"/>
          <w:sz w:val="24"/>
          <w:szCs w:val="24"/>
        </w:rPr>
        <w:t xml:space="preserve"> </w:t>
      </w:r>
      <w:r w:rsidRPr="003D5B85">
        <w:rPr>
          <w:rFonts w:ascii="Book Antiqua" w:hAnsi="Book Antiqua" w:cs="Times New Roman"/>
          <w:color w:val="000000" w:themeColor="text1"/>
          <w:kern w:val="0"/>
          <w:sz w:val="24"/>
          <w:szCs w:val="24"/>
        </w:rPr>
        <w:t>There was no</w:t>
      </w:r>
      <w:r w:rsidRPr="003D5B85">
        <w:rPr>
          <w:rFonts w:ascii="Book Antiqua" w:hAnsi="Book Antiqua"/>
          <w:color w:val="000000" w:themeColor="text1"/>
          <w:sz w:val="24"/>
          <w:szCs w:val="24"/>
        </w:rPr>
        <w:t xml:space="preserve"> </w:t>
      </w:r>
      <w:r w:rsidRPr="003D5B85">
        <w:rPr>
          <w:rFonts w:ascii="Book Antiqua" w:hAnsi="Book Antiqua" w:cs="Times New Roman"/>
          <w:color w:val="000000" w:themeColor="text1"/>
          <w:kern w:val="0"/>
          <w:sz w:val="24"/>
          <w:szCs w:val="24"/>
        </w:rPr>
        <w:t>significant difference based on study design in the effect on the risk of HE (</w:t>
      </w:r>
      <w:r w:rsidR="00E13D7E" w:rsidRPr="003D5B85">
        <w:rPr>
          <w:rFonts w:ascii="Book Antiqua" w:hAnsi="Book Antiqua" w:cs="Times New Roman"/>
          <w:i/>
          <w:color w:val="000000" w:themeColor="text1"/>
          <w:kern w:val="0"/>
          <w:sz w:val="24"/>
          <w:szCs w:val="24"/>
        </w:rPr>
        <w:t>χ</w:t>
      </w:r>
      <w:r w:rsidRPr="003D5B85">
        <w:rPr>
          <w:rFonts w:ascii="Book Antiqua" w:hAnsi="Book Antiqua" w:cs="Times New Roman"/>
          <w:i/>
          <w:color w:val="000000" w:themeColor="text1"/>
          <w:kern w:val="0"/>
          <w:sz w:val="24"/>
          <w:szCs w:val="24"/>
          <w:vertAlign w:val="superscript"/>
        </w:rPr>
        <w:t>2</w:t>
      </w:r>
      <w:r w:rsidR="00E13D7E" w:rsidRPr="003D5B85">
        <w:rPr>
          <w:rFonts w:ascii="Book Antiqua" w:hAnsi="Book Antiqua" w:cs="Times New Roman"/>
          <w:color w:val="000000" w:themeColor="text1"/>
          <w:kern w:val="0"/>
          <w:sz w:val="24"/>
          <w:szCs w:val="24"/>
          <w:vertAlign w:val="superscript"/>
        </w:rPr>
        <w:t xml:space="preserve"> </w:t>
      </w:r>
      <w:r w:rsidRPr="003D5B85">
        <w:rPr>
          <w:rFonts w:ascii="Book Antiqua" w:hAnsi="Book Antiqua" w:cs="Times New Roman"/>
          <w:color w:val="000000" w:themeColor="text1"/>
          <w:kern w:val="0"/>
          <w:sz w:val="24"/>
          <w:szCs w:val="24"/>
        </w:rPr>
        <w:t>=</w:t>
      </w:r>
      <w:r w:rsidR="00E13D7E" w:rsidRPr="003D5B85">
        <w:rPr>
          <w:rFonts w:ascii="Book Antiqua" w:hAnsi="Book Antiqua" w:cs="Times New Roman"/>
          <w:color w:val="000000" w:themeColor="text1"/>
          <w:kern w:val="0"/>
          <w:sz w:val="24"/>
          <w:szCs w:val="24"/>
        </w:rPr>
        <w:t xml:space="preserve"> </w:t>
      </w:r>
      <w:r w:rsidRPr="003D5B85">
        <w:rPr>
          <w:rFonts w:ascii="Book Antiqua" w:hAnsi="Book Antiqua" w:cs="Times New Roman"/>
          <w:color w:val="000000" w:themeColor="text1"/>
          <w:kern w:val="0"/>
          <w:sz w:val="24"/>
          <w:szCs w:val="24"/>
        </w:rPr>
        <w:t xml:space="preserve">2.96 and </w:t>
      </w:r>
      <w:r w:rsidRPr="003D5B85">
        <w:rPr>
          <w:rFonts w:ascii="Book Antiqua" w:hAnsi="Book Antiqua" w:cs="Times New Roman"/>
          <w:i/>
          <w:color w:val="000000" w:themeColor="text1"/>
          <w:kern w:val="0"/>
          <w:sz w:val="24"/>
          <w:szCs w:val="24"/>
        </w:rPr>
        <w:t>P</w:t>
      </w:r>
      <w:r w:rsidR="00E13D7E" w:rsidRPr="003D5B85">
        <w:rPr>
          <w:rFonts w:ascii="Book Antiqua" w:hAnsi="Book Antiqua" w:cs="Times New Roman"/>
          <w:color w:val="000000" w:themeColor="text1"/>
          <w:kern w:val="0"/>
          <w:sz w:val="24"/>
          <w:szCs w:val="24"/>
        </w:rPr>
        <w:t xml:space="preserve"> </w:t>
      </w:r>
      <w:r w:rsidRPr="003D5B85">
        <w:rPr>
          <w:rFonts w:ascii="Book Antiqua" w:hAnsi="Book Antiqua" w:cs="Times New Roman"/>
          <w:color w:val="000000" w:themeColor="text1"/>
          <w:kern w:val="0"/>
          <w:sz w:val="24"/>
          <w:szCs w:val="24"/>
        </w:rPr>
        <w:t>=</w:t>
      </w:r>
      <w:r w:rsidR="00E13D7E" w:rsidRPr="003D5B85">
        <w:rPr>
          <w:rFonts w:ascii="Book Antiqua" w:hAnsi="Book Antiqua" w:cs="Times New Roman"/>
          <w:color w:val="000000" w:themeColor="text1"/>
          <w:kern w:val="0"/>
          <w:sz w:val="24"/>
          <w:szCs w:val="24"/>
        </w:rPr>
        <w:t xml:space="preserve"> </w:t>
      </w:r>
      <w:r w:rsidRPr="003D5B85">
        <w:rPr>
          <w:rFonts w:ascii="Book Antiqua" w:hAnsi="Book Antiqua" w:cs="Times New Roman"/>
          <w:color w:val="000000" w:themeColor="text1"/>
          <w:kern w:val="0"/>
          <w:sz w:val="24"/>
          <w:szCs w:val="24"/>
        </w:rPr>
        <w:t xml:space="preserve">0.09). The </w:t>
      </w:r>
      <w:r w:rsidRPr="003D5B85">
        <w:rPr>
          <w:rFonts w:ascii="Book Antiqua" w:eastAsia="等线" w:hAnsi="Book Antiqua" w:cs="Times New Roman"/>
          <w:color w:val="000000" w:themeColor="text1"/>
          <w:kern w:val="0"/>
          <w:sz w:val="24"/>
          <w:szCs w:val="24"/>
        </w:rPr>
        <w:t>pooled</w:t>
      </w:r>
      <w:r w:rsidRPr="003D5B85">
        <w:rPr>
          <w:rFonts w:ascii="Book Antiqua" w:hAnsi="Book Antiqua" w:cs="Times New Roman"/>
          <w:color w:val="000000" w:themeColor="text1"/>
          <w:kern w:val="0"/>
          <w:sz w:val="24"/>
          <w:szCs w:val="24"/>
        </w:rPr>
        <w:t xml:space="preserve"> RR for cohort studies was 1.67 (</w:t>
      </w:r>
      <w:r w:rsidR="007434B9" w:rsidRPr="003D5B85">
        <w:rPr>
          <w:rFonts w:ascii="Book Antiqua" w:hAnsi="Book Antiqua" w:cs="Times New Roman"/>
          <w:color w:val="000000" w:themeColor="text1"/>
          <w:kern w:val="0"/>
          <w:sz w:val="24"/>
          <w:szCs w:val="24"/>
        </w:rPr>
        <w:t xml:space="preserve">95%CI: </w:t>
      </w:r>
      <w:r w:rsidRPr="003D5B85">
        <w:rPr>
          <w:rFonts w:ascii="Book Antiqua" w:hAnsi="Book Antiqua" w:cs="Times New Roman"/>
          <w:color w:val="000000" w:themeColor="text1"/>
          <w:kern w:val="0"/>
          <w:sz w:val="24"/>
          <w:szCs w:val="24"/>
        </w:rPr>
        <w:t>1.30</w:t>
      </w:r>
      <w:r w:rsidR="00115F98" w:rsidRPr="003D5B85">
        <w:rPr>
          <w:rFonts w:ascii="Book Antiqua" w:hAnsi="Book Antiqua" w:cs="Times New Roman"/>
          <w:color w:val="000000" w:themeColor="text1"/>
          <w:kern w:val="0"/>
          <w:sz w:val="24"/>
          <w:szCs w:val="24"/>
        </w:rPr>
        <w:t>-</w:t>
      </w:r>
      <w:r w:rsidRPr="003D5B85">
        <w:rPr>
          <w:rFonts w:ascii="Book Antiqua" w:hAnsi="Book Antiqua" w:cs="Times New Roman"/>
          <w:color w:val="000000" w:themeColor="text1"/>
          <w:kern w:val="0"/>
          <w:sz w:val="24"/>
          <w:szCs w:val="24"/>
        </w:rPr>
        <w:t xml:space="preserve">2.14, Cochran </w:t>
      </w:r>
      <w:r w:rsidRPr="003D5B85">
        <w:rPr>
          <w:rFonts w:ascii="Book Antiqua" w:hAnsi="Book Antiqua" w:cs="Times New Roman"/>
          <w:i/>
          <w:color w:val="000000" w:themeColor="text1"/>
          <w:kern w:val="0"/>
          <w:sz w:val="24"/>
          <w:szCs w:val="24"/>
        </w:rPr>
        <w:t>Q</w:t>
      </w:r>
      <w:r w:rsidRPr="003D5B85">
        <w:rPr>
          <w:rFonts w:ascii="Book Antiqua" w:hAnsi="Book Antiqua" w:cs="Times New Roman"/>
          <w:color w:val="000000" w:themeColor="text1"/>
          <w:kern w:val="0"/>
          <w:sz w:val="24"/>
          <w:szCs w:val="24"/>
        </w:rPr>
        <w:t xml:space="preserve"> test </w:t>
      </w:r>
      <w:r w:rsidR="00E13D7E" w:rsidRPr="003D5B85">
        <w:rPr>
          <w:rFonts w:ascii="Book Antiqua" w:hAnsi="Book Antiqua" w:cs="Times New Roman"/>
          <w:i/>
          <w:color w:val="000000" w:themeColor="text1"/>
          <w:kern w:val="0"/>
          <w:sz w:val="24"/>
          <w:szCs w:val="24"/>
        </w:rPr>
        <w:t>P</w:t>
      </w:r>
      <w:r w:rsidR="00E13D7E" w:rsidRPr="003D5B85">
        <w:rPr>
          <w:rFonts w:ascii="Book Antiqua" w:hAnsi="Book Antiqua" w:cs="Times New Roman"/>
          <w:color w:val="000000" w:themeColor="text1"/>
          <w:kern w:val="0"/>
          <w:sz w:val="24"/>
          <w:szCs w:val="24"/>
        </w:rPr>
        <w:t xml:space="preserve"> </w:t>
      </w:r>
      <w:r w:rsidRPr="003D5B85">
        <w:rPr>
          <w:rFonts w:ascii="Book Antiqua" w:hAnsi="Book Antiqua" w:cs="Times New Roman"/>
          <w:color w:val="000000" w:themeColor="text1"/>
          <w:kern w:val="0"/>
          <w:sz w:val="24"/>
          <w:szCs w:val="24"/>
        </w:rPr>
        <w:t>=</w:t>
      </w:r>
      <w:r w:rsidR="00E13D7E" w:rsidRPr="003D5B85">
        <w:rPr>
          <w:rFonts w:ascii="Book Antiqua" w:hAnsi="Book Antiqua" w:cs="Times New Roman"/>
          <w:color w:val="000000" w:themeColor="text1"/>
          <w:kern w:val="0"/>
          <w:sz w:val="24"/>
          <w:szCs w:val="24"/>
        </w:rPr>
        <w:t xml:space="preserve"> </w:t>
      </w:r>
      <w:r w:rsidRPr="003D5B85">
        <w:rPr>
          <w:rFonts w:ascii="Book Antiqua" w:hAnsi="Book Antiqua" w:cs="Times New Roman"/>
          <w:color w:val="000000" w:themeColor="text1"/>
          <w:kern w:val="0"/>
          <w:sz w:val="24"/>
          <w:szCs w:val="24"/>
        </w:rPr>
        <w:t xml:space="preserve">0.03, </w:t>
      </w:r>
      <w:r w:rsidR="00115F98" w:rsidRPr="003D5B85">
        <w:rPr>
          <w:rFonts w:ascii="Book Antiqua" w:hAnsi="Book Antiqua" w:cs="Times New Roman"/>
          <w:i/>
          <w:color w:val="000000" w:themeColor="text1"/>
          <w:kern w:val="0"/>
          <w:sz w:val="24"/>
          <w:szCs w:val="24"/>
        </w:rPr>
        <w:t>I</w:t>
      </w:r>
      <w:r w:rsidR="00115F98" w:rsidRPr="003D5B85">
        <w:rPr>
          <w:rFonts w:ascii="Book Antiqua" w:hAnsi="Book Antiqua" w:cs="Times New Roman"/>
          <w:i/>
          <w:color w:val="000000" w:themeColor="text1"/>
          <w:kern w:val="0"/>
          <w:sz w:val="24"/>
          <w:szCs w:val="24"/>
          <w:vertAlign w:val="superscript"/>
        </w:rPr>
        <w:t>2</w:t>
      </w:r>
      <w:r w:rsidR="00115F98" w:rsidRPr="003D5B85">
        <w:rPr>
          <w:rFonts w:ascii="Book Antiqua" w:hAnsi="Book Antiqua" w:cs="Times New Roman"/>
          <w:i/>
          <w:color w:val="000000" w:themeColor="text1"/>
          <w:kern w:val="0"/>
          <w:sz w:val="24"/>
          <w:szCs w:val="24"/>
        </w:rPr>
        <w:t xml:space="preserve"> </w:t>
      </w:r>
      <w:r w:rsidRPr="003D5B85">
        <w:rPr>
          <w:rFonts w:ascii="Book Antiqua" w:hAnsi="Book Antiqua" w:cs="Times New Roman"/>
          <w:color w:val="000000" w:themeColor="text1"/>
          <w:kern w:val="0"/>
          <w:sz w:val="24"/>
          <w:szCs w:val="24"/>
        </w:rPr>
        <w:t>=</w:t>
      </w:r>
      <w:r w:rsidR="00115F98" w:rsidRPr="003D5B85">
        <w:rPr>
          <w:rFonts w:ascii="Book Antiqua" w:hAnsi="Book Antiqua" w:cs="Times New Roman"/>
          <w:color w:val="000000" w:themeColor="text1"/>
          <w:kern w:val="0"/>
          <w:sz w:val="24"/>
          <w:szCs w:val="24"/>
        </w:rPr>
        <w:t xml:space="preserve"> </w:t>
      </w:r>
      <w:r w:rsidRPr="003D5B85">
        <w:rPr>
          <w:rFonts w:ascii="Book Antiqua" w:hAnsi="Book Antiqua" w:cs="Times New Roman"/>
          <w:color w:val="000000" w:themeColor="text1"/>
          <w:kern w:val="0"/>
          <w:sz w:val="24"/>
          <w:szCs w:val="24"/>
        </w:rPr>
        <w:t>67%</w:t>
      </w:r>
      <w:r w:rsidR="007434B9" w:rsidRPr="003D5B85">
        <w:rPr>
          <w:rFonts w:ascii="Book Antiqua" w:hAnsi="Book Antiqua" w:cs="Times New Roman"/>
          <w:color w:val="000000" w:themeColor="text1"/>
          <w:kern w:val="0"/>
          <w:sz w:val="24"/>
          <w:szCs w:val="24"/>
        </w:rPr>
        <w:t>)</w:t>
      </w:r>
      <w:r w:rsidRPr="003D5B85">
        <w:rPr>
          <w:rFonts w:ascii="Book Antiqua" w:hAnsi="Book Antiqua" w:cs="Times New Roman"/>
          <w:color w:val="000000" w:themeColor="text1"/>
          <w:kern w:val="0"/>
          <w:sz w:val="24"/>
          <w:szCs w:val="24"/>
        </w:rPr>
        <w:t>, while the OR for case-control studies was 2.58</w:t>
      </w:r>
      <w:r w:rsidRPr="003D5B85">
        <w:rPr>
          <w:rFonts w:ascii="Book Antiqua" w:eastAsia="等线" w:hAnsi="Book Antiqua" w:cs="Times New Roman"/>
          <w:color w:val="000000" w:themeColor="text1"/>
          <w:kern w:val="0"/>
          <w:sz w:val="24"/>
          <w:szCs w:val="24"/>
        </w:rPr>
        <w:t xml:space="preserve"> </w:t>
      </w:r>
      <w:r w:rsidRPr="003D5B85">
        <w:rPr>
          <w:rFonts w:ascii="Book Antiqua" w:hAnsi="Book Antiqua" w:cs="Times New Roman"/>
          <w:color w:val="000000" w:themeColor="text1"/>
          <w:kern w:val="0"/>
          <w:sz w:val="24"/>
          <w:szCs w:val="24"/>
        </w:rPr>
        <w:t>(</w:t>
      </w:r>
      <w:r w:rsidR="007434B9" w:rsidRPr="003D5B85">
        <w:rPr>
          <w:rFonts w:ascii="Book Antiqua" w:hAnsi="Book Antiqua" w:cs="Times New Roman"/>
          <w:color w:val="000000" w:themeColor="text1"/>
          <w:kern w:val="0"/>
          <w:sz w:val="24"/>
          <w:szCs w:val="24"/>
        </w:rPr>
        <w:t xml:space="preserve">95%CI: </w:t>
      </w:r>
      <w:r w:rsidRPr="003D5B85">
        <w:rPr>
          <w:rFonts w:ascii="Book Antiqua" w:hAnsi="Book Antiqua" w:cs="Times New Roman"/>
          <w:color w:val="000000" w:themeColor="text1"/>
          <w:kern w:val="0"/>
          <w:sz w:val="24"/>
          <w:szCs w:val="24"/>
        </w:rPr>
        <w:t>1.68</w:t>
      </w:r>
      <w:r w:rsidR="00115F98" w:rsidRPr="003D5B85">
        <w:rPr>
          <w:rFonts w:ascii="Book Antiqua" w:hAnsi="Book Antiqua" w:cs="Times New Roman"/>
          <w:color w:val="000000" w:themeColor="text1"/>
          <w:kern w:val="0"/>
          <w:sz w:val="24"/>
          <w:szCs w:val="24"/>
        </w:rPr>
        <w:t>-</w:t>
      </w:r>
      <w:r w:rsidRPr="003D5B85">
        <w:rPr>
          <w:rFonts w:ascii="Book Antiqua" w:hAnsi="Book Antiqua" w:cs="Times New Roman"/>
          <w:color w:val="000000" w:themeColor="text1"/>
          <w:kern w:val="0"/>
          <w:sz w:val="24"/>
          <w:szCs w:val="24"/>
        </w:rPr>
        <w:t>3.94).</w:t>
      </w:r>
      <w:r w:rsidRPr="003D5B85">
        <w:rPr>
          <w:rFonts w:ascii="Book Antiqua" w:eastAsia="等线" w:hAnsi="Book Antiqua" w:cs="Times New Roman"/>
          <w:color w:val="000000" w:themeColor="text1"/>
          <w:kern w:val="0"/>
          <w:sz w:val="24"/>
          <w:szCs w:val="24"/>
        </w:rPr>
        <w:t xml:space="preserve"> In the sensitivity analysis with conference abstracts excluded, the pooled</w:t>
      </w:r>
      <w:r w:rsidRPr="003D5B85">
        <w:rPr>
          <w:rFonts w:ascii="Book Antiqua" w:hAnsi="Book Antiqua" w:cs="Times New Roman"/>
          <w:color w:val="000000" w:themeColor="text1"/>
          <w:kern w:val="0"/>
          <w:sz w:val="24"/>
          <w:szCs w:val="24"/>
        </w:rPr>
        <w:t xml:space="preserve"> RR was 2.14 (</w:t>
      </w:r>
      <w:r w:rsidR="007434B9" w:rsidRPr="003D5B85">
        <w:rPr>
          <w:rFonts w:ascii="Book Antiqua" w:hAnsi="Book Antiqua" w:cs="Times New Roman"/>
          <w:color w:val="000000" w:themeColor="text1"/>
          <w:kern w:val="0"/>
          <w:sz w:val="24"/>
          <w:szCs w:val="24"/>
        </w:rPr>
        <w:t xml:space="preserve">95%CI: </w:t>
      </w:r>
      <w:r w:rsidRPr="003D5B85">
        <w:rPr>
          <w:rFonts w:ascii="Book Antiqua" w:hAnsi="Book Antiqua" w:cs="Times New Roman"/>
          <w:color w:val="000000" w:themeColor="text1"/>
          <w:kern w:val="0"/>
          <w:sz w:val="24"/>
          <w:szCs w:val="24"/>
        </w:rPr>
        <w:t>1.54</w:t>
      </w:r>
      <w:r w:rsidR="00115F98" w:rsidRPr="003D5B85">
        <w:rPr>
          <w:rFonts w:ascii="Book Antiqua" w:hAnsi="Book Antiqua" w:cs="Times New Roman"/>
          <w:color w:val="000000" w:themeColor="text1"/>
          <w:kern w:val="0"/>
          <w:sz w:val="24"/>
          <w:szCs w:val="24"/>
        </w:rPr>
        <w:t>-</w:t>
      </w:r>
      <w:r w:rsidRPr="003D5B85">
        <w:rPr>
          <w:rFonts w:ascii="Book Antiqua" w:hAnsi="Book Antiqua" w:cs="Times New Roman"/>
          <w:color w:val="000000" w:themeColor="text1"/>
          <w:kern w:val="0"/>
          <w:sz w:val="24"/>
          <w:szCs w:val="24"/>
        </w:rPr>
        <w:t xml:space="preserve">2.97, Cochran </w:t>
      </w:r>
      <w:r w:rsidR="00E13D7E" w:rsidRPr="003D5B85">
        <w:rPr>
          <w:rFonts w:ascii="Book Antiqua" w:hAnsi="Book Antiqua" w:cs="Times New Roman"/>
          <w:i/>
          <w:color w:val="000000" w:themeColor="text1"/>
          <w:kern w:val="0"/>
          <w:sz w:val="24"/>
          <w:szCs w:val="24"/>
        </w:rPr>
        <w:t>Q</w:t>
      </w:r>
      <w:r w:rsidRPr="003D5B85">
        <w:rPr>
          <w:rFonts w:ascii="Book Antiqua" w:hAnsi="Book Antiqua" w:cs="Times New Roman"/>
          <w:color w:val="000000" w:themeColor="text1"/>
          <w:kern w:val="0"/>
          <w:sz w:val="24"/>
          <w:szCs w:val="24"/>
        </w:rPr>
        <w:t xml:space="preserve"> test </w:t>
      </w:r>
      <w:r w:rsidR="00E13D7E" w:rsidRPr="003D5B85">
        <w:rPr>
          <w:rFonts w:ascii="Book Antiqua" w:hAnsi="Book Antiqua" w:cs="Times New Roman"/>
          <w:i/>
          <w:color w:val="000000" w:themeColor="text1"/>
          <w:kern w:val="0"/>
          <w:sz w:val="24"/>
          <w:szCs w:val="24"/>
        </w:rPr>
        <w:t>P</w:t>
      </w:r>
      <w:r w:rsidRPr="003D5B85">
        <w:rPr>
          <w:rFonts w:ascii="Book Antiqua" w:hAnsi="Book Antiqua" w:cs="Times New Roman"/>
          <w:color w:val="000000" w:themeColor="text1"/>
          <w:kern w:val="0"/>
          <w:sz w:val="24"/>
          <w:szCs w:val="24"/>
        </w:rPr>
        <w:t xml:space="preserve"> =</w:t>
      </w:r>
      <w:r w:rsidR="00115F98" w:rsidRPr="003D5B85">
        <w:rPr>
          <w:rFonts w:ascii="Book Antiqua" w:hAnsi="Book Antiqua" w:cs="Times New Roman"/>
          <w:color w:val="000000" w:themeColor="text1"/>
          <w:kern w:val="0"/>
          <w:sz w:val="24"/>
          <w:szCs w:val="24"/>
        </w:rPr>
        <w:t xml:space="preserve"> </w:t>
      </w:r>
      <w:r w:rsidRPr="003D5B85">
        <w:rPr>
          <w:rFonts w:ascii="Book Antiqua" w:hAnsi="Book Antiqua" w:cs="Times New Roman"/>
          <w:color w:val="000000" w:themeColor="text1"/>
          <w:kern w:val="0"/>
          <w:sz w:val="24"/>
          <w:szCs w:val="24"/>
        </w:rPr>
        <w:t xml:space="preserve">0.02, </w:t>
      </w:r>
      <w:r w:rsidR="00115F98" w:rsidRPr="003D5B85">
        <w:rPr>
          <w:rFonts w:ascii="Book Antiqua" w:hAnsi="Book Antiqua" w:cs="Times New Roman"/>
          <w:i/>
          <w:color w:val="000000" w:themeColor="text1"/>
          <w:kern w:val="0"/>
          <w:sz w:val="24"/>
          <w:szCs w:val="24"/>
        </w:rPr>
        <w:t>I</w:t>
      </w:r>
      <w:r w:rsidR="00115F98" w:rsidRPr="003D5B85">
        <w:rPr>
          <w:rFonts w:ascii="Book Antiqua" w:hAnsi="Book Antiqua" w:cs="Times New Roman"/>
          <w:i/>
          <w:color w:val="000000" w:themeColor="text1"/>
          <w:kern w:val="0"/>
          <w:sz w:val="24"/>
          <w:szCs w:val="24"/>
          <w:vertAlign w:val="superscript"/>
        </w:rPr>
        <w:t>2</w:t>
      </w:r>
      <w:r w:rsidR="00115F98" w:rsidRPr="003D5B85">
        <w:rPr>
          <w:rFonts w:ascii="Book Antiqua" w:hAnsi="Book Antiqua" w:cs="Times New Roman"/>
          <w:i/>
          <w:color w:val="000000" w:themeColor="text1"/>
          <w:kern w:val="0"/>
          <w:sz w:val="24"/>
          <w:szCs w:val="24"/>
        </w:rPr>
        <w:t xml:space="preserve"> </w:t>
      </w:r>
      <w:r w:rsidRPr="003D5B85">
        <w:rPr>
          <w:rFonts w:ascii="Book Antiqua" w:hAnsi="Book Antiqua" w:cs="Times New Roman"/>
          <w:color w:val="000000" w:themeColor="text1"/>
          <w:kern w:val="0"/>
          <w:sz w:val="24"/>
          <w:szCs w:val="24"/>
        </w:rPr>
        <w:t>=</w:t>
      </w:r>
      <w:r w:rsidR="00115F98" w:rsidRPr="003D5B85">
        <w:rPr>
          <w:rFonts w:ascii="Book Antiqua" w:hAnsi="Book Antiqua" w:cs="Times New Roman"/>
          <w:color w:val="000000" w:themeColor="text1"/>
          <w:kern w:val="0"/>
          <w:sz w:val="24"/>
          <w:szCs w:val="24"/>
        </w:rPr>
        <w:t xml:space="preserve"> </w:t>
      </w:r>
      <w:r w:rsidRPr="003D5B85">
        <w:rPr>
          <w:rFonts w:ascii="Book Antiqua" w:hAnsi="Book Antiqua" w:cs="Times New Roman"/>
          <w:color w:val="000000" w:themeColor="text1"/>
          <w:kern w:val="0"/>
          <w:sz w:val="24"/>
          <w:szCs w:val="24"/>
        </w:rPr>
        <w:t>63%</w:t>
      </w:r>
      <w:r w:rsidR="007434B9" w:rsidRPr="003D5B85">
        <w:rPr>
          <w:rFonts w:ascii="Book Antiqua" w:hAnsi="Book Antiqua" w:cs="Times New Roman"/>
          <w:color w:val="000000" w:themeColor="text1"/>
          <w:kern w:val="0"/>
          <w:sz w:val="24"/>
          <w:szCs w:val="24"/>
        </w:rPr>
        <w:t>)</w:t>
      </w:r>
      <w:r w:rsidR="004058EE" w:rsidRPr="003D5B85">
        <w:rPr>
          <w:rFonts w:ascii="Book Antiqua" w:hAnsi="Book Antiqua" w:cs="Times New Roman"/>
          <w:color w:val="000000" w:themeColor="text1"/>
          <w:kern w:val="0"/>
          <w:sz w:val="24"/>
          <w:szCs w:val="24"/>
        </w:rPr>
        <w:t xml:space="preserve"> </w:t>
      </w:r>
      <w:proofErr w:type="gramStart"/>
      <w:r w:rsidRPr="003D5B85">
        <w:rPr>
          <w:rFonts w:ascii="Book Antiqua" w:hAnsi="Book Antiqua" w:cs="Times New Roman"/>
          <w:color w:val="000000" w:themeColor="text1"/>
          <w:kern w:val="0"/>
          <w:sz w:val="24"/>
          <w:szCs w:val="24"/>
        </w:rPr>
        <w:t>(Figure 3).</w:t>
      </w:r>
      <w:proofErr w:type="gramEnd"/>
      <w:r w:rsidRPr="003D5B85">
        <w:rPr>
          <w:rFonts w:ascii="Book Antiqua" w:hAnsi="Book Antiqua" w:cs="Times New Roman"/>
          <w:color w:val="000000" w:themeColor="text1"/>
          <w:kern w:val="0"/>
          <w:sz w:val="24"/>
          <w:szCs w:val="24"/>
        </w:rPr>
        <w:t xml:space="preserve"> Two cohort studies excluded patients who had previous HE </w:t>
      </w:r>
      <w:proofErr w:type="gramStart"/>
      <w:r w:rsidRPr="003D5B85">
        <w:rPr>
          <w:rFonts w:ascii="Book Antiqua" w:hAnsi="Book Antiqua" w:cs="Times New Roman"/>
          <w:color w:val="000000" w:themeColor="text1"/>
          <w:kern w:val="0"/>
          <w:sz w:val="24"/>
          <w:szCs w:val="24"/>
        </w:rPr>
        <w:t>episodes</w:t>
      </w:r>
      <w:r w:rsidR="0010316F" w:rsidRPr="003D5B85">
        <w:rPr>
          <w:rFonts w:ascii="Book Antiqua" w:eastAsia="Times New Roman" w:hAnsi="Book Antiqua" w:cs="Times New Roman"/>
          <w:color w:val="000000" w:themeColor="text1"/>
          <w:kern w:val="0"/>
          <w:sz w:val="24"/>
          <w:szCs w:val="24"/>
          <w:vertAlign w:val="superscript"/>
        </w:rPr>
        <w:t>[</w:t>
      </w:r>
      <w:proofErr w:type="gramEnd"/>
      <w:r w:rsidR="0010316F" w:rsidRPr="003D5B85">
        <w:rPr>
          <w:rFonts w:ascii="Book Antiqua" w:hAnsi="Book Antiqua" w:cs="Times New Roman"/>
          <w:color w:val="000000" w:themeColor="text1"/>
          <w:kern w:val="0"/>
          <w:sz w:val="24"/>
          <w:szCs w:val="24"/>
          <w:vertAlign w:val="superscript"/>
        </w:rPr>
        <w:t>17,24]</w:t>
      </w:r>
      <w:r w:rsidRPr="003D5B85">
        <w:rPr>
          <w:rFonts w:ascii="Book Antiqua" w:hAnsi="Book Antiqua" w:cs="Times New Roman"/>
          <w:color w:val="000000" w:themeColor="text1"/>
          <w:kern w:val="0"/>
          <w:sz w:val="24"/>
          <w:szCs w:val="24"/>
        </w:rPr>
        <w:t>,</w:t>
      </w:r>
      <w:r w:rsidRPr="003D5B85">
        <w:rPr>
          <w:rFonts w:ascii="Book Antiqua" w:eastAsia="等线" w:hAnsi="Book Antiqua" w:cs="Times New Roman"/>
          <w:color w:val="000000" w:themeColor="text1"/>
          <w:kern w:val="0"/>
          <w:sz w:val="24"/>
          <w:szCs w:val="24"/>
        </w:rPr>
        <w:t xml:space="preserve"> and</w:t>
      </w:r>
      <w:r w:rsidRPr="003D5B85">
        <w:rPr>
          <w:rFonts w:ascii="Book Antiqua" w:hAnsi="Book Antiqua" w:cs="Times New Roman"/>
          <w:color w:val="000000" w:themeColor="text1"/>
          <w:kern w:val="0"/>
          <w:sz w:val="24"/>
          <w:szCs w:val="24"/>
        </w:rPr>
        <w:t xml:space="preserve"> the remaining two cohort studies</w:t>
      </w:r>
      <w:r w:rsidRPr="003D5B85">
        <w:rPr>
          <w:rFonts w:ascii="Book Antiqua" w:hAnsi="Book Antiqua" w:cs="Times New Roman"/>
          <w:color w:val="000000" w:themeColor="text1"/>
          <w:kern w:val="0"/>
          <w:sz w:val="24"/>
          <w:szCs w:val="24"/>
          <w:vertAlign w:val="superscript"/>
        </w:rPr>
        <w:t xml:space="preserve"> </w:t>
      </w:r>
      <w:r w:rsidRPr="003D5B85">
        <w:rPr>
          <w:rFonts w:ascii="Book Antiqua" w:hAnsi="Book Antiqua" w:cs="Times New Roman"/>
          <w:color w:val="000000" w:themeColor="text1"/>
          <w:kern w:val="0"/>
          <w:sz w:val="24"/>
          <w:szCs w:val="24"/>
        </w:rPr>
        <w:t>provided supplementary data focusing on patients without past HE episodes</w:t>
      </w:r>
      <w:r w:rsidR="00C46AF4" w:rsidRPr="003D5B85">
        <w:rPr>
          <w:rFonts w:ascii="Book Antiqua" w:eastAsia="Times New Roman" w:hAnsi="Book Antiqua" w:cs="Times New Roman"/>
          <w:color w:val="000000" w:themeColor="text1"/>
          <w:kern w:val="0"/>
          <w:sz w:val="24"/>
          <w:szCs w:val="24"/>
          <w:vertAlign w:val="superscript"/>
        </w:rPr>
        <w:t>[</w:t>
      </w:r>
      <w:r w:rsidR="00C46AF4" w:rsidRPr="003D5B85">
        <w:rPr>
          <w:rFonts w:ascii="Book Antiqua" w:hAnsi="Book Antiqua" w:cs="Times New Roman"/>
          <w:color w:val="000000" w:themeColor="text1"/>
          <w:kern w:val="0"/>
          <w:sz w:val="24"/>
          <w:szCs w:val="24"/>
          <w:vertAlign w:val="superscript"/>
        </w:rPr>
        <w:t>13,14]</w:t>
      </w:r>
      <w:r w:rsidRPr="003D5B85">
        <w:rPr>
          <w:rFonts w:ascii="Book Antiqua" w:hAnsi="Book Antiqua" w:cs="Times New Roman"/>
          <w:color w:val="000000" w:themeColor="text1"/>
          <w:kern w:val="0"/>
          <w:sz w:val="24"/>
          <w:szCs w:val="24"/>
        </w:rPr>
        <w:t>. In the sensitivity analysis</w:t>
      </w:r>
      <w:r w:rsidRPr="003D5B85">
        <w:rPr>
          <w:rFonts w:ascii="Book Antiqua" w:hAnsi="Book Antiqua"/>
          <w:color w:val="000000" w:themeColor="text1"/>
          <w:sz w:val="24"/>
          <w:szCs w:val="24"/>
        </w:rPr>
        <w:t xml:space="preserve"> </w:t>
      </w:r>
      <w:r w:rsidRPr="003D5B85">
        <w:rPr>
          <w:rFonts w:ascii="Book Antiqua" w:hAnsi="Book Antiqua" w:cs="Times New Roman"/>
          <w:color w:val="000000" w:themeColor="text1"/>
          <w:kern w:val="0"/>
          <w:sz w:val="24"/>
          <w:szCs w:val="24"/>
        </w:rPr>
        <w:t xml:space="preserve">of patients </w:t>
      </w:r>
      <w:r w:rsidRPr="003D5B85">
        <w:rPr>
          <w:rFonts w:ascii="Book Antiqua" w:hAnsi="Book Antiqua" w:cs="Times New Roman"/>
          <w:color w:val="000000" w:themeColor="text1"/>
          <w:kern w:val="0"/>
          <w:sz w:val="24"/>
          <w:szCs w:val="24"/>
        </w:rPr>
        <w:lastRenderedPageBreak/>
        <w:t>without prior HE episodes, the pooled RR was 1.93 (</w:t>
      </w:r>
      <w:r w:rsidR="007434B9" w:rsidRPr="003D5B85">
        <w:rPr>
          <w:rFonts w:ascii="Book Antiqua" w:hAnsi="Book Antiqua" w:cs="Times New Roman"/>
          <w:color w:val="000000" w:themeColor="text1"/>
          <w:kern w:val="0"/>
          <w:sz w:val="24"/>
          <w:szCs w:val="24"/>
        </w:rPr>
        <w:t xml:space="preserve">95%CI: </w:t>
      </w:r>
      <w:r w:rsidRPr="003D5B85">
        <w:rPr>
          <w:rFonts w:ascii="Book Antiqua" w:hAnsi="Book Antiqua" w:cs="Times New Roman"/>
          <w:color w:val="000000" w:themeColor="text1"/>
          <w:kern w:val="0"/>
          <w:sz w:val="24"/>
          <w:szCs w:val="24"/>
        </w:rPr>
        <w:t>1.33</w:t>
      </w:r>
      <w:r w:rsidR="00115F98" w:rsidRPr="003D5B85">
        <w:rPr>
          <w:rFonts w:ascii="Book Antiqua" w:hAnsi="Book Antiqua" w:cs="Times New Roman"/>
          <w:color w:val="000000" w:themeColor="text1"/>
          <w:kern w:val="0"/>
          <w:sz w:val="24"/>
          <w:szCs w:val="24"/>
        </w:rPr>
        <w:t>-</w:t>
      </w:r>
      <w:r w:rsidRPr="003D5B85">
        <w:rPr>
          <w:rFonts w:ascii="Book Antiqua" w:hAnsi="Book Antiqua" w:cs="Times New Roman"/>
          <w:color w:val="000000" w:themeColor="text1"/>
          <w:kern w:val="0"/>
          <w:sz w:val="24"/>
          <w:szCs w:val="24"/>
        </w:rPr>
        <w:t xml:space="preserve">2.80, Cochran </w:t>
      </w:r>
      <w:r w:rsidR="00E13D7E" w:rsidRPr="003D5B85">
        <w:rPr>
          <w:rFonts w:ascii="Book Antiqua" w:hAnsi="Book Antiqua" w:cs="Times New Roman"/>
          <w:i/>
          <w:color w:val="000000" w:themeColor="text1"/>
          <w:kern w:val="0"/>
          <w:sz w:val="24"/>
          <w:szCs w:val="24"/>
        </w:rPr>
        <w:t>Q</w:t>
      </w:r>
      <w:r w:rsidRPr="003D5B85">
        <w:rPr>
          <w:rFonts w:ascii="Book Antiqua" w:hAnsi="Book Antiqua" w:cs="Times New Roman"/>
          <w:color w:val="000000" w:themeColor="text1"/>
          <w:kern w:val="0"/>
          <w:sz w:val="24"/>
          <w:szCs w:val="24"/>
        </w:rPr>
        <w:t xml:space="preserve"> test </w:t>
      </w:r>
      <w:r w:rsidR="00E13D7E" w:rsidRPr="003D5B85">
        <w:rPr>
          <w:rFonts w:ascii="Book Antiqua" w:hAnsi="Book Antiqua" w:cs="Times New Roman"/>
          <w:i/>
          <w:color w:val="000000" w:themeColor="text1"/>
          <w:kern w:val="0"/>
          <w:sz w:val="24"/>
          <w:szCs w:val="24"/>
        </w:rPr>
        <w:t>P</w:t>
      </w:r>
      <w:r w:rsidRPr="003D5B85">
        <w:rPr>
          <w:rFonts w:ascii="Book Antiqua" w:hAnsi="Book Antiqua" w:cs="Times New Roman"/>
          <w:color w:val="000000" w:themeColor="text1"/>
          <w:kern w:val="0"/>
          <w:sz w:val="24"/>
          <w:szCs w:val="24"/>
        </w:rPr>
        <w:t xml:space="preserve"> =</w:t>
      </w:r>
      <w:r w:rsidR="00115F98" w:rsidRPr="003D5B85">
        <w:rPr>
          <w:rFonts w:ascii="Book Antiqua" w:hAnsi="Book Antiqua" w:cs="Times New Roman"/>
          <w:color w:val="000000" w:themeColor="text1"/>
          <w:kern w:val="0"/>
          <w:sz w:val="24"/>
          <w:szCs w:val="24"/>
        </w:rPr>
        <w:t xml:space="preserve"> </w:t>
      </w:r>
      <w:r w:rsidRPr="003D5B85">
        <w:rPr>
          <w:rFonts w:ascii="Book Antiqua" w:hAnsi="Book Antiqua" w:cs="Times New Roman"/>
          <w:color w:val="000000" w:themeColor="text1"/>
          <w:kern w:val="0"/>
          <w:sz w:val="24"/>
          <w:szCs w:val="24"/>
        </w:rPr>
        <w:t xml:space="preserve">0.001, </w:t>
      </w:r>
      <w:r w:rsidR="00115F98" w:rsidRPr="003D5B85">
        <w:rPr>
          <w:rFonts w:ascii="Book Antiqua" w:hAnsi="Book Antiqua" w:cs="Times New Roman"/>
          <w:i/>
          <w:color w:val="000000" w:themeColor="text1"/>
          <w:kern w:val="0"/>
          <w:sz w:val="24"/>
          <w:szCs w:val="24"/>
        </w:rPr>
        <w:t>I</w:t>
      </w:r>
      <w:r w:rsidR="00115F98" w:rsidRPr="003D5B85">
        <w:rPr>
          <w:rFonts w:ascii="Book Antiqua" w:hAnsi="Book Antiqua" w:cs="Times New Roman"/>
          <w:i/>
          <w:color w:val="000000" w:themeColor="text1"/>
          <w:kern w:val="0"/>
          <w:sz w:val="24"/>
          <w:szCs w:val="24"/>
          <w:vertAlign w:val="superscript"/>
        </w:rPr>
        <w:t>2</w:t>
      </w:r>
      <w:r w:rsidRPr="003D5B85">
        <w:rPr>
          <w:rFonts w:ascii="Book Antiqua" w:hAnsi="Book Antiqua" w:cs="Times New Roman"/>
          <w:color w:val="000000" w:themeColor="text1"/>
          <w:kern w:val="0"/>
          <w:sz w:val="24"/>
          <w:szCs w:val="24"/>
        </w:rPr>
        <w:t xml:space="preserve"> =</w:t>
      </w:r>
      <w:r w:rsidR="00115F98" w:rsidRPr="003D5B85">
        <w:rPr>
          <w:rFonts w:ascii="Book Antiqua" w:hAnsi="Book Antiqua" w:cs="Times New Roman"/>
          <w:color w:val="000000" w:themeColor="text1"/>
          <w:kern w:val="0"/>
          <w:sz w:val="24"/>
          <w:szCs w:val="24"/>
        </w:rPr>
        <w:t xml:space="preserve"> </w:t>
      </w:r>
      <w:r w:rsidRPr="003D5B85">
        <w:rPr>
          <w:rFonts w:ascii="Book Antiqua" w:hAnsi="Book Antiqua" w:cs="Times New Roman"/>
          <w:color w:val="000000" w:themeColor="text1"/>
          <w:kern w:val="0"/>
          <w:sz w:val="24"/>
          <w:szCs w:val="24"/>
        </w:rPr>
        <w:t>81%</w:t>
      </w:r>
      <w:r w:rsidR="007434B9" w:rsidRPr="003D5B85">
        <w:rPr>
          <w:rFonts w:ascii="Book Antiqua" w:hAnsi="Book Antiqua" w:cs="Times New Roman"/>
          <w:color w:val="000000" w:themeColor="text1"/>
          <w:kern w:val="0"/>
          <w:sz w:val="24"/>
          <w:szCs w:val="24"/>
        </w:rPr>
        <w:t>)</w:t>
      </w:r>
      <w:r w:rsidRPr="003D5B85">
        <w:rPr>
          <w:rFonts w:ascii="Book Antiqua" w:eastAsia="等线" w:hAnsi="Book Antiqua" w:cs="Times New Roman"/>
          <w:color w:val="000000" w:themeColor="text1"/>
          <w:kern w:val="0"/>
          <w:sz w:val="24"/>
          <w:szCs w:val="24"/>
        </w:rPr>
        <w:t xml:space="preserve"> </w:t>
      </w:r>
      <w:proofErr w:type="gramStart"/>
      <w:r w:rsidRPr="003D5B85">
        <w:rPr>
          <w:rFonts w:ascii="Book Antiqua" w:hAnsi="Book Antiqua" w:cs="Times New Roman"/>
          <w:color w:val="000000" w:themeColor="text1"/>
          <w:kern w:val="0"/>
          <w:sz w:val="24"/>
          <w:szCs w:val="24"/>
        </w:rPr>
        <w:t>(Figure 4).</w:t>
      </w:r>
      <w:proofErr w:type="gramEnd"/>
    </w:p>
    <w:p w14:paraId="381B3A5C" w14:textId="77777777" w:rsidR="00115F98" w:rsidRPr="003D5B85" w:rsidRDefault="00115F98" w:rsidP="00E13D7E">
      <w:pPr>
        <w:autoSpaceDE w:val="0"/>
        <w:autoSpaceDN w:val="0"/>
        <w:adjustRightInd w:val="0"/>
        <w:snapToGrid w:val="0"/>
        <w:spacing w:line="360" w:lineRule="auto"/>
        <w:rPr>
          <w:rFonts w:ascii="Book Antiqua" w:hAnsi="Book Antiqua" w:cs="Times New Roman"/>
          <w:color w:val="000000" w:themeColor="text1"/>
          <w:kern w:val="0"/>
          <w:sz w:val="24"/>
          <w:szCs w:val="24"/>
        </w:rPr>
      </w:pPr>
    </w:p>
    <w:p w14:paraId="50D0DF9F" w14:textId="77777777" w:rsidR="002878A3" w:rsidRPr="003D5B85" w:rsidRDefault="002878A3" w:rsidP="001C4059">
      <w:pPr>
        <w:autoSpaceDE w:val="0"/>
        <w:autoSpaceDN w:val="0"/>
        <w:adjustRightInd w:val="0"/>
        <w:spacing w:line="360" w:lineRule="auto"/>
        <w:rPr>
          <w:rFonts w:ascii="Book Antiqua" w:hAnsi="Book Antiqua" w:cs="Times New Roman"/>
          <w:b/>
          <w:i/>
          <w:color w:val="000000" w:themeColor="text1"/>
          <w:kern w:val="0"/>
          <w:sz w:val="24"/>
          <w:szCs w:val="24"/>
        </w:rPr>
      </w:pPr>
      <w:r w:rsidRPr="003D5B85">
        <w:rPr>
          <w:rFonts w:ascii="Book Antiqua" w:hAnsi="Book Antiqua" w:cs="Times New Roman"/>
          <w:b/>
          <w:i/>
          <w:color w:val="000000" w:themeColor="text1"/>
          <w:kern w:val="0"/>
          <w:sz w:val="24"/>
          <w:szCs w:val="24"/>
        </w:rPr>
        <w:t>Subgroup and stratified analyses</w:t>
      </w:r>
    </w:p>
    <w:p w14:paraId="781FAD9A" w14:textId="0F3F999B" w:rsidR="002878A3" w:rsidRPr="003D5B85" w:rsidRDefault="002878A3" w:rsidP="00115F98">
      <w:pPr>
        <w:autoSpaceDE w:val="0"/>
        <w:autoSpaceDN w:val="0"/>
        <w:adjustRightInd w:val="0"/>
        <w:snapToGrid w:val="0"/>
        <w:spacing w:line="360" w:lineRule="auto"/>
        <w:rPr>
          <w:rFonts w:ascii="Book Antiqua" w:eastAsia="等线" w:hAnsi="Book Antiqua" w:cs="Times New Roman"/>
          <w:color w:val="000000" w:themeColor="text1"/>
          <w:kern w:val="0"/>
          <w:sz w:val="24"/>
          <w:szCs w:val="24"/>
        </w:rPr>
      </w:pPr>
      <w:r w:rsidRPr="003D5B85">
        <w:rPr>
          <w:rFonts w:ascii="Book Antiqua" w:eastAsia="等线" w:hAnsi="Book Antiqua" w:cs="Times New Roman"/>
          <w:color w:val="000000" w:themeColor="text1"/>
          <w:kern w:val="0"/>
          <w:sz w:val="24"/>
          <w:szCs w:val="24"/>
        </w:rPr>
        <w:t>To explore the source of heterogeneity, we conducted subgroup and stratified analyses.</w:t>
      </w:r>
      <w:r w:rsidRPr="003D5B85">
        <w:rPr>
          <w:rFonts w:ascii="Book Antiqua" w:hAnsi="Book Antiqua"/>
          <w:color w:val="000000" w:themeColor="text1"/>
          <w:sz w:val="24"/>
          <w:szCs w:val="24"/>
        </w:rPr>
        <w:t xml:space="preserve"> </w:t>
      </w:r>
      <w:r w:rsidRPr="003D5B85">
        <w:rPr>
          <w:rFonts w:ascii="Book Antiqua" w:eastAsia="等线" w:hAnsi="Book Antiqua" w:cs="Times New Roman"/>
          <w:color w:val="000000" w:themeColor="text1"/>
          <w:kern w:val="0"/>
          <w:sz w:val="24"/>
          <w:szCs w:val="24"/>
        </w:rPr>
        <w:t xml:space="preserve">Before performing this meta-analysis, we estimated that the sources of heterogeneity (if any) would mainly be differences in study designs and definitions of PPI use. We performed stratification analyses based on these two factors. The results showed that the heterogeneity was significantly reduced </w:t>
      </w:r>
      <w:r w:rsidR="007434B9" w:rsidRPr="003D5B85">
        <w:rPr>
          <w:rFonts w:ascii="Book Antiqua" w:eastAsia="等线" w:hAnsi="Book Antiqua" w:cs="Times New Roman"/>
          <w:color w:val="000000" w:themeColor="text1"/>
          <w:kern w:val="0"/>
          <w:sz w:val="24"/>
          <w:szCs w:val="24"/>
        </w:rPr>
        <w:t xml:space="preserve">by </w:t>
      </w:r>
      <w:r w:rsidRPr="003D5B85">
        <w:rPr>
          <w:rFonts w:ascii="Book Antiqua" w:eastAsia="等线" w:hAnsi="Book Antiqua" w:cs="Times New Roman"/>
          <w:color w:val="000000" w:themeColor="text1"/>
          <w:kern w:val="0"/>
          <w:sz w:val="24"/>
          <w:szCs w:val="24"/>
        </w:rPr>
        <w:t xml:space="preserve">each stratum, and the elevated risk of </w:t>
      </w:r>
      <w:proofErr w:type="gramStart"/>
      <w:r w:rsidRPr="003D5B85">
        <w:rPr>
          <w:rFonts w:ascii="Book Antiqua" w:eastAsia="等线" w:hAnsi="Book Antiqua" w:cs="Times New Roman"/>
          <w:color w:val="000000" w:themeColor="text1"/>
          <w:kern w:val="0"/>
          <w:sz w:val="24"/>
          <w:szCs w:val="24"/>
        </w:rPr>
        <w:t>HE</w:t>
      </w:r>
      <w:proofErr w:type="gramEnd"/>
      <w:r w:rsidRPr="003D5B85">
        <w:rPr>
          <w:rFonts w:ascii="Book Antiqua" w:eastAsia="等线" w:hAnsi="Book Antiqua" w:cs="Times New Roman"/>
          <w:color w:val="000000" w:themeColor="text1"/>
          <w:kern w:val="0"/>
          <w:sz w:val="24"/>
          <w:szCs w:val="24"/>
        </w:rPr>
        <w:t xml:space="preserve"> in the PPI group still existed (Figure 5).</w:t>
      </w:r>
      <w:r w:rsidRPr="003D5B85">
        <w:rPr>
          <w:rFonts w:ascii="Book Antiqua" w:hAnsi="Book Antiqua"/>
          <w:color w:val="000000" w:themeColor="text1"/>
          <w:sz w:val="24"/>
          <w:szCs w:val="24"/>
        </w:rPr>
        <w:t xml:space="preserve"> </w:t>
      </w:r>
      <w:r w:rsidRPr="003D5B85">
        <w:rPr>
          <w:rFonts w:ascii="Book Antiqua" w:eastAsia="等线" w:hAnsi="Book Antiqua" w:cs="Times New Roman"/>
          <w:color w:val="000000" w:themeColor="text1"/>
          <w:kern w:val="0"/>
          <w:sz w:val="24"/>
          <w:szCs w:val="24"/>
        </w:rPr>
        <w:t>Furthermore, we performed subgroup analyses based on the study location, type of advanced liver disease</w:t>
      </w:r>
      <w:r w:rsidR="007434B9" w:rsidRPr="003D5B85">
        <w:rPr>
          <w:rFonts w:ascii="Book Antiqua" w:eastAsia="等线" w:hAnsi="Book Antiqua" w:cs="Times New Roman"/>
          <w:color w:val="000000" w:themeColor="text1"/>
          <w:kern w:val="0"/>
          <w:sz w:val="24"/>
          <w:szCs w:val="24"/>
        </w:rPr>
        <w:t>,</w:t>
      </w:r>
      <w:r w:rsidRPr="003D5B85">
        <w:rPr>
          <w:rFonts w:ascii="Book Antiqua" w:eastAsia="等线" w:hAnsi="Book Antiqua" w:cs="Times New Roman"/>
          <w:color w:val="000000" w:themeColor="text1"/>
          <w:kern w:val="0"/>
          <w:sz w:val="24"/>
          <w:szCs w:val="24"/>
        </w:rPr>
        <w:t xml:space="preserve"> and outcomes analyzed, and the results were consistent among the different subgroups (Figures </w:t>
      </w:r>
      <w:r w:rsidR="005D1240" w:rsidRPr="003D5B85">
        <w:rPr>
          <w:rFonts w:ascii="Book Antiqua" w:eastAsia="等线" w:hAnsi="Book Antiqua" w:cs="Times New Roman"/>
          <w:color w:val="000000" w:themeColor="text1"/>
          <w:kern w:val="0"/>
          <w:sz w:val="24"/>
          <w:szCs w:val="24"/>
        </w:rPr>
        <w:t>6</w:t>
      </w:r>
      <w:r w:rsidRPr="003D5B85">
        <w:rPr>
          <w:rFonts w:ascii="Book Antiqua" w:eastAsia="等线" w:hAnsi="Book Antiqua" w:cs="Times New Roman"/>
          <w:color w:val="000000" w:themeColor="text1"/>
          <w:kern w:val="0"/>
          <w:sz w:val="24"/>
          <w:szCs w:val="24"/>
        </w:rPr>
        <w:t>-</w:t>
      </w:r>
      <w:r w:rsidR="005D1240" w:rsidRPr="003D5B85">
        <w:rPr>
          <w:rFonts w:ascii="Book Antiqua" w:eastAsia="等线" w:hAnsi="Book Antiqua" w:cs="Times New Roman"/>
          <w:color w:val="000000" w:themeColor="text1"/>
          <w:kern w:val="0"/>
          <w:sz w:val="24"/>
          <w:szCs w:val="24"/>
        </w:rPr>
        <w:t>8</w:t>
      </w:r>
      <w:r w:rsidRPr="003D5B85">
        <w:rPr>
          <w:rFonts w:ascii="Book Antiqua" w:eastAsia="等线" w:hAnsi="Book Antiqua" w:cs="Times New Roman"/>
          <w:color w:val="000000" w:themeColor="text1"/>
          <w:kern w:val="0"/>
          <w:sz w:val="24"/>
          <w:szCs w:val="24"/>
        </w:rPr>
        <w:t>).</w:t>
      </w:r>
    </w:p>
    <w:p w14:paraId="0DA1C9FA" w14:textId="77777777" w:rsidR="00115F98" w:rsidRPr="003D5B85" w:rsidRDefault="00115F98" w:rsidP="00115F98">
      <w:pPr>
        <w:autoSpaceDE w:val="0"/>
        <w:autoSpaceDN w:val="0"/>
        <w:adjustRightInd w:val="0"/>
        <w:snapToGrid w:val="0"/>
        <w:spacing w:line="360" w:lineRule="auto"/>
        <w:rPr>
          <w:rFonts w:ascii="Book Antiqua" w:eastAsia="等线" w:hAnsi="Book Antiqua" w:cs="Times New Roman"/>
          <w:color w:val="000000" w:themeColor="text1"/>
          <w:kern w:val="0"/>
          <w:sz w:val="24"/>
          <w:szCs w:val="24"/>
        </w:rPr>
      </w:pPr>
    </w:p>
    <w:p w14:paraId="7253DACA" w14:textId="77777777" w:rsidR="002878A3" w:rsidRPr="003D5B85" w:rsidRDefault="002878A3" w:rsidP="001C4059">
      <w:pPr>
        <w:autoSpaceDE w:val="0"/>
        <w:autoSpaceDN w:val="0"/>
        <w:adjustRightInd w:val="0"/>
        <w:spacing w:line="360" w:lineRule="auto"/>
        <w:rPr>
          <w:rFonts w:ascii="Book Antiqua" w:hAnsi="Book Antiqua" w:cs="Times New Roman"/>
          <w:b/>
          <w:i/>
          <w:color w:val="000000" w:themeColor="text1"/>
          <w:kern w:val="0"/>
          <w:sz w:val="24"/>
          <w:szCs w:val="24"/>
        </w:rPr>
      </w:pPr>
      <w:r w:rsidRPr="003D5B85">
        <w:rPr>
          <w:rFonts w:ascii="Book Antiqua" w:hAnsi="Book Antiqua" w:cs="Times New Roman"/>
          <w:b/>
          <w:i/>
          <w:color w:val="000000" w:themeColor="text1"/>
          <w:kern w:val="0"/>
          <w:sz w:val="24"/>
          <w:szCs w:val="24"/>
        </w:rPr>
        <w:t>Publication bias</w:t>
      </w:r>
    </w:p>
    <w:p w14:paraId="15FD5C50" w14:textId="444BE23A" w:rsidR="002878A3" w:rsidRPr="003D5B85" w:rsidRDefault="002878A3" w:rsidP="00115F98">
      <w:pPr>
        <w:autoSpaceDE w:val="0"/>
        <w:autoSpaceDN w:val="0"/>
        <w:adjustRightInd w:val="0"/>
        <w:snapToGrid w:val="0"/>
        <w:spacing w:line="360" w:lineRule="auto"/>
        <w:rPr>
          <w:rFonts w:ascii="Book Antiqua" w:eastAsia="等线" w:hAnsi="Book Antiqua" w:cs="Times New Roman"/>
          <w:color w:val="000000" w:themeColor="text1"/>
          <w:kern w:val="0"/>
          <w:sz w:val="24"/>
          <w:szCs w:val="24"/>
        </w:rPr>
      </w:pPr>
      <w:r w:rsidRPr="003D5B85">
        <w:rPr>
          <w:rFonts w:ascii="Book Antiqua" w:eastAsia="等线" w:hAnsi="Book Antiqua" w:cs="Times New Roman"/>
          <w:color w:val="000000" w:themeColor="text1"/>
          <w:kern w:val="0"/>
          <w:sz w:val="24"/>
          <w:szCs w:val="24"/>
        </w:rPr>
        <w:t xml:space="preserve">According to the Cochrane Collaboration </w:t>
      </w:r>
      <w:proofErr w:type="gramStart"/>
      <w:r w:rsidRPr="003D5B85">
        <w:rPr>
          <w:rFonts w:ascii="Book Antiqua" w:eastAsia="等线" w:hAnsi="Book Antiqua" w:cs="Times New Roman"/>
          <w:color w:val="000000" w:themeColor="text1"/>
          <w:kern w:val="0"/>
          <w:sz w:val="24"/>
          <w:szCs w:val="24"/>
        </w:rPr>
        <w:t>Handbook</w:t>
      </w:r>
      <w:r w:rsidR="00A71D09" w:rsidRPr="003D5B85">
        <w:rPr>
          <w:rFonts w:ascii="Book Antiqua" w:eastAsia="Times New Roman" w:hAnsi="Book Antiqua" w:cs="Times New Roman"/>
          <w:color w:val="000000" w:themeColor="text1"/>
          <w:kern w:val="0"/>
          <w:sz w:val="24"/>
          <w:szCs w:val="24"/>
          <w:vertAlign w:val="superscript"/>
        </w:rPr>
        <w:t>[</w:t>
      </w:r>
      <w:proofErr w:type="gramEnd"/>
      <w:r w:rsidR="00A71D09" w:rsidRPr="003D5B85">
        <w:rPr>
          <w:rFonts w:ascii="Book Antiqua" w:hAnsi="Book Antiqua" w:cs="Times New Roman"/>
          <w:color w:val="000000" w:themeColor="text1"/>
          <w:kern w:val="0"/>
          <w:sz w:val="24"/>
          <w:szCs w:val="24"/>
          <w:vertAlign w:val="superscript"/>
        </w:rPr>
        <w:t>22]</w:t>
      </w:r>
      <w:r w:rsidRPr="003D5B85">
        <w:rPr>
          <w:rFonts w:ascii="Book Antiqua" w:eastAsia="等线" w:hAnsi="Book Antiqua" w:cs="Times New Roman"/>
          <w:color w:val="000000" w:themeColor="text1"/>
          <w:kern w:val="0"/>
          <w:sz w:val="24"/>
          <w:szCs w:val="24"/>
        </w:rPr>
        <w:t xml:space="preserve">, testing for publication bias is not recommended if the number of included studies is fewer than </w:t>
      </w:r>
      <w:r w:rsidR="007434B9" w:rsidRPr="003D5B85">
        <w:rPr>
          <w:rFonts w:ascii="Book Antiqua" w:eastAsia="等线" w:hAnsi="Book Antiqua" w:cs="Times New Roman"/>
          <w:color w:val="000000" w:themeColor="text1"/>
          <w:kern w:val="0"/>
          <w:sz w:val="24"/>
          <w:szCs w:val="24"/>
        </w:rPr>
        <w:t>ten</w:t>
      </w:r>
      <w:r w:rsidRPr="003D5B85">
        <w:rPr>
          <w:rFonts w:ascii="Book Antiqua" w:eastAsia="等线" w:hAnsi="Book Antiqua" w:cs="Times New Roman"/>
          <w:color w:val="000000" w:themeColor="text1"/>
          <w:kern w:val="0"/>
          <w:sz w:val="24"/>
          <w:szCs w:val="24"/>
        </w:rPr>
        <w:t>. True asymmetry and opportunity are indistinguishable</w:t>
      </w:r>
      <w:r w:rsidRPr="003D5B85">
        <w:rPr>
          <w:rFonts w:ascii="Book Antiqua" w:hAnsi="Book Antiqua"/>
          <w:color w:val="000000" w:themeColor="text1"/>
          <w:sz w:val="24"/>
          <w:szCs w:val="24"/>
        </w:rPr>
        <w:t xml:space="preserve"> </w:t>
      </w:r>
      <w:r w:rsidRPr="003D5B85">
        <w:rPr>
          <w:rFonts w:ascii="Book Antiqua" w:eastAsia="等线" w:hAnsi="Book Antiqua" w:cs="Times New Roman"/>
          <w:color w:val="000000" w:themeColor="text1"/>
          <w:kern w:val="0"/>
          <w:sz w:val="24"/>
          <w:szCs w:val="24"/>
        </w:rPr>
        <w:t>because of the low</w:t>
      </w:r>
      <w:r w:rsidR="00115F98" w:rsidRPr="003D5B85">
        <w:rPr>
          <w:rFonts w:ascii="Book Antiqua" w:eastAsia="等线" w:hAnsi="Book Antiqua" w:cs="Times New Roman"/>
          <w:color w:val="000000" w:themeColor="text1"/>
          <w:kern w:val="0"/>
          <w:sz w:val="24"/>
          <w:szCs w:val="24"/>
        </w:rPr>
        <w:t xml:space="preserve"> </w:t>
      </w:r>
      <w:r w:rsidRPr="003D5B85">
        <w:rPr>
          <w:rFonts w:ascii="Book Antiqua" w:eastAsia="等线" w:hAnsi="Book Antiqua" w:cs="Times New Roman"/>
          <w:color w:val="000000" w:themeColor="text1"/>
          <w:kern w:val="0"/>
          <w:sz w:val="24"/>
          <w:szCs w:val="24"/>
        </w:rPr>
        <w:t xml:space="preserve">test efficiency. However, a funnel plot generated from the nine studies revealed that it was visually asymmetrical (Figure </w:t>
      </w:r>
      <w:r w:rsidR="005D1240" w:rsidRPr="003D5B85">
        <w:rPr>
          <w:rFonts w:ascii="Book Antiqua" w:eastAsia="等线" w:hAnsi="Book Antiqua" w:cs="Times New Roman"/>
          <w:color w:val="000000" w:themeColor="text1"/>
          <w:kern w:val="0"/>
          <w:sz w:val="24"/>
          <w:szCs w:val="24"/>
        </w:rPr>
        <w:t>9</w:t>
      </w:r>
      <w:r w:rsidRPr="003D5B85">
        <w:rPr>
          <w:rFonts w:ascii="Book Antiqua" w:eastAsia="等线" w:hAnsi="Book Antiqua" w:cs="Times New Roman"/>
          <w:color w:val="000000" w:themeColor="text1"/>
          <w:kern w:val="0"/>
          <w:sz w:val="24"/>
          <w:szCs w:val="24"/>
        </w:rPr>
        <w:t>).</w:t>
      </w:r>
    </w:p>
    <w:p w14:paraId="16ED04CE" w14:textId="77777777" w:rsidR="00115F98" w:rsidRPr="003D5B85" w:rsidRDefault="00115F98" w:rsidP="00115F98">
      <w:pPr>
        <w:autoSpaceDE w:val="0"/>
        <w:autoSpaceDN w:val="0"/>
        <w:adjustRightInd w:val="0"/>
        <w:snapToGrid w:val="0"/>
        <w:spacing w:line="360" w:lineRule="auto"/>
        <w:rPr>
          <w:rFonts w:ascii="Book Antiqua" w:eastAsia="等线" w:hAnsi="Book Antiqua" w:cs="Times New Roman"/>
          <w:color w:val="000000" w:themeColor="text1"/>
          <w:kern w:val="0"/>
          <w:sz w:val="24"/>
          <w:szCs w:val="24"/>
        </w:rPr>
      </w:pPr>
    </w:p>
    <w:p w14:paraId="33CB3651" w14:textId="6D2014A4" w:rsidR="002878A3" w:rsidRPr="003D5B85" w:rsidRDefault="00115F98" w:rsidP="001C4059">
      <w:pPr>
        <w:autoSpaceDE w:val="0"/>
        <w:autoSpaceDN w:val="0"/>
        <w:adjustRightInd w:val="0"/>
        <w:spacing w:line="360" w:lineRule="auto"/>
        <w:rPr>
          <w:rFonts w:ascii="Book Antiqua" w:hAnsi="Book Antiqua" w:cs="Times New Roman"/>
          <w:b/>
          <w:color w:val="000000" w:themeColor="text1"/>
          <w:kern w:val="0"/>
          <w:sz w:val="24"/>
          <w:szCs w:val="24"/>
        </w:rPr>
      </w:pPr>
      <w:r w:rsidRPr="003D5B85">
        <w:rPr>
          <w:rFonts w:ascii="Book Antiqua" w:hAnsi="Book Antiqua" w:cs="Times New Roman"/>
          <w:b/>
          <w:color w:val="000000" w:themeColor="text1"/>
          <w:kern w:val="0"/>
          <w:sz w:val="24"/>
          <w:szCs w:val="24"/>
        </w:rPr>
        <w:t>DISCUSSION</w:t>
      </w:r>
    </w:p>
    <w:p w14:paraId="15EF7F52" w14:textId="2E32ACDA" w:rsidR="002878A3" w:rsidRPr="003D5B85" w:rsidRDefault="00475732" w:rsidP="00115F98">
      <w:pPr>
        <w:autoSpaceDE w:val="0"/>
        <w:autoSpaceDN w:val="0"/>
        <w:adjustRightInd w:val="0"/>
        <w:snapToGrid w:val="0"/>
        <w:spacing w:line="360" w:lineRule="auto"/>
        <w:rPr>
          <w:rFonts w:ascii="Book Antiqua" w:eastAsia="等线" w:hAnsi="Book Antiqua" w:cs="Times New Roman"/>
          <w:color w:val="000000" w:themeColor="text1"/>
          <w:kern w:val="0"/>
          <w:sz w:val="24"/>
          <w:szCs w:val="24"/>
        </w:rPr>
      </w:pPr>
      <w:r w:rsidRPr="003D5B85">
        <w:rPr>
          <w:rFonts w:ascii="Book Antiqua" w:eastAsia="等线" w:hAnsi="Book Antiqua" w:cs="Times New Roman"/>
          <w:color w:val="000000" w:themeColor="text1"/>
          <w:kern w:val="0"/>
          <w:sz w:val="24"/>
          <w:szCs w:val="24"/>
        </w:rPr>
        <w:t>In this meta-analysis</w:t>
      </w:r>
      <w:r w:rsidR="002878A3" w:rsidRPr="003D5B85">
        <w:rPr>
          <w:rFonts w:ascii="Book Antiqua" w:eastAsia="等线" w:hAnsi="Book Antiqua" w:cs="Times New Roman"/>
          <w:color w:val="000000" w:themeColor="text1"/>
          <w:kern w:val="0"/>
          <w:sz w:val="24"/>
          <w:szCs w:val="24"/>
        </w:rPr>
        <w:t xml:space="preserve">, we found that PPI use was associated with a 2.08-fold higher risk of progression to </w:t>
      </w:r>
      <w:proofErr w:type="gramStart"/>
      <w:r w:rsidR="002878A3" w:rsidRPr="003D5B85">
        <w:rPr>
          <w:rFonts w:ascii="Book Antiqua" w:eastAsia="等线" w:hAnsi="Book Antiqua" w:cs="Times New Roman"/>
          <w:color w:val="000000" w:themeColor="text1"/>
          <w:kern w:val="0"/>
          <w:sz w:val="24"/>
          <w:szCs w:val="24"/>
        </w:rPr>
        <w:t>HE</w:t>
      </w:r>
      <w:proofErr w:type="gramEnd"/>
      <w:r w:rsidR="002878A3" w:rsidRPr="003D5B85">
        <w:rPr>
          <w:rFonts w:ascii="Book Antiqua" w:eastAsia="等线" w:hAnsi="Book Antiqua" w:cs="Times New Roman"/>
          <w:color w:val="000000" w:themeColor="text1"/>
          <w:kern w:val="0"/>
          <w:sz w:val="24"/>
          <w:szCs w:val="24"/>
        </w:rPr>
        <w:t xml:space="preserve">. After excluding conference abstracts, the pooled results from the high-quality observational studies showed similar RR values and 95%CIs. There was a high degree of heterogeneity among studies, and the results of the subgroup analyses suggested that the heterogeneity may be the result of differences in the study designs and definitions of PPI use. The elevated risk of </w:t>
      </w:r>
      <w:proofErr w:type="gramStart"/>
      <w:r w:rsidR="002878A3" w:rsidRPr="003D5B85">
        <w:rPr>
          <w:rFonts w:ascii="Book Antiqua" w:eastAsia="等线" w:hAnsi="Book Antiqua" w:cs="Times New Roman"/>
          <w:color w:val="000000" w:themeColor="text1"/>
          <w:kern w:val="0"/>
          <w:sz w:val="24"/>
          <w:szCs w:val="24"/>
        </w:rPr>
        <w:t>HE</w:t>
      </w:r>
      <w:proofErr w:type="gramEnd"/>
      <w:r w:rsidR="002878A3" w:rsidRPr="003D5B85">
        <w:rPr>
          <w:rFonts w:ascii="Book Antiqua" w:eastAsia="等线" w:hAnsi="Book Antiqua" w:cs="Times New Roman"/>
          <w:color w:val="000000" w:themeColor="text1"/>
          <w:kern w:val="0"/>
          <w:sz w:val="24"/>
          <w:szCs w:val="24"/>
        </w:rPr>
        <w:t xml:space="preserve"> for PPI users was consistent regardless of the study design, </w:t>
      </w:r>
      <w:r w:rsidR="002878A3" w:rsidRPr="003D5B85">
        <w:rPr>
          <w:rFonts w:ascii="Book Antiqua" w:eastAsia="等线" w:hAnsi="Book Antiqua" w:cs="Times New Roman"/>
          <w:color w:val="000000" w:themeColor="text1"/>
          <w:kern w:val="0"/>
          <w:sz w:val="24"/>
          <w:szCs w:val="24"/>
        </w:rPr>
        <w:lastRenderedPageBreak/>
        <w:t>definition of PPI use, study location, type of advanced liver disease, and outcomes analyzed. Previous studies revealed that HE was a predictor</w:t>
      </w:r>
      <w:r w:rsidR="002878A3" w:rsidRPr="003D5B85">
        <w:rPr>
          <w:rFonts w:ascii="Book Antiqua" w:hAnsi="Book Antiqua" w:cs="Times New Roman"/>
          <w:color w:val="000000" w:themeColor="text1"/>
          <w:sz w:val="24"/>
          <w:szCs w:val="24"/>
        </w:rPr>
        <w:t xml:space="preserve"> </w:t>
      </w:r>
      <w:r w:rsidR="002878A3" w:rsidRPr="003D5B85">
        <w:rPr>
          <w:rFonts w:ascii="Book Antiqua" w:eastAsia="等线" w:hAnsi="Book Antiqua" w:cs="Times New Roman"/>
          <w:color w:val="000000" w:themeColor="text1"/>
          <w:kern w:val="0"/>
          <w:sz w:val="24"/>
          <w:szCs w:val="24"/>
        </w:rPr>
        <w:t xml:space="preserve">of PPI </w:t>
      </w:r>
      <w:proofErr w:type="gramStart"/>
      <w:r w:rsidR="002878A3" w:rsidRPr="003D5B85">
        <w:rPr>
          <w:rFonts w:ascii="Book Antiqua" w:eastAsia="等线" w:hAnsi="Book Antiqua" w:cs="Times New Roman"/>
          <w:color w:val="000000" w:themeColor="text1"/>
          <w:kern w:val="0"/>
          <w:sz w:val="24"/>
          <w:szCs w:val="24"/>
        </w:rPr>
        <w:t>therapy</w:t>
      </w:r>
      <w:r w:rsidR="008C5F0C" w:rsidRPr="003D5B85">
        <w:rPr>
          <w:rFonts w:ascii="Book Antiqua" w:eastAsia="Times New Roman" w:hAnsi="Book Antiqua" w:cs="Times New Roman"/>
          <w:color w:val="000000" w:themeColor="text1"/>
          <w:kern w:val="0"/>
          <w:sz w:val="24"/>
          <w:szCs w:val="24"/>
          <w:vertAlign w:val="superscript"/>
        </w:rPr>
        <w:t>[</w:t>
      </w:r>
      <w:proofErr w:type="gramEnd"/>
      <w:r w:rsidR="008C5F0C" w:rsidRPr="003D5B85">
        <w:rPr>
          <w:rFonts w:ascii="Book Antiqua" w:hAnsi="Book Antiqua" w:cs="Times New Roman"/>
          <w:color w:val="000000" w:themeColor="text1"/>
          <w:kern w:val="0"/>
          <w:sz w:val="24"/>
          <w:szCs w:val="24"/>
          <w:vertAlign w:val="superscript"/>
        </w:rPr>
        <w:t>26,27]</w:t>
      </w:r>
      <w:r w:rsidR="002878A3" w:rsidRPr="003D5B85">
        <w:rPr>
          <w:rFonts w:ascii="Book Antiqua" w:eastAsia="等线" w:hAnsi="Book Antiqua" w:cs="Times New Roman"/>
          <w:color w:val="000000" w:themeColor="text1"/>
          <w:kern w:val="0"/>
          <w:sz w:val="24"/>
          <w:szCs w:val="24"/>
        </w:rPr>
        <w:t>, which suggests that the elevated risk of HE for PPI users may be affected by confounding by indication. However,</w:t>
      </w:r>
      <w:r w:rsidR="002878A3" w:rsidRPr="003D5B85">
        <w:rPr>
          <w:rFonts w:ascii="Book Antiqua" w:hAnsi="Book Antiqua" w:cs="Times New Roman"/>
          <w:color w:val="000000" w:themeColor="text1"/>
          <w:sz w:val="24"/>
          <w:szCs w:val="24"/>
        </w:rPr>
        <w:t xml:space="preserve"> the </w:t>
      </w:r>
      <w:r w:rsidR="002878A3" w:rsidRPr="003D5B85">
        <w:rPr>
          <w:rFonts w:ascii="Book Antiqua" w:eastAsia="等线" w:hAnsi="Book Antiqua" w:cs="Times New Roman"/>
          <w:color w:val="000000" w:themeColor="text1"/>
          <w:kern w:val="0"/>
          <w:sz w:val="24"/>
          <w:szCs w:val="24"/>
        </w:rPr>
        <w:t xml:space="preserve">sensitivity analysis focusing on patients without past HE episodes showed a similar result. In addition, two of the included studies increased the persuasiveness of evidence by reporting significant dose-response relationships between PPI use and the risk of HE occurrence in patients with </w:t>
      </w:r>
      <w:proofErr w:type="gramStart"/>
      <w:r w:rsidR="002878A3" w:rsidRPr="003D5B85">
        <w:rPr>
          <w:rFonts w:ascii="Book Antiqua" w:eastAsia="等线" w:hAnsi="Book Antiqua" w:cs="Times New Roman"/>
          <w:color w:val="000000" w:themeColor="text1"/>
          <w:kern w:val="0"/>
          <w:sz w:val="24"/>
          <w:szCs w:val="24"/>
        </w:rPr>
        <w:t>cirrhosis</w:t>
      </w:r>
      <w:r w:rsidR="00F86819" w:rsidRPr="003D5B85">
        <w:rPr>
          <w:rFonts w:ascii="Book Antiqua" w:eastAsia="Times New Roman" w:hAnsi="Book Antiqua" w:cs="Times New Roman"/>
          <w:color w:val="000000" w:themeColor="text1"/>
          <w:kern w:val="0"/>
          <w:sz w:val="24"/>
          <w:szCs w:val="24"/>
          <w:vertAlign w:val="superscript"/>
        </w:rPr>
        <w:t>[</w:t>
      </w:r>
      <w:proofErr w:type="gramEnd"/>
      <w:r w:rsidR="00F86819" w:rsidRPr="003D5B85">
        <w:rPr>
          <w:rFonts w:ascii="Book Antiqua" w:hAnsi="Book Antiqua" w:cs="Times New Roman"/>
          <w:color w:val="000000" w:themeColor="text1"/>
          <w:kern w:val="0"/>
          <w:sz w:val="24"/>
          <w:szCs w:val="24"/>
          <w:vertAlign w:val="superscript"/>
        </w:rPr>
        <w:t>13,16]</w:t>
      </w:r>
      <w:r w:rsidR="002878A3" w:rsidRPr="003D5B85">
        <w:rPr>
          <w:rFonts w:ascii="Book Antiqua" w:eastAsia="等线" w:hAnsi="Book Antiqua" w:cs="Times New Roman"/>
          <w:color w:val="000000" w:themeColor="text1"/>
          <w:kern w:val="0"/>
          <w:sz w:val="24"/>
          <w:szCs w:val="24"/>
        </w:rPr>
        <w:t>. It is worth noting that the pooled</w:t>
      </w:r>
      <w:r w:rsidR="002878A3" w:rsidRPr="003D5B85">
        <w:rPr>
          <w:rFonts w:ascii="Book Antiqua" w:hAnsi="Book Antiqua" w:cs="Times New Roman"/>
          <w:color w:val="000000" w:themeColor="text1"/>
          <w:sz w:val="24"/>
          <w:szCs w:val="24"/>
        </w:rPr>
        <w:t xml:space="preserve"> </w:t>
      </w:r>
      <w:r w:rsidR="002878A3" w:rsidRPr="003D5B85">
        <w:rPr>
          <w:rFonts w:ascii="Book Antiqua" w:eastAsia="等线" w:hAnsi="Book Antiqua" w:cs="Times New Roman"/>
          <w:color w:val="000000" w:themeColor="text1"/>
          <w:kern w:val="0"/>
          <w:sz w:val="24"/>
          <w:szCs w:val="24"/>
        </w:rPr>
        <w:t>effect size</w:t>
      </w:r>
      <w:r w:rsidR="002878A3" w:rsidRPr="003D5B85">
        <w:rPr>
          <w:rFonts w:ascii="Book Antiqua" w:hAnsi="Book Antiqua" w:cs="Times New Roman"/>
          <w:color w:val="000000" w:themeColor="text1"/>
          <w:sz w:val="24"/>
          <w:szCs w:val="24"/>
        </w:rPr>
        <w:t xml:space="preserve"> </w:t>
      </w:r>
      <w:r w:rsidR="002878A3" w:rsidRPr="003D5B85">
        <w:rPr>
          <w:rFonts w:ascii="Book Antiqua" w:eastAsia="等线" w:hAnsi="Book Antiqua" w:cs="Times New Roman"/>
          <w:color w:val="000000" w:themeColor="text1"/>
          <w:kern w:val="0"/>
          <w:sz w:val="24"/>
          <w:szCs w:val="24"/>
        </w:rPr>
        <w:t>of the case-control design was greater than that of the cohort design. Case-control designs can</w:t>
      </w:r>
      <w:r w:rsidR="002878A3" w:rsidRPr="003D5B85">
        <w:rPr>
          <w:rFonts w:ascii="Book Antiqua" w:hAnsi="Book Antiqua"/>
          <w:color w:val="000000" w:themeColor="text1"/>
          <w:sz w:val="24"/>
          <w:szCs w:val="24"/>
        </w:rPr>
        <w:t xml:space="preserve"> </w:t>
      </w:r>
      <w:r w:rsidR="002878A3" w:rsidRPr="003D5B85">
        <w:rPr>
          <w:rFonts w:ascii="Book Antiqua" w:eastAsia="等线" w:hAnsi="Book Antiqua" w:cs="Times New Roman"/>
          <w:color w:val="000000" w:themeColor="text1"/>
          <w:kern w:val="0"/>
          <w:sz w:val="24"/>
          <w:szCs w:val="24"/>
        </w:rPr>
        <w:t xml:space="preserve">generate an exaggerated risk estimate because they are susceptible to various </w:t>
      </w:r>
      <w:proofErr w:type="gramStart"/>
      <w:r w:rsidR="002878A3" w:rsidRPr="003D5B85">
        <w:rPr>
          <w:rFonts w:ascii="Book Antiqua" w:eastAsia="等线" w:hAnsi="Book Antiqua" w:cs="Times New Roman"/>
          <w:color w:val="000000" w:themeColor="text1"/>
          <w:kern w:val="0"/>
          <w:sz w:val="24"/>
          <w:szCs w:val="24"/>
        </w:rPr>
        <w:t>biases</w:t>
      </w:r>
      <w:r w:rsidR="00270EF1" w:rsidRPr="003D5B85">
        <w:rPr>
          <w:rFonts w:ascii="Book Antiqua" w:eastAsia="Times New Roman" w:hAnsi="Book Antiqua" w:cs="Times New Roman"/>
          <w:color w:val="000000" w:themeColor="text1"/>
          <w:kern w:val="0"/>
          <w:sz w:val="24"/>
          <w:szCs w:val="24"/>
          <w:vertAlign w:val="superscript"/>
        </w:rPr>
        <w:t>[</w:t>
      </w:r>
      <w:proofErr w:type="gramEnd"/>
      <w:r w:rsidR="00270EF1" w:rsidRPr="003D5B85">
        <w:rPr>
          <w:rFonts w:ascii="Book Antiqua" w:hAnsi="Book Antiqua" w:cs="Times New Roman"/>
          <w:color w:val="000000" w:themeColor="text1"/>
          <w:kern w:val="0"/>
          <w:sz w:val="24"/>
          <w:szCs w:val="24"/>
          <w:vertAlign w:val="superscript"/>
        </w:rPr>
        <w:t>28]</w:t>
      </w:r>
      <w:r w:rsidR="002878A3" w:rsidRPr="003D5B85">
        <w:rPr>
          <w:rFonts w:ascii="Book Antiqua" w:eastAsia="等线" w:hAnsi="Book Antiqua" w:cs="Times New Roman"/>
          <w:color w:val="000000" w:themeColor="text1"/>
          <w:kern w:val="0"/>
          <w:sz w:val="24"/>
          <w:szCs w:val="24"/>
        </w:rPr>
        <w:t xml:space="preserve">. </w:t>
      </w:r>
      <w:r w:rsidR="007760A4" w:rsidRPr="003D5B85">
        <w:rPr>
          <w:rFonts w:ascii="Book Antiqua" w:eastAsia="等线" w:hAnsi="Book Antiqua" w:cs="Times New Roman"/>
          <w:color w:val="000000" w:themeColor="text1"/>
          <w:kern w:val="0"/>
          <w:sz w:val="24"/>
          <w:szCs w:val="24"/>
        </w:rPr>
        <w:t xml:space="preserve">Furthermore, ORs may overestimate the true effect of an exposure on the outcome of </w:t>
      </w:r>
      <w:proofErr w:type="gramStart"/>
      <w:r w:rsidR="007760A4" w:rsidRPr="003D5B85">
        <w:rPr>
          <w:rFonts w:ascii="Book Antiqua" w:eastAsia="等线" w:hAnsi="Book Antiqua" w:cs="Times New Roman"/>
          <w:color w:val="000000" w:themeColor="text1"/>
          <w:kern w:val="0"/>
          <w:sz w:val="24"/>
          <w:szCs w:val="24"/>
        </w:rPr>
        <w:t>interest</w:t>
      </w:r>
      <w:r w:rsidR="007760A4" w:rsidRPr="003D5B85">
        <w:rPr>
          <w:rFonts w:ascii="Book Antiqua" w:eastAsia="等线" w:hAnsi="Book Antiqua" w:cs="Times New Roman"/>
          <w:color w:val="000000" w:themeColor="text1"/>
          <w:kern w:val="0"/>
          <w:sz w:val="24"/>
          <w:szCs w:val="24"/>
          <w:vertAlign w:val="superscript"/>
        </w:rPr>
        <w:t>[</w:t>
      </w:r>
      <w:proofErr w:type="gramEnd"/>
      <w:r w:rsidR="00A35CED" w:rsidRPr="003D5B85">
        <w:rPr>
          <w:rFonts w:ascii="Book Antiqua" w:eastAsia="等线" w:hAnsi="Book Antiqua" w:cs="Times New Roman"/>
          <w:color w:val="000000" w:themeColor="text1"/>
          <w:kern w:val="0"/>
          <w:sz w:val="24"/>
          <w:szCs w:val="24"/>
          <w:vertAlign w:val="superscript"/>
        </w:rPr>
        <w:t>29</w:t>
      </w:r>
      <w:r w:rsidR="007760A4" w:rsidRPr="003D5B85">
        <w:rPr>
          <w:rFonts w:ascii="Book Antiqua" w:eastAsia="等线" w:hAnsi="Book Antiqua" w:cs="Times New Roman"/>
          <w:color w:val="000000" w:themeColor="text1"/>
          <w:kern w:val="0"/>
          <w:sz w:val="24"/>
          <w:szCs w:val="24"/>
          <w:vertAlign w:val="superscript"/>
        </w:rPr>
        <w:t>]</w:t>
      </w:r>
      <w:r w:rsidR="007760A4" w:rsidRPr="003D5B85">
        <w:rPr>
          <w:rFonts w:ascii="Book Antiqua" w:eastAsia="等线" w:hAnsi="Book Antiqua" w:cs="Times New Roman"/>
          <w:color w:val="000000" w:themeColor="text1"/>
          <w:kern w:val="0"/>
          <w:sz w:val="24"/>
          <w:szCs w:val="24"/>
        </w:rPr>
        <w:t>.</w:t>
      </w:r>
      <w:r w:rsidR="00CA6A79" w:rsidRPr="003D5B85">
        <w:rPr>
          <w:rFonts w:ascii="Book Antiqua" w:eastAsia="等线" w:hAnsi="Book Antiqua" w:cs="Times New Roman"/>
          <w:color w:val="000000" w:themeColor="text1"/>
          <w:kern w:val="0"/>
          <w:sz w:val="24"/>
          <w:szCs w:val="24"/>
        </w:rPr>
        <w:t xml:space="preserve"> </w:t>
      </w:r>
      <w:r w:rsidR="002878A3" w:rsidRPr="003D5B85">
        <w:rPr>
          <w:rFonts w:ascii="Book Antiqua" w:eastAsia="等线" w:hAnsi="Book Antiqua" w:cs="Times New Roman"/>
          <w:color w:val="000000" w:themeColor="text1"/>
          <w:kern w:val="0"/>
          <w:sz w:val="24"/>
          <w:szCs w:val="24"/>
        </w:rPr>
        <w:t xml:space="preserve">We also found that the </w:t>
      </w:r>
      <w:bookmarkStart w:id="43" w:name="_Hlk535346605"/>
      <w:r w:rsidR="002878A3" w:rsidRPr="003D5B85">
        <w:rPr>
          <w:rFonts w:ascii="Book Antiqua" w:eastAsia="等线" w:hAnsi="Book Antiqua" w:cs="Times New Roman"/>
          <w:color w:val="000000" w:themeColor="text1"/>
          <w:kern w:val="0"/>
          <w:sz w:val="24"/>
          <w:szCs w:val="24"/>
        </w:rPr>
        <w:t>pooled risk estimates</w:t>
      </w:r>
      <w:bookmarkEnd w:id="43"/>
      <w:r w:rsidR="002878A3" w:rsidRPr="003D5B85">
        <w:rPr>
          <w:rFonts w:ascii="Book Antiqua" w:eastAsia="等线" w:hAnsi="Book Antiqua" w:cs="Times New Roman"/>
          <w:color w:val="000000" w:themeColor="text1"/>
          <w:kern w:val="0"/>
          <w:sz w:val="24"/>
          <w:szCs w:val="24"/>
        </w:rPr>
        <w:t xml:space="preserve"> differed </w:t>
      </w:r>
      <w:bookmarkStart w:id="44" w:name="_Hlk535333880"/>
      <w:r w:rsidR="002878A3" w:rsidRPr="003D5B85">
        <w:rPr>
          <w:rFonts w:ascii="Book Antiqua" w:eastAsia="等线" w:hAnsi="Book Antiqua" w:cs="Times New Roman"/>
          <w:color w:val="000000" w:themeColor="text1"/>
          <w:kern w:val="0"/>
          <w:sz w:val="24"/>
          <w:szCs w:val="24"/>
        </w:rPr>
        <w:t xml:space="preserve">based </w:t>
      </w:r>
      <w:bookmarkEnd w:id="44"/>
      <w:r w:rsidR="002878A3" w:rsidRPr="003D5B85">
        <w:rPr>
          <w:rFonts w:ascii="Book Antiqua" w:eastAsia="等线" w:hAnsi="Book Antiqua" w:cs="Times New Roman"/>
          <w:color w:val="000000" w:themeColor="text1"/>
          <w:kern w:val="0"/>
          <w:sz w:val="24"/>
          <w:szCs w:val="24"/>
        </w:rPr>
        <w:t>on study location and type of advanced liver disease. These</w:t>
      </w:r>
      <w:r w:rsidR="002878A3" w:rsidRPr="003D5B85">
        <w:rPr>
          <w:rFonts w:ascii="Book Antiqua" w:hAnsi="Book Antiqua"/>
          <w:color w:val="000000" w:themeColor="text1"/>
          <w:sz w:val="24"/>
          <w:szCs w:val="24"/>
        </w:rPr>
        <w:t xml:space="preserve"> </w:t>
      </w:r>
      <w:r w:rsidR="002878A3" w:rsidRPr="003D5B85">
        <w:rPr>
          <w:rFonts w:ascii="Book Antiqua" w:eastAsia="等线" w:hAnsi="Book Antiqua" w:cs="Times New Roman"/>
          <w:color w:val="000000" w:themeColor="text1"/>
          <w:kern w:val="0"/>
          <w:sz w:val="24"/>
          <w:szCs w:val="24"/>
        </w:rPr>
        <w:t>differences may be mainly due to different study designs.</w:t>
      </w:r>
      <w:r w:rsidR="002878A3" w:rsidRPr="003D5B85">
        <w:rPr>
          <w:rFonts w:ascii="Book Antiqua" w:hAnsi="Book Antiqua"/>
          <w:color w:val="000000" w:themeColor="text1"/>
          <w:sz w:val="24"/>
          <w:szCs w:val="24"/>
        </w:rPr>
        <w:t xml:space="preserve"> </w:t>
      </w:r>
      <w:r w:rsidR="00B52FEE" w:rsidRPr="003D5B85">
        <w:rPr>
          <w:rFonts w:ascii="Book Antiqua" w:hAnsi="Book Antiqua"/>
          <w:color w:val="000000" w:themeColor="text1"/>
          <w:sz w:val="24"/>
          <w:szCs w:val="24"/>
        </w:rPr>
        <w:t xml:space="preserve">In addition, infection and eradication status of </w:t>
      </w:r>
      <w:r w:rsidR="00B52FEE" w:rsidRPr="003D5B85">
        <w:rPr>
          <w:rFonts w:ascii="Book Antiqua" w:hAnsi="Book Antiqua"/>
          <w:i/>
          <w:color w:val="000000" w:themeColor="text1"/>
          <w:sz w:val="24"/>
          <w:szCs w:val="24"/>
        </w:rPr>
        <w:t>H. pylori</w:t>
      </w:r>
      <w:r w:rsidR="00B52FEE" w:rsidRPr="003D5B85">
        <w:rPr>
          <w:rFonts w:ascii="Book Antiqua" w:hAnsi="Book Antiqua"/>
          <w:color w:val="000000" w:themeColor="text1"/>
          <w:sz w:val="24"/>
          <w:szCs w:val="24"/>
        </w:rPr>
        <w:t xml:space="preserve"> and the degree of gastric atrophy may affect expression of proton </w:t>
      </w:r>
      <w:proofErr w:type="gramStart"/>
      <w:r w:rsidR="00B52FEE" w:rsidRPr="003D5B85">
        <w:rPr>
          <w:rFonts w:ascii="Book Antiqua" w:hAnsi="Book Antiqua"/>
          <w:color w:val="000000" w:themeColor="text1"/>
          <w:sz w:val="24"/>
          <w:szCs w:val="24"/>
        </w:rPr>
        <w:t>pump</w:t>
      </w:r>
      <w:r w:rsidR="00E25C36" w:rsidRPr="003D5B85">
        <w:rPr>
          <w:rFonts w:ascii="Book Antiqua" w:eastAsia="Times New Roman" w:hAnsi="Book Antiqua" w:cs="Times New Roman"/>
          <w:color w:val="000000" w:themeColor="text1"/>
          <w:kern w:val="0"/>
          <w:sz w:val="24"/>
          <w:szCs w:val="24"/>
          <w:vertAlign w:val="superscript"/>
        </w:rPr>
        <w:t>[</w:t>
      </w:r>
      <w:proofErr w:type="gramEnd"/>
      <w:r w:rsidR="00E25C36" w:rsidRPr="003D5B85">
        <w:rPr>
          <w:rFonts w:ascii="Book Antiqua" w:hAnsi="Book Antiqua" w:cs="Times New Roman"/>
          <w:color w:val="000000" w:themeColor="text1"/>
          <w:kern w:val="0"/>
          <w:sz w:val="24"/>
          <w:szCs w:val="24"/>
          <w:vertAlign w:val="superscript"/>
        </w:rPr>
        <w:t>30,31]</w:t>
      </w:r>
      <w:r w:rsidR="00B52FEE" w:rsidRPr="003D5B85">
        <w:rPr>
          <w:rFonts w:ascii="Book Antiqua" w:hAnsi="Book Antiqua"/>
          <w:color w:val="000000" w:themeColor="text1"/>
          <w:sz w:val="24"/>
          <w:szCs w:val="24"/>
        </w:rPr>
        <w:t xml:space="preserve">. These factors largely influence gastric acid secretion and the effect of PPIs, thus causing differences in risk estimates in different locations. However, the impact of these factors cannot be analyzed because the data </w:t>
      </w:r>
      <w:r w:rsidR="00075E23" w:rsidRPr="003D5B85">
        <w:rPr>
          <w:rFonts w:ascii="Book Antiqua" w:hAnsi="Book Antiqua"/>
          <w:color w:val="000000" w:themeColor="text1"/>
          <w:sz w:val="24"/>
          <w:szCs w:val="24"/>
        </w:rPr>
        <w:t xml:space="preserve">were </w:t>
      </w:r>
      <w:r w:rsidR="00B52FEE" w:rsidRPr="003D5B85">
        <w:rPr>
          <w:rFonts w:ascii="Book Antiqua" w:hAnsi="Book Antiqua"/>
          <w:color w:val="000000" w:themeColor="text1"/>
          <w:sz w:val="24"/>
          <w:szCs w:val="24"/>
        </w:rPr>
        <w:t>not available.</w:t>
      </w:r>
      <w:r w:rsidR="006019F1" w:rsidRPr="003D5B85">
        <w:rPr>
          <w:rFonts w:ascii="Book Antiqua" w:eastAsia="等线" w:hAnsi="Book Antiqua" w:cs="Times New Roman"/>
          <w:color w:val="000000" w:themeColor="text1"/>
          <w:kern w:val="0"/>
          <w:sz w:val="24"/>
          <w:szCs w:val="24"/>
        </w:rPr>
        <w:t xml:space="preserve"> </w:t>
      </w:r>
      <w:r w:rsidR="00B645FE" w:rsidRPr="003D5B85">
        <w:rPr>
          <w:rFonts w:ascii="Book Antiqua" w:hAnsi="Book Antiqua"/>
          <w:color w:val="000000" w:themeColor="text1"/>
          <w:sz w:val="24"/>
          <w:szCs w:val="24"/>
        </w:rPr>
        <w:t xml:space="preserve">The study by Lin </w:t>
      </w:r>
      <w:r w:rsidR="00B645FE" w:rsidRPr="003D5B85">
        <w:rPr>
          <w:rFonts w:ascii="Book Antiqua" w:hAnsi="Book Antiqua"/>
          <w:i/>
          <w:color w:val="000000" w:themeColor="text1"/>
          <w:sz w:val="24"/>
          <w:szCs w:val="24"/>
        </w:rPr>
        <w:t xml:space="preserve">et </w:t>
      </w:r>
      <w:proofErr w:type="gramStart"/>
      <w:r w:rsidR="00B645FE" w:rsidRPr="003D5B85">
        <w:rPr>
          <w:rFonts w:ascii="Book Antiqua" w:hAnsi="Book Antiqua"/>
          <w:i/>
          <w:color w:val="000000" w:themeColor="text1"/>
          <w:sz w:val="24"/>
          <w:szCs w:val="24"/>
        </w:rPr>
        <w:t>al</w:t>
      </w:r>
      <w:r w:rsidR="0038544D" w:rsidRPr="003D5B85">
        <w:rPr>
          <w:rFonts w:ascii="Book Antiqua" w:eastAsia="等线" w:hAnsi="Book Antiqua" w:cs="Times New Roman"/>
          <w:color w:val="000000" w:themeColor="text1"/>
          <w:kern w:val="0"/>
          <w:sz w:val="24"/>
          <w:szCs w:val="24"/>
          <w:vertAlign w:val="superscript"/>
        </w:rPr>
        <w:t>[</w:t>
      </w:r>
      <w:proofErr w:type="gramEnd"/>
      <w:r w:rsidR="005F7E8B" w:rsidRPr="003D5B85">
        <w:rPr>
          <w:rFonts w:ascii="Book Antiqua" w:eastAsia="等线" w:hAnsi="Book Antiqua" w:cs="Times New Roman"/>
          <w:color w:val="000000" w:themeColor="text1"/>
          <w:kern w:val="0"/>
          <w:sz w:val="24"/>
          <w:szCs w:val="24"/>
          <w:vertAlign w:val="superscript"/>
        </w:rPr>
        <w:t>18</w:t>
      </w:r>
      <w:r w:rsidR="0038544D" w:rsidRPr="003D5B85">
        <w:rPr>
          <w:rFonts w:ascii="Book Antiqua" w:eastAsia="等线" w:hAnsi="Book Antiqua" w:cs="Times New Roman"/>
          <w:color w:val="000000" w:themeColor="text1"/>
          <w:kern w:val="0"/>
          <w:sz w:val="24"/>
          <w:szCs w:val="24"/>
          <w:vertAlign w:val="superscript"/>
        </w:rPr>
        <w:t>]</w:t>
      </w:r>
      <w:r w:rsidR="00115F98" w:rsidRPr="003D5B85">
        <w:rPr>
          <w:rFonts w:ascii="Book Antiqua" w:eastAsia="等线" w:hAnsi="Book Antiqua" w:cs="Times New Roman"/>
          <w:color w:val="000000" w:themeColor="text1"/>
          <w:kern w:val="0"/>
          <w:sz w:val="24"/>
          <w:szCs w:val="24"/>
        </w:rPr>
        <w:t xml:space="preserve"> </w:t>
      </w:r>
      <w:r w:rsidR="00B645FE" w:rsidRPr="003D5B85">
        <w:rPr>
          <w:rFonts w:ascii="Book Antiqua" w:hAnsi="Book Antiqua"/>
          <w:color w:val="000000" w:themeColor="text1"/>
          <w:sz w:val="24"/>
          <w:szCs w:val="24"/>
        </w:rPr>
        <w:t>was aimed to assess the role of PPI in a particular setting</w:t>
      </w:r>
      <w:r w:rsidR="00115F98" w:rsidRPr="003D5B85">
        <w:rPr>
          <w:rFonts w:ascii="Book Antiqua" w:hAnsi="Book Antiqua"/>
          <w:color w:val="000000" w:themeColor="text1"/>
          <w:sz w:val="24"/>
          <w:szCs w:val="24"/>
        </w:rPr>
        <w:t xml:space="preserve"> </w:t>
      </w:r>
      <w:r w:rsidR="00B645FE" w:rsidRPr="003D5B85">
        <w:rPr>
          <w:rFonts w:ascii="Book Antiqua" w:hAnsi="Book Antiqua"/>
          <w:color w:val="000000" w:themeColor="text1"/>
          <w:sz w:val="24"/>
          <w:szCs w:val="24"/>
        </w:rPr>
        <w:t xml:space="preserve">(ACLF), </w:t>
      </w:r>
      <w:r w:rsidR="00075E23" w:rsidRPr="003D5B85">
        <w:rPr>
          <w:rFonts w:ascii="Book Antiqua" w:hAnsi="Book Antiqua"/>
          <w:color w:val="000000" w:themeColor="text1"/>
          <w:sz w:val="24"/>
          <w:szCs w:val="24"/>
        </w:rPr>
        <w:t xml:space="preserve">and </w:t>
      </w:r>
      <w:r w:rsidR="00B645FE" w:rsidRPr="003D5B85">
        <w:rPr>
          <w:rFonts w:ascii="Book Antiqua" w:hAnsi="Book Antiqua"/>
          <w:color w:val="000000" w:themeColor="text1"/>
          <w:sz w:val="24"/>
          <w:szCs w:val="24"/>
        </w:rPr>
        <w:t xml:space="preserve">sensitivity analysis by excluding the study showed </w:t>
      </w:r>
      <w:r w:rsidR="00075E23" w:rsidRPr="003D5B85">
        <w:rPr>
          <w:rFonts w:ascii="Book Antiqua" w:hAnsi="Book Antiqua"/>
          <w:color w:val="000000" w:themeColor="text1"/>
          <w:sz w:val="24"/>
          <w:szCs w:val="24"/>
        </w:rPr>
        <w:t xml:space="preserve">that </w:t>
      </w:r>
      <w:r w:rsidR="00B645FE" w:rsidRPr="003D5B85">
        <w:rPr>
          <w:rFonts w:ascii="Book Antiqua" w:hAnsi="Book Antiqua"/>
          <w:color w:val="000000" w:themeColor="text1"/>
          <w:sz w:val="24"/>
          <w:szCs w:val="24"/>
        </w:rPr>
        <w:t xml:space="preserve">the pooled risk estimate was slightly altered. </w:t>
      </w:r>
      <w:r w:rsidR="002878A3" w:rsidRPr="003D5B85">
        <w:rPr>
          <w:rFonts w:ascii="Book Antiqua" w:eastAsia="等线" w:hAnsi="Book Antiqua" w:cs="Times New Roman"/>
          <w:color w:val="000000" w:themeColor="text1"/>
          <w:kern w:val="0"/>
          <w:sz w:val="24"/>
          <w:szCs w:val="24"/>
        </w:rPr>
        <w:t xml:space="preserve">With respect to the outcomes analyzed, seven studies reported the results of HE grades 1-4, and three studies reported the results of HE grades 2-4. The results of these two outcomes were similar. Only one high-quality prospective cohort study evaluated the association between PPI </w:t>
      </w:r>
      <w:proofErr w:type="gramStart"/>
      <w:r w:rsidR="002878A3" w:rsidRPr="003D5B85">
        <w:rPr>
          <w:rFonts w:ascii="Book Antiqua" w:eastAsia="等线" w:hAnsi="Book Antiqua" w:cs="Times New Roman"/>
          <w:color w:val="000000" w:themeColor="text1"/>
          <w:kern w:val="0"/>
          <w:sz w:val="24"/>
          <w:szCs w:val="24"/>
        </w:rPr>
        <w:t>use</w:t>
      </w:r>
      <w:proofErr w:type="gramEnd"/>
      <w:r w:rsidR="002878A3" w:rsidRPr="003D5B85">
        <w:rPr>
          <w:rFonts w:ascii="Book Antiqua" w:eastAsia="等线" w:hAnsi="Book Antiqua" w:cs="Times New Roman"/>
          <w:color w:val="000000" w:themeColor="text1"/>
          <w:kern w:val="0"/>
          <w:sz w:val="24"/>
          <w:szCs w:val="24"/>
        </w:rPr>
        <w:t xml:space="preserve"> and minimal HE, and the risk estimate was higher than those for the other two groups.</w:t>
      </w:r>
      <w:r w:rsidR="002878A3" w:rsidRPr="003D5B85">
        <w:rPr>
          <w:rFonts w:ascii="Book Antiqua" w:hAnsi="Book Antiqua"/>
          <w:color w:val="000000" w:themeColor="text1"/>
          <w:sz w:val="24"/>
          <w:szCs w:val="24"/>
        </w:rPr>
        <w:t xml:space="preserve"> </w:t>
      </w:r>
      <w:r w:rsidR="002878A3" w:rsidRPr="003D5B85">
        <w:rPr>
          <w:rFonts w:ascii="Book Antiqua" w:eastAsia="等线" w:hAnsi="Book Antiqua" w:cs="Times New Roman"/>
          <w:color w:val="000000" w:themeColor="text1"/>
          <w:kern w:val="0"/>
          <w:sz w:val="24"/>
          <w:szCs w:val="24"/>
        </w:rPr>
        <w:t>Because the diagnosis of minimal HE is difficult,</w:t>
      </w:r>
      <w:r w:rsidR="002878A3" w:rsidRPr="003D5B85">
        <w:rPr>
          <w:rFonts w:ascii="Book Antiqua" w:hAnsi="Book Antiqua"/>
          <w:color w:val="000000" w:themeColor="text1"/>
          <w:sz w:val="24"/>
          <w:szCs w:val="24"/>
        </w:rPr>
        <w:t xml:space="preserve"> </w:t>
      </w:r>
      <w:r w:rsidR="002878A3" w:rsidRPr="003D5B85">
        <w:rPr>
          <w:rFonts w:ascii="Book Antiqua" w:eastAsia="等线" w:hAnsi="Book Antiqua" w:cs="Times New Roman"/>
          <w:color w:val="000000" w:themeColor="text1"/>
          <w:kern w:val="0"/>
          <w:sz w:val="24"/>
          <w:szCs w:val="24"/>
        </w:rPr>
        <w:t>most of the retrospective studies lack data for minimal HE. However, the incidence of minimal HE has been reported to range from 20</w:t>
      </w:r>
      <w:r w:rsidR="00115F98" w:rsidRPr="003D5B85">
        <w:rPr>
          <w:rFonts w:ascii="Book Antiqua" w:eastAsia="等线" w:hAnsi="Book Antiqua" w:cs="Times New Roman"/>
          <w:color w:val="000000" w:themeColor="text1"/>
          <w:kern w:val="0"/>
          <w:sz w:val="24"/>
          <w:szCs w:val="24"/>
        </w:rPr>
        <w:t>%</w:t>
      </w:r>
      <w:r w:rsidR="002878A3" w:rsidRPr="003D5B85">
        <w:rPr>
          <w:rFonts w:ascii="Book Antiqua" w:eastAsia="等线" w:hAnsi="Book Antiqua" w:cs="Times New Roman"/>
          <w:color w:val="000000" w:themeColor="text1"/>
          <w:kern w:val="0"/>
          <w:sz w:val="24"/>
          <w:szCs w:val="24"/>
        </w:rPr>
        <w:t xml:space="preserve"> to 80% in patients with liver </w:t>
      </w:r>
      <w:proofErr w:type="gramStart"/>
      <w:r w:rsidR="002878A3" w:rsidRPr="003D5B85">
        <w:rPr>
          <w:rFonts w:ascii="Book Antiqua" w:eastAsia="等线" w:hAnsi="Book Antiqua" w:cs="Times New Roman"/>
          <w:color w:val="000000" w:themeColor="text1"/>
          <w:kern w:val="0"/>
          <w:sz w:val="24"/>
          <w:szCs w:val="24"/>
        </w:rPr>
        <w:t>cirrhosis</w:t>
      </w:r>
      <w:r w:rsidR="00E3569A" w:rsidRPr="003D5B85">
        <w:rPr>
          <w:rFonts w:ascii="Book Antiqua" w:eastAsia="Times New Roman" w:hAnsi="Book Antiqua" w:cs="Times New Roman"/>
          <w:color w:val="000000" w:themeColor="text1"/>
          <w:kern w:val="0"/>
          <w:sz w:val="24"/>
          <w:szCs w:val="24"/>
          <w:vertAlign w:val="superscript"/>
        </w:rPr>
        <w:t>[</w:t>
      </w:r>
      <w:proofErr w:type="gramEnd"/>
      <w:r w:rsidR="00E3569A" w:rsidRPr="003D5B85">
        <w:rPr>
          <w:rFonts w:ascii="Book Antiqua" w:hAnsi="Book Antiqua" w:cs="Times New Roman"/>
          <w:color w:val="000000" w:themeColor="text1"/>
          <w:kern w:val="0"/>
          <w:sz w:val="24"/>
          <w:szCs w:val="24"/>
          <w:vertAlign w:val="superscript"/>
        </w:rPr>
        <w:t>2]</w:t>
      </w:r>
      <w:r w:rsidR="002878A3" w:rsidRPr="003D5B85">
        <w:rPr>
          <w:rFonts w:ascii="Book Antiqua" w:eastAsia="等线" w:hAnsi="Book Antiqua" w:cs="Times New Roman"/>
          <w:color w:val="000000" w:themeColor="text1"/>
          <w:kern w:val="0"/>
          <w:sz w:val="24"/>
          <w:szCs w:val="24"/>
        </w:rPr>
        <w:t xml:space="preserve">. The </w:t>
      </w:r>
      <w:r w:rsidR="002878A3" w:rsidRPr="003D5B85">
        <w:rPr>
          <w:rFonts w:ascii="Book Antiqua" w:eastAsia="等线" w:hAnsi="Book Antiqua" w:cs="Times New Roman"/>
          <w:color w:val="000000" w:themeColor="text1"/>
          <w:kern w:val="0"/>
          <w:sz w:val="24"/>
          <w:szCs w:val="24"/>
        </w:rPr>
        <w:lastRenderedPageBreak/>
        <w:t>lack of data regarding minimal HE may lead to an underestimation of the risk of overall HE (minimal HE and HE grades 1-4) in PPI users.</w:t>
      </w:r>
      <w:r w:rsidR="002878A3" w:rsidRPr="003D5B85">
        <w:rPr>
          <w:rFonts w:ascii="Book Antiqua" w:hAnsi="Book Antiqua"/>
          <w:color w:val="000000" w:themeColor="text1"/>
          <w:sz w:val="24"/>
          <w:szCs w:val="24"/>
        </w:rPr>
        <w:t xml:space="preserve"> </w:t>
      </w:r>
      <w:r w:rsidR="002878A3" w:rsidRPr="003D5B85">
        <w:rPr>
          <w:rFonts w:ascii="Book Antiqua" w:eastAsia="等线" w:hAnsi="Book Antiqua" w:cs="Times New Roman"/>
          <w:color w:val="000000" w:themeColor="text1"/>
          <w:kern w:val="0"/>
          <w:sz w:val="24"/>
          <w:szCs w:val="24"/>
        </w:rPr>
        <w:t>Even so, the risk of HE was still high in our meta-analysis,</w:t>
      </w:r>
      <w:r w:rsidR="002878A3" w:rsidRPr="003D5B85">
        <w:rPr>
          <w:rFonts w:ascii="Book Antiqua" w:hAnsi="Book Antiqua"/>
          <w:color w:val="000000" w:themeColor="text1"/>
          <w:sz w:val="24"/>
          <w:szCs w:val="24"/>
        </w:rPr>
        <w:t xml:space="preserve"> </w:t>
      </w:r>
      <w:r w:rsidR="002878A3" w:rsidRPr="003D5B85">
        <w:rPr>
          <w:rFonts w:ascii="Book Antiqua" w:eastAsia="等线" w:hAnsi="Book Antiqua" w:cs="Times New Roman"/>
          <w:color w:val="000000" w:themeColor="text1"/>
          <w:kern w:val="0"/>
          <w:sz w:val="24"/>
          <w:szCs w:val="24"/>
        </w:rPr>
        <w:t>which increases our confidence in our conclusion.</w:t>
      </w:r>
    </w:p>
    <w:p w14:paraId="1FF4219E" w14:textId="6214629F" w:rsidR="002878A3" w:rsidRPr="003D5B85" w:rsidRDefault="002878A3" w:rsidP="00115F98">
      <w:pPr>
        <w:autoSpaceDE w:val="0"/>
        <w:autoSpaceDN w:val="0"/>
        <w:adjustRightInd w:val="0"/>
        <w:snapToGrid w:val="0"/>
        <w:spacing w:line="360" w:lineRule="auto"/>
        <w:ind w:firstLineChars="100" w:firstLine="240"/>
        <w:rPr>
          <w:rFonts w:ascii="Book Antiqua" w:hAnsi="Book Antiqua"/>
          <w:color w:val="000000" w:themeColor="text1"/>
          <w:sz w:val="24"/>
          <w:szCs w:val="24"/>
        </w:rPr>
      </w:pPr>
      <w:r w:rsidRPr="003D5B85">
        <w:rPr>
          <w:rFonts w:ascii="Book Antiqua" w:eastAsia="等线" w:hAnsi="Book Antiqua" w:cs="Times New Roman"/>
          <w:color w:val="000000" w:themeColor="text1"/>
          <w:kern w:val="0"/>
          <w:sz w:val="24"/>
          <w:szCs w:val="24"/>
        </w:rPr>
        <w:t>Previous studies showed that PPIs were used by as many as 46</w:t>
      </w:r>
      <w:r w:rsidR="00115F98" w:rsidRPr="003D5B85">
        <w:rPr>
          <w:rFonts w:ascii="Book Antiqua" w:eastAsia="等线" w:hAnsi="Book Antiqua" w:cs="Times New Roman"/>
          <w:color w:val="000000" w:themeColor="text1"/>
          <w:kern w:val="0"/>
          <w:sz w:val="24"/>
          <w:szCs w:val="24"/>
        </w:rPr>
        <w:t>%</w:t>
      </w:r>
      <w:r w:rsidRPr="003D5B85">
        <w:rPr>
          <w:rFonts w:ascii="Book Antiqua" w:eastAsia="等线" w:hAnsi="Book Antiqua" w:cs="Times New Roman"/>
          <w:color w:val="000000" w:themeColor="text1"/>
          <w:kern w:val="0"/>
          <w:sz w:val="24"/>
          <w:szCs w:val="24"/>
        </w:rPr>
        <w:t xml:space="preserve">-78% of cirrhotic </w:t>
      </w:r>
      <w:proofErr w:type="gramStart"/>
      <w:r w:rsidRPr="003D5B85">
        <w:rPr>
          <w:rFonts w:ascii="Book Antiqua" w:eastAsia="等线" w:hAnsi="Book Antiqua" w:cs="Times New Roman"/>
          <w:color w:val="000000" w:themeColor="text1"/>
          <w:kern w:val="0"/>
          <w:sz w:val="24"/>
          <w:szCs w:val="24"/>
        </w:rPr>
        <w:t>patients</w:t>
      </w:r>
      <w:r w:rsidR="001E326D" w:rsidRPr="003D5B85">
        <w:rPr>
          <w:rFonts w:ascii="Book Antiqua" w:eastAsia="Times New Roman" w:hAnsi="Book Antiqua" w:cs="Times New Roman"/>
          <w:color w:val="000000" w:themeColor="text1"/>
          <w:kern w:val="0"/>
          <w:sz w:val="24"/>
          <w:szCs w:val="24"/>
          <w:vertAlign w:val="superscript"/>
        </w:rPr>
        <w:t>[</w:t>
      </w:r>
      <w:proofErr w:type="gramEnd"/>
      <w:r w:rsidR="001E326D" w:rsidRPr="003D5B85">
        <w:rPr>
          <w:rFonts w:ascii="Book Antiqua" w:hAnsi="Book Antiqua" w:cs="Times New Roman"/>
          <w:color w:val="000000" w:themeColor="text1"/>
          <w:kern w:val="0"/>
          <w:sz w:val="24"/>
          <w:szCs w:val="24"/>
          <w:vertAlign w:val="superscript"/>
        </w:rPr>
        <w:t>5,7]</w:t>
      </w:r>
      <w:r w:rsidRPr="003D5B85">
        <w:rPr>
          <w:rFonts w:ascii="Book Antiqua" w:eastAsia="等线" w:hAnsi="Book Antiqua" w:cs="Times New Roman"/>
          <w:color w:val="000000" w:themeColor="text1"/>
          <w:kern w:val="0"/>
          <w:sz w:val="24"/>
          <w:szCs w:val="24"/>
        </w:rPr>
        <w:t>, and the data from the six studies we included reported that the PPI use rate was 40%-76.3% in patients with advanced liver disease</w:t>
      </w:r>
      <w:r w:rsidR="00B34713" w:rsidRPr="003D5B85">
        <w:rPr>
          <w:rFonts w:ascii="Book Antiqua" w:eastAsia="Times New Roman" w:hAnsi="Book Antiqua" w:cs="Times New Roman"/>
          <w:color w:val="000000" w:themeColor="text1"/>
          <w:kern w:val="0"/>
          <w:sz w:val="24"/>
          <w:szCs w:val="24"/>
          <w:vertAlign w:val="superscript"/>
        </w:rPr>
        <w:t>[</w:t>
      </w:r>
      <w:r w:rsidR="00B34713" w:rsidRPr="003D5B85">
        <w:rPr>
          <w:rFonts w:ascii="Book Antiqua" w:hAnsi="Book Antiqua" w:cs="Times New Roman"/>
          <w:color w:val="000000" w:themeColor="text1"/>
          <w:kern w:val="0"/>
          <w:sz w:val="24"/>
          <w:szCs w:val="24"/>
          <w:vertAlign w:val="superscript"/>
        </w:rPr>
        <w:t>13-18]</w:t>
      </w:r>
      <w:r w:rsidRPr="003D5B85">
        <w:rPr>
          <w:rFonts w:ascii="Book Antiqua" w:eastAsia="等线" w:hAnsi="Book Antiqua" w:cs="Times New Roman"/>
          <w:color w:val="000000" w:themeColor="text1"/>
          <w:kern w:val="0"/>
          <w:sz w:val="24"/>
          <w:szCs w:val="24"/>
        </w:rPr>
        <w:t>.</w:t>
      </w:r>
      <w:r w:rsidRPr="003D5B85">
        <w:rPr>
          <w:rFonts w:ascii="Book Antiqua" w:hAnsi="Book Antiqua"/>
          <w:color w:val="000000" w:themeColor="text1"/>
          <w:sz w:val="24"/>
          <w:szCs w:val="24"/>
        </w:rPr>
        <w:t xml:space="preserve"> </w:t>
      </w:r>
      <w:r w:rsidRPr="003D5B85">
        <w:rPr>
          <w:rFonts w:ascii="Book Antiqua" w:eastAsia="等线" w:hAnsi="Book Antiqua" w:cs="Times New Roman"/>
          <w:color w:val="000000" w:themeColor="text1"/>
          <w:kern w:val="0"/>
          <w:sz w:val="24"/>
          <w:szCs w:val="24"/>
        </w:rPr>
        <w:t xml:space="preserve">The above data indicate that </w:t>
      </w:r>
      <w:r w:rsidRPr="003D5B85">
        <w:rPr>
          <w:rFonts w:ascii="Book Antiqua" w:hAnsi="Book Antiqua" w:cs="Times New Roman"/>
          <w:color w:val="000000" w:themeColor="text1"/>
          <w:sz w:val="24"/>
          <w:szCs w:val="24"/>
        </w:rPr>
        <w:t>PPIs are very commonly used by patients with advanced liver disease. PPIs are often overused in clinical practice. Data from five studies</w:t>
      </w:r>
      <w:r w:rsidRPr="003D5B85">
        <w:rPr>
          <w:rFonts w:ascii="Book Antiqua" w:hAnsi="Book Antiqua"/>
          <w:color w:val="000000" w:themeColor="text1"/>
          <w:sz w:val="24"/>
          <w:szCs w:val="24"/>
        </w:rPr>
        <w:t xml:space="preserve"> </w:t>
      </w:r>
      <w:r w:rsidRPr="003D5B85">
        <w:rPr>
          <w:rFonts w:ascii="Book Antiqua" w:hAnsi="Book Antiqua" w:cs="Times New Roman"/>
          <w:color w:val="000000" w:themeColor="text1"/>
          <w:sz w:val="24"/>
          <w:szCs w:val="24"/>
        </w:rPr>
        <w:t>we included showed</w:t>
      </w:r>
      <w:r w:rsidRPr="003D5B85">
        <w:rPr>
          <w:rFonts w:ascii="Book Antiqua" w:eastAsia="等线" w:hAnsi="Book Antiqua" w:cs="Times New Roman"/>
          <w:color w:val="000000" w:themeColor="text1"/>
          <w:sz w:val="24"/>
          <w:szCs w:val="24"/>
        </w:rPr>
        <w:t xml:space="preserve"> that</w:t>
      </w:r>
      <w:r w:rsidRPr="003D5B85">
        <w:rPr>
          <w:rFonts w:ascii="Book Antiqua" w:hAnsi="Book Antiqua" w:cs="Times New Roman"/>
          <w:color w:val="000000" w:themeColor="text1"/>
          <w:sz w:val="24"/>
          <w:szCs w:val="24"/>
        </w:rPr>
        <w:t xml:space="preserve"> the indication for PPI use was unclear or</w:t>
      </w:r>
      <w:r w:rsidRPr="003D5B85">
        <w:rPr>
          <w:rFonts w:ascii="Book Antiqua" w:hAnsi="Book Antiqua"/>
          <w:color w:val="000000" w:themeColor="text1"/>
          <w:sz w:val="24"/>
          <w:szCs w:val="24"/>
        </w:rPr>
        <w:t xml:space="preserve"> </w:t>
      </w:r>
      <w:r w:rsidRPr="003D5B85">
        <w:rPr>
          <w:rFonts w:ascii="Book Antiqua" w:hAnsi="Book Antiqua" w:cs="Times New Roman"/>
          <w:color w:val="000000" w:themeColor="text1"/>
          <w:sz w:val="24"/>
          <w:szCs w:val="24"/>
        </w:rPr>
        <w:t xml:space="preserve">appropriate in 44%-62.2% of the </w:t>
      </w:r>
      <w:proofErr w:type="gramStart"/>
      <w:r w:rsidRPr="003D5B85">
        <w:rPr>
          <w:rFonts w:ascii="Book Antiqua" w:hAnsi="Book Antiqua" w:cs="Times New Roman"/>
          <w:color w:val="000000" w:themeColor="text1"/>
          <w:sz w:val="24"/>
          <w:szCs w:val="24"/>
        </w:rPr>
        <w:t>patients</w:t>
      </w:r>
      <w:r w:rsidR="004C4662" w:rsidRPr="003D5B85">
        <w:rPr>
          <w:rFonts w:ascii="Book Antiqua" w:eastAsia="Times New Roman" w:hAnsi="Book Antiqua" w:cs="Times New Roman"/>
          <w:color w:val="000000" w:themeColor="text1"/>
          <w:kern w:val="0"/>
          <w:sz w:val="24"/>
          <w:szCs w:val="24"/>
          <w:vertAlign w:val="superscript"/>
        </w:rPr>
        <w:t>[</w:t>
      </w:r>
      <w:proofErr w:type="gramEnd"/>
      <w:r w:rsidR="004C4662" w:rsidRPr="003D5B85">
        <w:rPr>
          <w:rFonts w:ascii="Book Antiqua" w:hAnsi="Book Antiqua" w:cs="Times New Roman"/>
          <w:color w:val="000000" w:themeColor="text1"/>
          <w:kern w:val="0"/>
          <w:sz w:val="24"/>
          <w:szCs w:val="24"/>
          <w:vertAlign w:val="superscript"/>
        </w:rPr>
        <w:t>13-15,17,18]</w:t>
      </w:r>
      <w:r w:rsidRPr="003D5B85">
        <w:rPr>
          <w:rFonts w:ascii="Book Antiqua" w:hAnsi="Book Antiqua" w:cs="Times New Roman"/>
          <w:color w:val="000000" w:themeColor="text1"/>
          <w:sz w:val="24"/>
          <w:szCs w:val="24"/>
        </w:rPr>
        <w:t>.</w:t>
      </w:r>
      <w:r w:rsidRPr="003D5B85">
        <w:rPr>
          <w:rFonts w:ascii="Book Antiqua" w:hAnsi="Book Antiqua"/>
          <w:color w:val="000000" w:themeColor="text1"/>
          <w:sz w:val="24"/>
          <w:szCs w:val="24"/>
        </w:rPr>
        <w:t xml:space="preserve"> </w:t>
      </w:r>
      <w:r w:rsidRPr="003D5B85">
        <w:rPr>
          <w:rFonts w:ascii="Book Antiqua" w:hAnsi="Book Antiqua" w:cs="Times New Roman"/>
          <w:color w:val="000000" w:themeColor="text1"/>
          <w:sz w:val="24"/>
          <w:szCs w:val="24"/>
        </w:rPr>
        <w:t xml:space="preserve">Inappropriate use of PPIs may put patients at an elevated risk of </w:t>
      </w:r>
      <w:proofErr w:type="gramStart"/>
      <w:r w:rsidRPr="003D5B85">
        <w:rPr>
          <w:rFonts w:ascii="Book Antiqua" w:hAnsi="Book Antiqua" w:cs="Times New Roman"/>
          <w:color w:val="000000" w:themeColor="text1"/>
          <w:sz w:val="24"/>
          <w:szCs w:val="24"/>
        </w:rPr>
        <w:t>HE</w:t>
      </w:r>
      <w:proofErr w:type="gramEnd"/>
      <w:r w:rsidRPr="003D5B85">
        <w:rPr>
          <w:rFonts w:ascii="Book Antiqua" w:hAnsi="Book Antiqua" w:cs="Times New Roman"/>
          <w:color w:val="000000" w:themeColor="text1"/>
          <w:sz w:val="24"/>
          <w:szCs w:val="24"/>
        </w:rPr>
        <w:t>.</w:t>
      </w:r>
      <w:r w:rsidRPr="003D5B85">
        <w:rPr>
          <w:rFonts w:ascii="Book Antiqua" w:hAnsi="Book Antiqua"/>
          <w:color w:val="000000" w:themeColor="text1"/>
          <w:sz w:val="24"/>
          <w:szCs w:val="24"/>
        </w:rPr>
        <w:t xml:space="preserve"> </w:t>
      </w:r>
      <w:r w:rsidRPr="003D5B85">
        <w:rPr>
          <w:rFonts w:ascii="Book Antiqua" w:hAnsi="Book Antiqua" w:cs="Times New Roman"/>
          <w:color w:val="000000" w:themeColor="text1"/>
          <w:sz w:val="24"/>
          <w:szCs w:val="24"/>
        </w:rPr>
        <w:t>Although PPIs are generally considered safe, we should strictly adhere to the indications for PPI use in patients with advanced liver disease.</w:t>
      </w:r>
      <w:r w:rsidRPr="003D5B85">
        <w:rPr>
          <w:rFonts w:ascii="Book Antiqua" w:hAnsi="Book Antiqua"/>
          <w:color w:val="000000" w:themeColor="text1"/>
          <w:sz w:val="24"/>
          <w:szCs w:val="24"/>
        </w:rPr>
        <w:t xml:space="preserve"> </w:t>
      </w:r>
      <w:r w:rsidRPr="003D5B85">
        <w:rPr>
          <w:rFonts w:ascii="Book Antiqua" w:hAnsi="Book Antiqua" w:cs="Times New Roman"/>
          <w:color w:val="000000" w:themeColor="text1"/>
          <w:sz w:val="24"/>
          <w:szCs w:val="24"/>
        </w:rPr>
        <w:t>The</w:t>
      </w:r>
      <w:r w:rsidRPr="003D5B85">
        <w:rPr>
          <w:rFonts w:ascii="Book Antiqua" w:hAnsi="Book Antiqua"/>
          <w:color w:val="000000" w:themeColor="text1"/>
          <w:sz w:val="24"/>
          <w:szCs w:val="24"/>
        </w:rPr>
        <w:t xml:space="preserve"> </w:t>
      </w:r>
      <w:r w:rsidRPr="003D5B85">
        <w:rPr>
          <w:rFonts w:ascii="Book Antiqua" w:hAnsi="Book Antiqua" w:cs="Times New Roman"/>
          <w:color w:val="000000" w:themeColor="text1"/>
          <w:sz w:val="24"/>
          <w:szCs w:val="24"/>
        </w:rPr>
        <w:t>accumulated evidence also confirmed that PPIs were associated with diverse</w:t>
      </w:r>
      <w:r w:rsidRPr="003D5B85">
        <w:rPr>
          <w:rFonts w:ascii="Book Antiqua" w:hAnsi="Book Antiqua"/>
          <w:color w:val="000000" w:themeColor="text1"/>
          <w:sz w:val="24"/>
          <w:szCs w:val="24"/>
        </w:rPr>
        <w:t xml:space="preserve"> </w:t>
      </w:r>
      <w:r w:rsidRPr="003D5B85">
        <w:rPr>
          <w:rFonts w:ascii="Book Antiqua" w:hAnsi="Book Antiqua" w:cs="Times New Roman"/>
          <w:color w:val="000000" w:themeColor="text1"/>
          <w:sz w:val="24"/>
          <w:szCs w:val="24"/>
        </w:rPr>
        <w:t xml:space="preserve">adverse effects and even an elevated mortality </w:t>
      </w:r>
      <w:proofErr w:type="gramStart"/>
      <w:r w:rsidRPr="003D5B85">
        <w:rPr>
          <w:rFonts w:ascii="Book Antiqua" w:hAnsi="Book Antiqua" w:cs="Times New Roman"/>
          <w:color w:val="000000" w:themeColor="text1"/>
          <w:sz w:val="24"/>
          <w:szCs w:val="24"/>
        </w:rPr>
        <w:t>rate</w:t>
      </w:r>
      <w:r w:rsidR="00971A4F" w:rsidRPr="003D5B85">
        <w:rPr>
          <w:rFonts w:ascii="Book Antiqua" w:eastAsia="Times New Roman" w:hAnsi="Book Antiqua" w:cs="Times New Roman"/>
          <w:color w:val="000000" w:themeColor="text1"/>
          <w:kern w:val="0"/>
          <w:sz w:val="24"/>
          <w:szCs w:val="24"/>
          <w:vertAlign w:val="superscript"/>
        </w:rPr>
        <w:t>[</w:t>
      </w:r>
      <w:proofErr w:type="gramEnd"/>
      <w:r w:rsidR="00971A4F" w:rsidRPr="003D5B85">
        <w:rPr>
          <w:rFonts w:ascii="Book Antiqua" w:hAnsi="Book Antiqua" w:cs="Times New Roman"/>
          <w:color w:val="000000" w:themeColor="text1"/>
          <w:kern w:val="0"/>
          <w:sz w:val="24"/>
          <w:szCs w:val="24"/>
          <w:vertAlign w:val="superscript"/>
        </w:rPr>
        <w:t>7,32,33]</w:t>
      </w:r>
      <w:r w:rsidRPr="003D5B85">
        <w:rPr>
          <w:rFonts w:ascii="Book Antiqua" w:hAnsi="Book Antiqua" w:cs="Times New Roman"/>
          <w:color w:val="000000" w:themeColor="text1"/>
          <w:sz w:val="24"/>
          <w:szCs w:val="24"/>
        </w:rPr>
        <w:t>.</w:t>
      </w:r>
    </w:p>
    <w:p w14:paraId="73BA600B" w14:textId="603FDD08" w:rsidR="002878A3" w:rsidRPr="003D5B85" w:rsidRDefault="002878A3" w:rsidP="00115F98">
      <w:pPr>
        <w:autoSpaceDE w:val="0"/>
        <w:autoSpaceDN w:val="0"/>
        <w:adjustRightInd w:val="0"/>
        <w:snapToGrid w:val="0"/>
        <w:spacing w:line="360" w:lineRule="auto"/>
        <w:ind w:firstLineChars="100" w:firstLine="240"/>
        <w:rPr>
          <w:rFonts w:ascii="Book Antiqua" w:hAnsi="Book Antiqua" w:cs="Times New Roman"/>
          <w:color w:val="000000" w:themeColor="text1"/>
          <w:sz w:val="24"/>
          <w:szCs w:val="24"/>
        </w:rPr>
      </w:pPr>
      <w:proofErr w:type="spellStart"/>
      <w:r w:rsidRPr="003D5B85">
        <w:rPr>
          <w:rFonts w:ascii="Book Antiqua" w:hAnsi="Book Antiqua" w:cs="Times New Roman"/>
          <w:color w:val="000000" w:themeColor="text1"/>
          <w:sz w:val="24"/>
          <w:szCs w:val="24"/>
        </w:rPr>
        <w:t>Bian</w:t>
      </w:r>
      <w:proofErr w:type="spellEnd"/>
      <w:r w:rsidRPr="003D5B85">
        <w:rPr>
          <w:rFonts w:ascii="Book Antiqua" w:hAnsi="Book Antiqua"/>
          <w:color w:val="000000" w:themeColor="text1"/>
          <w:sz w:val="24"/>
          <w:szCs w:val="24"/>
        </w:rPr>
        <w:t xml:space="preserve"> </w:t>
      </w:r>
      <w:r w:rsidRPr="003D5B85">
        <w:rPr>
          <w:rFonts w:ascii="Book Antiqua" w:hAnsi="Book Antiqua" w:cs="Times New Roman"/>
          <w:i/>
          <w:color w:val="000000" w:themeColor="text1"/>
          <w:sz w:val="24"/>
          <w:szCs w:val="24"/>
        </w:rPr>
        <w:t xml:space="preserve">et </w:t>
      </w:r>
      <w:proofErr w:type="gramStart"/>
      <w:r w:rsidRPr="003D5B85">
        <w:rPr>
          <w:rFonts w:ascii="Book Antiqua" w:hAnsi="Book Antiqua" w:cs="Times New Roman"/>
          <w:i/>
          <w:color w:val="000000" w:themeColor="text1"/>
          <w:sz w:val="24"/>
          <w:szCs w:val="24"/>
        </w:rPr>
        <w:t>al</w:t>
      </w:r>
      <w:bookmarkStart w:id="45" w:name="_Hlk535320528"/>
      <w:r w:rsidR="00CE4F68" w:rsidRPr="003D5B85">
        <w:rPr>
          <w:rFonts w:ascii="Book Antiqua" w:eastAsia="Times New Roman" w:hAnsi="Book Antiqua" w:cs="Times New Roman"/>
          <w:color w:val="000000" w:themeColor="text1"/>
          <w:kern w:val="0"/>
          <w:sz w:val="24"/>
          <w:szCs w:val="24"/>
          <w:vertAlign w:val="superscript"/>
        </w:rPr>
        <w:t>[</w:t>
      </w:r>
      <w:proofErr w:type="gramEnd"/>
      <w:r w:rsidR="00CE4F68" w:rsidRPr="003D5B85">
        <w:rPr>
          <w:rFonts w:ascii="Book Antiqua" w:hAnsi="Book Antiqua" w:cs="Times New Roman"/>
          <w:color w:val="000000" w:themeColor="text1"/>
          <w:kern w:val="0"/>
          <w:sz w:val="24"/>
          <w:szCs w:val="24"/>
          <w:vertAlign w:val="superscript"/>
        </w:rPr>
        <w:t>19]</w:t>
      </w:r>
      <w:r w:rsidRPr="003D5B85">
        <w:rPr>
          <w:rFonts w:ascii="Book Antiqua" w:hAnsi="Book Antiqua" w:cs="Times New Roman"/>
          <w:color w:val="000000" w:themeColor="text1"/>
          <w:sz w:val="24"/>
          <w:szCs w:val="24"/>
        </w:rPr>
        <w:t xml:space="preserve"> performed a meta-analysis</w:t>
      </w:r>
      <w:bookmarkEnd w:id="45"/>
      <w:r w:rsidRPr="003D5B85">
        <w:rPr>
          <w:rFonts w:ascii="Book Antiqua" w:hAnsi="Book Antiqua" w:cs="Times New Roman"/>
          <w:color w:val="000000" w:themeColor="text1"/>
          <w:sz w:val="24"/>
          <w:szCs w:val="24"/>
        </w:rPr>
        <w:t xml:space="preserve"> evaluating the association between PPIs and HE. However, there were some shortcomings that limited the reliability of their conclusions. </w:t>
      </w:r>
      <w:r w:rsidRPr="003D5B85">
        <w:rPr>
          <w:rFonts w:ascii="Book Antiqua" w:eastAsia="等线" w:hAnsi="Book Antiqua" w:cs="Times New Roman"/>
          <w:color w:val="000000" w:themeColor="text1"/>
          <w:sz w:val="24"/>
          <w:szCs w:val="24"/>
        </w:rPr>
        <w:t>First</w:t>
      </w:r>
      <w:r w:rsidRPr="003D5B85">
        <w:rPr>
          <w:rFonts w:ascii="Book Antiqua" w:hAnsi="Book Antiqua" w:cs="Times New Roman"/>
          <w:color w:val="000000" w:themeColor="text1"/>
          <w:sz w:val="24"/>
          <w:szCs w:val="24"/>
        </w:rPr>
        <w:t>, the deadline for the search was December 2016,</w:t>
      </w:r>
      <w:r w:rsidRPr="003D5B85">
        <w:rPr>
          <w:rFonts w:ascii="Book Antiqua" w:hAnsi="Book Antiqua"/>
          <w:color w:val="000000" w:themeColor="text1"/>
          <w:sz w:val="24"/>
          <w:szCs w:val="24"/>
        </w:rPr>
        <w:t xml:space="preserve"> </w:t>
      </w:r>
      <w:r w:rsidRPr="003D5B85">
        <w:rPr>
          <w:rFonts w:ascii="Book Antiqua" w:hAnsi="Book Antiqua" w:cs="Times New Roman"/>
          <w:color w:val="000000" w:themeColor="text1"/>
          <w:sz w:val="24"/>
          <w:szCs w:val="24"/>
        </w:rPr>
        <w:t xml:space="preserve">and only three retrospective studies were included. </w:t>
      </w:r>
      <w:r w:rsidRPr="003D5B85">
        <w:rPr>
          <w:rFonts w:ascii="Book Antiqua" w:eastAsia="等线" w:hAnsi="Book Antiqua" w:cs="Times New Roman"/>
          <w:color w:val="000000" w:themeColor="text1"/>
          <w:sz w:val="24"/>
          <w:szCs w:val="24"/>
        </w:rPr>
        <w:t>Second</w:t>
      </w:r>
      <w:r w:rsidRPr="003D5B85">
        <w:rPr>
          <w:rFonts w:ascii="Book Antiqua" w:hAnsi="Book Antiqua" w:cs="Times New Roman"/>
          <w:color w:val="000000" w:themeColor="text1"/>
          <w:sz w:val="24"/>
          <w:szCs w:val="24"/>
        </w:rPr>
        <w:t>,</w:t>
      </w:r>
      <w:r w:rsidRPr="003D5B85">
        <w:rPr>
          <w:rFonts w:ascii="Book Antiqua" w:hAnsi="Book Antiqua"/>
          <w:color w:val="000000" w:themeColor="text1"/>
          <w:sz w:val="24"/>
          <w:szCs w:val="24"/>
        </w:rPr>
        <w:t xml:space="preserve"> </w:t>
      </w:r>
      <w:r w:rsidRPr="003D5B85">
        <w:rPr>
          <w:rFonts w:ascii="Book Antiqua" w:hAnsi="Book Antiqua" w:cs="Times New Roman"/>
          <w:color w:val="000000" w:themeColor="text1"/>
          <w:sz w:val="24"/>
          <w:szCs w:val="24"/>
        </w:rPr>
        <w:t>the heterogeneity among studies was substantial.</w:t>
      </w:r>
      <w:r w:rsidRPr="003D5B85">
        <w:rPr>
          <w:rFonts w:ascii="Book Antiqua" w:hAnsi="Book Antiqua"/>
          <w:color w:val="000000" w:themeColor="text1"/>
          <w:sz w:val="24"/>
          <w:szCs w:val="24"/>
        </w:rPr>
        <w:t xml:space="preserve"> </w:t>
      </w:r>
      <w:r w:rsidRPr="003D5B85">
        <w:rPr>
          <w:rFonts w:ascii="Book Antiqua" w:hAnsi="Book Antiqua" w:cs="Times New Roman"/>
          <w:color w:val="000000" w:themeColor="text1"/>
          <w:sz w:val="24"/>
          <w:szCs w:val="24"/>
        </w:rPr>
        <w:t>Limited by the small number of included studies,</w:t>
      </w:r>
      <w:r w:rsidRPr="003D5B85">
        <w:rPr>
          <w:rFonts w:ascii="Book Antiqua" w:hAnsi="Book Antiqua"/>
          <w:color w:val="000000" w:themeColor="text1"/>
          <w:sz w:val="24"/>
          <w:szCs w:val="24"/>
        </w:rPr>
        <w:t xml:space="preserve"> </w:t>
      </w:r>
      <w:r w:rsidRPr="003D5B85">
        <w:rPr>
          <w:rFonts w:ascii="Book Antiqua" w:hAnsi="Book Antiqua" w:cs="Times New Roman"/>
          <w:color w:val="000000" w:themeColor="text1"/>
          <w:sz w:val="24"/>
          <w:szCs w:val="24"/>
        </w:rPr>
        <w:t>they did not perform subgroup</w:t>
      </w:r>
      <w:r w:rsidR="00075E23" w:rsidRPr="003D5B85">
        <w:rPr>
          <w:rFonts w:ascii="Book Antiqua" w:hAnsi="Book Antiqua" w:cs="Times New Roman"/>
          <w:color w:val="000000" w:themeColor="text1"/>
          <w:sz w:val="24"/>
          <w:szCs w:val="24"/>
        </w:rPr>
        <w:t xml:space="preserve"> </w:t>
      </w:r>
      <w:r w:rsidRPr="003D5B85">
        <w:rPr>
          <w:rFonts w:ascii="Book Antiqua" w:hAnsi="Book Antiqua" w:cs="Times New Roman"/>
          <w:color w:val="000000" w:themeColor="text1"/>
          <w:sz w:val="24"/>
          <w:szCs w:val="24"/>
        </w:rPr>
        <w:t>or sensitivity analysis.</w:t>
      </w:r>
      <w:r w:rsidRPr="003D5B85">
        <w:rPr>
          <w:rFonts w:ascii="Book Antiqua" w:hAnsi="Book Antiqua"/>
          <w:color w:val="000000" w:themeColor="text1"/>
          <w:sz w:val="24"/>
          <w:szCs w:val="24"/>
        </w:rPr>
        <w:t xml:space="preserve"> </w:t>
      </w:r>
      <w:r w:rsidRPr="003D5B85">
        <w:rPr>
          <w:rFonts w:ascii="Book Antiqua" w:eastAsia="等线" w:hAnsi="Book Antiqua" w:cs="Times New Roman"/>
          <w:color w:val="000000" w:themeColor="text1"/>
          <w:sz w:val="24"/>
          <w:szCs w:val="24"/>
        </w:rPr>
        <w:t>Third</w:t>
      </w:r>
      <w:r w:rsidRPr="003D5B85">
        <w:rPr>
          <w:rFonts w:ascii="Book Antiqua" w:hAnsi="Book Antiqua" w:cs="Times New Roman"/>
          <w:color w:val="000000" w:themeColor="text1"/>
          <w:sz w:val="24"/>
          <w:szCs w:val="24"/>
        </w:rPr>
        <w:t>,</w:t>
      </w:r>
      <w:r w:rsidRPr="003D5B85">
        <w:rPr>
          <w:rFonts w:ascii="Book Antiqua" w:hAnsi="Book Antiqua"/>
          <w:color w:val="000000" w:themeColor="text1"/>
          <w:sz w:val="24"/>
          <w:szCs w:val="24"/>
        </w:rPr>
        <w:t xml:space="preserve"> </w:t>
      </w:r>
      <w:r w:rsidRPr="003D5B85">
        <w:rPr>
          <w:rFonts w:ascii="Book Antiqua" w:hAnsi="Book Antiqua" w:cs="Times New Roman"/>
          <w:color w:val="000000" w:themeColor="text1"/>
          <w:sz w:val="24"/>
          <w:szCs w:val="24"/>
        </w:rPr>
        <w:t>they did not investigate in detail the characteristics of the included studies or evaluate the research quality.</w:t>
      </w:r>
      <w:r w:rsidRPr="003D5B85">
        <w:rPr>
          <w:rFonts w:ascii="Book Antiqua" w:hAnsi="Book Antiqua"/>
          <w:color w:val="000000" w:themeColor="text1"/>
          <w:sz w:val="24"/>
          <w:szCs w:val="24"/>
        </w:rPr>
        <w:t xml:space="preserve"> </w:t>
      </w:r>
      <w:r w:rsidRPr="003D5B85">
        <w:rPr>
          <w:rFonts w:ascii="Book Antiqua" w:hAnsi="Book Antiqua" w:cs="Times New Roman"/>
          <w:color w:val="000000" w:themeColor="text1"/>
          <w:sz w:val="24"/>
          <w:szCs w:val="24"/>
        </w:rPr>
        <w:t>Considering the shortcomings of the previous meta-analysis, this meta-analysis</w:t>
      </w:r>
      <w:r w:rsidRPr="003D5B85">
        <w:rPr>
          <w:rFonts w:ascii="Book Antiqua" w:hAnsi="Book Antiqua"/>
          <w:color w:val="000000" w:themeColor="text1"/>
          <w:sz w:val="24"/>
          <w:szCs w:val="24"/>
        </w:rPr>
        <w:t xml:space="preserve"> </w:t>
      </w:r>
      <w:r w:rsidRPr="003D5B85">
        <w:rPr>
          <w:rFonts w:ascii="Book Antiqua" w:hAnsi="Book Antiqua" w:cs="Times New Roman"/>
          <w:color w:val="000000" w:themeColor="text1"/>
          <w:sz w:val="24"/>
          <w:szCs w:val="24"/>
        </w:rPr>
        <w:t>included</w:t>
      </w:r>
      <w:r w:rsidRPr="003D5B85">
        <w:rPr>
          <w:rFonts w:ascii="Book Antiqua" w:hAnsi="Book Antiqua"/>
          <w:color w:val="000000" w:themeColor="text1"/>
          <w:sz w:val="24"/>
          <w:szCs w:val="24"/>
        </w:rPr>
        <w:t xml:space="preserve"> </w:t>
      </w:r>
      <w:r w:rsidRPr="003D5B85">
        <w:rPr>
          <w:rFonts w:ascii="Book Antiqua" w:hAnsi="Book Antiqua" w:cs="Times New Roman"/>
          <w:color w:val="000000" w:themeColor="text1"/>
          <w:sz w:val="24"/>
          <w:szCs w:val="24"/>
        </w:rPr>
        <w:t xml:space="preserve">more high-quality studies, conducted subgroup and sensitivity </w:t>
      </w:r>
      <w:r w:rsidR="00075E23" w:rsidRPr="003D5B85">
        <w:rPr>
          <w:rFonts w:ascii="Book Antiqua" w:hAnsi="Book Antiqua" w:cs="Times New Roman"/>
          <w:color w:val="000000" w:themeColor="text1"/>
          <w:sz w:val="24"/>
          <w:szCs w:val="24"/>
        </w:rPr>
        <w:t>analyses</w:t>
      </w:r>
      <w:r w:rsidRPr="003D5B85">
        <w:rPr>
          <w:rFonts w:ascii="Book Antiqua" w:hAnsi="Book Antiqua" w:cs="Times New Roman"/>
          <w:color w:val="000000" w:themeColor="text1"/>
          <w:sz w:val="24"/>
          <w:szCs w:val="24"/>
        </w:rPr>
        <w:t xml:space="preserve">, and obtained more reliable results. </w:t>
      </w:r>
      <w:proofErr w:type="spellStart"/>
      <w:r w:rsidRPr="003D5B85">
        <w:rPr>
          <w:rFonts w:ascii="Book Antiqua" w:hAnsi="Book Antiqua" w:cs="Times New Roman"/>
          <w:color w:val="000000" w:themeColor="text1"/>
          <w:sz w:val="24"/>
          <w:szCs w:val="24"/>
        </w:rPr>
        <w:t>Weersink</w:t>
      </w:r>
      <w:proofErr w:type="spellEnd"/>
      <w:r w:rsidRPr="003D5B85">
        <w:rPr>
          <w:rFonts w:ascii="Book Antiqua" w:hAnsi="Book Antiqua"/>
          <w:color w:val="000000" w:themeColor="text1"/>
          <w:sz w:val="24"/>
          <w:szCs w:val="24"/>
        </w:rPr>
        <w:t xml:space="preserve"> </w:t>
      </w:r>
      <w:r w:rsidRPr="003D5B85">
        <w:rPr>
          <w:rFonts w:ascii="Book Antiqua" w:hAnsi="Book Antiqua" w:cs="Times New Roman"/>
          <w:i/>
          <w:color w:val="000000" w:themeColor="text1"/>
          <w:sz w:val="24"/>
          <w:szCs w:val="24"/>
        </w:rPr>
        <w:t xml:space="preserve">et </w:t>
      </w:r>
      <w:proofErr w:type="gramStart"/>
      <w:r w:rsidRPr="003D5B85">
        <w:rPr>
          <w:rFonts w:ascii="Book Antiqua" w:hAnsi="Book Antiqua" w:cs="Times New Roman"/>
          <w:i/>
          <w:color w:val="000000" w:themeColor="text1"/>
          <w:sz w:val="24"/>
          <w:szCs w:val="24"/>
        </w:rPr>
        <w:t>al</w:t>
      </w:r>
      <w:r w:rsidR="004C189E" w:rsidRPr="003D5B85">
        <w:rPr>
          <w:rFonts w:ascii="Book Antiqua" w:eastAsia="Times New Roman" w:hAnsi="Book Antiqua" w:cs="Times New Roman"/>
          <w:color w:val="000000" w:themeColor="text1"/>
          <w:kern w:val="0"/>
          <w:sz w:val="24"/>
          <w:szCs w:val="24"/>
          <w:vertAlign w:val="superscript"/>
        </w:rPr>
        <w:t>[</w:t>
      </w:r>
      <w:proofErr w:type="gramEnd"/>
      <w:r w:rsidR="006A1C10" w:rsidRPr="003D5B85">
        <w:rPr>
          <w:rFonts w:ascii="Book Antiqua" w:hAnsi="Book Antiqua" w:cs="Times New Roman"/>
          <w:color w:val="000000" w:themeColor="text1"/>
          <w:kern w:val="0"/>
          <w:sz w:val="24"/>
          <w:szCs w:val="24"/>
          <w:vertAlign w:val="superscript"/>
        </w:rPr>
        <w:t>34</w:t>
      </w:r>
      <w:r w:rsidR="004C189E" w:rsidRPr="003D5B85">
        <w:rPr>
          <w:rFonts w:ascii="Book Antiqua" w:hAnsi="Book Antiqua" w:cs="Times New Roman"/>
          <w:color w:val="000000" w:themeColor="text1"/>
          <w:kern w:val="0"/>
          <w:sz w:val="24"/>
          <w:szCs w:val="24"/>
          <w:vertAlign w:val="superscript"/>
        </w:rPr>
        <w:t>]</w:t>
      </w:r>
      <w:r w:rsidRPr="003D5B85">
        <w:rPr>
          <w:rFonts w:ascii="Book Antiqua" w:hAnsi="Book Antiqua" w:cs="Times New Roman"/>
          <w:color w:val="000000" w:themeColor="text1"/>
          <w:sz w:val="24"/>
          <w:szCs w:val="24"/>
        </w:rPr>
        <w:t xml:space="preserve"> systematically reviewed the safety of PPIs in patients with cirrhosis and suggested </w:t>
      </w:r>
      <w:r w:rsidRPr="003D5B85">
        <w:rPr>
          <w:rFonts w:ascii="Book Antiqua" w:eastAsia="等线" w:hAnsi="Book Antiqua" w:cs="Times New Roman"/>
          <w:color w:val="000000" w:themeColor="text1"/>
          <w:sz w:val="24"/>
          <w:szCs w:val="24"/>
        </w:rPr>
        <w:t xml:space="preserve">that </w:t>
      </w:r>
      <w:r w:rsidRPr="003D5B85">
        <w:rPr>
          <w:rFonts w:ascii="Book Antiqua" w:hAnsi="Book Antiqua" w:cs="Times New Roman"/>
          <w:color w:val="000000" w:themeColor="text1"/>
          <w:sz w:val="24"/>
          <w:szCs w:val="24"/>
        </w:rPr>
        <w:t>the use of PPIs in patients with</w:t>
      </w:r>
      <w:r w:rsidRPr="003D5B85">
        <w:rPr>
          <w:rFonts w:ascii="Book Antiqua" w:hAnsi="Book Antiqua"/>
          <w:color w:val="000000" w:themeColor="text1"/>
          <w:sz w:val="24"/>
          <w:szCs w:val="24"/>
        </w:rPr>
        <w:t xml:space="preserve"> </w:t>
      </w:r>
      <w:r w:rsidRPr="003D5B85">
        <w:rPr>
          <w:rFonts w:ascii="Book Antiqua" w:hAnsi="Book Antiqua" w:cs="Times New Roman"/>
          <w:color w:val="000000" w:themeColor="text1"/>
          <w:sz w:val="24"/>
          <w:szCs w:val="24"/>
        </w:rPr>
        <w:t>cirrhosis should be carefully considered because of the risk of HE. The results of our quantitative analyses were consistent with the results of theirs,</w:t>
      </w:r>
      <w:r w:rsidRPr="003D5B85">
        <w:rPr>
          <w:rFonts w:ascii="Book Antiqua" w:hAnsi="Book Antiqua"/>
          <w:color w:val="000000" w:themeColor="text1"/>
          <w:sz w:val="24"/>
          <w:szCs w:val="24"/>
        </w:rPr>
        <w:t xml:space="preserve"> </w:t>
      </w:r>
      <w:r w:rsidRPr="003D5B85">
        <w:rPr>
          <w:rFonts w:ascii="Book Antiqua" w:hAnsi="Book Antiqua" w:cs="Times New Roman"/>
          <w:color w:val="000000" w:themeColor="text1"/>
          <w:sz w:val="24"/>
          <w:szCs w:val="24"/>
        </w:rPr>
        <w:t xml:space="preserve">although four studies included in their </w:t>
      </w:r>
      <w:r w:rsidRPr="003D5B85">
        <w:rPr>
          <w:rFonts w:ascii="Book Antiqua" w:hAnsi="Book Antiqua" w:cs="Times New Roman"/>
          <w:color w:val="000000" w:themeColor="text1"/>
          <w:sz w:val="24"/>
          <w:szCs w:val="24"/>
        </w:rPr>
        <w:lastRenderedPageBreak/>
        <w:t>analysis were excluded in this</w:t>
      </w:r>
      <w:r w:rsidRPr="003D5B85">
        <w:rPr>
          <w:rFonts w:ascii="Book Antiqua" w:hAnsi="Book Antiqua"/>
          <w:color w:val="000000" w:themeColor="text1"/>
          <w:sz w:val="24"/>
          <w:szCs w:val="24"/>
        </w:rPr>
        <w:t xml:space="preserve"> </w:t>
      </w:r>
      <w:r w:rsidRPr="003D5B85">
        <w:rPr>
          <w:rFonts w:ascii="Book Antiqua" w:hAnsi="Book Antiqua" w:cs="Times New Roman"/>
          <w:color w:val="000000" w:themeColor="text1"/>
          <w:sz w:val="24"/>
          <w:szCs w:val="24"/>
        </w:rPr>
        <w:t>meta-analysis</w:t>
      </w:r>
      <w:r w:rsidRPr="003D5B85">
        <w:rPr>
          <w:rFonts w:ascii="Book Antiqua" w:eastAsia="等线" w:hAnsi="Book Antiqua" w:cs="Times New Roman"/>
          <w:color w:val="000000" w:themeColor="text1"/>
          <w:sz w:val="24"/>
          <w:szCs w:val="24"/>
        </w:rPr>
        <w:t xml:space="preserve"> </w:t>
      </w:r>
      <w:r w:rsidRPr="003D5B85">
        <w:rPr>
          <w:rFonts w:ascii="Book Antiqua" w:hAnsi="Book Antiqua" w:cs="Times New Roman"/>
          <w:color w:val="000000" w:themeColor="text1"/>
          <w:sz w:val="24"/>
          <w:szCs w:val="24"/>
        </w:rPr>
        <w:t>(no relevant data or incomplete data).</w:t>
      </w:r>
    </w:p>
    <w:p w14:paraId="5B9F2E27" w14:textId="1EF9355F" w:rsidR="001C3612" w:rsidRPr="003D5B85" w:rsidRDefault="002878A3" w:rsidP="00115F98">
      <w:pPr>
        <w:autoSpaceDE w:val="0"/>
        <w:autoSpaceDN w:val="0"/>
        <w:adjustRightInd w:val="0"/>
        <w:snapToGrid w:val="0"/>
        <w:spacing w:line="360" w:lineRule="auto"/>
        <w:ind w:firstLineChars="100" w:firstLine="240"/>
        <w:rPr>
          <w:rFonts w:ascii="Book Antiqua" w:eastAsia="Times New Roman" w:hAnsi="Book Antiqua" w:cs="Times New Roman"/>
          <w:color w:val="000000" w:themeColor="text1"/>
          <w:kern w:val="0"/>
          <w:sz w:val="24"/>
          <w:szCs w:val="24"/>
        </w:rPr>
      </w:pPr>
      <w:r w:rsidRPr="003D5B85">
        <w:rPr>
          <w:rFonts w:ascii="Book Antiqua" w:hAnsi="Book Antiqua" w:cs="Times New Roman"/>
          <w:color w:val="000000" w:themeColor="text1"/>
          <w:sz w:val="24"/>
          <w:szCs w:val="24"/>
        </w:rPr>
        <w:t>The impact of PPIs on the development of HE may be explained by changes in intestinal flora and bacterial translocation.</w:t>
      </w:r>
      <w:r w:rsidRPr="003D5B85">
        <w:rPr>
          <w:rFonts w:ascii="Book Antiqua" w:hAnsi="Book Antiqua"/>
          <w:color w:val="000000" w:themeColor="text1"/>
          <w:sz w:val="24"/>
          <w:szCs w:val="24"/>
        </w:rPr>
        <w:t xml:space="preserve"> </w:t>
      </w:r>
      <w:r w:rsidRPr="003D5B85">
        <w:rPr>
          <w:rFonts w:ascii="Book Antiqua" w:hAnsi="Book Antiqua" w:cs="Times New Roman"/>
          <w:color w:val="000000" w:themeColor="text1"/>
          <w:sz w:val="24"/>
          <w:szCs w:val="24"/>
        </w:rPr>
        <w:t xml:space="preserve">Previous studies have reported a close association between PPI use and </w:t>
      </w:r>
      <w:proofErr w:type="gramStart"/>
      <w:r w:rsidRPr="003D5B85">
        <w:rPr>
          <w:rFonts w:ascii="Book Antiqua" w:hAnsi="Book Antiqua" w:cs="Times New Roman"/>
          <w:color w:val="000000" w:themeColor="text1"/>
          <w:sz w:val="24"/>
          <w:szCs w:val="24"/>
        </w:rPr>
        <w:t>SIBO</w:t>
      </w:r>
      <w:r w:rsidR="00D86304" w:rsidRPr="003D5B85">
        <w:rPr>
          <w:rFonts w:ascii="Book Antiqua" w:eastAsia="Times New Roman" w:hAnsi="Book Antiqua" w:cs="Times New Roman"/>
          <w:color w:val="000000" w:themeColor="text1"/>
          <w:kern w:val="0"/>
          <w:sz w:val="24"/>
          <w:szCs w:val="24"/>
          <w:vertAlign w:val="superscript"/>
        </w:rPr>
        <w:t>[</w:t>
      </w:r>
      <w:proofErr w:type="gramEnd"/>
      <w:r w:rsidR="00967D66" w:rsidRPr="003D5B85">
        <w:rPr>
          <w:rFonts w:ascii="Book Antiqua" w:hAnsi="Book Antiqua" w:cs="Times New Roman"/>
          <w:color w:val="000000" w:themeColor="text1"/>
          <w:kern w:val="0"/>
          <w:sz w:val="24"/>
          <w:szCs w:val="24"/>
          <w:vertAlign w:val="superscript"/>
        </w:rPr>
        <w:t>35,36</w:t>
      </w:r>
      <w:r w:rsidR="00D86304" w:rsidRPr="003D5B85">
        <w:rPr>
          <w:rFonts w:ascii="Book Antiqua" w:hAnsi="Book Antiqua" w:cs="Times New Roman"/>
          <w:color w:val="000000" w:themeColor="text1"/>
          <w:kern w:val="0"/>
          <w:sz w:val="24"/>
          <w:szCs w:val="24"/>
          <w:vertAlign w:val="superscript"/>
        </w:rPr>
        <w:t>]</w:t>
      </w:r>
      <w:r w:rsidRPr="003D5B85">
        <w:rPr>
          <w:rFonts w:ascii="Book Antiqua" w:hAnsi="Book Antiqua" w:cs="Times New Roman"/>
          <w:color w:val="000000" w:themeColor="text1"/>
          <w:sz w:val="24"/>
          <w:szCs w:val="24"/>
        </w:rPr>
        <w:t xml:space="preserve">. </w:t>
      </w:r>
      <w:r w:rsidRPr="003D5B85">
        <w:rPr>
          <w:rFonts w:ascii="Book Antiqua" w:eastAsia="Times New Roman" w:hAnsi="Book Antiqua" w:cs="Times New Roman"/>
          <w:color w:val="000000" w:themeColor="text1"/>
          <w:kern w:val="0"/>
          <w:sz w:val="24"/>
          <w:szCs w:val="24"/>
        </w:rPr>
        <w:t>Moreover, recent studies showed that PPI use was associated with</w:t>
      </w:r>
      <w:r w:rsidRPr="003D5B85">
        <w:rPr>
          <w:rFonts w:ascii="Book Antiqua" w:hAnsi="Book Antiqua" w:cs="Times New Roman"/>
          <w:color w:val="000000" w:themeColor="text1"/>
          <w:sz w:val="24"/>
          <w:szCs w:val="24"/>
        </w:rPr>
        <w:t xml:space="preserve"> a </w:t>
      </w:r>
      <w:r w:rsidRPr="003D5B85">
        <w:rPr>
          <w:rFonts w:ascii="Book Antiqua" w:eastAsia="Times New Roman" w:hAnsi="Book Antiqua" w:cs="Times New Roman"/>
          <w:color w:val="000000" w:themeColor="text1"/>
          <w:kern w:val="0"/>
          <w:sz w:val="24"/>
          <w:szCs w:val="24"/>
        </w:rPr>
        <w:t>less healthy gut microbiome, lower microbial diversity</w:t>
      </w:r>
      <w:r w:rsidR="00075E23" w:rsidRPr="003D5B85">
        <w:rPr>
          <w:rFonts w:ascii="Book Antiqua" w:eastAsia="Times New Roman" w:hAnsi="Book Antiqua" w:cs="Times New Roman"/>
          <w:color w:val="000000" w:themeColor="text1"/>
          <w:kern w:val="0"/>
          <w:sz w:val="24"/>
          <w:szCs w:val="24"/>
        </w:rPr>
        <w:t>,</w:t>
      </w:r>
      <w:r w:rsidRPr="003D5B85">
        <w:rPr>
          <w:rFonts w:ascii="Book Antiqua" w:eastAsia="Times New Roman" w:hAnsi="Book Antiqua" w:cs="Times New Roman"/>
          <w:color w:val="000000" w:themeColor="text1"/>
          <w:kern w:val="0"/>
          <w:sz w:val="24"/>
          <w:szCs w:val="24"/>
        </w:rPr>
        <w:t xml:space="preserve"> and increased prevalence of </w:t>
      </w:r>
      <w:proofErr w:type="spellStart"/>
      <w:proofErr w:type="gramStart"/>
      <w:r w:rsidRPr="003D5B85">
        <w:rPr>
          <w:rFonts w:ascii="Book Antiqua" w:eastAsia="Times New Roman" w:hAnsi="Book Antiqua" w:cs="Times New Roman"/>
          <w:color w:val="000000" w:themeColor="text1"/>
          <w:kern w:val="0"/>
          <w:sz w:val="24"/>
          <w:szCs w:val="24"/>
        </w:rPr>
        <w:t>Streptococcaceae</w:t>
      </w:r>
      <w:proofErr w:type="spellEnd"/>
      <w:r w:rsidR="00D64D74" w:rsidRPr="003D5B85">
        <w:rPr>
          <w:rFonts w:ascii="Book Antiqua" w:eastAsia="Times New Roman" w:hAnsi="Book Antiqua" w:cs="Times New Roman"/>
          <w:color w:val="000000" w:themeColor="text1"/>
          <w:kern w:val="0"/>
          <w:sz w:val="24"/>
          <w:szCs w:val="24"/>
          <w:vertAlign w:val="superscript"/>
        </w:rPr>
        <w:t>[</w:t>
      </w:r>
      <w:proofErr w:type="gramEnd"/>
      <w:r w:rsidR="00D64D74" w:rsidRPr="003D5B85">
        <w:rPr>
          <w:rFonts w:ascii="Book Antiqua" w:hAnsi="Book Antiqua" w:cs="Times New Roman"/>
          <w:color w:val="000000" w:themeColor="text1"/>
          <w:kern w:val="0"/>
          <w:sz w:val="24"/>
          <w:szCs w:val="24"/>
          <w:vertAlign w:val="superscript"/>
        </w:rPr>
        <w:t>37,38]</w:t>
      </w:r>
      <w:r w:rsidRPr="003D5B85">
        <w:rPr>
          <w:rFonts w:ascii="Book Antiqua" w:eastAsia="Times New Roman" w:hAnsi="Book Antiqua" w:cs="Times New Roman"/>
          <w:color w:val="000000" w:themeColor="text1"/>
          <w:kern w:val="0"/>
          <w:sz w:val="24"/>
          <w:szCs w:val="24"/>
        </w:rPr>
        <w:t>.</w:t>
      </w:r>
      <w:r w:rsidRPr="003D5B85">
        <w:rPr>
          <w:rFonts w:ascii="Book Antiqua" w:hAnsi="Book Antiqua" w:cs="Times New Roman"/>
          <w:color w:val="000000" w:themeColor="text1"/>
          <w:sz w:val="24"/>
          <w:szCs w:val="24"/>
        </w:rPr>
        <w:t xml:space="preserve"> </w:t>
      </w:r>
      <w:r w:rsidRPr="003D5B85">
        <w:rPr>
          <w:rFonts w:ascii="Book Antiqua" w:eastAsia="Times New Roman" w:hAnsi="Book Antiqua" w:cs="Times New Roman"/>
          <w:color w:val="000000" w:themeColor="text1"/>
          <w:kern w:val="0"/>
          <w:sz w:val="24"/>
          <w:szCs w:val="24"/>
        </w:rPr>
        <w:t xml:space="preserve">Changes in gut flora have been found to be associated with the development of </w:t>
      </w:r>
      <w:proofErr w:type="gramStart"/>
      <w:r w:rsidRPr="003D5B85">
        <w:rPr>
          <w:rFonts w:ascii="Book Antiqua" w:eastAsia="Times New Roman" w:hAnsi="Book Antiqua" w:cs="Times New Roman"/>
          <w:color w:val="000000" w:themeColor="text1"/>
          <w:kern w:val="0"/>
          <w:sz w:val="24"/>
          <w:szCs w:val="24"/>
        </w:rPr>
        <w:t>HE</w:t>
      </w:r>
      <w:r w:rsidR="006C0E50" w:rsidRPr="003D5B85">
        <w:rPr>
          <w:rFonts w:ascii="Book Antiqua" w:eastAsia="Times New Roman" w:hAnsi="Book Antiqua" w:cs="Times New Roman"/>
          <w:color w:val="000000" w:themeColor="text1"/>
          <w:kern w:val="0"/>
          <w:sz w:val="24"/>
          <w:szCs w:val="24"/>
          <w:vertAlign w:val="superscript"/>
        </w:rPr>
        <w:t>[</w:t>
      </w:r>
      <w:proofErr w:type="gramEnd"/>
      <w:r w:rsidR="006C0E50" w:rsidRPr="003D5B85">
        <w:rPr>
          <w:rFonts w:ascii="Book Antiqua" w:hAnsi="Book Antiqua" w:cs="Times New Roman"/>
          <w:color w:val="000000" w:themeColor="text1"/>
          <w:kern w:val="0"/>
          <w:sz w:val="24"/>
          <w:szCs w:val="24"/>
          <w:vertAlign w:val="superscript"/>
        </w:rPr>
        <w:t>39,40]</w:t>
      </w:r>
      <w:r w:rsidRPr="003D5B85">
        <w:rPr>
          <w:rFonts w:ascii="Book Antiqua" w:eastAsia="Times New Roman" w:hAnsi="Book Antiqua" w:cs="Times New Roman"/>
          <w:color w:val="000000" w:themeColor="text1"/>
          <w:kern w:val="0"/>
          <w:sz w:val="24"/>
          <w:szCs w:val="24"/>
        </w:rPr>
        <w:t xml:space="preserve">. </w:t>
      </w:r>
      <w:r w:rsidRPr="003D5B85">
        <w:rPr>
          <w:rFonts w:ascii="Book Antiqua" w:hAnsi="Book Antiqua" w:cs="Times New Roman"/>
          <w:color w:val="000000" w:themeColor="text1"/>
          <w:kern w:val="0"/>
          <w:sz w:val="24"/>
          <w:szCs w:val="24"/>
        </w:rPr>
        <w:t xml:space="preserve">On the other hand, PPI use may predispose </w:t>
      </w:r>
      <w:r w:rsidRPr="003D5B85">
        <w:rPr>
          <w:rFonts w:ascii="Book Antiqua" w:eastAsia="等线" w:hAnsi="Book Antiqua" w:cs="Times New Roman"/>
          <w:color w:val="000000" w:themeColor="text1"/>
          <w:kern w:val="0"/>
          <w:sz w:val="24"/>
          <w:szCs w:val="24"/>
        </w:rPr>
        <w:t xml:space="preserve">patients </w:t>
      </w:r>
      <w:r w:rsidRPr="003D5B85">
        <w:rPr>
          <w:rFonts w:ascii="Book Antiqua" w:hAnsi="Book Antiqua" w:cs="Times New Roman"/>
          <w:color w:val="000000" w:themeColor="text1"/>
          <w:kern w:val="0"/>
          <w:sz w:val="24"/>
          <w:szCs w:val="24"/>
        </w:rPr>
        <w:t xml:space="preserve">to bacterial infections </w:t>
      </w:r>
      <w:r w:rsidRPr="003D5B85">
        <w:rPr>
          <w:rFonts w:ascii="Book Antiqua" w:eastAsia="Times New Roman" w:hAnsi="Book Antiqua" w:cs="Times New Roman"/>
          <w:color w:val="000000" w:themeColor="text1"/>
          <w:kern w:val="0"/>
          <w:sz w:val="24"/>
          <w:szCs w:val="24"/>
        </w:rPr>
        <w:t xml:space="preserve">by increasing bacterial proliferation and altering gastrointestinal </w:t>
      </w:r>
      <w:proofErr w:type="gramStart"/>
      <w:r w:rsidRPr="003D5B85">
        <w:rPr>
          <w:rFonts w:ascii="Book Antiqua" w:eastAsia="Times New Roman" w:hAnsi="Book Antiqua" w:cs="Times New Roman"/>
          <w:color w:val="000000" w:themeColor="text1"/>
          <w:kern w:val="0"/>
          <w:sz w:val="24"/>
          <w:szCs w:val="24"/>
        </w:rPr>
        <w:t>motility</w:t>
      </w:r>
      <w:r w:rsidR="005A6D52" w:rsidRPr="003D5B85">
        <w:rPr>
          <w:rFonts w:ascii="Book Antiqua" w:eastAsia="Times New Roman" w:hAnsi="Book Antiqua" w:cs="Times New Roman"/>
          <w:color w:val="000000" w:themeColor="text1"/>
          <w:kern w:val="0"/>
          <w:sz w:val="24"/>
          <w:szCs w:val="24"/>
          <w:vertAlign w:val="superscript"/>
        </w:rPr>
        <w:t>[</w:t>
      </w:r>
      <w:proofErr w:type="gramEnd"/>
      <w:r w:rsidR="004B6AA4" w:rsidRPr="003D5B85">
        <w:rPr>
          <w:rFonts w:ascii="Book Antiqua" w:hAnsi="Book Antiqua" w:cs="Times New Roman"/>
          <w:color w:val="000000" w:themeColor="text1"/>
          <w:kern w:val="0"/>
          <w:sz w:val="24"/>
          <w:szCs w:val="24"/>
          <w:vertAlign w:val="superscript"/>
        </w:rPr>
        <w:t>40-43</w:t>
      </w:r>
      <w:r w:rsidR="005A6D52" w:rsidRPr="003D5B85">
        <w:rPr>
          <w:rFonts w:ascii="Book Antiqua" w:hAnsi="Book Antiqua" w:cs="Times New Roman"/>
          <w:color w:val="000000" w:themeColor="text1"/>
          <w:kern w:val="0"/>
          <w:sz w:val="24"/>
          <w:szCs w:val="24"/>
          <w:vertAlign w:val="superscript"/>
        </w:rPr>
        <w:t>]</w:t>
      </w:r>
      <w:r w:rsidRPr="003D5B85">
        <w:rPr>
          <w:rFonts w:ascii="Book Antiqua" w:eastAsia="Times New Roman" w:hAnsi="Book Antiqua" w:cs="Times New Roman"/>
          <w:color w:val="000000" w:themeColor="text1"/>
          <w:kern w:val="0"/>
          <w:sz w:val="24"/>
          <w:szCs w:val="24"/>
        </w:rPr>
        <w:t>.</w:t>
      </w:r>
      <w:r w:rsidRPr="003D5B85">
        <w:rPr>
          <w:rFonts w:ascii="Book Antiqua" w:hAnsi="Book Antiqua" w:cs="Times New Roman"/>
          <w:color w:val="000000" w:themeColor="text1"/>
          <w:sz w:val="24"/>
          <w:szCs w:val="24"/>
        </w:rPr>
        <w:t xml:space="preserve"> </w:t>
      </w:r>
      <w:r w:rsidRPr="003D5B85">
        <w:rPr>
          <w:rFonts w:ascii="Book Antiqua" w:eastAsia="Times New Roman" w:hAnsi="Book Antiqua" w:cs="Times New Roman"/>
          <w:color w:val="000000" w:themeColor="text1"/>
          <w:kern w:val="0"/>
          <w:sz w:val="24"/>
          <w:szCs w:val="24"/>
        </w:rPr>
        <w:t xml:space="preserve">Therefore, PPIs may increase the production and absorption of nitrogenous substances, thereby increasing the risk of </w:t>
      </w:r>
      <w:proofErr w:type="gramStart"/>
      <w:r w:rsidRPr="003D5B85">
        <w:rPr>
          <w:rFonts w:ascii="Book Antiqua" w:eastAsia="Times New Roman" w:hAnsi="Book Antiqua" w:cs="Times New Roman"/>
          <w:color w:val="000000" w:themeColor="text1"/>
          <w:kern w:val="0"/>
          <w:sz w:val="24"/>
          <w:szCs w:val="24"/>
        </w:rPr>
        <w:t>HE</w:t>
      </w:r>
      <w:proofErr w:type="gramEnd"/>
      <w:r w:rsidRPr="003D5B85">
        <w:rPr>
          <w:rFonts w:ascii="Book Antiqua" w:eastAsia="Times New Roman" w:hAnsi="Book Antiqua" w:cs="Times New Roman"/>
          <w:color w:val="000000" w:themeColor="text1"/>
          <w:kern w:val="0"/>
          <w:sz w:val="24"/>
          <w:szCs w:val="24"/>
        </w:rPr>
        <w:t>.</w:t>
      </w:r>
      <w:r w:rsidR="0000524C" w:rsidRPr="003D5B85">
        <w:rPr>
          <w:rFonts w:ascii="Book Antiqua" w:hAnsi="Book Antiqua"/>
          <w:color w:val="000000" w:themeColor="text1"/>
          <w:sz w:val="24"/>
          <w:szCs w:val="24"/>
        </w:rPr>
        <w:t xml:space="preserve"> </w:t>
      </w:r>
      <w:r w:rsidR="0000524C" w:rsidRPr="003D5B85">
        <w:rPr>
          <w:rFonts w:ascii="Book Antiqua" w:eastAsia="Times New Roman" w:hAnsi="Book Antiqua" w:cs="Times New Roman"/>
          <w:color w:val="000000" w:themeColor="text1"/>
          <w:kern w:val="0"/>
          <w:sz w:val="24"/>
          <w:szCs w:val="24"/>
        </w:rPr>
        <w:t>HE in patients with ACLF seems to be different from that of acute decompensation in the clinical and pathophysiological aspect</w:t>
      </w:r>
      <w:r w:rsidR="00075E23" w:rsidRPr="003D5B85">
        <w:rPr>
          <w:rFonts w:ascii="Book Antiqua" w:eastAsia="Times New Roman" w:hAnsi="Book Antiqua" w:cs="Times New Roman"/>
          <w:color w:val="000000" w:themeColor="text1"/>
          <w:kern w:val="0"/>
          <w:sz w:val="24"/>
          <w:szCs w:val="24"/>
        </w:rPr>
        <w:t>s</w:t>
      </w:r>
      <w:r w:rsidR="0000524C" w:rsidRPr="003D5B85">
        <w:rPr>
          <w:rFonts w:ascii="Book Antiqua" w:eastAsia="Times New Roman" w:hAnsi="Book Antiqua" w:cs="Times New Roman"/>
          <w:color w:val="000000" w:themeColor="text1"/>
          <w:kern w:val="0"/>
          <w:sz w:val="24"/>
          <w:szCs w:val="24"/>
        </w:rPr>
        <w:t xml:space="preserve">, </w:t>
      </w:r>
      <w:r w:rsidR="00075E23" w:rsidRPr="003D5B85">
        <w:rPr>
          <w:rFonts w:ascii="Book Antiqua" w:eastAsia="Times New Roman" w:hAnsi="Book Antiqua" w:cs="Times New Roman"/>
          <w:color w:val="000000" w:themeColor="text1"/>
          <w:kern w:val="0"/>
          <w:sz w:val="24"/>
          <w:szCs w:val="24"/>
        </w:rPr>
        <w:t xml:space="preserve">and </w:t>
      </w:r>
      <w:r w:rsidR="0000524C" w:rsidRPr="003D5B85">
        <w:rPr>
          <w:rFonts w:ascii="Book Antiqua" w:eastAsia="Times New Roman" w:hAnsi="Book Antiqua" w:cs="Times New Roman"/>
          <w:color w:val="000000" w:themeColor="text1"/>
          <w:kern w:val="0"/>
          <w:sz w:val="24"/>
          <w:szCs w:val="24"/>
        </w:rPr>
        <w:t xml:space="preserve">the mechanism and classification are still </w:t>
      </w:r>
      <w:proofErr w:type="gramStart"/>
      <w:r w:rsidR="0000524C" w:rsidRPr="003D5B85">
        <w:rPr>
          <w:rFonts w:ascii="Book Antiqua" w:eastAsia="Times New Roman" w:hAnsi="Book Antiqua" w:cs="Times New Roman"/>
          <w:color w:val="000000" w:themeColor="text1"/>
          <w:kern w:val="0"/>
          <w:sz w:val="24"/>
          <w:szCs w:val="24"/>
        </w:rPr>
        <w:t>unknown</w:t>
      </w:r>
      <w:r w:rsidR="001D7B5B" w:rsidRPr="003D5B85">
        <w:rPr>
          <w:rFonts w:ascii="Book Antiqua" w:eastAsia="Times New Roman" w:hAnsi="Book Antiqua" w:cs="Times New Roman"/>
          <w:color w:val="000000" w:themeColor="text1"/>
          <w:kern w:val="0"/>
          <w:sz w:val="24"/>
          <w:szCs w:val="24"/>
          <w:vertAlign w:val="superscript"/>
        </w:rPr>
        <w:t>[</w:t>
      </w:r>
      <w:proofErr w:type="gramEnd"/>
      <w:r w:rsidR="001D7B5B" w:rsidRPr="003D5B85">
        <w:rPr>
          <w:rFonts w:ascii="Book Antiqua" w:hAnsi="Book Antiqua" w:cs="Times New Roman"/>
          <w:color w:val="000000" w:themeColor="text1"/>
          <w:kern w:val="0"/>
          <w:sz w:val="24"/>
          <w:szCs w:val="24"/>
          <w:vertAlign w:val="superscript"/>
        </w:rPr>
        <w:t>44]</w:t>
      </w:r>
      <w:r w:rsidR="0000524C" w:rsidRPr="003D5B85">
        <w:rPr>
          <w:rFonts w:ascii="Book Antiqua" w:eastAsia="Times New Roman" w:hAnsi="Book Antiqua" w:cs="Times New Roman"/>
          <w:color w:val="000000" w:themeColor="text1"/>
          <w:kern w:val="0"/>
          <w:sz w:val="24"/>
          <w:szCs w:val="24"/>
        </w:rPr>
        <w:t>. Systemic inflammation, impaired intestinal mucosal immunity</w:t>
      </w:r>
      <w:r w:rsidR="00075E23" w:rsidRPr="003D5B85">
        <w:rPr>
          <w:rFonts w:ascii="Book Antiqua" w:eastAsia="Times New Roman" w:hAnsi="Book Antiqua" w:cs="Times New Roman"/>
          <w:color w:val="000000" w:themeColor="text1"/>
          <w:kern w:val="0"/>
          <w:sz w:val="24"/>
          <w:szCs w:val="24"/>
        </w:rPr>
        <w:t>,</w:t>
      </w:r>
      <w:r w:rsidR="0000524C" w:rsidRPr="003D5B85">
        <w:rPr>
          <w:rFonts w:ascii="Book Antiqua" w:eastAsia="Times New Roman" w:hAnsi="Book Antiqua" w:cs="Times New Roman"/>
          <w:color w:val="000000" w:themeColor="text1"/>
          <w:kern w:val="0"/>
          <w:sz w:val="24"/>
          <w:szCs w:val="24"/>
        </w:rPr>
        <w:t xml:space="preserve"> and changes of intestinal microbiota may increase the risk of bacterial translocation in patients with </w:t>
      </w:r>
      <w:proofErr w:type="gramStart"/>
      <w:r w:rsidR="0000524C" w:rsidRPr="003D5B85">
        <w:rPr>
          <w:rFonts w:ascii="Book Antiqua" w:eastAsia="Times New Roman" w:hAnsi="Book Antiqua" w:cs="Times New Roman"/>
          <w:color w:val="000000" w:themeColor="text1"/>
          <w:kern w:val="0"/>
          <w:sz w:val="24"/>
          <w:szCs w:val="24"/>
        </w:rPr>
        <w:t>ACLF</w:t>
      </w:r>
      <w:r w:rsidR="002C4EBB" w:rsidRPr="003D5B85">
        <w:rPr>
          <w:rFonts w:ascii="Book Antiqua" w:eastAsia="Times New Roman" w:hAnsi="Book Antiqua" w:cs="Times New Roman"/>
          <w:color w:val="000000" w:themeColor="text1"/>
          <w:kern w:val="0"/>
          <w:sz w:val="24"/>
          <w:szCs w:val="24"/>
          <w:vertAlign w:val="superscript"/>
        </w:rPr>
        <w:t>[</w:t>
      </w:r>
      <w:proofErr w:type="gramEnd"/>
      <w:r w:rsidR="002C4EBB" w:rsidRPr="003D5B85">
        <w:rPr>
          <w:rFonts w:ascii="Book Antiqua" w:hAnsi="Book Antiqua" w:cs="Times New Roman"/>
          <w:color w:val="000000" w:themeColor="text1"/>
          <w:kern w:val="0"/>
          <w:sz w:val="24"/>
          <w:szCs w:val="24"/>
          <w:vertAlign w:val="superscript"/>
        </w:rPr>
        <w:t>45]</w:t>
      </w:r>
      <w:r w:rsidR="0000524C" w:rsidRPr="003D5B85">
        <w:rPr>
          <w:rFonts w:ascii="Book Antiqua" w:eastAsia="Times New Roman" w:hAnsi="Book Antiqua" w:cs="Times New Roman"/>
          <w:color w:val="000000" w:themeColor="text1"/>
          <w:kern w:val="0"/>
          <w:sz w:val="24"/>
          <w:szCs w:val="24"/>
        </w:rPr>
        <w:t xml:space="preserve">. Using PPI in ACLF patients appears to further increase the risk of </w:t>
      </w:r>
      <w:proofErr w:type="gramStart"/>
      <w:r w:rsidR="0000524C" w:rsidRPr="003D5B85">
        <w:rPr>
          <w:rFonts w:ascii="Book Antiqua" w:eastAsia="Times New Roman" w:hAnsi="Book Antiqua" w:cs="Times New Roman"/>
          <w:color w:val="000000" w:themeColor="text1"/>
          <w:kern w:val="0"/>
          <w:sz w:val="24"/>
          <w:szCs w:val="24"/>
        </w:rPr>
        <w:t>HE</w:t>
      </w:r>
      <w:proofErr w:type="gramEnd"/>
      <w:r w:rsidR="0000524C" w:rsidRPr="003D5B85">
        <w:rPr>
          <w:rFonts w:ascii="Book Antiqua" w:eastAsia="Times New Roman" w:hAnsi="Book Antiqua" w:cs="Times New Roman"/>
          <w:color w:val="000000" w:themeColor="text1"/>
          <w:kern w:val="0"/>
          <w:sz w:val="24"/>
          <w:szCs w:val="24"/>
        </w:rPr>
        <w:t>, which requires further research.</w:t>
      </w:r>
      <w:r w:rsidR="004A499B" w:rsidRPr="003D5B85">
        <w:rPr>
          <w:rFonts w:ascii="Book Antiqua" w:hAnsi="Book Antiqua" w:cs="Times New Roman"/>
          <w:color w:val="000000" w:themeColor="text1"/>
          <w:kern w:val="0"/>
          <w:sz w:val="24"/>
          <w:szCs w:val="24"/>
        </w:rPr>
        <w:t xml:space="preserve"> </w:t>
      </w:r>
      <w:r w:rsidR="00346DCB" w:rsidRPr="003D5B85">
        <w:rPr>
          <w:rFonts w:ascii="Book Antiqua" w:hAnsi="Book Antiqua" w:cs="Times New Roman"/>
          <w:color w:val="000000" w:themeColor="text1"/>
          <w:sz w:val="24"/>
          <w:szCs w:val="24"/>
        </w:rPr>
        <w:t xml:space="preserve">Tsai </w:t>
      </w:r>
      <w:r w:rsidR="00346DCB" w:rsidRPr="003D5B85">
        <w:rPr>
          <w:rFonts w:ascii="Book Antiqua" w:hAnsi="Book Antiqua" w:cs="Times New Roman"/>
          <w:i/>
          <w:color w:val="000000" w:themeColor="text1"/>
          <w:sz w:val="24"/>
          <w:szCs w:val="24"/>
        </w:rPr>
        <w:t xml:space="preserve">et </w:t>
      </w:r>
      <w:proofErr w:type="gramStart"/>
      <w:r w:rsidR="00346DCB" w:rsidRPr="003D5B85">
        <w:rPr>
          <w:rFonts w:ascii="Book Antiqua" w:hAnsi="Book Antiqua" w:cs="Times New Roman"/>
          <w:i/>
          <w:color w:val="000000" w:themeColor="text1"/>
          <w:sz w:val="24"/>
          <w:szCs w:val="24"/>
        </w:rPr>
        <w:t>al</w:t>
      </w:r>
      <w:r w:rsidR="003467CE" w:rsidRPr="003D5B85">
        <w:rPr>
          <w:rFonts w:ascii="Book Antiqua" w:eastAsia="Times New Roman" w:hAnsi="Book Antiqua" w:cs="Times New Roman"/>
          <w:color w:val="000000" w:themeColor="text1"/>
          <w:kern w:val="0"/>
          <w:sz w:val="24"/>
          <w:szCs w:val="24"/>
          <w:vertAlign w:val="superscript"/>
        </w:rPr>
        <w:t>[</w:t>
      </w:r>
      <w:proofErr w:type="gramEnd"/>
      <w:r w:rsidR="003467CE" w:rsidRPr="003D5B85">
        <w:rPr>
          <w:rFonts w:ascii="Book Antiqua" w:hAnsi="Book Antiqua" w:cs="Times New Roman"/>
          <w:color w:val="000000" w:themeColor="text1"/>
          <w:kern w:val="0"/>
          <w:sz w:val="24"/>
          <w:szCs w:val="24"/>
          <w:vertAlign w:val="superscript"/>
        </w:rPr>
        <w:t>16]</w:t>
      </w:r>
      <w:r w:rsidR="003467CE" w:rsidRPr="003D5B85">
        <w:rPr>
          <w:rFonts w:ascii="Book Antiqua" w:hAnsi="Book Antiqua" w:cs="Times New Roman"/>
          <w:color w:val="000000" w:themeColor="text1"/>
          <w:sz w:val="24"/>
          <w:szCs w:val="24"/>
        </w:rPr>
        <w:t xml:space="preserve"> </w:t>
      </w:r>
      <w:r w:rsidR="00346DCB" w:rsidRPr="003D5B85">
        <w:rPr>
          <w:rFonts w:ascii="Book Antiqua" w:hAnsi="Book Antiqua" w:cs="Times New Roman"/>
          <w:color w:val="000000" w:themeColor="text1"/>
          <w:sz w:val="24"/>
          <w:szCs w:val="24"/>
        </w:rPr>
        <w:t xml:space="preserve">found that </w:t>
      </w:r>
      <w:proofErr w:type="spellStart"/>
      <w:r w:rsidR="00346DCB" w:rsidRPr="003D5B85">
        <w:rPr>
          <w:rFonts w:ascii="Book Antiqua" w:hAnsi="Book Antiqua" w:cs="Times New Roman"/>
          <w:color w:val="000000" w:themeColor="text1"/>
          <w:sz w:val="24"/>
          <w:szCs w:val="24"/>
        </w:rPr>
        <w:t>rabeprazole</w:t>
      </w:r>
      <w:proofErr w:type="spellEnd"/>
      <w:r w:rsidR="00346DCB" w:rsidRPr="003D5B85">
        <w:rPr>
          <w:rFonts w:ascii="Book Antiqua" w:hAnsi="Book Antiqua" w:cs="Times New Roman"/>
          <w:color w:val="000000" w:themeColor="text1"/>
          <w:sz w:val="24"/>
          <w:szCs w:val="24"/>
        </w:rPr>
        <w:t xml:space="preserve"> was not associated with an increased risk of HE. One reason may be that the sample size of </w:t>
      </w:r>
      <w:proofErr w:type="spellStart"/>
      <w:r w:rsidR="00346DCB" w:rsidRPr="003D5B85">
        <w:rPr>
          <w:rFonts w:ascii="Book Antiqua" w:hAnsi="Book Antiqua" w:cs="Times New Roman"/>
          <w:color w:val="000000" w:themeColor="text1"/>
          <w:sz w:val="24"/>
          <w:szCs w:val="24"/>
        </w:rPr>
        <w:t>rabeprazole</w:t>
      </w:r>
      <w:proofErr w:type="spellEnd"/>
      <w:r w:rsidR="00346DCB" w:rsidRPr="003D5B85">
        <w:rPr>
          <w:rFonts w:ascii="Book Antiqua" w:hAnsi="Book Antiqua" w:cs="Times New Roman"/>
          <w:color w:val="000000" w:themeColor="text1"/>
          <w:sz w:val="24"/>
          <w:szCs w:val="24"/>
        </w:rPr>
        <w:t xml:space="preserve"> users is too small, and another may be the metabolic difference among different types of PPIs. PPs are mainly metabolized in the liver by liver metabolizing isozyme CYP2C19. Based on different combinations of wild-type gene and mutated alleles, CYP2C19 genotypes can be classified as </w:t>
      </w:r>
      <w:r w:rsidR="00075E23" w:rsidRPr="003D5B85">
        <w:rPr>
          <w:rFonts w:ascii="Book Antiqua" w:hAnsi="Book Antiqua" w:cs="Times New Roman"/>
          <w:color w:val="000000" w:themeColor="text1"/>
          <w:sz w:val="24"/>
          <w:szCs w:val="24"/>
        </w:rPr>
        <w:t>ultra-</w:t>
      </w:r>
      <w:r w:rsidR="00346DCB" w:rsidRPr="003D5B85">
        <w:rPr>
          <w:rFonts w:ascii="Book Antiqua" w:hAnsi="Book Antiqua" w:cs="Times New Roman"/>
          <w:color w:val="000000" w:themeColor="text1"/>
          <w:sz w:val="24"/>
          <w:szCs w:val="24"/>
        </w:rPr>
        <w:t>rapid metabolizer, rapid metaboli</w:t>
      </w:r>
      <w:r w:rsidR="00E13D7E" w:rsidRPr="003D5B85">
        <w:rPr>
          <w:rFonts w:ascii="Book Antiqua" w:hAnsi="Book Antiqua" w:cs="Times New Roman"/>
          <w:color w:val="000000" w:themeColor="text1"/>
          <w:sz w:val="24"/>
          <w:szCs w:val="24"/>
        </w:rPr>
        <w:t>z</w:t>
      </w:r>
      <w:r w:rsidR="00346DCB" w:rsidRPr="003D5B85">
        <w:rPr>
          <w:rFonts w:ascii="Book Antiqua" w:hAnsi="Book Antiqua" w:cs="Times New Roman"/>
          <w:color w:val="000000" w:themeColor="text1"/>
          <w:sz w:val="24"/>
          <w:szCs w:val="24"/>
        </w:rPr>
        <w:t>er, intermediate metaboli</w:t>
      </w:r>
      <w:r w:rsidR="00E13D7E" w:rsidRPr="003D5B85">
        <w:rPr>
          <w:rFonts w:ascii="Book Antiqua" w:hAnsi="Book Antiqua" w:cs="Times New Roman"/>
          <w:color w:val="000000" w:themeColor="text1"/>
          <w:sz w:val="24"/>
          <w:szCs w:val="24"/>
        </w:rPr>
        <w:t>z</w:t>
      </w:r>
      <w:r w:rsidR="00346DCB" w:rsidRPr="003D5B85">
        <w:rPr>
          <w:rFonts w:ascii="Book Antiqua" w:hAnsi="Book Antiqua" w:cs="Times New Roman"/>
          <w:color w:val="000000" w:themeColor="text1"/>
          <w:sz w:val="24"/>
          <w:szCs w:val="24"/>
        </w:rPr>
        <w:t>er</w:t>
      </w:r>
      <w:r w:rsidR="00075E23" w:rsidRPr="003D5B85">
        <w:rPr>
          <w:rFonts w:ascii="Book Antiqua" w:hAnsi="Book Antiqua" w:cs="Times New Roman"/>
          <w:color w:val="000000" w:themeColor="text1"/>
          <w:sz w:val="24"/>
          <w:szCs w:val="24"/>
        </w:rPr>
        <w:t>,</w:t>
      </w:r>
      <w:r w:rsidR="00346DCB" w:rsidRPr="003D5B85">
        <w:rPr>
          <w:rFonts w:ascii="Book Antiqua" w:hAnsi="Book Antiqua" w:cs="Times New Roman"/>
          <w:color w:val="000000" w:themeColor="text1"/>
          <w:sz w:val="24"/>
          <w:szCs w:val="24"/>
        </w:rPr>
        <w:t xml:space="preserve"> and poor </w:t>
      </w:r>
      <w:proofErr w:type="gramStart"/>
      <w:r w:rsidR="00346DCB" w:rsidRPr="003D5B85">
        <w:rPr>
          <w:rFonts w:ascii="Book Antiqua" w:hAnsi="Book Antiqua" w:cs="Times New Roman"/>
          <w:color w:val="000000" w:themeColor="text1"/>
          <w:sz w:val="24"/>
          <w:szCs w:val="24"/>
        </w:rPr>
        <w:t>metabolizer</w:t>
      </w:r>
      <w:r w:rsidR="00AD0C65" w:rsidRPr="003D5B85">
        <w:rPr>
          <w:rFonts w:ascii="Book Antiqua" w:eastAsia="Times New Roman" w:hAnsi="Book Antiqua" w:cs="Times New Roman"/>
          <w:color w:val="000000" w:themeColor="text1"/>
          <w:kern w:val="0"/>
          <w:sz w:val="24"/>
          <w:szCs w:val="24"/>
          <w:vertAlign w:val="superscript"/>
        </w:rPr>
        <w:t>[</w:t>
      </w:r>
      <w:proofErr w:type="gramEnd"/>
      <w:r w:rsidR="00AD0C65" w:rsidRPr="003D5B85">
        <w:rPr>
          <w:rFonts w:ascii="Book Antiqua" w:hAnsi="Book Antiqua" w:cs="Times New Roman"/>
          <w:color w:val="000000" w:themeColor="text1"/>
          <w:kern w:val="0"/>
          <w:sz w:val="24"/>
          <w:szCs w:val="24"/>
          <w:vertAlign w:val="superscript"/>
        </w:rPr>
        <w:t>46,47]</w:t>
      </w:r>
      <w:r w:rsidR="00346DCB" w:rsidRPr="003D5B85">
        <w:rPr>
          <w:rFonts w:ascii="Book Antiqua" w:hAnsi="Book Antiqua" w:cs="Times New Roman"/>
          <w:color w:val="000000" w:themeColor="text1"/>
          <w:sz w:val="24"/>
          <w:szCs w:val="24"/>
        </w:rPr>
        <w:t xml:space="preserve">. Different genotypes can influence pharmacokinetics and acid-suppressive effect. In addition, individual PPI has its own unique metabolic </w:t>
      </w:r>
      <w:proofErr w:type="gramStart"/>
      <w:r w:rsidR="00346DCB" w:rsidRPr="003D5B85">
        <w:rPr>
          <w:rFonts w:ascii="Book Antiqua" w:hAnsi="Book Antiqua" w:cs="Times New Roman"/>
          <w:color w:val="000000" w:themeColor="text1"/>
          <w:sz w:val="24"/>
          <w:szCs w:val="24"/>
        </w:rPr>
        <w:t>pathway</w:t>
      </w:r>
      <w:r w:rsidR="002F71A7" w:rsidRPr="003D5B85">
        <w:rPr>
          <w:rFonts w:ascii="Book Antiqua" w:eastAsia="Times New Roman" w:hAnsi="Book Antiqua" w:cs="Times New Roman"/>
          <w:color w:val="000000" w:themeColor="text1"/>
          <w:kern w:val="0"/>
          <w:sz w:val="24"/>
          <w:szCs w:val="24"/>
          <w:vertAlign w:val="superscript"/>
        </w:rPr>
        <w:t>[</w:t>
      </w:r>
      <w:proofErr w:type="gramEnd"/>
      <w:r w:rsidR="002F71A7" w:rsidRPr="003D5B85">
        <w:rPr>
          <w:rFonts w:ascii="Book Antiqua" w:hAnsi="Book Antiqua" w:cs="Times New Roman"/>
          <w:color w:val="000000" w:themeColor="text1"/>
          <w:kern w:val="0"/>
          <w:sz w:val="24"/>
          <w:szCs w:val="24"/>
          <w:vertAlign w:val="superscript"/>
        </w:rPr>
        <w:t>47]</w:t>
      </w:r>
      <w:r w:rsidR="00346DCB" w:rsidRPr="003D5B85">
        <w:rPr>
          <w:rFonts w:ascii="Book Antiqua" w:hAnsi="Book Antiqua" w:cs="Times New Roman"/>
          <w:color w:val="000000" w:themeColor="text1"/>
          <w:sz w:val="24"/>
          <w:szCs w:val="24"/>
        </w:rPr>
        <w:t>. These metabolic differences of PPIs may affect the occurrence of HE, and this deserves further research.</w:t>
      </w:r>
    </w:p>
    <w:p w14:paraId="22A9AEEB" w14:textId="59813987" w:rsidR="002878A3" w:rsidRPr="003D5B85" w:rsidRDefault="002878A3" w:rsidP="00E13D7E">
      <w:pPr>
        <w:autoSpaceDE w:val="0"/>
        <w:autoSpaceDN w:val="0"/>
        <w:adjustRightInd w:val="0"/>
        <w:snapToGrid w:val="0"/>
        <w:spacing w:line="360" w:lineRule="auto"/>
        <w:ind w:firstLineChars="100" w:firstLine="240"/>
        <w:rPr>
          <w:rFonts w:ascii="Book Antiqua" w:eastAsia="等线" w:hAnsi="Book Antiqua" w:cs="Times New Roman"/>
          <w:color w:val="000000" w:themeColor="text1"/>
          <w:sz w:val="24"/>
          <w:szCs w:val="24"/>
        </w:rPr>
      </w:pPr>
      <w:r w:rsidRPr="003D5B85">
        <w:rPr>
          <w:rFonts w:ascii="Book Antiqua" w:eastAsia="Times New Roman" w:hAnsi="Book Antiqua" w:cs="Times New Roman"/>
          <w:color w:val="000000" w:themeColor="text1"/>
          <w:kern w:val="0"/>
          <w:sz w:val="24"/>
          <w:szCs w:val="24"/>
        </w:rPr>
        <w:t>Our meta-analysis has some limitations.</w:t>
      </w:r>
      <w:r w:rsidRPr="003D5B85">
        <w:rPr>
          <w:rFonts w:ascii="Book Antiqua" w:eastAsia="等线" w:hAnsi="Book Antiqua" w:cs="Times New Roman"/>
          <w:color w:val="000000" w:themeColor="text1"/>
          <w:sz w:val="24"/>
          <w:szCs w:val="24"/>
        </w:rPr>
        <w:t xml:space="preserve"> First,</w:t>
      </w:r>
      <w:r w:rsidRPr="003D5B85">
        <w:rPr>
          <w:rFonts w:ascii="Book Antiqua" w:hAnsi="Book Antiqua" w:cs="Times New Roman"/>
          <w:color w:val="000000" w:themeColor="text1"/>
          <w:sz w:val="24"/>
          <w:szCs w:val="24"/>
        </w:rPr>
        <w:t xml:space="preserve"> </w:t>
      </w:r>
      <w:r w:rsidRPr="003D5B85">
        <w:rPr>
          <w:rFonts w:ascii="Book Antiqua" w:eastAsia="等线" w:hAnsi="Book Antiqua" w:cs="Times New Roman"/>
          <w:color w:val="000000" w:themeColor="text1"/>
          <w:sz w:val="24"/>
          <w:szCs w:val="24"/>
        </w:rPr>
        <w:t xml:space="preserve">the number of studies included </w:t>
      </w:r>
      <w:r w:rsidRPr="003D5B85">
        <w:rPr>
          <w:rFonts w:ascii="Book Antiqua" w:eastAsia="等线" w:hAnsi="Book Antiqua" w:cs="Times New Roman"/>
          <w:color w:val="000000" w:themeColor="text1"/>
          <w:sz w:val="24"/>
          <w:szCs w:val="24"/>
        </w:rPr>
        <w:lastRenderedPageBreak/>
        <w:t>was small, and only six studies were included after the conference abstracts were excluded. Furthermore, only one study was a prospective cohort study,</w:t>
      </w:r>
      <w:r w:rsidRPr="003D5B85">
        <w:rPr>
          <w:rFonts w:ascii="Book Antiqua" w:hAnsi="Book Antiqua" w:cs="Times New Roman"/>
          <w:color w:val="000000" w:themeColor="text1"/>
          <w:sz w:val="24"/>
          <w:szCs w:val="24"/>
        </w:rPr>
        <w:t xml:space="preserve"> </w:t>
      </w:r>
      <w:r w:rsidRPr="003D5B85">
        <w:rPr>
          <w:rFonts w:ascii="Book Antiqua" w:eastAsia="等线" w:hAnsi="Book Antiqua" w:cs="Times New Roman"/>
          <w:color w:val="000000" w:themeColor="text1"/>
          <w:sz w:val="24"/>
          <w:szCs w:val="24"/>
        </w:rPr>
        <w:t>and the rest were retrospective cohort studies or case-control studies. Although these studies were of high quality, their inherent limitations based on</w:t>
      </w:r>
      <w:r w:rsidRPr="003D5B85">
        <w:rPr>
          <w:rFonts w:ascii="Book Antiqua" w:hAnsi="Book Antiqua" w:cs="Times New Roman"/>
          <w:color w:val="000000" w:themeColor="text1"/>
          <w:sz w:val="24"/>
          <w:szCs w:val="24"/>
        </w:rPr>
        <w:t xml:space="preserve"> </w:t>
      </w:r>
      <w:r w:rsidRPr="003D5B85">
        <w:rPr>
          <w:rFonts w:ascii="Book Antiqua" w:eastAsia="等线" w:hAnsi="Book Antiqua" w:cs="Times New Roman"/>
          <w:color w:val="000000" w:themeColor="text1"/>
          <w:sz w:val="24"/>
          <w:szCs w:val="24"/>
        </w:rPr>
        <w:t>design</w:t>
      </w:r>
      <w:r w:rsidRPr="003D5B85">
        <w:rPr>
          <w:rFonts w:ascii="Book Antiqua" w:hAnsi="Book Antiqua" w:cs="Times New Roman"/>
          <w:color w:val="000000" w:themeColor="text1"/>
          <w:sz w:val="24"/>
          <w:szCs w:val="24"/>
        </w:rPr>
        <w:t xml:space="preserve"> </w:t>
      </w:r>
      <w:r w:rsidR="00075E23" w:rsidRPr="003D5B85">
        <w:rPr>
          <w:rFonts w:ascii="Book Antiqua" w:eastAsia="等线" w:hAnsi="Book Antiqua" w:cs="Times New Roman"/>
          <w:color w:val="000000" w:themeColor="text1"/>
          <w:sz w:val="24"/>
          <w:szCs w:val="24"/>
        </w:rPr>
        <w:t xml:space="preserve">inhibited </w:t>
      </w:r>
      <w:r w:rsidRPr="003D5B85">
        <w:rPr>
          <w:rFonts w:ascii="Book Antiqua" w:eastAsia="等线" w:hAnsi="Book Antiqua" w:cs="Times New Roman"/>
          <w:color w:val="000000" w:themeColor="text1"/>
          <w:sz w:val="24"/>
          <w:szCs w:val="24"/>
        </w:rPr>
        <w:t>our ability to establish clear causality. Second,</w:t>
      </w:r>
      <w:r w:rsidRPr="003D5B85">
        <w:rPr>
          <w:rFonts w:ascii="Book Antiqua" w:hAnsi="Book Antiqua" w:cs="Times New Roman"/>
          <w:color w:val="000000" w:themeColor="text1"/>
          <w:sz w:val="24"/>
          <w:szCs w:val="24"/>
        </w:rPr>
        <w:t xml:space="preserve"> </w:t>
      </w:r>
      <w:r w:rsidRPr="003D5B85">
        <w:rPr>
          <w:rFonts w:ascii="Book Antiqua" w:eastAsia="等线" w:hAnsi="Book Antiqua" w:cs="Times New Roman"/>
          <w:color w:val="000000" w:themeColor="text1"/>
          <w:sz w:val="24"/>
          <w:szCs w:val="24"/>
        </w:rPr>
        <w:t>the heterogeneity among the included studies was significant. However,</w:t>
      </w:r>
      <w:r w:rsidRPr="003D5B85">
        <w:rPr>
          <w:rFonts w:ascii="Book Antiqua" w:eastAsia="等线" w:hAnsi="Book Antiqua" w:cs="Times New Roman"/>
          <w:color w:val="000000" w:themeColor="text1"/>
          <w:kern w:val="0"/>
          <w:sz w:val="24"/>
          <w:szCs w:val="24"/>
        </w:rPr>
        <w:t xml:space="preserve"> we performed subgroup analyses and found that the heterogeneity may stem from the differences in study designs and definitions of PPI use.</w:t>
      </w:r>
      <w:r w:rsidRPr="003D5B85">
        <w:rPr>
          <w:rFonts w:ascii="Book Antiqua" w:hAnsi="Book Antiqua" w:cs="Times New Roman"/>
          <w:color w:val="000000" w:themeColor="text1"/>
          <w:sz w:val="24"/>
          <w:szCs w:val="24"/>
        </w:rPr>
        <w:t xml:space="preserve"> </w:t>
      </w:r>
      <w:r w:rsidRPr="003D5B85">
        <w:rPr>
          <w:rFonts w:ascii="Book Antiqua" w:eastAsia="等线" w:hAnsi="Book Antiqua" w:cs="Times New Roman"/>
          <w:color w:val="000000" w:themeColor="text1"/>
          <w:kern w:val="0"/>
          <w:sz w:val="24"/>
          <w:szCs w:val="24"/>
        </w:rPr>
        <w:t>When the heterogeneity was significantly reduced in the stratification analyses, the risk of HE was still present.</w:t>
      </w:r>
      <w:r w:rsidRPr="003D5B85">
        <w:rPr>
          <w:rFonts w:ascii="Book Antiqua" w:hAnsi="Book Antiqua" w:cs="Times New Roman"/>
          <w:color w:val="000000" w:themeColor="text1"/>
          <w:sz w:val="24"/>
          <w:szCs w:val="24"/>
        </w:rPr>
        <w:t xml:space="preserve"> </w:t>
      </w:r>
      <w:r w:rsidRPr="003D5B85">
        <w:rPr>
          <w:rFonts w:ascii="Book Antiqua" w:eastAsia="等线" w:hAnsi="Book Antiqua" w:cs="Times New Roman"/>
          <w:color w:val="000000" w:themeColor="text1"/>
          <w:kern w:val="0"/>
          <w:sz w:val="24"/>
          <w:szCs w:val="24"/>
        </w:rPr>
        <w:t xml:space="preserve">Limited by the small number of studies, some subgroups only consisted of one or two studies. </w:t>
      </w:r>
      <w:r w:rsidRPr="003D5B85">
        <w:rPr>
          <w:rFonts w:ascii="Book Antiqua" w:eastAsia="等线" w:hAnsi="Book Antiqua" w:cs="Times New Roman"/>
          <w:color w:val="000000" w:themeColor="text1"/>
          <w:sz w:val="24"/>
          <w:szCs w:val="24"/>
        </w:rPr>
        <w:t>Third,</w:t>
      </w:r>
      <w:r w:rsidRPr="003D5B85">
        <w:rPr>
          <w:rFonts w:ascii="Book Antiqua" w:hAnsi="Book Antiqua" w:cs="Times New Roman"/>
          <w:color w:val="000000" w:themeColor="text1"/>
          <w:sz w:val="24"/>
          <w:szCs w:val="24"/>
        </w:rPr>
        <w:t xml:space="preserve"> </w:t>
      </w:r>
      <w:r w:rsidRPr="003D5B85">
        <w:rPr>
          <w:rFonts w:ascii="Book Antiqua" w:eastAsia="等线" w:hAnsi="Book Antiqua" w:cs="Times New Roman"/>
          <w:color w:val="000000" w:themeColor="text1"/>
          <w:sz w:val="24"/>
          <w:szCs w:val="24"/>
        </w:rPr>
        <w:t>our findings may have been affected by publication bias.</w:t>
      </w:r>
      <w:r w:rsidRPr="003D5B85">
        <w:rPr>
          <w:rFonts w:ascii="Book Antiqua" w:hAnsi="Book Antiqua" w:cs="Times New Roman"/>
          <w:color w:val="000000" w:themeColor="text1"/>
          <w:sz w:val="24"/>
          <w:szCs w:val="24"/>
        </w:rPr>
        <w:t xml:space="preserve"> </w:t>
      </w:r>
      <w:r w:rsidRPr="003D5B85">
        <w:rPr>
          <w:rFonts w:ascii="Book Antiqua" w:eastAsia="等线" w:hAnsi="Book Antiqua" w:cs="Times New Roman"/>
          <w:color w:val="000000" w:themeColor="text1"/>
          <w:sz w:val="24"/>
          <w:szCs w:val="24"/>
        </w:rPr>
        <w:t>Additional data from one study and three abstracts may be relevant, but we were unable to obtain the data even after attempting to contact the authors. Fourth, the definitions of PPI use differed substantially among the different studies. The studies included in our analysis defined a patient as a PPI user if the patient was using PPIs or had used PPIs for a short period of time in the past. During the progression of liver disease, the actual use of PPIs by individuals is unknown. However, the potential impact of this unknown factor can affect both the PPI and non-PPI groups. Fifth,</w:t>
      </w:r>
      <w:r w:rsidRPr="003D5B85">
        <w:rPr>
          <w:rFonts w:ascii="Book Antiqua" w:hAnsi="Book Antiqua" w:cs="Times New Roman"/>
          <w:color w:val="000000" w:themeColor="text1"/>
          <w:sz w:val="24"/>
          <w:szCs w:val="24"/>
        </w:rPr>
        <w:t xml:space="preserve"> </w:t>
      </w:r>
      <w:r w:rsidRPr="003D5B85">
        <w:rPr>
          <w:rFonts w:ascii="Book Antiqua" w:eastAsia="等线" w:hAnsi="Book Antiqua" w:cs="Times New Roman"/>
          <w:color w:val="000000" w:themeColor="text1"/>
          <w:sz w:val="24"/>
          <w:szCs w:val="24"/>
        </w:rPr>
        <w:t xml:space="preserve">although we performed the meta-analysis using adjusted estimates, the variables used for adjustment varied among the studies. We cannot exclude the possibility that these differences and other unknown factors may play roles in the </w:t>
      </w:r>
      <w:r w:rsidRPr="003D5B85">
        <w:rPr>
          <w:rFonts w:ascii="Book Antiqua" w:eastAsia="等线" w:hAnsi="Book Antiqua" w:cs="Times New Roman"/>
          <w:color w:val="000000" w:themeColor="text1"/>
          <w:kern w:val="0"/>
          <w:sz w:val="24"/>
          <w:szCs w:val="24"/>
        </w:rPr>
        <w:t xml:space="preserve">progression to </w:t>
      </w:r>
      <w:proofErr w:type="gramStart"/>
      <w:r w:rsidRPr="003D5B85">
        <w:rPr>
          <w:rFonts w:ascii="Book Antiqua" w:eastAsia="等线" w:hAnsi="Book Antiqua" w:cs="Times New Roman"/>
          <w:color w:val="000000" w:themeColor="text1"/>
          <w:kern w:val="0"/>
          <w:sz w:val="24"/>
          <w:szCs w:val="24"/>
        </w:rPr>
        <w:t>HE</w:t>
      </w:r>
      <w:proofErr w:type="gramEnd"/>
      <w:r w:rsidRPr="003D5B85">
        <w:rPr>
          <w:rFonts w:ascii="Book Antiqua" w:eastAsia="等线" w:hAnsi="Book Antiqua" w:cs="Times New Roman"/>
          <w:color w:val="000000" w:themeColor="text1"/>
          <w:kern w:val="0"/>
          <w:sz w:val="24"/>
          <w:szCs w:val="24"/>
        </w:rPr>
        <w:t>.</w:t>
      </w:r>
      <w:r w:rsidR="0046698A" w:rsidRPr="003D5B85">
        <w:rPr>
          <w:rFonts w:ascii="Book Antiqua" w:hAnsi="Book Antiqua"/>
          <w:color w:val="000000" w:themeColor="text1"/>
          <w:sz w:val="24"/>
          <w:szCs w:val="24"/>
        </w:rPr>
        <w:t xml:space="preserve"> </w:t>
      </w:r>
      <w:r w:rsidR="0046698A" w:rsidRPr="003D5B85">
        <w:rPr>
          <w:rFonts w:ascii="Book Antiqua" w:eastAsia="等线" w:hAnsi="Book Antiqua" w:cs="Times New Roman"/>
          <w:color w:val="000000" w:themeColor="text1"/>
          <w:kern w:val="0"/>
          <w:sz w:val="24"/>
          <w:szCs w:val="24"/>
        </w:rPr>
        <w:t>The incidence of minimal HE was not assessed in most included studies, which might underestimate the risk of overall HE in PPI users.</w:t>
      </w:r>
      <w:r w:rsidRPr="003D5B85">
        <w:rPr>
          <w:rFonts w:ascii="Book Antiqua" w:hAnsi="Book Antiqua" w:cs="Times New Roman"/>
          <w:color w:val="000000" w:themeColor="text1"/>
          <w:sz w:val="24"/>
          <w:szCs w:val="24"/>
        </w:rPr>
        <w:t xml:space="preserve"> </w:t>
      </w:r>
      <w:r w:rsidR="00516D70" w:rsidRPr="003D5B85">
        <w:rPr>
          <w:rFonts w:ascii="Book Antiqua" w:hAnsi="Book Antiqua" w:cs="Times New Roman"/>
          <w:color w:val="000000" w:themeColor="text1"/>
          <w:sz w:val="24"/>
          <w:szCs w:val="24"/>
        </w:rPr>
        <w:t xml:space="preserve">Some studies included special patients, which may lead to selection bias. </w:t>
      </w:r>
      <w:r w:rsidRPr="003D5B85">
        <w:rPr>
          <w:rFonts w:ascii="Book Antiqua" w:eastAsia="等线" w:hAnsi="Book Antiqua" w:cs="Times New Roman"/>
          <w:color w:val="000000" w:themeColor="text1"/>
          <w:kern w:val="0"/>
          <w:sz w:val="24"/>
          <w:szCs w:val="24"/>
        </w:rPr>
        <w:t>Finally,</w:t>
      </w:r>
      <w:r w:rsidRPr="003D5B85">
        <w:rPr>
          <w:rFonts w:ascii="Book Antiqua" w:eastAsia="等线" w:hAnsi="Book Antiqua" w:cs="Times New Roman"/>
          <w:color w:val="000000" w:themeColor="text1"/>
          <w:sz w:val="24"/>
          <w:szCs w:val="24"/>
        </w:rPr>
        <w:t xml:space="preserve"> due to insufficient data,</w:t>
      </w:r>
      <w:r w:rsidRPr="003D5B85">
        <w:rPr>
          <w:rFonts w:ascii="Book Antiqua" w:hAnsi="Book Antiqua" w:cs="Times New Roman"/>
          <w:color w:val="000000" w:themeColor="text1"/>
          <w:sz w:val="24"/>
          <w:szCs w:val="24"/>
        </w:rPr>
        <w:t xml:space="preserve"> </w:t>
      </w:r>
      <w:r w:rsidRPr="003D5B85">
        <w:rPr>
          <w:rFonts w:ascii="Book Antiqua" w:eastAsia="等线" w:hAnsi="Book Antiqua" w:cs="Times New Roman"/>
          <w:color w:val="000000" w:themeColor="text1"/>
          <w:sz w:val="24"/>
          <w:szCs w:val="24"/>
        </w:rPr>
        <w:t xml:space="preserve">we were unable to explore the association between the risk of </w:t>
      </w:r>
      <w:proofErr w:type="gramStart"/>
      <w:r w:rsidRPr="003D5B85">
        <w:rPr>
          <w:rFonts w:ascii="Book Antiqua" w:eastAsia="等线" w:hAnsi="Book Antiqua" w:cs="Times New Roman"/>
          <w:color w:val="000000" w:themeColor="text1"/>
          <w:sz w:val="24"/>
          <w:szCs w:val="24"/>
        </w:rPr>
        <w:t>HE</w:t>
      </w:r>
      <w:proofErr w:type="gramEnd"/>
      <w:r w:rsidRPr="003D5B85">
        <w:rPr>
          <w:rFonts w:ascii="Book Antiqua" w:eastAsia="等线" w:hAnsi="Book Antiqua" w:cs="Times New Roman"/>
          <w:color w:val="000000" w:themeColor="text1"/>
          <w:sz w:val="24"/>
          <w:szCs w:val="24"/>
        </w:rPr>
        <w:t xml:space="preserve"> and the type of PPI, </w:t>
      </w:r>
      <w:r w:rsidR="006F0DFA" w:rsidRPr="003D5B85">
        <w:rPr>
          <w:rFonts w:ascii="Book Antiqua" w:eastAsia="等线" w:hAnsi="Book Antiqua" w:cs="Times New Roman"/>
          <w:color w:val="000000" w:themeColor="text1"/>
          <w:sz w:val="24"/>
          <w:szCs w:val="24"/>
        </w:rPr>
        <w:t xml:space="preserve">indication for PPI treatment, </w:t>
      </w:r>
      <w:r w:rsidRPr="003D5B85">
        <w:rPr>
          <w:rFonts w:ascii="Book Antiqua" w:eastAsia="等线" w:hAnsi="Book Antiqua" w:cs="Times New Roman"/>
          <w:color w:val="000000" w:themeColor="text1"/>
          <w:sz w:val="24"/>
          <w:szCs w:val="24"/>
        </w:rPr>
        <w:t>time of PPI treatment,</w:t>
      </w:r>
      <w:r w:rsidRPr="003D5B85">
        <w:rPr>
          <w:rFonts w:ascii="Book Antiqua" w:hAnsi="Book Antiqua" w:cs="Times New Roman"/>
          <w:color w:val="000000" w:themeColor="text1"/>
          <w:sz w:val="24"/>
          <w:szCs w:val="24"/>
        </w:rPr>
        <w:t xml:space="preserve"> </w:t>
      </w:r>
      <w:r w:rsidRPr="003D5B85">
        <w:rPr>
          <w:rFonts w:ascii="Book Antiqua" w:eastAsia="等线" w:hAnsi="Book Antiqua" w:cs="Times New Roman"/>
          <w:color w:val="000000" w:themeColor="text1"/>
          <w:sz w:val="24"/>
          <w:szCs w:val="24"/>
        </w:rPr>
        <w:t>or method of PPI administration (oral/intravenous). We cannot predict whether the risk of HE changes after discontinuing the use of PPIs. These problems urgently need to be addressed in future studies.</w:t>
      </w:r>
    </w:p>
    <w:p w14:paraId="62A82438" w14:textId="19CF7EF5" w:rsidR="002878A3" w:rsidRPr="003D5B85" w:rsidRDefault="002878A3" w:rsidP="00E13D7E">
      <w:pPr>
        <w:autoSpaceDE w:val="0"/>
        <w:autoSpaceDN w:val="0"/>
        <w:adjustRightInd w:val="0"/>
        <w:snapToGrid w:val="0"/>
        <w:spacing w:line="360" w:lineRule="auto"/>
        <w:ind w:firstLineChars="100" w:firstLine="240"/>
        <w:rPr>
          <w:rFonts w:ascii="Book Antiqua" w:eastAsia="等线" w:hAnsi="Book Antiqua" w:cs="Times New Roman"/>
          <w:color w:val="000000" w:themeColor="text1"/>
          <w:sz w:val="24"/>
          <w:szCs w:val="24"/>
        </w:rPr>
      </w:pPr>
      <w:r w:rsidRPr="003D5B85">
        <w:rPr>
          <w:rFonts w:ascii="Book Antiqua" w:eastAsia="等线" w:hAnsi="Book Antiqua" w:cs="Times New Roman"/>
          <w:color w:val="000000" w:themeColor="text1"/>
          <w:sz w:val="24"/>
          <w:szCs w:val="24"/>
        </w:rPr>
        <w:lastRenderedPageBreak/>
        <w:t>In conclusion, the results of this meta</w:t>
      </w:r>
      <w:r w:rsidR="00115F98" w:rsidRPr="003D5B85">
        <w:rPr>
          <w:rFonts w:ascii="Book Antiqua" w:eastAsia="等线" w:hAnsi="Book Antiqua" w:cs="Times New Roman"/>
          <w:color w:val="000000" w:themeColor="text1"/>
          <w:sz w:val="24"/>
          <w:szCs w:val="24"/>
        </w:rPr>
        <w:t>-</w:t>
      </w:r>
      <w:r w:rsidRPr="003D5B85">
        <w:rPr>
          <w:rFonts w:ascii="Book Antiqua" w:eastAsia="等线" w:hAnsi="Book Antiqua" w:cs="Times New Roman"/>
          <w:color w:val="000000" w:themeColor="text1"/>
          <w:sz w:val="24"/>
          <w:szCs w:val="24"/>
        </w:rPr>
        <w:t>analysis of observational studies suggest that PPI use is significantly associated with</w:t>
      </w:r>
      <w:r w:rsidRPr="003D5B85">
        <w:rPr>
          <w:rFonts w:ascii="Book Antiqua" w:hAnsi="Book Antiqua" w:cs="Times New Roman"/>
          <w:color w:val="000000" w:themeColor="text1"/>
          <w:sz w:val="24"/>
          <w:szCs w:val="24"/>
        </w:rPr>
        <w:t xml:space="preserve"> </w:t>
      </w:r>
      <w:r w:rsidRPr="003D5B85">
        <w:rPr>
          <w:rFonts w:ascii="Book Antiqua" w:eastAsia="等线" w:hAnsi="Book Antiqua" w:cs="Times New Roman"/>
          <w:color w:val="000000" w:themeColor="text1"/>
          <w:sz w:val="24"/>
          <w:szCs w:val="24"/>
        </w:rPr>
        <w:t xml:space="preserve">the risk of progression to </w:t>
      </w:r>
      <w:proofErr w:type="gramStart"/>
      <w:r w:rsidRPr="003D5B85">
        <w:rPr>
          <w:rFonts w:ascii="Book Antiqua" w:eastAsia="等线" w:hAnsi="Book Antiqua" w:cs="Times New Roman"/>
          <w:color w:val="000000" w:themeColor="text1"/>
          <w:sz w:val="24"/>
          <w:szCs w:val="24"/>
        </w:rPr>
        <w:t>HE</w:t>
      </w:r>
      <w:proofErr w:type="gramEnd"/>
      <w:r w:rsidRPr="003D5B85">
        <w:rPr>
          <w:rFonts w:ascii="Book Antiqua" w:eastAsia="等线" w:hAnsi="Book Antiqua" w:cs="Times New Roman"/>
          <w:color w:val="000000" w:themeColor="text1"/>
          <w:sz w:val="24"/>
          <w:szCs w:val="24"/>
        </w:rPr>
        <w:t>.</w:t>
      </w:r>
      <w:r w:rsidRPr="003D5B85">
        <w:rPr>
          <w:rFonts w:ascii="Book Antiqua" w:hAnsi="Book Antiqua" w:cs="Times New Roman"/>
          <w:color w:val="000000" w:themeColor="text1"/>
          <w:sz w:val="24"/>
          <w:szCs w:val="24"/>
        </w:rPr>
        <w:t xml:space="preserve"> Among patients with advanced liver disease</w:t>
      </w:r>
      <w:r w:rsidRPr="003D5B85">
        <w:rPr>
          <w:rFonts w:ascii="Book Antiqua" w:eastAsia="等线" w:hAnsi="Book Antiqua" w:cs="Times New Roman"/>
          <w:color w:val="000000" w:themeColor="text1"/>
          <w:sz w:val="24"/>
          <w:szCs w:val="24"/>
        </w:rPr>
        <w:t xml:space="preserve">, compared with nonusers, PPI users have a higher risk of </w:t>
      </w:r>
      <w:proofErr w:type="gramStart"/>
      <w:r w:rsidRPr="003D5B85">
        <w:rPr>
          <w:rFonts w:ascii="Book Antiqua" w:eastAsia="等线" w:hAnsi="Book Antiqua" w:cs="Times New Roman"/>
          <w:color w:val="000000" w:themeColor="text1"/>
          <w:sz w:val="24"/>
          <w:szCs w:val="24"/>
        </w:rPr>
        <w:t>HE</w:t>
      </w:r>
      <w:proofErr w:type="gramEnd"/>
      <w:r w:rsidRPr="003D5B85">
        <w:rPr>
          <w:rFonts w:ascii="Book Antiqua" w:eastAsia="等线" w:hAnsi="Book Antiqua" w:cs="Times New Roman"/>
          <w:color w:val="000000" w:themeColor="text1"/>
          <w:sz w:val="24"/>
          <w:szCs w:val="24"/>
        </w:rPr>
        <w:t xml:space="preserve">. This important finding suggests that clinicians need to strictly adhere to the indications for PPI use in patients with </w:t>
      </w:r>
      <w:r w:rsidRPr="003D5B85">
        <w:rPr>
          <w:rFonts w:ascii="Book Antiqua" w:eastAsia="等线" w:hAnsi="Book Antiqua" w:cs="Times New Roman"/>
          <w:color w:val="000000" w:themeColor="text1"/>
          <w:kern w:val="0"/>
          <w:sz w:val="24"/>
          <w:szCs w:val="24"/>
        </w:rPr>
        <w:t>advanced liver disease.</w:t>
      </w:r>
      <w:r w:rsidRPr="003D5B85">
        <w:rPr>
          <w:rFonts w:ascii="Book Antiqua" w:eastAsia="等线" w:hAnsi="Book Antiqua" w:cs="Times New Roman"/>
          <w:color w:val="000000" w:themeColor="text1"/>
          <w:sz w:val="24"/>
          <w:szCs w:val="24"/>
        </w:rPr>
        <w:t xml:space="preserve"> Future large prospective studies and mechanistic studies are required to better un</w:t>
      </w:r>
      <w:bookmarkStart w:id="46" w:name="_Hlk6491982"/>
      <w:r w:rsidRPr="003D5B85">
        <w:rPr>
          <w:rFonts w:ascii="Book Antiqua" w:eastAsia="等线" w:hAnsi="Book Antiqua" w:cs="Times New Roman"/>
          <w:color w:val="000000" w:themeColor="text1"/>
          <w:sz w:val="24"/>
          <w:szCs w:val="24"/>
        </w:rPr>
        <w:t>derstand the association between PPI use an</w:t>
      </w:r>
      <w:bookmarkEnd w:id="46"/>
      <w:r w:rsidRPr="003D5B85">
        <w:rPr>
          <w:rFonts w:ascii="Book Antiqua" w:eastAsia="等线" w:hAnsi="Book Antiqua" w:cs="Times New Roman"/>
          <w:color w:val="000000" w:themeColor="text1"/>
          <w:sz w:val="24"/>
          <w:szCs w:val="24"/>
        </w:rPr>
        <w:t xml:space="preserve">d the risk of </w:t>
      </w:r>
      <w:proofErr w:type="gramStart"/>
      <w:r w:rsidRPr="003D5B85">
        <w:rPr>
          <w:rFonts w:ascii="Book Antiqua" w:eastAsia="等线" w:hAnsi="Book Antiqua" w:cs="Times New Roman"/>
          <w:color w:val="000000" w:themeColor="text1"/>
          <w:sz w:val="24"/>
          <w:szCs w:val="24"/>
        </w:rPr>
        <w:t>HE</w:t>
      </w:r>
      <w:proofErr w:type="gramEnd"/>
      <w:r w:rsidRPr="003D5B85">
        <w:rPr>
          <w:rFonts w:ascii="Book Antiqua" w:eastAsia="等线" w:hAnsi="Book Antiqua" w:cs="Times New Roman"/>
          <w:color w:val="000000" w:themeColor="text1"/>
          <w:sz w:val="24"/>
          <w:szCs w:val="24"/>
        </w:rPr>
        <w:t>.</w:t>
      </w:r>
    </w:p>
    <w:p w14:paraId="0A288A77" w14:textId="5054AD41" w:rsidR="00D3451A" w:rsidRPr="003D5B85" w:rsidRDefault="00D3451A" w:rsidP="001C4059">
      <w:pPr>
        <w:autoSpaceDE w:val="0"/>
        <w:autoSpaceDN w:val="0"/>
        <w:adjustRightInd w:val="0"/>
        <w:snapToGrid w:val="0"/>
        <w:spacing w:line="360" w:lineRule="auto"/>
        <w:rPr>
          <w:rFonts w:ascii="Book Antiqua" w:eastAsia="等线" w:hAnsi="Book Antiqua" w:cs="Times New Roman"/>
          <w:color w:val="000000" w:themeColor="text1"/>
          <w:sz w:val="24"/>
          <w:szCs w:val="24"/>
        </w:rPr>
      </w:pPr>
    </w:p>
    <w:p w14:paraId="401DAAA9" w14:textId="4BFD3F78" w:rsidR="00D3451A" w:rsidRPr="003D5B85" w:rsidRDefault="00D3451A" w:rsidP="001C4059">
      <w:pPr>
        <w:adjustRightInd w:val="0"/>
        <w:snapToGrid w:val="0"/>
        <w:spacing w:line="360" w:lineRule="auto"/>
        <w:rPr>
          <w:rFonts w:ascii="Book Antiqua" w:hAnsi="Book Antiqua"/>
          <w:b/>
          <w:color w:val="000000" w:themeColor="text1"/>
          <w:sz w:val="24"/>
          <w:szCs w:val="24"/>
        </w:rPr>
      </w:pPr>
      <w:bookmarkStart w:id="47" w:name="_Hlk5627588"/>
      <w:r w:rsidRPr="003D5B85">
        <w:rPr>
          <w:rFonts w:ascii="Book Antiqua" w:hAnsi="Book Antiqua" w:cs="Garamond-Bold"/>
          <w:b/>
          <w:bCs/>
          <w:color w:val="000000" w:themeColor="text1"/>
          <w:sz w:val="24"/>
          <w:szCs w:val="24"/>
        </w:rPr>
        <w:t>ARTICLE HIGHLIGHTS</w:t>
      </w:r>
    </w:p>
    <w:p w14:paraId="23849850" w14:textId="3509DEC5" w:rsidR="008D38FD" w:rsidRPr="003D5B85" w:rsidRDefault="008D38FD" w:rsidP="001C4059">
      <w:pPr>
        <w:adjustRightInd w:val="0"/>
        <w:snapToGrid w:val="0"/>
        <w:spacing w:line="360" w:lineRule="auto"/>
        <w:rPr>
          <w:rFonts w:ascii="Book Antiqua" w:hAnsi="Book Antiqua" w:cs="Garamond-Bold"/>
          <w:b/>
          <w:bCs/>
          <w:i/>
          <w:color w:val="000000" w:themeColor="text1"/>
          <w:sz w:val="24"/>
          <w:szCs w:val="24"/>
        </w:rPr>
      </w:pPr>
      <w:r w:rsidRPr="003D5B85">
        <w:rPr>
          <w:rFonts w:ascii="Book Antiqua" w:hAnsi="Book Antiqua" w:cs="Garamond-Bold"/>
          <w:b/>
          <w:bCs/>
          <w:i/>
          <w:color w:val="000000" w:themeColor="text1"/>
          <w:sz w:val="24"/>
          <w:szCs w:val="24"/>
        </w:rPr>
        <w:t>Research background</w:t>
      </w:r>
    </w:p>
    <w:p w14:paraId="5337858F" w14:textId="4D88DCD7" w:rsidR="0040102F" w:rsidRPr="003D5B85" w:rsidRDefault="0040102F" w:rsidP="001C4059">
      <w:pPr>
        <w:adjustRightInd w:val="0"/>
        <w:snapToGrid w:val="0"/>
        <w:spacing w:line="360" w:lineRule="auto"/>
        <w:rPr>
          <w:rFonts w:ascii="Book Antiqua" w:eastAsia="等线" w:hAnsi="Book Antiqua" w:cs="Times New Roman"/>
          <w:color w:val="000000" w:themeColor="text1"/>
          <w:sz w:val="24"/>
          <w:szCs w:val="24"/>
        </w:rPr>
      </w:pPr>
      <w:r w:rsidRPr="003D5B85">
        <w:rPr>
          <w:rFonts w:ascii="Book Antiqua" w:eastAsia="等线" w:hAnsi="Book Antiqua" w:cs="Times New Roman"/>
          <w:color w:val="000000" w:themeColor="text1"/>
          <w:sz w:val="24"/>
          <w:szCs w:val="24"/>
        </w:rPr>
        <w:t>Given their safety profile, proton pump inhibitors (PPIs) are commonly prescribed for patients with advanced liver disease. Recent studies have reported that using PPIs may increase the risk of hepatic encephalopathy (HE) by increasing the gastric pH</w:t>
      </w:r>
      <w:r w:rsidR="00075E23" w:rsidRPr="003D5B85">
        <w:rPr>
          <w:rFonts w:ascii="Book Antiqua" w:eastAsia="等线" w:hAnsi="Book Antiqua" w:cs="Times New Roman"/>
          <w:color w:val="000000" w:themeColor="text1"/>
          <w:sz w:val="24"/>
          <w:szCs w:val="24"/>
        </w:rPr>
        <w:t xml:space="preserve"> and </w:t>
      </w:r>
      <w:r w:rsidRPr="003D5B85">
        <w:rPr>
          <w:rFonts w:ascii="Book Antiqua" w:eastAsia="等线" w:hAnsi="Book Antiqua" w:cs="Times New Roman"/>
          <w:color w:val="000000" w:themeColor="text1"/>
          <w:sz w:val="24"/>
          <w:szCs w:val="24"/>
        </w:rPr>
        <w:t xml:space="preserve">bacterial translocation and changing intestinal flora. About the association between PPI use and </w:t>
      </w:r>
      <w:r w:rsidR="00115F98" w:rsidRPr="003D5B85">
        <w:rPr>
          <w:rFonts w:ascii="Book Antiqua" w:eastAsia="等线" w:hAnsi="Book Antiqua" w:cs="Times New Roman"/>
          <w:color w:val="000000" w:themeColor="text1"/>
          <w:sz w:val="24"/>
          <w:szCs w:val="24"/>
        </w:rPr>
        <w:t>HE</w:t>
      </w:r>
      <w:r w:rsidRPr="003D5B85">
        <w:rPr>
          <w:rFonts w:ascii="Book Antiqua" w:eastAsia="等线" w:hAnsi="Book Antiqua" w:cs="Times New Roman"/>
          <w:color w:val="000000" w:themeColor="text1"/>
          <w:sz w:val="24"/>
          <w:szCs w:val="24"/>
        </w:rPr>
        <w:t>, evidence-based conclusions need to be drawn.</w:t>
      </w:r>
    </w:p>
    <w:p w14:paraId="329C6EA5" w14:textId="77777777" w:rsidR="00115F98" w:rsidRPr="003D5B85" w:rsidRDefault="00115F98" w:rsidP="001C4059">
      <w:pPr>
        <w:adjustRightInd w:val="0"/>
        <w:snapToGrid w:val="0"/>
        <w:spacing w:line="360" w:lineRule="auto"/>
        <w:rPr>
          <w:rFonts w:ascii="Book Antiqua" w:eastAsia="等线" w:hAnsi="Book Antiqua" w:cs="Times New Roman"/>
          <w:color w:val="000000" w:themeColor="text1"/>
          <w:sz w:val="24"/>
          <w:szCs w:val="24"/>
        </w:rPr>
      </w:pPr>
    </w:p>
    <w:p w14:paraId="0A18887A" w14:textId="17B9EFF7" w:rsidR="00B65FCA" w:rsidRPr="003D5B85" w:rsidRDefault="00B65FCA" w:rsidP="001C4059">
      <w:pPr>
        <w:adjustRightInd w:val="0"/>
        <w:snapToGrid w:val="0"/>
        <w:spacing w:line="360" w:lineRule="auto"/>
        <w:rPr>
          <w:rFonts w:ascii="Book Antiqua" w:hAnsi="Book Antiqua" w:cs="Garamond-Bold"/>
          <w:b/>
          <w:bCs/>
          <w:i/>
          <w:color w:val="000000" w:themeColor="text1"/>
          <w:sz w:val="24"/>
          <w:szCs w:val="24"/>
        </w:rPr>
      </w:pPr>
      <w:r w:rsidRPr="003D5B85">
        <w:rPr>
          <w:rFonts w:ascii="Book Antiqua" w:hAnsi="Book Antiqua" w:cs="Garamond-Bold"/>
          <w:b/>
          <w:bCs/>
          <w:i/>
          <w:color w:val="000000" w:themeColor="text1"/>
          <w:sz w:val="24"/>
          <w:szCs w:val="24"/>
        </w:rPr>
        <w:t>Research motivation</w:t>
      </w:r>
    </w:p>
    <w:p w14:paraId="3FA0A873" w14:textId="364D716E" w:rsidR="00F95785" w:rsidRPr="003D5B85" w:rsidRDefault="00116B26" w:rsidP="001C4059">
      <w:pPr>
        <w:adjustRightInd w:val="0"/>
        <w:snapToGrid w:val="0"/>
        <w:spacing w:line="360" w:lineRule="auto"/>
        <w:rPr>
          <w:rFonts w:ascii="Book Antiqua" w:eastAsia="等线" w:hAnsi="Book Antiqua" w:cs="Times New Roman"/>
          <w:color w:val="000000" w:themeColor="text1"/>
          <w:sz w:val="24"/>
          <w:szCs w:val="24"/>
        </w:rPr>
      </w:pPr>
      <w:r w:rsidRPr="003D5B85">
        <w:rPr>
          <w:rFonts w:ascii="Book Antiqua" w:eastAsia="等线" w:hAnsi="Book Antiqua" w:cs="Times New Roman"/>
          <w:color w:val="000000" w:themeColor="text1"/>
          <w:sz w:val="24"/>
          <w:szCs w:val="24"/>
        </w:rPr>
        <w:t>PPIs are often overused in patients with advanced liver disease. Systematically reviewing the existing evidence on the association between PPI use and the risk of HE could help regulate clinical practice.</w:t>
      </w:r>
    </w:p>
    <w:p w14:paraId="5405595C" w14:textId="77777777" w:rsidR="00115F98" w:rsidRPr="003D5B85" w:rsidRDefault="00115F98" w:rsidP="001C4059">
      <w:pPr>
        <w:adjustRightInd w:val="0"/>
        <w:snapToGrid w:val="0"/>
        <w:spacing w:line="360" w:lineRule="auto"/>
        <w:rPr>
          <w:rFonts w:ascii="Book Antiqua" w:eastAsia="等线" w:hAnsi="Book Antiqua" w:cs="Times New Roman"/>
          <w:color w:val="000000" w:themeColor="text1"/>
          <w:sz w:val="24"/>
          <w:szCs w:val="24"/>
        </w:rPr>
      </w:pPr>
    </w:p>
    <w:p w14:paraId="07D1A74B" w14:textId="74AC4EB8" w:rsidR="00B65FCA" w:rsidRPr="003D5B85" w:rsidRDefault="00B65FCA" w:rsidP="001C4059">
      <w:pPr>
        <w:adjustRightInd w:val="0"/>
        <w:snapToGrid w:val="0"/>
        <w:spacing w:line="360" w:lineRule="auto"/>
        <w:rPr>
          <w:rFonts w:ascii="Book Antiqua" w:hAnsi="Book Antiqua" w:cs="Garamond-Bold"/>
          <w:b/>
          <w:bCs/>
          <w:i/>
          <w:color w:val="000000" w:themeColor="text1"/>
          <w:sz w:val="24"/>
          <w:szCs w:val="24"/>
        </w:rPr>
      </w:pPr>
      <w:r w:rsidRPr="003D5B85">
        <w:rPr>
          <w:rFonts w:ascii="Book Antiqua" w:hAnsi="Book Antiqua" w:cs="Garamond-Bold"/>
          <w:b/>
          <w:bCs/>
          <w:i/>
          <w:color w:val="000000" w:themeColor="text1"/>
          <w:sz w:val="24"/>
          <w:szCs w:val="24"/>
        </w:rPr>
        <w:t>Research objectives</w:t>
      </w:r>
    </w:p>
    <w:p w14:paraId="33D55202" w14:textId="6C41F470" w:rsidR="00032FE5" w:rsidRPr="003D5B85" w:rsidRDefault="00750BB4" w:rsidP="001C4059">
      <w:pPr>
        <w:adjustRightInd w:val="0"/>
        <w:snapToGrid w:val="0"/>
        <w:spacing w:line="360" w:lineRule="auto"/>
        <w:rPr>
          <w:rFonts w:ascii="Book Antiqua" w:eastAsia="等线" w:hAnsi="Book Antiqua" w:cs="Times New Roman"/>
          <w:color w:val="000000" w:themeColor="text1"/>
          <w:sz w:val="24"/>
          <w:szCs w:val="24"/>
        </w:rPr>
      </w:pPr>
      <w:r w:rsidRPr="003D5B85">
        <w:rPr>
          <w:rFonts w:ascii="Book Antiqua" w:eastAsia="等线" w:hAnsi="Book Antiqua" w:cs="Times New Roman"/>
          <w:color w:val="000000" w:themeColor="text1"/>
          <w:sz w:val="24"/>
          <w:szCs w:val="24"/>
        </w:rPr>
        <w:t xml:space="preserve">The aim of this meta-analysis was to analyze data on the association between PPI use and the risk of </w:t>
      </w:r>
      <w:proofErr w:type="gramStart"/>
      <w:r w:rsidRPr="003D5B85">
        <w:rPr>
          <w:rFonts w:ascii="Book Antiqua" w:eastAsia="等线" w:hAnsi="Book Antiqua" w:cs="Times New Roman"/>
          <w:color w:val="000000" w:themeColor="text1"/>
          <w:sz w:val="24"/>
          <w:szCs w:val="24"/>
        </w:rPr>
        <w:t>HE</w:t>
      </w:r>
      <w:proofErr w:type="gramEnd"/>
      <w:r w:rsidRPr="003D5B85">
        <w:rPr>
          <w:rFonts w:ascii="Book Antiqua" w:eastAsia="等线" w:hAnsi="Book Antiqua" w:cs="Times New Roman"/>
          <w:color w:val="000000" w:themeColor="text1"/>
          <w:sz w:val="24"/>
          <w:szCs w:val="24"/>
        </w:rPr>
        <w:t xml:space="preserve"> in patients with advanced liver disease. </w:t>
      </w:r>
    </w:p>
    <w:p w14:paraId="394B5A9C" w14:textId="77777777" w:rsidR="00115F98" w:rsidRPr="003D5B85" w:rsidRDefault="00115F98" w:rsidP="001C4059">
      <w:pPr>
        <w:adjustRightInd w:val="0"/>
        <w:snapToGrid w:val="0"/>
        <w:spacing w:line="360" w:lineRule="auto"/>
        <w:rPr>
          <w:rFonts w:ascii="Book Antiqua" w:eastAsia="等线" w:hAnsi="Book Antiqua" w:cs="Times New Roman"/>
          <w:color w:val="000000" w:themeColor="text1"/>
          <w:sz w:val="24"/>
          <w:szCs w:val="24"/>
        </w:rPr>
      </w:pPr>
    </w:p>
    <w:p w14:paraId="2B3CACD7" w14:textId="18185371" w:rsidR="00B65FCA" w:rsidRPr="003D5B85" w:rsidRDefault="00B65FCA" w:rsidP="001C4059">
      <w:pPr>
        <w:adjustRightInd w:val="0"/>
        <w:snapToGrid w:val="0"/>
        <w:spacing w:line="360" w:lineRule="auto"/>
        <w:rPr>
          <w:rFonts w:ascii="Book Antiqua" w:hAnsi="Book Antiqua" w:cs="Garamond-Bold"/>
          <w:b/>
          <w:bCs/>
          <w:i/>
          <w:color w:val="000000" w:themeColor="text1"/>
          <w:sz w:val="24"/>
          <w:szCs w:val="24"/>
        </w:rPr>
      </w:pPr>
      <w:r w:rsidRPr="003D5B85">
        <w:rPr>
          <w:rFonts w:ascii="Book Antiqua" w:hAnsi="Book Antiqua" w:cs="Garamond-Bold"/>
          <w:b/>
          <w:bCs/>
          <w:i/>
          <w:color w:val="000000" w:themeColor="text1"/>
          <w:sz w:val="24"/>
          <w:szCs w:val="24"/>
        </w:rPr>
        <w:t>Research methods</w:t>
      </w:r>
    </w:p>
    <w:p w14:paraId="69AE2CE1" w14:textId="387B8FA8" w:rsidR="00764581" w:rsidRPr="003D5B85" w:rsidRDefault="00723B5D" w:rsidP="001C4059">
      <w:pPr>
        <w:adjustRightInd w:val="0"/>
        <w:snapToGrid w:val="0"/>
        <w:spacing w:line="360" w:lineRule="auto"/>
        <w:rPr>
          <w:rFonts w:ascii="Book Antiqua" w:eastAsia="等线" w:hAnsi="Book Antiqua" w:cs="Times New Roman"/>
          <w:color w:val="000000" w:themeColor="text1"/>
          <w:sz w:val="24"/>
          <w:szCs w:val="24"/>
        </w:rPr>
      </w:pPr>
      <w:r w:rsidRPr="003D5B85">
        <w:rPr>
          <w:rFonts w:ascii="Book Antiqua" w:eastAsia="等线" w:hAnsi="Book Antiqua" w:cs="Times New Roman"/>
          <w:color w:val="000000" w:themeColor="text1"/>
          <w:sz w:val="24"/>
          <w:szCs w:val="24"/>
        </w:rPr>
        <w:t>Electronic databases</w:t>
      </w:r>
      <w:r w:rsidR="00592C04" w:rsidRPr="003D5B85">
        <w:rPr>
          <w:rFonts w:ascii="Book Antiqua" w:eastAsia="等线" w:hAnsi="Book Antiqua" w:cs="Times New Roman"/>
          <w:color w:val="000000" w:themeColor="text1"/>
          <w:sz w:val="24"/>
          <w:szCs w:val="24"/>
        </w:rPr>
        <w:t xml:space="preserve"> </w:t>
      </w:r>
      <w:r w:rsidRPr="003D5B85">
        <w:rPr>
          <w:rFonts w:ascii="Book Antiqua" w:eastAsia="等线" w:hAnsi="Book Antiqua" w:cs="Times New Roman"/>
          <w:color w:val="000000" w:themeColor="text1"/>
          <w:sz w:val="24"/>
          <w:szCs w:val="24"/>
        </w:rPr>
        <w:t>(PubMed, EMBASE</w:t>
      </w:r>
      <w:r w:rsidR="00075E23" w:rsidRPr="003D5B85">
        <w:rPr>
          <w:rFonts w:ascii="Book Antiqua" w:eastAsia="等线" w:hAnsi="Book Antiqua" w:cs="Times New Roman"/>
          <w:color w:val="000000" w:themeColor="text1"/>
          <w:sz w:val="24"/>
          <w:szCs w:val="24"/>
        </w:rPr>
        <w:t>,</w:t>
      </w:r>
      <w:r w:rsidRPr="003D5B85">
        <w:rPr>
          <w:rFonts w:ascii="Book Antiqua" w:eastAsia="等线" w:hAnsi="Book Antiqua" w:cs="Times New Roman"/>
          <w:color w:val="000000" w:themeColor="text1"/>
          <w:sz w:val="24"/>
          <w:szCs w:val="24"/>
        </w:rPr>
        <w:t xml:space="preserve"> and the Cochrane Library) were searched for relevant articles meeting the inclusion criteria. We conducted a </w:t>
      </w:r>
      <w:r w:rsidRPr="003D5B85">
        <w:rPr>
          <w:rFonts w:ascii="Book Antiqua" w:eastAsia="等线" w:hAnsi="Book Antiqua" w:cs="Times New Roman"/>
          <w:color w:val="000000" w:themeColor="text1"/>
          <w:sz w:val="24"/>
          <w:szCs w:val="24"/>
        </w:rPr>
        <w:lastRenderedPageBreak/>
        <w:t xml:space="preserve">meta-analysis of all comparative studies that evaluated the association between PPI use and the risk of </w:t>
      </w:r>
      <w:proofErr w:type="gramStart"/>
      <w:r w:rsidRPr="003D5B85">
        <w:rPr>
          <w:rFonts w:ascii="Book Antiqua" w:eastAsia="等线" w:hAnsi="Book Antiqua" w:cs="Times New Roman"/>
          <w:color w:val="000000" w:themeColor="text1"/>
          <w:sz w:val="24"/>
          <w:szCs w:val="24"/>
        </w:rPr>
        <w:t>HE</w:t>
      </w:r>
      <w:proofErr w:type="gramEnd"/>
      <w:r w:rsidRPr="003D5B85">
        <w:rPr>
          <w:rFonts w:ascii="Book Antiqua" w:eastAsia="等线" w:hAnsi="Book Antiqua" w:cs="Times New Roman"/>
          <w:color w:val="000000" w:themeColor="text1"/>
          <w:sz w:val="24"/>
          <w:szCs w:val="24"/>
        </w:rPr>
        <w:t>. The primary outcome was pool</w:t>
      </w:r>
      <w:r w:rsidR="00075E23" w:rsidRPr="003D5B85">
        <w:rPr>
          <w:rFonts w:ascii="Book Antiqua" w:eastAsia="等线" w:hAnsi="Book Antiqua" w:cs="Times New Roman"/>
          <w:color w:val="000000" w:themeColor="text1"/>
          <w:sz w:val="24"/>
          <w:szCs w:val="24"/>
        </w:rPr>
        <w:t xml:space="preserve">ed </w:t>
      </w:r>
      <w:r w:rsidRPr="003D5B85">
        <w:rPr>
          <w:rFonts w:ascii="Book Antiqua" w:eastAsia="等线" w:hAnsi="Book Antiqua" w:cs="Times New Roman"/>
          <w:color w:val="000000" w:themeColor="text1"/>
          <w:sz w:val="24"/>
          <w:szCs w:val="24"/>
        </w:rPr>
        <w:t xml:space="preserve">risk estimates of HE in </w:t>
      </w:r>
      <w:r w:rsidR="00075E23" w:rsidRPr="003D5B85">
        <w:rPr>
          <w:rFonts w:ascii="Book Antiqua" w:eastAsia="等线" w:hAnsi="Book Antiqua" w:cs="Times New Roman"/>
          <w:color w:val="000000" w:themeColor="text1"/>
          <w:sz w:val="24"/>
          <w:szCs w:val="24"/>
        </w:rPr>
        <w:t xml:space="preserve">the </w:t>
      </w:r>
      <w:r w:rsidRPr="003D5B85">
        <w:rPr>
          <w:rFonts w:ascii="Book Antiqua" w:eastAsia="等线" w:hAnsi="Book Antiqua" w:cs="Times New Roman"/>
          <w:color w:val="000000" w:themeColor="text1"/>
          <w:sz w:val="24"/>
          <w:szCs w:val="24"/>
        </w:rPr>
        <w:t>PPI group and non-PPI group</w:t>
      </w:r>
      <w:r w:rsidR="00075E23" w:rsidRPr="003D5B85">
        <w:rPr>
          <w:rFonts w:ascii="Book Antiqua" w:eastAsia="等线" w:hAnsi="Book Antiqua" w:cs="Times New Roman"/>
          <w:color w:val="000000" w:themeColor="text1"/>
          <w:sz w:val="24"/>
          <w:szCs w:val="24"/>
        </w:rPr>
        <w:t>s</w:t>
      </w:r>
      <w:r w:rsidRPr="003D5B85">
        <w:rPr>
          <w:rFonts w:ascii="Book Antiqua" w:eastAsia="等线" w:hAnsi="Book Antiqua" w:cs="Times New Roman"/>
          <w:color w:val="000000" w:themeColor="text1"/>
          <w:sz w:val="24"/>
          <w:szCs w:val="24"/>
        </w:rPr>
        <w:t>. Subgroup analyses by different clinical and methodological characteristics were also performed.</w:t>
      </w:r>
    </w:p>
    <w:p w14:paraId="18735271" w14:textId="77777777" w:rsidR="00115F98" w:rsidRPr="003D5B85" w:rsidRDefault="00115F98" w:rsidP="001C4059">
      <w:pPr>
        <w:adjustRightInd w:val="0"/>
        <w:snapToGrid w:val="0"/>
        <w:spacing w:line="360" w:lineRule="auto"/>
        <w:rPr>
          <w:rFonts w:ascii="Book Antiqua" w:eastAsia="等线" w:hAnsi="Book Antiqua" w:cs="Times New Roman"/>
          <w:color w:val="000000" w:themeColor="text1"/>
          <w:sz w:val="24"/>
          <w:szCs w:val="24"/>
        </w:rPr>
      </w:pPr>
    </w:p>
    <w:p w14:paraId="6141395F" w14:textId="77777777" w:rsidR="00B65FCA" w:rsidRPr="003D5B85" w:rsidRDefault="00B65FCA" w:rsidP="001C4059">
      <w:pPr>
        <w:adjustRightInd w:val="0"/>
        <w:snapToGrid w:val="0"/>
        <w:spacing w:line="360" w:lineRule="auto"/>
        <w:rPr>
          <w:rFonts w:ascii="Book Antiqua" w:hAnsi="Book Antiqua" w:cs="Garamond-Bold"/>
          <w:b/>
          <w:bCs/>
          <w:i/>
          <w:color w:val="000000" w:themeColor="text1"/>
          <w:sz w:val="24"/>
          <w:szCs w:val="24"/>
        </w:rPr>
      </w:pPr>
      <w:r w:rsidRPr="003D5B85">
        <w:rPr>
          <w:rFonts w:ascii="Book Antiqua" w:hAnsi="Book Antiqua" w:cs="Garamond-Bold"/>
          <w:b/>
          <w:bCs/>
          <w:i/>
          <w:color w:val="000000" w:themeColor="text1"/>
          <w:sz w:val="24"/>
          <w:szCs w:val="24"/>
        </w:rPr>
        <w:t>Research results</w:t>
      </w:r>
    </w:p>
    <w:p w14:paraId="273EB193" w14:textId="77430050" w:rsidR="0009778C" w:rsidRPr="003D5B85" w:rsidRDefault="0009778C" w:rsidP="001C4059">
      <w:pPr>
        <w:adjustRightInd w:val="0"/>
        <w:snapToGrid w:val="0"/>
        <w:spacing w:line="360" w:lineRule="auto"/>
        <w:rPr>
          <w:rFonts w:ascii="Book Antiqua" w:eastAsia="等线" w:hAnsi="Book Antiqua" w:cs="Times New Roman"/>
          <w:color w:val="000000" w:themeColor="text1"/>
          <w:sz w:val="24"/>
          <w:szCs w:val="24"/>
        </w:rPr>
      </w:pPr>
      <w:r w:rsidRPr="003D5B85">
        <w:rPr>
          <w:rFonts w:ascii="Book Antiqua" w:eastAsia="等线" w:hAnsi="Book Antiqua" w:cs="Times New Roman"/>
          <w:color w:val="000000" w:themeColor="text1"/>
          <w:sz w:val="24"/>
          <w:szCs w:val="24"/>
        </w:rPr>
        <w:t xml:space="preserve">We finally included </w:t>
      </w:r>
      <w:r w:rsidR="00075E23" w:rsidRPr="003D5B85">
        <w:rPr>
          <w:rFonts w:ascii="Book Antiqua" w:eastAsia="等线" w:hAnsi="Book Antiqua" w:cs="Times New Roman"/>
          <w:color w:val="000000" w:themeColor="text1"/>
          <w:sz w:val="24"/>
          <w:szCs w:val="24"/>
        </w:rPr>
        <w:t xml:space="preserve">nine </w:t>
      </w:r>
      <w:r w:rsidRPr="003D5B85">
        <w:rPr>
          <w:rFonts w:ascii="Book Antiqua" w:eastAsia="等线" w:hAnsi="Book Antiqua" w:cs="Times New Roman"/>
          <w:color w:val="000000" w:themeColor="text1"/>
          <w:sz w:val="24"/>
          <w:szCs w:val="24"/>
        </w:rPr>
        <w:t>observational studies</w:t>
      </w:r>
      <w:r w:rsidR="00115F98" w:rsidRPr="003D5B85">
        <w:rPr>
          <w:rFonts w:ascii="Book Antiqua" w:eastAsia="等线" w:hAnsi="Book Antiqua" w:cs="Times New Roman"/>
          <w:color w:val="000000" w:themeColor="text1"/>
          <w:sz w:val="24"/>
          <w:szCs w:val="24"/>
        </w:rPr>
        <w:t xml:space="preserve"> </w:t>
      </w:r>
      <w:r w:rsidRPr="003D5B85">
        <w:rPr>
          <w:rFonts w:ascii="Book Antiqua" w:eastAsia="等线" w:hAnsi="Book Antiqua" w:cs="Times New Roman"/>
          <w:color w:val="000000" w:themeColor="text1"/>
          <w:sz w:val="24"/>
          <w:szCs w:val="24"/>
        </w:rPr>
        <w:t xml:space="preserve">(five case-control studies and four cohort studies). This analysis showed that PPI use was associated with an increased risk of developing </w:t>
      </w:r>
      <w:proofErr w:type="gramStart"/>
      <w:r w:rsidRPr="003D5B85">
        <w:rPr>
          <w:rFonts w:ascii="Book Antiqua" w:eastAsia="等线" w:hAnsi="Book Antiqua" w:cs="Times New Roman"/>
          <w:color w:val="000000" w:themeColor="text1"/>
          <w:sz w:val="24"/>
          <w:szCs w:val="24"/>
        </w:rPr>
        <w:t>HE</w:t>
      </w:r>
      <w:proofErr w:type="gramEnd"/>
      <w:r w:rsidRPr="003D5B85">
        <w:rPr>
          <w:rFonts w:ascii="Book Antiqua" w:eastAsia="等线" w:hAnsi="Book Antiqua" w:cs="Times New Roman"/>
          <w:color w:val="000000" w:themeColor="text1"/>
          <w:sz w:val="24"/>
          <w:szCs w:val="24"/>
        </w:rPr>
        <w:t xml:space="preserve"> regardless of the study design. The sensitivity analysis excluding conference abstracts or focusing on patients without prior HE showed a similar result. The results of subgroup analyses suggested that the heterogeneity may come from different study designs and definitions of PPI use.</w:t>
      </w:r>
    </w:p>
    <w:p w14:paraId="38484648" w14:textId="77777777" w:rsidR="00115F98" w:rsidRPr="003D5B85" w:rsidRDefault="00115F98" w:rsidP="001C4059">
      <w:pPr>
        <w:adjustRightInd w:val="0"/>
        <w:snapToGrid w:val="0"/>
        <w:spacing w:line="360" w:lineRule="auto"/>
        <w:rPr>
          <w:rFonts w:ascii="Book Antiqua" w:hAnsi="Book Antiqua" w:cs="Garamond-Bold"/>
          <w:b/>
          <w:bCs/>
          <w:i/>
          <w:color w:val="000000" w:themeColor="text1"/>
          <w:sz w:val="24"/>
          <w:szCs w:val="24"/>
        </w:rPr>
      </w:pPr>
    </w:p>
    <w:p w14:paraId="4092CF47" w14:textId="6036FB01" w:rsidR="00B65FCA" w:rsidRPr="003D5B85" w:rsidRDefault="00B65FCA" w:rsidP="001C4059">
      <w:pPr>
        <w:adjustRightInd w:val="0"/>
        <w:snapToGrid w:val="0"/>
        <w:spacing w:line="360" w:lineRule="auto"/>
        <w:rPr>
          <w:rFonts w:ascii="Book Antiqua" w:hAnsi="Book Antiqua" w:cs="Garamond-Bold"/>
          <w:b/>
          <w:bCs/>
          <w:i/>
          <w:color w:val="000000" w:themeColor="text1"/>
          <w:sz w:val="24"/>
          <w:szCs w:val="24"/>
        </w:rPr>
      </w:pPr>
      <w:r w:rsidRPr="003D5B85">
        <w:rPr>
          <w:rFonts w:ascii="Book Antiqua" w:hAnsi="Book Antiqua" w:cs="Garamond-Bold"/>
          <w:b/>
          <w:bCs/>
          <w:i/>
          <w:color w:val="000000" w:themeColor="text1"/>
          <w:sz w:val="24"/>
          <w:szCs w:val="24"/>
        </w:rPr>
        <w:t>Research conclusions</w:t>
      </w:r>
    </w:p>
    <w:p w14:paraId="142F1DEC" w14:textId="36A05E90" w:rsidR="00B65FCA" w:rsidRPr="003D5B85" w:rsidRDefault="00244BC3" w:rsidP="001C4059">
      <w:pPr>
        <w:autoSpaceDE w:val="0"/>
        <w:autoSpaceDN w:val="0"/>
        <w:adjustRightInd w:val="0"/>
        <w:snapToGrid w:val="0"/>
        <w:spacing w:line="360" w:lineRule="auto"/>
        <w:rPr>
          <w:rFonts w:ascii="Book Antiqua" w:eastAsia="等线" w:hAnsi="Book Antiqua" w:cs="Times New Roman"/>
          <w:color w:val="000000" w:themeColor="text1"/>
          <w:sz w:val="24"/>
          <w:szCs w:val="24"/>
        </w:rPr>
      </w:pPr>
      <w:r w:rsidRPr="003D5B85">
        <w:rPr>
          <w:rFonts w:ascii="Book Antiqua" w:eastAsia="等线" w:hAnsi="Book Antiqua" w:cs="Times New Roman"/>
          <w:color w:val="000000" w:themeColor="text1"/>
          <w:sz w:val="24"/>
          <w:szCs w:val="24"/>
        </w:rPr>
        <w:t xml:space="preserve">Compared with </w:t>
      </w:r>
      <w:r w:rsidR="00075E23" w:rsidRPr="003D5B85">
        <w:rPr>
          <w:rFonts w:ascii="Book Antiqua" w:eastAsia="等线" w:hAnsi="Book Antiqua" w:cs="Times New Roman"/>
          <w:color w:val="000000" w:themeColor="text1"/>
          <w:sz w:val="24"/>
          <w:szCs w:val="24"/>
        </w:rPr>
        <w:t xml:space="preserve">the </w:t>
      </w:r>
      <w:r w:rsidRPr="003D5B85">
        <w:rPr>
          <w:rFonts w:ascii="Book Antiqua" w:eastAsia="等线" w:hAnsi="Book Antiqua" w:cs="Times New Roman"/>
          <w:color w:val="000000" w:themeColor="text1"/>
          <w:sz w:val="24"/>
          <w:szCs w:val="24"/>
        </w:rPr>
        <w:t xml:space="preserve">non-PPI group, </w:t>
      </w:r>
      <w:r w:rsidR="00075E23" w:rsidRPr="003D5B85">
        <w:rPr>
          <w:rFonts w:ascii="Book Antiqua" w:eastAsia="等线" w:hAnsi="Book Antiqua" w:cs="Times New Roman"/>
          <w:color w:val="000000" w:themeColor="text1"/>
          <w:sz w:val="24"/>
          <w:szCs w:val="24"/>
        </w:rPr>
        <w:t xml:space="preserve">the </w:t>
      </w:r>
      <w:r w:rsidRPr="003D5B85">
        <w:rPr>
          <w:rFonts w:ascii="Book Antiqua" w:eastAsia="等线" w:hAnsi="Book Antiqua" w:cs="Times New Roman"/>
          <w:color w:val="000000" w:themeColor="text1"/>
          <w:sz w:val="24"/>
          <w:szCs w:val="24"/>
        </w:rPr>
        <w:t>PPI group ha</w:t>
      </w:r>
      <w:r w:rsidR="008527CE" w:rsidRPr="003D5B85">
        <w:rPr>
          <w:rFonts w:ascii="Book Antiqua" w:eastAsia="等线" w:hAnsi="Book Antiqua" w:cs="Times New Roman"/>
          <w:color w:val="000000" w:themeColor="text1"/>
          <w:sz w:val="24"/>
          <w:szCs w:val="24"/>
        </w:rPr>
        <w:t>s</w:t>
      </w:r>
      <w:r w:rsidRPr="003D5B85">
        <w:rPr>
          <w:rFonts w:ascii="Book Antiqua" w:eastAsia="等线" w:hAnsi="Book Antiqua" w:cs="Times New Roman"/>
          <w:color w:val="000000" w:themeColor="text1"/>
          <w:sz w:val="24"/>
          <w:szCs w:val="24"/>
        </w:rPr>
        <w:t xml:space="preserve"> an elevated risk of </w:t>
      </w:r>
      <w:proofErr w:type="gramStart"/>
      <w:r w:rsidRPr="003D5B85">
        <w:rPr>
          <w:rFonts w:ascii="Book Antiqua" w:eastAsia="等线" w:hAnsi="Book Antiqua" w:cs="Times New Roman"/>
          <w:color w:val="000000" w:themeColor="text1"/>
          <w:sz w:val="24"/>
          <w:szCs w:val="24"/>
        </w:rPr>
        <w:t>HE</w:t>
      </w:r>
      <w:proofErr w:type="gramEnd"/>
      <w:r w:rsidRPr="003D5B85">
        <w:rPr>
          <w:rFonts w:ascii="Book Antiqua" w:eastAsia="等线" w:hAnsi="Book Antiqua" w:cs="Times New Roman"/>
          <w:color w:val="000000" w:themeColor="text1"/>
          <w:sz w:val="24"/>
          <w:szCs w:val="24"/>
        </w:rPr>
        <w:t xml:space="preserve"> in patients with advanced liver disease. This finding reminds clinicians that they should strictly adhere to the indications for PPI treatment in patients with advanced liver disease.</w:t>
      </w:r>
    </w:p>
    <w:p w14:paraId="39DE6707" w14:textId="77777777" w:rsidR="00115F98" w:rsidRPr="003D5B85" w:rsidRDefault="00115F98" w:rsidP="001C4059">
      <w:pPr>
        <w:autoSpaceDE w:val="0"/>
        <w:autoSpaceDN w:val="0"/>
        <w:adjustRightInd w:val="0"/>
        <w:snapToGrid w:val="0"/>
        <w:spacing w:line="360" w:lineRule="auto"/>
        <w:rPr>
          <w:rFonts w:ascii="Book Antiqua" w:eastAsia="等线" w:hAnsi="Book Antiqua" w:cs="Times New Roman"/>
          <w:color w:val="000000" w:themeColor="text1"/>
          <w:sz w:val="24"/>
          <w:szCs w:val="24"/>
        </w:rPr>
      </w:pPr>
    </w:p>
    <w:p w14:paraId="6616C4D3" w14:textId="77777777" w:rsidR="00B65FCA" w:rsidRPr="003D5B85" w:rsidRDefault="00B65FCA" w:rsidP="001C4059">
      <w:pPr>
        <w:adjustRightInd w:val="0"/>
        <w:snapToGrid w:val="0"/>
        <w:spacing w:line="360" w:lineRule="auto"/>
        <w:rPr>
          <w:rFonts w:ascii="Book Antiqua" w:hAnsi="Book Antiqua" w:cs="Garamond-Bold"/>
          <w:b/>
          <w:bCs/>
          <w:i/>
          <w:color w:val="000000" w:themeColor="text1"/>
          <w:sz w:val="24"/>
          <w:szCs w:val="24"/>
        </w:rPr>
      </w:pPr>
      <w:r w:rsidRPr="003D5B85">
        <w:rPr>
          <w:rFonts w:ascii="Book Antiqua" w:hAnsi="Book Antiqua" w:cs="Garamond-Bold"/>
          <w:b/>
          <w:bCs/>
          <w:i/>
          <w:color w:val="000000" w:themeColor="text1"/>
          <w:sz w:val="24"/>
          <w:szCs w:val="24"/>
        </w:rPr>
        <w:t>Research perspectives</w:t>
      </w:r>
    </w:p>
    <w:p w14:paraId="04458F42" w14:textId="41589A98" w:rsidR="00B65FCA" w:rsidRPr="003D5B85" w:rsidRDefault="00C424DD" w:rsidP="001C4059">
      <w:pPr>
        <w:adjustRightInd w:val="0"/>
        <w:snapToGrid w:val="0"/>
        <w:spacing w:line="360" w:lineRule="auto"/>
        <w:rPr>
          <w:rFonts w:ascii="Book Antiqua" w:eastAsia="等线" w:hAnsi="Book Antiqua" w:cs="Times New Roman"/>
          <w:color w:val="000000" w:themeColor="text1"/>
          <w:sz w:val="24"/>
          <w:szCs w:val="24"/>
        </w:rPr>
      </w:pPr>
      <w:r w:rsidRPr="003D5B85">
        <w:rPr>
          <w:rFonts w:ascii="Book Antiqua" w:eastAsia="等线" w:hAnsi="Book Antiqua" w:cs="Times New Roman"/>
          <w:color w:val="000000" w:themeColor="text1"/>
          <w:sz w:val="24"/>
          <w:szCs w:val="24"/>
        </w:rPr>
        <w:t xml:space="preserve">To further explore the association between PPI therapy and the risk of HE, future studies need to refine the impact of </w:t>
      </w:r>
      <w:r w:rsidR="00BC3666" w:rsidRPr="003D5B85">
        <w:rPr>
          <w:rFonts w:ascii="Book Antiqua" w:eastAsia="等线" w:hAnsi="Book Antiqua" w:cs="Times New Roman"/>
          <w:color w:val="000000" w:themeColor="text1"/>
          <w:sz w:val="24"/>
          <w:szCs w:val="24"/>
        </w:rPr>
        <w:t xml:space="preserve">the </w:t>
      </w:r>
      <w:r w:rsidRPr="003D5B85">
        <w:rPr>
          <w:rFonts w:ascii="Book Antiqua" w:eastAsia="等线" w:hAnsi="Book Antiqua" w:cs="Times New Roman"/>
          <w:color w:val="000000" w:themeColor="text1"/>
          <w:sz w:val="24"/>
          <w:szCs w:val="24"/>
        </w:rPr>
        <w:t>PPI types, time of PPI administration</w:t>
      </w:r>
      <w:r w:rsidR="00075E23" w:rsidRPr="003D5B85">
        <w:rPr>
          <w:rFonts w:ascii="Book Antiqua" w:eastAsia="等线" w:hAnsi="Book Antiqua" w:cs="Times New Roman"/>
          <w:color w:val="000000" w:themeColor="text1"/>
          <w:sz w:val="24"/>
          <w:szCs w:val="24"/>
        </w:rPr>
        <w:t>,</w:t>
      </w:r>
      <w:r w:rsidRPr="003D5B85">
        <w:rPr>
          <w:rFonts w:ascii="Book Antiqua" w:eastAsia="等线" w:hAnsi="Book Antiqua" w:cs="Times New Roman"/>
          <w:color w:val="000000" w:themeColor="text1"/>
          <w:sz w:val="24"/>
          <w:szCs w:val="24"/>
        </w:rPr>
        <w:t xml:space="preserve"> and method of PPI administration on HE. In addition, more high-quality prospective studies and mechanistic studies are required to better understand the association between PPI use and the risk of </w:t>
      </w:r>
      <w:proofErr w:type="gramStart"/>
      <w:r w:rsidRPr="003D5B85">
        <w:rPr>
          <w:rFonts w:ascii="Book Antiqua" w:eastAsia="等线" w:hAnsi="Book Antiqua" w:cs="Times New Roman"/>
          <w:color w:val="000000" w:themeColor="text1"/>
          <w:sz w:val="24"/>
          <w:szCs w:val="24"/>
        </w:rPr>
        <w:t>HE</w:t>
      </w:r>
      <w:proofErr w:type="gramEnd"/>
      <w:r w:rsidRPr="003D5B85">
        <w:rPr>
          <w:rFonts w:ascii="Book Antiqua" w:eastAsia="等线" w:hAnsi="Book Antiqua" w:cs="Times New Roman"/>
          <w:color w:val="000000" w:themeColor="text1"/>
          <w:sz w:val="24"/>
          <w:szCs w:val="24"/>
        </w:rPr>
        <w:t>.</w:t>
      </w:r>
    </w:p>
    <w:bookmarkEnd w:id="47"/>
    <w:p w14:paraId="5B876F07" w14:textId="76D66FA5" w:rsidR="00D3451A" w:rsidRPr="003D5B85" w:rsidRDefault="00D3451A" w:rsidP="001C4059">
      <w:pPr>
        <w:widowControl/>
        <w:spacing w:line="360" w:lineRule="auto"/>
        <w:rPr>
          <w:rFonts w:ascii="Book Antiqua" w:eastAsia="等线" w:hAnsi="Book Antiqua" w:cs="Times New Roman"/>
          <w:color w:val="000000" w:themeColor="text1"/>
          <w:sz w:val="24"/>
          <w:szCs w:val="24"/>
        </w:rPr>
      </w:pPr>
      <w:r w:rsidRPr="003D5B85">
        <w:rPr>
          <w:rFonts w:ascii="Book Antiqua" w:eastAsia="等线" w:hAnsi="Book Antiqua" w:cs="Times New Roman"/>
          <w:color w:val="000000" w:themeColor="text1"/>
          <w:sz w:val="24"/>
          <w:szCs w:val="24"/>
        </w:rPr>
        <w:br w:type="page"/>
      </w:r>
    </w:p>
    <w:p w14:paraId="64DF5B2E" w14:textId="2AEF5E1A" w:rsidR="00435DDD" w:rsidRPr="003D5B85" w:rsidRDefault="00CE499C" w:rsidP="001C4059">
      <w:pPr>
        <w:autoSpaceDE w:val="0"/>
        <w:autoSpaceDN w:val="0"/>
        <w:adjustRightInd w:val="0"/>
        <w:spacing w:line="360" w:lineRule="auto"/>
        <w:rPr>
          <w:rFonts w:ascii="Book Antiqua" w:hAnsi="Book Antiqua" w:cs="Times New Roman"/>
          <w:b/>
          <w:color w:val="000000" w:themeColor="text1"/>
          <w:kern w:val="0"/>
          <w:sz w:val="24"/>
          <w:szCs w:val="24"/>
        </w:rPr>
      </w:pPr>
      <w:r w:rsidRPr="003D5B85">
        <w:rPr>
          <w:rFonts w:ascii="Book Antiqua" w:hAnsi="Book Antiqua" w:cs="Times New Roman"/>
          <w:b/>
          <w:color w:val="000000" w:themeColor="text1"/>
          <w:kern w:val="0"/>
          <w:sz w:val="24"/>
          <w:szCs w:val="24"/>
        </w:rPr>
        <w:lastRenderedPageBreak/>
        <w:t>REFERENCES</w:t>
      </w:r>
    </w:p>
    <w:p w14:paraId="380BB8D7" w14:textId="77777777" w:rsidR="000A1B63" w:rsidRPr="003D5B85" w:rsidRDefault="000A1B63" w:rsidP="000A1B63">
      <w:pPr>
        <w:spacing w:line="360" w:lineRule="auto"/>
        <w:rPr>
          <w:rFonts w:ascii="Book Antiqua" w:hAnsi="Book Antiqua"/>
          <w:sz w:val="24"/>
          <w:szCs w:val="24"/>
        </w:rPr>
      </w:pPr>
      <w:bookmarkStart w:id="48" w:name="OLE_LINK66"/>
      <w:proofErr w:type="gramStart"/>
      <w:r w:rsidRPr="003D5B85">
        <w:rPr>
          <w:rFonts w:ascii="Book Antiqua" w:hAnsi="Book Antiqua"/>
          <w:sz w:val="24"/>
          <w:szCs w:val="24"/>
        </w:rPr>
        <w:t xml:space="preserve">1 </w:t>
      </w:r>
      <w:proofErr w:type="spellStart"/>
      <w:r w:rsidRPr="003D5B85">
        <w:rPr>
          <w:rFonts w:ascii="Book Antiqua" w:hAnsi="Book Antiqua"/>
          <w:b/>
          <w:sz w:val="24"/>
          <w:szCs w:val="24"/>
        </w:rPr>
        <w:t>Wijdicks</w:t>
      </w:r>
      <w:proofErr w:type="spellEnd"/>
      <w:r w:rsidRPr="003D5B85">
        <w:rPr>
          <w:rFonts w:ascii="Book Antiqua" w:hAnsi="Book Antiqua"/>
          <w:b/>
          <w:sz w:val="24"/>
          <w:szCs w:val="24"/>
        </w:rPr>
        <w:t xml:space="preserve"> EF</w:t>
      </w:r>
      <w:r w:rsidRPr="003D5B85">
        <w:rPr>
          <w:rFonts w:ascii="Book Antiqua" w:hAnsi="Book Antiqua"/>
          <w:sz w:val="24"/>
          <w:szCs w:val="24"/>
        </w:rPr>
        <w:t>.</w:t>
      </w:r>
      <w:proofErr w:type="gramEnd"/>
      <w:r w:rsidRPr="003D5B85">
        <w:rPr>
          <w:rFonts w:ascii="Book Antiqua" w:hAnsi="Book Antiqua"/>
          <w:sz w:val="24"/>
          <w:szCs w:val="24"/>
        </w:rPr>
        <w:t xml:space="preserve"> </w:t>
      </w:r>
      <w:proofErr w:type="gramStart"/>
      <w:r w:rsidRPr="003D5B85">
        <w:rPr>
          <w:rFonts w:ascii="Book Antiqua" w:hAnsi="Book Antiqua"/>
          <w:sz w:val="24"/>
          <w:szCs w:val="24"/>
        </w:rPr>
        <w:t>Hepatic Encephalopathy.</w:t>
      </w:r>
      <w:proofErr w:type="gramEnd"/>
      <w:r w:rsidRPr="003D5B85">
        <w:rPr>
          <w:rFonts w:ascii="Book Antiqua" w:hAnsi="Book Antiqua"/>
          <w:sz w:val="24"/>
          <w:szCs w:val="24"/>
        </w:rPr>
        <w:t xml:space="preserve"> </w:t>
      </w:r>
      <w:r w:rsidRPr="003D5B85">
        <w:rPr>
          <w:rFonts w:ascii="Book Antiqua" w:hAnsi="Book Antiqua"/>
          <w:i/>
          <w:sz w:val="24"/>
          <w:szCs w:val="24"/>
        </w:rPr>
        <w:t xml:space="preserve">N </w:t>
      </w:r>
      <w:proofErr w:type="spellStart"/>
      <w:r w:rsidRPr="003D5B85">
        <w:rPr>
          <w:rFonts w:ascii="Book Antiqua" w:hAnsi="Book Antiqua"/>
          <w:i/>
          <w:sz w:val="24"/>
          <w:szCs w:val="24"/>
        </w:rPr>
        <w:t>Engl</w:t>
      </w:r>
      <w:proofErr w:type="spellEnd"/>
      <w:r w:rsidRPr="003D5B85">
        <w:rPr>
          <w:rFonts w:ascii="Book Antiqua" w:hAnsi="Book Antiqua"/>
          <w:i/>
          <w:sz w:val="24"/>
          <w:szCs w:val="24"/>
        </w:rPr>
        <w:t xml:space="preserve"> J Med</w:t>
      </w:r>
      <w:r w:rsidRPr="003D5B85">
        <w:rPr>
          <w:rFonts w:ascii="Book Antiqua" w:hAnsi="Book Antiqua"/>
          <w:sz w:val="24"/>
          <w:szCs w:val="24"/>
        </w:rPr>
        <w:t xml:space="preserve"> 2016; </w:t>
      </w:r>
      <w:r w:rsidRPr="003D5B85">
        <w:rPr>
          <w:rFonts w:ascii="Book Antiqua" w:hAnsi="Book Antiqua"/>
          <w:b/>
          <w:sz w:val="24"/>
          <w:szCs w:val="24"/>
        </w:rPr>
        <w:t>375</w:t>
      </w:r>
      <w:r w:rsidRPr="003D5B85">
        <w:rPr>
          <w:rFonts w:ascii="Book Antiqua" w:hAnsi="Book Antiqua"/>
          <w:sz w:val="24"/>
          <w:szCs w:val="24"/>
        </w:rPr>
        <w:t>: 1660-1670 [PMID: 27783916 DOI: 10.1056/NEJMra1600561]</w:t>
      </w:r>
    </w:p>
    <w:p w14:paraId="34BEE7FF" w14:textId="77777777" w:rsidR="000A1B63" w:rsidRPr="003D5B85" w:rsidRDefault="000A1B63" w:rsidP="000A1B63">
      <w:pPr>
        <w:spacing w:line="360" w:lineRule="auto"/>
        <w:rPr>
          <w:rFonts w:ascii="Book Antiqua" w:hAnsi="Book Antiqua"/>
          <w:sz w:val="24"/>
          <w:szCs w:val="24"/>
        </w:rPr>
      </w:pPr>
      <w:r w:rsidRPr="003D5B85">
        <w:rPr>
          <w:rFonts w:ascii="Book Antiqua" w:hAnsi="Book Antiqua"/>
          <w:sz w:val="24"/>
          <w:szCs w:val="24"/>
        </w:rPr>
        <w:t xml:space="preserve">2 </w:t>
      </w:r>
      <w:proofErr w:type="spellStart"/>
      <w:r w:rsidRPr="003D5B85">
        <w:rPr>
          <w:rFonts w:ascii="Book Antiqua" w:hAnsi="Book Antiqua"/>
          <w:b/>
          <w:sz w:val="24"/>
          <w:szCs w:val="24"/>
        </w:rPr>
        <w:t>Vilstrup</w:t>
      </w:r>
      <w:proofErr w:type="spellEnd"/>
      <w:r w:rsidRPr="003D5B85">
        <w:rPr>
          <w:rFonts w:ascii="Book Antiqua" w:hAnsi="Book Antiqua"/>
          <w:b/>
          <w:sz w:val="24"/>
          <w:szCs w:val="24"/>
        </w:rPr>
        <w:t xml:space="preserve"> H</w:t>
      </w:r>
      <w:r w:rsidRPr="003D5B85">
        <w:rPr>
          <w:rFonts w:ascii="Book Antiqua" w:hAnsi="Book Antiqua"/>
          <w:sz w:val="24"/>
          <w:szCs w:val="24"/>
        </w:rPr>
        <w:t xml:space="preserve">, </w:t>
      </w:r>
      <w:proofErr w:type="spellStart"/>
      <w:r w:rsidRPr="003D5B85">
        <w:rPr>
          <w:rFonts w:ascii="Book Antiqua" w:hAnsi="Book Antiqua"/>
          <w:sz w:val="24"/>
          <w:szCs w:val="24"/>
        </w:rPr>
        <w:t>Amodio</w:t>
      </w:r>
      <w:proofErr w:type="spellEnd"/>
      <w:r w:rsidRPr="003D5B85">
        <w:rPr>
          <w:rFonts w:ascii="Book Antiqua" w:hAnsi="Book Antiqua"/>
          <w:sz w:val="24"/>
          <w:szCs w:val="24"/>
        </w:rPr>
        <w:t xml:space="preserve"> P, Bajaj J, Cordoba J, </w:t>
      </w:r>
      <w:proofErr w:type="spellStart"/>
      <w:r w:rsidRPr="003D5B85">
        <w:rPr>
          <w:rFonts w:ascii="Book Antiqua" w:hAnsi="Book Antiqua"/>
          <w:sz w:val="24"/>
          <w:szCs w:val="24"/>
        </w:rPr>
        <w:t>Ferenci</w:t>
      </w:r>
      <w:proofErr w:type="spellEnd"/>
      <w:r w:rsidRPr="003D5B85">
        <w:rPr>
          <w:rFonts w:ascii="Book Antiqua" w:hAnsi="Book Antiqua"/>
          <w:sz w:val="24"/>
          <w:szCs w:val="24"/>
        </w:rPr>
        <w:t xml:space="preserve"> P, Mullen KD, </w:t>
      </w:r>
      <w:proofErr w:type="spellStart"/>
      <w:r w:rsidRPr="003D5B85">
        <w:rPr>
          <w:rFonts w:ascii="Book Antiqua" w:hAnsi="Book Antiqua"/>
          <w:sz w:val="24"/>
          <w:szCs w:val="24"/>
        </w:rPr>
        <w:t>Weissenborn</w:t>
      </w:r>
      <w:proofErr w:type="spellEnd"/>
      <w:r w:rsidRPr="003D5B85">
        <w:rPr>
          <w:rFonts w:ascii="Book Antiqua" w:hAnsi="Book Antiqua"/>
          <w:sz w:val="24"/>
          <w:szCs w:val="24"/>
        </w:rPr>
        <w:t xml:space="preserve"> K, Wong P. Hepatic encephalopathy in chronic liver disease: 2014 Practice Guideline by the American Association for the Study of Liver Diseases and the European Association for the Study of the Liver. </w:t>
      </w:r>
      <w:r w:rsidRPr="003D5B85">
        <w:rPr>
          <w:rFonts w:ascii="Book Antiqua" w:hAnsi="Book Antiqua"/>
          <w:i/>
          <w:sz w:val="24"/>
          <w:szCs w:val="24"/>
        </w:rPr>
        <w:t>Hepatology</w:t>
      </w:r>
      <w:r w:rsidRPr="003D5B85">
        <w:rPr>
          <w:rFonts w:ascii="Book Antiqua" w:hAnsi="Book Antiqua"/>
          <w:sz w:val="24"/>
          <w:szCs w:val="24"/>
        </w:rPr>
        <w:t xml:space="preserve"> 2014; </w:t>
      </w:r>
      <w:r w:rsidRPr="003D5B85">
        <w:rPr>
          <w:rFonts w:ascii="Book Antiqua" w:hAnsi="Book Antiqua"/>
          <w:b/>
          <w:sz w:val="24"/>
          <w:szCs w:val="24"/>
        </w:rPr>
        <w:t>60</w:t>
      </w:r>
      <w:r w:rsidRPr="003D5B85">
        <w:rPr>
          <w:rFonts w:ascii="Book Antiqua" w:hAnsi="Book Antiqua"/>
          <w:sz w:val="24"/>
          <w:szCs w:val="24"/>
        </w:rPr>
        <w:t>: 715-735 [PMID: 25042402 DOI: 10.1002/hep.27210]</w:t>
      </w:r>
    </w:p>
    <w:p w14:paraId="1AD6FDF3" w14:textId="77777777" w:rsidR="000A1B63" w:rsidRPr="003D5B85" w:rsidRDefault="000A1B63" w:rsidP="000A1B63">
      <w:pPr>
        <w:spacing w:line="360" w:lineRule="auto"/>
        <w:rPr>
          <w:rFonts w:ascii="Book Antiqua" w:hAnsi="Book Antiqua"/>
          <w:sz w:val="24"/>
          <w:szCs w:val="24"/>
        </w:rPr>
      </w:pPr>
      <w:r w:rsidRPr="003D5B85">
        <w:rPr>
          <w:rFonts w:ascii="Book Antiqua" w:hAnsi="Book Antiqua"/>
          <w:sz w:val="24"/>
          <w:szCs w:val="24"/>
        </w:rPr>
        <w:t xml:space="preserve">3 </w:t>
      </w:r>
      <w:r w:rsidRPr="003D5B85">
        <w:rPr>
          <w:rFonts w:ascii="Book Antiqua" w:hAnsi="Book Antiqua"/>
          <w:b/>
          <w:sz w:val="24"/>
          <w:szCs w:val="24"/>
        </w:rPr>
        <w:t>Prakash R</w:t>
      </w:r>
      <w:r w:rsidRPr="003D5B85">
        <w:rPr>
          <w:rFonts w:ascii="Book Antiqua" w:hAnsi="Book Antiqua"/>
          <w:sz w:val="24"/>
          <w:szCs w:val="24"/>
        </w:rPr>
        <w:t xml:space="preserve">, Mullen KD. </w:t>
      </w:r>
      <w:proofErr w:type="gramStart"/>
      <w:r w:rsidRPr="003D5B85">
        <w:rPr>
          <w:rFonts w:ascii="Book Antiqua" w:hAnsi="Book Antiqua"/>
          <w:sz w:val="24"/>
          <w:szCs w:val="24"/>
        </w:rPr>
        <w:t>Mechanisms, diagnosis and management of hepatic encephalopathy.</w:t>
      </w:r>
      <w:proofErr w:type="gramEnd"/>
      <w:r w:rsidRPr="003D5B85">
        <w:rPr>
          <w:rFonts w:ascii="Book Antiqua" w:hAnsi="Book Antiqua"/>
          <w:sz w:val="24"/>
          <w:szCs w:val="24"/>
        </w:rPr>
        <w:t xml:space="preserve"> </w:t>
      </w:r>
      <w:r w:rsidRPr="003D5B85">
        <w:rPr>
          <w:rFonts w:ascii="Book Antiqua" w:hAnsi="Book Antiqua"/>
          <w:i/>
          <w:sz w:val="24"/>
          <w:szCs w:val="24"/>
        </w:rPr>
        <w:t xml:space="preserve">Nat Rev </w:t>
      </w:r>
      <w:proofErr w:type="spellStart"/>
      <w:r w:rsidRPr="003D5B85">
        <w:rPr>
          <w:rFonts w:ascii="Book Antiqua" w:hAnsi="Book Antiqua"/>
          <w:i/>
          <w:sz w:val="24"/>
          <w:szCs w:val="24"/>
        </w:rPr>
        <w:t>Gastroenterol</w:t>
      </w:r>
      <w:proofErr w:type="spellEnd"/>
      <w:r w:rsidRPr="003D5B85">
        <w:rPr>
          <w:rFonts w:ascii="Book Antiqua" w:hAnsi="Book Antiqua"/>
          <w:i/>
          <w:sz w:val="24"/>
          <w:szCs w:val="24"/>
        </w:rPr>
        <w:t xml:space="preserve"> </w:t>
      </w:r>
      <w:proofErr w:type="spellStart"/>
      <w:r w:rsidRPr="003D5B85">
        <w:rPr>
          <w:rFonts w:ascii="Book Antiqua" w:hAnsi="Book Antiqua"/>
          <w:i/>
          <w:sz w:val="24"/>
          <w:szCs w:val="24"/>
        </w:rPr>
        <w:t>Hepatol</w:t>
      </w:r>
      <w:proofErr w:type="spellEnd"/>
      <w:r w:rsidRPr="003D5B85">
        <w:rPr>
          <w:rFonts w:ascii="Book Antiqua" w:hAnsi="Book Antiqua"/>
          <w:sz w:val="24"/>
          <w:szCs w:val="24"/>
        </w:rPr>
        <w:t xml:space="preserve"> 2010; </w:t>
      </w:r>
      <w:r w:rsidRPr="003D5B85">
        <w:rPr>
          <w:rFonts w:ascii="Book Antiqua" w:hAnsi="Book Antiqua"/>
          <w:b/>
          <w:sz w:val="24"/>
          <w:szCs w:val="24"/>
        </w:rPr>
        <w:t>7</w:t>
      </w:r>
      <w:r w:rsidRPr="003D5B85">
        <w:rPr>
          <w:rFonts w:ascii="Book Antiqua" w:hAnsi="Book Antiqua"/>
          <w:sz w:val="24"/>
          <w:szCs w:val="24"/>
        </w:rPr>
        <w:t>: 515-525 [PMID: 20703237 DOI: 10.1038/nrgastro.2010.116]</w:t>
      </w:r>
    </w:p>
    <w:p w14:paraId="44D924B9" w14:textId="77777777" w:rsidR="000A1B63" w:rsidRPr="003D5B85" w:rsidRDefault="000A1B63" w:rsidP="000A1B63">
      <w:pPr>
        <w:spacing w:line="360" w:lineRule="auto"/>
        <w:rPr>
          <w:rFonts w:ascii="Book Antiqua" w:hAnsi="Book Antiqua"/>
          <w:sz w:val="24"/>
          <w:szCs w:val="24"/>
        </w:rPr>
      </w:pPr>
      <w:r w:rsidRPr="003D5B85">
        <w:rPr>
          <w:rFonts w:ascii="Book Antiqua" w:hAnsi="Book Antiqua"/>
          <w:sz w:val="24"/>
          <w:szCs w:val="24"/>
        </w:rPr>
        <w:t xml:space="preserve">4 </w:t>
      </w:r>
      <w:proofErr w:type="spellStart"/>
      <w:r w:rsidRPr="003D5B85">
        <w:rPr>
          <w:rFonts w:ascii="Book Antiqua" w:hAnsi="Book Antiqua"/>
          <w:b/>
          <w:sz w:val="24"/>
          <w:szCs w:val="24"/>
        </w:rPr>
        <w:t>Barrison</w:t>
      </w:r>
      <w:proofErr w:type="spellEnd"/>
      <w:r w:rsidRPr="003D5B85">
        <w:rPr>
          <w:rFonts w:ascii="Book Antiqua" w:hAnsi="Book Antiqua"/>
          <w:b/>
          <w:sz w:val="24"/>
          <w:szCs w:val="24"/>
        </w:rPr>
        <w:t xml:space="preserve"> AF</w:t>
      </w:r>
      <w:r w:rsidRPr="003D5B85">
        <w:rPr>
          <w:rFonts w:ascii="Book Antiqua" w:hAnsi="Book Antiqua"/>
          <w:sz w:val="24"/>
          <w:szCs w:val="24"/>
        </w:rPr>
        <w:t xml:space="preserve">, </w:t>
      </w:r>
      <w:proofErr w:type="spellStart"/>
      <w:r w:rsidRPr="003D5B85">
        <w:rPr>
          <w:rFonts w:ascii="Book Antiqua" w:hAnsi="Book Antiqua"/>
          <w:sz w:val="24"/>
          <w:szCs w:val="24"/>
        </w:rPr>
        <w:t>Jarboe</w:t>
      </w:r>
      <w:proofErr w:type="spellEnd"/>
      <w:r w:rsidRPr="003D5B85">
        <w:rPr>
          <w:rFonts w:ascii="Book Antiqua" w:hAnsi="Book Antiqua"/>
          <w:sz w:val="24"/>
          <w:szCs w:val="24"/>
        </w:rPr>
        <w:t xml:space="preserve"> LA, Weinberg BM, </w:t>
      </w:r>
      <w:proofErr w:type="spellStart"/>
      <w:r w:rsidRPr="003D5B85">
        <w:rPr>
          <w:rFonts w:ascii="Book Antiqua" w:hAnsi="Book Antiqua"/>
          <w:sz w:val="24"/>
          <w:szCs w:val="24"/>
        </w:rPr>
        <w:t>Nimmagadda</w:t>
      </w:r>
      <w:proofErr w:type="spellEnd"/>
      <w:r w:rsidRPr="003D5B85">
        <w:rPr>
          <w:rFonts w:ascii="Book Antiqua" w:hAnsi="Book Antiqua"/>
          <w:sz w:val="24"/>
          <w:szCs w:val="24"/>
        </w:rPr>
        <w:t xml:space="preserve"> K, Sullivan LM, Wolfe MM. Patterns of proton pump inhibitor use in clinical practice. </w:t>
      </w:r>
      <w:r w:rsidRPr="003D5B85">
        <w:rPr>
          <w:rFonts w:ascii="Book Antiqua" w:hAnsi="Book Antiqua"/>
          <w:i/>
          <w:sz w:val="24"/>
          <w:szCs w:val="24"/>
        </w:rPr>
        <w:t>Am J Med</w:t>
      </w:r>
      <w:r w:rsidRPr="003D5B85">
        <w:rPr>
          <w:rFonts w:ascii="Book Antiqua" w:hAnsi="Book Antiqua"/>
          <w:sz w:val="24"/>
          <w:szCs w:val="24"/>
        </w:rPr>
        <w:t xml:space="preserve"> 2001; </w:t>
      </w:r>
      <w:r w:rsidRPr="003D5B85">
        <w:rPr>
          <w:rFonts w:ascii="Book Antiqua" w:hAnsi="Book Antiqua"/>
          <w:b/>
          <w:sz w:val="24"/>
          <w:szCs w:val="24"/>
        </w:rPr>
        <w:t>111</w:t>
      </w:r>
      <w:r w:rsidRPr="003D5B85">
        <w:rPr>
          <w:rFonts w:ascii="Book Antiqua" w:hAnsi="Book Antiqua"/>
          <w:sz w:val="24"/>
          <w:szCs w:val="24"/>
        </w:rPr>
        <w:t>: 469-473 [PMID: 11690573 DOI: 10.1016/S0002-9343(01)00901-9]</w:t>
      </w:r>
    </w:p>
    <w:p w14:paraId="5962B80E" w14:textId="77777777" w:rsidR="000A1B63" w:rsidRPr="003D5B85" w:rsidRDefault="000A1B63" w:rsidP="000A1B63">
      <w:pPr>
        <w:spacing w:line="360" w:lineRule="auto"/>
        <w:rPr>
          <w:rFonts w:ascii="Book Antiqua" w:hAnsi="Book Antiqua"/>
          <w:sz w:val="24"/>
          <w:szCs w:val="24"/>
        </w:rPr>
      </w:pPr>
      <w:proofErr w:type="gramStart"/>
      <w:r w:rsidRPr="003D5B85">
        <w:rPr>
          <w:rFonts w:ascii="Book Antiqua" w:hAnsi="Book Antiqua"/>
          <w:sz w:val="24"/>
          <w:szCs w:val="24"/>
        </w:rPr>
        <w:t xml:space="preserve">5 </w:t>
      </w:r>
      <w:r w:rsidRPr="003D5B85">
        <w:rPr>
          <w:rFonts w:ascii="Book Antiqua" w:hAnsi="Book Antiqua"/>
          <w:b/>
          <w:sz w:val="24"/>
          <w:szCs w:val="24"/>
        </w:rPr>
        <w:t>Chavez-Tapia NC</w:t>
      </w:r>
      <w:r w:rsidRPr="003D5B85">
        <w:rPr>
          <w:rFonts w:ascii="Book Antiqua" w:hAnsi="Book Antiqua"/>
          <w:sz w:val="24"/>
          <w:szCs w:val="24"/>
        </w:rPr>
        <w:t>, Tellez-Avila FI, Garcia-</w:t>
      </w:r>
      <w:proofErr w:type="spellStart"/>
      <w:r w:rsidRPr="003D5B85">
        <w:rPr>
          <w:rFonts w:ascii="Book Antiqua" w:hAnsi="Book Antiqua"/>
          <w:sz w:val="24"/>
          <w:szCs w:val="24"/>
        </w:rPr>
        <w:t>Leiva</w:t>
      </w:r>
      <w:proofErr w:type="spellEnd"/>
      <w:r w:rsidRPr="003D5B85">
        <w:rPr>
          <w:rFonts w:ascii="Book Antiqua" w:hAnsi="Book Antiqua"/>
          <w:sz w:val="24"/>
          <w:szCs w:val="24"/>
        </w:rPr>
        <w:t xml:space="preserve"> J, </w:t>
      </w:r>
      <w:proofErr w:type="spellStart"/>
      <w:r w:rsidRPr="003D5B85">
        <w:rPr>
          <w:rFonts w:ascii="Book Antiqua" w:hAnsi="Book Antiqua"/>
          <w:sz w:val="24"/>
          <w:szCs w:val="24"/>
        </w:rPr>
        <w:t>Valdovinos</w:t>
      </w:r>
      <w:proofErr w:type="spellEnd"/>
      <w:r w:rsidRPr="003D5B85">
        <w:rPr>
          <w:rFonts w:ascii="Book Antiqua" w:hAnsi="Book Antiqua"/>
          <w:sz w:val="24"/>
          <w:szCs w:val="24"/>
        </w:rPr>
        <w:t xml:space="preserve"> MA.</w:t>
      </w:r>
      <w:proofErr w:type="gramEnd"/>
      <w:r w:rsidRPr="003D5B85">
        <w:rPr>
          <w:rFonts w:ascii="Book Antiqua" w:hAnsi="Book Antiqua"/>
          <w:sz w:val="24"/>
          <w:szCs w:val="24"/>
        </w:rPr>
        <w:t xml:space="preserve"> </w:t>
      </w:r>
      <w:bookmarkStart w:id="49" w:name="OLE_LINK53"/>
      <w:bookmarkStart w:id="50" w:name="OLE_LINK54"/>
      <w:r w:rsidRPr="003D5B85">
        <w:rPr>
          <w:rFonts w:ascii="Book Antiqua" w:hAnsi="Book Antiqua"/>
          <w:sz w:val="24"/>
          <w:szCs w:val="24"/>
        </w:rPr>
        <w:t xml:space="preserve">Use and overuse of proton pump inhibitors in cirrhotic patients. </w:t>
      </w:r>
      <w:bookmarkEnd w:id="49"/>
      <w:bookmarkEnd w:id="50"/>
      <w:r w:rsidRPr="003D5B85">
        <w:rPr>
          <w:rFonts w:ascii="Book Antiqua" w:hAnsi="Book Antiqua"/>
          <w:i/>
          <w:sz w:val="24"/>
          <w:szCs w:val="24"/>
        </w:rPr>
        <w:t xml:space="preserve">Med </w:t>
      </w:r>
      <w:proofErr w:type="spellStart"/>
      <w:r w:rsidRPr="003D5B85">
        <w:rPr>
          <w:rFonts w:ascii="Book Antiqua" w:hAnsi="Book Antiqua"/>
          <w:i/>
          <w:sz w:val="24"/>
          <w:szCs w:val="24"/>
        </w:rPr>
        <w:t>Sci</w:t>
      </w:r>
      <w:proofErr w:type="spellEnd"/>
      <w:r w:rsidRPr="003D5B85">
        <w:rPr>
          <w:rFonts w:ascii="Book Antiqua" w:hAnsi="Book Antiqua"/>
          <w:i/>
          <w:sz w:val="24"/>
          <w:szCs w:val="24"/>
        </w:rPr>
        <w:t xml:space="preserve"> </w:t>
      </w:r>
      <w:proofErr w:type="spellStart"/>
      <w:r w:rsidRPr="003D5B85">
        <w:rPr>
          <w:rFonts w:ascii="Book Antiqua" w:hAnsi="Book Antiqua"/>
          <w:i/>
          <w:sz w:val="24"/>
          <w:szCs w:val="24"/>
        </w:rPr>
        <w:t>Monit</w:t>
      </w:r>
      <w:proofErr w:type="spellEnd"/>
      <w:r w:rsidRPr="003D5B85">
        <w:rPr>
          <w:rFonts w:ascii="Book Antiqua" w:hAnsi="Book Antiqua"/>
          <w:sz w:val="24"/>
          <w:szCs w:val="24"/>
        </w:rPr>
        <w:t xml:space="preserve"> 2008; </w:t>
      </w:r>
      <w:r w:rsidRPr="003D5B85">
        <w:rPr>
          <w:rFonts w:ascii="Book Antiqua" w:hAnsi="Book Antiqua"/>
          <w:b/>
          <w:sz w:val="24"/>
          <w:szCs w:val="24"/>
        </w:rPr>
        <w:t>14</w:t>
      </w:r>
      <w:r w:rsidRPr="003D5B85">
        <w:rPr>
          <w:rFonts w:ascii="Book Antiqua" w:hAnsi="Book Antiqua"/>
          <w:sz w:val="24"/>
          <w:szCs w:val="24"/>
        </w:rPr>
        <w:t>: CR468-CR472 [PMID: 18758417 DOI: 10.1016/j.mehy.2008.04.015]</w:t>
      </w:r>
    </w:p>
    <w:p w14:paraId="3B3BCBAD" w14:textId="77777777" w:rsidR="000A1B63" w:rsidRPr="003D5B85" w:rsidRDefault="000A1B63" w:rsidP="000A1B63">
      <w:pPr>
        <w:spacing w:line="360" w:lineRule="auto"/>
        <w:rPr>
          <w:rFonts w:ascii="Book Antiqua" w:hAnsi="Book Antiqua"/>
          <w:sz w:val="24"/>
          <w:szCs w:val="24"/>
        </w:rPr>
      </w:pPr>
      <w:proofErr w:type="gramStart"/>
      <w:r w:rsidRPr="003D5B85">
        <w:rPr>
          <w:rFonts w:ascii="Book Antiqua" w:hAnsi="Book Antiqua"/>
          <w:sz w:val="24"/>
          <w:szCs w:val="24"/>
        </w:rPr>
        <w:t xml:space="preserve">6 </w:t>
      </w:r>
      <w:proofErr w:type="spellStart"/>
      <w:r w:rsidRPr="003D5B85">
        <w:rPr>
          <w:rFonts w:ascii="Book Antiqua" w:hAnsi="Book Antiqua"/>
          <w:b/>
          <w:sz w:val="24"/>
          <w:szCs w:val="24"/>
        </w:rPr>
        <w:t>Kalaitzakis</w:t>
      </w:r>
      <w:proofErr w:type="spellEnd"/>
      <w:r w:rsidRPr="003D5B85">
        <w:rPr>
          <w:rFonts w:ascii="Book Antiqua" w:hAnsi="Book Antiqua"/>
          <w:b/>
          <w:sz w:val="24"/>
          <w:szCs w:val="24"/>
        </w:rPr>
        <w:t xml:space="preserve"> E</w:t>
      </w:r>
      <w:r w:rsidRPr="003D5B85">
        <w:rPr>
          <w:rFonts w:ascii="Book Antiqua" w:hAnsi="Book Antiqua"/>
          <w:sz w:val="24"/>
          <w:szCs w:val="24"/>
        </w:rPr>
        <w:t xml:space="preserve">, </w:t>
      </w:r>
      <w:proofErr w:type="spellStart"/>
      <w:r w:rsidRPr="003D5B85">
        <w:rPr>
          <w:rFonts w:ascii="Book Antiqua" w:hAnsi="Book Antiqua"/>
          <w:sz w:val="24"/>
          <w:szCs w:val="24"/>
        </w:rPr>
        <w:t>Björnsson</w:t>
      </w:r>
      <w:proofErr w:type="spellEnd"/>
      <w:r w:rsidRPr="003D5B85">
        <w:rPr>
          <w:rFonts w:ascii="Book Antiqua" w:hAnsi="Book Antiqua"/>
          <w:sz w:val="24"/>
          <w:szCs w:val="24"/>
        </w:rPr>
        <w:t xml:space="preserve"> E. Inadequate use of proton-pump inhibitors in patients with liver cirrhosis.</w:t>
      </w:r>
      <w:proofErr w:type="gramEnd"/>
      <w:r w:rsidRPr="003D5B85">
        <w:rPr>
          <w:rFonts w:ascii="Book Antiqua" w:hAnsi="Book Antiqua"/>
          <w:sz w:val="24"/>
          <w:szCs w:val="24"/>
        </w:rPr>
        <w:t xml:space="preserve"> </w:t>
      </w:r>
      <w:proofErr w:type="spellStart"/>
      <w:r w:rsidRPr="003D5B85">
        <w:rPr>
          <w:rFonts w:ascii="Book Antiqua" w:hAnsi="Book Antiqua"/>
          <w:i/>
          <w:sz w:val="24"/>
          <w:szCs w:val="24"/>
        </w:rPr>
        <w:t>Eur</w:t>
      </w:r>
      <w:proofErr w:type="spellEnd"/>
      <w:r w:rsidRPr="003D5B85">
        <w:rPr>
          <w:rFonts w:ascii="Book Antiqua" w:hAnsi="Book Antiqua"/>
          <w:i/>
          <w:sz w:val="24"/>
          <w:szCs w:val="24"/>
        </w:rPr>
        <w:t xml:space="preserve"> J </w:t>
      </w:r>
      <w:proofErr w:type="spellStart"/>
      <w:r w:rsidRPr="003D5B85">
        <w:rPr>
          <w:rFonts w:ascii="Book Antiqua" w:hAnsi="Book Antiqua"/>
          <w:i/>
          <w:sz w:val="24"/>
          <w:szCs w:val="24"/>
        </w:rPr>
        <w:t>Gastroenterol</w:t>
      </w:r>
      <w:proofErr w:type="spellEnd"/>
      <w:r w:rsidRPr="003D5B85">
        <w:rPr>
          <w:rFonts w:ascii="Book Antiqua" w:hAnsi="Book Antiqua"/>
          <w:i/>
          <w:sz w:val="24"/>
          <w:szCs w:val="24"/>
        </w:rPr>
        <w:t xml:space="preserve"> </w:t>
      </w:r>
      <w:proofErr w:type="spellStart"/>
      <w:r w:rsidRPr="003D5B85">
        <w:rPr>
          <w:rFonts w:ascii="Book Antiqua" w:hAnsi="Book Antiqua"/>
          <w:i/>
          <w:sz w:val="24"/>
          <w:szCs w:val="24"/>
        </w:rPr>
        <w:t>Hepatol</w:t>
      </w:r>
      <w:proofErr w:type="spellEnd"/>
      <w:r w:rsidRPr="003D5B85">
        <w:rPr>
          <w:rFonts w:ascii="Book Antiqua" w:hAnsi="Book Antiqua"/>
          <w:sz w:val="24"/>
          <w:szCs w:val="24"/>
        </w:rPr>
        <w:t xml:space="preserve"> 2008; </w:t>
      </w:r>
      <w:r w:rsidRPr="003D5B85">
        <w:rPr>
          <w:rFonts w:ascii="Book Antiqua" w:hAnsi="Book Antiqua"/>
          <w:b/>
          <w:sz w:val="24"/>
          <w:szCs w:val="24"/>
        </w:rPr>
        <w:t>20</w:t>
      </w:r>
      <w:r w:rsidRPr="003D5B85">
        <w:rPr>
          <w:rFonts w:ascii="Book Antiqua" w:hAnsi="Book Antiqua"/>
          <w:sz w:val="24"/>
          <w:szCs w:val="24"/>
        </w:rPr>
        <w:t>: 512-518 [PMID: 18467910 DOI: 10.1097/MEG.0b013e3282f4aa01]</w:t>
      </w:r>
    </w:p>
    <w:p w14:paraId="0001767B" w14:textId="77777777" w:rsidR="000A1B63" w:rsidRPr="003D5B85" w:rsidRDefault="000A1B63" w:rsidP="000A1B63">
      <w:pPr>
        <w:spacing w:line="360" w:lineRule="auto"/>
        <w:rPr>
          <w:rFonts w:ascii="Book Antiqua" w:hAnsi="Book Antiqua"/>
          <w:sz w:val="24"/>
          <w:szCs w:val="24"/>
        </w:rPr>
      </w:pPr>
      <w:r w:rsidRPr="003D5B85">
        <w:rPr>
          <w:rFonts w:ascii="Book Antiqua" w:hAnsi="Book Antiqua"/>
          <w:sz w:val="24"/>
          <w:szCs w:val="24"/>
        </w:rPr>
        <w:t xml:space="preserve">7 </w:t>
      </w:r>
      <w:proofErr w:type="spellStart"/>
      <w:r w:rsidRPr="003D5B85">
        <w:rPr>
          <w:rFonts w:ascii="Book Antiqua" w:hAnsi="Book Antiqua"/>
          <w:b/>
          <w:sz w:val="24"/>
          <w:szCs w:val="24"/>
        </w:rPr>
        <w:t>Dultz</w:t>
      </w:r>
      <w:proofErr w:type="spellEnd"/>
      <w:r w:rsidRPr="003D5B85">
        <w:rPr>
          <w:rFonts w:ascii="Book Antiqua" w:hAnsi="Book Antiqua"/>
          <w:b/>
          <w:sz w:val="24"/>
          <w:szCs w:val="24"/>
        </w:rPr>
        <w:t xml:space="preserve"> G</w:t>
      </w:r>
      <w:r w:rsidRPr="003D5B85">
        <w:rPr>
          <w:rFonts w:ascii="Book Antiqua" w:hAnsi="Book Antiqua"/>
          <w:sz w:val="24"/>
          <w:szCs w:val="24"/>
        </w:rPr>
        <w:t xml:space="preserve">, </w:t>
      </w:r>
      <w:proofErr w:type="spellStart"/>
      <w:r w:rsidRPr="003D5B85">
        <w:rPr>
          <w:rFonts w:ascii="Book Antiqua" w:hAnsi="Book Antiqua"/>
          <w:sz w:val="24"/>
          <w:szCs w:val="24"/>
        </w:rPr>
        <w:t>Piiper</w:t>
      </w:r>
      <w:proofErr w:type="spellEnd"/>
      <w:r w:rsidRPr="003D5B85">
        <w:rPr>
          <w:rFonts w:ascii="Book Antiqua" w:hAnsi="Book Antiqua"/>
          <w:sz w:val="24"/>
          <w:szCs w:val="24"/>
        </w:rPr>
        <w:t xml:space="preserve"> A, </w:t>
      </w:r>
      <w:proofErr w:type="spellStart"/>
      <w:r w:rsidRPr="003D5B85">
        <w:rPr>
          <w:rFonts w:ascii="Book Antiqua" w:hAnsi="Book Antiqua"/>
          <w:sz w:val="24"/>
          <w:szCs w:val="24"/>
        </w:rPr>
        <w:t>Zeuzem</w:t>
      </w:r>
      <w:proofErr w:type="spellEnd"/>
      <w:r w:rsidRPr="003D5B85">
        <w:rPr>
          <w:rFonts w:ascii="Book Antiqua" w:hAnsi="Book Antiqua"/>
          <w:sz w:val="24"/>
          <w:szCs w:val="24"/>
        </w:rPr>
        <w:t xml:space="preserve"> S, </w:t>
      </w:r>
      <w:proofErr w:type="spellStart"/>
      <w:r w:rsidRPr="003D5B85">
        <w:rPr>
          <w:rFonts w:ascii="Book Antiqua" w:hAnsi="Book Antiqua"/>
          <w:sz w:val="24"/>
          <w:szCs w:val="24"/>
        </w:rPr>
        <w:t>Kronenberger</w:t>
      </w:r>
      <w:proofErr w:type="spellEnd"/>
      <w:r w:rsidRPr="003D5B85">
        <w:rPr>
          <w:rFonts w:ascii="Book Antiqua" w:hAnsi="Book Antiqua"/>
          <w:sz w:val="24"/>
          <w:szCs w:val="24"/>
        </w:rPr>
        <w:t xml:space="preserve"> B, </w:t>
      </w:r>
      <w:proofErr w:type="spellStart"/>
      <w:r w:rsidRPr="003D5B85">
        <w:rPr>
          <w:rFonts w:ascii="Book Antiqua" w:hAnsi="Book Antiqua"/>
          <w:sz w:val="24"/>
          <w:szCs w:val="24"/>
        </w:rPr>
        <w:t>Waidmann</w:t>
      </w:r>
      <w:proofErr w:type="spellEnd"/>
      <w:r w:rsidRPr="003D5B85">
        <w:rPr>
          <w:rFonts w:ascii="Book Antiqua" w:hAnsi="Book Antiqua"/>
          <w:sz w:val="24"/>
          <w:szCs w:val="24"/>
        </w:rPr>
        <w:t xml:space="preserve"> O. Proton pump inhibitor treatment is associated with the severity of liver disease and increased mortality in patients with cirrhosis. </w:t>
      </w:r>
      <w:r w:rsidRPr="003D5B85">
        <w:rPr>
          <w:rFonts w:ascii="Book Antiqua" w:hAnsi="Book Antiqua"/>
          <w:i/>
          <w:sz w:val="24"/>
          <w:szCs w:val="24"/>
        </w:rPr>
        <w:t xml:space="preserve">Aliment </w:t>
      </w:r>
      <w:proofErr w:type="spellStart"/>
      <w:r w:rsidRPr="003D5B85">
        <w:rPr>
          <w:rFonts w:ascii="Book Antiqua" w:hAnsi="Book Antiqua"/>
          <w:i/>
          <w:sz w:val="24"/>
          <w:szCs w:val="24"/>
        </w:rPr>
        <w:t>Pharmacol</w:t>
      </w:r>
      <w:proofErr w:type="spellEnd"/>
      <w:r w:rsidRPr="003D5B85">
        <w:rPr>
          <w:rFonts w:ascii="Book Antiqua" w:hAnsi="Book Antiqua"/>
          <w:i/>
          <w:sz w:val="24"/>
          <w:szCs w:val="24"/>
        </w:rPr>
        <w:t xml:space="preserve"> </w:t>
      </w:r>
      <w:proofErr w:type="spellStart"/>
      <w:r w:rsidRPr="003D5B85">
        <w:rPr>
          <w:rFonts w:ascii="Book Antiqua" w:hAnsi="Book Antiqua"/>
          <w:i/>
          <w:sz w:val="24"/>
          <w:szCs w:val="24"/>
        </w:rPr>
        <w:t>Ther</w:t>
      </w:r>
      <w:proofErr w:type="spellEnd"/>
      <w:r w:rsidRPr="003D5B85">
        <w:rPr>
          <w:rFonts w:ascii="Book Antiqua" w:hAnsi="Book Antiqua"/>
          <w:sz w:val="24"/>
          <w:szCs w:val="24"/>
        </w:rPr>
        <w:t xml:space="preserve"> 2015; </w:t>
      </w:r>
      <w:r w:rsidRPr="003D5B85">
        <w:rPr>
          <w:rFonts w:ascii="Book Antiqua" w:hAnsi="Book Antiqua"/>
          <w:b/>
          <w:sz w:val="24"/>
          <w:szCs w:val="24"/>
        </w:rPr>
        <w:t>41</w:t>
      </w:r>
      <w:r w:rsidRPr="003D5B85">
        <w:rPr>
          <w:rFonts w:ascii="Book Antiqua" w:hAnsi="Book Antiqua"/>
          <w:sz w:val="24"/>
          <w:szCs w:val="24"/>
        </w:rPr>
        <w:t>: 459-466 [PMID: 25523381 DOI: 10.1111/apt.13061]</w:t>
      </w:r>
    </w:p>
    <w:p w14:paraId="532AFCDD" w14:textId="77777777" w:rsidR="000A1B63" w:rsidRPr="003D5B85" w:rsidRDefault="000A1B63" w:rsidP="000A1B63">
      <w:pPr>
        <w:spacing w:line="360" w:lineRule="auto"/>
        <w:rPr>
          <w:rFonts w:ascii="Book Antiqua" w:hAnsi="Book Antiqua"/>
          <w:sz w:val="24"/>
          <w:szCs w:val="24"/>
        </w:rPr>
      </w:pPr>
      <w:r w:rsidRPr="003D5B85">
        <w:rPr>
          <w:rFonts w:ascii="Book Antiqua" w:hAnsi="Book Antiqua"/>
          <w:sz w:val="24"/>
          <w:szCs w:val="24"/>
        </w:rPr>
        <w:t xml:space="preserve">8 </w:t>
      </w:r>
      <w:r w:rsidRPr="003D5B85">
        <w:rPr>
          <w:rFonts w:ascii="Book Antiqua" w:hAnsi="Book Antiqua"/>
          <w:b/>
          <w:sz w:val="24"/>
          <w:szCs w:val="24"/>
        </w:rPr>
        <w:t>Lewis SJ</w:t>
      </w:r>
      <w:r w:rsidRPr="003D5B85">
        <w:rPr>
          <w:rFonts w:ascii="Book Antiqua" w:hAnsi="Book Antiqua"/>
          <w:sz w:val="24"/>
          <w:szCs w:val="24"/>
        </w:rPr>
        <w:t xml:space="preserve">, Franco S, Young G, O'Keefe SJ. Altered bowel function and duodenal bacterial overgrowth in patients treated with omeprazole. </w:t>
      </w:r>
      <w:r w:rsidRPr="003D5B85">
        <w:rPr>
          <w:rFonts w:ascii="Book Antiqua" w:hAnsi="Book Antiqua"/>
          <w:i/>
          <w:sz w:val="24"/>
          <w:szCs w:val="24"/>
        </w:rPr>
        <w:t xml:space="preserve">Aliment </w:t>
      </w:r>
      <w:proofErr w:type="spellStart"/>
      <w:r w:rsidRPr="003D5B85">
        <w:rPr>
          <w:rFonts w:ascii="Book Antiqua" w:hAnsi="Book Antiqua"/>
          <w:i/>
          <w:sz w:val="24"/>
          <w:szCs w:val="24"/>
        </w:rPr>
        <w:t>Pharmacol</w:t>
      </w:r>
      <w:proofErr w:type="spellEnd"/>
      <w:r w:rsidRPr="003D5B85">
        <w:rPr>
          <w:rFonts w:ascii="Book Antiqua" w:hAnsi="Book Antiqua"/>
          <w:i/>
          <w:sz w:val="24"/>
          <w:szCs w:val="24"/>
        </w:rPr>
        <w:t xml:space="preserve"> </w:t>
      </w:r>
      <w:proofErr w:type="spellStart"/>
      <w:r w:rsidRPr="003D5B85">
        <w:rPr>
          <w:rFonts w:ascii="Book Antiqua" w:hAnsi="Book Antiqua"/>
          <w:i/>
          <w:sz w:val="24"/>
          <w:szCs w:val="24"/>
        </w:rPr>
        <w:t>Ther</w:t>
      </w:r>
      <w:proofErr w:type="spellEnd"/>
      <w:r w:rsidRPr="003D5B85">
        <w:rPr>
          <w:rFonts w:ascii="Book Antiqua" w:hAnsi="Book Antiqua"/>
          <w:sz w:val="24"/>
          <w:szCs w:val="24"/>
        </w:rPr>
        <w:t xml:space="preserve"> 1996; </w:t>
      </w:r>
      <w:r w:rsidRPr="003D5B85">
        <w:rPr>
          <w:rFonts w:ascii="Book Antiqua" w:hAnsi="Book Antiqua"/>
          <w:b/>
          <w:sz w:val="24"/>
          <w:szCs w:val="24"/>
        </w:rPr>
        <w:t>10</w:t>
      </w:r>
      <w:r w:rsidRPr="003D5B85">
        <w:rPr>
          <w:rFonts w:ascii="Book Antiqua" w:hAnsi="Book Antiqua"/>
          <w:sz w:val="24"/>
          <w:szCs w:val="24"/>
        </w:rPr>
        <w:t>: 557-561 [PMID: 8853759 DOI: 10.1046/j.1365-2036.1996.d01-506.x]</w:t>
      </w:r>
    </w:p>
    <w:p w14:paraId="33337C42" w14:textId="77777777" w:rsidR="000A1B63" w:rsidRPr="003D5B85" w:rsidRDefault="000A1B63" w:rsidP="000A1B63">
      <w:pPr>
        <w:spacing w:line="360" w:lineRule="auto"/>
        <w:rPr>
          <w:rFonts w:ascii="Book Antiqua" w:hAnsi="Book Antiqua"/>
          <w:sz w:val="24"/>
          <w:szCs w:val="24"/>
        </w:rPr>
      </w:pPr>
      <w:r w:rsidRPr="003D5B85">
        <w:rPr>
          <w:rFonts w:ascii="Book Antiqua" w:hAnsi="Book Antiqua"/>
          <w:sz w:val="24"/>
          <w:szCs w:val="24"/>
        </w:rPr>
        <w:t xml:space="preserve">9 </w:t>
      </w:r>
      <w:proofErr w:type="spellStart"/>
      <w:r w:rsidRPr="003D5B85">
        <w:rPr>
          <w:rFonts w:ascii="Book Antiqua" w:hAnsi="Book Antiqua"/>
          <w:b/>
          <w:sz w:val="24"/>
          <w:szCs w:val="24"/>
        </w:rPr>
        <w:t>Tergast</w:t>
      </w:r>
      <w:proofErr w:type="spellEnd"/>
      <w:r w:rsidRPr="003D5B85">
        <w:rPr>
          <w:rFonts w:ascii="Book Antiqua" w:hAnsi="Book Antiqua"/>
          <w:b/>
          <w:sz w:val="24"/>
          <w:szCs w:val="24"/>
        </w:rPr>
        <w:t xml:space="preserve"> TL</w:t>
      </w:r>
      <w:r w:rsidRPr="003D5B85">
        <w:rPr>
          <w:rFonts w:ascii="Book Antiqua" w:hAnsi="Book Antiqua"/>
          <w:sz w:val="24"/>
          <w:szCs w:val="24"/>
        </w:rPr>
        <w:t xml:space="preserve">, </w:t>
      </w:r>
      <w:proofErr w:type="spellStart"/>
      <w:r w:rsidRPr="003D5B85">
        <w:rPr>
          <w:rFonts w:ascii="Book Antiqua" w:hAnsi="Book Antiqua"/>
          <w:sz w:val="24"/>
          <w:szCs w:val="24"/>
        </w:rPr>
        <w:t>Wranke</w:t>
      </w:r>
      <w:proofErr w:type="spellEnd"/>
      <w:r w:rsidRPr="003D5B85">
        <w:rPr>
          <w:rFonts w:ascii="Book Antiqua" w:hAnsi="Book Antiqua"/>
          <w:sz w:val="24"/>
          <w:szCs w:val="24"/>
        </w:rPr>
        <w:t xml:space="preserve"> A, Laser H, </w:t>
      </w:r>
      <w:proofErr w:type="spellStart"/>
      <w:r w:rsidRPr="003D5B85">
        <w:rPr>
          <w:rFonts w:ascii="Book Antiqua" w:hAnsi="Book Antiqua"/>
          <w:sz w:val="24"/>
          <w:szCs w:val="24"/>
        </w:rPr>
        <w:t>Gerbel</w:t>
      </w:r>
      <w:proofErr w:type="spellEnd"/>
      <w:r w:rsidRPr="003D5B85">
        <w:rPr>
          <w:rFonts w:ascii="Book Antiqua" w:hAnsi="Book Antiqua"/>
          <w:sz w:val="24"/>
          <w:szCs w:val="24"/>
        </w:rPr>
        <w:t xml:space="preserve"> S, </w:t>
      </w:r>
      <w:proofErr w:type="spellStart"/>
      <w:r w:rsidRPr="003D5B85">
        <w:rPr>
          <w:rFonts w:ascii="Book Antiqua" w:hAnsi="Book Antiqua"/>
          <w:sz w:val="24"/>
          <w:szCs w:val="24"/>
        </w:rPr>
        <w:t>Manns</w:t>
      </w:r>
      <w:proofErr w:type="spellEnd"/>
      <w:r w:rsidRPr="003D5B85">
        <w:rPr>
          <w:rFonts w:ascii="Book Antiqua" w:hAnsi="Book Antiqua"/>
          <w:sz w:val="24"/>
          <w:szCs w:val="24"/>
        </w:rPr>
        <w:t xml:space="preserve"> MP, </w:t>
      </w:r>
      <w:proofErr w:type="spellStart"/>
      <w:r w:rsidRPr="003D5B85">
        <w:rPr>
          <w:rFonts w:ascii="Book Antiqua" w:hAnsi="Book Antiqua"/>
          <w:sz w:val="24"/>
          <w:szCs w:val="24"/>
        </w:rPr>
        <w:t>Cornberg</w:t>
      </w:r>
      <w:proofErr w:type="spellEnd"/>
      <w:r w:rsidRPr="003D5B85">
        <w:rPr>
          <w:rFonts w:ascii="Book Antiqua" w:hAnsi="Book Antiqua"/>
          <w:sz w:val="24"/>
          <w:szCs w:val="24"/>
        </w:rPr>
        <w:t xml:space="preserve"> M, </w:t>
      </w:r>
      <w:proofErr w:type="spellStart"/>
      <w:r w:rsidRPr="003D5B85">
        <w:rPr>
          <w:rFonts w:ascii="Book Antiqua" w:hAnsi="Book Antiqua"/>
          <w:sz w:val="24"/>
          <w:szCs w:val="24"/>
        </w:rPr>
        <w:t>Maasoumy</w:t>
      </w:r>
      <w:proofErr w:type="spellEnd"/>
      <w:r w:rsidRPr="003D5B85">
        <w:rPr>
          <w:rFonts w:ascii="Book Antiqua" w:hAnsi="Book Antiqua"/>
          <w:sz w:val="24"/>
          <w:szCs w:val="24"/>
        </w:rPr>
        <w:t xml:space="preserve"> B. Dose-dependent impact of proton pump inhibitors on the clinical course of </w:t>
      </w:r>
      <w:r w:rsidRPr="003D5B85">
        <w:rPr>
          <w:rFonts w:ascii="Book Antiqua" w:hAnsi="Book Antiqua"/>
          <w:sz w:val="24"/>
          <w:szCs w:val="24"/>
        </w:rPr>
        <w:lastRenderedPageBreak/>
        <w:t xml:space="preserve">spontaneous bacterial peritonitis. </w:t>
      </w:r>
      <w:r w:rsidRPr="003D5B85">
        <w:rPr>
          <w:rFonts w:ascii="Book Antiqua" w:hAnsi="Book Antiqua"/>
          <w:i/>
          <w:sz w:val="24"/>
          <w:szCs w:val="24"/>
        </w:rPr>
        <w:t xml:space="preserve">Liver </w:t>
      </w:r>
      <w:proofErr w:type="spellStart"/>
      <w:r w:rsidRPr="003D5B85">
        <w:rPr>
          <w:rFonts w:ascii="Book Antiqua" w:hAnsi="Book Antiqua"/>
          <w:i/>
          <w:sz w:val="24"/>
          <w:szCs w:val="24"/>
        </w:rPr>
        <w:t>Int</w:t>
      </w:r>
      <w:proofErr w:type="spellEnd"/>
      <w:r w:rsidRPr="003D5B85">
        <w:rPr>
          <w:rFonts w:ascii="Book Antiqua" w:hAnsi="Book Antiqua"/>
          <w:sz w:val="24"/>
          <w:szCs w:val="24"/>
        </w:rPr>
        <w:t xml:space="preserve"> 2018; </w:t>
      </w:r>
      <w:r w:rsidRPr="003D5B85">
        <w:rPr>
          <w:rFonts w:ascii="Book Antiqua" w:hAnsi="Book Antiqua"/>
          <w:b/>
          <w:sz w:val="24"/>
          <w:szCs w:val="24"/>
        </w:rPr>
        <w:t>38</w:t>
      </w:r>
      <w:r w:rsidRPr="003D5B85">
        <w:rPr>
          <w:rFonts w:ascii="Book Antiqua" w:hAnsi="Book Antiqua"/>
          <w:sz w:val="24"/>
          <w:szCs w:val="24"/>
        </w:rPr>
        <w:t>: 1602-1613 [PMID: 29675988 DOI: 10.1111/liv.13862]</w:t>
      </w:r>
    </w:p>
    <w:p w14:paraId="5932CCBD" w14:textId="77777777" w:rsidR="000A1B63" w:rsidRPr="003D5B85" w:rsidRDefault="000A1B63" w:rsidP="000A1B63">
      <w:pPr>
        <w:spacing w:line="360" w:lineRule="auto"/>
        <w:rPr>
          <w:rFonts w:ascii="Book Antiqua" w:hAnsi="Book Antiqua"/>
          <w:sz w:val="24"/>
          <w:szCs w:val="24"/>
        </w:rPr>
      </w:pPr>
      <w:proofErr w:type="gramStart"/>
      <w:r w:rsidRPr="003D5B85">
        <w:rPr>
          <w:rFonts w:ascii="Book Antiqua" w:hAnsi="Book Antiqua"/>
          <w:sz w:val="24"/>
          <w:szCs w:val="24"/>
        </w:rPr>
        <w:t xml:space="preserve">10 </w:t>
      </w:r>
      <w:proofErr w:type="spellStart"/>
      <w:r w:rsidRPr="003D5B85">
        <w:rPr>
          <w:rFonts w:ascii="Book Antiqua" w:hAnsi="Book Antiqua"/>
          <w:b/>
          <w:sz w:val="24"/>
          <w:szCs w:val="24"/>
        </w:rPr>
        <w:t>Lázaro</w:t>
      </w:r>
      <w:proofErr w:type="spellEnd"/>
      <w:r w:rsidRPr="003D5B85">
        <w:rPr>
          <w:rFonts w:ascii="Book Antiqua" w:hAnsi="Book Antiqua"/>
          <w:b/>
          <w:sz w:val="24"/>
          <w:szCs w:val="24"/>
        </w:rPr>
        <w:t>-Pacheco IB</w:t>
      </w:r>
      <w:r w:rsidRPr="003D5B85">
        <w:rPr>
          <w:rFonts w:ascii="Book Antiqua" w:hAnsi="Book Antiqua"/>
          <w:sz w:val="24"/>
          <w:szCs w:val="24"/>
        </w:rPr>
        <w:t xml:space="preserve">, </w:t>
      </w:r>
      <w:proofErr w:type="spellStart"/>
      <w:r w:rsidRPr="003D5B85">
        <w:rPr>
          <w:rFonts w:ascii="Book Antiqua" w:hAnsi="Book Antiqua"/>
          <w:sz w:val="24"/>
          <w:szCs w:val="24"/>
        </w:rPr>
        <w:t>Servín-Caamaño</w:t>
      </w:r>
      <w:proofErr w:type="spellEnd"/>
      <w:r w:rsidRPr="003D5B85">
        <w:rPr>
          <w:rFonts w:ascii="Book Antiqua" w:hAnsi="Book Antiqua"/>
          <w:sz w:val="24"/>
          <w:szCs w:val="24"/>
        </w:rPr>
        <w:t xml:space="preserve"> AI, Pérez-Hernández JL, Rojas-</w:t>
      </w:r>
      <w:proofErr w:type="spellStart"/>
      <w:r w:rsidRPr="003D5B85">
        <w:rPr>
          <w:rFonts w:ascii="Book Antiqua" w:hAnsi="Book Antiqua"/>
          <w:sz w:val="24"/>
          <w:szCs w:val="24"/>
        </w:rPr>
        <w:t>Loureiro</w:t>
      </w:r>
      <w:proofErr w:type="spellEnd"/>
      <w:r w:rsidRPr="003D5B85">
        <w:rPr>
          <w:rFonts w:ascii="Book Antiqua" w:hAnsi="Book Antiqua"/>
          <w:sz w:val="24"/>
          <w:szCs w:val="24"/>
        </w:rPr>
        <w:t xml:space="preserve"> G, </w:t>
      </w:r>
      <w:proofErr w:type="spellStart"/>
      <w:r w:rsidRPr="003D5B85">
        <w:rPr>
          <w:rFonts w:ascii="Book Antiqua" w:hAnsi="Book Antiqua"/>
          <w:sz w:val="24"/>
          <w:szCs w:val="24"/>
        </w:rPr>
        <w:t>Servín</w:t>
      </w:r>
      <w:proofErr w:type="spellEnd"/>
      <w:r w:rsidRPr="003D5B85">
        <w:rPr>
          <w:rFonts w:ascii="Book Antiqua" w:hAnsi="Book Antiqua"/>
          <w:sz w:val="24"/>
          <w:szCs w:val="24"/>
        </w:rPr>
        <w:t xml:space="preserve">-Abad L, </w:t>
      </w:r>
      <w:proofErr w:type="spellStart"/>
      <w:r w:rsidRPr="003D5B85">
        <w:rPr>
          <w:rFonts w:ascii="Book Antiqua" w:hAnsi="Book Antiqua"/>
          <w:sz w:val="24"/>
          <w:szCs w:val="24"/>
        </w:rPr>
        <w:t>Tijera</w:t>
      </w:r>
      <w:proofErr w:type="spellEnd"/>
      <w:r w:rsidRPr="003D5B85">
        <w:rPr>
          <w:rFonts w:ascii="Book Antiqua" w:hAnsi="Book Antiqua"/>
          <w:sz w:val="24"/>
          <w:szCs w:val="24"/>
        </w:rPr>
        <w:t xml:space="preserve"> FH.</w:t>
      </w:r>
      <w:proofErr w:type="gramEnd"/>
      <w:r w:rsidRPr="003D5B85">
        <w:rPr>
          <w:rFonts w:ascii="Book Antiqua" w:hAnsi="Book Antiqua"/>
          <w:sz w:val="24"/>
          <w:szCs w:val="24"/>
        </w:rPr>
        <w:t xml:space="preserve"> PROTON PUMP INHIBITORS INCREASE THE OVERALL RISK OF DEVELOPING BACTERIAL INFECTIONS IN PATIENTS WITH CIRRHOSIS. </w:t>
      </w:r>
      <w:proofErr w:type="spellStart"/>
      <w:r w:rsidRPr="003D5B85">
        <w:rPr>
          <w:rFonts w:ascii="Book Antiqua" w:hAnsi="Book Antiqua"/>
          <w:i/>
          <w:sz w:val="24"/>
          <w:szCs w:val="24"/>
        </w:rPr>
        <w:t>Arq</w:t>
      </w:r>
      <w:proofErr w:type="spellEnd"/>
      <w:r w:rsidRPr="003D5B85">
        <w:rPr>
          <w:rFonts w:ascii="Book Antiqua" w:hAnsi="Book Antiqua"/>
          <w:i/>
          <w:sz w:val="24"/>
          <w:szCs w:val="24"/>
        </w:rPr>
        <w:t xml:space="preserve"> </w:t>
      </w:r>
      <w:proofErr w:type="spellStart"/>
      <w:r w:rsidRPr="003D5B85">
        <w:rPr>
          <w:rFonts w:ascii="Book Antiqua" w:hAnsi="Book Antiqua"/>
          <w:i/>
          <w:sz w:val="24"/>
          <w:szCs w:val="24"/>
        </w:rPr>
        <w:t>Gastroenterol</w:t>
      </w:r>
      <w:proofErr w:type="spellEnd"/>
      <w:r w:rsidRPr="003D5B85">
        <w:rPr>
          <w:rFonts w:ascii="Book Antiqua" w:hAnsi="Book Antiqua"/>
          <w:sz w:val="24"/>
          <w:szCs w:val="24"/>
        </w:rPr>
        <w:t xml:space="preserve"> 2018; </w:t>
      </w:r>
      <w:r w:rsidRPr="003D5B85">
        <w:rPr>
          <w:rFonts w:ascii="Book Antiqua" w:hAnsi="Book Antiqua"/>
          <w:b/>
          <w:sz w:val="24"/>
          <w:szCs w:val="24"/>
        </w:rPr>
        <w:t>55</w:t>
      </w:r>
      <w:r w:rsidRPr="003D5B85">
        <w:rPr>
          <w:rFonts w:ascii="Book Antiqua" w:hAnsi="Book Antiqua"/>
          <w:sz w:val="24"/>
          <w:szCs w:val="24"/>
        </w:rPr>
        <w:t>: 28-32 [PMID: 29561973 DOI: 10.1590/S0004-2803.201800000-09]</w:t>
      </w:r>
    </w:p>
    <w:p w14:paraId="0CE5438F" w14:textId="77777777" w:rsidR="000A1B63" w:rsidRPr="003D5B85" w:rsidRDefault="000A1B63" w:rsidP="000A1B63">
      <w:pPr>
        <w:spacing w:line="360" w:lineRule="auto"/>
        <w:rPr>
          <w:rFonts w:ascii="Book Antiqua" w:hAnsi="Book Antiqua"/>
          <w:sz w:val="24"/>
          <w:szCs w:val="24"/>
        </w:rPr>
      </w:pPr>
      <w:r w:rsidRPr="003D5B85">
        <w:rPr>
          <w:rFonts w:ascii="Book Antiqua" w:hAnsi="Book Antiqua"/>
          <w:sz w:val="24"/>
          <w:szCs w:val="24"/>
        </w:rPr>
        <w:t xml:space="preserve">11 </w:t>
      </w:r>
      <w:r w:rsidRPr="003D5B85">
        <w:rPr>
          <w:rFonts w:ascii="Book Antiqua" w:hAnsi="Book Antiqua"/>
          <w:b/>
          <w:sz w:val="24"/>
          <w:szCs w:val="24"/>
        </w:rPr>
        <w:t>Miura K</w:t>
      </w:r>
      <w:r w:rsidRPr="003D5B85">
        <w:rPr>
          <w:rFonts w:ascii="Book Antiqua" w:hAnsi="Book Antiqua"/>
          <w:sz w:val="24"/>
          <w:szCs w:val="24"/>
        </w:rPr>
        <w:t xml:space="preserve">, Tanaka A, Yamamoto T, Adachi M, </w:t>
      </w:r>
      <w:proofErr w:type="spellStart"/>
      <w:r w:rsidRPr="003D5B85">
        <w:rPr>
          <w:rFonts w:ascii="Book Antiqua" w:hAnsi="Book Antiqua"/>
          <w:sz w:val="24"/>
          <w:szCs w:val="24"/>
        </w:rPr>
        <w:t>Takikawa</w:t>
      </w:r>
      <w:proofErr w:type="spellEnd"/>
      <w:r w:rsidRPr="003D5B85">
        <w:rPr>
          <w:rFonts w:ascii="Book Antiqua" w:hAnsi="Book Antiqua"/>
          <w:sz w:val="24"/>
          <w:szCs w:val="24"/>
        </w:rPr>
        <w:t xml:space="preserve"> H. Proton pump inhibitor use is associated with spontaneous bacterial peritonitis in patients with liver cirrhosis. </w:t>
      </w:r>
      <w:r w:rsidRPr="003D5B85">
        <w:rPr>
          <w:rFonts w:ascii="Book Antiqua" w:hAnsi="Book Antiqua"/>
          <w:i/>
          <w:sz w:val="24"/>
          <w:szCs w:val="24"/>
        </w:rPr>
        <w:t>Intern Med</w:t>
      </w:r>
      <w:r w:rsidRPr="003D5B85">
        <w:rPr>
          <w:rFonts w:ascii="Book Antiqua" w:hAnsi="Book Antiqua"/>
          <w:sz w:val="24"/>
          <w:szCs w:val="24"/>
        </w:rPr>
        <w:t xml:space="preserve"> 2014; </w:t>
      </w:r>
      <w:r w:rsidRPr="003D5B85">
        <w:rPr>
          <w:rFonts w:ascii="Book Antiqua" w:hAnsi="Book Antiqua"/>
          <w:b/>
          <w:sz w:val="24"/>
          <w:szCs w:val="24"/>
        </w:rPr>
        <w:t>53</w:t>
      </w:r>
      <w:r w:rsidRPr="003D5B85">
        <w:rPr>
          <w:rFonts w:ascii="Book Antiqua" w:hAnsi="Book Antiqua"/>
          <w:sz w:val="24"/>
          <w:szCs w:val="24"/>
        </w:rPr>
        <w:t>: 1037-1042 [PMID: 24827481 DOI: 10.2169/internalmedicine.53.2021]</w:t>
      </w:r>
    </w:p>
    <w:p w14:paraId="525D70B5" w14:textId="77777777" w:rsidR="000A1B63" w:rsidRPr="003D5B85" w:rsidRDefault="000A1B63" w:rsidP="000A1B63">
      <w:pPr>
        <w:spacing w:line="360" w:lineRule="auto"/>
        <w:rPr>
          <w:rFonts w:ascii="Book Antiqua" w:hAnsi="Book Antiqua"/>
          <w:sz w:val="24"/>
          <w:szCs w:val="24"/>
        </w:rPr>
      </w:pPr>
      <w:r w:rsidRPr="003D5B85">
        <w:rPr>
          <w:rFonts w:ascii="Book Antiqua" w:hAnsi="Book Antiqua"/>
          <w:sz w:val="24"/>
          <w:szCs w:val="24"/>
        </w:rPr>
        <w:t xml:space="preserve">12 </w:t>
      </w:r>
      <w:proofErr w:type="spellStart"/>
      <w:r w:rsidRPr="003D5B85">
        <w:rPr>
          <w:rFonts w:ascii="Book Antiqua" w:hAnsi="Book Antiqua"/>
          <w:b/>
          <w:sz w:val="24"/>
          <w:szCs w:val="24"/>
        </w:rPr>
        <w:t>Bulsiewicz</w:t>
      </w:r>
      <w:proofErr w:type="spellEnd"/>
      <w:r w:rsidRPr="003D5B85">
        <w:rPr>
          <w:rFonts w:ascii="Book Antiqua" w:hAnsi="Book Antiqua"/>
          <w:b/>
          <w:sz w:val="24"/>
          <w:szCs w:val="24"/>
        </w:rPr>
        <w:t xml:space="preserve"> WJ,</w:t>
      </w:r>
      <w:r w:rsidRPr="003D5B85">
        <w:rPr>
          <w:rFonts w:ascii="Book Antiqua" w:hAnsi="Book Antiqua"/>
          <w:sz w:val="24"/>
          <w:szCs w:val="24"/>
        </w:rPr>
        <w:t xml:space="preserve"> Scherer JR, </w:t>
      </w:r>
      <w:proofErr w:type="spellStart"/>
      <w:r w:rsidRPr="003D5B85">
        <w:rPr>
          <w:rFonts w:ascii="Book Antiqua" w:hAnsi="Book Antiqua"/>
          <w:sz w:val="24"/>
          <w:szCs w:val="24"/>
        </w:rPr>
        <w:t>Feinglass</w:t>
      </w:r>
      <w:proofErr w:type="spellEnd"/>
      <w:r w:rsidRPr="003D5B85">
        <w:rPr>
          <w:rFonts w:ascii="Book Antiqua" w:hAnsi="Book Antiqua"/>
          <w:sz w:val="24"/>
          <w:szCs w:val="24"/>
        </w:rPr>
        <w:t xml:space="preserve"> JM, </w:t>
      </w:r>
      <w:proofErr w:type="spellStart"/>
      <w:r w:rsidRPr="003D5B85">
        <w:rPr>
          <w:rFonts w:ascii="Book Antiqua" w:hAnsi="Book Antiqua"/>
          <w:sz w:val="24"/>
          <w:szCs w:val="24"/>
        </w:rPr>
        <w:t>Howden</w:t>
      </w:r>
      <w:proofErr w:type="spellEnd"/>
      <w:r w:rsidRPr="003D5B85">
        <w:rPr>
          <w:rFonts w:ascii="Book Antiqua" w:hAnsi="Book Antiqua"/>
          <w:sz w:val="24"/>
          <w:szCs w:val="24"/>
        </w:rPr>
        <w:t xml:space="preserve"> CW, </w:t>
      </w:r>
      <w:proofErr w:type="spellStart"/>
      <w:r w:rsidRPr="003D5B85">
        <w:rPr>
          <w:rFonts w:ascii="Book Antiqua" w:hAnsi="Book Antiqua"/>
          <w:sz w:val="24"/>
          <w:szCs w:val="24"/>
        </w:rPr>
        <w:t>Flamm</w:t>
      </w:r>
      <w:proofErr w:type="spellEnd"/>
      <w:r w:rsidRPr="003D5B85">
        <w:rPr>
          <w:rFonts w:ascii="Book Antiqua" w:hAnsi="Book Antiqua"/>
          <w:sz w:val="24"/>
          <w:szCs w:val="24"/>
        </w:rPr>
        <w:t xml:space="preserve"> SL. Proton pump inhibitor (PPI) use is independently associated with spontaneous bacterial peritonitis (SBP) in </w:t>
      </w:r>
      <w:proofErr w:type="spellStart"/>
      <w:r w:rsidRPr="003D5B85">
        <w:rPr>
          <w:rFonts w:ascii="Book Antiqua" w:hAnsi="Book Antiqua"/>
          <w:sz w:val="24"/>
          <w:szCs w:val="24"/>
        </w:rPr>
        <w:t>cirrhotics</w:t>
      </w:r>
      <w:proofErr w:type="spellEnd"/>
      <w:r w:rsidRPr="003D5B85">
        <w:rPr>
          <w:rFonts w:ascii="Book Antiqua" w:hAnsi="Book Antiqua"/>
          <w:sz w:val="24"/>
          <w:szCs w:val="24"/>
        </w:rPr>
        <w:t xml:space="preserve"> with ascites. </w:t>
      </w:r>
      <w:r w:rsidRPr="003D5B85">
        <w:rPr>
          <w:rFonts w:ascii="Book Antiqua" w:hAnsi="Book Antiqua"/>
          <w:i/>
          <w:sz w:val="24"/>
          <w:szCs w:val="24"/>
        </w:rPr>
        <w:t>Gastroenterology</w:t>
      </w:r>
      <w:r w:rsidRPr="003D5B85">
        <w:rPr>
          <w:rFonts w:ascii="Book Antiqua" w:hAnsi="Book Antiqua"/>
          <w:sz w:val="24"/>
          <w:szCs w:val="24"/>
        </w:rPr>
        <w:t xml:space="preserve"> 2009; </w:t>
      </w:r>
      <w:r w:rsidRPr="003D5B85">
        <w:rPr>
          <w:rFonts w:ascii="Book Antiqua" w:hAnsi="Book Antiqua"/>
          <w:b/>
          <w:sz w:val="24"/>
          <w:szCs w:val="24"/>
        </w:rPr>
        <w:t>136</w:t>
      </w:r>
      <w:r w:rsidRPr="003D5B85">
        <w:rPr>
          <w:rFonts w:ascii="Book Antiqua" w:hAnsi="Book Antiqua"/>
          <w:sz w:val="24"/>
          <w:szCs w:val="24"/>
        </w:rPr>
        <w:t>: A11 [DOI: 10.1016/S0016-5085(09)60053-6]</w:t>
      </w:r>
    </w:p>
    <w:p w14:paraId="65B9AC97" w14:textId="77777777" w:rsidR="000A1B63" w:rsidRPr="003D5B85" w:rsidRDefault="000A1B63" w:rsidP="000A1B63">
      <w:pPr>
        <w:spacing w:line="360" w:lineRule="auto"/>
        <w:rPr>
          <w:rFonts w:ascii="Book Antiqua" w:hAnsi="Book Antiqua"/>
          <w:sz w:val="24"/>
          <w:szCs w:val="24"/>
        </w:rPr>
      </w:pPr>
      <w:r w:rsidRPr="003D5B85">
        <w:rPr>
          <w:rFonts w:ascii="Book Antiqua" w:hAnsi="Book Antiqua"/>
          <w:sz w:val="24"/>
          <w:szCs w:val="24"/>
        </w:rPr>
        <w:t xml:space="preserve">13 </w:t>
      </w:r>
      <w:r w:rsidRPr="003D5B85">
        <w:rPr>
          <w:rFonts w:ascii="Book Antiqua" w:hAnsi="Book Antiqua"/>
          <w:b/>
          <w:sz w:val="24"/>
          <w:szCs w:val="24"/>
        </w:rPr>
        <w:t>Sturm L</w:t>
      </w:r>
      <w:r w:rsidRPr="003D5B85">
        <w:rPr>
          <w:rFonts w:ascii="Book Antiqua" w:hAnsi="Book Antiqua"/>
          <w:sz w:val="24"/>
          <w:szCs w:val="24"/>
        </w:rPr>
        <w:t xml:space="preserve">, </w:t>
      </w:r>
      <w:proofErr w:type="spellStart"/>
      <w:r w:rsidRPr="003D5B85">
        <w:rPr>
          <w:rFonts w:ascii="Book Antiqua" w:hAnsi="Book Antiqua"/>
          <w:sz w:val="24"/>
          <w:szCs w:val="24"/>
        </w:rPr>
        <w:t>Bettinger</w:t>
      </w:r>
      <w:proofErr w:type="spellEnd"/>
      <w:r w:rsidRPr="003D5B85">
        <w:rPr>
          <w:rFonts w:ascii="Book Antiqua" w:hAnsi="Book Antiqua"/>
          <w:sz w:val="24"/>
          <w:szCs w:val="24"/>
        </w:rPr>
        <w:t xml:space="preserve"> D, </w:t>
      </w:r>
      <w:proofErr w:type="spellStart"/>
      <w:r w:rsidRPr="003D5B85">
        <w:rPr>
          <w:rFonts w:ascii="Book Antiqua" w:hAnsi="Book Antiqua"/>
          <w:sz w:val="24"/>
          <w:szCs w:val="24"/>
        </w:rPr>
        <w:t>Giesler</w:t>
      </w:r>
      <w:proofErr w:type="spellEnd"/>
      <w:r w:rsidRPr="003D5B85">
        <w:rPr>
          <w:rFonts w:ascii="Book Antiqua" w:hAnsi="Book Antiqua"/>
          <w:sz w:val="24"/>
          <w:szCs w:val="24"/>
        </w:rPr>
        <w:t xml:space="preserve"> M, </w:t>
      </w:r>
      <w:proofErr w:type="spellStart"/>
      <w:r w:rsidRPr="003D5B85">
        <w:rPr>
          <w:rFonts w:ascii="Book Antiqua" w:hAnsi="Book Antiqua"/>
          <w:sz w:val="24"/>
          <w:szCs w:val="24"/>
        </w:rPr>
        <w:t>Boettler</w:t>
      </w:r>
      <w:proofErr w:type="spellEnd"/>
      <w:r w:rsidRPr="003D5B85">
        <w:rPr>
          <w:rFonts w:ascii="Book Antiqua" w:hAnsi="Book Antiqua"/>
          <w:sz w:val="24"/>
          <w:szCs w:val="24"/>
        </w:rPr>
        <w:t xml:space="preserve"> T, Schmidt A, </w:t>
      </w:r>
      <w:proofErr w:type="spellStart"/>
      <w:r w:rsidRPr="003D5B85">
        <w:rPr>
          <w:rFonts w:ascii="Book Antiqua" w:hAnsi="Book Antiqua"/>
          <w:sz w:val="24"/>
          <w:szCs w:val="24"/>
        </w:rPr>
        <w:t>Buettner</w:t>
      </w:r>
      <w:proofErr w:type="spellEnd"/>
      <w:r w:rsidRPr="003D5B85">
        <w:rPr>
          <w:rFonts w:ascii="Book Antiqua" w:hAnsi="Book Antiqua"/>
          <w:sz w:val="24"/>
          <w:szCs w:val="24"/>
        </w:rPr>
        <w:t xml:space="preserve"> N, </w:t>
      </w:r>
      <w:proofErr w:type="spellStart"/>
      <w:r w:rsidRPr="003D5B85">
        <w:rPr>
          <w:rFonts w:ascii="Book Antiqua" w:hAnsi="Book Antiqua"/>
          <w:sz w:val="24"/>
          <w:szCs w:val="24"/>
        </w:rPr>
        <w:t>Thimme</w:t>
      </w:r>
      <w:proofErr w:type="spellEnd"/>
      <w:r w:rsidRPr="003D5B85">
        <w:rPr>
          <w:rFonts w:ascii="Book Antiqua" w:hAnsi="Book Antiqua"/>
          <w:sz w:val="24"/>
          <w:szCs w:val="24"/>
        </w:rPr>
        <w:t xml:space="preserve"> R, </w:t>
      </w:r>
      <w:proofErr w:type="spellStart"/>
      <w:r w:rsidRPr="003D5B85">
        <w:rPr>
          <w:rFonts w:ascii="Book Antiqua" w:hAnsi="Book Antiqua"/>
          <w:sz w:val="24"/>
          <w:szCs w:val="24"/>
        </w:rPr>
        <w:t>Schultheiss</w:t>
      </w:r>
      <w:proofErr w:type="spellEnd"/>
      <w:r w:rsidRPr="003D5B85">
        <w:rPr>
          <w:rFonts w:ascii="Book Antiqua" w:hAnsi="Book Antiqua"/>
          <w:sz w:val="24"/>
          <w:szCs w:val="24"/>
        </w:rPr>
        <w:t xml:space="preserve"> M. Treatment with proton pump inhibitors increases the risk for development of hepatic encephalopathy after implantation of </w:t>
      </w:r>
      <w:proofErr w:type="spellStart"/>
      <w:r w:rsidRPr="003D5B85">
        <w:rPr>
          <w:rFonts w:ascii="Book Antiqua" w:hAnsi="Book Antiqua"/>
          <w:sz w:val="24"/>
          <w:szCs w:val="24"/>
        </w:rPr>
        <w:t>transjugular</w:t>
      </w:r>
      <w:proofErr w:type="spellEnd"/>
      <w:r w:rsidRPr="003D5B85">
        <w:rPr>
          <w:rFonts w:ascii="Book Antiqua" w:hAnsi="Book Antiqua"/>
          <w:sz w:val="24"/>
          <w:szCs w:val="24"/>
        </w:rPr>
        <w:t xml:space="preserve"> intrahepatic </w:t>
      </w:r>
      <w:proofErr w:type="spellStart"/>
      <w:r w:rsidRPr="003D5B85">
        <w:rPr>
          <w:rFonts w:ascii="Book Antiqua" w:hAnsi="Book Antiqua"/>
          <w:sz w:val="24"/>
          <w:szCs w:val="24"/>
        </w:rPr>
        <w:t>portosystemic</w:t>
      </w:r>
      <w:proofErr w:type="spellEnd"/>
      <w:r w:rsidRPr="003D5B85">
        <w:rPr>
          <w:rFonts w:ascii="Book Antiqua" w:hAnsi="Book Antiqua"/>
          <w:sz w:val="24"/>
          <w:szCs w:val="24"/>
        </w:rPr>
        <w:t xml:space="preserve"> shunt (TIPS). </w:t>
      </w:r>
      <w:r w:rsidRPr="003D5B85">
        <w:rPr>
          <w:rFonts w:ascii="Book Antiqua" w:hAnsi="Book Antiqua"/>
          <w:i/>
          <w:sz w:val="24"/>
          <w:szCs w:val="24"/>
        </w:rPr>
        <w:t xml:space="preserve">United European </w:t>
      </w:r>
      <w:proofErr w:type="spellStart"/>
      <w:r w:rsidRPr="003D5B85">
        <w:rPr>
          <w:rFonts w:ascii="Book Antiqua" w:hAnsi="Book Antiqua"/>
          <w:i/>
          <w:sz w:val="24"/>
          <w:szCs w:val="24"/>
        </w:rPr>
        <w:t>Gastroenterol</w:t>
      </w:r>
      <w:proofErr w:type="spellEnd"/>
      <w:r w:rsidRPr="003D5B85">
        <w:rPr>
          <w:rFonts w:ascii="Book Antiqua" w:hAnsi="Book Antiqua"/>
          <w:i/>
          <w:sz w:val="24"/>
          <w:szCs w:val="24"/>
        </w:rPr>
        <w:t xml:space="preserve"> J</w:t>
      </w:r>
      <w:r w:rsidRPr="003D5B85">
        <w:rPr>
          <w:rFonts w:ascii="Book Antiqua" w:hAnsi="Book Antiqua"/>
          <w:sz w:val="24"/>
          <w:szCs w:val="24"/>
        </w:rPr>
        <w:t xml:space="preserve"> 2018; </w:t>
      </w:r>
      <w:r w:rsidRPr="003D5B85">
        <w:rPr>
          <w:rFonts w:ascii="Book Antiqua" w:hAnsi="Book Antiqua"/>
          <w:b/>
          <w:sz w:val="24"/>
          <w:szCs w:val="24"/>
        </w:rPr>
        <w:t>6</w:t>
      </w:r>
      <w:r w:rsidRPr="003D5B85">
        <w:rPr>
          <w:rFonts w:ascii="Book Antiqua" w:hAnsi="Book Antiqua"/>
          <w:sz w:val="24"/>
          <w:szCs w:val="24"/>
        </w:rPr>
        <w:t>: 1380-1390 [PMID: 30386611 DOI: 10.1177/2050640618795928]</w:t>
      </w:r>
    </w:p>
    <w:p w14:paraId="1F1EF8B8" w14:textId="77777777" w:rsidR="000A1B63" w:rsidRPr="003D5B85" w:rsidRDefault="000A1B63" w:rsidP="000A1B63">
      <w:pPr>
        <w:spacing w:line="360" w:lineRule="auto"/>
        <w:rPr>
          <w:rFonts w:ascii="Book Antiqua" w:hAnsi="Book Antiqua"/>
          <w:b/>
          <w:sz w:val="24"/>
          <w:szCs w:val="24"/>
        </w:rPr>
      </w:pPr>
      <w:r w:rsidRPr="003D5B85">
        <w:rPr>
          <w:rFonts w:ascii="Book Antiqua" w:hAnsi="Book Antiqua"/>
          <w:sz w:val="24"/>
          <w:szCs w:val="24"/>
        </w:rPr>
        <w:t xml:space="preserve">14 </w:t>
      </w:r>
      <w:proofErr w:type="spellStart"/>
      <w:r w:rsidRPr="003D5B85">
        <w:rPr>
          <w:rFonts w:ascii="Book Antiqua" w:hAnsi="Book Antiqua"/>
          <w:b/>
          <w:sz w:val="24"/>
          <w:szCs w:val="24"/>
        </w:rPr>
        <w:t>Nardelli</w:t>
      </w:r>
      <w:proofErr w:type="spellEnd"/>
      <w:r w:rsidRPr="003D5B85">
        <w:rPr>
          <w:rFonts w:ascii="Book Antiqua" w:hAnsi="Book Antiqua"/>
          <w:b/>
          <w:sz w:val="24"/>
          <w:szCs w:val="24"/>
        </w:rPr>
        <w:t xml:space="preserve"> S</w:t>
      </w:r>
      <w:r w:rsidRPr="003D5B85">
        <w:rPr>
          <w:rFonts w:ascii="Book Antiqua" w:hAnsi="Book Antiqua"/>
          <w:sz w:val="24"/>
          <w:szCs w:val="24"/>
        </w:rPr>
        <w:t xml:space="preserve">, </w:t>
      </w:r>
      <w:proofErr w:type="spellStart"/>
      <w:r w:rsidRPr="003D5B85">
        <w:rPr>
          <w:rFonts w:ascii="Book Antiqua" w:hAnsi="Book Antiqua"/>
          <w:sz w:val="24"/>
          <w:szCs w:val="24"/>
        </w:rPr>
        <w:t>Gioia</w:t>
      </w:r>
      <w:proofErr w:type="spellEnd"/>
      <w:r w:rsidRPr="003D5B85">
        <w:rPr>
          <w:rFonts w:ascii="Book Antiqua" w:hAnsi="Book Antiqua"/>
          <w:sz w:val="24"/>
          <w:szCs w:val="24"/>
        </w:rPr>
        <w:t xml:space="preserve"> S, </w:t>
      </w:r>
      <w:proofErr w:type="spellStart"/>
      <w:r w:rsidRPr="003D5B85">
        <w:rPr>
          <w:rFonts w:ascii="Book Antiqua" w:hAnsi="Book Antiqua"/>
          <w:sz w:val="24"/>
          <w:szCs w:val="24"/>
        </w:rPr>
        <w:t>Ridola</w:t>
      </w:r>
      <w:proofErr w:type="spellEnd"/>
      <w:r w:rsidRPr="003D5B85">
        <w:rPr>
          <w:rFonts w:ascii="Book Antiqua" w:hAnsi="Book Antiqua"/>
          <w:sz w:val="24"/>
          <w:szCs w:val="24"/>
        </w:rPr>
        <w:t xml:space="preserve"> L, </w:t>
      </w:r>
      <w:proofErr w:type="spellStart"/>
      <w:r w:rsidRPr="003D5B85">
        <w:rPr>
          <w:rFonts w:ascii="Book Antiqua" w:hAnsi="Book Antiqua"/>
          <w:sz w:val="24"/>
          <w:szCs w:val="24"/>
        </w:rPr>
        <w:t>Farcomeni</w:t>
      </w:r>
      <w:proofErr w:type="spellEnd"/>
      <w:r w:rsidRPr="003D5B85">
        <w:rPr>
          <w:rFonts w:ascii="Book Antiqua" w:hAnsi="Book Antiqua"/>
          <w:sz w:val="24"/>
          <w:szCs w:val="24"/>
        </w:rPr>
        <w:t xml:space="preserve"> A, </w:t>
      </w:r>
      <w:proofErr w:type="spellStart"/>
      <w:r w:rsidRPr="003D5B85">
        <w:rPr>
          <w:rFonts w:ascii="Book Antiqua" w:hAnsi="Book Antiqua"/>
          <w:sz w:val="24"/>
          <w:szCs w:val="24"/>
        </w:rPr>
        <w:t>Merli</w:t>
      </w:r>
      <w:proofErr w:type="spellEnd"/>
      <w:r w:rsidRPr="003D5B85">
        <w:rPr>
          <w:rFonts w:ascii="Book Antiqua" w:hAnsi="Book Antiqua"/>
          <w:sz w:val="24"/>
          <w:szCs w:val="24"/>
        </w:rPr>
        <w:t xml:space="preserve"> M, </w:t>
      </w:r>
      <w:proofErr w:type="spellStart"/>
      <w:r w:rsidRPr="003D5B85">
        <w:rPr>
          <w:rFonts w:ascii="Book Antiqua" w:hAnsi="Book Antiqua"/>
          <w:sz w:val="24"/>
          <w:szCs w:val="24"/>
        </w:rPr>
        <w:t>Riggio</w:t>
      </w:r>
      <w:proofErr w:type="spellEnd"/>
      <w:r w:rsidRPr="003D5B85">
        <w:rPr>
          <w:rFonts w:ascii="Book Antiqua" w:hAnsi="Book Antiqua"/>
          <w:sz w:val="24"/>
          <w:szCs w:val="24"/>
        </w:rPr>
        <w:t xml:space="preserve"> O. Proton</w:t>
      </w:r>
      <w:r w:rsidRPr="003D5B85">
        <w:rPr>
          <w:rFonts w:ascii="Book Antiqua" w:hAnsi="Book Antiqua"/>
          <w:bCs/>
          <w:sz w:val="24"/>
          <w:szCs w:val="24"/>
        </w:rPr>
        <w:t xml:space="preserve"> Pump Inhibitors Are Associated With Minimal </w:t>
      </w:r>
      <w:r w:rsidRPr="003D5B85">
        <w:rPr>
          <w:rFonts w:ascii="Book Antiqua" w:hAnsi="Book Antiqua"/>
          <w:sz w:val="24"/>
          <w:szCs w:val="24"/>
        </w:rPr>
        <w:t>and</w:t>
      </w:r>
      <w:r w:rsidRPr="003D5B85">
        <w:rPr>
          <w:rFonts w:ascii="Book Antiqua" w:hAnsi="Book Antiqua"/>
          <w:bCs/>
          <w:sz w:val="24"/>
          <w:szCs w:val="24"/>
        </w:rPr>
        <w:t xml:space="preserve"> Overt Hepatic Encephalopathy </w:t>
      </w:r>
      <w:r w:rsidRPr="003D5B85">
        <w:rPr>
          <w:rFonts w:ascii="Book Antiqua" w:hAnsi="Book Antiqua"/>
          <w:sz w:val="24"/>
          <w:szCs w:val="24"/>
        </w:rPr>
        <w:t>and</w:t>
      </w:r>
      <w:r w:rsidRPr="003D5B85">
        <w:rPr>
          <w:rFonts w:ascii="Book Antiqua" w:hAnsi="Book Antiqua"/>
          <w:bCs/>
          <w:sz w:val="24"/>
          <w:szCs w:val="24"/>
        </w:rPr>
        <w:t xml:space="preserve"> Increased Mortality </w:t>
      </w:r>
      <w:r w:rsidRPr="003D5B85">
        <w:rPr>
          <w:rFonts w:ascii="Book Antiqua" w:hAnsi="Book Antiqua"/>
          <w:sz w:val="24"/>
          <w:szCs w:val="24"/>
        </w:rPr>
        <w:t>in</w:t>
      </w:r>
      <w:r w:rsidRPr="003D5B85">
        <w:rPr>
          <w:rFonts w:ascii="Book Antiqua" w:hAnsi="Book Antiqua"/>
          <w:bCs/>
          <w:sz w:val="24"/>
          <w:szCs w:val="24"/>
        </w:rPr>
        <w:t xml:space="preserve"> Patients With Cirrhosis</w:t>
      </w:r>
      <w:r w:rsidRPr="003D5B85">
        <w:rPr>
          <w:rFonts w:ascii="Book Antiqua" w:hAnsi="Book Antiqua"/>
          <w:sz w:val="24"/>
          <w:szCs w:val="24"/>
        </w:rPr>
        <w:t xml:space="preserve">. </w:t>
      </w:r>
      <w:r w:rsidRPr="003D5B85">
        <w:rPr>
          <w:rFonts w:ascii="Book Antiqua" w:hAnsi="Book Antiqua"/>
          <w:i/>
          <w:sz w:val="24"/>
          <w:szCs w:val="24"/>
        </w:rPr>
        <w:t>Hepatology</w:t>
      </w:r>
      <w:r w:rsidRPr="003D5B85">
        <w:rPr>
          <w:rFonts w:ascii="Book Antiqua" w:hAnsi="Book Antiqua"/>
          <w:sz w:val="24"/>
          <w:szCs w:val="24"/>
        </w:rPr>
        <w:t xml:space="preserve"> 2018</w:t>
      </w:r>
      <w:r w:rsidRPr="003D5B85">
        <w:rPr>
          <w:rFonts w:ascii="Book Antiqua" w:hAnsi="Book Antiqua"/>
          <w:bCs/>
          <w:sz w:val="24"/>
          <w:szCs w:val="24"/>
        </w:rPr>
        <w:t xml:space="preserve"> </w:t>
      </w:r>
      <w:r w:rsidRPr="003D5B85">
        <w:rPr>
          <w:rFonts w:ascii="Book Antiqua" w:hAnsi="Book Antiqua"/>
          <w:sz w:val="24"/>
          <w:szCs w:val="24"/>
        </w:rPr>
        <w:t>[PMID: 30289992 DOI: 10.1002/hep.30304]</w:t>
      </w:r>
    </w:p>
    <w:p w14:paraId="023878D9" w14:textId="77777777" w:rsidR="000A1B63" w:rsidRPr="003D5B85" w:rsidRDefault="000A1B63" w:rsidP="000A1B63">
      <w:pPr>
        <w:spacing w:line="360" w:lineRule="auto"/>
        <w:rPr>
          <w:rFonts w:ascii="Book Antiqua" w:hAnsi="Book Antiqua"/>
          <w:sz w:val="24"/>
          <w:szCs w:val="24"/>
        </w:rPr>
      </w:pPr>
      <w:r w:rsidRPr="003D5B85">
        <w:rPr>
          <w:rFonts w:ascii="Book Antiqua" w:hAnsi="Book Antiqua"/>
          <w:sz w:val="24"/>
          <w:szCs w:val="24"/>
        </w:rPr>
        <w:t xml:space="preserve">15 </w:t>
      </w:r>
      <w:r w:rsidRPr="003D5B85">
        <w:rPr>
          <w:rFonts w:ascii="Book Antiqua" w:hAnsi="Book Antiqua"/>
          <w:b/>
          <w:sz w:val="24"/>
          <w:szCs w:val="24"/>
        </w:rPr>
        <w:t>Zhu J</w:t>
      </w:r>
      <w:r w:rsidRPr="003D5B85">
        <w:rPr>
          <w:rFonts w:ascii="Book Antiqua" w:hAnsi="Book Antiqua"/>
          <w:sz w:val="24"/>
          <w:szCs w:val="24"/>
        </w:rPr>
        <w:t xml:space="preserve">, Qi X, Yu H, Yoshida EM, Mendez-Sanchez N, Zhang X, Wang R, Deng H, Li J, Han D, </w:t>
      </w:r>
      <w:proofErr w:type="spellStart"/>
      <w:r w:rsidRPr="003D5B85">
        <w:rPr>
          <w:rFonts w:ascii="Book Antiqua" w:hAnsi="Book Antiqua"/>
          <w:sz w:val="24"/>
          <w:szCs w:val="24"/>
        </w:rPr>
        <w:t>Guo</w:t>
      </w:r>
      <w:proofErr w:type="spellEnd"/>
      <w:r w:rsidRPr="003D5B85">
        <w:rPr>
          <w:rFonts w:ascii="Book Antiqua" w:hAnsi="Book Antiqua"/>
          <w:sz w:val="24"/>
          <w:szCs w:val="24"/>
        </w:rPr>
        <w:t xml:space="preserve"> X. Association of proton pump inhibitors with the risk of hepatic encephalopathy during hospitalization for liver cirrhosis. </w:t>
      </w:r>
      <w:r w:rsidRPr="003D5B85">
        <w:rPr>
          <w:rFonts w:ascii="Book Antiqua" w:hAnsi="Book Antiqua"/>
          <w:i/>
          <w:sz w:val="24"/>
          <w:szCs w:val="24"/>
        </w:rPr>
        <w:t xml:space="preserve">United European </w:t>
      </w:r>
      <w:proofErr w:type="spellStart"/>
      <w:r w:rsidRPr="003D5B85">
        <w:rPr>
          <w:rFonts w:ascii="Book Antiqua" w:hAnsi="Book Antiqua"/>
          <w:i/>
          <w:sz w:val="24"/>
          <w:szCs w:val="24"/>
        </w:rPr>
        <w:t>Gastroenterol</w:t>
      </w:r>
      <w:proofErr w:type="spellEnd"/>
      <w:r w:rsidRPr="003D5B85">
        <w:rPr>
          <w:rFonts w:ascii="Book Antiqua" w:hAnsi="Book Antiqua"/>
          <w:i/>
          <w:sz w:val="24"/>
          <w:szCs w:val="24"/>
        </w:rPr>
        <w:t xml:space="preserve"> J</w:t>
      </w:r>
      <w:r w:rsidRPr="003D5B85">
        <w:rPr>
          <w:rFonts w:ascii="Book Antiqua" w:hAnsi="Book Antiqua"/>
          <w:sz w:val="24"/>
          <w:szCs w:val="24"/>
        </w:rPr>
        <w:t xml:space="preserve"> 2018; </w:t>
      </w:r>
      <w:r w:rsidRPr="003D5B85">
        <w:rPr>
          <w:rFonts w:ascii="Book Antiqua" w:hAnsi="Book Antiqua"/>
          <w:b/>
          <w:sz w:val="24"/>
          <w:szCs w:val="24"/>
        </w:rPr>
        <w:t>6</w:t>
      </w:r>
      <w:r w:rsidRPr="003D5B85">
        <w:rPr>
          <w:rFonts w:ascii="Book Antiqua" w:hAnsi="Book Antiqua"/>
          <w:sz w:val="24"/>
          <w:szCs w:val="24"/>
        </w:rPr>
        <w:t>: 1179-1187 [PMID: 30288280 DOI: 10.1177/2050640618773564]</w:t>
      </w:r>
    </w:p>
    <w:p w14:paraId="4B80D3AE" w14:textId="77777777" w:rsidR="000A1B63" w:rsidRPr="003D5B85" w:rsidRDefault="000A1B63" w:rsidP="000A1B63">
      <w:pPr>
        <w:spacing w:line="360" w:lineRule="auto"/>
        <w:rPr>
          <w:rFonts w:ascii="Book Antiqua" w:hAnsi="Book Antiqua"/>
          <w:sz w:val="24"/>
          <w:szCs w:val="24"/>
        </w:rPr>
      </w:pPr>
      <w:r w:rsidRPr="003D5B85">
        <w:rPr>
          <w:rFonts w:ascii="Book Antiqua" w:hAnsi="Book Antiqua"/>
          <w:sz w:val="24"/>
          <w:szCs w:val="24"/>
        </w:rPr>
        <w:lastRenderedPageBreak/>
        <w:t xml:space="preserve">16 </w:t>
      </w:r>
      <w:r w:rsidRPr="003D5B85">
        <w:rPr>
          <w:rFonts w:ascii="Book Antiqua" w:hAnsi="Book Antiqua"/>
          <w:b/>
          <w:sz w:val="24"/>
          <w:szCs w:val="24"/>
        </w:rPr>
        <w:t>Tsai CF</w:t>
      </w:r>
      <w:r w:rsidRPr="003D5B85">
        <w:rPr>
          <w:rFonts w:ascii="Book Antiqua" w:hAnsi="Book Antiqua"/>
          <w:sz w:val="24"/>
          <w:szCs w:val="24"/>
        </w:rPr>
        <w:t xml:space="preserve">, Chen MH, Wang YP, Chu CJ, Huang YH, Lin HC, </w:t>
      </w:r>
      <w:proofErr w:type="spellStart"/>
      <w:r w:rsidRPr="003D5B85">
        <w:rPr>
          <w:rFonts w:ascii="Book Antiqua" w:hAnsi="Book Antiqua"/>
          <w:sz w:val="24"/>
          <w:szCs w:val="24"/>
        </w:rPr>
        <w:t>Hou</w:t>
      </w:r>
      <w:proofErr w:type="spellEnd"/>
      <w:r w:rsidRPr="003D5B85">
        <w:rPr>
          <w:rFonts w:ascii="Book Antiqua" w:hAnsi="Book Antiqua"/>
          <w:sz w:val="24"/>
          <w:szCs w:val="24"/>
        </w:rPr>
        <w:t xml:space="preserve"> MC, Lee FY, Su TP, Lu CL. Proton Pump Inhibitors Increase Risk for Hepatic Encephalopathy in Patients With Cirrhosis in A Population Study. </w:t>
      </w:r>
      <w:r w:rsidRPr="003D5B85">
        <w:rPr>
          <w:rFonts w:ascii="Book Antiqua" w:hAnsi="Book Antiqua"/>
          <w:i/>
          <w:sz w:val="24"/>
          <w:szCs w:val="24"/>
        </w:rPr>
        <w:t>Gastroenterology</w:t>
      </w:r>
      <w:r w:rsidRPr="003D5B85">
        <w:rPr>
          <w:rFonts w:ascii="Book Antiqua" w:hAnsi="Book Antiqua"/>
          <w:sz w:val="24"/>
          <w:szCs w:val="24"/>
        </w:rPr>
        <w:t xml:space="preserve"> 2017; </w:t>
      </w:r>
      <w:r w:rsidRPr="003D5B85">
        <w:rPr>
          <w:rFonts w:ascii="Book Antiqua" w:hAnsi="Book Antiqua"/>
          <w:b/>
          <w:sz w:val="24"/>
          <w:szCs w:val="24"/>
        </w:rPr>
        <w:t>152</w:t>
      </w:r>
      <w:r w:rsidRPr="003D5B85">
        <w:rPr>
          <w:rFonts w:ascii="Book Antiqua" w:hAnsi="Book Antiqua"/>
          <w:sz w:val="24"/>
          <w:szCs w:val="24"/>
        </w:rPr>
        <w:t>: 134-141 [PMID: 27639806 DOI: 10.1053/j.gastro.2016.09.007]</w:t>
      </w:r>
    </w:p>
    <w:p w14:paraId="2845928E" w14:textId="77777777" w:rsidR="000A1B63" w:rsidRPr="003D5B85" w:rsidRDefault="000A1B63" w:rsidP="000A1B63">
      <w:pPr>
        <w:spacing w:line="360" w:lineRule="auto"/>
        <w:rPr>
          <w:rFonts w:ascii="Book Antiqua" w:hAnsi="Book Antiqua"/>
          <w:sz w:val="24"/>
          <w:szCs w:val="24"/>
        </w:rPr>
      </w:pPr>
      <w:proofErr w:type="gramStart"/>
      <w:r w:rsidRPr="003D5B85">
        <w:rPr>
          <w:rFonts w:ascii="Book Antiqua" w:hAnsi="Book Antiqua"/>
          <w:sz w:val="24"/>
          <w:szCs w:val="24"/>
        </w:rPr>
        <w:t xml:space="preserve">17 </w:t>
      </w:r>
      <w:r w:rsidRPr="003D5B85">
        <w:rPr>
          <w:rFonts w:ascii="Book Antiqua" w:hAnsi="Book Antiqua"/>
          <w:b/>
          <w:sz w:val="24"/>
          <w:szCs w:val="24"/>
        </w:rPr>
        <w:t>Dam G</w:t>
      </w:r>
      <w:r w:rsidRPr="003D5B85">
        <w:rPr>
          <w:rFonts w:ascii="Book Antiqua" w:hAnsi="Book Antiqua"/>
          <w:sz w:val="24"/>
          <w:szCs w:val="24"/>
        </w:rPr>
        <w:t xml:space="preserve">, </w:t>
      </w:r>
      <w:proofErr w:type="spellStart"/>
      <w:r w:rsidRPr="003D5B85">
        <w:rPr>
          <w:rFonts w:ascii="Book Antiqua" w:hAnsi="Book Antiqua"/>
          <w:sz w:val="24"/>
          <w:szCs w:val="24"/>
        </w:rPr>
        <w:t>Vilstrup</w:t>
      </w:r>
      <w:proofErr w:type="spellEnd"/>
      <w:r w:rsidRPr="003D5B85">
        <w:rPr>
          <w:rFonts w:ascii="Book Antiqua" w:hAnsi="Book Antiqua"/>
          <w:sz w:val="24"/>
          <w:szCs w:val="24"/>
        </w:rPr>
        <w:t xml:space="preserve"> H, Watson H, Jepsen P. Proton pump inhibitors as a risk factor for hepatic encephalopathy and spontaneous bacterial peritonitis in patients with cirrhosis with ascites.</w:t>
      </w:r>
      <w:proofErr w:type="gramEnd"/>
      <w:r w:rsidRPr="003D5B85">
        <w:rPr>
          <w:rFonts w:ascii="Book Antiqua" w:hAnsi="Book Antiqua"/>
          <w:sz w:val="24"/>
          <w:szCs w:val="24"/>
        </w:rPr>
        <w:t xml:space="preserve"> </w:t>
      </w:r>
      <w:r w:rsidRPr="003D5B85">
        <w:rPr>
          <w:rFonts w:ascii="Book Antiqua" w:hAnsi="Book Antiqua"/>
          <w:i/>
          <w:sz w:val="24"/>
          <w:szCs w:val="24"/>
        </w:rPr>
        <w:t>Hepatology</w:t>
      </w:r>
      <w:r w:rsidRPr="003D5B85">
        <w:rPr>
          <w:rFonts w:ascii="Book Antiqua" w:hAnsi="Book Antiqua"/>
          <w:sz w:val="24"/>
          <w:szCs w:val="24"/>
        </w:rPr>
        <w:t xml:space="preserve"> 2016; </w:t>
      </w:r>
      <w:r w:rsidRPr="003D5B85">
        <w:rPr>
          <w:rFonts w:ascii="Book Antiqua" w:hAnsi="Book Antiqua"/>
          <w:b/>
          <w:sz w:val="24"/>
          <w:szCs w:val="24"/>
        </w:rPr>
        <w:t>64</w:t>
      </w:r>
      <w:r w:rsidRPr="003D5B85">
        <w:rPr>
          <w:rFonts w:ascii="Book Antiqua" w:hAnsi="Book Antiqua"/>
          <w:sz w:val="24"/>
          <w:szCs w:val="24"/>
        </w:rPr>
        <w:t>: 1265-1272 [PMID: 27474889 DOI: 10.1002/hep.28737]</w:t>
      </w:r>
    </w:p>
    <w:p w14:paraId="101421FD" w14:textId="77777777" w:rsidR="000A1B63" w:rsidRPr="003D5B85" w:rsidRDefault="000A1B63" w:rsidP="000A1B63">
      <w:pPr>
        <w:spacing w:line="360" w:lineRule="auto"/>
        <w:rPr>
          <w:rFonts w:ascii="Book Antiqua" w:hAnsi="Book Antiqua"/>
          <w:sz w:val="24"/>
          <w:szCs w:val="24"/>
        </w:rPr>
      </w:pPr>
      <w:r w:rsidRPr="003D5B85">
        <w:rPr>
          <w:rFonts w:ascii="Book Antiqua" w:hAnsi="Book Antiqua"/>
          <w:sz w:val="24"/>
          <w:szCs w:val="24"/>
        </w:rPr>
        <w:t xml:space="preserve">18 </w:t>
      </w:r>
      <w:r w:rsidRPr="003D5B85">
        <w:rPr>
          <w:rFonts w:ascii="Book Antiqua" w:hAnsi="Book Antiqua"/>
          <w:b/>
          <w:sz w:val="24"/>
          <w:szCs w:val="24"/>
        </w:rPr>
        <w:t>Lin ZN</w:t>
      </w:r>
      <w:r w:rsidRPr="003D5B85">
        <w:rPr>
          <w:rFonts w:ascii="Book Antiqua" w:hAnsi="Book Antiqua"/>
          <w:sz w:val="24"/>
          <w:szCs w:val="24"/>
        </w:rPr>
        <w:t xml:space="preserve">, </w:t>
      </w:r>
      <w:proofErr w:type="spellStart"/>
      <w:r w:rsidRPr="003D5B85">
        <w:rPr>
          <w:rFonts w:ascii="Book Antiqua" w:hAnsi="Book Antiqua"/>
          <w:sz w:val="24"/>
          <w:szCs w:val="24"/>
        </w:rPr>
        <w:t>Zuo</w:t>
      </w:r>
      <w:proofErr w:type="spellEnd"/>
      <w:r w:rsidRPr="003D5B85">
        <w:rPr>
          <w:rFonts w:ascii="Book Antiqua" w:hAnsi="Book Antiqua"/>
          <w:sz w:val="24"/>
          <w:szCs w:val="24"/>
        </w:rPr>
        <w:t xml:space="preserve"> YQ, Hu P. Association of Proton Pump Inhibitor Therapy with Hepatic Encephalopathy in Hepatitis B Virus-related Acute-on-Chronic Liver Failure. </w:t>
      </w:r>
      <w:proofErr w:type="spellStart"/>
      <w:r w:rsidRPr="003D5B85">
        <w:rPr>
          <w:rFonts w:ascii="Book Antiqua" w:hAnsi="Book Antiqua"/>
          <w:i/>
          <w:sz w:val="24"/>
          <w:szCs w:val="24"/>
        </w:rPr>
        <w:t>Hepat</w:t>
      </w:r>
      <w:proofErr w:type="spellEnd"/>
      <w:r w:rsidRPr="003D5B85">
        <w:rPr>
          <w:rFonts w:ascii="Book Antiqua" w:hAnsi="Book Antiqua"/>
          <w:i/>
          <w:sz w:val="24"/>
          <w:szCs w:val="24"/>
        </w:rPr>
        <w:t xml:space="preserve"> Mon</w:t>
      </w:r>
      <w:r w:rsidRPr="003D5B85">
        <w:rPr>
          <w:rFonts w:ascii="Book Antiqua" w:hAnsi="Book Antiqua"/>
          <w:sz w:val="24"/>
          <w:szCs w:val="24"/>
        </w:rPr>
        <w:t xml:space="preserve"> 2014; </w:t>
      </w:r>
      <w:r w:rsidRPr="003D5B85">
        <w:rPr>
          <w:rFonts w:ascii="Book Antiqua" w:hAnsi="Book Antiqua"/>
          <w:b/>
          <w:sz w:val="24"/>
          <w:szCs w:val="24"/>
        </w:rPr>
        <w:t>14</w:t>
      </w:r>
      <w:r w:rsidRPr="003D5B85">
        <w:rPr>
          <w:rFonts w:ascii="Book Antiqua" w:hAnsi="Book Antiqua"/>
          <w:sz w:val="24"/>
          <w:szCs w:val="24"/>
        </w:rPr>
        <w:t>: e16258 [PMID: 24748895 DOI: 10.5812/hepatmon.16258]</w:t>
      </w:r>
    </w:p>
    <w:p w14:paraId="6F689690" w14:textId="77777777" w:rsidR="000A1B63" w:rsidRPr="003D5B85" w:rsidRDefault="000A1B63" w:rsidP="000A1B63">
      <w:pPr>
        <w:spacing w:line="360" w:lineRule="auto"/>
        <w:rPr>
          <w:rFonts w:ascii="Book Antiqua" w:hAnsi="Book Antiqua"/>
          <w:sz w:val="24"/>
          <w:szCs w:val="24"/>
        </w:rPr>
      </w:pPr>
      <w:r w:rsidRPr="003D5B85">
        <w:rPr>
          <w:rFonts w:ascii="Book Antiqua" w:hAnsi="Book Antiqua"/>
          <w:sz w:val="24"/>
          <w:szCs w:val="24"/>
        </w:rPr>
        <w:t xml:space="preserve">19 </w:t>
      </w:r>
      <w:proofErr w:type="spellStart"/>
      <w:r w:rsidRPr="003D5B85">
        <w:rPr>
          <w:rFonts w:ascii="Book Antiqua" w:hAnsi="Book Antiqua"/>
          <w:b/>
          <w:sz w:val="24"/>
          <w:szCs w:val="24"/>
        </w:rPr>
        <w:t>Bian</w:t>
      </w:r>
      <w:proofErr w:type="spellEnd"/>
      <w:r w:rsidRPr="003D5B85">
        <w:rPr>
          <w:rFonts w:ascii="Book Antiqua" w:hAnsi="Book Antiqua"/>
          <w:b/>
          <w:sz w:val="24"/>
          <w:szCs w:val="24"/>
        </w:rPr>
        <w:t xml:space="preserve"> J</w:t>
      </w:r>
      <w:r w:rsidRPr="003D5B85">
        <w:rPr>
          <w:rFonts w:ascii="Book Antiqua" w:hAnsi="Book Antiqua"/>
          <w:sz w:val="24"/>
          <w:szCs w:val="24"/>
        </w:rPr>
        <w:t xml:space="preserve">, Wang A, Lin J, Wu L, Huang H, Wang S, Yang X, Lu X, Xu Y, Zhao H. Association between proton pump inhibitors and hepatic encephalopathy: A meta-analysis. </w:t>
      </w:r>
      <w:r w:rsidRPr="003D5B85">
        <w:rPr>
          <w:rFonts w:ascii="Book Antiqua" w:hAnsi="Book Antiqua"/>
          <w:i/>
          <w:sz w:val="24"/>
          <w:szCs w:val="24"/>
        </w:rPr>
        <w:t>Medicine (Baltimore)</w:t>
      </w:r>
      <w:r w:rsidRPr="003D5B85">
        <w:rPr>
          <w:rFonts w:ascii="Book Antiqua" w:hAnsi="Book Antiqua"/>
          <w:sz w:val="24"/>
          <w:szCs w:val="24"/>
        </w:rPr>
        <w:t xml:space="preserve"> 2017; </w:t>
      </w:r>
      <w:r w:rsidRPr="003D5B85">
        <w:rPr>
          <w:rFonts w:ascii="Book Antiqua" w:hAnsi="Book Antiqua"/>
          <w:b/>
          <w:sz w:val="24"/>
          <w:szCs w:val="24"/>
        </w:rPr>
        <w:t>96</w:t>
      </w:r>
      <w:r w:rsidRPr="003D5B85">
        <w:rPr>
          <w:rFonts w:ascii="Book Antiqua" w:hAnsi="Book Antiqua"/>
          <w:sz w:val="24"/>
          <w:szCs w:val="24"/>
        </w:rPr>
        <w:t>: e6723 [PMID: 28445288 DOI: 10.1097/MD.0000000000006723]</w:t>
      </w:r>
    </w:p>
    <w:p w14:paraId="1A65003C" w14:textId="77777777" w:rsidR="000A1B63" w:rsidRPr="003D5B85" w:rsidRDefault="000A1B63" w:rsidP="000A1B63">
      <w:pPr>
        <w:spacing w:line="360" w:lineRule="auto"/>
        <w:rPr>
          <w:rFonts w:ascii="Book Antiqua" w:hAnsi="Book Antiqua"/>
          <w:sz w:val="24"/>
          <w:szCs w:val="24"/>
        </w:rPr>
      </w:pPr>
      <w:r w:rsidRPr="003D5B85">
        <w:rPr>
          <w:rFonts w:ascii="Book Antiqua" w:hAnsi="Book Antiqua"/>
          <w:sz w:val="24"/>
          <w:szCs w:val="24"/>
        </w:rPr>
        <w:t xml:space="preserve">20 </w:t>
      </w:r>
      <w:r w:rsidRPr="003D5B85">
        <w:rPr>
          <w:rFonts w:ascii="Book Antiqua" w:hAnsi="Book Antiqua"/>
          <w:b/>
          <w:sz w:val="24"/>
          <w:szCs w:val="24"/>
        </w:rPr>
        <w:t>Stroup DF</w:t>
      </w:r>
      <w:r w:rsidRPr="003D5B85">
        <w:rPr>
          <w:rFonts w:ascii="Book Antiqua" w:hAnsi="Book Antiqua"/>
          <w:sz w:val="24"/>
          <w:szCs w:val="24"/>
        </w:rPr>
        <w:t xml:space="preserve">, Berlin JA, Morton SC, </w:t>
      </w:r>
      <w:proofErr w:type="spellStart"/>
      <w:r w:rsidRPr="003D5B85">
        <w:rPr>
          <w:rFonts w:ascii="Book Antiqua" w:hAnsi="Book Antiqua"/>
          <w:sz w:val="24"/>
          <w:szCs w:val="24"/>
        </w:rPr>
        <w:t>Olkin</w:t>
      </w:r>
      <w:proofErr w:type="spellEnd"/>
      <w:r w:rsidRPr="003D5B85">
        <w:rPr>
          <w:rFonts w:ascii="Book Antiqua" w:hAnsi="Book Antiqua"/>
          <w:sz w:val="24"/>
          <w:szCs w:val="24"/>
        </w:rPr>
        <w:t xml:space="preserve"> I, Williamson GD, Rennie D, Moher D, Becker BJ, </w:t>
      </w:r>
      <w:proofErr w:type="spellStart"/>
      <w:r w:rsidRPr="003D5B85">
        <w:rPr>
          <w:rFonts w:ascii="Book Antiqua" w:hAnsi="Book Antiqua"/>
          <w:sz w:val="24"/>
          <w:szCs w:val="24"/>
        </w:rPr>
        <w:t>Sipe</w:t>
      </w:r>
      <w:proofErr w:type="spellEnd"/>
      <w:r w:rsidRPr="003D5B85">
        <w:rPr>
          <w:rFonts w:ascii="Book Antiqua" w:hAnsi="Book Antiqua"/>
          <w:sz w:val="24"/>
          <w:szCs w:val="24"/>
        </w:rPr>
        <w:t xml:space="preserve"> TA, Thacker SB. Meta-analysis of observational studies in epidemiology: A proposal for reporting. Meta-analysis Of Observational Studies in Epidemiology (MOOSE) group. </w:t>
      </w:r>
      <w:r w:rsidRPr="003D5B85">
        <w:rPr>
          <w:rFonts w:ascii="Book Antiqua" w:hAnsi="Book Antiqua"/>
          <w:i/>
          <w:sz w:val="24"/>
          <w:szCs w:val="24"/>
        </w:rPr>
        <w:t>JAMA</w:t>
      </w:r>
      <w:r w:rsidRPr="003D5B85">
        <w:rPr>
          <w:rFonts w:ascii="Book Antiqua" w:hAnsi="Book Antiqua"/>
          <w:sz w:val="24"/>
          <w:szCs w:val="24"/>
        </w:rPr>
        <w:t xml:space="preserve"> 2000; </w:t>
      </w:r>
      <w:r w:rsidRPr="003D5B85">
        <w:rPr>
          <w:rFonts w:ascii="Book Antiqua" w:hAnsi="Book Antiqua"/>
          <w:b/>
          <w:sz w:val="24"/>
          <w:szCs w:val="24"/>
        </w:rPr>
        <w:t>283</w:t>
      </w:r>
      <w:r w:rsidRPr="003D5B85">
        <w:rPr>
          <w:rFonts w:ascii="Book Antiqua" w:hAnsi="Book Antiqua"/>
          <w:sz w:val="24"/>
          <w:szCs w:val="24"/>
        </w:rPr>
        <w:t>: 2008-2012 [PMID: 10789670 DOI: 10.1001/jama.283.15.2008]</w:t>
      </w:r>
    </w:p>
    <w:p w14:paraId="2FC6C342" w14:textId="77777777" w:rsidR="000A1B63" w:rsidRPr="003D5B85" w:rsidRDefault="000A1B63" w:rsidP="000A1B63">
      <w:pPr>
        <w:spacing w:line="360" w:lineRule="auto"/>
        <w:rPr>
          <w:rFonts w:ascii="Book Antiqua" w:hAnsi="Book Antiqua"/>
          <w:sz w:val="24"/>
          <w:szCs w:val="24"/>
        </w:rPr>
      </w:pPr>
      <w:r w:rsidRPr="003D5B85">
        <w:rPr>
          <w:rFonts w:ascii="Book Antiqua" w:hAnsi="Book Antiqua"/>
          <w:sz w:val="24"/>
          <w:szCs w:val="24"/>
        </w:rPr>
        <w:t xml:space="preserve">21 </w:t>
      </w:r>
      <w:r w:rsidRPr="003D5B85">
        <w:rPr>
          <w:rFonts w:ascii="Book Antiqua" w:hAnsi="Book Antiqua"/>
          <w:b/>
          <w:sz w:val="24"/>
          <w:szCs w:val="24"/>
        </w:rPr>
        <w:t>Davies HT</w:t>
      </w:r>
      <w:r w:rsidRPr="003D5B85">
        <w:rPr>
          <w:rFonts w:ascii="Book Antiqua" w:hAnsi="Book Antiqua"/>
          <w:sz w:val="24"/>
          <w:szCs w:val="24"/>
        </w:rPr>
        <w:t xml:space="preserve">, Crombie IK, </w:t>
      </w:r>
      <w:proofErr w:type="spellStart"/>
      <w:r w:rsidRPr="003D5B85">
        <w:rPr>
          <w:rFonts w:ascii="Book Antiqua" w:hAnsi="Book Antiqua"/>
          <w:sz w:val="24"/>
          <w:szCs w:val="24"/>
        </w:rPr>
        <w:t>Tavakoli</w:t>
      </w:r>
      <w:proofErr w:type="spellEnd"/>
      <w:r w:rsidRPr="003D5B85">
        <w:rPr>
          <w:rFonts w:ascii="Book Antiqua" w:hAnsi="Book Antiqua"/>
          <w:sz w:val="24"/>
          <w:szCs w:val="24"/>
        </w:rPr>
        <w:t xml:space="preserve"> M. When can odds ratios mislead? </w:t>
      </w:r>
      <w:r w:rsidRPr="003D5B85">
        <w:rPr>
          <w:rFonts w:ascii="Book Antiqua" w:hAnsi="Book Antiqua"/>
          <w:i/>
          <w:sz w:val="24"/>
          <w:szCs w:val="24"/>
        </w:rPr>
        <w:t>BMJ</w:t>
      </w:r>
      <w:r w:rsidRPr="003D5B85">
        <w:rPr>
          <w:rFonts w:ascii="Book Antiqua" w:hAnsi="Book Antiqua"/>
          <w:sz w:val="24"/>
          <w:szCs w:val="24"/>
        </w:rPr>
        <w:t xml:space="preserve"> 1998; </w:t>
      </w:r>
      <w:r w:rsidRPr="003D5B85">
        <w:rPr>
          <w:rFonts w:ascii="Book Antiqua" w:hAnsi="Book Antiqua"/>
          <w:b/>
          <w:sz w:val="24"/>
          <w:szCs w:val="24"/>
        </w:rPr>
        <w:t>316</w:t>
      </w:r>
      <w:r w:rsidRPr="003D5B85">
        <w:rPr>
          <w:rFonts w:ascii="Book Antiqua" w:hAnsi="Book Antiqua"/>
          <w:sz w:val="24"/>
          <w:szCs w:val="24"/>
        </w:rPr>
        <w:t>: 989-991 [PMID: 9550961 DOI: 10.1136/bmj.316.7136.989]</w:t>
      </w:r>
    </w:p>
    <w:p w14:paraId="773D7D0F" w14:textId="77777777" w:rsidR="000A1B63" w:rsidRPr="003D5B85" w:rsidRDefault="000A1B63" w:rsidP="000A1B63">
      <w:pPr>
        <w:spacing w:line="360" w:lineRule="auto"/>
        <w:rPr>
          <w:rFonts w:ascii="Book Antiqua" w:hAnsi="Book Antiqua"/>
          <w:sz w:val="24"/>
          <w:szCs w:val="24"/>
        </w:rPr>
      </w:pPr>
      <w:proofErr w:type="gramStart"/>
      <w:r w:rsidRPr="003D5B85">
        <w:rPr>
          <w:rFonts w:ascii="Book Antiqua" w:hAnsi="Book Antiqua"/>
          <w:sz w:val="24"/>
          <w:szCs w:val="24"/>
        </w:rPr>
        <w:t xml:space="preserve">22 </w:t>
      </w:r>
      <w:r w:rsidRPr="003D5B85">
        <w:rPr>
          <w:rFonts w:ascii="Book Antiqua" w:hAnsi="Book Antiqua"/>
          <w:b/>
          <w:sz w:val="24"/>
          <w:szCs w:val="24"/>
        </w:rPr>
        <w:t>Higgins JPT,</w:t>
      </w:r>
      <w:r w:rsidRPr="003D5B85">
        <w:rPr>
          <w:rFonts w:ascii="Book Antiqua" w:hAnsi="Book Antiqua"/>
          <w:sz w:val="24"/>
          <w:szCs w:val="24"/>
        </w:rPr>
        <w:t xml:space="preserve"> Green S (editors).</w:t>
      </w:r>
      <w:proofErr w:type="gramEnd"/>
      <w:r w:rsidRPr="003D5B85">
        <w:rPr>
          <w:rFonts w:ascii="Book Antiqua" w:hAnsi="Book Antiqua"/>
          <w:sz w:val="24"/>
          <w:szCs w:val="24"/>
        </w:rPr>
        <w:t xml:space="preserve"> </w:t>
      </w:r>
      <w:bookmarkStart w:id="51" w:name="OLE_LINK57"/>
      <w:bookmarkStart w:id="52" w:name="OLE_LINK58"/>
      <w:r w:rsidRPr="003D5B85">
        <w:rPr>
          <w:rFonts w:ascii="Book Antiqua" w:hAnsi="Book Antiqua"/>
          <w:sz w:val="24"/>
          <w:szCs w:val="24"/>
        </w:rPr>
        <w:t>Cochrane Handbook for Systematic Reviews of Interventions Version 5.1.0</w:t>
      </w:r>
      <w:bookmarkEnd w:id="51"/>
      <w:bookmarkEnd w:id="52"/>
      <w:r w:rsidRPr="003D5B85">
        <w:rPr>
          <w:rFonts w:ascii="Book Antiqua" w:hAnsi="Book Antiqua"/>
          <w:sz w:val="24"/>
          <w:szCs w:val="24"/>
        </w:rPr>
        <w:t xml:space="preserve"> [updated March 2011]. </w:t>
      </w:r>
      <w:proofErr w:type="gramStart"/>
      <w:r w:rsidRPr="003D5B85">
        <w:rPr>
          <w:rFonts w:ascii="Book Antiqua" w:hAnsi="Book Antiqua"/>
          <w:sz w:val="24"/>
          <w:szCs w:val="24"/>
        </w:rPr>
        <w:t>The Cochrane Collaboration, 2011.</w:t>
      </w:r>
      <w:proofErr w:type="gramEnd"/>
      <w:r w:rsidRPr="003D5B85">
        <w:rPr>
          <w:rFonts w:ascii="Book Antiqua" w:hAnsi="Book Antiqua"/>
          <w:sz w:val="24"/>
          <w:szCs w:val="24"/>
        </w:rPr>
        <w:t xml:space="preserve"> Available from: http://handbook.cochrane.org</w:t>
      </w:r>
    </w:p>
    <w:p w14:paraId="0CF3B099" w14:textId="77777777" w:rsidR="000A1B63" w:rsidRPr="003D5B85" w:rsidRDefault="000A1B63" w:rsidP="000A1B63">
      <w:pPr>
        <w:spacing w:line="360" w:lineRule="auto"/>
        <w:rPr>
          <w:rFonts w:ascii="Book Antiqua" w:hAnsi="Book Antiqua"/>
          <w:sz w:val="24"/>
          <w:szCs w:val="24"/>
        </w:rPr>
      </w:pPr>
      <w:r w:rsidRPr="003D5B85">
        <w:rPr>
          <w:rFonts w:ascii="Book Antiqua" w:hAnsi="Book Antiqua"/>
          <w:sz w:val="24"/>
          <w:szCs w:val="24"/>
        </w:rPr>
        <w:t xml:space="preserve">23 </w:t>
      </w:r>
      <w:proofErr w:type="spellStart"/>
      <w:r w:rsidRPr="003D5B85">
        <w:rPr>
          <w:rFonts w:ascii="Book Antiqua" w:hAnsi="Book Antiqua"/>
          <w:b/>
          <w:sz w:val="24"/>
          <w:szCs w:val="24"/>
        </w:rPr>
        <w:t>Shanab</w:t>
      </w:r>
      <w:proofErr w:type="spellEnd"/>
      <w:r w:rsidRPr="003D5B85">
        <w:rPr>
          <w:rFonts w:ascii="Book Antiqua" w:hAnsi="Book Antiqua"/>
          <w:b/>
          <w:sz w:val="24"/>
          <w:szCs w:val="24"/>
        </w:rPr>
        <w:t xml:space="preserve"> AA,</w:t>
      </w:r>
      <w:r w:rsidRPr="003D5B85">
        <w:rPr>
          <w:rFonts w:ascii="Book Antiqua" w:hAnsi="Book Antiqua"/>
          <w:sz w:val="24"/>
          <w:szCs w:val="24"/>
        </w:rPr>
        <w:t xml:space="preserve"> Smith A, Abbas M, </w:t>
      </w:r>
      <w:proofErr w:type="spellStart"/>
      <w:r w:rsidRPr="003D5B85">
        <w:rPr>
          <w:rFonts w:ascii="Book Antiqua" w:hAnsi="Book Antiqua"/>
          <w:sz w:val="24"/>
          <w:szCs w:val="24"/>
        </w:rPr>
        <w:t>Iriarte</w:t>
      </w:r>
      <w:proofErr w:type="spellEnd"/>
      <w:r w:rsidRPr="003D5B85">
        <w:rPr>
          <w:rFonts w:ascii="Book Antiqua" w:hAnsi="Book Antiqua"/>
          <w:sz w:val="24"/>
          <w:szCs w:val="24"/>
        </w:rPr>
        <w:t xml:space="preserve"> R, Nightingale P, </w:t>
      </w:r>
      <w:proofErr w:type="spellStart"/>
      <w:r w:rsidRPr="003D5B85">
        <w:rPr>
          <w:rFonts w:ascii="Book Antiqua" w:hAnsi="Book Antiqua"/>
          <w:sz w:val="24"/>
          <w:szCs w:val="24"/>
        </w:rPr>
        <w:t>Gunson</w:t>
      </w:r>
      <w:proofErr w:type="spellEnd"/>
      <w:r w:rsidRPr="003D5B85">
        <w:rPr>
          <w:rFonts w:ascii="Book Antiqua" w:hAnsi="Book Antiqua"/>
          <w:sz w:val="24"/>
          <w:szCs w:val="24"/>
        </w:rPr>
        <w:t xml:space="preserve"> B, Holt AP, </w:t>
      </w:r>
      <w:proofErr w:type="spellStart"/>
      <w:r w:rsidRPr="003D5B85">
        <w:rPr>
          <w:rFonts w:ascii="Book Antiqua" w:hAnsi="Book Antiqua"/>
          <w:sz w:val="24"/>
          <w:szCs w:val="24"/>
        </w:rPr>
        <w:t>Rajoriya</w:t>
      </w:r>
      <w:proofErr w:type="spellEnd"/>
      <w:r w:rsidRPr="003D5B85">
        <w:rPr>
          <w:rFonts w:ascii="Book Antiqua" w:hAnsi="Book Antiqua"/>
          <w:sz w:val="24"/>
          <w:szCs w:val="24"/>
        </w:rPr>
        <w:t xml:space="preserve"> N. </w:t>
      </w:r>
      <w:bookmarkStart w:id="53" w:name="OLE_LINK59"/>
      <w:bookmarkStart w:id="54" w:name="OLE_LINK60"/>
      <w:r w:rsidRPr="003D5B85">
        <w:rPr>
          <w:rFonts w:ascii="Book Antiqua" w:hAnsi="Book Antiqua"/>
          <w:sz w:val="24"/>
          <w:szCs w:val="24"/>
        </w:rPr>
        <w:t>Proton pump inhibitors-a risk factor for hepatic encephalopathy in patients listed for liver transplantation?</w:t>
      </w:r>
      <w:r w:rsidRPr="003D5B85">
        <w:rPr>
          <w:rFonts w:ascii="Book Antiqua" w:hAnsi="Book Antiqua"/>
          <w:i/>
          <w:sz w:val="24"/>
          <w:szCs w:val="24"/>
        </w:rPr>
        <w:t xml:space="preserve"> </w:t>
      </w:r>
      <w:bookmarkEnd w:id="53"/>
      <w:bookmarkEnd w:id="54"/>
      <w:r w:rsidRPr="003D5B85">
        <w:rPr>
          <w:rFonts w:ascii="Book Antiqua" w:hAnsi="Book Antiqua"/>
          <w:i/>
          <w:sz w:val="24"/>
          <w:szCs w:val="24"/>
        </w:rPr>
        <w:t>Hepatology</w:t>
      </w:r>
      <w:r w:rsidRPr="003D5B85">
        <w:rPr>
          <w:rFonts w:ascii="Book Antiqua" w:hAnsi="Book Antiqua"/>
          <w:sz w:val="24"/>
          <w:szCs w:val="24"/>
        </w:rPr>
        <w:t xml:space="preserve"> 2018; </w:t>
      </w:r>
      <w:r w:rsidRPr="003D5B85">
        <w:rPr>
          <w:rFonts w:ascii="Book Antiqua" w:hAnsi="Book Antiqua"/>
          <w:b/>
          <w:sz w:val="24"/>
          <w:szCs w:val="24"/>
        </w:rPr>
        <w:t>68</w:t>
      </w:r>
      <w:r w:rsidRPr="003D5B85">
        <w:rPr>
          <w:rFonts w:ascii="Book Antiqua" w:hAnsi="Book Antiqua"/>
          <w:sz w:val="24"/>
          <w:szCs w:val="24"/>
        </w:rPr>
        <w:t xml:space="preserve">: 1176A [DOI: </w:t>
      </w:r>
      <w:r w:rsidRPr="003D5B85">
        <w:rPr>
          <w:rFonts w:ascii="Book Antiqua" w:hAnsi="Book Antiqua"/>
          <w:sz w:val="24"/>
          <w:szCs w:val="24"/>
        </w:rPr>
        <w:lastRenderedPageBreak/>
        <w:t>10.1002/hep.30257]</w:t>
      </w:r>
    </w:p>
    <w:p w14:paraId="7BCA92B4" w14:textId="77777777" w:rsidR="000A1B63" w:rsidRPr="003D5B85" w:rsidRDefault="000A1B63" w:rsidP="000A1B63">
      <w:pPr>
        <w:spacing w:line="360" w:lineRule="auto"/>
        <w:rPr>
          <w:rFonts w:ascii="Book Antiqua" w:hAnsi="Book Antiqua"/>
          <w:sz w:val="24"/>
          <w:szCs w:val="24"/>
        </w:rPr>
      </w:pPr>
      <w:proofErr w:type="gramStart"/>
      <w:r w:rsidRPr="003D5B85">
        <w:rPr>
          <w:rFonts w:ascii="Book Antiqua" w:hAnsi="Book Antiqua"/>
          <w:sz w:val="24"/>
          <w:szCs w:val="24"/>
        </w:rPr>
        <w:t xml:space="preserve">24 </w:t>
      </w:r>
      <w:r w:rsidRPr="003D5B85">
        <w:rPr>
          <w:rFonts w:ascii="Book Antiqua" w:hAnsi="Book Antiqua"/>
          <w:b/>
          <w:sz w:val="24"/>
          <w:szCs w:val="24"/>
        </w:rPr>
        <w:t>Tapper EB,</w:t>
      </w:r>
      <w:r w:rsidRPr="003D5B85">
        <w:rPr>
          <w:rFonts w:ascii="Book Antiqua" w:hAnsi="Book Antiqua"/>
          <w:sz w:val="24"/>
          <w:szCs w:val="24"/>
        </w:rPr>
        <w:t xml:space="preserve"> Henderson J, </w:t>
      </w:r>
      <w:proofErr w:type="spellStart"/>
      <w:r w:rsidRPr="003D5B85">
        <w:rPr>
          <w:rFonts w:ascii="Book Antiqua" w:hAnsi="Book Antiqua"/>
          <w:sz w:val="24"/>
          <w:szCs w:val="24"/>
        </w:rPr>
        <w:t>Baki</w:t>
      </w:r>
      <w:proofErr w:type="spellEnd"/>
      <w:r w:rsidRPr="003D5B85">
        <w:rPr>
          <w:rFonts w:ascii="Book Antiqua" w:hAnsi="Book Antiqua"/>
          <w:sz w:val="24"/>
          <w:szCs w:val="24"/>
        </w:rPr>
        <w:t xml:space="preserve"> J, Parikh ND, </w:t>
      </w:r>
      <w:proofErr w:type="spellStart"/>
      <w:r w:rsidRPr="003D5B85">
        <w:rPr>
          <w:rFonts w:ascii="Book Antiqua" w:hAnsi="Book Antiqua"/>
          <w:sz w:val="24"/>
          <w:szCs w:val="24"/>
        </w:rPr>
        <w:t>Lok</w:t>
      </w:r>
      <w:proofErr w:type="spellEnd"/>
      <w:r w:rsidRPr="003D5B85">
        <w:rPr>
          <w:rFonts w:ascii="Book Antiqua" w:hAnsi="Book Antiqua"/>
          <w:sz w:val="24"/>
          <w:szCs w:val="24"/>
        </w:rPr>
        <w:t xml:space="preserve"> AS.</w:t>
      </w:r>
      <w:proofErr w:type="gramEnd"/>
      <w:r w:rsidRPr="003D5B85">
        <w:rPr>
          <w:rFonts w:ascii="Book Antiqua" w:hAnsi="Book Antiqua"/>
          <w:sz w:val="24"/>
          <w:szCs w:val="24"/>
        </w:rPr>
        <w:t xml:space="preserve"> </w:t>
      </w:r>
      <w:bookmarkStart w:id="55" w:name="OLE_LINK61"/>
      <w:bookmarkStart w:id="56" w:name="OLE_LINK62"/>
      <w:r w:rsidRPr="003D5B85">
        <w:rPr>
          <w:rFonts w:ascii="Book Antiqua" w:hAnsi="Book Antiqua"/>
          <w:sz w:val="24"/>
          <w:szCs w:val="24"/>
        </w:rPr>
        <w:t xml:space="preserve">Incidence and predictors of hepatic encephalopathy in a population-based cohort of older </w:t>
      </w:r>
      <w:proofErr w:type="spellStart"/>
      <w:proofErr w:type="gramStart"/>
      <w:r w:rsidRPr="003D5B85">
        <w:rPr>
          <w:rFonts w:ascii="Book Antiqua" w:hAnsi="Book Antiqua"/>
          <w:sz w:val="24"/>
          <w:szCs w:val="24"/>
        </w:rPr>
        <w:t>americans</w:t>
      </w:r>
      <w:proofErr w:type="spellEnd"/>
      <w:proofErr w:type="gramEnd"/>
      <w:r w:rsidRPr="003D5B85">
        <w:rPr>
          <w:rFonts w:ascii="Book Antiqua" w:hAnsi="Book Antiqua"/>
          <w:sz w:val="24"/>
          <w:szCs w:val="24"/>
        </w:rPr>
        <w:t xml:space="preserve"> with cirrhosis: Role of opiates, benzodiazepines and proton-pump inhibitors (PPIs)</w:t>
      </w:r>
      <w:bookmarkEnd w:id="55"/>
      <w:bookmarkEnd w:id="56"/>
      <w:r w:rsidRPr="003D5B85">
        <w:rPr>
          <w:rFonts w:ascii="Book Antiqua" w:hAnsi="Book Antiqua"/>
          <w:sz w:val="24"/>
          <w:szCs w:val="24"/>
        </w:rPr>
        <w:t xml:space="preserve">. </w:t>
      </w:r>
      <w:r w:rsidRPr="003D5B85">
        <w:rPr>
          <w:rFonts w:ascii="Book Antiqua" w:hAnsi="Book Antiqua"/>
          <w:i/>
          <w:sz w:val="24"/>
          <w:szCs w:val="24"/>
        </w:rPr>
        <w:t xml:space="preserve">Hepatology </w:t>
      </w:r>
      <w:r w:rsidRPr="003D5B85">
        <w:rPr>
          <w:rFonts w:ascii="Book Antiqua" w:hAnsi="Book Antiqua"/>
          <w:sz w:val="24"/>
          <w:szCs w:val="24"/>
        </w:rPr>
        <w:t xml:space="preserve">2018; </w:t>
      </w:r>
      <w:r w:rsidRPr="003D5B85">
        <w:rPr>
          <w:rFonts w:ascii="Book Antiqua" w:hAnsi="Book Antiqua"/>
          <w:b/>
          <w:sz w:val="24"/>
          <w:szCs w:val="24"/>
        </w:rPr>
        <w:t>68</w:t>
      </w:r>
      <w:r w:rsidRPr="003D5B85">
        <w:rPr>
          <w:rFonts w:ascii="Book Antiqua" w:hAnsi="Book Antiqua"/>
          <w:sz w:val="24"/>
          <w:szCs w:val="24"/>
        </w:rPr>
        <w:t>: 138A [DOI: 10.1002/hep.30256]</w:t>
      </w:r>
    </w:p>
    <w:p w14:paraId="256AFB47" w14:textId="77777777" w:rsidR="000A1B63" w:rsidRPr="003D5B85" w:rsidRDefault="000A1B63" w:rsidP="000A1B63">
      <w:pPr>
        <w:spacing w:line="360" w:lineRule="auto"/>
        <w:rPr>
          <w:rFonts w:ascii="Book Antiqua" w:hAnsi="Book Antiqua"/>
          <w:sz w:val="24"/>
          <w:szCs w:val="24"/>
        </w:rPr>
      </w:pPr>
      <w:r w:rsidRPr="003D5B85">
        <w:rPr>
          <w:rFonts w:ascii="Book Antiqua" w:hAnsi="Book Antiqua"/>
          <w:sz w:val="24"/>
          <w:szCs w:val="24"/>
        </w:rPr>
        <w:t xml:space="preserve">25 </w:t>
      </w:r>
      <w:proofErr w:type="spellStart"/>
      <w:r w:rsidRPr="003D5B85">
        <w:rPr>
          <w:rFonts w:ascii="Book Antiqua" w:hAnsi="Book Antiqua"/>
          <w:b/>
          <w:sz w:val="24"/>
          <w:szCs w:val="24"/>
        </w:rPr>
        <w:t>Matei</w:t>
      </w:r>
      <w:proofErr w:type="spellEnd"/>
      <w:r w:rsidRPr="003D5B85">
        <w:rPr>
          <w:rFonts w:ascii="Book Antiqua" w:hAnsi="Book Antiqua"/>
          <w:b/>
          <w:sz w:val="24"/>
          <w:szCs w:val="24"/>
        </w:rPr>
        <w:t xml:space="preserve"> D,</w:t>
      </w:r>
      <w:r w:rsidRPr="003D5B85">
        <w:rPr>
          <w:rFonts w:ascii="Book Antiqua" w:hAnsi="Book Antiqua"/>
          <w:sz w:val="24"/>
          <w:szCs w:val="24"/>
        </w:rPr>
        <w:t xml:space="preserve"> </w:t>
      </w:r>
      <w:proofErr w:type="spellStart"/>
      <w:r w:rsidRPr="003D5B85">
        <w:rPr>
          <w:rFonts w:ascii="Book Antiqua" w:hAnsi="Book Antiqua"/>
          <w:sz w:val="24"/>
          <w:szCs w:val="24"/>
        </w:rPr>
        <w:t>Pasca</w:t>
      </w:r>
      <w:proofErr w:type="spellEnd"/>
      <w:r w:rsidRPr="003D5B85">
        <w:rPr>
          <w:rFonts w:ascii="Book Antiqua" w:hAnsi="Book Antiqua"/>
          <w:sz w:val="24"/>
          <w:szCs w:val="24"/>
        </w:rPr>
        <w:t xml:space="preserve"> S, David A, </w:t>
      </w:r>
      <w:proofErr w:type="spellStart"/>
      <w:r w:rsidRPr="003D5B85">
        <w:rPr>
          <w:rFonts w:ascii="Book Antiqua" w:hAnsi="Book Antiqua"/>
          <w:sz w:val="24"/>
          <w:szCs w:val="24"/>
        </w:rPr>
        <w:t>Procopet</w:t>
      </w:r>
      <w:proofErr w:type="spellEnd"/>
      <w:r w:rsidRPr="003D5B85">
        <w:rPr>
          <w:rFonts w:ascii="Book Antiqua" w:hAnsi="Book Antiqua"/>
          <w:sz w:val="24"/>
          <w:szCs w:val="24"/>
        </w:rPr>
        <w:t xml:space="preserve"> B, </w:t>
      </w:r>
      <w:proofErr w:type="spellStart"/>
      <w:r w:rsidRPr="003D5B85">
        <w:rPr>
          <w:rFonts w:ascii="Book Antiqua" w:hAnsi="Book Antiqua"/>
          <w:sz w:val="24"/>
          <w:szCs w:val="24"/>
        </w:rPr>
        <w:t>Stefanescu</w:t>
      </w:r>
      <w:proofErr w:type="spellEnd"/>
      <w:r w:rsidRPr="003D5B85">
        <w:rPr>
          <w:rFonts w:ascii="Book Antiqua" w:hAnsi="Book Antiqua"/>
          <w:sz w:val="24"/>
          <w:szCs w:val="24"/>
        </w:rPr>
        <w:t xml:space="preserve"> H, </w:t>
      </w:r>
      <w:proofErr w:type="spellStart"/>
      <w:r w:rsidRPr="003D5B85">
        <w:rPr>
          <w:rFonts w:ascii="Book Antiqua" w:hAnsi="Book Antiqua"/>
          <w:sz w:val="24"/>
          <w:szCs w:val="24"/>
        </w:rPr>
        <w:t>Vesa</w:t>
      </w:r>
      <w:proofErr w:type="spellEnd"/>
      <w:r w:rsidRPr="003D5B85">
        <w:rPr>
          <w:rFonts w:ascii="Book Antiqua" w:hAnsi="Book Antiqua"/>
          <w:sz w:val="24"/>
          <w:szCs w:val="24"/>
        </w:rPr>
        <w:t xml:space="preserve"> S, </w:t>
      </w:r>
      <w:proofErr w:type="spellStart"/>
      <w:r w:rsidRPr="003D5B85">
        <w:rPr>
          <w:rFonts w:ascii="Book Antiqua" w:hAnsi="Book Antiqua"/>
          <w:sz w:val="24"/>
          <w:szCs w:val="24"/>
        </w:rPr>
        <w:t>Andreica</w:t>
      </w:r>
      <w:proofErr w:type="spellEnd"/>
      <w:r w:rsidRPr="003D5B85">
        <w:rPr>
          <w:rFonts w:ascii="Book Antiqua" w:hAnsi="Book Antiqua"/>
          <w:sz w:val="24"/>
          <w:szCs w:val="24"/>
        </w:rPr>
        <w:t xml:space="preserve"> V, </w:t>
      </w:r>
      <w:proofErr w:type="spellStart"/>
      <w:r w:rsidRPr="003D5B85">
        <w:rPr>
          <w:rFonts w:ascii="Book Antiqua" w:hAnsi="Book Antiqua"/>
          <w:sz w:val="24"/>
          <w:szCs w:val="24"/>
        </w:rPr>
        <w:t>Tantau</w:t>
      </w:r>
      <w:proofErr w:type="spellEnd"/>
      <w:r w:rsidRPr="003D5B85">
        <w:rPr>
          <w:rFonts w:ascii="Book Antiqua" w:hAnsi="Book Antiqua"/>
          <w:sz w:val="24"/>
          <w:szCs w:val="24"/>
        </w:rPr>
        <w:t xml:space="preserve"> M. </w:t>
      </w:r>
      <w:bookmarkStart w:id="57" w:name="OLE_LINK63"/>
      <w:bookmarkStart w:id="58" w:name="OLE_LINK64"/>
      <w:bookmarkStart w:id="59" w:name="OLE_LINK65"/>
      <w:r w:rsidRPr="003D5B85">
        <w:rPr>
          <w:rFonts w:ascii="Book Antiqua" w:hAnsi="Book Antiqua"/>
          <w:sz w:val="24"/>
          <w:szCs w:val="24"/>
        </w:rPr>
        <w:t>Proton pump inhibitors increase the risk for hepatic encephalopathy in patients with cirrhosis and ascites</w:t>
      </w:r>
      <w:bookmarkEnd w:id="57"/>
      <w:bookmarkEnd w:id="58"/>
      <w:bookmarkEnd w:id="59"/>
      <w:r w:rsidRPr="003D5B85">
        <w:rPr>
          <w:rFonts w:ascii="Book Antiqua" w:hAnsi="Book Antiqua"/>
          <w:sz w:val="24"/>
          <w:szCs w:val="24"/>
        </w:rPr>
        <w:t xml:space="preserve">. </w:t>
      </w:r>
      <w:r w:rsidRPr="003D5B85">
        <w:rPr>
          <w:rFonts w:ascii="Book Antiqua" w:hAnsi="Book Antiqua"/>
          <w:i/>
          <w:sz w:val="24"/>
          <w:szCs w:val="24"/>
        </w:rPr>
        <w:t xml:space="preserve">J </w:t>
      </w:r>
      <w:proofErr w:type="spellStart"/>
      <w:r w:rsidRPr="003D5B85">
        <w:rPr>
          <w:rFonts w:ascii="Book Antiqua" w:hAnsi="Book Antiqua"/>
          <w:i/>
          <w:sz w:val="24"/>
          <w:szCs w:val="24"/>
        </w:rPr>
        <w:t>Hepatol</w:t>
      </w:r>
      <w:proofErr w:type="spellEnd"/>
      <w:r w:rsidRPr="003D5B85">
        <w:rPr>
          <w:rFonts w:ascii="Book Antiqua" w:hAnsi="Book Antiqua"/>
          <w:sz w:val="24"/>
          <w:szCs w:val="24"/>
        </w:rPr>
        <w:t xml:space="preserve"> 2017; 66: S136</w:t>
      </w:r>
    </w:p>
    <w:p w14:paraId="14369E40" w14:textId="77777777" w:rsidR="000A1B63" w:rsidRPr="003D5B85" w:rsidRDefault="000A1B63" w:rsidP="000A1B63">
      <w:pPr>
        <w:spacing w:line="360" w:lineRule="auto"/>
        <w:rPr>
          <w:rFonts w:ascii="Book Antiqua" w:hAnsi="Book Antiqua"/>
          <w:sz w:val="24"/>
          <w:szCs w:val="24"/>
        </w:rPr>
      </w:pPr>
      <w:r w:rsidRPr="003D5B85">
        <w:rPr>
          <w:rFonts w:ascii="Book Antiqua" w:hAnsi="Book Antiqua"/>
          <w:sz w:val="24"/>
          <w:szCs w:val="24"/>
        </w:rPr>
        <w:t xml:space="preserve">26 </w:t>
      </w:r>
      <w:r w:rsidRPr="003D5B85">
        <w:rPr>
          <w:rFonts w:ascii="Book Antiqua" w:hAnsi="Book Antiqua"/>
          <w:b/>
          <w:sz w:val="24"/>
          <w:szCs w:val="24"/>
        </w:rPr>
        <w:t>Cole HL</w:t>
      </w:r>
      <w:r w:rsidRPr="003D5B85">
        <w:rPr>
          <w:rFonts w:ascii="Book Antiqua" w:hAnsi="Book Antiqua"/>
          <w:sz w:val="24"/>
          <w:szCs w:val="24"/>
        </w:rPr>
        <w:t xml:space="preserve">, Pennycook S, Hayes PC. The </w:t>
      </w:r>
      <w:proofErr w:type="gramStart"/>
      <w:r w:rsidRPr="003D5B85">
        <w:rPr>
          <w:rFonts w:ascii="Book Antiqua" w:hAnsi="Book Antiqua"/>
          <w:sz w:val="24"/>
          <w:szCs w:val="24"/>
        </w:rPr>
        <w:t>impact of proton pump</w:t>
      </w:r>
      <w:proofErr w:type="gramEnd"/>
      <w:r w:rsidRPr="003D5B85">
        <w:rPr>
          <w:rFonts w:ascii="Book Antiqua" w:hAnsi="Book Antiqua"/>
          <w:sz w:val="24"/>
          <w:szCs w:val="24"/>
        </w:rPr>
        <w:t xml:space="preserve"> inhibitor therapy on patients with liver disease. </w:t>
      </w:r>
      <w:r w:rsidRPr="003D5B85">
        <w:rPr>
          <w:rFonts w:ascii="Book Antiqua" w:hAnsi="Book Antiqua"/>
          <w:i/>
          <w:sz w:val="24"/>
          <w:szCs w:val="24"/>
        </w:rPr>
        <w:t xml:space="preserve">Aliment </w:t>
      </w:r>
      <w:proofErr w:type="spellStart"/>
      <w:r w:rsidRPr="003D5B85">
        <w:rPr>
          <w:rFonts w:ascii="Book Antiqua" w:hAnsi="Book Antiqua"/>
          <w:i/>
          <w:sz w:val="24"/>
          <w:szCs w:val="24"/>
        </w:rPr>
        <w:t>Pharmacol</w:t>
      </w:r>
      <w:proofErr w:type="spellEnd"/>
      <w:r w:rsidRPr="003D5B85">
        <w:rPr>
          <w:rFonts w:ascii="Book Antiqua" w:hAnsi="Book Antiqua"/>
          <w:i/>
          <w:sz w:val="24"/>
          <w:szCs w:val="24"/>
        </w:rPr>
        <w:t xml:space="preserve"> </w:t>
      </w:r>
      <w:proofErr w:type="spellStart"/>
      <w:r w:rsidRPr="003D5B85">
        <w:rPr>
          <w:rFonts w:ascii="Book Antiqua" w:hAnsi="Book Antiqua"/>
          <w:i/>
          <w:sz w:val="24"/>
          <w:szCs w:val="24"/>
        </w:rPr>
        <w:t>Ther</w:t>
      </w:r>
      <w:proofErr w:type="spellEnd"/>
      <w:r w:rsidRPr="003D5B85">
        <w:rPr>
          <w:rFonts w:ascii="Book Antiqua" w:hAnsi="Book Antiqua"/>
          <w:sz w:val="24"/>
          <w:szCs w:val="24"/>
        </w:rPr>
        <w:t xml:space="preserve"> 2016; </w:t>
      </w:r>
      <w:r w:rsidRPr="003D5B85">
        <w:rPr>
          <w:rFonts w:ascii="Book Antiqua" w:hAnsi="Book Antiqua"/>
          <w:b/>
          <w:sz w:val="24"/>
          <w:szCs w:val="24"/>
        </w:rPr>
        <w:t>44</w:t>
      </w:r>
      <w:r w:rsidRPr="003D5B85">
        <w:rPr>
          <w:rFonts w:ascii="Book Antiqua" w:hAnsi="Book Antiqua"/>
          <w:sz w:val="24"/>
          <w:szCs w:val="24"/>
        </w:rPr>
        <w:t>: 1213-1223 [PMID: 27774677 DOI: 10.1111/apt.13827]</w:t>
      </w:r>
    </w:p>
    <w:p w14:paraId="0E61AD5B" w14:textId="77777777" w:rsidR="000A1B63" w:rsidRPr="003D5B85" w:rsidRDefault="000A1B63" w:rsidP="000A1B63">
      <w:pPr>
        <w:spacing w:line="360" w:lineRule="auto"/>
        <w:rPr>
          <w:rFonts w:ascii="Book Antiqua" w:hAnsi="Book Antiqua"/>
          <w:sz w:val="24"/>
          <w:szCs w:val="24"/>
        </w:rPr>
      </w:pPr>
      <w:proofErr w:type="gramStart"/>
      <w:r w:rsidRPr="003D5B85">
        <w:rPr>
          <w:rFonts w:ascii="Book Antiqua" w:hAnsi="Book Antiqua"/>
          <w:sz w:val="24"/>
          <w:szCs w:val="24"/>
        </w:rPr>
        <w:t xml:space="preserve">27 </w:t>
      </w:r>
      <w:r w:rsidRPr="003D5B85">
        <w:rPr>
          <w:rFonts w:ascii="Book Antiqua" w:hAnsi="Book Antiqua"/>
          <w:b/>
          <w:sz w:val="24"/>
          <w:szCs w:val="24"/>
        </w:rPr>
        <w:t>Schiavon LL</w:t>
      </w:r>
      <w:r w:rsidRPr="003D5B85">
        <w:rPr>
          <w:rFonts w:ascii="Book Antiqua" w:hAnsi="Book Antiqua"/>
          <w:sz w:val="24"/>
          <w:szCs w:val="24"/>
        </w:rPr>
        <w:t xml:space="preserve">, Silva TE, Fischer J, </w:t>
      </w:r>
      <w:proofErr w:type="spellStart"/>
      <w:r w:rsidRPr="003D5B85">
        <w:rPr>
          <w:rFonts w:ascii="Book Antiqua" w:hAnsi="Book Antiqua"/>
          <w:sz w:val="24"/>
          <w:szCs w:val="24"/>
        </w:rPr>
        <w:t>Narciso-Schiavon</w:t>
      </w:r>
      <w:proofErr w:type="spellEnd"/>
      <w:r w:rsidRPr="003D5B85">
        <w:rPr>
          <w:rFonts w:ascii="Book Antiqua" w:hAnsi="Book Antiqua"/>
          <w:sz w:val="24"/>
          <w:szCs w:val="24"/>
        </w:rPr>
        <w:t xml:space="preserve"> JL.</w:t>
      </w:r>
      <w:proofErr w:type="gramEnd"/>
      <w:r w:rsidRPr="003D5B85">
        <w:rPr>
          <w:rFonts w:ascii="Book Antiqua" w:hAnsi="Book Antiqua"/>
          <w:sz w:val="24"/>
          <w:szCs w:val="24"/>
        </w:rPr>
        <w:t xml:space="preserve"> Letter: Proton pump inhibitors and prognosis of cirrhosis - searching for the balance point. </w:t>
      </w:r>
      <w:r w:rsidRPr="003D5B85">
        <w:rPr>
          <w:rFonts w:ascii="Book Antiqua" w:hAnsi="Book Antiqua"/>
          <w:i/>
          <w:sz w:val="24"/>
          <w:szCs w:val="24"/>
        </w:rPr>
        <w:t xml:space="preserve">Aliment </w:t>
      </w:r>
      <w:proofErr w:type="spellStart"/>
      <w:r w:rsidRPr="003D5B85">
        <w:rPr>
          <w:rFonts w:ascii="Book Antiqua" w:hAnsi="Book Antiqua"/>
          <w:i/>
          <w:sz w:val="24"/>
          <w:szCs w:val="24"/>
        </w:rPr>
        <w:t>Pharmacol</w:t>
      </w:r>
      <w:proofErr w:type="spellEnd"/>
      <w:r w:rsidRPr="003D5B85">
        <w:rPr>
          <w:rFonts w:ascii="Book Antiqua" w:hAnsi="Book Antiqua"/>
          <w:i/>
          <w:sz w:val="24"/>
          <w:szCs w:val="24"/>
        </w:rPr>
        <w:t xml:space="preserve"> </w:t>
      </w:r>
      <w:proofErr w:type="spellStart"/>
      <w:r w:rsidRPr="003D5B85">
        <w:rPr>
          <w:rFonts w:ascii="Book Antiqua" w:hAnsi="Book Antiqua"/>
          <w:i/>
          <w:sz w:val="24"/>
          <w:szCs w:val="24"/>
        </w:rPr>
        <w:t>Ther</w:t>
      </w:r>
      <w:proofErr w:type="spellEnd"/>
      <w:r w:rsidRPr="003D5B85">
        <w:rPr>
          <w:rFonts w:ascii="Book Antiqua" w:hAnsi="Book Antiqua"/>
          <w:sz w:val="24"/>
          <w:szCs w:val="24"/>
        </w:rPr>
        <w:t xml:space="preserve"> 2017; </w:t>
      </w:r>
      <w:r w:rsidRPr="003D5B85">
        <w:rPr>
          <w:rFonts w:ascii="Book Antiqua" w:hAnsi="Book Antiqua"/>
          <w:b/>
          <w:sz w:val="24"/>
          <w:szCs w:val="24"/>
        </w:rPr>
        <w:t>45</w:t>
      </w:r>
      <w:r w:rsidRPr="003D5B85">
        <w:rPr>
          <w:rFonts w:ascii="Book Antiqua" w:hAnsi="Book Antiqua"/>
          <w:sz w:val="24"/>
          <w:szCs w:val="24"/>
        </w:rPr>
        <w:t>: 378-379 [PMID: 27933687 DOI: 10.1111/apt.13873]</w:t>
      </w:r>
    </w:p>
    <w:p w14:paraId="54444710" w14:textId="77777777" w:rsidR="000A1B63" w:rsidRPr="003D5B85" w:rsidRDefault="000A1B63" w:rsidP="000A1B63">
      <w:pPr>
        <w:spacing w:line="360" w:lineRule="auto"/>
        <w:rPr>
          <w:rFonts w:ascii="Book Antiqua" w:hAnsi="Book Antiqua"/>
          <w:sz w:val="24"/>
          <w:szCs w:val="24"/>
        </w:rPr>
      </w:pPr>
      <w:proofErr w:type="gramStart"/>
      <w:r w:rsidRPr="003D5B85">
        <w:rPr>
          <w:rFonts w:ascii="Book Antiqua" w:hAnsi="Book Antiqua"/>
          <w:sz w:val="24"/>
          <w:szCs w:val="24"/>
        </w:rPr>
        <w:t xml:space="preserve">28 </w:t>
      </w:r>
      <w:r w:rsidRPr="003D5B85">
        <w:rPr>
          <w:rFonts w:ascii="Book Antiqua" w:hAnsi="Book Antiqua"/>
          <w:b/>
          <w:sz w:val="24"/>
          <w:szCs w:val="24"/>
        </w:rPr>
        <w:t>Schulz KF</w:t>
      </w:r>
      <w:r w:rsidRPr="003D5B85">
        <w:rPr>
          <w:rFonts w:ascii="Book Antiqua" w:hAnsi="Book Antiqua"/>
          <w:sz w:val="24"/>
          <w:szCs w:val="24"/>
        </w:rPr>
        <w:t>, Grimes DA.</w:t>
      </w:r>
      <w:proofErr w:type="gramEnd"/>
      <w:r w:rsidRPr="003D5B85">
        <w:rPr>
          <w:rFonts w:ascii="Book Antiqua" w:hAnsi="Book Antiqua"/>
          <w:sz w:val="24"/>
          <w:szCs w:val="24"/>
        </w:rPr>
        <w:t xml:space="preserve"> Case-control studies: Research in reverse. </w:t>
      </w:r>
      <w:r w:rsidRPr="003D5B85">
        <w:rPr>
          <w:rFonts w:ascii="Book Antiqua" w:hAnsi="Book Antiqua"/>
          <w:i/>
          <w:sz w:val="24"/>
          <w:szCs w:val="24"/>
        </w:rPr>
        <w:t>Lancet</w:t>
      </w:r>
      <w:r w:rsidRPr="003D5B85">
        <w:rPr>
          <w:rFonts w:ascii="Book Antiqua" w:hAnsi="Book Antiqua"/>
          <w:sz w:val="24"/>
          <w:szCs w:val="24"/>
        </w:rPr>
        <w:t xml:space="preserve"> 2002; </w:t>
      </w:r>
      <w:r w:rsidRPr="003D5B85">
        <w:rPr>
          <w:rFonts w:ascii="Book Antiqua" w:hAnsi="Book Antiqua"/>
          <w:b/>
          <w:sz w:val="24"/>
          <w:szCs w:val="24"/>
        </w:rPr>
        <w:t>359</w:t>
      </w:r>
      <w:r w:rsidRPr="003D5B85">
        <w:rPr>
          <w:rFonts w:ascii="Book Antiqua" w:hAnsi="Book Antiqua"/>
          <w:sz w:val="24"/>
          <w:szCs w:val="24"/>
        </w:rPr>
        <w:t>: 431-434 [PMID: 11844534 DOI: 10.1016/S0140-6736(02)07605-5]</w:t>
      </w:r>
    </w:p>
    <w:p w14:paraId="5A6703D5" w14:textId="77777777" w:rsidR="000A1B63" w:rsidRPr="003D5B85" w:rsidRDefault="000A1B63" w:rsidP="000A1B63">
      <w:pPr>
        <w:spacing w:line="360" w:lineRule="auto"/>
        <w:rPr>
          <w:rFonts w:ascii="Book Antiqua" w:hAnsi="Book Antiqua"/>
          <w:sz w:val="24"/>
          <w:szCs w:val="24"/>
        </w:rPr>
      </w:pPr>
      <w:proofErr w:type="gramStart"/>
      <w:r w:rsidRPr="003D5B85">
        <w:rPr>
          <w:rFonts w:ascii="Book Antiqua" w:hAnsi="Book Antiqua"/>
          <w:sz w:val="24"/>
          <w:szCs w:val="24"/>
        </w:rPr>
        <w:t xml:space="preserve">29 </w:t>
      </w:r>
      <w:r w:rsidRPr="003D5B85">
        <w:rPr>
          <w:rFonts w:ascii="Book Antiqua" w:hAnsi="Book Antiqua"/>
          <w:b/>
          <w:sz w:val="24"/>
          <w:szCs w:val="24"/>
        </w:rPr>
        <w:t>Schmidt CO</w:t>
      </w:r>
      <w:r w:rsidRPr="003D5B85">
        <w:rPr>
          <w:rFonts w:ascii="Book Antiqua" w:hAnsi="Book Antiqua"/>
          <w:sz w:val="24"/>
          <w:szCs w:val="24"/>
        </w:rPr>
        <w:t xml:space="preserve">, </w:t>
      </w:r>
      <w:proofErr w:type="spellStart"/>
      <w:r w:rsidRPr="003D5B85">
        <w:rPr>
          <w:rFonts w:ascii="Book Antiqua" w:hAnsi="Book Antiqua"/>
          <w:sz w:val="24"/>
          <w:szCs w:val="24"/>
        </w:rPr>
        <w:t>Kohlmann</w:t>
      </w:r>
      <w:proofErr w:type="spellEnd"/>
      <w:r w:rsidRPr="003D5B85">
        <w:rPr>
          <w:rFonts w:ascii="Book Antiqua" w:hAnsi="Book Antiqua"/>
          <w:sz w:val="24"/>
          <w:szCs w:val="24"/>
        </w:rPr>
        <w:t xml:space="preserve"> T.</w:t>
      </w:r>
      <w:proofErr w:type="gramEnd"/>
      <w:r w:rsidRPr="003D5B85">
        <w:rPr>
          <w:rFonts w:ascii="Book Antiqua" w:hAnsi="Book Antiqua"/>
          <w:sz w:val="24"/>
          <w:szCs w:val="24"/>
        </w:rPr>
        <w:t xml:space="preserve"> When to use the odds ratio or the relative risk? </w:t>
      </w:r>
      <w:proofErr w:type="spellStart"/>
      <w:r w:rsidRPr="003D5B85">
        <w:rPr>
          <w:rFonts w:ascii="Book Antiqua" w:hAnsi="Book Antiqua"/>
          <w:i/>
          <w:sz w:val="24"/>
          <w:szCs w:val="24"/>
        </w:rPr>
        <w:t>Int</w:t>
      </w:r>
      <w:proofErr w:type="spellEnd"/>
      <w:r w:rsidRPr="003D5B85">
        <w:rPr>
          <w:rFonts w:ascii="Book Antiqua" w:hAnsi="Book Antiqua"/>
          <w:i/>
          <w:sz w:val="24"/>
          <w:szCs w:val="24"/>
        </w:rPr>
        <w:t xml:space="preserve"> J Public Health</w:t>
      </w:r>
      <w:r w:rsidRPr="003D5B85">
        <w:rPr>
          <w:rFonts w:ascii="Book Antiqua" w:hAnsi="Book Antiqua"/>
          <w:sz w:val="24"/>
          <w:szCs w:val="24"/>
        </w:rPr>
        <w:t xml:space="preserve"> 2008; </w:t>
      </w:r>
      <w:r w:rsidRPr="003D5B85">
        <w:rPr>
          <w:rFonts w:ascii="Book Antiqua" w:hAnsi="Book Antiqua"/>
          <w:b/>
          <w:sz w:val="24"/>
          <w:szCs w:val="24"/>
        </w:rPr>
        <w:t>53</w:t>
      </w:r>
      <w:r w:rsidRPr="003D5B85">
        <w:rPr>
          <w:rFonts w:ascii="Book Antiqua" w:hAnsi="Book Antiqua"/>
          <w:sz w:val="24"/>
          <w:szCs w:val="24"/>
        </w:rPr>
        <w:t>: 165-167 [PMID: 19127890 DOI: 10.1007/s00038-008-7068-3]</w:t>
      </w:r>
    </w:p>
    <w:p w14:paraId="3D0AE61C" w14:textId="77777777" w:rsidR="000A1B63" w:rsidRPr="003D5B85" w:rsidRDefault="000A1B63" w:rsidP="000A1B63">
      <w:pPr>
        <w:spacing w:line="360" w:lineRule="auto"/>
        <w:rPr>
          <w:rFonts w:ascii="Book Antiqua" w:hAnsi="Book Antiqua"/>
          <w:sz w:val="24"/>
          <w:szCs w:val="24"/>
        </w:rPr>
      </w:pPr>
      <w:r w:rsidRPr="003D5B85">
        <w:rPr>
          <w:rFonts w:ascii="Book Antiqua" w:hAnsi="Book Antiqua"/>
          <w:sz w:val="24"/>
          <w:szCs w:val="24"/>
        </w:rPr>
        <w:t xml:space="preserve">30 </w:t>
      </w:r>
      <w:proofErr w:type="spellStart"/>
      <w:r w:rsidRPr="003D5B85">
        <w:rPr>
          <w:rFonts w:ascii="Book Antiqua" w:hAnsi="Book Antiqua"/>
          <w:b/>
          <w:sz w:val="24"/>
          <w:szCs w:val="24"/>
        </w:rPr>
        <w:t>Osawa</w:t>
      </w:r>
      <w:proofErr w:type="spellEnd"/>
      <w:r w:rsidRPr="003D5B85">
        <w:rPr>
          <w:rFonts w:ascii="Book Antiqua" w:hAnsi="Book Antiqua"/>
          <w:b/>
          <w:sz w:val="24"/>
          <w:szCs w:val="24"/>
        </w:rPr>
        <w:t xml:space="preserve"> H</w:t>
      </w:r>
      <w:r w:rsidRPr="003D5B85">
        <w:rPr>
          <w:rFonts w:ascii="Book Antiqua" w:hAnsi="Book Antiqua"/>
          <w:sz w:val="24"/>
          <w:szCs w:val="24"/>
        </w:rPr>
        <w:t xml:space="preserve">, Kita H, Ohnishi H, Hoshino H, Mutoh H, </w:t>
      </w:r>
      <w:proofErr w:type="spellStart"/>
      <w:r w:rsidRPr="003D5B85">
        <w:rPr>
          <w:rFonts w:ascii="Book Antiqua" w:hAnsi="Book Antiqua"/>
          <w:sz w:val="24"/>
          <w:szCs w:val="24"/>
        </w:rPr>
        <w:t>Ishino</w:t>
      </w:r>
      <w:proofErr w:type="spellEnd"/>
      <w:r w:rsidRPr="003D5B85">
        <w:rPr>
          <w:rFonts w:ascii="Book Antiqua" w:hAnsi="Book Antiqua"/>
          <w:sz w:val="24"/>
          <w:szCs w:val="24"/>
        </w:rPr>
        <w:t xml:space="preserve"> Y, Watanabe E, Satoh K, Sugano K. Helicobacter pylori eradication induces marked increase in H+/K+-adenosine </w:t>
      </w:r>
      <w:proofErr w:type="spellStart"/>
      <w:r w:rsidRPr="003D5B85">
        <w:rPr>
          <w:rFonts w:ascii="Book Antiqua" w:hAnsi="Book Antiqua"/>
          <w:sz w:val="24"/>
          <w:szCs w:val="24"/>
        </w:rPr>
        <w:t>triphosphatase</w:t>
      </w:r>
      <w:proofErr w:type="spellEnd"/>
      <w:r w:rsidRPr="003D5B85">
        <w:rPr>
          <w:rFonts w:ascii="Book Antiqua" w:hAnsi="Book Antiqua"/>
          <w:sz w:val="24"/>
          <w:szCs w:val="24"/>
        </w:rPr>
        <w:t xml:space="preserve"> expression without altering parietal cell number in human gastric mucosa. </w:t>
      </w:r>
      <w:r w:rsidRPr="003D5B85">
        <w:rPr>
          <w:rFonts w:ascii="Book Antiqua" w:hAnsi="Book Antiqua"/>
          <w:i/>
          <w:sz w:val="24"/>
          <w:szCs w:val="24"/>
        </w:rPr>
        <w:t>Gut</w:t>
      </w:r>
      <w:r w:rsidRPr="003D5B85">
        <w:rPr>
          <w:rFonts w:ascii="Book Antiqua" w:hAnsi="Book Antiqua"/>
          <w:sz w:val="24"/>
          <w:szCs w:val="24"/>
        </w:rPr>
        <w:t xml:space="preserve"> 2006; </w:t>
      </w:r>
      <w:r w:rsidRPr="003D5B85">
        <w:rPr>
          <w:rFonts w:ascii="Book Antiqua" w:hAnsi="Book Antiqua"/>
          <w:b/>
          <w:sz w:val="24"/>
          <w:szCs w:val="24"/>
        </w:rPr>
        <w:t>55</w:t>
      </w:r>
      <w:r w:rsidRPr="003D5B85">
        <w:rPr>
          <w:rFonts w:ascii="Book Antiqua" w:hAnsi="Book Antiqua"/>
          <w:sz w:val="24"/>
          <w:szCs w:val="24"/>
        </w:rPr>
        <w:t>: 152-157 [PMID: 15872000 DOI: 10.1136/gut.2005.066464]</w:t>
      </w:r>
    </w:p>
    <w:p w14:paraId="662A90F1" w14:textId="77777777" w:rsidR="000A1B63" w:rsidRPr="003D5B85" w:rsidRDefault="000A1B63" w:rsidP="000A1B63">
      <w:pPr>
        <w:spacing w:line="360" w:lineRule="auto"/>
        <w:rPr>
          <w:rFonts w:ascii="Book Antiqua" w:hAnsi="Book Antiqua"/>
          <w:sz w:val="24"/>
          <w:szCs w:val="24"/>
        </w:rPr>
      </w:pPr>
      <w:proofErr w:type="gramStart"/>
      <w:r w:rsidRPr="003D5B85">
        <w:rPr>
          <w:rFonts w:ascii="Book Antiqua" w:hAnsi="Book Antiqua"/>
          <w:sz w:val="24"/>
          <w:szCs w:val="24"/>
        </w:rPr>
        <w:t xml:space="preserve">31 </w:t>
      </w:r>
      <w:proofErr w:type="spellStart"/>
      <w:r w:rsidRPr="003D5B85">
        <w:rPr>
          <w:rFonts w:ascii="Book Antiqua" w:hAnsi="Book Antiqua"/>
          <w:b/>
          <w:sz w:val="24"/>
          <w:szCs w:val="24"/>
        </w:rPr>
        <w:t>Saha</w:t>
      </w:r>
      <w:proofErr w:type="spellEnd"/>
      <w:r w:rsidRPr="003D5B85">
        <w:rPr>
          <w:rFonts w:ascii="Book Antiqua" w:hAnsi="Book Antiqua"/>
          <w:b/>
          <w:sz w:val="24"/>
          <w:szCs w:val="24"/>
        </w:rPr>
        <w:t xml:space="preserve"> A</w:t>
      </w:r>
      <w:r w:rsidRPr="003D5B85">
        <w:rPr>
          <w:rFonts w:ascii="Book Antiqua" w:hAnsi="Book Antiqua"/>
          <w:sz w:val="24"/>
          <w:szCs w:val="24"/>
        </w:rPr>
        <w:t xml:space="preserve">, Hammond CE, Beeson C, Peek RM </w:t>
      </w:r>
      <w:proofErr w:type="spellStart"/>
      <w:r w:rsidRPr="003D5B85">
        <w:rPr>
          <w:rFonts w:ascii="Book Antiqua" w:hAnsi="Book Antiqua"/>
          <w:sz w:val="24"/>
          <w:szCs w:val="24"/>
        </w:rPr>
        <w:t>Jr</w:t>
      </w:r>
      <w:proofErr w:type="spellEnd"/>
      <w:r w:rsidRPr="003D5B85">
        <w:rPr>
          <w:rFonts w:ascii="Book Antiqua" w:hAnsi="Book Antiqua"/>
          <w:sz w:val="24"/>
          <w:szCs w:val="24"/>
        </w:rPr>
        <w:t xml:space="preserve">, </w:t>
      </w:r>
      <w:proofErr w:type="spellStart"/>
      <w:r w:rsidRPr="003D5B85">
        <w:rPr>
          <w:rFonts w:ascii="Book Antiqua" w:hAnsi="Book Antiqua"/>
          <w:sz w:val="24"/>
          <w:szCs w:val="24"/>
        </w:rPr>
        <w:t>Smolka</w:t>
      </w:r>
      <w:proofErr w:type="spellEnd"/>
      <w:r w:rsidRPr="003D5B85">
        <w:rPr>
          <w:rFonts w:ascii="Book Antiqua" w:hAnsi="Book Antiqua"/>
          <w:sz w:val="24"/>
          <w:szCs w:val="24"/>
        </w:rPr>
        <w:t xml:space="preserve"> AJ.</w:t>
      </w:r>
      <w:proofErr w:type="gramEnd"/>
      <w:r w:rsidRPr="003D5B85">
        <w:rPr>
          <w:rFonts w:ascii="Book Antiqua" w:hAnsi="Book Antiqua"/>
          <w:sz w:val="24"/>
          <w:szCs w:val="24"/>
        </w:rPr>
        <w:t xml:space="preserve"> Helicobacter </w:t>
      </w:r>
      <w:proofErr w:type="gramStart"/>
      <w:r w:rsidRPr="003D5B85">
        <w:rPr>
          <w:rFonts w:ascii="Book Antiqua" w:hAnsi="Book Antiqua"/>
          <w:sz w:val="24"/>
          <w:szCs w:val="24"/>
        </w:rPr>
        <w:t>pylori represses</w:t>
      </w:r>
      <w:proofErr w:type="gramEnd"/>
      <w:r w:rsidRPr="003D5B85">
        <w:rPr>
          <w:rFonts w:ascii="Book Antiqua" w:hAnsi="Book Antiqua"/>
          <w:sz w:val="24"/>
          <w:szCs w:val="24"/>
        </w:rPr>
        <w:t xml:space="preserve"> proton pump expression and inhibits acid secretion in human gastric mucosa. </w:t>
      </w:r>
      <w:r w:rsidRPr="003D5B85">
        <w:rPr>
          <w:rFonts w:ascii="Book Antiqua" w:hAnsi="Book Antiqua"/>
          <w:i/>
          <w:sz w:val="24"/>
          <w:szCs w:val="24"/>
        </w:rPr>
        <w:t>Gut</w:t>
      </w:r>
      <w:r w:rsidRPr="003D5B85">
        <w:rPr>
          <w:rFonts w:ascii="Book Antiqua" w:hAnsi="Book Antiqua"/>
          <w:sz w:val="24"/>
          <w:szCs w:val="24"/>
        </w:rPr>
        <w:t xml:space="preserve"> 2010; </w:t>
      </w:r>
      <w:r w:rsidRPr="003D5B85">
        <w:rPr>
          <w:rFonts w:ascii="Book Antiqua" w:hAnsi="Book Antiqua"/>
          <w:b/>
          <w:sz w:val="24"/>
          <w:szCs w:val="24"/>
        </w:rPr>
        <w:t>59</w:t>
      </w:r>
      <w:r w:rsidRPr="003D5B85">
        <w:rPr>
          <w:rFonts w:ascii="Book Antiqua" w:hAnsi="Book Antiqua"/>
          <w:sz w:val="24"/>
          <w:szCs w:val="24"/>
        </w:rPr>
        <w:t>: 874-881 [PMID: 20581234 DOI: 10.1136/gut.2009.194795]</w:t>
      </w:r>
    </w:p>
    <w:p w14:paraId="0A07666A" w14:textId="77777777" w:rsidR="000A1B63" w:rsidRPr="003D5B85" w:rsidRDefault="000A1B63" w:rsidP="000A1B63">
      <w:pPr>
        <w:spacing w:line="360" w:lineRule="auto"/>
        <w:rPr>
          <w:rFonts w:ascii="Book Antiqua" w:hAnsi="Book Antiqua"/>
          <w:sz w:val="24"/>
          <w:szCs w:val="24"/>
        </w:rPr>
      </w:pPr>
      <w:r w:rsidRPr="003D5B85">
        <w:rPr>
          <w:rFonts w:ascii="Book Antiqua" w:hAnsi="Book Antiqua"/>
          <w:sz w:val="24"/>
          <w:szCs w:val="24"/>
        </w:rPr>
        <w:t xml:space="preserve">32 </w:t>
      </w:r>
      <w:proofErr w:type="spellStart"/>
      <w:r w:rsidRPr="003D5B85">
        <w:rPr>
          <w:rFonts w:ascii="Book Antiqua" w:hAnsi="Book Antiqua"/>
          <w:b/>
          <w:sz w:val="24"/>
          <w:szCs w:val="24"/>
        </w:rPr>
        <w:t>Corleto</w:t>
      </w:r>
      <w:proofErr w:type="spellEnd"/>
      <w:r w:rsidRPr="003D5B85">
        <w:rPr>
          <w:rFonts w:ascii="Book Antiqua" w:hAnsi="Book Antiqua"/>
          <w:b/>
          <w:sz w:val="24"/>
          <w:szCs w:val="24"/>
        </w:rPr>
        <w:t xml:space="preserve"> VD</w:t>
      </w:r>
      <w:r w:rsidRPr="003D5B85">
        <w:rPr>
          <w:rFonts w:ascii="Book Antiqua" w:hAnsi="Book Antiqua"/>
          <w:sz w:val="24"/>
          <w:szCs w:val="24"/>
        </w:rPr>
        <w:t xml:space="preserve">, </w:t>
      </w:r>
      <w:proofErr w:type="spellStart"/>
      <w:r w:rsidRPr="003D5B85">
        <w:rPr>
          <w:rFonts w:ascii="Book Antiqua" w:hAnsi="Book Antiqua"/>
          <w:sz w:val="24"/>
          <w:szCs w:val="24"/>
        </w:rPr>
        <w:t>Festa</w:t>
      </w:r>
      <w:proofErr w:type="spellEnd"/>
      <w:r w:rsidRPr="003D5B85">
        <w:rPr>
          <w:rFonts w:ascii="Book Antiqua" w:hAnsi="Book Antiqua"/>
          <w:sz w:val="24"/>
          <w:szCs w:val="24"/>
        </w:rPr>
        <w:t xml:space="preserve"> S, Di </w:t>
      </w:r>
      <w:proofErr w:type="spellStart"/>
      <w:r w:rsidRPr="003D5B85">
        <w:rPr>
          <w:rFonts w:ascii="Book Antiqua" w:hAnsi="Book Antiqua"/>
          <w:sz w:val="24"/>
          <w:szCs w:val="24"/>
        </w:rPr>
        <w:t>Giulio</w:t>
      </w:r>
      <w:proofErr w:type="spellEnd"/>
      <w:r w:rsidRPr="003D5B85">
        <w:rPr>
          <w:rFonts w:ascii="Book Antiqua" w:hAnsi="Book Antiqua"/>
          <w:sz w:val="24"/>
          <w:szCs w:val="24"/>
        </w:rPr>
        <w:t xml:space="preserve"> E, </w:t>
      </w:r>
      <w:proofErr w:type="spellStart"/>
      <w:r w:rsidRPr="003D5B85">
        <w:rPr>
          <w:rFonts w:ascii="Book Antiqua" w:hAnsi="Book Antiqua"/>
          <w:sz w:val="24"/>
          <w:szCs w:val="24"/>
        </w:rPr>
        <w:t>Annibale</w:t>
      </w:r>
      <w:proofErr w:type="spellEnd"/>
      <w:r w:rsidRPr="003D5B85">
        <w:rPr>
          <w:rFonts w:ascii="Book Antiqua" w:hAnsi="Book Antiqua"/>
          <w:sz w:val="24"/>
          <w:szCs w:val="24"/>
        </w:rPr>
        <w:t xml:space="preserve"> B. Proton pump inhibitor therapy and potential long-term harm. </w:t>
      </w:r>
      <w:proofErr w:type="spellStart"/>
      <w:r w:rsidRPr="003D5B85">
        <w:rPr>
          <w:rFonts w:ascii="Book Antiqua" w:hAnsi="Book Antiqua"/>
          <w:i/>
          <w:sz w:val="24"/>
          <w:szCs w:val="24"/>
        </w:rPr>
        <w:t>Curr</w:t>
      </w:r>
      <w:proofErr w:type="spellEnd"/>
      <w:r w:rsidRPr="003D5B85">
        <w:rPr>
          <w:rFonts w:ascii="Book Antiqua" w:hAnsi="Book Antiqua"/>
          <w:i/>
          <w:sz w:val="24"/>
          <w:szCs w:val="24"/>
        </w:rPr>
        <w:t xml:space="preserve"> </w:t>
      </w:r>
      <w:proofErr w:type="spellStart"/>
      <w:r w:rsidRPr="003D5B85">
        <w:rPr>
          <w:rFonts w:ascii="Book Antiqua" w:hAnsi="Book Antiqua"/>
          <w:i/>
          <w:sz w:val="24"/>
          <w:szCs w:val="24"/>
        </w:rPr>
        <w:t>Opin</w:t>
      </w:r>
      <w:proofErr w:type="spellEnd"/>
      <w:r w:rsidRPr="003D5B85">
        <w:rPr>
          <w:rFonts w:ascii="Book Antiqua" w:hAnsi="Book Antiqua"/>
          <w:i/>
          <w:sz w:val="24"/>
          <w:szCs w:val="24"/>
        </w:rPr>
        <w:t xml:space="preserve"> </w:t>
      </w:r>
      <w:proofErr w:type="spellStart"/>
      <w:r w:rsidRPr="003D5B85">
        <w:rPr>
          <w:rFonts w:ascii="Book Antiqua" w:hAnsi="Book Antiqua"/>
          <w:i/>
          <w:sz w:val="24"/>
          <w:szCs w:val="24"/>
        </w:rPr>
        <w:t>Endocrinol</w:t>
      </w:r>
      <w:proofErr w:type="spellEnd"/>
      <w:r w:rsidRPr="003D5B85">
        <w:rPr>
          <w:rFonts w:ascii="Book Antiqua" w:hAnsi="Book Antiqua"/>
          <w:i/>
          <w:sz w:val="24"/>
          <w:szCs w:val="24"/>
        </w:rPr>
        <w:t xml:space="preserve"> Diabetes </w:t>
      </w:r>
      <w:proofErr w:type="spellStart"/>
      <w:r w:rsidRPr="003D5B85">
        <w:rPr>
          <w:rFonts w:ascii="Book Antiqua" w:hAnsi="Book Antiqua"/>
          <w:i/>
          <w:sz w:val="24"/>
          <w:szCs w:val="24"/>
        </w:rPr>
        <w:t>Obes</w:t>
      </w:r>
      <w:proofErr w:type="spellEnd"/>
      <w:r w:rsidRPr="003D5B85">
        <w:rPr>
          <w:rFonts w:ascii="Book Antiqua" w:hAnsi="Book Antiqua"/>
          <w:sz w:val="24"/>
          <w:szCs w:val="24"/>
        </w:rPr>
        <w:t xml:space="preserve"> 2014; </w:t>
      </w:r>
      <w:r w:rsidRPr="003D5B85">
        <w:rPr>
          <w:rFonts w:ascii="Book Antiqua" w:hAnsi="Book Antiqua"/>
          <w:b/>
          <w:sz w:val="24"/>
          <w:szCs w:val="24"/>
        </w:rPr>
        <w:t>21</w:t>
      </w:r>
      <w:r w:rsidRPr="003D5B85">
        <w:rPr>
          <w:rFonts w:ascii="Book Antiqua" w:hAnsi="Book Antiqua"/>
          <w:sz w:val="24"/>
          <w:szCs w:val="24"/>
        </w:rPr>
        <w:t xml:space="preserve">: 3-8 </w:t>
      </w:r>
      <w:r w:rsidRPr="003D5B85">
        <w:rPr>
          <w:rFonts w:ascii="Book Antiqua" w:hAnsi="Book Antiqua"/>
          <w:sz w:val="24"/>
          <w:szCs w:val="24"/>
        </w:rPr>
        <w:lastRenderedPageBreak/>
        <w:t>[PMID: 24310148 DOI: 10.1097/MED.0000000000000031]</w:t>
      </w:r>
    </w:p>
    <w:p w14:paraId="58F0A375" w14:textId="77777777" w:rsidR="000A1B63" w:rsidRPr="003D5B85" w:rsidRDefault="000A1B63" w:rsidP="000A1B63">
      <w:pPr>
        <w:spacing w:line="360" w:lineRule="auto"/>
        <w:rPr>
          <w:rFonts w:ascii="Book Antiqua" w:hAnsi="Book Antiqua"/>
          <w:sz w:val="24"/>
          <w:szCs w:val="24"/>
        </w:rPr>
      </w:pPr>
      <w:proofErr w:type="gramStart"/>
      <w:r w:rsidRPr="003D5B85">
        <w:rPr>
          <w:rFonts w:ascii="Book Antiqua" w:hAnsi="Book Antiqua"/>
          <w:sz w:val="24"/>
          <w:szCs w:val="24"/>
        </w:rPr>
        <w:t xml:space="preserve">33 </w:t>
      </w:r>
      <w:r w:rsidRPr="003D5B85">
        <w:rPr>
          <w:rFonts w:ascii="Book Antiqua" w:hAnsi="Book Antiqua"/>
          <w:b/>
          <w:sz w:val="24"/>
          <w:szCs w:val="24"/>
        </w:rPr>
        <w:t>Tran-</w:t>
      </w:r>
      <w:proofErr w:type="spellStart"/>
      <w:r w:rsidRPr="003D5B85">
        <w:rPr>
          <w:rFonts w:ascii="Book Antiqua" w:hAnsi="Book Antiqua"/>
          <w:b/>
          <w:sz w:val="24"/>
          <w:szCs w:val="24"/>
        </w:rPr>
        <w:t>Duy</w:t>
      </w:r>
      <w:proofErr w:type="spellEnd"/>
      <w:r w:rsidRPr="003D5B85">
        <w:rPr>
          <w:rFonts w:ascii="Book Antiqua" w:hAnsi="Book Antiqua"/>
          <w:b/>
          <w:sz w:val="24"/>
          <w:szCs w:val="24"/>
        </w:rPr>
        <w:t xml:space="preserve"> A</w:t>
      </w:r>
      <w:r w:rsidRPr="003D5B85">
        <w:rPr>
          <w:rFonts w:ascii="Book Antiqua" w:hAnsi="Book Antiqua"/>
          <w:sz w:val="24"/>
          <w:szCs w:val="24"/>
        </w:rPr>
        <w:t xml:space="preserve">, </w:t>
      </w:r>
      <w:proofErr w:type="spellStart"/>
      <w:r w:rsidRPr="003D5B85">
        <w:rPr>
          <w:rFonts w:ascii="Book Antiqua" w:hAnsi="Book Antiqua"/>
          <w:sz w:val="24"/>
          <w:szCs w:val="24"/>
        </w:rPr>
        <w:t>Spaetgens</w:t>
      </w:r>
      <w:proofErr w:type="spellEnd"/>
      <w:r w:rsidRPr="003D5B85">
        <w:rPr>
          <w:rFonts w:ascii="Book Antiqua" w:hAnsi="Book Antiqua"/>
          <w:sz w:val="24"/>
          <w:szCs w:val="24"/>
        </w:rPr>
        <w:t xml:space="preserve"> B, Hoes AW, de Wit NJ, </w:t>
      </w:r>
      <w:proofErr w:type="spellStart"/>
      <w:r w:rsidRPr="003D5B85">
        <w:rPr>
          <w:rFonts w:ascii="Book Antiqua" w:hAnsi="Book Antiqua"/>
          <w:sz w:val="24"/>
          <w:szCs w:val="24"/>
        </w:rPr>
        <w:t>Stehouwer</w:t>
      </w:r>
      <w:proofErr w:type="spellEnd"/>
      <w:r w:rsidRPr="003D5B85">
        <w:rPr>
          <w:rFonts w:ascii="Book Antiqua" w:hAnsi="Book Antiqua"/>
          <w:sz w:val="24"/>
          <w:szCs w:val="24"/>
        </w:rPr>
        <w:t xml:space="preserve"> CD.</w:t>
      </w:r>
      <w:proofErr w:type="gramEnd"/>
      <w:r w:rsidRPr="003D5B85">
        <w:rPr>
          <w:rFonts w:ascii="Book Antiqua" w:hAnsi="Book Antiqua"/>
          <w:sz w:val="24"/>
          <w:szCs w:val="24"/>
        </w:rPr>
        <w:t xml:space="preserve"> Use of Proton Pump Inhibitors and Risks of </w:t>
      </w:r>
      <w:proofErr w:type="spellStart"/>
      <w:r w:rsidRPr="003D5B85">
        <w:rPr>
          <w:rFonts w:ascii="Book Antiqua" w:hAnsi="Book Antiqua"/>
          <w:sz w:val="24"/>
          <w:szCs w:val="24"/>
        </w:rPr>
        <w:t>Fundic</w:t>
      </w:r>
      <w:proofErr w:type="spellEnd"/>
      <w:r w:rsidRPr="003D5B85">
        <w:rPr>
          <w:rFonts w:ascii="Book Antiqua" w:hAnsi="Book Antiqua"/>
          <w:sz w:val="24"/>
          <w:szCs w:val="24"/>
        </w:rPr>
        <w:t xml:space="preserve"> Gland Polyps and Gastric Cancer: Systematic Review and Meta-analysis. </w:t>
      </w:r>
      <w:proofErr w:type="spellStart"/>
      <w:r w:rsidRPr="003D5B85">
        <w:rPr>
          <w:rFonts w:ascii="Book Antiqua" w:hAnsi="Book Antiqua"/>
          <w:i/>
          <w:sz w:val="24"/>
          <w:szCs w:val="24"/>
        </w:rPr>
        <w:t>Clin</w:t>
      </w:r>
      <w:proofErr w:type="spellEnd"/>
      <w:r w:rsidRPr="003D5B85">
        <w:rPr>
          <w:rFonts w:ascii="Book Antiqua" w:hAnsi="Book Antiqua"/>
          <w:i/>
          <w:sz w:val="24"/>
          <w:szCs w:val="24"/>
        </w:rPr>
        <w:t xml:space="preserve"> </w:t>
      </w:r>
      <w:proofErr w:type="spellStart"/>
      <w:r w:rsidRPr="003D5B85">
        <w:rPr>
          <w:rFonts w:ascii="Book Antiqua" w:hAnsi="Book Antiqua"/>
          <w:i/>
          <w:sz w:val="24"/>
          <w:szCs w:val="24"/>
        </w:rPr>
        <w:t>Gastroenterol</w:t>
      </w:r>
      <w:proofErr w:type="spellEnd"/>
      <w:r w:rsidRPr="003D5B85">
        <w:rPr>
          <w:rFonts w:ascii="Book Antiqua" w:hAnsi="Book Antiqua"/>
          <w:i/>
          <w:sz w:val="24"/>
          <w:szCs w:val="24"/>
        </w:rPr>
        <w:t xml:space="preserve"> </w:t>
      </w:r>
      <w:proofErr w:type="spellStart"/>
      <w:r w:rsidRPr="003D5B85">
        <w:rPr>
          <w:rFonts w:ascii="Book Antiqua" w:hAnsi="Book Antiqua"/>
          <w:i/>
          <w:sz w:val="24"/>
          <w:szCs w:val="24"/>
        </w:rPr>
        <w:t>Hepatol</w:t>
      </w:r>
      <w:proofErr w:type="spellEnd"/>
      <w:r w:rsidRPr="003D5B85">
        <w:rPr>
          <w:rFonts w:ascii="Book Antiqua" w:hAnsi="Book Antiqua"/>
          <w:sz w:val="24"/>
          <w:szCs w:val="24"/>
        </w:rPr>
        <w:t xml:space="preserve"> 2016; </w:t>
      </w:r>
      <w:r w:rsidRPr="003D5B85">
        <w:rPr>
          <w:rFonts w:ascii="Book Antiqua" w:hAnsi="Book Antiqua"/>
          <w:b/>
          <w:sz w:val="24"/>
          <w:szCs w:val="24"/>
        </w:rPr>
        <w:t>14</w:t>
      </w:r>
      <w:r w:rsidRPr="003D5B85">
        <w:rPr>
          <w:rFonts w:ascii="Book Antiqua" w:hAnsi="Book Antiqua"/>
          <w:sz w:val="24"/>
          <w:szCs w:val="24"/>
        </w:rPr>
        <w:t>: 1706-1719.e5 [PMID: 27211501 DOI: 10.1016/j.cgh.2016.05.018]</w:t>
      </w:r>
    </w:p>
    <w:p w14:paraId="22BBAD20" w14:textId="77777777" w:rsidR="000A1B63" w:rsidRPr="003D5B85" w:rsidRDefault="000A1B63" w:rsidP="000A1B63">
      <w:pPr>
        <w:spacing w:line="360" w:lineRule="auto"/>
        <w:rPr>
          <w:rFonts w:ascii="Book Antiqua" w:hAnsi="Book Antiqua"/>
          <w:sz w:val="24"/>
          <w:szCs w:val="24"/>
        </w:rPr>
      </w:pPr>
      <w:r w:rsidRPr="003D5B85">
        <w:rPr>
          <w:rFonts w:ascii="Book Antiqua" w:hAnsi="Book Antiqua"/>
          <w:sz w:val="24"/>
          <w:szCs w:val="24"/>
        </w:rPr>
        <w:t xml:space="preserve">34 </w:t>
      </w:r>
      <w:proofErr w:type="spellStart"/>
      <w:r w:rsidRPr="003D5B85">
        <w:rPr>
          <w:rFonts w:ascii="Book Antiqua" w:hAnsi="Book Antiqua"/>
          <w:b/>
          <w:sz w:val="24"/>
          <w:szCs w:val="24"/>
        </w:rPr>
        <w:t>Weersink</w:t>
      </w:r>
      <w:proofErr w:type="spellEnd"/>
      <w:r w:rsidRPr="003D5B85">
        <w:rPr>
          <w:rFonts w:ascii="Book Antiqua" w:hAnsi="Book Antiqua"/>
          <w:b/>
          <w:sz w:val="24"/>
          <w:szCs w:val="24"/>
        </w:rPr>
        <w:t xml:space="preserve"> RA</w:t>
      </w:r>
      <w:r w:rsidRPr="003D5B85">
        <w:rPr>
          <w:rFonts w:ascii="Book Antiqua" w:hAnsi="Book Antiqua"/>
          <w:sz w:val="24"/>
          <w:szCs w:val="24"/>
        </w:rPr>
        <w:t xml:space="preserve">, </w:t>
      </w:r>
      <w:proofErr w:type="spellStart"/>
      <w:r w:rsidRPr="003D5B85">
        <w:rPr>
          <w:rFonts w:ascii="Book Antiqua" w:hAnsi="Book Antiqua"/>
          <w:sz w:val="24"/>
          <w:szCs w:val="24"/>
        </w:rPr>
        <w:t>Bouma</w:t>
      </w:r>
      <w:proofErr w:type="spellEnd"/>
      <w:r w:rsidRPr="003D5B85">
        <w:rPr>
          <w:rFonts w:ascii="Book Antiqua" w:hAnsi="Book Antiqua"/>
          <w:sz w:val="24"/>
          <w:szCs w:val="24"/>
        </w:rPr>
        <w:t xml:space="preserve"> M, Burger DM, </w:t>
      </w:r>
      <w:proofErr w:type="spellStart"/>
      <w:r w:rsidRPr="003D5B85">
        <w:rPr>
          <w:rFonts w:ascii="Book Antiqua" w:hAnsi="Book Antiqua"/>
          <w:sz w:val="24"/>
          <w:szCs w:val="24"/>
        </w:rPr>
        <w:t>Drenth</w:t>
      </w:r>
      <w:proofErr w:type="spellEnd"/>
      <w:r w:rsidRPr="003D5B85">
        <w:rPr>
          <w:rFonts w:ascii="Book Antiqua" w:hAnsi="Book Antiqua"/>
          <w:sz w:val="24"/>
          <w:szCs w:val="24"/>
        </w:rPr>
        <w:t xml:space="preserve"> JPH, </w:t>
      </w:r>
      <w:proofErr w:type="spellStart"/>
      <w:r w:rsidRPr="003D5B85">
        <w:rPr>
          <w:rFonts w:ascii="Book Antiqua" w:hAnsi="Book Antiqua"/>
          <w:sz w:val="24"/>
          <w:szCs w:val="24"/>
        </w:rPr>
        <w:t>Harkes-Idzinga</w:t>
      </w:r>
      <w:proofErr w:type="spellEnd"/>
      <w:r w:rsidRPr="003D5B85">
        <w:rPr>
          <w:rFonts w:ascii="Book Antiqua" w:hAnsi="Book Antiqua"/>
          <w:sz w:val="24"/>
          <w:szCs w:val="24"/>
        </w:rPr>
        <w:t xml:space="preserve"> SF, </w:t>
      </w:r>
      <w:proofErr w:type="spellStart"/>
      <w:r w:rsidRPr="003D5B85">
        <w:rPr>
          <w:rFonts w:ascii="Book Antiqua" w:hAnsi="Book Antiqua"/>
          <w:sz w:val="24"/>
          <w:szCs w:val="24"/>
        </w:rPr>
        <w:t>Hunfeld</w:t>
      </w:r>
      <w:proofErr w:type="spellEnd"/>
      <w:r w:rsidRPr="003D5B85">
        <w:rPr>
          <w:rFonts w:ascii="Book Antiqua" w:hAnsi="Book Antiqua"/>
          <w:sz w:val="24"/>
          <w:szCs w:val="24"/>
        </w:rPr>
        <w:t xml:space="preserve"> NGM, </w:t>
      </w:r>
      <w:proofErr w:type="spellStart"/>
      <w:r w:rsidRPr="003D5B85">
        <w:rPr>
          <w:rFonts w:ascii="Book Antiqua" w:hAnsi="Book Antiqua"/>
          <w:sz w:val="24"/>
          <w:szCs w:val="24"/>
        </w:rPr>
        <w:t>Metselaar</w:t>
      </w:r>
      <w:proofErr w:type="spellEnd"/>
      <w:r w:rsidRPr="003D5B85">
        <w:rPr>
          <w:rFonts w:ascii="Book Antiqua" w:hAnsi="Book Antiqua"/>
          <w:sz w:val="24"/>
          <w:szCs w:val="24"/>
        </w:rPr>
        <w:t xml:space="preserve"> HJ, Monster-Simons MH, van </w:t>
      </w:r>
      <w:proofErr w:type="spellStart"/>
      <w:r w:rsidRPr="003D5B85">
        <w:rPr>
          <w:rFonts w:ascii="Book Antiqua" w:hAnsi="Book Antiqua"/>
          <w:sz w:val="24"/>
          <w:szCs w:val="24"/>
        </w:rPr>
        <w:t>Putten</w:t>
      </w:r>
      <w:proofErr w:type="spellEnd"/>
      <w:r w:rsidRPr="003D5B85">
        <w:rPr>
          <w:rFonts w:ascii="Book Antiqua" w:hAnsi="Book Antiqua"/>
          <w:sz w:val="24"/>
          <w:szCs w:val="24"/>
        </w:rPr>
        <w:t xml:space="preserve"> SAW, Taxis K, </w:t>
      </w:r>
      <w:proofErr w:type="spellStart"/>
      <w:r w:rsidRPr="003D5B85">
        <w:rPr>
          <w:rFonts w:ascii="Book Antiqua" w:hAnsi="Book Antiqua"/>
          <w:sz w:val="24"/>
          <w:szCs w:val="24"/>
        </w:rPr>
        <w:t>Borgsteede</w:t>
      </w:r>
      <w:proofErr w:type="spellEnd"/>
      <w:r w:rsidRPr="003D5B85">
        <w:rPr>
          <w:rFonts w:ascii="Book Antiqua" w:hAnsi="Book Antiqua"/>
          <w:sz w:val="24"/>
          <w:szCs w:val="24"/>
        </w:rPr>
        <w:t xml:space="preserve"> SD. Safe use of proton pump inhibitors in patients with cirrhosis. </w:t>
      </w:r>
      <w:r w:rsidRPr="003D5B85">
        <w:rPr>
          <w:rFonts w:ascii="Book Antiqua" w:hAnsi="Book Antiqua"/>
          <w:i/>
          <w:sz w:val="24"/>
          <w:szCs w:val="24"/>
        </w:rPr>
        <w:t xml:space="preserve">Br J </w:t>
      </w:r>
      <w:proofErr w:type="spellStart"/>
      <w:r w:rsidRPr="003D5B85">
        <w:rPr>
          <w:rFonts w:ascii="Book Antiqua" w:hAnsi="Book Antiqua"/>
          <w:i/>
          <w:sz w:val="24"/>
          <w:szCs w:val="24"/>
        </w:rPr>
        <w:t>Clin</w:t>
      </w:r>
      <w:proofErr w:type="spellEnd"/>
      <w:r w:rsidRPr="003D5B85">
        <w:rPr>
          <w:rFonts w:ascii="Book Antiqua" w:hAnsi="Book Antiqua"/>
          <w:i/>
          <w:sz w:val="24"/>
          <w:szCs w:val="24"/>
        </w:rPr>
        <w:t xml:space="preserve"> </w:t>
      </w:r>
      <w:proofErr w:type="spellStart"/>
      <w:r w:rsidRPr="003D5B85">
        <w:rPr>
          <w:rFonts w:ascii="Book Antiqua" w:hAnsi="Book Antiqua"/>
          <w:i/>
          <w:sz w:val="24"/>
          <w:szCs w:val="24"/>
        </w:rPr>
        <w:t>Pharmacol</w:t>
      </w:r>
      <w:proofErr w:type="spellEnd"/>
      <w:r w:rsidRPr="003D5B85">
        <w:rPr>
          <w:rFonts w:ascii="Book Antiqua" w:hAnsi="Book Antiqua"/>
          <w:sz w:val="24"/>
          <w:szCs w:val="24"/>
        </w:rPr>
        <w:t xml:space="preserve"> 2018; </w:t>
      </w:r>
      <w:r w:rsidRPr="003D5B85">
        <w:rPr>
          <w:rFonts w:ascii="Book Antiqua" w:hAnsi="Book Antiqua"/>
          <w:b/>
          <w:sz w:val="24"/>
          <w:szCs w:val="24"/>
        </w:rPr>
        <w:t>84</w:t>
      </w:r>
      <w:r w:rsidRPr="003D5B85">
        <w:rPr>
          <w:rFonts w:ascii="Book Antiqua" w:hAnsi="Book Antiqua"/>
          <w:sz w:val="24"/>
          <w:szCs w:val="24"/>
        </w:rPr>
        <w:t>: 1806-1820 [PMID: 29688583 DOI: 10.1111/bcp.13615]</w:t>
      </w:r>
    </w:p>
    <w:p w14:paraId="14ED7480" w14:textId="77777777" w:rsidR="000A1B63" w:rsidRPr="003D5B85" w:rsidRDefault="000A1B63" w:rsidP="000A1B63">
      <w:pPr>
        <w:spacing w:line="360" w:lineRule="auto"/>
        <w:rPr>
          <w:rFonts w:ascii="Book Antiqua" w:hAnsi="Book Antiqua"/>
          <w:sz w:val="24"/>
          <w:szCs w:val="24"/>
        </w:rPr>
      </w:pPr>
      <w:proofErr w:type="gramStart"/>
      <w:r w:rsidRPr="003D5B85">
        <w:rPr>
          <w:rFonts w:ascii="Book Antiqua" w:hAnsi="Book Antiqua"/>
          <w:sz w:val="24"/>
          <w:szCs w:val="24"/>
        </w:rPr>
        <w:t xml:space="preserve">35 </w:t>
      </w:r>
      <w:r w:rsidRPr="003D5B85">
        <w:rPr>
          <w:rFonts w:ascii="Book Antiqua" w:hAnsi="Book Antiqua"/>
          <w:b/>
          <w:sz w:val="24"/>
          <w:szCs w:val="24"/>
        </w:rPr>
        <w:t>Lo WK</w:t>
      </w:r>
      <w:r w:rsidRPr="003D5B85">
        <w:rPr>
          <w:rFonts w:ascii="Book Antiqua" w:hAnsi="Book Antiqua"/>
          <w:sz w:val="24"/>
          <w:szCs w:val="24"/>
        </w:rPr>
        <w:t>, Chan WW.</w:t>
      </w:r>
      <w:proofErr w:type="gramEnd"/>
      <w:r w:rsidRPr="003D5B85">
        <w:rPr>
          <w:rFonts w:ascii="Book Antiqua" w:hAnsi="Book Antiqua"/>
          <w:sz w:val="24"/>
          <w:szCs w:val="24"/>
        </w:rPr>
        <w:t xml:space="preserve"> Proton pump inhibitor use and the risk of small intestinal bacterial overgrowth: A meta-analysis. </w:t>
      </w:r>
      <w:proofErr w:type="spellStart"/>
      <w:r w:rsidRPr="003D5B85">
        <w:rPr>
          <w:rFonts w:ascii="Book Antiqua" w:hAnsi="Book Antiqua"/>
          <w:i/>
          <w:sz w:val="24"/>
          <w:szCs w:val="24"/>
        </w:rPr>
        <w:t>Clin</w:t>
      </w:r>
      <w:proofErr w:type="spellEnd"/>
      <w:r w:rsidRPr="003D5B85">
        <w:rPr>
          <w:rFonts w:ascii="Book Antiqua" w:hAnsi="Book Antiqua"/>
          <w:i/>
          <w:sz w:val="24"/>
          <w:szCs w:val="24"/>
        </w:rPr>
        <w:t xml:space="preserve"> </w:t>
      </w:r>
      <w:proofErr w:type="spellStart"/>
      <w:r w:rsidRPr="003D5B85">
        <w:rPr>
          <w:rFonts w:ascii="Book Antiqua" w:hAnsi="Book Antiqua"/>
          <w:i/>
          <w:sz w:val="24"/>
          <w:szCs w:val="24"/>
        </w:rPr>
        <w:t>Gastroenterol</w:t>
      </w:r>
      <w:proofErr w:type="spellEnd"/>
      <w:r w:rsidRPr="003D5B85">
        <w:rPr>
          <w:rFonts w:ascii="Book Antiqua" w:hAnsi="Book Antiqua"/>
          <w:i/>
          <w:sz w:val="24"/>
          <w:szCs w:val="24"/>
        </w:rPr>
        <w:t xml:space="preserve"> </w:t>
      </w:r>
      <w:proofErr w:type="spellStart"/>
      <w:r w:rsidRPr="003D5B85">
        <w:rPr>
          <w:rFonts w:ascii="Book Antiqua" w:hAnsi="Book Antiqua"/>
          <w:i/>
          <w:sz w:val="24"/>
          <w:szCs w:val="24"/>
        </w:rPr>
        <w:t>Hepatol</w:t>
      </w:r>
      <w:proofErr w:type="spellEnd"/>
      <w:r w:rsidRPr="003D5B85">
        <w:rPr>
          <w:rFonts w:ascii="Book Antiqua" w:hAnsi="Book Antiqua"/>
          <w:sz w:val="24"/>
          <w:szCs w:val="24"/>
        </w:rPr>
        <w:t xml:space="preserve"> 2013; </w:t>
      </w:r>
      <w:r w:rsidRPr="003D5B85">
        <w:rPr>
          <w:rFonts w:ascii="Book Antiqua" w:hAnsi="Book Antiqua"/>
          <w:b/>
          <w:sz w:val="24"/>
          <w:szCs w:val="24"/>
        </w:rPr>
        <w:t>11</w:t>
      </w:r>
      <w:r w:rsidRPr="003D5B85">
        <w:rPr>
          <w:rFonts w:ascii="Book Antiqua" w:hAnsi="Book Antiqua"/>
          <w:sz w:val="24"/>
          <w:szCs w:val="24"/>
        </w:rPr>
        <w:t>: 483-490 [PMID: 23270866 DOI: 10.1016/j.cgh.2012.12.011]</w:t>
      </w:r>
    </w:p>
    <w:p w14:paraId="749B1E1A" w14:textId="77777777" w:rsidR="000A1B63" w:rsidRPr="003D5B85" w:rsidRDefault="000A1B63" w:rsidP="000A1B63">
      <w:pPr>
        <w:spacing w:line="360" w:lineRule="auto"/>
        <w:rPr>
          <w:rFonts w:ascii="Book Antiqua" w:hAnsi="Book Antiqua"/>
          <w:sz w:val="24"/>
          <w:szCs w:val="24"/>
        </w:rPr>
      </w:pPr>
      <w:r w:rsidRPr="003D5B85">
        <w:rPr>
          <w:rFonts w:ascii="Book Antiqua" w:hAnsi="Book Antiqua"/>
          <w:sz w:val="24"/>
          <w:szCs w:val="24"/>
        </w:rPr>
        <w:t xml:space="preserve">36 </w:t>
      </w:r>
      <w:r w:rsidRPr="003D5B85">
        <w:rPr>
          <w:rFonts w:ascii="Book Antiqua" w:hAnsi="Book Antiqua"/>
          <w:b/>
          <w:sz w:val="24"/>
          <w:szCs w:val="24"/>
        </w:rPr>
        <w:t>Bajaj JS</w:t>
      </w:r>
      <w:r w:rsidRPr="003D5B85">
        <w:rPr>
          <w:rFonts w:ascii="Book Antiqua" w:hAnsi="Book Antiqua"/>
          <w:sz w:val="24"/>
          <w:szCs w:val="24"/>
        </w:rPr>
        <w:t xml:space="preserve">, Cox IJ, </w:t>
      </w:r>
      <w:proofErr w:type="spellStart"/>
      <w:r w:rsidRPr="003D5B85">
        <w:rPr>
          <w:rFonts w:ascii="Book Antiqua" w:hAnsi="Book Antiqua"/>
          <w:sz w:val="24"/>
          <w:szCs w:val="24"/>
        </w:rPr>
        <w:t>Betrapally</w:t>
      </w:r>
      <w:proofErr w:type="spellEnd"/>
      <w:r w:rsidRPr="003D5B85">
        <w:rPr>
          <w:rFonts w:ascii="Book Antiqua" w:hAnsi="Book Antiqua"/>
          <w:sz w:val="24"/>
          <w:szCs w:val="24"/>
        </w:rPr>
        <w:t xml:space="preserve"> NS, </w:t>
      </w:r>
      <w:proofErr w:type="spellStart"/>
      <w:r w:rsidRPr="003D5B85">
        <w:rPr>
          <w:rFonts w:ascii="Book Antiqua" w:hAnsi="Book Antiqua"/>
          <w:sz w:val="24"/>
          <w:szCs w:val="24"/>
        </w:rPr>
        <w:t>Heuman</w:t>
      </w:r>
      <w:proofErr w:type="spellEnd"/>
      <w:r w:rsidRPr="003D5B85">
        <w:rPr>
          <w:rFonts w:ascii="Book Antiqua" w:hAnsi="Book Antiqua"/>
          <w:sz w:val="24"/>
          <w:szCs w:val="24"/>
        </w:rPr>
        <w:t xml:space="preserve"> DM, Schubert ML, </w:t>
      </w:r>
      <w:proofErr w:type="spellStart"/>
      <w:r w:rsidRPr="003D5B85">
        <w:rPr>
          <w:rFonts w:ascii="Book Antiqua" w:hAnsi="Book Antiqua"/>
          <w:sz w:val="24"/>
          <w:szCs w:val="24"/>
        </w:rPr>
        <w:t>Ratneswaran</w:t>
      </w:r>
      <w:proofErr w:type="spellEnd"/>
      <w:r w:rsidRPr="003D5B85">
        <w:rPr>
          <w:rFonts w:ascii="Book Antiqua" w:hAnsi="Book Antiqua"/>
          <w:sz w:val="24"/>
          <w:szCs w:val="24"/>
        </w:rPr>
        <w:t xml:space="preserve"> M, </w:t>
      </w:r>
      <w:proofErr w:type="spellStart"/>
      <w:r w:rsidRPr="003D5B85">
        <w:rPr>
          <w:rFonts w:ascii="Book Antiqua" w:hAnsi="Book Antiqua"/>
          <w:sz w:val="24"/>
          <w:szCs w:val="24"/>
        </w:rPr>
        <w:t>Hylemon</w:t>
      </w:r>
      <w:proofErr w:type="spellEnd"/>
      <w:r w:rsidRPr="003D5B85">
        <w:rPr>
          <w:rFonts w:ascii="Book Antiqua" w:hAnsi="Book Antiqua"/>
          <w:sz w:val="24"/>
          <w:szCs w:val="24"/>
        </w:rPr>
        <w:t xml:space="preserve"> PB, White MB, </w:t>
      </w:r>
      <w:proofErr w:type="spellStart"/>
      <w:r w:rsidRPr="003D5B85">
        <w:rPr>
          <w:rFonts w:ascii="Book Antiqua" w:hAnsi="Book Antiqua"/>
          <w:sz w:val="24"/>
          <w:szCs w:val="24"/>
        </w:rPr>
        <w:t>Daita</w:t>
      </w:r>
      <w:proofErr w:type="spellEnd"/>
      <w:r w:rsidRPr="003D5B85">
        <w:rPr>
          <w:rFonts w:ascii="Book Antiqua" w:hAnsi="Book Antiqua"/>
          <w:sz w:val="24"/>
          <w:szCs w:val="24"/>
        </w:rPr>
        <w:t xml:space="preserve"> K, Noble NA, </w:t>
      </w:r>
      <w:proofErr w:type="spellStart"/>
      <w:r w:rsidRPr="003D5B85">
        <w:rPr>
          <w:rFonts w:ascii="Book Antiqua" w:hAnsi="Book Antiqua"/>
          <w:sz w:val="24"/>
          <w:szCs w:val="24"/>
        </w:rPr>
        <w:t>Sikaroodi</w:t>
      </w:r>
      <w:proofErr w:type="spellEnd"/>
      <w:r w:rsidRPr="003D5B85">
        <w:rPr>
          <w:rFonts w:ascii="Book Antiqua" w:hAnsi="Book Antiqua"/>
          <w:sz w:val="24"/>
          <w:szCs w:val="24"/>
        </w:rPr>
        <w:t xml:space="preserve"> M, Williams R, Crossey MM, Taylor-Robinson SD, </w:t>
      </w:r>
      <w:proofErr w:type="spellStart"/>
      <w:r w:rsidRPr="003D5B85">
        <w:rPr>
          <w:rFonts w:ascii="Book Antiqua" w:hAnsi="Book Antiqua"/>
          <w:sz w:val="24"/>
          <w:szCs w:val="24"/>
        </w:rPr>
        <w:t>Gillevet</w:t>
      </w:r>
      <w:proofErr w:type="spellEnd"/>
      <w:r w:rsidRPr="003D5B85">
        <w:rPr>
          <w:rFonts w:ascii="Book Antiqua" w:hAnsi="Book Antiqua"/>
          <w:sz w:val="24"/>
          <w:szCs w:val="24"/>
        </w:rPr>
        <w:t xml:space="preserve"> PM. Systems biology analysis of omeprazole therapy in cirrhosis demonstrates significant shifts in gut microbiota composition and function. </w:t>
      </w:r>
      <w:r w:rsidRPr="003D5B85">
        <w:rPr>
          <w:rFonts w:ascii="Book Antiqua" w:hAnsi="Book Antiqua"/>
          <w:i/>
          <w:sz w:val="24"/>
          <w:szCs w:val="24"/>
        </w:rPr>
        <w:t xml:space="preserve">Am J </w:t>
      </w:r>
      <w:proofErr w:type="spellStart"/>
      <w:r w:rsidRPr="003D5B85">
        <w:rPr>
          <w:rFonts w:ascii="Book Antiqua" w:hAnsi="Book Antiqua"/>
          <w:i/>
          <w:sz w:val="24"/>
          <w:szCs w:val="24"/>
        </w:rPr>
        <w:t>Physiol</w:t>
      </w:r>
      <w:proofErr w:type="spellEnd"/>
      <w:r w:rsidRPr="003D5B85">
        <w:rPr>
          <w:rFonts w:ascii="Book Antiqua" w:hAnsi="Book Antiqua"/>
          <w:i/>
          <w:sz w:val="24"/>
          <w:szCs w:val="24"/>
        </w:rPr>
        <w:t xml:space="preserve"> </w:t>
      </w:r>
      <w:proofErr w:type="spellStart"/>
      <w:r w:rsidRPr="003D5B85">
        <w:rPr>
          <w:rFonts w:ascii="Book Antiqua" w:hAnsi="Book Antiqua"/>
          <w:i/>
          <w:sz w:val="24"/>
          <w:szCs w:val="24"/>
        </w:rPr>
        <w:t>Gastrointest</w:t>
      </w:r>
      <w:proofErr w:type="spellEnd"/>
      <w:r w:rsidRPr="003D5B85">
        <w:rPr>
          <w:rFonts w:ascii="Book Antiqua" w:hAnsi="Book Antiqua"/>
          <w:i/>
          <w:sz w:val="24"/>
          <w:szCs w:val="24"/>
        </w:rPr>
        <w:t xml:space="preserve"> Liver </w:t>
      </w:r>
      <w:proofErr w:type="spellStart"/>
      <w:r w:rsidRPr="003D5B85">
        <w:rPr>
          <w:rFonts w:ascii="Book Antiqua" w:hAnsi="Book Antiqua"/>
          <w:i/>
          <w:sz w:val="24"/>
          <w:szCs w:val="24"/>
        </w:rPr>
        <w:t>Physiol</w:t>
      </w:r>
      <w:proofErr w:type="spellEnd"/>
      <w:r w:rsidRPr="003D5B85">
        <w:rPr>
          <w:rFonts w:ascii="Book Antiqua" w:hAnsi="Book Antiqua"/>
          <w:sz w:val="24"/>
          <w:szCs w:val="24"/>
        </w:rPr>
        <w:t xml:space="preserve"> 2014; </w:t>
      </w:r>
      <w:r w:rsidRPr="003D5B85">
        <w:rPr>
          <w:rFonts w:ascii="Book Antiqua" w:hAnsi="Book Antiqua"/>
          <w:b/>
          <w:sz w:val="24"/>
          <w:szCs w:val="24"/>
        </w:rPr>
        <w:t>307</w:t>
      </w:r>
      <w:r w:rsidRPr="003D5B85">
        <w:rPr>
          <w:rFonts w:ascii="Book Antiqua" w:hAnsi="Book Antiqua"/>
          <w:sz w:val="24"/>
          <w:szCs w:val="24"/>
        </w:rPr>
        <w:t>: G951-G957 [PMID: 25258407 DOI: 10.1152/ajpgi.00268.2014]</w:t>
      </w:r>
    </w:p>
    <w:p w14:paraId="7DDEAFD9" w14:textId="77777777" w:rsidR="000A1B63" w:rsidRPr="003D5B85" w:rsidRDefault="000A1B63" w:rsidP="000A1B63">
      <w:pPr>
        <w:spacing w:line="360" w:lineRule="auto"/>
        <w:rPr>
          <w:rFonts w:ascii="Book Antiqua" w:hAnsi="Book Antiqua"/>
          <w:sz w:val="24"/>
          <w:szCs w:val="24"/>
        </w:rPr>
      </w:pPr>
      <w:r w:rsidRPr="003D5B85">
        <w:rPr>
          <w:rFonts w:ascii="Book Antiqua" w:hAnsi="Book Antiqua"/>
          <w:sz w:val="24"/>
          <w:szCs w:val="24"/>
        </w:rPr>
        <w:t xml:space="preserve">37 </w:t>
      </w:r>
      <w:proofErr w:type="spellStart"/>
      <w:r w:rsidRPr="003D5B85">
        <w:rPr>
          <w:rFonts w:ascii="Book Antiqua" w:hAnsi="Book Antiqua"/>
          <w:b/>
          <w:sz w:val="24"/>
          <w:szCs w:val="24"/>
        </w:rPr>
        <w:t>Imhann</w:t>
      </w:r>
      <w:proofErr w:type="spellEnd"/>
      <w:r w:rsidRPr="003D5B85">
        <w:rPr>
          <w:rFonts w:ascii="Book Antiqua" w:hAnsi="Book Antiqua"/>
          <w:b/>
          <w:sz w:val="24"/>
          <w:szCs w:val="24"/>
        </w:rPr>
        <w:t xml:space="preserve"> F</w:t>
      </w:r>
      <w:r w:rsidRPr="003D5B85">
        <w:rPr>
          <w:rFonts w:ascii="Book Antiqua" w:hAnsi="Book Antiqua"/>
          <w:sz w:val="24"/>
          <w:szCs w:val="24"/>
        </w:rPr>
        <w:t xml:space="preserve">, Bonder MJ, </w:t>
      </w:r>
      <w:proofErr w:type="spellStart"/>
      <w:r w:rsidRPr="003D5B85">
        <w:rPr>
          <w:rFonts w:ascii="Book Antiqua" w:hAnsi="Book Antiqua"/>
          <w:sz w:val="24"/>
          <w:szCs w:val="24"/>
        </w:rPr>
        <w:t>Vich</w:t>
      </w:r>
      <w:proofErr w:type="spellEnd"/>
      <w:r w:rsidRPr="003D5B85">
        <w:rPr>
          <w:rFonts w:ascii="Book Antiqua" w:hAnsi="Book Antiqua"/>
          <w:sz w:val="24"/>
          <w:szCs w:val="24"/>
        </w:rPr>
        <w:t xml:space="preserve"> Vila A, Fu J, </w:t>
      </w:r>
      <w:proofErr w:type="spellStart"/>
      <w:r w:rsidRPr="003D5B85">
        <w:rPr>
          <w:rFonts w:ascii="Book Antiqua" w:hAnsi="Book Antiqua"/>
          <w:sz w:val="24"/>
          <w:szCs w:val="24"/>
        </w:rPr>
        <w:t>Mujagic</w:t>
      </w:r>
      <w:proofErr w:type="spellEnd"/>
      <w:r w:rsidRPr="003D5B85">
        <w:rPr>
          <w:rFonts w:ascii="Book Antiqua" w:hAnsi="Book Antiqua"/>
          <w:sz w:val="24"/>
          <w:szCs w:val="24"/>
        </w:rPr>
        <w:t xml:space="preserve"> Z, </w:t>
      </w:r>
      <w:proofErr w:type="spellStart"/>
      <w:r w:rsidRPr="003D5B85">
        <w:rPr>
          <w:rFonts w:ascii="Book Antiqua" w:hAnsi="Book Antiqua"/>
          <w:sz w:val="24"/>
          <w:szCs w:val="24"/>
        </w:rPr>
        <w:t>Vork</w:t>
      </w:r>
      <w:proofErr w:type="spellEnd"/>
      <w:r w:rsidRPr="003D5B85">
        <w:rPr>
          <w:rFonts w:ascii="Book Antiqua" w:hAnsi="Book Antiqua"/>
          <w:sz w:val="24"/>
          <w:szCs w:val="24"/>
        </w:rPr>
        <w:t xml:space="preserve"> L, </w:t>
      </w:r>
      <w:proofErr w:type="spellStart"/>
      <w:r w:rsidRPr="003D5B85">
        <w:rPr>
          <w:rFonts w:ascii="Book Antiqua" w:hAnsi="Book Antiqua"/>
          <w:sz w:val="24"/>
          <w:szCs w:val="24"/>
        </w:rPr>
        <w:t>Tigchelaar</w:t>
      </w:r>
      <w:proofErr w:type="spellEnd"/>
      <w:r w:rsidRPr="003D5B85">
        <w:rPr>
          <w:rFonts w:ascii="Book Antiqua" w:hAnsi="Book Antiqua"/>
          <w:sz w:val="24"/>
          <w:szCs w:val="24"/>
        </w:rPr>
        <w:t xml:space="preserve"> EF, </w:t>
      </w:r>
      <w:proofErr w:type="spellStart"/>
      <w:r w:rsidRPr="003D5B85">
        <w:rPr>
          <w:rFonts w:ascii="Book Antiqua" w:hAnsi="Book Antiqua"/>
          <w:sz w:val="24"/>
          <w:szCs w:val="24"/>
        </w:rPr>
        <w:t>Jankipersadsing</w:t>
      </w:r>
      <w:proofErr w:type="spellEnd"/>
      <w:r w:rsidRPr="003D5B85">
        <w:rPr>
          <w:rFonts w:ascii="Book Antiqua" w:hAnsi="Book Antiqua"/>
          <w:sz w:val="24"/>
          <w:szCs w:val="24"/>
        </w:rPr>
        <w:t xml:space="preserve"> SA, </w:t>
      </w:r>
      <w:proofErr w:type="spellStart"/>
      <w:r w:rsidRPr="003D5B85">
        <w:rPr>
          <w:rFonts w:ascii="Book Antiqua" w:hAnsi="Book Antiqua"/>
          <w:sz w:val="24"/>
          <w:szCs w:val="24"/>
        </w:rPr>
        <w:t>Cenit</w:t>
      </w:r>
      <w:proofErr w:type="spellEnd"/>
      <w:r w:rsidRPr="003D5B85">
        <w:rPr>
          <w:rFonts w:ascii="Book Antiqua" w:hAnsi="Book Antiqua"/>
          <w:sz w:val="24"/>
          <w:szCs w:val="24"/>
        </w:rPr>
        <w:t xml:space="preserve"> MC, </w:t>
      </w:r>
      <w:proofErr w:type="spellStart"/>
      <w:r w:rsidRPr="003D5B85">
        <w:rPr>
          <w:rFonts w:ascii="Book Antiqua" w:hAnsi="Book Antiqua"/>
          <w:sz w:val="24"/>
          <w:szCs w:val="24"/>
        </w:rPr>
        <w:t>Harmsen</w:t>
      </w:r>
      <w:proofErr w:type="spellEnd"/>
      <w:r w:rsidRPr="003D5B85">
        <w:rPr>
          <w:rFonts w:ascii="Book Antiqua" w:hAnsi="Book Antiqua"/>
          <w:sz w:val="24"/>
          <w:szCs w:val="24"/>
        </w:rPr>
        <w:t xml:space="preserve"> HJ, Dijkstra G, Franke L, Xavier RJ, </w:t>
      </w:r>
      <w:proofErr w:type="spellStart"/>
      <w:r w:rsidRPr="003D5B85">
        <w:rPr>
          <w:rFonts w:ascii="Book Antiqua" w:hAnsi="Book Antiqua"/>
          <w:sz w:val="24"/>
          <w:szCs w:val="24"/>
        </w:rPr>
        <w:t>Jonkers</w:t>
      </w:r>
      <w:proofErr w:type="spellEnd"/>
      <w:r w:rsidRPr="003D5B85">
        <w:rPr>
          <w:rFonts w:ascii="Book Antiqua" w:hAnsi="Book Antiqua"/>
          <w:sz w:val="24"/>
          <w:szCs w:val="24"/>
        </w:rPr>
        <w:t xml:space="preserve"> D, </w:t>
      </w:r>
      <w:proofErr w:type="spellStart"/>
      <w:r w:rsidRPr="003D5B85">
        <w:rPr>
          <w:rFonts w:ascii="Book Antiqua" w:hAnsi="Book Antiqua"/>
          <w:sz w:val="24"/>
          <w:szCs w:val="24"/>
        </w:rPr>
        <w:t>Wijmenga</w:t>
      </w:r>
      <w:proofErr w:type="spellEnd"/>
      <w:r w:rsidRPr="003D5B85">
        <w:rPr>
          <w:rFonts w:ascii="Book Antiqua" w:hAnsi="Book Antiqua"/>
          <w:sz w:val="24"/>
          <w:szCs w:val="24"/>
        </w:rPr>
        <w:t xml:space="preserve"> C, </w:t>
      </w:r>
      <w:proofErr w:type="spellStart"/>
      <w:r w:rsidRPr="003D5B85">
        <w:rPr>
          <w:rFonts w:ascii="Book Antiqua" w:hAnsi="Book Antiqua"/>
          <w:sz w:val="24"/>
          <w:szCs w:val="24"/>
        </w:rPr>
        <w:t>Weersma</w:t>
      </w:r>
      <w:proofErr w:type="spellEnd"/>
      <w:r w:rsidRPr="003D5B85">
        <w:rPr>
          <w:rFonts w:ascii="Book Antiqua" w:hAnsi="Book Antiqua"/>
          <w:sz w:val="24"/>
          <w:szCs w:val="24"/>
        </w:rPr>
        <w:t xml:space="preserve"> RK, </w:t>
      </w:r>
      <w:proofErr w:type="spellStart"/>
      <w:r w:rsidRPr="003D5B85">
        <w:rPr>
          <w:rFonts w:ascii="Book Antiqua" w:hAnsi="Book Antiqua"/>
          <w:sz w:val="24"/>
          <w:szCs w:val="24"/>
        </w:rPr>
        <w:t>Zhernakova</w:t>
      </w:r>
      <w:proofErr w:type="spellEnd"/>
      <w:r w:rsidRPr="003D5B85">
        <w:rPr>
          <w:rFonts w:ascii="Book Antiqua" w:hAnsi="Book Antiqua"/>
          <w:sz w:val="24"/>
          <w:szCs w:val="24"/>
        </w:rPr>
        <w:t xml:space="preserve"> A. Proton pump inhibitors affect the gut microbiome. </w:t>
      </w:r>
      <w:r w:rsidRPr="003D5B85">
        <w:rPr>
          <w:rFonts w:ascii="Book Antiqua" w:hAnsi="Book Antiqua"/>
          <w:i/>
          <w:sz w:val="24"/>
          <w:szCs w:val="24"/>
        </w:rPr>
        <w:t>Gut</w:t>
      </w:r>
      <w:r w:rsidRPr="003D5B85">
        <w:rPr>
          <w:rFonts w:ascii="Book Antiqua" w:hAnsi="Book Antiqua"/>
          <w:sz w:val="24"/>
          <w:szCs w:val="24"/>
        </w:rPr>
        <w:t xml:space="preserve"> 2016; </w:t>
      </w:r>
      <w:r w:rsidRPr="003D5B85">
        <w:rPr>
          <w:rFonts w:ascii="Book Antiqua" w:hAnsi="Book Antiqua"/>
          <w:b/>
          <w:sz w:val="24"/>
          <w:szCs w:val="24"/>
        </w:rPr>
        <w:t>65</w:t>
      </w:r>
      <w:r w:rsidRPr="003D5B85">
        <w:rPr>
          <w:rFonts w:ascii="Book Antiqua" w:hAnsi="Book Antiqua"/>
          <w:sz w:val="24"/>
          <w:szCs w:val="24"/>
        </w:rPr>
        <w:t>: 740-748 [PMID: 26657899 DOI: 10.1136/gutjnl-2015-310376]</w:t>
      </w:r>
    </w:p>
    <w:p w14:paraId="630D00F4" w14:textId="77777777" w:rsidR="000A1B63" w:rsidRPr="003D5B85" w:rsidRDefault="000A1B63" w:rsidP="000A1B63">
      <w:pPr>
        <w:spacing w:line="360" w:lineRule="auto"/>
        <w:rPr>
          <w:rFonts w:ascii="Book Antiqua" w:hAnsi="Book Antiqua"/>
          <w:sz w:val="24"/>
          <w:szCs w:val="24"/>
        </w:rPr>
      </w:pPr>
      <w:r w:rsidRPr="003D5B85">
        <w:rPr>
          <w:rFonts w:ascii="Book Antiqua" w:hAnsi="Book Antiqua"/>
          <w:sz w:val="24"/>
          <w:szCs w:val="24"/>
        </w:rPr>
        <w:t xml:space="preserve">38 </w:t>
      </w:r>
      <w:r w:rsidRPr="003D5B85">
        <w:rPr>
          <w:rFonts w:ascii="Book Antiqua" w:hAnsi="Book Antiqua"/>
          <w:b/>
          <w:sz w:val="24"/>
          <w:szCs w:val="24"/>
        </w:rPr>
        <w:t>Jackson MA</w:t>
      </w:r>
      <w:r w:rsidRPr="003D5B85">
        <w:rPr>
          <w:rFonts w:ascii="Book Antiqua" w:hAnsi="Book Antiqua"/>
          <w:sz w:val="24"/>
          <w:szCs w:val="24"/>
        </w:rPr>
        <w:t xml:space="preserve">, Goodrich JK, </w:t>
      </w:r>
      <w:proofErr w:type="spellStart"/>
      <w:r w:rsidRPr="003D5B85">
        <w:rPr>
          <w:rFonts w:ascii="Book Antiqua" w:hAnsi="Book Antiqua"/>
          <w:sz w:val="24"/>
          <w:szCs w:val="24"/>
        </w:rPr>
        <w:t>Maxan</w:t>
      </w:r>
      <w:proofErr w:type="spellEnd"/>
      <w:r w:rsidRPr="003D5B85">
        <w:rPr>
          <w:rFonts w:ascii="Book Antiqua" w:hAnsi="Book Antiqua"/>
          <w:sz w:val="24"/>
          <w:szCs w:val="24"/>
        </w:rPr>
        <w:t xml:space="preserve"> ME, </w:t>
      </w:r>
      <w:proofErr w:type="spellStart"/>
      <w:r w:rsidRPr="003D5B85">
        <w:rPr>
          <w:rFonts w:ascii="Book Antiqua" w:hAnsi="Book Antiqua"/>
          <w:sz w:val="24"/>
          <w:szCs w:val="24"/>
        </w:rPr>
        <w:t>Freedberg</w:t>
      </w:r>
      <w:proofErr w:type="spellEnd"/>
      <w:r w:rsidRPr="003D5B85">
        <w:rPr>
          <w:rFonts w:ascii="Book Antiqua" w:hAnsi="Book Antiqua"/>
          <w:sz w:val="24"/>
          <w:szCs w:val="24"/>
        </w:rPr>
        <w:t xml:space="preserve"> DE, Abrams JA, Poole AC, Sutter JL, Welter D, Ley RE, Bell JT, Spector TD, </w:t>
      </w:r>
      <w:proofErr w:type="spellStart"/>
      <w:r w:rsidRPr="003D5B85">
        <w:rPr>
          <w:rFonts w:ascii="Book Antiqua" w:hAnsi="Book Antiqua"/>
          <w:sz w:val="24"/>
          <w:szCs w:val="24"/>
        </w:rPr>
        <w:t>Steves</w:t>
      </w:r>
      <w:proofErr w:type="spellEnd"/>
      <w:r w:rsidRPr="003D5B85">
        <w:rPr>
          <w:rFonts w:ascii="Book Antiqua" w:hAnsi="Book Antiqua"/>
          <w:sz w:val="24"/>
          <w:szCs w:val="24"/>
        </w:rPr>
        <w:t xml:space="preserve"> CJ. Proton pump inhibitors alter the composition of the gut microbiota. </w:t>
      </w:r>
      <w:r w:rsidRPr="003D5B85">
        <w:rPr>
          <w:rFonts w:ascii="Book Antiqua" w:hAnsi="Book Antiqua"/>
          <w:i/>
          <w:sz w:val="24"/>
          <w:szCs w:val="24"/>
        </w:rPr>
        <w:t>Gut</w:t>
      </w:r>
      <w:r w:rsidRPr="003D5B85">
        <w:rPr>
          <w:rFonts w:ascii="Book Antiqua" w:hAnsi="Book Antiqua"/>
          <w:sz w:val="24"/>
          <w:szCs w:val="24"/>
        </w:rPr>
        <w:t xml:space="preserve"> 2016; </w:t>
      </w:r>
      <w:r w:rsidRPr="003D5B85">
        <w:rPr>
          <w:rFonts w:ascii="Book Antiqua" w:hAnsi="Book Antiqua"/>
          <w:b/>
          <w:sz w:val="24"/>
          <w:szCs w:val="24"/>
        </w:rPr>
        <w:t>65</w:t>
      </w:r>
      <w:r w:rsidRPr="003D5B85">
        <w:rPr>
          <w:rFonts w:ascii="Book Antiqua" w:hAnsi="Book Antiqua"/>
          <w:sz w:val="24"/>
          <w:szCs w:val="24"/>
        </w:rPr>
        <w:t>: 749-756 [PMID: 26719299 DOI: 10.1136/gutjnl-2015-310861]</w:t>
      </w:r>
    </w:p>
    <w:p w14:paraId="04EA8ADA" w14:textId="77777777" w:rsidR="000A1B63" w:rsidRPr="003D5B85" w:rsidRDefault="000A1B63" w:rsidP="000A1B63">
      <w:pPr>
        <w:spacing w:line="360" w:lineRule="auto"/>
        <w:rPr>
          <w:rFonts w:ascii="Book Antiqua" w:hAnsi="Book Antiqua"/>
          <w:sz w:val="24"/>
          <w:szCs w:val="24"/>
        </w:rPr>
      </w:pPr>
      <w:proofErr w:type="gramStart"/>
      <w:r w:rsidRPr="003D5B85">
        <w:rPr>
          <w:rFonts w:ascii="Book Antiqua" w:hAnsi="Book Antiqua"/>
          <w:sz w:val="24"/>
          <w:szCs w:val="24"/>
        </w:rPr>
        <w:t xml:space="preserve">39 </w:t>
      </w:r>
      <w:r w:rsidRPr="003D5B85">
        <w:rPr>
          <w:rFonts w:ascii="Book Antiqua" w:hAnsi="Book Antiqua"/>
          <w:b/>
          <w:sz w:val="24"/>
          <w:szCs w:val="24"/>
        </w:rPr>
        <w:t>Bajaj JS</w:t>
      </w:r>
      <w:r w:rsidRPr="003D5B85">
        <w:rPr>
          <w:rFonts w:ascii="Book Antiqua" w:hAnsi="Book Antiqua"/>
          <w:sz w:val="24"/>
          <w:szCs w:val="24"/>
        </w:rPr>
        <w:t>.</w:t>
      </w:r>
      <w:proofErr w:type="gramEnd"/>
      <w:r w:rsidRPr="003D5B85">
        <w:rPr>
          <w:rFonts w:ascii="Book Antiqua" w:hAnsi="Book Antiqua"/>
          <w:sz w:val="24"/>
          <w:szCs w:val="24"/>
        </w:rPr>
        <w:t xml:space="preserve"> </w:t>
      </w:r>
      <w:proofErr w:type="gramStart"/>
      <w:r w:rsidRPr="003D5B85">
        <w:rPr>
          <w:rFonts w:ascii="Book Antiqua" w:hAnsi="Book Antiqua"/>
          <w:sz w:val="24"/>
          <w:szCs w:val="24"/>
        </w:rPr>
        <w:t>The role of microbiota in hepatic encephalopathy.</w:t>
      </w:r>
      <w:proofErr w:type="gramEnd"/>
      <w:r w:rsidRPr="003D5B85">
        <w:rPr>
          <w:rFonts w:ascii="Book Antiqua" w:hAnsi="Book Antiqua"/>
          <w:sz w:val="24"/>
          <w:szCs w:val="24"/>
        </w:rPr>
        <w:t xml:space="preserve"> </w:t>
      </w:r>
      <w:r w:rsidRPr="003D5B85">
        <w:rPr>
          <w:rFonts w:ascii="Book Antiqua" w:hAnsi="Book Antiqua"/>
          <w:i/>
          <w:sz w:val="24"/>
          <w:szCs w:val="24"/>
        </w:rPr>
        <w:t>Gut Microbes</w:t>
      </w:r>
      <w:r w:rsidRPr="003D5B85">
        <w:rPr>
          <w:rFonts w:ascii="Book Antiqua" w:hAnsi="Book Antiqua"/>
          <w:sz w:val="24"/>
          <w:szCs w:val="24"/>
        </w:rPr>
        <w:t xml:space="preserve"> 2014; </w:t>
      </w:r>
      <w:r w:rsidRPr="003D5B85">
        <w:rPr>
          <w:rFonts w:ascii="Book Antiqua" w:hAnsi="Book Antiqua"/>
          <w:b/>
          <w:sz w:val="24"/>
          <w:szCs w:val="24"/>
        </w:rPr>
        <w:t>5</w:t>
      </w:r>
      <w:r w:rsidRPr="003D5B85">
        <w:rPr>
          <w:rFonts w:ascii="Book Antiqua" w:hAnsi="Book Antiqua"/>
          <w:sz w:val="24"/>
          <w:szCs w:val="24"/>
        </w:rPr>
        <w:t>: 397-403 [PMID: 24690956 DOI: 10.4161/gmic.28684]</w:t>
      </w:r>
    </w:p>
    <w:p w14:paraId="34DD8A7D" w14:textId="77777777" w:rsidR="000A1B63" w:rsidRPr="003D5B85" w:rsidRDefault="000A1B63" w:rsidP="000A1B63">
      <w:pPr>
        <w:spacing w:line="360" w:lineRule="auto"/>
        <w:rPr>
          <w:rFonts w:ascii="Book Antiqua" w:hAnsi="Book Antiqua"/>
          <w:sz w:val="24"/>
          <w:szCs w:val="24"/>
        </w:rPr>
      </w:pPr>
      <w:r w:rsidRPr="003D5B85">
        <w:rPr>
          <w:rFonts w:ascii="Book Antiqua" w:hAnsi="Book Antiqua"/>
          <w:sz w:val="24"/>
          <w:szCs w:val="24"/>
        </w:rPr>
        <w:lastRenderedPageBreak/>
        <w:t xml:space="preserve">40 </w:t>
      </w:r>
      <w:r w:rsidRPr="003D5B85">
        <w:rPr>
          <w:rFonts w:ascii="Book Antiqua" w:hAnsi="Book Antiqua"/>
          <w:b/>
          <w:sz w:val="24"/>
          <w:szCs w:val="24"/>
        </w:rPr>
        <w:t>Gupta A</w:t>
      </w:r>
      <w:r w:rsidRPr="003D5B85">
        <w:rPr>
          <w:rFonts w:ascii="Book Antiqua" w:hAnsi="Book Antiqua"/>
          <w:sz w:val="24"/>
          <w:szCs w:val="24"/>
        </w:rPr>
        <w:t xml:space="preserve">, </w:t>
      </w:r>
      <w:proofErr w:type="spellStart"/>
      <w:r w:rsidRPr="003D5B85">
        <w:rPr>
          <w:rFonts w:ascii="Book Antiqua" w:hAnsi="Book Antiqua"/>
          <w:sz w:val="24"/>
          <w:szCs w:val="24"/>
        </w:rPr>
        <w:t>Dhiman</w:t>
      </w:r>
      <w:proofErr w:type="spellEnd"/>
      <w:r w:rsidRPr="003D5B85">
        <w:rPr>
          <w:rFonts w:ascii="Book Antiqua" w:hAnsi="Book Antiqua"/>
          <w:sz w:val="24"/>
          <w:szCs w:val="24"/>
        </w:rPr>
        <w:t xml:space="preserve"> RK, </w:t>
      </w:r>
      <w:proofErr w:type="spellStart"/>
      <w:r w:rsidRPr="003D5B85">
        <w:rPr>
          <w:rFonts w:ascii="Book Antiqua" w:hAnsi="Book Antiqua"/>
          <w:sz w:val="24"/>
          <w:szCs w:val="24"/>
        </w:rPr>
        <w:t>Kumari</w:t>
      </w:r>
      <w:proofErr w:type="spellEnd"/>
      <w:r w:rsidRPr="003D5B85">
        <w:rPr>
          <w:rFonts w:ascii="Book Antiqua" w:hAnsi="Book Antiqua"/>
          <w:sz w:val="24"/>
          <w:szCs w:val="24"/>
        </w:rPr>
        <w:t xml:space="preserve"> S, </w:t>
      </w:r>
      <w:proofErr w:type="spellStart"/>
      <w:r w:rsidRPr="003D5B85">
        <w:rPr>
          <w:rFonts w:ascii="Book Antiqua" w:hAnsi="Book Antiqua"/>
          <w:sz w:val="24"/>
          <w:szCs w:val="24"/>
        </w:rPr>
        <w:t>Rana</w:t>
      </w:r>
      <w:proofErr w:type="spellEnd"/>
      <w:r w:rsidRPr="003D5B85">
        <w:rPr>
          <w:rFonts w:ascii="Book Antiqua" w:hAnsi="Book Antiqua"/>
          <w:sz w:val="24"/>
          <w:szCs w:val="24"/>
        </w:rPr>
        <w:t xml:space="preserve"> S, </w:t>
      </w:r>
      <w:proofErr w:type="spellStart"/>
      <w:r w:rsidRPr="003D5B85">
        <w:rPr>
          <w:rFonts w:ascii="Book Antiqua" w:hAnsi="Book Antiqua"/>
          <w:sz w:val="24"/>
          <w:szCs w:val="24"/>
        </w:rPr>
        <w:t>Agarwal</w:t>
      </w:r>
      <w:proofErr w:type="spellEnd"/>
      <w:r w:rsidRPr="003D5B85">
        <w:rPr>
          <w:rFonts w:ascii="Book Antiqua" w:hAnsi="Book Antiqua"/>
          <w:sz w:val="24"/>
          <w:szCs w:val="24"/>
        </w:rPr>
        <w:t xml:space="preserve"> R, </w:t>
      </w:r>
      <w:proofErr w:type="spellStart"/>
      <w:r w:rsidRPr="003D5B85">
        <w:rPr>
          <w:rFonts w:ascii="Book Antiqua" w:hAnsi="Book Antiqua"/>
          <w:sz w:val="24"/>
          <w:szCs w:val="24"/>
        </w:rPr>
        <w:t>Duseja</w:t>
      </w:r>
      <w:proofErr w:type="spellEnd"/>
      <w:r w:rsidRPr="003D5B85">
        <w:rPr>
          <w:rFonts w:ascii="Book Antiqua" w:hAnsi="Book Antiqua"/>
          <w:sz w:val="24"/>
          <w:szCs w:val="24"/>
        </w:rPr>
        <w:t xml:space="preserve"> A, </w:t>
      </w:r>
      <w:proofErr w:type="spellStart"/>
      <w:r w:rsidRPr="003D5B85">
        <w:rPr>
          <w:rFonts w:ascii="Book Antiqua" w:hAnsi="Book Antiqua"/>
          <w:sz w:val="24"/>
          <w:szCs w:val="24"/>
        </w:rPr>
        <w:t>Chawla</w:t>
      </w:r>
      <w:proofErr w:type="spellEnd"/>
      <w:r w:rsidRPr="003D5B85">
        <w:rPr>
          <w:rFonts w:ascii="Book Antiqua" w:hAnsi="Book Antiqua"/>
          <w:sz w:val="24"/>
          <w:szCs w:val="24"/>
        </w:rPr>
        <w:t xml:space="preserve"> Y. Role of small intestinal bacterial overgrowth and delayed gastrointestinal transit time in cirrhotic patients with minimal hepatic encephalopathy. </w:t>
      </w:r>
      <w:r w:rsidRPr="003D5B85">
        <w:rPr>
          <w:rFonts w:ascii="Book Antiqua" w:hAnsi="Book Antiqua"/>
          <w:i/>
          <w:sz w:val="24"/>
          <w:szCs w:val="24"/>
        </w:rPr>
        <w:t xml:space="preserve">J </w:t>
      </w:r>
      <w:proofErr w:type="spellStart"/>
      <w:r w:rsidRPr="003D5B85">
        <w:rPr>
          <w:rFonts w:ascii="Book Antiqua" w:hAnsi="Book Antiqua"/>
          <w:i/>
          <w:sz w:val="24"/>
          <w:szCs w:val="24"/>
        </w:rPr>
        <w:t>Hepatol</w:t>
      </w:r>
      <w:proofErr w:type="spellEnd"/>
      <w:r w:rsidRPr="003D5B85">
        <w:rPr>
          <w:rFonts w:ascii="Book Antiqua" w:hAnsi="Book Antiqua"/>
          <w:sz w:val="24"/>
          <w:szCs w:val="24"/>
        </w:rPr>
        <w:t xml:space="preserve"> 2010; </w:t>
      </w:r>
      <w:r w:rsidRPr="003D5B85">
        <w:rPr>
          <w:rFonts w:ascii="Book Antiqua" w:hAnsi="Book Antiqua"/>
          <w:b/>
          <w:sz w:val="24"/>
          <w:szCs w:val="24"/>
        </w:rPr>
        <w:t>53</w:t>
      </w:r>
      <w:r w:rsidRPr="003D5B85">
        <w:rPr>
          <w:rFonts w:ascii="Book Antiqua" w:hAnsi="Book Antiqua"/>
          <w:sz w:val="24"/>
          <w:szCs w:val="24"/>
        </w:rPr>
        <w:t>: 849-855 [PMID: 20675008 DOI: 10.1016/j.jhep.2010.05.017]</w:t>
      </w:r>
    </w:p>
    <w:p w14:paraId="3216A737" w14:textId="77777777" w:rsidR="000A1B63" w:rsidRPr="003D5B85" w:rsidRDefault="000A1B63" w:rsidP="000A1B63">
      <w:pPr>
        <w:spacing w:line="360" w:lineRule="auto"/>
        <w:rPr>
          <w:rFonts w:ascii="Book Antiqua" w:hAnsi="Book Antiqua"/>
          <w:sz w:val="24"/>
          <w:szCs w:val="24"/>
        </w:rPr>
      </w:pPr>
      <w:r w:rsidRPr="003D5B85">
        <w:rPr>
          <w:rFonts w:ascii="Book Antiqua" w:hAnsi="Book Antiqua"/>
          <w:sz w:val="24"/>
          <w:szCs w:val="24"/>
        </w:rPr>
        <w:t xml:space="preserve">41 </w:t>
      </w:r>
      <w:r w:rsidRPr="003D5B85">
        <w:rPr>
          <w:rFonts w:ascii="Book Antiqua" w:hAnsi="Book Antiqua"/>
          <w:b/>
          <w:sz w:val="24"/>
          <w:szCs w:val="24"/>
        </w:rPr>
        <w:t xml:space="preserve">van </w:t>
      </w:r>
      <w:proofErr w:type="spellStart"/>
      <w:r w:rsidRPr="003D5B85">
        <w:rPr>
          <w:rFonts w:ascii="Book Antiqua" w:hAnsi="Book Antiqua"/>
          <w:b/>
          <w:sz w:val="24"/>
          <w:szCs w:val="24"/>
        </w:rPr>
        <w:t>Vlerken</w:t>
      </w:r>
      <w:proofErr w:type="spellEnd"/>
      <w:r w:rsidRPr="003D5B85">
        <w:rPr>
          <w:rFonts w:ascii="Book Antiqua" w:hAnsi="Book Antiqua"/>
          <w:b/>
          <w:sz w:val="24"/>
          <w:szCs w:val="24"/>
        </w:rPr>
        <w:t xml:space="preserve"> LG</w:t>
      </w:r>
      <w:r w:rsidRPr="003D5B85">
        <w:rPr>
          <w:rFonts w:ascii="Book Antiqua" w:hAnsi="Book Antiqua"/>
          <w:sz w:val="24"/>
          <w:szCs w:val="24"/>
        </w:rPr>
        <w:t xml:space="preserve">, </w:t>
      </w:r>
      <w:proofErr w:type="spellStart"/>
      <w:r w:rsidRPr="003D5B85">
        <w:rPr>
          <w:rFonts w:ascii="Book Antiqua" w:hAnsi="Book Antiqua"/>
          <w:sz w:val="24"/>
          <w:szCs w:val="24"/>
        </w:rPr>
        <w:t>Huisman</w:t>
      </w:r>
      <w:proofErr w:type="spellEnd"/>
      <w:r w:rsidRPr="003D5B85">
        <w:rPr>
          <w:rFonts w:ascii="Book Antiqua" w:hAnsi="Book Antiqua"/>
          <w:sz w:val="24"/>
          <w:szCs w:val="24"/>
        </w:rPr>
        <w:t xml:space="preserve"> EJ, van </w:t>
      </w:r>
      <w:proofErr w:type="spellStart"/>
      <w:r w:rsidRPr="003D5B85">
        <w:rPr>
          <w:rFonts w:ascii="Book Antiqua" w:hAnsi="Book Antiqua"/>
          <w:sz w:val="24"/>
          <w:szCs w:val="24"/>
        </w:rPr>
        <w:t>Hoek</w:t>
      </w:r>
      <w:proofErr w:type="spellEnd"/>
      <w:r w:rsidRPr="003D5B85">
        <w:rPr>
          <w:rFonts w:ascii="Book Antiqua" w:hAnsi="Book Antiqua"/>
          <w:sz w:val="24"/>
          <w:szCs w:val="24"/>
        </w:rPr>
        <w:t xml:space="preserve"> B, </w:t>
      </w:r>
      <w:proofErr w:type="spellStart"/>
      <w:r w:rsidRPr="003D5B85">
        <w:rPr>
          <w:rFonts w:ascii="Book Antiqua" w:hAnsi="Book Antiqua"/>
          <w:sz w:val="24"/>
          <w:szCs w:val="24"/>
        </w:rPr>
        <w:t>Renooij</w:t>
      </w:r>
      <w:proofErr w:type="spellEnd"/>
      <w:r w:rsidRPr="003D5B85">
        <w:rPr>
          <w:rFonts w:ascii="Book Antiqua" w:hAnsi="Book Antiqua"/>
          <w:sz w:val="24"/>
          <w:szCs w:val="24"/>
        </w:rPr>
        <w:t xml:space="preserve"> W, de </w:t>
      </w:r>
      <w:proofErr w:type="spellStart"/>
      <w:r w:rsidRPr="003D5B85">
        <w:rPr>
          <w:rFonts w:ascii="Book Antiqua" w:hAnsi="Book Antiqua"/>
          <w:sz w:val="24"/>
          <w:szCs w:val="24"/>
        </w:rPr>
        <w:t>Rooij</w:t>
      </w:r>
      <w:proofErr w:type="spellEnd"/>
      <w:r w:rsidRPr="003D5B85">
        <w:rPr>
          <w:rFonts w:ascii="Book Antiqua" w:hAnsi="Book Antiqua"/>
          <w:sz w:val="24"/>
          <w:szCs w:val="24"/>
        </w:rPr>
        <w:t xml:space="preserve"> FW, </w:t>
      </w:r>
      <w:proofErr w:type="spellStart"/>
      <w:r w:rsidRPr="003D5B85">
        <w:rPr>
          <w:rFonts w:ascii="Book Antiqua" w:hAnsi="Book Antiqua"/>
          <w:sz w:val="24"/>
          <w:szCs w:val="24"/>
        </w:rPr>
        <w:t>Siersema</w:t>
      </w:r>
      <w:proofErr w:type="spellEnd"/>
      <w:r w:rsidRPr="003D5B85">
        <w:rPr>
          <w:rFonts w:ascii="Book Antiqua" w:hAnsi="Book Antiqua"/>
          <w:sz w:val="24"/>
          <w:szCs w:val="24"/>
        </w:rPr>
        <w:t xml:space="preserve"> PD, van </w:t>
      </w:r>
      <w:proofErr w:type="spellStart"/>
      <w:r w:rsidRPr="003D5B85">
        <w:rPr>
          <w:rFonts w:ascii="Book Antiqua" w:hAnsi="Book Antiqua"/>
          <w:sz w:val="24"/>
          <w:szCs w:val="24"/>
        </w:rPr>
        <w:t>Erpecum</w:t>
      </w:r>
      <w:proofErr w:type="spellEnd"/>
      <w:r w:rsidRPr="003D5B85">
        <w:rPr>
          <w:rFonts w:ascii="Book Antiqua" w:hAnsi="Book Antiqua"/>
          <w:sz w:val="24"/>
          <w:szCs w:val="24"/>
        </w:rPr>
        <w:t xml:space="preserve"> KJ. Bacterial infections in cirrhosis: Role of proton pump inhibitors and intestinal permeability. </w:t>
      </w:r>
      <w:proofErr w:type="spellStart"/>
      <w:r w:rsidRPr="003D5B85">
        <w:rPr>
          <w:rFonts w:ascii="Book Antiqua" w:hAnsi="Book Antiqua"/>
          <w:i/>
          <w:sz w:val="24"/>
          <w:szCs w:val="24"/>
        </w:rPr>
        <w:t>Eur</w:t>
      </w:r>
      <w:proofErr w:type="spellEnd"/>
      <w:r w:rsidRPr="003D5B85">
        <w:rPr>
          <w:rFonts w:ascii="Book Antiqua" w:hAnsi="Book Antiqua"/>
          <w:i/>
          <w:sz w:val="24"/>
          <w:szCs w:val="24"/>
        </w:rPr>
        <w:t xml:space="preserve"> J </w:t>
      </w:r>
      <w:proofErr w:type="spellStart"/>
      <w:r w:rsidRPr="003D5B85">
        <w:rPr>
          <w:rFonts w:ascii="Book Antiqua" w:hAnsi="Book Antiqua"/>
          <w:i/>
          <w:sz w:val="24"/>
          <w:szCs w:val="24"/>
        </w:rPr>
        <w:t>Clin</w:t>
      </w:r>
      <w:proofErr w:type="spellEnd"/>
      <w:r w:rsidRPr="003D5B85">
        <w:rPr>
          <w:rFonts w:ascii="Book Antiqua" w:hAnsi="Book Antiqua"/>
          <w:i/>
          <w:sz w:val="24"/>
          <w:szCs w:val="24"/>
        </w:rPr>
        <w:t xml:space="preserve"> Invest</w:t>
      </w:r>
      <w:r w:rsidRPr="003D5B85">
        <w:rPr>
          <w:rFonts w:ascii="Book Antiqua" w:hAnsi="Book Antiqua"/>
          <w:sz w:val="24"/>
          <w:szCs w:val="24"/>
        </w:rPr>
        <w:t xml:space="preserve"> 2012; </w:t>
      </w:r>
      <w:r w:rsidRPr="003D5B85">
        <w:rPr>
          <w:rFonts w:ascii="Book Antiqua" w:hAnsi="Book Antiqua"/>
          <w:b/>
          <w:sz w:val="24"/>
          <w:szCs w:val="24"/>
        </w:rPr>
        <w:t>42</w:t>
      </w:r>
      <w:r w:rsidRPr="003D5B85">
        <w:rPr>
          <w:rFonts w:ascii="Book Antiqua" w:hAnsi="Book Antiqua"/>
          <w:sz w:val="24"/>
          <w:szCs w:val="24"/>
        </w:rPr>
        <w:t>: 760-767 [PMID: 22288900 DOI: 10.1111/j.1365-2362.2011.02643.x]</w:t>
      </w:r>
    </w:p>
    <w:p w14:paraId="2A19BF99" w14:textId="77777777" w:rsidR="000A1B63" w:rsidRPr="003D5B85" w:rsidRDefault="000A1B63" w:rsidP="000A1B63">
      <w:pPr>
        <w:spacing w:line="360" w:lineRule="auto"/>
        <w:rPr>
          <w:rFonts w:ascii="Book Antiqua" w:hAnsi="Book Antiqua"/>
          <w:sz w:val="24"/>
          <w:szCs w:val="24"/>
        </w:rPr>
      </w:pPr>
      <w:r w:rsidRPr="003D5B85">
        <w:rPr>
          <w:rFonts w:ascii="Book Antiqua" w:hAnsi="Book Antiqua"/>
          <w:sz w:val="24"/>
          <w:szCs w:val="24"/>
        </w:rPr>
        <w:t xml:space="preserve">42 </w:t>
      </w:r>
      <w:r w:rsidRPr="003D5B85">
        <w:rPr>
          <w:rFonts w:ascii="Book Antiqua" w:hAnsi="Book Antiqua"/>
          <w:b/>
          <w:sz w:val="24"/>
          <w:szCs w:val="24"/>
        </w:rPr>
        <w:t>Bajaj JS</w:t>
      </w:r>
      <w:r w:rsidRPr="003D5B85">
        <w:rPr>
          <w:rFonts w:ascii="Book Antiqua" w:hAnsi="Book Antiqua"/>
          <w:sz w:val="24"/>
          <w:szCs w:val="24"/>
        </w:rPr>
        <w:t xml:space="preserve">, Ratliff SM, </w:t>
      </w:r>
      <w:proofErr w:type="spellStart"/>
      <w:r w:rsidRPr="003D5B85">
        <w:rPr>
          <w:rFonts w:ascii="Book Antiqua" w:hAnsi="Book Antiqua"/>
          <w:sz w:val="24"/>
          <w:szCs w:val="24"/>
        </w:rPr>
        <w:t>Heuman</w:t>
      </w:r>
      <w:proofErr w:type="spellEnd"/>
      <w:r w:rsidRPr="003D5B85">
        <w:rPr>
          <w:rFonts w:ascii="Book Antiqua" w:hAnsi="Book Antiqua"/>
          <w:sz w:val="24"/>
          <w:szCs w:val="24"/>
        </w:rPr>
        <w:t xml:space="preserve"> DM, </w:t>
      </w:r>
      <w:proofErr w:type="spellStart"/>
      <w:r w:rsidRPr="003D5B85">
        <w:rPr>
          <w:rFonts w:ascii="Book Antiqua" w:hAnsi="Book Antiqua"/>
          <w:sz w:val="24"/>
          <w:szCs w:val="24"/>
        </w:rPr>
        <w:t>Lapane</w:t>
      </w:r>
      <w:proofErr w:type="spellEnd"/>
      <w:r w:rsidRPr="003D5B85">
        <w:rPr>
          <w:rFonts w:ascii="Book Antiqua" w:hAnsi="Book Antiqua"/>
          <w:sz w:val="24"/>
          <w:szCs w:val="24"/>
        </w:rPr>
        <w:t xml:space="preserve"> KL. Proton pump inhibitors are associated with a high rate of serious infections in veterans with decompensated cirrhosis. </w:t>
      </w:r>
      <w:r w:rsidRPr="003D5B85">
        <w:rPr>
          <w:rFonts w:ascii="Book Antiqua" w:hAnsi="Book Antiqua"/>
          <w:i/>
          <w:sz w:val="24"/>
          <w:szCs w:val="24"/>
        </w:rPr>
        <w:t xml:space="preserve">Aliment </w:t>
      </w:r>
      <w:proofErr w:type="spellStart"/>
      <w:r w:rsidRPr="003D5B85">
        <w:rPr>
          <w:rFonts w:ascii="Book Antiqua" w:hAnsi="Book Antiqua"/>
          <w:i/>
          <w:sz w:val="24"/>
          <w:szCs w:val="24"/>
        </w:rPr>
        <w:t>Pharmacol</w:t>
      </w:r>
      <w:proofErr w:type="spellEnd"/>
      <w:r w:rsidRPr="003D5B85">
        <w:rPr>
          <w:rFonts w:ascii="Book Antiqua" w:hAnsi="Book Antiqua"/>
          <w:i/>
          <w:sz w:val="24"/>
          <w:szCs w:val="24"/>
        </w:rPr>
        <w:t xml:space="preserve"> </w:t>
      </w:r>
      <w:proofErr w:type="spellStart"/>
      <w:r w:rsidRPr="003D5B85">
        <w:rPr>
          <w:rFonts w:ascii="Book Antiqua" w:hAnsi="Book Antiqua"/>
          <w:i/>
          <w:sz w:val="24"/>
          <w:szCs w:val="24"/>
        </w:rPr>
        <w:t>Ther</w:t>
      </w:r>
      <w:proofErr w:type="spellEnd"/>
      <w:r w:rsidRPr="003D5B85">
        <w:rPr>
          <w:rFonts w:ascii="Book Antiqua" w:hAnsi="Book Antiqua"/>
          <w:sz w:val="24"/>
          <w:szCs w:val="24"/>
        </w:rPr>
        <w:t xml:space="preserve"> 2012; </w:t>
      </w:r>
      <w:r w:rsidRPr="003D5B85">
        <w:rPr>
          <w:rFonts w:ascii="Book Antiqua" w:hAnsi="Book Antiqua"/>
          <w:b/>
          <w:sz w:val="24"/>
          <w:szCs w:val="24"/>
        </w:rPr>
        <w:t>36</w:t>
      </w:r>
      <w:r w:rsidRPr="003D5B85">
        <w:rPr>
          <w:rFonts w:ascii="Book Antiqua" w:hAnsi="Book Antiqua"/>
          <w:sz w:val="24"/>
          <w:szCs w:val="24"/>
        </w:rPr>
        <w:t>: 866-874 [PMID: 22966967 DOI: 10.1111/apt.12045]</w:t>
      </w:r>
    </w:p>
    <w:p w14:paraId="38D82986" w14:textId="77777777" w:rsidR="000A1B63" w:rsidRPr="003D5B85" w:rsidRDefault="000A1B63" w:rsidP="000A1B63">
      <w:pPr>
        <w:spacing w:line="360" w:lineRule="auto"/>
        <w:rPr>
          <w:rFonts w:ascii="Book Antiqua" w:hAnsi="Book Antiqua"/>
          <w:sz w:val="24"/>
          <w:szCs w:val="24"/>
        </w:rPr>
      </w:pPr>
      <w:r w:rsidRPr="003D5B85">
        <w:rPr>
          <w:rFonts w:ascii="Book Antiqua" w:hAnsi="Book Antiqua"/>
          <w:sz w:val="24"/>
          <w:szCs w:val="24"/>
        </w:rPr>
        <w:t xml:space="preserve">43 </w:t>
      </w:r>
      <w:proofErr w:type="spellStart"/>
      <w:r w:rsidRPr="003D5B85">
        <w:rPr>
          <w:rFonts w:ascii="Book Antiqua" w:hAnsi="Book Antiqua"/>
          <w:b/>
          <w:sz w:val="24"/>
          <w:szCs w:val="24"/>
        </w:rPr>
        <w:t>Merli</w:t>
      </w:r>
      <w:proofErr w:type="spellEnd"/>
      <w:r w:rsidRPr="003D5B85">
        <w:rPr>
          <w:rFonts w:ascii="Book Antiqua" w:hAnsi="Book Antiqua"/>
          <w:b/>
          <w:sz w:val="24"/>
          <w:szCs w:val="24"/>
        </w:rPr>
        <w:t xml:space="preserve"> M</w:t>
      </w:r>
      <w:r w:rsidRPr="003D5B85">
        <w:rPr>
          <w:rFonts w:ascii="Book Antiqua" w:hAnsi="Book Antiqua"/>
          <w:sz w:val="24"/>
          <w:szCs w:val="24"/>
        </w:rPr>
        <w:t xml:space="preserve">, </w:t>
      </w:r>
      <w:proofErr w:type="spellStart"/>
      <w:r w:rsidRPr="003D5B85">
        <w:rPr>
          <w:rFonts w:ascii="Book Antiqua" w:hAnsi="Book Antiqua"/>
          <w:sz w:val="24"/>
          <w:szCs w:val="24"/>
        </w:rPr>
        <w:t>Lucidi</w:t>
      </w:r>
      <w:proofErr w:type="spellEnd"/>
      <w:r w:rsidRPr="003D5B85">
        <w:rPr>
          <w:rFonts w:ascii="Book Antiqua" w:hAnsi="Book Antiqua"/>
          <w:sz w:val="24"/>
          <w:szCs w:val="24"/>
        </w:rPr>
        <w:t xml:space="preserve"> C, Di Gregorio V, </w:t>
      </w:r>
      <w:proofErr w:type="spellStart"/>
      <w:r w:rsidRPr="003D5B85">
        <w:rPr>
          <w:rFonts w:ascii="Book Antiqua" w:hAnsi="Book Antiqua"/>
          <w:sz w:val="24"/>
          <w:szCs w:val="24"/>
        </w:rPr>
        <w:t>Giannelli</w:t>
      </w:r>
      <w:proofErr w:type="spellEnd"/>
      <w:r w:rsidRPr="003D5B85">
        <w:rPr>
          <w:rFonts w:ascii="Book Antiqua" w:hAnsi="Book Antiqua"/>
          <w:sz w:val="24"/>
          <w:szCs w:val="24"/>
        </w:rPr>
        <w:t xml:space="preserve"> V, Giusto M, </w:t>
      </w:r>
      <w:proofErr w:type="spellStart"/>
      <w:r w:rsidRPr="003D5B85">
        <w:rPr>
          <w:rFonts w:ascii="Book Antiqua" w:hAnsi="Book Antiqua"/>
          <w:sz w:val="24"/>
          <w:szCs w:val="24"/>
        </w:rPr>
        <w:t>Ceccarelli</w:t>
      </w:r>
      <w:proofErr w:type="spellEnd"/>
      <w:r w:rsidRPr="003D5B85">
        <w:rPr>
          <w:rFonts w:ascii="Book Antiqua" w:hAnsi="Book Antiqua"/>
          <w:sz w:val="24"/>
          <w:szCs w:val="24"/>
        </w:rPr>
        <w:t xml:space="preserve"> G, </w:t>
      </w:r>
      <w:proofErr w:type="spellStart"/>
      <w:r w:rsidRPr="003D5B85">
        <w:rPr>
          <w:rFonts w:ascii="Book Antiqua" w:hAnsi="Book Antiqua"/>
          <w:sz w:val="24"/>
          <w:szCs w:val="24"/>
        </w:rPr>
        <w:t>Riggio</w:t>
      </w:r>
      <w:proofErr w:type="spellEnd"/>
      <w:r w:rsidRPr="003D5B85">
        <w:rPr>
          <w:rFonts w:ascii="Book Antiqua" w:hAnsi="Book Antiqua"/>
          <w:sz w:val="24"/>
          <w:szCs w:val="24"/>
        </w:rPr>
        <w:t xml:space="preserve"> O, </w:t>
      </w:r>
      <w:proofErr w:type="spellStart"/>
      <w:r w:rsidRPr="003D5B85">
        <w:rPr>
          <w:rFonts w:ascii="Book Antiqua" w:hAnsi="Book Antiqua"/>
          <w:sz w:val="24"/>
          <w:szCs w:val="24"/>
        </w:rPr>
        <w:t>Venditti</w:t>
      </w:r>
      <w:proofErr w:type="spellEnd"/>
      <w:r w:rsidRPr="003D5B85">
        <w:rPr>
          <w:rFonts w:ascii="Book Antiqua" w:hAnsi="Book Antiqua"/>
          <w:sz w:val="24"/>
          <w:szCs w:val="24"/>
        </w:rPr>
        <w:t xml:space="preserve"> M. The chronic use of beta-blockers and proton pump inhibitors may affect the rate of bacterial infections in cirrhosis. </w:t>
      </w:r>
      <w:r w:rsidRPr="003D5B85">
        <w:rPr>
          <w:rFonts w:ascii="Book Antiqua" w:hAnsi="Book Antiqua"/>
          <w:i/>
          <w:sz w:val="24"/>
          <w:szCs w:val="24"/>
        </w:rPr>
        <w:t xml:space="preserve">Liver </w:t>
      </w:r>
      <w:proofErr w:type="spellStart"/>
      <w:r w:rsidRPr="003D5B85">
        <w:rPr>
          <w:rFonts w:ascii="Book Antiqua" w:hAnsi="Book Antiqua"/>
          <w:i/>
          <w:sz w:val="24"/>
          <w:szCs w:val="24"/>
        </w:rPr>
        <w:t>Int</w:t>
      </w:r>
      <w:proofErr w:type="spellEnd"/>
      <w:r w:rsidRPr="003D5B85">
        <w:rPr>
          <w:rFonts w:ascii="Book Antiqua" w:hAnsi="Book Antiqua"/>
          <w:sz w:val="24"/>
          <w:szCs w:val="24"/>
        </w:rPr>
        <w:t xml:space="preserve"> 2015; </w:t>
      </w:r>
      <w:r w:rsidRPr="003D5B85">
        <w:rPr>
          <w:rFonts w:ascii="Book Antiqua" w:hAnsi="Book Antiqua"/>
          <w:b/>
          <w:sz w:val="24"/>
          <w:szCs w:val="24"/>
        </w:rPr>
        <w:t>35</w:t>
      </w:r>
      <w:r w:rsidRPr="003D5B85">
        <w:rPr>
          <w:rFonts w:ascii="Book Antiqua" w:hAnsi="Book Antiqua"/>
          <w:sz w:val="24"/>
          <w:szCs w:val="24"/>
        </w:rPr>
        <w:t>: 362-369 [PMID: 24836902 DOI: 10.1111/liv.12593]</w:t>
      </w:r>
    </w:p>
    <w:p w14:paraId="57BDC475" w14:textId="77777777" w:rsidR="000A1B63" w:rsidRPr="003D5B85" w:rsidRDefault="000A1B63" w:rsidP="000A1B63">
      <w:pPr>
        <w:spacing w:line="360" w:lineRule="auto"/>
        <w:rPr>
          <w:rFonts w:ascii="Book Antiqua" w:hAnsi="Book Antiqua"/>
          <w:sz w:val="24"/>
          <w:szCs w:val="24"/>
        </w:rPr>
      </w:pPr>
      <w:r w:rsidRPr="003D5B85">
        <w:rPr>
          <w:rFonts w:ascii="Book Antiqua" w:hAnsi="Book Antiqua"/>
          <w:sz w:val="24"/>
          <w:szCs w:val="24"/>
        </w:rPr>
        <w:t xml:space="preserve">44 </w:t>
      </w:r>
      <w:r w:rsidRPr="003D5B85">
        <w:rPr>
          <w:rFonts w:ascii="Book Antiqua" w:hAnsi="Book Antiqua"/>
          <w:b/>
          <w:sz w:val="24"/>
          <w:szCs w:val="24"/>
        </w:rPr>
        <w:t>Romero-Gómez M</w:t>
      </w:r>
      <w:r w:rsidRPr="003D5B85">
        <w:rPr>
          <w:rFonts w:ascii="Book Antiqua" w:hAnsi="Book Antiqua"/>
          <w:sz w:val="24"/>
          <w:szCs w:val="24"/>
        </w:rPr>
        <w:t xml:space="preserve">, </w:t>
      </w:r>
      <w:proofErr w:type="spellStart"/>
      <w:r w:rsidRPr="003D5B85">
        <w:rPr>
          <w:rFonts w:ascii="Book Antiqua" w:hAnsi="Book Antiqua"/>
          <w:sz w:val="24"/>
          <w:szCs w:val="24"/>
        </w:rPr>
        <w:t>Montagnese</w:t>
      </w:r>
      <w:proofErr w:type="spellEnd"/>
      <w:r w:rsidRPr="003D5B85">
        <w:rPr>
          <w:rFonts w:ascii="Book Antiqua" w:hAnsi="Book Antiqua"/>
          <w:sz w:val="24"/>
          <w:szCs w:val="24"/>
        </w:rPr>
        <w:t xml:space="preserve"> S, </w:t>
      </w:r>
      <w:proofErr w:type="spellStart"/>
      <w:r w:rsidRPr="003D5B85">
        <w:rPr>
          <w:rFonts w:ascii="Book Antiqua" w:hAnsi="Book Antiqua"/>
          <w:sz w:val="24"/>
          <w:szCs w:val="24"/>
        </w:rPr>
        <w:t>Jalan</w:t>
      </w:r>
      <w:proofErr w:type="spellEnd"/>
      <w:r w:rsidRPr="003D5B85">
        <w:rPr>
          <w:rFonts w:ascii="Book Antiqua" w:hAnsi="Book Antiqua"/>
          <w:sz w:val="24"/>
          <w:szCs w:val="24"/>
        </w:rPr>
        <w:t xml:space="preserve"> R. Hepatic encephalopathy in patients with acute decompensation of cirrhosis and acute-on-chronic liver failure. </w:t>
      </w:r>
      <w:r w:rsidRPr="003D5B85">
        <w:rPr>
          <w:rFonts w:ascii="Book Antiqua" w:hAnsi="Book Antiqua"/>
          <w:i/>
          <w:sz w:val="24"/>
          <w:szCs w:val="24"/>
        </w:rPr>
        <w:t xml:space="preserve">J </w:t>
      </w:r>
      <w:proofErr w:type="spellStart"/>
      <w:r w:rsidRPr="003D5B85">
        <w:rPr>
          <w:rFonts w:ascii="Book Antiqua" w:hAnsi="Book Antiqua"/>
          <w:i/>
          <w:sz w:val="24"/>
          <w:szCs w:val="24"/>
        </w:rPr>
        <w:t>Hepatol</w:t>
      </w:r>
      <w:proofErr w:type="spellEnd"/>
      <w:r w:rsidRPr="003D5B85">
        <w:rPr>
          <w:rFonts w:ascii="Book Antiqua" w:hAnsi="Book Antiqua"/>
          <w:sz w:val="24"/>
          <w:szCs w:val="24"/>
        </w:rPr>
        <w:t xml:space="preserve"> 2015; </w:t>
      </w:r>
      <w:r w:rsidRPr="003D5B85">
        <w:rPr>
          <w:rFonts w:ascii="Book Antiqua" w:hAnsi="Book Antiqua"/>
          <w:b/>
          <w:sz w:val="24"/>
          <w:szCs w:val="24"/>
        </w:rPr>
        <w:t>62</w:t>
      </w:r>
      <w:r w:rsidRPr="003D5B85">
        <w:rPr>
          <w:rFonts w:ascii="Book Antiqua" w:hAnsi="Book Antiqua"/>
          <w:sz w:val="24"/>
          <w:szCs w:val="24"/>
        </w:rPr>
        <w:t>: 437-447 [PMID: 25218789 DOI: 10.1016/j.jhep.2014.09.005]</w:t>
      </w:r>
    </w:p>
    <w:p w14:paraId="2626A0FC" w14:textId="77777777" w:rsidR="000A1B63" w:rsidRPr="003D5B85" w:rsidRDefault="000A1B63" w:rsidP="000A1B63">
      <w:pPr>
        <w:spacing w:line="360" w:lineRule="auto"/>
        <w:rPr>
          <w:rFonts w:ascii="Book Antiqua" w:hAnsi="Book Antiqua"/>
          <w:sz w:val="24"/>
          <w:szCs w:val="24"/>
        </w:rPr>
      </w:pPr>
      <w:r w:rsidRPr="003D5B85">
        <w:rPr>
          <w:rFonts w:ascii="Book Antiqua" w:hAnsi="Book Antiqua"/>
          <w:sz w:val="24"/>
          <w:szCs w:val="24"/>
        </w:rPr>
        <w:t xml:space="preserve">45 </w:t>
      </w:r>
      <w:proofErr w:type="spellStart"/>
      <w:r w:rsidRPr="003D5B85">
        <w:rPr>
          <w:rFonts w:ascii="Book Antiqua" w:hAnsi="Book Antiqua"/>
          <w:b/>
          <w:sz w:val="24"/>
          <w:szCs w:val="24"/>
        </w:rPr>
        <w:t>Fernández</w:t>
      </w:r>
      <w:proofErr w:type="spellEnd"/>
      <w:r w:rsidRPr="003D5B85">
        <w:rPr>
          <w:rFonts w:ascii="Book Antiqua" w:hAnsi="Book Antiqua"/>
          <w:b/>
          <w:sz w:val="24"/>
          <w:szCs w:val="24"/>
        </w:rPr>
        <w:t xml:space="preserve"> J</w:t>
      </w:r>
      <w:r w:rsidRPr="003D5B85">
        <w:rPr>
          <w:rFonts w:ascii="Book Antiqua" w:hAnsi="Book Antiqua"/>
          <w:sz w:val="24"/>
          <w:szCs w:val="24"/>
        </w:rPr>
        <w:t xml:space="preserve">, Acevedo J, </w:t>
      </w:r>
      <w:proofErr w:type="spellStart"/>
      <w:r w:rsidRPr="003D5B85">
        <w:rPr>
          <w:rFonts w:ascii="Book Antiqua" w:hAnsi="Book Antiqua"/>
          <w:sz w:val="24"/>
          <w:szCs w:val="24"/>
        </w:rPr>
        <w:t>Wiest</w:t>
      </w:r>
      <w:proofErr w:type="spellEnd"/>
      <w:r w:rsidRPr="003D5B85">
        <w:rPr>
          <w:rFonts w:ascii="Book Antiqua" w:hAnsi="Book Antiqua"/>
          <w:sz w:val="24"/>
          <w:szCs w:val="24"/>
        </w:rPr>
        <w:t xml:space="preserve"> R, </w:t>
      </w:r>
      <w:proofErr w:type="spellStart"/>
      <w:r w:rsidRPr="003D5B85">
        <w:rPr>
          <w:rFonts w:ascii="Book Antiqua" w:hAnsi="Book Antiqua"/>
          <w:sz w:val="24"/>
          <w:szCs w:val="24"/>
        </w:rPr>
        <w:t>Gustot</w:t>
      </w:r>
      <w:proofErr w:type="spellEnd"/>
      <w:r w:rsidRPr="003D5B85">
        <w:rPr>
          <w:rFonts w:ascii="Book Antiqua" w:hAnsi="Book Antiqua"/>
          <w:sz w:val="24"/>
          <w:szCs w:val="24"/>
        </w:rPr>
        <w:t xml:space="preserve"> T, </w:t>
      </w:r>
      <w:proofErr w:type="spellStart"/>
      <w:r w:rsidRPr="003D5B85">
        <w:rPr>
          <w:rFonts w:ascii="Book Antiqua" w:hAnsi="Book Antiqua"/>
          <w:sz w:val="24"/>
          <w:szCs w:val="24"/>
        </w:rPr>
        <w:t>Amoros</w:t>
      </w:r>
      <w:proofErr w:type="spellEnd"/>
      <w:r w:rsidRPr="003D5B85">
        <w:rPr>
          <w:rFonts w:ascii="Book Antiqua" w:hAnsi="Book Antiqua"/>
          <w:sz w:val="24"/>
          <w:szCs w:val="24"/>
        </w:rPr>
        <w:t xml:space="preserve"> A, </w:t>
      </w:r>
      <w:proofErr w:type="spellStart"/>
      <w:r w:rsidRPr="003D5B85">
        <w:rPr>
          <w:rFonts w:ascii="Book Antiqua" w:hAnsi="Book Antiqua"/>
          <w:sz w:val="24"/>
          <w:szCs w:val="24"/>
        </w:rPr>
        <w:t>Deulofeu</w:t>
      </w:r>
      <w:proofErr w:type="spellEnd"/>
      <w:r w:rsidRPr="003D5B85">
        <w:rPr>
          <w:rFonts w:ascii="Book Antiqua" w:hAnsi="Book Antiqua"/>
          <w:sz w:val="24"/>
          <w:szCs w:val="24"/>
        </w:rPr>
        <w:t xml:space="preserve"> C, </w:t>
      </w:r>
      <w:proofErr w:type="spellStart"/>
      <w:r w:rsidRPr="003D5B85">
        <w:rPr>
          <w:rFonts w:ascii="Book Antiqua" w:hAnsi="Book Antiqua"/>
          <w:sz w:val="24"/>
          <w:szCs w:val="24"/>
        </w:rPr>
        <w:t>Reverter</w:t>
      </w:r>
      <w:proofErr w:type="spellEnd"/>
      <w:r w:rsidRPr="003D5B85">
        <w:rPr>
          <w:rFonts w:ascii="Book Antiqua" w:hAnsi="Book Antiqua"/>
          <w:sz w:val="24"/>
          <w:szCs w:val="24"/>
        </w:rPr>
        <w:t xml:space="preserve"> E, </w:t>
      </w:r>
      <w:proofErr w:type="spellStart"/>
      <w:r w:rsidRPr="003D5B85">
        <w:rPr>
          <w:rFonts w:ascii="Book Antiqua" w:hAnsi="Book Antiqua"/>
          <w:sz w:val="24"/>
          <w:szCs w:val="24"/>
        </w:rPr>
        <w:t>Martínez</w:t>
      </w:r>
      <w:proofErr w:type="spellEnd"/>
      <w:r w:rsidRPr="003D5B85">
        <w:rPr>
          <w:rFonts w:ascii="Book Antiqua" w:hAnsi="Book Antiqua"/>
          <w:sz w:val="24"/>
          <w:szCs w:val="24"/>
        </w:rPr>
        <w:t xml:space="preserve"> J, </w:t>
      </w:r>
      <w:proofErr w:type="spellStart"/>
      <w:r w:rsidRPr="003D5B85">
        <w:rPr>
          <w:rFonts w:ascii="Book Antiqua" w:hAnsi="Book Antiqua"/>
          <w:sz w:val="24"/>
          <w:szCs w:val="24"/>
        </w:rPr>
        <w:t>Saliba</w:t>
      </w:r>
      <w:proofErr w:type="spellEnd"/>
      <w:r w:rsidRPr="003D5B85">
        <w:rPr>
          <w:rFonts w:ascii="Book Antiqua" w:hAnsi="Book Antiqua"/>
          <w:sz w:val="24"/>
          <w:szCs w:val="24"/>
        </w:rPr>
        <w:t xml:space="preserve"> F, </w:t>
      </w:r>
      <w:proofErr w:type="spellStart"/>
      <w:r w:rsidRPr="003D5B85">
        <w:rPr>
          <w:rFonts w:ascii="Book Antiqua" w:hAnsi="Book Antiqua"/>
          <w:sz w:val="24"/>
          <w:szCs w:val="24"/>
        </w:rPr>
        <w:t>Jalan</w:t>
      </w:r>
      <w:proofErr w:type="spellEnd"/>
      <w:r w:rsidRPr="003D5B85">
        <w:rPr>
          <w:rFonts w:ascii="Book Antiqua" w:hAnsi="Book Antiqua"/>
          <w:sz w:val="24"/>
          <w:szCs w:val="24"/>
        </w:rPr>
        <w:t xml:space="preserve"> R, </w:t>
      </w:r>
      <w:proofErr w:type="spellStart"/>
      <w:r w:rsidRPr="003D5B85">
        <w:rPr>
          <w:rFonts w:ascii="Book Antiqua" w:hAnsi="Book Antiqua"/>
          <w:sz w:val="24"/>
          <w:szCs w:val="24"/>
        </w:rPr>
        <w:t>Welzel</w:t>
      </w:r>
      <w:proofErr w:type="spellEnd"/>
      <w:r w:rsidRPr="003D5B85">
        <w:rPr>
          <w:rFonts w:ascii="Book Antiqua" w:hAnsi="Book Antiqua"/>
          <w:sz w:val="24"/>
          <w:szCs w:val="24"/>
        </w:rPr>
        <w:t xml:space="preserve"> T, </w:t>
      </w:r>
      <w:proofErr w:type="spellStart"/>
      <w:r w:rsidRPr="003D5B85">
        <w:rPr>
          <w:rFonts w:ascii="Book Antiqua" w:hAnsi="Book Antiqua"/>
          <w:sz w:val="24"/>
          <w:szCs w:val="24"/>
        </w:rPr>
        <w:t>Pavesi</w:t>
      </w:r>
      <w:proofErr w:type="spellEnd"/>
      <w:r w:rsidRPr="003D5B85">
        <w:rPr>
          <w:rFonts w:ascii="Book Antiqua" w:hAnsi="Book Antiqua"/>
          <w:sz w:val="24"/>
          <w:szCs w:val="24"/>
        </w:rPr>
        <w:t xml:space="preserve"> M, Hernández-</w:t>
      </w:r>
      <w:proofErr w:type="spellStart"/>
      <w:r w:rsidRPr="003D5B85">
        <w:rPr>
          <w:rFonts w:ascii="Book Antiqua" w:hAnsi="Book Antiqua"/>
          <w:sz w:val="24"/>
          <w:szCs w:val="24"/>
        </w:rPr>
        <w:t>Tejero</w:t>
      </w:r>
      <w:proofErr w:type="spellEnd"/>
      <w:r w:rsidRPr="003D5B85">
        <w:rPr>
          <w:rFonts w:ascii="Book Antiqua" w:hAnsi="Book Antiqua"/>
          <w:sz w:val="24"/>
          <w:szCs w:val="24"/>
        </w:rPr>
        <w:t xml:space="preserve"> M, </w:t>
      </w:r>
      <w:proofErr w:type="spellStart"/>
      <w:r w:rsidRPr="003D5B85">
        <w:rPr>
          <w:rFonts w:ascii="Book Antiqua" w:hAnsi="Book Antiqua"/>
          <w:sz w:val="24"/>
          <w:szCs w:val="24"/>
        </w:rPr>
        <w:t>Ginès</w:t>
      </w:r>
      <w:proofErr w:type="spellEnd"/>
      <w:r w:rsidRPr="003D5B85">
        <w:rPr>
          <w:rFonts w:ascii="Book Antiqua" w:hAnsi="Book Antiqua"/>
          <w:sz w:val="24"/>
          <w:szCs w:val="24"/>
        </w:rPr>
        <w:t xml:space="preserve"> P, Arroyo V; European Foundation for the Study of Chronic Liver Failure. Bacterial and fungal infections in acute-on-chronic liver failure: Prevalence, characteristics and impact on prognosis. </w:t>
      </w:r>
      <w:r w:rsidRPr="003D5B85">
        <w:rPr>
          <w:rFonts w:ascii="Book Antiqua" w:hAnsi="Book Antiqua"/>
          <w:i/>
          <w:sz w:val="24"/>
          <w:szCs w:val="24"/>
        </w:rPr>
        <w:t>Gut</w:t>
      </w:r>
      <w:r w:rsidRPr="003D5B85">
        <w:rPr>
          <w:rFonts w:ascii="Book Antiqua" w:hAnsi="Book Antiqua"/>
          <w:sz w:val="24"/>
          <w:szCs w:val="24"/>
        </w:rPr>
        <w:t xml:space="preserve"> 2018; </w:t>
      </w:r>
      <w:r w:rsidRPr="003D5B85">
        <w:rPr>
          <w:rFonts w:ascii="Book Antiqua" w:hAnsi="Book Antiqua"/>
          <w:b/>
          <w:sz w:val="24"/>
          <w:szCs w:val="24"/>
        </w:rPr>
        <w:t>67</w:t>
      </w:r>
      <w:r w:rsidRPr="003D5B85">
        <w:rPr>
          <w:rFonts w:ascii="Book Antiqua" w:hAnsi="Book Antiqua"/>
          <w:sz w:val="24"/>
          <w:szCs w:val="24"/>
        </w:rPr>
        <w:t>: 1870-1880 [PMID: 28847867 DOI: 10.1136/gutjnl-2017-314240]</w:t>
      </w:r>
    </w:p>
    <w:p w14:paraId="32FAAD47" w14:textId="77777777" w:rsidR="000A1B63" w:rsidRPr="003D5B85" w:rsidRDefault="000A1B63" w:rsidP="000A1B63">
      <w:pPr>
        <w:spacing w:line="360" w:lineRule="auto"/>
        <w:rPr>
          <w:rFonts w:ascii="Book Antiqua" w:hAnsi="Book Antiqua"/>
          <w:sz w:val="24"/>
          <w:szCs w:val="24"/>
        </w:rPr>
      </w:pPr>
      <w:r w:rsidRPr="003D5B85">
        <w:rPr>
          <w:rFonts w:ascii="Book Antiqua" w:hAnsi="Book Antiqua"/>
          <w:sz w:val="24"/>
          <w:szCs w:val="24"/>
        </w:rPr>
        <w:t xml:space="preserve">46 </w:t>
      </w:r>
      <w:r w:rsidRPr="003D5B85">
        <w:rPr>
          <w:rFonts w:ascii="Book Antiqua" w:hAnsi="Book Antiqua"/>
          <w:b/>
          <w:sz w:val="24"/>
          <w:szCs w:val="24"/>
        </w:rPr>
        <w:t>Sahara S</w:t>
      </w:r>
      <w:r w:rsidRPr="003D5B85">
        <w:rPr>
          <w:rFonts w:ascii="Book Antiqua" w:hAnsi="Book Antiqua"/>
          <w:sz w:val="24"/>
          <w:szCs w:val="24"/>
        </w:rPr>
        <w:t xml:space="preserve">, Sugimoto M, </w:t>
      </w:r>
      <w:proofErr w:type="spellStart"/>
      <w:r w:rsidRPr="003D5B85">
        <w:rPr>
          <w:rFonts w:ascii="Book Antiqua" w:hAnsi="Book Antiqua"/>
          <w:sz w:val="24"/>
          <w:szCs w:val="24"/>
        </w:rPr>
        <w:t>Uotani</w:t>
      </w:r>
      <w:proofErr w:type="spellEnd"/>
      <w:r w:rsidRPr="003D5B85">
        <w:rPr>
          <w:rFonts w:ascii="Book Antiqua" w:hAnsi="Book Antiqua"/>
          <w:sz w:val="24"/>
          <w:szCs w:val="24"/>
        </w:rPr>
        <w:t xml:space="preserve"> T, Ichikawa H, </w:t>
      </w:r>
      <w:proofErr w:type="spellStart"/>
      <w:r w:rsidRPr="003D5B85">
        <w:rPr>
          <w:rFonts w:ascii="Book Antiqua" w:hAnsi="Book Antiqua"/>
          <w:sz w:val="24"/>
          <w:szCs w:val="24"/>
        </w:rPr>
        <w:t>Yamade</w:t>
      </w:r>
      <w:proofErr w:type="spellEnd"/>
      <w:r w:rsidRPr="003D5B85">
        <w:rPr>
          <w:rFonts w:ascii="Book Antiqua" w:hAnsi="Book Antiqua"/>
          <w:sz w:val="24"/>
          <w:szCs w:val="24"/>
        </w:rPr>
        <w:t xml:space="preserve"> M, Iwaizumi M, Yamada T, </w:t>
      </w:r>
      <w:proofErr w:type="spellStart"/>
      <w:r w:rsidRPr="003D5B85">
        <w:rPr>
          <w:rFonts w:ascii="Book Antiqua" w:hAnsi="Book Antiqua"/>
          <w:sz w:val="24"/>
          <w:szCs w:val="24"/>
        </w:rPr>
        <w:t>Osawa</w:t>
      </w:r>
      <w:proofErr w:type="spellEnd"/>
      <w:r w:rsidRPr="003D5B85">
        <w:rPr>
          <w:rFonts w:ascii="Book Antiqua" w:hAnsi="Book Antiqua"/>
          <w:sz w:val="24"/>
          <w:szCs w:val="24"/>
        </w:rPr>
        <w:t xml:space="preserve"> S, Sugimoto K, </w:t>
      </w:r>
      <w:proofErr w:type="spellStart"/>
      <w:r w:rsidRPr="003D5B85">
        <w:rPr>
          <w:rFonts w:ascii="Book Antiqua" w:hAnsi="Book Antiqua"/>
          <w:sz w:val="24"/>
          <w:szCs w:val="24"/>
        </w:rPr>
        <w:t>Umemura</w:t>
      </w:r>
      <w:proofErr w:type="spellEnd"/>
      <w:r w:rsidRPr="003D5B85">
        <w:rPr>
          <w:rFonts w:ascii="Book Antiqua" w:hAnsi="Book Antiqua"/>
          <w:sz w:val="24"/>
          <w:szCs w:val="24"/>
        </w:rPr>
        <w:t xml:space="preserve"> K, </w:t>
      </w:r>
      <w:proofErr w:type="spellStart"/>
      <w:r w:rsidRPr="003D5B85">
        <w:rPr>
          <w:rFonts w:ascii="Book Antiqua" w:hAnsi="Book Antiqua"/>
          <w:sz w:val="24"/>
          <w:szCs w:val="24"/>
        </w:rPr>
        <w:t>Miyajima</w:t>
      </w:r>
      <w:proofErr w:type="spellEnd"/>
      <w:r w:rsidRPr="003D5B85">
        <w:rPr>
          <w:rFonts w:ascii="Book Antiqua" w:hAnsi="Book Antiqua"/>
          <w:sz w:val="24"/>
          <w:szCs w:val="24"/>
        </w:rPr>
        <w:t xml:space="preserve"> H, </w:t>
      </w:r>
      <w:proofErr w:type="spellStart"/>
      <w:r w:rsidRPr="003D5B85">
        <w:rPr>
          <w:rFonts w:ascii="Book Antiqua" w:hAnsi="Book Antiqua"/>
          <w:sz w:val="24"/>
          <w:szCs w:val="24"/>
        </w:rPr>
        <w:t>Furuta</w:t>
      </w:r>
      <w:proofErr w:type="spellEnd"/>
      <w:r w:rsidRPr="003D5B85">
        <w:rPr>
          <w:rFonts w:ascii="Book Antiqua" w:hAnsi="Book Antiqua"/>
          <w:sz w:val="24"/>
          <w:szCs w:val="24"/>
        </w:rPr>
        <w:t xml:space="preserve"> T. Twice-daily dosing of esomeprazole effectively inhibits acid secretion in </w:t>
      </w:r>
      <w:r w:rsidRPr="003D5B85">
        <w:rPr>
          <w:rFonts w:ascii="Book Antiqua" w:hAnsi="Book Antiqua"/>
          <w:sz w:val="24"/>
          <w:szCs w:val="24"/>
        </w:rPr>
        <w:lastRenderedPageBreak/>
        <w:t xml:space="preserve">CYP2C19 rapid </w:t>
      </w:r>
      <w:proofErr w:type="spellStart"/>
      <w:r w:rsidRPr="003D5B85">
        <w:rPr>
          <w:rFonts w:ascii="Book Antiqua" w:hAnsi="Book Antiqua"/>
          <w:sz w:val="24"/>
          <w:szCs w:val="24"/>
        </w:rPr>
        <w:t>metabolisers</w:t>
      </w:r>
      <w:proofErr w:type="spellEnd"/>
      <w:r w:rsidRPr="003D5B85">
        <w:rPr>
          <w:rFonts w:ascii="Book Antiqua" w:hAnsi="Book Antiqua"/>
          <w:sz w:val="24"/>
          <w:szCs w:val="24"/>
        </w:rPr>
        <w:t xml:space="preserve"> compared with twice-daily omeprazole, </w:t>
      </w:r>
      <w:proofErr w:type="spellStart"/>
      <w:r w:rsidRPr="003D5B85">
        <w:rPr>
          <w:rFonts w:ascii="Book Antiqua" w:hAnsi="Book Antiqua"/>
          <w:sz w:val="24"/>
          <w:szCs w:val="24"/>
        </w:rPr>
        <w:t>rabeprazole</w:t>
      </w:r>
      <w:proofErr w:type="spellEnd"/>
      <w:r w:rsidRPr="003D5B85">
        <w:rPr>
          <w:rFonts w:ascii="Book Antiqua" w:hAnsi="Book Antiqua"/>
          <w:sz w:val="24"/>
          <w:szCs w:val="24"/>
        </w:rPr>
        <w:t xml:space="preserve"> or </w:t>
      </w:r>
      <w:proofErr w:type="spellStart"/>
      <w:r w:rsidRPr="003D5B85">
        <w:rPr>
          <w:rFonts w:ascii="Book Antiqua" w:hAnsi="Book Antiqua"/>
          <w:sz w:val="24"/>
          <w:szCs w:val="24"/>
        </w:rPr>
        <w:t>lansoprazole</w:t>
      </w:r>
      <w:proofErr w:type="spellEnd"/>
      <w:r w:rsidRPr="003D5B85">
        <w:rPr>
          <w:rFonts w:ascii="Book Antiqua" w:hAnsi="Book Antiqua"/>
          <w:sz w:val="24"/>
          <w:szCs w:val="24"/>
        </w:rPr>
        <w:t xml:space="preserve">. </w:t>
      </w:r>
      <w:r w:rsidRPr="003D5B85">
        <w:rPr>
          <w:rFonts w:ascii="Book Antiqua" w:hAnsi="Book Antiqua"/>
          <w:i/>
          <w:sz w:val="24"/>
          <w:szCs w:val="24"/>
        </w:rPr>
        <w:t xml:space="preserve">Aliment </w:t>
      </w:r>
      <w:proofErr w:type="spellStart"/>
      <w:r w:rsidRPr="003D5B85">
        <w:rPr>
          <w:rFonts w:ascii="Book Antiqua" w:hAnsi="Book Antiqua"/>
          <w:i/>
          <w:sz w:val="24"/>
          <w:szCs w:val="24"/>
        </w:rPr>
        <w:t>Pharmacol</w:t>
      </w:r>
      <w:proofErr w:type="spellEnd"/>
      <w:r w:rsidRPr="003D5B85">
        <w:rPr>
          <w:rFonts w:ascii="Book Antiqua" w:hAnsi="Book Antiqua"/>
          <w:i/>
          <w:sz w:val="24"/>
          <w:szCs w:val="24"/>
        </w:rPr>
        <w:t xml:space="preserve"> </w:t>
      </w:r>
      <w:proofErr w:type="spellStart"/>
      <w:r w:rsidRPr="003D5B85">
        <w:rPr>
          <w:rFonts w:ascii="Book Antiqua" w:hAnsi="Book Antiqua"/>
          <w:i/>
          <w:sz w:val="24"/>
          <w:szCs w:val="24"/>
        </w:rPr>
        <w:t>Ther</w:t>
      </w:r>
      <w:proofErr w:type="spellEnd"/>
      <w:r w:rsidRPr="003D5B85">
        <w:rPr>
          <w:rFonts w:ascii="Book Antiqua" w:hAnsi="Book Antiqua"/>
          <w:sz w:val="24"/>
          <w:szCs w:val="24"/>
        </w:rPr>
        <w:t xml:space="preserve"> 2013; </w:t>
      </w:r>
      <w:r w:rsidRPr="003D5B85">
        <w:rPr>
          <w:rFonts w:ascii="Book Antiqua" w:hAnsi="Book Antiqua"/>
          <w:b/>
          <w:sz w:val="24"/>
          <w:szCs w:val="24"/>
        </w:rPr>
        <w:t>38</w:t>
      </w:r>
      <w:r w:rsidRPr="003D5B85">
        <w:rPr>
          <w:rFonts w:ascii="Book Antiqua" w:hAnsi="Book Antiqua"/>
          <w:sz w:val="24"/>
          <w:szCs w:val="24"/>
        </w:rPr>
        <w:t>: 1129-1137 [PMID: 24099474 DOI: 10.1111/apt.12492]</w:t>
      </w:r>
    </w:p>
    <w:p w14:paraId="55D64C71" w14:textId="77777777" w:rsidR="000A1B63" w:rsidRPr="003D5B85" w:rsidRDefault="000A1B63" w:rsidP="000A1B63">
      <w:pPr>
        <w:spacing w:line="360" w:lineRule="auto"/>
        <w:rPr>
          <w:rFonts w:ascii="Book Antiqua" w:hAnsi="Book Antiqua"/>
          <w:sz w:val="24"/>
          <w:szCs w:val="24"/>
        </w:rPr>
      </w:pPr>
      <w:r w:rsidRPr="003D5B85">
        <w:rPr>
          <w:rFonts w:ascii="Book Antiqua" w:hAnsi="Book Antiqua"/>
          <w:sz w:val="24"/>
          <w:szCs w:val="24"/>
        </w:rPr>
        <w:t xml:space="preserve">47 </w:t>
      </w:r>
      <w:proofErr w:type="spellStart"/>
      <w:r w:rsidRPr="003D5B85">
        <w:rPr>
          <w:rFonts w:ascii="Book Antiqua" w:hAnsi="Book Antiqua"/>
          <w:b/>
          <w:sz w:val="24"/>
          <w:szCs w:val="24"/>
        </w:rPr>
        <w:t>Ishizaki</w:t>
      </w:r>
      <w:proofErr w:type="spellEnd"/>
      <w:r w:rsidRPr="003D5B85">
        <w:rPr>
          <w:rFonts w:ascii="Book Antiqua" w:hAnsi="Book Antiqua"/>
          <w:b/>
          <w:sz w:val="24"/>
          <w:szCs w:val="24"/>
        </w:rPr>
        <w:t xml:space="preserve"> T</w:t>
      </w:r>
      <w:r w:rsidRPr="003D5B85">
        <w:rPr>
          <w:rFonts w:ascii="Book Antiqua" w:hAnsi="Book Antiqua"/>
          <w:sz w:val="24"/>
          <w:szCs w:val="24"/>
        </w:rPr>
        <w:t xml:space="preserve">, </w:t>
      </w:r>
      <w:proofErr w:type="spellStart"/>
      <w:r w:rsidRPr="003D5B85">
        <w:rPr>
          <w:rFonts w:ascii="Book Antiqua" w:hAnsi="Book Antiqua"/>
          <w:sz w:val="24"/>
          <w:szCs w:val="24"/>
        </w:rPr>
        <w:t>Horai</w:t>
      </w:r>
      <w:proofErr w:type="spellEnd"/>
      <w:r w:rsidRPr="003D5B85">
        <w:rPr>
          <w:rFonts w:ascii="Book Antiqua" w:hAnsi="Book Antiqua"/>
          <w:sz w:val="24"/>
          <w:szCs w:val="24"/>
        </w:rPr>
        <w:t xml:space="preserve"> Y. Review article: Cytochrome P450 and the metabolism of proton pump inhibitors--emphasis on </w:t>
      </w:r>
      <w:proofErr w:type="spellStart"/>
      <w:r w:rsidRPr="003D5B85">
        <w:rPr>
          <w:rFonts w:ascii="Book Antiqua" w:hAnsi="Book Antiqua"/>
          <w:sz w:val="24"/>
          <w:szCs w:val="24"/>
        </w:rPr>
        <w:t>rabeprazole</w:t>
      </w:r>
      <w:proofErr w:type="spellEnd"/>
      <w:r w:rsidRPr="003D5B85">
        <w:rPr>
          <w:rFonts w:ascii="Book Antiqua" w:hAnsi="Book Antiqua"/>
          <w:sz w:val="24"/>
          <w:szCs w:val="24"/>
        </w:rPr>
        <w:t xml:space="preserve">. </w:t>
      </w:r>
      <w:r w:rsidRPr="003D5B85">
        <w:rPr>
          <w:rFonts w:ascii="Book Antiqua" w:hAnsi="Book Antiqua"/>
          <w:i/>
          <w:sz w:val="24"/>
          <w:szCs w:val="24"/>
        </w:rPr>
        <w:t xml:space="preserve">Aliment </w:t>
      </w:r>
      <w:proofErr w:type="spellStart"/>
      <w:r w:rsidRPr="003D5B85">
        <w:rPr>
          <w:rFonts w:ascii="Book Antiqua" w:hAnsi="Book Antiqua"/>
          <w:i/>
          <w:sz w:val="24"/>
          <w:szCs w:val="24"/>
        </w:rPr>
        <w:t>Pharmacol</w:t>
      </w:r>
      <w:proofErr w:type="spellEnd"/>
      <w:r w:rsidRPr="003D5B85">
        <w:rPr>
          <w:rFonts w:ascii="Book Antiqua" w:hAnsi="Book Antiqua"/>
          <w:i/>
          <w:sz w:val="24"/>
          <w:szCs w:val="24"/>
        </w:rPr>
        <w:t xml:space="preserve"> </w:t>
      </w:r>
      <w:proofErr w:type="spellStart"/>
      <w:r w:rsidRPr="003D5B85">
        <w:rPr>
          <w:rFonts w:ascii="Book Antiqua" w:hAnsi="Book Antiqua"/>
          <w:i/>
          <w:sz w:val="24"/>
          <w:szCs w:val="24"/>
        </w:rPr>
        <w:t>Ther</w:t>
      </w:r>
      <w:proofErr w:type="spellEnd"/>
      <w:r w:rsidRPr="003D5B85">
        <w:rPr>
          <w:rFonts w:ascii="Book Antiqua" w:hAnsi="Book Antiqua"/>
          <w:sz w:val="24"/>
          <w:szCs w:val="24"/>
        </w:rPr>
        <w:t xml:space="preserve"> 1999; </w:t>
      </w:r>
      <w:r w:rsidRPr="003D5B85">
        <w:rPr>
          <w:rFonts w:ascii="Book Antiqua" w:hAnsi="Book Antiqua"/>
          <w:b/>
          <w:sz w:val="24"/>
          <w:szCs w:val="24"/>
        </w:rPr>
        <w:t xml:space="preserve">13 </w:t>
      </w:r>
      <w:proofErr w:type="spellStart"/>
      <w:r w:rsidRPr="003D5B85">
        <w:rPr>
          <w:rFonts w:ascii="Book Antiqua" w:hAnsi="Book Antiqua"/>
          <w:sz w:val="24"/>
          <w:szCs w:val="24"/>
        </w:rPr>
        <w:t>Suppl</w:t>
      </w:r>
      <w:proofErr w:type="spellEnd"/>
      <w:r w:rsidRPr="003D5B85">
        <w:rPr>
          <w:rFonts w:ascii="Book Antiqua" w:hAnsi="Book Antiqua"/>
          <w:sz w:val="24"/>
          <w:szCs w:val="24"/>
        </w:rPr>
        <w:t xml:space="preserve"> 3: 27-36 [PMID: 10491726 DOI: 10.1046/j.1365-2036.1999.00022.x]</w:t>
      </w:r>
      <w:bookmarkEnd w:id="48"/>
    </w:p>
    <w:p w14:paraId="6BED6927" w14:textId="140CDBFC" w:rsidR="000A1B63" w:rsidRPr="003D5B85" w:rsidRDefault="000A1B63" w:rsidP="000A1B63">
      <w:pPr>
        <w:adjustRightInd w:val="0"/>
        <w:snapToGrid w:val="0"/>
        <w:spacing w:line="360" w:lineRule="auto"/>
        <w:jc w:val="right"/>
        <w:rPr>
          <w:rFonts w:ascii="Book Antiqua" w:eastAsia="宋体" w:hAnsi="Book Antiqua" w:cs="Times New Roman"/>
          <w:color w:val="000000"/>
          <w:sz w:val="24"/>
          <w:szCs w:val="24"/>
        </w:rPr>
      </w:pPr>
      <w:bookmarkStart w:id="60" w:name="OLE_LINK139"/>
      <w:bookmarkStart w:id="61" w:name="OLE_LINK140"/>
      <w:bookmarkStart w:id="62" w:name="OLE_LINK287"/>
      <w:bookmarkStart w:id="63" w:name="OLE_LINK288"/>
      <w:bookmarkStart w:id="64" w:name="OLE_LINK70"/>
      <w:bookmarkStart w:id="65" w:name="OLE_LINK110"/>
      <w:bookmarkStart w:id="66" w:name="OLE_LINK109"/>
      <w:bookmarkStart w:id="67" w:name="OLE_LINK138"/>
      <w:bookmarkStart w:id="68" w:name="OLE_LINK72"/>
      <w:bookmarkStart w:id="69" w:name="OLE_LINK95"/>
      <w:bookmarkStart w:id="70" w:name="OLE_LINK118"/>
      <w:bookmarkStart w:id="71" w:name="OLE_LINK198"/>
      <w:bookmarkStart w:id="72" w:name="OLE_LINK154"/>
      <w:bookmarkStart w:id="73" w:name="OLE_LINK251"/>
      <w:bookmarkStart w:id="74" w:name="OLE_LINK167"/>
      <w:bookmarkStart w:id="75" w:name="OLE_LINK126"/>
      <w:bookmarkStart w:id="76" w:name="OLE_LINK234"/>
      <w:bookmarkStart w:id="77" w:name="OLE_LINK157"/>
      <w:bookmarkStart w:id="78" w:name="OLE_LINK187"/>
      <w:bookmarkStart w:id="79" w:name="OLE_LINK204"/>
      <w:bookmarkStart w:id="80" w:name="OLE_LINK255"/>
      <w:bookmarkStart w:id="81" w:name="OLE_LINK229"/>
      <w:bookmarkStart w:id="82" w:name="OLE_LINK268"/>
      <w:bookmarkStart w:id="83" w:name="OLE_LINK310"/>
      <w:bookmarkStart w:id="84" w:name="OLE_LINK338"/>
      <w:bookmarkStart w:id="85" w:name="OLE_LINK340"/>
      <w:bookmarkStart w:id="86" w:name="OLE_LINK264"/>
      <w:bookmarkStart w:id="87" w:name="OLE_LINK345"/>
      <w:bookmarkStart w:id="88" w:name="OLE_LINK256"/>
      <w:bookmarkStart w:id="89" w:name="OLE_LINK299"/>
      <w:bookmarkStart w:id="90" w:name="OLE_LINK265"/>
      <w:bookmarkStart w:id="91" w:name="OLE_LINK254"/>
      <w:bookmarkStart w:id="92" w:name="OLE_LINK357"/>
      <w:bookmarkStart w:id="93" w:name="OLE_LINK382"/>
      <w:bookmarkStart w:id="94" w:name="OLE_LINK333"/>
      <w:bookmarkStart w:id="95" w:name="OLE_LINK334"/>
      <w:bookmarkStart w:id="96" w:name="OLE_LINK400"/>
      <w:bookmarkStart w:id="97" w:name="OLE_LINK365"/>
      <w:bookmarkStart w:id="98" w:name="OLE_LINK467"/>
      <w:bookmarkStart w:id="99" w:name="OLE_LINK399"/>
      <w:bookmarkStart w:id="100" w:name="OLE_LINK443"/>
      <w:bookmarkStart w:id="101" w:name="OLE_LINK372"/>
      <w:bookmarkStart w:id="102" w:name="OLE_LINK425"/>
      <w:bookmarkStart w:id="103" w:name="OLE_LINK450"/>
      <w:bookmarkStart w:id="104" w:name="OLE_LINK402"/>
      <w:bookmarkStart w:id="105" w:name="OLE_LINK385"/>
      <w:bookmarkStart w:id="106" w:name="OLE_LINK396"/>
      <w:bookmarkStart w:id="107" w:name="OLE_LINK436"/>
      <w:bookmarkStart w:id="108" w:name="OLE_LINK421"/>
      <w:bookmarkStart w:id="109" w:name="OLE_LINK426"/>
      <w:bookmarkStart w:id="110" w:name="OLE_LINK456"/>
      <w:bookmarkStart w:id="111" w:name="OLE_LINK505"/>
      <w:bookmarkStart w:id="112" w:name="OLE_LINK490"/>
      <w:bookmarkStart w:id="113" w:name="OLE_LINK531"/>
      <w:bookmarkStart w:id="114" w:name="OLE_LINK460"/>
      <w:bookmarkStart w:id="115" w:name="OLE_LINK463"/>
      <w:bookmarkStart w:id="116" w:name="OLE_LINK487"/>
      <w:bookmarkStart w:id="117" w:name="OLE_LINK515"/>
      <w:bookmarkStart w:id="118" w:name="OLE_LINK509"/>
      <w:bookmarkStart w:id="119" w:name="OLE_LINK538"/>
      <w:bookmarkStart w:id="120" w:name="OLE_LINK606"/>
      <w:bookmarkStart w:id="121" w:name="OLE_LINK662"/>
      <w:bookmarkStart w:id="122" w:name="OLE_LINK663"/>
      <w:bookmarkStart w:id="123" w:name="OLE_LINK738"/>
      <w:bookmarkStart w:id="124" w:name="OLE_LINK666"/>
      <w:bookmarkStart w:id="125" w:name="OLE_LINK667"/>
      <w:bookmarkStart w:id="126" w:name="OLE_LINK672"/>
      <w:bookmarkStart w:id="127" w:name="OLE_LINK727"/>
      <w:bookmarkStart w:id="128" w:name="OLE_LINK703"/>
      <w:bookmarkStart w:id="129" w:name="OLE_LINK765"/>
      <w:bookmarkStart w:id="130" w:name="OLE_LINK724"/>
      <w:bookmarkStart w:id="131" w:name="OLE_LINK771"/>
      <w:r w:rsidRPr="003D5B85">
        <w:rPr>
          <w:rFonts w:ascii="Book Antiqua" w:eastAsia="宋体" w:hAnsi="Book Antiqua" w:cs="Times New Roman"/>
          <w:b/>
          <w:bCs/>
          <w:color w:val="000000"/>
          <w:sz w:val="24"/>
          <w:szCs w:val="24"/>
        </w:rPr>
        <w:t>P-Reviewer:</w:t>
      </w:r>
      <w:r w:rsidRPr="003D5B85">
        <w:rPr>
          <w:rFonts w:ascii="Book Antiqua" w:eastAsia="宋体" w:hAnsi="Book Antiqua" w:cs="Times New Roman"/>
          <w:bCs/>
          <w:color w:val="000000"/>
          <w:sz w:val="24"/>
          <w:szCs w:val="24"/>
        </w:rPr>
        <w:t xml:space="preserve"> Huang CC, </w:t>
      </w:r>
      <w:proofErr w:type="spellStart"/>
      <w:r w:rsidRPr="003D5B85">
        <w:rPr>
          <w:rFonts w:ascii="Book Antiqua" w:eastAsia="宋体" w:hAnsi="Book Antiqua" w:cs="Times New Roman"/>
          <w:bCs/>
          <w:color w:val="000000"/>
          <w:sz w:val="24"/>
          <w:szCs w:val="24"/>
        </w:rPr>
        <w:t>Osawa</w:t>
      </w:r>
      <w:proofErr w:type="spellEnd"/>
      <w:r w:rsidRPr="003D5B85">
        <w:rPr>
          <w:rFonts w:ascii="Book Antiqua" w:eastAsia="宋体" w:hAnsi="Book Antiqua" w:cs="Times New Roman"/>
          <w:bCs/>
          <w:color w:val="000000"/>
          <w:sz w:val="24"/>
          <w:szCs w:val="24"/>
        </w:rPr>
        <w:t xml:space="preserve"> H, </w:t>
      </w:r>
      <w:proofErr w:type="spellStart"/>
      <w:r w:rsidRPr="003D5B85">
        <w:rPr>
          <w:rFonts w:ascii="Book Antiqua" w:eastAsia="宋体" w:hAnsi="Book Antiqua" w:cs="Times New Roman"/>
          <w:bCs/>
          <w:color w:val="000000"/>
          <w:sz w:val="24"/>
          <w:szCs w:val="24"/>
        </w:rPr>
        <w:t>Ridola</w:t>
      </w:r>
      <w:proofErr w:type="spellEnd"/>
      <w:r w:rsidRPr="003D5B85">
        <w:rPr>
          <w:rFonts w:ascii="Book Antiqua" w:eastAsia="宋体" w:hAnsi="Book Antiqua" w:cs="Times New Roman"/>
          <w:bCs/>
          <w:color w:val="000000"/>
          <w:sz w:val="24"/>
          <w:szCs w:val="24"/>
        </w:rPr>
        <w:t xml:space="preserve"> L </w:t>
      </w:r>
      <w:r w:rsidRPr="003D5B85">
        <w:rPr>
          <w:rFonts w:ascii="Book Antiqua" w:eastAsia="宋体" w:hAnsi="Book Antiqua" w:cs="Times New Roman"/>
          <w:b/>
          <w:bCs/>
          <w:color w:val="000000"/>
          <w:sz w:val="24"/>
          <w:szCs w:val="24"/>
        </w:rPr>
        <w:t>S-Editor:</w:t>
      </w:r>
      <w:r w:rsidRPr="003D5B85">
        <w:rPr>
          <w:rFonts w:ascii="Book Antiqua" w:eastAsia="宋体" w:hAnsi="Book Antiqua" w:cs="Times New Roman"/>
          <w:color w:val="000000"/>
          <w:sz w:val="24"/>
          <w:szCs w:val="24"/>
        </w:rPr>
        <w:t xml:space="preserve"> Yan JP</w:t>
      </w:r>
    </w:p>
    <w:p w14:paraId="0DE7DBCE" w14:textId="0413E90C" w:rsidR="000A1B63" w:rsidRPr="003D5B85" w:rsidRDefault="000A1B63" w:rsidP="00E10932">
      <w:pPr>
        <w:wordWrap w:val="0"/>
        <w:adjustRightInd w:val="0"/>
        <w:snapToGrid w:val="0"/>
        <w:spacing w:line="360" w:lineRule="auto"/>
        <w:jc w:val="right"/>
        <w:rPr>
          <w:rFonts w:ascii="Book Antiqua" w:eastAsia="宋体" w:hAnsi="Book Antiqua" w:cs="Times New Roman"/>
          <w:b/>
          <w:bCs/>
          <w:color w:val="000000"/>
          <w:sz w:val="24"/>
          <w:szCs w:val="24"/>
        </w:rPr>
      </w:pPr>
      <w:r w:rsidRPr="003D5B85">
        <w:rPr>
          <w:rFonts w:ascii="Book Antiqua" w:eastAsia="宋体" w:hAnsi="Book Antiqua" w:cs="Times New Roman"/>
          <w:b/>
          <w:bCs/>
          <w:color w:val="000000"/>
          <w:sz w:val="24"/>
          <w:szCs w:val="24"/>
        </w:rPr>
        <w:t>L-Editor:</w:t>
      </w:r>
      <w:r w:rsidRPr="003D5B85">
        <w:rPr>
          <w:rFonts w:ascii="Book Antiqua" w:eastAsia="宋体" w:hAnsi="Book Antiqua" w:cs="Times New Roman"/>
          <w:color w:val="000000"/>
          <w:sz w:val="24"/>
          <w:szCs w:val="24"/>
        </w:rPr>
        <w:t xml:space="preserve"> </w:t>
      </w:r>
      <w:r w:rsidR="00075E23" w:rsidRPr="003D5B85">
        <w:rPr>
          <w:rFonts w:ascii="Book Antiqua" w:eastAsia="宋体" w:hAnsi="Book Antiqua" w:cs="Times New Roman"/>
          <w:color w:val="000000"/>
          <w:sz w:val="24"/>
          <w:szCs w:val="24"/>
        </w:rPr>
        <w:t xml:space="preserve">Wang TQ </w:t>
      </w:r>
      <w:r w:rsidRPr="003D5B85">
        <w:rPr>
          <w:rFonts w:ascii="Book Antiqua" w:eastAsia="宋体" w:hAnsi="Book Antiqua" w:cs="Times New Roman"/>
          <w:b/>
          <w:bCs/>
          <w:color w:val="000000"/>
          <w:sz w:val="24"/>
          <w:szCs w:val="24"/>
        </w:rPr>
        <w:t>E-Editor:</w:t>
      </w:r>
      <w:r w:rsidR="003D5B85">
        <w:rPr>
          <w:rFonts w:ascii="Book Antiqua" w:eastAsia="宋体" w:hAnsi="Book Antiqua" w:cs="Times New Roman" w:hint="eastAsia"/>
          <w:b/>
          <w:bCs/>
          <w:color w:val="000000"/>
          <w:sz w:val="24"/>
          <w:szCs w:val="24"/>
        </w:rPr>
        <w:t xml:space="preserve"> </w:t>
      </w:r>
      <w:r w:rsidR="003D5B85" w:rsidRPr="003D5B85">
        <w:rPr>
          <w:rFonts w:ascii="Book Antiqua" w:eastAsia="宋体" w:hAnsi="Book Antiqua" w:cs="Times New Roman" w:hint="eastAsia"/>
          <w:bCs/>
          <w:color w:val="000000"/>
          <w:sz w:val="24"/>
          <w:szCs w:val="24"/>
        </w:rPr>
        <w:t>Ma YJ</w:t>
      </w:r>
    </w:p>
    <w:bookmarkEnd w:id="60"/>
    <w:bookmarkEnd w:id="61"/>
    <w:p w14:paraId="70B43051" w14:textId="40EC38D0" w:rsidR="000A1B63" w:rsidRPr="003D5B85" w:rsidRDefault="000A1B63" w:rsidP="000A1B63">
      <w:pPr>
        <w:widowControl/>
        <w:spacing w:line="360" w:lineRule="auto"/>
        <w:rPr>
          <w:rFonts w:ascii="Book Antiqua" w:eastAsia="宋体" w:hAnsi="Book Antiqua" w:cs="宋体"/>
          <w:kern w:val="0"/>
          <w:sz w:val="24"/>
          <w:szCs w:val="24"/>
        </w:rPr>
      </w:pPr>
      <w:r w:rsidRPr="003D5B85">
        <w:rPr>
          <w:rFonts w:ascii="Book Antiqua" w:eastAsia="宋体" w:hAnsi="Book Antiqua" w:cs="宋体"/>
          <w:b/>
          <w:kern w:val="0"/>
          <w:sz w:val="24"/>
          <w:szCs w:val="24"/>
        </w:rPr>
        <w:t xml:space="preserve">Specialty type: </w:t>
      </w:r>
      <w:r w:rsidRPr="003D5B85">
        <w:rPr>
          <w:rFonts w:ascii="Book Antiqua" w:eastAsia="微软雅黑" w:hAnsi="Book Antiqua" w:cs="宋体"/>
          <w:kern w:val="0"/>
          <w:sz w:val="24"/>
          <w:szCs w:val="24"/>
        </w:rPr>
        <w:t>Gastroenterology and hepatology</w:t>
      </w:r>
      <w:r w:rsidRPr="003D5B85">
        <w:rPr>
          <w:rFonts w:ascii="Book Antiqua" w:eastAsia="宋体" w:hAnsi="Book Antiqua" w:cs="宋体"/>
          <w:kern w:val="0"/>
          <w:sz w:val="24"/>
          <w:szCs w:val="24"/>
        </w:rPr>
        <w:t xml:space="preserve"> </w:t>
      </w:r>
      <w:r w:rsidRPr="003D5B85">
        <w:rPr>
          <w:rFonts w:ascii="Book Antiqua" w:eastAsia="宋体" w:hAnsi="Book Antiqua" w:cs="宋体"/>
          <w:kern w:val="0"/>
          <w:sz w:val="24"/>
          <w:szCs w:val="24"/>
        </w:rPr>
        <w:br/>
      </w:r>
      <w:r w:rsidRPr="003D5B85">
        <w:rPr>
          <w:rFonts w:ascii="Book Antiqua" w:eastAsia="宋体" w:hAnsi="Book Antiqua" w:cs="宋体"/>
          <w:b/>
          <w:kern w:val="0"/>
          <w:sz w:val="24"/>
          <w:szCs w:val="24"/>
        </w:rPr>
        <w:t xml:space="preserve">Country of origin: </w:t>
      </w:r>
      <w:r w:rsidRPr="003D5B85">
        <w:rPr>
          <w:rFonts w:ascii="Book Antiqua" w:eastAsia="宋体" w:hAnsi="Book Antiqua" w:cs="宋体"/>
          <w:kern w:val="0"/>
          <w:sz w:val="24"/>
          <w:szCs w:val="24"/>
        </w:rPr>
        <w:t xml:space="preserve">China </w:t>
      </w:r>
      <w:r w:rsidRPr="003D5B85">
        <w:rPr>
          <w:rFonts w:ascii="Book Antiqua" w:eastAsia="宋体" w:hAnsi="Book Antiqua" w:cs="宋体"/>
          <w:kern w:val="0"/>
          <w:sz w:val="24"/>
          <w:szCs w:val="24"/>
        </w:rPr>
        <w:br/>
      </w:r>
      <w:r w:rsidRPr="003D5B85">
        <w:rPr>
          <w:rFonts w:ascii="Book Antiqua" w:eastAsia="宋体" w:hAnsi="Book Antiqua" w:cs="宋体"/>
          <w:b/>
          <w:kern w:val="0"/>
          <w:sz w:val="24"/>
          <w:szCs w:val="24"/>
        </w:rPr>
        <w:t>Peer-review report classification</w:t>
      </w:r>
      <w:r w:rsidRPr="003D5B85">
        <w:rPr>
          <w:rFonts w:ascii="Book Antiqua" w:eastAsia="宋体" w:hAnsi="Book Antiqua" w:cs="宋体"/>
          <w:kern w:val="0"/>
          <w:sz w:val="24"/>
          <w:szCs w:val="24"/>
        </w:rPr>
        <w:br/>
      </w:r>
      <w:r w:rsidRPr="003D5B85">
        <w:rPr>
          <w:rFonts w:ascii="Book Antiqua" w:eastAsia="宋体" w:hAnsi="Book Antiqua" w:cs="宋体"/>
          <w:b/>
          <w:kern w:val="0"/>
          <w:sz w:val="24"/>
          <w:szCs w:val="24"/>
        </w:rPr>
        <w:t xml:space="preserve">Grade A (Excellent): </w:t>
      </w:r>
      <w:r w:rsidRPr="003D5B85">
        <w:rPr>
          <w:rFonts w:ascii="Book Antiqua" w:eastAsia="宋体" w:hAnsi="Book Antiqua" w:cs="宋体"/>
          <w:kern w:val="0"/>
          <w:sz w:val="24"/>
          <w:szCs w:val="24"/>
        </w:rPr>
        <w:t>0</w:t>
      </w:r>
      <w:r w:rsidRPr="003D5B85">
        <w:rPr>
          <w:rFonts w:ascii="Book Antiqua" w:eastAsia="宋体" w:hAnsi="Book Antiqua" w:cs="宋体"/>
          <w:kern w:val="0"/>
          <w:sz w:val="24"/>
          <w:szCs w:val="24"/>
        </w:rPr>
        <w:br/>
      </w:r>
      <w:r w:rsidRPr="003D5B85">
        <w:rPr>
          <w:rFonts w:ascii="Book Antiqua" w:eastAsia="宋体" w:hAnsi="Book Antiqua" w:cs="宋体"/>
          <w:b/>
          <w:kern w:val="0"/>
          <w:sz w:val="24"/>
          <w:szCs w:val="24"/>
        </w:rPr>
        <w:t xml:space="preserve">Grade B (Very good): </w:t>
      </w:r>
      <w:r w:rsidRPr="003D5B85">
        <w:rPr>
          <w:rFonts w:ascii="Book Antiqua" w:eastAsia="宋体" w:hAnsi="Book Antiqua" w:cs="宋体"/>
          <w:kern w:val="0"/>
          <w:sz w:val="24"/>
          <w:szCs w:val="24"/>
        </w:rPr>
        <w:t>0</w:t>
      </w:r>
      <w:r w:rsidRPr="003D5B85">
        <w:rPr>
          <w:rFonts w:ascii="Book Antiqua" w:eastAsia="宋体" w:hAnsi="Book Antiqua" w:cs="宋体"/>
          <w:kern w:val="0"/>
          <w:sz w:val="24"/>
          <w:szCs w:val="24"/>
        </w:rPr>
        <w:br/>
      </w:r>
      <w:r w:rsidRPr="003D5B85">
        <w:rPr>
          <w:rFonts w:ascii="Book Antiqua" w:eastAsia="宋体" w:hAnsi="Book Antiqua" w:cs="宋体"/>
          <w:b/>
          <w:kern w:val="0"/>
          <w:sz w:val="24"/>
          <w:szCs w:val="24"/>
        </w:rPr>
        <w:t xml:space="preserve">Grade C (Good): </w:t>
      </w:r>
      <w:r w:rsidRPr="003D5B85">
        <w:rPr>
          <w:rFonts w:ascii="Book Antiqua" w:eastAsia="宋体" w:hAnsi="Book Antiqua" w:cs="宋体"/>
          <w:kern w:val="0"/>
          <w:sz w:val="24"/>
          <w:szCs w:val="24"/>
        </w:rPr>
        <w:t>C, C, C</w:t>
      </w:r>
      <w:r w:rsidRPr="003D5B85">
        <w:rPr>
          <w:rFonts w:ascii="Book Antiqua" w:eastAsia="宋体" w:hAnsi="Book Antiqua" w:cs="宋体"/>
          <w:kern w:val="0"/>
          <w:sz w:val="24"/>
          <w:szCs w:val="24"/>
        </w:rPr>
        <w:br/>
      </w:r>
      <w:r w:rsidRPr="003D5B85">
        <w:rPr>
          <w:rFonts w:ascii="Book Antiqua" w:eastAsia="宋体" w:hAnsi="Book Antiqua" w:cs="宋体"/>
          <w:b/>
          <w:kern w:val="0"/>
          <w:sz w:val="24"/>
          <w:szCs w:val="24"/>
        </w:rPr>
        <w:t xml:space="preserve">Grade D (Fair): </w:t>
      </w:r>
      <w:r w:rsidRPr="003D5B85">
        <w:rPr>
          <w:rFonts w:ascii="Book Antiqua" w:eastAsia="宋体" w:hAnsi="Book Antiqua" w:cs="宋体"/>
          <w:kern w:val="0"/>
          <w:sz w:val="24"/>
          <w:szCs w:val="24"/>
        </w:rPr>
        <w:t>0</w:t>
      </w:r>
      <w:r w:rsidRPr="003D5B85">
        <w:rPr>
          <w:rFonts w:ascii="Book Antiqua" w:eastAsia="宋体" w:hAnsi="Book Antiqua" w:cs="宋体"/>
          <w:b/>
          <w:kern w:val="0"/>
          <w:sz w:val="24"/>
          <w:szCs w:val="24"/>
        </w:rPr>
        <w:br/>
        <w:t xml:space="preserve">Grade E (Poor): </w:t>
      </w:r>
      <w:r w:rsidRPr="003D5B85">
        <w:rPr>
          <w:rFonts w:ascii="Book Antiqua" w:eastAsia="宋体" w:hAnsi="Book Antiqua" w:cs="宋体"/>
          <w:kern w:val="0"/>
          <w:sz w:val="24"/>
          <w:szCs w:val="24"/>
        </w:rPr>
        <w:t>0</w:t>
      </w:r>
    </w:p>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14:paraId="2563CFDC" w14:textId="77777777" w:rsidR="00C51908" w:rsidRPr="003D5B85" w:rsidRDefault="00C51908" w:rsidP="001C4059">
      <w:pPr>
        <w:spacing w:line="360" w:lineRule="auto"/>
        <w:rPr>
          <w:rFonts w:ascii="Book Antiqua" w:hAnsi="Book Antiqua" w:cs="Times New Roman"/>
          <w:color w:val="000000" w:themeColor="text1"/>
          <w:kern w:val="0"/>
          <w:sz w:val="24"/>
          <w:szCs w:val="24"/>
        </w:rPr>
      </w:pPr>
    </w:p>
    <w:p w14:paraId="3FA54C13" w14:textId="77777777" w:rsidR="002535EB" w:rsidRPr="003D5B85" w:rsidRDefault="002535EB">
      <w:pPr>
        <w:widowControl/>
        <w:jc w:val="left"/>
        <w:rPr>
          <w:rFonts w:ascii="Book Antiqua" w:hAnsi="Book Antiqua" w:cs="Times New Roman"/>
          <w:color w:val="000000" w:themeColor="text1"/>
          <w:kern w:val="0"/>
          <w:sz w:val="24"/>
          <w:szCs w:val="24"/>
        </w:rPr>
        <w:sectPr w:rsidR="002535EB" w:rsidRPr="003D5B85" w:rsidSect="002535EB">
          <w:headerReference w:type="default" r:id="rId9"/>
          <w:type w:val="continuous"/>
          <w:pgSz w:w="12240" w:h="15840"/>
          <w:pgMar w:top="1440" w:right="1800" w:bottom="1440" w:left="1800" w:header="720" w:footer="720" w:gutter="0"/>
          <w:cols w:space="720"/>
          <w:noEndnote/>
          <w:docGrid w:linePitch="286"/>
        </w:sectPr>
      </w:pPr>
      <w:r w:rsidRPr="003D5B85">
        <w:rPr>
          <w:rFonts w:ascii="Book Antiqua" w:hAnsi="Book Antiqua" w:cs="Times New Roman"/>
          <w:color w:val="000000" w:themeColor="text1"/>
          <w:kern w:val="0"/>
          <w:sz w:val="24"/>
          <w:szCs w:val="24"/>
        </w:rPr>
        <w:br w:type="page"/>
      </w:r>
    </w:p>
    <w:p w14:paraId="11CF54CB" w14:textId="4F5E2284" w:rsidR="00C51908" w:rsidRPr="003D5B85" w:rsidRDefault="002535EB" w:rsidP="002535EB">
      <w:pPr>
        <w:widowControl/>
        <w:spacing w:line="360" w:lineRule="auto"/>
        <w:rPr>
          <w:rFonts w:ascii="Book Antiqua" w:hAnsi="Book Antiqua" w:cs="Times New Roman"/>
          <w:color w:val="000000" w:themeColor="text1"/>
          <w:kern w:val="0"/>
          <w:sz w:val="24"/>
          <w:szCs w:val="24"/>
        </w:rPr>
      </w:pPr>
      <w:r w:rsidRPr="003D5B85">
        <w:rPr>
          <w:rFonts w:ascii="Book Antiqua" w:eastAsia="等线" w:hAnsi="Book Antiqua" w:cs="Times New Roman"/>
          <w:b/>
          <w:color w:val="000000" w:themeColor="text1"/>
          <w:kern w:val="0"/>
          <w:sz w:val="24"/>
          <w:szCs w:val="24"/>
        </w:rPr>
        <w:lastRenderedPageBreak/>
        <w:t>Table 1 Characteristics of included studies</w:t>
      </w:r>
    </w:p>
    <w:tbl>
      <w:tblPr>
        <w:tblW w:w="13325" w:type="dxa"/>
        <w:jc w:val="right"/>
        <w:tblLayout w:type="fixed"/>
        <w:tblLook w:val="04A0" w:firstRow="1" w:lastRow="0" w:firstColumn="1" w:lastColumn="0" w:noHBand="0" w:noVBand="1"/>
      </w:tblPr>
      <w:tblGrid>
        <w:gridCol w:w="1418"/>
        <w:gridCol w:w="992"/>
        <w:gridCol w:w="992"/>
        <w:gridCol w:w="1152"/>
        <w:gridCol w:w="975"/>
        <w:gridCol w:w="992"/>
        <w:gridCol w:w="992"/>
        <w:gridCol w:w="992"/>
        <w:gridCol w:w="1134"/>
        <w:gridCol w:w="851"/>
        <w:gridCol w:w="1417"/>
        <w:gridCol w:w="1418"/>
      </w:tblGrid>
      <w:tr w:rsidR="00115F98" w:rsidRPr="003D5B85" w14:paraId="77A25F74" w14:textId="77777777" w:rsidTr="002535EB">
        <w:trPr>
          <w:trHeight w:val="730"/>
          <w:jc w:val="right"/>
        </w:trPr>
        <w:tc>
          <w:tcPr>
            <w:tcW w:w="1418" w:type="dxa"/>
            <w:tcBorders>
              <w:top w:val="single" w:sz="8" w:space="0" w:color="auto"/>
              <w:left w:val="nil"/>
              <w:bottom w:val="single" w:sz="8" w:space="0" w:color="auto"/>
              <w:right w:val="nil"/>
            </w:tcBorders>
            <w:shd w:val="clear" w:color="auto" w:fill="auto"/>
            <w:vAlign w:val="center"/>
            <w:hideMark/>
          </w:tcPr>
          <w:p w14:paraId="15FFD028" w14:textId="3CC98669" w:rsidR="00E079C6" w:rsidRPr="003D5B85" w:rsidRDefault="00E079C6">
            <w:pPr>
              <w:widowControl/>
              <w:spacing w:line="360" w:lineRule="auto"/>
              <w:rPr>
                <w:rFonts w:ascii="Book Antiqua" w:eastAsia="等线" w:hAnsi="Book Antiqua" w:cs="Times New Roman"/>
                <w:b/>
                <w:color w:val="000000" w:themeColor="text1"/>
                <w:kern w:val="0"/>
                <w:sz w:val="18"/>
                <w:szCs w:val="18"/>
              </w:rPr>
            </w:pPr>
            <w:r w:rsidRPr="003D5B85">
              <w:rPr>
                <w:rFonts w:ascii="Book Antiqua" w:eastAsia="等线" w:hAnsi="Book Antiqua" w:cs="Times New Roman"/>
                <w:b/>
                <w:color w:val="000000" w:themeColor="text1"/>
                <w:kern w:val="0"/>
                <w:sz w:val="18"/>
                <w:szCs w:val="18"/>
              </w:rPr>
              <w:t>Author</w:t>
            </w:r>
            <w:r w:rsidR="008D6F67" w:rsidRPr="003D5B85">
              <w:rPr>
                <w:rFonts w:ascii="Book Antiqua" w:eastAsia="等线" w:hAnsi="Book Antiqua" w:cs="Times New Roman"/>
                <w:b/>
                <w:color w:val="000000" w:themeColor="text1"/>
                <w:kern w:val="0"/>
                <w:sz w:val="18"/>
                <w:szCs w:val="18"/>
              </w:rPr>
              <w:t xml:space="preserve">, </w:t>
            </w:r>
            <w:r w:rsidRPr="003D5B85">
              <w:rPr>
                <w:rFonts w:ascii="Book Antiqua" w:eastAsia="等线" w:hAnsi="Book Antiqua" w:cs="Times New Roman"/>
                <w:b/>
                <w:color w:val="000000" w:themeColor="text1"/>
                <w:kern w:val="0"/>
                <w:sz w:val="18"/>
                <w:szCs w:val="18"/>
              </w:rPr>
              <w:t>Year</w:t>
            </w:r>
          </w:p>
        </w:tc>
        <w:tc>
          <w:tcPr>
            <w:tcW w:w="992" w:type="dxa"/>
            <w:tcBorders>
              <w:top w:val="single" w:sz="8" w:space="0" w:color="auto"/>
              <w:left w:val="nil"/>
              <w:bottom w:val="single" w:sz="8" w:space="0" w:color="auto"/>
              <w:right w:val="nil"/>
            </w:tcBorders>
            <w:shd w:val="clear" w:color="auto" w:fill="auto"/>
            <w:vAlign w:val="center"/>
            <w:hideMark/>
          </w:tcPr>
          <w:p w14:paraId="11E15E55" w14:textId="77777777" w:rsidR="00E079C6" w:rsidRPr="003D5B85" w:rsidRDefault="00E079C6" w:rsidP="001C4059">
            <w:pPr>
              <w:widowControl/>
              <w:spacing w:line="360" w:lineRule="auto"/>
              <w:rPr>
                <w:rFonts w:ascii="Book Antiqua" w:eastAsia="等线" w:hAnsi="Book Antiqua" w:cs="Times New Roman"/>
                <w:b/>
                <w:color w:val="000000" w:themeColor="text1"/>
                <w:kern w:val="0"/>
                <w:sz w:val="18"/>
                <w:szCs w:val="18"/>
              </w:rPr>
            </w:pPr>
            <w:r w:rsidRPr="003D5B85">
              <w:rPr>
                <w:rFonts w:ascii="Book Antiqua" w:eastAsia="等线" w:hAnsi="Book Antiqua" w:cs="Times New Roman"/>
                <w:b/>
                <w:color w:val="000000" w:themeColor="text1"/>
                <w:kern w:val="0"/>
                <w:sz w:val="18"/>
                <w:szCs w:val="18"/>
              </w:rPr>
              <w:t>Location</w:t>
            </w:r>
          </w:p>
        </w:tc>
        <w:tc>
          <w:tcPr>
            <w:tcW w:w="992" w:type="dxa"/>
            <w:tcBorders>
              <w:top w:val="single" w:sz="8" w:space="0" w:color="auto"/>
              <w:left w:val="nil"/>
              <w:bottom w:val="single" w:sz="8" w:space="0" w:color="auto"/>
              <w:right w:val="nil"/>
            </w:tcBorders>
            <w:shd w:val="clear" w:color="auto" w:fill="auto"/>
            <w:vAlign w:val="center"/>
            <w:hideMark/>
          </w:tcPr>
          <w:p w14:paraId="0DECA784" w14:textId="77777777" w:rsidR="00E079C6" w:rsidRPr="003D5B85" w:rsidRDefault="00E079C6" w:rsidP="001C4059">
            <w:pPr>
              <w:widowControl/>
              <w:spacing w:line="360" w:lineRule="auto"/>
              <w:rPr>
                <w:rFonts w:ascii="Book Antiqua" w:eastAsia="等线" w:hAnsi="Book Antiqua" w:cs="Times New Roman"/>
                <w:b/>
                <w:color w:val="000000" w:themeColor="text1"/>
                <w:kern w:val="0"/>
                <w:sz w:val="18"/>
                <w:szCs w:val="18"/>
              </w:rPr>
            </w:pPr>
            <w:r w:rsidRPr="003D5B85">
              <w:rPr>
                <w:rFonts w:ascii="Book Antiqua" w:eastAsia="等线" w:hAnsi="Book Antiqua" w:cs="Times New Roman"/>
                <w:b/>
                <w:color w:val="000000" w:themeColor="text1"/>
                <w:kern w:val="0"/>
                <w:sz w:val="18"/>
                <w:szCs w:val="18"/>
              </w:rPr>
              <w:t>Design</w:t>
            </w:r>
          </w:p>
        </w:tc>
        <w:tc>
          <w:tcPr>
            <w:tcW w:w="1152" w:type="dxa"/>
            <w:tcBorders>
              <w:top w:val="single" w:sz="8" w:space="0" w:color="auto"/>
              <w:left w:val="nil"/>
              <w:bottom w:val="single" w:sz="8" w:space="0" w:color="auto"/>
              <w:right w:val="nil"/>
            </w:tcBorders>
            <w:shd w:val="clear" w:color="auto" w:fill="auto"/>
            <w:vAlign w:val="center"/>
            <w:hideMark/>
          </w:tcPr>
          <w:p w14:paraId="4AE3351D" w14:textId="4CD5AC61" w:rsidR="00E079C6" w:rsidRPr="003D5B85" w:rsidRDefault="00E079C6" w:rsidP="001C4059">
            <w:pPr>
              <w:widowControl/>
              <w:spacing w:line="360" w:lineRule="auto"/>
              <w:rPr>
                <w:rFonts w:ascii="Book Antiqua" w:eastAsia="等线" w:hAnsi="Book Antiqua" w:cs="Times New Roman"/>
                <w:b/>
                <w:color w:val="000000" w:themeColor="text1"/>
                <w:kern w:val="0"/>
                <w:sz w:val="18"/>
                <w:szCs w:val="18"/>
              </w:rPr>
            </w:pPr>
            <w:r w:rsidRPr="003D5B85">
              <w:rPr>
                <w:rFonts w:ascii="Book Antiqua" w:eastAsia="等线" w:hAnsi="Book Antiqua" w:cs="Times New Roman"/>
                <w:b/>
                <w:color w:val="000000" w:themeColor="text1"/>
                <w:kern w:val="0"/>
                <w:sz w:val="18"/>
                <w:szCs w:val="18"/>
              </w:rPr>
              <w:t xml:space="preserve">No. </w:t>
            </w:r>
            <w:r w:rsidR="008D6F67" w:rsidRPr="003D5B85">
              <w:rPr>
                <w:rFonts w:ascii="Book Antiqua" w:eastAsia="等线" w:hAnsi="Book Antiqua" w:cs="Times New Roman"/>
                <w:b/>
                <w:color w:val="000000" w:themeColor="text1"/>
                <w:kern w:val="0"/>
                <w:sz w:val="18"/>
                <w:szCs w:val="18"/>
              </w:rPr>
              <w:t xml:space="preserve">of </w:t>
            </w:r>
            <w:r w:rsidRPr="003D5B85">
              <w:rPr>
                <w:rFonts w:ascii="Book Antiqua" w:eastAsia="等线" w:hAnsi="Book Antiqua" w:cs="Times New Roman"/>
                <w:b/>
                <w:color w:val="000000" w:themeColor="text1"/>
                <w:kern w:val="0"/>
                <w:sz w:val="18"/>
                <w:szCs w:val="18"/>
              </w:rPr>
              <w:t>case</w:t>
            </w:r>
            <w:r w:rsidR="008D6F67" w:rsidRPr="003D5B85">
              <w:rPr>
                <w:rFonts w:ascii="Book Antiqua" w:eastAsia="等线" w:hAnsi="Book Antiqua" w:cs="Times New Roman"/>
                <w:b/>
                <w:color w:val="000000" w:themeColor="text1"/>
                <w:kern w:val="0"/>
                <w:sz w:val="18"/>
                <w:szCs w:val="18"/>
              </w:rPr>
              <w:t>s</w:t>
            </w:r>
            <w:r w:rsidRPr="003D5B85">
              <w:rPr>
                <w:rFonts w:ascii="Book Antiqua" w:eastAsia="等线" w:hAnsi="Book Antiqua" w:cs="Times New Roman"/>
                <w:b/>
                <w:color w:val="000000" w:themeColor="text1"/>
                <w:kern w:val="0"/>
                <w:sz w:val="18"/>
                <w:szCs w:val="18"/>
              </w:rPr>
              <w:t>/control</w:t>
            </w:r>
            <w:r w:rsidR="008D6F67" w:rsidRPr="003D5B85">
              <w:rPr>
                <w:rFonts w:ascii="Book Antiqua" w:eastAsia="等线" w:hAnsi="Book Antiqua" w:cs="Times New Roman"/>
                <w:b/>
                <w:color w:val="000000" w:themeColor="text1"/>
                <w:kern w:val="0"/>
                <w:sz w:val="18"/>
                <w:szCs w:val="18"/>
              </w:rPr>
              <w:t>s</w:t>
            </w:r>
            <w:r w:rsidRPr="003D5B85">
              <w:rPr>
                <w:rFonts w:ascii="Book Antiqua" w:eastAsia="等线" w:hAnsi="Book Antiqua" w:cs="Times New Roman"/>
                <w:b/>
                <w:color w:val="000000" w:themeColor="text1"/>
                <w:kern w:val="0"/>
                <w:sz w:val="18"/>
                <w:szCs w:val="18"/>
              </w:rPr>
              <w:t xml:space="preserve"> </w:t>
            </w:r>
          </w:p>
        </w:tc>
        <w:tc>
          <w:tcPr>
            <w:tcW w:w="975" w:type="dxa"/>
            <w:tcBorders>
              <w:top w:val="single" w:sz="8" w:space="0" w:color="auto"/>
              <w:left w:val="nil"/>
              <w:bottom w:val="single" w:sz="8" w:space="0" w:color="auto"/>
              <w:right w:val="nil"/>
            </w:tcBorders>
            <w:shd w:val="clear" w:color="auto" w:fill="auto"/>
            <w:vAlign w:val="center"/>
            <w:hideMark/>
          </w:tcPr>
          <w:p w14:paraId="0979824A" w14:textId="021B4FFE" w:rsidR="00E079C6" w:rsidRPr="003D5B85" w:rsidRDefault="00E079C6" w:rsidP="00E10932">
            <w:pPr>
              <w:widowControl/>
              <w:spacing w:line="360" w:lineRule="auto"/>
              <w:ind w:left="90" w:hangingChars="50" w:hanging="90"/>
              <w:rPr>
                <w:rFonts w:ascii="Book Antiqua" w:eastAsia="等线" w:hAnsi="Book Antiqua" w:cs="Times New Roman"/>
                <w:b/>
                <w:color w:val="000000" w:themeColor="text1"/>
                <w:kern w:val="0"/>
                <w:sz w:val="18"/>
                <w:szCs w:val="18"/>
              </w:rPr>
            </w:pPr>
            <w:r w:rsidRPr="003D5B85">
              <w:rPr>
                <w:rFonts w:ascii="Book Antiqua" w:eastAsia="等线" w:hAnsi="Book Antiqua" w:cs="Times New Roman"/>
                <w:b/>
                <w:color w:val="000000" w:themeColor="text1"/>
                <w:kern w:val="0"/>
                <w:sz w:val="18"/>
                <w:szCs w:val="18"/>
              </w:rPr>
              <w:t xml:space="preserve">Age </w:t>
            </w:r>
            <w:r w:rsidR="008D6F67" w:rsidRPr="003D5B85">
              <w:rPr>
                <w:rFonts w:ascii="Book Antiqua" w:eastAsia="等线" w:hAnsi="Book Antiqua" w:cs="Times New Roman"/>
                <w:b/>
                <w:color w:val="000000" w:themeColor="text1"/>
                <w:kern w:val="0"/>
                <w:sz w:val="18"/>
                <w:szCs w:val="18"/>
              </w:rPr>
              <w:t xml:space="preserve">of </w:t>
            </w:r>
            <w:r w:rsidRPr="003D5B85">
              <w:rPr>
                <w:rFonts w:ascii="Book Antiqua" w:eastAsia="等线" w:hAnsi="Book Antiqua" w:cs="Times New Roman"/>
                <w:b/>
                <w:color w:val="000000" w:themeColor="text1"/>
                <w:kern w:val="0"/>
                <w:sz w:val="18"/>
                <w:szCs w:val="18"/>
              </w:rPr>
              <w:t>case</w:t>
            </w:r>
            <w:r w:rsidR="008D6F67" w:rsidRPr="003D5B85">
              <w:rPr>
                <w:rFonts w:ascii="Book Antiqua" w:eastAsia="等线" w:hAnsi="Book Antiqua" w:cs="Times New Roman"/>
                <w:b/>
                <w:color w:val="000000" w:themeColor="text1"/>
                <w:kern w:val="0"/>
                <w:sz w:val="18"/>
                <w:szCs w:val="18"/>
              </w:rPr>
              <w:t>s</w:t>
            </w:r>
            <w:r w:rsidRPr="003D5B85">
              <w:rPr>
                <w:rFonts w:ascii="Book Antiqua" w:eastAsia="等线" w:hAnsi="Book Antiqua" w:cs="Times New Roman"/>
                <w:b/>
                <w:color w:val="000000" w:themeColor="text1"/>
                <w:kern w:val="0"/>
                <w:sz w:val="18"/>
                <w:szCs w:val="18"/>
              </w:rPr>
              <w:t>/control</w:t>
            </w:r>
            <w:r w:rsidR="008D6F67" w:rsidRPr="003D5B85">
              <w:rPr>
                <w:rFonts w:ascii="Book Antiqua" w:eastAsia="等线" w:hAnsi="Book Antiqua" w:cs="Times New Roman"/>
                <w:b/>
                <w:color w:val="000000" w:themeColor="text1"/>
                <w:kern w:val="0"/>
                <w:sz w:val="18"/>
                <w:szCs w:val="18"/>
              </w:rPr>
              <w:t>s</w:t>
            </w:r>
            <w:r w:rsidRPr="003D5B85">
              <w:rPr>
                <w:rFonts w:ascii="Book Antiqua" w:eastAsia="等线" w:hAnsi="Book Antiqua" w:cs="Times New Roman"/>
                <w:b/>
                <w:color w:val="000000" w:themeColor="text1"/>
                <w:kern w:val="0"/>
                <w:sz w:val="18"/>
                <w:szCs w:val="18"/>
              </w:rPr>
              <w:t xml:space="preserve"> </w:t>
            </w:r>
          </w:p>
        </w:tc>
        <w:tc>
          <w:tcPr>
            <w:tcW w:w="992" w:type="dxa"/>
            <w:tcBorders>
              <w:top w:val="single" w:sz="8" w:space="0" w:color="auto"/>
              <w:left w:val="nil"/>
              <w:bottom w:val="single" w:sz="8" w:space="0" w:color="auto"/>
              <w:right w:val="nil"/>
            </w:tcBorders>
            <w:shd w:val="clear" w:color="auto" w:fill="auto"/>
            <w:vAlign w:val="center"/>
            <w:hideMark/>
          </w:tcPr>
          <w:p w14:paraId="158801D0" w14:textId="45C98703" w:rsidR="00E079C6" w:rsidRPr="003D5B85" w:rsidRDefault="00E079C6" w:rsidP="001C4059">
            <w:pPr>
              <w:widowControl/>
              <w:spacing w:line="360" w:lineRule="auto"/>
              <w:rPr>
                <w:rFonts w:ascii="Book Antiqua" w:eastAsia="等线" w:hAnsi="Book Antiqua" w:cs="Times New Roman"/>
                <w:b/>
                <w:color w:val="000000" w:themeColor="text1"/>
                <w:kern w:val="0"/>
                <w:sz w:val="18"/>
                <w:szCs w:val="18"/>
              </w:rPr>
            </w:pPr>
            <w:r w:rsidRPr="003D5B85">
              <w:rPr>
                <w:rFonts w:ascii="Book Antiqua" w:eastAsia="等线" w:hAnsi="Book Antiqua" w:cs="Times New Roman"/>
                <w:b/>
                <w:color w:val="000000" w:themeColor="text1"/>
                <w:kern w:val="0"/>
                <w:sz w:val="18"/>
                <w:szCs w:val="18"/>
              </w:rPr>
              <w:t>Sex (% male) case</w:t>
            </w:r>
            <w:r w:rsidR="008D6F67" w:rsidRPr="003D5B85">
              <w:rPr>
                <w:rFonts w:ascii="Book Antiqua" w:eastAsia="等线" w:hAnsi="Book Antiqua" w:cs="Times New Roman"/>
                <w:b/>
                <w:color w:val="000000" w:themeColor="text1"/>
                <w:kern w:val="0"/>
                <w:sz w:val="18"/>
                <w:szCs w:val="18"/>
              </w:rPr>
              <w:t>s</w:t>
            </w:r>
            <w:r w:rsidRPr="003D5B85">
              <w:rPr>
                <w:rFonts w:ascii="Book Antiqua" w:eastAsia="等线" w:hAnsi="Book Antiqua" w:cs="Times New Roman"/>
                <w:b/>
                <w:color w:val="000000" w:themeColor="text1"/>
                <w:kern w:val="0"/>
                <w:sz w:val="18"/>
                <w:szCs w:val="18"/>
              </w:rPr>
              <w:t>/control</w:t>
            </w:r>
            <w:r w:rsidR="008D6F67" w:rsidRPr="003D5B85">
              <w:rPr>
                <w:rFonts w:ascii="Book Antiqua" w:eastAsia="等线" w:hAnsi="Book Antiqua" w:cs="Times New Roman"/>
                <w:b/>
                <w:color w:val="000000" w:themeColor="text1"/>
                <w:kern w:val="0"/>
                <w:sz w:val="18"/>
                <w:szCs w:val="18"/>
              </w:rPr>
              <w:t>s</w:t>
            </w:r>
            <w:r w:rsidRPr="003D5B85">
              <w:rPr>
                <w:rFonts w:ascii="Book Antiqua" w:eastAsia="等线" w:hAnsi="Book Antiqua" w:cs="Times New Roman"/>
                <w:b/>
                <w:color w:val="000000" w:themeColor="text1"/>
                <w:kern w:val="0"/>
                <w:sz w:val="18"/>
                <w:szCs w:val="18"/>
              </w:rPr>
              <w:t xml:space="preserve"> </w:t>
            </w:r>
          </w:p>
        </w:tc>
        <w:tc>
          <w:tcPr>
            <w:tcW w:w="992" w:type="dxa"/>
            <w:tcBorders>
              <w:top w:val="single" w:sz="8" w:space="0" w:color="auto"/>
              <w:left w:val="nil"/>
              <w:bottom w:val="single" w:sz="8" w:space="0" w:color="auto"/>
              <w:right w:val="nil"/>
            </w:tcBorders>
            <w:shd w:val="clear" w:color="auto" w:fill="auto"/>
            <w:vAlign w:val="center"/>
            <w:hideMark/>
          </w:tcPr>
          <w:p w14:paraId="1DBA537E" w14:textId="6DCAE173" w:rsidR="00E079C6" w:rsidRPr="003D5B85" w:rsidRDefault="00E079C6" w:rsidP="001C4059">
            <w:pPr>
              <w:widowControl/>
              <w:spacing w:line="360" w:lineRule="auto"/>
              <w:rPr>
                <w:rFonts w:ascii="Book Antiqua" w:eastAsia="等线" w:hAnsi="Book Antiqua" w:cs="Times New Roman"/>
                <w:b/>
                <w:color w:val="000000" w:themeColor="text1"/>
                <w:kern w:val="0"/>
                <w:sz w:val="18"/>
                <w:szCs w:val="18"/>
              </w:rPr>
            </w:pPr>
            <w:r w:rsidRPr="003D5B85">
              <w:rPr>
                <w:rFonts w:ascii="Book Antiqua" w:eastAsia="等线" w:hAnsi="Book Antiqua" w:cs="Times New Roman"/>
                <w:b/>
                <w:color w:val="000000" w:themeColor="text1"/>
                <w:kern w:val="0"/>
                <w:sz w:val="18"/>
                <w:szCs w:val="18"/>
              </w:rPr>
              <w:t>Type of liver disease</w:t>
            </w:r>
          </w:p>
        </w:tc>
        <w:tc>
          <w:tcPr>
            <w:tcW w:w="992" w:type="dxa"/>
            <w:tcBorders>
              <w:top w:val="single" w:sz="8" w:space="0" w:color="auto"/>
              <w:left w:val="nil"/>
              <w:bottom w:val="single" w:sz="8" w:space="0" w:color="auto"/>
              <w:right w:val="nil"/>
            </w:tcBorders>
            <w:shd w:val="clear" w:color="auto" w:fill="auto"/>
            <w:vAlign w:val="center"/>
            <w:hideMark/>
          </w:tcPr>
          <w:p w14:paraId="1021D4D4" w14:textId="77777777" w:rsidR="00E079C6" w:rsidRPr="003D5B85" w:rsidRDefault="00E079C6" w:rsidP="001C4059">
            <w:pPr>
              <w:widowControl/>
              <w:spacing w:line="360" w:lineRule="auto"/>
              <w:rPr>
                <w:rFonts w:ascii="Book Antiqua" w:eastAsia="等线" w:hAnsi="Book Antiqua" w:cs="Times New Roman"/>
                <w:b/>
                <w:color w:val="000000" w:themeColor="text1"/>
                <w:kern w:val="0"/>
                <w:sz w:val="18"/>
                <w:szCs w:val="18"/>
              </w:rPr>
            </w:pPr>
            <w:r w:rsidRPr="003D5B85">
              <w:rPr>
                <w:rFonts w:ascii="Book Antiqua" w:eastAsia="等线" w:hAnsi="Book Antiqua" w:cs="Times New Roman"/>
                <w:b/>
                <w:color w:val="000000" w:themeColor="text1"/>
                <w:kern w:val="0"/>
                <w:sz w:val="18"/>
                <w:szCs w:val="18"/>
              </w:rPr>
              <w:t>Outcomes analyzed</w:t>
            </w:r>
          </w:p>
        </w:tc>
        <w:tc>
          <w:tcPr>
            <w:tcW w:w="1134" w:type="dxa"/>
            <w:tcBorders>
              <w:top w:val="single" w:sz="8" w:space="0" w:color="auto"/>
              <w:left w:val="nil"/>
              <w:bottom w:val="single" w:sz="8" w:space="0" w:color="auto"/>
              <w:right w:val="nil"/>
            </w:tcBorders>
            <w:shd w:val="clear" w:color="auto" w:fill="auto"/>
            <w:vAlign w:val="center"/>
            <w:hideMark/>
          </w:tcPr>
          <w:p w14:paraId="7CEE8A80" w14:textId="77777777" w:rsidR="00E079C6" w:rsidRPr="003D5B85" w:rsidRDefault="00E079C6" w:rsidP="001C4059">
            <w:pPr>
              <w:widowControl/>
              <w:spacing w:line="360" w:lineRule="auto"/>
              <w:rPr>
                <w:rFonts w:ascii="Book Antiqua" w:eastAsia="等线" w:hAnsi="Book Antiqua" w:cs="Times New Roman"/>
                <w:b/>
                <w:color w:val="000000" w:themeColor="text1"/>
                <w:kern w:val="0"/>
                <w:sz w:val="18"/>
                <w:szCs w:val="18"/>
              </w:rPr>
            </w:pPr>
            <w:r w:rsidRPr="003D5B85">
              <w:rPr>
                <w:rFonts w:ascii="Book Antiqua" w:eastAsia="等线" w:hAnsi="Book Antiqua" w:cs="Times New Roman"/>
                <w:b/>
                <w:color w:val="000000" w:themeColor="text1"/>
                <w:kern w:val="0"/>
                <w:sz w:val="18"/>
                <w:szCs w:val="18"/>
              </w:rPr>
              <w:t xml:space="preserve">Definition of PPI use </w:t>
            </w:r>
          </w:p>
        </w:tc>
        <w:tc>
          <w:tcPr>
            <w:tcW w:w="851" w:type="dxa"/>
            <w:tcBorders>
              <w:top w:val="single" w:sz="8" w:space="0" w:color="auto"/>
              <w:left w:val="nil"/>
              <w:bottom w:val="single" w:sz="8" w:space="0" w:color="auto"/>
              <w:right w:val="nil"/>
            </w:tcBorders>
            <w:shd w:val="clear" w:color="auto" w:fill="auto"/>
            <w:vAlign w:val="center"/>
            <w:hideMark/>
          </w:tcPr>
          <w:p w14:paraId="66444742" w14:textId="77777777" w:rsidR="00E079C6" w:rsidRPr="003D5B85" w:rsidRDefault="00E079C6" w:rsidP="001C4059">
            <w:pPr>
              <w:widowControl/>
              <w:spacing w:line="360" w:lineRule="auto"/>
              <w:rPr>
                <w:rFonts w:ascii="Book Antiqua" w:eastAsia="等线" w:hAnsi="Book Antiqua" w:cs="Times New Roman"/>
                <w:b/>
                <w:color w:val="000000" w:themeColor="text1"/>
                <w:kern w:val="0"/>
                <w:sz w:val="18"/>
                <w:szCs w:val="18"/>
              </w:rPr>
            </w:pPr>
            <w:r w:rsidRPr="003D5B85">
              <w:rPr>
                <w:rFonts w:ascii="Book Antiqua" w:eastAsia="等线" w:hAnsi="Book Antiqua" w:cs="Times New Roman"/>
                <w:b/>
                <w:color w:val="000000" w:themeColor="text1"/>
                <w:kern w:val="0"/>
                <w:sz w:val="18"/>
                <w:szCs w:val="18"/>
              </w:rPr>
              <w:t>Follow-up time</w:t>
            </w:r>
          </w:p>
        </w:tc>
        <w:tc>
          <w:tcPr>
            <w:tcW w:w="1417" w:type="dxa"/>
            <w:tcBorders>
              <w:top w:val="single" w:sz="8" w:space="0" w:color="auto"/>
              <w:left w:val="nil"/>
              <w:bottom w:val="single" w:sz="8" w:space="0" w:color="auto"/>
              <w:right w:val="nil"/>
            </w:tcBorders>
            <w:shd w:val="clear" w:color="auto" w:fill="auto"/>
            <w:vAlign w:val="center"/>
            <w:hideMark/>
          </w:tcPr>
          <w:p w14:paraId="646EAB6E" w14:textId="77777777" w:rsidR="00E079C6" w:rsidRPr="003D5B85" w:rsidRDefault="00E079C6" w:rsidP="001C4059">
            <w:pPr>
              <w:widowControl/>
              <w:spacing w:line="360" w:lineRule="auto"/>
              <w:rPr>
                <w:rFonts w:ascii="Book Antiqua" w:eastAsia="等线" w:hAnsi="Book Antiqua" w:cs="Times New Roman"/>
                <w:b/>
                <w:color w:val="000000" w:themeColor="text1"/>
                <w:kern w:val="0"/>
                <w:sz w:val="18"/>
                <w:szCs w:val="18"/>
              </w:rPr>
            </w:pPr>
            <w:r w:rsidRPr="003D5B85">
              <w:rPr>
                <w:rFonts w:ascii="Book Antiqua" w:eastAsia="等线" w:hAnsi="Book Antiqua" w:cs="Times New Roman"/>
                <w:b/>
                <w:color w:val="000000" w:themeColor="text1"/>
                <w:kern w:val="0"/>
                <w:sz w:val="18"/>
                <w:szCs w:val="18"/>
              </w:rPr>
              <w:t>Adjusted factors</w:t>
            </w:r>
          </w:p>
        </w:tc>
        <w:tc>
          <w:tcPr>
            <w:tcW w:w="1418" w:type="dxa"/>
            <w:tcBorders>
              <w:top w:val="single" w:sz="8" w:space="0" w:color="auto"/>
              <w:left w:val="nil"/>
              <w:bottom w:val="single" w:sz="8" w:space="0" w:color="auto"/>
              <w:right w:val="nil"/>
            </w:tcBorders>
            <w:shd w:val="clear" w:color="auto" w:fill="auto"/>
            <w:vAlign w:val="center"/>
            <w:hideMark/>
          </w:tcPr>
          <w:p w14:paraId="04B38FDA" w14:textId="77777777" w:rsidR="00E079C6" w:rsidRPr="003D5B85" w:rsidRDefault="00E079C6" w:rsidP="001C4059">
            <w:pPr>
              <w:widowControl/>
              <w:spacing w:line="360" w:lineRule="auto"/>
              <w:rPr>
                <w:rFonts w:ascii="Book Antiqua" w:eastAsia="等线" w:hAnsi="Book Antiqua" w:cs="Times New Roman"/>
                <w:b/>
                <w:color w:val="000000" w:themeColor="text1"/>
                <w:kern w:val="0"/>
                <w:sz w:val="18"/>
                <w:szCs w:val="18"/>
              </w:rPr>
            </w:pPr>
            <w:r w:rsidRPr="003D5B85">
              <w:rPr>
                <w:rFonts w:ascii="Book Antiqua" w:eastAsia="等线" w:hAnsi="Book Antiqua" w:cs="Times New Roman"/>
                <w:b/>
                <w:color w:val="000000" w:themeColor="text1"/>
                <w:kern w:val="0"/>
                <w:sz w:val="18"/>
                <w:szCs w:val="18"/>
              </w:rPr>
              <w:t>Quality score</w:t>
            </w:r>
          </w:p>
        </w:tc>
      </w:tr>
      <w:tr w:rsidR="00115F98" w:rsidRPr="003D5B85" w14:paraId="0F90AAD7" w14:textId="77777777" w:rsidTr="002535EB">
        <w:trPr>
          <w:trHeight w:val="1740"/>
          <w:jc w:val="right"/>
        </w:trPr>
        <w:tc>
          <w:tcPr>
            <w:tcW w:w="1418" w:type="dxa"/>
            <w:tcBorders>
              <w:top w:val="nil"/>
              <w:left w:val="nil"/>
              <w:bottom w:val="nil"/>
              <w:right w:val="nil"/>
            </w:tcBorders>
            <w:shd w:val="clear" w:color="auto" w:fill="auto"/>
            <w:vAlign w:val="center"/>
            <w:hideMark/>
          </w:tcPr>
          <w:p w14:paraId="2B34ED5D" w14:textId="3CEEFA70"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 xml:space="preserve">Lin </w:t>
            </w:r>
            <w:r w:rsidRPr="003D5B85">
              <w:rPr>
                <w:rFonts w:ascii="Book Antiqua" w:eastAsia="等线" w:hAnsi="Book Antiqua" w:cs="Times New Roman"/>
                <w:i/>
                <w:color w:val="000000" w:themeColor="text1"/>
                <w:kern w:val="0"/>
                <w:sz w:val="18"/>
                <w:szCs w:val="18"/>
              </w:rPr>
              <w:t>et al</w:t>
            </w:r>
            <w:r w:rsidR="002535EB" w:rsidRPr="003D5B85">
              <w:rPr>
                <w:rFonts w:ascii="Book Antiqua" w:eastAsia="等线" w:hAnsi="Book Antiqua" w:cs="Times New Roman"/>
                <w:color w:val="000000" w:themeColor="text1"/>
                <w:kern w:val="0"/>
                <w:sz w:val="18"/>
                <w:szCs w:val="18"/>
                <w:vertAlign w:val="superscript"/>
              </w:rPr>
              <w:t>[18]</w:t>
            </w:r>
            <w:r w:rsidR="002535EB" w:rsidRPr="003D5B85">
              <w:rPr>
                <w:rFonts w:ascii="Book Antiqua" w:eastAsia="等线" w:hAnsi="Book Antiqua" w:cs="Times New Roman"/>
                <w:color w:val="000000" w:themeColor="text1"/>
                <w:kern w:val="0"/>
                <w:sz w:val="18"/>
                <w:szCs w:val="18"/>
              </w:rPr>
              <w:t>,</w:t>
            </w:r>
            <w:r w:rsidRPr="003D5B85">
              <w:rPr>
                <w:rFonts w:ascii="Book Antiqua" w:eastAsia="等线" w:hAnsi="Book Antiqua" w:cs="Times New Roman"/>
                <w:color w:val="000000" w:themeColor="text1"/>
                <w:kern w:val="0"/>
                <w:sz w:val="18"/>
                <w:szCs w:val="18"/>
              </w:rPr>
              <w:t xml:space="preserve"> 2014 </w:t>
            </w:r>
          </w:p>
        </w:tc>
        <w:tc>
          <w:tcPr>
            <w:tcW w:w="992" w:type="dxa"/>
            <w:tcBorders>
              <w:top w:val="nil"/>
              <w:left w:val="nil"/>
              <w:bottom w:val="nil"/>
              <w:right w:val="nil"/>
            </w:tcBorders>
            <w:shd w:val="clear" w:color="auto" w:fill="auto"/>
            <w:vAlign w:val="center"/>
            <w:hideMark/>
          </w:tcPr>
          <w:p w14:paraId="2882C4F4"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China</w:t>
            </w:r>
          </w:p>
        </w:tc>
        <w:tc>
          <w:tcPr>
            <w:tcW w:w="992" w:type="dxa"/>
            <w:tcBorders>
              <w:top w:val="nil"/>
              <w:left w:val="nil"/>
              <w:bottom w:val="nil"/>
              <w:right w:val="nil"/>
            </w:tcBorders>
            <w:shd w:val="clear" w:color="auto" w:fill="auto"/>
            <w:vAlign w:val="center"/>
            <w:hideMark/>
          </w:tcPr>
          <w:p w14:paraId="3BCA9903" w14:textId="1A363AB2" w:rsidR="00E079C6" w:rsidRPr="003D5B85" w:rsidRDefault="008D6F67"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Case</w:t>
            </w:r>
            <w:r w:rsidR="00E079C6" w:rsidRPr="003D5B85">
              <w:rPr>
                <w:rFonts w:ascii="Book Antiqua" w:eastAsia="等线" w:hAnsi="Book Antiqua" w:cs="Times New Roman"/>
                <w:color w:val="000000" w:themeColor="text1"/>
                <w:kern w:val="0"/>
                <w:sz w:val="18"/>
                <w:szCs w:val="18"/>
              </w:rPr>
              <w:t xml:space="preserve">-control </w:t>
            </w:r>
          </w:p>
        </w:tc>
        <w:tc>
          <w:tcPr>
            <w:tcW w:w="1152" w:type="dxa"/>
            <w:tcBorders>
              <w:top w:val="nil"/>
              <w:left w:val="nil"/>
              <w:bottom w:val="nil"/>
              <w:right w:val="nil"/>
            </w:tcBorders>
            <w:shd w:val="clear" w:color="auto" w:fill="auto"/>
            <w:vAlign w:val="center"/>
            <w:hideMark/>
          </w:tcPr>
          <w:p w14:paraId="665CCFCB"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 xml:space="preserve">55/110 </w:t>
            </w:r>
          </w:p>
        </w:tc>
        <w:tc>
          <w:tcPr>
            <w:tcW w:w="975" w:type="dxa"/>
            <w:tcBorders>
              <w:top w:val="nil"/>
              <w:left w:val="nil"/>
              <w:bottom w:val="nil"/>
              <w:right w:val="nil"/>
            </w:tcBorders>
            <w:shd w:val="clear" w:color="auto" w:fill="auto"/>
            <w:vAlign w:val="center"/>
            <w:hideMark/>
          </w:tcPr>
          <w:p w14:paraId="119C986F" w14:textId="2D767C42"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46 (37-55)/43</w:t>
            </w:r>
            <w:r w:rsidR="008D6F67"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(36-48)</w:t>
            </w:r>
          </w:p>
        </w:tc>
        <w:tc>
          <w:tcPr>
            <w:tcW w:w="992" w:type="dxa"/>
            <w:tcBorders>
              <w:top w:val="nil"/>
              <w:left w:val="nil"/>
              <w:bottom w:val="nil"/>
              <w:right w:val="nil"/>
            </w:tcBorders>
            <w:shd w:val="clear" w:color="auto" w:fill="auto"/>
            <w:vAlign w:val="center"/>
            <w:hideMark/>
          </w:tcPr>
          <w:p w14:paraId="3F908D33"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83.6/75.5</w:t>
            </w:r>
          </w:p>
        </w:tc>
        <w:tc>
          <w:tcPr>
            <w:tcW w:w="992" w:type="dxa"/>
            <w:tcBorders>
              <w:top w:val="nil"/>
              <w:left w:val="nil"/>
              <w:bottom w:val="nil"/>
              <w:right w:val="nil"/>
            </w:tcBorders>
            <w:shd w:val="clear" w:color="auto" w:fill="auto"/>
            <w:vAlign w:val="center"/>
            <w:hideMark/>
          </w:tcPr>
          <w:p w14:paraId="2785C42E" w14:textId="37825C98"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HBV-related</w:t>
            </w:r>
            <w:r w:rsidR="002535EB"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 xml:space="preserve">ACLF </w:t>
            </w:r>
          </w:p>
        </w:tc>
        <w:tc>
          <w:tcPr>
            <w:tcW w:w="992" w:type="dxa"/>
            <w:tcBorders>
              <w:top w:val="nil"/>
              <w:left w:val="nil"/>
              <w:bottom w:val="nil"/>
              <w:right w:val="nil"/>
            </w:tcBorders>
            <w:shd w:val="clear" w:color="auto" w:fill="auto"/>
            <w:vAlign w:val="center"/>
            <w:hideMark/>
          </w:tcPr>
          <w:p w14:paraId="51C3ECB4" w14:textId="217A2579" w:rsidR="00E079C6" w:rsidRPr="003D5B85" w:rsidRDefault="000C4B2E" w:rsidP="000C4B2E">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 xml:space="preserve">Grades 2-4 </w:t>
            </w:r>
            <w:r w:rsidR="00E079C6" w:rsidRPr="003D5B85">
              <w:rPr>
                <w:rFonts w:ascii="Book Antiqua" w:eastAsia="等线" w:hAnsi="Book Antiqua" w:cs="Times New Roman"/>
                <w:color w:val="000000" w:themeColor="text1"/>
                <w:kern w:val="0"/>
                <w:sz w:val="18"/>
                <w:szCs w:val="18"/>
              </w:rPr>
              <w:t xml:space="preserve">HE </w:t>
            </w:r>
          </w:p>
        </w:tc>
        <w:tc>
          <w:tcPr>
            <w:tcW w:w="1134" w:type="dxa"/>
            <w:tcBorders>
              <w:top w:val="nil"/>
              <w:left w:val="nil"/>
              <w:bottom w:val="nil"/>
              <w:right w:val="nil"/>
            </w:tcBorders>
            <w:shd w:val="clear" w:color="auto" w:fill="auto"/>
            <w:vAlign w:val="center"/>
            <w:hideMark/>
          </w:tcPr>
          <w:p w14:paraId="645CA6FB" w14:textId="6990BA90" w:rsidR="00E079C6" w:rsidRPr="003D5B85" w:rsidRDefault="002535EB"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P</w:t>
            </w:r>
            <w:r w:rsidR="00E079C6" w:rsidRPr="003D5B85">
              <w:rPr>
                <w:rFonts w:ascii="Book Antiqua" w:eastAsia="等线" w:hAnsi="Book Antiqua" w:cs="Times New Roman"/>
                <w:color w:val="000000" w:themeColor="text1"/>
                <w:kern w:val="0"/>
                <w:sz w:val="18"/>
                <w:szCs w:val="18"/>
              </w:rPr>
              <w:t xml:space="preserve">atients using any PPI intravenously for at least </w:t>
            </w:r>
            <w:r w:rsidR="001C7A57" w:rsidRPr="003D5B85">
              <w:rPr>
                <w:rFonts w:ascii="Book Antiqua" w:eastAsia="等线" w:hAnsi="Book Antiqua" w:cs="Times New Roman"/>
                <w:color w:val="000000" w:themeColor="text1"/>
                <w:kern w:val="0"/>
                <w:sz w:val="18"/>
                <w:szCs w:val="18"/>
              </w:rPr>
              <w:t>6</w:t>
            </w:r>
            <w:r w:rsidR="00E079C6" w:rsidRPr="003D5B85">
              <w:rPr>
                <w:rFonts w:ascii="Book Antiqua" w:eastAsia="等线" w:hAnsi="Book Antiqua" w:cs="Times New Roman"/>
                <w:color w:val="000000" w:themeColor="text1"/>
                <w:kern w:val="0"/>
                <w:sz w:val="18"/>
                <w:szCs w:val="18"/>
              </w:rPr>
              <w:t xml:space="preserve"> d before the occurrence of HE at the admission time </w:t>
            </w:r>
          </w:p>
        </w:tc>
        <w:tc>
          <w:tcPr>
            <w:tcW w:w="851" w:type="dxa"/>
            <w:tcBorders>
              <w:top w:val="nil"/>
              <w:left w:val="nil"/>
              <w:bottom w:val="nil"/>
              <w:right w:val="nil"/>
            </w:tcBorders>
            <w:shd w:val="clear" w:color="auto" w:fill="auto"/>
            <w:vAlign w:val="center"/>
            <w:hideMark/>
          </w:tcPr>
          <w:p w14:paraId="517ED31C"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NA</w:t>
            </w:r>
          </w:p>
        </w:tc>
        <w:tc>
          <w:tcPr>
            <w:tcW w:w="1417" w:type="dxa"/>
            <w:tcBorders>
              <w:top w:val="nil"/>
              <w:left w:val="nil"/>
              <w:bottom w:val="nil"/>
              <w:right w:val="nil"/>
            </w:tcBorders>
            <w:shd w:val="clear" w:color="auto" w:fill="auto"/>
            <w:vAlign w:val="center"/>
            <w:hideMark/>
          </w:tcPr>
          <w:p w14:paraId="0975B08B" w14:textId="3589AF4B" w:rsidR="00E079C6" w:rsidRPr="003D5B85" w:rsidRDefault="008D6F67"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Age</w:t>
            </w:r>
            <w:r w:rsidR="00E079C6" w:rsidRPr="003D5B85">
              <w:rPr>
                <w:rFonts w:ascii="Book Antiqua" w:eastAsia="等线" w:hAnsi="Book Antiqua" w:cs="Times New Roman"/>
                <w:color w:val="000000" w:themeColor="text1"/>
                <w:kern w:val="0"/>
                <w:sz w:val="18"/>
                <w:szCs w:val="18"/>
              </w:rPr>
              <w:t>, sex, MELD score, infection,</w:t>
            </w:r>
            <w:r w:rsidR="002535EB" w:rsidRPr="003D5B85">
              <w:rPr>
                <w:rFonts w:ascii="Book Antiqua" w:eastAsia="等线" w:hAnsi="Book Antiqua" w:cs="Times New Roman"/>
                <w:color w:val="000000" w:themeColor="text1"/>
                <w:kern w:val="0"/>
                <w:sz w:val="18"/>
                <w:szCs w:val="18"/>
              </w:rPr>
              <w:t xml:space="preserve"> </w:t>
            </w:r>
            <w:r w:rsidR="00E079C6" w:rsidRPr="003D5B85">
              <w:rPr>
                <w:rFonts w:ascii="Book Antiqua" w:eastAsia="等线" w:hAnsi="Book Antiqua" w:cs="Times New Roman"/>
                <w:color w:val="000000" w:themeColor="text1"/>
                <w:kern w:val="0"/>
                <w:sz w:val="18"/>
                <w:szCs w:val="18"/>
              </w:rPr>
              <w:t xml:space="preserve">hypokalemia, </w:t>
            </w:r>
            <w:proofErr w:type="spellStart"/>
            <w:r w:rsidR="00E079C6" w:rsidRPr="003D5B85">
              <w:rPr>
                <w:rFonts w:ascii="Book Antiqua" w:eastAsia="等线" w:hAnsi="Book Antiqua" w:cs="Times New Roman"/>
                <w:color w:val="000000" w:themeColor="text1"/>
                <w:kern w:val="0"/>
                <w:sz w:val="18"/>
                <w:szCs w:val="18"/>
              </w:rPr>
              <w:t>hyponatraemia</w:t>
            </w:r>
            <w:proofErr w:type="spellEnd"/>
            <w:r w:rsidR="00E079C6" w:rsidRPr="003D5B85">
              <w:rPr>
                <w:rFonts w:ascii="Book Antiqua" w:eastAsia="等线" w:hAnsi="Book Antiqua" w:cs="Times New Roman"/>
                <w:color w:val="000000" w:themeColor="text1"/>
                <w:kern w:val="0"/>
                <w:sz w:val="18"/>
                <w:szCs w:val="18"/>
              </w:rPr>
              <w:t>, ascites, PTA,</w:t>
            </w:r>
            <w:r w:rsidR="002535EB" w:rsidRPr="003D5B85">
              <w:rPr>
                <w:rFonts w:ascii="Book Antiqua" w:eastAsia="等线" w:hAnsi="Book Antiqua" w:cs="Times New Roman"/>
                <w:color w:val="000000" w:themeColor="text1"/>
                <w:kern w:val="0"/>
                <w:sz w:val="18"/>
                <w:szCs w:val="18"/>
              </w:rPr>
              <w:t xml:space="preserve"> </w:t>
            </w:r>
            <w:r w:rsidR="00E079C6" w:rsidRPr="003D5B85">
              <w:rPr>
                <w:rFonts w:ascii="Book Antiqua" w:eastAsia="等线" w:hAnsi="Book Antiqua" w:cs="Times New Roman"/>
                <w:color w:val="000000" w:themeColor="text1"/>
                <w:kern w:val="0"/>
                <w:sz w:val="18"/>
                <w:szCs w:val="18"/>
              </w:rPr>
              <w:t xml:space="preserve">AFP, lactulose use, branched chain amino acids, </w:t>
            </w:r>
            <w:r w:rsidRPr="003D5B85">
              <w:rPr>
                <w:rFonts w:ascii="Book Antiqua" w:eastAsia="等线" w:hAnsi="Book Antiqua" w:cs="Times New Roman"/>
                <w:color w:val="000000" w:themeColor="text1"/>
                <w:kern w:val="0"/>
                <w:sz w:val="18"/>
                <w:szCs w:val="18"/>
              </w:rPr>
              <w:t xml:space="preserve">and </w:t>
            </w:r>
            <w:r w:rsidR="00E079C6" w:rsidRPr="003D5B85">
              <w:rPr>
                <w:rFonts w:ascii="Book Antiqua" w:eastAsia="等线" w:hAnsi="Book Antiqua" w:cs="Times New Roman"/>
                <w:color w:val="000000" w:themeColor="text1"/>
                <w:kern w:val="0"/>
                <w:sz w:val="18"/>
                <w:szCs w:val="18"/>
              </w:rPr>
              <w:t>arginine hydrochloride</w:t>
            </w:r>
          </w:p>
        </w:tc>
        <w:tc>
          <w:tcPr>
            <w:tcW w:w="1418" w:type="dxa"/>
            <w:tcBorders>
              <w:top w:val="nil"/>
              <w:left w:val="nil"/>
              <w:bottom w:val="nil"/>
              <w:right w:val="nil"/>
            </w:tcBorders>
            <w:shd w:val="clear" w:color="auto" w:fill="auto"/>
            <w:noWrap/>
            <w:vAlign w:val="center"/>
            <w:hideMark/>
          </w:tcPr>
          <w:p w14:paraId="03027009"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8</w:t>
            </w:r>
          </w:p>
        </w:tc>
      </w:tr>
      <w:tr w:rsidR="00115F98" w:rsidRPr="003D5B85" w14:paraId="14E31648" w14:textId="77777777" w:rsidTr="002535EB">
        <w:trPr>
          <w:trHeight w:val="2650"/>
          <w:jc w:val="right"/>
        </w:trPr>
        <w:tc>
          <w:tcPr>
            <w:tcW w:w="1418" w:type="dxa"/>
            <w:tcBorders>
              <w:top w:val="nil"/>
              <w:left w:val="nil"/>
              <w:bottom w:val="nil"/>
              <w:right w:val="nil"/>
            </w:tcBorders>
            <w:shd w:val="clear" w:color="auto" w:fill="auto"/>
            <w:vAlign w:val="center"/>
            <w:hideMark/>
          </w:tcPr>
          <w:p w14:paraId="3BF6BBF8" w14:textId="2E68AE89"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 xml:space="preserve">Dam </w:t>
            </w:r>
            <w:r w:rsidR="002535EB" w:rsidRPr="003D5B85">
              <w:rPr>
                <w:rFonts w:ascii="Book Antiqua" w:eastAsia="等线" w:hAnsi="Book Antiqua" w:cs="Times New Roman"/>
                <w:i/>
                <w:color w:val="000000" w:themeColor="text1"/>
                <w:kern w:val="0"/>
                <w:sz w:val="18"/>
                <w:szCs w:val="18"/>
              </w:rPr>
              <w:t>et al</w:t>
            </w:r>
            <w:r w:rsidR="002535EB" w:rsidRPr="003D5B85">
              <w:rPr>
                <w:rFonts w:ascii="Book Antiqua" w:eastAsia="等线" w:hAnsi="Book Antiqua" w:cs="Times New Roman"/>
                <w:color w:val="000000" w:themeColor="text1"/>
                <w:kern w:val="0"/>
                <w:sz w:val="18"/>
                <w:szCs w:val="18"/>
                <w:vertAlign w:val="superscript"/>
              </w:rPr>
              <w:t>[17]</w:t>
            </w:r>
            <w:r w:rsidR="002535EB"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 xml:space="preserve">2016 </w:t>
            </w:r>
          </w:p>
        </w:tc>
        <w:tc>
          <w:tcPr>
            <w:tcW w:w="992" w:type="dxa"/>
            <w:tcBorders>
              <w:top w:val="nil"/>
              <w:left w:val="nil"/>
              <w:bottom w:val="nil"/>
              <w:right w:val="nil"/>
            </w:tcBorders>
            <w:shd w:val="clear" w:color="auto" w:fill="auto"/>
            <w:vAlign w:val="center"/>
            <w:hideMark/>
          </w:tcPr>
          <w:p w14:paraId="0395FCFA"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 xml:space="preserve">Denmark </w:t>
            </w:r>
          </w:p>
        </w:tc>
        <w:tc>
          <w:tcPr>
            <w:tcW w:w="992" w:type="dxa"/>
            <w:tcBorders>
              <w:top w:val="nil"/>
              <w:left w:val="nil"/>
              <w:bottom w:val="nil"/>
              <w:right w:val="nil"/>
            </w:tcBorders>
            <w:shd w:val="clear" w:color="auto" w:fill="auto"/>
            <w:vAlign w:val="center"/>
            <w:hideMark/>
          </w:tcPr>
          <w:p w14:paraId="2C16BB2B" w14:textId="7E169660" w:rsidR="00E079C6" w:rsidRPr="003D5B85" w:rsidRDefault="008D6F67"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Cohort</w:t>
            </w:r>
          </w:p>
        </w:tc>
        <w:tc>
          <w:tcPr>
            <w:tcW w:w="1152" w:type="dxa"/>
            <w:tcBorders>
              <w:top w:val="nil"/>
              <w:left w:val="nil"/>
              <w:bottom w:val="nil"/>
              <w:right w:val="nil"/>
            </w:tcBorders>
            <w:shd w:val="clear" w:color="auto" w:fill="auto"/>
            <w:vAlign w:val="center"/>
            <w:hideMark/>
          </w:tcPr>
          <w:p w14:paraId="7F172ADF"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 xml:space="preserve">340/525 </w:t>
            </w:r>
          </w:p>
        </w:tc>
        <w:tc>
          <w:tcPr>
            <w:tcW w:w="975" w:type="dxa"/>
            <w:tcBorders>
              <w:top w:val="nil"/>
              <w:left w:val="nil"/>
              <w:bottom w:val="nil"/>
              <w:right w:val="nil"/>
            </w:tcBorders>
            <w:shd w:val="clear" w:color="auto" w:fill="auto"/>
            <w:vAlign w:val="center"/>
            <w:hideMark/>
          </w:tcPr>
          <w:p w14:paraId="36D4AD71" w14:textId="4393E1AD"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58 (50-64)/57 (51-64)</w:t>
            </w:r>
          </w:p>
        </w:tc>
        <w:tc>
          <w:tcPr>
            <w:tcW w:w="992" w:type="dxa"/>
            <w:tcBorders>
              <w:top w:val="nil"/>
              <w:left w:val="nil"/>
              <w:bottom w:val="nil"/>
              <w:right w:val="nil"/>
            </w:tcBorders>
            <w:shd w:val="clear" w:color="auto" w:fill="auto"/>
            <w:vAlign w:val="center"/>
            <w:hideMark/>
          </w:tcPr>
          <w:p w14:paraId="180E886B"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68/69</w:t>
            </w:r>
          </w:p>
        </w:tc>
        <w:tc>
          <w:tcPr>
            <w:tcW w:w="992" w:type="dxa"/>
            <w:tcBorders>
              <w:top w:val="nil"/>
              <w:left w:val="nil"/>
              <w:bottom w:val="nil"/>
              <w:right w:val="nil"/>
            </w:tcBorders>
            <w:shd w:val="clear" w:color="auto" w:fill="auto"/>
            <w:vAlign w:val="center"/>
            <w:hideMark/>
          </w:tcPr>
          <w:p w14:paraId="0094257A" w14:textId="1B458CFB" w:rsidR="00E079C6" w:rsidRPr="003D5B85" w:rsidRDefault="008D6F67"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 xml:space="preserve">Cirrhosis </w:t>
            </w:r>
            <w:r w:rsidR="00E079C6" w:rsidRPr="003D5B85">
              <w:rPr>
                <w:rFonts w:ascii="Book Antiqua" w:eastAsia="等线" w:hAnsi="Book Antiqua" w:cs="Times New Roman"/>
                <w:color w:val="000000" w:themeColor="text1"/>
                <w:kern w:val="0"/>
                <w:sz w:val="18"/>
                <w:szCs w:val="18"/>
              </w:rPr>
              <w:t>with ascites</w:t>
            </w:r>
          </w:p>
        </w:tc>
        <w:tc>
          <w:tcPr>
            <w:tcW w:w="992" w:type="dxa"/>
            <w:tcBorders>
              <w:top w:val="nil"/>
              <w:left w:val="nil"/>
              <w:bottom w:val="nil"/>
              <w:right w:val="nil"/>
            </w:tcBorders>
            <w:shd w:val="clear" w:color="auto" w:fill="auto"/>
            <w:vAlign w:val="center"/>
            <w:hideMark/>
          </w:tcPr>
          <w:p w14:paraId="4E6E5A10" w14:textId="57E982EE" w:rsidR="00E079C6" w:rsidRPr="003D5B85" w:rsidRDefault="000C4B2E" w:rsidP="000C4B2E">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 xml:space="preserve">Grades 1-4 </w:t>
            </w:r>
            <w:r w:rsidR="00E079C6" w:rsidRPr="003D5B85">
              <w:rPr>
                <w:rFonts w:ascii="Book Antiqua" w:eastAsia="等线" w:hAnsi="Book Antiqua" w:cs="Times New Roman"/>
                <w:color w:val="000000" w:themeColor="text1"/>
                <w:kern w:val="0"/>
                <w:sz w:val="18"/>
                <w:szCs w:val="18"/>
              </w:rPr>
              <w:t xml:space="preserve">HE; </w:t>
            </w:r>
            <w:r w:rsidRPr="003D5B85">
              <w:rPr>
                <w:rFonts w:ascii="Book Antiqua" w:eastAsia="等线" w:hAnsi="Book Antiqua" w:cs="Times New Roman"/>
                <w:color w:val="000000" w:themeColor="text1"/>
                <w:kern w:val="0"/>
                <w:sz w:val="18"/>
                <w:szCs w:val="18"/>
              </w:rPr>
              <w:t>grades 2-4 HE</w:t>
            </w:r>
          </w:p>
        </w:tc>
        <w:tc>
          <w:tcPr>
            <w:tcW w:w="1134" w:type="dxa"/>
            <w:tcBorders>
              <w:top w:val="nil"/>
              <w:left w:val="nil"/>
              <w:bottom w:val="nil"/>
              <w:right w:val="nil"/>
            </w:tcBorders>
            <w:shd w:val="clear" w:color="auto" w:fill="auto"/>
            <w:vAlign w:val="center"/>
            <w:hideMark/>
          </w:tcPr>
          <w:p w14:paraId="7A82001C" w14:textId="5DE2D9B1" w:rsidR="00E079C6" w:rsidRPr="003D5B85" w:rsidRDefault="002535EB"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A</w:t>
            </w:r>
            <w:r w:rsidR="00E079C6" w:rsidRPr="003D5B85">
              <w:rPr>
                <w:rFonts w:ascii="Book Antiqua" w:eastAsia="等线" w:hAnsi="Book Antiqua" w:cs="Times New Roman"/>
                <w:color w:val="000000" w:themeColor="text1"/>
                <w:kern w:val="0"/>
                <w:sz w:val="18"/>
                <w:szCs w:val="18"/>
              </w:rPr>
              <w:t xml:space="preserve"> patient counted as a PPI user when he or she was using PPIs and as a nonuser </w:t>
            </w:r>
            <w:r w:rsidR="00E079C6" w:rsidRPr="003D5B85">
              <w:rPr>
                <w:rFonts w:ascii="Book Antiqua" w:eastAsia="等线" w:hAnsi="Book Antiqua" w:cs="Times New Roman"/>
                <w:color w:val="000000" w:themeColor="text1"/>
                <w:kern w:val="0"/>
                <w:sz w:val="18"/>
                <w:szCs w:val="18"/>
              </w:rPr>
              <w:lastRenderedPageBreak/>
              <w:t>when he or she was not</w:t>
            </w:r>
          </w:p>
        </w:tc>
        <w:tc>
          <w:tcPr>
            <w:tcW w:w="851" w:type="dxa"/>
            <w:tcBorders>
              <w:top w:val="nil"/>
              <w:left w:val="nil"/>
              <w:bottom w:val="nil"/>
              <w:right w:val="nil"/>
            </w:tcBorders>
            <w:shd w:val="clear" w:color="auto" w:fill="auto"/>
            <w:vAlign w:val="center"/>
            <w:hideMark/>
          </w:tcPr>
          <w:p w14:paraId="684B37D8" w14:textId="563E3892"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lastRenderedPageBreak/>
              <w:t>148.2 person-years/186.1 person-years</w:t>
            </w:r>
          </w:p>
        </w:tc>
        <w:tc>
          <w:tcPr>
            <w:tcW w:w="1417" w:type="dxa"/>
            <w:tcBorders>
              <w:top w:val="nil"/>
              <w:left w:val="nil"/>
              <w:bottom w:val="nil"/>
              <w:right w:val="nil"/>
            </w:tcBorders>
            <w:shd w:val="clear" w:color="auto" w:fill="auto"/>
            <w:vAlign w:val="center"/>
            <w:hideMark/>
          </w:tcPr>
          <w:p w14:paraId="28AA351C" w14:textId="6BD9F641" w:rsidR="00E079C6" w:rsidRPr="003D5B85" w:rsidRDefault="002535EB"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S</w:t>
            </w:r>
            <w:r w:rsidR="00E079C6" w:rsidRPr="003D5B85">
              <w:rPr>
                <w:rFonts w:ascii="Book Antiqua" w:eastAsia="等线" w:hAnsi="Book Antiqua" w:cs="Times New Roman"/>
                <w:color w:val="000000" w:themeColor="text1"/>
                <w:kern w:val="0"/>
                <w:sz w:val="18"/>
                <w:szCs w:val="18"/>
              </w:rPr>
              <w:t xml:space="preserve">ex, age at inclusion, cirrhosis etiology, variceal bleeding, MELD score, serum sodium, </w:t>
            </w:r>
            <w:r w:rsidR="00E079C6" w:rsidRPr="003D5B85">
              <w:rPr>
                <w:rFonts w:ascii="Book Antiqua" w:eastAsia="等线" w:hAnsi="Book Antiqua" w:cs="Times New Roman"/>
                <w:color w:val="000000" w:themeColor="text1"/>
                <w:kern w:val="0"/>
                <w:sz w:val="18"/>
                <w:szCs w:val="18"/>
              </w:rPr>
              <w:lastRenderedPageBreak/>
              <w:t>albumin, and platelets; and lactulose use, spironolactone dose, furosemide dose, and potassium-sparing diuretic dose</w:t>
            </w:r>
          </w:p>
        </w:tc>
        <w:tc>
          <w:tcPr>
            <w:tcW w:w="1418" w:type="dxa"/>
            <w:tcBorders>
              <w:top w:val="nil"/>
              <w:left w:val="nil"/>
              <w:bottom w:val="nil"/>
              <w:right w:val="nil"/>
            </w:tcBorders>
            <w:shd w:val="clear" w:color="auto" w:fill="auto"/>
            <w:noWrap/>
            <w:vAlign w:val="center"/>
            <w:hideMark/>
          </w:tcPr>
          <w:p w14:paraId="24C42C45"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lastRenderedPageBreak/>
              <w:t>9</w:t>
            </w:r>
          </w:p>
        </w:tc>
      </w:tr>
      <w:tr w:rsidR="00115F98" w:rsidRPr="003D5B85" w14:paraId="2E11641C" w14:textId="77777777" w:rsidTr="002535EB">
        <w:trPr>
          <w:trHeight w:val="2250"/>
          <w:jc w:val="right"/>
        </w:trPr>
        <w:tc>
          <w:tcPr>
            <w:tcW w:w="1418" w:type="dxa"/>
            <w:tcBorders>
              <w:top w:val="nil"/>
              <w:left w:val="nil"/>
              <w:bottom w:val="nil"/>
              <w:right w:val="nil"/>
            </w:tcBorders>
            <w:shd w:val="clear" w:color="auto" w:fill="auto"/>
            <w:vAlign w:val="center"/>
            <w:hideMark/>
          </w:tcPr>
          <w:p w14:paraId="66DA7902" w14:textId="6B5C84ED"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lastRenderedPageBreak/>
              <w:t xml:space="preserve">Tsai </w:t>
            </w:r>
            <w:r w:rsidR="002535EB" w:rsidRPr="003D5B85">
              <w:rPr>
                <w:rFonts w:ascii="Book Antiqua" w:eastAsia="等线" w:hAnsi="Book Antiqua" w:cs="Times New Roman"/>
                <w:i/>
                <w:color w:val="000000" w:themeColor="text1"/>
                <w:kern w:val="0"/>
                <w:sz w:val="18"/>
                <w:szCs w:val="18"/>
              </w:rPr>
              <w:t>et al</w:t>
            </w:r>
            <w:r w:rsidR="002535EB" w:rsidRPr="003D5B85">
              <w:rPr>
                <w:rFonts w:ascii="Book Antiqua" w:eastAsia="等线" w:hAnsi="Book Antiqua" w:cs="Times New Roman"/>
                <w:color w:val="000000" w:themeColor="text1"/>
                <w:kern w:val="0"/>
                <w:sz w:val="18"/>
                <w:szCs w:val="18"/>
                <w:vertAlign w:val="superscript"/>
              </w:rPr>
              <w:t>[16]</w:t>
            </w:r>
            <w:r w:rsidR="002535EB"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 xml:space="preserve">2016 </w:t>
            </w:r>
          </w:p>
        </w:tc>
        <w:tc>
          <w:tcPr>
            <w:tcW w:w="992" w:type="dxa"/>
            <w:tcBorders>
              <w:top w:val="nil"/>
              <w:left w:val="nil"/>
              <w:bottom w:val="nil"/>
              <w:right w:val="nil"/>
            </w:tcBorders>
            <w:shd w:val="clear" w:color="auto" w:fill="auto"/>
            <w:vAlign w:val="center"/>
            <w:hideMark/>
          </w:tcPr>
          <w:p w14:paraId="66612C0C"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 xml:space="preserve">Taiwan </w:t>
            </w:r>
          </w:p>
        </w:tc>
        <w:tc>
          <w:tcPr>
            <w:tcW w:w="992" w:type="dxa"/>
            <w:tcBorders>
              <w:top w:val="nil"/>
              <w:left w:val="nil"/>
              <w:bottom w:val="nil"/>
              <w:right w:val="nil"/>
            </w:tcBorders>
            <w:shd w:val="clear" w:color="auto" w:fill="auto"/>
            <w:vAlign w:val="center"/>
            <w:hideMark/>
          </w:tcPr>
          <w:p w14:paraId="38E3BEE6" w14:textId="2C0D2C81" w:rsidR="00E079C6" w:rsidRPr="003D5B85" w:rsidRDefault="008D6F67"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Case</w:t>
            </w:r>
            <w:r w:rsidR="00E079C6" w:rsidRPr="003D5B85">
              <w:rPr>
                <w:rFonts w:ascii="Book Antiqua" w:eastAsia="等线" w:hAnsi="Book Antiqua" w:cs="Times New Roman"/>
                <w:color w:val="000000" w:themeColor="text1"/>
                <w:kern w:val="0"/>
                <w:sz w:val="18"/>
                <w:szCs w:val="18"/>
              </w:rPr>
              <w:t xml:space="preserve">-control </w:t>
            </w:r>
          </w:p>
        </w:tc>
        <w:tc>
          <w:tcPr>
            <w:tcW w:w="1152" w:type="dxa"/>
            <w:tcBorders>
              <w:top w:val="nil"/>
              <w:left w:val="nil"/>
              <w:bottom w:val="nil"/>
              <w:right w:val="nil"/>
            </w:tcBorders>
            <w:shd w:val="clear" w:color="auto" w:fill="auto"/>
            <w:vAlign w:val="center"/>
            <w:hideMark/>
          </w:tcPr>
          <w:p w14:paraId="141F3EAC"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 xml:space="preserve">1166/1166 </w:t>
            </w:r>
          </w:p>
        </w:tc>
        <w:tc>
          <w:tcPr>
            <w:tcW w:w="975" w:type="dxa"/>
            <w:tcBorders>
              <w:top w:val="nil"/>
              <w:left w:val="nil"/>
              <w:bottom w:val="nil"/>
              <w:right w:val="nil"/>
            </w:tcBorders>
            <w:shd w:val="clear" w:color="auto" w:fill="auto"/>
            <w:vAlign w:val="center"/>
            <w:hideMark/>
          </w:tcPr>
          <w:p w14:paraId="0DB3FA0B" w14:textId="1071272F"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53.09</w:t>
            </w:r>
            <w:r w:rsidR="002535EB"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w:t>
            </w:r>
            <w:r w:rsidR="002535EB"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13.80/53.14</w:t>
            </w:r>
            <w:r w:rsidR="002535EB"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w:t>
            </w:r>
            <w:r w:rsidR="002535EB"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 xml:space="preserve">13.78 </w:t>
            </w:r>
          </w:p>
        </w:tc>
        <w:tc>
          <w:tcPr>
            <w:tcW w:w="992" w:type="dxa"/>
            <w:tcBorders>
              <w:top w:val="nil"/>
              <w:left w:val="nil"/>
              <w:bottom w:val="nil"/>
              <w:right w:val="nil"/>
            </w:tcBorders>
            <w:shd w:val="clear" w:color="auto" w:fill="auto"/>
            <w:vAlign w:val="center"/>
            <w:hideMark/>
          </w:tcPr>
          <w:p w14:paraId="4C8C3C41"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74.2/74.2</w:t>
            </w:r>
          </w:p>
        </w:tc>
        <w:tc>
          <w:tcPr>
            <w:tcW w:w="992" w:type="dxa"/>
            <w:tcBorders>
              <w:top w:val="nil"/>
              <w:left w:val="nil"/>
              <w:bottom w:val="nil"/>
              <w:right w:val="nil"/>
            </w:tcBorders>
            <w:shd w:val="clear" w:color="auto" w:fill="auto"/>
            <w:vAlign w:val="center"/>
            <w:hideMark/>
          </w:tcPr>
          <w:p w14:paraId="3AF075A9" w14:textId="5FF8F324" w:rsidR="00E079C6" w:rsidRPr="003D5B85" w:rsidRDefault="008D6F67"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 xml:space="preserve">Cirrhosis </w:t>
            </w:r>
          </w:p>
        </w:tc>
        <w:tc>
          <w:tcPr>
            <w:tcW w:w="992" w:type="dxa"/>
            <w:tcBorders>
              <w:top w:val="nil"/>
              <w:left w:val="nil"/>
              <w:bottom w:val="nil"/>
              <w:right w:val="nil"/>
            </w:tcBorders>
            <w:shd w:val="clear" w:color="auto" w:fill="auto"/>
            <w:vAlign w:val="center"/>
            <w:hideMark/>
          </w:tcPr>
          <w:p w14:paraId="35DEAB63" w14:textId="4DEFD45C" w:rsidR="00E079C6" w:rsidRPr="003D5B85" w:rsidRDefault="000C4B2E" w:rsidP="000C4B2E">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Grades 1-4 HE</w:t>
            </w:r>
          </w:p>
        </w:tc>
        <w:tc>
          <w:tcPr>
            <w:tcW w:w="1134" w:type="dxa"/>
            <w:tcBorders>
              <w:top w:val="nil"/>
              <w:left w:val="nil"/>
              <w:bottom w:val="nil"/>
              <w:right w:val="nil"/>
            </w:tcBorders>
            <w:shd w:val="clear" w:color="auto" w:fill="auto"/>
            <w:vAlign w:val="center"/>
            <w:hideMark/>
          </w:tcPr>
          <w:p w14:paraId="3A61CA62" w14:textId="4993EEF1"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PPI use was defined as &gt;</w:t>
            </w:r>
            <w:r w:rsidR="002535EB"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30 cumulative defined daily doses (</w:t>
            </w:r>
            <w:proofErr w:type="spellStart"/>
            <w:r w:rsidRPr="003D5B85">
              <w:rPr>
                <w:rFonts w:ascii="Book Antiqua" w:eastAsia="等线" w:hAnsi="Book Antiqua" w:cs="Times New Roman"/>
                <w:color w:val="000000" w:themeColor="text1"/>
                <w:kern w:val="0"/>
                <w:sz w:val="18"/>
                <w:szCs w:val="18"/>
              </w:rPr>
              <w:t>cDDDs</w:t>
            </w:r>
            <w:proofErr w:type="spellEnd"/>
            <w:r w:rsidRPr="003D5B85">
              <w:rPr>
                <w:rFonts w:ascii="Book Antiqua" w:eastAsia="等线" w:hAnsi="Book Antiqua" w:cs="Times New Roman"/>
                <w:color w:val="000000" w:themeColor="text1"/>
                <w:kern w:val="0"/>
                <w:sz w:val="18"/>
                <w:szCs w:val="18"/>
              </w:rPr>
              <w:t xml:space="preserve">); PPI non-use was defined as </w:t>
            </w:r>
            <w:r w:rsidRPr="003D5B85">
              <w:rPr>
                <w:rFonts w:ascii="Book Antiqua" w:eastAsia="宋体" w:hAnsi="Book Antiqua" w:cs="Times New Roman"/>
                <w:color w:val="000000" w:themeColor="text1"/>
                <w:kern w:val="0"/>
                <w:sz w:val="18"/>
                <w:szCs w:val="18"/>
              </w:rPr>
              <w:t>≤</w:t>
            </w:r>
            <w:r w:rsidR="002535EB" w:rsidRPr="003D5B85">
              <w:rPr>
                <w:rFonts w:ascii="Book Antiqua" w:eastAsia="宋体"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 xml:space="preserve">30 </w:t>
            </w:r>
            <w:proofErr w:type="spellStart"/>
            <w:r w:rsidRPr="003D5B85">
              <w:rPr>
                <w:rFonts w:ascii="Book Antiqua" w:eastAsia="等线" w:hAnsi="Book Antiqua" w:cs="Times New Roman"/>
                <w:color w:val="000000" w:themeColor="text1"/>
                <w:kern w:val="0"/>
                <w:sz w:val="18"/>
                <w:szCs w:val="18"/>
              </w:rPr>
              <w:t>cDDDs</w:t>
            </w:r>
            <w:proofErr w:type="spellEnd"/>
          </w:p>
        </w:tc>
        <w:tc>
          <w:tcPr>
            <w:tcW w:w="851" w:type="dxa"/>
            <w:tcBorders>
              <w:top w:val="nil"/>
              <w:left w:val="nil"/>
              <w:bottom w:val="nil"/>
              <w:right w:val="nil"/>
            </w:tcBorders>
            <w:shd w:val="clear" w:color="auto" w:fill="auto"/>
            <w:vAlign w:val="center"/>
            <w:hideMark/>
          </w:tcPr>
          <w:p w14:paraId="549DEE23" w14:textId="442138FC"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2.96 ± 3.40/2.87</w:t>
            </w:r>
            <w:r w:rsidR="002535EB"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 3.57</w:t>
            </w:r>
            <w:r w:rsidR="002535EB" w:rsidRPr="003D5B85">
              <w:rPr>
                <w:rFonts w:ascii="Book Antiqua" w:eastAsia="等线" w:hAnsi="Book Antiqua" w:cs="Times New Roman"/>
                <w:color w:val="000000" w:themeColor="text1"/>
                <w:kern w:val="0"/>
                <w:sz w:val="18"/>
                <w:szCs w:val="18"/>
              </w:rPr>
              <w:t xml:space="preserve"> </w:t>
            </w:r>
            <w:proofErr w:type="spellStart"/>
            <w:r w:rsidRPr="003D5B85">
              <w:rPr>
                <w:rFonts w:ascii="Book Antiqua" w:eastAsia="等线" w:hAnsi="Book Antiqua" w:cs="Times New Roman"/>
                <w:color w:val="000000" w:themeColor="text1"/>
                <w:kern w:val="0"/>
                <w:sz w:val="18"/>
                <w:szCs w:val="18"/>
              </w:rPr>
              <w:t>yr</w:t>
            </w:r>
            <w:proofErr w:type="spellEnd"/>
          </w:p>
        </w:tc>
        <w:tc>
          <w:tcPr>
            <w:tcW w:w="1417" w:type="dxa"/>
            <w:tcBorders>
              <w:top w:val="nil"/>
              <w:left w:val="nil"/>
              <w:bottom w:val="nil"/>
              <w:right w:val="nil"/>
            </w:tcBorders>
            <w:shd w:val="clear" w:color="auto" w:fill="auto"/>
            <w:vAlign w:val="center"/>
            <w:hideMark/>
          </w:tcPr>
          <w:p w14:paraId="49C59B11" w14:textId="6C948757" w:rsidR="00E079C6" w:rsidRPr="003D5B85" w:rsidRDefault="008D6F67"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Age</w:t>
            </w:r>
            <w:r w:rsidR="00E079C6" w:rsidRPr="003D5B85">
              <w:rPr>
                <w:rFonts w:ascii="Book Antiqua" w:eastAsia="等线" w:hAnsi="Book Antiqua" w:cs="Times New Roman"/>
                <w:color w:val="000000" w:themeColor="text1"/>
                <w:kern w:val="0"/>
                <w:sz w:val="18"/>
                <w:szCs w:val="18"/>
              </w:rPr>
              <w:t>,</w:t>
            </w:r>
            <w:r w:rsidR="002535EB" w:rsidRPr="003D5B85">
              <w:rPr>
                <w:rFonts w:ascii="Book Antiqua" w:eastAsia="等线" w:hAnsi="Book Antiqua" w:cs="Times New Roman"/>
                <w:color w:val="000000" w:themeColor="text1"/>
                <w:kern w:val="0"/>
                <w:sz w:val="18"/>
                <w:szCs w:val="18"/>
              </w:rPr>
              <w:t xml:space="preserve"> </w:t>
            </w:r>
            <w:r w:rsidR="00E079C6" w:rsidRPr="003D5B85">
              <w:rPr>
                <w:rFonts w:ascii="Book Antiqua" w:eastAsia="等线" w:hAnsi="Book Antiqua" w:cs="Times New Roman"/>
                <w:color w:val="000000" w:themeColor="text1"/>
                <w:kern w:val="0"/>
                <w:sz w:val="18"/>
                <w:szCs w:val="18"/>
              </w:rPr>
              <w:t>sex, income, level of urbanization,</w:t>
            </w:r>
            <w:r w:rsidR="002535EB" w:rsidRPr="003D5B85">
              <w:rPr>
                <w:rFonts w:ascii="Book Antiqua" w:eastAsia="等线" w:hAnsi="Book Antiqua" w:cs="Times New Roman"/>
                <w:color w:val="000000" w:themeColor="text1"/>
                <w:kern w:val="0"/>
                <w:sz w:val="18"/>
                <w:szCs w:val="18"/>
              </w:rPr>
              <w:t xml:space="preserve"> </w:t>
            </w:r>
            <w:r w:rsidR="00E079C6" w:rsidRPr="003D5B85">
              <w:rPr>
                <w:rFonts w:ascii="Book Antiqua" w:eastAsia="等线" w:hAnsi="Book Antiqua" w:cs="Times New Roman"/>
                <w:color w:val="000000" w:themeColor="text1"/>
                <w:kern w:val="0"/>
                <w:sz w:val="18"/>
                <w:szCs w:val="18"/>
              </w:rPr>
              <w:t xml:space="preserve">the use of PPIs in the past 6 </w:t>
            </w:r>
            <w:proofErr w:type="spellStart"/>
            <w:r w:rsidR="00E079C6" w:rsidRPr="003D5B85">
              <w:rPr>
                <w:rFonts w:ascii="Book Antiqua" w:eastAsia="等线" w:hAnsi="Book Antiqua" w:cs="Times New Roman"/>
                <w:color w:val="000000" w:themeColor="text1"/>
                <w:kern w:val="0"/>
                <w:sz w:val="18"/>
                <w:szCs w:val="18"/>
              </w:rPr>
              <w:t>mo</w:t>
            </w:r>
            <w:proofErr w:type="spellEnd"/>
            <w:r w:rsidR="00E079C6" w:rsidRPr="003D5B85">
              <w:rPr>
                <w:rFonts w:ascii="Book Antiqua" w:eastAsia="等线" w:hAnsi="Book Antiqua" w:cs="Times New Roman"/>
                <w:color w:val="000000" w:themeColor="text1"/>
                <w:kern w:val="0"/>
                <w:sz w:val="18"/>
                <w:szCs w:val="18"/>
              </w:rPr>
              <w:t xml:space="preserve"> before enrollment,</w:t>
            </w:r>
            <w:r w:rsidR="002535EB" w:rsidRPr="003D5B85">
              <w:rPr>
                <w:rFonts w:ascii="Book Antiqua" w:eastAsia="等线" w:hAnsi="Book Antiqua" w:cs="Times New Roman"/>
                <w:color w:val="000000" w:themeColor="text1"/>
                <w:kern w:val="0"/>
                <w:sz w:val="18"/>
                <w:szCs w:val="18"/>
              </w:rPr>
              <w:t xml:space="preserve"> </w:t>
            </w:r>
            <w:proofErr w:type="spellStart"/>
            <w:r w:rsidR="00E079C6" w:rsidRPr="003D5B85">
              <w:rPr>
                <w:rFonts w:ascii="Book Antiqua" w:eastAsia="等线" w:hAnsi="Book Antiqua" w:cs="Times New Roman"/>
                <w:color w:val="000000" w:themeColor="text1"/>
                <w:kern w:val="0"/>
                <w:sz w:val="18"/>
                <w:szCs w:val="18"/>
              </w:rPr>
              <w:t>Charlson</w:t>
            </w:r>
            <w:proofErr w:type="spellEnd"/>
            <w:r w:rsidR="00E079C6" w:rsidRPr="003D5B85">
              <w:rPr>
                <w:rFonts w:ascii="Book Antiqua" w:eastAsia="等线" w:hAnsi="Book Antiqua" w:cs="Times New Roman"/>
                <w:color w:val="000000" w:themeColor="text1"/>
                <w:kern w:val="0"/>
                <w:sz w:val="18"/>
                <w:szCs w:val="18"/>
              </w:rPr>
              <w:t xml:space="preserve"> </w:t>
            </w:r>
            <w:proofErr w:type="spellStart"/>
            <w:r w:rsidR="00E079C6" w:rsidRPr="003D5B85">
              <w:rPr>
                <w:rFonts w:ascii="Book Antiqua" w:eastAsia="等线" w:hAnsi="Book Antiqua" w:cs="Times New Roman"/>
                <w:color w:val="000000" w:themeColor="text1"/>
                <w:kern w:val="0"/>
                <w:sz w:val="18"/>
                <w:szCs w:val="18"/>
              </w:rPr>
              <w:t>Comobidity</w:t>
            </w:r>
            <w:proofErr w:type="spellEnd"/>
            <w:r w:rsidR="00E079C6" w:rsidRPr="003D5B85">
              <w:rPr>
                <w:rFonts w:ascii="Book Antiqua" w:eastAsia="等线" w:hAnsi="Book Antiqua" w:cs="Times New Roman"/>
                <w:color w:val="000000" w:themeColor="text1"/>
                <w:kern w:val="0"/>
                <w:sz w:val="18"/>
                <w:szCs w:val="18"/>
              </w:rPr>
              <w:t xml:space="preserve"> Index score,</w:t>
            </w:r>
            <w:r w:rsidR="002535EB" w:rsidRPr="003D5B85">
              <w:rPr>
                <w:rFonts w:ascii="Book Antiqua" w:eastAsia="等线" w:hAnsi="Book Antiqua" w:cs="Times New Roman"/>
                <w:color w:val="000000" w:themeColor="text1"/>
                <w:kern w:val="0"/>
                <w:sz w:val="18"/>
                <w:szCs w:val="18"/>
              </w:rPr>
              <w:t xml:space="preserve"> </w:t>
            </w:r>
            <w:r w:rsidR="00E079C6" w:rsidRPr="003D5B85">
              <w:rPr>
                <w:rFonts w:ascii="Book Antiqua" w:eastAsia="等线" w:hAnsi="Book Antiqua" w:cs="Times New Roman"/>
                <w:color w:val="000000" w:themeColor="text1"/>
                <w:kern w:val="0"/>
                <w:sz w:val="18"/>
                <w:szCs w:val="18"/>
              </w:rPr>
              <w:t>medical comorbidities,</w:t>
            </w:r>
            <w:r w:rsidR="002535EB" w:rsidRPr="003D5B85">
              <w:rPr>
                <w:rFonts w:ascii="Book Antiqua" w:eastAsia="等线" w:hAnsi="Book Antiqua" w:cs="Times New Roman"/>
                <w:color w:val="000000" w:themeColor="text1"/>
                <w:kern w:val="0"/>
                <w:sz w:val="18"/>
                <w:szCs w:val="18"/>
              </w:rPr>
              <w:t xml:space="preserve"> </w:t>
            </w:r>
            <w:r w:rsidR="00E079C6" w:rsidRPr="003D5B85">
              <w:rPr>
                <w:rFonts w:ascii="Book Antiqua" w:eastAsia="等线" w:hAnsi="Book Antiqua" w:cs="Times New Roman"/>
                <w:color w:val="000000" w:themeColor="text1"/>
                <w:kern w:val="0"/>
                <w:sz w:val="18"/>
                <w:szCs w:val="18"/>
              </w:rPr>
              <w:t>use of medication</w:t>
            </w:r>
          </w:p>
        </w:tc>
        <w:tc>
          <w:tcPr>
            <w:tcW w:w="1418" w:type="dxa"/>
            <w:tcBorders>
              <w:top w:val="nil"/>
              <w:left w:val="nil"/>
              <w:bottom w:val="nil"/>
              <w:right w:val="nil"/>
            </w:tcBorders>
            <w:shd w:val="clear" w:color="auto" w:fill="auto"/>
            <w:noWrap/>
            <w:vAlign w:val="center"/>
            <w:hideMark/>
          </w:tcPr>
          <w:p w14:paraId="3CDAB9A9"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9</w:t>
            </w:r>
          </w:p>
        </w:tc>
      </w:tr>
      <w:tr w:rsidR="00115F98" w:rsidRPr="003D5B85" w14:paraId="3B1E56A3" w14:textId="77777777" w:rsidTr="002535EB">
        <w:trPr>
          <w:trHeight w:val="2050"/>
          <w:jc w:val="right"/>
        </w:trPr>
        <w:tc>
          <w:tcPr>
            <w:tcW w:w="1418" w:type="dxa"/>
            <w:tcBorders>
              <w:top w:val="nil"/>
              <w:left w:val="nil"/>
              <w:bottom w:val="nil"/>
              <w:right w:val="nil"/>
            </w:tcBorders>
            <w:shd w:val="clear" w:color="auto" w:fill="auto"/>
            <w:vAlign w:val="center"/>
            <w:hideMark/>
          </w:tcPr>
          <w:p w14:paraId="6C3A463C" w14:textId="5C07EC68"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lastRenderedPageBreak/>
              <w:t xml:space="preserve">Zhu </w:t>
            </w:r>
            <w:r w:rsidR="002535EB" w:rsidRPr="003D5B85">
              <w:rPr>
                <w:rFonts w:ascii="Book Antiqua" w:eastAsia="等线" w:hAnsi="Book Antiqua" w:cs="Times New Roman"/>
                <w:i/>
                <w:color w:val="000000" w:themeColor="text1"/>
                <w:kern w:val="0"/>
                <w:sz w:val="18"/>
                <w:szCs w:val="18"/>
              </w:rPr>
              <w:t>et al</w:t>
            </w:r>
            <w:r w:rsidR="002535EB" w:rsidRPr="003D5B85">
              <w:rPr>
                <w:rFonts w:ascii="Book Antiqua" w:eastAsia="等线" w:hAnsi="Book Antiqua" w:cs="Times New Roman"/>
                <w:color w:val="000000" w:themeColor="text1"/>
                <w:kern w:val="0"/>
                <w:sz w:val="18"/>
                <w:szCs w:val="18"/>
                <w:vertAlign w:val="superscript"/>
              </w:rPr>
              <w:t>[15]</w:t>
            </w:r>
            <w:r w:rsidR="002535EB"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2018</w:t>
            </w:r>
          </w:p>
        </w:tc>
        <w:tc>
          <w:tcPr>
            <w:tcW w:w="992" w:type="dxa"/>
            <w:tcBorders>
              <w:top w:val="nil"/>
              <w:left w:val="nil"/>
              <w:bottom w:val="nil"/>
              <w:right w:val="nil"/>
            </w:tcBorders>
            <w:shd w:val="clear" w:color="auto" w:fill="auto"/>
            <w:vAlign w:val="center"/>
            <w:hideMark/>
          </w:tcPr>
          <w:p w14:paraId="12A55141"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China</w:t>
            </w:r>
          </w:p>
        </w:tc>
        <w:tc>
          <w:tcPr>
            <w:tcW w:w="992" w:type="dxa"/>
            <w:tcBorders>
              <w:top w:val="nil"/>
              <w:left w:val="nil"/>
              <w:bottom w:val="nil"/>
              <w:right w:val="nil"/>
            </w:tcBorders>
            <w:shd w:val="clear" w:color="auto" w:fill="auto"/>
            <w:vAlign w:val="center"/>
            <w:hideMark/>
          </w:tcPr>
          <w:p w14:paraId="6B2ADBFD" w14:textId="1918F797" w:rsidR="00E079C6" w:rsidRPr="003D5B85" w:rsidRDefault="008D6F67"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Case</w:t>
            </w:r>
            <w:r w:rsidR="00E079C6" w:rsidRPr="003D5B85">
              <w:rPr>
                <w:rFonts w:ascii="Book Antiqua" w:eastAsia="等线" w:hAnsi="Book Antiqua" w:cs="Times New Roman"/>
                <w:color w:val="000000" w:themeColor="text1"/>
                <w:kern w:val="0"/>
                <w:sz w:val="18"/>
                <w:szCs w:val="18"/>
              </w:rPr>
              <w:t xml:space="preserve">-control </w:t>
            </w:r>
          </w:p>
        </w:tc>
        <w:tc>
          <w:tcPr>
            <w:tcW w:w="1152" w:type="dxa"/>
            <w:tcBorders>
              <w:top w:val="nil"/>
              <w:left w:val="nil"/>
              <w:bottom w:val="nil"/>
              <w:right w:val="nil"/>
            </w:tcBorders>
            <w:shd w:val="clear" w:color="auto" w:fill="auto"/>
            <w:vAlign w:val="center"/>
            <w:hideMark/>
          </w:tcPr>
          <w:p w14:paraId="66466DA5"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128/128</w:t>
            </w:r>
          </w:p>
        </w:tc>
        <w:tc>
          <w:tcPr>
            <w:tcW w:w="975" w:type="dxa"/>
            <w:tcBorders>
              <w:top w:val="nil"/>
              <w:left w:val="nil"/>
              <w:bottom w:val="nil"/>
              <w:right w:val="nil"/>
            </w:tcBorders>
            <w:shd w:val="clear" w:color="auto" w:fill="auto"/>
            <w:vAlign w:val="center"/>
            <w:hideMark/>
          </w:tcPr>
          <w:p w14:paraId="36E95325" w14:textId="13A30A1F"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58.34</w:t>
            </w:r>
            <w:r w:rsidR="002535EB"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w:t>
            </w:r>
            <w:r w:rsidR="002535EB"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11.15/58.28</w:t>
            </w:r>
            <w:r w:rsidR="002535EB"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w:t>
            </w:r>
            <w:r w:rsidR="002535EB"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10.97</w:t>
            </w:r>
          </w:p>
        </w:tc>
        <w:tc>
          <w:tcPr>
            <w:tcW w:w="992" w:type="dxa"/>
            <w:tcBorders>
              <w:top w:val="nil"/>
              <w:left w:val="nil"/>
              <w:bottom w:val="nil"/>
              <w:right w:val="nil"/>
            </w:tcBorders>
            <w:shd w:val="clear" w:color="auto" w:fill="auto"/>
            <w:vAlign w:val="center"/>
            <w:hideMark/>
          </w:tcPr>
          <w:p w14:paraId="3027841D"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63.3/63.3</w:t>
            </w:r>
          </w:p>
        </w:tc>
        <w:tc>
          <w:tcPr>
            <w:tcW w:w="992" w:type="dxa"/>
            <w:tcBorders>
              <w:top w:val="nil"/>
              <w:left w:val="nil"/>
              <w:bottom w:val="nil"/>
              <w:right w:val="nil"/>
            </w:tcBorders>
            <w:shd w:val="clear" w:color="auto" w:fill="auto"/>
            <w:vAlign w:val="center"/>
            <w:hideMark/>
          </w:tcPr>
          <w:p w14:paraId="770425EC" w14:textId="6DDF0D61" w:rsidR="00E079C6" w:rsidRPr="003D5B85" w:rsidRDefault="008D6F67"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 xml:space="preserve">Cirrhosis </w:t>
            </w:r>
          </w:p>
        </w:tc>
        <w:tc>
          <w:tcPr>
            <w:tcW w:w="992" w:type="dxa"/>
            <w:tcBorders>
              <w:top w:val="nil"/>
              <w:left w:val="nil"/>
              <w:bottom w:val="nil"/>
              <w:right w:val="nil"/>
            </w:tcBorders>
            <w:shd w:val="clear" w:color="auto" w:fill="auto"/>
            <w:vAlign w:val="center"/>
            <w:hideMark/>
          </w:tcPr>
          <w:p w14:paraId="752FC352" w14:textId="6A28EC0E" w:rsidR="00E079C6" w:rsidRPr="003D5B85" w:rsidRDefault="000C4B2E" w:rsidP="000C4B2E">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Grades 1-4 HE</w:t>
            </w:r>
          </w:p>
        </w:tc>
        <w:tc>
          <w:tcPr>
            <w:tcW w:w="1134" w:type="dxa"/>
            <w:tcBorders>
              <w:top w:val="nil"/>
              <w:left w:val="nil"/>
              <w:bottom w:val="nil"/>
              <w:right w:val="nil"/>
            </w:tcBorders>
            <w:shd w:val="clear" w:color="auto" w:fill="auto"/>
            <w:vAlign w:val="center"/>
            <w:hideMark/>
          </w:tcPr>
          <w:p w14:paraId="446512E8"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PPI users</w:t>
            </w:r>
            <w:r w:rsidRPr="003D5B85">
              <w:rPr>
                <w:rFonts w:ascii="Book Antiqua" w:eastAsia="等线" w:hAnsi="Book Antiqua" w:cs="Times New Roman"/>
                <w:color w:val="000000" w:themeColor="text1"/>
                <w:kern w:val="0"/>
                <w:sz w:val="18"/>
                <w:szCs w:val="18"/>
              </w:rPr>
              <w:br/>
              <w:t>were defined as the patients who used PPIs during hospitalization</w:t>
            </w:r>
          </w:p>
        </w:tc>
        <w:tc>
          <w:tcPr>
            <w:tcW w:w="851" w:type="dxa"/>
            <w:tcBorders>
              <w:top w:val="nil"/>
              <w:left w:val="nil"/>
              <w:bottom w:val="nil"/>
              <w:right w:val="nil"/>
            </w:tcBorders>
            <w:shd w:val="clear" w:color="auto" w:fill="auto"/>
            <w:vAlign w:val="center"/>
            <w:hideMark/>
          </w:tcPr>
          <w:p w14:paraId="74931A55"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NA</w:t>
            </w:r>
          </w:p>
        </w:tc>
        <w:tc>
          <w:tcPr>
            <w:tcW w:w="1417" w:type="dxa"/>
            <w:tcBorders>
              <w:top w:val="nil"/>
              <w:left w:val="nil"/>
              <w:bottom w:val="nil"/>
              <w:right w:val="nil"/>
            </w:tcBorders>
            <w:shd w:val="clear" w:color="auto" w:fill="auto"/>
            <w:vAlign w:val="center"/>
            <w:hideMark/>
          </w:tcPr>
          <w:p w14:paraId="4A6616BB" w14:textId="2E8D9675" w:rsidR="00E079C6" w:rsidRPr="003D5B85" w:rsidRDefault="008D6F67"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Age</w:t>
            </w:r>
            <w:r w:rsidR="00E079C6" w:rsidRPr="003D5B85">
              <w:rPr>
                <w:rFonts w:ascii="Book Antiqua" w:eastAsia="等线" w:hAnsi="Book Antiqua" w:cs="Times New Roman"/>
                <w:color w:val="000000" w:themeColor="text1"/>
                <w:kern w:val="0"/>
                <w:sz w:val="18"/>
                <w:szCs w:val="18"/>
              </w:rPr>
              <w:t>, gender, Child-Pugh score, hemoglobin, gamma-</w:t>
            </w:r>
            <w:proofErr w:type="spellStart"/>
            <w:r w:rsidR="00E079C6" w:rsidRPr="003D5B85">
              <w:rPr>
                <w:rFonts w:ascii="Book Antiqua" w:eastAsia="等线" w:hAnsi="Book Antiqua" w:cs="Times New Roman"/>
                <w:color w:val="000000" w:themeColor="text1"/>
                <w:kern w:val="0"/>
                <w:sz w:val="18"/>
                <w:szCs w:val="18"/>
              </w:rPr>
              <w:t>glutamyl</w:t>
            </w:r>
            <w:proofErr w:type="spellEnd"/>
            <w:r w:rsidR="00E079C6" w:rsidRPr="003D5B85">
              <w:rPr>
                <w:rFonts w:ascii="Book Antiqua" w:eastAsia="等线" w:hAnsi="Book Antiqua" w:cs="Times New Roman"/>
                <w:color w:val="000000" w:themeColor="text1"/>
                <w:kern w:val="0"/>
                <w:sz w:val="18"/>
                <w:szCs w:val="18"/>
              </w:rPr>
              <w:t xml:space="preserve"> </w:t>
            </w:r>
            <w:proofErr w:type="spellStart"/>
            <w:r w:rsidR="00E079C6" w:rsidRPr="003D5B85">
              <w:rPr>
                <w:rFonts w:ascii="Book Antiqua" w:eastAsia="等线" w:hAnsi="Book Antiqua" w:cs="Times New Roman"/>
                <w:color w:val="000000" w:themeColor="text1"/>
                <w:kern w:val="0"/>
                <w:sz w:val="18"/>
                <w:szCs w:val="18"/>
              </w:rPr>
              <w:t>transpeptidase</w:t>
            </w:r>
            <w:proofErr w:type="spellEnd"/>
            <w:r w:rsidR="00E079C6" w:rsidRPr="003D5B85">
              <w:rPr>
                <w:rFonts w:ascii="Book Antiqua" w:eastAsia="等线" w:hAnsi="Book Antiqua" w:cs="Times New Roman"/>
                <w:color w:val="000000" w:themeColor="text1"/>
                <w:kern w:val="0"/>
                <w:sz w:val="18"/>
                <w:szCs w:val="18"/>
              </w:rPr>
              <w:t>, blood urea nitrogen, ammonia, international normalized ratio,</w:t>
            </w:r>
            <w:r w:rsidR="00C80372" w:rsidRPr="003D5B85">
              <w:rPr>
                <w:rFonts w:ascii="Book Antiqua" w:eastAsia="等线" w:hAnsi="Book Antiqua" w:cs="Times New Roman"/>
                <w:color w:val="000000" w:themeColor="text1"/>
                <w:kern w:val="0"/>
                <w:sz w:val="18"/>
                <w:szCs w:val="18"/>
              </w:rPr>
              <w:t xml:space="preserve"> </w:t>
            </w:r>
            <w:r w:rsidR="001C5C58" w:rsidRPr="003D5B85">
              <w:rPr>
                <w:rFonts w:ascii="Book Antiqua" w:eastAsia="等线" w:hAnsi="Book Antiqua" w:cs="Times New Roman"/>
                <w:color w:val="000000" w:themeColor="text1"/>
                <w:kern w:val="0"/>
                <w:sz w:val="18"/>
                <w:szCs w:val="18"/>
              </w:rPr>
              <w:t xml:space="preserve">and </w:t>
            </w:r>
            <w:r w:rsidR="00E079C6" w:rsidRPr="003D5B85">
              <w:rPr>
                <w:rFonts w:ascii="Book Antiqua" w:eastAsia="等线" w:hAnsi="Book Antiqua" w:cs="Times New Roman"/>
                <w:color w:val="000000" w:themeColor="text1"/>
                <w:kern w:val="0"/>
                <w:sz w:val="18"/>
                <w:szCs w:val="18"/>
              </w:rPr>
              <w:t>acute upper gastrointestinal bleeding</w:t>
            </w:r>
          </w:p>
        </w:tc>
        <w:tc>
          <w:tcPr>
            <w:tcW w:w="1418" w:type="dxa"/>
            <w:tcBorders>
              <w:top w:val="nil"/>
              <w:left w:val="nil"/>
              <w:bottom w:val="nil"/>
              <w:right w:val="nil"/>
            </w:tcBorders>
            <w:shd w:val="clear" w:color="auto" w:fill="auto"/>
            <w:noWrap/>
            <w:vAlign w:val="center"/>
            <w:hideMark/>
          </w:tcPr>
          <w:p w14:paraId="4982D47B"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8</w:t>
            </w:r>
          </w:p>
        </w:tc>
      </w:tr>
      <w:tr w:rsidR="00115F98" w:rsidRPr="003D5B85" w14:paraId="3EF21533" w14:textId="77777777" w:rsidTr="00C80372">
        <w:trPr>
          <w:trHeight w:val="854"/>
          <w:jc w:val="right"/>
        </w:trPr>
        <w:tc>
          <w:tcPr>
            <w:tcW w:w="1418" w:type="dxa"/>
            <w:tcBorders>
              <w:top w:val="nil"/>
              <w:left w:val="nil"/>
              <w:bottom w:val="nil"/>
              <w:right w:val="nil"/>
            </w:tcBorders>
            <w:shd w:val="clear" w:color="auto" w:fill="auto"/>
            <w:vAlign w:val="center"/>
            <w:hideMark/>
          </w:tcPr>
          <w:p w14:paraId="15EE90E5" w14:textId="16ABE9DB"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proofErr w:type="spellStart"/>
            <w:r w:rsidRPr="003D5B85">
              <w:rPr>
                <w:rFonts w:ascii="Book Antiqua" w:eastAsia="等线" w:hAnsi="Book Antiqua" w:cs="Times New Roman"/>
                <w:color w:val="000000" w:themeColor="text1"/>
                <w:kern w:val="0"/>
                <w:sz w:val="18"/>
                <w:szCs w:val="18"/>
              </w:rPr>
              <w:t>Nardelli</w:t>
            </w:r>
            <w:proofErr w:type="spellEnd"/>
            <w:r w:rsidRPr="003D5B85">
              <w:rPr>
                <w:rFonts w:ascii="Book Antiqua" w:eastAsia="等线" w:hAnsi="Book Antiqua" w:cs="Times New Roman"/>
                <w:color w:val="000000" w:themeColor="text1"/>
                <w:kern w:val="0"/>
                <w:sz w:val="18"/>
                <w:szCs w:val="18"/>
              </w:rPr>
              <w:t xml:space="preserve"> </w:t>
            </w:r>
            <w:r w:rsidR="002535EB" w:rsidRPr="003D5B85">
              <w:rPr>
                <w:rFonts w:ascii="Book Antiqua" w:eastAsia="等线" w:hAnsi="Book Antiqua" w:cs="Times New Roman"/>
                <w:i/>
                <w:color w:val="000000" w:themeColor="text1"/>
                <w:kern w:val="0"/>
                <w:sz w:val="18"/>
                <w:szCs w:val="18"/>
              </w:rPr>
              <w:t>et al</w:t>
            </w:r>
            <w:r w:rsidR="002535EB" w:rsidRPr="003D5B85">
              <w:rPr>
                <w:rFonts w:ascii="Book Antiqua" w:eastAsia="等线" w:hAnsi="Book Antiqua" w:cs="Times New Roman"/>
                <w:color w:val="000000" w:themeColor="text1"/>
                <w:kern w:val="0"/>
                <w:sz w:val="18"/>
                <w:szCs w:val="18"/>
                <w:vertAlign w:val="superscript"/>
              </w:rPr>
              <w:t>[14]</w:t>
            </w:r>
            <w:r w:rsidR="002535EB"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2018</w:t>
            </w:r>
          </w:p>
        </w:tc>
        <w:tc>
          <w:tcPr>
            <w:tcW w:w="992" w:type="dxa"/>
            <w:tcBorders>
              <w:top w:val="nil"/>
              <w:left w:val="nil"/>
              <w:bottom w:val="nil"/>
              <w:right w:val="nil"/>
            </w:tcBorders>
            <w:shd w:val="clear" w:color="auto" w:fill="auto"/>
            <w:vAlign w:val="center"/>
            <w:hideMark/>
          </w:tcPr>
          <w:p w14:paraId="7C396752"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Italy</w:t>
            </w:r>
          </w:p>
        </w:tc>
        <w:tc>
          <w:tcPr>
            <w:tcW w:w="992" w:type="dxa"/>
            <w:tcBorders>
              <w:top w:val="nil"/>
              <w:left w:val="nil"/>
              <w:bottom w:val="nil"/>
              <w:right w:val="nil"/>
            </w:tcBorders>
            <w:shd w:val="clear" w:color="auto" w:fill="auto"/>
            <w:vAlign w:val="center"/>
            <w:hideMark/>
          </w:tcPr>
          <w:p w14:paraId="413DB597" w14:textId="08D1CAFE" w:rsidR="00E079C6" w:rsidRPr="003D5B85" w:rsidRDefault="001C5C58"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Cohort </w:t>
            </w:r>
          </w:p>
        </w:tc>
        <w:tc>
          <w:tcPr>
            <w:tcW w:w="1152" w:type="dxa"/>
            <w:tcBorders>
              <w:top w:val="nil"/>
              <w:left w:val="nil"/>
              <w:bottom w:val="nil"/>
              <w:right w:val="nil"/>
            </w:tcBorders>
            <w:shd w:val="clear" w:color="auto" w:fill="auto"/>
            <w:vAlign w:val="center"/>
            <w:hideMark/>
          </w:tcPr>
          <w:p w14:paraId="776C44FC"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125/185</w:t>
            </w:r>
          </w:p>
        </w:tc>
        <w:tc>
          <w:tcPr>
            <w:tcW w:w="975" w:type="dxa"/>
            <w:tcBorders>
              <w:top w:val="nil"/>
              <w:left w:val="nil"/>
              <w:bottom w:val="nil"/>
              <w:right w:val="nil"/>
            </w:tcBorders>
            <w:shd w:val="clear" w:color="auto" w:fill="auto"/>
            <w:vAlign w:val="center"/>
            <w:hideMark/>
          </w:tcPr>
          <w:p w14:paraId="0F9F5D4E" w14:textId="2783E2E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 xml:space="preserve">61.5 ± 11.9/63.3 ± 11.6 </w:t>
            </w:r>
          </w:p>
        </w:tc>
        <w:tc>
          <w:tcPr>
            <w:tcW w:w="992" w:type="dxa"/>
            <w:tcBorders>
              <w:top w:val="nil"/>
              <w:left w:val="nil"/>
              <w:bottom w:val="nil"/>
              <w:right w:val="nil"/>
            </w:tcBorders>
            <w:shd w:val="clear" w:color="auto" w:fill="auto"/>
            <w:vAlign w:val="center"/>
            <w:hideMark/>
          </w:tcPr>
          <w:p w14:paraId="6FCB2039"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74.1/67.2</w:t>
            </w:r>
          </w:p>
        </w:tc>
        <w:tc>
          <w:tcPr>
            <w:tcW w:w="992" w:type="dxa"/>
            <w:tcBorders>
              <w:top w:val="nil"/>
              <w:left w:val="nil"/>
              <w:bottom w:val="nil"/>
              <w:right w:val="nil"/>
            </w:tcBorders>
            <w:shd w:val="clear" w:color="auto" w:fill="auto"/>
            <w:vAlign w:val="center"/>
            <w:hideMark/>
          </w:tcPr>
          <w:p w14:paraId="5EA00EF6" w14:textId="7365267F" w:rsidR="00E079C6" w:rsidRPr="003D5B85" w:rsidRDefault="001C5C58"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 xml:space="preserve">Cirrhosis </w:t>
            </w:r>
          </w:p>
        </w:tc>
        <w:tc>
          <w:tcPr>
            <w:tcW w:w="992" w:type="dxa"/>
            <w:tcBorders>
              <w:top w:val="nil"/>
              <w:left w:val="nil"/>
              <w:bottom w:val="nil"/>
              <w:right w:val="nil"/>
            </w:tcBorders>
            <w:shd w:val="clear" w:color="auto" w:fill="auto"/>
            <w:vAlign w:val="center"/>
            <w:hideMark/>
          </w:tcPr>
          <w:p w14:paraId="3D6ACEB5" w14:textId="700FEF27" w:rsidR="00E079C6" w:rsidRPr="003D5B85" w:rsidRDefault="00E079C6" w:rsidP="000C4B2E">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 xml:space="preserve">Minimal HE; </w:t>
            </w:r>
            <w:r w:rsidR="000C4B2E" w:rsidRPr="003D5B85">
              <w:rPr>
                <w:rFonts w:ascii="Book Antiqua" w:eastAsia="等线" w:hAnsi="Book Antiqua" w:cs="Times New Roman"/>
                <w:color w:val="000000" w:themeColor="text1"/>
                <w:kern w:val="0"/>
                <w:sz w:val="18"/>
                <w:szCs w:val="18"/>
              </w:rPr>
              <w:t>grades 2-4 HE</w:t>
            </w:r>
          </w:p>
        </w:tc>
        <w:tc>
          <w:tcPr>
            <w:tcW w:w="1134" w:type="dxa"/>
            <w:tcBorders>
              <w:top w:val="nil"/>
              <w:left w:val="nil"/>
              <w:bottom w:val="nil"/>
              <w:right w:val="nil"/>
            </w:tcBorders>
            <w:shd w:val="clear" w:color="auto" w:fill="auto"/>
            <w:vAlign w:val="center"/>
            <w:hideMark/>
          </w:tcPr>
          <w:p w14:paraId="4588B957" w14:textId="0A82C722" w:rsidR="00E079C6" w:rsidRPr="003D5B85" w:rsidRDefault="001C5C58"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 xml:space="preserve">Patients </w:t>
            </w:r>
            <w:r w:rsidR="00E079C6" w:rsidRPr="003D5B85">
              <w:rPr>
                <w:rFonts w:ascii="Book Antiqua" w:eastAsia="等线" w:hAnsi="Book Antiqua" w:cs="Times New Roman"/>
                <w:color w:val="000000" w:themeColor="text1"/>
                <w:kern w:val="0"/>
                <w:sz w:val="18"/>
                <w:szCs w:val="18"/>
              </w:rPr>
              <w:t xml:space="preserve">were considered PPIs users when the treatment started at least 4 </w:t>
            </w:r>
            <w:proofErr w:type="spellStart"/>
            <w:r w:rsidR="00E079C6" w:rsidRPr="003D5B85">
              <w:rPr>
                <w:rFonts w:ascii="Book Antiqua" w:eastAsia="等线" w:hAnsi="Book Antiqua" w:cs="Times New Roman"/>
                <w:color w:val="000000" w:themeColor="text1"/>
                <w:kern w:val="0"/>
                <w:sz w:val="18"/>
                <w:szCs w:val="18"/>
              </w:rPr>
              <w:t>wk</w:t>
            </w:r>
            <w:proofErr w:type="spellEnd"/>
            <w:r w:rsidR="00E079C6" w:rsidRPr="003D5B85">
              <w:rPr>
                <w:rFonts w:ascii="Book Antiqua" w:eastAsia="等线" w:hAnsi="Book Antiqua" w:cs="Times New Roman"/>
                <w:color w:val="000000" w:themeColor="text1"/>
                <w:kern w:val="0"/>
                <w:sz w:val="18"/>
                <w:szCs w:val="18"/>
              </w:rPr>
              <w:t xml:space="preserve"> prior to the </w:t>
            </w:r>
            <w:r w:rsidR="00E079C6" w:rsidRPr="003D5B85">
              <w:rPr>
                <w:rFonts w:ascii="Book Antiqua" w:eastAsia="等线" w:hAnsi="Book Antiqua" w:cs="Times New Roman"/>
                <w:color w:val="000000" w:themeColor="text1"/>
                <w:kern w:val="0"/>
                <w:sz w:val="18"/>
                <w:szCs w:val="18"/>
              </w:rPr>
              <w:lastRenderedPageBreak/>
              <w:t xml:space="preserve">admission    </w:t>
            </w:r>
          </w:p>
        </w:tc>
        <w:tc>
          <w:tcPr>
            <w:tcW w:w="851" w:type="dxa"/>
            <w:tcBorders>
              <w:top w:val="nil"/>
              <w:left w:val="nil"/>
              <w:bottom w:val="nil"/>
              <w:right w:val="nil"/>
            </w:tcBorders>
            <w:shd w:val="clear" w:color="auto" w:fill="auto"/>
            <w:vAlign w:val="center"/>
            <w:hideMark/>
          </w:tcPr>
          <w:p w14:paraId="293B124D" w14:textId="07C6622F"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lastRenderedPageBreak/>
              <w:t>14.1</w:t>
            </w:r>
            <w:r w:rsidR="00C80372"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w:t>
            </w:r>
            <w:r w:rsidR="00C80372"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 xml:space="preserve">12.3 </w:t>
            </w:r>
            <w:proofErr w:type="spellStart"/>
            <w:r w:rsidRPr="003D5B85">
              <w:rPr>
                <w:rFonts w:ascii="Book Antiqua" w:eastAsia="等线" w:hAnsi="Book Antiqua" w:cs="Times New Roman"/>
                <w:color w:val="000000" w:themeColor="text1"/>
                <w:kern w:val="0"/>
                <w:sz w:val="18"/>
                <w:szCs w:val="18"/>
              </w:rPr>
              <w:t>mo</w:t>
            </w:r>
            <w:proofErr w:type="spellEnd"/>
          </w:p>
        </w:tc>
        <w:tc>
          <w:tcPr>
            <w:tcW w:w="1417" w:type="dxa"/>
            <w:tcBorders>
              <w:top w:val="nil"/>
              <w:left w:val="nil"/>
              <w:bottom w:val="nil"/>
              <w:right w:val="nil"/>
            </w:tcBorders>
            <w:shd w:val="clear" w:color="auto" w:fill="auto"/>
            <w:vAlign w:val="center"/>
            <w:hideMark/>
          </w:tcPr>
          <w:p w14:paraId="5A39E9B0"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MELD scores, MHE, previous overt HE, PPIs, age, albumin and sodium levels</w:t>
            </w:r>
          </w:p>
        </w:tc>
        <w:tc>
          <w:tcPr>
            <w:tcW w:w="1418" w:type="dxa"/>
            <w:tcBorders>
              <w:top w:val="nil"/>
              <w:left w:val="nil"/>
              <w:bottom w:val="nil"/>
              <w:right w:val="nil"/>
            </w:tcBorders>
            <w:shd w:val="clear" w:color="auto" w:fill="auto"/>
            <w:noWrap/>
            <w:vAlign w:val="center"/>
            <w:hideMark/>
          </w:tcPr>
          <w:p w14:paraId="7AC6FD58"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9</w:t>
            </w:r>
          </w:p>
        </w:tc>
      </w:tr>
      <w:tr w:rsidR="00115F98" w:rsidRPr="003D5B85" w14:paraId="1E95213F" w14:textId="77777777" w:rsidTr="00C80372">
        <w:trPr>
          <w:trHeight w:val="709"/>
          <w:jc w:val="right"/>
        </w:trPr>
        <w:tc>
          <w:tcPr>
            <w:tcW w:w="1418" w:type="dxa"/>
            <w:tcBorders>
              <w:top w:val="nil"/>
              <w:left w:val="nil"/>
              <w:bottom w:val="nil"/>
              <w:right w:val="nil"/>
            </w:tcBorders>
            <w:shd w:val="clear" w:color="auto" w:fill="auto"/>
            <w:vAlign w:val="center"/>
            <w:hideMark/>
          </w:tcPr>
          <w:p w14:paraId="682425A9" w14:textId="2523E2C6"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lastRenderedPageBreak/>
              <w:t xml:space="preserve">Sturm </w:t>
            </w:r>
            <w:r w:rsidR="002535EB" w:rsidRPr="003D5B85">
              <w:rPr>
                <w:rFonts w:ascii="Book Antiqua" w:eastAsia="等线" w:hAnsi="Book Antiqua" w:cs="Times New Roman"/>
                <w:i/>
                <w:color w:val="000000" w:themeColor="text1"/>
                <w:kern w:val="0"/>
                <w:sz w:val="18"/>
                <w:szCs w:val="18"/>
              </w:rPr>
              <w:t>et al</w:t>
            </w:r>
            <w:r w:rsidR="002535EB" w:rsidRPr="003D5B85">
              <w:rPr>
                <w:rFonts w:ascii="Book Antiqua" w:eastAsia="等线" w:hAnsi="Book Antiqua" w:cs="Times New Roman"/>
                <w:color w:val="000000" w:themeColor="text1"/>
                <w:kern w:val="0"/>
                <w:sz w:val="18"/>
                <w:szCs w:val="18"/>
                <w:vertAlign w:val="superscript"/>
              </w:rPr>
              <w:t>[13]</w:t>
            </w:r>
            <w:r w:rsidR="002535EB"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2018</w:t>
            </w:r>
          </w:p>
        </w:tc>
        <w:tc>
          <w:tcPr>
            <w:tcW w:w="992" w:type="dxa"/>
            <w:tcBorders>
              <w:top w:val="nil"/>
              <w:left w:val="nil"/>
              <w:bottom w:val="nil"/>
              <w:right w:val="nil"/>
            </w:tcBorders>
            <w:shd w:val="clear" w:color="auto" w:fill="auto"/>
            <w:vAlign w:val="center"/>
            <w:hideMark/>
          </w:tcPr>
          <w:p w14:paraId="4DC59FF5"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Germany</w:t>
            </w:r>
          </w:p>
        </w:tc>
        <w:tc>
          <w:tcPr>
            <w:tcW w:w="992" w:type="dxa"/>
            <w:tcBorders>
              <w:top w:val="nil"/>
              <w:left w:val="nil"/>
              <w:bottom w:val="nil"/>
              <w:right w:val="nil"/>
            </w:tcBorders>
            <w:shd w:val="clear" w:color="auto" w:fill="auto"/>
            <w:vAlign w:val="center"/>
            <w:hideMark/>
          </w:tcPr>
          <w:p w14:paraId="3196527F" w14:textId="561E1388" w:rsidR="00E079C6" w:rsidRPr="003D5B85" w:rsidRDefault="001C5C58"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Cohort</w:t>
            </w:r>
          </w:p>
        </w:tc>
        <w:tc>
          <w:tcPr>
            <w:tcW w:w="1152" w:type="dxa"/>
            <w:tcBorders>
              <w:top w:val="nil"/>
              <w:left w:val="nil"/>
              <w:bottom w:val="nil"/>
              <w:right w:val="nil"/>
            </w:tcBorders>
            <w:shd w:val="clear" w:color="auto" w:fill="auto"/>
            <w:vAlign w:val="center"/>
            <w:hideMark/>
          </w:tcPr>
          <w:p w14:paraId="6EE79977"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303/94</w:t>
            </w:r>
          </w:p>
        </w:tc>
        <w:tc>
          <w:tcPr>
            <w:tcW w:w="975" w:type="dxa"/>
            <w:tcBorders>
              <w:top w:val="nil"/>
              <w:left w:val="nil"/>
              <w:bottom w:val="nil"/>
              <w:right w:val="nil"/>
            </w:tcBorders>
            <w:shd w:val="clear" w:color="auto" w:fill="auto"/>
            <w:vAlign w:val="center"/>
            <w:hideMark/>
          </w:tcPr>
          <w:p w14:paraId="45F76770" w14:textId="5AE01A60"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59.2</w:t>
            </w:r>
            <w:r w:rsidR="00C80372"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w:t>
            </w:r>
            <w:r w:rsidR="00C80372"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11.7/59.7</w:t>
            </w:r>
            <w:r w:rsidR="00C80372"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w:t>
            </w:r>
            <w:r w:rsidR="00C80372"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 xml:space="preserve">10.2 </w:t>
            </w:r>
          </w:p>
        </w:tc>
        <w:tc>
          <w:tcPr>
            <w:tcW w:w="992" w:type="dxa"/>
            <w:tcBorders>
              <w:top w:val="nil"/>
              <w:left w:val="nil"/>
              <w:bottom w:val="nil"/>
              <w:right w:val="nil"/>
            </w:tcBorders>
            <w:shd w:val="clear" w:color="auto" w:fill="auto"/>
            <w:vAlign w:val="center"/>
            <w:hideMark/>
          </w:tcPr>
          <w:p w14:paraId="3F47FB3F"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67.7/69.1</w:t>
            </w:r>
          </w:p>
        </w:tc>
        <w:tc>
          <w:tcPr>
            <w:tcW w:w="992" w:type="dxa"/>
            <w:tcBorders>
              <w:top w:val="nil"/>
              <w:left w:val="nil"/>
              <w:bottom w:val="nil"/>
              <w:right w:val="nil"/>
            </w:tcBorders>
            <w:shd w:val="clear" w:color="auto" w:fill="auto"/>
            <w:vAlign w:val="center"/>
            <w:hideMark/>
          </w:tcPr>
          <w:p w14:paraId="477E6545" w14:textId="6260CA23" w:rsidR="00E079C6" w:rsidRPr="003D5B85" w:rsidRDefault="001C5C58"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 xml:space="preserve">Cirrhosis </w:t>
            </w:r>
            <w:r w:rsidR="00E079C6" w:rsidRPr="003D5B85">
              <w:rPr>
                <w:rFonts w:ascii="Book Antiqua" w:eastAsia="等线" w:hAnsi="Book Antiqua" w:cs="Times New Roman"/>
                <w:color w:val="000000" w:themeColor="text1"/>
                <w:kern w:val="0"/>
                <w:sz w:val="18"/>
                <w:szCs w:val="18"/>
              </w:rPr>
              <w:t xml:space="preserve">with TIPS implantation </w:t>
            </w:r>
          </w:p>
        </w:tc>
        <w:tc>
          <w:tcPr>
            <w:tcW w:w="992" w:type="dxa"/>
            <w:tcBorders>
              <w:top w:val="nil"/>
              <w:left w:val="nil"/>
              <w:bottom w:val="nil"/>
              <w:right w:val="nil"/>
            </w:tcBorders>
            <w:shd w:val="clear" w:color="auto" w:fill="auto"/>
            <w:vAlign w:val="center"/>
            <w:hideMark/>
          </w:tcPr>
          <w:p w14:paraId="56FFE98C" w14:textId="375F0C01" w:rsidR="00E079C6" w:rsidRPr="003D5B85" w:rsidRDefault="000C4B2E" w:rsidP="000C4B2E">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Grades 1-4 HE</w:t>
            </w:r>
          </w:p>
        </w:tc>
        <w:tc>
          <w:tcPr>
            <w:tcW w:w="1134" w:type="dxa"/>
            <w:tcBorders>
              <w:top w:val="nil"/>
              <w:left w:val="nil"/>
              <w:bottom w:val="nil"/>
              <w:right w:val="nil"/>
            </w:tcBorders>
            <w:shd w:val="clear" w:color="auto" w:fill="auto"/>
            <w:vAlign w:val="center"/>
            <w:hideMark/>
          </w:tcPr>
          <w:p w14:paraId="32AF85C3"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PPI users</w:t>
            </w:r>
            <w:r w:rsidRPr="003D5B85">
              <w:rPr>
                <w:rFonts w:ascii="Book Antiqua" w:eastAsia="等线" w:hAnsi="Book Antiqua" w:cs="Times New Roman"/>
                <w:color w:val="000000" w:themeColor="text1"/>
                <w:kern w:val="0"/>
                <w:sz w:val="18"/>
                <w:szCs w:val="18"/>
              </w:rPr>
              <w:br/>
              <w:t>were defined as the patients who used PPIs during hospitalization</w:t>
            </w:r>
          </w:p>
        </w:tc>
        <w:tc>
          <w:tcPr>
            <w:tcW w:w="851" w:type="dxa"/>
            <w:tcBorders>
              <w:top w:val="nil"/>
              <w:left w:val="nil"/>
              <w:bottom w:val="nil"/>
              <w:right w:val="nil"/>
            </w:tcBorders>
            <w:shd w:val="clear" w:color="auto" w:fill="auto"/>
            <w:vAlign w:val="center"/>
            <w:hideMark/>
          </w:tcPr>
          <w:p w14:paraId="12AB64E1" w14:textId="167F4764" w:rsidR="00E079C6" w:rsidRPr="003D5B85" w:rsidRDefault="00E079C6">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116</w:t>
            </w:r>
            <w:r w:rsidR="00C80372"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w:t>
            </w:r>
            <w:r w:rsidR="00C80372"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74        /135</w:t>
            </w:r>
            <w:r w:rsidR="00C80372"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w:t>
            </w:r>
            <w:r w:rsidR="00C80372"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 xml:space="preserve">65 d </w:t>
            </w:r>
          </w:p>
        </w:tc>
        <w:tc>
          <w:tcPr>
            <w:tcW w:w="1417" w:type="dxa"/>
            <w:tcBorders>
              <w:top w:val="nil"/>
              <w:left w:val="nil"/>
              <w:bottom w:val="nil"/>
              <w:right w:val="nil"/>
            </w:tcBorders>
            <w:shd w:val="clear" w:color="auto" w:fill="auto"/>
            <w:vAlign w:val="center"/>
            <w:hideMark/>
          </w:tcPr>
          <w:p w14:paraId="5449D9D0" w14:textId="58426845" w:rsidR="00E079C6" w:rsidRPr="003D5B85" w:rsidRDefault="00C80372"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A</w:t>
            </w:r>
            <w:r w:rsidR="00E079C6" w:rsidRPr="003D5B85">
              <w:rPr>
                <w:rFonts w:ascii="Book Antiqua" w:eastAsia="等线" w:hAnsi="Book Antiqua" w:cs="Times New Roman"/>
                <w:color w:val="000000" w:themeColor="text1"/>
                <w:kern w:val="0"/>
                <w:sz w:val="18"/>
                <w:szCs w:val="18"/>
              </w:rPr>
              <w:t>ge,</w:t>
            </w:r>
            <w:r w:rsidRPr="003D5B85">
              <w:rPr>
                <w:rFonts w:ascii="Book Antiqua" w:eastAsia="等线" w:hAnsi="Book Antiqua" w:cs="Times New Roman"/>
                <w:color w:val="000000" w:themeColor="text1"/>
                <w:kern w:val="0"/>
                <w:sz w:val="18"/>
                <w:szCs w:val="18"/>
              </w:rPr>
              <w:t xml:space="preserve"> </w:t>
            </w:r>
            <w:r w:rsidR="00E079C6" w:rsidRPr="003D5B85">
              <w:rPr>
                <w:rFonts w:ascii="Book Antiqua" w:eastAsia="等线" w:hAnsi="Book Antiqua" w:cs="Times New Roman"/>
                <w:color w:val="000000" w:themeColor="text1"/>
                <w:kern w:val="0"/>
                <w:sz w:val="18"/>
                <w:szCs w:val="18"/>
              </w:rPr>
              <w:t>etiology of liver disease,</w:t>
            </w:r>
            <w:r w:rsidRPr="003D5B85">
              <w:rPr>
                <w:rFonts w:ascii="Book Antiqua" w:eastAsia="等线" w:hAnsi="Book Antiqua" w:cs="Times New Roman"/>
                <w:color w:val="000000" w:themeColor="text1"/>
                <w:kern w:val="0"/>
                <w:sz w:val="18"/>
                <w:szCs w:val="18"/>
              </w:rPr>
              <w:t xml:space="preserve"> </w:t>
            </w:r>
            <w:r w:rsidR="00E079C6" w:rsidRPr="003D5B85">
              <w:rPr>
                <w:rFonts w:ascii="Book Antiqua" w:eastAsia="等线" w:hAnsi="Book Antiqua" w:cs="Times New Roman"/>
                <w:color w:val="000000" w:themeColor="text1"/>
                <w:kern w:val="0"/>
                <w:sz w:val="18"/>
                <w:szCs w:val="18"/>
              </w:rPr>
              <w:t>TIPS indication, acute variceal bleeding with early TIPS implantation, covering of the stent graft,</w:t>
            </w:r>
            <w:r w:rsidRPr="003D5B85">
              <w:rPr>
                <w:rFonts w:ascii="Book Antiqua" w:eastAsia="等线" w:hAnsi="Book Antiqua" w:cs="Times New Roman"/>
                <w:color w:val="000000" w:themeColor="text1"/>
                <w:kern w:val="0"/>
                <w:sz w:val="18"/>
                <w:szCs w:val="18"/>
              </w:rPr>
              <w:t xml:space="preserve"> </w:t>
            </w:r>
            <w:r w:rsidR="00E079C6" w:rsidRPr="003D5B85">
              <w:rPr>
                <w:rFonts w:ascii="Book Antiqua" w:eastAsia="等线" w:hAnsi="Book Antiqua" w:cs="Times New Roman"/>
                <w:color w:val="000000" w:themeColor="text1"/>
                <w:kern w:val="0"/>
                <w:sz w:val="18"/>
                <w:szCs w:val="18"/>
              </w:rPr>
              <w:t>portosystemic gradient before and after TIPS,</w:t>
            </w:r>
            <w:r w:rsidRPr="003D5B85">
              <w:rPr>
                <w:rFonts w:ascii="Book Antiqua" w:eastAsia="等线" w:hAnsi="Book Antiqua" w:cs="Times New Roman"/>
                <w:color w:val="000000" w:themeColor="text1"/>
                <w:kern w:val="0"/>
                <w:sz w:val="18"/>
                <w:szCs w:val="18"/>
              </w:rPr>
              <w:t xml:space="preserve"> </w:t>
            </w:r>
            <w:r w:rsidR="00E079C6" w:rsidRPr="003D5B85">
              <w:rPr>
                <w:rFonts w:ascii="Book Antiqua" w:eastAsia="等线" w:hAnsi="Book Antiqua" w:cs="Times New Roman"/>
                <w:color w:val="000000" w:themeColor="text1"/>
                <w:kern w:val="0"/>
                <w:sz w:val="18"/>
                <w:szCs w:val="18"/>
              </w:rPr>
              <w:t>HE before TIPS,</w:t>
            </w:r>
            <w:r w:rsidRPr="003D5B85">
              <w:rPr>
                <w:rFonts w:ascii="Book Antiqua" w:eastAsia="等线" w:hAnsi="Book Antiqua" w:cs="Times New Roman"/>
                <w:color w:val="000000" w:themeColor="text1"/>
                <w:kern w:val="0"/>
                <w:sz w:val="18"/>
                <w:szCs w:val="18"/>
              </w:rPr>
              <w:t xml:space="preserve"> </w:t>
            </w:r>
            <w:r w:rsidR="00E079C6" w:rsidRPr="003D5B85">
              <w:rPr>
                <w:rFonts w:ascii="Book Antiqua" w:eastAsia="等线" w:hAnsi="Book Antiqua" w:cs="Times New Roman"/>
                <w:color w:val="000000" w:themeColor="text1"/>
                <w:kern w:val="0"/>
                <w:sz w:val="18"/>
                <w:szCs w:val="18"/>
              </w:rPr>
              <w:t>MELD score,</w:t>
            </w:r>
            <w:r w:rsidRPr="003D5B85">
              <w:rPr>
                <w:rFonts w:ascii="Book Antiqua" w:eastAsia="等线" w:hAnsi="Book Antiqua" w:cs="Times New Roman"/>
                <w:color w:val="000000" w:themeColor="text1"/>
                <w:kern w:val="0"/>
                <w:sz w:val="18"/>
                <w:szCs w:val="18"/>
              </w:rPr>
              <w:t xml:space="preserve"> </w:t>
            </w:r>
            <w:r w:rsidR="00E079C6" w:rsidRPr="003D5B85">
              <w:rPr>
                <w:rFonts w:ascii="Book Antiqua" w:eastAsia="等线" w:hAnsi="Book Antiqua" w:cs="Times New Roman"/>
                <w:color w:val="000000" w:themeColor="text1"/>
                <w:kern w:val="0"/>
                <w:sz w:val="18"/>
                <w:szCs w:val="18"/>
              </w:rPr>
              <w:t>HE medication,</w:t>
            </w:r>
            <w:r w:rsidRPr="003D5B85">
              <w:rPr>
                <w:rFonts w:ascii="Book Antiqua" w:eastAsia="等线" w:hAnsi="Book Antiqua" w:cs="Times New Roman"/>
                <w:color w:val="000000" w:themeColor="text1"/>
                <w:kern w:val="0"/>
                <w:sz w:val="18"/>
                <w:szCs w:val="18"/>
              </w:rPr>
              <w:t xml:space="preserve"> </w:t>
            </w:r>
            <w:r w:rsidR="001C5C58" w:rsidRPr="003D5B85">
              <w:rPr>
                <w:rFonts w:ascii="Book Antiqua" w:eastAsia="等线" w:hAnsi="Book Antiqua" w:cs="Times New Roman"/>
                <w:color w:val="000000" w:themeColor="text1"/>
                <w:kern w:val="0"/>
                <w:sz w:val="18"/>
                <w:szCs w:val="18"/>
              </w:rPr>
              <w:t xml:space="preserve">and </w:t>
            </w:r>
            <w:proofErr w:type="spellStart"/>
            <w:r w:rsidR="00E079C6" w:rsidRPr="003D5B85">
              <w:rPr>
                <w:rFonts w:ascii="Book Antiqua" w:eastAsia="等线" w:hAnsi="Book Antiqua" w:cs="Times New Roman"/>
                <w:color w:val="000000" w:themeColor="text1"/>
                <w:kern w:val="0"/>
                <w:sz w:val="18"/>
                <w:szCs w:val="18"/>
              </w:rPr>
              <w:t>peri</w:t>
            </w:r>
            <w:proofErr w:type="spellEnd"/>
            <w:r w:rsidR="00E079C6" w:rsidRPr="003D5B85">
              <w:rPr>
                <w:rFonts w:ascii="Book Antiqua" w:eastAsia="等线" w:hAnsi="Book Antiqua" w:cs="Times New Roman"/>
                <w:color w:val="000000" w:themeColor="text1"/>
                <w:kern w:val="0"/>
                <w:sz w:val="18"/>
                <w:szCs w:val="18"/>
              </w:rPr>
              <w:t xml:space="preserve">-interventional antibiotic treatment </w:t>
            </w:r>
          </w:p>
        </w:tc>
        <w:tc>
          <w:tcPr>
            <w:tcW w:w="1418" w:type="dxa"/>
            <w:tcBorders>
              <w:top w:val="nil"/>
              <w:left w:val="nil"/>
              <w:bottom w:val="nil"/>
              <w:right w:val="nil"/>
            </w:tcBorders>
            <w:shd w:val="clear" w:color="auto" w:fill="auto"/>
            <w:noWrap/>
            <w:vAlign w:val="center"/>
            <w:hideMark/>
          </w:tcPr>
          <w:p w14:paraId="3035E4BE"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9</w:t>
            </w:r>
          </w:p>
        </w:tc>
      </w:tr>
      <w:tr w:rsidR="00115F98" w:rsidRPr="003D5B85" w14:paraId="6DFEEA3E" w14:textId="77777777" w:rsidTr="002535EB">
        <w:trPr>
          <w:trHeight w:val="2200"/>
          <w:jc w:val="right"/>
        </w:trPr>
        <w:tc>
          <w:tcPr>
            <w:tcW w:w="1418" w:type="dxa"/>
            <w:tcBorders>
              <w:top w:val="nil"/>
              <w:left w:val="nil"/>
              <w:bottom w:val="nil"/>
              <w:right w:val="nil"/>
            </w:tcBorders>
            <w:shd w:val="clear" w:color="auto" w:fill="auto"/>
            <w:vAlign w:val="center"/>
            <w:hideMark/>
          </w:tcPr>
          <w:p w14:paraId="5A2927A8" w14:textId="5CD1A2C6"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lastRenderedPageBreak/>
              <w:t xml:space="preserve">Tapper </w:t>
            </w:r>
            <w:r w:rsidR="002535EB" w:rsidRPr="003D5B85">
              <w:rPr>
                <w:rFonts w:ascii="Book Antiqua" w:eastAsia="等线" w:hAnsi="Book Antiqua" w:cs="Times New Roman"/>
                <w:i/>
                <w:color w:val="000000" w:themeColor="text1"/>
                <w:kern w:val="0"/>
                <w:sz w:val="18"/>
                <w:szCs w:val="18"/>
              </w:rPr>
              <w:t>et al</w:t>
            </w:r>
            <w:r w:rsidR="002535EB" w:rsidRPr="003D5B85">
              <w:rPr>
                <w:rFonts w:ascii="Book Antiqua" w:eastAsia="等线" w:hAnsi="Book Antiqua" w:cs="Times New Roman"/>
                <w:color w:val="000000" w:themeColor="text1"/>
                <w:kern w:val="0"/>
                <w:sz w:val="18"/>
                <w:szCs w:val="18"/>
                <w:vertAlign w:val="superscript"/>
              </w:rPr>
              <w:t>[24]</w:t>
            </w:r>
            <w:r w:rsidR="002535EB"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2018 (abstract)</w:t>
            </w:r>
          </w:p>
        </w:tc>
        <w:tc>
          <w:tcPr>
            <w:tcW w:w="992" w:type="dxa"/>
            <w:tcBorders>
              <w:top w:val="nil"/>
              <w:left w:val="nil"/>
              <w:bottom w:val="nil"/>
              <w:right w:val="nil"/>
            </w:tcBorders>
            <w:shd w:val="clear" w:color="auto" w:fill="auto"/>
            <w:vAlign w:val="center"/>
            <w:hideMark/>
          </w:tcPr>
          <w:p w14:paraId="77E33397"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USA</w:t>
            </w:r>
          </w:p>
        </w:tc>
        <w:tc>
          <w:tcPr>
            <w:tcW w:w="992" w:type="dxa"/>
            <w:tcBorders>
              <w:top w:val="nil"/>
              <w:left w:val="nil"/>
              <w:bottom w:val="nil"/>
              <w:right w:val="nil"/>
            </w:tcBorders>
            <w:shd w:val="clear" w:color="auto" w:fill="auto"/>
            <w:vAlign w:val="center"/>
            <w:hideMark/>
          </w:tcPr>
          <w:p w14:paraId="623F26B5" w14:textId="2BE27C27" w:rsidR="00E079C6" w:rsidRPr="003D5B85" w:rsidRDefault="001C5C58"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Cohort </w:t>
            </w:r>
          </w:p>
        </w:tc>
        <w:tc>
          <w:tcPr>
            <w:tcW w:w="1152" w:type="dxa"/>
            <w:tcBorders>
              <w:top w:val="nil"/>
              <w:left w:val="nil"/>
              <w:bottom w:val="nil"/>
              <w:right w:val="nil"/>
            </w:tcBorders>
            <w:shd w:val="clear" w:color="auto" w:fill="auto"/>
            <w:vAlign w:val="center"/>
            <w:hideMark/>
          </w:tcPr>
          <w:p w14:paraId="2BBCDB87" w14:textId="0858F953"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186481</w:t>
            </w:r>
          </w:p>
        </w:tc>
        <w:tc>
          <w:tcPr>
            <w:tcW w:w="975" w:type="dxa"/>
            <w:tcBorders>
              <w:top w:val="nil"/>
              <w:left w:val="nil"/>
              <w:bottom w:val="nil"/>
              <w:right w:val="nil"/>
            </w:tcBorders>
            <w:shd w:val="clear" w:color="auto" w:fill="auto"/>
            <w:vAlign w:val="center"/>
            <w:hideMark/>
          </w:tcPr>
          <w:p w14:paraId="073E817E"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65 (57–73)</w:t>
            </w:r>
          </w:p>
        </w:tc>
        <w:tc>
          <w:tcPr>
            <w:tcW w:w="992" w:type="dxa"/>
            <w:tcBorders>
              <w:top w:val="nil"/>
              <w:left w:val="nil"/>
              <w:bottom w:val="nil"/>
              <w:right w:val="nil"/>
            </w:tcBorders>
            <w:shd w:val="clear" w:color="auto" w:fill="auto"/>
            <w:vAlign w:val="center"/>
            <w:hideMark/>
          </w:tcPr>
          <w:p w14:paraId="03FA8223"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55</w:t>
            </w:r>
          </w:p>
        </w:tc>
        <w:tc>
          <w:tcPr>
            <w:tcW w:w="992" w:type="dxa"/>
            <w:tcBorders>
              <w:top w:val="nil"/>
              <w:left w:val="nil"/>
              <w:bottom w:val="nil"/>
              <w:right w:val="nil"/>
            </w:tcBorders>
            <w:shd w:val="clear" w:color="auto" w:fill="auto"/>
            <w:vAlign w:val="center"/>
            <w:hideMark/>
          </w:tcPr>
          <w:p w14:paraId="3C5F3781" w14:textId="2AC1C02E" w:rsidR="00E079C6" w:rsidRPr="003D5B85" w:rsidRDefault="001C5C58"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Cirrhosis</w:t>
            </w:r>
          </w:p>
        </w:tc>
        <w:tc>
          <w:tcPr>
            <w:tcW w:w="992" w:type="dxa"/>
            <w:tcBorders>
              <w:top w:val="nil"/>
              <w:left w:val="nil"/>
              <w:bottom w:val="nil"/>
              <w:right w:val="nil"/>
            </w:tcBorders>
            <w:shd w:val="clear" w:color="auto" w:fill="auto"/>
            <w:vAlign w:val="center"/>
            <w:hideMark/>
          </w:tcPr>
          <w:p w14:paraId="2BE131F2" w14:textId="127CAA5A" w:rsidR="00E079C6" w:rsidRPr="003D5B85" w:rsidRDefault="000C4B2E" w:rsidP="000C4B2E">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Grades 1-4 HE</w:t>
            </w:r>
          </w:p>
        </w:tc>
        <w:tc>
          <w:tcPr>
            <w:tcW w:w="1134" w:type="dxa"/>
            <w:tcBorders>
              <w:top w:val="nil"/>
              <w:left w:val="nil"/>
              <w:bottom w:val="nil"/>
              <w:right w:val="nil"/>
            </w:tcBorders>
            <w:shd w:val="clear" w:color="auto" w:fill="auto"/>
            <w:vAlign w:val="center"/>
            <w:hideMark/>
          </w:tcPr>
          <w:p w14:paraId="7945E1D5" w14:textId="3CB23546" w:rsidR="00E079C6" w:rsidRPr="003D5B85" w:rsidRDefault="001C5C58"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 xml:space="preserve">Chronic </w:t>
            </w:r>
            <w:r w:rsidR="00E079C6" w:rsidRPr="003D5B85">
              <w:rPr>
                <w:rFonts w:ascii="Book Antiqua" w:eastAsia="等线" w:hAnsi="Book Antiqua" w:cs="Times New Roman"/>
                <w:color w:val="000000" w:themeColor="text1"/>
                <w:kern w:val="0"/>
                <w:sz w:val="18"/>
                <w:szCs w:val="18"/>
              </w:rPr>
              <w:t>use</w:t>
            </w:r>
            <w:r w:rsidR="00C80372" w:rsidRPr="003D5B85">
              <w:rPr>
                <w:rFonts w:ascii="Book Antiqua" w:eastAsia="等线" w:hAnsi="Book Antiqua" w:cs="Times New Roman"/>
                <w:color w:val="000000" w:themeColor="text1"/>
                <w:kern w:val="0"/>
                <w:sz w:val="18"/>
                <w:szCs w:val="18"/>
              </w:rPr>
              <w:t xml:space="preserve"> </w:t>
            </w:r>
            <w:r w:rsidR="00E079C6" w:rsidRPr="003D5B85">
              <w:rPr>
                <w:rFonts w:ascii="Book Antiqua" w:eastAsia="等线" w:hAnsi="Book Antiqua" w:cs="Times New Roman"/>
                <w:color w:val="000000" w:themeColor="text1"/>
                <w:kern w:val="0"/>
                <w:sz w:val="18"/>
                <w:szCs w:val="18"/>
              </w:rPr>
              <w:t xml:space="preserve">(&gt;90 d) </w:t>
            </w:r>
          </w:p>
        </w:tc>
        <w:tc>
          <w:tcPr>
            <w:tcW w:w="851" w:type="dxa"/>
            <w:tcBorders>
              <w:top w:val="nil"/>
              <w:left w:val="nil"/>
              <w:bottom w:val="nil"/>
              <w:right w:val="nil"/>
            </w:tcBorders>
            <w:shd w:val="clear" w:color="auto" w:fill="auto"/>
            <w:vAlign w:val="center"/>
            <w:hideMark/>
          </w:tcPr>
          <w:p w14:paraId="08F5AF2E" w14:textId="044F714C" w:rsidR="00E079C6" w:rsidRPr="003D5B85" w:rsidRDefault="00E079C6" w:rsidP="00C80372">
            <w:pPr>
              <w:widowControl/>
              <w:spacing w:line="360" w:lineRule="auto"/>
              <w:ind w:left="90" w:hangingChars="50" w:hanging="90"/>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542739patient-years</w:t>
            </w:r>
          </w:p>
        </w:tc>
        <w:tc>
          <w:tcPr>
            <w:tcW w:w="1417" w:type="dxa"/>
            <w:tcBorders>
              <w:top w:val="nil"/>
              <w:left w:val="nil"/>
              <w:bottom w:val="nil"/>
              <w:right w:val="nil"/>
            </w:tcBorders>
            <w:shd w:val="clear" w:color="auto" w:fill="auto"/>
            <w:vAlign w:val="center"/>
            <w:hideMark/>
          </w:tcPr>
          <w:p w14:paraId="544E227E" w14:textId="6B15B049" w:rsidR="00E079C6" w:rsidRPr="003D5B85" w:rsidRDefault="00C80372"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A</w:t>
            </w:r>
            <w:r w:rsidR="00E079C6" w:rsidRPr="003D5B85">
              <w:rPr>
                <w:rFonts w:ascii="Book Antiqua" w:eastAsia="等线" w:hAnsi="Book Antiqua" w:cs="Times New Roman"/>
                <w:color w:val="000000" w:themeColor="text1"/>
                <w:kern w:val="0"/>
                <w:sz w:val="18"/>
                <w:szCs w:val="18"/>
              </w:rPr>
              <w:t>ge, sex, race, etiology of cirrhosis,</w:t>
            </w:r>
            <w:r w:rsidRPr="003D5B85">
              <w:rPr>
                <w:rFonts w:ascii="Book Antiqua" w:eastAsia="等线" w:hAnsi="Book Antiqua" w:cs="Times New Roman"/>
                <w:color w:val="000000" w:themeColor="text1"/>
                <w:kern w:val="0"/>
                <w:sz w:val="18"/>
                <w:szCs w:val="18"/>
              </w:rPr>
              <w:t xml:space="preserve"> </w:t>
            </w:r>
            <w:r w:rsidR="00E079C6" w:rsidRPr="003D5B85">
              <w:rPr>
                <w:rFonts w:ascii="Book Antiqua" w:eastAsia="等线" w:hAnsi="Book Antiqua" w:cs="Times New Roman"/>
                <w:color w:val="000000" w:themeColor="text1"/>
                <w:kern w:val="0"/>
                <w:sz w:val="18"/>
                <w:szCs w:val="18"/>
              </w:rPr>
              <w:t>Medicaid co-enrollment, hemodialysis, portal hypertension (varices, ascites, TIPS placement), and management by a gastroenterologist</w:t>
            </w:r>
          </w:p>
        </w:tc>
        <w:tc>
          <w:tcPr>
            <w:tcW w:w="1418" w:type="dxa"/>
            <w:tcBorders>
              <w:top w:val="nil"/>
              <w:left w:val="nil"/>
              <w:bottom w:val="nil"/>
              <w:right w:val="nil"/>
            </w:tcBorders>
            <w:shd w:val="clear" w:color="auto" w:fill="auto"/>
            <w:vAlign w:val="center"/>
            <w:hideMark/>
          </w:tcPr>
          <w:p w14:paraId="548E311C"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NA</w:t>
            </w:r>
          </w:p>
        </w:tc>
      </w:tr>
      <w:tr w:rsidR="00115F98" w:rsidRPr="003D5B85" w14:paraId="1F5E6F40" w14:textId="77777777" w:rsidTr="002535EB">
        <w:trPr>
          <w:trHeight w:val="1400"/>
          <w:jc w:val="right"/>
        </w:trPr>
        <w:tc>
          <w:tcPr>
            <w:tcW w:w="1418" w:type="dxa"/>
            <w:tcBorders>
              <w:top w:val="nil"/>
              <w:left w:val="nil"/>
              <w:bottom w:val="nil"/>
              <w:right w:val="nil"/>
            </w:tcBorders>
            <w:shd w:val="clear" w:color="auto" w:fill="auto"/>
            <w:vAlign w:val="center"/>
            <w:hideMark/>
          </w:tcPr>
          <w:p w14:paraId="676D3C04" w14:textId="25F10102"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proofErr w:type="spellStart"/>
            <w:r w:rsidRPr="003D5B85">
              <w:rPr>
                <w:rFonts w:ascii="Book Antiqua" w:eastAsia="等线" w:hAnsi="Book Antiqua" w:cs="Times New Roman"/>
                <w:color w:val="000000" w:themeColor="text1"/>
                <w:kern w:val="0"/>
                <w:sz w:val="18"/>
                <w:szCs w:val="18"/>
              </w:rPr>
              <w:t>Matei</w:t>
            </w:r>
            <w:proofErr w:type="spellEnd"/>
            <w:r w:rsidRPr="003D5B85">
              <w:rPr>
                <w:rFonts w:ascii="Book Antiqua" w:eastAsia="等线" w:hAnsi="Book Antiqua" w:cs="Times New Roman"/>
                <w:color w:val="000000" w:themeColor="text1"/>
                <w:kern w:val="0"/>
                <w:sz w:val="18"/>
                <w:szCs w:val="18"/>
              </w:rPr>
              <w:t xml:space="preserve"> </w:t>
            </w:r>
            <w:r w:rsidR="002535EB" w:rsidRPr="003D5B85">
              <w:rPr>
                <w:rFonts w:ascii="Book Antiqua" w:eastAsia="等线" w:hAnsi="Book Antiqua" w:cs="Times New Roman"/>
                <w:i/>
                <w:color w:val="000000" w:themeColor="text1"/>
                <w:kern w:val="0"/>
                <w:sz w:val="18"/>
                <w:szCs w:val="18"/>
              </w:rPr>
              <w:t>et al</w:t>
            </w:r>
            <w:r w:rsidR="002535EB" w:rsidRPr="003D5B85">
              <w:rPr>
                <w:rFonts w:ascii="Book Antiqua" w:eastAsia="等线" w:hAnsi="Book Antiqua" w:cs="Times New Roman"/>
                <w:color w:val="000000" w:themeColor="text1"/>
                <w:kern w:val="0"/>
                <w:sz w:val="18"/>
                <w:szCs w:val="18"/>
                <w:vertAlign w:val="superscript"/>
              </w:rPr>
              <w:t>[25]</w:t>
            </w:r>
            <w:r w:rsidR="002535EB"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2017 (abstract)</w:t>
            </w:r>
          </w:p>
        </w:tc>
        <w:tc>
          <w:tcPr>
            <w:tcW w:w="992" w:type="dxa"/>
            <w:tcBorders>
              <w:top w:val="nil"/>
              <w:left w:val="nil"/>
              <w:bottom w:val="nil"/>
              <w:right w:val="nil"/>
            </w:tcBorders>
            <w:shd w:val="clear" w:color="auto" w:fill="auto"/>
            <w:vAlign w:val="center"/>
            <w:hideMark/>
          </w:tcPr>
          <w:p w14:paraId="64A44A14"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Romania</w:t>
            </w:r>
          </w:p>
        </w:tc>
        <w:tc>
          <w:tcPr>
            <w:tcW w:w="992" w:type="dxa"/>
            <w:tcBorders>
              <w:top w:val="nil"/>
              <w:left w:val="nil"/>
              <w:bottom w:val="nil"/>
              <w:right w:val="nil"/>
            </w:tcBorders>
            <w:shd w:val="clear" w:color="auto" w:fill="auto"/>
            <w:vAlign w:val="center"/>
            <w:hideMark/>
          </w:tcPr>
          <w:p w14:paraId="0DBADF4C" w14:textId="1BB29786" w:rsidR="00E079C6" w:rsidRPr="003D5B85" w:rsidRDefault="001C5C58"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Case</w:t>
            </w:r>
            <w:r w:rsidR="00E079C6" w:rsidRPr="003D5B85">
              <w:rPr>
                <w:rFonts w:ascii="Book Antiqua" w:eastAsia="等线" w:hAnsi="Book Antiqua" w:cs="Times New Roman"/>
                <w:color w:val="000000" w:themeColor="text1"/>
                <w:kern w:val="0"/>
                <w:sz w:val="18"/>
                <w:szCs w:val="18"/>
              </w:rPr>
              <w:t xml:space="preserve">-control </w:t>
            </w:r>
          </w:p>
        </w:tc>
        <w:tc>
          <w:tcPr>
            <w:tcW w:w="1152" w:type="dxa"/>
            <w:tcBorders>
              <w:top w:val="nil"/>
              <w:left w:val="nil"/>
              <w:bottom w:val="nil"/>
              <w:right w:val="nil"/>
            </w:tcBorders>
            <w:shd w:val="clear" w:color="auto" w:fill="auto"/>
            <w:vAlign w:val="center"/>
            <w:hideMark/>
          </w:tcPr>
          <w:p w14:paraId="55152E04"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436/327</w:t>
            </w:r>
          </w:p>
        </w:tc>
        <w:tc>
          <w:tcPr>
            <w:tcW w:w="975" w:type="dxa"/>
            <w:tcBorders>
              <w:top w:val="nil"/>
              <w:left w:val="nil"/>
              <w:bottom w:val="nil"/>
              <w:right w:val="nil"/>
            </w:tcBorders>
            <w:shd w:val="clear" w:color="auto" w:fill="auto"/>
            <w:vAlign w:val="center"/>
            <w:hideMark/>
          </w:tcPr>
          <w:p w14:paraId="28932D44" w14:textId="3A18D87B"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60.41</w:t>
            </w:r>
            <w:r w:rsidR="00C80372"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(17–91)</w:t>
            </w:r>
          </w:p>
        </w:tc>
        <w:tc>
          <w:tcPr>
            <w:tcW w:w="992" w:type="dxa"/>
            <w:tcBorders>
              <w:top w:val="nil"/>
              <w:left w:val="nil"/>
              <w:bottom w:val="nil"/>
              <w:right w:val="nil"/>
            </w:tcBorders>
            <w:shd w:val="clear" w:color="auto" w:fill="auto"/>
            <w:vAlign w:val="center"/>
            <w:hideMark/>
          </w:tcPr>
          <w:p w14:paraId="313C4D11"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63.3</w:t>
            </w:r>
          </w:p>
        </w:tc>
        <w:tc>
          <w:tcPr>
            <w:tcW w:w="992" w:type="dxa"/>
            <w:tcBorders>
              <w:top w:val="nil"/>
              <w:left w:val="nil"/>
              <w:bottom w:val="nil"/>
              <w:right w:val="nil"/>
            </w:tcBorders>
            <w:shd w:val="clear" w:color="auto" w:fill="auto"/>
            <w:vAlign w:val="center"/>
            <w:hideMark/>
          </w:tcPr>
          <w:p w14:paraId="716543F7" w14:textId="2D6BA208" w:rsidR="00E079C6" w:rsidRPr="003D5B85" w:rsidRDefault="00E079C6">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 xml:space="preserve"> </w:t>
            </w:r>
            <w:r w:rsidR="001C5C58" w:rsidRPr="003D5B85">
              <w:rPr>
                <w:rFonts w:ascii="Book Antiqua" w:eastAsia="等线" w:hAnsi="Book Antiqua" w:cs="Times New Roman"/>
                <w:color w:val="000000" w:themeColor="text1"/>
                <w:kern w:val="0"/>
                <w:sz w:val="18"/>
                <w:szCs w:val="18"/>
              </w:rPr>
              <w:t xml:space="preserve">Cirrhosis </w:t>
            </w:r>
            <w:r w:rsidRPr="003D5B85">
              <w:rPr>
                <w:rFonts w:ascii="Book Antiqua" w:eastAsia="等线" w:hAnsi="Book Antiqua" w:cs="Times New Roman"/>
                <w:color w:val="000000" w:themeColor="text1"/>
                <w:kern w:val="0"/>
                <w:sz w:val="18"/>
                <w:szCs w:val="18"/>
              </w:rPr>
              <w:t>and ascites</w:t>
            </w:r>
          </w:p>
        </w:tc>
        <w:tc>
          <w:tcPr>
            <w:tcW w:w="992" w:type="dxa"/>
            <w:tcBorders>
              <w:top w:val="nil"/>
              <w:left w:val="nil"/>
              <w:bottom w:val="nil"/>
              <w:right w:val="nil"/>
            </w:tcBorders>
            <w:shd w:val="clear" w:color="auto" w:fill="auto"/>
            <w:vAlign w:val="center"/>
            <w:hideMark/>
          </w:tcPr>
          <w:p w14:paraId="54ED3CD0" w14:textId="7A3BD7FD" w:rsidR="00E079C6" w:rsidRPr="003D5B85" w:rsidRDefault="000C4B2E" w:rsidP="000C4B2E">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Grades 1-4 HE</w:t>
            </w:r>
          </w:p>
        </w:tc>
        <w:tc>
          <w:tcPr>
            <w:tcW w:w="1134" w:type="dxa"/>
            <w:tcBorders>
              <w:top w:val="nil"/>
              <w:left w:val="nil"/>
              <w:bottom w:val="nil"/>
              <w:right w:val="nil"/>
            </w:tcBorders>
            <w:shd w:val="clear" w:color="auto" w:fill="auto"/>
            <w:vAlign w:val="center"/>
            <w:hideMark/>
          </w:tcPr>
          <w:p w14:paraId="2C42C890" w14:textId="032C2633"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 xml:space="preserve">PPIs use was defined as the administration of at least 40 mg/day, for </w:t>
            </w:r>
            <w:r w:rsidRPr="003D5B85">
              <w:rPr>
                <w:rFonts w:ascii="Book Antiqua" w:eastAsia="等线" w:hAnsi="Book Antiqua" w:cs="Times New Roman"/>
                <w:color w:val="000000" w:themeColor="text1"/>
                <w:kern w:val="0"/>
                <w:sz w:val="18"/>
                <w:szCs w:val="18"/>
              </w:rPr>
              <w:lastRenderedPageBreak/>
              <w:t xml:space="preserve">minimum 2 </w:t>
            </w:r>
            <w:proofErr w:type="spellStart"/>
            <w:r w:rsidRPr="003D5B85">
              <w:rPr>
                <w:rFonts w:ascii="Book Antiqua" w:eastAsia="等线" w:hAnsi="Book Antiqua" w:cs="Times New Roman"/>
                <w:color w:val="000000" w:themeColor="text1"/>
                <w:kern w:val="0"/>
                <w:sz w:val="18"/>
                <w:szCs w:val="18"/>
              </w:rPr>
              <w:t>wk</w:t>
            </w:r>
            <w:proofErr w:type="spellEnd"/>
            <w:r w:rsidRPr="003D5B85">
              <w:rPr>
                <w:rFonts w:ascii="Book Antiqua" w:eastAsia="等线" w:hAnsi="Book Antiqua" w:cs="Times New Roman"/>
                <w:color w:val="000000" w:themeColor="text1"/>
                <w:kern w:val="0"/>
                <w:sz w:val="18"/>
                <w:szCs w:val="18"/>
              </w:rPr>
              <w:t xml:space="preserve"> during the last 3 mo.</w:t>
            </w:r>
          </w:p>
        </w:tc>
        <w:tc>
          <w:tcPr>
            <w:tcW w:w="851" w:type="dxa"/>
            <w:tcBorders>
              <w:top w:val="nil"/>
              <w:left w:val="nil"/>
              <w:bottom w:val="nil"/>
              <w:right w:val="nil"/>
            </w:tcBorders>
            <w:shd w:val="clear" w:color="auto" w:fill="auto"/>
            <w:vAlign w:val="center"/>
            <w:hideMark/>
          </w:tcPr>
          <w:p w14:paraId="1914FD5A"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lastRenderedPageBreak/>
              <w:t>NA</w:t>
            </w:r>
          </w:p>
        </w:tc>
        <w:tc>
          <w:tcPr>
            <w:tcW w:w="1417" w:type="dxa"/>
            <w:tcBorders>
              <w:top w:val="nil"/>
              <w:left w:val="nil"/>
              <w:bottom w:val="nil"/>
              <w:right w:val="nil"/>
            </w:tcBorders>
            <w:shd w:val="clear" w:color="auto" w:fill="auto"/>
            <w:vAlign w:val="center"/>
            <w:hideMark/>
          </w:tcPr>
          <w:p w14:paraId="554832A5"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NA</w:t>
            </w:r>
          </w:p>
        </w:tc>
        <w:tc>
          <w:tcPr>
            <w:tcW w:w="1418" w:type="dxa"/>
            <w:tcBorders>
              <w:top w:val="nil"/>
              <w:left w:val="nil"/>
              <w:bottom w:val="nil"/>
              <w:right w:val="nil"/>
            </w:tcBorders>
            <w:shd w:val="clear" w:color="auto" w:fill="auto"/>
            <w:vAlign w:val="center"/>
            <w:hideMark/>
          </w:tcPr>
          <w:p w14:paraId="4DCBD2AF"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NA</w:t>
            </w:r>
          </w:p>
        </w:tc>
      </w:tr>
      <w:tr w:rsidR="00115F98" w:rsidRPr="003D5B85" w14:paraId="603020F4" w14:textId="77777777" w:rsidTr="002535EB">
        <w:trPr>
          <w:trHeight w:val="1050"/>
          <w:jc w:val="right"/>
        </w:trPr>
        <w:tc>
          <w:tcPr>
            <w:tcW w:w="1418" w:type="dxa"/>
            <w:tcBorders>
              <w:top w:val="nil"/>
              <w:left w:val="nil"/>
              <w:bottom w:val="single" w:sz="8" w:space="0" w:color="auto"/>
              <w:right w:val="nil"/>
            </w:tcBorders>
            <w:shd w:val="clear" w:color="auto" w:fill="auto"/>
            <w:vAlign w:val="center"/>
            <w:hideMark/>
          </w:tcPr>
          <w:p w14:paraId="04DE9E67" w14:textId="0E920DD4"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proofErr w:type="spellStart"/>
            <w:r w:rsidRPr="003D5B85">
              <w:rPr>
                <w:rFonts w:ascii="Book Antiqua" w:eastAsia="等线" w:hAnsi="Book Antiqua" w:cs="Times New Roman"/>
                <w:color w:val="000000" w:themeColor="text1"/>
                <w:kern w:val="0"/>
                <w:sz w:val="18"/>
                <w:szCs w:val="18"/>
              </w:rPr>
              <w:lastRenderedPageBreak/>
              <w:t>Shanab</w:t>
            </w:r>
            <w:proofErr w:type="spellEnd"/>
            <w:r w:rsidRPr="003D5B85">
              <w:rPr>
                <w:rFonts w:ascii="Book Antiqua" w:eastAsia="等线" w:hAnsi="Book Antiqua" w:cs="Times New Roman"/>
                <w:color w:val="000000" w:themeColor="text1"/>
                <w:kern w:val="0"/>
                <w:sz w:val="18"/>
                <w:szCs w:val="18"/>
              </w:rPr>
              <w:t xml:space="preserve"> </w:t>
            </w:r>
            <w:r w:rsidR="002535EB" w:rsidRPr="003D5B85">
              <w:rPr>
                <w:rFonts w:ascii="Book Antiqua" w:eastAsia="等线" w:hAnsi="Book Antiqua" w:cs="Times New Roman"/>
                <w:i/>
                <w:color w:val="000000" w:themeColor="text1"/>
                <w:kern w:val="0"/>
                <w:sz w:val="18"/>
                <w:szCs w:val="18"/>
              </w:rPr>
              <w:t>et al</w:t>
            </w:r>
            <w:r w:rsidR="002535EB" w:rsidRPr="003D5B85">
              <w:rPr>
                <w:rFonts w:ascii="Book Antiqua" w:eastAsia="等线" w:hAnsi="Book Antiqua" w:cs="Times New Roman"/>
                <w:color w:val="000000" w:themeColor="text1"/>
                <w:kern w:val="0"/>
                <w:sz w:val="18"/>
                <w:szCs w:val="18"/>
                <w:vertAlign w:val="superscript"/>
              </w:rPr>
              <w:t>[23]</w:t>
            </w:r>
            <w:r w:rsidR="002535EB"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 xml:space="preserve"> 2018 (abstract)</w:t>
            </w:r>
          </w:p>
        </w:tc>
        <w:tc>
          <w:tcPr>
            <w:tcW w:w="992" w:type="dxa"/>
            <w:tcBorders>
              <w:top w:val="nil"/>
              <w:left w:val="nil"/>
              <w:bottom w:val="single" w:sz="8" w:space="0" w:color="auto"/>
              <w:right w:val="nil"/>
            </w:tcBorders>
            <w:shd w:val="clear" w:color="auto" w:fill="auto"/>
            <w:vAlign w:val="center"/>
            <w:hideMark/>
          </w:tcPr>
          <w:p w14:paraId="6B6F9913"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UK</w:t>
            </w:r>
          </w:p>
        </w:tc>
        <w:tc>
          <w:tcPr>
            <w:tcW w:w="992" w:type="dxa"/>
            <w:tcBorders>
              <w:top w:val="nil"/>
              <w:left w:val="nil"/>
              <w:bottom w:val="single" w:sz="8" w:space="0" w:color="auto"/>
              <w:right w:val="nil"/>
            </w:tcBorders>
            <w:shd w:val="clear" w:color="auto" w:fill="auto"/>
            <w:vAlign w:val="center"/>
            <w:hideMark/>
          </w:tcPr>
          <w:p w14:paraId="33506EEE" w14:textId="1533E925" w:rsidR="00E079C6" w:rsidRPr="003D5B85" w:rsidRDefault="001C5C58"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Case</w:t>
            </w:r>
            <w:r w:rsidR="00E079C6" w:rsidRPr="003D5B85">
              <w:rPr>
                <w:rFonts w:ascii="Book Antiqua" w:eastAsia="等线" w:hAnsi="Book Antiqua" w:cs="Times New Roman"/>
                <w:color w:val="000000" w:themeColor="text1"/>
                <w:kern w:val="0"/>
                <w:sz w:val="18"/>
                <w:szCs w:val="18"/>
              </w:rPr>
              <w:t xml:space="preserve">-control </w:t>
            </w:r>
          </w:p>
        </w:tc>
        <w:tc>
          <w:tcPr>
            <w:tcW w:w="1152" w:type="dxa"/>
            <w:tcBorders>
              <w:top w:val="nil"/>
              <w:left w:val="nil"/>
              <w:bottom w:val="single" w:sz="8" w:space="0" w:color="auto"/>
              <w:right w:val="nil"/>
            </w:tcBorders>
            <w:shd w:val="clear" w:color="auto" w:fill="auto"/>
            <w:vAlign w:val="center"/>
            <w:hideMark/>
          </w:tcPr>
          <w:p w14:paraId="2FBC7236"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506/320</w:t>
            </w:r>
          </w:p>
        </w:tc>
        <w:tc>
          <w:tcPr>
            <w:tcW w:w="975" w:type="dxa"/>
            <w:tcBorders>
              <w:top w:val="nil"/>
              <w:left w:val="nil"/>
              <w:bottom w:val="single" w:sz="8" w:space="0" w:color="auto"/>
              <w:right w:val="nil"/>
            </w:tcBorders>
            <w:shd w:val="clear" w:color="auto" w:fill="auto"/>
            <w:vAlign w:val="center"/>
            <w:hideMark/>
          </w:tcPr>
          <w:p w14:paraId="6B763B9C" w14:textId="654FF083"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53.4</w:t>
            </w:r>
            <w:r w:rsidR="00C80372"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w:t>
            </w:r>
            <w:r w:rsidR="00C80372" w:rsidRPr="003D5B85">
              <w:rPr>
                <w:rFonts w:ascii="Book Antiqua" w:eastAsia="等线" w:hAnsi="Book Antiqua" w:cs="Times New Roman"/>
                <w:color w:val="000000" w:themeColor="text1"/>
                <w:kern w:val="0"/>
                <w:sz w:val="18"/>
                <w:szCs w:val="18"/>
              </w:rPr>
              <w:t xml:space="preserve"> </w:t>
            </w:r>
            <w:r w:rsidRPr="003D5B85">
              <w:rPr>
                <w:rFonts w:ascii="Book Antiqua" w:eastAsia="等线" w:hAnsi="Book Antiqua" w:cs="Times New Roman"/>
                <w:color w:val="000000" w:themeColor="text1"/>
                <w:kern w:val="0"/>
                <w:sz w:val="18"/>
                <w:szCs w:val="18"/>
              </w:rPr>
              <w:t>12.0</w:t>
            </w:r>
          </w:p>
        </w:tc>
        <w:tc>
          <w:tcPr>
            <w:tcW w:w="992" w:type="dxa"/>
            <w:tcBorders>
              <w:top w:val="nil"/>
              <w:left w:val="nil"/>
              <w:bottom w:val="single" w:sz="8" w:space="0" w:color="auto"/>
              <w:right w:val="nil"/>
            </w:tcBorders>
            <w:shd w:val="clear" w:color="auto" w:fill="auto"/>
            <w:vAlign w:val="center"/>
            <w:hideMark/>
          </w:tcPr>
          <w:p w14:paraId="31D9C024"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66</w:t>
            </w:r>
          </w:p>
        </w:tc>
        <w:tc>
          <w:tcPr>
            <w:tcW w:w="992" w:type="dxa"/>
            <w:tcBorders>
              <w:top w:val="nil"/>
              <w:left w:val="nil"/>
              <w:bottom w:val="single" w:sz="8" w:space="0" w:color="auto"/>
              <w:right w:val="nil"/>
            </w:tcBorders>
            <w:shd w:val="clear" w:color="auto" w:fill="auto"/>
            <w:vAlign w:val="center"/>
            <w:hideMark/>
          </w:tcPr>
          <w:p w14:paraId="09ACF149" w14:textId="0383FAED" w:rsidR="00E079C6" w:rsidRPr="003D5B85" w:rsidRDefault="001C5C58"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Cirrhosis</w:t>
            </w:r>
          </w:p>
        </w:tc>
        <w:tc>
          <w:tcPr>
            <w:tcW w:w="992" w:type="dxa"/>
            <w:tcBorders>
              <w:top w:val="nil"/>
              <w:left w:val="nil"/>
              <w:bottom w:val="single" w:sz="8" w:space="0" w:color="auto"/>
              <w:right w:val="nil"/>
            </w:tcBorders>
            <w:shd w:val="clear" w:color="auto" w:fill="auto"/>
            <w:vAlign w:val="center"/>
            <w:hideMark/>
          </w:tcPr>
          <w:p w14:paraId="4AB12694" w14:textId="3DDDD3ED" w:rsidR="00E079C6" w:rsidRPr="003D5B85" w:rsidRDefault="000C4B2E" w:rsidP="000C4B2E">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Grades 1-4 HE</w:t>
            </w:r>
          </w:p>
        </w:tc>
        <w:tc>
          <w:tcPr>
            <w:tcW w:w="1134" w:type="dxa"/>
            <w:tcBorders>
              <w:top w:val="nil"/>
              <w:left w:val="nil"/>
              <w:bottom w:val="single" w:sz="8" w:space="0" w:color="auto"/>
              <w:right w:val="nil"/>
            </w:tcBorders>
            <w:shd w:val="clear" w:color="auto" w:fill="auto"/>
            <w:vAlign w:val="center"/>
            <w:hideMark/>
          </w:tcPr>
          <w:p w14:paraId="0921EA4A"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Current PPI use</w:t>
            </w:r>
          </w:p>
        </w:tc>
        <w:tc>
          <w:tcPr>
            <w:tcW w:w="851" w:type="dxa"/>
            <w:tcBorders>
              <w:top w:val="nil"/>
              <w:left w:val="nil"/>
              <w:bottom w:val="single" w:sz="8" w:space="0" w:color="auto"/>
              <w:right w:val="nil"/>
            </w:tcBorders>
            <w:shd w:val="clear" w:color="auto" w:fill="auto"/>
            <w:vAlign w:val="center"/>
            <w:hideMark/>
          </w:tcPr>
          <w:p w14:paraId="7525C949"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NA</w:t>
            </w:r>
          </w:p>
        </w:tc>
        <w:tc>
          <w:tcPr>
            <w:tcW w:w="1417" w:type="dxa"/>
            <w:tcBorders>
              <w:top w:val="nil"/>
              <w:left w:val="nil"/>
              <w:bottom w:val="single" w:sz="8" w:space="0" w:color="auto"/>
              <w:right w:val="nil"/>
            </w:tcBorders>
            <w:shd w:val="clear" w:color="auto" w:fill="auto"/>
            <w:vAlign w:val="center"/>
            <w:hideMark/>
          </w:tcPr>
          <w:p w14:paraId="45A7DC65"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NA</w:t>
            </w:r>
          </w:p>
        </w:tc>
        <w:tc>
          <w:tcPr>
            <w:tcW w:w="1418" w:type="dxa"/>
            <w:tcBorders>
              <w:top w:val="nil"/>
              <w:left w:val="nil"/>
              <w:bottom w:val="single" w:sz="8" w:space="0" w:color="auto"/>
              <w:right w:val="nil"/>
            </w:tcBorders>
            <w:shd w:val="clear" w:color="auto" w:fill="auto"/>
            <w:vAlign w:val="center"/>
            <w:hideMark/>
          </w:tcPr>
          <w:p w14:paraId="53BEF7AA" w14:textId="77777777"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NA</w:t>
            </w:r>
          </w:p>
        </w:tc>
      </w:tr>
      <w:tr w:rsidR="00E079C6" w:rsidRPr="003D5B85" w14:paraId="40E14F37" w14:textId="77777777" w:rsidTr="002535EB">
        <w:trPr>
          <w:trHeight w:val="600"/>
          <w:jc w:val="right"/>
        </w:trPr>
        <w:tc>
          <w:tcPr>
            <w:tcW w:w="13325" w:type="dxa"/>
            <w:gridSpan w:val="12"/>
            <w:tcBorders>
              <w:top w:val="nil"/>
              <w:left w:val="nil"/>
              <w:bottom w:val="nil"/>
              <w:right w:val="nil"/>
            </w:tcBorders>
            <w:shd w:val="clear" w:color="auto" w:fill="auto"/>
            <w:hideMark/>
          </w:tcPr>
          <w:p w14:paraId="316D1592" w14:textId="0B28C2E8" w:rsidR="00E079C6" w:rsidRPr="003D5B85" w:rsidRDefault="00E079C6" w:rsidP="001C4059">
            <w:pPr>
              <w:widowControl/>
              <w:spacing w:line="360" w:lineRule="auto"/>
              <w:rPr>
                <w:rFonts w:ascii="Book Antiqua" w:eastAsia="等线" w:hAnsi="Book Antiqua" w:cs="Times New Roman"/>
                <w:color w:val="000000" w:themeColor="text1"/>
                <w:kern w:val="0"/>
                <w:sz w:val="18"/>
                <w:szCs w:val="18"/>
              </w:rPr>
            </w:pPr>
            <w:r w:rsidRPr="003D5B85">
              <w:rPr>
                <w:rFonts w:ascii="Book Antiqua" w:eastAsia="等线" w:hAnsi="Book Antiqua" w:cs="Times New Roman"/>
                <w:color w:val="000000" w:themeColor="text1"/>
                <w:kern w:val="0"/>
                <w:sz w:val="18"/>
                <w:szCs w:val="18"/>
              </w:rPr>
              <w:t>HBV</w:t>
            </w:r>
            <w:r w:rsidR="00C80372" w:rsidRPr="003D5B85">
              <w:rPr>
                <w:rFonts w:ascii="Book Antiqua" w:eastAsia="等线" w:hAnsi="Book Antiqua" w:cs="Times New Roman"/>
                <w:color w:val="000000" w:themeColor="text1"/>
                <w:kern w:val="0"/>
                <w:sz w:val="18"/>
                <w:szCs w:val="18"/>
              </w:rPr>
              <w:t>:</w:t>
            </w:r>
            <w:r w:rsidRPr="003D5B85">
              <w:rPr>
                <w:rFonts w:ascii="Book Antiqua" w:eastAsia="等线" w:hAnsi="Book Antiqua" w:cs="Times New Roman"/>
                <w:color w:val="000000" w:themeColor="text1"/>
                <w:kern w:val="0"/>
                <w:sz w:val="18"/>
                <w:szCs w:val="18"/>
              </w:rPr>
              <w:t xml:space="preserve"> </w:t>
            </w:r>
            <w:r w:rsidR="00C80372" w:rsidRPr="003D5B85">
              <w:rPr>
                <w:rFonts w:ascii="Book Antiqua" w:eastAsia="等线" w:hAnsi="Book Antiqua" w:cs="Times New Roman"/>
                <w:color w:val="000000" w:themeColor="text1"/>
                <w:kern w:val="0"/>
                <w:sz w:val="18"/>
                <w:szCs w:val="18"/>
              </w:rPr>
              <w:t>H</w:t>
            </w:r>
            <w:r w:rsidRPr="003D5B85">
              <w:rPr>
                <w:rFonts w:ascii="Book Antiqua" w:eastAsia="等线" w:hAnsi="Book Antiqua" w:cs="Times New Roman"/>
                <w:color w:val="000000" w:themeColor="text1"/>
                <w:kern w:val="0"/>
                <w:sz w:val="18"/>
                <w:szCs w:val="18"/>
              </w:rPr>
              <w:t>epatitis B virus; ACLF</w:t>
            </w:r>
            <w:r w:rsidR="00C80372" w:rsidRPr="003D5B85">
              <w:rPr>
                <w:rFonts w:ascii="Book Antiqua" w:eastAsia="等线" w:hAnsi="Book Antiqua" w:cs="Times New Roman"/>
                <w:color w:val="000000" w:themeColor="text1"/>
                <w:kern w:val="0"/>
                <w:sz w:val="18"/>
                <w:szCs w:val="18"/>
              </w:rPr>
              <w:t>:</w:t>
            </w:r>
            <w:r w:rsidRPr="003D5B85">
              <w:rPr>
                <w:rFonts w:ascii="Book Antiqua" w:eastAsia="等线" w:hAnsi="Book Antiqua" w:cs="Times New Roman"/>
                <w:color w:val="000000" w:themeColor="text1"/>
                <w:kern w:val="0"/>
                <w:sz w:val="18"/>
                <w:szCs w:val="18"/>
              </w:rPr>
              <w:t xml:space="preserve"> Acute </w:t>
            </w:r>
            <w:r w:rsidR="00C80372" w:rsidRPr="003D5B85">
              <w:rPr>
                <w:rFonts w:ascii="Book Antiqua" w:eastAsia="等线" w:hAnsi="Book Antiqua" w:cs="Times New Roman"/>
                <w:color w:val="000000" w:themeColor="text1"/>
                <w:kern w:val="0"/>
                <w:sz w:val="18"/>
                <w:szCs w:val="18"/>
              </w:rPr>
              <w:t>on chronic liver failure</w:t>
            </w:r>
            <w:r w:rsidRPr="003D5B85">
              <w:rPr>
                <w:rFonts w:ascii="Book Antiqua" w:eastAsia="等线" w:hAnsi="Book Antiqua" w:cs="Times New Roman"/>
                <w:color w:val="000000" w:themeColor="text1"/>
                <w:kern w:val="0"/>
                <w:sz w:val="18"/>
                <w:szCs w:val="18"/>
              </w:rPr>
              <w:t>; HE</w:t>
            </w:r>
            <w:r w:rsidR="00C80372" w:rsidRPr="003D5B85">
              <w:rPr>
                <w:rFonts w:ascii="Book Antiqua" w:eastAsia="等线" w:hAnsi="Book Antiqua" w:cs="Times New Roman"/>
                <w:color w:val="000000" w:themeColor="text1"/>
                <w:kern w:val="0"/>
                <w:sz w:val="18"/>
                <w:szCs w:val="18"/>
              </w:rPr>
              <w:t>:</w:t>
            </w:r>
            <w:r w:rsidRPr="003D5B85">
              <w:rPr>
                <w:rFonts w:ascii="Book Antiqua" w:eastAsia="等线" w:hAnsi="Book Antiqua" w:cs="Times New Roman"/>
                <w:color w:val="000000" w:themeColor="text1"/>
                <w:kern w:val="0"/>
                <w:sz w:val="18"/>
                <w:szCs w:val="18"/>
              </w:rPr>
              <w:t xml:space="preserve"> </w:t>
            </w:r>
            <w:r w:rsidR="00C80372" w:rsidRPr="003D5B85">
              <w:rPr>
                <w:rFonts w:ascii="Book Antiqua" w:eastAsia="等线" w:hAnsi="Book Antiqua" w:cs="Times New Roman"/>
                <w:color w:val="000000" w:themeColor="text1"/>
                <w:kern w:val="0"/>
                <w:sz w:val="18"/>
                <w:szCs w:val="18"/>
              </w:rPr>
              <w:t>H</w:t>
            </w:r>
            <w:r w:rsidRPr="003D5B85">
              <w:rPr>
                <w:rFonts w:ascii="Book Antiqua" w:eastAsia="等线" w:hAnsi="Book Antiqua" w:cs="Times New Roman"/>
                <w:color w:val="000000" w:themeColor="text1"/>
                <w:kern w:val="0"/>
                <w:sz w:val="18"/>
                <w:szCs w:val="18"/>
              </w:rPr>
              <w:t>epatic encephalopathy; PPI</w:t>
            </w:r>
            <w:r w:rsidR="00C80372" w:rsidRPr="003D5B85">
              <w:rPr>
                <w:rFonts w:ascii="Book Antiqua" w:eastAsia="等线" w:hAnsi="Book Antiqua" w:cs="Times New Roman"/>
                <w:color w:val="000000" w:themeColor="text1"/>
                <w:kern w:val="0"/>
                <w:sz w:val="18"/>
                <w:szCs w:val="18"/>
              </w:rPr>
              <w:t>:</w:t>
            </w:r>
            <w:r w:rsidRPr="003D5B85">
              <w:rPr>
                <w:rFonts w:ascii="Book Antiqua" w:eastAsia="等线" w:hAnsi="Book Antiqua" w:cs="Times New Roman"/>
                <w:color w:val="000000" w:themeColor="text1"/>
                <w:kern w:val="0"/>
                <w:sz w:val="18"/>
                <w:szCs w:val="18"/>
              </w:rPr>
              <w:t xml:space="preserve"> </w:t>
            </w:r>
            <w:r w:rsidR="00C80372" w:rsidRPr="003D5B85">
              <w:rPr>
                <w:rFonts w:ascii="Book Antiqua" w:eastAsia="等线" w:hAnsi="Book Antiqua" w:cs="Times New Roman"/>
                <w:color w:val="000000" w:themeColor="text1"/>
                <w:kern w:val="0"/>
                <w:sz w:val="18"/>
                <w:szCs w:val="18"/>
              </w:rPr>
              <w:t>P</w:t>
            </w:r>
            <w:r w:rsidRPr="003D5B85">
              <w:rPr>
                <w:rFonts w:ascii="Book Antiqua" w:eastAsia="等线" w:hAnsi="Book Antiqua" w:cs="Times New Roman"/>
                <w:color w:val="000000" w:themeColor="text1"/>
                <w:kern w:val="0"/>
                <w:sz w:val="18"/>
                <w:szCs w:val="18"/>
              </w:rPr>
              <w:t xml:space="preserve">roton pump inhibitor; </w:t>
            </w:r>
            <w:proofErr w:type="spellStart"/>
            <w:r w:rsidRPr="003D5B85">
              <w:rPr>
                <w:rFonts w:ascii="Book Antiqua" w:eastAsia="等线" w:hAnsi="Book Antiqua" w:cs="Times New Roman"/>
                <w:color w:val="000000" w:themeColor="text1"/>
                <w:kern w:val="0"/>
                <w:sz w:val="18"/>
                <w:szCs w:val="18"/>
              </w:rPr>
              <w:t>cDDDs</w:t>
            </w:r>
            <w:proofErr w:type="spellEnd"/>
            <w:r w:rsidR="00C80372" w:rsidRPr="003D5B85">
              <w:rPr>
                <w:rFonts w:ascii="Book Antiqua" w:eastAsia="等线" w:hAnsi="Book Antiqua" w:cs="Times New Roman"/>
                <w:color w:val="000000" w:themeColor="text1"/>
                <w:kern w:val="0"/>
                <w:sz w:val="18"/>
                <w:szCs w:val="18"/>
              </w:rPr>
              <w:t>:</w:t>
            </w:r>
            <w:r w:rsidRPr="003D5B85">
              <w:rPr>
                <w:rFonts w:ascii="Book Antiqua" w:eastAsia="等线" w:hAnsi="Book Antiqua" w:cs="Times New Roman"/>
                <w:color w:val="000000" w:themeColor="text1"/>
                <w:kern w:val="0"/>
                <w:sz w:val="18"/>
                <w:szCs w:val="18"/>
              </w:rPr>
              <w:t xml:space="preserve"> </w:t>
            </w:r>
            <w:r w:rsidR="00C80372" w:rsidRPr="003D5B85">
              <w:rPr>
                <w:rFonts w:ascii="Book Antiqua" w:eastAsia="等线" w:hAnsi="Book Antiqua" w:cs="Times New Roman"/>
                <w:color w:val="000000" w:themeColor="text1"/>
                <w:kern w:val="0"/>
                <w:sz w:val="18"/>
                <w:szCs w:val="18"/>
              </w:rPr>
              <w:t>C</w:t>
            </w:r>
            <w:r w:rsidRPr="003D5B85">
              <w:rPr>
                <w:rFonts w:ascii="Book Antiqua" w:eastAsia="等线" w:hAnsi="Book Antiqua" w:cs="Times New Roman"/>
                <w:color w:val="000000" w:themeColor="text1"/>
                <w:kern w:val="0"/>
                <w:sz w:val="18"/>
                <w:szCs w:val="18"/>
              </w:rPr>
              <w:t>umulative defined daily doses; PTA</w:t>
            </w:r>
            <w:r w:rsidR="00C80372" w:rsidRPr="003D5B85">
              <w:rPr>
                <w:rFonts w:ascii="Book Antiqua" w:eastAsia="等线" w:hAnsi="Book Antiqua" w:cs="Times New Roman"/>
                <w:color w:val="000000" w:themeColor="text1"/>
                <w:kern w:val="0"/>
                <w:sz w:val="18"/>
                <w:szCs w:val="18"/>
              </w:rPr>
              <w:t>:</w:t>
            </w:r>
            <w:r w:rsidRPr="003D5B85">
              <w:rPr>
                <w:rFonts w:ascii="Book Antiqua" w:eastAsia="等线" w:hAnsi="Book Antiqua" w:cs="Times New Roman"/>
                <w:color w:val="000000" w:themeColor="text1"/>
                <w:kern w:val="0"/>
                <w:sz w:val="18"/>
                <w:szCs w:val="18"/>
              </w:rPr>
              <w:t xml:space="preserve"> </w:t>
            </w:r>
            <w:r w:rsidR="00C80372" w:rsidRPr="003D5B85">
              <w:rPr>
                <w:rFonts w:ascii="Book Antiqua" w:eastAsia="等线" w:hAnsi="Book Antiqua" w:cs="Times New Roman"/>
                <w:color w:val="000000" w:themeColor="text1"/>
                <w:kern w:val="0"/>
                <w:sz w:val="18"/>
                <w:szCs w:val="18"/>
              </w:rPr>
              <w:t>P</w:t>
            </w:r>
            <w:r w:rsidRPr="003D5B85">
              <w:rPr>
                <w:rFonts w:ascii="Book Antiqua" w:eastAsia="等线" w:hAnsi="Book Antiqua" w:cs="Times New Roman"/>
                <w:color w:val="000000" w:themeColor="text1"/>
                <w:kern w:val="0"/>
                <w:sz w:val="18"/>
                <w:szCs w:val="18"/>
              </w:rPr>
              <w:t>rothrombin activity; MELD</w:t>
            </w:r>
            <w:r w:rsidR="00C80372" w:rsidRPr="003D5B85">
              <w:rPr>
                <w:rFonts w:ascii="Book Antiqua" w:eastAsia="等线" w:hAnsi="Book Antiqua" w:cs="Times New Roman"/>
                <w:color w:val="000000" w:themeColor="text1"/>
                <w:kern w:val="0"/>
                <w:sz w:val="18"/>
                <w:szCs w:val="18"/>
              </w:rPr>
              <w:t>:</w:t>
            </w:r>
            <w:r w:rsidRPr="003D5B85">
              <w:rPr>
                <w:rFonts w:ascii="Book Antiqua" w:eastAsia="等线" w:hAnsi="Book Antiqua" w:cs="Times New Roman"/>
                <w:color w:val="000000" w:themeColor="text1"/>
                <w:kern w:val="0"/>
                <w:sz w:val="18"/>
                <w:szCs w:val="18"/>
              </w:rPr>
              <w:t xml:space="preserve"> </w:t>
            </w:r>
            <w:r w:rsidR="00C80372" w:rsidRPr="003D5B85">
              <w:rPr>
                <w:rFonts w:ascii="Book Antiqua" w:eastAsia="等线" w:hAnsi="Book Antiqua" w:cs="Times New Roman"/>
                <w:color w:val="000000" w:themeColor="text1"/>
                <w:kern w:val="0"/>
                <w:sz w:val="18"/>
                <w:szCs w:val="18"/>
              </w:rPr>
              <w:t>M</w:t>
            </w:r>
            <w:r w:rsidRPr="003D5B85">
              <w:rPr>
                <w:rFonts w:ascii="Book Antiqua" w:eastAsia="等线" w:hAnsi="Book Antiqua" w:cs="Times New Roman"/>
                <w:color w:val="000000" w:themeColor="text1"/>
                <w:kern w:val="0"/>
                <w:sz w:val="18"/>
                <w:szCs w:val="18"/>
              </w:rPr>
              <w:t>odel for end stage liver disease; AFP</w:t>
            </w:r>
            <w:r w:rsidR="00C80372" w:rsidRPr="003D5B85">
              <w:rPr>
                <w:rFonts w:ascii="Book Antiqua" w:eastAsia="等线" w:hAnsi="Book Antiqua" w:cs="Times New Roman"/>
                <w:color w:val="000000" w:themeColor="text1"/>
                <w:kern w:val="0"/>
                <w:sz w:val="18"/>
                <w:szCs w:val="18"/>
              </w:rPr>
              <w:t>:</w:t>
            </w:r>
            <w:r w:rsidRPr="003D5B85">
              <w:rPr>
                <w:rFonts w:ascii="Book Antiqua" w:eastAsia="等线" w:hAnsi="Book Antiqua" w:cs="Times New Roman"/>
                <w:color w:val="000000" w:themeColor="text1"/>
                <w:kern w:val="0"/>
                <w:sz w:val="18"/>
                <w:szCs w:val="18"/>
              </w:rPr>
              <w:t xml:space="preserve"> </w:t>
            </w:r>
            <w:r w:rsidR="00C80372" w:rsidRPr="003D5B85">
              <w:rPr>
                <w:rFonts w:ascii="Book Antiqua" w:eastAsia="等线" w:hAnsi="Book Antiqua" w:cs="Times New Roman"/>
                <w:color w:val="000000" w:themeColor="text1"/>
                <w:kern w:val="0"/>
                <w:sz w:val="18"/>
                <w:szCs w:val="18"/>
              </w:rPr>
              <w:t>A</w:t>
            </w:r>
            <w:r w:rsidRPr="003D5B85">
              <w:rPr>
                <w:rFonts w:ascii="Book Antiqua" w:eastAsia="等线" w:hAnsi="Book Antiqua" w:cs="Times New Roman"/>
                <w:color w:val="000000" w:themeColor="text1"/>
                <w:kern w:val="0"/>
                <w:sz w:val="18"/>
                <w:szCs w:val="18"/>
              </w:rPr>
              <w:t>lpha-fetoprotein; TIPS</w:t>
            </w:r>
            <w:r w:rsidR="00C80372" w:rsidRPr="003D5B85">
              <w:rPr>
                <w:rFonts w:ascii="Book Antiqua" w:eastAsia="等线" w:hAnsi="Book Antiqua" w:cs="Times New Roman"/>
                <w:color w:val="000000" w:themeColor="text1"/>
                <w:kern w:val="0"/>
                <w:sz w:val="18"/>
                <w:szCs w:val="18"/>
              </w:rPr>
              <w:t>:</w:t>
            </w:r>
            <w:r w:rsidRPr="003D5B85">
              <w:rPr>
                <w:rFonts w:ascii="Book Antiqua" w:eastAsia="等线" w:hAnsi="Book Antiqua" w:cs="Times New Roman"/>
                <w:color w:val="000000" w:themeColor="text1"/>
                <w:kern w:val="0"/>
                <w:sz w:val="18"/>
                <w:szCs w:val="18"/>
              </w:rPr>
              <w:t xml:space="preserve"> </w:t>
            </w:r>
            <w:proofErr w:type="spellStart"/>
            <w:r w:rsidR="00C80372" w:rsidRPr="003D5B85">
              <w:rPr>
                <w:rFonts w:ascii="Book Antiqua" w:eastAsia="等线" w:hAnsi="Book Antiqua" w:cs="Times New Roman"/>
                <w:color w:val="000000" w:themeColor="text1"/>
                <w:kern w:val="0"/>
                <w:sz w:val="18"/>
                <w:szCs w:val="18"/>
              </w:rPr>
              <w:t>T</w:t>
            </w:r>
            <w:r w:rsidRPr="003D5B85">
              <w:rPr>
                <w:rFonts w:ascii="Book Antiqua" w:eastAsia="等线" w:hAnsi="Book Antiqua" w:cs="Times New Roman"/>
                <w:color w:val="000000" w:themeColor="text1"/>
                <w:kern w:val="0"/>
                <w:sz w:val="18"/>
                <w:szCs w:val="18"/>
              </w:rPr>
              <w:t>ransjugular</w:t>
            </w:r>
            <w:proofErr w:type="spellEnd"/>
            <w:r w:rsidRPr="003D5B85">
              <w:rPr>
                <w:rFonts w:ascii="Book Antiqua" w:eastAsia="等线" w:hAnsi="Book Antiqua" w:cs="Times New Roman"/>
                <w:color w:val="000000" w:themeColor="text1"/>
                <w:kern w:val="0"/>
                <w:sz w:val="18"/>
                <w:szCs w:val="18"/>
              </w:rPr>
              <w:t xml:space="preserve"> intrahepatic </w:t>
            </w:r>
            <w:proofErr w:type="spellStart"/>
            <w:r w:rsidRPr="003D5B85">
              <w:rPr>
                <w:rFonts w:ascii="Book Antiqua" w:eastAsia="等线" w:hAnsi="Book Antiqua" w:cs="Times New Roman"/>
                <w:color w:val="000000" w:themeColor="text1"/>
                <w:kern w:val="0"/>
                <w:sz w:val="18"/>
                <w:szCs w:val="18"/>
              </w:rPr>
              <w:t>portosystemic</w:t>
            </w:r>
            <w:proofErr w:type="spellEnd"/>
            <w:r w:rsidRPr="003D5B85">
              <w:rPr>
                <w:rFonts w:ascii="Book Antiqua" w:eastAsia="等线" w:hAnsi="Book Antiqua" w:cs="Times New Roman"/>
                <w:color w:val="000000" w:themeColor="text1"/>
                <w:kern w:val="0"/>
                <w:sz w:val="18"/>
                <w:szCs w:val="18"/>
              </w:rPr>
              <w:t xml:space="preserve"> shunt; NA</w:t>
            </w:r>
            <w:r w:rsidR="00C80372" w:rsidRPr="003D5B85">
              <w:rPr>
                <w:rFonts w:ascii="Book Antiqua" w:eastAsia="等线" w:hAnsi="Book Antiqua" w:cs="Times New Roman"/>
                <w:color w:val="000000" w:themeColor="text1"/>
                <w:kern w:val="0"/>
                <w:sz w:val="18"/>
                <w:szCs w:val="18"/>
              </w:rPr>
              <w:t>:</w:t>
            </w:r>
            <w:r w:rsidRPr="003D5B85">
              <w:rPr>
                <w:rFonts w:ascii="Book Antiqua" w:eastAsia="等线" w:hAnsi="Book Antiqua" w:cs="Times New Roman"/>
                <w:color w:val="000000" w:themeColor="text1"/>
                <w:kern w:val="0"/>
                <w:sz w:val="18"/>
                <w:szCs w:val="18"/>
              </w:rPr>
              <w:t xml:space="preserve"> not available.</w:t>
            </w:r>
          </w:p>
        </w:tc>
      </w:tr>
    </w:tbl>
    <w:p w14:paraId="1EA8CE45" w14:textId="0B378837" w:rsidR="00D3451A" w:rsidRPr="003D5B85" w:rsidRDefault="00D3451A" w:rsidP="001C4059">
      <w:pPr>
        <w:spacing w:line="360" w:lineRule="auto"/>
        <w:rPr>
          <w:rFonts w:ascii="Book Antiqua" w:hAnsi="Book Antiqua" w:cs="Times New Roman"/>
          <w:color w:val="000000" w:themeColor="text1"/>
          <w:sz w:val="24"/>
          <w:szCs w:val="24"/>
        </w:rPr>
      </w:pPr>
    </w:p>
    <w:p w14:paraId="56113CC5" w14:textId="7AD65960" w:rsidR="00D3451A" w:rsidRPr="003D5B85" w:rsidRDefault="00D3451A" w:rsidP="001C4059">
      <w:pPr>
        <w:widowControl/>
        <w:spacing w:line="360" w:lineRule="auto"/>
        <w:rPr>
          <w:rFonts w:ascii="Book Antiqua" w:hAnsi="Book Antiqua" w:cs="Times New Roman"/>
          <w:color w:val="000000" w:themeColor="text1"/>
          <w:sz w:val="24"/>
          <w:szCs w:val="24"/>
        </w:rPr>
        <w:sectPr w:rsidR="00D3451A" w:rsidRPr="003D5B85" w:rsidSect="002535EB">
          <w:headerReference w:type="default" r:id="rId10"/>
          <w:pgSz w:w="15840" w:h="12240" w:orient="landscape"/>
          <w:pgMar w:top="1800" w:right="1440" w:bottom="1800" w:left="1440" w:header="720" w:footer="720" w:gutter="0"/>
          <w:cols w:space="720"/>
          <w:noEndnote/>
          <w:docGrid w:linePitch="286"/>
        </w:sectPr>
      </w:pPr>
    </w:p>
    <w:p w14:paraId="3B5A1DD7" w14:textId="7280E655" w:rsidR="00E079C6" w:rsidRPr="003D5B85" w:rsidRDefault="00E079C6" w:rsidP="001C4059">
      <w:pPr>
        <w:widowControl/>
        <w:spacing w:line="360" w:lineRule="auto"/>
        <w:rPr>
          <w:rFonts w:ascii="Book Antiqua" w:hAnsi="Book Antiqua" w:cs="Times New Roman"/>
          <w:color w:val="000000" w:themeColor="text1"/>
          <w:sz w:val="24"/>
          <w:szCs w:val="24"/>
        </w:rPr>
      </w:pPr>
    </w:p>
    <w:p w14:paraId="291580DE" w14:textId="27E5F0B0" w:rsidR="00CF793A" w:rsidRPr="003D5B85" w:rsidRDefault="00F45F16" w:rsidP="001C4059">
      <w:pPr>
        <w:spacing w:line="360" w:lineRule="auto"/>
        <w:rPr>
          <w:rFonts w:ascii="Book Antiqua" w:hAnsi="Book Antiqua" w:cs="Times New Roman"/>
          <w:color w:val="000000" w:themeColor="text1"/>
          <w:sz w:val="24"/>
          <w:szCs w:val="24"/>
        </w:rPr>
      </w:pPr>
      <w:r w:rsidRPr="003D5B85">
        <w:rPr>
          <w:rFonts w:ascii="Book Antiqua" w:hAnsi="Book Antiqua" w:cs="Times New Roman"/>
          <w:noProof/>
          <w:color w:val="000000" w:themeColor="text1"/>
          <w:sz w:val="24"/>
          <w:szCs w:val="24"/>
        </w:rPr>
        <w:drawing>
          <wp:inline distT="0" distB="0" distL="0" distR="0" wp14:anchorId="6E24CF0D" wp14:editId="120A1575">
            <wp:extent cx="5486400" cy="48583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858385"/>
                    </a:xfrm>
                    <a:prstGeom prst="rect">
                      <a:avLst/>
                    </a:prstGeom>
                    <a:noFill/>
                    <a:ln>
                      <a:noFill/>
                    </a:ln>
                  </pic:spPr>
                </pic:pic>
              </a:graphicData>
            </a:graphic>
          </wp:inline>
        </w:drawing>
      </w:r>
    </w:p>
    <w:p w14:paraId="13B18292" w14:textId="77777777" w:rsidR="00F45F16" w:rsidRPr="003D5B85" w:rsidRDefault="00F45F16" w:rsidP="00F45F16">
      <w:pPr>
        <w:spacing w:line="360" w:lineRule="auto"/>
        <w:rPr>
          <w:rFonts w:ascii="Book Antiqua" w:hAnsi="Book Antiqua" w:cs="Times New Roman"/>
          <w:b/>
          <w:color w:val="000000" w:themeColor="text1"/>
          <w:sz w:val="24"/>
          <w:szCs w:val="24"/>
        </w:rPr>
      </w:pPr>
      <w:r w:rsidRPr="003D5B85">
        <w:rPr>
          <w:rFonts w:ascii="Book Antiqua" w:hAnsi="Book Antiqua" w:cs="Times New Roman"/>
          <w:b/>
          <w:color w:val="000000" w:themeColor="text1"/>
          <w:sz w:val="24"/>
          <w:szCs w:val="24"/>
        </w:rPr>
        <w:t>Figure 1 Flowchart of the literature search.</w:t>
      </w:r>
    </w:p>
    <w:p w14:paraId="28E964A0" w14:textId="77777777" w:rsidR="00F45F16" w:rsidRPr="003D5B85" w:rsidRDefault="00F45F16" w:rsidP="001C4059">
      <w:pPr>
        <w:spacing w:line="360" w:lineRule="auto"/>
        <w:rPr>
          <w:rFonts w:ascii="Book Antiqua" w:hAnsi="Book Antiqua" w:cs="Times New Roman"/>
          <w:color w:val="000000" w:themeColor="text1"/>
          <w:sz w:val="24"/>
          <w:szCs w:val="24"/>
        </w:rPr>
      </w:pPr>
    </w:p>
    <w:p w14:paraId="16728DD9" w14:textId="46AF8E93" w:rsidR="00F45F16" w:rsidRPr="003D5B85" w:rsidRDefault="00F45F16">
      <w:pPr>
        <w:widowControl/>
        <w:jc w:val="left"/>
        <w:rPr>
          <w:rFonts w:ascii="Book Antiqua" w:hAnsi="Book Antiqua" w:cs="Times New Roman"/>
          <w:b/>
          <w:color w:val="000000" w:themeColor="text1"/>
          <w:sz w:val="24"/>
          <w:szCs w:val="24"/>
        </w:rPr>
      </w:pPr>
      <w:r w:rsidRPr="003D5B85">
        <w:rPr>
          <w:rFonts w:ascii="Book Antiqua" w:hAnsi="Book Antiqua" w:cs="Times New Roman"/>
          <w:b/>
          <w:color w:val="000000" w:themeColor="text1"/>
          <w:sz w:val="24"/>
          <w:szCs w:val="24"/>
        </w:rPr>
        <w:br w:type="page"/>
      </w:r>
    </w:p>
    <w:p w14:paraId="15EE14BA" w14:textId="5DACA58E" w:rsidR="00E079C6" w:rsidRPr="003D5B85" w:rsidRDefault="00CF793A" w:rsidP="001C4059">
      <w:pPr>
        <w:spacing w:line="360" w:lineRule="auto"/>
        <w:rPr>
          <w:rFonts w:ascii="Book Antiqua" w:hAnsi="Book Antiqua" w:cs="Times New Roman"/>
          <w:b/>
          <w:color w:val="000000" w:themeColor="text1"/>
          <w:sz w:val="24"/>
          <w:szCs w:val="24"/>
        </w:rPr>
      </w:pPr>
      <w:r w:rsidRPr="003D5B85">
        <w:rPr>
          <w:rFonts w:ascii="Book Antiqua" w:hAnsi="Book Antiqua" w:cs="Times New Roman"/>
          <w:b/>
          <w:noProof/>
          <w:color w:val="000000" w:themeColor="text1"/>
          <w:sz w:val="24"/>
          <w:szCs w:val="24"/>
        </w:rPr>
        <w:lastRenderedPageBreak/>
        <w:drawing>
          <wp:inline distT="0" distB="0" distL="0" distR="0" wp14:anchorId="435822D6" wp14:editId="725D7291">
            <wp:extent cx="5486400" cy="29076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2907665"/>
                    </a:xfrm>
                    <a:prstGeom prst="rect">
                      <a:avLst/>
                    </a:prstGeom>
                  </pic:spPr>
                </pic:pic>
              </a:graphicData>
            </a:graphic>
          </wp:inline>
        </w:drawing>
      </w:r>
    </w:p>
    <w:p w14:paraId="0B2E1EF7" w14:textId="6E0CA8F6" w:rsidR="00070551" w:rsidRPr="003D5B85" w:rsidRDefault="00070551" w:rsidP="00C80372">
      <w:pPr>
        <w:spacing w:line="360" w:lineRule="auto"/>
        <w:rPr>
          <w:rFonts w:ascii="Book Antiqua" w:eastAsia="等线" w:hAnsi="Book Antiqua" w:cs="Times New Roman"/>
          <w:color w:val="000000" w:themeColor="text1"/>
          <w:sz w:val="24"/>
          <w:szCs w:val="24"/>
        </w:rPr>
      </w:pPr>
      <w:r w:rsidRPr="003D5B85">
        <w:rPr>
          <w:rFonts w:ascii="Book Antiqua" w:eastAsia="等线" w:hAnsi="Book Antiqua" w:cs="Times New Roman"/>
          <w:b/>
          <w:color w:val="000000" w:themeColor="text1"/>
          <w:sz w:val="24"/>
          <w:szCs w:val="24"/>
        </w:rPr>
        <w:t xml:space="preserve">Figure 2 Forest plot to evaluate the association between </w:t>
      </w:r>
      <w:r w:rsidR="00F45F16" w:rsidRPr="003D5B85">
        <w:rPr>
          <w:rFonts w:ascii="Book Antiqua" w:eastAsia="等线" w:hAnsi="Book Antiqua" w:cs="Times New Roman"/>
          <w:b/>
          <w:color w:val="000000" w:themeColor="text1"/>
          <w:kern w:val="0"/>
          <w:sz w:val="24"/>
          <w:szCs w:val="24"/>
        </w:rPr>
        <w:t>p</w:t>
      </w:r>
      <w:r w:rsidR="00C80372" w:rsidRPr="003D5B85">
        <w:rPr>
          <w:rFonts w:ascii="Book Antiqua" w:eastAsia="等线" w:hAnsi="Book Antiqua" w:cs="Times New Roman"/>
          <w:b/>
          <w:color w:val="000000" w:themeColor="text1"/>
          <w:kern w:val="0"/>
          <w:sz w:val="24"/>
          <w:szCs w:val="24"/>
        </w:rPr>
        <w:t>roton pump inhibitor</w:t>
      </w:r>
      <w:r w:rsidR="00C80372" w:rsidRPr="003D5B85">
        <w:rPr>
          <w:rFonts w:ascii="Book Antiqua" w:eastAsia="等线" w:hAnsi="Book Antiqua" w:cs="Times New Roman"/>
          <w:b/>
          <w:color w:val="000000" w:themeColor="text1"/>
          <w:sz w:val="24"/>
          <w:szCs w:val="24"/>
        </w:rPr>
        <w:t xml:space="preserve"> </w:t>
      </w:r>
      <w:r w:rsidRPr="003D5B85">
        <w:rPr>
          <w:rFonts w:ascii="Book Antiqua" w:eastAsia="等线" w:hAnsi="Book Antiqua" w:cs="Times New Roman"/>
          <w:b/>
          <w:color w:val="000000" w:themeColor="text1"/>
          <w:sz w:val="24"/>
          <w:szCs w:val="24"/>
        </w:rPr>
        <w:t xml:space="preserve">use and </w:t>
      </w:r>
      <w:r w:rsidR="00F45F16" w:rsidRPr="003D5B85">
        <w:rPr>
          <w:rFonts w:ascii="Book Antiqua" w:eastAsia="等线" w:hAnsi="Book Antiqua" w:cs="Times New Roman"/>
          <w:b/>
          <w:color w:val="000000" w:themeColor="text1"/>
          <w:kern w:val="0"/>
          <w:sz w:val="24"/>
          <w:szCs w:val="24"/>
        </w:rPr>
        <w:t>h</w:t>
      </w:r>
      <w:r w:rsidR="00C80372" w:rsidRPr="003D5B85">
        <w:rPr>
          <w:rFonts w:ascii="Book Antiqua" w:eastAsia="等线" w:hAnsi="Book Antiqua" w:cs="Times New Roman"/>
          <w:b/>
          <w:color w:val="000000" w:themeColor="text1"/>
          <w:kern w:val="0"/>
          <w:sz w:val="24"/>
          <w:szCs w:val="24"/>
        </w:rPr>
        <w:t>epatic encephalopathy</w:t>
      </w:r>
      <w:r w:rsidRPr="003D5B85">
        <w:rPr>
          <w:rFonts w:ascii="Book Antiqua" w:eastAsia="等线" w:hAnsi="Book Antiqua" w:cs="Times New Roman"/>
          <w:b/>
          <w:color w:val="000000" w:themeColor="text1"/>
          <w:sz w:val="24"/>
          <w:szCs w:val="24"/>
        </w:rPr>
        <w:t xml:space="preserve"> with a subgroup analysis based on study design.</w:t>
      </w:r>
      <w:r w:rsidR="00F45F16" w:rsidRPr="003D5B85">
        <w:rPr>
          <w:rFonts w:ascii="Book Antiqua" w:eastAsia="等线" w:hAnsi="Book Antiqua" w:cs="Times New Roman"/>
          <w:b/>
          <w:color w:val="000000" w:themeColor="text1"/>
          <w:sz w:val="24"/>
          <w:szCs w:val="24"/>
        </w:rPr>
        <w:t xml:space="preserve"> </w:t>
      </w:r>
      <w:r w:rsidR="00F45F16" w:rsidRPr="003D5B85">
        <w:rPr>
          <w:rFonts w:ascii="Book Antiqua" w:eastAsia="等线" w:hAnsi="Book Antiqua" w:cs="Times New Roman"/>
          <w:color w:val="000000" w:themeColor="text1"/>
          <w:sz w:val="24"/>
          <w:szCs w:val="24"/>
        </w:rPr>
        <w:t xml:space="preserve">CI: </w:t>
      </w:r>
      <w:bookmarkStart w:id="132" w:name="OLE_LINK311"/>
      <w:bookmarkStart w:id="133" w:name="OLE_LINK312"/>
      <w:bookmarkStart w:id="134" w:name="_Hlk5181766"/>
      <w:r w:rsidR="00F45F16" w:rsidRPr="003D5B85">
        <w:rPr>
          <w:rFonts w:ascii="Book Antiqua" w:eastAsia="宋体" w:hAnsi="Book Antiqua" w:cs="Times New Roman"/>
          <w:sz w:val="24"/>
          <w:szCs w:val="24"/>
        </w:rPr>
        <w:t>Confidence interval</w:t>
      </w:r>
      <w:bookmarkEnd w:id="132"/>
      <w:bookmarkEnd w:id="133"/>
      <w:bookmarkEnd w:id="134"/>
      <w:r w:rsidR="00F45F16" w:rsidRPr="003D5B85">
        <w:rPr>
          <w:rFonts w:ascii="Book Antiqua" w:eastAsia="宋体" w:hAnsi="Book Antiqua" w:cs="Times New Roman"/>
          <w:sz w:val="24"/>
          <w:szCs w:val="24"/>
        </w:rPr>
        <w:t xml:space="preserve">; </w:t>
      </w:r>
      <w:r w:rsidR="00F45F16" w:rsidRPr="003D5B85">
        <w:rPr>
          <w:rFonts w:ascii="Book Antiqua" w:eastAsia="等线" w:hAnsi="Book Antiqua" w:cs="Times New Roman"/>
          <w:color w:val="000000" w:themeColor="text1"/>
          <w:sz w:val="24"/>
          <w:szCs w:val="24"/>
        </w:rPr>
        <w:t xml:space="preserve">PPI: </w:t>
      </w:r>
      <w:r w:rsidR="00F45F16" w:rsidRPr="003D5B85">
        <w:rPr>
          <w:rFonts w:ascii="Book Antiqua" w:eastAsia="等线" w:hAnsi="Book Antiqua" w:cs="Times New Roman"/>
          <w:color w:val="000000" w:themeColor="text1"/>
          <w:kern w:val="0"/>
          <w:sz w:val="24"/>
          <w:szCs w:val="24"/>
        </w:rPr>
        <w:t xml:space="preserve">Proton </w:t>
      </w:r>
      <w:proofErr w:type="gramStart"/>
      <w:r w:rsidR="00F45F16" w:rsidRPr="003D5B85">
        <w:rPr>
          <w:rFonts w:ascii="Book Antiqua" w:eastAsia="等线" w:hAnsi="Book Antiqua" w:cs="Times New Roman"/>
          <w:color w:val="000000" w:themeColor="text1"/>
          <w:kern w:val="0"/>
          <w:sz w:val="24"/>
          <w:szCs w:val="24"/>
        </w:rPr>
        <w:t>pump</w:t>
      </w:r>
      <w:proofErr w:type="gramEnd"/>
      <w:r w:rsidR="00F45F16" w:rsidRPr="003D5B85">
        <w:rPr>
          <w:rFonts w:ascii="Book Antiqua" w:eastAsia="等线" w:hAnsi="Book Antiqua" w:cs="Times New Roman"/>
          <w:color w:val="000000" w:themeColor="text1"/>
          <w:kern w:val="0"/>
          <w:sz w:val="24"/>
          <w:szCs w:val="24"/>
        </w:rPr>
        <w:t xml:space="preserve"> inhibitor.</w:t>
      </w:r>
    </w:p>
    <w:p w14:paraId="62A5C7CA" w14:textId="0CEE6DF9" w:rsidR="00D3451A" w:rsidRPr="003D5B85" w:rsidRDefault="00D3451A" w:rsidP="001C4059">
      <w:pPr>
        <w:spacing w:line="360" w:lineRule="auto"/>
        <w:ind w:left="960" w:hangingChars="400" w:hanging="960"/>
        <w:rPr>
          <w:rFonts w:ascii="Book Antiqua" w:eastAsia="等线" w:hAnsi="Book Antiqua" w:cs="Times New Roman"/>
          <w:color w:val="000000" w:themeColor="text1"/>
          <w:sz w:val="24"/>
          <w:szCs w:val="24"/>
        </w:rPr>
      </w:pPr>
    </w:p>
    <w:p w14:paraId="31FD97EA" w14:textId="68B9B729" w:rsidR="00D3451A" w:rsidRPr="003D5B85" w:rsidRDefault="00D3451A" w:rsidP="001C4059">
      <w:pPr>
        <w:widowControl/>
        <w:spacing w:line="360" w:lineRule="auto"/>
        <w:rPr>
          <w:rFonts w:ascii="Book Antiqua" w:eastAsia="等线" w:hAnsi="Book Antiqua" w:cs="Times New Roman"/>
          <w:color w:val="000000" w:themeColor="text1"/>
          <w:sz w:val="24"/>
          <w:szCs w:val="24"/>
        </w:rPr>
      </w:pPr>
      <w:r w:rsidRPr="003D5B85">
        <w:rPr>
          <w:rFonts w:ascii="Book Antiqua" w:eastAsia="等线" w:hAnsi="Book Antiqua" w:cs="Times New Roman"/>
          <w:color w:val="000000" w:themeColor="text1"/>
          <w:sz w:val="24"/>
          <w:szCs w:val="24"/>
        </w:rPr>
        <w:br w:type="page"/>
      </w:r>
    </w:p>
    <w:p w14:paraId="69E7BB28" w14:textId="6D8593FF" w:rsidR="00E079C6" w:rsidRPr="003D5B85" w:rsidRDefault="00CF793A" w:rsidP="001C4059">
      <w:pPr>
        <w:spacing w:line="360" w:lineRule="auto"/>
        <w:rPr>
          <w:rFonts w:ascii="Book Antiqua" w:hAnsi="Book Antiqua" w:cs="Times New Roman"/>
          <w:b/>
          <w:color w:val="000000" w:themeColor="text1"/>
          <w:sz w:val="24"/>
          <w:szCs w:val="24"/>
        </w:rPr>
      </w:pPr>
      <w:r w:rsidRPr="003D5B85">
        <w:rPr>
          <w:rFonts w:ascii="Book Antiqua" w:hAnsi="Book Antiqua" w:cs="Times New Roman"/>
          <w:b/>
          <w:noProof/>
          <w:color w:val="000000" w:themeColor="text1"/>
          <w:sz w:val="24"/>
          <w:szCs w:val="24"/>
        </w:rPr>
        <w:lastRenderedPageBreak/>
        <w:drawing>
          <wp:inline distT="0" distB="0" distL="0" distR="0" wp14:anchorId="388B9B24" wp14:editId="27F76B64">
            <wp:extent cx="5486400" cy="25565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2556510"/>
                    </a:xfrm>
                    <a:prstGeom prst="rect">
                      <a:avLst/>
                    </a:prstGeom>
                  </pic:spPr>
                </pic:pic>
              </a:graphicData>
            </a:graphic>
          </wp:inline>
        </w:drawing>
      </w:r>
    </w:p>
    <w:p w14:paraId="4B33DBCB" w14:textId="77777777" w:rsidR="00F45F16" w:rsidRPr="003D5B85" w:rsidRDefault="004B46F3" w:rsidP="00F45F16">
      <w:pPr>
        <w:spacing w:line="360" w:lineRule="auto"/>
        <w:rPr>
          <w:rFonts w:ascii="Book Antiqua" w:eastAsia="等线" w:hAnsi="Book Antiqua" w:cs="Times New Roman"/>
          <w:color w:val="000000" w:themeColor="text1"/>
          <w:sz w:val="24"/>
          <w:szCs w:val="24"/>
        </w:rPr>
      </w:pPr>
      <w:r w:rsidRPr="003D5B85">
        <w:rPr>
          <w:rFonts w:ascii="Book Antiqua" w:eastAsia="等线" w:hAnsi="Book Antiqua" w:cs="Times New Roman"/>
          <w:b/>
          <w:color w:val="000000" w:themeColor="text1"/>
          <w:sz w:val="24"/>
          <w:szCs w:val="24"/>
        </w:rPr>
        <w:t>Figure 3 Sensitivity analysis excluding data from conference abstracts.</w:t>
      </w:r>
      <w:r w:rsidR="00F45F16" w:rsidRPr="003D5B85">
        <w:rPr>
          <w:rFonts w:ascii="Book Antiqua" w:eastAsia="等线" w:hAnsi="Book Antiqua" w:cs="Times New Roman"/>
          <w:b/>
          <w:color w:val="000000" w:themeColor="text1"/>
          <w:sz w:val="24"/>
          <w:szCs w:val="24"/>
        </w:rPr>
        <w:t xml:space="preserve"> </w:t>
      </w:r>
      <w:r w:rsidR="00F45F16" w:rsidRPr="003D5B85">
        <w:rPr>
          <w:rFonts w:ascii="Book Antiqua" w:eastAsia="等线" w:hAnsi="Book Antiqua" w:cs="Times New Roman"/>
          <w:color w:val="000000" w:themeColor="text1"/>
          <w:sz w:val="24"/>
          <w:szCs w:val="24"/>
        </w:rPr>
        <w:t xml:space="preserve">CI: </w:t>
      </w:r>
      <w:r w:rsidR="00F45F16" w:rsidRPr="003D5B85">
        <w:rPr>
          <w:rFonts w:ascii="Book Antiqua" w:eastAsia="宋体" w:hAnsi="Book Antiqua" w:cs="Times New Roman"/>
          <w:sz w:val="24"/>
          <w:szCs w:val="24"/>
        </w:rPr>
        <w:t xml:space="preserve">Confidence interval; </w:t>
      </w:r>
      <w:r w:rsidR="00F45F16" w:rsidRPr="003D5B85">
        <w:rPr>
          <w:rFonts w:ascii="Book Antiqua" w:eastAsia="等线" w:hAnsi="Book Antiqua" w:cs="Times New Roman"/>
          <w:color w:val="000000" w:themeColor="text1"/>
          <w:sz w:val="24"/>
          <w:szCs w:val="24"/>
        </w:rPr>
        <w:t xml:space="preserve">PPI: </w:t>
      </w:r>
      <w:r w:rsidR="00F45F16" w:rsidRPr="003D5B85">
        <w:rPr>
          <w:rFonts w:ascii="Book Antiqua" w:eastAsia="等线" w:hAnsi="Book Antiqua" w:cs="Times New Roman"/>
          <w:color w:val="000000" w:themeColor="text1"/>
          <w:kern w:val="0"/>
          <w:sz w:val="24"/>
          <w:szCs w:val="24"/>
        </w:rPr>
        <w:t xml:space="preserve">Proton </w:t>
      </w:r>
      <w:proofErr w:type="gramStart"/>
      <w:r w:rsidR="00F45F16" w:rsidRPr="003D5B85">
        <w:rPr>
          <w:rFonts w:ascii="Book Antiqua" w:eastAsia="等线" w:hAnsi="Book Antiqua" w:cs="Times New Roman"/>
          <w:color w:val="000000" w:themeColor="text1"/>
          <w:kern w:val="0"/>
          <w:sz w:val="24"/>
          <w:szCs w:val="24"/>
        </w:rPr>
        <w:t>pump</w:t>
      </w:r>
      <w:proofErr w:type="gramEnd"/>
      <w:r w:rsidR="00F45F16" w:rsidRPr="003D5B85">
        <w:rPr>
          <w:rFonts w:ascii="Book Antiqua" w:eastAsia="等线" w:hAnsi="Book Antiqua" w:cs="Times New Roman"/>
          <w:color w:val="000000" w:themeColor="text1"/>
          <w:kern w:val="0"/>
          <w:sz w:val="24"/>
          <w:szCs w:val="24"/>
        </w:rPr>
        <w:t xml:space="preserve"> inhibitor.</w:t>
      </w:r>
    </w:p>
    <w:p w14:paraId="7F042DAC" w14:textId="02D89E0C" w:rsidR="00E079C6" w:rsidRPr="003D5B85" w:rsidRDefault="00E079C6" w:rsidP="001C4059">
      <w:pPr>
        <w:spacing w:line="360" w:lineRule="auto"/>
        <w:rPr>
          <w:rFonts w:ascii="Book Antiqua" w:hAnsi="Book Antiqua" w:cs="Times New Roman"/>
          <w:b/>
          <w:color w:val="000000" w:themeColor="text1"/>
          <w:sz w:val="24"/>
          <w:szCs w:val="24"/>
        </w:rPr>
      </w:pPr>
    </w:p>
    <w:p w14:paraId="5A79E81D" w14:textId="11CA8CA9" w:rsidR="00CF793A" w:rsidRPr="003D5B85" w:rsidRDefault="00CF793A" w:rsidP="001C4059">
      <w:pPr>
        <w:spacing w:line="360" w:lineRule="auto"/>
        <w:rPr>
          <w:rFonts w:ascii="Book Antiqua" w:hAnsi="Book Antiqua" w:cs="Times New Roman"/>
          <w:b/>
          <w:color w:val="000000" w:themeColor="text1"/>
          <w:sz w:val="24"/>
          <w:szCs w:val="24"/>
        </w:rPr>
      </w:pPr>
    </w:p>
    <w:p w14:paraId="2282E6FE" w14:textId="22C006AF" w:rsidR="00D3451A" w:rsidRPr="003D5B85" w:rsidRDefault="00D3451A" w:rsidP="001C4059">
      <w:pPr>
        <w:widowControl/>
        <w:spacing w:line="360" w:lineRule="auto"/>
        <w:rPr>
          <w:rFonts w:ascii="Book Antiqua" w:hAnsi="Book Antiqua" w:cs="Times New Roman"/>
          <w:b/>
          <w:color w:val="000000" w:themeColor="text1"/>
          <w:sz w:val="24"/>
          <w:szCs w:val="24"/>
        </w:rPr>
      </w:pPr>
      <w:r w:rsidRPr="003D5B85">
        <w:rPr>
          <w:rFonts w:ascii="Book Antiqua" w:hAnsi="Book Antiqua" w:cs="Times New Roman"/>
          <w:b/>
          <w:color w:val="000000" w:themeColor="text1"/>
          <w:sz w:val="24"/>
          <w:szCs w:val="24"/>
        </w:rPr>
        <w:br w:type="page"/>
      </w:r>
    </w:p>
    <w:p w14:paraId="2211A98E" w14:textId="77777777" w:rsidR="00F45F16" w:rsidRPr="003D5B85" w:rsidRDefault="00CF793A" w:rsidP="00F45F16">
      <w:pPr>
        <w:spacing w:line="360" w:lineRule="auto"/>
        <w:rPr>
          <w:rFonts w:ascii="Book Antiqua" w:eastAsia="等线" w:hAnsi="Book Antiqua" w:cs="Times New Roman"/>
          <w:color w:val="000000" w:themeColor="text1"/>
          <w:sz w:val="24"/>
          <w:szCs w:val="24"/>
        </w:rPr>
      </w:pPr>
      <w:r w:rsidRPr="003D5B85">
        <w:rPr>
          <w:rFonts w:ascii="Book Antiqua" w:hAnsi="Book Antiqua" w:cs="Times New Roman"/>
          <w:b/>
          <w:noProof/>
          <w:color w:val="000000" w:themeColor="text1"/>
          <w:sz w:val="24"/>
          <w:szCs w:val="24"/>
        </w:rPr>
        <w:lastRenderedPageBreak/>
        <w:drawing>
          <wp:inline distT="0" distB="0" distL="0" distR="0" wp14:anchorId="361A9540" wp14:editId="07DFF358">
            <wp:extent cx="5486400" cy="12890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1289050"/>
                    </a:xfrm>
                    <a:prstGeom prst="rect">
                      <a:avLst/>
                    </a:prstGeom>
                  </pic:spPr>
                </pic:pic>
              </a:graphicData>
            </a:graphic>
          </wp:inline>
        </w:drawing>
      </w:r>
      <w:r w:rsidR="006B00F5" w:rsidRPr="003D5B85">
        <w:rPr>
          <w:rFonts w:ascii="Book Antiqua" w:eastAsia="等线" w:hAnsi="Book Antiqua" w:cs="Times New Roman"/>
          <w:b/>
          <w:color w:val="000000" w:themeColor="text1"/>
          <w:sz w:val="24"/>
          <w:szCs w:val="24"/>
        </w:rPr>
        <w:t xml:space="preserve">Figure 4 Sensitivity analysis focusing on patients without past </w:t>
      </w:r>
      <w:r w:rsidR="00F45F16" w:rsidRPr="003D5B85">
        <w:rPr>
          <w:rFonts w:ascii="Book Antiqua" w:eastAsia="等线" w:hAnsi="Book Antiqua" w:cs="Times New Roman"/>
          <w:b/>
          <w:color w:val="000000" w:themeColor="text1"/>
          <w:kern w:val="0"/>
          <w:sz w:val="24"/>
          <w:szCs w:val="24"/>
        </w:rPr>
        <w:t>hepatic encephalopathy</w:t>
      </w:r>
      <w:r w:rsidR="006B00F5" w:rsidRPr="003D5B85">
        <w:rPr>
          <w:rFonts w:ascii="Book Antiqua" w:eastAsia="等线" w:hAnsi="Book Antiqua" w:cs="Times New Roman"/>
          <w:b/>
          <w:color w:val="000000" w:themeColor="text1"/>
          <w:sz w:val="24"/>
          <w:szCs w:val="24"/>
        </w:rPr>
        <w:t xml:space="preserve"> episodes.</w:t>
      </w:r>
      <w:r w:rsidR="00F45F16" w:rsidRPr="003D5B85">
        <w:rPr>
          <w:rFonts w:ascii="Book Antiqua" w:eastAsia="等线" w:hAnsi="Book Antiqua" w:cs="Times New Roman"/>
          <w:b/>
          <w:color w:val="000000" w:themeColor="text1"/>
          <w:sz w:val="24"/>
          <w:szCs w:val="24"/>
        </w:rPr>
        <w:t xml:space="preserve"> </w:t>
      </w:r>
      <w:r w:rsidR="00F45F16" w:rsidRPr="003D5B85">
        <w:rPr>
          <w:rFonts w:ascii="Book Antiqua" w:eastAsia="等线" w:hAnsi="Book Antiqua" w:cs="Times New Roman"/>
          <w:color w:val="000000" w:themeColor="text1"/>
          <w:sz w:val="24"/>
          <w:szCs w:val="24"/>
        </w:rPr>
        <w:t xml:space="preserve">CI: </w:t>
      </w:r>
      <w:r w:rsidR="00F45F16" w:rsidRPr="003D5B85">
        <w:rPr>
          <w:rFonts w:ascii="Book Antiqua" w:eastAsia="宋体" w:hAnsi="Book Antiqua" w:cs="Times New Roman"/>
          <w:sz w:val="24"/>
          <w:szCs w:val="24"/>
        </w:rPr>
        <w:t xml:space="preserve">Confidence interval; </w:t>
      </w:r>
      <w:r w:rsidR="00F45F16" w:rsidRPr="003D5B85">
        <w:rPr>
          <w:rFonts w:ascii="Book Antiqua" w:eastAsia="等线" w:hAnsi="Book Antiqua" w:cs="Times New Roman"/>
          <w:color w:val="000000" w:themeColor="text1"/>
          <w:sz w:val="24"/>
          <w:szCs w:val="24"/>
        </w:rPr>
        <w:t xml:space="preserve">PPI: </w:t>
      </w:r>
      <w:r w:rsidR="00F45F16" w:rsidRPr="003D5B85">
        <w:rPr>
          <w:rFonts w:ascii="Book Antiqua" w:eastAsia="等线" w:hAnsi="Book Antiqua" w:cs="Times New Roman"/>
          <w:color w:val="000000" w:themeColor="text1"/>
          <w:kern w:val="0"/>
          <w:sz w:val="24"/>
          <w:szCs w:val="24"/>
        </w:rPr>
        <w:t xml:space="preserve">Proton </w:t>
      </w:r>
      <w:proofErr w:type="gramStart"/>
      <w:r w:rsidR="00F45F16" w:rsidRPr="003D5B85">
        <w:rPr>
          <w:rFonts w:ascii="Book Antiqua" w:eastAsia="等线" w:hAnsi="Book Antiqua" w:cs="Times New Roman"/>
          <w:color w:val="000000" w:themeColor="text1"/>
          <w:kern w:val="0"/>
          <w:sz w:val="24"/>
          <w:szCs w:val="24"/>
        </w:rPr>
        <w:t>pump</w:t>
      </w:r>
      <w:proofErr w:type="gramEnd"/>
      <w:r w:rsidR="00F45F16" w:rsidRPr="003D5B85">
        <w:rPr>
          <w:rFonts w:ascii="Book Antiqua" w:eastAsia="等线" w:hAnsi="Book Antiqua" w:cs="Times New Roman"/>
          <w:color w:val="000000" w:themeColor="text1"/>
          <w:kern w:val="0"/>
          <w:sz w:val="24"/>
          <w:szCs w:val="24"/>
        </w:rPr>
        <w:t xml:space="preserve"> inhibitor.</w:t>
      </w:r>
    </w:p>
    <w:p w14:paraId="1D6B897A" w14:textId="1F83E5C0" w:rsidR="00CF793A" w:rsidRPr="003D5B85" w:rsidRDefault="00CF793A" w:rsidP="001C4059">
      <w:pPr>
        <w:spacing w:line="360" w:lineRule="auto"/>
        <w:rPr>
          <w:rFonts w:ascii="Book Antiqua" w:eastAsia="等线" w:hAnsi="Book Antiqua" w:cs="Times New Roman"/>
          <w:color w:val="000000" w:themeColor="text1"/>
          <w:sz w:val="24"/>
          <w:szCs w:val="24"/>
        </w:rPr>
      </w:pPr>
    </w:p>
    <w:p w14:paraId="62D6413C" w14:textId="50918C2A" w:rsidR="00D3451A" w:rsidRPr="003D5B85" w:rsidRDefault="00D3451A" w:rsidP="001C4059">
      <w:pPr>
        <w:widowControl/>
        <w:spacing w:line="360" w:lineRule="auto"/>
        <w:rPr>
          <w:rFonts w:ascii="Book Antiqua" w:eastAsia="等线" w:hAnsi="Book Antiqua" w:cs="Times New Roman"/>
          <w:color w:val="000000" w:themeColor="text1"/>
          <w:sz w:val="24"/>
          <w:szCs w:val="24"/>
        </w:rPr>
      </w:pPr>
      <w:r w:rsidRPr="003D5B85">
        <w:rPr>
          <w:rFonts w:ascii="Book Antiqua" w:eastAsia="等线" w:hAnsi="Book Antiqua" w:cs="Times New Roman"/>
          <w:color w:val="000000" w:themeColor="text1"/>
          <w:sz w:val="24"/>
          <w:szCs w:val="24"/>
        </w:rPr>
        <w:br w:type="page"/>
      </w:r>
    </w:p>
    <w:p w14:paraId="18DA1A73" w14:textId="591F4DA9" w:rsidR="00E079C6" w:rsidRPr="003D5B85" w:rsidRDefault="00CF793A" w:rsidP="001C4059">
      <w:pPr>
        <w:spacing w:line="360" w:lineRule="auto"/>
        <w:rPr>
          <w:rFonts w:ascii="Book Antiqua" w:hAnsi="Book Antiqua" w:cs="Times New Roman"/>
          <w:b/>
          <w:color w:val="000000" w:themeColor="text1"/>
          <w:sz w:val="24"/>
          <w:szCs w:val="24"/>
        </w:rPr>
      </w:pPr>
      <w:r w:rsidRPr="003D5B85">
        <w:rPr>
          <w:rFonts w:ascii="Book Antiqua" w:hAnsi="Book Antiqua" w:cs="Times New Roman"/>
          <w:b/>
          <w:noProof/>
          <w:color w:val="000000" w:themeColor="text1"/>
          <w:sz w:val="24"/>
          <w:szCs w:val="24"/>
        </w:rPr>
        <w:lastRenderedPageBreak/>
        <w:drawing>
          <wp:inline distT="0" distB="0" distL="0" distR="0" wp14:anchorId="20F32FD4" wp14:editId="312458EA">
            <wp:extent cx="5486400" cy="450723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5.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4507230"/>
                    </a:xfrm>
                    <a:prstGeom prst="rect">
                      <a:avLst/>
                    </a:prstGeom>
                  </pic:spPr>
                </pic:pic>
              </a:graphicData>
            </a:graphic>
          </wp:inline>
        </w:drawing>
      </w:r>
    </w:p>
    <w:p w14:paraId="2E430685" w14:textId="5C96D11F" w:rsidR="00F45F16" w:rsidRPr="003D5B85" w:rsidRDefault="00353562" w:rsidP="00F45F16">
      <w:pPr>
        <w:spacing w:line="360" w:lineRule="auto"/>
        <w:rPr>
          <w:rFonts w:ascii="Book Antiqua" w:eastAsia="等线" w:hAnsi="Book Antiqua" w:cs="Times New Roman"/>
          <w:color w:val="000000" w:themeColor="text1"/>
          <w:sz w:val="24"/>
          <w:szCs w:val="24"/>
        </w:rPr>
      </w:pPr>
      <w:r w:rsidRPr="003D5B85">
        <w:rPr>
          <w:rFonts w:ascii="Book Antiqua" w:eastAsia="等线" w:hAnsi="Book Antiqua" w:cs="Times New Roman"/>
          <w:b/>
          <w:color w:val="000000" w:themeColor="text1"/>
          <w:sz w:val="24"/>
          <w:szCs w:val="24"/>
        </w:rPr>
        <w:t xml:space="preserve">Figure 5 Forest plot to evaluate the association between </w:t>
      </w:r>
      <w:r w:rsidR="00F45F16" w:rsidRPr="003D5B85">
        <w:rPr>
          <w:rFonts w:ascii="Book Antiqua" w:eastAsia="等线" w:hAnsi="Book Antiqua" w:cs="Times New Roman"/>
          <w:b/>
          <w:color w:val="000000" w:themeColor="text1"/>
          <w:kern w:val="0"/>
          <w:sz w:val="24"/>
          <w:szCs w:val="24"/>
        </w:rPr>
        <w:t>proton pump inhibitor</w:t>
      </w:r>
      <w:r w:rsidR="00F45F16" w:rsidRPr="003D5B85">
        <w:rPr>
          <w:rFonts w:ascii="Book Antiqua" w:eastAsia="等线" w:hAnsi="Book Antiqua" w:cs="Times New Roman"/>
          <w:b/>
          <w:color w:val="000000" w:themeColor="text1"/>
          <w:sz w:val="24"/>
          <w:szCs w:val="24"/>
        </w:rPr>
        <w:t xml:space="preserve"> </w:t>
      </w:r>
      <w:r w:rsidRPr="003D5B85">
        <w:rPr>
          <w:rFonts w:ascii="Book Antiqua" w:eastAsia="等线" w:hAnsi="Book Antiqua" w:cs="Times New Roman"/>
          <w:b/>
          <w:color w:val="000000" w:themeColor="text1"/>
          <w:sz w:val="24"/>
          <w:szCs w:val="24"/>
        </w:rPr>
        <w:t xml:space="preserve">use and </w:t>
      </w:r>
      <w:r w:rsidR="00F45F16" w:rsidRPr="003D5B85">
        <w:rPr>
          <w:rFonts w:ascii="Book Antiqua" w:eastAsia="等线" w:hAnsi="Book Antiqua" w:cs="Times New Roman"/>
          <w:b/>
          <w:color w:val="000000" w:themeColor="text1"/>
          <w:kern w:val="0"/>
          <w:sz w:val="24"/>
          <w:szCs w:val="24"/>
        </w:rPr>
        <w:t>hepatic encephalopathy</w:t>
      </w:r>
      <w:r w:rsidRPr="003D5B85">
        <w:rPr>
          <w:rFonts w:ascii="Book Antiqua" w:eastAsia="等线" w:hAnsi="Book Antiqua" w:cs="Times New Roman"/>
          <w:b/>
          <w:color w:val="000000" w:themeColor="text1"/>
          <w:sz w:val="24"/>
          <w:szCs w:val="24"/>
        </w:rPr>
        <w:t xml:space="preserve"> with</w:t>
      </w:r>
      <w:r w:rsidR="00BC4ADD" w:rsidRPr="003D5B85">
        <w:rPr>
          <w:rFonts w:ascii="Book Antiqua" w:eastAsia="等线" w:hAnsi="Book Antiqua" w:cs="Times New Roman"/>
          <w:b/>
          <w:color w:val="000000" w:themeColor="text1"/>
          <w:sz w:val="24"/>
          <w:szCs w:val="24"/>
        </w:rPr>
        <w:t xml:space="preserve"> </w:t>
      </w:r>
      <w:r w:rsidRPr="003D5B85">
        <w:rPr>
          <w:rFonts w:ascii="Book Antiqua" w:eastAsia="等线" w:hAnsi="Book Antiqua" w:cs="Times New Roman"/>
          <w:b/>
          <w:color w:val="000000" w:themeColor="text1"/>
          <w:sz w:val="24"/>
          <w:szCs w:val="24"/>
        </w:rPr>
        <w:t xml:space="preserve">stratification analyses based on study design and definition of </w:t>
      </w:r>
      <w:r w:rsidR="00F45F16" w:rsidRPr="003D5B85">
        <w:rPr>
          <w:rFonts w:ascii="Book Antiqua" w:eastAsia="等线" w:hAnsi="Book Antiqua" w:cs="Times New Roman"/>
          <w:b/>
          <w:color w:val="000000" w:themeColor="text1"/>
          <w:kern w:val="0"/>
          <w:sz w:val="24"/>
          <w:szCs w:val="24"/>
        </w:rPr>
        <w:t>proton pump inhibitor</w:t>
      </w:r>
      <w:r w:rsidRPr="003D5B85">
        <w:rPr>
          <w:rFonts w:ascii="Book Antiqua" w:eastAsia="等线" w:hAnsi="Book Antiqua" w:cs="Times New Roman"/>
          <w:b/>
          <w:color w:val="000000" w:themeColor="text1"/>
          <w:sz w:val="24"/>
          <w:szCs w:val="24"/>
        </w:rPr>
        <w:t xml:space="preserve"> use.</w:t>
      </w:r>
      <w:r w:rsidR="00F45F16" w:rsidRPr="003D5B85">
        <w:rPr>
          <w:rFonts w:ascii="Book Antiqua" w:eastAsia="等线" w:hAnsi="Book Antiqua" w:cs="Times New Roman"/>
          <w:color w:val="000000" w:themeColor="text1"/>
          <w:sz w:val="24"/>
          <w:szCs w:val="24"/>
        </w:rPr>
        <w:t xml:space="preserve"> CI: </w:t>
      </w:r>
      <w:r w:rsidR="00F45F16" w:rsidRPr="003D5B85">
        <w:rPr>
          <w:rFonts w:ascii="Book Antiqua" w:eastAsia="宋体" w:hAnsi="Book Antiqua" w:cs="Times New Roman"/>
          <w:sz w:val="24"/>
          <w:szCs w:val="24"/>
        </w:rPr>
        <w:t xml:space="preserve">Confidence interval; </w:t>
      </w:r>
      <w:r w:rsidR="00F45F16" w:rsidRPr="003D5B85">
        <w:rPr>
          <w:rFonts w:ascii="Book Antiqua" w:eastAsia="等线" w:hAnsi="Book Antiqua" w:cs="Times New Roman"/>
          <w:color w:val="000000" w:themeColor="text1"/>
          <w:sz w:val="24"/>
          <w:szCs w:val="24"/>
        </w:rPr>
        <w:t xml:space="preserve">PPI: </w:t>
      </w:r>
      <w:r w:rsidR="00F45F16" w:rsidRPr="003D5B85">
        <w:rPr>
          <w:rFonts w:ascii="Book Antiqua" w:eastAsia="等线" w:hAnsi="Book Antiqua" w:cs="Times New Roman"/>
          <w:color w:val="000000" w:themeColor="text1"/>
          <w:kern w:val="0"/>
          <w:sz w:val="24"/>
          <w:szCs w:val="24"/>
        </w:rPr>
        <w:t xml:space="preserve">Proton </w:t>
      </w:r>
      <w:proofErr w:type="gramStart"/>
      <w:r w:rsidR="00F45F16" w:rsidRPr="003D5B85">
        <w:rPr>
          <w:rFonts w:ascii="Book Antiqua" w:eastAsia="等线" w:hAnsi="Book Antiqua" w:cs="Times New Roman"/>
          <w:color w:val="000000" w:themeColor="text1"/>
          <w:kern w:val="0"/>
          <w:sz w:val="24"/>
          <w:szCs w:val="24"/>
        </w:rPr>
        <w:t>pump</w:t>
      </w:r>
      <w:proofErr w:type="gramEnd"/>
      <w:r w:rsidR="00F45F16" w:rsidRPr="003D5B85">
        <w:rPr>
          <w:rFonts w:ascii="Book Antiqua" w:eastAsia="等线" w:hAnsi="Book Antiqua" w:cs="Times New Roman"/>
          <w:color w:val="000000" w:themeColor="text1"/>
          <w:kern w:val="0"/>
          <w:sz w:val="24"/>
          <w:szCs w:val="24"/>
        </w:rPr>
        <w:t xml:space="preserve"> inhibitor.</w:t>
      </w:r>
    </w:p>
    <w:p w14:paraId="6462DC45" w14:textId="428CCA8B" w:rsidR="00353562" w:rsidRPr="003D5B85" w:rsidRDefault="00353562" w:rsidP="00F45F16">
      <w:pPr>
        <w:spacing w:line="360" w:lineRule="auto"/>
        <w:rPr>
          <w:rFonts w:ascii="Book Antiqua" w:eastAsia="等线" w:hAnsi="Book Antiqua" w:cs="Times New Roman"/>
          <w:color w:val="000000" w:themeColor="text1"/>
          <w:sz w:val="24"/>
          <w:szCs w:val="24"/>
        </w:rPr>
      </w:pPr>
    </w:p>
    <w:p w14:paraId="5E173A87" w14:textId="3C2D2695" w:rsidR="00D3451A" w:rsidRPr="003D5B85" w:rsidRDefault="00D3451A" w:rsidP="001C4059">
      <w:pPr>
        <w:widowControl/>
        <w:spacing w:line="360" w:lineRule="auto"/>
        <w:rPr>
          <w:rFonts w:ascii="Book Antiqua" w:eastAsia="等线" w:hAnsi="Book Antiqua" w:cs="Times New Roman"/>
          <w:color w:val="000000" w:themeColor="text1"/>
          <w:sz w:val="24"/>
          <w:szCs w:val="24"/>
        </w:rPr>
      </w:pPr>
      <w:r w:rsidRPr="003D5B85">
        <w:rPr>
          <w:rFonts w:ascii="Book Antiqua" w:eastAsia="等线" w:hAnsi="Book Antiqua" w:cs="Times New Roman"/>
          <w:color w:val="000000" w:themeColor="text1"/>
          <w:sz w:val="24"/>
          <w:szCs w:val="24"/>
        </w:rPr>
        <w:br w:type="page"/>
      </w:r>
    </w:p>
    <w:p w14:paraId="57F748B8" w14:textId="0C875649" w:rsidR="00E079C6" w:rsidRPr="003D5B85" w:rsidRDefault="00CF793A" w:rsidP="001C4059">
      <w:pPr>
        <w:spacing w:line="360" w:lineRule="auto"/>
        <w:rPr>
          <w:rFonts w:ascii="Book Antiqua" w:hAnsi="Book Antiqua" w:cs="Times New Roman"/>
          <w:b/>
          <w:color w:val="000000" w:themeColor="text1"/>
          <w:sz w:val="24"/>
          <w:szCs w:val="24"/>
        </w:rPr>
      </w:pPr>
      <w:r w:rsidRPr="003D5B85">
        <w:rPr>
          <w:rFonts w:ascii="Book Antiqua" w:hAnsi="Book Antiqua" w:cs="Times New Roman"/>
          <w:b/>
          <w:noProof/>
          <w:color w:val="000000" w:themeColor="text1"/>
          <w:sz w:val="24"/>
          <w:szCs w:val="24"/>
        </w:rPr>
        <w:lastRenderedPageBreak/>
        <w:drawing>
          <wp:inline distT="0" distB="0" distL="0" distR="0" wp14:anchorId="3F05DCD3" wp14:editId="50155C6C">
            <wp:extent cx="5486400" cy="292925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6.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2929255"/>
                    </a:xfrm>
                    <a:prstGeom prst="rect">
                      <a:avLst/>
                    </a:prstGeom>
                  </pic:spPr>
                </pic:pic>
              </a:graphicData>
            </a:graphic>
          </wp:inline>
        </w:drawing>
      </w:r>
    </w:p>
    <w:p w14:paraId="706B82AD" w14:textId="5C58C6BD" w:rsidR="00F45F16" w:rsidRPr="003D5B85" w:rsidRDefault="00CF793A" w:rsidP="00F45F16">
      <w:pPr>
        <w:spacing w:line="360" w:lineRule="auto"/>
        <w:rPr>
          <w:rFonts w:ascii="Book Antiqua" w:eastAsia="等线" w:hAnsi="Book Antiqua" w:cs="Times New Roman"/>
          <w:color w:val="000000" w:themeColor="text1"/>
          <w:sz w:val="24"/>
          <w:szCs w:val="24"/>
        </w:rPr>
      </w:pPr>
      <w:r w:rsidRPr="003D5B85">
        <w:rPr>
          <w:rFonts w:ascii="Book Antiqua" w:eastAsia="等线" w:hAnsi="Book Antiqua" w:cs="Times New Roman"/>
          <w:b/>
          <w:color w:val="000000" w:themeColor="text1"/>
          <w:sz w:val="24"/>
          <w:szCs w:val="24"/>
        </w:rPr>
        <w:t xml:space="preserve">Figure 6 </w:t>
      </w:r>
      <w:r w:rsidR="00A343B5" w:rsidRPr="003D5B85">
        <w:rPr>
          <w:rFonts w:ascii="Book Antiqua" w:eastAsia="等线" w:hAnsi="Book Antiqua" w:cs="Times New Roman"/>
          <w:b/>
          <w:color w:val="000000" w:themeColor="text1"/>
          <w:sz w:val="24"/>
          <w:szCs w:val="24"/>
        </w:rPr>
        <w:t xml:space="preserve">Forest plot to evaluate the association between </w:t>
      </w:r>
      <w:r w:rsidR="00F45F16" w:rsidRPr="003D5B85">
        <w:rPr>
          <w:rFonts w:ascii="Book Antiqua" w:eastAsia="等线" w:hAnsi="Book Antiqua" w:cs="Times New Roman"/>
          <w:b/>
          <w:color w:val="000000" w:themeColor="text1"/>
          <w:kern w:val="0"/>
          <w:sz w:val="24"/>
          <w:szCs w:val="24"/>
        </w:rPr>
        <w:t>proton pump inhibitor</w:t>
      </w:r>
      <w:r w:rsidR="00A343B5" w:rsidRPr="003D5B85">
        <w:rPr>
          <w:rFonts w:ascii="Book Antiqua" w:eastAsia="等线" w:hAnsi="Book Antiqua" w:cs="Times New Roman"/>
          <w:b/>
          <w:color w:val="000000" w:themeColor="text1"/>
          <w:sz w:val="24"/>
          <w:szCs w:val="24"/>
        </w:rPr>
        <w:t xml:space="preserve"> use and </w:t>
      </w:r>
      <w:r w:rsidR="00F45F16" w:rsidRPr="003D5B85">
        <w:rPr>
          <w:rFonts w:ascii="Book Antiqua" w:eastAsia="等线" w:hAnsi="Book Antiqua" w:cs="Times New Roman"/>
          <w:b/>
          <w:color w:val="000000" w:themeColor="text1"/>
          <w:kern w:val="0"/>
          <w:sz w:val="24"/>
          <w:szCs w:val="24"/>
        </w:rPr>
        <w:t>hepatic encephalopathy</w:t>
      </w:r>
      <w:r w:rsidR="00A343B5" w:rsidRPr="003D5B85">
        <w:rPr>
          <w:rFonts w:ascii="Book Antiqua" w:eastAsia="等线" w:hAnsi="Book Antiqua" w:cs="Times New Roman"/>
          <w:b/>
          <w:color w:val="000000" w:themeColor="text1"/>
          <w:sz w:val="24"/>
          <w:szCs w:val="24"/>
        </w:rPr>
        <w:t xml:space="preserve"> with a subgroup analysis based on the study location.</w:t>
      </w:r>
      <w:r w:rsidR="00F45F16" w:rsidRPr="003D5B85">
        <w:rPr>
          <w:rFonts w:ascii="Book Antiqua" w:eastAsia="等线" w:hAnsi="Book Antiqua" w:cs="Times New Roman"/>
          <w:color w:val="000000" w:themeColor="text1"/>
          <w:sz w:val="24"/>
          <w:szCs w:val="24"/>
        </w:rPr>
        <w:t xml:space="preserve"> CI: </w:t>
      </w:r>
      <w:r w:rsidR="00F45F16" w:rsidRPr="003D5B85">
        <w:rPr>
          <w:rFonts w:ascii="Book Antiqua" w:eastAsia="宋体" w:hAnsi="Book Antiqua" w:cs="Times New Roman"/>
          <w:sz w:val="24"/>
          <w:szCs w:val="24"/>
        </w:rPr>
        <w:t xml:space="preserve">Confidence interval; </w:t>
      </w:r>
      <w:r w:rsidR="00F45F16" w:rsidRPr="003D5B85">
        <w:rPr>
          <w:rFonts w:ascii="Book Antiqua" w:eastAsia="等线" w:hAnsi="Book Antiqua" w:cs="Times New Roman"/>
          <w:color w:val="000000" w:themeColor="text1"/>
          <w:sz w:val="24"/>
          <w:szCs w:val="24"/>
        </w:rPr>
        <w:t xml:space="preserve">PPI: </w:t>
      </w:r>
      <w:r w:rsidR="00F45F16" w:rsidRPr="003D5B85">
        <w:rPr>
          <w:rFonts w:ascii="Book Antiqua" w:eastAsia="等线" w:hAnsi="Book Antiqua" w:cs="Times New Roman"/>
          <w:color w:val="000000" w:themeColor="text1"/>
          <w:kern w:val="0"/>
          <w:sz w:val="24"/>
          <w:szCs w:val="24"/>
        </w:rPr>
        <w:t xml:space="preserve">Proton </w:t>
      </w:r>
      <w:proofErr w:type="gramStart"/>
      <w:r w:rsidR="00F45F16" w:rsidRPr="003D5B85">
        <w:rPr>
          <w:rFonts w:ascii="Book Antiqua" w:eastAsia="等线" w:hAnsi="Book Antiqua" w:cs="Times New Roman"/>
          <w:color w:val="000000" w:themeColor="text1"/>
          <w:kern w:val="0"/>
          <w:sz w:val="24"/>
          <w:szCs w:val="24"/>
        </w:rPr>
        <w:t>pump</w:t>
      </w:r>
      <w:proofErr w:type="gramEnd"/>
      <w:r w:rsidR="00F45F16" w:rsidRPr="003D5B85">
        <w:rPr>
          <w:rFonts w:ascii="Book Antiqua" w:eastAsia="等线" w:hAnsi="Book Antiqua" w:cs="Times New Roman"/>
          <w:color w:val="000000" w:themeColor="text1"/>
          <w:kern w:val="0"/>
          <w:sz w:val="24"/>
          <w:szCs w:val="24"/>
        </w:rPr>
        <w:t xml:space="preserve"> inhibitor.</w:t>
      </w:r>
    </w:p>
    <w:p w14:paraId="60844D34" w14:textId="33DE40DF" w:rsidR="00D3451A" w:rsidRPr="003D5B85" w:rsidRDefault="00D3451A" w:rsidP="001C4059">
      <w:pPr>
        <w:spacing w:line="360" w:lineRule="auto"/>
        <w:rPr>
          <w:rFonts w:ascii="Book Antiqua" w:eastAsia="等线" w:hAnsi="Book Antiqua" w:cs="Times New Roman"/>
          <w:color w:val="000000" w:themeColor="text1"/>
          <w:sz w:val="24"/>
          <w:szCs w:val="24"/>
        </w:rPr>
      </w:pPr>
    </w:p>
    <w:p w14:paraId="69B9E09A" w14:textId="1AEA73B3" w:rsidR="00D3451A" w:rsidRPr="003D5B85" w:rsidRDefault="00D3451A" w:rsidP="001C4059">
      <w:pPr>
        <w:widowControl/>
        <w:spacing w:line="360" w:lineRule="auto"/>
        <w:rPr>
          <w:rFonts w:ascii="Book Antiqua" w:eastAsia="等线" w:hAnsi="Book Antiqua" w:cs="Times New Roman"/>
          <w:color w:val="000000" w:themeColor="text1"/>
          <w:sz w:val="24"/>
          <w:szCs w:val="24"/>
        </w:rPr>
      </w:pPr>
      <w:r w:rsidRPr="003D5B85">
        <w:rPr>
          <w:rFonts w:ascii="Book Antiqua" w:eastAsia="等线" w:hAnsi="Book Antiqua" w:cs="Times New Roman"/>
          <w:color w:val="000000" w:themeColor="text1"/>
          <w:sz w:val="24"/>
          <w:szCs w:val="24"/>
        </w:rPr>
        <w:br w:type="page"/>
      </w:r>
    </w:p>
    <w:p w14:paraId="15D24D3B" w14:textId="1E8146C2" w:rsidR="00CF793A" w:rsidRPr="003D5B85" w:rsidRDefault="00CF793A" w:rsidP="001C4059">
      <w:pPr>
        <w:spacing w:line="360" w:lineRule="auto"/>
        <w:rPr>
          <w:rFonts w:ascii="Book Antiqua" w:eastAsia="等线" w:hAnsi="Book Antiqua" w:cs="Times New Roman"/>
          <w:color w:val="000000" w:themeColor="text1"/>
          <w:sz w:val="24"/>
          <w:szCs w:val="24"/>
        </w:rPr>
      </w:pPr>
      <w:r w:rsidRPr="003D5B85">
        <w:rPr>
          <w:rFonts w:ascii="Book Antiqua" w:eastAsia="等线" w:hAnsi="Book Antiqua" w:cs="Times New Roman"/>
          <w:noProof/>
          <w:color w:val="000000" w:themeColor="text1"/>
          <w:sz w:val="24"/>
          <w:szCs w:val="24"/>
        </w:rPr>
        <w:lastRenderedPageBreak/>
        <w:drawing>
          <wp:inline distT="0" distB="0" distL="0" distR="0" wp14:anchorId="57FA460B" wp14:editId="4ED7974E">
            <wp:extent cx="5486400" cy="340169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7.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3401695"/>
                    </a:xfrm>
                    <a:prstGeom prst="rect">
                      <a:avLst/>
                    </a:prstGeom>
                  </pic:spPr>
                </pic:pic>
              </a:graphicData>
            </a:graphic>
          </wp:inline>
        </w:drawing>
      </w:r>
    </w:p>
    <w:p w14:paraId="5806487F" w14:textId="26233CD4" w:rsidR="00CF793A" w:rsidRPr="003D5B85" w:rsidRDefault="00CF793A" w:rsidP="001C4059">
      <w:pPr>
        <w:spacing w:line="360" w:lineRule="auto"/>
        <w:rPr>
          <w:rFonts w:ascii="Book Antiqua" w:eastAsia="等线" w:hAnsi="Book Antiqua" w:cs="Times New Roman"/>
          <w:color w:val="000000" w:themeColor="text1"/>
          <w:sz w:val="24"/>
          <w:szCs w:val="24"/>
        </w:rPr>
      </w:pPr>
      <w:r w:rsidRPr="003D5B85">
        <w:rPr>
          <w:rFonts w:ascii="Book Antiqua" w:eastAsia="等线" w:hAnsi="Book Antiqua" w:cs="Times New Roman"/>
          <w:b/>
          <w:color w:val="000000" w:themeColor="text1"/>
          <w:sz w:val="24"/>
          <w:szCs w:val="24"/>
        </w:rPr>
        <w:t xml:space="preserve">Figure 7 </w:t>
      </w:r>
      <w:r w:rsidR="0032567E" w:rsidRPr="003D5B85">
        <w:rPr>
          <w:rFonts w:ascii="Book Antiqua" w:eastAsia="等线" w:hAnsi="Book Antiqua" w:cs="Times New Roman"/>
          <w:b/>
          <w:color w:val="000000" w:themeColor="text1"/>
          <w:sz w:val="24"/>
          <w:szCs w:val="24"/>
        </w:rPr>
        <w:t xml:space="preserve">Forest plot to evaluate the association between </w:t>
      </w:r>
      <w:r w:rsidR="007D26F9" w:rsidRPr="003D5B85">
        <w:rPr>
          <w:rFonts w:ascii="Book Antiqua" w:eastAsia="等线" w:hAnsi="Book Antiqua" w:cs="Times New Roman"/>
          <w:b/>
          <w:color w:val="000000" w:themeColor="text1"/>
          <w:kern w:val="0"/>
          <w:sz w:val="24"/>
          <w:szCs w:val="24"/>
        </w:rPr>
        <w:t>proton pump inhibitor</w:t>
      </w:r>
      <w:r w:rsidR="0032567E" w:rsidRPr="003D5B85">
        <w:rPr>
          <w:rFonts w:ascii="Book Antiqua" w:eastAsia="等线" w:hAnsi="Book Antiqua" w:cs="Times New Roman"/>
          <w:b/>
          <w:color w:val="000000" w:themeColor="text1"/>
          <w:sz w:val="24"/>
          <w:szCs w:val="24"/>
        </w:rPr>
        <w:t xml:space="preserve"> use and </w:t>
      </w:r>
      <w:r w:rsidR="007D26F9" w:rsidRPr="003D5B85">
        <w:rPr>
          <w:rFonts w:ascii="Book Antiqua" w:eastAsia="等线" w:hAnsi="Book Antiqua" w:cs="Times New Roman"/>
          <w:b/>
          <w:color w:val="000000" w:themeColor="text1"/>
          <w:kern w:val="0"/>
          <w:sz w:val="24"/>
          <w:szCs w:val="24"/>
        </w:rPr>
        <w:t>hepatic encephalopathy</w:t>
      </w:r>
      <w:r w:rsidR="0032567E" w:rsidRPr="003D5B85">
        <w:rPr>
          <w:rFonts w:ascii="Book Antiqua" w:eastAsia="等线" w:hAnsi="Book Antiqua" w:cs="Times New Roman"/>
          <w:b/>
          <w:color w:val="000000" w:themeColor="text1"/>
          <w:sz w:val="24"/>
          <w:szCs w:val="24"/>
        </w:rPr>
        <w:t xml:space="preserve"> with a subgroup analysis based on the type of advanced liver disease.</w:t>
      </w:r>
      <w:r w:rsidR="007D26F9" w:rsidRPr="003D5B85">
        <w:rPr>
          <w:rFonts w:ascii="Book Antiqua" w:eastAsia="等线" w:hAnsi="Book Antiqua" w:cs="Times New Roman"/>
          <w:color w:val="000000" w:themeColor="text1"/>
          <w:sz w:val="24"/>
          <w:szCs w:val="24"/>
        </w:rPr>
        <w:t xml:space="preserve"> CI: </w:t>
      </w:r>
      <w:r w:rsidR="007D26F9" w:rsidRPr="003D5B85">
        <w:rPr>
          <w:rFonts w:ascii="Book Antiqua" w:eastAsia="宋体" w:hAnsi="Book Antiqua" w:cs="Times New Roman"/>
          <w:sz w:val="24"/>
          <w:szCs w:val="24"/>
        </w:rPr>
        <w:t xml:space="preserve">Confidence interval; </w:t>
      </w:r>
      <w:r w:rsidR="007D26F9" w:rsidRPr="003D5B85">
        <w:rPr>
          <w:rFonts w:ascii="Book Antiqua" w:eastAsia="等线" w:hAnsi="Book Antiqua" w:cs="Times New Roman"/>
          <w:color w:val="000000" w:themeColor="text1"/>
          <w:sz w:val="24"/>
          <w:szCs w:val="24"/>
        </w:rPr>
        <w:t xml:space="preserve">PPI: </w:t>
      </w:r>
      <w:r w:rsidR="007D26F9" w:rsidRPr="003D5B85">
        <w:rPr>
          <w:rFonts w:ascii="Book Antiqua" w:eastAsia="等线" w:hAnsi="Book Antiqua" w:cs="Times New Roman"/>
          <w:color w:val="000000" w:themeColor="text1"/>
          <w:kern w:val="0"/>
          <w:sz w:val="24"/>
          <w:szCs w:val="24"/>
        </w:rPr>
        <w:t xml:space="preserve">Proton </w:t>
      </w:r>
      <w:proofErr w:type="gramStart"/>
      <w:r w:rsidR="007D26F9" w:rsidRPr="003D5B85">
        <w:rPr>
          <w:rFonts w:ascii="Book Antiqua" w:eastAsia="等线" w:hAnsi="Book Antiqua" w:cs="Times New Roman"/>
          <w:color w:val="000000" w:themeColor="text1"/>
          <w:kern w:val="0"/>
          <w:sz w:val="24"/>
          <w:szCs w:val="24"/>
        </w:rPr>
        <w:t>pump</w:t>
      </w:r>
      <w:proofErr w:type="gramEnd"/>
      <w:r w:rsidR="007D26F9" w:rsidRPr="003D5B85">
        <w:rPr>
          <w:rFonts w:ascii="Book Antiqua" w:eastAsia="等线" w:hAnsi="Book Antiqua" w:cs="Times New Roman"/>
          <w:color w:val="000000" w:themeColor="text1"/>
          <w:kern w:val="0"/>
          <w:sz w:val="24"/>
          <w:szCs w:val="24"/>
        </w:rPr>
        <w:t xml:space="preserve"> inhibitor.</w:t>
      </w:r>
    </w:p>
    <w:p w14:paraId="77074F1F" w14:textId="6E735F81" w:rsidR="00D3451A" w:rsidRPr="003D5B85" w:rsidRDefault="00D3451A" w:rsidP="001C4059">
      <w:pPr>
        <w:widowControl/>
        <w:spacing w:line="360" w:lineRule="auto"/>
        <w:rPr>
          <w:rFonts w:ascii="Book Antiqua" w:eastAsia="等线" w:hAnsi="Book Antiqua" w:cs="Times New Roman"/>
          <w:color w:val="000000" w:themeColor="text1"/>
          <w:sz w:val="24"/>
          <w:szCs w:val="24"/>
        </w:rPr>
      </w:pPr>
      <w:r w:rsidRPr="003D5B85">
        <w:rPr>
          <w:rFonts w:ascii="Book Antiqua" w:eastAsia="等线" w:hAnsi="Book Antiqua" w:cs="Times New Roman"/>
          <w:color w:val="000000" w:themeColor="text1"/>
          <w:sz w:val="24"/>
          <w:szCs w:val="24"/>
        </w:rPr>
        <w:br w:type="page"/>
      </w:r>
    </w:p>
    <w:p w14:paraId="54C028A2" w14:textId="01B1D728" w:rsidR="00E079C6" w:rsidRPr="003D5B85" w:rsidRDefault="003922AA" w:rsidP="001C4059">
      <w:pPr>
        <w:spacing w:line="360" w:lineRule="auto"/>
        <w:rPr>
          <w:rFonts w:ascii="Book Antiqua" w:hAnsi="Book Antiqua" w:cs="Times New Roman"/>
          <w:b/>
          <w:color w:val="000000" w:themeColor="text1"/>
          <w:sz w:val="24"/>
          <w:szCs w:val="24"/>
        </w:rPr>
      </w:pPr>
      <w:r w:rsidRPr="003D5B85">
        <w:rPr>
          <w:rFonts w:ascii="Book Antiqua" w:hAnsi="Book Antiqua" w:cs="Times New Roman"/>
          <w:b/>
          <w:noProof/>
          <w:color w:val="000000" w:themeColor="text1"/>
          <w:sz w:val="24"/>
          <w:szCs w:val="24"/>
        </w:rPr>
        <w:lastRenderedPageBreak/>
        <w:drawing>
          <wp:inline distT="0" distB="0" distL="0" distR="0" wp14:anchorId="1E97BEC6" wp14:editId="28C2BE6A">
            <wp:extent cx="5486400" cy="35839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8.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3583940"/>
                    </a:xfrm>
                    <a:prstGeom prst="rect">
                      <a:avLst/>
                    </a:prstGeom>
                  </pic:spPr>
                </pic:pic>
              </a:graphicData>
            </a:graphic>
          </wp:inline>
        </w:drawing>
      </w:r>
    </w:p>
    <w:p w14:paraId="3DEEAABF" w14:textId="470F7F89" w:rsidR="00D3451A" w:rsidRPr="003D5B85" w:rsidRDefault="003922AA" w:rsidP="001C4059">
      <w:pPr>
        <w:spacing w:line="360" w:lineRule="auto"/>
        <w:rPr>
          <w:rFonts w:ascii="Book Antiqua" w:eastAsia="等线" w:hAnsi="Book Antiqua" w:cs="Times New Roman"/>
          <w:color w:val="000000" w:themeColor="text1"/>
          <w:sz w:val="24"/>
          <w:szCs w:val="24"/>
        </w:rPr>
      </w:pPr>
      <w:r w:rsidRPr="003D5B85">
        <w:rPr>
          <w:rFonts w:ascii="Book Antiqua" w:eastAsia="等线" w:hAnsi="Book Antiqua" w:cs="Times New Roman"/>
          <w:b/>
          <w:color w:val="000000" w:themeColor="text1"/>
          <w:sz w:val="24"/>
          <w:szCs w:val="24"/>
        </w:rPr>
        <w:t xml:space="preserve">Figure 8 </w:t>
      </w:r>
      <w:r w:rsidR="00B5437C" w:rsidRPr="003D5B85">
        <w:rPr>
          <w:rFonts w:ascii="Book Antiqua" w:eastAsia="等线" w:hAnsi="Book Antiqua" w:cs="Times New Roman"/>
          <w:b/>
          <w:color w:val="000000" w:themeColor="text1"/>
          <w:sz w:val="24"/>
          <w:szCs w:val="24"/>
        </w:rPr>
        <w:t xml:space="preserve">Forest plot to evaluate the association between </w:t>
      </w:r>
      <w:r w:rsidR="007D26F9" w:rsidRPr="003D5B85">
        <w:rPr>
          <w:rFonts w:ascii="Book Antiqua" w:eastAsia="等线" w:hAnsi="Book Antiqua" w:cs="Times New Roman"/>
          <w:b/>
          <w:color w:val="000000" w:themeColor="text1"/>
          <w:kern w:val="0"/>
          <w:sz w:val="24"/>
          <w:szCs w:val="24"/>
        </w:rPr>
        <w:t>proton pump inhibitor</w:t>
      </w:r>
      <w:r w:rsidR="00B5437C" w:rsidRPr="003D5B85">
        <w:rPr>
          <w:rFonts w:ascii="Book Antiqua" w:eastAsia="等线" w:hAnsi="Book Antiqua" w:cs="Times New Roman"/>
          <w:b/>
          <w:color w:val="000000" w:themeColor="text1"/>
          <w:sz w:val="24"/>
          <w:szCs w:val="24"/>
        </w:rPr>
        <w:t xml:space="preserve"> use and </w:t>
      </w:r>
      <w:r w:rsidR="007D26F9" w:rsidRPr="003D5B85">
        <w:rPr>
          <w:rFonts w:ascii="Book Antiqua" w:eastAsia="等线" w:hAnsi="Book Antiqua" w:cs="Times New Roman"/>
          <w:b/>
          <w:color w:val="000000" w:themeColor="text1"/>
          <w:kern w:val="0"/>
          <w:sz w:val="24"/>
          <w:szCs w:val="24"/>
        </w:rPr>
        <w:t>hepatic encephalopathy</w:t>
      </w:r>
      <w:r w:rsidR="00B5437C" w:rsidRPr="003D5B85">
        <w:rPr>
          <w:rFonts w:ascii="Book Antiqua" w:eastAsia="等线" w:hAnsi="Book Antiqua" w:cs="Times New Roman"/>
          <w:b/>
          <w:color w:val="000000" w:themeColor="text1"/>
          <w:sz w:val="24"/>
          <w:szCs w:val="24"/>
        </w:rPr>
        <w:t xml:space="preserve"> with a subgroup analysis based on the outcomes analyzed.</w:t>
      </w:r>
      <w:r w:rsidR="007D26F9" w:rsidRPr="003D5B85">
        <w:rPr>
          <w:rFonts w:ascii="Book Antiqua" w:eastAsia="等线" w:hAnsi="Book Antiqua" w:cs="Times New Roman"/>
          <w:color w:val="000000" w:themeColor="text1"/>
          <w:sz w:val="24"/>
          <w:szCs w:val="24"/>
        </w:rPr>
        <w:t xml:space="preserve"> CI: </w:t>
      </w:r>
      <w:r w:rsidR="007D26F9" w:rsidRPr="003D5B85">
        <w:rPr>
          <w:rFonts w:ascii="Book Antiqua" w:eastAsia="宋体" w:hAnsi="Book Antiqua" w:cs="Times New Roman"/>
          <w:sz w:val="24"/>
          <w:szCs w:val="24"/>
        </w:rPr>
        <w:t xml:space="preserve">Confidence interval; </w:t>
      </w:r>
      <w:r w:rsidR="007D26F9" w:rsidRPr="003D5B85">
        <w:rPr>
          <w:rFonts w:ascii="Book Antiqua" w:eastAsia="等线" w:hAnsi="Book Antiqua" w:cs="Times New Roman"/>
          <w:color w:val="000000" w:themeColor="text1"/>
          <w:sz w:val="24"/>
          <w:szCs w:val="24"/>
        </w:rPr>
        <w:t xml:space="preserve">PPI: </w:t>
      </w:r>
      <w:r w:rsidR="007D26F9" w:rsidRPr="003D5B85">
        <w:rPr>
          <w:rFonts w:ascii="Book Antiqua" w:eastAsia="等线" w:hAnsi="Book Antiqua" w:cs="Times New Roman"/>
          <w:color w:val="000000" w:themeColor="text1"/>
          <w:kern w:val="0"/>
          <w:sz w:val="24"/>
          <w:szCs w:val="24"/>
        </w:rPr>
        <w:t xml:space="preserve">Proton </w:t>
      </w:r>
      <w:proofErr w:type="gramStart"/>
      <w:r w:rsidR="007D26F9" w:rsidRPr="003D5B85">
        <w:rPr>
          <w:rFonts w:ascii="Book Antiqua" w:eastAsia="等线" w:hAnsi="Book Antiqua" w:cs="Times New Roman"/>
          <w:color w:val="000000" w:themeColor="text1"/>
          <w:kern w:val="0"/>
          <w:sz w:val="24"/>
          <w:szCs w:val="24"/>
        </w:rPr>
        <w:t>pump</w:t>
      </w:r>
      <w:proofErr w:type="gramEnd"/>
      <w:r w:rsidR="007D26F9" w:rsidRPr="003D5B85">
        <w:rPr>
          <w:rFonts w:ascii="Book Antiqua" w:eastAsia="等线" w:hAnsi="Book Antiqua" w:cs="Times New Roman"/>
          <w:color w:val="000000" w:themeColor="text1"/>
          <w:kern w:val="0"/>
          <w:sz w:val="24"/>
          <w:szCs w:val="24"/>
        </w:rPr>
        <w:t xml:space="preserve"> inhibitor.</w:t>
      </w:r>
    </w:p>
    <w:p w14:paraId="4A77F7F3" w14:textId="777004A8" w:rsidR="00D3451A" w:rsidRPr="003D5B85" w:rsidRDefault="00D3451A" w:rsidP="001C4059">
      <w:pPr>
        <w:widowControl/>
        <w:spacing w:line="360" w:lineRule="auto"/>
        <w:rPr>
          <w:rFonts w:ascii="Book Antiqua" w:eastAsia="等线" w:hAnsi="Book Antiqua" w:cs="Times New Roman"/>
          <w:color w:val="000000" w:themeColor="text1"/>
          <w:sz w:val="24"/>
          <w:szCs w:val="24"/>
        </w:rPr>
      </w:pPr>
      <w:r w:rsidRPr="003D5B85">
        <w:rPr>
          <w:rFonts w:ascii="Book Antiqua" w:eastAsia="等线" w:hAnsi="Book Antiqua" w:cs="Times New Roman"/>
          <w:color w:val="000000" w:themeColor="text1"/>
          <w:sz w:val="24"/>
          <w:szCs w:val="24"/>
        </w:rPr>
        <w:br w:type="page"/>
      </w:r>
    </w:p>
    <w:p w14:paraId="3BAB95E3" w14:textId="081937A2" w:rsidR="00E079C6" w:rsidRPr="003D5B85" w:rsidRDefault="00F50D0E" w:rsidP="001C4059">
      <w:pPr>
        <w:spacing w:line="360" w:lineRule="auto"/>
        <w:rPr>
          <w:rFonts w:ascii="Book Antiqua" w:hAnsi="Book Antiqua" w:cs="Times New Roman"/>
          <w:b/>
          <w:color w:val="000000" w:themeColor="text1"/>
          <w:sz w:val="24"/>
          <w:szCs w:val="24"/>
        </w:rPr>
      </w:pPr>
      <w:r w:rsidRPr="003D5B85">
        <w:rPr>
          <w:rFonts w:ascii="Book Antiqua" w:hAnsi="Book Antiqua" w:cs="Times New Roman"/>
          <w:b/>
          <w:noProof/>
          <w:color w:val="000000" w:themeColor="text1"/>
          <w:sz w:val="24"/>
          <w:szCs w:val="24"/>
        </w:rPr>
        <w:lastRenderedPageBreak/>
        <w:drawing>
          <wp:inline distT="0" distB="0" distL="0" distR="0" wp14:anchorId="56B569D5" wp14:editId="1E784717">
            <wp:extent cx="4509955" cy="3005593"/>
            <wp:effectExtent l="0" t="0" r="508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6.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24592" cy="3015347"/>
                    </a:xfrm>
                    <a:prstGeom prst="rect">
                      <a:avLst/>
                    </a:prstGeom>
                  </pic:spPr>
                </pic:pic>
              </a:graphicData>
            </a:graphic>
          </wp:inline>
        </w:drawing>
      </w:r>
    </w:p>
    <w:p w14:paraId="0180E59E" w14:textId="5674482A" w:rsidR="00722C3A" w:rsidRPr="007D26F9" w:rsidRDefault="00F50D0E" w:rsidP="001C4059">
      <w:pPr>
        <w:spacing w:line="360" w:lineRule="auto"/>
        <w:rPr>
          <w:rFonts w:ascii="Book Antiqua" w:eastAsia="等线" w:hAnsi="Book Antiqua" w:cs="Times New Roman"/>
          <w:b/>
          <w:color w:val="000000" w:themeColor="text1"/>
          <w:sz w:val="24"/>
          <w:szCs w:val="24"/>
        </w:rPr>
      </w:pPr>
      <w:r w:rsidRPr="003D5B85">
        <w:rPr>
          <w:rFonts w:ascii="Book Antiqua" w:eastAsia="等线" w:hAnsi="Book Antiqua" w:cs="Times New Roman"/>
          <w:b/>
          <w:color w:val="000000" w:themeColor="text1"/>
          <w:sz w:val="24"/>
          <w:szCs w:val="24"/>
        </w:rPr>
        <w:t>Figure 9 Funnel plot assessing publication bias.</w:t>
      </w:r>
    </w:p>
    <w:sectPr w:rsidR="00722C3A" w:rsidRPr="007D26F9" w:rsidSect="001C4059">
      <w:headerReference w:type="default" r:id="rId20"/>
      <w:type w:val="continuous"/>
      <w:pgSz w:w="12240" w:h="15840"/>
      <w:pgMar w:top="1440" w:right="1800" w:bottom="1440" w:left="1800" w:header="720" w:footer="720" w:gutter="0"/>
      <w:cols w:space="720"/>
      <w:noEndnote/>
      <w:docGrid w:linePitch="28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ED775F" w16cid:durableId="207C877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E2D0C2" w14:textId="77777777" w:rsidR="005E5759" w:rsidRDefault="005E5759" w:rsidP="007E6E35">
      <w:r>
        <w:separator/>
      </w:r>
    </w:p>
  </w:endnote>
  <w:endnote w:type="continuationSeparator" w:id="0">
    <w:p w14:paraId="353D32DF" w14:textId="77777777" w:rsidR="005E5759" w:rsidRDefault="005E5759" w:rsidP="007E6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等线">
    <w:altName w:val="宋体"/>
    <w:panose1 w:val="00000000000000000000"/>
    <w:charset w:val="86"/>
    <w:family w:val="roman"/>
    <w:notTrueType/>
    <w:pitch w:val="default"/>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Garamond-Bold">
    <w:charset w:val="00"/>
    <w:family w:val="auto"/>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6"/>
    <w:family w:val="swiss"/>
    <w:pitch w:val="variable"/>
    <w:sig w:usb0="F7FFAFFF" w:usb1="E9DFFFFF" w:usb2="0000003F" w:usb3="00000000" w:csb0="003F01FF" w:csb1="00000000"/>
  </w:font>
  <w:font w:name="微软雅黑">
    <w:altName w:val="Microsoft YaHei"/>
    <w:panose1 w:val="020B0503020204020204"/>
    <w:charset w:val="86"/>
    <w:family w:val="swiss"/>
    <w:pitch w:val="variable"/>
    <w:sig w:usb0="80000287" w:usb1="280F3C52" w:usb2="00000016" w:usb3="00000000" w:csb0="0004001F" w:csb1="00000000"/>
  </w:font>
  <w:font w:name="等线 Light">
    <w:altName w:val="宋体"/>
    <w:panose1 w:val="00000000000000000000"/>
    <w:charset w:val="86"/>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B00D27" w14:textId="77777777" w:rsidR="005E5759" w:rsidRDefault="005E5759" w:rsidP="007E6E35">
      <w:r>
        <w:separator/>
      </w:r>
    </w:p>
  </w:footnote>
  <w:footnote w:type="continuationSeparator" w:id="0">
    <w:p w14:paraId="3E53DD37" w14:textId="77777777" w:rsidR="005E5759" w:rsidRDefault="005E5759" w:rsidP="007E6E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1631345"/>
      <w:docPartObj>
        <w:docPartGallery w:val="Page Numbers (Top of Page)"/>
        <w:docPartUnique/>
      </w:docPartObj>
    </w:sdtPr>
    <w:sdtEndPr/>
    <w:sdtContent>
      <w:p w14:paraId="2B9A6570" w14:textId="77777777" w:rsidR="00E10932" w:rsidRDefault="00E10932">
        <w:pPr>
          <w:pStyle w:val="a8"/>
          <w:jc w:val="right"/>
        </w:pPr>
        <w:r>
          <w:fldChar w:fldCharType="begin"/>
        </w:r>
        <w:r>
          <w:instrText>PAGE   \* MERGEFORMAT</w:instrText>
        </w:r>
        <w:r>
          <w:fldChar w:fldCharType="separate"/>
        </w:r>
        <w:r w:rsidR="00507186" w:rsidRPr="00507186">
          <w:rPr>
            <w:noProof/>
            <w:lang w:val="zh-CN"/>
          </w:rPr>
          <w:t>5</w:t>
        </w:r>
        <w:r>
          <w:fldChar w:fldCharType="end"/>
        </w:r>
      </w:p>
    </w:sdtContent>
  </w:sdt>
  <w:p w14:paraId="5D32461D" w14:textId="77777777" w:rsidR="00E10932" w:rsidRDefault="00E10932">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4921420"/>
      <w:docPartObj>
        <w:docPartGallery w:val="Page Numbers (Top of Page)"/>
        <w:docPartUnique/>
      </w:docPartObj>
    </w:sdtPr>
    <w:sdtEndPr/>
    <w:sdtContent>
      <w:p w14:paraId="4BDA5830" w14:textId="77777777" w:rsidR="00E10932" w:rsidRDefault="00E10932">
        <w:pPr>
          <w:pStyle w:val="a8"/>
          <w:jc w:val="right"/>
        </w:pPr>
        <w:r>
          <w:fldChar w:fldCharType="begin"/>
        </w:r>
        <w:r>
          <w:instrText>PAGE   \* MERGEFORMAT</w:instrText>
        </w:r>
        <w:r>
          <w:fldChar w:fldCharType="separate"/>
        </w:r>
        <w:r w:rsidR="00507186" w:rsidRPr="00507186">
          <w:rPr>
            <w:noProof/>
            <w:lang w:val="zh-CN"/>
          </w:rPr>
          <w:t>31</w:t>
        </w:r>
        <w:r>
          <w:fldChar w:fldCharType="end"/>
        </w:r>
      </w:p>
    </w:sdtContent>
  </w:sdt>
  <w:p w14:paraId="1275F51E" w14:textId="77777777" w:rsidR="00E10932" w:rsidRDefault="00E10932">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3894499"/>
      <w:docPartObj>
        <w:docPartGallery w:val="Page Numbers (Top of Page)"/>
        <w:docPartUnique/>
      </w:docPartObj>
    </w:sdtPr>
    <w:sdtEndPr/>
    <w:sdtContent>
      <w:p w14:paraId="4B3357D5" w14:textId="77777777" w:rsidR="00E10932" w:rsidRDefault="00E10932">
        <w:pPr>
          <w:pStyle w:val="a8"/>
          <w:jc w:val="right"/>
        </w:pPr>
        <w:r>
          <w:fldChar w:fldCharType="begin"/>
        </w:r>
        <w:r>
          <w:instrText>PAGE   \* MERGEFORMAT</w:instrText>
        </w:r>
        <w:r>
          <w:fldChar w:fldCharType="separate"/>
        </w:r>
        <w:r w:rsidR="00507186" w:rsidRPr="00507186">
          <w:rPr>
            <w:noProof/>
            <w:lang w:val="zh-CN"/>
          </w:rPr>
          <w:t>40</w:t>
        </w:r>
        <w:r>
          <w:fldChar w:fldCharType="end"/>
        </w:r>
      </w:p>
    </w:sdtContent>
  </w:sdt>
  <w:p w14:paraId="0BBD5E46" w14:textId="77777777" w:rsidR="00E10932" w:rsidRDefault="00E1093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8E673C"/>
    <w:multiLevelType w:val="hybridMultilevel"/>
    <w:tmpl w:val="534CDBC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8552F03"/>
    <w:multiLevelType w:val="hybridMultilevel"/>
    <w:tmpl w:val="D9CE5870"/>
    <w:lvl w:ilvl="0" w:tplc="336892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00550B10-6914-4262-8F03-FC3E61E0CA16}" w:val=" ADDIN NE.Ref.{00550B10-6914-4262-8F03-FC3E61E0CA16}&lt;Citation&gt;&lt;Group&gt;&lt;References&gt;&lt;Item&gt;&lt;ID&gt;3073&lt;/ID&gt;&lt;UID&gt;{758F06D2-99D2-4E75-8CBA-0AA1101F5466}&lt;/UID&gt;&lt;Title&gt;Proton pump inhibitors as a risk factor for hepatic encephalopathy and spontaneous bacterial peritonitis in patients with cirrhosis with ascites&lt;/Title&gt;&lt;Template&gt;Generic&lt;/Template&gt;&lt;Star&gt;1&lt;/Star&gt;&lt;Tag&gt;0&lt;/Tag&gt;&lt;Author&gt;Dam, G; Vilstrup, H; Watson, H; Jepsen, P&lt;/Author&gt;&lt;Year&gt;2016&lt;/Year&gt;&lt;Details&gt;&lt;_accession_num&gt;27474889&lt;/_accession_num&gt;&lt;_author_adr&gt;Department of Hepatology and Gastroenterology, Aarhus University Hospital, Aarhus, Denmark. gitdam@rm.dk.; Department of Hepatology and Gastroenterology, Aarhus University Hospital, Aarhus, Denmark.; Sanofi Aventis R&amp;amp;D, Paris, France.; Department of Hepatology and Gastroenterology, Aarhus University Hospital, Aarhus, Denmark.; Department of Clinical Epidemiology, Aarhus University Hospital, Aarhus, Denmark.&lt;/_author_adr&gt;&lt;_collection_scope&gt;SCI;SCIE;&lt;/_collection_scope&gt;&lt;_created&gt;62599138&lt;/_created&gt;&lt;_date&gt;2016-10-01&lt;/_date&gt;&lt;_date_display&gt;2016 Oct&lt;/_date_display&gt;&lt;_doi&gt;10.1002/hep.28737&lt;/_doi&gt;&lt;_impact_factor&gt;  14.079&lt;/_impact_factor&gt;&lt;_isbn&gt;1527-3350 (Electronic); 0270-9139 (Linking)&lt;/_isbn&gt;&lt;_issue&gt;4&lt;/_issue&gt;&lt;_journal&gt;Hepatology&lt;/_journal&gt;&lt;_keywords&gt;Aged; Ascites/complications/drug therapy; Bacterial Infections/*chemically induced; Female; Hepatic Encephalopathy/*chemically induced; Humans; Liver Cirrhosis/complications; Male; Middle Aged; Peritonitis/*chemically induced/*microbiology; Proton Pump Inhibitors/*adverse effects/therapeutic use; Risk Factors&lt;/_keywords&gt;&lt;_language&gt;eng&lt;/_language&gt;&lt;_modified&gt;62599424&lt;/_modified&gt;&lt;_ori_publication&gt;(c) 2016 by the American Association for the Study of Liver Diseases.&lt;/_ori_publication&gt;&lt;_pages&gt;1265-72&lt;/_pages&gt;&lt;_tertiary_title&gt;Hepatology (Baltimore, Md.)&lt;/_tertiary_title&gt;&lt;_type_work&gt;Comparative Study; Journal Article; Research Support, Non-U.S. Gov&amp;apos;t&lt;/_type_work&gt;&lt;_url&gt;http://www.ncbi.nlm.nih.gov/entrez/query.fcgi?cmd=Retrieve&amp;amp;db=pubmed&amp;amp;dopt=Abstract&amp;amp;list_uids=27474889&amp;amp;query_hl=1&lt;/_url&gt;&lt;_volume&gt;64&lt;/_volume&gt;&lt;/Details&gt;&lt;Extra&gt;&lt;DBUID&gt;{9A7C78BD-F289-43CD-8CC7-97501B76739F}&lt;/DBUID&gt;&lt;/Extra&gt;&lt;/Item&gt;&lt;/References&gt;&lt;/Group&gt;&lt;Group&gt;&lt;References&gt;&lt;Item&gt;&lt;ID&gt;3308&lt;/ID&gt;&lt;UID&gt;{20083204-43D3-4B06-B3A0-B21A08776F92}&lt;/UID&gt;&lt;Title&gt;Proton pump inhibitors-a risk factor for hepatic encephalopathy in patients listed for liver transplantation?&lt;/Title&gt;&lt;Template&gt;Journal Article&lt;/Template&gt;&lt;Star&gt;1&lt;/Star&gt;&lt;Tag&gt;0&lt;/Tag&gt;&lt;Author&gt;Shanab, A A; Smith, A; Abbas, M; Iriarte, R; Nightingale, P; Gunson, B; Holt, A P; Rajoriya, N&lt;/Author&gt;&lt;Year&gt;2018&lt;/Year&gt;&lt;Details&gt;&lt;_accessed&gt;62603911&lt;/_accessed&gt;&lt;_alternate_title&gt;Hepatology&lt;/_alternate_title&gt;&lt;_author_adr&gt;A.A. Shanab, Internal Medicine, Menofiya University, Birmingham&lt;/_author_adr&gt;&lt;_collection_scope&gt;SCI;SCIE;&lt;/_collection_scope&gt;&lt;_created&gt;62599139&lt;/_created&gt;&lt;_date&gt;2018-01-01&lt;/_date&gt;&lt;_date_display&gt;2018&lt;/_date_display&gt;&lt;_doi&gt;10.1002/hep.30257&lt;/_doi&gt;&lt;_impact_factor&gt;  14.079&lt;/_impact_factor&gt;&lt;_isbn&gt;1527-3350&lt;/_isbn&gt;&lt;_journal&gt;Hepatology&lt;/_journal&gt;&lt;_keywords&gt;proton pump inhibitor; acute liver failure; adult; adverse drug reaction; cancer growth; cancer patient; conference abstract; controlled study; death; deterioration; diagnosis; hepatic encephalopathy; hospital admission; human; liver cirrhosis; liver transplantation; major clinical study; male; middle aged; Model For End Stage Liver Disease Score; morbidity; mortality risk; receiver operating characteristic; retrospective study; risk assessment; risk factor; side effect&lt;/_keywords&gt;&lt;_modified&gt;62609713&lt;/_modified&gt;&lt;_pages&gt;1176A&lt;/_pages&gt;&lt;_url&gt;http://www.embase.com/search/results?subaction=viewrecord&amp;amp;from=export&amp;amp;id=L624566044_x000d__x000a_http://dx.doi.org/10.1002/hep.30257&lt;/_url&gt;&lt;_volume&gt;68&lt;/_volume&gt;&lt;/Details&gt;&lt;Extra&gt;&lt;DBUID&gt;{9A7C78BD-F289-43CD-8CC7-97501B76739F}&lt;/DBUID&gt;&lt;/Extra&gt;&lt;/Item&gt;&lt;/References&gt;&lt;/Group&gt;&lt;/Citation&gt;_x000a_"/>
    <w:docVar w:name="NE.Ref{01B36A13-540C-4A90-9267-2F5A441B0A56}" w:val=" ADDIN NE.Ref.{01B36A13-540C-4A90-9267-2F5A441B0A56}&lt;Citation&gt;&lt;Group&gt;&lt;References&gt;&lt;Item&gt;&lt;ID&gt;3637&lt;/ID&gt;&lt;UID&gt;{22FBC8FE-3653-4635-BF3B-58938ED523E1}&lt;/UID&gt;&lt;Title&gt;Meta-analysis of observational studies in epidemiology: a proposal for reporting. Meta-analysis Of Observational Studies in Epidemiology (MOOSE) group&lt;/Title&gt;&lt;Template&gt;Journal Article&lt;/Template&gt;&lt;Star&gt;0&lt;/Star&gt;&lt;Tag&gt;0&lt;/Tag&gt;&lt;Author&gt;Stroup, D F; Berlin, J A; Morton, S C; Olkin, I; Williamson, G D; Rennie, D; Moher, D; Becker, B J; Sipe, T A; Thacker, S B&lt;/Author&gt;&lt;Year&gt;2000&lt;/Year&gt;&lt;Details&gt;&lt;_accession_num&gt;10789670&lt;/_accession_num&gt;&lt;_author_adr&gt;Centers for Disease Control and Prevention, Atlanta, GA 30333, USA. dfs2@cdc.gov&lt;/_author_adr&gt;&lt;_created&gt;61995521&lt;/_created&gt;&lt;_date&gt;2000-04-19&lt;/_date&gt;&lt;_date_display&gt;2000 Apr 19&lt;/_date_display&gt;&lt;_impact_factor&gt;  47.661&lt;/_impact_factor&gt;&lt;_isbn&gt;0098-7484 (Print); 0098-7484 (Linking)&lt;/_isbn&gt;&lt;_issue&gt;15&lt;/_issue&gt;&lt;_journal&gt;JAMA&lt;/_journal&gt;&lt;_keywords&gt;Epidemiology; *Meta-Analysis as Topic; Observation&lt;/_keywords&gt;&lt;_language&gt;eng&lt;/_language&gt;&lt;_modified&gt;62606397&lt;/_modified&gt;&lt;_pages&gt;2008-12&lt;/_pages&gt;&lt;_tertiary_title&gt;JAMA&lt;/_tertiary_title&gt;&lt;_type_work&gt;Consensus Development Conference; Journal Article; Research Support, U.S. Gov&amp;apos;t, P.H.S.; Review&lt;/_type_work&gt;&lt;_url&gt;http://www.ncbi.nlm.nih.gov/entrez/query.fcgi?cmd=Retrieve&amp;amp;db=pubmed&amp;amp;dopt=Abstract&amp;amp;list_uids=10789670&amp;amp;query_hl=1&lt;/_url&gt;&lt;_volume&gt;283&lt;/_volume&gt;&lt;/Details&gt;&lt;Extra&gt;&lt;DBUID&gt;{9A7C78BD-F289-43CD-8CC7-97501B76739F}&lt;/DBUID&gt;&lt;/Extra&gt;&lt;/Item&gt;&lt;/References&gt;&lt;/Group&gt;&lt;/Citation&gt;_x000a_"/>
    <w:docVar w:name="NE.Ref{0AC8D561-E259-4BEE-B47A-9AB5C130366A}" w:val=" ADDIN NE.Ref.{0AC8D561-E259-4BEE-B47A-9AB5C130366A}&lt;Citation&gt;&lt;Group&gt;&lt;References&gt;&lt;Item&gt;&lt;ID&gt;3013&lt;/ID&gt;&lt;UID&gt;{CF0C3E81-9E4E-493F-B810-3418E98FC16A}&lt;/UID&gt;&lt;Title&gt;Association of proton pump inhibitors with the risk of hepatic encephalopathy during hospitalization for liver cirrhosis&lt;/Title&gt;&lt;Template&gt;Journal Article&lt;/Template&gt;&lt;Star&gt;1&lt;/Star&gt;&lt;Tag&gt;0&lt;/Tag&gt;&lt;Author&gt;Zhu, J; Qi, X; Yu, H; Yoshida, E M; Mendez-Sanchez, N; Zhang, X; Wang, R; Deng, H; Li, J; Han, D; Guo, X&lt;/Author&gt;&lt;Year&gt;2018&lt;/Year&gt;&lt;Details&gt;&lt;_accession_num&gt;30288280&lt;/_accession_num&gt;&lt;_author_adr&gt;Liver Cirrhosis Study Group, Department of Gastroenterology, General Hospital of  Shenyang Military Area, Shenyang, China.; Postgraduate College, Shenyang Pharmaceutical University, Shenyang, China.; Liver Cirrhosis Study Group, Department of Gastroenterology, General Hospital of  Shenyang Military Area, Shenyang, China.; Postgraduate College, Shenyang Pharmaceutical University, Shenyang, China.; Division of Gastroenterology, Vancouver General Hospital, Vancouver, Canada.; Liver Research Unit, Medica Sur Clinic &amp;amp; Foundation, Mexico City, Mexico.;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lt;/_author_adr&gt;&lt;_created&gt;62599138&lt;/_created&gt;&lt;_date&gt;2018-10-01&lt;/_date&gt;&lt;_date_display&gt;2018 Oct&lt;/_date_display&gt;&lt;_doi&gt;10.1177/2050640618773564&lt;/_doi&gt;&lt;_impact_factor&gt;   3.477&lt;/_impact_factor&gt;&lt;_isbn&gt;2050-6406 (Print); 2050-6406 (Linking)&lt;/_isbn&gt;&lt;_issue&gt;8&lt;/_issue&gt;&lt;_journal&gt;United European Gastroenterol J&lt;/_journal&gt;&lt;_keywords&gt;Proton pump inhibitors; gut microbiota; hepatic encephalopathy; liver cirrhosis; risk&lt;/_keywords&gt;&lt;_language&gt;eng&lt;/_language&gt;&lt;_modified&gt;62599424&lt;/_modified&gt;&lt;_pages&gt;1179-1187&lt;/_pages&gt;&lt;_tertiary_title&gt;United European gastroenterology journal&lt;/_tertiary_title&gt;&lt;_type_work&gt;Journal Article&lt;/_type_work&gt;&lt;_url&gt;http://www.ncbi.nlm.nih.gov/entrez/query.fcgi?cmd=Retrieve&amp;amp;db=pubmed&amp;amp;dopt=Abstract&amp;amp;list_uids=30288280&amp;amp;query_hl=1&lt;/_url&gt;&lt;_volume&gt;6&lt;/_volume&gt;&lt;/Details&gt;&lt;Extra&gt;&lt;DBUID&gt;{9A7C78BD-F289-43CD-8CC7-97501B76739F}&lt;/DBUID&gt;&lt;/Extra&gt;&lt;/Item&gt;&lt;/References&gt;&lt;/Group&gt;&lt;Group&gt;&lt;References&gt;&lt;Item&gt;&lt;ID&gt;3127&lt;/ID&gt;&lt;UID&gt;{1D330603-B6F6-4B2A-9AB2-419A36FA7117}&lt;/UID&gt;&lt;Title&gt;Association of Proton Pump Inhibitor Therapy with Hepatic Encephalopathy in Hepatitis B Virus-related Acute-on-Chronic Liver Failure&lt;/Title&gt;&lt;Template&gt;Journal Article&lt;/Template&gt;&lt;Star&gt;1&lt;/Star&gt;&lt;Tag&gt;0&lt;/Tag&gt;&lt;Author&gt;Lin, Z N; Zuo, Y Q; Hu, P&lt;/Author&gt;&lt;Year&gt;2014&lt;/Year&gt;&lt;Details&gt;&lt;_accession_num&gt;24748895&lt;/_accession_num&gt;&lt;_author_adr&gt;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lt;/_author_adr&gt;&lt;_collection_scope&gt;SCIE;&lt;/_collection_scope&gt;&lt;_created&gt;62599138&lt;/_created&gt;&lt;_date&gt;2014-04-01&lt;/_date&gt;&lt;_date_display&gt;2014 Apr&lt;/_date_display&gt;&lt;_doi&gt;10.5812/hepatmon.16258&lt;/_doi&gt;&lt;_impact_factor&gt;   1.810&lt;/_impact_factor&gt;&lt;_isbn&gt;1735-143X (Print); 1735-143X (Linking)&lt;/_isbn&gt;&lt;_issue&gt;4&lt;/_issue&gt;&lt;_journal&gt;Hepat Mon&lt;/_journal&gt;&lt;_keywords&gt;Hepatic Encephalopathy; Hepatitis B Virus; Proton Pump Inhibitors&lt;/_keywords&gt;&lt;_language&gt;eng&lt;/_language&gt;&lt;_modified&gt;62599424&lt;/_modified&gt;&lt;_pages&gt;e16258&lt;/_pages&gt;&lt;_tertiary_title&gt;Hepatitis monthly&lt;/_tertiary_title&gt;&lt;_type_work&gt;Journal Article&lt;/_type_work&gt;&lt;_url&gt;http://www.ncbi.nlm.nih.gov/entrez/query.fcgi?cmd=Retrieve&amp;amp;db=pubmed&amp;amp;dopt=Abstract&amp;amp;list_uids=24748895&amp;amp;query_hl=1&lt;/_url&gt;&lt;_volume&gt;14&lt;/_volume&gt;&lt;/Details&gt;&lt;Extra&gt;&lt;DBUID&gt;{9A7C78BD-F289-43CD-8CC7-97501B76739F}&lt;/DBUID&gt;&lt;/Extra&gt;&lt;/Item&gt;&lt;/References&gt;&lt;/Group&gt;&lt;/Citation&gt;_x000a_"/>
    <w:docVar w:name="NE.Ref{18AC4422-15A8-4F6C-821E-7757B1F5357F}" w:val=" ADDIN NE.Ref.{18AC4422-15A8-4F6C-821E-7757B1F5357F}&lt;Citation&gt;&lt;Group&gt;&lt;References&gt;&lt;Item&gt;&lt;ID&gt;3639&lt;/ID&gt;&lt;UID&gt;{BB9DB4EF-E828-401F-943B-12CE1D39D772}&lt;/UID&gt;&lt;Title&gt; The Cochrane Handbook for Systematic Reviews of Interventions Version 5.1.0 [updated March 2011].&lt;/Title&gt;&lt;Template&gt;Journal Article&lt;/Template&gt;&lt;Star&gt;0&lt;/Star&gt;&lt;Tag&gt;0&lt;/Tag&gt;&lt;Author&gt;JPT, Higgins; S, Green&lt;/Author&gt;&lt;Year&gt;0&lt;/Year&gt;&lt;Details&gt;&lt;_accessed&gt;62606414&lt;/_accessed&gt;&lt;_created&gt;62606414&lt;/_created&gt;&lt;_modified&gt;62606414&lt;/_modified&gt;&lt;/Details&gt;&lt;Extra&gt;&lt;DBUID&gt;{9A7C78BD-F289-43CD-8CC7-97501B76739F}&lt;/DBUID&gt;&lt;/Extra&gt;&lt;/Item&gt;&lt;/References&gt;&lt;/Group&gt;&lt;/Citation&gt;_x000a_"/>
    <w:docVar w:name="NE.Ref{1989068B-DB1E-4CDC-953E-1984C6F83BD1}" w:val=" ADDIN NE.Ref.{1989068B-DB1E-4CDC-953E-1984C6F83BD1}&lt;Citation&gt;&lt;Group&gt;&lt;References&gt;&lt;Item&gt;&lt;ID&gt;3639&lt;/ID&gt;&lt;UID&gt;{BB9DB4EF-E828-401F-943B-12CE1D39D772}&lt;/UID&gt;&lt;Title&gt; The Cochrane Handbook for Systematic Reviews of Interventions Version 5.1.0 [updated March 2011].&lt;/Title&gt;&lt;Template&gt;Journal Article&lt;/Template&gt;&lt;Star&gt;0&lt;/Star&gt;&lt;Tag&gt;0&lt;/Tag&gt;&lt;Author&gt;JPT, Higgins; S, Green&lt;/Author&gt;&lt;Year&gt;0&lt;/Year&gt;&lt;Details&gt;&lt;_accessed&gt;62606414&lt;/_accessed&gt;&lt;_created&gt;62606414&lt;/_created&gt;&lt;_modified&gt;62606414&lt;/_modified&gt;&lt;/Details&gt;&lt;Extra&gt;&lt;DBUID&gt;{9A7C78BD-F289-43CD-8CC7-97501B76739F}&lt;/DBUID&gt;&lt;/Extra&gt;&lt;/Item&gt;&lt;/References&gt;&lt;/Group&gt;&lt;/Citation&gt;_x000a_"/>
    <w:docVar w:name="NE.Ref{216253B3-EE82-42EB-91BB-68726B6DAD75}" w:val=" ADDIN NE.Ref.{216253B3-EE82-42EB-91BB-68726B6DAD75}&lt;Citation&gt;&lt;Group&gt;&lt;References&gt;&lt;Item&gt;&lt;ID&gt;3627&lt;/ID&gt;&lt;UID&gt;{0A9E3547-DA36-437A-99EE-8B331EF77913}&lt;/UID&gt;&lt;Title&gt;Hepatic encephalopathy in chronic liver disease: 2014 Practice Guideline by the American Association for the Study of Liver Diseases and the European Association for the Study of the Liver&lt;/Title&gt;&lt;Template&gt;Journal Article&lt;/Template&gt;&lt;Star&gt;0&lt;/Star&gt;&lt;Tag&gt;0&lt;/Tag&gt;&lt;Author&gt;Vilstrup, H; Amodio, P; Bajaj, J; Cordoba, J; Ferenci, P; Mullen, K D; Weissenborn, K; Wong, P&lt;/Author&gt;&lt;Year&gt;2014&lt;/Year&gt;&lt;Details&gt;&lt;_accession_num&gt;25042402&lt;/_accession_num&gt;&lt;_author_adr&gt;Department of Hepatology and Gastroenterology, Aarhus University Hospital, Aarhus, Denmark.&lt;/_author_adr&gt;&lt;_collection_scope&gt;SCI;SCIE;&lt;/_collection_scope&gt;&lt;_created&gt;62606095&lt;/_created&gt;&lt;_date&gt;2014-08-01&lt;/_date&gt;&lt;_date_display&gt;2014 Aug&lt;/_date_display&gt;&lt;_doi&gt;10.1002/hep.27210&lt;/_doi&gt;&lt;_impact_factor&gt;  14.079&lt;/_impact_factor&gt;&lt;_isbn&gt;1527-3350 (Electronic); 0270-9139 (Linking)&lt;/_isbn&gt;&lt;_issue&gt;2&lt;/_issue&gt;&lt;_journal&gt;Hepatology&lt;/_journal&gt;&lt;_keywords&gt;Chronic Disease; Europe; Hepatic Encephalopathy/*diagnosis/epidemiology/*therapy; Humans; Liver Diseases/*diagnosis/epidemiology/*therapy; United States&lt;/_keywords&gt;&lt;_language&gt;eng&lt;/_language&gt;&lt;_modified&gt;62606102&lt;/_modified&gt;&lt;_pages&gt;715-35&lt;/_pages&gt;&lt;_tertiary_title&gt;Hepatology (Baltimore, Md.)&lt;/_tertiary_title&gt;&lt;_type_work&gt;Journal Article; Practice Guideline&lt;/_type_work&gt;&lt;_url&gt;http://www.ncbi.nlm.nih.gov/entrez/query.fcgi?cmd=Retrieve&amp;amp;db=pubmed&amp;amp;dopt=Abstract&amp;amp;list_uids=25042402&amp;amp;query_hl=1&lt;/_url&gt;&lt;_volume&gt;60&lt;/_volume&gt;&lt;/Details&gt;&lt;Extra&gt;&lt;DBUID&gt;{9A7C78BD-F289-43CD-8CC7-97501B76739F}&lt;/DBUID&gt;&lt;/Extra&gt;&lt;/Item&gt;&lt;/References&gt;&lt;/Group&gt;&lt;/Citation&gt;_x000a_"/>
    <w:docVar w:name="NE.Ref{21B75692-AC29-4BEF-B0B1-DEF1D9D4BBFC}" w:val=" ADDIN NE.Ref.{21B75692-AC29-4BEF-B0B1-DEF1D9D4BBFC}&lt;Citation&gt;&lt;Group&gt;&lt;References&gt;&lt;Item&gt;&lt;ID&gt;5&lt;/ID&gt;&lt;UID&gt;{8521C4C9-780F-4215-BF84-BB69E3B978E4}&lt;/UID&gt;&lt;Title&gt;Treatment with proton pump inhibitors increases the risk for development of hepatic encephalopathy after implantation of transjugular intrahepatic portosystemic shunt (TIPS)&lt;/Title&gt;&lt;Template&gt;Book&lt;/Template&gt;&lt;Star&gt;1&lt;/Star&gt;&lt;Tag&gt;0&lt;/Tag&gt;&lt;Author&gt;Sturm, L; Bettinger, D; Giesler, M; Boettler, T; Schmidt, A; Buettner, N; Thimme, R; Schultheiss, M&lt;/Author&gt;&lt;Year&gt;2018&lt;/Year&gt;&lt;Details&gt;&lt;_accession_num&gt;30386611&lt;/_accession_num&gt;&lt;_author_adr&gt;Department of Medicine II, Medical Center University of Freiburg, Faculty of Medicine, University of Freiburg, Freiburg, Germany.; Department of Medicine II, Medical Center University of Freiburg, Faculty of Medicine, University of Freiburg, Freiburg, Germany.; Berta-Ottenstein-Programme,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lt;/_author_adr&gt;&lt;_created&gt;62599059&lt;/_created&gt;&lt;_date&gt;2018-11-01&lt;/_date&gt;&lt;_date_display&gt;2018 Nov&lt;/_date_display&gt;&lt;_doi&gt;10.1177/2050640618795928&lt;/_doi&gt;&lt;_impact_factor&gt;   3.477&lt;/_impact_factor&gt;&lt;_isbn&gt;2050-6406 (Print); 2050-6406 (Linking)&lt;/_isbn&gt;&lt;_issue&gt;9&lt;/_issue&gt;&lt;_journal&gt;United European Gastroenterol J&lt;/_journal&gt;&lt;_keywords&gt;Hepatic encephalopathy; PPI; TIPS; proton pump inhibitors; transjugular intrahepatic portosystemic shunt&lt;/_keywords&gt;&lt;_language&gt;eng&lt;/_language&gt;&lt;_modified&gt;62599424&lt;/_modified&gt;&lt;_pages&gt;1380-1390&lt;/_pages&gt;&lt;_tertiary_title&gt;United European gastroenterology journal&lt;/_tertiary_title&gt;&lt;_type_work&gt;Journal Article&lt;/_type_work&gt;&lt;_url&gt;http://www.ncbi.nlm.nih.gov/entrez/query.fcgi?cmd=Retrieve&amp;amp;db=pubmed&amp;amp;dopt=Abstract&amp;amp;list_uids=30386611&amp;amp;query_hl=1&lt;/_url&gt;&lt;_volume&gt;6&lt;/_volume&gt;&lt;/Details&gt;&lt;Extra&gt;&lt;DBUID&gt;{9A7C78BD-F289-43CD-8CC7-97501B76739F}&lt;/DBUID&gt;&lt;/Extra&gt;&lt;/Item&gt;&lt;/References&gt;&lt;/Group&gt;&lt;Group&gt;&lt;References&gt;&lt;Item&gt;&lt;ID&gt;3013&lt;/ID&gt;&lt;UID&gt;{CF0C3E81-9E4E-493F-B810-3418E98FC16A}&lt;/UID&gt;&lt;Title&gt;Association of proton pump inhibitors with the risk of hepatic encephalopathy during hospitalization for liver cirrhosis&lt;/Title&gt;&lt;Template&gt;Journal Article&lt;/Template&gt;&lt;Star&gt;1&lt;/Star&gt;&lt;Tag&gt;0&lt;/Tag&gt;&lt;Author&gt;Zhu, J; Qi, X; Yu, H; Yoshida, E M; Mendez-Sanchez, N; Zhang, X; Wang, R; Deng, H; Li, J; Han, D; Guo, X&lt;/Author&gt;&lt;Year&gt;2018&lt;/Year&gt;&lt;Details&gt;&lt;_accession_num&gt;30288280&lt;/_accession_num&gt;&lt;_author_adr&gt;Liver Cirrhosis Study Group, Department of Gastroenterology, General Hospital of  Shenyang Military Area, Shenyang, China.; Postgraduate College, Shenyang Pharmaceutical University, Shenyang, China.; Liver Cirrhosis Study Group, Department of Gastroenterology, General Hospital of  Shenyang Military Area, Shenyang, China.; Postgraduate College, Shenyang Pharmaceutical University, Shenyang, China.; Division of Gastroenterology, Vancouver General Hospital, Vancouver, Canada.; Liver Research Unit, Medica Sur Clinic &amp;amp; Foundation, Mexico City, Mexico.;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lt;/_author_adr&gt;&lt;_created&gt;62599138&lt;/_created&gt;&lt;_date&gt;2018-10-01&lt;/_date&gt;&lt;_date_display&gt;2018 Oct&lt;/_date_display&gt;&lt;_doi&gt;10.1177/2050640618773564&lt;/_doi&gt;&lt;_impact_factor&gt;   3.477&lt;/_impact_factor&gt;&lt;_isbn&gt;2050-6406 (Print); 2050-6406 (Linking)&lt;/_isbn&gt;&lt;_issue&gt;8&lt;/_issue&gt;&lt;_journal&gt;United European Gastroenterol J&lt;/_journal&gt;&lt;_keywords&gt;Proton pump inhibitors; gut microbiota; hepatic encephalopathy; liver cirrhosis; risk&lt;/_keywords&gt;&lt;_language&gt;eng&lt;/_language&gt;&lt;_modified&gt;62599424&lt;/_modified&gt;&lt;_pages&gt;1179-1187&lt;/_pages&gt;&lt;_tertiary_title&gt;United European gastroenterology journal&lt;/_tertiary_title&gt;&lt;_type_work&gt;Journal Article&lt;/_type_work&gt;&lt;_url&gt;http://www.ncbi.nlm.nih.gov/entrez/query.fcgi?cmd=Retrieve&amp;amp;db=pubmed&amp;amp;dopt=Abstract&amp;amp;list_uids=30288280&amp;amp;query_hl=1&lt;/_url&gt;&lt;_volume&gt;6&lt;/_volume&gt;&lt;/Details&gt;&lt;Extra&gt;&lt;DBUID&gt;{9A7C78BD-F289-43CD-8CC7-97501B76739F}&lt;/DBUID&gt;&lt;/Extra&gt;&lt;/Item&gt;&lt;/References&gt;&lt;/Group&gt;&lt;Group&gt;&lt;References&gt;&lt;Item&gt;&lt;ID&gt;3127&lt;/ID&gt;&lt;UID&gt;{1D330603-B6F6-4B2A-9AB2-419A36FA7117}&lt;/UID&gt;&lt;Title&gt;Association of Proton Pump Inhibitor Therapy with Hepatic Encephalopathy in Hepatitis B Virus-related Acute-on-Chronic Liver Failure&lt;/Title&gt;&lt;Template&gt;Journal Article&lt;/Template&gt;&lt;Star&gt;1&lt;/Star&gt;&lt;Tag&gt;0&lt;/Tag&gt;&lt;Author&gt;Lin, Z N; Zuo, Y Q; Hu, P&lt;/Author&gt;&lt;Year&gt;2014&lt;/Year&gt;&lt;Details&gt;&lt;_accession_num&gt;24748895&lt;/_accession_num&gt;&lt;_author_adr&gt;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lt;/_author_adr&gt;&lt;_collection_scope&gt;SCIE;&lt;/_collection_scope&gt;&lt;_created&gt;62599138&lt;/_created&gt;&lt;_date&gt;2014-04-01&lt;/_date&gt;&lt;_date_display&gt;2014 Apr&lt;/_date_display&gt;&lt;_doi&gt;10.5812/hepatmon.16258&lt;/_doi&gt;&lt;_impact_factor&gt;   1.810&lt;/_impact_factor&gt;&lt;_isbn&gt;1735-143X (Print); 1735-143X (Linking)&lt;/_isbn&gt;&lt;_issue&gt;4&lt;/_issue&gt;&lt;_journal&gt;Hepat Mon&lt;/_journal&gt;&lt;_keywords&gt;Hepatic Encephalopathy; Hepatitis B Virus; Proton Pump Inhibitors&lt;/_keywords&gt;&lt;_language&gt;eng&lt;/_language&gt;&lt;_modified&gt;62599424&lt;/_modified&gt;&lt;_pages&gt;e16258&lt;/_pages&gt;&lt;_tertiary_title&gt;Hepatitis monthly&lt;/_tertiary_title&gt;&lt;_type_work&gt;Journal Article&lt;/_type_work&gt;&lt;_url&gt;http://www.ncbi.nlm.nih.gov/entrez/query.fcgi?cmd=Retrieve&amp;amp;db=pubmed&amp;amp;dopt=Abstract&amp;amp;list_uids=24748895&amp;amp;query_hl=1&lt;/_url&gt;&lt;_volume&gt;14&lt;/_volume&gt;&lt;/Details&gt;&lt;Extra&gt;&lt;DBUID&gt;{9A7C78BD-F289-43CD-8CC7-97501B76739F}&lt;/DBUID&gt;&lt;/Extra&gt;&lt;/Item&gt;&lt;/References&gt;&lt;/Group&gt;&lt;/Citation&gt;_x000a_"/>
    <w:docVar w:name="NE.Ref{26A3263A-FC22-4086-89D7-C110F8977CEE}" w:val=" ADDIN NE.Ref.{26A3263A-FC22-4086-89D7-C110F8977CEE}&lt;Citation&gt;&lt;Group&gt;&lt;References&gt;&lt;Item&gt;&lt;ID&gt;3627&lt;/ID&gt;&lt;UID&gt;{0A9E3547-DA36-437A-99EE-8B331EF77913}&lt;/UID&gt;&lt;Title&gt;Hepatic encephalopathy in chronic liver disease: 2014 Practice Guideline by the American Association for the Study of Liver Diseases and the European Association for the Study of the Liver&lt;/Title&gt;&lt;Template&gt;Journal Article&lt;/Template&gt;&lt;Star&gt;0&lt;/Star&gt;&lt;Tag&gt;0&lt;/Tag&gt;&lt;Author&gt;Vilstrup, H; Amodio, P; Bajaj, J; Cordoba, J; Ferenci, P; Mullen, K D; Weissenborn, K; Wong, P&lt;/Author&gt;&lt;Year&gt;2014&lt;/Year&gt;&lt;Details&gt;&lt;_accession_num&gt;25042402&lt;/_accession_num&gt;&lt;_author_adr&gt;Department of Hepatology and Gastroenterology, Aarhus University Hospital, Aarhus, Denmark.&lt;/_author_adr&gt;&lt;_collection_scope&gt;SCI;SCIE;&lt;/_collection_scope&gt;&lt;_created&gt;62606095&lt;/_created&gt;&lt;_date&gt;2014-08-01&lt;/_date&gt;&lt;_date_display&gt;2014 Aug&lt;/_date_display&gt;&lt;_doi&gt;10.1002/hep.27210&lt;/_doi&gt;&lt;_impact_factor&gt;  14.079&lt;/_impact_factor&gt;&lt;_isbn&gt;1527-3350 (Electronic); 0270-9139 (Linking)&lt;/_isbn&gt;&lt;_issue&gt;2&lt;/_issue&gt;&lt;_journal&gt;Hepatology&lt;/_journal&gt;&lt;_keywords&gt;Chronic Disease; Europe; Hepatic Encephalopathy/*diagnosis/epidemiology/*therapy; Humans; Liver Diseases/*diagnosis/epidemiology/*therapy; United States&lt;/_keywords&gt;&lt;_language&gt;eng&lt;/_language&gt;&lt;_modified&gt;62606102&lt;/_modified&gt;&lt;_pages&gt;715-35&lt;/_pages&gt;&lt;_tertiary_title&gt;Hepatology (Baltimore, Md.)&lt;/_tertiary_title&gt;&lt;_type_work&gt;Journal Article; Practice Guideline&lt;/_type_work&gt;&lt;_url&gt;http://www.ncbi.nlm.nih.gov/entrez/query.fcgi?cmd=Retrieve&amp;amp;db=pubmed&amp;amp;dopt=Abstract&amp;amp;list_uids=25042402&amp;amp;query_hl=1&lt;/_url&gt;&lt;_volume&gt;60&lt;/_volume&gt;&lt;/Details&gt;&lt;Extra&gt;&lt;DBUID&gt;{9A7C78BD-F289-43CD-8CC7-97501B76739F}&lt;/DBUID&gt;&lt;/Extra&gt;&lt;/Item&gt;&lt;/References&gt;&lt;/Group&gt;&lt;/Citation&gt;_x000a_"/>
    <w:docVar w:name="NE.Ref{2AF13613-2DE5-481C-8796-BA35C1AD1852}" w:val=" ADDIN NE.Ref.{2AF13613-2DE5-481C-8796-BA35C1AD1852}&lt;Citation&gt;&lt;Group&gt;&lt;References&gt;&lt;Item&gt;&lt;ID&gt;3646&lt;/ID&gt;&lt;UID&gt;{ACFB22A1-AB20-4871-8A19-B8831CAAE742}&lt;/UID&gt;&lt;Title&gt;The role of microbiota in hepatic encephalopathy&lt;/Title&gt;&lt;Template&gt;Journal Article&lt;/Template&gt;&lt;Star&gt;0&lt;/Star&gt;&lt;Tag&gt;0&lt;/Tag&gt;&lt;Author&gt;Bajaj, J S&lt;/Author&gt;&lt;Year&gt;2014&lt;/Year&gt;&lt;Details&gt;&lt;_accession_num&gt;24690956&lt;/_accession_num&gt;&lt;_author_adr&gt;Division of Gastroenterology, Hepatology, and Nutrition; Virginia Commonwealth University and McGuire VA Medical Center; Richmond, VA USA.&lt;/_author_adr&gt;&lt;_date_display&gt;2014 May-Jun&lt;/_date_display&gt;&lt;_date&gt;2014-05-01&lt;/_date&gt;&lt;_doi&gt;10.4161/gmic.28684&lt;/_doi&gt;&lt;_isbn&gt;1949-0984 (Electronic); 1949-0976 (Linking)&lt;/_isbn&gt;&lt;_issue&gt;3&lt;/_issue&gt;&lt;_journal&gt;Gut Microbes&lt;/_journal&gt;&lt;_keywords&gt;*Dysbiosis; Gastrointestinal Tract/*microbiology; Hepatic Encephalopathy/*etiology/*physiopathology; Humans; Liver Cirrhosis/*complicationscirrhosis; correlation network; covert hepatic encephalopathy; dysbiosis; endotoxin; lactulose; minimal hepatic encephalopathy; probiotic; rifaximin; systemic inflammation&lt;/_keywords&gt;&lt;_language&gt;eng&lt;/_language&gt;&lt;_pages&gt;397-403&lt;/_pages&gt;&lt;_tertiary_title&gt;Gut microbes&lt;/_tertiary_title&gt;&lt;_type_work&gt;Journal Article; Research Support, N.I.H., Extramural; Review&lt;/_type_work&gt;&lt;_url&gt;http://www.ncbi.nlm.nih.gov/entrez/query.fcgi?cmd=Retrieve&amp;amp;db=pubmed&amp;amp;dopt=Abstract&amp;amp;list_uids=24690956&amp;amp;query_hl=1&lt;/_url&gt;&lt;_volume&gt;5&lt;/_volume&gt;&lt;_created&gt;62609259&lt;/_created&gt;&lt;_modified&gt;62609260&lt;/_modified&gt;&lt;_db_updated&gt;PubMed&lt;/_db_updated&gt;&lt;/Details&gt;&lt;Extra&gt;&lt;DBUID&gt;{9A7C78BD-F289-43CD-8CC7-97501B76739F}&lt;/DBUID&gt;&lt;/Extra&gt;&lt;/Item&gt;&lt;/References&gt;&lt;/Group&gt;&lt;Group&gt;&lt;References&gt;&lt;Item&gt;&lt;ID&gt;3647&lt;/ID&gt;&lt;UID&gt;{6E6C1DAB-A0B1-4171-A3F8-0044F8BA7C04}&lt;/UID&gt;&lt;Title&gt;Role of small intestinal bacterial overgrowth and delayed gastrointestinal transit time in cirrhotic patients with minimal hepatic encephalopathy&lt;/Title&gt;&lt;Template&gt;Journal Article&lt;/Template&gt;&lt;Star&gt;0&lt;/Star&gt;&lt;Tag&gt;0&lt;/Tag&gt;&lt;Author&gt;Gupta, A; Dhiman, R K; Kumari, S; Rana, S; Agarwal, R; Duseja, A; Chawla, Y&lt;/Author&gt;&lt;Year&gt;2010&lt;/Year&gt;&lt;Details&gt;&lt;_accession_num&gt;20675008&lt;/_accession_num&gt;&lt;_author_adr&gt;Department of Internal Medicine, Postgraduate Institute of Medical Education &amp;amp;amp; Research, Chandigarh 160012, India.&lt;/_author_adr&gt;&lt;_date_display&gt;2010 Nov&lt;/_date_display&gt;&lt;_date&gt;2010-11-01&lt;/_date&gt;&lt;_doi&gt;10.1016/j.jhep.2010.05.017&lt;/_doi&gt;&lt;_isbn&gt;1600-0641 (Electronic); 0168-8278 (Linking)&lt;/_isbn&gt;&lt;_issue&gt;5&lt;/_issue&gt;&lt;_journal&gt;J Hepatol&lt;/_journal&gt;&lt;_keywords&gt;Adolescent; Adult; Aged; Aged, 80 and over; Bacteria/*growth &amp;amp;amp; development; Cross-Sectional Studies; Female; *Gastrointestinal Transit; Hepatic Encephalopathy/drug therapy/epidemiology/*etiology; Humans; Intestine, Small/*microbiology; Liver Cirrhosis/*complications; Male; Middle Aged; Multivariate Analysis; Prevalence&lt;/_keywords&gt;&lt;_language&gt;eng&lt;/_language&gt;&lt;_ori_publication&gt;Copyright (c) 2010 European Association for the Study of the Liver. Published by _x000d__x000a_      Elsevier B.V. All rights reserved.&lt;/_ori_publication&gt;&lt;_pages&gt;849-55&lt;/_pages&gt;&lt;_tertiary_title&gt;Journal of hepatology&lt;/_tertiary_title&gt;&lt;_type_work&gt;Journal Article&lt;/_type_work&gt;&lt;_url&gt;http://www.ncbi.nlm.nih.gov/entrez/query.fcgi?cmd=Retrieve&amp;amp;db=pubmed&amp;amp;dopt=Abstract&amp;amp;list_uids=20675008&amp;amp;query_hl=1&lt;/_url&gt;&lt;_volume&gt;53&lt;/_volume&gt;&lt;_created&gt;62609260&lt;/_created&gt;&lt;_modified&gt;62609266&lt;/_modified&gt;&lt;_db_updated&gt;PubMed&lt;/_db_updated&gt;&lt;_impact_factor&gt;  14.911&lt;/_impact_factor&gt;&lt;_collection_scope&gt;SCI;SCIE;&lt;/_collection_scope&gt;&lt;/Details&gt;&lt;Extra&gt;&lt;DBUID&gt;{9A7C78BD-F289-43CD-8CC7-97501B76739F}&lt;/DBUID&gt;&lt;/Extra&gt;&lt;/Item&gt;&lt;/References&gt;&lt;/Group&gt;&lt;/Citation&gt;_x000a_"/>
    <w:docVar w:name="NE.Ref{371F69A5-8D50-4349-96B0-3FD364FA94CB}" w:val=" ADDIN NE.Ref.{371F69A5-8D50-4349-96B0-3FD364FA94CB}&lt;Citation&gt;&lt;Group&gt;&lt;References&gt;&lt;Item&gt;&lt;ID&gt;3626&lt;/ID&gt;&lt;UID&gt;{89AA9750-CEDE-450C-A869-DCB6E507BB2A}&lt;/UID&gt;&lt;Title&gt;Hepatic Encephalopathy&lt;/Title&gt;&lt;Template&gt;Journal Article&lt;/Template&gt;&lt;Star&gt;0&lt;/Star&gt;&lt;Tag&gt;0&lt;/Tag&gt;&lt;Author&gt;Wijdicks, E F&lt;/Author&gt;&lt;Year&gt;2016&lt;/Year&gt;&lt;Details&gt;&lt;_accession_num&gt;27783916&lt;/_accession_num&gt;&lt;_author_adr&gt;From the Division of Critical Care Neurology, Mayo Clinic, Rochester, MN.&lt;/_author_adr&gt;&lt;_date_display&gt;2016 Oct 27&lt;/_date_display&gt;&lt;_date&gt;2016-10-27&lt;/_date&gt;&lt;_doi&gt;10.1056/NEJMra1600561&lt;/_doi&gt;&lt;_isbn&gt;1533-4406 (Electronic); 0028-4793 (Linking)&lt;/_isbn&gt;&lt;_issue&gt;17&lt;/_issue&gt;&lt;_journal&gt;N Engl J Med&lt;/_journal&gt;&lt;_keywords&gt;Brain Edema/etiology/pathology; *Hepatic Encephalopathy/classification/complications/physiopathology/therapy; Humans; Hyperammonemia/drug therapy/etiology; Lactulose/therapeutic use&lt;/_keywords&gt;&lt;_language&gt;eng&lt;/_language&gt;&lt;_pages&gt;1660-1670&lt;/_pages&gt;&lt;_tertiary_title&gt;The New England journal of medicine&lt;/_tertiary_title&gt;&lt;_type_work&gt;Journal Article; Review&lt;/_type_work&gt;&lt;_url&gt;http://www.ncbi.nlm.nih.gov/entrez/query.fcgi?cmd=Retrieve&amp;amp;db=pubmed&amp;amp;dopt=Abstract&amp;amp;list_uids=27783916&amp;amp;query_hl=1&lt;/_url&gt;&lt;_volume&gt;375&lt;/_volume&gt;&lt;_created&gt;62606095&lt;/_created&gt;&lt;_modified&gt;62606100&lt;/_modified&gt;&lt;_impact_factor&gt;  79.258&lt;/_impact_factor&gt;&lt;/Details&gt;&lt;Extra&gt;&lt;DBUID&gt;{9A7C78BD-F289-43CD-8CC7-97501B76739F}&lt;/DBUID&gt;&lt;/Extra&gt;&lt;/Item&gt;&lt;/References&gt;&lt;/Group&gt;&lt;/Citation&gt;_x000a_"/>
    <w:docVar w:name="NE.Ref{3BB11B30-C192-4F96-99D7-75189EC09CB4}" w:val=" ADDIN NE.Ref.{3BB11B30-C192-4F96-99D7-75189EC09CB4}&lt;Citation&gt;&lt;Group&gt;&lt;References&gt;&lt;Item&gt;&lt;ID&gt;3626&lt;/ID&gt;&lt;UID&gt;{89AA9750-CEDE-450C-A869-DCB6E507BB2A}&lt;/UID&gt;&lt;Title&gt;Hepatic Encephalopathy&lt;/Title&gt;&lt;Template&gt;Journal Article&lt;/Template&gt;&lt;Star&gt;0&lt;/Star&gt;&lt;Tag&gt;0&lt;/Tag&gt;&lt;Author&gt;Wijdicks, E F&lt;/Author&gt;&lt;Year&gt;2016&lt;/Year&gt;&lt;Details&gt;&lt;_accession_num&gt;27783916&lt;/_accession_num&gt;&lt;_author_adr&gt;From the Division of Critical Care Neurology, Mayo Clinic, Rochester, MN.&lt;/_author_adr&gt;&lt;_created&gt;62606095&lt;/_created&gt;&lt;_date&gt;2016-10-27&lt;/_date&gt;&lt;_date_display&gt;2016 Oct 27&lt;/_date_display&gt;&lt;_doi&gt;10.1056/NEJMra1600561&lt;/_doi&gt;&lt;_impact_factor&gt;  79.258&lt;/_impact_factor&gt;&lt;_isbn&gt;1533-4406 (Electronic); 0028-4793 (Linking)&lt;/_isbn&gt;&lt;_issue&gt;17&lt;/_issue&gt;&lt;_journal&gt;N Engl J Med&lt;/_journal&gt;&lt;_keywords&gt;Brain Edema/etiology/pathology; *Hepatic Encephalopathy/classification/complications/physiopathology/therapy; Humans; Hyperammonemia/drug therapy/etiology; Lactulose/therapeutic use&lt;/_keywords&gt;&lt;_language&gt;eng&lt;/_language&gt;&lt;_modified&gt;62606100&lt;/_modified&gt;&lt;_pages&gt;1660-1670&lt;/_pages&gt;&lt;_tertiary_title&gt;The New England journal of medicine&lt;/_tertiary_title&gt;&lt;_type_work&gt;Journal Article; Review&lt;/_type_work&gt;&lt;_url&gt;http://www.ncbi.nlm.nih.gov/entrez/query.fcgi?cmd=Retrieve&amp;amp;db=pubmed&amp;amp;dopt=Abstract&amp;amp;list_uids=27783916&amp;amp;query_hl=1&lt;/_url&gt;&lt;_volume&gt;375&lt;/_volume&gt;&lt;/Details&gt;&lt;Extra&gt;&lt;DBUID&gt;{9A7C78BD-F289-43CD-8CC7-97501B76739F}&lt;/DBUID&gt;&lt;/Extra&gt;&lt;/Item&gt;&lt;/References&gt;&lt;/Group&gt;&lt;Group&gt;&lt;References&gt;&lt;Item&gt;&lt;ID&gt;3627&lt;/ID&gt;&lt;UID&gt;{0A9E3547-DA36-437A-99EE-8B331EF77913}&lt;/UID&gt;&lt;Title&gt;Hepatic encephalopathy in chronic liver disease: 2014 Practice Guideline by the American Association for the Study of Liver Diseases and the European Association for the Study of the Liver&lt;/Title&gt;&lt;Template&gt;Journal Article&lt;/Template&gt;&lt;Star&gt;0&lt;/Star&gt;&lt;Tag&gt;0&lt;/Tag&gt;&lt;Author&gt;Vilstrup, H; Amodio, P; Bajaj, J; Cordoba, J; Ferenci, P; Mullen, K D; Weissenborn, K; Wong, P&lt;/Author&gt;&lt;Year&gt;2014&lt;/Year&gt;&lt;Details&gt;&lt;_accession_num&gt;25042402&lt;/_accession_num&gt;&lt;_author_adr&gt;Department of Hepatology and Gastroenterology, Aarhus University Hospital, Aarhus, Denmark.&lt;/_author_adr&gt;&lt;_collection_scope&gt;SCI;SCIE;&lt;/_collection_scope&gt;&lt;_created&gt;62606095&lt;/_created&gt;&lt;_date&gt;2014-08-01&lt;/_date&gt;&lt;_date_display&gt;2014 Aug&lt;/_date_display&gt;&lt;_doi&gt;10.1002/hep.27210&lt;/_doi&gt;&lt;_impact_factor&gt;  14.079&lt;/_impact_factor&gt;&lt;_isbn&gt;1527-3350 (Electronic); 0270-9139 (Linking)&lt;/_isbn&gt;&lt;_issue&gt;2&lt;/_issue&gt;&lt;_journal&gt;Hepatology&lt;/_journal&gt;&lt;_keywords&gt;Chronic Disease; Europe; Hepatic Encephalopathy/*diagnosis/epidemiology/*therapy; Humans; Liver Diseases/*diagnosis/epidemiology/*therapy; United States&lt;/_keywords&gt;&lt;_language&gt;eng&lt;/_language&gt;&lt;_modified&gt;62606102&lt;/_modified&gt;&lt;_pages&gt;715-35&lt;/_pages&gt;&lt;_tertiary_title&gt;Hepatology (Baltimore, Md.)&lt;/_tertiary_title&gt;&lt;_type_work&gt;Journal Article; Practice Guideline&lt;/_type_work&gt;&lt;_url&gt;http://www.ncbi.nlm.nih.gov/entrez/query.fcgi?cmd=Retrieve&amp;amp;db=pubmed&amp;amp;dopt=Abstract&amp;amp;list_uids=25042402&amp;amp;query_hl=1&lt;/_url&gt;&lt;_volume&gt;60&lt;/_volume&gt;&lt;/Details&gt;&lt;Extra&gt;&lt;DBUID&gt;{9A7C78BD-F289-43CD-8CC7-97501B76739F}&lt;/DBUID&gt;&lt;/Extra&gt;&lt;/Item&gt;&lt;/References&gt;&lt;/Group&gt;&lt;/Citation&gt;_x000a_"/>
    <w:docVar w:name="NE.Ref{4016A7D0-64A7-4EF9-85C1-0C18831D07B8}" w:val=" ADDIN NE.Ref.{4016A7D0-64A7-4EF9-85C1-0C18831D07B8}&lt;Citation&gt;&lt;Group&gt;&lt;References&gt;&lt;Item&gt;&lt;ID&gt;5&lt;/ID&gt;&lt;UID&gt;{8521C4C9-780F-4215-BF84-BB69E3B978E4}&lt;/UID&gt;&lt;Title&gt;Treatment with proton pump inhibitors increases the risk for development of hepatic encephalopathy after implantation of transjugular intrahepatic portosystemic shunt (TIPS)&lt;/Title&gt;&lt;Template&gt;Book&lt;/Template&gt;&lt;Star&gt;1&lt;/Star&gt;&lt;Tag&gt;0&lt;/Tag&gt;&lt;Author&gt;Sturm, L; Bettinger, D; Giesler, M; Boettler, T; Schmidt, A; Buettner, N; Thimme, R; Schultheiss, M&lt;/Author&gt;&lt;Year&gt;2018&lt;/Year&gt;&lt;Details&gt;&lt;_accession_num&gt;30386611&lt;/_accession_num&gt;&lt;_author_adr&gt;Department of Medicine II, Medical Center University of Freiburg, Faculty of Medicine, University of Freiburg, Freiburg, Germany.; Department of Medicine II, Medical Center University of Freiburg, Faculty of Medicine, University of Freiburg, Freiburg, Germany.; Berta-Ottenstein-Programme,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lt;/_author_adr&gt;&lt;_created&gt;62599059&lt;/_created&gt;&lt;_date&gt;2018-11-01&lt;/_date&gt;&lt;_date_display&gt;2018 Nov&lt;/_date_display&gt;&lt;_doi&gt;10.1177/2050640618795928&lt;/_doi&gt;&lt;_impact_factor&gt;   3.477&lt;/_impact_factor&gt;&lt;_isbn&gt;2050-6406 (Print); 2050-6406 (Linking)&lt;/_isbn&gt;&lt;_issue&gt;9&lt;/_issue&gt;&lt;_journal&gt;United European Gastroenterol J&lt;/_journal&gt;&lt;_keywords&gt;Hepatic encephalopathy; PPI; TIPS; proton pump inhibitors; transjugular intrahepatic portosystemic shunt&lt;/_keywords&gt;&lt;_language&gt;eng&lt;/_language&gt;&lt;_modified&gt;62599424&lt;/_modified&gt;&lt;_pages&gt;1380-1390&lt;/_pages&gt;&lt;_tertiary_title&gt;United European gastroenterology journal&lt;/_tertiary_title&gt;&lt;_type_work&gt;Journal Article&lt;/_type_work&gt;&lt;_url&gt;http://www.ncbi.nlm.nih.gov/entrez/query.fcgi?cmd=Retrieve&amp;amp;db=pubmed&amp;amp;dopt=Abstract&amp;amp;list_uids=30386611&amp;amp;query_hl=1&lt;/_url&gt;&lt;_volume&gt;6&lt;/_volume&gt;&lt;/Details&gt;&lt;Extra&gt;&lt;DBUID&gt;{9A7C78BD-F289-43CD-8CC7-97501B76739F}&lt;/DBUID&gt;&lt;/Extra&gt;&lt;/Item&gt;&lt;/References&gt;&lt;/Group&gt;&lt;Group&gt;&lt;References&gt;&lt;Item&gt;&lt;ID&gt;3013&lt;/ID&gt;&lt;UID&gt;{CF0C3E81-9E4E-493F-B810-3418E98FC16A}&lt;/UID&gt;&lt;Title&gt;Association of proton pump inhibitors with the risk of hepatic encephalopathy during hospitalization for liver cirrhosis&lt;/Title&gt;&lt;Template&gt;Journal Article&lt;/Template&gt;&lt;Star&gt;1&lt;/Star&gt;&lt;Tag&gt;0&lt;/Tag&gt;&lt;Author&gt;Zhu, J; Qi, X; Yu, H; Yoshida, E M; Mendez-Sanchez, N; Zhang, X; Wang, R; Deng, H; Li, J; Han, D; Guo, X&lt;/Author&gt;&lt;Year&gt;2018&lt;/Year&gt;&lt;Details&gt;&lt;_accession_num&gt;30288280&lt;/_accession_num&gt;&lt;_author_adr&gt;Liver Cirrhosis Study Group, Department of Gastroenterology, General Hospital of  Shenyang Military Area, Shenyang, China.; Postgraduate College, Shenyang Pharmaceutical University, Shenyang, China.; Liver Cirrhosis Study Group, Department of Gastroenterology, General Hospital of  Shenyang Military Area, Shenyang, China.; Postgraduate College, Shenyang Pharmaceutical University, Shenyang, China.; Division of Gastroenterology, Vancouver General Hospital, Vancouver, Canada.; Liver Research Unit, Medica Sur Clinic &amp;amp; Foundation, Mexico City, Mexico.;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lt;/_author_adr&gt;&lt;_created&gt;62599138&lt;/_created&gt;&lt;_date&gt;2018-10-01&lt;/_date&gt;&lt;_date_display&gt;2018 Oct&lt;/_date_display&gt;&lt;_doi&gt;10.1177/2050640618773564&lt;/_doi&gt;&lt;_impact_factor&gt;   3.477&lt;/_impact_factor&gt;&lt;_isbn&gt;2050-6406 (Print); 2050-6406 (Linking)&lt;/_isbn&gt;&lt;_issue&gt;8&lt;/_issue&gt;&lt;_journal&gt;United European Gastroenterol J&lt;/_journal&gt;&lt;_keywords&gt;Proton pump inhibitors; gut microbiota; hepatic encephalopathy; liver cirrhosis; risk&lt;/_keywords&gt;&lt;_language&gt;eng&lt;/_language&gt;&lt;_modified&gt;62599424&lt;/_modified&gt;&lt;_pages&gt;1179-1187&lt;/_pages&gt;&lt;_tertiary_title&gt;United European gastroenterology journal&lt;/_tertiary_title&gt;&lt;_type_work&gt;Journal Article&lt;/_type_work&gt;&lt;_url&gt;http://www.ncbi.nlm.nih.gov/entrez/query.fcgi?cmd=Retrieve&amp;amp;db=pubmed&amp;amp;dopt=Abstract&amp;amp;list_uids=30288280&amp;amp;query_hl=1&lt;/_url&gt;&lt;_volume&gt;6&lt;/_volume&gt;&lt;/Details&gt;&lt;Extra&gt;&lt;DBUID&gt;{9A7C78BD-F289-43CD-8CC7-97501B76739F}&lt;/DBUID&gt;&lt;/Extra&gt;&lt;/Item&gt;&lt;/References&gt;&lt;/Group&gt;&lt;Group&gt;&lt;References&gt;&lt;Item&gt;&lt;ID&gt;3071&lt;/ID&gt;&lt;UID&gt;{CBD045EF-5D80-4D06-839B-A8A3CF8DD60D}&lt;/UID&gt;&lt;Title&gt;Proton Pump Inhibitors Increase Risk for Hepatic Encephalopathy in Patients With  Cirrhosis in A Population Study&lt;/Title&gt;&lt;Template&gt;Journal Article&lt;/Template&gt;&lt;Star&gt;1&lt;/Star&gt;&lt;Tag&gt;0&lt;/Tag&gt;&lt;Author&gt;Tsai, C F; Chen, M H; Wang, Y P; Chu, C J; Huang, Y H; Lin, H C; Hou, M C; Lee, F Y; Su, T P; Lu, C L&lt;/Author&gt;&lt;Year&gt;2017&lt;/Year&gt;&lt;Details&gt;&lt;_accession_num&gt;27639806&lt;/_accession_num&gt;&lt;_author_adr&gt;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Electronic address: cllu@ym.edu.tw.&lt;/_author_adr&gt;&lt;_collection_scope&gt;SCI;SCIE;&lt;/_collection_scope&gt;&lt;_created&gt;62599138&lt;/_created&gt;&lt;_date&gt;2017-01-01&lt;/_date&gt;&lt;_date_display&gt;2017 Jan&lt;/_date_display&gt;&lt;_doi&gt;10.1053/j.gastro.2016.09.007&lt;/_doi&gt;&lt;_impact_factor&gt;  20.773&lt;/_impact_factor&gt;&lt;_isbn&gt;1528-0012 (Electronic); 0016-5085 (Linking)&lt;/_isbn&gt;&lt;_issue&gt;1&lt;/_issue&gt;&lt;_journal&gt;Gastroenterology&lt;/_journal&gt;&lt;_keywords&gt;2-Pyridinylmethylsulfinylbenzimidazoles/administration &amp;amp; dosage; Administrative Claims, Healthcare/statistics &amp;amp; numerical data; Adult; Aged; Case-Control Studies; Esomeprazole/administration &amp;amp; dosage; Female; Hepatic Encephalopathy/*epidemiology/*etiology; Humans; Incidence; Insurance, Health/statistics &amp;amp; numerical data; Lansoprazole/administration &amp;amp; dosage; Liver Cirrhosis/*complications; Longitudinal Studies; Male; Middle Aged; Omeprazole/administration &amp;amp; dosage; Pantoprazole; Proton Pump Inhibitors/*administration &amp;amp; dosage; Rabeprazole/administration &amp;amp; dosage; Taiwan/epidemiology*Acid Suppression; *Cognitive Dysfunction; *Gut Microbiota; *Liver Failure&lt;/_keywords&gt;&lt;_language&gt;eng&lt;/_language&gt;&lt;_modified&gt;62599424&lt;/_modified&gt;&lt;_ori_publication&gt;Copyright (c) 2017. Published by Elsevier Inc.&lt;/_ori_publication&gt;&lt;_pages&gt;134-141&lt;/_pages&gt;&lt;_tertiary_title&gt;Gastroenterology&lt;/_tertiary_title&gt;&lt;_type_work&gt;Journal Article&lt;/_type_work&gt;&lt;_url&gt;http://www.ncbi.nlm.nih.gov/entrez/query.fcgi?cmd=Retrieve&amp;amp;db=pubmed&amp;amp;dopt=Abstract&amp;amp;list_uids=27639806&amp;amp;query_hl=1&lt;/_url&gt;&lt;_volume&gt;152&lt;/_volume&gt;&lt;/Details&gt;&lt;Extra&gt;&lt;DBUID&gt;{9A7C78BD-F289-43CD-8CC7-97501B76739F}&lt;/DBUID&gt;&lt;/Extra&gt;&lt;/Item&gt;&lt;/References&gt;&lt;/Group&gt;&lt;Group&gt;&lt;References&gt;&lt;Item&gt;&lt;ID&gt;3073&lt;/ID&gt;&lt;UID&gt;{758F06D2-99D2-4E75-8CBA-0AA1101F5466}&lt;/UID&gt;&lt;Title&gt;Proton pump inhibitors as a risk factor for hepatic encephalopathy and spontaneous bacterial peritonitis in patients with cirrhosis with ascites&lt;/Title&gt;&lt;Template&gt;Generic&lt;/Template&gt;&lt;Star&gt;1&lt;/Star&gt;&lt;Tag&gt;0&lt;/Tag&gt;&lt;Author&gt;Dam, G; Vilstrup, H; Watson, H; Jepsen, P&lt;/Author&gt;&lt;Year&gt;2016&lt;/Year&gt;&lt;Details&gt;&lt;_accession_num&gt;27474889&lt;/_accession_num&gt;&lt;_author_adr&gt;Department of Hepatology and Gastroenterology, Aarhus University Hospital, Aarhus, Denmark. gitdam@rm.dk.; Department of Hepatology and Gastroenterology, Aarhus University Hospital, Aarhus, Denmark.; Sanofi Aventis R&amp;amp;D, Paris, France.; Department of Hepatology and Gastroenterology, Aarhus University Hospital, Aarhus, Denmark.; Department of Clinical Epidemiology, Aarhus University Hospital, Aarhus, Denmark.&lt;/_author_adr&gt;&lt;_collection_scope&gt;SCI;SCIE;&lt;/_collection_scope&gt;&lt;_created&gt;62599138&lt;/_created&gt;&lt;_date&gt;2016-10-01&lt;/_date&gt;&lt;_date_display&gt;2016 Oct&lt;/_date_display&gt;&lt;_doi&gt;10.1002/hep.28737&lt;/_doi&gt;&lt;_impact_factor&gt;  14.079&lt;/_impact_factor&gt;&lt;_isbn&gt;1527-3350 (Electronic); 0270-9139 (Linking)&lt;/_isbn&gt;&lt;_issue&gt;4&lt;/_issue&gt;&lt;_journal&gt;Hepatology&lt;/_journal&gt;&lt;_keywords&gt;Aged; Ascites/complications/drug therapy; Bacterial Infections/*chemically induced; Female; Hepatic Encephalopathy/*chemically induced; Humans; Liver Cirrhosis/complications; Male; Middle Aged; Peritonitis/*chemically induced/*microbiology; Proton Pump Inhibitors/*adverse effects/therapeutic use; Risk Factors&lt;/_keywords&gt;&lt;_language&gt;eng&lt;/_language&gt;&lt;_modified&gt;62599424&lt;/_modified&gt;&lt;_ori_publication&gt;(c) 2016 by the American Association for the Study of Liver Diseases.&lt;/_ori_publication&gt;&lt;_pages&gt;1265-72&lt;/_pages&gt;&lt;_tertiary_title&gt;Hepatology (Baltimore, Md.)&lt;/_tertiary_title&gt;&lt;_type_work&gt;Comparative Study; Journal Article; Research Support, Non-U.S. Gov&amp;apos;t&lt;/_type_work&gt;&lt;_url&gt;http://www.ncbi.nlm.nih.gov/entrez/query.fcgi?cmd=Retrieve&amp;amp;db=pubmed&amp;amp;dopt=Abstract&amp;amp;list_uids=27474889&amp;amp;query_hl=1&lt;/_url&gt;&lt;_volume&gt;64&lt;/_volume&gt;&lt;/Details&gt;&lt;Extra&gt;&lt;DBUID&gt;{9A7C78BD-F289-43CD-8CC7-97501B76739F}&lt;/DBUID&gt;&lt;/Extra&gt;&lt;/Item&gt;&lt;/References&gt;&lt;/Group&gt;&lt;Group&gt;&lt;References&gt;&lt;Item&gt;&lt;ID&gt;3308&lt;/ID&gt;&lt;UID&gt;{20083204-43D3-4B06-B3A0-B21A08776F92}&lt;/UID&gt;&lt;Title&gt;Proton pump inhibitors-a risk factor for hepatic encephalopathy in patients listed for liver transplantation?&lt;/Title&gt;&lt;Template&gt;Journal Article&lt;/Template&gt;&lt;Star&gt;1&lt;/Star&gt;&lt;Tag&gt;0&lt;/Tag&gt;&lt;Author&gt;Shanab, A A; Smith, A; Abbas, M; Iriarte, R; Nightingale, P; Gunson, B; Holt, A P; Rajoriya, N&lt;/Author&gt;&lt;Year&gt;2018&lt;/Year&gt;&lt;Details&gt;&lt;_accessed&gt;62603911&lt;/_accessed&gt;&lt;_alternate_title&gt;Hepatology&lt;/_alternate_title&gt;&lt;_author_adr&gt;A.A. Shanab, Internal Medicine, Menofiya University, Birmingham&lt;/_author_adr&gt;&lt;_collection_scope&gt;SCI;SCIE;&lt;/_collection_scope&gt;&lt;_created&gt;62599139&lt;/_created&gt;&lt;_date&gt;2018-01-01&lt;/_date&gt;&lt;_date_display&gt;2018&lt;/_date_display&gt;&lt;_doi&gt;10.1002/hep.30257&lt;/_doi&gt;&lt;_impact_factor&gt;  14.079&lt;/_impact_factor&gt;&lt;_isbn&gt;1527-3350&lt;/_isbn&gt;&lt;_journal&gt;Hepatology&lt;/_journal&gt;&lt;_keywords&gt;proton pump inhibitor; acute liver failure; adult; adverse drug reaction; cancer growth; cancer patient; conference abstract; controlled study; death; deterioration; diagnosis; hepatic encephalopathy; hospital admission; human; liver cirrhosis; liver transplantation; major clinical study; male; middle aged; Model For End Stage Liver Disease Score; morbidity; mortality risk; receiver operating characteristic; retrospective study; risk assessment; risk factor; side effect&lt;/_keywords&gt;&lt;_modified&gt;62609713&lt;/_modified&gt;&lt;_pages&gt;1176A&lt;/_pages&gt;&lt;_url&gt;http://www.embase.com/search/results?subaction=viewrecord&amp;amp;from=export&amp;amp;id=L624566044_x000d__x000a_http://dx.doi.org/10.1002/hep.30257&lt;/_url&gt;&lt;_volume&gt;68&lt;/_volume&gt;&lt;/Details&gt;&lt;Extra&gt;&lt;DBUID&gt;{9A7C78BD-F289-43CD-8CC7-97501B76739F}&lt;/DBUID&gt;&lt;/Extra&gt;&lt;/Item&gt;&lt;/References&gt;&lt;/Group&gt;&lt;Group&gt;&lt;References&gt;&lt;Item&gt;&lt;ID&gt;3310&lt;/ID&gt;&lt;UID&gt;{0B7FC440-7258-441B-AB6B-96920CC08583}&lt;/UID&gt;&lt;Title&gt;Incidence and predictors of hepatic encephalopathy in a population-based cohort of older americans with cirrhosis: Role of opiates, benzodiazepines and proton-pump inhibitors (PPIs)&lt;/Title&gt;&lt;Template&gt;Journal Article&lt;/Template&gt;&lt;Star&gt;1&lt;/Star&gt;&lt;Tag&gt;0&lt;/Tag&gt;&lt;Author&gt;Tapper, E B; Henderson, J; Baki, J; Parikh, N D; Lok, A S&lt;/Author&gt;&lt;Year&gt;2018&lt;/Year&gt;&lt;Details&gt;&lt;_alternate_title&gt;Hepatology&lt;/_alternate_title&gt;&lt;_author_adr&gt;E.B. Tapper, Division of Gastroenterology and Hepatology, University of Michigan Medical Center,&lt;/_author_adr&gt;&lt;_collection_scope&gt;SCI;SCIE;&lt;/_collection_scope&gt;&lt;_created&gt;62599139&lt;/_created&gt;&lt;_date&gt;2018-01-01&lt;/_date&gt;&lt;_date_display&gt;2018&lt;/_date_display&gt;&lt;_doi&gt;10.1002/hep.30256&lt;/_doi&gt;&lt;_impact_factor&gt;  14.079&lt;/_impact_factor&gt;&lt;_isbn&gt;1527-3350&lt;/_isbn&gt;&lt;_journal&gt;Hepatology&lt;/_journal&gt;&lt;_keywords&gt;alcohol; benzodiazepine derivative; lactulose; proton pump inhibitor; rifaximin; adult; alcohol liver cirrhosis; American; animal experiment; animal model; ascites; cancer patient; Charlson Comorbidity Index; cohort analysis; conference abstract; controlled study; diagnosis; drug combination; drug therapy; drug toxicity; female; follow up; gastroenterologist; hemodialysis; hepatic encephalopathy; hepatitis; ICD-9; liver cell carcinoma; male; medicaid; medicare; morbidity; nonhuman; paracentesis; portal hypertension; race; random sample; risk assessment; risk factor; varicosis&lt;/_keywords&gt;&lt;_modified&gt;62609713&lt;/_modified&gt;&lt;_pages&gt;138A&lt;/_pages&gt;&lt;_url&gt;http://www.embase.com/search/results?subaction=viewrecord&amp;amp;from=export&amp;amp;id=L624565019_x000d__x000a_http://dx.doi.org/10.1002/hep.30256&lt;/_url&gt;&lt;_volume&gt;68&lt;/_volume&gt;&lt;/Details&gt;&lt;Extra&gt;&lt;DBUID&gt;{9A7C78BD-F289-43CD-8CC7-97501B76739F}&lt;/DBUID&gt;&lt;/Extra&gt;&lt;/Item&gt;&lt;/References&gt;&lt;/Group&gt;&lt;Group&gt;&lt;References&gt;&lt;Item&gt;&lt;ID&gt;3393&lt;/ID&gt;&lt;UID&gt;{8DC892CD-D907-4E07-AA90-3D6C418AA356}&lt;/UID&gt;&lt;Title&gt;Proton pump inhibitors increase the risk for hepatic encephalopathy in patients with cirrhosis and ascites&lt;/Title&gt;&lt;Template&gt;Journal Article&lt;/Template&gt;&lt;Star&gt;1&lt;/Star&gt;&lt;Tag&gt;0&lt;/Tag&gt;&lt;Author&gt;Matei, D; Pasca, S; David, A; Procopet, B; Stefanescu, H; Vesa, S; Andreica, V; Tantau, M&lt;/Author&gt;&lt;Year&gt;2017&lt;/Year&gt;&lt;Details&gt;&lt;_accessed&gt;62603912&lt;/_accessed&gt;&lt;_alternate_title&gt;J. Hepatol.&lt;/_alternate_title&gt;&lt;_author_adr&gt;D. Matei, University of Medicine and Pharmacy Iuliu Hatieganu, Romania&lt;/_author_adr&gt;&lt;_collection_scope&gt;SCI;SCIE;&lt;/_collection_scope&gt;&lt;_created&gt;62599139&lt;/_created&gt;&lt;_date&gt;2017-01-01&lt;/_date&gt;&lt;_date_display&gt;2017&lt;/_date_display&gt;&lt;_impact_factor&gt;  14.911&lt;/_impact_factor&gt;&lt;_isbn&gt;1600-0641&lt;/_isbn&gt;&lt;_issue&gt;1&lt;/_issue&gt;&lt;_journal&gt;Journal of Hepatology&lt;/_journal&gt;&lt;_keywords&gt;proton pump inhibitor; adult; animal experiment; animal model; ascites fluid; bacterial peritonitis; cancer model; conference abstract; controlled study; cross-sectional study; diagnosis; end stage liver disease; hepatic encephalopathy; hepatorenal syndrome; human; liver cell carcinoma; liver cirrhosis; male; Model For End Stage Liver Disease Score; multivariate analysis; nonhuman; risk assessment; risk factor; upper gastrointestinal bleeding&lt;/_keywords&gt;&lt;_modified&gt;62609713&lt;/_modified&gt;&lt;_pages&gt;S136&lt;/_pages&gt;&lt;_url&gt;http://www.embase.com/search/results?subaction=viewrecord&amp;amp;from=export&amp;amp;id=L621221874&lt;/_url&gt;&lt;_volume&gt;66&lt;/_volume&gt;&lt;/Details&gt;&lt;Extra&gt;&lt;DBUID&gt;{9A7C78BD-F289-43CD-8CC7-97501B76739F}&lt;/DBUID&gt;&lt;/Extra&gt;&lt;/Item&gt;&lt;/References&gt;&lt;/Group&gt;&lt;/Citation&gt;_x000a_"/>
    <w:docVar w:name="NE.Ref{4100D344-E990-4488-9C77-EAE044EB88E3}" w:val=" ADDIN NE.Ref.{4100D344-E990-4488-9C77-EAE044EB88E3}&lt;Citation&gt;&lt;Group&gt;&lt;References&gt;&lt;Item&gt;&lt;ID&gt;3012&lt;/ID&gt;&lt;UID&gt;{A517CA25-CF32-467A-97CA-B87CDE069B81}&lt;/UID&gt;&lt;Title&gt;Proton pump inhibitors are associated to minimal and overt hepatic encephalopathy and increase mortality in cirrhotics&lt;/Title&gt;&lt;Template&gt;Journal Article&lt;/Template&gt;&lt;Star&gt;1&lt;/Star&gt;&lt;Tag&gt;0&lt;/Tag&gt;&lt;Author&gt;Nardelli, S; Gioia, S; Ridola, L; Farcomeni, A; Merli, M; Riggio, O&lt;/Author&gt;&lt;Year&gt;2018&lt;/Year&gt;&lt;Details&gt;&lt;_accession_num&gt;30289992&lt;/_accession_num&gt;&lt;_author_adr&gt;Dept. of Clinical Medicine, &amp;quot;Sapienza&amp;quot; University of Rome, Rome, Italy.; Dept. of Clinical Medicine, &amp;quot;Sapienza&amp;quot; University of Rome, Rome, Italy.; Dept. of Clinical Medicine, &amp;quot;Sapienza&amp;quot; University of Rome, Rome, Italy.; Dept. of Clinical Medicine, &amp;quot;Sapienza&amp;quot; University of Rome, Rome, Italy.; Dept. of Public Health and Infectious Diseases, &amp;quot;Sapienza&amp;quot; University of Rome, Rome, Italy.; Dept. of Clinical Medicine, &amp;quot;Sapienza&amp;quot; University of Rome, Rome, Italy.; Dept. of Clinical Medicine, &amp;quot;Sapienza&amp;quot; University of Rome, Rome, Italy.&lt;/_author_adr&gt;&lt;_collection_scope&gt;SCI;SCIE;&lt;/_collection_scope&gt;&lt;_created&gt;62599138&lt;/_created&gt;&lt;_date&gt;2018-10-05&lt;/_date&gt;&lt;_date_display&gt;2018 Oct 5&lt;/_date_display&gt;&lt;_doi&gt;10.1002/hep.30304&lt;/_doi&gt;&lt;_impact_factor&gt;  14.079&lt;/_impact_factor&gt;&lt;_isbn&gt;1527-3350 (Electronic); 0270-9139 (Linking)&lt;/_isbn&gt;&lt;_journal&gt;Hepatology&lt;/_journal&gt;&lt;_keywords&gt;Proton pump inhibitors; hepatic encephalopathy; liver cirrhosis; psychometric evaluation&lt;/_keywords&gt;&lt;_language&gt;eng&lt;/_language&gt;&lt;_modified&gt;62599424&lt;/_modified&gt;&lt;_ori_publication&gt;This article is protected by copyright. All rights reserved.&lt;/_ori_publication&gt;&lt;_tertiary_title&gt;Hepatology (Baltimore, Md.)&lt;/_tertiary_title&gt;&lt;_type_work&gt;Journal Article&lt;/_type_work&gt;&lt;_url&gt;http://www.ncbi.nlm.nih.gov/entrez/query.fcgi?cmd=Retrieve&amp;amp;db=pubmed&amp;amp;dopt=Abstract&amp;amp;list_uids=30289992&amp;amp;query_hl=1&lt;/_url&gt;&lt;/Details&gt;&lt;Extra&gt;&lt;DBUID&gt;{9A7C78BD-F289-43CD-8CC7-97501B76739F}&lt;/DBUID&gt;&lt;/Extra&gt;&lt;/Item&gt;&lt;/References&gt;&lt;/Group&gt;&lt;Group&gt;&lt;References&gt;&lt;Item&gt;&lt;ID&gt;3013&lt;/ID&gt;&lt;UID&gt;{CF0C3E81-9E4E-493F-B810-3418E98FC16A}&lt;/UID&gt;&lt;Title&gt;Association of proton pump inhibitors with the risk of hepatic encephalopathy during hospitalization for liver cirrhosis&lt;/Title&gt;&lt;Template&gt;Journal Article&lt;/Template&gt;&lt;Star&gt;1&lt;/Star&gt;&lt;Tag&gt;0&lt;/Tag&gt;&lt;Author&gt;Zhu, J; Qi, X; Yu, H; Yoshida, E M; Mendez-Sanchez, N; Zhang, X; Wang, R; Deng, H; Li, J; Han, D; Guo, X&lt;/Author&gt;&lt;Year&gt;2018&lt;/Year&gt;&lt;Details&gt;&lt;_accession_num&gt;30288280&lt;/_accession_num&gt;&lt;_author_adr&gt;Liver Cirrhosis Study Group, Department of Gastroenterology, General Hospital of  Shenyang Military Area, Shenyang, China.; Postgraduate College, Shenyang Pharmaceutical University, Shenyang, China.; Liver Cirrhosis Study Group, Department of Gastroenterology, General Hospital of  Shenyang Military Area, Shenyang, China.; Postgraduate College, Shenyang Pharmaceutical University, Shenyang, China.; Division of Gastroenterology, Vancouver General Hospital, Vancouver, Canada.; Liver Research Unit, Medica Sur Clinic &amp;amp; Foundation, Mexico City, Mexico.;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lt;/_author_adr&gt;&lt;_created&gt;62599138&lt;/_created&gt;&lt;_date&gt;2018-10-01&lt;/_date&gt;&lt;_date_display&gt;2018 Oct&lt;/_date_display&gt;&lt;_doi&gt;10.1177/2050640618773564&lt;/_doi&gt;&lt;_impact_factor&gt;   3.477&lt;/_impact_factor&gt;&lt;_isbn&gt;2050-6406 (Print); 2050-6406 (Linking)&lt;/_isbn&gt;&lt;_issue&gt;8&lt;/_issue&gt;&lt;_journal&gt;United European Gastroenterol J&lt;/_journal&gt;&lt;_keywords&gt;Proton pump inhibitors; gut microbiota; hepatic encephalopathy; liver cirrhosis; risk&lt;/_keywords&gt;&lt;_language&gt;eng&lt;/_language&gt;&lt;_modified&gt;62599424&lt;/_modified&gt;&lt;_pages&gt;1179-1187&lt;/_pages&gt;&lt;_tertiary_title&gt;United European gastroenterology journal&lt;/_tertiary_title&gt;&lt;_type_work&gt;Journal Article&lt;/_type_work&gt;&lt;_url&gt;http://www.ncbi.nlm.nih.gov/entrez/query.fcgi?cmd=Retrieve&amp;amp;db=pubmed&amp;amp;dopt=Abstract&amp;amp;list_uids=30288280&amp;amp;query_hl=1&lt;/_url&gt;&lt;_volume&gt;6&lt;/_volume&gt;&lt;/Details&gt;&lt;Extra&gt;&lt;DBUID&gt;{9A7C78BD-F289-43CD-8CC7-97501B76739F}&lt;/DBUID&gt;&lt;/Extra&gt;&lt;/Item&gt;&lt;/References&gt;&lt;/Group&gt;&lt;Group&gt;&lt;References&gt;&lt;Item&gt;&lt;ID&gt;3071&lt;/ID&gt;&lt;UID&gt;{CBD045EF-5D80-4D06-839B-A8A3CF8DD60D}&lt;/UID&gt;&lt;Title&gt;Proton Pump Inhibitors Increase Risk for Hepatic Encephalopathy in Patients With  Cirrhosis in A Population Study&lt;/Title&gt;&lt;Template&gt;Journal Article&lt;/Template&gt;&lt;Star&gt;1&lt;/Star&gt;&lt;Tag&gt;0&lt;/Tag&gt;&lt;Author&gt;Tsai, C F; Chen, M H; Wang, Y P; Chu, C J; Huang, Y H; Lin, H C; Hou, M C; Lee, F Y; Su, T P; Lu, C L&lt;/Author&gt;&lt;Year&gt;2017&lt;/Year&gt;&lt;Details&gt;&lt;_accession_num&gt;27639806&lt;/_accession_num&gt;&lt;_author_adr&gt;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Electronic address: cllu@ym.edu.tw.&lt;/_author_adr&gt;&lt;_collection_scope&gt;SCI;SCIE;&lt;/_collection_scope&gt;&lt;_created&gt;62599138&lt;/_created&gt;&lt;_date&gt;2017-01-01&lt;/_date&gt;&lt;_date_display&gt;2017 Jan&lt;/_date_display&gt;&lt;_doi&gt;10.1053/j.gastro.2016.09.007&lt;/_doi&gt;&lt;_impact_factor&gt;  20.773&lt;/_impact_factor&gt;&lt;_isbn&gt;1528-0012 (Electronic); 0016-5085 (Linking)&lt;/_isbn&gt;&lt;_issue&gt;1&lt;/_issue&gt;&lt;_journal&gt;Gastroenterology&lt;/_journal&gt;&lt;_keywords&gt;2-Pyridinylmethylsulfinylbenzimidazoles/administration &amp;amp; dosage; Administrative Claims, Healthcare/statistics &amp;amp; numerical data; Adult; Aged; Case-Control Studies; Esomeprazole/administration &amp;amp; dosage; Female; Hepatic Encephalopathy/*epidemiology/*etiology; Humans; Incidence; Insurance, Health/statistics &amp;amp; numerical data; Lansoprazole/administration &amp;amp; dosage; Liver Cirrhosis/*complications; Longitudinal Studies; Male; Middle Aged; Omeprazole/administration &amp;amp; dosage; Pantoprazole; Proton Pump Inhibitors/*administration &amp;amp; dosage; Rabeprazole/administration &amp;amp; dosage; Taiwan/epidemiology*Acid Suppression; *Cognitive Dysfunction; *Gut Microbiota; *Liver Failure&lt;/_keywords&gt;&lt;_language&gt;eng&lt;/_language&gt;&lt;_modified&gt;62599424&lt;/_modified&gt;&lt;_ori_publication&gt;Copyright (c) 2017. Published by Elsevier Inc.&lt;/_ori_publication&gt;&lt;_pages&gt;134-141&lt;/_pages&gt;&lt;_tertiary_title&gt;Gastroenterology&lt;/_tertiary_title&gt;&lt;_type_work&gt;Journal Article&lt;/_type_work&gt;&lt;_url&gt;http://www.ncbi.nlm.nih.gov/entrez/query.fcgi?cmd=Retrieve&amp;amp;db=pubmed&amp;amp;dopt=Abstract&amp;amp;list_uids=27639806&amp;amp;query_hl=1&lt;/_url&gt;&lt;_volume&gt;152&lt;/_volume&gt;&lt;/Details&gt;&lt;Extra&gt;&lt;DBUID&gt;{9A7C78BD-F289-43CD-8CC7-97501B76739F}&lt;/DBUID&gt;&lt;/Extra&gt;&lt;/Item&gt;&lt;/References&gt;&lt;/Group&gt;&lt;Group&gt;&lt;References&gt;&lt;Item&gt;&lt;ID&gt;3308&lt;/ID&gt;&lt;UID&gt;{20083204-43D3-4B06-B3A0-B21A08776F92}&lt;/UID&gt;&lt;Title&gt;Proton pump inhibitors-a risk factor for hepatic encephalopathy in patients listed for liver transplantation?&lt;/Title&gt;&lt;Template&gt;Journal Article&lt;/Template&gt;&lt;Star&gt;1&lt;/Star&gt;&lt;Tag&gt;0&lt;/Tag&gt;&lt;Author&gt;Shanab, A A; Smith, A; Abbas, M; Iriarte, R; Nightingale, P; Gunson, B; Holt, A P; Rajoriya, N&lt;/Author&gt;&lt;Year&gt;2018&lt;/Year&gt;&lt;Details&gt;&lt;_accessed&gt;62603911&lt;/_accessed&gt;&lt;_alternate_title&gt;Hepatology&lt;/_alternate_title&gt;&lt;_author_adr&gt;A.A. Shanab, Internal Medicine, Menofiya University, Birmingham&lt;/_author_adr&gt;&lt;_collection_scope&gt;SCI;SCIE;&lt;/_collection_scope&gt;&lt;_created&gt;62599139&lt;/_created&gt;&lt;_date&gt;2018-01-01&lt;/_date&gt;&lt;_date_display&gt;2018&lt;/_date_display&gt;&lt;_doi&gt;10.1002/hep.30257&lt;/_doi&gt;&lt;_impact_factor&gt;  14.079&lt;/_impact_factor&gt;&lt;_isbn&gt;1527-3350&lt;/_isbn&gt;&lt;_journal&gt;Hepatology&lt;/_journal&gt;&lt;_keywords&gt;proton pump inhibitor; acute liver failure; adult; adverse drug reaction; cancer growth; cancer patient; conference abstract; controlled study; death; deterioration; diagnosis; hepatic encephalopathy; hospital admission; human; liver cirrhosis; liver transplantation; major clinical study; male; middle aged; Model For End Stage Liver Disease Score; morbidity; mortality risk; receiver operating characteristic; retrospective study; risk assessment; risk factor; side effect&lt;/_keywords&gt;&lt;_modified&gt;62609713&lt;/_modified&gt;&lt;_pages&gt;1176A&lt;/_pages&gt;&lt;_url&gt;http://www.embase.com/search/results?subaction=viewrecord&amp;amp;from=export&amp;amp;id=L624566044_x000d__x000a_http://dx.doi.org/10.1002/hep.30257&lt;/_url&gt;&lt;_volume&gt;68&lt;/_volume&gt;&lt;/Details&gt;&lt;Extra&gt;&lt;DBUID&gt;{9A7C78BD-F289-43CD-8CC7-97501B76739F}&lt;/DBUID&gt;&lt;/Extra&gt;&lt;/Item&gt;&lt;/References&gt;&lt;/Group&gt;&lt;Group&gt;&lt;References&gt;&lt;Item&gt;&lt;ID&gt;3310&lt;/ID&gt;&lt;UID&gt;{0B7FC440-7258-441B-AB6B-96920CC08583}&lt;/UID&gt;&lt;Title&gt;Incidence and predictors of hepatic encephalopathy in a population-based cohort of older americans with cirrhosis: Role of opiates, benzodiazepines and proton-pump inhibitors (PPIs)&lt;/Title&gt;&lt;Template&gt;Journal Article&lt;/Template&gt;&lt;Star&gt;1&lt;/Star&gt;&lt;Tag&gt;0&lt;/Tag&gt;&lt;Author&gt;Tapper, E B; Henderson, J; Baki, J; Parikh, N D; Lok, A S&lt;/Author&gt;&lt;Year&gt;2018&lt;/Year&gt;&lt;Details&gt;&lt;_alternate_title&gt;Hepatology&lt;/_alternate_title&gt;&lt;_author_adr&gt;E.B. Tapper, Division of Gastroenterology and Hepatology, University of Michigan Medical Center,&lt;/_author_adr&gt;&lt;_collection_scope&gt;SCI;SCIE;&lt;/_collection_scope&gt;&lt;_created&gt;62599139&lt;/_created&gt;&lt;_date&gt;2018-01-01&lt;/_date&gt;&lt;_date_display&gt;2018&lt;/_date_display&gt;&lt;_doi&gt;10.1002/hep.30256&lt;/_doi&gt;&lt;_impact_factor&gt;  14.079&lt;/_impact_factor&gt;&lt;_isbn&gt;1527-3350&lt;/_isbn&gt;&lt;_journal&gt;Hepatology&lt;/_journal&gt;&lt;_keywords&gt;alcohol; benzodiazepine derivative; lactulose; proton pump inhibitor; rifaximin; adult; alcohol liver cirrhosis; American; animal experiment; animal model; ascites; cancer patient; Charlson Comorbidity Index; cohort analysis; conference abstract; controlled study; diagnosis; drug combination; drug therapy; drug toxicity; female; follow up; gastroenterologist; hemodialysis; hepatic encephalopathy; hepatitis; ICD-9; liver cell carcinoma; male; medicaid; medicare; morbidity; nonhuman; paracentesis; portal hypertension; race; random sample; risk assessment; risk factor; varicosis&lt;/_keywords&gt;&lt;_modified&gt;62609713&lt;/_modified&gt;&lt;_pages&gt;138A&lt;/_pages&gt;&lt;_url&gt;http://www.embase.com/search/results?subaction=viewrecord&amp;amp;from=export&amp;amp;id=L624565019_x000d__x000a_http://dx.doi.org/10.1002/hep.30256&lt;/_url&gt;&lt;_volume&gt;68&lt;/_volume&gt;&lt;/Details&gt;&lt;Extra&gt;&lt;DBUID&gt;{9A7C78BD-F289-43CD-8CC7-97501B76739F}&lt;/DBUID&gt;&lt;/Extra&gt;&lt;/Item&gt;&lt;/References&gt;&lt;/Group&gt;&lt;/Citation&gt;_x000a_"/>
    <w:docVar w:name="NE.Ref{41ED3F5C-1A49-447C-8F4A-1DE3F8072A6A}" w:val=" ADDIN NE.Ref.{41ED3F5C-1A49-447C-8F4A-1DE3F8072A6A}&lt;Citation&gt;&lt;Group&gt;&lt;References&gt;&lt;Item&gt;&lt;ID&gt;5&lt;/ID&gt;&lt;UID&gt;{8521C4C9-780F-4215-BF84-BB69E3B978E4}&lt;/UID&gt;&lt;Title&gt;Treatment with proton pump inhibitors increases the risk for development of hepatic encephalopathy after implantation of transjugular intrahepatic portosystemic shunt (TIPS)&lt;/Title&gt;&lt;Template&gt;Book&lt;/Template&gt;&lt;Star&gt;1&lt;/Star&gt;&lt;Tag&gt;0&lt;/Tag&gt;&lt;Author&gt;Sturm, L; Bettinger, D; Giesler, M; Boettler, T; Schmidt, A; Buettner, N; Thimme, R; Schultheiss, M&lt;/Author&gt;&lt;Year&gt;2018&lt;/Year&gt;&lt;Details&gt;&lt;_accession_num&gt;30386611&lt;/_accession_num&gt;&lt;_author_adr&gt;Department of Medicine II, Medical Center University of Freiburg, Faculty of Medicine, University of Freiburg, Freiburg, Germany.; Department of Medicine II, Medical Center University of Freiburg, Faculty of Medicine, University of Freiburg, Freiburg, Germany.; Berta-Ottenstein-Programme,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lt;/_author_adr&gt;&lt;_created&gt;62599059&lt;/_created&gt;&lt;_date&gt;2018-11-01&lt;/_date&gt;&lt;_date_display&gt;2018 Nov&lt;/_date_display&gt;&lt;_doi&gt;10.1177/2050640618795928&lt;/_doi&gt;&lt;_impact_factor&gt;   3.477&lt;/_impact_factor&gt;&lt;_isbn&gt;2050-6406 (Print); 2050-6406 (Linking)&lt;/_isbn&gt;&lt;_issue&gt;9&lt;/_issue&gt;&lt;_journal&gt;United European Gastroenterol J&lt;/_journal&gt;&lt;_keywords&gt;Hepatic encephalopathy; PPI; TIPS; proton pump inhibitors; transjugular intrahepatic portosystemic shunt&lt;/_keywords&gt;&lt;_language&gt;eng&lt;/_language&gt;&lt;_modified&gt;62599424&lt;/_modified&gt;&lt;_pages&gt;1380-1390&lt;/_pages&gt;&lt;_tertiary_title&gt;United European gastroenterology journal&lt;/_tertiary_title&gt;&lt;_type_work&gt;Journal Article&lt;/_type_work&gt;&lt;_url&gt;http://www.ncbi.nlm.nih.gov/entrez/query.fcgi?cmd=Retrieve&amp;amp;db=pubmed&amp;amp;dopt=Abstract&amp;amp;list_uids=30386611&amp;amp;query_hl=1&lt;/_url&gt;&lt;_volume&gt;6&lt;/_volume&gt;&lt;/Details&gt;&lt;Extra&gt;&lt;DBUID&gt;{9A7C78BD-F289-43CD-8CC7-97501B76739F}&lt;/DBUID&gt;&lt;/Extra&gt;&lt;/Item&gt;&lt;/References&gt;&lt;/Group&gt;&lt;Group&gt;&lt;References&gt;&lt;Item&gt;&lt;ID&gt;3012&lt;/ID&gt;&lt;UID&gt;{A517CA25-CF32-467A-97CA-B87CDE069B81}&lt;/UID&gt;&lt;Title&gt;Proton pump inhibitors are associated to minimal and overt hepatic encephalopathy and increase mortality in cirrhotics&lt;/Title&gt;&lt;Template&gt;Journal Article&lt;/Template&gt;&lt;Star&gt;1&lt;/Star&gt;&lt;Tag&gt;0&lt;/Tag&gt;&lt;Author&gt;Nardelli, S; Gioia, S; Ridola, L; Farcomeni, A; Merli, M; Riggio, O&lt;/Author&gt;&lt;Year&gt;2018&lt;/Year&gt;&lt;Details&gt;&lt;_accession_num&gt;30289992&lt;/_accession_num&gt;&lt;_author_adr&gt;Dept. of Clinical Medicine, &amp;quot;Sapienza&amp;quot; University of Rome, Rome, Italy.; Dept. of Clinical Medicine, &amp;quot;Sapienza&amp;quot; University of Rome, Rome, Italy.; Dept. of Clinical Medicine, &amp;quot;Sapienza&amp;quot; University of Rome, Rome, Italy.; Dept. of Clinical Medicine, &amp;quot;Sapienza&amp;quot; University of Rome, Rome, Italy.; Dept. of Public Health and Infectious Diseases, &amp;quot;Sapienza&amp;quot; University of Rome, Rome, Italy.; Dept. of Clinical Medicine, &amp;quot;Sapienza&amp;quot; University of Rome, Rome, Italy.; Dept. of Clinical Medicine, &amp;quot;Sapienza&amp;quot; University of Rome, Rome, Italy.&lt;/_author_adr&gt;&lt;_collection_scope&gt;SCI;SCIE;&lt;/_collection_scope&gt;&lt;_created&gt;62599138&lt;/_created&gt;&lt;_date&gt;2018-10-05&lt;/_date&gt;&lt;_date_display&gt;2018 Oct 5&lt;/_date_display&gt;&lt;_doi&gt;10.1002/hep.30304&lt;/_doi&gt;&lt;_impact_factor&gt;  14.079&lt;/_impact_factor&gt;&lt;_isbn&gt;1527-3350 (Electronic); 0270-9139 (Linking)&lt;/_isbn&gt;&lt;_journal&gt;Hepatology&lt;/_journal&gt;&lt;_keywords&gt;Proton pump inhibitors; hepatic encephalopathy; liver cirrhosis; psychometric evaluation&lt;/_keywords&gt;&lt;_language&gt;eng&lt;/_language&gt;&lt;_modified&gt;62599424&lt;/_modified&gt;&lt;_ori_publication&gt;This article is protected by copyright. All rights reserved.&lt;/_ori_publication&gt;&lt;_tertiary_title&gt;Hepatology (Baltimore, Md.)&lt;/_tertiary_title&gt;&lt;_type_work&gt;Journal Article&lt;/_type_work&gt;&lt;_url&gt;http://www.ncbi.nlm.nih.gov/entrez/query.fcgi?cmd=Retrieve&amp;amp;db=pubmed&amp;amp;dopt=Abstract&amp;amp;list_uids=30289992&amp;amp;query_hl=1&lt;/_url&gt;&lt;/Details&gt;&lt;Extra&gt;&lt;DBUID&gt;{9A7C78BD-F289-43CD-8CC7-97501B76739F}&lt;/DBUID&gt;&lt;/Extra&gt;&lt;/Item&gt;&lt;/References&gt;&lt;/Group&gt;&lt;Group&gt;&lt;References&gt;&lt;Item&gt;&lt;ID&gt;3013&lt;/ID&gt;&lt;UID&gt;{CF0C3E81-9E4E-493F-B810-3418E98FC16A}&lt;/UID&gt;&lt;Title&gt;Association of proton pump inhibitors with the risk of hepatic encephalopathy during hospitalization for liver cirrhosis&lt;/Title&gt;&lt;Template&gt;Journal Article&lt;/Template&gt;&lt;Star&gt;1&lt;/Star&gt;&lt;Tag&gt;0&lt;/Tag&gt;&lt;Author&gt;Zhu, J; Qi, X; Yu, H; Yoshida, E M; Mendez-Sanchez, N; Zhang, X; Wang, R; Deng, H; Li, J; Han, D; Guo, X&lt;/Author&gt;&lt;Year&gt;2018&lt;/Year&gt;&lt;Details&gt;&lt;_accession_num&gt;30288280&lt;/_accession_num&gt;&lt;_author_adr&gt;Liver Cirrhosis Study Group, Department of Gastroenterology, General Hospital of  Shenyang Military Area, Shenyang, China.; Postgraduate College, Shenyang Pharmaceutical University, Shenyang, China.; Liver Cirrhosis Study Group, Department of Gastroenterology, General Hospital of  Shenyang Military Area, Shenyang, China.; Postgraduate College, Shenyang Pharmaceutical University, Shenyang, China.; Division of Gastroenterology, Vancouver General Hospital, Vancouver, Canada.; Liver Research Unit, Medica Sur Clinic &amp;amp; Foundation, Mexico City, Mexico.;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lt;/_author_adr&gt;&lt;_created&gt;62599138&lt;/_created&gt;&lt;_date&gt;2018-10-01&lt;/_date&gt;&lt;_date_display&gt;2018 Oct&lt;/_date_display&gt;&lt;_doi&gt;10.1177/2050640618773564&lt;/_doi&gt;&lt;_impact_factor&gt;   3.477&lt;/_impact_factor&gt;&lt;_isbn&gt;2050-6406 (Print); 2050-6406 (Linking)&lt;/_isbn&gt;&lt;_issue&gt;8&lt;/_issue&gt;&lt;_journal&gt;United European Gastroenterol J&lt;/_journal&gt;&lt;_keywords&gt;Proton pump inhibitors; gut microbiota; hepatic encephalopathy; liver cirrhosis; risk&lt;/_keywords&gt;&lt;_language&gt;eng&lt;/_language&gt;&lt;_modified&gt;62599424&lt;/_modified&gt;&lt;_pages&gt;1179-1187&lt;/_pages&gt;&lt;_tertiary_title&gt;United European gastroenterology journal&lt;/_tertiary_title&gt;&lt;_type_work&gt;Journal Article&lt;/_type_work&gt;&lt;_url&gt;http://www.ncbi.nlm.nih.gov/entrez/query.fcgi?cmd=Retrieve&amp;amp;db=pubmed&amp;amp;dopt=Abstract&amp;amp;list_uids=30288280&amp;amp;query_hl=1&lt;/_url&gt;&lt;_volume&gt;6&lt;/_volume&gt;&lt;/Details&gt;&lt;Extra&gt;&lt;DBUID&gt;{9A7C78BD-F289-43CD-8CC7-97501B76739F}&lt;/DBUID&gt;&lt;/Extra&gt;&lt;/Item&gt;&lt;/References&gt;&lt;/Group&gt;&lt;Group&gt;&lt;References&gt;&lt;Item&gt;&lt;ID&gt;3071&lt;/ID&gt;&lt;UID&gt;{CBD045EF-5D80-4D06-839B-A8A3CF8DD60D}&lt;/UID&gt;&lt;Title&gt;Proton Pump Inhibitors Increase Risk for Hepatic Encephalopathy in Patients With  Cirrhosis in A Population Study&lt;/Title&gt;&lt;Template&gt;Journal Article&lt;/Template&gt;&lt;Star&gt;1&lt;/Star&gt;&lt;Tag&gt;0&lt;/Tag&gt;&lt;Author&gt;Tsai, C F; Chen, M H; Wang, Y P; Chu, C J; Huang, Y H; Lin, H C; Hou, M C; Lee, F Y; Su, T P; Lu, C L&lt;/Author&gt;&lt;Year&gt;2017&lt;/Year&gt;&lt;Details&gt;&lt;_accession_num&gt;27639806&lt;/_accession_num&gt;&lt;_author_adr&gt;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Electronic address: cllu@ym.edu.tw.&lt;/_author_adr&gt;&lt;_collection_scope&gt;SCI;SCIE;&lt;/_collection_scope&gt;&lt;_created&gt;62599138&lt;/_created&gt;&lt;_date&gt;2017-01-01&lt;/_date&gt;&lt;_date_display&gt;2017 Jan&lt;/_date_display&gt;&lt;_doi&gt;10.1053/j.gastro.2016.09.007&lt;/_doi&gt;&lt;_impact_factor&gt;  20.773&lt;/_impact_factor&gt;&lt;_isbn&gt;1528-0012 (Electronic); 0016-5085 (Linking)&lt;/_isbn&gt;&lt;_issue&gt;1&lt;/_issue&gt;&lt;_journal&gt;Gastroenterology&lt;/_journal&gt;&lt;_keywords&gt;2-Pyridinylmethylsulfinylbenzimidazoles/administration &amp;amp; dosage; Administrative Claims, Healthcare/statistics &amp;amp; numerical data; Adult; Aged; Case-Control Studies; Esomeprazole/administration &amp;amp; dosage; Female; Hepatic Encephalopathy/*epidemiology/*etiology; Humans; Incidence; Insurance, Health/statistics &amp;amp; numerical data; Lansoprazole/administration &amp;amp; dosage; Liver Cirrhosis/*complications; Longitudinal Studies; Male; Middle Aged; Omeprazole/administration &amp;amp; dosage; Pantoprazole; Proton Pump Inhibitors/*administration &amp;amp; dosage; Rabeprazole/administration &amp;amp; dosage; Taiwan/epidemiology*Acid Suppression; *Cognitive Dysfunction; *Gut Microbiota; *Liver Failure&lt;/_keywords&gt;&lt;_language&gt;eng&lt;/_language&gt;&lt;_modified&gt;62599424&lt;/_modified&gt;&lt;_ori_publication&gt;Copyright (c) 2017. Published by Elsevier Inc.&lt;/_ori_publication&gt;&lt;_pages&gt;134-141&lt;/_pages&gt;&lt;_tertiary_title&gt;Gastroenterology&lt;/_tertiary_title&gt;&lt;_type_work&gt;Journal Article&lt;/_type_work&gt;&lt;_url&gt;http://www.ncbi.nlm.nih.gov/entrez/query.fcgi?cmd=Retrieve&amp;amp;db=pubmed&amp;amp;dopt=Abstract&amp;amp;list_uids=27639806&amp;amp;query_hl=1&lt;/_url&gt;&lt;_volume&gt;152&lt;/_volume&gt;&lt;/Details&gt;&lt;Extra&gt;&lt;DBUID&gt;{9A7C78BD-F289-43CD-8CC7-97501B76739F}&lt;/DBUID&gt;&lt;/Extra&gt;&lt;/Item&gt;&lt;/References&gt;&lt;/Group&gt;&lt;Group&gt;&lt;References&gt;&lt;Item&gt;&lt;ID&gt;3073&lt;/ID&gt;&lt;UID&gt;{758F06D2-99D2-4E75-8CBA-0AA1101F5466}&lt;/UID&gt;&lt;Title&gt;Proton pump inhibitors as a risk factor for hepatic encephalopathy and spontaneous bacterial peritonitis in patients with cirrhosis with ascites&lt;/Title&gt;&lt;Template&gt;Generic&lt;/Template&gt;&lt;Star&gt;1&lt;/Star&gt;&lt;Tag&gt;0&lt;/Tag&gt;&lt;Author&gt;Dam, G; Vilstrup, H; Watson, H; Jepsen, P&lt;/Author&gt;&lt;Year&gt;2016&lt;/Year&gt;&lt;Details&gt;&lt;_accession_num&gt;27474889&lt;/_accession_num&gt;&lt;_author_adr&gt;Department of Hepatology and Gastroenterology, Aarhus University Hospital, Aarhus, Denmark. gitdam@rm.dk.; Department of Hepatology and Gastroenterology, Aarhus University Hospital, Aarhus, Denmark.; Sanofi Aventis R&amp;amp;D, Paris, France.; Department of Hepatology and Gastroenterology, Aarhus University Hospital, Aarhus, Denmark.; Department of Clinical Epidemiology, Aarhus University Hospital, Aarhus, Denmark.&lt;/_author_adr&gt;&lt;_collection_scope&gt;SCI;SCIE;&lt;/_collection_scope&gt;&lt;_created&gt;62599138&lt;/_created&gt;&lt;_date&gt;2016-10-01&lt;/_date&gt;&lt;_date_display&gt;2016 Oct&lt;/_date_display&gt;&lt;_doi&gt;10.1002/hep.28737&lt;/_doi&gt;&lt;_impact_factor&gt;  14.079&lt;/_impact_factor&gt;&lt;_isbn&gt;1527-3350 (Electronic); 0270-9139 (Linking)&lt;/_isbn&gt;&lt;_issue&gt;4&lt;/_issue&gt;&lt;_journal&gt;Hepatology&lt;/_journal&gt;&lt;_keywords&gt;Aged; Ascites/complications/drug therapy; Bacterial Infections/*chemically induced; Female; Hepatic Encephalopathy/*chemically induced; Humans; Liver Cirrhosis/complications; Male; Middle Aged; Peritonitis/*chemically induced/*microbiology; Proton Pump Inhibitors/*adverse effects/therapeutic use; Risk Factors&lt;/_keywords&gt;&lt;_language&gt;eng&lt;/_language&gt;&lt;_modified&gt;62599424&lt;/_modified&gt;&lt;_ori_publication&gt;(c) 2016 by the American Association for the Study of Liver Diseases.&lt;/_ori_publication&gt;&lt;_pages&gt;1265-72&lt;/_pages&gt;&lt;_tertiary_title&gt;Hepatology (Baltimore, Md.)&lt;/_tertiary_title&gt;&lt;_type_work&gt;Comparative Study; Journal Article; Research Support, Non-U.S. Gov&amp;apos;t&lt;/_type_work&gt;&lt;_url&gt;http://www.ncbi.nlm.nih.gov/entrez/query.fcgi?cmd=Retrieve&amp;amp;db=pubmed&amp;amp;dopt=Abstract&amp;amp;list_uids=27474889&amp;amp;query_hl=1&lt;/_url&gt;&lt;_volume&gt;64&lt;/_volume&gt;&lt;/Details&gt;&lt;Extra&gt;&lt;DBUID&gt;{9A7C78BD-F289-43CD-8CC7-97501B76739F}&lt;/DBUID&gt;&lt;/Extra&gt;&lt;/Item&gt;&lt;/References&gt;&lt;/Group&gt;&lt;Group&gt;&lt;References&gt;&lt;Item&gt;&lt;ID&gt;3127&lt;/ID&gt;&lt;UID&gt;{1D330603-B6F6-4B2A-9AB2-419A36FA7117}&lt;/UID&gt;&lt;Title&gt;Association of Proton Pump Inhibitor Therapy with Hepatic Encephalopathy in Hepatitis B Virus-related Acute-on-Chronic Liver Failure&lt;/Title&gt;&lt;Template&gt;Journal Article&lt;/Template&gt;&lt;Star&gt;1&lt;/Star&gt;&lt;Tag&gt;0&lt;/Tag&gt;&lt;Author&gt;Lin, Z N; Zuo, Y Q; Hu, P&lt;/Author&gt;&lt;Year&gt;2014&lt;/Year&gt;&lt;Details&gt;&lt;_accession_num&gt;24748895&lt;/_accession_num&gt;&lt;_author_adr&gt;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lt;/_author_adr&gt;&lt;_collection_scope&gt;SCIE;&lt;/_collection_scope&gt;&lt;_created&gt;62599138&lt;/_created&gt;&lt;_date&gt;2014-04-01&lt;/_date&gt;&lt;_date_display&gt;2014 Apr&lt;/_date_display&gt;&lt;_doi&gt;10.5812/hepatmon.16258&lt;/_doi&gt;&lt;_impact_factor&gt;   1.810&lt;/_impact_factor&gt;&lt;_isbn&gt;1735-143X (Print); 1735-143X (Linking)&lt;/_isbn&gt;&lt;_issue&gt;4&lt;/_issue&gt;&lt;_journal&gt;Hepat Mon&lt;/_journal&gt;&lt;_keywords&gt;Hepatic Encephalopathy; Hepatitis B Virus; Proton Pump Inhibitors&lt;/_keywords&gt;&lt;_language&gt;eng&lt;/_language&gt;&lt;_modified&gt;62599424&lt;/_modified&gt;&lt;_pages&gt;e16258&lt;/_pages&gt;&lt;_tertiary_title&gt;Hepatitis monthly&lt;/_tertiary_title&gt;&lt;_type_work&gt;Journal Article&lt;/_type_work&gt;&lt;_url&gt;http://www.ncbi.nlm.nih.gov/entrez/query.fcgi?cmd=Retrieve&amp;amp;db=pubmed&amp;amp;dopt=Abstract&amp;amp;list_uids=24748895&amp;amp;query_hl=1&lt;/_url&gt;&lt;_volume&gt;14&lt;/_volume&gt;&lt;/Details&gt;&lt;Extra&gt;&lt;DBUID&gt;{9A7C78BD-F289-43CD-8CC7-97501B76739F}&lt;/DBUID&gt;&lt;/Extra&gt;&lt;/Item&gt;&lt;/References&gt;&lt;/Group&gt;&lt;/Citation&gt;_x000a_"/>
    <w:docVar w:name="NE.Ref{4723A567-6AC7-4153-8435-D411BC0A8A90}" w:val=" ADDIN NE.Ref.{4723A567-6AC7-4153-8435-D411BC0A8A90}&lt;Citation&gt;&lt;Group&gt;&lt;References&gt;&lt;Item&gt;&lt;ID&gt;3635&lt;/ID&gt;&lt;UID&gt;{DD3F29E9-B60E-4003-9157-92642BB4C782}&lt;/UID&gt;&lt;Title&gt;Proton pump inhibitor treatment is associated with the severity of liver disease  and increased mortality in patients with cirrhosis&lt;/Title&gt;&lt;Template&gt;Journal Article&lt;/Template&gt;&lt;Star&gt;0&lt;/Star&gt;&lt;Tag&gt;0&lt;/Tag&gt;&lt;Author&gt;Dultz, G; Piiper, A; Zeuzem, S; Kronenberger, B; Waidmann, O&lt;/Author&gt;&lt;Year&gt;2015&lt;/Year&gt;&lt;Details&gt;&lt;_accession_num&gt;25523381&lt;/_accession_num&gt;&lt;_author_adr&gt;Medizinische Klinik 1, Schwerpunkt Gastroenterologie und Hepatologie, Universitatsklinikum Frankfurt, Goethe-Universitat, Frankfurt/Main, Germany.&lt;/_author_adr&gt;&lt;_date_display&gt;2015 Mar&lt;/_date_display&gt;&lt;_date&gt;2015-03-01&lt;/_date&gt;&lt;_doi&gt;10.1111/apt.13061&lt;/_doi&gt;&lt;_isbn&gt;1365-2036 (Electronic); 0269-2813 (Linking)&lt;/_isbn&gt;&lt;_issue&gt;5&lt;/_issue&gt;&lt;_journal&gt;Aliment Pharmacol Ther&lt;/_journal&gt;&lt;_keywords&gt;Adult; Age Factors; Aged; Aged, 80 and over; Bacterial Infections/epidemiology; Female; Germany; Humans; Incidence; Liver Cirrhosis/epidemiology/microbiology/*mortality; Liver Diseases/microbiology/mortality; Logistic Models; Male; Middle Aged; Prognosis; Prospective Studies; Proton Pump Inhibitors/*adverse effects; Risk Factors; Severity of Illness Index; Sex Factors&lt;/_keywords&gt;&lt;_language&gt;eng&lt;/_language&gt;&lt;_ori_publication&gt;(c) 2014 John Wiley &amp;amp; Sons Ltd.&lt;/_ori_publication&gt;&lt;_pages&gt;459-66&lt;/_pages&gt;&lt;_tertiary_title&gt;Alimentary pharmacology &amp;amp; therapeutics&lt;/_tertiary_title&gt;&lt;_type_work&gt;Clinical Trial; Journal Article; Research Support, Non-U.S. Gov&amp;apos;t&lt;/_type_work&gt;&lt;_url&gt;http://www.ncbi.nlm.nih.gov/entrez/query.fcgi?cmd=Retrieve&amp;amp;db=pubmed&amp;amp;dopt=Abstract&amp;amp;list_uids=25523381&amp;amp;query_hl=1&lt;/_url&gt;&lt;_volume&gt;41&lt;/_volume&gt;&lt;_created&gt;62606095&lt;/_created&gt;&lt;_modified&gt;62606095&lt;/_modified&gt;&lt;_impact_factor&gt;   7.357&lt;/_impact_factor&gt;&lt;/Details&gt;&lt;Extra&gt;&lt;DBUID&gt;{9A7C78BD-F289-43CD-8CC7-97501B76739F}&lt;/DBUID&gt;&lt;/Extra&gt;&lt;/Item&gt;&lt;/References&gt;&lt;/Group&gt;&lt;Group&gt;&lt;References&gt;&lt;Item&gt;&lt;ID&gt;3640&lt;/ID&gt;&lt;UID&gt;{7C864FA8-8D88-41D3-A825-FEE7F1557D46}&lt;/UID&gt;&lt;Title&gt;Proton pump inhibitor therapy and potential long-term harm&lt;/Title&gt;&lt;Template&gt;Journal Article&lt;/Template&gt;&lt;Star&gt;0&lt;/Star&gt;&lt;Tag&gt;0&lt;/Tag&gt;&lt;Author&gt;Corleto, V D; Festa, S; Di Giulio, E; Annibale, B&lt;/Author&gt;&lt;Year&gt;2014&lt;/Year&gt;&lt;Details&gt;&lt;_accession_num&gt;24310148&lt;/_accession_num&gt;&lt;_author_adr&gt;aDepartment of Gastroenterology and Digestive Endoscopy, School of Medicine and Psychology, Sapienza University of Rome, Sant&amp;apos;Andrea Hospital bCentro Ricerche S. Pietro, Ospedale S. Pietro, Rome, Italy.&lt;/_author_adr&gt;&lt;_date_display&gt;2014 Feb&lt;/_date_display&gt;&lt;_date&gt;2014-02-01&lt;/_date&gt;&lt;_doi&gt;10.1097/MED.0000000000000031&lt;/_doi&gt;&lt;_isbn&gt;1752-2978 (Electronic); 1752-296X (Linking)&lt;/_isbn&gt;&lt;_issue&gt;1&lt;/_issue&gt;&lt;_journal&gt;Curr Opin Endocrinol Diabetes Obes&lt;/_journal&gt;&lt;_keywords&gt;Achlorhydria/*chemically induced; Bone Density/*drug effects; Clostridium difficile/immunology; Delayed Diagnosis; Disease Susceptibility; Drug Interactions; Enterocolitis, Pseudomembranous/*chemically induced/immunology; Female; Gastroesophageal Reflux/*drug therapy; Humans; Hypocalcemia/*chemically induced; Magnesium Deficiency/congenital; Male; Practice Patterns, Physicians&amp;apos;; Proton Pump Inhibitors/administration &amp;amp;amp; dosage/*adverse effects; Renal Tubular Transport, Inborn Errors/*chemically induced; Time Factors&lt;/_keywords&gt;&lt;_language&gt;eng&lt;/_language&gt;&lt;_pages&gt;3-8&lt;/_pages&gt;&lt;_tertiary_title&gt;Current opinion in endocrinology, diabetes, and obesity&lt;/_tertiary_title&gt;&lt;_type_work&gt;Journal Article; Research Support, Non-U.S. Gov&amp;apos;t; Review&lt;/_type_work&gt;&lt;_url&gt;http://www.ncbi.nlm.nih.gov/entrez/query.fcgi?cmd=Retrieve&amp;amp;db=pubmed&amp;amp;dopt=Abstract&amp;amp;list_uids=24310148&amp;amp;query_hl=1&lt;/_url&gt;&lt;_volume&gt;21&lt;/_volume&gt;&lt;_created&gt;62609069&lt;/_created&gt;&lt;_modified&gt;62609069&lt;/_modified&gt;&lt;_db_updated&gt;PubMed&lt;/_db_updated&gt;&lt;/Details&gt;&lt;Extra&gt;&lt;DBUID&gt;{9A7C78BD-F289-43CD-8CC7-97501B76739F}&lt;/DBUID&gt;&lt;/Extra&gt;&lt;/Item&gt;&lt;/References&gt;&lt;/Group&gt;&lt;Group&gt;&lt;References&gt;&lt;Item&gt;&lt;ID&gt;3641&lt;/ID&gt;&lt;UID&gt;{3616B0A1-8513-4515-A2EA-78C5C9507927}&lt;/UID&gt;&lt;Title&gt;Use of Proton Pump Inhibitors and Risks of Fundic Gland Polyps and Gastric Cancer: Systematic Review and Meta-analysis&lt;/Title&gt;&lt;Template&gt;Journal Article&lt;/Template&gt;&lt;Star&gt;0&lt;/Star&gt;&lt;Tag&gt;0&lt;/Tag&gt;&lt;Author&gt;Tran-Duy, A; Spaetgens, B; Hoes, A W; de Wit, N J; Stehouwer, C D&lt;/Author&gt;&lt;Year&gt;2016&lt;/Year&gt;&lt;Details&gt;&lt;_accession_num&gt;27211501&lt;/_accession_num&gt;&lt;_author_adr&gt;Department of Internal Medicine, Maastricht University Medical Center, Maastricht, The Netherlands; Department of Clinical Epidemiology and Medical Technology Assessment, Maastricht University Medical Center, Maastricht, The Netherlands. Electronic address: an.tranduy@gmail.com.; Department of Internal Medicine, Maastricht University Medical Center, Maastricht, The Netherlands.; Julius Center for Health Sciences and Primary Care, UMC Utrecht, Utrecht, The Netherlands.; Julius Center for Health Sciences and Primary Care, UMC Utrecht, Utrecht, The Netherlands.; Department of Internal Medicine, Maastricht University Medical Center, Maastricht, The Netherlands.&lt;/_author_adr&gt;&lt;_date_display&gt;2016 Dec&lt;/_date_display&gt;&lt;_date&gt;2016-12-01&lt;/_date&gt;&lt;_doi&gt;10.1016/j.cgh.2016.05.018&lt;/_doi&gt;&lt;_isbn&gt;1542-7714 (Electronic); 1542-3565 (Linking)&lt;/_isbn&gt;&lt;_issue&gt;12&lt;/_issue&gt;&lt;_journal&gt;Clin Gastroenterol Hepatol&lt;/_journal&gt;&lt;_keywords&gt;Humans; Observational Studies as Topic; Polyps/*chemically induced/*epidemiology; Proton Pump Inhibitors/*adverse effects/*therapeutic use; Randomized Controlled Trials as Topic; Risk Assessment; Stomach Neoplasms/*chemically induced/*epidemiology*Acid-Suppressive Drug; *Neoplasm; *Side Effect; *Stomach Carcinoma&lt;/_keywords&gt;&lt;_language&gt;eng&lt;/_language&gt;&lt;_ori_publication&gt;Copyright (c) 2016 AGA Institute. Published by Elsevier Inc. All rights reserved.&lt;/_ori_publication&gt;&lt;_pages&gt;1706-1719.e5&lt;/_pages&gt;&lt;_tertiary_title&gt;Clinical gastroenterology and hepatology : the official clinical practice journal_x000d__x000a_      of the American Gastroenterological Association&lt;/_tertiary_title&gt;&lt;_type_work&gt;Journal Article; Review; Systematic Review&lt;/_type_work&gt;&lt;_url&gt;http://www.ncbi.nlm.nih.gov/entrez/query.fcgi?cmd=Retrieve&amp;amp;db=pubmed&amp;amp;dopt=Abstract&amp;amp;list_uids=27211501&amp;amp;query_hl=1&lt;/_url&gt;&lt;_volume&gt;14&lt;/_volume&gt;&lt;_created&gt;62609071&lt;/_created&gt;&lt;_modified&gt;62609071&lt;/_modified&gt;&lt;_db_updated&gt;PubMed&lt;/_db_updated&gt;&lt;_impact_factor&gt;   7.683&lt;/_impact_factor&gt;&lt;/Details&gt;&lt;Extra&gt;&lt;DBUID&gt;{9A7C78BD-F289-43CD-8CC7-97501B76739F}&lt;/DBUID&gt;&lt;/Extra&gt;&lt;/Item&gt;&lt;/References&gt;&lt;/Group&gt;&lt;/Citation&gt;_x000a_"/>
    <w:docVar w:name="NE.Ref{4C6EF433-9ADF-406D-9AB9-55B6882B1CF3}" w:val=" ADDIN NE.Ref.{4C6EF433-9ADF-406D-9AB9-55B6882B1CF3}&lt;Citation&gt;&lt;Group&gt;&lt;References&gt;&lt;Item&gt;&lt;ID&gt;3627&lt;/ID&gt;&lt;UID&gt;{0A9E3547-DA36-437A-99EE-8B331EF77913}&lt;/UID&gt;&lt;Title&gt;Hepatic encephalopathy in chronic liver disease: 2014 Practice Guideline by the American Association for the Study of Liver Diseases and the European Association for the Study of the Liver&lt;/Title&gt;&lt;Template&gt;Journal Article&lt;/Template&gt;&lt;Star&gt;0&lt;/Star&gt;&lt;Tag&gt;0&lt;/Tag&gt;&lt;Author&gt;Vilstrup, H; Amodio, P; Bajaj, J; Cordoba, J; Ferenci, P; Mullen, K D; Weissenborn, K; Wong, P&lt;/Author&gt;&lt;Year&gt;2014&lt;/Year&gt;&lt;Details&gt;&lt;_accession_num&gt;25042402&lt;/_accession_num&gt;&lt;_author_adr&gt;Department of Hepatology and Gastroenterology, Aarhus University Hospital, Aarhus, Denmark.&lt;/_author_adr&gt;&lt;_collection_scope&gt;SCI;SCIE;&lt;/_collection_scope&gt;&lt;_created&gt;62606095&lt;/_created&gt;&lt;_date&gt;2014-08-01&lt;/_date&gt;&lt;_date_display&gt;2014 Aug&lt;/_date_display&gt;&lt;_doi&gt;10.1002/hep.27210&lt;/_doi&gt;&lt;_impact_factor&gt;  14.079&lt;/_impact_factor&gt;&lt;_isbn&gt;1527-3350 (Electronic); 0270-9139 (Linking)&lt;/_isbn&gt;&lt;_issue&gt;2&lt;/_issue&gt;&lt;_journal&gt;Hepatology&lt;/_journal&gt;&lt;_keywords&gt;Chronic Disease; Europe; Hepatic Encephalopathy/*diagnosis/epidemiology/*therapy; Humans; Liver Diseases/*diagnosis/epidemiology/*therapy; United States&lt;/_keywords&gt;&lt;_language&gt;eng&lt;/_language&gt;&lt;_modified&gt;62606102&lt;/_modified&gt;&lt;_pages&gt;715-35&lt;/_pages&gt;&lt;_tertiary_title&gt;Hepatology (Baltimore, Md.)&lt;/_tertiary_title&gt;&lt;_type_work&gt;Journal Article; Practice Guideline&lt;/_type_work&gt;&lt;_url&gt;http://www.ncbi.nlm.nih.gov/entrez/query.fcgi?cmd=Retrieve&amp;amp;db=pubmed&amp;amp;dopt=Abstract&amp;amp;list_uids=25042402&amp;amp;query_hl=1&lt;/_url&gt;&lt;_volume&gt;60&lt;/_volume&gt;&lt;/Details&gt;&lt;Extra&gt;&lt;DBUID&gt;{9A7C78BD-F289-43CD-8CC7-97501B76739F}&lt;/DBUID&gt;&lt;/Extra&gt;&lt;/Item&gt;&lt;/References&gt;&lt;/Group&gt;&lt;/Citation&gt;_x000a_"/>
    <w:docVar w:name="NE.Ref{4E08810B-7B2B-416F-A805-AB9C89D8A10F}" w:val=" ADDIN NE.Ref.{4E08810B-7B2B-416F-A805-AB9C89D8A10F}&lt;Citation&gt;&lt;Group&gt;&lt;References&gt;&lt;Item&gt;&lt;ID&gt;3638&lt;/ID&gt;&lt;UID&gt;{0C630A43-8844-4A7E-AD78-BB21FB6F44A8}&lt;/UID&gt;&lt;Title&gt;When can odds ratios mislead?&lt;/Title&gt;&lt;Template&gt;Journal Article&lt;/Template&gt;&lt;Star&gt;0&lt;/Star&gt;&lt;Tag&gt;0&lt;/Tag&gt;&lt;Author&gt;Davies, H T; Crombie, I K; Tavakoli, M&lt;/Author&gt;&lt;Year&gt;1998&lt;/Year&gt;&lt;Details/&gt;&lt;Extra&gt;&lt;DBUID&gt;{9A7C78BD-F289-43CD-8CC7-97501B76739F}&lt;/DBUID&gt;&lt;/Extra&gt;&lt;/Item&gt;&lt;/References&gt;&lt;/Group&gt;&lt;/Citation&gt;_x000a_"/>
    <w:docVar w:name="NE.Ref{515CCD83-57D9-431E-88DA-E83FB59D5ACB}" w:val=" ADDIN NE.Ref.{515CCD83-57D9-431E-88DA-E83FB59D5ACB}&lt;Citation&gt;&lt;Group&gt;&lt;References&gt;&lt;Item&gt;&lt;ID&gt;3627&lt;/ID&gt;&lt;UID&gt;{0A9E3547-DA36-437A-99EE-8B331EF77913}&lt;/UID&gt;&lt;Title&gt;Hepatic encephalopathy in chronic liver disease: 2014 Practice Guideline by the American Association for the Study of Liver Diseases and the European Association for the Study of the Liver&lt;/Title&gt;&lt;Template&gt;Journal Article&lt;/Template&gt;&lt;Star&gt;0&lt;/Star&gt;&lt;Tag&gt;0&lt;/Tag&gt;&lt;Author&gt;Vilstrup, H; Amodio, P; Bajaj, J; Cordoba, J; Ferenci, P; Mullen, K D; Weissenborn, K; Wong, P&lt;/Author&gt;&lt;Year&gt;2014&lt;/Year&gt;&lt;Details&gt;&lt;_accession_num&gt;25042402&lt;/_accession_num&gt;&lt;_author_adr&gt;Department of Hepatology and Gastroenterology, Aarhus University Hospital, Aarhus, Denmark.&lt;/_author_adr&gt;&lt;_collection_scope&gt;SCI;SCIE;&lt;/_collection_scope&gt;&lt;_created&gt;62606095&lt;/_created&gt;&lt;_date&gt;2014-08-01&lt;/_date&gt;&lt;_date_display&gt;2014 Aug&lt;/_date_display&gt;&lt;_doi&gt;10.1002/hep.27210&lt;/_doi&gt;&lt;_impact_factor&gt;  14.079&lt;/_impact_factor&gt;&lt;_isbn&gt;1527-3350 (Electronic); 0270-9139 (Linking)&lt;/_isbn&gt;&lt;_issue&gt;2&lt;/_issue&gt;&lt;_journal&gt;Hepatology&lt;/_journal&gt;&lt;_keywords&gt;Chronic Disease; Europe; Hepatic Encephalopathy/*diagnosis/epidemiology/*therapy; Humans; Liver Diseases/*diagnosis/epidemiology/*therapy; United States&lt;/_keywords&gt;&lt;_language&gt;eng&lt;/_language&gt;&lt;_modified&gt;62606102&lt;/_modified&gt;&lt;_pages&gt;715-35&lt;/_pages&gt;&lt;_tertiary_title&gt;Hepatology (Baltimore, Md.)&lt;/_tertiary_title&gt;&lt;_type_work&gt;Journal Article; Practice Guideline&lt;/_type_work&gt;&lt;_url&gt;http://www.ncbi.nlm.nih.gov/entrez/query.fcgi?cmd=Retrieve&amp;amp;db=pubmed&amp;amp;dopt=Abstract&amp;amp;list_uids=25042402&amp;amp;query_hl=1&lt;/_url&gt;&lt;_volume&gt;60&lt;/_volume&gt;&lt;/Details&gt;&lt;Extra&gt;&lt;DBUID&gt;{9A7C78BD-F289-43CD-8CC7-97501B76739F}&lt;/DBUID&gt;&lt;/Extra&gt;&lt;/Item&gt;&lt;/References&gt;&lt;/Group&gt;&lt;Group&gt;&lt;References&gt;&lt;Item&gt;&lt;ID&gt;3628&lt;/ID&gt;&lt;UID&gt;{8DC12481-2695-4033-B4CF-177B7F07E2AE}&lt;/UID&gt;&lt;Title&gt;Screening of subclinical hepatic encephalopathy&lt;/Title&gt;&lt;Template&gt;Journal Article&lt;/Template&gt;&lt;Star&gt;0&lt;/Star&gt;&lt;Tag&gt;0&lt;/Tag&gt;&lt;Author&gt;Groeneweg, M; Moerland, W; Quero, J C; Hop, W C; Krabbe, P F; Schalm, S W&lt;/Author&gt;&lt;Year&gt;2000&lt;/Year&gt;&lt;Details&gt;&lt;_accession_num&gt;10845661&lt;/_accession_num&gt;&lt;_author_adr&gt;Department of Hepatogastroenterology, Erasmus University Hospital Rotterdam, The  Netherlands.&lt;/_author_adr&gt;&lt;_collection_scope&gt;SCI;SCIE;&lt;/_collection_scope&gt;&lt;_created&gt;62606095&lt;/_created&gt;&lt;_date&gt;2000-05-01&lt;/_date&gt;&lt;_date_display&gt;2000 May&lt;/_date_display&gt;&lt;_impact_factor&gt;  14.911&lt;/_impact_factor&gt;&lt;_isbn&gt;0168-8278 (Print); 0168-8278 (Linking)&lt;/_isbn&gt;&lt;_issue&gt;5&lt;/_issue&gt;&lt;_journal&gt;J Hepatol&lt;/_journal&gt;&lt;_keywords&gt;*Electroencephalography; Hepatic Encephalopathy/diagnosis/etiology/*physiopathology; Humans; Liver Cirrhosis/complications/physiopathology; Mass Screening; Multivariate Analysis; Outpatients; Predictive Value of Tests; *Psychological Tests; Psychometrics&lt;/_keywords&gt;&lt;_language&gt;eng&lt;/_language&gt;&lt;_modified&gt;62606102&lt;/_modified&gt;&lt;_pages&gt;748-53&lt;/_pages&gt;&lt;_tertiary_title&gt;Journal of hepatology&lt;/_tertiary_title&gt;&lt;_type_work&gt;Comparative Study; Journal Article&lt;/_type_work&gt;&lt;_url&gt;http://www.ncbi.nlm.nih.gov/entrez/query.fcgi?cmd=Retrieve&amp;amp;db=pubmed&amp;amp;dopt=Abstract&amp;amp;list_uids=10845661&amp;amp;query_hl=1&lt;/_url&gt;&lt;_volume&gt;32&lt;/_volume&gt;&lt;/Details&gt;&lt;Extra&gt;&lt;DBUID&gt;{9A7C78BD-F289-43CD-8CC7-97501B76739F}&lt;/DBUID&gt;&lt;/Extra&gt;&lt;/Item&gt;&lt;/References&gt;&lt;/Group&gt;&lt;Group&gt;&lt;References&gt;&lt;Item&gt;&lt;ID&gt;3629&lt;/ID&gt;&lt;UID&gt;{76F523F3-F94F-4065-ABC3-664728CFA27A}&lt;/UID&gt;&lt;Title&gt;Mechanisms, diagnosis and management of hepatic encephalopathy&lt;/Title&gt;&lt;Template&gt;Journal Article&lt;/Template&gt;&lt;Star&gt;0&lt;/Star&gt;&lt;Tag&gt;0&lt;/Tag&gt;&lt;Author&gt;Prakash, R; Mullen, K D&lt;/Author&gt;&lt;Year&gt;2010&lt;/Year&gt;&lt;Details&gt;&lt;_accession_num&gt;20703237&lt;/_accession_num&gt;&lt;_author_adr&gt;Division of Gastroenterology, MetroHealth Medical Center, Case Western Reserve University, 2500 MetroHealth Drive, Cleveland, OH 44109, USA.&lt;/_author_adr&gt;&lt;_created&gt;62606095&lt;/_created&gt;&lt;_date&gt;2010-09-01&lt;/_date&gt;&lt;_date_display&gt;2010 Sep&lt;/_date_display&gt;&lt;_doi&gt;10.1038/nrgastro.2010.116&lt;/_doi&gt;&lt;_impact_factor&gt;  16.990&lt;/_impact_factor&gt;&lt;_isbn&gt;1759-5053 (Electronic); 1759-5045 (Linking)&lt;/_isbn&gt;&lt;_issue&gt;9&lt;/_issue&gt;&lt;_journal&gt;Nat Rev Gastroenterol Hepatol&lt;/_journal&gt;&lt;_keywords&gt;Ammonia/metabolism; Gastrointestinal Agents/therapeutic use; Gastrointestinal Tract/metabolism; Hepatic Encephalopathy/*diagnosis/*drug therapy/etiology; Humans; Lactulose/therapeutic use; Neuropsychological Tests; Rifamycins/therapeutic use; Rifaximin&lt;/_keywords&gt;&lt;_language&gt;eng&lt;/_language&gt;&lt;_modified&gt;62606095&lt;/_modified&gt;&lt;_pages&gt;515-25&lt;/_pages&gt;&lt;_tertiary_title&gt;Nature reviews. Gastroenterology &amp;amp; hepatology&lt;/_tertiary_title&gt;&lt;_type_work&gt;Journal Article; Review&lt;/_type_work&gt;&lt;_url&gt;http://www.ncbi.nlm.nih.gov/entrez/query.fcgi?cmd=Retrieve&amp;amp;db=pubmed&amp;amp;dopt=Abstract&amp;amp;list_uids=20703237&amp;amp;query_hl=1&lt;/_url&gt;&lt;_volume&gt;7&lt;/_volume&gt;&lt;/Details&gt;&lt;Extra&gt;&lt;DBUID&gt;{9A7C78BD-F289-43CD-8CC7-97501B76739F}&lt;/DBUID&gt;&lt;/Extra&gt;&lt;/Item&gt;&lt;/References&gt;&lt;/Group&gt;&lt;Group&gt;&lt;References&gt;&lt;Item&gt;&lt;ID&gt;3630&lt;/ID&gt;&lt;UID&gt;{92703EC3-96E3-4F88-ADFB-E37F4AA00330}&lt;/UID&gt;&lt;Title&gt;Auditory P300 event-related potentials and number connection test for evaluation  of subclinical hepatic encephalopathy in patients with cirrhosis of the liver: a  follow-up study&lt;/Title&gt;&lt;Template&gt;Journal Article&lt;/Template&gt;&lt;Star&gt;0&lt;/Star&gt;&lt;Tag&gt;0&lt;/Tag&gt;&lt;Author&gt;Saxena, N; Bhatia, M; Joshi, Y K; Garg, P K; Tandon, R K&lt;/Author&gt;&lt;Year&gt;2001&lt;/Year&gt;&lt;Details&gt;&lt;_accession_num&gt;11339425&lt;/_accession_num&gt;&lt;_author_adr&gt;Department of Gastroenterology and Human Nutrition, All India Institute of Medical Sciences, New Delhi.&lt;/_author_adr&gt;&lt;_created&gt;62606095&lt;/_created&gt;&lt;_date&gt;2001-03-01&lt;/_date&gt;&lt;_date_display&gt;2001 Mar&lt;/_date_display&gt;&lt;_impact_factor&gt;   3.483&lt;/_impact_factor&gt;&lt;_isbn&gt;0815-9319 (Print); 0815-9319 (Linking)&lt;/_isbn&gt;&lt;_issue&gt;3&lt;/_issue&gt;&lt;_journal&gt;J Gastroenterol Hepatol&lt;/_journal&gt;&lt;_keywords&gt;Adolescent; Adult; Aged; Disease Progression; *Event-Related Potentials, P300; *Evoked Potentials, Auditory; Female; Follow-Up Studies; Hepatic Encephalopathy/*diagnosis/*etiology; Humans; Liver Cirrhosis/*complications; Male; Mathematics; Middle Aged; *Neuropsychological Tests; Reaction Time; Time Factors&lt;/_keywords&gt;&lt;_language&gt;eng&lt;/_language&gt;&lt;_modified&gt;62606095&lt;/_modified&gt;&lt;_pages&gt;322-7&lt;/_pages&gt;&lt;_tertiary_title&gt;Journal of gastroenterology and hepatology&lt;/_tertiary_title&gt;&lt;_type_work&gt;Journal Article&lt;/_type_work&gt;&lt;_url&gt;http://www.ncbi.nlm.nih.gov/entrez/query.fcgi?cmd=Retrieve&amp;amp;db=pubmed&amp;amp;dopt=Abstract&amp;amp;list_uids=11339425&amp;amp;query_hl=1&lt;/_url&gt;&lt;_volume&gt;16&lt;/_volume&gt;&lt;/Details&gt;&lt;Extra&gt;&lt;DBUID&gt;{9A7C78BD-F289-43CD-8CC7-97501B76739F}&lt;/DBUID&gt;&lt;/Extra&gt;&lt;/Item&gt;&lt;/References&gt;&lt;/Group&gt;&lt;Group&gt;&lt;References&gt;&lt;Item&gt;&lt;ID&gt;3631&lt;/ID&gt;&lt;UID&gt;{641C7C8D-14CE-476A-8211-960886F4F928}&lt;/UID&gt;&lt;Title&gt;Management options for minimal hepatic encephalopathy&lt;/Title&gt;&lt;Template&gt;Journal Article&lt;/Template&gt;&lt;Star&gt;0&lt;/Star&gt;&lt;Tag&gt;0&lt;/Tag&gt;&lt;Author&gt;Bajaj, J S&lt;/Author&gt;&lt;Year&gt;2008&lt;/Year&gt;&lt;Details&gt;&lt;_accession_num&gt;19090738&lt;/_accession_num&gt;&lt;_author_adr&gt;Division of Gastroenterology, Hepatology and Nutrition, Virginia Commonwealth University and McGuire VA Medical Center, 1201 Broad Rock Boulevard, Richmond, VA 23221, USA. jasmohan.bajaj@va.gov&lt;/_author_adr&gt;&lt;_created&gt;62606095&lt;/_created&gt;&lt;_date&gt;2008-12-01&lt;/_date&gt;&lt;_date_display&gt;2008 Dec&lt;/_date_display&gt;&lt;_doi&gt;10.1586/17474124.2.6.785&lt;/_doi&gt;&lt;_impact_factor&gt;   2.963&lt;/_impact_factor&gt;&lt;_isbn&gt;1747-4132 (Electronic); 1747-4124 (Linking)&lt;/_isbn&gt;&lt;_issue&gt;6&lt;/_issue&gt;&lt;_journal&gt;Expert Rev Gastroenterol Hepatol&lt;/_journal&gt;&lt;_keywords&gt;Cognition/physiology; Hepatic Encephalopathy/*diagnosis/psychology/*therapy; Humans; Lactulose/therapeutic use; Probiotics/therapeutic use; Psychometrics&lt;/_keywords&gt;&lt;_language&gt;eng&lt;/_language&gt;&lt;_modified&gt;62606105&lt;/_modified&gt;&lt;_pages&gt;785-90&lt;/_pages&gt;&lt;_tertiary_title&gt;Expert review of gastroenterology &amp;amp; hepatology&lt;/_tertiary_title&gt;&lt;_type_work&gt;Journal Article; Review&lt;/_type_work&gt;&lt;_url&gt;http://www.ncbi.nlm.nih.gov/entrez/query.fcgi?cmd=Retrieve&amp;amp;db=pubmed&amp;amp;dopt=Abstract&amp;amp;list_uids=19090738&amp;amp;query_hl=1&lt;/_url&gt;&lt;_volume&gt;2&lt;/_volume&gt;&lt;/Details&gt;&lt;Extra&gt;&lt;DBUID&gt;{9A7C78BD-F289-43CD-8CC7-97501B76739F}&lt;/DBUID&gt;&lt;/Extra&gt;&lt;/Item&gt;&lt;/References&gt;&lt;/Group&gt;&lt;/Citation&gt;_x000a_"/>
    <w:docVar w:name="NE.Ref{545D44C8-8578-4F2F-ABEC-73799F2BBA1F}" w:val=" ADDIN NE.Ref.{545D44C8-8578-4F2F-ABEC-73799F2BBA1F}&lt;Citation&gt;&lt;Group&gt;&lt;References&gt;&lt;Item&gt;&lt;ID&gt;3073&lt;/ID&gt;&lt;UID&gt;{758F06D2-99D2-4E75-8CBA-0AA1101F5466}&lt;/UID&gt;&lt;Title&gt;Proton pump inhibitors as a risk factor for hepatic encephalopathy and spontaneous bacterial peritonitis in patients with cirrhosis with ascites&lt;/Title&gt;&lt;Template&gt;Generic&lt;/Template&gt;&lt;Star&gt;1&lt;/Star&gt;&lt;Tag&gt;0&lt;/Tag&gt;&lt;Author&gt;Dam, G; Vilstrup, H; Watson, H; Jepsen, P&lt;/Author&gt;&lt;Year&gt;2016&lt;/Year&gt;&lt;Details&gt;&lt;_accession_num&gt;27474889&lt;/_accession_num&gt;&lt;_author_adr&gt;Department of Hepatology and Gastroenterology, Aarhus University Hospital, Aarhus, Denmark. gitdam@rm.dk.; Department of Hepatology and Gastroenterology, Aarhus University Hospital, Aarhus, Denmark.; Sanofi Aventis R&amp;amp;D, Paris, France.; Department of Hepatology and Gastroenterology, Aarhus University Hospital, Aarhus, Denmark.; Department of Clinical Epidemiology, Aarhus University Hospital, Aarhus, Denmark.&lt;/_author_adr&gt;&lt;_collection_scope&gt;SCI;SCIE;&lt;/_collection_scope&gt;&lt;_created&gt;62599138&lt;/_created&gt;&lt;_date&gt;2016-10-01&lt;/_date&gt;&lt;_date_display&gt;2016 Oct&lt;/_date_display&gt;&lt;_doi&gt;10.1002/hep.28737&lt;/_doi&gt;&lt;_impact_factor&gt;  14.079&lt;/_impact_factor&gt;&lt;_isbn&gt;1527-3350 (Electronic); 0270-9139 (Linking)&lt;/_isbn&gt;&lt;_issue&gt;4&lt;/_issue&gt;&lt;_journal&gt;Hepatology&lt;/_journal&gt;&lt;_keywords&gt;Aged; Ascites/complications/drug therapy; Bacterial Infections/*chemically induced; Female; Hepatic Encephalopathy/*chemically induced; Humans; Liver Cirrhosis/complications; Male; Middle Aged; Peritonitis/*chemically induced/*microbiology; Proton Pump Inhibitors/*adverse effects/therapeutic use; Risk Factors&lt;/_keywords&gt;&lt;_language&gt;eng&lt;/_language&gt;&lt;_modified&gt;62599424&lt;/_modified&gt;&lt;_ori_publication&gt;(c) 2016 by the American Association for the Study of Liver Diseases.&lt;/_ori_publication&gt;&lt;_pages&gt;1265-72&lt;/_pages&gt;&lt;_tertiary_title&gt;Hepatology (Baltimore, Md.)&lt;/_tertiary_title&gt;&lt;_type_work&gt;Comparative Study; Journal Article; Research Support, Non-U.S. Gov&amp;apos;t&lt;/_type_work&gt;&lt;_url&gt;http://www.ncbi.nlm.nih.gov/entrez/query.fcgi?cmd=Retrieve&amp;amp;db=pubmed&amp;amp;dopt=Abstract&amp;amp;list_uids=27474889&amp;amp;query_hl=1&lt;/_url&gt;&lt;_volume&gt;64&lt;/_volume&gt;&lt;/Details&gt;&lt;Extra&gt;&lt;DBUID&gt;{9A7C78BD-F289-43CD-8CC7-97501B76739F}&lt;/DBUID&gt;&lt;/Extra&gt;&lt;/Item&gt;&lt;/References&gt;&lt;/Group&gt;&lt;Group&gt;&lt;References&gt;&lt;Item&gt;&lt;ID&gt;3393&lt;/ID&gt;&lt;UID&gt;{8DC892CD-D907-4E07-AA90-3D6C418AA356}&lt;/UID&gt;&lt;Title&gt;Proton pump inhibitors increase the risk for hepatic encephalopathy in patients with cirrhosis and ascites&lt;/Title&gt;&lt;Template&gt;Journal Article&lt;/Template&gt;&lt;Star&gt;1&lt;/Star&gt;&lt;Tag&gt;0&lt;/Tag&gt;&lt;Author&gt;Matei, D; Pasca, S; David, A; Procopet, B; Stefanescu, H; Vesa, S; Andreica, V; Tantau, M&lt;/Author&gt;&lt;Year&gt;2017&lt;/Year&gt;&lt;Details&gt;&lt;_accessed&gt;62603912&lt;/_accessed&gt;&lt;_alternate_title&gt;J. Hepatol.&lt;/_alternate_title&gt;&lt;_author_adr&gt;D. Matei, University of Medicine and Pharmacy Iuliu Hatieganu, Romania&lt;/_author_adr&gt;&lt;_collection_scope&gt;SCI;SCIE;&lt;/_collection_scope&gt;&lt;_created&gt;62599139&lt;/_created&gt;&lt;_date&gt;2017-01-01&lt;/_date&gt;&lt;_date_display&gt;2017&lt;/_date_display&gt;&lt;_impact_factor&gt;  14.911&lt;/_impact_factor&gt;&lt;_isbn&gt;1600-0641&lt;/_isbn&gt;&lt;_issue&gt;1&lt;/_issue&gt;&lt;_journal&gt;Journal of Hepatology&lt;/_journal&gt;&lt;_keywords&gt;proton pump inhibitor; adult; animal experiment; animal model; ascites fluid; bacterial peritonitis; cancer model; conference abstract; controlled study; cross-sectional study; diagnosis; end stage liver disease; hepatic encephalopathy; hepatorenal syndrome; human; liver cell carcinoma; liver cirrhosis; male; Model For End Stage Liver Disease Score; multivariate analysis; nonhuman; risk assessment; risk factor; upper gastrointestinal bleeding&lt;/_keywords&gt;&lt;_modified&gt;62609713&lt;/_modified&gt;&lt;_pages&gt;S136&lt;/_pages&gt;&lt;_url&gt;http://www.embase.com/search/results?subaction=viewrecord&amp;amp;from=export&amp;amp;id=L621221874&lt;/_url&gt;&lt;_volume&gt;66&lt;/_volume&gt;&lt;/Details&gt;&lt;Extra&gt;&lt;DBUID&gt;{9A7C78BD-F289-43CD-8CC7-97501B76739F}&lt;/DBUID&gt;&lt;/Extra&gt;&lt;/Item&gt;&lt;/References&gt;&lt;/Group&gt;&lt;/Citation&gt;_x000a_"/>
    <w:docVar w:name="NE.Ref{59B60DA1-E0F3-4CB6-9C82-BDBE0B7F0151}" w:val=" ADDIN NE.Ref.{59B60DA1-E0F3-4CB6-9C82-BDBE0B7F0151}&lt;Citation&gt;&lt;Group&gt;&lt;References&gt;&lt;Item&gt;&lt;ID&gt;3012&lt;/ID&gt;&lt;UID&gt;{A517CA25-CF32-467A-97CA-B87CDE069B81}&lt;/UID&gt;&lt;Title&gt;Proton pump inhibitors are associated to minimal and overt hepatic encephalopathy and increase mortality in cirrhotics&lt;/Title&gt;&lt;Template&gt;Journal Article&lt;/Template&gt;&lt;Star&gt;1&lt;/Star&gt;&lt;Tag&gt;0&lt;/Tag&gt;&lt;Author&gt;Nardelli, S; Gioia, S; Ridola, L; Farcomeni, A; Merli, M; Riggio, O&lt;/Author&gt;&lt;Year&gt;2018&lt;/Year&gt;&lt;Details&gt;&lt;_accession_num&gt;30289992&lt;/_accession_num&gt;&lt;_author_adr&gt;Dept. of Clinical Medicine, &amp;quot;Sapienza&amp;quot; University of Rome, Rome, Italy.; Dept. of Clinical Medicine, &amp;quot;Sapienza&amp;quot; University of Rome, Rome, Italy.; Dept. of Clinical Medicine, &amp;quot;Sapienza&amp;quot; University of Rome, Rome, Italy.; Dept. of Clinical Medicine, &amp;quot;Sapienza&amp;quot; University of Rome, Rome, Italy.; Dept. of Public Health and Infectious Diseases, &amp;quot;Sapienza&amp;quot; University of Rome, Rome, Italy.; Dept. of Clinical Medicine, &amp;quot;Sapienza&amp;quot; University of Rome, Rome, Italy.; Dept. of Clinical Medicine, &amp;quot;Sapienza&amp;quot; University of Rome, Rome, Italy.&lt;/_author_adr&gt;&lt;_collection_scope&gt;SCI;SCIE;&lt;/_collection_scope&gt;&lt;_created&gt;62599138&lt;/_created&gt;&lt;_date&gt;2018-10-05&lt;/_date&gt;&lt;_date_display&gt;2018 Oct 5&lt;/_date_display&gt;&lt;_doi&gt;10.1002/hep.30304&lt;/_doi&gt;&lt;_impact_factor&gt;  14.079&lt;/_impact_factor&gt;&lt;_isbn&gt;1527-3350 (Electronic); 0270-9139 (Linking)&lt;/_isbn&gt;&lt;_journal&gt;Hepatology&lt;/_journal&gt;&lt;_keywords&gt;Proton pump inhibitors; hepatic encephalopathy; liver cirrhosis; psychometric evaluation&lt;/_keywords&gt;&lt;_language&gt;eng&lt;/_language&gt;&lt;_modified&gt;62599424&lt;/_modified&gt;&lt;_ori_publication&gt;This article is protected by copyright. All rights reserved.&lt;/_ori_publication&gt;&lt;_tertiary_title&gt;Hepatology (Baltimore, Md.)&lt;/_tertiary_title&gt;&lt;_type_work&gt;Journal Article&lt;/_type_work&gt;&lt;_url&gt;http://www.ncbi.nlm.nih.gov/entrez/query.fcgi?cmd=Retrieve&amp;amp;db=pubmed&amp;amp;dopt=Abstract&amp;amp;list_uids=30289992&amp;amp;query_hl=1&lt;/_url&gt;&lt;/Details&gt;&lt;Extra&gt;&lt;DBUID&gt;{9A7C78BD-F289-43CD-8CC7-97501B76739F}&lt;/DBUID&gt;&lt;/Extra&gt;&lt;/Item&gt;&lt;/References&gt;&lt;/Group&gt;&lt;/Citation&gt;_x000a_"/>
    <w:docVar w:name="NE.Ref{674A039E-57A9-4088-BD5F-EB0303AD3423}" w:val=" ADDIN NE.Ref.{674A039E-57A9-4088-BD5F-EB0303AD3423}&lt;Citation&gt;&lt;Group&gt;&lt;References&gt;&lt;Item&gt;&lt;ID&gt;3012&lt;/ID&gt;&lt;UID&gt;{A517CA25-CF32-467A-97CA-B87CDE069B81}&lt;/UID&gt;&lt;Title&gt;Proton pump inhibitors are associated to minimal and overt hepatic encephalopathy and increase mortality in cirrhotics&lt;/Title&gt;&lt;Template&gt;Journal Article&lt;/Template&gt;&lt;Star&gt;1&lt;/Star&gt;&lt;Tag&gt;0&lt;/Tag&gt;&lt;Author&gt;Nardelli, S; Gioia, S; Ridola, L; Farcomeni, A; Merli, M; Riggio, O&lt;/Author&gt;&lt;Year&gt;2018&lt;/Year&gt;&lt;Details&gt;&lt;_accession_num&gt;30289992&lt;/_accession_num&gt;&lt;_author_adr&gt;Dept. of Clinical Medicine, &amp;quot;Sapienza&amp;quot; University of Rome, Rome, Italy.; Dept. of Clinical Medicine, &amp;quot;Sapienza&amp;quot; University of Rome, Rome, Italy.; Dept. of Clinical Medicine, &amp;quot;Sapienza&amp;quot; University of Rome, Rome, Italy.; Dept. of Clinical Medicine, &amp;quot;Sapienza&amp;quot; University of Rome, Rome, Italy.; Dept. of Public Health and Infectious Diseases, &amp;quot;Sapienza&amp;quot; University of Rome, Rome, Italy.; Dept. of Clinical Medicine, &amp;quot;Sapienza&amp;quot; University of Rome, Rome, Italy.; Dept. of Clinical Medicine, &amp;quot;Sapienza&amp;quot; University of Rome, Rome, Italy.&lt;/_author_adr&gt;&lt;_collection_scope&gt;SCI;SCIE;&lt;/_collection_scope&gt;&lt;_created&gt;62599138&lt;/_created&gt;&lt;_date&gt;2018-10-05&lt;/_date&gt;&lt;_date_display&gt;2018 Oct 5&lt;/_date_display&gt;&lt;_doi&gt;10.1002/hep.30304&lt;/_doi&gt;&lt;_impact_factor&gt;  14.079&lt;/_impact_factor&gt;&lt;_isbn&gt;1527-3350 (Electronic); 0270-9139 (Linking)&lt;/_isbn&gt;&lt;_journal&gt;Hepatology&lt;/_journal&gt;&lt;_keywords&gt;Proton pump inhibitors; hepatic encephalopathy; liver cirrhosis; psychometric evaluation&lt;/_keywords&gt;&lt;_language&gt;eng&lt;/_language&gt;&lt;_modified&gt;62599424&lt;/_modified&gt;&lt;_ori_publication&gt;This article is protected by copyright. All rights reserved.&lt;/_ori_publication&gt;&lt;_tertiary_title&gt;Hepatology (Baltimore, Md.)&lt;/_tertiary_title&gt;&lt;_type_work&gt;Journal Article&lt;/_type_work&gt;&lt;_url&gt;http://www.ncbi.nlm.nih.gov/entrez/query.fcgi?cmd=Retrieve&amp;amp;db=pubmed&amp;amp;dopt=Abstract&amp;amp;list_uids=30289992&amp;amp;query_hl=1&lt;/_url&gt;&lt;/Details&gt;&lt;Extra&gt;&lt;DBUID&gt;{9A7C78BD-F289-43CD-8CC7-97501B76739F}&lt;/DBUID&gt;&lt;/Extra&gt;&lt;/Item&gt;&lt;/References&gt;&lt;/Group&gt;&lt;Group&gt;&lt;References&gt;&lt;Item&gt;&lt;ID&gt;3071&lt;/ID&gt;&lt;UID&gt;{CBD045EF-5D80-4D06-839B-A8A3CF8DD60D}&lt;/UID&gt;&lt;Title&gt;Proton Pump Inhibitors Increase Risk for Hepatic Encephalopathy in Patients With  Cirrhosis in A Population Study&lt;/Title&gt;&lt;Template&gt;Journal Article&lt;/Template&gt;&lt;Star&gt;1&lt;/Star&gt;&lt;Tag&gt;0&lt;/Tag&gt;&lt;Author&gt;Tsai, C F; Chen, M H; Wang, Y P; Chu, C J; Huang, Y H; Lin, H C; Hou, M C; Lee, F Y; Su, T P; Lu, C L&lt;/Author&gt;&lt;Year&gt;2017&lt;/Year&gt;&lt;Details&gt;&lt;_accession_num&gt;27639806&lt;/_accession_num&gt;&lt;_author_adr&gt;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Electronic address: cllu@ym.edu.tw.&lt;/_author_adr&gt;&lt;_collection_scope&gt;SCI;SCIE;&lt;/_collection_scope&gt;&lt;_created&gt;62599138&lt;/_created&gt;&lt;_date&gt;2017-01-01&lt;/_date&gt;&lt;_date_display&gt;2017 Jan&lt;/_date_display&gt;&lt;_doi&gt;10.1053/j.gastro.2016.09.007&lt;/_doi&gt;&lt;_impact_factor&gt;  20.773&lt;/_impact_factor&gt;&lt;_isbn&gt;1528-0012 (Electronic); 0016-5085 (Linking)&lt;/_isbn&gt;&lt;_issue&gt;1&lt;/_issue&gt;&lt;_journal&gt;Gastroenterology&lt;/_journal&gt;&lt;_keywords&gt;2-Pyridinylmethylsulfinylbenzimidazoles/administration &amp;amp; dosage; Administrative Claims, Healthcare/statistics &amp;amp; numerical data; Adult; Aged; Case-Control Studies; Esomeprazole/administration &amp;amp; dosage; Female; Hepatic Encephalopathy/*epidemiology/*etiology; Humans; Incidence; Insurance, Health/statistics &amp;amp; numerical data; Lansoprazole/administration &amp;amp; dosage; Liver Cirrhosis/*complications; Longitudinal Studies; Male; Middle Aged; Omeprazole/administration &amp;amp; dosage; Pantoprazole; Proton Pump Inhibitors/*administration &amp;amp; dosage; Rabeprazole/administration &amp;amp; dosage; Taiwan/epidemiology*Acid Suppression; *Cognitive Dysfunction; *Gut Microbiota; *Liver Failure&lt;/_keywords&gt;&lt;_language&gt;eng&lt;/_language&gt;&lt;_modified&gt;62599424&lt;/_modified&gt;&lt;_ori_publication&gt;Copyright (c) 2017. Published by Elsevier Inc.&lt;/_ori_publication&gt;&lt;_pages&gt;134-141&lt;/_pages&gt;&lt;_tertiary_title&gt;Gastroenterology&lt;/_tertiary_title&gt;&lt;_type_work&gt;Journal Article&lt;/_type_work&gt;&lt;_url&gt;http://www.ncbi.nlm.nih.gov/entrez/query.fcgi?cmd=Retrieve&amp;amp;db=pubmed&amp;amp;dopt=Abstract&amp;amp;list_uids=27639806&amp;amp;query_hl=1&lt;/_url&gt;&lt;_volume&gt;152&lt;/_volume&gt;&lt;/Details&gt;&lt;Extra&gt;&lt;DBUID&gt;{9A7C78BD-F289-43CD-8CC7-97501B76739F}&lt;/DBUID&gt;&lt;/Extra&gt;&lt;/Item&gt;&lt;/References&gt;&lt;/Group&gt;&lt;Group&gt;&lt;References&gt;&lt;Item&gt;&lt;ID&gt;3310&lt;/ID&gt;&lt;UID&gt;{0B7FC440-7258-441B-AB6B-96920CC08583}&lt;/UID&gt;&lt;Title&gt;Incidence and predictors of hepatic encephalopathy in a population-based cohort of older americans with cirrhosis: Role of opiates, benzodiazepines and proton-pump inhibitors (PPIs)&lt;/Title&gt;&lt;Template&gt;Journal Article&lt;/Template&gt;&lt;Star&gt;1&lt;/Star&gt;&lt;Tag&gt;0&lt;/Tag&gt;&lt;Author&gt;Tapper, E B; Henderson, J; Baki, J; Parikh, N D; Lok, A S&lt;/Author&gt;&lt;Year&gt;2018&lt;/Year&gt;&lt;Details&gt;&lt;_alternate_title&gt;Hepatology&lt;/_alternate_title&gt;&lt;_author_adr&gt;E.B. Tapper, Division of Gastroenterology and Hepatology, University of Michigan Medical Center,&lt;/_author_adr&gt;&lt;_collection_scope&gt;SCI;SCIE;&lt;/_collection_scope&gt;&lt;_created&gt;62599139&lt;/_created&gt;&lt;_date&gt;2018-01-01&lt;/_date&gt;&lt;_date_display&gt;2018&lt;/_date_display&gt;&lt;_doi&gt;10.1002/hep.30256&lt;/_doi&gt;&lt;_impact_factor&gt;  14.079&lt;/_impact_factor&gt;&lt;_isbn&gt;1527-3350&lt;/_isbn&gt;&lt;_journal&gt;Hepatology&lt;/_journal&gt;&lt;_keywords&gt;alcohol; benzodiazepine derivative; lactulose; proton pump inhibitor; rifaximin; adult; alcohol liver cirrhosis; American; animal experiment; animal model; ascites; cancer patient; Charlson Comorbidity Index; cohort analysis; conference abstract; controlled study; diagnosis; drug combination; drug therapy; drug toxicity; female; follow up; gastroenterologist; hemodialysis; hepatic encephalopathy; hepatitis; ICD-9; liver cell carcinoma; male; medicaid; medicare; morbidity; nonhuman; paracentesis; portal hypertension; race; random sample; risk assessment; risk factor; varicosis&lt;/_keywords&gt;&lt;_modified&gt;62609713&lt;/_modified&gt;&lt;_pages&gt;138A&lt;/_pages&gt;&lt;_url&gt;http://www.embase.com/search/results?subaction=viewrecord&amp;amp;from=export&amp;amp;id=L624565019_x000d__x000a_http://dx.doi.org/10.1002/hep.30256&lt;/_url&gt;&lt;_volume&gt;68&lt;/_volume&gt;&lt;/Details&gt;&lt;Extra&gt;&lt;DBUID&gt;{9A7C78BD-F289-43CD-8CC7-97501B76739F}&lt;/DBUID&gt;&lt;/Extra&gt;&lt;/Item&gt;&lt;/References&gt;&lt;/Group&gt;&lt;Group&gt;&lt;References&gt;&lt;Item&gt;&lt;ID&gt;3393&lt;/ID&gt;&lt;UID&gt;{8DC892CD-D907-4E07-AA90-3D6C418AA356}&lt;/UID&gt;&lt;Title&gt;Proton pump inhibitors increase the risk for hepatic encephalopathy in patients with cirrhosis and ascites&lt;/Title&gt;&lt;Template&gt;Journal Article&lt;/Template&gt;&lt;Star&gt;1&lt;/Star&gt;&lt;Tag&gt;0&lt;/Tag&gt;&lt;Author&gt;Matei, D; Pasca, S; David, A; Procopet, B; Stefanescu, H; Vesa, S; Andreica, V; Tantau, M&lt;/Author&gt;&lt;Year&gt;2017&lt;/Year&gt;&lt;Details&gt;&lt;_accessed&gt;62603912&lt;/_accessed&gt;&lt;_alternate_title&gt;J. Hepatol.&lt;/_alternate_title&gt;&lt;_author_adr&gt;D. Matei, University of Medicine and Pharmacy Iuliu Hatieganu, Romania&lt;/_author_adr&gt;&lt;_collection_scope&gt;SCI;SCIE;&lt;/_collection_scope&gt;&lt;_created&gt;62599139&lt;/_created&gt;&lt;_date&gt;2017-01-01&lt;/_date&gt;&lt;_date_display&gt;2017&lt;/_date_display&gt;&lt;_impact_factor&gt;  14.911&lt;/_impact_factor&gt;&lt;_isbn&gt;1600-0641&lt;/_isbn&gt;&lt;_issue&gt;1&lt;/_issue&gt;&lt;_journal&gt;Journal of Hepatology&lt;/_journal&gt;&lt;_keywords&gt;proton pump inhibitor; adult; animal experiment; animal model; ascites fluid; bacterial peritonitis; cancer model; conference abstract; controlled study; cross-sectional study; diagnosis; end stage liver disease; hepatic encephalopathy; hepatorenal syndrome; human; liver cell carcinoma; liver cirrhosis; male; Model For End Stage Liver Disease Score; multivariate analysis; nonhuman; risk assessment; risk factor; upper gastrointestinal bleeding&lt;/_keywords&gt;&lt;_modified&gt;62609713&lt;/_modified&gt;&lt;_pages&gt;S136&lt;/_pages&gt;&lt;_url&gt;http://www.embase.com/search/results?subaction=viewrecord&amp;amp;from=export&amp;amp;id=L621221874&lt;/_url&gt;&lt;_volume&gt;66&lt;/_volume&gt;&lt;/Details&gt;&lt;Extra&gt;&lt;DBUID&gt;{9A7C78BD-F289-43CD-8CC7-97501B76739F}&lt;/DBUID&gt;&lt;/Extra&gt;&lt;/Item&gt;&lt;/References&gt;&lt;/Group&gt;&lt;/Citation&gt;_x000a_"/>
    <w:docVar w:name="NE.Ref{69812CCE-F85C-4FDA-B92E-973BCADB0420}" w:val=" ADDIN NE.Ref.{69812CCE-F85C-4FDA-B92E-973BCADB0420}&lt;Citation&gt;&lt;Group&gt;&lt;References&gt;&lt;Item&gt;&lt;ID&gt;3019&lt;/ID&gt;&lt;UID&gt;{66CAD162-D6CA-4BF6-B8B8-166B54A20275}&lt;/UID&gt;&lt;Title&gt;要数据-Dose-dependent impact of proton pump inhibitors on the clinical course of spontaneous bacterial peritonitis&lt;/Title&gt;&lt;Template&gt;Journal Article&lt;/Template&gt;&lt;Star&gt;0&lt;/Star&gt;&lt;Tag&gt;0&lt;/Tag&gt;&lt;Author&gt;Tergast, T L; Wranke, A; Laser, H; Gerbel, S; Manns, M P; Cornberg, M; Maasoumy, B&lt;/Author&gt;&lt;Year&gt;2018&lt;/Year&gt;&lt;Details&gt;&lt;_accession_num&gt;29675988&lt;/_accession_num&gt;&lt;_author_adr&gt;Department of Gastroenterology, Hepatology and Endocrinology, Hannover Medical School, Hannover, Germany.; Department of Gastroenterology, Hepatology and Endocrinology, Hannover Medical School, Hannover, Germany.; Centre for Information Management (ZIMt), Hannover Medical School, Hannover, Germany.; Centre for Information Management (ZIMt), Hannover Medical School, Hannover, Germany.; Department of Gastroenterology, Hepatology and Endocrinology, Hannover Medical School, Hannover, Germany.; German Centre for Infection Research (Deutsches Zentrum fur Infektionsforschung DZIF), Partner-site Hannover-Braunschweig, Hannover, Germany.; Centre for Individualised Infection Medicine (CIIM), c/o CRC Hannover, Hannover,  Germany.; Department of Gastroenterology, Hepatology and Endocrinology, Hannover Medical School, Hannover, Germany.; German Centre for Infection Research (Deutsches Zentrum fur Infektionsforschung DZIF), Partner-site Hannover-Braunschweig, Hannover, Germany.; Centre for Individualised Infection Medicine (CIIM), c/o CRC Hannover, Hannover,  Germany.; Department of Gastroenterology, Hepatology and Endocrinology, Hannover Medical School, Hannover, Germany.; German Centre for Infection Research (Deutsches Zentrum fur Infektionsforschung DZIF), Partner-site Hannover-Braunschweig, Hannover, Germany.&lt;/_author_adr&gt;&lt;_collection_scope&gt;SCI;SCIE;&lt;/_collection_scope&gt;&lt;_created&gt;62599138&lt;/_created&gt;&lt;_date&gt;2018-09-01&lt;/_date&gt;&lt;_date_display&gt;2018 Sep&lt;/_date_display&gt;&lt;_doi&gt;10.1111/liv.13862&lt;/_doi&gt;&lt;_impact_factor&gt;   4.500&lt;/_impact_factor&gt;&lt;_isbn&gt;1478-3231 (Electronic); 1478-3223 (Linking)&lt;/_isbn&gt;&lt;_issue&gt;9&lt;/_issue&gt;&lt;_journal&gt;Liver Int&lt;/_journal&gt;&lt;_keywords&gt;SBP; cirrhosis; infection; proton pump inhibitor&lt;/_keywords&gt;&lt;_language&gt;eng&lt;/_language&gt;&lt;_modified&gt;62599439&lt;/_modified&gt;&lt;_ori_publication&gt;(c) 2018 John Wiley &amp;amp; Sons A/S. Published by John Wiley &amp;amp; Sons Ltd.&lt;/_ori_publication&gt;&lt;_pages&gt;1602-1613&lt;/_pages&gt;&lt;_tertiary_title&gt;Liver international : official journal of the International Association for the_x000d__x000a_      Study of the Liver&lt;/_tertiary_title&gt;&lt;_type_work&gt;Journal Article&lt;/_type_work&gt;&lt;_url&gt;http://www.ncbi.nlm.nih.gov/entrez/query.fcgi?cmd=Retrieve&amp;amp;db=pubmed&amp;amp;dopt=Abstract&amp;amp;list_uids=29675988&amp;amp;query_hl=1&lt;/_url&gt;&lt;_volume&gt;38&lt;/_volume&gt;&lt;/Details&gt;&lt;Extra&gt;&lt;DBUID&gt;{9A7C78BD-F289-43CD-8CC7-97501B76739F}&lt;/DBUID&gt;&lt;/Extra&gt;&lt;/Item&gt;&lt;/References&gt;&lt;/Group&gt;&lt;Group&gt;&lt;References&gt;&lt;Item&gt;&lt;ID&gt;3342&lt;/ID&gt;&lt;UID&gt;{15D079E8-E4D1-4936-849C-D427E80B4CAD}&lt;/UID&gt;&lt;Title&gt;Proton pump inhibitors increase the overall risk of developing bacterial infections in patients with cirrhosis&lt;/Title&gt;&lt;Template&gt;Journal Article&lt;/Template&gt;&lt;Star&gt;0&lt;/Star&gt;&lt;Tag&gt;0&lt;/Tag&gt;&lt;Author&gt;Lázaro-Pacheco, I B; Servín-Caamaño, A I; Pérez-Hernández, J L; Rojas-Loureiro, G; Servín-Abad, L; Higuera-De, La Tijera F&lt;/Author&gt;&lt;Year&gt;2018&lt;/Year&gt;&lt;Details&gt;&lt;_alternate_title&gt;Arq. Gastroenterol.Inibidores de bomba protônica aumentam o risco geral de desenvolver infecções bacterianas em pacientes com cirrose&lt;/_alternate_title&gt;&lt;_author_adr&gt;F. Higuera-De La Tijera, Gastroenterology and Hepatology Department, Hospital General de México, Dr. Eduardo Liceaga, Dr. Balmis 148, Mexico City, Mexico&lt;/_author_adr&gt;&lt;_created&gt;62599139&lt;/_created&gt;&lt;_date&gt;2018-01-01&lt;/_date&gt;&lt;_date_display&gt;2018&lt;/_date_display&gt;&lt;_doi&gt;10.1590/s0004-2803.201800000-09&lt;/_doi&gt;&lt;_isbn&gt;1678-4219&lt;/_isbn&gt;&lt;_issue&gt;1&lt;/_issue&gt;&lt;_journal&gt;Arquivos de Gastroenterologia&lt;/_journal&gt;&lt;_keywords&gt;albumin; alcohol; autoantibody; bilirubin; creatinine; proton pump inhibitor; sodium; adult; article; ascites; bacterial infection; bacterial peritonitis; bleeding; cellulitis; cohort analysis; esophagus candidiasis; hepatic encephalopathy; human; infection risk; liver cirrhosis; male; periodontal abscess; pneumonia; retrospective study; risk assessment; urinary tract infection; Varicella zoster virus&lt;/_keywords&gt;&lt;_modified&gt;62599214&lt;/_modified&gt;&lt;_pages&gt;28-32&lt;/_pages&gt;&lt;_url&gt;http://www.embase.com/search/results?subaction=viewrecord&amp;amp;from=export&amp;amp;id=L621325378_x000d__x000a_http://dx.doi.org/10.1590/s0004-2803.201800000-09&lt;/_url&gt;&lt;_volume&gt;55&lt;/_volume&gt;&lt;/Details&gt;&lt;Extra&gt;&lt;DBUID&gt;{9A7C78BD-F289-43CD-8CC7-97501B76739F}&lt;/DBUID&gt;&lt;/Extra&gt;&lt;/Item&gt;&lt;/References&gt;&lt;/Group&gt;&lt;Group&gt;&lt;References&gt;&lt;Item&gt;&lt;ID&gt;3458&lt;/ID&gt;&lt;UID&gt;{A6391D0D-BA26-4FF9-A2C3-1F66F2DE7873}&lt;/UID&gt;&lt;Title&gt;Proton pump inhibitor use is associated with spontaneous bacterial peritonitis in patients with liver cirrhosis&lt;/Title&gt;&lt;Template&gt;Journal Article&lt;/Template&gt;&lt;Star&gt;0&lt;/Star&gt;&lt;Tag&gt;0&lt;/Tag&gt;&lt;Author&gt;Miura, K; Tanaka, A; Yamamoto, T; Adachi, M; Takikawa, H&lt;/Author&gt;&lt;Year&gt;2014&lt;/Year&gt;&lt;Details&gt;&lt;_alternate_title&gt;Intern. Med.&lt;/_alternate_title&gt;&lt;_author_adr&gt;A. Tanaka, Department of Medicine, Teikyo University School of Medicine, Japan&lt;/_author_adr&gt;&lt;_collection_scope&gt;SCIE;&lt;/_collection_scope&gt;&lt;_created&gt;62599139&lt;/_created&gt;&lt;_date&gt;2014-01-01&lt;/_date&gt;&lt;_date_display&gt;2014&lt;/_date_display&gt;&lt;_doi&gt;10.2169/internalmedicine.53.2021&lt;/_doi&gt;&lt;_impact_factor&gt;   0.817&lt;/_impact_factor&gt;&lt;_isbn&gt;1349-7235&lt;/_isbn&gt;&lt;_issue&gt;10&lt;/_issue&gt;&lt;_journal&gt;Internal Medicine&lt;/_journal&gt;&lt;_keywords&gt;albumin; bilirubin; ceftriaxone; creatinine; diuretic agent; histamine H2 receptor antagonist; kanamycin; lansoprazole; omeprazole; proton pump inhibitor; rabeprazole; aged; article; bacterial peritonitis; Child Pugh score; community acquired infection; controlled study; disease association; female; hepatic encephalopathy; human; international normalized ratio; leukocyte count; liver cell carcinoma; liver cirrhosis; major clinical study; male; Model For End Stage Liver Disease Score; prevalence; retrospective study; risk factor; stomach hemorrhage; platelet count; urinary tract infection&lt;/_keywords&gt;&lt;_modified&gt;62599179&lt;/_modified&gt;&lt;_pages&gt;1037-1042&lt;/_pages&gt;&lt;_url&gt;http://www.embase.com/search/results?subaction=viewrecord&amp;amp;from=export&amp;amp;id=L373126061_x000d__x000a_http://dx.doi.org/10.2169/internalmedicine.53.2021&lt;/_url&gt;&lt;_volume&gt;53&lt;/_volume&gt;&lt;/Details&gt;&lt;Extra&gt;&lt;DBUID&gt;{9A7C78BD-F289-43CD-8CC7-97501B76739F}&lt;/DBUID&gt;&lt;/Extra&gt;&lt;/Item&gt;&lt;/References&gt;&lt;/Group&gt;&lt;Group&gt;&lt;References&gt;&lt;Item&gt;&lt;ID&gt;3542&lt;/ID&gt;&lt;UID&gt;{916E04FE-1436-43E7-8357-4B94AAE6C615}&lt;/UID&gt;&lt;Title&gt;Proton pump inhibitor (PPI) use is independently associated with spontaneous bacterial peritonitis (SBP) in cirrhotics with ascites&lt;/Title&gt;&lt;Template&gt;Journal Article&lt;/Template&gt;&lt;Star&gt;0&lt;/Star&gt;&lt;Tag&gt;0&lt;/Tag&gt;&lt;Author&gt;Bulsiewicz, W J; Scherer, J R; Feinglass, J M; Howden, C W; Flamm, S L&lt;/Author&gt;&lt;Year&gt;2009&lt;/Year&gt;&lt;Details&gt;&lt;_alternate_title&gt;Gastroenterology&lt;/_alternate_title&gt;&lt;_author_adr&gt;W.J. Bulsiewicz&lt;/_author_adr&gt;&lt;_collection_scope&gt;SCI;SCIE;&lt;/_collection_scope&gt;&lt;_created&gt;62599139&lt;/_created&gt;&lt;_date&gt;2009-01-01&lt;/_date&gt;&lt;_date_display&gt;2009&lt;/_date_display&gt;&lt;_doi&gt;10.1016/S0016-5085(09)60053-6&lt;/_doi&gt;&lt;_impact_factor&gt;  20.773&lt;/_impact_factor&gt;&lt;_isbn&gt;0016-5085&lt;/_isbn&gt;&lt;_issue&gt;5&lt;/_issue&gt;&lt;_journal&gt;Gastroenterology&lt;/_journal&gt;&lt;_keywords&gt;proton pump inhibitor; antibiotic agent; ascites; gastrointestinal disease; bacterial peritonitis; patient; paracentesis; risk; male; laboratory; liver cirrhosis; Human immunodeficiency virus; animal model; hospital; cohort analysis; portosystemic anastomosis; liver graft; hospitalization; documentation; ascites fluid; multivariate logistic regression analysis; logistic regression analysis; dose response; hepatic encephalopathy; sodium blood level; prophylaxis; hyponatremia; risk factor; bacterial overgrowth&lt;/_keywords&gt;&lt;_modified&gt;62599156&lt;/_modified&gt;&lt;_pages&gt;A11&lt;/_pages&gt;&lt;_url&gt;http://www.embase.com/search/results?subaction=viewrecord&amp;amp;from=export&amp;amp;id=L70150636_x000d__x000a_http://dx.doi.org/10.1016/S0016-5085(09)60053-6&lt;/_url&gt;&lt;_volume&gt;136&lt;/_volume&gt;&lt;/Details&gt;&lt;Extra&gt;&lt;DBUID&gt;{9A7C78BD-F289-43CD-8CC7-97501B76739F}&lt;/DBUID&gt;&lt;/Extra&gt;&lt;/Item&gt;&lt;/References&gt;&lt;/Group&gt;&lt;/Citation&gt;_x000a_"/>
    <w:docVar w:name="NE.Ref{6BAFC9BA-CFB8-4B25-AB4B-30647F57BEF1}" w:val=" ADDIN NE.Ref.{6BAFC9BA-CFB8-4B25-AB4B-30647F57BEF1}&lt;Citation&gt;&lt;Group&gt;&lt;References&gt;&lt;Item&gt;&lt;ID&gt;3637&lt;/ID&gt;&lt;UID&gt;{22FBC8FE-3653-4635-BF3B-58938ED523E1}&lt;/UID&gt;&lt;Title&gt;Meta-analysis of observational studies in epidemiology: a proposal for reporting. Meta-analysis Of Observational Studies in Epidemiology (MOOSE) group&lt;/Title&gt;&lt;Template&gt;Journal Article&lt;/Template&gt;&lt;Star&gt;0&lt;/Star&gt;&lt;Tag&gt;0&lt;/Tag&gt;&lt;Author&gt;Stroup, D F; Berlin, J A; Morton, S C; Olkin, I; Williamson, G D; Rennie, D; Moher, D; Becker, B J; Sipe, T A; Thacker, S B&lt;/Author&gt;&lt;Year&gt;2000&lt;/Year&gt;&lt;Details&gt;&lt;_accession_num&gt;10789670&lt;/_accession_num&gt;&lt;_author_adr&gt;Centers for Disease Control and Prevention, Atlanta, GA 30333, USA. dfs2@cdc.gov&lt;/_author_adr&gt;&lt;_created&gt;61995521&lt;/_created&gt;&lt;_date&gt;2000-04-19&lt;/_date&gt;&lt;_date_display&gt;2000 Apr 19&lt;/_date_display&gt;&lt;_impact_factor&gt;  47.661&lt;/_impact_factor&gt;&lt;_isbn&gt;0098-7484 (Print); 0098-7484 (Linking)&lt;/_isbn&gt;&lt;_issue&gt;15&lt;/_issue&gt;&lt;_journal&gt;JAMA&lt;/_journal&gt;&lt;_keywords&gt;Epidemiology; *Meta-Analysis as Topic; Observation&lt;/_keywords&gt;&lt;_language&gt;eng&lt;/_language&gt;&lt;_modified&gt;62606397&lt;/_modified&gt;&lt;_pages&gt;2008-12&lt;/_pages&gt;&lt;_tertiary_title&gt;JAMA&lt;/_tertiary_title&gt;&lt;_type_work&gt;Consensus Development Conference; Journal Article; Research Support, U.S. Gov&amp;apos;t, P.H.S.; Review&lt;/_type_work&gt;&lt;_url&gt;http://www.ncbi.nlm.nih.gov/entrez/query.fcgi?cmd=Retrieve&amp;amp;db=pubmed&amp;amp;dopt=Abstract&amp;amp;list_uids=10789670&amp;amp;query_hl=1&lt;/_url&gt;&lt;_volume&gt;283&lt;/_volume&gt;&lt;/Details&gt;&lt;Extra&gt;&lt;DBUID&gt;{9A7C78BD-F289-43CD-8CC7-97501B76739F}&lt;/DBUID&gt;&lt;/Extra&gt;&lt;/Item&gt;&lt;/References&gt;&lt;/Group&gt;&lt;/Citation&gt;_x000a_"/>
    <w:docVar w:name="NE.Ref{6D848BAF-93E4-4352-BCC9-9E48C11A0F57}" w:val=" ADDIN NE.Ref.{6D848BAF-93E4-4352-BCC9-9E48C11A0F57}&lt;Citation&gt;&lt;Group&gt;&lt;References&gt;&lt;Item&gt;&lt;ID&gt;3651&lt;/ID&gt;&lt;UID&gt;{459B4C90-C567-49EA-9451-69E4822DC698}&lt;/UID&gt;&lt;Title&gt;Case-control studies: research in reverse&lt;/Title&gt;&lt;Template&gt;Journal Article&lt;/Template&gt;&lt;Star&gt;0&lt;/Star&gt;&lt;Tag&gt;0&lt;/Tag&gt;&lt;Author&gt;Schulz, Kenneth F; Grimes, David A&lt;/Author&gt;&lt;Year&gt;2002&lt;/Year&gt;&lt;Details&gt;&lt;_alternate_title&gt;The Lancet&lt;/_alternate_title&gt;&lt;_date_display&gt;2002_x000d__x000a_2002/02/02&lt;/_date_display&gt;&lt;_date&gt;2002-02-02&lt;/_date&gt;&lt;_doi&gt;10.1016/S0140-6736(02)07605-5&lt;/_doi&gt;&lt;_isbn&gt;0140-6736&lt;/_isbn&gt;&lt;_issue&gt;9304&lt;/_issue&gt;&lt;_journal&gt;The Lancet&lt;/_journal&gt;&lt;_ori_publication&gt;Elsevier&lt;/_ori_publication&gt;&lt;_pages&gt;431-434&lt;/_pages&gt;&lt;_url&gt;https://doi.org/10.1016/S0140-6736(02)07605-5&lt;/_url&gt;&lt;_volume&gt;359&lt;/_volume&gt;&lt;_created&gt;62609306&lt;/_created&gt;&lt;_modified&gt;62609306&lt;/_modified&gt;&lt;_impact_factor&gt;  53.254&lt;/_impact_factor&gt;&lt;/Details&gt;&lt;Extra&gt;&lt;DBUID&gt;{9A7C78BD-F289-43CD-8CC7-97501B76739F}&lt;/DBUID&gt;&lt;/Extra&gt;&lt;/Item&gt;&lt;/References&gt;&lt;/Group&gt;&lt;/Citation&gt;_x000a_"/>
    <w:docVar w:name="NE.Ref{797FCE14-136B-42D2-B11E-5CEBFB400A5F}" w:val=" ADDIN NE.Ref.{797FCE14-136B-42D2-B11E-5CEBFB400A5F}&lt;Citation&gt;&lt;Group&gt;&lt;References&gt;&lt;Item&gt;&lt;ID&gt;3636&lt;/ID&gt;&lt;UID&gt;{E48E8BA2-DC91-4B4B-B112-636ABF7DDEF7}&lt;/UID&gt;&lt;Title&gt;Altered bowel function and duodenal bacterial overgrowth in patients treated with omeprazole&lt;/Title&gt;&lt;Template&gt;Journal Article&lt;/Template&gt;&lt;Star&gt;0&lt;/Star&gt;&lt;Tag&gt;0&lt;/Tag&gt;&lt;Author&gt;Lewis, S J; Franco, S; Young, G; O&amp;apos;Keefe, S J&lt;/Author&gt;&lt;Year&gt;1996&lt;/Year&gt;&lt;Details&gt;&lt;_accession_num&gt;8853759&lt;/_accession_num&gt;&lt;_author_adr&gt;Gastro-Intestinal Clinic, Groote Schuur Hospital, Cape Town, South Africa.&lt;/_author_adr&gt;&lt;_created&gt;62606095&lt;/_created&gt;&lt;_date&gt;1996-08-01&lt;/_date&gt;&lt;_date_display&gt;1996 Aug&lt;/_date_display&gt;&lt;_impact_factor&gt;   7.357&lt;/_impact_factor&gt;&lt;_isbn&gt;0269-2813 (Print); 0269-2813 (Linking)&lt;/_isbn&gt;&lt;_issue&gt;4&lt;/_issue&gt;&lt;_journal&gt;Aliment Pharmacol Ther&lt;/_journal&gt;&lt;_keywords&gt;Adult; Anti-Ulcer Agents/*therapeutic use; Defecation/*drug effects; Duodenal Ulcer/*drug therapy; Duodenum/drug effects/*microbiology; Enzyme Inhibitors/*therapeutic use; Female; Gastrointestinal Transit/drug effects; Humans; Intestinal Absorption/drug effects; Male; Omeprazole/*therapeutic use; *Proton Pump Inhibitors; Xylose/metabolism&lt;/_keywords&gt;&lt;_language&gt;eng&lt;/_language&gt;&lt;_modified&gt;62609390&lt;/_modified&gt;&lt;_pages&gt;557-61&lt;/_pages&gt;&lt;_tertiary_title&gt;Alimentary pharmacology &amp;amp; therapeutics&lt;/_tertiary_title&gt;&lt;_type_work&gt;Clinical Trial; Comparative Study; Journal Article&lt;/_type_work&gt;&lt;_url&gt;http://www.ncbi.nlm.nih.gov/entrez/query.fcgi?cmd=Retrieve&amp;amp;db=pubmed&amp;amp;dopt=Abstract&amp;amp;list_uids=8853759&amp;amp;query_hl=1&lt;/_url&gt;&lt;_volume&gt;10&lt;/_volume&gt;&lt;/Details&gt;&lt;Extra&gt;&lt;DBUID&gt;{9A7C78BD-F289-43CD-8CC7-97501B76739F}&lt;/DBUID&gt;&lt;/Extra&gt;&lt;/Item&gt;&lt;/References&gt;&lt;/Group&gt;&lt;Group&gt;&lt;References&gt;&lt;Item&gt;&lt;ID&gt;3019&lt;/ID&gt;&lt;UID&gt;{66CAD162-D6CA-4BF6-B8B8-166B54A20275}&lt;/UID&gt;&lt;Title&gt;Dose-dependent impact of proton pump inhibitors on the clinical course of spontaneous bacterial peritonitis&lt;/Title&gt;&lt;Template&gt;Journal Article&lt;/Template&gt;&lt;Star&gt;0&lt;/Star&gt;&lt;Tag&gt;0&lt;/Tag&gt;&lt;Author&gt;Tergast, T L; Wranke, A; Laser, H; Gerbel, S; Manns, M P; Cornberg, M; Maasoumy, B&lt;/Author&gt;&lt;Year&gt;2018&lt;/Year&gt;&lt;Details&gt;&lt;_accession_num&gt;29675988&lt;/_accession_num&gt;&lt;_author_adr&gt;Department of Gastroenterology, Hepatology and Endocrinology, Hannover Medical School, Hannover, Germany.; Department of Gastroenterology, Hepatology and Endocrinology, Hannover Medical School, Hannover, Germany.; Centre for Information Management (ZIMt), Hannover Medical School, Hannover, Germany.; Centre for Information Management (ZIMt), Hannover Medical School, Hannover, Germany.; Department of Gastroenterology, Hepatology and Endocrinology, Hannover Medical School, Hannover, Germany.; German Centre for Infection Research (Deutsches Zentrum fur Infektionsforschung DZIF), Partner-site Hannover-Braunschweig, Hannover, Germany.; Centre for Individualised Infection Medicine (CIIM), c/o CRC Hannover, Hannover,  Germany.; Department of Gastroenterology, Hepatology and Endocrinology, Hannover Medical School, Hannover, Germany.; German Centre for Infection Research (Deutsches Zentrum fur Infektionsforschung DZIF), Partner-site Hannover-Braunschweig, Hannover, Germany.; Centre for Individualised Infection Medicine (CIIM), c/o CRC Hannover, Hannover,  Germany.; Department of Gastroenterology, Hepatology and Endocrinology, Hannover Medical School, Hannover, Germany.; German Centre for Infection Research (Deutsches Zentrum fur Infektionsforschung DZIF), Partner-site Hannover-Braunschweig, Hannover, Germany.&lt;/_author_adr&gt;&lt;_collection_scope&gt;SCI;SCIE;&lt;/_collection_scope&gt;&lt;_created&gt;62599138&lt;/_created&gt;&lt;_date&gt;2018-09-01&lt;/_date&gt;&lt;_date_display&gt;2018 Sep&lt;/_date_display&gt;&lt;_doi&gt;10.1111/liv.13862&lt;/_doi&gt;&lt;_impact_factor&gt;   4.500&lt;/_impact_factor&gt;&lt;_isbn&gt;1478-3231 (Electronic); 1478-3223 (Linking)&lt;/_isbn&gt;&lt;_issue&gt;9&lt;/_issue&gt;&lt;_journal&gt;Liver Int&lt;/_journal&gt;&lt;_keywords&gt;SBP; cirrhosis; infection; proton pump inhibitor&lt;/_keywords&gt;&lt;_language&gt;eng&lt;/_language&gt;&lt;_modified&gt;62606096&lt;/_modified&gt;&lt;_ori_publication&gt;(c) 2018 John Wiley &amp;amp; Sons A/S. Published by John Wiley &amp;amp; Sons Ltd.&lt;/_ori_publication&gt;&lt;_pages&gt;1602-1613&lt;/_pages&gt;&lt;_tertiary_title&gt;Liver international : official journal of the International Association for the_x000d__x000a_      Study of the Liver&lt;/_tertiary_title&gt;&lt;_type_work&gt;Journal Article&lt;/_type_work&gt;&lt;_url&gt;http://www.ncbi.nlm.nih.gov/entrez/query.fcgi?cmd=Retrieve&amp;amp;db=pubmed&amp;amp;dopt=Abstract&amp;amp;list_uids=29675988&amp;amp;query_hl=1&lt;/_url&gt;&lt;_volume&gt;38&lt;/_volume&gt;&lt;/Details&gt;&lt;Extra&gt;&lt;DBUID&gt;{9A7C78BD-F289-43CD-8CC7-97501B76739F}&lt;/DBUID&gt;&lt;/Extra&gt;&lt;/Item&gt;&lt;/References&gt;&lt;/Group&gt;&lt;Group&gt;&lt;References&gt;&lt;Item&gt;&lt;ID&gt;3342&lt;/ID&gt;&lt;UID&gt;{15D079E8-E4D1-4936-849C-D427E80B4CAD}&lt;/UID&gt;&lt;Title&gt;Proton pump inhibitors increase the overall risk of developing bacterial infections in patients with cirrhosis&lt;/Title&gt;&lt;Template&gt;Journal Article&lt;/Template&gt;&lt;Star&gt;0&lt;/Star&gt;&lt;Tag&gt;0&lt;/Tag&gt;&lt;Author&gt;Lázaro-Pacheco, I B; Servín-Caamaño, A I; Pérez-Hernández, J L; Rojas-Loureiro, G; Servín-Abad, L; Higuera-De, La Tijera F&lt;/Author&gt;&lt;Year&gt;2018&lt;/Year&gt;&lt;Details&gt;&lt;_alternate_title&gt;Arq. Gastroenterol.Inibidores de bomba protônica aumentam o risco geral de desenvolver infecções bacterianas em pacientes com cirrose&lt;/_alternate_title&gt;&lt;_author_adr&gt;F. Higuera-De La Tijera, Gastroenterology and Hepatology Department, Hospital General de México, Dr. Eduardo Liceaga, Dr. Balmis 148, Mexico City, Mexico&lt;/_author_adr&gt;&lt;_created&gt;62599139&lt;/_created&gt;&lt;_date&gt;2018-01-01&lt;/_date&gt;&lt;_date_display&gt;2018&lt;/_date_display&gt;&lt;_doi&gt;10.1590/s0004-2803.201800000-09&lt;/_doi&gt;&lt;_isbn&gt;1678-4219&lt;/_isbn&gt;&lt;_issue&gt;1&lt;/_issue&gt;&lt;_journal&gt;Arquivos de Gastroenterologia&lt;/_journal&gt;&lt;_keywords&gt;albumin; alcohol; autoantibody; bilirubin; creatinine; proton pump inhibitor; sodium; adult; article; ascites; bacterial infection; bacterial peritonitis; bleeding; cellulitis; cohort analysis; esophagus candidiasis; hepatic encephalopathy; human; infection risk; liver cirrhosis; male; periodontal abscess; pneumonia; retrospective study; risk assessment; urinary tract infection; Varicella zoster virus&lt;/_keywords&gt;&lt;_modified&gt;62599214&lt;/_modified&gt;&lt;_pages&gt;28-32&lt;/_pages&gt;&lt;_url&gt;http://www.embase.com/search/results?subaction=viewrecord&amp;amp;from=export&amp;amp;id=L621325378_x000d__x000a_http://dx.doi.org/10.1590/s0004-2803.201800000-09&lt;/_url&gt;&lt;_volume&gt;55&lt;/_volume&gt;&lt;/Details&gt;&lt;Extra&gt;&lt;DBUID&gt;{9A7C78BD-F289-43CD-8CC7-97501B76739F}&lt;/DBUID&gt;&lt;/Extra&gt;&lt;/Item&gt;&lt;/References&gt;&lt;/Group&gt;&lt;Group&gt;&lt;References&gt;&lt;Item&gt;&lt;ID&gt;3458&lt;/ID&gt;&lt;UID&gt;{A6391D0D-BA26-4FF9-A2C3-1F66F2DE7873}&lt;/UID&gt;&lt;Title&gt;Proton pump inhibitor use is associated with spontaneous bacterial peritonitis in patients with liver cirrhosis&lt;/Title&gt;&lt;Template&gt;Journal Article&lt;/Template&gt;&lt;Star&gt;0&lt;/Star&gt;&lt;Tag&gt;0&lt;/Tag&gt;&lt;Author&gt;Miura, K; Tanaka, A; Yamamoto, T; Adachi, M; Takikawa, H&lt;/Author&gt;&lt;Year&gt;2014&lt;/Year&gt;&lt;Details&gt;&lt;_alternate_title&gt;Intern. Med.&lt;/_alternate_title&gt;&lt;_author_adr&gt;A. Tanaka, Department of Medicine, Teikyo University School of Medicine, Japan&lt;/_author_adr&gt;&lt;_collection_scope&gt;SCIE;&lt;/_collection_scope&gt;&lt;_created&gt;62599139&lt;/_created&gt;&lt;_date&gt;2014-01-01&lt;/_date&gt;&lt;_date_display&gt;2014&lt;/_date_display&gt;&lt;_doi&gt;10.2169/internalmedicine.53.2021&lt;/_doi&gt;&lt;_impact_factor&gt;   0.817&lt;/_impact_factor&gt;&lt;_isbn&gt;1349-7235&lt;/_isbn&gt;&lt;_issue&gt;10&lt;/_issue&gt;&lt;_journal&gt;Internal Medicine&lt;/_journal&gt;&lt;_keywords&gt;albumin; bilirubin; ceftriaxone; creatinine; diuretic agent; histamine H2 receptor antagonist; kanamycin; lansoprazole; omeprazole; proton pump inhibitor; rabeprazole; aged; article; bacterial peritonitis; Child Pugh score; community acquired infection; controlled study; disease association; female; hepatic encephalopathy; human; international normalized ratio; leukocyte count; liver cell carcinoma; liver cirrhosis; major clinical study; male; Model For End Stage Liver Disease Score; prevalence; retrospective study; risk factor; stomach hemorrhage; platelet count; urinary tract infection&lt;/_keywords&gt;&lt;_modified&gt;62599179&lt;/_modified&gt;&lt;_pages&gt;1037-1042&lt;/_pages&gt;&lt;_url&gt;http://www.embase.com/search/results?subaction=viewrecord&amp;amp;from=export&amp;amp;id=L373126061_x000d__x000a_http://dx.doi.org/10.2169/internalmedicine.53.2021&lt;/_url&gt;&lt;_volume&gt;53&lt;/_volume&gt;&lt;/Details&gt;&lt;Extra&gt;&lt;DBUID&gt;{9A7C78BD-F289-43CD-8CC7-97501B76739F}&lt;/DBUID&gt;&lt;/Extra&gt;&lt;/Item&gt;&lt;/References&gt;&lt;/Group&gt;&lt;Group&gt;&lt;References&gt;&lt;Item&gt;&lt;ID&gt;3542&lt;/ID&gt;&lt;UID&gt;{916E04FE-1436-43E7-8357-4B94AAE6C615}&lt;/UID&gt;&lt;Title&gt;Proton pump inhibitor (PPI) use is independently associated with spontaneous bacterial peritonitis (SBP) in cirrhotics with ascites&lt;/Title&gt;&lt;Template&gt;Journal Article&lt;/Template&gt;&lt;Star&gt;0&lt;/Star&gt;&lt;Tag&gt;0&lt;/Tag&gt;&lt;Author&gt;Bulsiewicz, W J; Scherer, J R; Feinglass, J M; Howden, C W; Flamm, S L&lt;/Author&gt;&lt;Year&gt;2009&lt;/Year&gt;&lt;Details&gt;&lt;_alternate_title&gt;Gastroenterology&lt;/_alternate_title&gt;&lt;_author_adr&gt;W.J. Bulsiewicz&lt;/_author_adr&gt;&lt;_collection_scope&gt;SCI;SCIE;&lt;/_collection_scope&gt;&lt;_created&gt;62599139&lt;/_created&gt;&lt;_date&gt;2009-01-01&lt;/_date&gt;&lt;_date_display&gt;2009&lt;/_date_display&gt;&lt;_doi&gt;10.1016/S0016-5085(09)60053-6&lt;/_doi&gt;&lt;_impact_factor&gt;  20.773&lt;/_impact_factor&gt;&lt;_isbn&gt;0016-5085&lt;/_isbn&gt;&lt;_issue&gt;5&lt;/_issue&gt;&lt;_journal&gt;Gastroenterology&lt;/_journal&gt;&lt;_keywords&gt;proton pump inhibitor; antibiotic agent; ascites; gastrointestinal disease; bacterial peritonitis; patient; paracentesis; risk; male; laboratory; liver cirrhosis; Human immunodeficiency virus; animal model; hospital; cohort analysis; portosystemic anastomosis; liver graft; hospitalization; documentation; ascites fluid; multivariate logistic regression analysis; logistic regression analysis; dose response; hepatic encephalopathy; sodium blood level; prophylaxis; hyponatremia; risk factor; bacterial overgrowth&lt;/_keywords&gt;&lt;_modified&gt;62599156&lt;/_modified&gt;&lt;_pages&gt;A11&lt;/_pages&gt;&lt;_url&gt;http://www.embase.com/search/results?subaction=viewrecord&amp;amp;from=export&amp;amp;id=L70150636_x000d__x000a_http://dx.doi.org/10.1016/S0016-5085(09)60053-6&lt;/_url&gt;&lt;_volume&gt;136&lt;/_volume&gt;&lt;/Details&gt;&lt;Extra&gt;&lt;DBUID&gt;{9A7C78BD-F289-43CD-8CC7-97501B76739F}&lt;/DBUID&gt;&lt;/Extra&gt;&lt;/Item&gt;&lt;/References&gt;&lt;/Group&gt;&lt;/Citation&gt;_x000a_"/>
    <w:docVar w:name="NE.Ref{800BFB08-CC2C-473F-AB08-D612DD677663}" w:val=" ADDIN NE.Ref.{800BFB08-CC2C-473F-AB08-D612DD677663}&lt;Citation&gt;&lt;Group&gt;&lt;References&gt;&lt;Item&gt;&lt;ID&gt;3019&lt;/ID&gt;&lt;UID&gt;{66CAD162-D6CA-4BF6-B8B8-166B54A20275}&lt;/UID&gt;&lt;Title&gt;Dose-dependent impact of proton pump inhibitors on the clinical course of spontaneous bacterial peritonitis&lt;/Title&gt;&lt;Template&gt;Journal Article&lt;/Template&gt;&lt;Star&gt;0&lt;/Star&gt;&lt;Tag&gt;0&lt;/Tag&gt;&lt;Author&gt;Tergast, T L; Wranke, A; Laser, H; Gerbel, S; Manns, M P; Cornberg, M; Maasoumy, B&lt;/Author&gt;&lt;Year&gt;2018&lt;/Year&gt;&lt;Details&gt;&lt;_accession_num&gt;29675988&lt;/_accession_num&gt;&lt;_author_adr&gt;Department of Gastroenterology, Hepatology and Endocrinology, Hannover Medical School, Hannover, Germany.; Department of Gastroenterology, Hepatology and Endocrinology, Hannover Medical School, Hannover, Germany.; Centre for Information Management (ZIMt), Hannover Medical School, Hannover, Germany.; Centre for Information Management (ZIMt), Hannover Medical School, Hannover, Germany.; Department of Gastroenterology, Hepatology and Endocrinology, Hannover Medical School, Hannover, Germany.; German Centre for Infection Research (Deutsches Zentrum fur Infektionsforschung DZIF), Partner-site Hannover-Braunschweig, Hannover, Germany.; Centre for Individualised Infection Medicine (CIIM), c/o CRC Hannover, Hannover,  Germany.; Department of Gastroenterology, Hepatology and Endocrinology, Hannover Medical School, Hannover, Germany.; German Centre for Infection Research (Deutsches Zentrum fur Infektionsforschung DZIF), Partner-site Hannover-Braunschweig, Hannover, Germany.; Centre for Individualised Infection Medicine (CIIM), c/o CRC Hannover, Hannover,  Germany.; Department of Gastroenterology, Hepatology and Endocrinology, Hannover Medical School, Hannover, Germany.; German Centre for Infection Research (Deutsches Zentrum fur Infektionsforschung DZIF), Partner-site Hannover-Braunschweig, Hannover, Germany.&lt;/_author_adr&gt;&lt;_collection_scope&gt;SCI;SCIE;&lt;/_collection_scope&gt;&lt;_created&gt;62599138&lt;/_created&gt;&lt;_date&gt;2018-09-01&lt;/_date&gt;&lt;_date_display&gt;2018 Sep&lt;/_date_display&gt;&lt;_doi&gt;10.1111/liv.13862&lt;/_doi&gt;&lt;_impact_factor&gt;   4.500&lt;/_impact_factor&gt;&lt;_isbn&gt;1478-3231 (Electronic); 1478-3223 (Linking)&lt;/_isbn&gt;&lt;_issue&gt;9&lt;/_issue&gt;&lt;_journal&gt;Liver Int&lt;/_journal&gt;&lt;_keywords&gt;SBP; cirrhosis; infection; proton pump inhibitor&lt;/_keywords&gt;&lt;_language&gt;eng&lt;/_language&gt;&lt;_modified&gt;62606096&lt;/_modified&gt;&lt;_ori_publication&gt;(c) 2018 John Wiley &amp;amp; Sons A/S. Published by John Wiley &amp;amp; Sons Ltd.&lt;/_ori_publication&gt;&lt;_pages&gt;1602-1613&lt;/_pages&gt;&lt;_tertiary_title&gt;Liver international : official journal of the International Association for the_x000d__x000a_      Study of the Liver&lt;/_tertiary_title&gt;&lt;_type_work&gt;Journal Article&lt;/_type_work&gt;&lt;_url&gt;http://www.ncbi.nlm.nih.gov/entrez/query.fcgi?cmd=Retrieve&amp;amp;db=pubmed&amp;amp;dopt=Abstract&amp;amp;list_uids=29675988&amp;amp;query_hl=1&lt;/_url&gt;&lt;_volume&gt;38&lt;/_volume&gt;&lt;/Details&gt;&lt;Extra&gt;&lt;DBUID&gt;{9A7C78BD-F289-43CD-8CC7-97501B76739F}&lt;/DBUID&gt;&lt;/Extra&gt;&lt;/Item&gt;&lt;/References&gt;&lt;/Group&gt;&lt;/Citation&gt;_x000a_"/>
    <w:docVar w:name="NE.Ref{8057537E-7FDA-45C7-AF7B-38513EF2D026}" w:val=" ADDIN NE.Ref.{8057537E-7FDA-45C7-AF7B-38513EF2D026}&lt;Citation&gt;&lt;Group&gt;&lt;References&gt;&lt;Item&gt;&lt;ID&gt;3633&lt;/ID&gt;&lt;UID&gt;{794F2207-933D-4B9C-A580-214C3335D897}&lt;/UID&gt;&lt;Title&gt;Use and overuse of proton pump inhibitors in cirrhotic patients&lt;/Title&gt;&lt;Template&gt;Journal Article&lt;/Template&gt;&lt;Star&gt;0&lt;/Star&gt;&lt;Tag&gt;0&lt;/Tag&gt;&lt;Author&gt;Chavez-Tapia, N C; Tellez-Avila, F I; Garcia-Leiva, J; Valdovinos, M A&lt;/Author&gt;&lt;Year&gt;2008&lt;/Year&gt;&lt;Details&gt;&lt;_accession_num&gt;18758417&lt;/_accession_num&gt;&lt;_author_adr&gt;Department of Gastroenterology, National Institute of Medical Science and Nutrition Salvador Zubiran, Mexico City, Mexico. khavez@gmail.com &amp;lt;khavez@gmail.com&amp;gt;&lt;/_author_adr&gt;&lt;_created&gt;62606095&lt;/_created&gt;&lt;_date&gt;2008-09-01&lt;/_date&gt;&lt;_date_display&gt;2008 Sep&lt;/_date_display&gt;&lt;_impact_factor&gt;   1.894&lt;/_impact_factor&gt;&lt;_isbn&gt;1643-3750 (Electronic); 1234-1010 (Linking)&lt;/_isbn&gt;&lt;_issue&gt;9&lt;/_issue&gt;&lt;_journal&gt;Med Sci Monit&lt;/_journal&gt;&lt;_keywords&gt;Adult; Aged; Analysis of Variance; Blood Chemical Analysis; Child; *Drug Utilization Review; Female; Humans; Liver Cirrhosis/*drug therapy/pathology/physiopathology; Middle Aged; *Proton Pump Inhibitors/standards/therapeutic use; Retrospective Studies&lt;/_keywords&gt;&lt;_language&gt;eng&lt;/_language&gt;&lt;_modified&gt;62606106&lt;/_modified&gt;&lt;_pages&gt;CR468-72&lt;/_pages&gt;&lt;_tertiary_title&gt;Medical science monitor : international medical journal of experimental and_x000d__x000a_      clinical research&lt;/_tertiary_title&gt;&lt;_type_work&gt;Journal Article&lt;/_type_work&gt;&lt;_url&gt;http://www.ncbi.nlm.nih.gov/entrez/query.fcgi?cmd=Retrieve&amp;amp;db=pubmed&amp;amp;dopt=Abstract&amp;amp;list_uids=18758417&amp;amp;query_hl=1&lt;/_url&gt;&lt;_volume&gt;14&lt;/_volume&gt;&lt;/Details&gt;&lt;Extra&gt;&lt;DBUID&gt;{9A7C78BD-F289-43CD-8CC7-97501B76739F}&lt;/DBUID&gt;&lt;/Extra&gt;&lt;/Item&gt;&lt;/References&gt;&lt;/Group&gt;&lt;Group&gt;&lt;References&gt;&lt;Item&gt;&lt;ID&gt;3634&lt;/ID&gt;&lt;UID&gt;{A4CE5CC3-3A4C-4812-B4CD-F517CF00B467}&lt;/UID&gt;&lt;Title&gt;Inadequate use of proton-pump inhibitors in patients with liver cirrhosis&lt;/Title&gt;&lt;Template&gt;Journal Article&lt;/Template&gt;&lt;Star&gt;0&lt;/Star&gt;&lt;Tag&gt;0&lt;/Tag&gt;&lt;Author&gt;Kalaitzakis, E; Bjornsson, E&lt;/Author&gt;&lt;Year&gt;2008&lt;/Year&gt;&lt;Details&gt;&lt;_accession_num&gt;18467910&lt;/_accession_num&gt;&lt;_author_adr&gt;Section of Gastroenterology and Hepatology, Department of Internal Medicine, Sahlgrenska University Hospital, Gothenburg, Sweden. evangelos.kalaitzakis@vgregion.se&lt;/_author_adr&gt;&lt;_created&gt;62606095&lt;/_created&gt;&lt;_date&gt;2008-06-01&lt;/_date&gt;&lt;_date_display&gt;2008 Jun&lt;/_date_display&gt;&lt;_doi&gt;10.1097/MEG.0b013e3282f4aa01&lt;/_doi&gt;&lt;_impact_factor&gt;   2.014&lt;/_impact_factor&gt;&lt;_isbn&gt;0954-691X (Print); 0954-691X (Linking)&lt;/_isbn&gt;&lt;_issue&gt;6&lt;/_issue&gt;&lt;_journal&gt;Eur J Gastroenterol Hepatol&lt;/_journal&gt;&lt;_keywords&gt;Adult; Aged; Dyspepsia/drug therapy/etiology; Esophageal and Gastric Varices/etiology; Female; Gastrointestinal Diseases/*drug therapy/etiology; Gastrointestinal Hemorrhage/etiology; Histamine H2 Antagonists/therapeutic use; Humans; Liver Cirrhosis/*complications; Male; Middle Aged; Prospective Studies; Proton Pump Inhibitors/*therapeutic use; Severity of Illness Index&lt;/_keywords&gt;&lt;_language&gt;eng&lt;/_language&gt;&lt;_modified&gt;62606642&lt;/_modified&gt;&lt;_pages&gt;512-8&lt;/_pages&gt;&lt;_tertiary_title&gt;European journal of gastroenterology &amp;amp; hepatology&lt;/_tertiary_title&gt;&lt;_type_work&gt;Journal Article&lt;/_type_work&gt;&lt;_url&gt;http://www.ncbi.nlm.nih.gov/entrez/query.fcgi?cmd=Retrieve&amp;amp;db=pubmed&amp;amp;dopt=Abstract&amp;amp;list_uids=18467910&amp;amp;query_hl=1&lt;/_url&gt;&lt;_volume&gt;20&lt;/_volume&gt;&lt;/Details&gt;&lt;Extra&gt;&lt;DBUID&gt;{9A7C78BD-F289-43CD-8CC7-97501B76739F}&lt;/DBUID&gt;&lt;/Extra&gt;&lt;/Item&gt;&lt;/References&gt;&lt;/Group&gt;&lt;Group&gt;&lt;References&gt;&lt;Item&gt;&lt;ID&gt;3635&lt;/ID&gt;&lt;UID&gt;{DD3F29E9-B60E-4003-9157-92642BB4C782}&lt;/UID&gt;&lt;Title&gt;Proton pump inhibitor treatment is associated with the severity of liver disease  and increased mortality in patients with cirrhosis&lt;/Title&gt;&lt;Template&gt;Journal Article&lt;/Template&gt;&lt;Star&gt;0&lt;/Star&gt;&lt;Tag&gt;0&lt;/Tag&gt;&lt;Author&gt;Dultz, G; Piiper, A; Zeuzem, S; Kronenberger, B; Waidmann, O&lt;/Author&gt;&lt;Year&gt;2015&lt;/Year&gt;&lt;Details&gt;&lt;_accession_num&gt;25523381&lt;/_accession_num&gt;&lt;_author_adr&gt;Medizinische Klinik 1, Schwerpunkt Gastroenterologie und Hepatologie, Universitatsklinikum Frankfurt, Goethe-Universitat, Frankfurt/Main, Germany.&lt;/_author_adr&gt;&lt;_created&gt;62606095&lt;/_created&gt;&lt;_date&gt;2015-03-01&lt;/_date&gt;&lt;_date_display&gt;2015 Mar&lt;/_date_display&gt;&lt;_doi&gt;10.1111/apt.13061&lt;/_doi&gt;&lt;_impact_factor&gt;   7.357&lt;/_impact_factor&gt;&lt;_isbn&gt;1365-2036 (Electronic); 0269-2813 (Linking)&lt;/_isbn&gt;&lt;_issue&gt;5&lt;/_issue&gt;&lt;_journal&gt;Aliment Pharmacol Ther&lt;/_journal&gt;&lt;_keywords&gt;Adult; Age Factors; Aged; Aged, 80 and over; Bacterial Infections/epidemiology; Female; Germany; Humans; Incidence; Liver Cirrhosis/epidemiology/microbiology/*mortality; Liver Diseases/microbiology/mortality; Logistic Models; Male; Middle Aged; Prognosis; Prospective Studies; Proton Pump Inhibitors/*adverse effects; Risk Factors; Severity of Illness Index; Sex Factors&lt;/_keywords&gt;&lt;_language&gt;eng&lt;/_language&gt;&lt;_modified&gt;62609029&lt;/_modified&gt;&lt;_ori_publication&gt;(c) 2014 John Wiley &amp;amp; Sons Ltd.&lt;/_ori_publication&gt;&lt;_pages&gt;459-66&lt;/_pages&gt;&lt;_tertiary_title&gt;Alimentary pharmacology &amp;amp; therapeutics&lt;/_tertiary_title&gt;&lt;_type_work&gt;Clinical Trial; Journal Article; Research Support, Non-U.S. Gov&amp;apos;t&lt;/_type_work&gt;&lt;_url&gt;http://www.ncbi.nlm.nih.gov/entrez/query.fcgi?cmd=Retrieve&amp;amp;db=pubmed&amp;amp;dopt=Abstract&amp;amp;list_uids=25523381&amp;amp;query_hl=1&lt;/_url&gt;&lt;_volume&gt;41&lt;/_volume&gt;&lt;/Details&gt;&lt;Extra&gt;&lt;DBUID&gt;{9A7C78BD-F289-43CD-8CC7-97501B76739F}&lt;/DBUID&gt;&lt;/Extra&gt;&lt;/Item&gt;&lt;/References&gt;&lt;/Group&gt;&lt;/Citation&gt;_x000a_"/>
    <w:docVar w:name="NE.Ref{8A0C927E-B543-4D8B-B54E-CC450DCF5C66}" w:val=" ADDIN NE.Ref.{8A0C927E-B543-4D8B-B54E-CC450DCF5C66}&lt;Citation&gt;&lt;Group&gt;&lt;References&gt;&lt;Item&gt;&lt;ID&gt;5&lt;/ID&gt;&lt;UID&gt;{8521C4C9-780F-4215-BF84-BB69E3B978E4}&lt;/UID&gt;&lt;Title&gt;Treatment with proton pump inhibitors increases the risk for development of hepatic encephalopathy after implantation of transjugular intrahepatic portosystemic shunt (TIPS)&lt;/Title&gt;&lt;Template&gt;Book&lt;/Template&gt;&lt;Star&gt;1&lt;/Star&gt;&lt;Tag&gt;0&lt;/Tag&gt;&lt;Author&gt;Sturm, L; Bettinger, D; Giesler, M; Boettler, T; Schmidt, A; Buettner, N; Thimme, R; Schultheiss, M&lt;/Author&gt;&lt;Year&gt;2018&lt;/Year&gt;&lt;Details&gt;&lt;_accession_num&gt;30386611&lt;/_accession_num&gt;&lt;_author_adr&gt;Department of Medicine II, Medical Center University of Freiburg, Faculty of Medicine, University of Freiburg, Freiburg, Germany.; Department of Medicine II, Medical Center University of Freiburg, Faculty of Medicine, University of Freiburg, Freiburg, Germany.; Berta-Ottenstein-Programme,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lt;/_author_adr&gt;&lt;_created&gt;62599059&lt;/_created&gt;&lt;_date&gt;2018-11-01&lt;/_date&gt;&lt;_date_display&gt;2018 Nov&lt;/_date_display&gt;&lt;_doi&gt;10.1177/2050640618795928&lt;/_doi&gt;&lt;_impact_factor&gt;   3.477&lt;/_impact_factor&gt;&lt;_isbn&gt;2050-6406 (Print); 2050-6406 (Linking)&lt;/_isbn&gt;&lt;_issue&gt;9&lt;/_issue&gt;&lt;_journal&gt;United European Gastroenterol J&lt;/_journal&gt;&lt;_keywords&gt;Hepatic encephalopathy; PPI; TIPS; proton pump inhibitors; transjugular intrahepatic portosystemic shunt&lt;/_keywords&gt;&lt;_language&gt;eng&lt;/_language&gt;&lt;_modified&gt;62599424&lt;/_modified&gt;&lt;_pages&gt;1380-1390&lt;/_pages&gt;&lt;_tertiary_title&gt;United European gastroenterology journal&lt;/_tertiary_title&gt;&lt;_type_work&gt;Journal Article&lt;/_type_work&gt;&lt;_url&gt;http://www.ncbi.nlm.nih.gov/entrez/query.fcgi?cmd=Retrieve&amp;amp;db=pubmed&amp;amp;dopt=Abstract&amp;amp;list_uids=30386611&amp;amp;query_hl=1&lt;/_url&gt;&lt;_volume&gt;6&lt;/_volume&gt;&lt;/Details&gt;&lt;Extra&gt;&lt;DBUID&gt;{9A7C78BD-F289-43CD-8CC7-97501B76739F}&lt;/DBUID&gt;&lt;/Extra&gt;&lt;/Item&gt;&lt;/References&gt;&lt;/Group&gt;&lt;Group&gt;&lt;References&gt;&lt;Item&gt;&lt;ID&gt;3012&lt;/ID&gt;&lt;UID&gt;{A517CA25-CF32-467A-97CA-B87CDE069B81}&lt;/UID&gt;&lt;Title&gt;Proton pump inhibitors are associated to minimal and overt hepatic encephalopathy and increase mortality in cirrhotics&lt;/Title&gt;&lt;Template&gt;Journal Article&lt;/Template&gt;&lt;Star&gt;1&lt;/Star&gt;&lt;Tag&gt;0&lt;/Tag&gt;&lt;Author&gt;Nardelli, S; Gioia, S; Ridola, L; Farcomeni, A; Merli, M; Riggio, O&lt;/Author&gt;&lt;Year&gt;2018&lt;/Year&gt;&lt;Details&gt;&lt;_accession_num&gt;30289992&lt;/_accession_num&gt;&lt;_author_adr&gt;Dept. of Clinical Medicine, &amp;quot;Sapienza&amp;quot; University of Rome, Rome, Italy.; Dept. of Clinical Medicine, &amp;quot;Sapienza&amp;quot; University of Rome, Rome, Italy.; Dept. of Clinical Medicine, &amp;quot;Sapienza&amp;quot; University of Rome, Rome, Italy.; Dept. of Clinical Medicine, &amp;quot;Sapienza&amp;quot; University of Rome, Rome, Italy.; Dept. of Public Health and Infectious Diseases, &amp;quot;Sapienza&amp;quot; University of Rome, Rome, Italy.; Dept. of Clinical Medicine, &amp;quot;Sapienza&amp;quot; University of Rome, Rome, Italy.; Dept. of Clinical Medicine, &amp;quot;Sapienza&amp;quot; University of Rome, Rome, Italy.&lt;/_author_adr&gt;&lt;_collection_scope&gt;SCI;SCIE;&lt;/_collection_scope&gt;&lt;_created&gt;62599138&lt;/_created&gt;&lt;_date&gt;2018-10-05&lt;/_date&gt;&lt;_date_display&gt;2018 Oct 5&lt;/_date_display&gt;&lt;_doi&gt;10.1002/hep.30304&lt;/_doi&gt;&lt;_impact_factor&gt;  14.079&lt;/_impact_factor&gt;&lt;_isbn&gt;1527-3350 (Electronic); 0270-9139 (Linking)&lt;/_isbn&gt;&lt;_journal&gt;Hepatology&lt;/_journal&gt;&lt;_keywords&gt;Proton pump inhibitors; hepatic encephalopathy; liver cirrhosis; psychometric evaluation&lt;/_keywords&gt;&lt;_language&gt;eng&lt;/_language&gt;&lt;_modified&gt;62599424&lt;/_modified&gt;&lt;_ori_publication&gt;This article is protected by copyright. All rights reserved.&lt;/_ori_publication&gt;&lt;_tertiary_title&gt;Hepatology (Baltimore, Md.)&lt;/_tertiary_title&gt;&lt;_type_work&gt;Journal Article&lt;/_type_work&gt;&lt;_url&gt;http://www.ncbi.nlm.nih.gov/entrez/query.fcgi?cmd=Retrieve&amp;amp;db=pubmed&amp;amp;dopt=Abstract&amp;amp;list_uids=30289992&amp;amp;query_hl=1&lt;/_url&gt;&lt;/Details&gt;&lt;Extra&gt;&lt;DBUID&gt;{9A7C78BD-F289-43CD-8CC7-97501B76739F}&lt;/DBUID&gt;&lt;/Extra&gt;&lt;/Item&gt;&lt;/References&gt;&lt;/Group&gt;&lt;Group&gt;&lt;References&gt;&lt;Item&gt;&lt;ID&gt;3073&lt;/ID&gt;&lt;UID&gt;{758F06D2-99D2-4E75-8CBA-0AA1101F5466}&lt;/UID&gt;&lt;Title&gt;Proton pump inhibitors as a risk factor for hepatic encephalopathy and spontaneous bacterial peritonitis in patients with cirrhosis with ascites&lt;/Title&gt;&lt;Template&gt;Generic&lt;/Template&gt;&lt;Star&gt;1&lt;/Star&gt;&lt;Tag&gt;0&lt;/Tag&gt;&lt;Author&gt;Dam, G; Vilstrup, H; Watson, H; Jepsen, P&lt;/Author&gt;&lt;Year&gt;2016&lt;/Year&gt;&lt;Details&gt;&lt;_accession_num&gt;27474889&lt;/_accession_num&gt;&lt;_author_adr&gt;Department of Hepatology and Gastroenterology, Aarhus University Hospital, Aarhus, Denmark. gitdam@rm.dk.; Department of Hepatology and Gastroenterology, Aarhus University Hospital, Aarhus, Denmark.; Sanofi Aventis R&amp;amp;D, Paris, France.; Department of Hepatology and Gastroenterology, Aarhus University Hospital, Aarhus, Denmark.; Department of Clinical Epidemiology, Aarhus University Hospital, Aarhus, Denmark.&lt;/_author_adr&gt;&lt;_collection_scope&gt;SCI;SCIE;&lt;/_collection_scope&gt;&lt;_created&gt;62599138&lt;/_created&gt;&lt;_date&gt;2016-10-01&lt;/_date&gt;&lt;_date_display&gt;2016 Oct&lt;/_date_display&gt;&lt;_doi&gt;10.1002/hep.28737&lt;/_doi&gt;&lt;_impact_factor&gt;  14.079&lt;/_impact_factor&gt;&lt;_isbn&gt;1527-3350 (Electronic); 0270-9139 (Linking)&lt;/_isbn&gt;&lt;_issue&gt;4&lt;/_issue&gt;&lt;_journal&gt;Hepatology&lt;/_journal&gt;&lt;_keywords&gt;Aged; Ascites/complications/drug therapy; Bacterial Infections/*chemically induced; Female; Hepatic Encephalopathy/*chemically induced; Humans; Liver Cirrhosis/complications; Male; Middle Aged; Peritonitis/*chemically induced/*microbiology; Proton Pump Inhibitors/*adverse effects/therapeutic use; Risk Factors&lt;/_keywords&gt;&lt;_language&gt;eng&lt;/_language&gt;&lt;_modified&gt;62599424&lt;/_modified&gt;&lt;_ori_publication&gt;(c) 2016 by the American Association for the Study of Liver Diseases.&lt;/_ori_publication&gt;&lt;_pages&gt;1265-72&lt;/_pages&gt;&lt;_tertiary_title&gt;Hepatology (Baltimore, Md.)&lt;/_tertiary_title&gt;&lt;_type_work&gt;Comparative Study; Journal Article; Research Support, Non-U.S. Gov&amp;apos;t&lt;/_type_work&gt;&lt;_url&gt;http://www.ncbi.nlm.nih.gov/entrez/query.fcgi?cmd=Retrieve&amp;amp;db=pubmed&amp;amp;dopt=Abstract&amp;amp;list_uids=27474889&amp;amp;query_hl=1&lt;/_url&gt;&lt;_volume&gt;64&lt;/_volume&gt;&lt;/Details&gt;&lt;Extra&gt;&lt;DBUID&gt;{9A7C78BD-F289-43CD-8CC7-97501B76739F}&lt;/DBUID&gt;&lt;/Extra&gt;&lt;/Item&gt;&lt;/References&gt;&lt;/Group&gt;&lt;Group&gt;&lt;References&gt;&lt;Item&gt;&lt;ID&gt;3308&lt;/ID&gt;&lt;UID&gt;{20083204-43D3-4B06-B3A0-B21A08776F92}&lt;/UID&gt;&lt;Title&gt;Proton pump inhibitors-a risk factor for hepatic encephalopathy in patients listed for liver transplantation?&lt;/Title&gt;&lt;Template&gt;Journal Article&lt;/Template&gt;&lt;Star&gt;1&lt;/Star&gt;&lt;Tag&gt;0&lt;/Tag&gt;&lt;Author&gt;Shanab, A A; Smith, A; Abbas, M; Iriarte, R; Nightingale, P; Gunson, B; Holt, A P; Rajoriya, N&lt;/Author&gt;&lt;Year&gt;2018&lt;/Year&gt;&lt;Details&gt;&lt;_accessed&gt;62603911&lt;/_accessed&gt;&lt;_alternate_title&gt;Hepatology&lt;/_alternate_title&gt;&lt;_author_adr&gt;A.A. Shanab, Internal Medicine, Menofiya University, Birmingham&lt;/_author_adr&gt;&lt;_collection_scope&gt;SCI;SCIE;&lt;/_collection_scope&gt;&lt;_created&gt;62599139&lt;/_created&gt;&lt;_date&gt;2018-01-01&lt;/_date&gt;&lt;_date_display&gt;2018&lt;/_date_display&gt;&lt;_doi&gt;10.1002/hep.30257&lt;/_doi&gt;&lt;_impact_factor&gt;  14.079&lt;/_impact_factor&gt;&lt;_isbn&gt;1527-3350&lt;/_isbn&gt;&lt;_journal&gt;Hepatology&lt;/_journal&gt;&lt;_keywords&gt;proton pump inhibitor; acute liver failure; adult; adverse drug reaction; cancer growth; cancer patient; conference abstract; controlled study; death; deterioration; diagnosis; hepatic encephalopathy; hospital admission; human; liver cirrhosis; liver transplantation; major clinical study; male; middle aged; Model For End Stage Liver Disease Score; morbidity; mortality risk; receiver operating characteristic; retrospective study; risk assessment; risk factor; side effect&lt;/_keywords&gt;&lt;_modified&gt;62609713&lt;/_modified&gt;&lt;_pages&gt;1176A&lt;/_pages&gt;&lt;_url&gt;http://www.embase.com/search/results?subaction=viewrecord&amp;amp;from=export&amp;amp;id=L624566044_x000d__x000a_http://dx.doi.org/10.1002/hep.30257&lt;/_url&gt;&lt;_volume&gt;68&lt;/_volume&gt;&lt;/Details&gt;&lt;Extra&gt;&lt;DBUID&gt;{9A7C78BD-F289-43CD-8CC7-97501B76739F}&lt;/DBUID&gt;&lt;/Extra&gt;&lt;/Item&gt;&lt;/References&gt;&lt;/Group&gt;&lt;Group&gt;&lt;References&gt;&lt;Item&gt;&lt;ID&gt;3310&lt;/ID&gt;&lt;UID&gt;{0B7FC440-7258-441B-AB6B-96920CC08583}&lt;/UID&gt;&lt;Title&gt;Incidence and predictors of hepatic encephalopathy in a population-based cohort of older americans with cirrhosis: Role of opiates, benzodiazepines and proton-pump inhibitors (PPIs)&lt;/Title&gt;&lt;Template&gt;Journal Article&lt;/Template&gt;&lt;Star&gt;1&lt;/Star&gt;&lt;Tag&gt;0&lt;/Tag&gt;&lt;Author&gt;Tapper, E B; Henderson, J; Baki, J; Parikh, N D; Lok, A S&lt;/Author&gt;&lt;Year&gt;2018&lt;/Year&gt;&lt;Details&gt;&lt;_alternate_title&gt;Hepatology&lt;/_alternate_title&gt;&lt;_author_adr&gt;E.B. Tapper, Division of Gastroenterology and Hepatology, University of Michigan Medical Center,&lt;/_author_adr&gt;&lt;_collection_scope&gt;SCI;SCIE;&lt;/_collection_scope&gt;&lt;_created&gt;62599139&lt;/_created&gt;&lt;_date&gt;2018-01-01&lt;/_date&gt;&lt;_date_display&gt;2018&lt;/_date_display&gt;&lt;_doi&gt;10.1002/hep.30256&lt;/_doi&gt;&lt;_impact_factor&gt;  14.079&lt;/_impact_factor&gt;&lt;_isbn&gt;1527-3350&lt;/_isbn&gt;&lt;_journal&gt;Hepatology&lt;/_journal&gt;&lt;_keywords&gt;alcohol; benzodiazepine derivative; lactulose; proton pump inhibitor; rifaximin; adult; alcohol liver cirrhosis; American; animal experiment; animal model; ascites; cancer patient; Charlson Comorbidity Index; cohort analysis; conference abstract; controlled study; diagnosis; drug combination; drug therapy; drug toxicity; female; follow up; gastroenterologist; hemodialysis; hepatic encephalopathy; hepatitis; ICD-9; liver cell carcinoma; male; medicaid; medicare; morbidity; nonhuman; paracentesis; portal hypertension; race; random sample; risk assessment; risk factor; varicosis&lt;/_keywords&gt;&lt;_modified&gt;62609713&lt;/_modified&gt;&lt;_pages&gt;138A&lt;/_pages&gt;&lt;_url&gt;http://www.embase.com/search/results?subaction=viewrecord&amp;amp;from=export&amp;amp;id=L624565019_x000d__x000a_http://dx.doi.org/10.1002/hep.30256&lt;/_url&gt;&lt;_volume&gt;68&lt;/_volume&gt;&lt;/Details&gt;&lt;Extra&gt;&lt;DBUID&gt;{9A7C78BD-F289-43CD-8CC7-97501B76739F}&lt;/DBUID&gt;&lt;/Extra&gt;&lt;/Item&gt;&lt;/References&gt;&lt;/Group&gt;&lt;Group&gt;&lt;References&gt;&lt;Item&gt;&lt;ID&gt;3393&lt;/ID&gt;&lt;UID&gt;{8DC892CD-D907-4E07-AA90-3D6C418AA356}&lt;/UID&gt;&lt;Title&gt;Proton pump inhibitors increase the risk for hepatic encephalopathy in patients with cirrhosis and ascites&lt;/Title&gt;&lt;Template&gt;Journal Article&lt;/Template&gt;&lt;Star&gt;1&lt;/Star&gt;&lt;Tag&gt;0&lt;/Tag&gt;&lt;Author&gt;Matei, D; Pasca, S; David, A; Procopet, B; Stefanescu, H; Vesa, S; Andreica, V; Tantau, M&lt;/Author&gt;&lt;Year&gt;2017&lt;/Year&gt;&lt;Details&gt;&lt;_accessed&gt;62603912&lt;/_accessed&gt;&lt;_alternate_title&gt;J. Hepatol.&lt;/_alternate_title&gt;&lt;_author_adr&gt;D. Matei, University of Medicine and Pharmacy Iuliu Hatieganu, Romania&lt;/_author_adr&gt;&lt;_collection_scope&gt;SCI;SCIE;&lt;/_collection_scope&gt;&lt;_created&gt;62599139&lt;/_created&gt;&lt;_date&gt;2017-01-01&lt;/_date&gt;&lt;_date_display&gt;2017&lt;/_date_display&gt;&lt;_impact_factor&gt;  14.911&lt;/_impact_factor&gt;&lt;_isbn&gt;1600-0641&lt;/_isbn&gt;&lt;_issue&gt;1&lt;/_issue&gt;&lt;_journal&gt;Journal of Hepatology&lt;/_journal&gt;&lt;_keywords&gt;proton pump inhibitor; adult; animal experiment; animal model; ascites fluid; bacterial peritonitis; cancer model; conference abstract; controlled study; cross-sectional study; diagnosis; end stage liver disease; hepatic encephalopathy; hepatorenal syndrome; human; liver cell carcinoma; liver cirrhosis; male; Model For End Stage Liver Disease Score; multivariate analysis; nonhuman; risk assessment; risk factor; upper gastrointestinal bleeding&lt;/_keywords&gt;&lt;_modified&gt;62609713&lt;/_modified&gt;&lt;_pages&gt;S136&lt;/_pages&gt;&lt;_url&gt;http://www.embase.com/search/results?subaction=viewrecord&amp;amp;from=export&amp;amp;id=L621221874&lt;/_url&gt;&lt;_volume&gt;66&lt;/_volume&gt;&lt;/Details&gt;&lt;Extra&gt;&lt;DBUID&gt;{9A7C78BD-F289-43CD-8CC7-97501B76739F}&lt;/DBUID&gt;&lt;/Extra&gt;&lt;/Item&gt;&lt;/References&gt;&lt;/Group&gt;&lt;/Citation&gt;_x000a_"/>
    <w:docVar w:name="NE.Ref{8A4451FE-C887-466E-9495-0B8FD327BE25}" w:val=" ADDIN NE.Ref.{8A4451FE-C887-466E-9495-0B8FD327BE25}&lt;Citation&gt;&lt;Group&gt;&lt;References&gt;&lt;Item&gt;&lt;ID&gt;3632&lt;/ID&gt;&lt;UID&gt;{34EE5783-F025-4034-8ED5-E3BFA042C0D0}&lt;/UID&gt;&lt;Title&gt;Patterns of proton pump inhibitor use in clinical practice&lt;/Title&gt;&lt;Template&gt;Journal Article&lt;/Template&gt;&lt;Star&gt;0&lt;/Star&gt;&lt;Tag&gt;0&lt;/Tag&gt;&lt;Author&gt;Barrison, A F; Jarboe, L A; Weinberg, B M; Nimmagadda, K; Sullivan, L M; Wolfe, M M&lt;/Author&gt;&lt;Year&gt;2001&lt;/Year&gt;&lt;Details&gt;&lt;_accession_num&gt;11690573&lt;/_accession_num&gt;&lt;_author_adr&gt;Section of Gastroenterology, Boston University School of Medicine and Boston Medical Center, 650 Albany Street, Boston, MA 02118-2393, USA.&lt;/_author_adr&gt;&lt;_collection_scope&gt;SCI;SCIE;&lt;/_collection_scope&gt;&lt;_created&gt;62606095&lt;/_created&gt;&lt;_date&gt;2001-10-15&lt;/_date&gt;&lt;_date_display&gt;2001 Oct 15&lt;/_date_display&gt;&lt;_impact_factor&gt;   5.117&lt;/_impact_factor&gt;&lt;_isbn&gt;0002-9343 (Print); 0002-9343 (Linking)&lt;/_isbn&gt;&lt;_issue&gt;6&lt;/_issue&gt;&lt;_journal&gt;Am J Med&lt;/_journal&gt;&lt;_keywords&gt;Adult; Aged; *Clinical Competence; Data Collection; Drug Prescriptions; Drug Utilization; *Gastroenterology; Humans; Middle Aged; *Practice Patterns, Physicians&amp;apos;; *Primary Health Care; *Proton Pump Inhibitors; Proton Pumps/*pharmacology; Random Allocation&lt;/_keywords&gt;&lt;_language&gt;eng&lt;/_language&gt;&lt;_modified&gt;62606105&lt;/_modified&gt;&lt;_pages&gt;469-73&lt;/_pages&gt;&lt;_tertiary_title&gt;The American journal of medicine&lt;/_tertiary_title&gt;&lt;_type_work&gt;Journal Article; Research Support, Non-U.S. Gov&amp;apos;t&lt;/_type_work&gt;&lt;_url&gt;http://www.ncbi.nlm.nih.gov/entrez/query.fcgi?cmd=Retrieve&amp;amp;db=pubmed&amp;amp;dopt=Abstract&amp;amp;list_uids=11690573&amp;amp;query_hl=1&lt;/_url&gt;&lt;_volume&gt;111&lt;/_volume&gt;&lt;/Details&gt;&lt;Extra&gt;&lt;DBUID&gt;{9A7C78BD-F289-43CD-8CC7-97501B76739F}&lt;/DBUID&gt;&lt;/Extra&gt;&lt;/Item&gt;&lt;/References&gt;&lt;/Group&gt;&lt;/Citation&gt;_x000a_"/>
    <w:docVar w:name="NE.Ref{8E0DEE67-A373-484D-8D62-E50E583B575D}" w:val=" ADDIN NE.Ref.{8E0DEE67-A373-484D-8D62-E50E583B575D}&lt;Citation&gt;&lt;Group&gt;&lt;References&gt;&lt;Item&gt;&lt;ID&gt;5&lt;/ID&gt;&lt;UID&gt;{8521C4C9-780F-4215-BF84-BB69E3B978E4}&lt;/UID&gt;&lt;Title&gt;Treatment with proton pump inhibitors increases the risk for development of hepatic encephalopathy after implantation of transjugular intrahepatic portosystemic shunt (TIPS)&lt;/Title&gt;&lt;Template&gt;Book&lt;/Template&gt;&lt;Star&gt;1&lt;/Star&gt;&lt;Tag&gt;0&lt;/Tag&gt;&lt;Author&gt;Sturm, L; Bettinger, D; Giesler, M; Boettler, T; Schmidt, A; Buettner, N; Thimme, R; Schultheiss, M&lt;/Author&gt;&lt;Year&gt;2018&lt;/Year&gt;&lt;Details&gt;&lt;_accession_num&gt;30386611&lt;/_accession_num&gt;&lt;_author_adr&gt;Department of Medicine II, Medical Center University of Freiburg, Faculty of Medicine, University of Freiburg, Freiburg, Germany.; Department of Medicine II, Medical Center University of Freiburg, Faculty of Medicine, University of Freiburg, Freiburg, Germany.; Berta-Ottenstein-Programme,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lt;/_author_adr&gt;&lt;_created&gt;62599059&lt;/_created&gt;&lt;_date&gt;2018-11-01&lt;/_date&gt;&lt;_date_display&gt;2018 Nov&lt;/_date_display&gt;&lt;_doi&gt;10.1177/2050640618795928&lt;/_doi&gt;&lt;_impact_factor&gt;   3.477&lt;/_impact_factor&gt;&lt;_isbn&gt;2050-6406 (Print); 2050-6406 (Linking)&lt;/_isbn&gt;&lt;_issue&gt;9&lt;/_issue&gt;&lt;_journal&gt;United European Gastroenterol J&lt;/_journal&gt;&lt;_keywords&gt;Hepatic encephalopathy; PPI; TIPS; proton pump inhibitors; transjugular intrahepatic portosystemic shunt&lt;/_keywords&gt;&lt;_language&gt;eng&lt;/_language&gt;&lt;_modified&gt;62599424&lt;/_modified&gt;&lt;_pages&gt;1380-1390&lt;/_pages&gt;&lt;_tertiary_title&gt;United European gastroenterology journal&lt;/_tertiary_title&gt;&lt;_type_work&gt;Journal Article&lt;/_type_work&gt;&lt;_url&gt;http://www.ncbi.nlm.nih.gov/entrez/query.fcgi?cmd=Retrieve&amp;amp;db=pubmed&amp;amp;dopt=Abstract&amp;amp;list_uids=30386611&amp;amp;query_hl=1&lt;/_url&gt;&lt;_volume&gt;6&lt;/_volume&gt;&lt;/Details&gt;&lt;Extra&gt;&lt;DBUID&gt;{9A7C78BD-F289-43CD-8CC7-97501B76739F}&lt;/DBUID&gt;&lt;/Extra&gt;&lt;/Item&gt;&lt;/References&gt;&lt;/Group&gt;&lt;Group&gt;&lt;References&gt;&lt;Item&gt;&lt;ID&gt;3012&lt;/ID&gt;&lt;UID&gt;{A517CA25-CF32-467A-97CA-B87CDE069B81}&lt;/UID&gt;&lt;Title&gt;Proton pump inhibitors are associated to minimal and overt hepatic encephalopathy and increase mortality in cirrhotics&lt;/Title&gt;&lt;Template&gt;Journal Article&lt;/Template&gt;&lt;Star&gt;1&lt;/Star&gt;&lt;Tag&gt;0&lt;/Tag&gt;&lt;Author&gt;Nardelli, S; Gioia, S; Ridola, L; Farcomeni, A; Merli, M; Riggio, O&lt;/Author&gt;&lt;Year&gt;2018&lt;/Year&gt;&lt;Details&gt;&lt;_accession_num&gt;30289992&lt;/_accession_num&gt;&lt;_author_adr&gt;Dept. of Clinical Medicine, &amp;quot;Sapienza&amp;quot; University of Rome, Rome, Italy.; Dept. of Clinical Medicine, &amp;quot;Sapienza&amp;quot; University of Rome, Rome, Italy.; Dept. of Clinical Medicine, &amp;quot;Sapienza&amp;quot; University of Rome, Rome, Italy.; Dept. of Clinical Medicine, &amp;quot;Sapienza&amp;quot; University of Rome, Rome, Italy.; Dept. of Public Health and Infectious Diseases, &amp;quot;Sapienza&amp;quot; University of Rome, Rome, Italy.; Dept. of Clinical Medicine, &amp;quot;Sapienza&amp;quot; University of Rome, Rome, Italy.; Dept. of Clinical Medicine, &amp;quot;Sapienza&amp;quot; University of Rome, Rome, Italy.&lt;/_author_adr&gt;&lt;_collection_scope&gt;SCI;SCIE;&lt;/_collection_scope&gt;&lt;_created&gt;62599138&lt;/_created&gt;&lt;_date&gt;2018-10-05&lt;/_date&gt;&lt;_date_display&gt;2018 Oct 5&lt;/_date_display&gt;&lt;_doi&gt;10.1002/hep.30304&lt;/_doi&gt;&lt;_impact_factor&gt;  14.079&lt;/_impact_factor&gt;&lt;_isbn&gt;1527-3350 (Electronic); 0270-9139 (Linking)&lt;/_isbn&gt;&lt;_journal&gt;Hepatology&lt;/_journal&gt;&lt;_keywords&gt;Proton pump inhibitors; hepatic encephalopathy; liver cirrhosis; psychometric evaluation&lt;/_keywords&gt;&lt;_language&gt;eng&lt;/_language&gt;&lt;_modified&gt;62599424&lt;/_modified&gt;&lt;_ori_publication&gt;This article is protected by copyright. All rights reserved.&lt;/_ori_publication&gt;&lt;_tertiary_title&gt;Hepatology (Baltimore, Md.)&lt;/_tertiary_title&gt;&lt;_type_work&gt;Journal Article&lt;/_type_work&gt;&lt;_url&gt;http://www.ncbi.nlm.nih.gov/entrez/query.fcgi?cmd=Retrieve&amp;amp;db=pubmed&amp;amp;dopt=Abstract&amp;amp;list_uids=30289992&amp;amp;query_hl=1&lt;/_url&gt;&lt;/Details&gt;&lt;Extra&gt;&lt;DBUID&gt;{9A7C78BD-F289-43CD-8CC7-97501B76739F}&lt;/DBUID&gt;&lt;/Extra&gt;&lt;/Item&gt;&lt;/References&gt;&lt;/Group&gt;&lt;Group&gt;&lt;References&gt;&lt;Item&gt;&lt;ID&gt;3013&lt;/ID&gt;&lt;UID&gt;{CF0C3E81-9E4E-493F-B810-3418E98FC16A}&lt;/UID&gt;&lt;Title&gt;Association of proton pump inhibitors with the risk of hepatic encephalopathy during hospitalization for liver cirrhosis&lt;/Title&gt;&lt;Template&gt;Journal Article&lt;/Template&gt;&lt;Star&gt;1&lt;/Star&gt;&lt;Tag&gt;0&lt;/Tag&gt;&lt;Author&gt;Zhu, J; Qi, X; Yu, H; Yoshida, E M; Mendez-Sanchez, N; Zhang, X; Wang, R; Deng, H; Li, J; Han, D; Guo, X&lt;/Author&gt;&lt;Year&gt;2018&lt;/Year&gt;&lt;Details&gt;&lt;_accession_num&gt;30288280&lt;/_accession_num&gt;&lt;_author_adr&gt;Liver Cirrhosis Study Group, Department of Gastroenterology, General Hospital of  Shenyang Military Area, Shenyang, China.; Postgraduate College, Shenyang Pharmaceutical University, Shenyang, China.; Liver Cirrhosis Study Group, Department of Gastroenterology, General Hospital of  Shenyang Military Area, Shenyang, China.; Postgraduate College, Shenyang Pharmaceutical University, Shenyang, China.; Division of Gastroenterology, Vancouver General Hospital, Vancouver, Canada.; Liver Research Unit, Medica Sur Clinic &amp;amp; Foundation, Mexico City, Mexico.;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lt;/_author_adr&gt;&lt;_created&gt;62599138&lt;/_created&gt;&lt;_date&gt;2018-10-01&lt;/_date&gt;&lt;_date_display&gt;2018 Oct&lt;/_date_display&gt;&lt;_doi&gt;10.1177/2050640618773564&lt;/_doi&gt;&lt;_impact_factor&gt;   3.477&lt;/_impact_factor&gt;&lt;_isbn&gt;2050-6406 (Print); 2050-6406 (Linking)&lt;/_isbn&gt;&lt;_issue&gt;8&lt;/_issue&gt;&lt;_journal&gt;United European Gastroenterol J&lt;/_journal&gt;&lt;_keywords&gt;Proton pump inhibitors; gut microbiota; hepatic encephalopathy; liver cirrhosis; risk&lt;/_keywords&gt;&lt;_language&gt;eng&lt;/_language&gt;&lt;_modified&gt;62599424&lt;/_modified&gt;&lt;_pages&gt;1179-1187&lt;/_pages&gt;&lt;_tertiary_title&gt;United European gastroenterology journal&lt;/_tertiary_title&gt;&lt;_type_work&gt;Journal Article&lt;/_type_work&gt;&lt;_url&gt;http://www.ncbi.nlm.nih.gov/entrez/query.fcgi?cmd=Retrieve&amp;amp;db=pubmed&amp;amp;dopt=Abstract&amp;amp;list_uids=30288280&amp;amp;query_hl=1&lt;/_url&gt;&lt;_volume&gt;6&lt;/_volume&gt;&lt;/Details&gt;&lt;Extra&gt;&lt;DBUID&gt;{9A7C78BD-F289-43CD-8CC7-97501B76739F}&lt;/DBUID&gt;&lt;/Extra&gt;&lt;/Item&gt;&lt;/References&gt;&lt;/Group&gt;&lt;Group&gt;&lt;References&gt;&lt;Item&gt;&lt;ID&gt;3071&lt;/ID&gt;&lt;UID&gt;{CBD045EF-5D80-4D06-839B-A8A3CF8DD60D}&lt;/UID&gt;&lt;Title&gt;Proton Pump Inhibitors Increase Risk for Hepatic Encephalopathy in Patients With  Cirrhosis in A Population Study&lt;/Title&gt;&lt;Template&gt;Journal Article&lt;/Template&gt;&lt;Star&gt;1&lt;/Star&gt;&lt;Tag&gt;0&lt;/Tag&gt;&lt;Author&gt;Tsai, C F; Chen, M H; Wang, Y P; Chu, C J; Huang, Y H; Lin, H C; Hou, M C; Lee, F Y; Su, T P; Lu, C L&lt;/Author&gt;&lt;Year&gt;2017&lt;/Year&gt;&lt;Details&gt;&lt;_accession_num&gt;27639806&lt;/_accession_num&gt;&lt;_author_adr&gt;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Electronic address: cllu@ym.edu.tw.&lt;/_author_adr&gt;&lt;_collection_scope&gt;SCI;SCIE;&lt;/_collection_scope&gt;&lt;_created&gt;62599138&lt;/_created&gt;&lt;_date&gt;2017-01-01&lt;/_date&gt;&lt;_date_display&gt;2017 Jan&lt;/_date_display&gt;&lt;_doi&gt;10.1053/j.gastro.2016.09.007&lt;/_doi&gt;&lt;_impact_factor&gt;  20.773&lt;/_impact_factor&gt;&lt;_isbn&gt;1528-0012 (Electronic); 0016-5085 (Linking)&lt;/_isbn&gt;&lt;_issue&gt;1&lt;/_issue&gt;&lt;_journal&gt;Gastroenterology&lt;/_journal&gt;&lt;_keywords&gt;2-Pyridinylmethylsulfinylbenzimidazoles/administration &amp;amp; dosage; Administrative Claims, Healthcare/statistics &amp;amp; numerical data; Adult; Aged; Case-Control Studies; Esomeprazole/administration &amp;amp; dosage; Female; Hepatic Encephalopathy/*epidemiology/*etiology; Humans; Incidence; Insurance, Health/statistics &amp;amp; numerical data; Lansoprazole/administration &amp;amp; dosage; Liver Cirrhosis/*complications; Longitudinal Studies; Male; Middle Aged; Omeprazole/administration &amp;amp; dosage; Pantoprazole; Proton Pump Inhibitors/*administration &amp;amp; dosage; Rabeprazole/administration &amp;amp; dosage; Taiwan/epidemiology*Acid Suppression; *Cognitive Dysfunction; *Gut Microbiota; *Liver Failure&lt;/_keywords&gt;&lt;_language&gt;eng&lt;/_language&gt;&lt;_modified&gt;62599424&lt;/_modified&gt;&lt;_ori_publication&gt;Copyright (c) 2017. Published by Elsevier Inc.&lt;/_ori_publication&gt;&lt;_pages&gt;134-141&lt;/_pages&gt;&lt;_tertiary_title&gt;Gastroenterology&lt;/_tertiary_title&gt;&lt;_type_work&gt;Journal Article&lt;/_type_work&gt;&lt;_url&gt;http://www.ncbi.nlm.nih.gov/entrez/query.fcgi?cmd=Retrieve&amp;amp;db=pubmed&amp;amp;dopt=Abstract&amp;amp;list_uids=27639806&amp;amp;query_hl=1&lt;/_url&gt;&lt;_volume&gt;152&lt;/_volume&gt;&lt;/Details&gt;&lt;Extra&gt;&lt;DBUID&gt;{9A7C78BD-F289-43CD-8CC7-97501B76739F}&lt;/DBUID&gt;&lt;/Extra&gt;&lt;/Item&gt;&lt;/References&gt;&lt;/Group&gt;&lt;Group&gt;&lt;References&gt;&lt;Item&gt;&lt;ID&gt;3073&lt;/ID&gt;&lt;UID&gt;{758F06D2-99D2-4E75-8CBA-0AA1101F5466}&lt;/UID&gt;&lt;Title&gt;Proton pump inhibitors as a risk factor for hepatic encephalopathy and spontaneous bacterial peritonitis in patients with cirrhosis with ascites&lt;/Title&gt;&lt;Template&gt;Generic&lt;/Template&gt;&lt;Star&gt;1&lt;/Star&gt;&lt;Tag&gt;0&lt;/Tag&gt;&lt;Author&gt;Dam, G; Vilstrup, H; Watson, H; Jepsen, P&lt;/Author&gt;&lt;Year&gt;2016&lt;/Year&gt;&lt;Details&gt;&lt;_accession_num&gt;27474889&lt;/_accession_num&gt;&lt;_author_adr&gt;Department of Hepatology and Gastroenterology, Aarhus University Hospital, Aarhus, Denmark. gitdam@rm.dk.; Department of Hepatology and Gastroenterology, Aarhus University Hospital, Aarhus, Denmark.; Sanofi Aventis R&amp;amp;D, Paris, France.; Department of Hepatology and Gastroenterology, Aarhus University Hospital, Aarhus, Denmark.; Department of Clinical Epidemiology, Aarhus University Hospital, Aarhus, Denmark.&lt;/_author_adr&gt;&lt;_collection_scope&gt;SCI;SCIE;&lt;/_collection_scope&gt;&lt;_created&gt;62599138&lt;/_created&gt;&lt;_date&gt;2016-10-01&lt;/_date&gt;&lt;_date_display&gt;2016 Oct&lt;/_date_display&gt;&lt;_doi&gt;10.1002/hep.28737&lt;/_doi&gt;&lt;_impact_factor&gt;  14.079&lt;/_impact_factor&gt;&lt;_isbn&gt;1527-3350 (Electronic); 0270-9139 (Linking)&lt;/_isbn&gt;&lt;_issue&gt;4&lt;/_issue&gt;&lt;_journal&gt;Hepatology&lt;/_journal&gt;&lt;_keywords&gt;Aged; Ascites/complications/drug therapy; Bacterial Infections/*chemically induced; Female; Hepatic Encephalopathy/*chemically induced; Humans; Liver Cirrhosis/complications; Male; Middle Aged; Peritonitis/*chemically induced/*microbiology; Proton Pump Inhibitors/*adverse effects/therapeutic use; Risk Factors&lt;/_keywords&gt;&lt;_language&gt;eng&lt;/_language&gt;&lt;_modified&gt;62599424&lt;/_modified&gt;&lt;_ori_publication&gt;(c) 2016 by the American Association for the Study of Liver Diseases.&lt;/_ori_publication&gt;&lt;_pages&gt;1265-72&lt;/_pages&gt;&lt;_tertiary_title&gt;Hepatology (Baltimore, Md.)&lt;/_tertiary_title&gt;&lt;_type_work&gt;Comparative Study; Journal Article; Research Support, Non-U.S. Gov&amp;apos;t&lt;/_type_work&gt;&lt;_url&gt;http://www.ncbi.nlm.nih.gov/entrez/query.fcgi?cmd=Retrieve&amp;amp;db=pubmed&amp;amp;dopt=Abstract&amp;amp;list_uids=27474889&amp;amp;query_hl=1&lt;/_url&gt;&lt;_volume&gt;64&lt;/_volume&gt;&lt;/Details&gt;&lt;Extra&gt;&lt;DBUID&gt;{9A7C78BD-F289-43CD-8CC7-97501B76739F}&lt;/DBUID&gt;&lt;/Extra&gt;&lt;/Item&gt;&lt;/References&gt;&lt;/Group&gt;&lt;Group&gt;&lt;References&gt;&lt;Item&gt;&lt;ID&gt;3127&lt;/ID&gt;&lt;UID&gt;{1D330603-B6F6-4B2A-9AB2-419A36FA7117}&lt;/UID&gt;&lt;Title&gt;Association of Proton Pump Inhibitor Therapy with Hepatic Encephalopathy in Hepatitis B Virus-related Acute-on-Chronic Liver Failure&lt;/Title&gt;&lt;Template&gt;Journal Article&lt;/Template&gt;&lt;Star&gt;1&lt;/Star&gt;&lt;Tag&gt;0&lt;/Tag&gt;&lt;Author&gt;Lin, Z N; Zuo, Y Q; Hu, P&lt;/Author&gt;&lt;Year&gt;2014&lt;/Year&gt;&lt;Details&gt;&lt;_accession_num&gt;24748895&lt;/_accession_num&gt;&lt;_author_adr&gt;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lt;/_author_adr&gt;&lt;_collection_scope&gt;SCIE;&lt;/_collection_scope&gt;&lt;_created&gt;62599138&lt;/_created&gt;&lt;_date&gt;2014-04-01&lt;/_date&gt;&lt;_date_display&gt;2014 Apr&lt;/_date_display&gt;&lt;_doi&gt;10.5812/hepatmon.16258&lt;/_doi&gt;&lt;_impact_factor&gt;   1.810&lt;/_impact_factor&gt;&lt;_isbn&gt;1735-143X (Print); 1735-143X (Linking)&lt;/_isbn&gt;&lt;_issue&gt;4&lt;/_issue&gt;&lt;_journal&gt;Hepat Mon&lt;/_journal&gt;&lt;_keywords&gt;Hepatic Encephalopathy; Hepatitis B Virus; Proton Pump Inhibitors&lt;/_keywords&gt;&lt;_language&gt;eng&lt;/_language&gt;&lt;_modified&gt;62599424&lt;/_modified&gt;&lt;_pages&gt;e16258&lt;/_pages&gt;&lt;_tertiary_title&gt;Hepatitis monthly&lt;/_tertiary_title&gt;&lt;_type_work&gt;Journal Article&lt;/_type_work&gt;&lt;_url&gt;http://www.ncbi.nlm.nih.gov/entrez/query.fcgi?cmd=Retrieve&amp;amp;db=pubmed&amp;amp;dopt=Abstract&amp;amp;list_uids=24748895&amp;amp;query_hl=1&lt;/_url&gt;&lt;_volume&gt;14&lt;/_volume&gt;&lt;/Details&gt;&lt;Extra&gt;&lt;DBUID&gt;{9A7C78BD-F289-43CD-8CC7-97501B76739F}&lt;/DBUID&gt;&lt;/Extra&gt;&lt;/Item&gt;&lt;/References&gt;&lt;/Group&gt;&lt;/Citation&gt;_x000a_"/>
    <w:docVar w:name="NE.Ref{9186EE2E-0684-44A8-A5BE-9EC5BCF727F3}" w:val=" ADDIN NE.Ref.{9186EE2E-0684-44A8-A5BE-9EC5BCF727F3}&lt;Citation&gt;&lt;Group&gt;&lt;References&gt;&lt;Item&gt;&lt;ID&gt;3635&lt;/ID&gt;&lt;UID&gt;{DD3F29E9-B60E-4003-9157-92642BB4C782}&lt;/UID&gt;&lt;Title&gt;Proton pump inhibitor treatment is associated with the severity of liver disease  and increased mortality in patients with cirrhosis&lt;/Title&gt;&lt;Template&gt;Journal Article&lt;/Template&gt;&lt;Star&gt;0&lt;/Star&gt;&lt;Tag&gt;0&lt;/Tag&gt;&lt;Author&gt;Dultz, G; Piiper, A; Zeuzem, S; Kronenberger, B; Waidmann, O&lt;/Author&gt;&lt;Year&gt;2015&lt;/Year&gt;&lt;Details&gt;&lt;_accession_num&gt;25523381&lt;/_accession_num&gt;&lt;_author_adr&gt;Medizinische Klinik 1, Schwerpunkt Gastroenterologie und Hepatologie, Universitatsklinikum Frankfurt, Goethe-Universitat, Frankfurt/Main, Germany.&lt;/_author_adr&gt;&lt;_created&gt;62606095&lt;/_created&gt;&lt;_date&gt;2015-03-01&lt;/_date&gt;&lt;_date_display&gt;2015 Mar&lt;/_date_display&gt;&lt;_doi&gt;10.1111/apt.13061&lt;/_doi&gt;&lt;_impact_factor&gt;   7.357&lt;/_impact_factor&gt;&lt;_isbn&gt;1365-2036 (Electronic); 0269-2813 (Linking)&lt;/_isbn&gt;&lt;_issue&gt;5&lt;/_issue&gt;&lt;_journal&gt;Aliment Pharmacol Ther&lt;/_journal&gt;&lt;_keywords&gt;Adult; Age Factors; Aged; Aged, 80 and over; Bacterial Infections/epidemiology; Female; Germany; Humans; Incidence; Liver Cirrhosis/epidemiology/microbiology/*mortality; Liver Diseases/microbiology/mortality; Logistic Models; Male; Middle Aged; Prognosis; Prospective Studies; Proton Pump Inhibitors/*adverse effects; Risk Factors; Severity of Illness Index; Sex Factors&lt;/_keywords&gt;&lt;_language&gt;eng&lt;/_language&gt;&lt;_modified&gt;62609029&lt;/_modified&gt;&lt;_ori_publication&gt;(c) 2014 John Wiley &amp;amp; Sons Ltd.&lt;/_ori_publication&gt;&lt;_pages&gt;459-66&lt;/_pages&gt;&lt;_tertiary_title&gt;Alimentary pharmacology &amp;amp; therapeutics&lt;/_tertiary_title&gt;&lt;_type_work&gt;Clinical Trial; Journal Article; Research Support, Non-U.S. Gov&amp;apos;t&lt;/_type_work&gt;&lt;_url&gt;http://www.ncbi.nlm.nih.gov/entrez/query.fcgi?cmd=Retrieve&amp;amp;db=pubmed&amp;amp;dopt=Abstract&amp;amp;list_uids=25523381&amp;amp;query_hl=1&lt;/_url&gt;&lt;_volume&gt;41&lt;/_volume&gt;&lt;/Details&gt;&lt;Extra&gt;&lt;DBUID&gt;{9A7C78BD-F289-43CD-8CC7-97501B76739F}&lt;/DBUID&gt;&lt;/Extra&gt;&lt;/Item&gt;&lt;/References&gt;&lt;/Group&gt;&lt;Group&gt;&lt;References&gt;&lt;Item&gt;&lt;ID&gt;3640&lt;/ID&gt;&lt;UID&gt;{7C864FA8-8D88-41D3-A825-FEE7F1557D46}&lt;/UID&gt;&lt;Title&gt;Proton pump inhibitor therapy and potential long-term harm&lt;/Title&gt;&lt;Template&gt;Journal Article&lt;/Template&gt;&lt;Star&gt;0&lt;/Star&gt;&lt;Tag&gt;0&lt;/Tag&gt;&lt;Author&gt;Corleto, V D; Festa, S; Di Giulio, E; Annibale, B&lt;/Author&gt;&lt;Year&gt;2014&lt;/Year&gt;&lt;Details&gt;&lt;_accession_num&gt;24310148&lt;/_accession_num&gt;&lt;_author_adr&gt;aDepartment of Gastroenterology and Digestive Endoscopy, School of Medicine and Psychology, Sapienza University of Rome, Sant&amp;apos;Andrea Hospital bCentro Ricerche S. Pietro, Ospedale S. Pietro, Rome, Italy.&lt;/_author_adr&gt;&lt;_date_display&gt;2014 Feb&lt;/_date_display&gt;&lt;_date&gt;2014-02-01&lt;/_date&gt;&lt;_doi&gt;10.1097/MED.0000000000000031&lt;/_doi&gt;&lt;_isbn&gt;1752-2978 (Electronic); 1752-296X (Linking)&lt;/_isbn&gt;&lt;_issue&gt;1&lt;/_issue&gt;&lt;_journal&gt;Curr Opin Endocrinol Diabetes Obes&lt;/_journal&gt;&lt;_keywords&gt;Achlorhydria/*chemically induced; Bone Density/*drug effects; Clostridium difficile/immunology; Delayed Diagnosis; Disease Susceptibility; Drug Interactions; Enterocolitis, Pseudomembranous/*chemically induced/immunology; Female; Gastroesophageal Reflux/*drug therapy; Humans; Hypocalcemia/*chemically induced; Magnesium Deficiency/congenital; Male; Practice Patterns, Physicians&amp;apos;; Proton Pump Inhibitors/administration &amp;amp;amp; dosage/*adverse effects; Renal Tubular Transport, Inborn Errors/*chemically induced; Time Factors&lt;/_keywords&gt;&lt;_language&gt;eng&lt;/_language&gt;&lt;_pages&gt;3-8&lt;/_pages&gt;&lt;_tertiary_title&gt;Current opinion in endocrinology, diabetes, and obesity&lt;/_tertiary_title&gt;&lt;_type_work&gt;Journal Article; Research Support, Non-U.S. Gov&amp;apos;t; Review&lt;/_type_work&gt;&lt;_url&gt;http://www.ncbi.nlm.nih.gov/entrez/query.fcgi?cmd=Retrieve&amp;amp;db=pubmed&amp;amp;dopt=Abstract&amp;amp;list_uids=24310148&amp;amp;query_hl=1&lt;/_url&gt;&lt;_volume&gt;21&lt;/_volume&gt;&lt;_created&gt;62609069&lt;/_created&gt;&lt;_modified&gt;62609069&lt;/_modified&gt;&lt;_db_updated&gt;PubMed&lt;/_db_updated&gt;&lt;/Details&gt;&lt;Extra&gt;&lt;DBUID&gt;{9A7C78BD-F289-43CD-8CC7-97501B76739F}&lt;/DBUID&gt;&lt;/Extra&gt;&lt;/Item&gt;&lt;/References&gt;&lt;/Group&gt;&lt;Group&gt;&lt;References&gt;&lt;Item&gt;&lt;ID&gt;3641&lt;/ID&gt;&lt;UID&gt;{3616B0A1-8513-4515-A2EA-78C5C9507927}&lt;/UID&gt;&lt;Title&gt;Use of Proton Pump Inhibitors and Risks of Fundic Gland Polyps and Gastric Cancer: Systematic Review and Meta-analysis&lt;/Title&gt;&lt;Template&gt;Journal Article&lt;/Template&gt;&lt;Star&gt;0&lt;/Star&gt;&lt;Tag&gt;0&lt;/Tag&gt;&lt;Author&gt;Tran-Duy, A; Spaetgens, B; Hoes, A W; de Wit, N J; Stehouwer, C D&lt;/Author&gt;&lt;Year&gt;2016&lt;/Year&gt;&lt;Details&gt;&lt;_accession_num&gt;27211501&lt;/_accession_num&gt;&lt;_author_adr&gt;Department of Internal Medicine, Maastricht University Medical Center, Maastricht, The Netherlands; Department of Clinical Epidemiology and Medical Technology Assessment, Maastricht University Medical Center, Maastricht, The Netherlands. Electronic address: an.tranduy@gmail.com.; Department of Internal Medicine, Maastricht University Medical Center, Maastricht, The Netherlands.; Julius Center for Health Sciences and Primary Care, UMC Utrecht, Utrecht, The Netherlands.; Julius Center for Health Sciences and Primary Care, UMC Utrecht, Utrecht, The Netherlands.; Department of Internal Medicine, Maastricht University Medical Center, Maastricht, The Netherlands.&lt;/_author_adr&gt;&lt;_date_display&gt;2016 Dec&lt;/_date_display&gt;&lt;_date&gt;2016-12-01&lt;/_date&gt;&lt;_doi&gt;10.1016/j.cgh.2016.05.018&lt;/_doi&gt;&lt;_isbn&gt;1542-7714 (Electronic); 1542-3565 (Linking)&lt;/_isbn&gt;&lt;_issue&gt;12&lt;/_issue&gt;&lt;_journal&gt;Clin Gastroenterol Hepatol&lt;/_journal&gt;&lt;_keywords&gt;Humans; Observational Studies as Topic; Polyps/*chemically induced/*epidemiology; Proton Pump Inhibitors/*adverse effects/*therapeutic use; Randomized Controlled Trials as Topic; Risk Assessment; Stomach Neoplasms/*chemically induced/*epidemiology*Acid-Suppressive Drug; *Neoplasm; *Side Effect; *Stomach Carcinoma&lt;/_keywords&gt;&lt;_language&gt;eng&lt;/_language&gt;&lt;_ori_publication&gt;Copyright (c) 2016 AGA Institute. Published by Elsevier Inc. All rights reserved.&lt;/_ori_publication&gt;&lt;_pages&gt;1706-1719.e5&lt;/_pages&gt;&lt;_tertiary_title&gt;Clinical gastroenterology and hepatology : the official clinical practice journal_x000d__x000a_      of the American Gastroenterological Association&lt;/_tertiary_title&gt;&lt;_type_work&gt;Journal Article; Review; Systematic Review&lt;/_type_work&gt;&lt;_url&gt;http://www.ncbi.nlm.nih.gov/entrez/query.fcgi?cmd=Retrieve&amp;amp;db=pubmed&amp;amp;dopt=Abstract&amp;amp;list_uids=27211501&amp;amp;query_hl=1&lt;/_url&gt;&lt;_volume&gt;14&lt;/_volume&gt;&lt;_created&gt;62609071&lt;/_created&gt;&lt;_modified&gt;62609071&lt;/_modified&gt;&lt;_db_updated&gt;PubMed&lt;/_db_updated&gt;&lt;_impact_factor&gt;   7.683&lt;/_impact_factor&gt;&lt;/Details&gt;&lt;Extra&gt;&lt;DBUID&gt;{9A7C78BD-F289-43CD-8CC7-97501B76739F}&lt;/DBUID&gt;&lt;/Extra&gt;&lt;/Item&gt;&lt;/References&gt;&lt;/Group&gt;&lt;/Citation&gt;_x000a_"/>
    <w:docVar w:name="NE.Ref{94876840-E804-4C2F-9407-16F58CFA277F}" w:val=" ADDIN NE.Ref.{94876840-E804-4C2F-9407-16F58CFA277F}&lt;Citation&gt;&lt;Group&gt;&lt;References&gt;&lt;Item&gt;&lt;ID&gt;3013&lt;/ID&gt;&lt;UID&gt;{CF0C3E81-9E4E-493F-B810-3418E98FC16A}&lt;/UID&gt;&lt;Title&gt;Association of proton pump inhibitors with the risk of hepatic encephalopathy during hospitalization for liver cirrhosis&lt;/Title&gt;&lt;Template&gt;Journal Article&lt;/Template&gt;&lt;Star&gt;1&lt;/Star&gt;&lt;Tag&gt;0&lt;/Tag&gt;&lt;Author&gt;Zhu, J; Qi, X; Yu, H; Yoshida, E M; Mendez-Sanchez, N; Zhang, X; Wang, R; Deng, H; Li, J; Han, D; Guo, X&lt;/Author&gt;&lt;Year&gt;2018&lt;/Year&gt;&lt;Details&gt;&lt;_accession_num&gt;30288280&lt;/_accession_num&gt;&lt;_author_adr&gt;Liver Cirrhosis Study Group, Department of Gastroenterology, General Hospital of  Shenyang Military Area, Shenyang, China.; Postgraduate College, Shenyang Pharmaceutical University, Shenyang, China.; Liver Cirrhosis Study Group, Department of Gastroenterology, General Hospital of  Shenyang Military Area, Shenyang, China.; Postgraduate College, Shenyang Pharmaceutical University, Shenyang, China.; Division of Gastroenterology, Vancouver General Hospital, Vancouver, Canada.; Liver Research Unit, Medica Sur Clinic &amp;amp; Foundation, Mexico City, Mexico.;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lt;/_author_adr&gt;&lt;_created&gt;62599138&lt;/_created&gt;&lt;_date&gt;2018-10-01&lt;/_date&gt;&lt;_date_display&gt;2018 Oct&lt;/_date_display&gt;&lt;_doi&gt;10.1177/2050640618773564&lt;/_doi&gt;&lt;_impact_factor&gt;   3.477&lt;/_impact_factor&gt;&lt;_isbn&gt;2050-6406 (Print); 2050-6406 (Linking)&lt;/_isbn&gt;&lt;_issue&gt;8&lt;/_issue&gt;&lt;_journal&gt;United European Gastroenterol J&lt;/_journal&gt;&lt;_keywords&gt;Proton pump inhibitors; gut microbiota; hepatic encephalopathy; liver cirrhosis; risk&lt;/_keywords&gt;&lt;_language&gt;eng&lt;/_language&gt;&lt;_modified&gt;62599424&lt;/_modified&gt;&lt;_pages&gt;1179-1187&lt;/_pages&gt;&lt;_tertiary_title&gt;United European gastroenterology journal&lt;/_tertiary_title&gt;&lt;_type_work&gt;Journal Article&lt;/_type_work&gt;&lt;_url&gt;http://www.ncbi.nlm.nih.gov/entrez/query.fcgi?cmd=Retrieve&amp;amp;db=pubmed&amp;amp;dopt=Abstract&amp;amp;list_uids=30288280&amp;amp;query_hl=1&lt;/_url&gt;&lt;_volume&gt;6&lt;/_volume&gt;&lt;/Details&gt;&lt;Extra&gt;&lt;DBUID&gt;{9A7C78BD-F289-43CD-8CC7-97501B76739F}&lt;/DBUID&gt;&lt;/Extra&gt;&lt;/Item&gt;&lt;/References&gt;&lt;/Group&gt;&lt;Group&gt;&lt;References&gt;&lt;Item&gt;&lt;ID&gt;3071&lt;/ID&gt;&lt;UID&gt;{CBD045EF-5D80-4D06-839B-A8A3CF8DD60D}&lt;/UID&gt;&lt;Title&gt;Proton Pump Inhibitors Increase Risk for Hepatic Encephalopathy in Patients With  Cirrhosis in A Population Study&lt;/Title&gt;&lt;Template&gt;Journal Article&lt;/Template&gt;&lt;Star&gt;1&lt;/Star&gt;&lt;Tag&gt;0&lt;/Tag&gt;&lt;Author&gt;Tsai, C F; Chen, M H; Wang, Y P; Chu, C J; Huang, Y H; Lin, H C; Hou, M C; Lee, F Y; Su, T P; Lu, C L&lt;/Author&gt;&lt;Year&gt;2017&lt;/Year&gt;&lt;Details&gt;&lt;_accession_num&gt;27639806&lt;/_accession_num&gt;&lt;_author_adr&gt;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Electronic address: cllu@ym.edu.tw.&lt;/_author_adr&gt;&lt;_collection_scope&gt;SCI;SCIE;&lt;/_collection_scope&gt;&lt;_created&gt;62599138&lt;/_created&gt;&lt;_date&gt;2017-01-01&lt;/_date&gt;&lt;_date_display&gt;2017 Jan&lt;/_date_display&gt;&lt;_doi&gt;10.1053/j.gastro.2016.09.007&lt;/_doi&gt;&lt;_impact_factor&gt;  20.773&lt;/_impact_factor&gt;&lt;_isbn&gt;1528-0012 (Electronic); 0016-5085 (Linking)&lt;/_isbn&gt;&lt;_issue&gt;1&lt;/_issue&gt;&lt;_journal&gt;Gastroenterology&lt;/_journal&gt;&lt;_keywords&gt;2-Pyridinylmethylsulfinylbenzimidazoles/administration &amp;amp; dosage; Administrative Claims, Healthcare/statistics &amp;amp; numerical data; Adult; Aged; Case-Control Studies; Esomeprazole/administration &amp;amp; dosage; Female; Hepatic Encephalopathy/*epidemiology/*etiology; Humans; Incidence; Insurance, Health/statistics &amp;amp; numerical data; Lansoprazole/administration &amp;amp; dosage; Liver Cirrhosis/*complications; Longitudinal Studies; Male; Middle Aged; Omeprazole/administration &amp;amp; dosage; Pantoprazole; Proton Pump Inhibitors/*administration &amp;amp; dosage; Rabeprazole/administration &amp;amp; dosage; Taiwan/epidemiology*Acid Suppression; *Cognitive Dysfunction; *Gut Microbiota; *Liver Failure&lt;/_keywords&gt;&lt;_language&gt;eng&lt;/_language&gt;&lt;_modified&gt;62599424&lt;/_modified&gt;&lt;_ori_publication&gt;Copyright (c) 2017. Published by Elsevier Inc.&lt;/_ori_publication&gt;&lt;_pages&gt;134-141&lt;/_pages&gt;&lt;_tertiary_title&gt;Gastroenterology&lt;/_tertiary_title&gt;&lt;_type_work&gt;Journal Article&lt;/_type_work&gt;&lt;_url&gt;http://www.ncbi.nlm.nih.gov/entrez/query.fcgi?cmd=Retrieve&amp;amp;db=pubmed&amp;amp;dopt=Abstract&amp;amp;list_uids=27639806&amp;amp;query_hl=1&lt;/_url&gt;&lt;_volume&gt;152&lt;/_volume&gt;&lt;/Details&gt;&lt;Extra&gt;&lt;DBUID&gt;{9A7C78BD-F289-43CD-8CC7-97501B76739F}&lt;/DBUID&gt;&lt;/Extra&gt;&lt;/Item&gt;&lt;/References&gt;&lt;/Group&gt;&lt;Group&gt;&lt;References&gt;&lt;Item&gt;&lt;ID&gt;3127&lt;/ID&gt;&lt;UID&gt;{1D330603-B6F6-4B2A-9AB2-419A36FA7117}&lt;/UID&gt;&lt;Title&gt;Association of Proton Pump Inhibitor Therapy with Hepatic Encephalopathy in Hepatitis B Virus-related Acute-on-Chronic Liver Failure&lt;/Title&gt;&lt;Template&gt;Journal Article&lt;/Template&gt;&lt;Star&gt;1&lt;/Star&gt;&lt;Tag&gt;0&lt;/Tag&gt;&lt;Author&gt;Lin, Z N; Zuo, Y Q; Hu, P&lt;/Author&gt;&lt;Year&gt;2014&lt;/Year&gt;&lt;Details&gt;&lt;_accession_num&gt;24748895&lt;/_accession_num&gt;&lt;_author_adr&gt;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lt;/_author_adr&gt;&lt;_collection_scope&gt;SCIE;&lt;/_collection_scope&gt;&lt;_created&gt;62599138&lt;/_created&gt;&lt;_date&gt;2014-04-01&lt;/_date&gt;&lt;_date_display&gt;2014 Apr&lt;/_date_display&gt;&lt;_doi&gt;10.5812/hepatmon.16258&lt;/_doi&gt;&lt;_impact_factor&gt;   1.810&lt;/_impact_factor&gt;&lt;_isbn&gt;1735-143X (Print); 1735-143X (Linking)&lt;/_isbn&gt;&lt;_issue&gt;4&lt;/_issue&gt;&lt;_journal&gt;Hepat Mon&lt;/_journal&gt;&lt;_keywords&gt;Hepatic Encephalopathy; Hepatitis B Virus; Proton Pump Inhibitors&lt;/_keywords&gt;&lt;_language&gt;eng&lt;/_language&gt;&lt;_modified&gt;62599424&lt;/_modified&gt;&lt;_pages&gt;e16258&lt;/_pages&gt;&lt;_tertiary_title&gt;Hepatitis monthly&lt;/_tertiary_title&gt;&lt;_type_work&gt;Journal Article&lt;/_type_work&gt;&lt;_url&gt;http://www.ncbi.nlm.nih.gov/entrez/query.fcgi?cmd=Retrieve&amp;amp;db=pubmed&amp;amp;dopt=Abstract&amp;amp;list_uids=24748895&amp;amp;query_hl=1&lt;/_url&gt;&lt;_volume&gt;14&lt;/_volume&gt;&lt;/Details&gt;&lt;Extra&gt;&lt;DBUID&gt;{9A7C78BD-F289-43CD-8CC7-97501B76739F}&lt;/DBUID&gt;&lt;/Extra&gt;&lt;/Item&gt;&lt;/References&gt;&lt;/Group&gt;&lt;/Citation&gt;_x000a_"/>
    <w:docVar w:name="NE.Ref{95CDE37A-82E3-473F-B312-32120E06F068}" w:val=" ADDIN NE.Ref.{95CDE37A-82E3-473F-B312-32120E06F068}&lt;Citation&gt;&lt;Group&gt;&lt;References&gt;&lt;Item&gt;&lt;ID&gt;5&lt;/ID&gt;&lt;UID&gt;{8521C4C9-780F-4215-BF84-BB69E3B978E4}&lt;/UID&gt;&lt;Title&gt;Treatment with proton pump inhibitors increases the risk for development of hepatic encephalopathy after implantation of transjugular intrahepatic portosystemic shunt (TIPS)&lt;/Title&gt;&lt;Template&gt;Book&lt;/Template&gt;&lt;Star&gt;1&lt;/Star&gt;&lt;Tag&gt;0&lt;/Tag&gt;&lt;Author&gt;Sturm, L; Bettinger, D; Giesler, M; Boettler, T; Schmidt, A; Buettner, N; Thimme, R; Schultheiss, M&lt;/Author&gt;&lt;Year&gt;2018&lt;/Year&gt;&lt;Details&gt;&lt;_accession_num&gt;30386611&lt;/_accession_num&gt;&lt;_author_adr&gt;Department of Medicine II, Medical Center University of Freiburg, Faculty of Medicine, University of Freiburg, Freiburg, Germany.; Department of Medicine II, Medical Center University of Freiburg, Faculty of Medicine, University of Freiburg, Freiburg, Germany.; Berta-Ottenstein-Programme,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lt;/_author_adr&gt;&lt;_created&gt;62599059&lt;/_created&gt;&lt;_date&gt;2018-11-01&lt;/_date&gt;&lt;_date_display&gt;2018 Nov&lt;/_date_display&gt;&lt;_doi&gt;10.1177/2050640618795928&lt;/_doi&gt;&lt;_impact_factor&gt;   3.477&lt;/_impact_factor&gt;&lt;_isbn&gt;2050-6406 (Print); 2050-6406 (Linking)&lt;/_isbn&gt;&lt;_issue&gt;9&lt;/_issue&gt;&lt;_journal&gt;United European Gastroenterol J&lt;/_journal&gt;&lt;_keywords&gt;Hepatic encephalopathy; PPI; TIPS; proton pump inhibitors; transjugular intrahepatic portosystemic shunt&lt;/_keywords&gt;&lt;_language&gt;eng&lt;/_language&gt;&lt;_modified&gt;62599424&lt;/_modified&gt;&lt;_pages&gt;1380-1390&lt;/_pages&gt;&lt;_tertiary_title&gt;United European gastroenterology journal&lt;/_tertiary_title&gt;&lt;_type_work&gt;Journal Article&lt;/_type_work&gt;&lt;_url&gt;http://www.ncbi.nlm.nih.gov/entrez/query.fcgi?cmd=Retrieve&amp;amp;db=pubmed&amp;amp;dopt=Abstract&amp;amp;list_uids=30386611&amp;amp;query_hl=1&lt;/_url&gt;&lt;_volume&gt;6&lt;/_volume&gt;&lt;/Details&gt;&lt;Extra&gt;&lt;DBUID&gt;{9A7C78BD-F289-43CD-8CC7-97501B76739F}&lt;/DBUID&gt;&lt;/Extra&gt;&lt;/Item&gt;&lt;/References&gt;&lt;/Group&gt;&lt;Group&gt;&lt;References&gt;&lt;Item&gt;&lt;ID&gt;3012&lt;/ID&gt;&lt;UID&gt;{A517CA25-CF32-467A-97CA-B87CDE069B81}&lt;/UID&gt;&lt;Title&gt;Proton pump inhibitors are associated to minimal and overt hepatic encephalopathy and increase mortality in cirrhotics&lt;/Title&gt;&lt;Template&gt;Journal Article&lt;/Template&gt;&lt;Star&gt;1&lt;/Star&gt;&lt;Tag&gt;0&lt;/Tag&gt;&lt;Author&gt;Nardelli, S; Gioia, S; Ridola, L; Farcomeni, A; Merli, M; Riggio, O&lt;/Author&gt;&lt;Year&gt;2018&lt;/Year&gt;&lt;Details&gt;&lt;_accession_num&gt;30289992&lt;/_accession_num&gt;&lt;_author_adr&gt;Dept. of Clinical Medicine, &amp;quot;Sapienza&amp;quot; University of Rome, Rome, Italy.; Dept. of Clinical Medicine, &amp;quot;Sapienza&amp;quot; University of Rome, Rome, Italy.; Dept. of Clinical Medicine, &amp;quot;Sapienza&amp;quot; University of Rome, Rome, Italy.; Dept. of Clinical Medicine, &amp;quot;Sapienza&amp;quot; University of Rome, Rome, Italy.; Dept. of Public Health and Infectious Diseases, &amp;quot;Sapienza&amp;quot; University of Rome, Rome, Italy.; Dept. of Clinical Medicine, &amp;quot;Sapienza&amp;quot; University of Rome, Rome, Italy.; Dept. of Clinical Medicine, &amp;quot;Sapienza&amp;quot; University of Rome, Rome, Italy.&lt;/_author_adr&gt;&lt;_collection_scope&gt;SCI;SCIE;&lt;/_collection_scope&gt;&lt;_created&gt;62599138&lt;/_created&gt;&lt;_date&gt;2018-10-05&lt;/_date&gt;&lt;_date_display&gt;2018 Oct 5&lt;/_date_display&gt;&lt;_doi&gt;10.1002/hep.30304&lt;/_doi&gt;&lt;_impact_factor&gt;  14.079&lt;/_impact_factor&gt;&lt;_isbn&gt;1527-3350 (Electronic); 0270-9139 (Linking)&lt;/_isbn&gt;&lt;_journal&gt;Hepatology&lt;/_journal&gt;&lt;_keywords&gt;Proton pump inhibitors; hepatic encephalopathy; liver cirrhosis; psychometric evaluation&lt;/_keywords&gt;&lt;_language&gt;eng&lt;/_language&gt;&lt;_modified&gt;62599424&lt;/_modified&gt;&lt;_ori_publication&gt;This article is protected by copyright. All rights reserved.&lt;/_ori_publication&gt;&lt;_tertiary_title&gt;Hepatology (Baltimore, Md.)&lt;/_tertiary_title&gt;&lt;_type_work&gt;Journal Article&lt;/_type_work&gt;&lt;_url&gt;http://www.ncbi.nlm.nih.gov/entrez/query.fcgi?cmd=Retrieve&amp;amp;db=pubmed&amp;amp;dopt=Abstract&amp;amp;list_uids=30289992&amp;amp;query_hl=1&lt;/_url&gt;&lt;/Details&gt;&lt;Extra&gt;&lt;DBUID&gt;{9A7C78BD-F289-43CD-8CC7-97501B76739F}&lt;/DBUID&gt;&lt;/Extra&gt;&lt;/Item&gt;&lt;/References&gt;&lt;/Group&gt;&lt;Group&gt;&lt;References&gt;&lt;Item&gt;&lt;ID&gt;3071&lt;/ID&gt;&lt;UID&gt;{CBD045EF-5D80-4D06-839B-A8A3CF8DD60D}&lt;/UID&gt;&lt;Title&gt;Proton Pump Inhibitors Increase Risk for Hepatic Encephalopathy in Patients With  Cirrhosis in A Population Study&lt;/Title&gt;&lt;Template&gt;Journal Article&lt;/Template&gt;&lt;Star&gt;1&lt;/Star&gt;&lt;Tag&gt;0&lt;/Tag&gt;&lt;Author&gt;Tsai, C F; Chen, M H; Wang, Y P; Chu, C J; Huang, Y H; Lin, H C; Hou, M C; Lee, F Y; Su, T P; Lu, C L&lt;/Author&gt;&lt;Year&gt;2017&lt;/Year&gt;&lt;Details&gt;&lt;_accession_num&gt;27639806&lt;/_accession_num&gt;&lt;_author_adr&gt;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Electronic address: cllu@ym.edu.tw.&lt;/_author_adr&gt;&lt;_collection_scope&gt;SCI;SCIE;&lt;/_collection_scope&gt;&lt;_created&gt;62599138&lt;/_created&gt;&lt;_date&gt;2017-01-01&lt;/_date&gt;&lt;_date_display&gt;2017 Jan&lt;/_date_display&gt;&lt;_doi&gt;10.1053/j.gastro.2016.09.007&lt;/_doi&gt;&lt;_impact_factor&gt;  20.773&lt;/_impact_factor&gt;&lt;_isbn&gt;1528-0012 (Electronic); 0016-5085 (Linking)&lt;/_isbn&gt;&lt;_issue&gt;1&lt;/_issue&gt;&lt;_journal&gt;Gastroenterology&lt;/_journal&gt;&lt;_keywords&gt;2-Pyridinylmethylsulfinylbenzimidazoles/administration &amp;amp; dosage; Administrative Claims, Healthcare/statistics &amp;amp; numerical data; Adult; Aged; Case-Control Studies; Esomeprazole/administration &amp;amp; dosage; Female; Hepatic Encephalopathy/*epidemiology/*etiology; Humans; Incidence; Insurance, Health/statistics &amp;amp; numerical data; Lansoprazole/administration &amp;amp; dosage; Liver Cirrhosis/*complications; Longitudinal Studies; Male; Middle Aged; Omeprazole/administration &amp;amp; dosage; Pantoprazole; Proton Pump Inhibitors/*administration &amp;amp; dosage; Rabeprazole/administration &amp;amp; dosage; Taiwan/epidemiology*Acid Suppression; *Cognitive Dysfunction; *Gut Microbiota; *Liver Failure&lt;/_keywords&gt;&lt;_language&gt;eng&lt;/_language&gt;&lt;_modified&gt;62599424&lt;/_modified&gt;&lt;_ori_publication&gt;Copyright (c) 2017. Published by Elsevier Inc.&lt;/_ori_publication&gt;&lt;_pages&gt;134-141&lt;/_pages&gt;&lt;_tertiary_title&gt;Gastroenterology&lt;/_tertiary_title&gt;&lt;_type_work&gt;Journal Article&lt;/_type_work&gt;&lt;_url&gt;http://www.ncbi.nlm.nih.gov/entrez/query.fcgi?cmd=Retrieve&amp;amp;db=pubmed&amp;amp;dopt=Abstract&amp;amp;list_uids=27639806&amp;amp;query_hl=1&lt;/_url&gt;&lt;_volume&gt;152&lt;/_volume&gt;&lt;/Details&gt;&lt;Extra&gt;&lt;DBUID&gt;{9A7C78BD-F289-43CD-8CC7-97501B76739F}&lt;/DBUID&gt;&lt;/Extra&gt;&lt;/Item&gt;&lt;/References&gt;&lt;/Group&gt;&lt;Group&gt;&lt;References&gt;&lt;Item&gt;&lt;ID&gt;3073&lt;/ID&gt;&lt;UID&gt;{758F06D2-99D2-4E75-8CBA-0AA1101F5466}&lt;/UID&gt;&lt;Title&gt;Proton pump inhibitors as a risk factor for hepatic encephalopathy and spontaneous bacterial peritonitis in patients with cirrhosis with ascites&lt;/Title&gt;&lt;Template&gt;Generic&lt;/Template&gt;&lt;Star&gt;1&lt;/Star&gt;&lt;Tag&gt;0&lt;/Tag&gt;&lt;Author&gt;Dam, G; Vilstrup, H; Watson, H; Jepsen, P&lt;/Author&gt;&lt;Year&gt;2016&lt;/Year&gt;&lt;Details&gt;&lt;_accession_num&gt;27474889&lt;/_accession_num&gt;&lt;_author_adr&gt;Department of Hepatology and Gastroenterology, Aarhus University Hospital, Aarhus, Denmark. gitdam@rm.dk.; Department of Hepatology and Gastroenterology, Aarhus University Hospital, Aarhus, Denmark.; Sanofi Aventis R&amp;amp;D, Paris, France.; Department of Hepatology and Gastroenterology, Aarhus University Hospital, Aarhus, Denmark.; Department of Clinical Epidemiology, Aarhus University Hospital, Aarhus, Denmark.&lt;/_author_adr&gt;&lt;_collection_scope&gt;SCI;SCIE;&lt;/_collection_scope&gt;&lt;_created&gt;62599138&lt;/_created&gt;&lt;_date&gt;2016-10-01&lt;/_date&gt;&lt;_date_display&gt;2016 Oct&lt;/_date_display&gt;&lt;_doi&gt;10.1002/hep.28737&lt;/_doi&gt;&lt;_impact_factor&gt;  14.079&lt;/_impact_factor&gt;&lt;_isbn&gt;1527-3350 (Electronic); 0270-9139 (Linking)&lt;/_isbn&gt;&lt;_issue&gt;4&lt;/_issue&gt;&lt;_journal&gt;Hepatology&lt;/_journal&gt;&lt;_keywords&gt;Aged; Ascites/complications/drug therapy; Bacterial Infections/*chemically induced; Female; Hepatic Encephalopathy/*chemically induced; Humans; Liver Cirrhosis/complications; Male; Middle Aged; Peritonitis/*chemically induced/*microbiology; Proton Pump Inhibitors/*adverse effects/therapeutic use; Risk Factors&lt;/_keywords&gt;&lt;_language&gt;eng&lt;/_language&gt;&lt;_modified&gt;62599424&lt;/_modified&gt;&lt;_ori_publication&gt;(c) 2016 by the American Association for the Study of Liver Diseases.&lt;/_ori_publication&gt;&lt;_pages&gt;1265-72&lt;/_pages&gt;&lt;_tertiary_title&gt;Hepatology (Baltimore, Md.)&lt;/_tertiary_title&gt;&lt;_type_work&gt;Comparative Study; Journal Article; Research Support, Non-U.S. Gov&amp;apos;t&lt;/_type_work&gt;&lt;_url&gt;http://www.ncbi.nlm.nih.gov/entrez/query.fcgi?cmd=Retrieve&amp;amp;db=pubmed&amp;amp;dopt=Abstract&amp;amp;list_uids=27474889&amp;amp;query_hl=1&lt;/_url&gt;&lt;_volume&gt;64&lt;/_volume&gt;&lt;/Details&gt;&lt;Extra&gt;&lt;DBUID&gt;{9A7C78BD-F289-43CD-8CC7-97501B76739F}&lt;/DBUID&gt;&lt;/Extra&gt;&lt;/Item&gt;&lt;/References&gt;&lt;/Group&gt;&lt;/Citation&gt;_x000a_"/>
    <w:docVar w:name="NE.Ref{9B164747-2786-4123-8BF5-8D7128FF966A}" w:val=" ADDIN NE.Ref.{9B164747-2786-4123-8BF5-8D7128FF966A}&lt;Citation&gt;&lt;Group&gt;&lt;References&gt;&lt;Item&gt;&lt;ID&gt;3635&lt;/ID&gt;&lt;UID&gt;{DD3F29E9-B60E-4003-9157-92642BB4C782}&lt;/UID&gt;&lt;Title&gt;Proton pump inhibitor treatment is associated with the severity of liver disease  and increased mortality in patients with cirrhosis&lt;/Title&gt;&lt;Template&gt;Journal Article&lt;/Template&gt;&lt;Star&gt;0&lt;/Star&gt;&lt;Tag&gt;0&lt;/Tag&gt;&lt;Author&gt;Dultz, G; Piiper, A; Zeuzem, S; Kronenberger, B; Waidmann, O&lt;/Author&gt;&lt;Year&gt;2015&lt;/Year&gt;&lt;Details&gt;&lt;_accession_num&gt;25523381&lt;/_accession_num&gt;&lt;_author_adr&gt;Medizinische Klinik 1, Schwerpunkt Gastroenterologie und Hepatologie, Universitatsklinikum Frankfurt, Goethe-Universitat, Frankfurt/Main, Germany.&lt;/_author_adr&gt;&lt;_created&gt;62606095&lt;/_created&gt;&lt;_date&gt;2015-03-01&lt;/_date&gt;&lt;_date_display&gt;2015 Mar&lt;/_date_display&gt;&lt;_doi&gt;10.1111/apt.13061&lt;/_doi&gt;&lt;_impact_factor&gt;   7.357&lt;/_impact_factor&gt;&lt;_isbn&gt;1365-2036 (Electronic); 0269-2813 (Linking)&lt;/_isbn&gt;&lt;_issue&gt;5&lt;/_issue&gt;&lt;_journal&gt;Aliment Pharmacol Ther&lt;/_journal&gt;&lt;_keywords&gt;Adult; Age Factors; Aged; Aged, 80 and over; Bacterial Infections/epidemiology; Female; Germany; Humans; Incidence; Liver Cirrhosis/epidemiology/microbiology/*mortality; Liver Diseases/microbiology/mortality; Logistic Models; Male; Middle Aged; Prognosis; Prospective Studies; Proton Pump Inhibitors/*adverse effects; Risk Factors; Severity of Illness Index; Sex Factors&lt;/_keywords&gt;&lt;_language&gt;eng&lt;/_language&gt;&lt;_modified&gt;62609029&lt;/_modified&gt;&lt;_ori_publication&gt;(c) 2014 John Wiley &amp;amp; Sons Ltd.&lt;/_ori_publication&gt;&lt;_pages&gt;459-66&lt;/_pages&gt;&lt;_tertiary_title&gt;Alimentary pharmacology &amp;amp; therapeutics&lt;/_tertiary_title&gt;&lt;_type_work&gt;Clinical Trial; Journal Article; Research Support, Non-U.S. Gov&amp;apos;t&lt;/_type_work&gt;&lt;_url&gt;http://www.ncbi.nlm.nih.gov/entrez/query.fcgi?cmd=Retrieve&amp;amp;db=pubmed&amp;amp;dopt=Abstract&amp;amp;list_uids=25523381&amp;amp;query_hl=1&lt;/_url&gt;&lt;_volume&gt;41&lt;/_volume&gt;&lt;/Details&gt;&lt;Extra&gt;&lt;DBUID&gt;{9A7C78BD-F289-43CD-8CC7-97501B76739F}&lt;/DBUID&gt;&lt;/Extra&gt;&lt;/Item&gt;&lt;/References&gt;&lt;/Group&gt;&lt;Group&gt;&lt;References&gt;&lt;Item&gt;&lt;ID&gt;3633&lt;/ID&gt;&lt;UID&gt;{794F2207-933D-4B9C-A580-214C3335D897}&lt;/UID&gt;&lt;Title&gt;Use and overuse of proton pump inhibitors in cirrhotic patients&lt;/Title&gt;&lt;Template&gt;Journal Article&lt;/Template&gt;&lt;Star&gt;0&lt;/Star&gt;&lt;Tag&gt;0&lt;/Tag&gt;&lt;Author&gt;Chavez-Tapia, N C; Tellez-Avila, F I; Garcia-Leiva, J; Valdovinos, M A&lt;/Author&gt;&lt;Year&gt;2008&lt;/Year&gt;&lt;Details&gt;&lt;_accession_num&gt;18758417&lt;/_accession_num&gt;&lt;_author_adr&gt;Department of Gastroenterology, National Institute of Medical Science and Nutrition Salvador Zubiran, Mexico City, Mexico. khavez@gmail.com &amp;lt;khavez@gmail.com&amp;gt;&lt;/_author_adr&gt;&lt;_created&gt;62606095&lt;/_created&gt;&lt;_date&gt;2008-09-01&lt;/_date&gt;&lt;_date_display&gt;2008 Sep&lt;/_date_display&gt;&lt;_impact_factor&gt;   1.894&lt;/_impact_factor&gt;&lt;_isbn&gt;1643-3750 (Electronic); 1234-1010 (Linking)&lt;/_isbn&gt;&lt;_issue&gt;9&lt;/_issue&gt;&lt;_journal&gt;Med Sci Monit&lt;/_journal&gt;&lt;_keywords&gt;Adult; Aged; Analysis of Variance; Blood Chemical Analysis; Child; *Drug Utilization Review; Female; Humans; Liver Cirrhosis/*drug therapy/pathology/physiopathology; Middle Aged; *Proton Pump Inhibitors/standards/therapeutic use; Retrospective Studies&lt;/_keywords&gt;&lt;_language&gt;eng&lt;/_language&gt;&lt;_modified&gt;62606106&lt;/_modified&gt;&lt;_pages&gt;CR468-72&lt;/_pages&gt;&lt;_tertiary_title&gt;Medical science monitor : international medical journal of experimental and_x000d__x000a_      clinical research&lt;/_tertiary_title&gt;&lt;_type_work&gt;Journal Article&lt;/_type_work&gt;&lt;_url&gt;http://www.ncbi.nlm.nih.gov/entrez/query.fcgi?cmd=Retrieve&amp;amp;db=pubmed&amp;amp;dopt=Abstract&amp;amp;list_uids=18758417&amp;amp;query_hl=1&lt;/_url&gt;&lt;_volume&gt;14&lt;/_volume&gt;&lt;/Details&gt;&lt;Extra&gt;&lt;DBUID&gt;{9A7C78BD-F289-43CD-8CC7-97501B76739F}&lt;/DBUID&gt;&lt;/Extra&gt;&lt;/Item&gt;&lt;/References&gt;&lt;/Group&gt;&lt;/Citation&gt;_x000a_"/>
    <w:docVar w:name="NE.Ref{9B98F2F0-B98F-43A1-B724-089ED96A5197}" w:val=" ADDIN NE.Ref.{9B98F2F0-B98F-43A1-B724-089ED96A5197}&lt;Citation&gt;&lt;Group&gt;&lt;References&gt;&lt;Item&gt;&lt;ID&gt;3127&lt;/ID&gt;&lt;UID&gt;{1D330603-B6F6-4B2A-9AB2-419A36FA7117}&lt;/UID&gt;&lt;Title&gt;Association of Proton Pump Inhibitor Therapy with Hepatic Encephalopathy in Hepatitis B Virus-related Acute-on-Chronic Liver Failure&lt;/Title&gt;&lt;Template&gt;Journal Article&lt;/Template&gt;&lt;Star&gt;1&lt;/Star&gt;&lt;Tag&gt;0&lt;/Tag&gt;&lt;Author&gt;Lin, Z N; Zuo, Y Q; Hu, P&lt;/Author&gt;&lt;Year&gt;2014&lt;/Year&gt;&lt;Details&gt;&lt;_accession_num&gt;24748895&lt;/_accession_num&gt;&lt;_author_adr&gt;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lt;/_author_adr&gt;&lt;_collection_scope&gt;SCIE;&lt;/_collection_scope&gt;&lt;_created&gt;62599138&lt;/_created&gt;&lt;_date&gt;2014-04-01&lt;/_date&gt;&lt;_date_display&gt;2014 Apr&lt;/_date_display&gt;&lt;_doi&gt;10.5812/hepatmon.16258&lt;/_doi&gt;&lt;_impact_factor&gt;   1.810&lt;/_impact_factor&gt;&lt;_isbn&gt;1735-143X (Print); 1735-143X (Linking)&lt;/_isbn&gt;&lt;_issue&gt;4&lt;/_issue&gt;&lt;_journal&gt;Hepat Mon&lt;/_journal&gt;&lt;_keywords&gt;Hepatic Encephalopathy; Hepatitis B Virus; Proton Pump Inhibitors&lt;/_keywords&gt;&lt;_language&gt;eng&lt;/_language&gt;&lt;_modified&gt;62599424&lt;/_modified&gt;&lt;_pages&gt;e16258&lt;/_pages&gt;&lt;_tertiary_title&gt;Hepatitis monthly&lt;/_tertiary_title&gt;&lt;_type_work&gt;Journal Article&lt;/_type_work&gt;&lt;_url&gt;http://www.ncbi.nlm.nih.gov/entrez/query.fcgi?cmd=Retrieve&amp;amp;db=pubmed&amp;amp;dopt=Abstract&amp;amp;list_uids=24748895&amp;amp;query_hl=1&lt;/_url&gt;&lt;_volume&gt;14&lt;/_volume&gt;&lt;/Details&gt;&lt;Extra&gt;&lt;DBUID&gt;{9A7C78BD-F289-43CD-8CC7-97501B76739F}&lt;/DBUID&gt;&lt;/Extra&gt;&lt;/Item&gt;&lt;/References&gt;&lt;/Group&gt;&lt;/Citation&gt;_x000a_"/>
    <w:docVar w:name="NE.Ref{9EE79AD8-0C97-4B81-A915-EDBB7339C923}" w:val=" ADDIN NE.Ref.{9EE79AD8-0C97-4B81-A915-EDBB7339C923}&lt;Citation&gt;&lt;Group&gt;&lt;References&gt;&lt;Item&gt;&lt;ID&gt;5&lt;/ID&gt;&lt;UID&gt;{8521C4C9-780F-4215-BF84-BB69E3B978E4}&lt;/UID&gt;&lt;Title&gt;Treatment with proton pump inhibitors increases the risk for development of hepatic encephalopathy after implantation of transjugular intrahepatic portosystemic shunt (TIPS)&lt;/Title&gt;&lt;Template&gt;Book&lt;/Template&gt;&lt;Star&gt;1&lt;/Star&gt;&lt;Tag&gt;0&lt;/Tag&gt;&lt;Author&gt;Sturm, L; Bettinger, D; Giesler, M; Boettler, T; Schmidt, A; Buettner, N; Thimme, R; Schultheiss, M&lt;/Author&gt;&lt;Year&gt;2018&lt;/Year&gt;&lt;Details&gt;&lt;_accession_num&gt;30386611&lt;/_accession_num&gt;&lt;_author_adr&gt;Department of Medicine II, Medical Center University of Freiburg, Faculty of Medicine, University of Freiburg, Freiburg, Germany.; Department of Medicine II, Medical Center University of Freiburg, Faculty of Medicine, University of Freiburg, Freiburg, Germany.; Berta-Ottenstein-Programme,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lt;/_author_adr&gt;&lt;_created&gt;62599059&lt;/_created&gt;&lt;_date&gt;2018-11-01&lt;/_date&gt;&lt;_date_display&gt;2018 Nov&lt;/_date_display&gt;&lt;_doi&gt;10.1177/2050640618795928&lt;/_doi&gt;&lt;_impact_factor&gt;   3.477&lt;/_impact_factor&gt;&lt;_isbn&gt;2050-6406 (Print); 2050-6406 (Linking)&lt;/_isbn&gt;&lt;_issue&gt;9&lt;/_issue&gt;&lt;_journal&gt;United European Gastroenterol J&lt;/_journal&gt;&lt;_keywords&gt;Hepatic encephalopathy; PPI; TIPS; proton pump inhibitors; transjugular intrahepatic portosystemic shunt&lt;/_keywords&gt;&lt;_language&gt;eng&lt;/_language&gt;&lt;_modified&gt;62599424&lt;/_modified&gt;&lt;_pages&gt;1380-1390&lt;/_pages&gt;&lt;_tertiary_title&gt;United European gastroenterology journal&lt;/_tertiary_title&gt;&lt;_type_work&gt;Journal Article&lt;/_type_work&gt;&lt;_url&gt;http://www.ncbi.nlm.nih.gov/entrez/query.fcgi?cmd=Retrieve&amp;amp;db=pubmed&amp;amp;dopt=Abstract&amp;amp;list_uids=30386611&amp;amp;query_hl=1&lt;/_url&gt;&lt;_volume&gt;6&lt;/_volume&gt;&lt;/Details&gt;&lt;Extra&gt;&lt;DBUID&gt;{9A7C78BD-F289-43CD-8CC7-97501B76739F}&lt;/DBUID&gt;&lt;/Extra&gt;&lt;/Item&gt;&lt;/References&gt;&lt;/Group&gt;&lt;Group&gt;&lt;References&gt;&lt;Item&gt;&lt;ID&gt;3012&lt;/ID&gt;&lt;UID&gt;{A517CA25-CF32-467A-97CA-B87CDE069B81}&lt;/UID&gt;&lt;Title&gt;Proton pump inhibitors are associated to minimal and overt hepatic encephalopathy and increase mortality in cirrhotics&lt;/Title&gt;&lt;Template&gt;Journal Article&lt;/Template&gt;&lt;Star&gt;1&lt;/Star&gt;&lt;Tag&gt;0&lt;/Tag&gt;&lt;Author&gt;Nardelli, S; Gioia, S; Ridola, L; Farcomeni, A; Merli, M; Riggio, O&lt;/Author&gt;&lt;Year&gt;2018&lt;/Year&gt;&lt;Details&gt;&lt;_accession_num&gt;30289992&lt;/_accession_num&gt;&lt;_author_adr&gt;Dept. of Clinical Medicine, &amp;quot;Sapienza&amp;quot; University of Rome, Rome, Italy.; Dept. of Clinical Medicine, &amp;quot;Sapienza&amp;quot; University of Rome, Rome, Italy.; Dept. of Clinical Medicine, &amp;quot;Sapienza&amp;quot; University of Rome, Rome, Italy.; Dept. of Clinical Medicine, &amp;quot;Sapienza&amp;quot; University of Rome, Rome, Italy.; Dept. of Public Health and Infectious Diseases, &amp;quot;Sapienza&amp;quot; University of Rome, Rome, Italy.; Dept. of Clinical Medicine, &amp;quot;Sapienza&amp;quot; University of Rome, Rome, Italy.; Dept. of Clinical Medicine, &amp;quot;Sapienza&amp;quot; University of Rome, Rome, Italy.&lt;/_author_adr&gt;&lt;_collection_scope&gt;SCI;SCIE;&lt;/_collection_scope&gt;&lt;_created&gt;62599138&lt;/_created&gt;&lt;_date&gt;2018-10-05&lt;/_date&gt;&lt;_date_display&gt;2018 Oct 5&lt;/_date_display&gt;&lt;_doi&gt;10.1002/hep.30304&lt;/_doi&gt;&lt;_impact_factor&gt;  14.079&lt;/_impact_factor&gt;&lt;_isbn&gt;1527-3350 (Electronic); 0270-9139 (Linking)&lt;/_isbn&gt;&lt;_journal&gt;Hepatology&lt;/_journal&gt;&lt;_keywords&gt;Proton pump inhibitors; hepatic encephalopathy; liver cirrhosis; psychometric evaluation&lt;/_keywords&gt;&lt;_language&gt;eng&lt;/_language&gt;&lt;_modified&gt;62599424&lt;/_modified&gt;&lt;_ori_publication&gt;This article is protected by copyright. All rights reserved.&lt;/_ori_publication&gt;&lt;_tertiary_title&gt;Hepatology (Baltimore, Md.)&lt;/_tertiary_title&gt;&lt;_type_work&gt;Journal Article&lt;/_type_work&gt;&lt;_url&gt;http://www.ncbi.nlm.nih.gov/entrez/query.fcgi?cmd=Retrieve&amp;amp;db=pubmed&amp;amp;dopt=Abstract&amp;amp;list_uids=30289992&amp;amp;query_hl=1&lt;/_url&gt;&lt;/Details&gt;&lt;Extra&gt;&lt;DBUID&gt;{9A7C78BD-F289-43CD-8CC7-97501B76739F}&lt;/DBUID&gt;&lt;/Extra&gt;&lt;/Item&gt;&lt;/References&gt;&lt;/Group&gt;&lt;Group&gt;&lt;References&gt;&lt;Item&gt;&lt;ID&gt;3013&lt;/ID&gt;&lt;UID&gt;{CF0C3E81-9E4E-493F-B810-3418E98FC16A}&lt;/UID&gt;&lt;Title&gt;Association of proton pump inhibitors with the risk of hepatic encephalopathy during hospitalization for liver cirrhosis&lt;/Title&gt;&lt;Template&gt;Journal Article&lt;/Template&gt;&lt;Star&gt;1&lt;/Star&gt;&lt;Tag&gt;0&lt;/Tag&gt;&lt;Author&gt;Zhu, J; Qi, X; Yu, H; Yoshida, E M; Mendez-Sanchez, N; Zhang, X; Wang, R; Deng, H; Li, J; Han, D; Guo, X&lt;/Author&gt;&lt;Year&gt;2018&lt;/Year&gt;&lt;Details&gt;&lt;_accession_num&gt;30288280&lt;/_accession_num&gt;&lt;_author_adr&gt;Liver Cirrhosis Study Group, Department of Gastroenterology, General Hospital of  Shenyang Military Area, Shenyang, China.; Postgraduate College, Shenyang Pharmaceutical University, Shenyang, China.; Liver Cirrhosis Study Group, Department of Gastroenterology, General Hospital of  Shenyang Military Area, Shenyang, China.; Postgraduate College, Shenyang Pharmaceutical University, Shenyang, China.; Division of Gastroenterology, Vancouver General Hospital, Vancouver, Canada.; Liver Research Unit, Medica Sur Clinic &amp;amp; Foundation, Mexico City, Mexico.;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lt;/_author_adr&gt;&lt;_created&gt;62599138&lt;/_created&gt;&lt;_date&gt;2018-10-01&lt;/_date&gt;&lt;_date_display&gt;2018 Oct&lt;/_date_display&gt;&lt;_doi&gt;10.1177/2050640618773564&lt;/_doi&gt;&lt;_impact_factor&gt;   3.477&lt;/_impact_factor&gt;&lt;_isbn&gt;2050-6406 (Print); 2050-6406 (Linking)&lt;/_isbn&gt;&lt;_issue&gt;8&lt;/_issue&gt;&lt;_journal&gt;United European Gastroenterol J&lt;/_journal&gt;&lt;_keywords&gt;Proton pump inhibitors; gut microbiota; hepatic encephalopathy; liver cirrhosis; risk&lt;/_keywords&gt;&lt;_language&gt;eng&lt;/_language&gt;&lt;_modified&gt;62599424&lt;/_modified&gt;&lt;_pages&gt;1179-1187&lt;/_pages&gt;&lt;_tertiary_title&gt;United European gastroenterology journal&lt;/_tertiary_title&gt;&lt;_type_work&gt;Journal Article&lt;/_type_work&gt;&lt;_url&gt;http://www.ncbi.nlm.nih.gov/entrez/query.fcgi?cmd=Retrieve&amp;amp;db=pubmed&amp;amp;dopt=Abstract&amp;amp;list_uids=30288280&amp;amp;query_hl=1&lt;/_url&gt;&lt;_volume&gt;6&lt;/_volume&gt;&lt;/Details&gt;&lt;Extra&gt;&lt;DBUID&gt;{9A7C78BD-F289-43CD-8CC7-97501B76739F}&lt;/DBUID&gt;&lt;/Extra&gt;&lt;/Item&gt;&lt;/References&gt;&lt;/Group&gt;&lt;Group&gt;&lt;References&gt;&lt;Item&gt;&lt;ID&gt;3073&lt;/ID&gt;&lt;UID&gt;{758F06D2-99D2-4E75-8CBA-0AA1101F5466}&lt;/UID&gt;&lt;Title&gt;Proton pump inhibitors as a risk factor for hepatic encephalopathy and spontaneous bacterial peritonitis in patients with cirrhosis with ascites&lt;/Title&gt;&lt;Template&gt;Generic&lt;/Template&gt;&lt;Star&gt;1&lt;/Star&gt;&lt;Tag&gt;0&lt;/Tag&gt;&lt;Author&gt;Dam, G; Vilstrup, H; Watson, H; Jepsen, P&lt;/Author&gt;&lt;Year&gt;2016&lt;/Year&gt;&lt;Details&gt;&lt;_accession_num&gt;27474889&lt;/_accession_num&gt;&lt;_author_adr&gt;Department of Hepatology and Gastroenterology, Aarhus University Hospital, Aarhus, Denmark. gitdam@rm.dk.; Department of Hepatology and Gastroenterology, Aarhus University Hospital, Aarhus, Denmark.; Sanofi Aventis R&amp;amp;D, Paris, France.; Department of Hepatology and Gastroenterology, Aarhus University Hospital, Aarhus, Denmark.; Department of Clinical Epidemiology, Aarhus University Hospital, Aarhus, Denmark.&lt;/_author_adr&gt;&lt;_collection_scope&gt;SCI;SCIE;&lt;/_collection_scope&gt;&lt;_created&gt;62599138&lt;/_created&gt;&lt;_date&gt;2016-10-01&lt;/_date&gt;&lt;_date_display&gt;2016 Oct&lt;/_date_display&gt;&lt;_doi&gt;10.1002/hep.28737&lt;/_doi&gt;&lt;_impact_factor&gt;  14.079&lt;/_impact_factor&gt;&lt;_isbn&gt;1527-3350 (Electronic); 0270-9139 (Linking)&lt;/_isbn&gt;&lt;_issue&gt;4&lt;/_issue&gt;&lt;_journal&gt;Hepatology&lt;/_journal&gt;&lt;_keywords&gt;Aged; Ascites/complications/drug therapy; Bacterial Infections/*chemically induced; Female; Hepatic Encephalopathy/*chemically induced; Humans; Liver Cirrhosis/complications; Male; Middle Aged; Peritonitis/*chemically induced/*microbiology; Proton Pump Inhibitors/*adverse effects/therapeutic use; Risk Factors&lt;/_keywords&gt;&lt;_language&gt;eng&lt;/_language&gt;&lt;_modified&gt;62599424&lt;/_modified&gt;&lt;_ori_publication&gt;(c) 2016 by the American Association for the Study of Liver Diseases.&lt;/_ori_publication&gt;&lt;_pages&gt;1265-72&lt;/_pages&gt;&lt;_tertiary_title&gt;Hepatology (Baltimore, Md.)&lt;/_tertiary_title&gt;&lt;_type_work&gt;Comparative Study; Journal Article; Research Support, Non-U.S. Gov&amp;apos;t&lt;/_type_work&gt;&lt;_url&gt;http://www.ncbi.nlm.nih.gov/entrez/query.fcgi?cmd=Retrieve&amp;amp;db=pubmed&amp;amp;dopt=Abstract&amp;amp;list_uids=27474889&amp;amp;query_hl=1&lt;/_url&gt;&lt;_volume&gt;64&lt;/_volume&gt;&lt;/Details&gt;&lt;Extra&gt;&lt;DBUID&gt;{9A7C78BD-F289-43CD-8CC7-97501B76739F}&lt;/DBUID&gt;&lt;/Extra&gt;&lt;/Item&gt;&lt;/References&gt;&lt;/Group&gt;&lt;Group&gt;&lt;References&gt;&lt;Item&gt;&lt;ID&gt;3127&lt;/ID&gt;&lt;UID&gt;{1D330603-B6F6-4B2A-9AB2-419A36FA7117}&lt;/UID&gt;&lt;Title&gt;Association of Proton Pump Inhibitor Therapy with Hepatic Encephalopathy in Hepatitis B Virus-related Acute-on-Chronic Liver Failure&lt;/Title&gt;&lt;Template&gt;Journal Article&lt;/Template&gt;&lt;Star&gt;1&lt;/Star&gt;&lt;Tag&gt;0&lt;/Tag&gt;&lt;Author&gt;Lin, Z N; Zuo, Y Q; Hu, P&lt;/Author&gt;&lt;Year&gt;2014&lt;/Year&gt;&lt;Details&gt;&lt;_accession_num&gt;24748895&lt;/_accession_num&gt;&lt;_author_adr&gt;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lt;/_author_adr&gt;&lt;_collection_scope&gt;SCIE;&lt;/_collection_scope&gt;&lt;_created&gt;62599138&lt;/_created&gt;&lt;_date&gt;2014-04-01&lt;/_date&gt;&lt;_date_display&gt;2014 Apr&lt;/_date_display&gt;&lt;_doi&gt;10.5812/hepatmon.16258&lt;/_doi&gt;&lt;_impact_factor&gt;   1.810&lt;/_impact_factor&gt;&lt;_isbn&gt;1735-143X (Print); 1735-143X (Linking)&lt;/_isbn&gt;&lt;_issue&gt;4&lt;/_issue&gt;&lt;_journal&gt;Hepat Mon&lt;/_journal&gt;&lt;_keywords&gt;Hepatic Encephalopathy; Hepatitis B Virus; Proton Pump Inhibitors&lt;/_keywords&gt;&lt;_language&gt;eng&lt;/_language&gt;&lt;_modified&gt;62599424&lt;/_modified&gt;&lt;_pages&gt;e16258&lt;/_pages&gt;&lt;_tertiary_title&gt;Hepatitis monthly&lt;/_tertiary_title&gt;&lt;_type_work&gt;Journal Article&lt;/_type_work&gt;&lt;_url&gt;http://www.ncbi.nlm.nih.gov/entrez/query.fcgi?cmd=Retrieve&amp;amp;db=pubmed&amp;amp;dopt=Abstract&amp;amp;list_uids=24748895&amp;amp;query_hl=1&lt;/_url&gt;&lt;_volume&gt;14&lt;/_volume&gt;&lt;/Details&gt;&lt;Extra&gt;&lt;DBUID&gt;{9A7C78BD-F289-43CD-8CC7-97501B76739F}&lt;/DBUID&gt;&lt;/Extra&gt;&lt;/Item&gt;&lt;/References&gt;&lt;/Group&gt;&lt;/Citation&gt;_x000a_"/>
    <w:docVar w:name="NE.Ref{A800F447-C4B6-4F30-BF06-8B7E341AF000}" w:val=" ADDIN NE.Ref.{A800F447-C4B6-4F30-BF06-8B7E341AF000}&lt;Citation&gt;&lt;Group&gt;&lt;References&gt;&lt;Item&gt;&lt;ID&gt;3627&lt;/ID&gt;&lt;UID&gt;{0A9E3547-DA36-437A-99EE-8B331EF77913}&lt;/UID&gt;&lt;Title&gt;Hepatic encephalopathy in chronic liver disease: 2014 Practice Guideline by the American Association for the Study of Liver Diseases and the European Association for the Study of the Liver&lt;/Title&gt;&lt;Template&gt;Journal Article&lt;/Template&gt;&lt;Star&gt;0&lt;/Star&gt;&lt;Tag&gt;0&lt;/Tag&gt;&lt;Author&gt;Vilstrup, H; Amodio, P; Bajaj, J; Cordoba, J; Ferenci, P; Mullen, K D; Weissenborn, K; Wong, P&lt;/Author&gt;&lt;Year&gt;2014&lt;/Year&gt;&lt;Details&gt;&lt;_accession_num&gt;25042402&lt;/_accession_num&gt;&lt;_author_adr&gt;Department of Hepatology and Gastroenterology, Aarhus University Hospital, Aarhus, Denmark.&lt;/_author_adr&gt;&lt;_collection_scope&gt;SCI;SCIE;&lt;/_collection_scope&gt;&lt;_created&gt;62606095&lt;/_created&gt;&lt;_date&gt;2014-08-01&lt;/_date&gt;&lt;_date_display&gt;2014 Aug&lt;/_date_display&gt;&lt;_doi&gt;10.1002/hep.27210&lt;/_doi&gt;&lt;_impact_factor&gt;  14.079&lt;/_impact_factor&gt;&lt;_isbn&gt;1527-3350 (Electronic); 0270-9139 (Linking)&lt;/_isbn&gt;&lt;_issue&gt;2&lt;/_issue&gt;&lt;_journal&gt;Hepatology&lt;/_journal&gt;&lt;_keywords&gt;Chronic Disease; Europe; Hepatic Encephalopathy/*diagnosis/epidemiology/*therapy; Humans; Liver Diseases/*diagnosis/epidemiology/*therapy; United States&lt;/_keywords&gt;&lt;_language&gt;eng&lt;/_language&gt;&lt;_modified&gt;62606102&lt;/_modified&gt;&lt;_pages&gt;715-35&lt;/_pages&gt;&lt;_tertiary_title&gt;Hepatology (Baltimore, Md.)&lt;/_tertiary_title&gt;&lt;_type_work&gt;Journal Article; Practice Guideline&lt;/_type_work&gt;&lt;_url&gt;http://www.ncbi.nlm.nih.gov/entrez/query.fcgi?cmd=Retrieve&amp;amp;db=pubmed&amp;amp;dopt=Abstract&amp;amp;list_uids=25042402&amp;amp;query_hl=1&lt;/_url&gt;&lt;_volume&gt;60&lt;/_volume&gt;&lt;/Details&gt;&lt;Extra&gt;&lt;DBUID&gt;{9A7C78BD-F289-43CD-8CC7-97501B76739F}&lt;/DBUID&gt;&lt;/Extra&gt;&lt;/Item&gt;&lt;/References&gt;&lt;/Group&gt;&lt;Group&gt;&lt;References&gt;&lt;Item&gt;&lt;ID&gt;3629&lt;/ID&gt;&lt;UID&gt;{76F523F3-F94F-4065-ABC3-664728CFA27A}&lt;/UID&gt;&lt;Title&gt;Mechanisms, diagnosis and management of hepatic encephalopathy&lt;/Title&gt;&lt;Template&gt;Journal Article&lt;/Template&gt;&lt;Star&gt;0&lt;/Star&gt;&lt;Tag&gt;0&lt;/Tag&gt;&lt;Author&gt;Prakash, R; Mullen, K D&lt;/Author&gt;&lt;Year&gt;2010&lt;/Year&gt;&lt;Details&gt;&lt;_accession_num&gt;20703237&lt;/_accession_num&gt;&lt;_author_adr&gt;Division of Gastroenterology, MetroHealth Medical Center, Case Western Reserve University, 2500 MetroHealth Drive, Cleveland, OH 44109, USA.&lt;/_author_adr&gt;&lt;_created&gt;62606095&lt;/_created&gt;&lt;_date&gt;2010-09-01&lt;/_date&gt;&lt;_date_display&gt;2010 Sep&lt;/_date_display&gt;&lt;_doi&gt;10.1038/nrgastro.2010.116&lt;/_doi&gt;&lt;_impact_factor&gt;  16.990&lt;/_impact_factor&gt;&lt;_isbn&gt;1759-5053 (Electronic); 1759-5045 (Linking)&lt;/_isbn&gt;&lt;_issue&gt;9&lt;/_issue&gt;&lt;_journal&gt;Nat Rev Gastroenterol Hepatol&lt;/_journal&gt;&lt;_keywords&gt;Ammonia/metabolism; Gastrointestinal Agents/therapeutic use; Gastrointestinal Tract/metabolism; Hepatic Encephalopathy/*diagnosis/*drug therapy/etiology; Humans; Lactulose/therapeutic use; Neuropsychological Tests; Rifamycins/therapeutic use; Rifaximin&lt;/_keywords&gt;&lt;_language&gt;eng&lt;/_language&gt;&lt;_modified&gt;62609400&lt;/_modified&gt;&lt;_pages&gt;515-25&lt;/_pages&gt;&lt;_tertiary_title&gt;Nature reviews. Gastroenterology &amp;amp; hepatology&lt;/_tertiary_title&gt;&lt;_type_work&gt;Journal Article; Review&lt;/_type_work&gt;&lt;_url&gt;http://www.ncbi.nlm.nih.gov/entrez/query.fcgi?cmd=Retrieve&amp;amp;db=pubmed&amp;amp;dopt=Abstract&amp;amp;list_uids=20703237&amp;amp;query_hl=1&lt;/_url&gt;&lt;_volume&gt;7&lt;/_volume&gt;&lt;/Details&gt;&lt;Extra&gt;&lt;DBUID&gt;{9A7C78BD-F289-43CD-8CC7-97501B76739F}&lt;/DBUID&gt;&lt;/Extra&gt;&lt;/Item&gt;&lt;/References&gt;&lt;/Group&gt;&lt;/Citation&gt;_x000a_"/>
    <w:docVar w:name="NE.Ref{AA4780A0-383E-42C7-96BF-2892941DB556}" w:val=" ADDIN NE.Ref.{AA4780A0-383E-42C7-96BF-2892941DB556}&lt;Citation&gt;&lt;Group&gt;&lt;References&gt;&lt;Item&gt;&lt;ID&gt;3627&lt;/ID&gt;&lt;UID&gt;{0A9E3547-DA36-437A-99EE-8B331EF77913}&lt;/UID&gt;&lt;Title&gt;Hepatic encephalopathy in chronic liver disease: 2014 Practice Guideline by the American Association for the Study of Liver Diseases and the European Association for the Study of the Liver&lt;/Title&gt;&lt;Template&gt;Journal Article&lt;/Template&gt;&lt;Star&gt;0&lt;/Star&gt;&lt;Tag&gt;0&lt;/Tag&gt;&lt;Author&gt;Vilstrup, H; Amodio, P; Bajaj, J; Cordoba, J; Ferenci, P; Mullen, K D; Weissenborn, K; Wong, P&lt;/Author&gt;&lt;Year&gt;2014&lt;/Year&gt;&lt;Details&gt;&lt;_accession_num&gt;25042402&lt;/_accession_num&gt;&lt;_author_adr&gt;Department of Hepatology and Gastroenterology, Aarhus University Hospital, Aarhus, Denmark.&lt;/_author_adr&gt;&lt;_collection_scope&gt;SCI;SCIE;&lt;/_collection_scope&gt;&lt;_created&gt;62606095&lt;/_created&gt;&lt;_date&gt;2014-08-01&lt;/_date&gt;&lt;_date_display&gt;2014 Aug&lt;/_date_display&gt;&lt;_doi&gt;10.1002/hep.27210&lt;/_doi&gt;&lt;_impact_factor&gt;  14.079&lt;/_impact_factor&gt;&lt;_isbn&gt;1527-3350 (Electronic); 0270-9139 (Linking)&lt;/_isbn&gt;&lt;_issue&gt;2&lt;/_issue&gt;&lt;_journal&gt;Hepatology&lt;/_journal&gt;&lt;_keywords&gt;Chronic Disease; Europe; Hepatic Encephalopathy/*diagnosis/epidemiology/*therapy; Humans; Liver Diseases/*diagnosis/epidemiology/*therapy; United States&lt;/_keywords&gt;&lt;_language&gt;eng&lt;/_language&gt;&lt;_modified&gt;62606102&lt;/_modified&gt;&lt;_pages&gt;715-35&lt;/_pages&gt;&lt;_tertiary_title&gt;Hepatology (Baltimore, Md.)&lt;/_tertiary_title&gt;&lt;_type_work&gt;Journal Article; Practice Guideline&lt;/_type_work&gt;&lt;_url&gt;http://www.ncbi.nlm.nih.gov/entrez/query.fcgi?cmd=Retrieve&amp;amp;db=pubmed&amp;amp;dopt=Abstract&amp;amp;list_uids=25042402&amp;amp;query_hl=1&lt;/_url&gt;&lt;_volume&gt;60&lt;/_volume&gt;&lt;/Details&gt;&lt;Extra&gt;&lt;DBUID&gt;{9A7C78BD-F289-43CD-8CC7-97501B76739F}&lt;/DBUID&gt;&lt;/Extra&gt;&lt;/Item&gt;&lt;/References&gt;&lt;/Group&gt;&lt;/Citation&gt;_x000a_"/>
    <w:docVar w:name="NE.Ref{B67A2359-3DA3-400D-8DAC-BA386EC0483D}" w:val=" ADDIN NE.Ref.{B67A2359-3DA3-400D-8DAC-BA386EC0483D}&lt;Citation&gt;&lt;Group&gt;&lt;References&gt;&lt;Item&gt;&lt;ID&gt;3644&lt;/ID&gt;&lt;UID&gt;{2F5B5006-E886-4B3F-BB57-C91B937EC55B}&lt;/UID&gt;&lt;Title&gt;Proton pump inhibitors affect the gut microbiome&lt;/Title&gt;&lt;Template&gt;Journal Article&lt;/Template&gt;&lt;Star&gt;0&lt;/Star&gt;&lt;Tag&gt;0&lt;/Tag&gt;&lt;Author&gt;Imhann, F; Bonder, M J; Vich, Vila A; Fu, J; Mujagic, Z; Vork, L; Tigchelaar, E F; Jankipersadsing, S A; Cenit, M C; Harmsen, H J; Dijkstra, G; Franke, L; Xavier, R J; Jonkers, D; Wijmenga, C; Weersma, R K; Zhernakova, A&lt;/Author&gt;&lt;Year&gt;2016&lt;/Year&gt;&lt;Details&gt;&lt;_accession_num&gt;26657899&lt;/_accession_num&gt;&lt;_author_adr&gt;University of Groningen and University Medical Center Groningen, Department of Gastroenterology and Hepatology, Groningen, The Netherlands.; University of Groningen and University Medical Center Groningen, Department of Genetics, Groningen, The Netherlands.; University of Groningen and University Medical Center Groningen, Department of Gastroenterology and Hepatology, Groningen, The Netherlands.; University of Groningen and University Medical Center Groningen, Department of Genetics, Groningen, The Netherlands.; Maastricht University Medical Center+, Division Gastroenterology-Hepatology, NUTRIM School for Nutrition and Translational Research in Metabolism, Maastricht, The Netherlands.; Maastricht University Medical Center+, Division Gastroenterology-Hepatology, NUTRIM School for Nutrition and Translational Research in Metabolism, Maastricht, The Netherlands.; University of Groningen and University Medical Center Groningen, Department of Genetics, Groningen, The Netherlands.; University of Groningen and University Medical Center Groningen, Department of Genetics, Groningen, The Netherlands.; University of Groningen and University Medical Center Groningen, Department of Genetics, Groningen, The Netherlands.; University of Groningen and University Medical Center Groningen, Department of Medical Microbiology, Groningen, The Netherlands.; University of Groningen and University Medical Center Groningen, Department of Gastroenterology and Hepatology, Groningen, The Netherlands.; University of Groningen and University Medical Center Groningen, Department of Genetics, Groningen, The Netherlands.; Broad Institute of Harvard and MIT, Boston, Massachusetts, USA.; Maastricht University Medical Center+, Division Gastroenterology-Hepatology, NUTRIM School for Nutrition and Translational Research in Metabolism, Maastricht, The Netherlands.; University of Groningen and University Medical Center Groningen, Department of Genetics, Groningen, The Netherlands.; University of Groningen and University Medical Center Groningen, Department of Gastroenterology and Hepatology, Groningen, The Netherlands.; University of Groningen and University Medical Center Groningen, Department of Genetics, Groningen, The Netherlands.&lt;/_author_adr&gt;&lt;_date_display&gt;2016 May&lt;/_date_display&gt;&lt;_date&gt;2016-05-01&lt;/_date&gt;&lt;_doi&gt;10.1136/gutjnl-2015-310376&lt;/_doi&gt;&lt;_isbn&gt;1468-3288 (Electronic); 0017-5749 (Linking)&lt;/_isbn&gt;&lt;_issue&gt;5&lt;/_issue&gt;&lt;_journal&gt;Gut&lt;/_journal&gt;&lt;_keywords&gt;Adult; Female; Gastrointestinal Microbiome/*drug effects; Humans; Male; Middle Aged; Proton Pump Inhibitors/*pharmacologyENTERIC INFECTIONS; INTESTINAL BACTERIA; PROTON PUMP INHIBITION&lt;/_keywords&gt;&lt;_language&gt;eng&lt;/_language&gt;&lt;_ori_publication&gt;Published by the BMJ Publishing Group Limited. For permission to use (where not_x000d__x000a_      already granted under a licence) please go to_x000d__x000a_      http://www.bmj.com/company/products-services/rights-and-licensing/&lt;/_ori_publication&gt;&lt;_pages&gt;740-8&lt;/_pages&gt;&lt;_tertiary_title&gt;Gut&lt;/_tertiary_title&gt;&lt;_type_work&gt;Journal Article; Research Support, Non-U.S. Gov&amp;apos;t&lt;/_type_work&gt;&lt;_url&gt;http://www.ncbi.nlm.nih.gov/entrez/query.fcgi?cmd=Retrieve&amp;amp;db=pubmed&amp;amp;dopt=Abstract&amp;amp;list_uids=26657899&amp;amp;query_hl=1&lt;/_url&gt;&lt;_volume&gt;65&lt;/_volume&gt;&lt;_created&gt;62609257&lt;/_created&gt;&lt;_modified&gt;62609258&lt;/_modified&gt;&lt;_db_updated&gt;PubMed&lt;/_db_updated&gt;&lt;_impact_factor&gt;  17.016&lt;/_impact_factor&gt;&lt;_collection_scope&gt;SCI;SCIE;&lt;/_collection_scope&gt;&lt;/Details&gt;&lt;Extra&gt;&lt;DBUID&gt;{9A7C78BD-F289-43CD-8CC7-97501B76739F}&lt;/DBUID&gt;&lt;/Extra&gt;&lt;/Item&gt;&lt;/References&gt;&lt;/Group&gt;&lt;Group&gt;&lt;References&gt;&lt;Item&gt;&lt;ID&gt;3645&lt;/ID&gt;&lt;UID&gt;{2BEBCF82-5928-449B-ACBF-D3736D01C969}&lt;/UID&gt;&lt;Title&gt;Proton pump inhibitors alter the composition of the gut microbiota&lt;/Title&gt;&lt;Template&gt;Journal Article&lt;/Template&gt;&lt;Star&gt;0&lt;/Star&gt;&lt;Tag&gt;0&lt;/Tag&gt;&lt;Author&gt;Jackson, M A; Goodrich, J K; Maxan, M E; Freedberg, D E; Abrams, J A; Poole, A C; Sutter, J L; Welter, D; Ley, R E; Bell, J T; Spector, T D; Steves, C J&lt;/Author&gt;&lt;Year&gt;2016&lt;/Year&gt;&lt;Details&gt;&lt;_accession_num&gt;26719299&lt;/_accession_num&gt;&lt;_author_adr&gt;Department of Twin Research and Genetic Epidemiology, King&amp;apos;s College London, London, UK.; Department of Molecular Biology and Genetics, Cornell University, Ithaca, New York, USA Department of Microbiology, Cornell University, Ithaca, New York, USA.; Clinical Age Research Unit, Kings College Hospital Foundation Trust, London, UK.; Division of Digestive and Liver Diseases, Department of Medicine, Columbia University Medical Center, New York, New York, USA.; Division of Digestive and Liver Diseases, Department of Medicine, Columbia University Medical Center, New York, New York, USA.; Department of Molecular Biology and Genetics, Cornell University, Ithaca, New York, USA Department of Microbiology, Cornell University, Ithaca, New York, USA.; Department of Molecular Biology and Genetics, Cornell University, Ithaca, New York, USA Department of Microbiology, Cornell University, Ithaca, New York, USA.; Department of Molecular Biology and Genetics, Cornell University, Ithaca, New York, USA Department of Microbiology, Cornell University, Ithaca, New York, USA.; Department of Molecular Biology and Genetics, Cornell University, Ithaca, New York, USA Department of Microbiology, Cornell University, Ithaca, New York, USA.; Department of Twin Research and Genetic Epidemiology, King&amp;apos;s College London, London, UK.; Department of Twin Research and Genetic Epidemiology, King&amp;apos;s College London, London, UK.; Department of Twin Research and Genetic Epidemiology, King&amp;apos;s College London, London, UK.&lt;/_author_adr&gt;&lt;_date_display&gt;2016 May&lt;/_date_display&gt;&lt;_date&gt;2016-05-01&lt;/_date&gt;&lt;_doi&gt;10.1136/gutjnl-2015-310861&lt;/_doi&gt;&lt;_isbn&gt;1468-3288 (Electronic); 0017-5749 (Linking)&lt;/_isbn&gt;&lt;_issue&gt;5&lt;/_issue&gt;&lt;_journal&gt;Gut&lt;/_journal&gt;&lt;_keywords&gt;Adult; Aged; Aged, 80 and over; Female; Gastrointestinal Microbiome/*drug effects; Humans; Male; Middle Aged; Proton Pump Inhibitors/*pharmacology; Upper Gastrointestinal Tract; Young AdultGASTRIC ACID; INTESTINAL MICROBIOLOGY; LACTIC ACID BACTERIA; LACTOBACILLUS; PROTON PUMP INHIBITION&lt;/_keywords&gt;&lt;_language&gt;eng&lt;/_language&gt;&lt;_ori_publication&gt;Published by the BMJ Publishing Group Limited. For permission to use (where not_x000d__x000a_      already granted under a licence) please go to_x000d__x000a_      http://www.bmj.com/company/products-services/rights-and-licensing/&lt;/_ori_publication&gt;&lt;_pages&gt;749-56&lt;/_pages&gt;&lt;_tertiary_title&gt;Gut&lt;/_tertiary_title&gt;&lt;_type_work&gt;Journal Article; Research Support, N.I.H., Extramural; Research Support, Non-U.S. Gov&amp;apos;t&lt;/_type_work&gt;&lt;_url&gt;http://www.ncbi.nlm.nih.gov/entrez/query.fcgi?cmd=Retrieve&amp;amp;db=pubmed&amp;amp;dopt=Abstract&amp;amp;list_uids=26719299&amp;amp;query_hl=1&lt;/_url&gt;&lt;_volume&gt;65&lt;/_volume&gt;&lt;_created&gt;62609257&lt;/_created&gt;&lt;_modified&gt;62609257&lt;/_modified&gt;&lt;_db_updated&gt;PubMed&lt;/_db_updated&gt;&lt;_impact_factor&gt;  17.016&lt;/_impact_factor&gt;&lt;_collection_scope&gt;SCI;SCIE;&lt;/_collection_scope&gt;&lt;/Details&gt;&lt;Extra&gt;&lt;DBUID&gt;{9A7C78BD-F289-43CD-8CC7-97501B76739F}&lt;/DBUID&gt;&lt;/Extra&gt;&lt;/Item&gt;&lt;/References&gt;&lt;/Group&gt;&lt;/Citation&gt;_x000a_"/>
    <w:docVar w:name="NE.Ref{B6AB2A86-29D2-4495-8BAE-34175D3D8449}" w:val=" ADDIN NE.Ref.{B6AB2A86-29D2-4495-8BAE-34175D3D8449}&lt;Citation&gt;&lt;Group&gt;&lt;References&gt;&lt;Item&gt;&lt;ID&gt;5&lt;/ID&gt;&lt;UID&gt;{8521C4C9-780F-4215-BF84-BB69E3B978E4}&lt;/UID&gt;&lt;Title&gt;Treatment with proton pump inhibitors increases the risk for development of hepatic encephalopathy after implantation of transjugular intrahepatic portosystemic shunt (TIPS)&lt;/Title&gt;&lt;Template&gt;Book&lt;/Template&gt;&lt;Star&gt;1&lt;/Star&gt;&lt;Tag&gt;0&lt;/Tag&gt;&lt;Author&gt;Sturm, L; Bettinger, D; Giesler, M; Boettler, T; Schmidt, A; Buettner, N; Thimme, R; Schultheiss, M&lt;/Author&gt;&lt;Year&gt;2018&lt;/Year&gt;&lt;Details&gt;&lt;_accession_num&gt;30386611&lt;/_accession_num&gt;&lt;_author_adr&gt;Department of Medicine II, Medical Center University of Freiburg, Faculty of Medicine, University of Freiburg, Freiburg, Germany.; Department of Medicine II, Medical Center University of Freiburg, Faculty of Medicine, University of Freiburg, Freiburg, Germany.; Berta-Ottenstein-Programme,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lt;/_author_adr&gt;&lt;_created&gt;62599059&lt;/_created&gt;&lt;_date&gt;2018-11-01&lt;/_date&gt;&lt;_date_display&gt;2018 Nov&lt;/_date_display&gt;&lt;_doi&gt;10.1177/2050640618795928&lt;/_doi&gt;&lt;_impact_factor&gt;   3.477&lt;/_impact_factor&gt;&lt;_isbn&gt;2050-6406 (Print); 2050-6406 (Linking)&lt;/_isbn&gt;&lt;_issue&gt;9&lt;/_issue&gt;&lt;_journal&gt;United European Gastroenterol J&lt;/_journal&gt;&lt;_keywords&gt;Hepatic encephalopathy; PPI; TIPS; proton pump inhibitors; transjugular intrahepatic portosystemic shunt&lt;/_keywords&gt;&lt;_language&gt;eng&lt;/_language&gt;&lt;_modified&gt;62599424&lt;/_modified&gt;&lt;_pages&gt;1380-1390&lt;/_pages&gt;&lt;_tertiary_title&gt;United European gastroenterology journal&lt;/_tertiary_title&gt;&lt;_type_work&gt;Journal Article&lt;/_type_work&gt;&lt;_url&gt;http://www.ncbi.nlm.nih.gov/entrez/query.fcgi?cmd=Retrieve&amp;amp;db=pubmed&amp;amp;dopt=Abstract&amp;amp;list_uids=30386611&amp;amp;query_hl=1&lt;/_url&gt;&lt;_volume&gt;6&lt;/_volume&gt;&lt;/Details&gt;&lt;Extra&gt;&lt;DBUID&gt;{9A7C78BD-F289-43CD-8CC7-97501B76739F}&lt;/DBUID&gt;&lt;/Extra&gt;&lt;/Item&gt;&lt;/References&gt;&lt;/Group&gt;&lt;Group&gt;&lt;References&gt;&lt;Item&gt;&lt;ID&gt;3012&lt;/ID&gt;&lt;UID&gt;{A517CA25-CF32-467A-97CA-B87CDE069B81}&lt;/UID&gt;&lt;Title&gt;Proton pump inhibitors are associated to minimal and overt hepatic encephalopathy and increase mortality in cirrhotics&lt;/Title&gt;&lt;Template&gt;Journal Article&lt;/Template&gt;&lt;Star&gt;1&lt;/Star&gt;&lt;Tag&gt;0&lt;/Tag&gt;&lt;Author&gt;Nardelli, S; Gioia, S; Ridola, L; Farcomeni, A; Merli, M; Riggio, O&lt;/Author&gt;&lt;Year&gt;2018&lt;/Year&gt;&lt;Details&gt;&lt;_accession_num&gt;30289992&lt;/_accession_num&gt;&lt;_author_adr&gt;Dept. of Clinical Medicine, &amp;quot;Sapienza&amp;quot; University of Rome, Rome, Italy.; Dept. of Clinical Medicine, &amp;quot;Sapienza&amp;quot; University of Rome, Rome, Italy.; Dept. of Clinical Medicine, &amp;quot;Sapienza&amp;quot; University of Rome, Rome, Italy.; Dept. of Clinical Medicine, &amp;quot;Sapienza&amp;quot; University of Rome, Rome, Italy.; Dept. of Public Health and Infectious Diseases, &amp;quot;Sapienza&amp;quot; University of Rome, Rome, Italy.; Dept. of Clinical Medicine, &amp;quot;Sapienza&amp;quot; University of Rome, Rome, Italy.; Dept. of Clinical Medicine, &amp;quot;Sapienza&amp;quot; University of Rome, Rome, Italy.&lt;/_author_adr&gt;&lt;_collection_scope&gt;SCI;SCIE;&lt;/_collection_scope&gt;&lt;_created&gt;62599138&lt;/_created&gt;&lt;_date&gt;2018-10-05&lt;/_date&gt;&lt;_date_display&gt;2018 Oct 5&lt;/_date_display&gt;&lt;_doi&gt;10.1002/hep.30304&lt;/_doi&gt;&lt;_impact_factor&gt;  14.079&lt;/_impact_factor&gt;&lt;_isbn&gt;1527-3350 (Electronic); 0270-9139 (Linking)&lt;/_isbn&gt;&lt;_journal&gt;Hepatology&lt;/_journal&gt;&lt;_keywords&gt;Proton pump inhibitors; hepatic encephalopathy; liver cirrhosis; psychometric evaluation&lt;/_keywords&gt;&lt;_language&gt;eng&lt;/_language&gt;&lt;_modified&gt;62599424&lt;/_modified&gt;&lt;_ori_publication&gt;This article is protected by copyright. All rights reserved.&lt;/_ori_publication&gt;&lt;_tertiary_title&gt;Hepatology (Baltimore, Md.)&lt;/_tertiary_title&gt;&lt;_type_work&gt;Journal Article&lt;/_type_work&gt;&lt;_url&gt;http://www.ncbi.nlm.nih.gov/entrez/query.fcgi?cmd=Retrieve&amp;amp;db=pubmed&amp;amp;dopt=Abstract&amp;amp;list_uids=30289992&amp;amp;query_hl=1&lt;/_url&gt;&lt;/Details&gt;&lt;Extra&gt;&lt;DBUID&gt;{9A7C78BD-F289-43CD-8CC7-97501B76739F}&lt;/DBUID&gt;&lt;/Extra&gt;&lt;/Item&gt;&lt;/References&gt;&lt;/Group&gt;&lt;Group&gt;&lt;References&gt;&lt;Item&gt;&lt;ID&gt;3013&lt;/ID&gt;&lt;UID&gt;{CF0C3E81-9E4E-493F-B810-3418E98FC16A}&lt;/UID&gt;&lt;Title&gt;Association of proton pump inhibitors with the risk of hepatic encephalopathy during hospitalization for liver cirrhosis&lt;/Title&gt;&lt;Template&gt;Journal Article&lt;/Template&gt;&lt;Star&gt;1&lt;/Star&gt;&lt;Tag&gt;0&lt;/Tag&gt;&lt;Author&gt;Zhu, J; Qi, X; Yu, H; Yoshida, E M; Mendez-Sanchez, N; Zhang, X; Wang, R; Deng, H; Li, J; Han, D; Guo, X&lt;/Author&gt;&lt;Year&gt;2018&lt;/Year&gt;&lt;Details&gt;&lt;_accession_num&gt;30288280&lt;/_accession_num&gt;&lt;_author_adr&gt;Liver Cirrhosis Study Group, Department of Gastroenterology, General Hospital of  Shenyang Military Area, Shenyang, China.; Postgraduate College, Shenyang Pharmaceutical University, Shenyang, China.; Liver Cirrhosis Study Group, Department of Gastroenterology, General Hospital of  Shenyang Military Area, Shenyang, China.; Postgraduate College, Shenyang Pharmaceutical University, Shenyang, China.; Division of Gastroenterology, Vancouver General Hospital, Vancouver, Canada.; Liver Research Unit, Medica Sur Clinic &amp;amp; Foundation, Mexico City, Mexico.;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lt;/_author_adr&gt;&lt;_created&gt;62599138&lt;/_created&gt;&lt;_date&gt;2018-10-01&lt;/_date&gt;&lt;_date_display&gt;2018 Oct&lt;/_date_display&gt;&lt;_doi&gt;10.1177/2050640618773564&lt;/_doi&gt;&lt;_impact_factor&gt;   3.477&lt;/_impact_factor&gt;&lt;_isbn&gt;2050-6406 (Print); 2050-6406 (Linking)&lt;/_isbn&gt;&lt;_issue&gt;8&lt;/_issue&gt;&lt;_journal&gt;United European Gastroenterol J&lt;/_journal&gt;&lt;_keywords&gt;Proton pump inhibitors; gut microbiota; hepatic encephalopathy; liver cirrhosis; risk&lt;/_keywords&gt;&lt;_language&gt;eng&lt;/_language&gt;&lt;_modified&gt;62599424&lt;/_modified&gt;&lt;_pages&gt;1179-1187&lt;/_pages&gt;&lt;_tertiary_title&gt;United European gastroenterology journal&lt;/_tertiary_title&gt;&lt;_type_work&gt;Journal Article&lt;/_type_work&gt;&lt;_url&gt;http://www.ncbi.nlm.nih.gov/entrez/query.fcgi?cmd=Retrieve&amp;amp;db=pubmed&amp;amp;dopt=Abstract&amp;amp;list_uids=30288280&amp;amp;query_hl=1&lt;/_url&gt;&lt;_volume&gt;6&lt;/_volume&gt;&lt;/Details&gt;&lt;Extra&gt;&lt;DBUID&gt;{9A7C78BD-F289-43CD-8CC7-97501B76739F}&lt;/DBUID&gt;&lt;/Extra&gt;&lt;/Item&gt;&lt;/References&gt;&lt;/Group&gt;&lt;Group&gt;&lt;References&gt;&lt;Item&gt;&lt;ID&gt;3071&lt;/ID&gt;&lt;UID&gt;{CBD045EF-5D80-4D06-839B-A8A3CF8DD60D}&lt;/UID&gt;&lt;Title&gt;Proton Pump Inhibitors Increase Risk for Hepatic Encephalopathy in Patients With  Cirrhosis in A Population Study&lt;/Title&gt;&lt;Template&gt;Journal Article&lt;/Template&gt;&lt;Star&gt;1&lt;/Star&gt;&lt;Tag&gt;0&lt;/Tag&gt;&lt;Author&gt;Tsai, C F; Chen, M H; Wang, Y P; Chu, C J; Huang, Y H; Lin, H C; Hou, M C; Lee, F Y; Su, T P; Lu, C L&lt;/Author&gt;&lt;Year&gt;2017&lt;/Year&gt;&lt;Details&gt;&lt;_accession_num&gt;27639806&lt;/_accession_num&gt;&lt;_author_adr&gt;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Electronic address: cllu@ym.edu.tw.&lt;/_author_adr&gt;&lt;_collection_scope&gt;SCI;SCIE;&lt;/_collection_scope&gt;&lt;_created&gt;62599138&lt;/_created&gt;&lt;_date&gt;2017-01-01&lt;/_date&gt;&lt;_date_display&gt;2017 Jan&lt;/_date_display&gt;&lt;_doi&gt;10.1053/j.gastro.2016.09.007&lt;/_doi&gt;&lt;_impact_factor&gt;  20.773&lt;/_impact_factor&gt;&lt;_isbn&gt;1528-0012 (Electronic); 0016-5085 (Linking)&lt;/_isbn&gt;&lt;_issue&gt;1&lt;/_issue&gt;&lt;_journal&gt;Gastroenterology&lt;/_journal&gt;&lt;_keywords&gt;2-Pyridinylmethylsulfinylbenzimidazoles/administration &amp;amp; dosage; Administrative Claims, Healthcare/statistics &amp;amp; numerical data; Adult; Aged; Case-Control Studies; Esomeprazole/administration &amp;amp; dosage; Female; Hepatic Encephalopathy/*epidemiology/*etiology; Humans; Incidence; Insurance, Health/statistics &amp;amp; numerical data; Lansoprazole/administration &amp;amp; dosage; Liver Cirrhosis/*complications; Longitudinal Studies; Male; Middle Aged; Omeprazole/administration &amp;amp; dosage; Pantoprazole; Proton Pump Inhibitors/*administration &amp;amp; dosage; Rabeprazole/administration &amp;amp; dosage; Taiwan/epidemiology*Acid Suppression; *Cognitive Dysfunction; *Gut Microbiota; *Liver Failure&lt;/_keywords&gt;&lt;_language&gt;eng&lt;/_language&gt;&lt;_modified&gt;62599424&lt;/_modified&gt;&lt;_ori_publication&gt;Copyright (c) 2017. Published by Elsevier Inc.&lt;/_ori_publication&gt;&lt;_pages&gt;134-141&lt;/_pages&gt;&lt;_tertiary_title&gt;Gastroenterology&lt;/_tertiary_title&gt;&lt;_type_work&gt;Journal Article&lt;/_type_work&gt;&lt;_url&gt;http://www.ncbi.nlm.nih.gov/entrez/query.fcgi?cmd=Retrieve&amp;amp;db=pubmed&amp;amp;dopt=Abstract&amp;amp;list_uids=27639806&amp;amp;query_hl=1&lt;/_url&gt;&lt;_volume&gt;152&lt;/_volume&gt;&lt;/Details&gt;&lt;Extra&gt;&lt;DBUID&gt;{9A7C78BD-F289-43CD-8CC7-97501B76739F}&lt;/DBUID&gt;&lt;/Extra&gt;&lt;/Item&gt;&lt;/References&gt;&lt;/Group&gt;&lt;Group&gt;&lt;References&gt;&lt;Item&gt;&lt;ID&gt;3073&lt;/ID&gt;&lt;UID&gt;{758F06D2-99D2-4E75-8CBA-0AA1101F5466}&lt;/UID&gt;&lt;Title&gt;Proton pump inhibitors as a risk factor for hepatic encephalopathy and spontaneous bacterial peritonitis in patients with cirrhosis with ascites&lt;/Title&gt;&lt;Template&gt;Generic&lt;/Template&gt;&lt;Star&gt;1&lt;/Star&gt;&lt;Tag&gt;0&lt;/Tag&gt;&lt;Author&gt;Dam, G; Vilstrup, H; Watson, H; Jepsen, P&lt;/Author&gt;&lt;Year&gt;2016&lt;/Year&gt;&lt;Details&gt;&lt;_accession_num&gt;27474889&lt;/_accession_num&gt;&lt;_author_adr&gt;Department of Hepatology and Gastroenterology, Aarhus University Hospital, Aarhus, Denmark. gitdam@rm.dk.; Department of Hepatology and Gastroenterology, Aarhus University Hospital, Aarhus, Denmark.; Sanofi Aventis R&amp;amp;D, Paris, France.; Department of Hepatology and Gastroenterology, Aarhus University Hospital, Aarhus, Denmark.; Department of Clinical Epidemiology, Aarhus University Hospital, Aarhus, Denmark.&lt;/_author_adr&gt;&lt;_collection_scope&gt;SCI;SCIE;&lt;/_collection_scope&gt;&lt;_created&gt;62599138&lt;/_created&gt;&lt;_date&gt;2016-10-01&lt;/_date&gt;&lt;_date_display&gt;2016 Oct&lt;/_date_display&gt;&lt;_doi&gt;10.1002/hep.28737&lt;/_doi&gt;&lt;_impact_factor&gt;  14.079&lt;/_impact_factor&gt;&lt;_isbn&gt;1527-3350 (Electronic); 0270-9139 (Linking)&lt;/_isbn&gt;&lt;_issue&gt;4&lt;/_issue&gt;&lt;_journal&gt;Hepatology&lt;/_journal&gt;&lt;_keywords&gt;Aged; Ascites/complications/drug therapy; Bacterial Infections/*chemically induced; Female; Hepatic Encephalopathy/*chemically induced; Humans; Liver Cirrhosis/complications; Male; Middle Aged; Peritonitis/*chemically induced/*microbiology; Proton Pump Inhibitors/*adverse effects/therapeutic use; Risk Factors&lt;/_keywords&gt;&lt;_language&gt;eng&lt;/_language&gt;&lt;_modified&gt;62599424&lt;/_modified&gt;&lt;_ori_publication&gt;(c) 2016 by the American Association for the Study of Liver Diseases.&lt;/_ori_publication&gt;&lt;_pages&gt;1265-72&lt;/_pages&gt;&lt;_tertiary_title&gt;Hepatology (Baltimore, Md.)&lt;/_tertiary_title&gt;&lt;_type_work&gt;Comparative Study; Journal Article; Research Support, Non-U.S. Gov&amp;apos;t&lt;/_type_work&gt;&lt;_url&gt;http://www.ncbi.nlm.nih.gov/entrez/query.fcgi?cmd=Retrieve&amp;amp;db=pubmed&amp;amp;dopt=Abstract&amp;amp;list_uids=27474889&amp;amp;query_hl=1&lt;/_url&gt;&lt;_volume&gt;64&lt;/_volume&gt;&lt;/Details&gt;&lt;Extra&gt;&lt;DBUID&gt;{9A7C78BD-F289-43CD-8CC7-97501B76739F}&lt;/DBUID&gt;&lt;/Extra&gt;&lt;/Item&gt;&lt;/References&gt;&lt;/Group&gt;&lt;Group&gt;&lt;References&gt;&lt;Item&gt;&lt;ID&gt;3127&lt;/ID&gt;&lt;UID&gt;{1D330603-B6F6-4B2A-9AB2-419A36FA7117}&lt;/UID&gt;&lt;Title&gt;Association of Proton Pump Inhibitor Therapy with Hepatic Encephalopathy in Hepatitis B Virus-related Acute-on-Chronic Liver Failure&lt;/Title&gt;&lt;Template&gt;Journal Article&lt;/Template&gt;&lt;Star&gt;1&lt;/Star&gt;&lt;Tag&gt;0&lt;/Tag&gt;&lt;Author&gt;Lin, Z N; Zuo, Y Q; Hu, P&lt;/Author&gt;&lt;Year&gt;2014&lt;/Year&gt;&lt;Details&gt;&lt;_accession_num&gt;24748895&lt;/_accession_num&gt;&lt;_author_adr&gt;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lt;/_author_adr&gt;&lt;_collection_scope&gt;SCIE;&lt;/_collection_scope&gt;&lt;_created&gt;62599138&lt;/_created&gt;&lt;_date&gt;2014-04-01&lt;/_date&gt;&lt;_date_display&gt;2014 Apr&lt;/_date_display&gt;&lt;_doi&gt;10.5812/hepatmon.16258&lt;/_doi&gt;&lt;_impact_factor&gt;   1.810&lt;/_impact_factor&gt;&lt;_isbn&gt;1735-143X (Print); 1735-143X (Linking)&lt;/_isbn&gt;&lt;_issue&gt;4&lt;/_issue&gt;&lt;_journal&gt;Hepat Mon&lt;/_journal&gt;&lt;_keywords&gt;Hepatic Encephalopathy; Hepatitis B Virus; Proton Pump Inhibitors&lt;/_keywords&gt;&lt;_language&gt;eng&lt;/_language&gt;&lt;_modified&gt;62599424&lt;/_modified&gt;&lt;_pages&gt;e16258&lt;/_pages&gt;&lt;_tertiary_title&gt;Hepatitis monthly&lt;/_tertiary_title&gt;&lt;_type_work&gt;Journal Article&lt;/_type_work&gt;&lt;_url&gt;http://www.ncbi.nlm.nih.gov/entrez/query.fcgi?cmd=Retrieve&amp;amp;db=pubmed&amp;amp;dopt=Abstract&amp;amp;list_uids=24748895&amp;amp;query_hl=1&lt;/_url&gt;&lt;_volume&gt;14&lt;/_volume&gt;&lt;/Details&gt;&lt;Extra&gt;&lt;DBUID&gt;{9A7C78BD-F289-43CD-8CC7-97501B76739F}&lt;/DBUID&gt;&lt;/Extra&gt;&lt;/Item&gt;&lt;/References&gt;&lt;/Group&gt;&lt;/Citation&gt;_x000a_"/>
    <w:docVar w:name="NE.Ref{B93ABB7B-3DBB-4CDF-85D8-EE9169C0C2CD}" w:val=" ADDIN NE.Ref.{B93ABB7B-3DBB-4CDF-85D8-EE9169C0C2CD}&lt;Citation&gt;&lt;Group&gt;&lt;References&gt;&lt;Item&gt;&lt;ID&gt;3332&lt;/ID&gt;&lt;UID&gt;{866CF5DD-D5CB-49E4-BBA2-61813023AFD7}&lt;/UID&gt;&lt;Title&gt;Deleterious effect of proton pump inhibitors on the disease course of cirrhosis&lt;/Title&gt;&lt;Template&gt;Journal Article&lt;/Template&gt;&lt;Star&gt;0&lt;/Star&gt;&lt;Tag&gt;0&lt;/Tag&gt;&lt;Author&gt;Vitális, Z; Janka, T; Tornai, T; Tornai, I; Tornai, D; Papp, M&lt;/Author&gt;&lt;Year&gt;2018&lt;/Year&gt;&lt;Details&gt;&lt;_alternate_title&gt;J. Hepatol.&lt;/_alternate_title&gt;&lt;_author_adr&gt;Z. Vitális, University of Debrecen, Faculty of Medicine, Department of Gastroenterology, Debrecen, Hungary&lt;/_author_adr&gt;&lt;_collection_scope&gt;SCI;SCIE;&lt;/_collection_scope&gt;&lt;_created&gt;62599139&lt;/_created&gt;&lt;_date&gt;2018-01-01&lt;/_date&gt;&lt;_date_display&gt;2018&lt;/_date_display&gt;&lt;_impact_factor&gt;  14.911&lt;/_impact_factor&gt;&lt;_isbn&gt;1600-0641&lt;/_isbn&gt;&lt;_journal&gt;Journal of Hepatology&lt;/_journal&gt;&lt;_keywords&gt;alcohol; proton pump inhibitor; adult; ascites; bacterial peritonitis; bacterial translocation; cancer staging; Child Pugh score; cohort analysis; complication; conference abstract; controlled study; death; disease exacerbation; follow up; hepatic encephalopathy; human; liver cirrhosis; liver hemorrhage; major clinical study; male; middle aged; Model For End Stage Liver Disease Score; mortality; patient referral; probability&lt;/_keywords&gt;&lt;_modified&gt;62609713&lt;/_modified&gt;&lt;_pages&gt;S714&lt;/_pages&gt;&lt;_url&gt;http://www.embase.com/search/results?subaction=viewrecord&amp;amp;from=export&amp;amp;id=L621859770&lt;/_url&gt;&lt;_volume&gt;68&lt;/_volume&gt;&lt;/Details&gt;&lt;Extra&gt;&lt;DBUID&gt;{9A7C78BD-F289-43CD-8CC7-97501B76739F}&lt;/DBUID&gt;&lt;/Extra&gt;&lt;/Item&gt;&lt;/References&gt;&lt;/Group&gt;&lt;Group&gt;&lt;References&gt;&lt;Item&gt;&lt;ID&gt;3309&lt;/ID&gt;&lt;UID&gt;{888C55FC-3356-4892-AE69-BD6920DA638B}&lt;/UID&gt;&lt;Title&gt;Proton pump inhibitors do not increase the incidence of hepatic encephalopathy: A multicenter retrospective study in niigata prefecture&lt;/Title&gt;&lt;Template&gt;Journal Article&lt;/Template&gt;&lt;Star&gt;0&lt;/Star&gt;&lt;Tag&gt;0&lt;/Tag&gt;&lt;Author&gt;Sakamaki, A; Yokoo, T; Kamimura, K; Kimura, N; Setsu, T; Kamimura, H; Tsuchiya, A; Takamura, M; Terai, S&lt;/Author&gt;&lt;Year&gt;2018&lt;/Year&gt;&lt;Details&gt;&lt;_alternate_title&gt;Hepatology&lt;/_alternate_title&gt;&lt;_author_adr&gt;A. Sakamaki, Division of Gastroenterology and Hepatology, Niigata University,&lt;/_author_adr&gt;&lt;_collection_scope&gt;SCI;SCIE;&lt;/_collection_scope&gt;&lt;_created&gt;62599139&lt;/_created&gt;&lt;_date&gt;2018-01-01&lt;/_date&gt;&lt;_date_display&gt;2018&lt;/_date_display&gt;&lt;_doi&gt;10.1002/hep.30257&lt;/_doi&gt;&lt;_impact_factor&gt;  14.079&lt;/_impact_factor&gt;&lt;_isbn&gt;1527-3350&lt;/_isbn&gt;&lt;_journal&gt;Hepatology&lt;/_journal&gt;&lt;_keywords&gt;proton pump inhibitor; adult; age; cancer patient; conference abstract; controlled study; creatinine blood level; diagnosis; disease course; esophagus varices; female; fibrosis; gastrointestinal hemorrhage; hepatic encephalopathy; hepatitis; human; human tissue; incidence; ligation; liver cell carcinoma; liver cirrhosis; liver function; log rank test; major clinical study; male; multicenter study; portal hypertension; prevention; propensity score; prophylaxis; retrospective study; sclerotherapy&lt;/_keywords&gt;&lt;_modified&gt;62609713&lt;/_modified&gt;&lt;_pages&gt;1173A&lt;/_pages&gt;&lt;_url&gt;http://www.embase.com/search/results?subaction=viewrecord&amp;amp;from=export&amp;amp;id=L624565925_x000d__x000a_http://dx.doi.org/10.1002/hep.30257&lt;/_url&gt;&lt;_volume&gt;68&lt;/_volume&gt;&lt;/Details&gt;&lt;Extra&gt;&lt;DBUID&gt;{9A7C78BD-F289-43CD-8CC7-97501B76739F}&lt;/DBUID&gt;&lt;/Extra&gt;&lt;/Item&gt;&lt;/References&gt;&lt;/Group&gt;&lt;Group&gt;&lt;References&gt;&lt;Item&gt;&lt;ID&gt;3355&lt;/ID&gt;&lt;UID&gt;{68C29DF9-3478-4115-AE57-D7045264F713}&lt;/UID&gt;&lt;Title&gt;Proton pump inhibitors intake not associated with hepatic encephalopathy in cirrhotic patients&lt;/Title&gt;&lt;Template&gt;Book&lt;/Template&gt;&lt;Star&gt;0&lt;/Star&gt;&lt;Tag&gt;0&lt;/Tag&gt;&lt;Author&gt;Teixeira, C; Antunes, A; Dantas, E; Vaz, A M; Queirós, P; Alves, A L; Peixe, B; Cremers, I; Guerreiro, H; Oliveira, A P&lt;/Author&gt;&lt;Year&gt;2017&lt;/Year&gt;&lt;Details&gt;&lt;_alternate_title&gt;United Eur. Gastroenterol. J.&lt;/_alternate_title&gt;&lt;_author_adr&gt;C. Teixeira, Gastroenterology, Centro Hospitalar De Setubal, Setubal, Portugal&lt;/_author_adr&gt;&lt;_collection_scope&gt;SCIE;&lt;/_collection_scope&gt;&lt;_created&gt;62599139&lt;/_created&gt;&lt;_date&gt;2017-01-01&lt;/_date&gt;&lt;_date_display&gt;2017&lt;/_date_display&gt;&lt;_doi&gt;10.1177/2050640617725676&lt;/_doi&gt;&lt;_impact_factor&gt;   3.477&lt;/_impact_factor&gt;&lt;_isbn&gt;2050-6414&lt;/_isbn&gt;&lt;_issue&gt;5&lt;/_issue&gt;&lt;_journal&gt;United European Gastroenterology Journal&lt;/_journal&gt;&lt;_keywords&gt;alcohol; proton pump inhibitor; adult; animal model; blind loop syndrome; data analysis software; disease course; drug therapy; end stage liver disease; female; fibrosis; gastroenterology; gastrointestinal hemorrhage; gender; hepatic encephalopathy; Hepatitis C virus genotype 5; hospitalization; human; infection; liver cirrhosis; major clinical study; male; middle aged; Model For End Stage Liver Disease Score; multivariate analysis; nonhuman; retrospective study; statistical significance; univariate analysis&lt;/_keywords&gt;&lt;_modified&gt;62609713&lt;/_modified&gt;&lt;_pages&gt;A628&lt;/_pages&gt;&lt;_url&gt;http://www.embase.com/search/results?subaction=viewrecord&amp;amp;from=export&amp;amp;id=L619890666_x000d__x000a_http://dx.doi.org/10.1177/2050640617725676&lt;/_url&gt;&lt;_volume&gt;5&lt;/_volume&gt;&lt;/Details&gt;&lt;Extra&gt;&lt;DBUID&gt;{9A7C78BD-F289-43CD-8CC7-97501B76739F}&lt;/DBUID&gt;&lt;/Extra&gt;&lt;/Item&gt;&lt;/References&gt;&lt;/Group&gt;&lt;/Citation&gt;_x000a_"/>
    <w:docVar w:name="NE.Ref{BAC1F21F-AB9E-4D02-A0B0-625F22792285}" w:val=" ADDIN NE.Ref.{BAC1F21F-AB9E-4D02-A0B0-625F22792285}&lt;Citation&gt;&lt;Group&gt;&lt;References&gt;&lt;Item&gt;&lt;ID&gt;3308&lt;/ID&gt;&lt;UID&gt;{20083204-43D3-4B06-B3A0-B21A08776F92}&lt;/UID&gt;&lt;Title&gt;Proton pump inhibitors-a risk factor for hepatic encephalopathy in patients listed for liver transplantation?&lt;/Title&gt;&lt;Template&gt;Journal Article&lt;/Template&gt;&lt;Star&gt;1&lt;/Star&gt;&lt;Tag&gt;0&lt;/Tag&gt;&lt;Author&gt;Shanab, A A; Smith, A; Abbas, M; Iriarte, R; Nightingale, P; Gunson, B; Holt, A P; Rajoriya, N&lt;/Author&gt;&lt;Year&gt;2018&lt;/Year&gt;&lt;Details&gt;&lt;_accessed&gt;62603911&lt;/_accessed&gt;&lt;_alternate_title&gt;Hepatology&lt;/_alternate_title&gt;&lt;_author_adr&gt;A.A. Shanab, Internal Medicine, Menofiya University, Birmingham&lt;/_author_adr&gt;&lt;_collection_scope&gt;SCI;SCIE;&lt;/_collection_scope&gt;&lt;_created&gt;62599139&lt;/_created&gt;&lt;_date&gt;2018-01-01&lt;/_date&gt;&lt;_date_display&gt;2018&lt;/_date_display&gt;&lt;_doi&gt;10.1002/hep.30257&lt;/_doi&gt;&lt;_impact_factor&gt;  14.079&lt;/_impact_factor&gt;&lt;_isbn&gt;1527-3350&lt;/_isbn&gt;&lt;_journal&gt;Hepatology&lt;/_journal&gt;&lt;_keywords&gt;proton pump inhibitor; acute liver failure; adult; adverse drug reaction; cancer growth; cancer patient; conference abstract; controlled study; death; deterioration; diagnosis; hepatic encephalopathy; hospital admission; human; liver cirrhosis; liver transplantation; major clinical study; male; middle aged; Model For End Stage Liver Disease Score; morbidity; mortality risk; receiver operating characteristic; retrospective study; risk assessment; risk factor; side effect&lt;/_keywords&gt;&lt;_modified&gt;62609713&lt;/_modified&gt;&lt;_pages&gt;1176A&lt;/_pages&gt;&lt;_url&gt;http://www.embase.com/search/results?subaction=viewrecord&amp;amp;from=export&amp;amp;id=L624566044_x000d__x000a_http://dx.doi.org/10.1002/hep.30257&lt;/_url&gt;&lt;_volume&gt;68&lt;/_volume&gt;&lt;/Details&gt;&lt;Extra&gt;&lt;DBUID&gt;{9A7C78BD-F289-43CD-8CC7-97501B76739F}&lt;/DBUID&gt;&lt;/Extra&gt;&lt;/Item&gt;&lt;/References&gt;&lt;/Group&gt;&lt;Group&gt;&lt;References&gt;&lt;Item&gt;&lt;ID&gt;3393&lt;/ID&gt;&lt;UID&gt;{8DC892CD-D907-4E07-AA90-3D6C418AA356}&lt;/UID&gt;&lt;Title&gt;Proton pump inhibitors increase the risk for hepatic encephalopathy in patients with cirrhosis and ascites&lt;/Title&gt;&lt;Template&gt;Journal Article&lt;/Template&gt;&lt;Star&gt;1&lt;/Star&gt;&lt;Tag&gt;0&lt;/Tag&gt;&lt;Author&gt;Matei, D; Pasca, S; David, A; Procopet, B; Stefanescu, H; Vesa, S; Andreica, V; Tantau, M&lt;/Author&gt;&lt;Year&gt;2017&lt;/Year&gt;&lt;Details&gt;&lt;_accessed&gt;62603912&lt;/_accessed&gt;&lt;_alternate_title&gt;J. Hepatol.&lt;/_alternate_title&gt;&lt;_author_adr&gt;D. Matei, University of Medicine and Pharmacy Iuliu Hatieganu, Romania&lt;/_author_adr&gt;&lt;_collection_scope&gt;SCI;SCIE;&lt;/_collection_scope&gt;&lt;_created&gt;62599139&lt;/_created&gt;&lt;_date&gt;2017-01-01&lt;/_date&gt;&lt;_date_display&gt;2017&lt;/_date_display&gt;&lt;_impact_factor&gt;  14.911&lt;/_impact_factor&gt;&lt;_isbn&gt;1600-0641&lt;/_isbn&gt;&lt;_issue&gt;1&lt;/_issue&gt;&lt;_journal&gt;Journal of Hepatology&lt;/_journal&gt;&lt;_keywords&gt;proton pump inhibitor; adult; animal experiment; animal model; ascites fluid; bacterial peritonitis; cancer model; conference abstract; controlled study; cross-sectional study; diagnosis; end stage liver disease; hepatic encephalopathy; hepatorenal syndrome; human; liver cell carcinoma; liver cirrhosis; male; Model For End Stage Liver Disease Score; multivariate analysis; nonhuman; risk assessment; risk factor; upper gastrointestinal bleeding&lt;/_keywords&gt;&lt;_modified&gt;62609713&lt;/_modified&gt;&lt;_pages&gt;S136&lt;/_pages&gt;&lt;_url&gt;http://www.embase.com/search/results?subaction=viewrecord&amp;amp;from=export&amp;amp;id=L621221874&lt;/_url&gt;&lt;_volume&gt;66&lt;/_volume&gt;&lt;/Details&gt;&lt;Extra&gt;&lt;DBUID&gt;{9A7C78BD-F289-43CD-8CC7-97501B76739F}&lt;/DBUID&gt;&lt;/Extra&gt;&lt;/Item&gt;&lt;/References&gt;&lt;/Group&gt;&lt;/Citation&gt;_x000a_"/>
    <w:docVar w:name="NE.Ref{BC71C394-22E0-4852-9E99-F337C511BECC}" w:val=" ADDIN NE.Ref.{BC71C394-22E0-4852-9E99-F337C511BECC}&lt;Citation&gt;&lt;Group&gt;&lt;References&gt;&lt;Item&gt;&lt;ID&gt;3050&lt;/ID&gt;&lt;UID&gt;{C2EFF525-C798-456B-B2FD-6907E7995E51}&lt;/UID&gt;&lt;Title&gt;Association between proton pump inhibitors and hepatic encephalopathy: A meta-analysis&lt;/Title&gt;&lt;Template&gt;Journal Article&lt;/Template&gt;&lt;Star&gt;0&lt;/Star&gt;&lt;Tag&gt;0&lt;/Tag&gt;&lt;Author&gt;Bian, J; Wang, A; Lin, J; Wu, L; Huang, H; Wang, S; Yang, X; Lu, X; Xu, Y; Zhao, H&lt;/Author&gt;&lt;Year&gt;2017&lt;/Year&gt;&lt;Details&gt;&lt;_accession_num&gt;28445288&lt;/_accession_num&gt;&lt;_author_adr&gt;Department of Liver Surgery, Peking Union Medical College Hospital, Chinese Academy of Medical Sciences and Peking Union Medical College (CAMS &amp;amp; PUMC), Beijing, China.&lt;/_author_adr&gt;&lt;_created&gt;62599138&lt;/_created&gt;&lt;_date&gt;2017-04-01&lt;/_date&gt;&lt;_date_display&gt;2017 Apr&lt;/_date_display&gt;&lt;_doi&gt;10.1097/MD.0000000000006723&lt;/_doi&gt;&lt;_impact_factor&gt;   2.028&lt;/_impact_factor&gt;&lt;_isbn&gt;1536-5964 (Electronic); 0025-7974 (Linking)&lt;/_isbn&gt;&lt;_issue&gt;17&lt;/_issue&gt;&lt;_journal&gt;Medicine (Baltimore)&lt;/_journal&gt;&lt;_keywords&gt;Hepatic Encephalopathy/*epidemiology; Humans; Proton Pump Inhibitors/*adverse effects/therapeutic use&lt;/_keywords&gt;&lt;_language&gt;eng&lt;/_language&gt;&lt;_modified&gt;62599197&lt;/_modified&gt;&lt;_pages&gt;e6723&lt;/_pages&gt;&lt;_tertiary_title&gt;Medicine&lt;/_tertiary_title&gt;&lt;_type_work&gt;Journal Article; Meta-Analysis; Review&lt;/_type_work&gt;&lt;_url&gt;http://www.ncbi.nlm.nih.gov/entrez/query.fcgi?cmd=Retrieve&amp;amp;db=pubmed&amp;amp;dopt=Abstract&amp;amp;list_uids=28445288&amp;amp;query_hl=1&lt;/_url&gt;&lt;_volume&gt;96&lt;/_volume&gt;&lt;/Details&gt;&lt;Extra&gt;&lt;DBUID&gt;{9A7C78BD-F289-43CD-8CC7-97501B76739F}&lt;/DBUID&gt;&lt;/Extra&gt;&lt;/Item&gt;&lt;/References&gt;&lt;/Group&gt;&lt;Group&gt;&lt;References&gt;&lt;Item&gt;&lt;ID&gt;3639&lt;/ID&gt;&lt;UID&gt;{BB9DB4EF-E828-401F-943B-12CE1D39D772}&lt;/UID&gt;&lt;Title&gt; The Cochrane Handbook for Systematic Reviews of Interventions Version 5.1.0 [updated March 2011].&lt;/Title&gt;&lt;Template&gt;Journal Article&lt;/Template&gt;&lt;Star&gt;0&lt;/Star&gt;&lt;Tag&gt;0&lt;/Tag&gt;&lt;Author&gt;JPT, Higgins; S, Green&lt;/Author&gt;&lt;Year&gt;0&lt;/Year&gt;&lt;Details&gt;&lt;_accessed&gt;62606414&lt;/_accessed&gt;&lt;_created&gt;62606414&lt;/_created&gt;&lt;_modified&gt;62606414&lt;/_modified&gt;&lt;/Details&gt;&lt;Extra&gt;&lt;DBUID&gt;{9A7C78BD-F289-43CD-8CC7-97501B76739F}&lt;/DBUID&gt;&lt;/Extra&gt;&lt;/Item&gt;&lt;/References&gt;&lt;/Group&gt;&lt;/Citation&gt;_x000a_"/>
    <w:docVar w:name="NE.Ref{BCBEE0F1-02B1-45F8-9B7E-6B2DC0220130}" w:val=" ADDIN NE.Ref.{BCBEE0F1-02B1-45F8-9B7E-6B2DC0220130}&lt;Citation&gt;&lt;Group&gt;&lt;References&gt;&lt;Item&gt;&lt;ID&gt;3071&lt;/ID&gt;&lt;UID&gt;{CBD045EF-5D80-4D06-839B-A8A3CF8DD60D}&lt;/UID&gt;&lt;Title&gt;Proton Pump Inhibitors Increase Risk for Hepatic Encephalopathy in Patients With  Cirrhosis in A Population Study&lt;/Title&gt;&lt;Template&gt;Journal Article&lt;/Template&gt;&lt;Star&gt;1&lt;/Star&gt;&lt;Tag&gt;0&lt;/Tag&gt;&lt;Author&gt;Tsai, C F; Chen, M H; Wang, Y P; Chu, C J; Huang, Y H; Lin, H C; Hou, M C; Lee, F Y; Su, T P; Lu, C L&lt;/Author&gt;&lt;Year&gt;2017&lt;/Year&gt;&lt;Details&gt;&lt;_accession_num&gt;27639806&lt;/_accession_num&gt;&lt;_author_adr&gt;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Electronic address: cllu@ym.edu.tw.&lt;/_author_adr&gt;&lt;_collection_scope&gt;SCI;SCIE;&lt;/_collection_scope&gt;&lt;_created&gt;62599138&lt;/_created&gt;&lt;_date&gt;2017-01-01&lt;/_date&gt;&lt;_date_display&gt;2017 Jan&lt;/_date_display&gt;&lt;_doi&gt;10.1053/j.gastro.2016.09.007&lt;/_doi&gt;&lt;_impact_factor&gt;  20.773&lt;/_impact_factor&gt;&lt;_isbn&gt;1528-0012 (Electronic); 0016-5085 (Linking)&lt;/_isbn&gt;&lt;_issue&gt;1&lt;/_issue&gt;&lt;_journal&gt;Gastroenterology&lt;/_journal&gt;&lt;_keywords&gt;2-Pyridinylmethylsulfinylbenzimidazoles/administration &amp;amp; dosage; Administrative Claims, Healthcare/statistics &amp;amp; numerical data; Adult; Aged; Case-Control Studies; Esomeprazole/administration &amp;amp; dosage; Female; Hepatic Encephalopathy/*epidemiology/*etiology; Humans; Incidence; Insurance, Health/statistics &amp;amp; numerical data; Lansoprazole/administration &amp;amp; dosage; Liver Cirrhosis/*complications; Longitudinal Studies; Male; Middle Aged; Omeprazole/administration &amp;amp; dosage; Pantoprazole; Proton Pump Inhibitors/*administration &amp;amp; dosage; Rabeprazole/administration &amp;amp; dosage; Taiwan/epidemiology*Acid Suppression; *Cognitive Dysfunction; *Gut Microbiota; *Liver Failure&lt;/_keywords&gt;&lt;_language&gt;eng&lt;/_language&gt;&lt;_modified&gt;62599424&lt;/_modified&gt;&lt;_ori_publication&gt;Copyright (c) 2017. Published by Elsevier Inc.&lt;/_ori_publication&gt;&lt;_pages&gt;134-141&lt;/_pages&gt;&lt;_tertiary_title&gt;Gastroenterology&lt;/_tertiary_title&gt;&lt;_type_work&gt;Journal Article&lt;/_type_work&gt;&lt;_url&gt;http://www.ncbi.nlm.nih.gov/entrez/query.fcgi?cmd=Retrieve&amp;amp;db=pubmed&amp;amp;dopt=Abstract&amp;amp;list_uids=27639806&amp;amp;query_hl=1&lt;/_url&gt;&lt;_volume&gt;152&lt;/_volume&gt;&lt;/Details&gt;&lt;Extra&gt;&lt;DBUID&gt;{9A7C78BD-F289-43CD-8CC7-97501B76739F}&lt;/DBUID&gt;&lt;/Extra&gt;&lt;/Item&gt;&lt;/References&gt;&lt;/Group&gt;&lt;/Citation&gt;_x000a_"/>
    <w:docVar w:name="NE.Ref{C0AC343E-5B79-432B-A5C5-9774D4BAC681}" w:val=" ADDIN NE.Ref.{C0AC343E-5B79-432B-A5C5-9774D4BAC681}&lt;Citation&gt;&lt;Group&gt;&lt;References&gt;&lt;Item&gt;&lt;ID&gt;3308&lt;/ID&gt;&lt;UID&gt;{20083204-43D3-4B06-B3A0-B21A08776F92}&lt;/UID&gt;&lt;Title&gt;Proton pump inhibitors-a risk factor for hepatic encephalopathy in patients listed for liver transplantation?&lt;/Title&gt;&lt;Template&gt;Journal Article&lt;/Template&gt;&lt;Star&gt;1&lt;/Star&gt;&lt;Tag&gt;0&lt;/Tag&gt;&lt;Author&gt;Shanab, A A; Smith, A; Abbas, M; Iriarte, R; Nightingale, P; Gunson, B; Holt, A P; Rajoriya, N&lt;/Author&gt;&lt;Year&gt;2018&lt;/Year&gt;&lt;Details&gt;&lt;_accessed&gt;62603911&lt;/_accessed&gt;&lt;_alternate_title&gt;Hepatology&lt;/_alternate_title&gt;&lt;_author_adr&gt;A.A. Shanab, Internal Medicine, Menofiya University, Birmingham&lt;/_author_adr&gt;&lt;_collection_scope&gt;SCI;SCIE;&lt;/_collection_scope&gt;&lt;_created&gt;62599139&lt;/_created&gt;&lt;_date&gt;2018-01-01&lt;/_date&gt;&lt;_date_display&gt;2018&lt;/_date_display&gt;&lt;_doi&gt;10.1002/hep.30257&lt;/_doi&gt;&lt;_impact_factor&gt;  14.079&lt;/_impact_factor&gt;&lt;_isbn&gt;1527-3350&lt;/_isbn&gt;&lt;_journal&gt;Hepatology&lt;/_journal&gt;&lt;_keywords&gt;proton pump inhibitor; acute liver failure; adult; adverse drug reaction; cancer growth; cancer patient; conference abstract; controlled study; death; deterioration; diagnosis; hepatic encephalopathy; hospital admission; human; liver cirrhosis; liver transplantation; major clinical study; male; middle aged; Model For End Stage Liver Disease Score; morbidity; mortality risk; receiver operating characteristic; retrospective study; risk assessment; risk factor; side effect&lt;/_keywords&gt;&lt;_modified&gt;62609713&lt;/_modified&gt;&lt;_pages&gt;1176A&lt;/_pages&gt;&lt;_url&gt;http://www.embase.com/search/results?subaction=viewrecord&amp;amp;from=export&amp;amp;id=L624566044_x000d__x000a_http://dx.doi.org/10.1002/hep.30257&lt;/_url&gt;&lt;_volume&gt;68&lt;/_volume&gt;&lt;/Details&gt;&lt;Extra&gt;&lt;DBUID&gt;{9A7C78BD-F289-43CD-8CC7-97501B76739F}&lt;/DBUID&gt;&lt;/Extra&gt;&lt;/Item&gt;&lt;/References&gt;&lt;/Group&gt;&lt;Group&gt;&lt;References&gt;&lt;Item&gt;&lt;ID&gt;3310&lt;/ID&gt;&lt;UID&gt;{0B7FC440-7258-441B-AB6B-96920CC08583}&lt;/UID&gt;&lt;Title&gt;Incidence and predictors of hepatic encephalopathy in a population-based cohort of older americans with cirrhosis: Role of opiates, benzodiazepines and proton-pump inhibitors (PPIs)&lt;/Title&gt;&lt;Template&gt;Journal Article&lt;/Template&gt;&lt;Star&gt;1&lt;/Star&gt;&lt;Tag&gt;0&lt;/Tag&gt;&lt;Author&gt;Tapper, E B; Henderson, J; Baki, J; Parikh, N D; Lok, A S&lt;/Author&gt;&lt;Year&gt;2018&lt;/Year&gt;&lt;Details&gt;&lt;_alternate_title&gt;Hepatology&lt;/_alternate_title&gt;&lt;_author_adr&gt;E.B. Tapper, Division of Gastroenterology and Hepatology, University of Michigan Medical Center,&lt;/_author_adr&gt;&lt;_collection_scope&gt;SCI;SCIE;&lt;/_collection_scope&gt;&lt;_created&gt;62599139&lt;/_created&gt;&lt;_date&gt;2018-01-01&lt;/_date&gt;&lt;_date_display&gt;2018&lt;/_date_display&gt;&lt;_doi&gt;10.1002/hep.30256&lt;/_doi&gt;&lt;_impact_factor&gt;  14.079&lt;/_impact_factor&gt;&lt;_isbn&gt;1527-3350&lt;/_isbn&gt;&lt;_journal&gt;Hepatology&lt;/_journal&gt;&lt;_keywords&gt;alcohol; benzodiazepine derivative; lactulose; proton pump inhibitor; rifaximin; adult; alcohol liver cirrhosis; American; animal experiment; animal model; ascites; cancer patient; Charlson Comorbidity Index; cohort analysis; conference abstract; controlled study; diagnosis; drug combination; drug therapy; drug toxicity; female; follow up; gastroenterologist; hemodialysis; hepatic encephalopathy; hepatitis; ICD-9; liver cell carcinoma; male; medicaid; medicare; morbidity; nonhuman; paracentesis; portal hypertension; race; random sample; risk assessment; risk factor; varicosis&lt;/_keywords&gt;&lt;_modified&gt;62609713&lt;/_modified&gt;&lt;_pages&gt;138A&lt;/_pages&gt;&lt;_url&gt;http://www.embase.com/search/results?subaction=viewrecord&amp;amp;from=export&amp;amp;id=L624565019_x000d__x000a_http://dx.doi.org/10.1002/hep.30256&lt;/_url&gt;&lt;_volume&gt;68&lt;/_volume&gt;&lt;/Details&gt;&lt;Extra&gt;&lt;DBUID&gt;{9A7C78BD-F289-43CD-8CC7-97501B76739F}&lt;/DBUID&gt;&lt;/Extra&gt;&lt;/Item&gt;&lt;/References&gt;&lt;/Group&gt;&lt;Group&gt;&lt;References&gt;&lt;Item&gt;&lt;ID&gt;3393&lt;/ID&gt;&lt;UID&gt;{8DC892CD-D907-4E07-AA90-3D6C418AA356}&lt;/UID&gt;&lt;Title&gt;Proton pump inhibitors increase the risk for hepatic encephalopathy in patients with cirrhosis and ascites&lt;/Title&gt;&lt;Template&gt;Journal Article&lt;/Template&gt;&lt;Star&gt;1&lt;/Star&gt;&lt;Tag&gt;0&lt;/Tag&gt;&lt;Author&gt;Matei, D; Pasca, S; David, A; Procopet, B; Stefanescu, H; Vesa, S; Andreica, V; Tantau, M&lt;/Author&gt;&lt;Year&gt;2017&lt;/Year&gt;&lt;Details&gt;&lt;_accessed&gt;62603912&lt;/_accessed&gt;&lt;_alternate_title&gt;J. Hepatol.&lt;/_alternate_title&gt;&lt;_author_adr&gt;D. Matei, University of Medicine and Pharmacy Iuliu Hatieganu, Romania&lt;/_author_adr&gt;&lt;_collection_scope&gt;SCI;SCIE;&lt;/_collection_scope&gt;&lt;_created&gt;62599139&lt;/_created&gt;&lt;_date&gt;2017-01-01&lt;/_date&gt;&lt;_date_display&gt;2017&lt;/_date_display&gt;&lt;_impact_factor&gt;  14.911&lt;/_impact_factor&gt;&lt;_isbn&gt;1600-0641&lt;/_isbn&gt;&lt;_issue&gt;1&lt;/_issue&gt;&lt;_journal&gt;Journal of Hepatology&lt;/_journal&gt;&lt;_keywords&gt;proton pump inhibitor; adult; animal experiment; animal model; ascites fluid; bacterial peritonitis; cancer model; conference abstract; controlled study; cross-sectional study; diagnosis; end stage liver disease; hepatic encephalopathy; hepatorenal syndrome; human; liver cell carcinoma; liver cirrhosis; male; Model For End Stage Liver Disease Score; multivariate analysis; nonhuman; risk assessment; risk factor; upper gastrointestinal bleeding&lt;/_keywords&gt;&lt;_modified&gt;62609713&lt;/_modified&gt;&lt;_pages&gt;S136&lt;/_pages&gt;&lt;_url&gt;http://www.embase.com/search/results?subaction=viewrecord&amp;amp;from=export&amp;amp;id=L621221874&lt;/_url&gt;&lt;_volume&gt;66&lt;/_volume&gt;&lt;/Details&gt;&lt;Extra&gt;&lt;DBUID&gt;{9A7C78BD-F289-43CD-8CC7-97501B76739F}&lt;/DBUID&gt;&lt;/Extra&gt;&lt;/Item&gt;&lt;/References&gt;&lt;/Group&gt;&lt;/Citation&gt;_x000a_"/>
    <w:docVar w:name="NE.Ref{C119C97A-56B5-4049-8B7E-8D5E20E03E5F}" w:val=" ADDIN NE.Ref.{C119C97A-56B5-4049-8B7E-8D5E20E03E5F}&lt;Citation&gt;&lt;Group&gt;&lt;References&gt;&lt;Item&gt;&lt;ID&gt;5&lt;/ID&gt;&lt;UID&gt;{8521C4C9-780F-4215-BF84-BB69E3B978E4}&lt;/UID&gt;&lt;Title&gt;Treatment with proton pump inhibitors increases the risk for development of hepatic encephalopathy after implantation of transjugular intrahepatic portosystemic shunt (TIPS)&lt;/Title&gt;&lt;Template&gt;Book&lt;/Template&gt;&lt;Star&gt;1&lt;/Star&gt;&lt;Tag&gt;0&lt;/Tag&gt;&lt;Author&gt;Sturm, L; Bettinger, D; Giesler, M; Boettler, T; Schmidt, A; Buettner, N; Thimme, R; Schultheiss, M&lt;/Author&gt;&lt;Year&gt;2018&lt;/Year&gt;&lt;Details&gt;&lt;_accession_num&gt;30386611&lt;/_accession_num&gt;&lt;_author_adr&gt;Department of Medicine II, Medical Center University of Freiburg, Faculty of Medicine, University of Freiburg, Freiburg, Germany.; Department of Medicine II, Medical Center University of Freiburg, Faculty of Medicine, University of Freiburg, Freiburg, Germany.; Berta-Ottenstein-Programme,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lt;/_author_adr&gt;&lt;_created&gt;62599059&lt;/_created&gt;&lt;_date&gt;2018-11-01&lt;/_date&gt;&lt;_date_display&gt;2018 Nov&lt;/_date_display&gt;&lt;_doi&gt;10.1177/2050640618795928&lt;/_doi&gt;&lt;_impact_factor&gt;   3.477&lt;/_impact_factor&gt;&lt;_isbn&gt;2050-6406 (Print); 2050-6406 (Linking)&lt;/_isbn&gt;&lt;_issue&gt;9&lt;/_issue&gt;&lt;_journal&gt;United European Gastroenterol J&lt;/_journal&gt;&lt;_keywords&gt;Hepatic encephalopathy; PPI; TIPS; proton pump inhibitors; transjugular intrahepatic portosystemic shunt&lt;/_keywords&gt;&lt;_language&gt;eng&lt;/_language&gt;&lt;_modified&gt;62599424&lt;/_modified&gt;&lt;_pages&gt;1380-1390&lt;/_pages&gt;&lt;_tertiary_title&gt;United European gastroenterology journal&lt;/_tertiary_title&gt;&lt;_type_work&gt;Journal Article&lt;/_type_work&gt;&lt;_url&gt;http://www.ncbi.nlm.nih.gov/entrez/query.fcgi?cmd=Retrieve&amp;amp;db=pubmed&amp;amp;dopt=Abstract&amp;amp;list_uids=30386611&amp;amp;query_hl=1&lt;/_url&gt;&lt;_volume&gt;6&lt;/_volume&gt;&lt;/Details&gt;&lt;Extra&gt;&lt;DBUID&gt;{9A7C78BD-F289-43CD-8CC7-97501B76739F}&lt;/DBUID&gt;&lt;/Extra&gt;&lt;/Item&gt;&lt;/References&gt;&lt;/Group&gt;&lt;/Citation&gt;_x000a_"/>
    <w:docVar w:name="NE.Ref{CD55B69D-066F-4255-874A-43555CB6C4C2}" w:val=" ADDIN NE.Ref.{CD55B69D-066F-4255-874A-43555CB6C4C2}&lt;Citation&gt;&lt;Group&gt;&lt;References&gt;&lt;Item&gt;&lt;ID&gt;3050&lt;/ID&gt;&lt;UID&gt;{C2EFF525-C798-456B-B2FD-6907E7995E51}&lt;/UID&gt;&lt;Title&gt;Association between proton pump inhibitors and hepatic encephalopathy: A meta-analysis&lt;/Title&gt;&lt;Template&gt;Journal Article&lt;/Template&gt;&lt;Star&gt;0&lt;/Star&gt;&lt;Tag&gt;0&lt;/Tag&gt;&lt;Author&gt;Bian, J; Wang, A; Lin, J; Wu, L; Huang, H; Wang, S; Yang, X; Lu, X; Xu, Y; Zhao, H&lt;/Author&gt;&lt;Year&gt;2017&lt;/Year&gt;&lt;Details&gt;&lt;_accession_num&gt;28445288&lt;/_accession_num&gt;&lt;_author_adr&gt;Department of Liver Surgery, Peking Union Medical College Hospital, Chinese Academy of Medical Sciences and Peking Union Medical College (CAMS &amp;amp; PUMC), Beijing, China.&lt;/_author_adr&gt;&lt;_created&gt;62599138&lt;/_created&gt;&lt;_date&gt;2017-04-01&lt;/_date&gt;&lt;_date_display&gt;2017 Apr&lt;/_date_display&gt;&lt;_doi&gt;10.1097/MD.0000000000006723&lt;/_doi&gt;&lt;_impact_factor&gt;   2.028&lt;/_impact_factor&gt;&lt;_isbn&gt;1536-5964 (Electronic); 0025-7974 (Linking)&lt;/_isbn&gt;&lt;_issue&gt;17&lt;/_issue&gt;&lt;_journal&gt;Medicine (Baltimore)&lt;/_journal&gt;&lt;_keywords&gt;Hepatic Encephalopathy/*epidemiology; Humans; Proton Pump Inhibitors/*adverse effects/therapeutic use&lt;/_keywords&gt;&lt;_language&gt;eng&lt;/_language&gt;&lt;_modified&gt;62599197&lt;/_modified&gt;&lt;_pages&gt;e6723&lt;/_pages&gt;&lt;_tertiary_title&gt;Medicine&lt;/_tertiary_title&gt;&lt;_type_work&gt;Journal Article; Meta-Analysis; Review&lt;/_type_work&gt;&lt;_url&gt;http://www.ncbi.nlm.nih.gov/entrez/query.fcgi?cmd=Retrieve&amp;amp;db=pubmed&amp;amp;dopt=Abstract&amp;amp;list_uids=28445288&amp;amp;query_hl=1&lt;/_url&gt;&lt;_volume&gt;96&lt;/_volume&gt;&lt;/Details&gt;&lt;Extra&gt;&lt;DBUID&gt;{9A7C78BD-F289-43CD-8CC7-97501B76739F}&lt;/DBUID&gt;&lt;/Extra&gt;&lt;/Item&gt;&lt;/References&gt;&lt;/Group&gt;&lt;/Citation&gt;_x000a_"/>
    <w:docVar w:name="NE.Ref{CDFF2D23-CA98-40E0-A31A-FC55B85C095F}" w:val=" ADDIN NE.Ref.{CDFF2D23-CA98-40E0-A31A-FC55B85C095F}&lt;Citation&gt;&lt;Group&gt;&lt;References&gt;&lt;Item&gt;&lt;ID&gt;3308&lt;/ID&gt;&lt;UID&gt;{20083204-43D3-4B06-B3A0-B21A08776F92}&lt;/UID&gt;&lt;Title&gt;Proton pump inhibitors-a risk factor for hepatic encephalopathy in patients listed for liver transplantation?&lt;/Title&gt;&lt;Template&gt;Journal Article&lt;/Template&gt;&lt;Star&gt;1&lt;/Star&gt;&lt;Tag&gt;0&lt;/Tag&gt;&lt;Author&gt;Shanab, A A; Smith, A; Abbas, M; Iriarte, R; Nightingale, P; Gunson, B; Holt, A P; Rajoriya, N&lt;/Author&gt;&lt;Year&gt;2018&lt;/Year&gt;&lt;Details&gt;&lt;_accessed&gt;62603911&lt;/_accessed&gt;&lt;_alternate_title&gt;Hepatology&lt;/_alternate_title&gt;&lt;_author_adr&gt;A.A. Shanab, Internal Medicine, Menofiya University, Birmingham&lt;/_author_adr&gt;&lt;_collection_scope&gt;SCI;SCIE;&lt;/_collection_scope&gt;&lt;_created&gt;62599139&lt;/_created&gt;&lt;_date&gt;2018-01-01&lt;/_date&gt;&lt;_date_display&gt;2018&lt;/_date_display&gt;&lt;_doi&gt;10.1002/hep.30257&lt;/_doi&gt;&lt;_impact_factor&gt;  14.079&lt;/_impact_factor&gt;&lt;_isbn&gt;1527-3350&lt;/_isbn&gt;&lt;_journal&gt;Hepatology&lt;/_journal&gt;&lt;_keywords&gt;proton pump inhibitor; acute liver failure; adult; adverse drug reaction; cancer growth; cancer patient; conference abstract; controlled study; death; deterioration; diagnosis; hepatic encephalopathy; hospital admission; human; liver cirrhosis; liver transplantation; major clinical study; male; middle aged; Model For End Stage Liver Disease Score; morbidity; mortality risk; receiver operating characteristic; retrospective study; risk assessment; risk factor; side effect&lt;/_keywords&gt;&lt;_modified&gt;62609713&lt;/_modified&gt;&lt;_pages&gt;1176A&lt;/_pages&gt;&lt;_url&gt;http://www.embase.com/search/results?subaction=viewrecord&amp;amp;from=export&amp;amp;id=L624566044_x000d__x000a_http://dx.doi.org/10.1002/hep.30257&lt;/_url&gt;&lt;_volume&gt;68&lt;/_volume&gt;&lt;/Details&gt;&lt;Extra&gt;&lt;DBUID&gt;{9A7C78BD-F289-43CD-8CC7-97501B76739F}&lt;/DBUID&gt;&lt;/Extra&gt;&lt;/Item&gt;&lt;/References&gt;&lt;/Group&gt;&lt;Group&gt;&lt;References&gt;&lt;Item&gt;&lt;ID&gt;3310&lt;/ID&gt;&lt;UID&gt;{0B7FC440-7258-441B-AB6B-96920CC08583}&lt;/UID&gt;&lt;Title&gt;Incidence and predictors of hepatic encephalopathy in a population-based cohort of older americans with cirrhosis: Role of opiates, benzodiazepines and proton-pump inhibitors (PPIs)&lt;/Title&gt;&lt;Template&gt;Journal Article&lt;/Template&gt;&lt;Star&gt;1&lt;/Star&gt;&lt;Tag&gt;0&lt;/Tag&gt;&lt;Author&gt;Tapper, E B; Henderson, J; Baki, J; Parikh, N D; Lok, A S&lt;/Author&gt;&lt;Year&gt;2018&lt;/Year&gt;&lt;Details&gt;&lt;_alternate_title&gt;Hepatology&lt;/_alternate_title&gt;&lt;_author_adr&gt;E.B. Tapper, Division of Gastroenterology and Hepatology, University of Michigan Medical Center,&lt;/_author_adr&gt;&lt;_collection_scope&gt;SCI;SCIE;&lt;/_collection_scope&gt;&lt;_created&gt;62599139&lt;/_created&gt;&lt;_date&gt;2018-01-01&lt;/_date&gt;&lt;_date_display&gt;2018&lt;/_date_display&gt;&lt;_doi&gt;10.1002/hep.30256&lt;/_doi&gt;&lt;_impact_factor&gt;  14.079&lt;/_impact_factor&gt;&lt;_isbn&gt;1527-3350&lt;/_isbn&gt;&lt;_journal&gt;Hepatology&lt;/_journal&gt;&lt;_keywords&gt;alcohol; benzodiazepine derivative; lactulose; proton pump inhibitor; rifaximin; adult; alcohol liver cirrhosis; American; animal experiment; animal model; ascites; cancer patient; Charlson Comorbidity Index; cohort analysis; conference abstract; controlled study; diagnosis; drug combination; drug therapy; drug toxicity; female; follow up; gastroenterologist; hemodialysis; hepatic encephalopathy; hepatitis; ICD-9; liver cell carcinoma; male; medicaid; medicare; morbidity; nonhuman; paracentesis; portal hypertension; race; random sample; risk assessment; risk factor; varicosis&lt;/_keywords&gt;&lt;_modified&gt;62609713&lt;/_modified&gt;&lt;_pages&gt;138A&lt;/_pages&gt;&lt;_url&gt;http://www.embase.com/search/results?subaction=viewrecord&amp;amp;from=export&amp;amp;id=L624565019_x000d__x000a_http://dx.doi.org/10.1002/hep.30256&lt;/_url&gt;&lt;_volume&gt;68&lt;/_volume&gt;&lt;/Details&gt;&lt;Extra&gt;&lt;DBUID&gt;{9A7C78BD-F289-43CD-8CC7-97501B76739F}&lt;/DBUID&gt;&lt;/Extra&gt;&lt;/Item&gt;&lt;/References&gt;&lt;/Group&gt;&lt;Group&gt;&lt;References&gt;&lt;Item&gt;&lt;ID&gt;3393&lt;/ID&gt;&lt;UID&gt;{8DC892CD-D907-4E07-AA90-3D6C418AA356}&lt;/UID&gt;&lt;Title&gt;Proton pump inhibitors increase the risk for hepatic encephalopathy in patients with cirrhosis and ascites&lt;/Title&gt;&lt;Template&gt;Journal Article&lt;/Template&gt;&lt;Star&gt;1&lt;/Star&gt;&lt;Tag&gt;0&lt;/Tag&gt;&lt;Author&gt;Matei, D; Pasca, S; David, A; Procopet, B; Stefanescu, H; Vesa, S; Andreica, V; Tantau, M&lt;/Author&gt;&lt;Year&gt;2017&lt;/Year&gt;&lt;Details&gt;&lt;_accessed&gt;62603912&lt;/_accessed&gt;&lt;_alternate_title&gt;J. Hepatol.&lt;/_alternate_title&gt;&lt;_author_adr&gt;D. Matei, University of Medicine and Pharmacy Iuliu Hatieganu, Romania&lt;/_author_adr&gt;&lt;_collection_scope&gt;SCI;SCIE;&lt;/_collection_scope&gt;&lt;_created&gt;62599139&lt;/_created&gt;&lt;_date&gt;2017-01-01&lt;/_date&gt;&lt;_date_display&gt;2017&lt;/_date_display&gt;&lt;_impact_factor&gt;  14.911&lt;/_impact_factor&gt;&lt;_isbn&gt;1600-0641&lt;/_isbn&gt;&lt;_issue&gt;1&lt;/_issue&gt;&lt;_journal&gt;Journal of Hepatology&lt;/_journal&gt;&lt;_keywords&gt;proton pump inhibitor; adult; animal experiment; animal model; ascites fluid; bacterial peritonitis; cancer model; conference abstract; controlled study; cross-sectional study; diagnosis; end stage liver disease; hepatic encephalopathy; hepatorenal syndrome; human; liver cell carcinoma; liver cirrhosis; male; Model For End Stage Liver Disease Score; multivariate analysis; nonhuman; risk assessment; risk factor; upper gastrointestinal bleeding&lt;/_keywords&gt;&lt;_modified&gt;62609713&lt;/_modified&gt;&lt;_pages&gt;S136&lt;/_pages&gt;&lt;_url&gt;http://www.embase.com/search/results?subaction=viewrecord&amp;amp;from=export&amp;amp;id=L621221874&lt;/_url&gt;&lt;_volume&gt;66&lt;/_volume&gt;&lt;/Details&gt;&lt;Extra&gt;&lt;DBUID&gt;{9A7C78BD-F289-43CD-8CC7-97501B76739F}&lt;/DBUID&gt;&lt;/Extra&gt;&lt;/Item&gt;&lt;/References&gt;&lt;/Group&gt;&lt;/Citation&gt;_x000a_"/>
    <w:docVar w:name="NE.Ref{CF667A3C-9D16-4B44-A8A3-E40D2539CD91}" w:val=" ADDIN NE.Ref.{CF667A3C-9D16-4B44-A8A3-E40D2539CD91}&lt;Citation&gt;&lt;Group&gt;&lt;References&gt;&lt;Item&gt;&lt;ID&gt;5&lt;/ID&gt;&lt;UID&gt;{8521C4C9-780F-4215-BF84-BB69E3B978E4}&lt;/UID&gt;&lt;Title&gt;Treatment with proton pump inhibitors increases the risk for development of hepatic encephalopathy after implantation of transjugular intrahepatic portosystemic shunt (TIPS)&lt;/Title&gt;&lt;Template&gt;Book&lt;/Template&gt;&lt;Star&gt;1&lt;/Star&gt;&lt;Tag&gt;0&lt;/Tag&gt;&lt;Author&gt;Sturm, L; Bettinger, D; Giesler, M; Boettler, T; Schmidt, A; Buettner, N; Thimme, R; Schultheiss, M&lt;/Author&gt;&lt;Year&gt;2018&lt;/Year&gt;&lt;Details&gt;&lt;_accession_num&gt;30386611&lt;/_accession_num&gt;&lt;_author_adr&gt;Department of Medicine II, Medical Center University of Freiburg, Faculty of Medicine, University of Freiburg, Freiburg, Germany.; Department of Medicine II, Medical Center University of Freiburg, Faculty of Medicine, University of Freiburg, Freiburg, Germany.; Berta-Ottenstein-Programme,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lt;/_author_adr&gt;&lt;_created&gt;62599059&lt;/_created&gt;&lt;_date&gt;2018-11-01&lt;/_date&gt;&lt;_date_display&gt;2018 Nov&lt;/_date_display&gt;&lt;_doi&gt;10.1177/2050640618795928&lt;/_doi&gt;&lt;_impact_factor&gt;   3.477&lt;/_impact_factor&gt;&lt;_isbn&gt;2050-6406 (Print); 2050-6406 (Linking)&lt;/_isbn&gt;&lt;_issue&gt;9&lt;/_issue&gt;&lt;_journal&gt;United European Gastroenterol J&lt;/_journal&gt;&lt;_keywords&gt;Hepatic encephalopathy; PPI; TIPS; proton pump inhibitors; transjugular intrahepatic portosystemic shunt&lt;/_keywords&gt;&lt;_language&gt;eng&lt;/_language&gt;&lt;_modified&gt;62599424&lt;/_modified&gt;&lt;_pages&gt;1380-1390&lt;/_pages&gt;&lt;_tertiary_title&gt;United European gastroenterology journal&lt;/_tertiary_title&gt;&lt;_type_work&gt;Journal Article&lt;/_type_work&gt;&lt;_url&gt;http://www.ncbi.nlm.nih.gov/entrez/query.fcgi?cmd=Retrieve&amp;amp;db=pubmed&amp;amp;dopt=Abstract&amp;amp;list_uids=30386611&amp;amp;query_hl=1&lt;/_url&gt;&lt;_volume&gt;6&lt;/_volume&gt;&lt;/Details&gt;&lt;Extra&gt;&lt;DBUID&gt;{9A7C78BD-F289-43CD-8CC7-97501B76739F}&lt;/DBUID&gt;&lt;/Extra&gt;&lt;/Item&gt;&lt;/References&gt;&lt;/Group&gt;&lt;Group&gt;&lt;References&gt;&lt;Item&gt;&lt;ID&gt;3071&lt;/ID&gt;&lt;UID&gt;{CBD045EF-5D80-4D06-839B-A8A3CF8DD60D}&lt;/UID&gt;&lt;Title&gt;Proton Pump Inhibitors Increase Risk for Hepatic Encephalopathy in Patients With  Cirrhosis in A Population Study&lt;/Title&gt;&lt;Template&gt;Journal Article&lt;/Template&gt;&lt;Star&gt;1&lt;/Star&gt;&lt;Tag&gt;0&lt;/Tag&gt;&lt;Author&gt;Tsai, C F; Chen, M H; Wang, Y P; Chu, C J; Huang, Y H; Lin, H C; Hou, M C; Lee, F Y; Su, T P; Lu, C L&lt;/Author&gt;&lt;Year&gt;2017&lt;/Year&gt;&lt;Details&gt;&lt;_accession_num&gt;27639806&lt;/_accession_num&gt;&lt;_author_adr&gt;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Electronic address: cllu@ym.edu.tw.&lt;/_author_adr&gt;&lt;_collection_scope&gt;SCI;SCIE;&lt;/_collection_scope&gt;&lt;_created&gt;62599138&lt;/_created&gt;&lt;_date&gt;2017-01-01&lt;/_date&gt;&lt;_date_display&gt;2017 Jan&lt;/_date_display&gt;&lt;_doi&gt;10.1053/j.gastro.2016.09.007&lt;/_doi&gt;&lt;_impact_factor&gt;  20.773&lt;/_impact_factor&gt;&lt;_isbn&gt;1528-0012 (Electronic); 0016-5085 (Linking)&lt;/_isbn&gt;&lt;_issue&gt;1&lt;/_issue&gt;&lt;_journal&gt;Gastroenterology&lt;/_journal&gt;&lt;_keywords&gt;2-Pyridinylmethylsulfinylbenzimidazoles/administration &amp;amp; dosage; Administrative Claims, Healthcare/statistics &amp;amp; numerical data; Adult; Aged; Case-Control Studies; Esomeprazole/administration &amp;amp; dosage; Female; Hepatic Encephalopathy/*epidemiology/*etiology; Humans; Incidence; Insurance, Health/statistics &amp;amp; numerical data; Lansoprazole/administration &amp;amp; dosage; Liver Cirrhosis/*complications; Longitudinal Studies; Male; Middle Aged; Omeprazole/administration &amp;amp; dosage; Pantoprazole; Proton Pump Inhibitors/*administration &amp;amp; dosage; Rabeprazole/administration &amp;amp; dosage; Taiwan/epidemiology*Acid Suppression; *Cognitive Dysfunction; *Gut Microbiota; *Liver Failure&lt;/_keywords&gt;&lt;_language&gt;eng&lt;/_language&gt;&lt;_modified&gt;62599424&lt;/_modified&gt;&lt;_ori_publication&gt;Copyright (c) 2017. Published by Elsevier Inc.&lt;/_ori_publication&gt;&lt;_pages&gt;134-141&lt;/_pages&gt;&lt;_tertiary_title&gt;Gastroenterology&lt;/_tertiary_title&gt;&lt;_type_work&gt;Journal Article&lt;/_type_work&gt;&lt;_url&gt;http://www.ncbi.nlm.nih.gov/entrez/query.fcgi?cmd=Retrieve&amp;amp;db=pubmed&amp;amp;dopt=Abstract&amp;amp;list_uids=27639806&amp;amp;query_hl=1&lt;/_url&gt;&lt;_volume&gt;152&lt;/_volume&gt;&lt;/Details&gt;&lt;Extra&gt;&lt;DBUID&gt;{9A7C78BD-F289-43CD-8CC7-97501B76739F}&lt;/DBUID&gt;&lt;/Extra&gt;&lt;/Item&gt;&lt;/References&gt;&lt;/Group&gt;&lt;/Citation&gt;_x000a_"/>
    <w:docVar w:name="NE.Ref{D3DD9F79-35AD-4FB8-98DD-198420637B05}" w:val=" ADDIN NE.Ref.{D3DD9F79-35AD-4FB8-98DD-198420637B05}&lt;Citation&gt;&lt;Group&gt;&lt;References&gt;&lt;Item&gt;&lt;ID&gt;3647&lt;/ID&gt;&lt;UID&gt;{6E6C1DAB-A0B1-4171-A3F8-0044F8BA7C04}&lt;/UID&gt;&lt;Title&gt;Role of small intestinal bacterial overgrowth and delayed gastrointestinal transit time in cirrhotic patients with minimal hepatic encephalopathy&lt;/Title&gt;&lt;Template&gt;Journal Article&lt;/Template&gt;&lt;Star&gt;0&lt;/Star&gt;&lt;Tag&gt;0&lt;/Tag&gt;&lt;Author&gt;Gupta, A; Dhiman, R K; Kumari, S; Rana, S; Agarwal, R; Duseja, A; Chawla, Y&lt;/Author&gt;&lt;Year&gt;2010&lt;/Year&gt;&lt;Details&gt;&lt;_accession_num&gt;20675008&lt;/_accession_num&gt;&lt;_author_adr&gt;Department of Internal Medicine, Postgraduate Institute of Medical Education &amp;amp;amp; Research, Chandigarh 160012, India.&lt;/_author_adr&gt;&lt;_date_display&gt;2010 Nov&lt;/_date_display&gt;&lt;_date&gt;2010-11-01&lt;/_date&gt;&lt;_doi&gt;10.1016/j.jhep.2010.05.017&lt;/_doi&gt;&lt;_isbn&gt;1600-0641 (Electronic); 0168-8278 (Linking)&lt;/_isbn&gt;&lt;_issue&gt;5&lt;/_issue&gt;&lt;_journal&gt;J Hepatol&lt;/_journal&gt;&lt;_keywords&gt;Adolescent; Adult; Aged; Aged, 80 and over; Bacteria/*growth &amp;amp;amp; development; Cross-Sectional Studies; Female; *Gastrointestinal Transit; Hepatic Encephalopathy/drug therapy/epidemiology/*etiology; Humans; Intestine, Small/*microbiology; Liver Cirrhosis/*complications; Male; Middle Aged; Multivariate Analysis; Prevalence&lt;/_keywords&gt;&lt;_language&gt;eng&lt;/_language&gt;&lt;_ori_publication&gt;Copyright (c) 2010 European Association for the Study of the Liver. Published by _x000d__x000a_      Elsevier B.V. All rights reserved.&lt;/_ori_publication&gt;&lt;_pages&gt;849-55&lt;/_pages&gt;&lt;_tertiary_title&gt;Journal of hepatology&lt;/_tertiary_title&gt;&lt;_type_work&gt;Journal Article&lt;/_type_work&gt;&lt;_url&gt;http://www.ncbi.nlm.nih.gov/entrez/query.fcgi?cmd=Retrieve&amp;amp;db=pubmed&amp;amp;dopt=Abstract&amp;amp;list_uids=20675008&amp;amp;query_hl=1&lt;/_url&gt;&lt;_volume&gt;53&lt;/_volume&gt;&lt;_created&gt;62609260&lt;/_created&gt;&lt;_modified&gt;62609266&lt;/_modified&gt;&lt;_db_updated&gt;PubMed&lt;/_db_updated&gt;&lt;_impact_factor&gt;  14.911&lt;/_impact_factor&gt;&lt;_collection_scope&gt;SCI;SCIE;&lt;/_collection_scope&gt;&lt;/Details&gt;&lt;Extra&gt;&lt;DBUID&gt;{9A7C78BD-F289-43CD-8CC7-97501B76739F}&lt;/DBUID&gt;&lt;/Extra&gt;&lt;/Item&gt;&lt;/References&gt;&lt;/Group&gt;&lt;Group&gt;&lt;References&gt;&lt;Item&gt;&lt;ID&gt;3648&lt;/ID&gt;&lt;UID&gt;{AEB65910-BF2E-40C8-8AC8-28361818BA16}&lt;/UID&gt;&lt;Title&gt;Bacterial infections in cirrhosis: role of proton pump inhibitors and intestinal  permeability&lt;/Title&gt;&lt;Template&gt;Journal Article&lt;/Template&gt;&lt;Star&gt;0&lt;/Star&gt;&lt;Tag&gt;0&lt;/Tag&gt;&lt;Author&gt;van Vlerken, L G; Huisman, E J; van Hoek, B; Renooij, W; de Rooij, F W; Siersema, P D; van Erpecum, K J&lt;/Author&gt;&lt;Year&gt;2012&lt;/Year&gt;&lt;Details&gt;&lt;_accession_num&gt;22288900&lt;/_accession_num&gt;&lt;_author_adr&gt;Department of Gastroenterology and Hepatology, University Medical Center Utrecht, Utrecht, The Netherlands.&lt;/_author_adr&gt;&lt;_date_display&gt;2012 Jul&lt;/_date_display&gt;&lt;_date&gt;2012-07-01&lt;/_date&gt;&lt;_doi&gt;10.1111/j.1365-2362.2011.02643.x&lt;/_doi&gt;&lt;_isbn&gt;1365-2362 (Electronic); 0014-2972 (Linking)&lt;/_isbn&gt;&lt;_issue&gt;7&lt;/_issue&gt;&lt;_journal&gt;Eur J Clin Invest&lt;/_journal&gt;&lt;_keywords&gt;2-Pyridinylmethylsulfinylbenzimidazoles/adverse effects; Adult; Aged; Animals; Bacteria/isolation &amp;amp;amp; purification; Bacterial Infections/*etiology; Cohort Studies; Female; Humans; Jejunum/metabolism/*microbiology; Liver Cirrhosis/*microbiology; Male; Middle Aged; Models, Animal; Netherlands; Omeprazole/adverse effects; Pantoprazole; Peritonitis/*microbiology; Permeability/drug effects; Polyethylene Glycols/metabolism; Proton Pump Inhibitors/*adverse effects; Ranitidine/adverse effects; Rats; Rats, Wistar; Risk Factors&lt;/_keywords&gt;&lt;_language&gt;eng&lt;/_language&gt;&lt;_ori_publication&gt;(c) 2011 The Authors. European Journal of Clinical Investigation (c) 2011_x000d__x000a_      Stichting European Society for Clinical Investigation Journal Foundation.&lt;/_ori_publication&gt;&lt;_pages&gt;760-7&lt;/_pages&gt;&lt;_tertiary_title&gt;European journal of clinical investigation&lt;/_tertiary_title&gt;&lt;_type_work&gt;Journal Article&lt;/_type_work&gt;&lt;_url&gt;http://www.ncbi.nlm.nih.gov/entrez/query.fcgi?cmd=Retrieve&amp;amp;db=pubmed&amp;amp;dopt=Abstract&amp;amp;list_uids=22288900&amp;amp;query_hl=1&lt;/_url&gt;&lt;_volume&gt;42&lt;/_volume&gt;&lt;_created&gt;62609262&lt;/_created&gt;&lt;_modified&gt;62609263&lt;/_modified&gt;&lt;_db_updated&gt;PubMed&lt;/_db_updated&gt;&lt;_impact_factor&gt;   3.086&lt;/_impact_factor&gt;&lt;_collection_scope&gt;SCI;SCIE;&lt;/_collection_scope&gt;&lt;/Details&gt;&lt;Extra&gt;&lt;DBUID&gt;{9A7C78BD-F289-43CD-8CC7-97501B76739F}&lt;/DBUID&gt;&lt;/Extra&gt;&lt;/Item&gt;&lt;/References&gt;&lt;/Group&gt;&lt;Group&gt;&lt;References&gt;&lt;Item&gt;&lt;ID&gt;3649&lt;/ID&gt;&lt;UID&gt;{0C452E94-5CCD-4DB3-9CCA-2BF2986A4F9A}&lt;/UID&gt;&lt;Title&gt;Proton pump inhibitors are associated with a high rate of serious infections in veterans with decompensated cirrhosis&lt;/Title&gt;&lt;Template&gt;Journal Article&lt;/Template&gt;&lt;Star&gt;0&lt;/Star&gt;&lt;Tag&gt;0&lt;/Tag&gt;&lt;Author&gt;Bajaj, J S; Ratliff, S M; Heuman, D M; Lapane, K L&lt;/Author&gt;&lt;Year&gt;2012&lt;/Year&gt;&lt;Details&gt;&lt;_accession_num&gt;22966967&lt;/_accession_num&gt;&lt;_author_adr&gt;Division of Gastroenterology, Hepatology and Nutrition, Virginia Commonwealth University and McGuire Veterans Affairs Medical Center, Richmond, VA, USA. jsbajaj@vcu.edu&lt;/_author_adr&gt;&lt;_date_display&gt;2012 Nov&lt;/_date_display&gt;&lt;_date&gt;2012-11-01&lt;/_date&gt;&lt;_doi&gt;10.1111/apt.12045&lt;/_doi&gt;&lt;_isbn&gt;1365-2036 (Electronic); 0269-2813 (Linking)&lt;/_isbn&gt;&lt;_issue&gt;9&lt;/_issue&gt;&lt;_journal&gt;Aliment Pharmacol Ther&lt;/_journal&gt;&lt;_keywords&gt;Adult; Aged; Aged, 80 and over; Bacteremia/*chemically induced; Clostridium Infections/*chemically induced; Female; Gastric Acid; Histamine H2 Antagonists/adverse effects; Humans; Liver Cirrhosis/*drug therapy; Male; Middle Aged; Proportional Hazards Models; Proton Pump Inhibitors/*adverse effects; Retrospective Studies; Risk Factors; United States; Veterans/statistics &amp;amp;amp; numerical data&lt;/_keywords&gt;&lt;_language&gt;eng&lt;/_language&gt;&lt;_pages&gt;866-74&lt;/_pages&gt;&lt;_tertiary_title&gt;Alimentary pharmacology &amp;amp;amp; therapeutics&lt;/_tertiary_title&gt;&lt;_type_work&gt;Journal Article; Research Support, N.I.H., Extramural; Research Support, Non-U.S. Gov&amp;apos;t; Research Support, U.S. Gov&amp;apos;t, Non-P.H.S.&lt;/_type_work&gt;&lt;_url&gt;http://www.ncbi.nlm.nih.gov/entrez/query.fcgi?cmd=Retrieve&amp;amp;db=pubmed&amp;amp;dopt=Abstract&amp;amp;list_uids=22966967&amp;amp;query_hl=1&lt;/_url&gt;&lt;_volume&gt;36&lt;/_volume&gt;&lt;_created&gt;62609264&lt;/_created&gt;&lt;_modified&gt;62609264&lt;/_modified&gt;&lt;_db_updated&gt;PubMed&lt;/_db_updated&gt;&lt;_impact_factor&gt;   7.357&lt;/_impact_factor&gt;&lt;/Details&gt;&lt;Extra&gt;&lt;DBUID&gt;{9A7C78BD-F289-43CD-8CC7-97501B76739F}&lt;/DBUID&gt;&lt;/Extra&gt;&lt;/Item&gt;&lt;/References&gt;&lt;/Group&gt;&lt;Group&gt;&lt;References&gt;&lt;Item&gt;&lt;ID&gt;3650&lt;/ID&gt;&lt;UID&gt;{D4685747-9CF3-4E92-9955-A2CB53E2D917}&lt;/UID&gt;&lt;Title&gt;The chronic use of beta-blockers and proton pump inhibitors may affect the rate of bacterial infections in cirrhosis&lt;/Title&gt;&lt;Template&gt;Journal Article&lt;/Template&gt;&lt;Star&gt;0&lt;/Star&gt;&lt;Tag&gt;0&lt;/Tag&gt;&lt;Author&gt;Merli, M; Lucidi, C; Di Gregorio, V; Giannelli, V; Giusto, M; Ceccarelli, G; Riggio, O; Venditti, M&lt;/Author&gt;&lt;Year&gt;2015&lt;/Year&gt;&lt;Details&gt;&lt;_accession_num&gt;24836902&lt;/_accession_num&gt;&lt;_author_adr&gt;Gastroenterology, Department of Clinical Medicine, &amp;apos;Sapienza&amp;apos; University of Rome, Rome, Italy.&lt;/_author_adr&gt;&lt;_date_display&gt;2015 Feb&lt;/_date_display&gt;&lt;_date&gt;2015-02-01&lt;/_date&gt;&lt;_doi&gt;10.1111/liv.12593&lt;/_doi&gt;&lt;_isbn&gt;1478-3231 (Electronic); 1478-3223 (Linking)&lt;/_isbn&gt;&lt;_issue&gt;2&lt;/_issue&gt;&lt;_journal&gt;Liver Int&lt;/_journal&gt;&lt;_keywords&gt;Adrenergic beta-Antagonists/*adverse effects/therapeutic use; Aged; Bacterial Infections/*epidemiology/*etiology; Cross-Sectional Studies; Female; Humans; Liver Cirrhosis/*drug therapy/microbiology; Male; Microbiota/physiology; Middle Aged; Prevalence; Proton Pump Inhibitors/*adverse effects/therapeutic use; Risk Factors; Statistics, Nonparametricdrugs; non-absorbable antibiotics; non-absorbable disaccharides; sepsis&lt;/_keywords&gt;&lt;_language&gt;eng&lt;/_language&gt;&lt;_ori_publication&gt;(c) 2014 John Wiley &amp;amp;amp; Sons A/S. Published by John Wiley &amp;amp;amp; Sons Ltd.&lt;/_ori_publication&gt;&lt;_pages&gt;362-9&lt;/_pages&gt;&lt;_tertiary_title&gt;Liver international : official journal of the International Association for the_x000d__x000a_      Study of the Liver&lt;/_tertiary_title&gt;&lt;_type_work&gt;Journal Article&lt;/_type_work&gt;&lt;_url&gt;http://www.ncbi.nlm.nih.gov/entrez/query.fcgi?cmd=Retrieve&amp;amp;db=pubmed&amp;amp;dopt=Abstract&amp;amp;list_uids=24836902&amp;amp;query_hl=1&lt;/_url&gt;&lt;_volume&gt;35&lt;/_volume&gt;&lt;_created&gt;62609265&lt;/_created&gt;&lt;_modified&gt;62609265&lt;/_modified&gt;&lt;_db_updated&gt;PubMed&lt;/_db_updated&gt;&lt;_impact_factor&gt;   4.500&lt;/_impact_factor&gt;&lt;_collection_scope&gt;SCI;SCIE;&lt;/_collection_scope&gt;&lt;/Details&gt;&lt;Extra&gt;&lt;DBUID&gt;{9A7C78BD-F289-43CD-8CC7-97501B76739F}&lt;/DBUID&gt;&lt;/Extra&gt;&lt;/Item&gt;&lt;/References&gt;&lt;/Group&gt;&lt;/Citation&gt;_x000a_"/>
    <w:docVar w:name="NE.Ref{D6C14A91-4DD2-4C87-BB3A-9F4E140A9EF9}" w:val=" ADDIN NE.Ref.{D6C14A91-4DD2-4C87-BB3A-9F4E140A9EF9}&lt;Citation&gt;&lt;Group&gt;&lt;References&gt;&lt;Item&gt;&lt;ID&gt;3642&lt;/ID&gt;&lt;UID&gt;{87FF155E-D118-49A0-9507-94224E060518}&lt;/UID&gt;&lt;Title&gt;Proton pump inhibitor use and the risk of small intestinal bacterial overgrowth:  a meta-analysis&lt;/Title&gt;&lt;Template&gt;Journal Article&lt;/Template&gt;&lt;Star&gt;0&lt;/Star&gt;&lt;Tag&gt;0&lt;/Tag&gt;&lt;Author&gt;Lo, W K; Chan, W W&lt;/Author&gt;&lt;Year&gt;2013&lt;/Year&gt;&lt;Details&gt;&lt;_accession_num&gt;23270866&lt;/_accession_num&gt;&lt;_author_adr&gt;Division of Gastroenterology, Brigham and Women&amp;apos;s Hospital, Harvard Medical School, Boston, Massachusetts, USA.&lt;/_author_adr&gt;&lt;_date_display&gt;2013 May&lt;/_date_display&gt;&lt;_date&gt;2013-05-01&lt;/_date&gt;&lt;_doi&gt;10.1016/j.cgh.2012.12.011&lt;/_doi&gt;&lt;_isbn&gt;1542-7714 (Electronic); 1542-3565 (Linking)&lt;/_isbn&gt;&lt;_issue&gt;5&lt;/_issue&gt;&lt;_journal&gt;Clin Gastroenterol Hepatol&lt;/_journal&gt;&lt;_keywords&gt;Bacterial Infections/*epidemiology; Humans; Intestine, Small/microbiology; Proton Pump Inhibitors/*adverse effects/*therapeutic use; Risk Assessment; Superinfection/*epidemiology&lt;/_keywords&gt;&lt;_language&gt;eng&lt;/_language&gt;&lt;_ori_publication&gt;Copyright (c) 2013 AGA Institute. Published by Elsevier Inc. All rights reserved.&lt;/_ori_publication&gt;&lt;_pages&gt;483-90&lt;/_pages&gt;&lt;_tertiary_title&gt;Clinical gastroenterology and hepatology : the official clinical practice journal_x000d__x000a_      of the American Gastroenterological Association&lt;/_tertiary_title&gt;&lt;_type_work&gt;Journal Article; Meta-Analysis; Review; Systematic Review&lt;/_type_work&gt;&lt;_url&gt;http://www.ncbi.nlm.nih.gov/entrez/query.fcgi?cmd=Retrieve&amp;amp;db=pubmed&amp;amp;dopt=Abstract&amp;amp;list_uids=23270866&amp;amp;query_hl=1&lt;/_url&gt;&lt;_volume&gt;11&lt;/_volume&gt;&lt;_created&gt;62609246&lt;/_created&gt;&lt;_modified&gt;62609256&lt;/_modified&gt;&lt;_db_updated&gt;PubMed&lt;/_db_updated&gt;&lt;_impact_factor&gt;   7.683&lt;/_impact_factor&gt;&lt;/Details&gt;&lt;Extra&gt;&lt;DBUID&gt;{9A7C78BD-F289-43CD-8CC7-97501B76739F}&lt;/DBUID&gt;&lt;/Extra&gt;&lt;/Item&gt;&lt;/References&gt;&lt;/Group&gt;&lt;Group&gt;&lt;References&gt;&lt;Item&gt;&lt;ID&gt;3643&lt;/ID&gt;&lt;UID&gt;{B8D59A25-1BFD-4D0E-A07D-A6712C985536}&lt;/UID&gt;&lt;Title&gt;Systems biology analysis of omeprazole therapy in cirrhosis demonstrates significant shifts in gut microbiota composition and function&lt;/Title&gt;&lt;Template&gt;Journal Article&lt;/Template&gt;&lt;Star&gt;0&lt;/Star&gt;&lt;Tag&gt;0&lt;/Tag&gt;&lt;Author&gt;Bajaj, J S; Cox, I J; Betrapally, N S; Heuman, D M; Schubert, M L; Ratneswaran, M; Hylemon, P B; White, M B; Daita, K; Noble, N A; Sikaroodi, M; Williams, R; Crossey, M M; Taylor-Robinson, S D; Gillevet, P M&lt;/Author&gt;&lt;Year&gt;2014&lt;/Year&gt;&lt;Details&gt;&lt;_accession_num&gt;25258407&lt;/_accession_num&gt;&lt;_author_adr&gt;Gastroenterology, Hepatology and Nutrition, McGuire VA Medical Center and Virginia Commonwealth University, Richmond, Virginia; jsbajaj@vcu.edu.; Institute of Hepatology London, Foundation for Liver Research, London, United Kingdom;; Microbiome Analysis Center, George Mason University, Manassas, Virginia;; Gastroenterology, Hepatology and Nutrition, McGuire VA Medical Center and Virginia Commonwealth University, Richmond, Virginia;; Gastroenterology, Hepatology and Nutrition, McGuire VA Medical Center and Virginia Commonwealth University, Richmond, Virginia;; Department of Medicine, Imperial College London, London, United Kingdom; and.; Microbiology, McGuire VA Medical Center and Virginia Commonwealth University, Richmond, Virginia.; Gastroenterology, Hepatology and Nutrition, McGuire VA Medical Center and Virginia Commonwealth University, Richmond, Virginia;; Gastroenterology, Hepatology and Nutrition, McGuire VA Medical Center and Virginia Commonwealth University, Richmond, Virginia;; Gastroenterology, Hepatology and Nutrition, McGuire VA Medical Center and Virginia Commonwealth University, Richmond, Virginia;; Microbiome Analysis Center, George Mason University, Manassas, Virginia;; Institute of Hepatology London, Foundation for Liver Research, London, United Kingdom;; Department of Medicine, Imperial College London, London, United Kingdom; and.; Department of Medicine, Imperial College London, London, United Kingdom; and.; Microbiome Analysis Center, George Mason University, Manassas, Virginia;&lt;/_author_adr&gt;&lt;_date_display&gt;2014 Nov 15&lt;/_date_display&gt;&lt;_date&gt;2014-11-15&lt;/_date&gt;&lt;_doi&gt;10.1152/ajpgi.00268.2014&lt;/_doi&gt;&lt;_isbn&gt;1522-1547 (Electronic); 0193-1857 (Linking)&lt;/_isbn&gt;&lt;_issue&gt;10&lt;/_issue&gt;&lt;_journal&gt;Am J Physiol Gastrointest Liver Physiol&lt;/_journal&gt;&lt;_keywords&gt;Arginine/analogs &amp;amp;amp; derivatives/urine; Biomarkers/blood/urine; Case-Control Studies; Feces/microbiology; Female; Gastrins/blood; Hippurates/urine; Humans; Intestines/*drug effects/microbiology; Lactic Acid/urine; Liver Cirrhosis/blood/complications/diagnosis/*microbiology/urine; Magnetic Resonance Spectroscopy; Male; Metabolomics; Microbiota/*drug effects; Middle Aged; Omeprazole/*adverse effects; Proton Pump Inhibitors/*adverse effects; Risk Factors; *Systems Biology/methods; Time Factors; Treatment Outcomegastrin; gut barrier; infection; metabolomics; microbiome; proton pump inhibitor&lt;/_keywords&gt;&lt;_language&gt;eng&lt;/_language&gt;&lt;_ori_publication&gt;Copyright (c) 2014 the American Physiological Society.&lt;/_ori_publication&gt;&lt;_pages&gt;G951-7&lt;/_pages&gt;&lt;_tertiary_title&gt;American journal of physiology. Gastrointestinal and liver physiology&lt;/_tertiary_title&gt;&lt;_type_work&gt;Controlled Clinical Trial; Journal Article; Research Support, N.I.H., Extramural; Research Support, Non-U.S. Gov&amp;apos;t&lt;/_type_work&gt;&lt;_url&gt;http://www.ncbi.nlm.nih.gov/entrez/query.fcgi?cmd=Retrieve&amp;amp;db=pubmed&amp;amp;dopt=Abstract&amp;amp;list_uids=25258407&amp;amp;query_hl=1&lt;/_url&gt;&lt;_volume&gt;307&lt;/_volume&gt;&lt;_created&gt;62609254&lt;/_created&gt;&lt;_modified&gt;62609256&lt;/_modified&gt;&lt;_db_updated&gt;PubMed&lt;/_db_updated&gt;&lt;_impact_factor&gt;   3.293&lt;/_impact_factor&gt;&lt;/Details&gt;&lt;Extra&gt;&lt;DBUID&gt;{9A7C78BD-F289-43CD-8CC7-97501B76739F}&lt;/DBUID&gt;&lt;/Extra&gt;&lt;/Item&gt;&lt;/References&gt;&lt;/Group&gt;&lt;/Citation&gt;_x000a_"/>
    <w:docVar w:name="NE.Ref{E8C833FE-7A22-41FB-88FF-77369EF6F57D}" w:val=" ADDIN NE.Ref.{E8C833FE-7A22-41FB-88FF-77369EF6F57D}&lt;Citation&gt;&lt;Group&gt;&lt;References&gt;&lt;Item&gt;&lt;ID&gt;3013&lt;/ID&gt;&lt;UID&gt;{CF0C3E81-9E4E-493F-B810-3418E98FC16A}&lt;/UID&gt;&lt;Title&gt;Association of proton pump inhibitors with the risk of hepatic encephalopathy during hospitalization for liver cirrhosis&lt;/Title&gt;&lt;Template&gt;Journal Article&lt;/Template&gt;&lt;Star&gt;1&lt;/Star&gt;&lt;Tag&gt;0&lt;/Tag&gt;&lt;Author&gt;Zhu, J; Qi, X; Yu, H; Yoshida, E M; Mendez-Sanchez, N; Zhang, X; Wang, R; Deng, H; Li, J; Han, D; Guo, X&lt;/Author&gt;&lt;Year&gt;2018&lt;/Year&gt;&lt;Details&gt;&lt;_accession_num&gt;30288280&lt;/_accession_num&gt;&lt;_author_adr&gt;Liver Cirrhosis Study Group, Department of Gastroenterology, General Hospital of  Shenyang Military Area, Shenyang, China.; Postgraduate College, Shenyang Pharmaceutical University, Shenyang, China.; Liver Cirrhosis Study Group, Department of Gastroenterology, General Hospital of  Shenyang Military Area, Shenyang, China.; Postgraduate College, Shenyang Pharmaceutical University, Shenyang, China.; Division of Gastroenterology, Vancouver General Hospital, Vancouver, Canada.; Liver Research Unit, Medica Sur Clinic &amp;amp; Foundation, Mexico City, Mexico.;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lt;/_author_adr&gt;&lt;_created&gt;62599138&lt;/_created&gt;&lt;_date&gt;2018-10-01&lt;/_date&gt;&lt;_date_display&gt;2018 Oct&lt;/_date_display&gt;&lt;_doi&gt;10.1177/2050640618773564&lt;/_doi&gt;&lt;_impact_factor&gt;   3.477&lt;/_impact_factor&gt;&lt;_isbn&gt;2050-6406 (Print); 2050-6406 (Linking)&lt;/_isbn&gt;&lt;_issue&gt;8&lt;/_issue&gt;&lt;_journal&gt;United European Gastroenterol J&lt;/_journal&gt;&lt;_keywords&gt;Proton pump inhibitors; gut microbiota; hepatic encephalopathy; liver cirrhosis; risk&lt;/_keywords&gt;&lt;_language&gt;eng&lt;/_language&gt;&lt;_modified&gt;62599424&lt;/_modified&gt;&lt;_pages&gt;1179-1187&lt;/_pages&gt;&lt;_tertiary_title&gt;United European gastroenterology journal&lt;/_tertiary_title&gt;&lt;_type_work&gt;Journal Article&lt;/_type_work&gt;&lt;_url&gt;http://www.ncbi.nlm.nih.gov/entrez/query.fcgi?cmd=Retrieve&amp;amp;db=pubmed&amp;amp;dopt=Abstract&amp;amp;list_uids=30288280&amp;amp;query_hl=1&lt;/_url&gt;&lt;_volume&gt;6&lt;/_volume&gt;&lt;/Details&gt;&lt;Extra&gt;&lt;DBUID&gt;{9A7C78BD-F289-43CD-8CC7-97501B76739F}&lt;/DBUID&gt;&lt;/Extra&gt;&lt;/Item&gt;&lt;/References&gt;&lt;/Group&gt;&lt;Group&gt;&lt;References&gt;&lt;Item&gt;&lt;ID&gt;3127&lt;/ID&gt;&lt;UID&gt;{1D330603-B6F6-4B2A-9AB2-419A36FA7117}&lt;/UID&gt;&lt;Title&gt;Association of Proton Pump Inhibitor Therapy with Hepatic Encephalopathy in Hepatitis B Virus-related Acute-on-Chronic Liver Failure&lt;/Title&gt;&lt;Template&gt;Journal Article&lt;/Template&gt;&lt;Star&gt;1&lt;/Star&gt;&lt;Tag&gt;0&lt;/Tag&gt;&lt;Author&gt;Lin, Z N; Zuo, Y Q; Hu, P&lt;/Author&gt;&lt;Year&gt;2014&lt;/Year&gt;&lt;Details&gt;&lt;_accession_num&gt;24748895&lt;/_accession_num&gt;&lt;_author_adr&gt;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lt;/_author_adr&gt;&lt;_collection_scope&gt;SCIE;&lt;/_collection_scope&gt;&lt;_created&gt;62599138&lt;/_created&gt;&lt;_date&gt;2014-04-01&lt;/_date&gt;&lt;_date_display&gt;2014 Apr&lt;/_date_display&gt;&lt;_doi&gt;10.5812/hepatmon.16258&lt;/_doi&gt;&lt;_impact_factor&gt;   1.810&lt;/_impact_factor&gt;&lt;_isbn&gt;1735-143X (Print); 1735-143X (Linking)&lt;/_isbn&gt;&lt;_issue&gt;4&lt;/_issue&gt;&lt;_journal&gt;Hepat Mon&lt;/_journal&gt;&lt;_keywords&gt;Hepatic Encephalopathy; Hepatitis B Virus; Proton Pump Inhibitors&lt;/_keywords&gt;&lt;_language&gt;eng&lt;/_language&gt;&lt;_modified&gt;62599424&lt;/_modified&gt;&lt;_pages&gt;e16258&lt;/_pages&gt;&lt;_tertiary_title&gt;Hepatitis monthly&lt;/_tertiary_title&gt;&lt;_type_work&gt;Journal Article&lt;/_type_work&gt;&lt;_url&gt;http://www.ncbi.nlm.nih.gov/entrez/query.fcgi?cmd=Retrieve&amp;amp;db=pubmed&amp;amp;dopt=Abstract&amp;amp;list_uids=24748895&amp;amp;query_hl=1&lt;/_url&gt;&lt;_volume&gt;14&lt;/_volume&gt;&lt;/Details&gt;&lt;Extra&gt;&lt;DBUID&gt;{9A7C78BD-F289-43CD-8CC7-97501B76739F}&lt;/DBUID&gt;&lt;/Extra&gt;&lt;/Item&gt;&lt;/References&gt;&lt;/Group&gt;&lt;/Citation&gt;_x000a_"/>
    <w:docVar w:name="NE.Ref{F04AFD8C-7573-4D7F-8A1F-97D16842F205}" w:val=" ADDIN NE.Ref.{F04AFD8C-7573-4D7F-8A1F-97D16842F205}&lt;Citation&gt;&lt;Group&gt;&lt;References&gt;&lt;Item&gt;&lt;ID&gt;3050&lt;/ID&gt;&lt;UID&gt;{C2EFF525-C798-456B-B2FD-6907E7995E51}&lt;/UID&gt;&lt;Title&gt;Association between proton pump inhibitors and hepatic encephalopathy: A meta-analysis&lt;/Title&gt;&lt;Template&gt;Journal Article&lt;/Template&gt;&lt;Star&gt;0&lt;/Star&gt;&lt;Tag&gt;0&lt;/Tag&gt;&lt;Author&gt;Bian, J; Wang, A; Lin, J; Wu, L; Huang, H; Wang, S; Yang, X; Lu, X; Xu, Y; Zhao, H&lt;/Author&gt;&lt;Year&gt;2017&lt;/Year&gt;&lt;Details&gt;&lt;_accession_num&gt;28445288&lt;/_accession_num&gt;&lt;_author_adr&gt;Department of Liver Surgery, Peking Union Medical College Hospital, Chinese Academy of Medical Sciences and Peking Union Medical College (CAMS &amp;amp; PUMC), Beijing, China.&lt;/_author_adr&gt;&lt;_created&gt;62599138&lt;/_created&gt;&lt;_date&gt;2017-04-01&lt;/_date&gt;&lt;_date_display&gt;2017 Apr&lt;/_date_display&gt;&lt;_doi&gt;10.1097/MD.0000000000006723&lt;/_doi&gt;&lt;_impact_factor&gt;   2.028&lt;/_impact_factor&gt;&lt;_isbn&gt;1536-5964 (Electronic); 0025-7974 (Linking)&lt;/_isbn&gt;&lt;_issue&gt;17&lt;/_issue&gt;&lt;_journal&gt;Medicine (Baltimore)&lt;/_journal&gt;&lt;_keywords&gt;Hepatic Encephalopathy/*epidemiology; Humans; Proton Pump Inhibitors/*adverse effects/therapeutic use&lt;/_keywords&gt;&lt;_language&gt;eng&lt;/_language&gt;&lt;_modified&gt;62599197&lt;/_modified&gt;&lt;_pages&gt;e6723&lt;/_pages&gt;&lt;_tertiary_title&gt;Medicine&lt;/_tertiary_title&gt;&lt;_type_work&gt;Journal Article; Meta-Analysis; Review&lt;/_type_work&gt;&lt;_url&gt;http://www.ncbi.nlm.nih.gov/entrez/query.fcgi?cmd=Retrieve&amp;amp;db=pubmed&amp;amp;dopt=Abstract&amp;amp;list_uids=28445288&amp;amp;query_hl=1&lt;/_url&gt;&lt;_volume&gt;96&lt;/_volume&gt;&lt;/Details&gt;&lt;Extra&gt;&lt;DBUID&gt;{9A7C78BD-F289-43CD-8CC7-97501B76739F}&lt;/DBUID&gt;&lt;/Extra&gt;&lt;/Item&gt;&lt;/References&gt;&lt;/Group&gt;&lt;/Citation&gt;_x000a_"/>
    <w:docVar w:name="NE.Ref{F2C16B3E-47EC-4216-AC39-E4B4E825C8CC}" w:val=" ADDIN NE.Ref.{F2C16B3E-47EC-4216-AC39-E4B4E825C8CC}&lt;Citation&gt;&lt;Group&gt;&lt;References&gt;&lt;Item&gt;&lt;ID&gt;5&lt;/ID&gt;&lt;UID&gt;{8521C4C9-780F-4215-BF84-BB69E3B978E4}&lt;/UID&gt;&lt;Title&gt;Treatment with proton pump inhibitors increases the risk for development of hepatic encephalopathy after implantation of transjugular intrahepatic portosystemic shunt (TIPS)&lt;/Title&gt;&lt;Template&gt;Book&lt;/Template&gt;&lt;Star&gt;1&lt;/Star&gt;&lt;Tag&gt;0&lt;/Tag&gt;&lt;Author&gt;Sturm, L; Bettinger, D; Giesler, M; Boettler, T; Schmidt, A; Buettner, N; Thimme, R; Schultheiss, M&lt;/Author&gt;&lt;Year&gt;2018&lt;/Year&gt;&lt;Details&gt;&lt;_accession_num&gt;30386611&lt;/_accession_num&gt;&lt;_author_adr&gt;Department of Medicine II, Medical Center University of Freiburg, Faculty of Medicine, University of Freiburg, Freiburg, Germany.; Department of Medicine II, Medical Center University of Freiburg, Faculty of Medicine, University of Freiburg, Freiburg, Germany.; Berta-Ottenstein-Programme,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lt;/_author_adr&gt;&lt;_created&gt;62599059&lt;/_created&gt;&lt;_date&gt;2018-11-01&lt;/_date&gt;&lt;_date_display&gt;2018 Nov&lt;/_date_display&gt;&lt;_doi&gt;10.1177/2050640618795928&lt;/_doi&gt;&lt;_impact_factor&gt;   3.477&lt;/_impact_factor&gt;&lt;_isbn&gt;2050-6406 (Print); 2050-6406 (Linking)&lt;/_isbn&gt;&lt;_issue&gt;9&lt;/_issue&gt;&lt;_journal&gt;United European Gastroenterol J&lt;/_journal&gt;&lt;_keywords&gt;Hepatic encephalopathy; PPI; TIPS; proton pump inhibitors; transjugular intrahepatic portosystemic shunt&lt;/_keywords&gt;&lt;_language&gt;eng&lt;/_language&gt;&lt;_modified&gt;62599424&lt;/_modified&gt;&lt;_pages&gt;1380-1390&lt;/_pages&gt;&lt;_tertiary_title&gt;United European gastroenterology journal&lt;/_tertiary_title&gt;&lt;_type_work&gt;Journal Article&lt;/_type_work&gt;&lt;_url&gt;http://www.ncbi.nlm.nih.gov/entrez/query.fcgi?cmd=Retrieve&amp;amp;db=pubmed&amp;amp;dopt=Abstract&amp;amp;list_uids=30386611&amp;amp;query_hl=1&lt;/_url&gt;&lt;_volume&gt;6&lt;/_volume&gt;&lt;/Details&gt;&lt;Extra&gt;&lt;DBUID&gt;{9A7C78BD-F289-43CD-8CC7-97501B76739F}&lt;/DBUID&gt;&lt;/Extra&gt;&lt;/Item&gt;&lt;/References&gt;&lt;/Group&gt;&lt;Group&gt;&lt;References&gt;&lt;Item&gt;&lt;ID&gt;3012&lt;/ID&gt;&lt;UID&gt;{A517CA25-CF32-467A-97CA-B87CDE069B81}&lt;/UID&gt;&lt;Title&gt;Proton pump inhibitors are associated to minimal and overt hepatic encephalopathy and increase mortality in cirrhotics&lt;/Title&gt;&lt;Template&gt;Journal Article&lt;/Template&gt;&lt;Star&gt;1&lt;/Star&gt;&lt;Tag&gt;0&lt;/Tag&gt;&lt;Author&gt;Nardelli, S; Gioia, S; Ridola, L; Farcomeni, A; Merli, M; Riggio, O&lt;/Author&gt;&lt;Year&gt;2018&lt;/Year&gt;&lt;Details&gt;&lt;_accession_num&gt;30289992&lt;/_accession_num&gt;&lt;_author_adr&gt;Dept. of Clinical Medicine, &amp;quot;Sapienza&amp;quot; University of Rome, Rome, Italy.; Dept. of Clinical Medicine, &amp;quot;Sapienza&amp;quot; University of Rome, Rome, Italy.; Dept. of Clinical Medicine, &amp;quot;Sapienza&amp;quot; University of Rome, Rome, Italy.; Dept. of Clinical Medicine, &amp;quot;Sapienza&amp;quot; University of Rome, Rome, Italy.; Dept. of Public Health and Infectious Diseases, &amp;quot;Sapienza&amp;quot; University of Rome, Rome, Italy.; Dept. of Clinical Medicine, &amp;quot;Sapienza&amp;quot; University of Rome, Rome, Italy.; Dept. of Clinical Medicine, &amp;quot;Sapienza&amp;quot; University of Rome, Rome, Italy.&lt;/_author_adr&gt;&lt;_collection_scope&gt;SCI;SCIE;&lt;/_collection_scope&gt;&lt;_created&gt;62599138&lt;/_created&gt;&lt;_date&gt;2018-10-05&lt;/_date&gt;&lt;_date_display&gt;2018 Oct 5&lt;/_date_display&gt;&lt;_doi&gt;10.1002/hep.30304&lt;/_doi&gt;&lt;_impact_factor&gt;  14.079&lt;/_impact_factor&gt;&lt;_isbn&gt;1527-3350 (Electronic); 0270-9139 (Linking)&lt;/_isbn&gt;&lt;_journal&gt;Hepatology&lt;/_journal&gt;&lt;_keywords&gt;Proton pump inhibitors; hepatic encephalopathy; liver cirrhosis; psychometric evaluation&lt;/_keywords&gt;&lt;_language&gt;eng&lt;/_language&gt;&lt;_modified&gt;62599424&lt;/_modified&gt;&lt;_ori_publication&gt;This article is protected by copyright. All rights reserved.&lt;/_ori_publication&gt;&lt;_tertiary_title&gt;Hepatology (Baltimore, Md.)&lt;/_tertiary_title&gt;&lt;_type_work&gt;Journal Article&lt;/_type_work&gt;&lt;_url&gt;http://www.ncbi.nlm.nih.gov/entrez/query.fcgi?cmd=Retrieve&amp;amp;db=pubmed&amp;amp;dopt=Abstract&amp;amp;list_uids=30289992&amp;amp;query_hl=1&lt;/_url&gt;&lt;/Details&gt;&lt;Extra&gt;&lt;DBUID&gt;{9A7C78BD-F289-43CD-8CC7-97501B76739F}&lt;/DBUID&gt;&lt;/Extra&gt;&lt;/Item&gt;&lt;/References&gt;&lt;/Group&gt;&lt;Group&gt;&lt;References&gt;&lt;Item&gt;&lt;ID&gt;3013&lt;/ID&gt;&lt;UID&gt;{CF0C3E81-9E4E-493F-B810-3418E98FC16A}&lt;/UID&gt;&lt;Title&gt;Association of proton pump inhibitors with the risk of hepatic encephalopathy during hospitalization for liver cirrhosis&lt;/Title&gt;&lt;Template&gt;Journal Article&lt;/Template&gt;&lt;Star&gt;1&lt;/Star&gt;&lt;Tag&gt;0&lt;/Tag&gt;&lt;Author&gt;Zhu, J; Qi, X; Yu, H; Yoshida, E M; Mendez-Sanchez, N; Zhang, X; Wang, R; Deng, H; Li, J; Han, D; Guo, X&lt;/Author&gt;&lt;Year&gt;2018&lt;/Year&gt;&lt;Details&gt;&lt;_accession_num&gt;30288280&lt;/_accession_num&gt;&lt;_author_adr&gt;Liver Cirrhosis Study Group, Department of Gastroenterology, General Hospital of  Shenyang Military Area, Shenyang, China.; Postgraduate College, Shenyang Pharmaceutical University, Shenyang, China.; Liver Cirrhosis Study Group, Department of Gastroenterology, General Hospital of  Shenyang Military Area, Shenyang, China.; Postgraduate College, Shenyang Pharmaceutical University, Shenyang, China.; Division of Gastroenterology, Vancouver General Hospital, Vancouver, Canada.; Liver Research Unit, Medica Sur Clinic &amp;amp; Foundation, Mexico City, Mexico.;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lt;/_author_adr&gt;&lt;_created&gt;62599138&lt;/_created&gt;&lt;_date&gt;2018-10-01&lt;/_date&gt;&lt;_date_display&gt;2018 Oct&lt;/_date_display&gt;&lt;_doi&gt;10.1177/2050640618773564&lt;/_doi&gt;&lt;_impact_factor&gt;   3.477&lt;/_impact_factor&gt;&lt;_isbn&gt;2050-6406 (Print); 2050-6406 (Linking)&lt;/_isbn&gt;&lt;_issue&gt;8&lt;/_issue&gt;&lt;_journal&gt;United European Gastroenterol J&lt;/_journal&gt;&lt;_keywords&gt;Proton pump inhibitors; gut microbiota; hepatic encephalopathy; liver cirrhosis; risk&lt;/_keywords&gt;&lt;_language&gt;eng&lt;/_language&gt;&lt;_modified&gt;62599424&lt;/_modified&gt;&lt;_pages&gt;1179-1187&lt;/_pages&gt;&lt;_tertiary_title&gt;United European gastroenterology journal&lt;/_tertiary_title&gt;&lt;_type_work&gt;Journal Article&lt;/_type_work&gt;&lt;_url&gt;http://www.ncbi.nlm.nih.gov/entrez/query.fcgi?cmd=Retrieve&amp;amp;db=pubmed&amp;amp;dopt=Abstract&amp;amp;list_uids=30288280&amp;amp;query_hl=1&lt;/_url&gt;&lt;_volume&gt;6&lt;/_volume&gt;&lt;/Details&gt;&lt;Extra&gt;&lt;DBUID&gt;{9A7C78BD-F289-43CD-8CC7-97501B76739F}&lt;/DBUID&gt;&lt;/Extra&gt;&lt;/Item&gt;&lt;/References&gt;&lt;/Group&gt;&lt;/Citation&gt;_x000a_"/>
    <w:docVar w:name="NE.Ref{F9BE1827-26E5-4437-B6B4-68BB40859CE3}" w:val=" ADDIN NE.Ref.{F9BE1827-26E5-4437-B6B4-68BB40859CE3}&lt;Citation&gt;&lt;Group&gt;&lt;References&gt;&lt;Item&gt;&lt;ID&gt;3012&lt;/ID&gt;&lt;UID&gt;{A517CA25-CF32-467A-97CA-B87CDE069B81}&lt;/UID&gt;&lt;Title&gt;Proton pump inhibitors are associated to minimal and overt hepatic encephalopathy and increase mortality in cirrhotics&lt;/Title&gt;&lt;Template&gt;Journal Article&lt;/Template&gt;&lt;Star&gt;1&lt;/Star&gt;&lt;Tag&gt;0&lt;/Tag&gt;&lt;Author&gt;Nardelli, S; Gioia, S; Ridola, L; Farcomeni, A; Merli, M; Riggio, O&lt;/Author&gt;&lt;Year&gt;2018&lt;/Year&gt;&lt;Details&gt;&lt;_accession_num&gt;30289992&lt;/_accession_num&gt;&lt;_author_adr&gt;Dept. of Clinical Medicine, &amp;quot;Sapienza&amp;quot; University of Rome, Rome, Italy.; Dept. of Clinical Medicine, &amp;quot;Sapienza&amp;quot; University of Rome, Rome, Italy.; Dept. of Clinical Medicine, &amp;quot;Sapienza&amp;quot; University of Rome, Rome, Italy.; Dept. of Clinical Medicine, &amp;quot;Sapienza&amp;quot; University of Rome, Rome, Italy.; Dept. of Public Health and Infectious Diseases, &amp;quot;Sapienza&amp;quot; University of Rome, Rome, Italy.; Dept. of Clinical Medicine, &amp;quot;Sapienza&amp;quot; University of Rome, Rome, Italy.; Dept. of Clinical Medicine, &amp;quot;Sapienza&amp;quot; University of Rome, Rome, Italy.&lt;/_author_adr&gt;&lt;_collection_scope&gt;SCI;SCIE;&lt;/_collection_scope&gt;&lt;_created&gt;62599138&lt;/_created&gt;&lt;_date&gt;2018-10-05&lt;/_date&gt;&lt;_date_display&gt;2018 Oct 5&lt;/_date_display&gt;&lt;_doi&gt;10.1002/hep.30304&lt;/_doi&gt;&lt;_impact_factor&gt;  14.079&lt;/_impact_factor&gt;&lt;_isbn&gt;1527-3350 (Electronic); 0270-9139 (Linking)&lt;/_isbn&gt;&lt;_journal&gt;Hepatology&lt;/_journal&gt;&lt;_keywords&gt;Proton pump inhibitors; hepatic encephalopathy; liver cirrhosis; psychometric evaluation&lt;/_keywords&gt;&lt;_language&gt;eng&lt;/_language&gt;&lt;_modified&gt;62599424&lt;/_modified&gt;&lt;_ori_publication&gt;This article is protected by copyright. All rights reserved.&lt;/_ori_publication&gt;&lt;_tertiary_title&gt;Hepatology (Baltimore, Md.)&lt;/_tertiary_title&gt;&lt;_type_work&gt;Journal Article&lt;/_type_work&gt;&lt;_url&gt;http://www.ncbi.nlm.nih.gov/entrez/query.fcgi?cmd=Retrieve&amp;amp;db=pubmed&amp;amp;dopt=Abstract&amp;amp;list_uids=30289992&amp;amp;query_hl=1&lt;/_url&gt;&lt;/Details&gt;&lt;Extra&gt;&lt;DBUID&gt;{9A7C78BD-F289-43CD-8CC7-97501B76739F}&lt;/DBUID&gt;&lt;/Extra&gt;&lt;/Item&gt;&lt;/References&gt;&lt;/Group&gt;&lt;Group&gt;&lt;References&gt;&lt;Item&gt;&lt;ID&gt;3073&lt;/ID&gt;&lt;UID&gt;{758F06D2-99D2-4E75-8CBA-0AA1101F5466}&lt;/UID&gt;&lt;Title&gt;Proton pump inhibitors as a risk factor for hepatic encephalopathy and spontaneous bacterial peritonitis in patients with cirrhosis with ascites&lt;/Title&gt;&lt;Template&gt;Generic&lt;/Template&gt;&lt;Star&gt;1&lt;/Star&gt;&lt;Tag&gt;0&lt;/Tag&gt;&lt;Author&gt;Dam, G; Vilstrup, H; Watson, H; Jepsen, P&lt;/Author&gt;&lt;Year&gt;2016&lt;/Year&gt;&lt;Details&gt;&lt;_accession_num&gt;27474889&lt;/_accession_num&gt;&lt;_author_adr&gt;Department of Hepatology and Gastroenterology, Aarhus University Hospital, Aarhus, Denmark. gitdam@rm.dk.; Department of Hepatology and Gastroenterology, Aarhus University Hospital, Aarhus, Denmark.; Sanofi Aventis R&amp;amp;D, Paris, France.; Department of Hepatology and Gastroenterology, Aarhus University Hospital, Aarhus, Denmark.; Department of Clinical Epidemiology, Aarhus University Hospital, Aarhus, Denmark.&lt;/_author_adr&gt;&lt;_collection_scope&gt;SCI;SCIE;&lt;/_collection_scope&gt;&lt;_created&gt;62599138&lt;/_created&gt;&lt;_date&gt;2016-10-01&lt;/_date&gt;&lt;_date_display&gt;2016 Oct&lt;/_date_display&gt;&lt;_doi&gt;10.1002/hep.28737&lt;/_doi&gt;&lt;_impact_factor&gt;  14.079&lt;/_impact_factor&gt;&lt;_isbn&gt;1527-3350 (Electronic); 0270-9139 (Linking)&lt;/_isbn&gt;&lt;_issue&gt;4&lt;/_issue&gt;&lt;_journal&gt;Hepatology&lt;/_journal&gt;&lt;_keywords&gt;Aged; Ascites/complications/drug therapy; Bacterial Infections/*chemically induced; Female; Hepatic Encephalopathy/*chemically induced; Humans; Liver Cirrhosis/complications; Male; Middle Aged; Peritonitis/*chemically induced/*microbiology; Proton Pump Inhibitors/*adverse effects/therapeutic use; Risk Factors&lt;/_keywords&gt;&lt;_language&gt;eng&lt;/_language&gt;&lt;_modified&gt;62599424&lt;/_modified&gt;&lt;_ori_publication&gt;(c) 2016 by the American Association for the Study of Liver Diseases.&lt;/_ori_publication&gt;&lt;_pages&gt;1265-72&lt;/_pages&gt;&lt;_tertiary_title&gt;Hepatology (Baltimore, Md.)&lt;/_tertiary_title&gt;&lt;_type_work&gt;Comparative Study; Journal Article; Research Support, Non-U.S. Gov&amp;apos;t&lt;/_type_work&gt;&lt;_url&gt;http://www.ncbi.nlm.nih.gov/entrez/query.fcgi?cmd=Retrieve&amp;amp;db=pubmed&amp;amp;dopt=Abstract&amp;amp;list_uids=27474889&amp;amp;query_hl=1&lt;/_url&gt;&lt;_volume&gt;64&lt;/_volume&gt;&lt;/Details&gt;&lt;Extra&gt;&lt;DBUID&gt;{9A7C78BD-F289-43CD-8CC7-97501B76739F}&lt;/DBUID&gt;&lt;/Extra&gt;&lt;/Item&gt;&lt;/References&gt;&lt;/Group&gt;&lt;Group&gt;&lt;References&gt;&lt;Item&gt;&lt;ID&gt;3127&lt;/ID&gt;&lt;UID&gt;{1D330603-B6F6-4B2A-9AB2-419A36FA7117}&lt;/UID&gt;&lt;Title&gt;Association of Proton Pump Inhibitor Therapy with Hepatic Encephalopathy in Hepatitis B Virus-related Acute-on-Chronic Liver Failure&lt;/Title&gt;&lt;Template&gt;Journal Article&lt;/Template&gt;&lt;Star&gt;1&lt;/Star&gt;&lt;Tag&gt;0&lt;/Tag&gt;&lt;Author&gt;Lin, Z N; Zuo, Y Q; Hu, P&lt;/Author&gt;&lt;Year&gt;2014&lt;/Year&gt;&lt;Details&gt;&lt;_accession_num&gt;24748895&lt;/_accession_num&gt;&lt;_author_adr&gt;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lt;/_author_adr&gt;&lt;_collection_scope&gt;SCIE;&lt;/_collection_scope&gt;&lt;_created&gt;62599138&lt;/_created&gt;&lt;_date&gt;2014-04-01&lt;/_date&gt;&lt;_date_display&gt;2014 Apr&lt;/_date_display&gt;&lt;_doi&gt;10.5812/hepatmon.16258&lt;/_doi&gt;&lt;_impact_factor&gt;   1.810&lt;/_impact_factor&gt;&lt;_isbn&gt;1735-143X (Print); 1735-143X (Linking)&lt;/_isbn&gt;&lt;_issue&gt;4&lt;/_issue&gt;&lt;_journal&gt;Hepat Mon&lt;/_journal&gt;&lt;_keywords&gt;Hepatic Encephalopathy; Hepatitis B Virus; Proton Pump Inhibitors&lt;/_keywords&gt;&lt;_language&gt;eng&lt;/_language&gt;&lt;_modified&gt;62599424&lt;/_modified&gt;&lt;_pages&gt;e16258&lt;/_pages&gt;&lt;_tertiary_title&gt;Hepatitis monthly&lt;/_tertiary_title&gt;&lt;_type_work&gt;Journal Article&lt;/_type_work&gt;&lt;_url&gt;http://www.ncbi.nlm.nih.gov/entrez/query.fcgi?cmd=Retrieve&amp;amp;db=pubmed&amp;amp;dopt=Abstract&amp;amp;list_uids=24748895&amp;amp;query_hl=1&lt;/_url&gt;&lt;_volume&gt;14&lt;/_volume&gt;&lt;/Details&gt;&lt;Extra&gt;&lt;DBUID&gt;{9A7C78BD-F289-43CD-8CC7-97501B76739F}&lt;/DBUID&gt;&lt;/Extra&gt;&lt;/Item&gt;&lt;/References&gt;&lt;/Group&gt;&lt;/Citation&gt;_x000a_"/>
    <w:docVar w:name="NE.Ref{FDE7D34F-AFDD-4CCD-B7DF-367FC9C8CB39}" w:val=" ADDIN NE.Ref.{FDE7D34F-AFDD-4CCD-B7DF-367FC9C8CB39}&lt;Citation&gt;&lt;Group&gt;&lt;References&gt;&lt;Item&gt;&lt;ID&gt;5&lt;/ID&gt;&lt;UID&gt;{8521C4C9-780F-4215-BF84-BB69E3B978E4}&lt;/UID&gt;&lt;Title&gt;Treatment with proton pump inhibitors increases the risk for development of hepatic encephalopathy after implantation of transjugular intrahepatic portosystemic shunt (TIPS)&lt;/Title&gt;&lt;Template&gt;Book&lt;/Template&gt;&lt;Star&gt;1&lt;/Star&gt;&lt;Tag&gt;0&lt;/Tag&gt;&lt;Author&gt;Sturm, L; Bettinger, D; Giesler, M; Boettler, T; Schmidt, A; Buettner, N; Thimme, R; Schultheiss, M&lt;/Author&gt;&lt;Year&gt;2018&lt;/Year&gt;&lt;Details&gt;&lt;_accession_num&gt;30386611&lt;/_accession_num&gt;&lt;_author_adr&gt;Department of Medicine II, Medical Center University of Freiburg, Faculty of Medicine, University of Freiburg, Freiburg, Germany.; Department of Medicine II, Medical Center University of Freiburg, Faculty of Medicine, University of Freiburg, Freiburg, Germany.; Berta-Ottenstein-Programme,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lt;/_author_adr&gt;&lt;_created&gt;62599059&lt;/_created&gt;&lt;_date&gt;2018-11-01&lt;/_date&gt;&lt;_date_display&gt;2018 Nov&lt;/_date_display&gt;&lt;_doi&gt;10.1177/2050640618795928&lt;/_doi&gt;&lt;_impact_factor&gt;   3.477&lt;/_impact_factor&gt;&lt;_isbn&gt;2050-6406 (Print); 2050-6406 (Linking)&lt;/_isbn&gt;&lt;_issue&gt;9&lt;/_issue&gt;&lt;_journal&gt;United European Gastroenterol J&lt;/_journal&gt;&lt;_keywords&gt;Hepatic encephalopathy; PPI; TIPS; proton pump inhibitors; transjugular intrahepatic portosystemic shunt&lt;/_keywords&gt;&lt;_language&gt;eng&lt;/_language&gt;&lt;_modified&gt;62599424&lt;/_modified&gt;&lt;_pages&gt;1380-1390&lt;/_pages&gt;&lt;_tertiary_title&gt;United European gastroenterology journal&lt;/_tertiary_title&gt;&lt;_type_work&gt;Journal Article&lt;/_type_work&gt;&lt;_url&gt;http://www.ncbi.nlm.nih.gov/entrez/query.fcgi?cmd=Retrieve&amp;amp;db=pubmed&amp;amp;dopt=Abstract&amp;amp;list_uids=30386611&amp;amp;query_hl=1&lt;/_url&gt;&lt;_volume&gt;6&lt;/_volume&gt;&lt;/Details&gt;&lt;Extra&gt;&lt;DBUID&gt;{9A7C78BD-F289-43CD-8CC7-97501B76739F}&lt;/DBUID&gt;&lt;/Extra&gt;&lt;/Item&gt;&lt;/References&gt;&lt;/Group&gt;&lt;Group&gt;&lt;References&gt;&lt;Item&gt;&lt;ID&gt;3071&lt;/ID&gt;&lt;UID&gt;{CBD045EF-5D80-4D06-839B-A8A3CF8DD60D}&lt;/UID&gt;&lt;Title&gt;Proton Pump Inhibitors Increase Risk for Hepatic Encephalopathy in Patients With  Cirrhosis in A Population Study&lt;/Title&gt;&lt;Template&gt;Journal Article&lt;/Template&gt;&lt;Star&gt;1&lt;/Star&gt;&lt;Tag&gt;0&lt;/Tag&gt;&lt;Author&gt;Tsai, C F; Chen, M H; Wang, Y P; Chu, C J; Huang, Y H; Lin, H C; Hou, M C; Lee, F Y; Su, T P; Lu, C L&lt;/Author&gt;&lt;Year&gt;2017&lt;/Year&gt;&lt;Details&gt;&lt;_accession_num&gt;27639806&lt;/_accession_num&gt;&lt;_author_adr&gt;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Electronic address: cllu@ym.edu.tw.&lt;/_author_adr&gt;&lt;_collection_scope&gt;SCI;SCIE;&lt;/_collection_scope&gt;&lt;_created&gt;62599138&lt;/_created&gt;&lt;_date&gt;2017-01-01&lt;/_date&gt;&lt;_date_display&gt;2017 Jan&lt;/_date_display&gt;&lt;_doi&gt;10.1053/j.gastro.2016.09.007&lt;/_doi&gt;&lt;_impact_factor&gt;  20.773&lt;/_impact_factor&gt;&lt;_isbn&gt;1528-0012 (Electronic); 0016-5085 (Linking)&lt;/_isbn&gt;&lt;_issue&gt;1&lt;/_issue&gt;&lt;_journal&gt;Gastroenterology&lt;/_journal&gt;&lt;_keywords&gt;2-Pyridinylmethylsulfinylbenzimidazoles/administration &amp;amp; dosage; Administrative Claims, Healthcare/statistics &amp;amp; numerical data; Adult; Aged; Case-Control Studies; Esomeprazole/administration &amp;amp; dosage; Female; Hepatic Encephalopathy/*epidemiology/*etiology; Humans; Incidence; Insurance, Health/statistics &amp;amp; numerical data; Lansoprazole/administration &amp;amp; dosage; Liver Cirrhosis/*complications; Longitudinal Studies; Male; Middle Aged; Omeprazole/administration &amp;amp; dosage; Pantoprazole; Proton Pump Inhibitors/*administration &amp;amp; dosage; Rabeprazole/administration &amp;amp; dosage; Taiwan/epidemiology*Acid Suppression; *Cognitive Dysfunction; *Gut Microbiota; *Liver Failure&lt;/_keywords&gt;&lt;_language&gt;eng&lt;/_language&gt;&lt;_modified&gt;62599424&lt;/_modified&gt;&lt;_ori_publication&gt;Copyright (c) 2017. Published by Elsevier Inc.&lt;/_ori_publication&gt;&lt;_pages&gt;134-141&lt;/_pages&gt;&lt;_tertiary_title&gt;Gastroenterology&lt;/_tertiary_title&gt;&lt;_type_work&gt;Journal Article&lt;/_type_work&gt;&lt;_url&gt;http://www.ncbi.nlm.nih.gov/entrez/query.fcgi?cmd=Retrieve&amp;amp;db=pubmed&amp;amp;dopt=Abstract&amp;amp;list_uids=27639806&amp;amp;query_hl=1&lt;/_url&gt;&lt;_volume&gt;152&lt;/_volume&gt;&lt;/Details&gt;&lt;Extra&gt;&lt;DBUID&gt;{9A7C78BD-F289-43CD-8CC7-97501B76739F}&lt;/DBUID&gt;&lt;/Extra&gt;&lt;/Item&gt;&lt;/References&gt;&lt;/Group&gt;&lt;Group&gt;&lt;References&gt;&lt;Item&gt;&lt;ID&gt;3012&lt;/ID&gt;&lt;UID&gt;{A517CA25-CF32-467A-97CA-B87CDE069B81}&lt;/UID&gt;&lt;Title&gt;Proton pump inhibitors are associated to minimal and overt hepatic encephalopathy and increase mortality in cirrhotics&lt;/Title&gt;&lt;Template&gt;Journal Article&lt;/Template&gt;&lt;Star&gt;1&lt;/Star&gt;&lt;Tag&gt;0&lt;/Tag&gt;&lt;Author&gt;Nardelli, S; Gioia, S; Ridola, L; Farcomeni, A; Merli, M; Riggio, O&lt;/Author&gt;&lt;Year&gt;2018&lt;/Year&gt;&lt;Details&gt;&lt;_accession_num&gt;30289992&lt;/_accession_num&gt;&lt;_author_adr&gt;Dept. of Clinical Medicine, &amp;quot;Sapienza&amp;quot; University of Rome, Rome, Italy.; Dept. of Clinical Medicine, &amp;quot;Sapienza&amp;quot; University of Rome, Rome, Italy.; Dept. of Clinical Medicine, &amp;quot;Sapienza&amp;quot; University of Rome, Rome, Italy.; Dept. of Clinical Medicine, &amp;quot;Sapienza&amp;quot; University of Rome, Rome, Italy.; Dept. of Public Health and Infectious Diseases, &amp;quot;Sapienza&amp;quot; University of Rome, Rome, Italy.; Dept. of Clinical Medicine, &amp;quot;Sapienza&amp;quot; University of Rome, Rome, Italy.; Dept. of Clinical Medicine, &amp;quot;Sapienza&amp;quot; University of Rome, Rome, Italy.&lt;/_author_adr&gt;&lt;_collection_scope&gt;SCI;SCIE;&lt;/_collection_scope&gt;&lt;_created&gt;62599138&lt;/_created&gt;&lt;_date&gt;2018-10-05&lt;/_date&gt;&lt;_date_display&gt;2018 Oct 5&lt;/_date_display&gt;&lt;_doi&gt;10.1002/hep.30304&lt;/_doi&gt;&lt;_impact_factor&gt;  14.079&lt;/_impact_factor&gt;&lt;_isbn&gt;1527-3350 (Electronic); 0270-9139 (Linking)&lt;/_isbn&gt;&lt;_journal&gt;Hepatology&lt;/_journal&gt;&lt;_keywords&gt;Proton pump inhibitors; hepatic encephalopathy; liver cirrhosis; psychometric evaluation&lt;/_keywords&gt;&lt;_language&gt;eng&lt;/_language&gt;&lt;_modified&gt;62599424&lt;/_modified&gt;&lt;_ori_publication&gt;This article is protected by copyright. All rights reserved.&lt;/_ori_publication&gt;&lt;_tertiary_title&gt;Hepatology (Baltimore, Md.)&lt;/_tertiary_title&gt;&lt;_type_work&gt;Journal Article&lt;/_type_work&gt;&lt;_url&gt;http://www.ncbi.nlm.nih.gov/entrez/query.fcgi?cmd=Retrieve&amp;amp;db=pubmed&amp;amp;dopt=Abstract&amp;amp;list_uids=30289992&amp;amp;query_hl=1&lt;/_url&gt;&lt;/Details&gt;&lt;Extra&gt;&lt;DBUID&gt;{9A7C78BD-F289-43CD-8CC7-97501B76739F}&lt;/DBUID&gt;&lt;/Extra&gt;&lt;/Item&gt;&lt;/References&gt;&lt;/Group&gt;&lt;Group&gt;&lt;References&gt;&lt;Item&gt;&lt;ID&gt;3013&lt;/ID&gt;&lt;UID&gt;{CF0C3E81-9E4E-493F-B810-3418E98FC16A}&lt;/UID&gt;&lt;Title&gt;Association of proton pump inhibitors with the risk of hepatic encephalopathy during hospitalization for liver cirrhosis&lt;/Title&gt;&lt;Template&gt;Journal Article&lt;/Template&gt;&lt;Star&gt;1&lt;/Star&gt;&lt;Tag&gt;0&lt;/Tag&gt;&lt;Author&gt;Zhu, J; Qi, X; Yu, H; Yoshida, E M; Mendez-Sanchez, N; Zhang, X; Wang, R; Deng, H; Li, J; Han, D; Guo, X&lt;/Author&gt;&lt;Year&gt;2018&lt;/Year&gt;&lt;Details&gt;&lt;_accession_num&gt;30288280&lt;/_accession_num&gt;&lt;_author_adr&gt;Liver Cirrhosis Study Group, Department of Gastroenterology, General Hospital of  Shenyang Military Area, Shenyang, China.; Postgraduate College, Shenyang Pharmaceutical University, Shenyang, China.; Liver Cirrhosis Study Group, Department of Gastroenterology, General Hospital of  Shenyang Military Area, Shenyang, China.; Postgraduate College, Shenyang Pharmaceutical University, Shenyang, China.; Division of Gastroenterology, Vancouver General Hospital, Vancouver, Canada.; Liver Research Unit, Medica Sur Clinic &amp;amp; Foundation, Mexico City, Mexico.;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lt;/_author_adr&gt;&lt;_created&gt;62599138&lt;/_created&gt;&lt;_date&gt;2018-10-01&lt;/_date&gt;&lt;_date_display&gt;2018 Oct&lt;/_date_display&gt;&lt;_doi&gt;10.1177/2050640618773564&lt;/_doi&gt;&lt;_impact_factor&gt;   3.477&lt;/_impact_factor&gt;&lt;_isbn&gt;2050-6406 (Print); 2050-6406 (Linking)&lt;/_isbn&gt;&lt;_issue&gt;8&lt;/_issue&gt;&lt;_journal&gt;United European Gastroenterol J&lt;/_journal&gt;&lt;_keywords&gt;Proton pump inhibitors; gut microbiota; hepatic encephalopathy; liver cirrhosis; risk&lt;/_keywords&gt;&lt;_language&gt;eng&lt;/_language&gt;&lt;_modified&gt;62599424&lt;/_modified&gt;&lt;_pages&gt;1179-1187&lt;/_pages&gt;&lt;_tertiary_title&gt;United European gastroenterology journal&lt;/_tertiary_title&gt;&lt;_type_work&gt;Journal Article&lt;/_type_work&gt;&lt;_url&gt;http://www.ncbi.nlm.nih.gov/entrez/query.fcgi?cmd=Retrieve&amp;amp;db=pubmed&amp;amp;dopt=Abstract&amp;amp;list_uids=30288280&amp;amp;query_hl=1&lt;/_url&gt;&lt;_volume&gt;6&lt;/_volume&gt;&lt;/Details&gt;&lt;Extra&gt;&lt;DBUID&gt;{9A7C78BD-F289-43CD-8CC7-97501B76739F}&lt;/DBUID&gt;&lt;/Extra&gt;&lt;/Item&gt;&lt;/References&gt;&lt;/Group&gt;&lt;Group&gt;&lt;References&gt;&lt;Item&gt;&lt;ID&gt;3073&lt;/ID&gt;&lt;UID&gt;{758F06D2-99D2-4E75-8CBA-0AA1101F5466}&lt;/UID&gt;&lt;Title&gt;Proton pump inhibitors as a risk factor for hepatic encephalopathy and spontaneous bacterial peritonitis in patients with cirrhosis with ascites&lt;/Title&gt;&lt;Template&gt;Generic&lt;/Template&gt;&lt;Star&gt;1&lt;/Star&gt;&lt;Tag&gt;0&lt;/Tag&gt;&lt;Author&gt;Dam, G; Vilstrup, H; Watson, H; Jepsen, P&lt;/Author&gt;&lt;Year&gt;2016&lt;/Year&gt;&lt;Details&gt;&lt;_accession_num&gt;27474889&lt;/_accession_num&gt;&lt;_author_adr&gt;Department of Hepatology and Gastroenterology, Aarhus University Hospital, Aarhus, Denmark. gitdam@rm.dk.; Department of Hepatology and Gastroenterology, Aarhus University Hospital, Aarhus, Denmark.; Sanofi Aventis R&amp;amp;D, Paris, France.; Department of Hepatology and Gastroenterology, Aarhus University Hospital, Aarhus, Denmark.; Department of Clinical Epidemiology, Aarhus University Hospital, Aarhus, Denmark.&lt;/_author_adr&gt;&lt;_collection_scope&gt;SCI;SCIE;&lt;/_collection_scope&gt;&lt;_created&gt;62599138&lt;/_created&gt;&lt;_date&gt;2016-10-01&lt;/_date&gt;&lt;_date_display&gt;2016 Oct&lt;/_date_display&gt;&lt;_doi&gt;10.1002/hep.28737&lt;/_doi&gt;&lt;_impact_factor&gt;  14.079&lt;/_impact_factor&gt;&lt;_isbn&gt;1527-3350 (Electronic); 0270-9139 (Linking)&lt;/_isbn&gt;&lt;_issue&gt;4&lt;/_issue&gt;&lt;_journal&gt;Hepatology&lt;/_journal&gt;&lt;_keywords&gt;Aged; Ascites/complications/drug therapy; Bacterial Infections/*chemically induced; Female; Hepatic Encephalopathy/*chemically induced; Humans; Liver Cirrhosis/complications; Male; Middle Aged; Peritonitis/*chemically induced/*microbiology; Proton Pump Inhibitors/*adverse effects/therapeutic use; Risk Factors&lt;/_keywords&gt;&lt;_language&gt;eng&lt;/_language&gt;&lt;_modified&gt;62599424&lt;/_modified&gt;&lt;_ori_publication&gt;(c) 2016 by the American Association for the Study of Liver Diseases.&lt;/_ori_publication&gt;&lt;_pages&gt;1265-72&lt;/_pages&gt;&lt;_tertiary_title&gt;Hepatology (Baltimore, Md.)&lt;/_tertiary_title&gt;&lt;_type_work&gt;Comparative Study; Journal Article; Research Support, Non-U.S. Gov&amp;apos;t&lt;/_type_work&gt;&lt;_url&gt;http://www.ncbi.nlm.nih.gov/entrez/query.fcgi?cmd=Retrieve&amp;amp;db=pubmed&amp;amp;dopt=Abstract&amp;amp;list_uids=27474889&amp;amp;query_hl=1&lt;/_url&gt;&lt;_volume&gt;64&lt;/_volume&gt;&lt;/Details&gt;&lt;Extra&gt;&lt;DBUID&gt;{9A7C78BD-F289-43CD-8CC7-97501B76739F}&lt;/DBUID&gt;&lt;/Extra&gt;&lt;/Item&gt;&lt;/References&gt;&lt;/Group&gt;&lt;Group&gt;&lt;References&gt;&lt;Item&gt;&lt;ID&gt;3127&lt;/ID&gt;&lt;UID&gt;{1D330603-B6F6-4B2A-9AB2-419A36FA7117}&lt;/UID&gt;&lt;Title&gt;Association of Proton Pump Inhibitor Therapy with Hepatic Encephalopathy in Hepatitis B Virus-related Acute-on-Chronic Liver Failure&lt;/Title&gt;&lt;Template&gt;Journal Article&lt;/Template&gt;&lt;Star&gt;1&lt;/Star&gt;&lt;Tag&gt;0&lt;/Tag&gt;&lt;Author&gt;Lin, Z N; Zuo, Y Q; Hu, P&lt;/Author&gt;&lt;Year&gt;2014&lt;/Year&gt;&lt;Details&gt;&lt;_accession_num&gt;24748895&lt;/_accession_num&gt;&lt;_author_adr&gt;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lt;/_author_adr&gt;&lt;_collection_scope&gt;SCIE;&lt;/_collection_scope&gt;&lt;_created&gt;62599138&lt;/_created&gt;&lt;_date&gt;2014-04-01&lt;/_date&gt;&lt;_date_display&gt;2014 Apr&lt;/_date_display&gt;&lt;_doi&gt;10.5812/hepatmon.16258&lt;/_doi&gt;&lt;_impact_factor&gt;   1.810&lt;/_impact_factor&gt;&lt;_isbn&gt;1735-143X (Print); 1735-143X (Linking)&lt;/_isbn&gt;&lt;_issue&gt;4&lt;/_issue&gt;&lt;_journal&gt;Hepat Mon&lt;/_journal&gt;&lt;_keywords&gt;Hepatic Encephalopathy; Hepatitis B Virus; Proton Pump Inhibitors&lt;/_keywords&gt;&lt;_language&gt;eng&lt;/_language&gt;&lt;_modified&gt;62599424&lt;/_modified&gt;&lt;_pages&gt;e16258&lt;/_pages&gt;&lt;_tertiary_title&gt;Hepatitis monthly&lt;/_tertiary_title&gt;&lt;_type_work&gt;Journal Article&lt;/_type_work&gt;&lt;_url&gt;http://www.ncbi.nlm.nih.gov/entrez/query.fcgi?cmd=Retrieve&amp;amp;db=pubmed&amp;amp;dopt=Abstract&amp;amp;list_uids=24748895&amp;amp;query_hl=1&lt;/_url&gt;&lt;_volume&gt;14&lt;/_volume&gt;&lt;/Details&gt;&lt;Extra&gt;&lt;DBUID&gt;{9A7C78BD-F289-43CD-8CC7-97501B76739F}&lt;/DBUID&gt;&lt;/Extra&gt;&lt;/Item&gt;&lt;/References&gt;&lt;/Group&gt;&lt;/Citation&gt;_x000a_"/>
    <w:docVar w:name="NE.Ref{FE0AA249-71C0-4BAB-9D58-D8990AEEF293}" w:val=" ADDIN NE.Ref.{FE0AA249-71C0-4BAB-9D58-D8990AEEF293}&lt;Citation&gt;&lt;Group&gt;&lt;References&gt;&lt;Item&gt;&lt;ID&gt;5&lt;/ID&gt;&lt;UID&gt;{8521C4C9-780F-4215-BF84-BB69E3B978E4}&lt;/UID&gt;&lt;Title&gt;Treatment with proton pump inhibitors increases the risk for development of hepatic encephalopathy after implantation of transjugular intrahepatic portosystemic shunt (TIPS)&lt;/Title&gt;&lt;Template&gt;Book&lt;/Template&gt;&lt;Star&gt;1&lt;/Star&gt;&lt;Tag&gt;0&lt;/Tag&gt;&lt;Author&gt;Sturm, L; Bettinger, D; Giesler, M; Boettler, T; Schmidt, A; Buettner, N; Thimme, R; Schultheiss, M&lt;/Author&gt;&lt;Year&gt;2018&lt;/Year&gt;&lt;Details&gt;&lt;_accession_num&gt;30386611&lt;/_accession_num&gt;&lt;_author_adr&gt;Department of Medicine II, Medical Center University of Freiburg, Faculty of Medicine, University of Freiburg, Freiburg, Germany.; Department of Medicine II, Medical Center University of Freiburg, Faculty of Medicine, University of Freiburg, Freiburg, Germany.; Berta-Ottenstein-Programme,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 Department of Medicine II, Medical Center University of Freiburg, Faculty of Medicine, University of Freiburg, Freiburg, Germany.&lt;/_author_adr&gt;&lt;_created&gt;62599059&lt;/_created&gt;&lt;_date&gt;2018-11-01&lt;/_date&gt;&lt;_date_display&gt;2018 Nov&lt;/_date_display&gt;&lt;_doi&gt;10.1177/2050640618795928&lt;/_doi&gt;&lt;_impact_factor&gt;   3.477&lt;/_impact_factor&gt;&lt;_isbn&gt;2050-6406 (Print); 2050-6406 (Linking)&lt;/_isbn&gt;&lt;_issue&gt;9&lt;/_issue&gt;&lt;_journal&gt;United European Gastroenterol J&lt;/_journal&gt;&lt;_keywords&gt;Hepatic encephalopathy; PPI; TIPS; proton pump inhibitors; transjugular intrahepatic portosystemic shunt&lt;/_keywords&gt;&lt;_language&gt;eng&lt;/_language&gt;&lt;_modified&gt;62599424&lt;/_modified&gt;&lt;_pages&gt;1380-1390&lt;/_pages&gt;&lt;_tertiary_title&gt;United European gastroenterology journal&lt;/_tertiary_title&gt;&lt;_type_work&gt;Journal Article&lt;/_type_work&gt;&lt;_url&gt;http://www.ncbi.nlm.nih.gov/entrez/query.fcgi?cmd=Retrieve&amp;amp;db=pubmed&amp;amp;dopt=Abstract&amp;amp;list_uids=30386611&amp;amp;query_hl=1&lt;/_url&gt;&lt;_volume&gt;6&lt;/_volume&gt;&lt;/Details&gt;&lt;Extra&gt;&lt;DBUID&gt;{9A7C78BD-F289-43CD-8CC7-97501B76739F}&lt;/DBUID&gt;&lt;/Extra&gt;&lt;/Item&gt;&lt;/References&gt;&lt;/Group&gt;&lt;Group&gt;&lt;References&gt;&lt;Item&gt;&lt;ID&gt;3012&lt;/ID&gt;&lt;UID&gt;{A517CA25-CF32-467A-97CA-B87CDE069B81}&lt;/UID&gt;&lt;Title&gt;Proton pump inhibitors are associated to minimal and overt hepatic encephalopathy and increase mortality in cirrhotics&lt;/Title&gt;&lt;Template&gt;Journal Article&lt;/Template&gt;&lt;Star&gt;1&lt;/Star&gt;&lt;Tag&gt;0&lt;/Tag&gt;&lt;Author&gt;Nardelli, S; Gioia, S; Ridola, L; Farcomeni, A; Merli, M; Riggio, O&lt;/Author&gt;&lt;Year&gt;2018&lt;/Year&gt;&lt;Details&gt;&lt;_accession_num&gt;30289992&lt;/_accession_num&gt;&lt;_author_adr&gt;Dept. of Clinical Medicine, &amp;quot;Sapienza&amp;quot; University of Rome, Rome, Italy.; Dept. of Clinical Medicine, &amp;quot;Sapienza&amp;quot; University of Rome, Rome, Italy.; Dept. of Clinical Medicine, &amp;quot;Sapienza&amp;quot; University of Rome, Rome, Italy.; Dept. of Clinical Medicine, &amp;quot;Sapienza&amp;quot; University of Rome, Rome, Italy.; Dept. of Public Health and Infectious Diseases, &amp;quot;Sapienza&amp;quot; University of Rome, Rome, Italy.; Dept. of Clinical Medicine, &amp;quot;Sapienza&amp;quot; University of Rome, Rome, Italy.; Dept. of Clinical Medicine, &amp;quot;Sapienza&amp;quot; University of Rome, Rome, Italy.&lt;/_author_adr&gt;&lt;_collection_scope&gt;SCI;SCIE;&lt;/_collection_scope&gt;&lt;_created&gt;62599138&lt;/_created&gt;&lt;_date&gt;2018-10-05&lt;/_date&gt;&lt;_date_display&gt;2018 Oct 5&lt;/_date_display&gt;&lt;_doi&gt;10.1002/hep.30304&lt;/_doi&gt;&lt;_impact_factor&gt;  14.079&lt;/_impact_factor&gt;&lt;_isbn&gt;1527-3350 (Electronic); 0270-9139 (Linking)&lt;/_isbn&gt;&lt;_journal&gt;Hepatology&lt;/_journal&gt;&lt;_keywords&gt;Proton pump inhibitors; hepatic encephalopathy; liver cirrhosis; psychometric evaluation&lt;/_keywords&gt;&lt;_language&gt;eng&lt;/_language&gt;&lt;_modified&gt;62599424&lt;/_modified&gt;&lt;_ori_publication&gt;This article is protected by copyright. All rights reserved.&lt;/_ori_publication&gt;&lt;_tertiary_title&gt;Hepatology (Baltimore, Md.)&lt;/_tertiary_title&gt;&lt;_type_work&gt;Journal Article&lt;/_type_work&gt;&lt;_url&gt;http://www.ncbi.nlm.nih.gov/entrez/query.fcgi?cmd=Retrieve&amp;amp;db=pubmed&amp;amp;dopt=Abstract&amp;amp;list_uids=30289992&amp;amp;query_hl=1&lt;/_url&gt;&lt;/Details&gt;&lt;Extra&gt;&lt;DBUID&gt;{9A7C78BD-F289-43CD-8CC7-97501B76739F}&lt;/DBUID&gt;&lt;/Extra&gt;&lt;/Item&gt;&lt;/References&gt;&lt;/Group&gt;&lt;Group&gt;&lt;References&gt;&lt;Item&gt;&lt;ID&gt;3013&lt;/ID&gt;&lt;UID&gt;{CF0C3E81-9E4E-493F-B810-3418E98FC16A}&lt;/UID&gt;&lt;Title&gt;Association of proton pump inhibitors with the risk of hepatic encephalopathy during hospitalization for liver cirrhosis&lt;/Title&gt;&lt;Template&gt;Journal Article&lt;/Template&gt;&lt;Star&gt;1&lt;/Star&gt;&lt;Tag&gt;0&lt;/Tag&gt;&lt;Author&gt;Zhu, J; Qi, X; Yu, H; Yoshida, E M; Mendez-Sanchez, N; Zhang, X; Wang, R; Deng, H; Li, J; Han, D; Guo, X&lt;/Author&gt;&lt;Year&gt;2018&lt;/Year&gt;&lt;Details&gt;&lt;_accession_num&gt;30288280&lt;/_accession_num&gt;&lt;_author_adr&gt;Liver Cirrhosis Study Group, Department of Gastroenterology, General Hospital of  Shenyang Military Area, Shenyang, China.; Postgraduate College, Shenyang Pharmaceutical University, Shenyang, China.; Liver Cirrhosis Study Group, Department of Gastroenterology, General Hospital of  Shenyang Military Area, Shenyang, China.; Postgraduate College, Shenyang Pharmaceutical University, Shenyang, China.; Division of Gastroenterology, Vancouver General Hospital, Vancouver, Canada.; Liver Research Unit, Medica Sur Clinic &amp;amp; Foundation, Mexico City, Mexico.;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 Liver Cirrhosis Study Group, Department of Gastroenterology, General Hospital of  Shenyang Military Area, Shenyang, China.&lt;/_author_adr&gt;&lt;_created&gt;62599138&lt;/_created&gt;&lt;_date&gt;2018-10-01&lt;/_date&gt;&lt;_date_display&gt;2018 Oct&lt;/_date_display&gt;&lt;_doi&gt;10.1177/2050640618773564&lt;/_doi&gt;&lt;_impact_factor&gt;   3.477&lt;/_impact_factor&gt;&lt;_isbn&gt;2050-6406 (Print); 2050-6406 (Linking)&lt;/_isbn&gt;&lt;_issue&gt;8&lt;/_issue&gt;&lt;_journal&gt;United European Gastroenterol J&lt;/_journal&gt;&lt;_keywords&gt;Proton pump inhibitors; gut microbiota; hepatic encephalopathy; liver cirrhosis; risk&lt;/_keywords&gt;&lt;_language&gt;eng&lt;/_language&gt;&lt;_modified&gt;62599424&lt;/_modified&gt;&lt;_pages&gt;1179-1187&lt;/_pages&gt;&lt;_tertiary_title&gt;United European gastroenterology journal&lt;/_tertiary_title&gt;&lt;_type_work&gt;Journal Article&lt;/_type_work&gt;&lt;_url&gt;http://www.ncbi.nlm.nih.gov/entrez/query.fcgi?cmd=Retrieve&amp;amp;db=pubmed&amp;amp;dopt=Abstract&amp;amp;list_uids=30288280&amp;amp;query_hl=1&lt;/_url&gt;&lt;_volume&gt;6&lt;/_volume&gt;&lt;/Details&gt;&lt;Extra&gt;&lt;DBUID&gt;{9A7C78BD-F289-43CD-8CC7-97501B76739F}&lt;/DBUID&gt;&lt;/Extra&gt;&lt;/Item&gt;&lt;/References&gt;&lt;/Group&gt;&lt;Group&gt;&lt;References&gt;&lt;Item&gt;&lt;ID&gt;3071&lt;/ID&gt;&lt;UID&gt;{CBD045EF-5D80-4D06-839B-A8A3CF8DD60D}&lt;/UID&gt;&lt;Title&gt;Proton Pump Inhibitors Increase Risk for Hepatic Encephalopathy in Patients With  Cirrhosis in A Population Study&lt;/Title&gt;&lt;Template&gt;Journal Article&lt;/Template&gt;&lt;Star&gt;1&lt;/Star&gt;&lt;Tag&gt;0&lt;/Tag&gt;&lt;Author&gt;Tsai, C F; Chen, M H; Wang, Y P; Chu, C J; Huang, Y H; Lin, H C; Hou, M C; Lee, F Y; Su, T P; Lu, C L&lt;/Author&gt;&lt;Year&gt;2017&lt;/Year&gt;&lt;Details&gt;&lt;_accession_num&gt;27639806&lt;/_accession_num&gt;&lt;_author_adr&gt;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ivision of Gastroenterology, Taipei Veterans General Hospital, Taipei, Taiwan; Department of Medicine, Taipei Veterans General Hospital, Taipei, Taiwan.; Faculty of Medicine, National Yang-Ming University School of Medicine, Taipei, Taiwan; Department of Psychiatry, Taipei Veterans General Hospital, Taipei, Taiwan.; Institute of Brain Science, National Yang-Ming University School of Medicine, Taipei, Taiwan; Faculty of Medicine, National Yang-Ming University School of Medicine, Taipei, Taiwan; Division of Gastroenterology, Taipei Veterans General Hospital, Taipei, Taiwan; Department of Medicine, Taipei Veterans General Hospital, Taipei, Taiwan. Electronic address: cllu@ym.edu.tw.&lt;/_author_adr&gt;&lt;_collection_scope&gt;SCI;SCIE;&lt;/_collection_scope&gt;&lt;_created&gt;62599138&lt;/_created&gt;&lt;_date&gt;2017-01-01&lt;/_date&gt;&lt;_date_display&gt;2017 Jan&lt;/_date_display&gt;&lt;_doi&gt;10.1053/j.gastro.2016.09.007&lt;/_doi&gt;&lt;_impact_factor&gt;  20.773&lt;/_impact_factor&gt;&lt;_isbn&gt;1528-0012 (Electronic); 0016-5085 (Linking)&lt;/_isbn&gt;&lt;_issue&gt;1&lt;/_issue&gt;&lt;_journal&gt;Gastroenterology&lt;/_journal&gt;&lt;_keywords&gt;2-Pyridinylmethylsulfinylbenzimidazoles/administration &amp;amp; dosage; Administrative Claims, Healthcare/statistics &amp;amp; numerical data; Adult; Aged; Case-Control Studies; Esomeprazole/administration &amp;amp; dosage; Female; Hepatic Encephalopathy/*epidemiology/*etiology; Humans; Incidence; Insurance, Health/statistics &amp;amp; numerical data; Lansoprazole/administration &amp;amp; dosage; Liver Cirrhosis/*complications; Longitudinal Studies; Male; Middle Aged; Omeprazole/administration &amp;amp; dosage; Pantoprazole; Proton Pump Inhibitors/*administration &amp;amp; dosage; Rabeprazole/administration &amp;amp; dosage; Taiwan/epidemiology*Acid Suppression; *Cognitive Dysfunction; *Gut Microbiota; *Liver Failure&lt;/_keywords&gt;&lt;_language&gt;eng&lt;/_language&gt;&lt;_modified&gt;62599424&lt;/_modified&gt;&lt;_ori_publication&gt;Copyright (c) 2017. Published by Elsevier Inc.&lt;/_ori_publication&gt;&lt;_pages&gt;134-141&lt;/_pages&gt;&lt;_tertiary_title&gt;Gastroenterology&lt;/_tertiary_title&gt;&lt;_type_work&gt;Journal Article&lt;/_type_work&gt;&lt;_url&gt;http://www.ncbi.nlm.nih.gov/entrez/query.fcgi?cmd=Retrieve&amp;amp;db=pubmed&amp;amp;dopt=Abstract&amp;amp;list_uids=27639806&amp;amp;query_hl=1&lt;/_url&gt;&lt;_volume&gt;152&lt;/_volume&gt;&lt;/Details&gt;&lt;Extra&gt;&lt;DBUID&gt;{9A7C78BD-F289-43CD-8CC7-97501B76739F}&lt;/DBUID&gt;&lt;/Extra&gt;&lt;/Item&gt;&lt;/References&gt;&lt;/Group&gt;&lt;Group&gt;&lt;References&gt;&lt;Item&gt;&lt;ID&gt;3073&lt;/ID&gt;&lt;UID&gt;{758F06D2-99D2-4E75-8CBA-0AA1101F5466}&lt;/UID&gt;&lt;Title&gt;Proton pump inhibitors as a risk factor for hepatic encephalopathy and spontaneous bacterial peritonitis in patients with cirrhosis with ascites&lt;/Title&gt;&lt;Template&gt;Generic&lt;/Template&gt;&lt;Star&gt;1&lt;/Star&gt;&lt;Tag&gt;0&lt;/Tag&gt;&lt;Author&gt;Dam, G; Vilstrup, H; Watson, H; Jepsen, P&lt;/Author&gt;&lt;Year&gt;2016&lt;/Year&gt;&lt;Details&gt;&lt;_accession_num&gt;27474889&lt;/_accession_num&gt;&lt;_author_adr&gt;Department of Hepatology and Gastroenterology, Aarhus University Hospital, Aarhus, Denmark. gitdam@rm.dk.; Department of Hepatology and Gastroenterology, Aarhus University Hospital, Aarhus, Denmark.; Sanofi Aventis R&amp;amp;D, Paris, France.; Department of Hepatology and Gastroenterology, Aarhus University Hospital, Aarhus, Denmark.; Department of Clinical Epidemiology, Aarhus University Hospital, Aarhus, Denmark.&lt;/_author_adr&gt;&lt;_collection_scope&gt;SCI;SCIE;&lt;/_collection_scope&gt;&lt;_created&gt;62599138&lt;/_created&gt;&lt;_date&gt;2016-10-01&lt;/_date&gt;&lt;_date_display&gt;2016 Oct&lt;/_date_display&gt;&lt;_doi&gt;10.1002/hep.28737&lt;/_doi&gt;&lt;_impact_factor&gt;  14.079&lt;/_impact_factor&gt;&lt;_isbn&gt;1527-3350 (Electronic); 0270-9139 (Linking)&lt;/_isbn&gt;&lt;_issue&gt;4&lt;/_issue&gt;&lt;_journal&gt;Hepatology&lt;/_journal&gt;&lt;_keywords&gt;Aged; Ascites/complications/drug therapy; Bacterial Infections/*chemically induced; Female; Hepatic Encephalopathy/*chemically induced; Humans; Liver Cirrhosis/complications; Male; Middle Aged; Peritonitis/*chemically induced/*microbiology; Proton Pump Inhibitors/*adverse effects/therapeutic use; Risk Factors&lt;/_keywords&gt;&lt;_language&gt;eng&lt;/_language&gt;&lt;_modified&gt;62599424&lt;/_modified&gt;&lt;_ori_publication&gt;(c) 2016 by the American Association for the Study of Liver Diseases.&lt;/_ori_publication&gt;&lt;_pages&gt;1265-72&lt;/_pages&gt;&lt;_tertiary_title&gt;Hepatology (Baltimore, Md.)&lt;/_tertiary_title&gt;&lt;_type_work&gt;Comparative Study; Journal Article; Research Support, Non-U.S. Gov&amp;apos;t&lt;/_type_work&gt;&lt;_url&gt;http://www.ncbi.nlm.nih.gov/entrez/query.fcgi?cmd=Retrieve&amp;amp;db=pubmed&amp;amp;dopt=Abstract&amp;amp;list_uids=27474889&amp;amp;query_hl=1&lt;/_url&gt;&lt;_volume&gt;64&lt;/_volume&gt;&lt;/Details&gt;&lt;Extra&gt;&lt;DBUID&gt;{9A7C78BD-F289-43CD-8CC7-97501B76739F}&lt;/DBUID&gt;&lt;/Extra&gt;&lt;/Item&gt;&lt;/References&gt;&lt;/Group&gt;&lt;Group&gt;&lt;References&gt;&lt;Item&gt;&lt;ID&gt;3127&lt;/ID&gt;&lt;UID&gt;{1D330603-B6F6-4B2A-9AB2-419A36FA7117}&lt;/UID&gt;&lt;Title&gt;Association of Proton Pump Inhibitor Therapy with Hepatic Encephalopathy in Hepatitis B Virus-related Acute-on-Chronic Liver Failure&lt;/Title&gt;&lt;Template&gt;Journal Article&lt;/Template&gt;&lt;Star&gt;1&lt;/Star&gt;&lt;Tag&gt;0&lt;/Tag&gt;&lt;Author&gt;Lin, Z N; Zuo, Y Q; Hu, P&lt;/Author&gt;&lt;Year&gt;2014&lt;/Year&gt;&lt;Details&gt;&lt;_accession_num&gt;24748895&lt;/_accession_num&gt;&lt;_author_adr&gt;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 Department of Infectious Diseases, Institute for Viral Hepatitis, Key Laboratory  of Molecular Biology for Infectious Diseases, Ministry of Education, Second Affiliated Hospital of Chongqing Medical University, Chongqing, China.&lt;/_author_adr&gt;&lt;_collection_scope&gt;SCIE;&lt;/_collection_scope&gt;&lt;_created&gt;62599138&lt;/_created&gt;&lt;_date&gt;2014-04-01&lt;/_date&gt;&lt;_date_display&gt;2014 Apr&lt;/_date_display&gt;&lt;_doi&gt;10.5812/hepatmon.16258&lt;/_doi&gt;&lt;_impact_factor&gt;   1.810&lt;/_impact_factor&gt;&lt;_isbn&gt;1735-143X (Print); 1735-143X (Linking)&lt;/_isbn&gt;&lt;_issue&gt;4&lt;/_issue&gt;&lt;_journal&gt;Hepat Mon&lt;/_journal&gt;&lt;_keywords&gt;Hepatic Encephalopathy; Hepatitis B Virus; Proton Pump Inhibitors&lt;/_keywords&gt;&lt;_language&gt;eng&lt;/_language&gt;&lt;_modified&gt;62599424&lt;/_modified&gt;&lt;_pages&gt;e16258&lt;/_pages&gt;&lt;_tertiary_title&gt;Hepatitis monthly&lt;/_tertiary_title&gt;&lt;_type_work&gt;Journal Article&lt;/_type_work&gt;&lt;_url&gt;http://www.ncbi.nlm.nih.gov/entrez/query.fcgi?cmd=Retrieve&amp;amp;db=pubmed&amp;amp;dopt=Abstract&amp;amp;list_uids=24748895&amp;amp;query_hl=1&lt;/_url&gt;&lt;_volume&gt;14&lt;/_volume&gt;&lt;/Details&gt;&lt;Extra&gt;&lt;DBUID&gt;{9A7C78BD-F289-43CD-8CC7-97501B76739F}&lt;/DBUID&gt;&lt;/Extra&gt;&lt;/Item&gt;&lt;/References&gt;&lt;/Group&gt;&lt;/Citation&gt;_x000a_"/>
    <w:docVar w:name="ne_docsoft" w:val="MSWord"/>
    <w:docVar w:name="ne_docversion" w:val="NoteExpress 2.0"/>
    <w:docVar w:name="ne_stylename" w:val="AMA (American Medical Association) 最新xin New"/>
  </w:docVars>
  <w:rsids>
    <w:rsidRoot w:val="00181725"/>
    <w:rsid w:val="00000AD5"/>
    <w:rsid w:val="00002715"/>
    <w:rsid w:val="00003DE9"/>
    <w:rsid w:val="0000524C"/>
    <w:rsid w:val="000059D2"/>
    <w:rsid w:val="000065E0"/>
    <w:rsid w:val="000068DD"/>
    <w:rsid w:val="00010AFE"/>
    <w:rsid w:val="000112F8"/>
    <w:rsid w:val="00012A27"/>
    <w:rsid w:val="00013632"/>
    <w:rsid w:val="00013DA9"/>
    <w:rsid w:val="0001664A"/>
    <w:rsid w:val="000178DB"/>
    <w:rsid w:val="00017910"/>
    <w:rsid w:val="0002059A"/>
    <w:rsid w:val="000216DC"/>
    <w:rsid w:val="00021793"/>
    <w:rsid w:val="000226F0"/>
    <w:rsid w:val="00024D06"/>
    <w:rsid w:val="00025FD9"/>
    <w:rsid w:val="00026220"/>
    <w:rsid w:val="000267A2"/>
    <w:rsid w:val="0002696C"/>
    <w:rsid w:val="00026BD2"/>
    <w:rsid w:val="000273F1"/>
    <w:rsid w:val="000309BE"/>
    <w:rsid w:val="000325AF"/>
    <w:rsid w:val="00032FE5"/>
    <w:rsid w:val="00033192"/>
    <w:rsid w:val="000335D1"/>
    <w:rsid w:val="0003458D"/>
    <w:rsid w:val="0003586B"/>
    <w:rsid w:val="00035C63"/>
    <w:rsid w:val="00036898"/>
    <w:rsid w:val="00036EDA"/>
    <w:rsid w:val="000370C9"/>
    <w:rsid w:val="0003713A"/>
    <w:rsid w:val="00037F13"/>
    <w:rsid w:val="00042609"/>
    <w:rsid w:val="00042B1A"/>
    <w:rsid w:val="00043586"/>
    <w:rsid w:val="00043D24"/>
    <w:rsid w:val="00044091"/>
    <w:rsid w:val="000446A6"/>
    <w:rsid w:val="00045E11"/>
    <w:rsid w:val="0004673F"/>
    <w:rsid w:val="00046FFE"/>
    <w:rsid w:val="00047F03"/>
    <w:rsid w:val="00050371"/>
    <w:rsid w:val="00051A67"/>
    <w:rsid w:val="0005375F"/>
    <w:rsid w:val="00054B18"/>
    <w:rsid w:val="00054C30"/>
    <w:rsid w:val="00057017"/>
    <w:rsid w:val="00057A64"/>
    <w:rsid w:val="0006046D"/>
    <w:rsid w:val="00060C2F"/>
    <w:rsid w:val="000613E5"/>
    <w:rsid w:val="00061C40"/>
    <w:rsid w:val="000630AC"/>
    <w:rsid w:val="000630DB"/>
    <w:rsid w:val="000663BB"/>
    <w:rsid w:val="00066CE9"/>
    <w:rsid w:val="00070551"/>
    <w:rsid w:val="0007156B"/>
    <w:rsid w:val="0007159F"/>
    <w:rsid w:val="00071DED"/>
    <w:rsid w:val="000725EA"/>
    <w:rsid w:val="00072F54"/>
    <w:rsid w:val="00073406"/>
    <w:rsid w:val="00075992"/>
    <w:rsid w:val="00075E23"/>
    <w:rsid w:val="00075EF6"/>
    <w:rsid w:val="0007641E"/>
    <w:rsid w:val="00076F67"/>
    <w:rsid w:val="0007711E"/>
    <w:rsid w:val="000776DB"/>
    <w:rsid w:val="00085FAE"/>
    <w:rsid w:val="00086800"/>
    <w:rsid w:val="00086E90"/>
    <w:rsid w:val="0008768D"/>
    <w:rsid w:val="0009016C"/>
    <w:rsid w:val="000906DB"/>
    <w:rsid w:val="00093FFB"/>
    <w:rsid w:val="0009461B"/>
    <w:rsid w:val="000966AA"/>
    <w:rsid w:val="0009778C"/>
    <w:rsid w:val="000A06F5"/>
    <w:rsid w:val="000A073D"/>
    <w:rsid w:val="000A1480"/>
    <w:rsid w:val="000A1B63"/>
    <w:rsid w:val="000A29FE"/>
    <w:rsid w:val="000A3C48"/>
    <w:rsid w:val="000A3DDE"/>
    <w:rsid w:val="000A4F20"/>
    <w:rsid w:val="000A5B8E"/>
    <w:rsid w:val="000A6EB4"/>
    <w:rsid w:val="000B0CF5"/>
    <w:rsid w:val="000B2415"/>
    <w:rsid w:val="000B4E99"/>
    <w:rsid w:val="000B692C"/>
    <w:rsid w:val="000B6DC4"/>
    <w:rsid w:val="000B70B9"/>
    <w:rsid w:val="000B7147"/>
    <w:rsid w:val="000C18B4"/>
    <w:rsid w:val="000C31CF"/>
    <w:rsid w:val="000C3FC2"/>
    <w:rsid w:val="000C4B2E"/>
    <w:rsid w:val="000C5071"/>
    <w:rsid w:val="000C5659"/>
    <w:rsid w:val="000C5E38"/>
    <w:rsid w:val="000C6989"/>
    <w:rsid w:val="000D1BE8"/>
    <w:rsid w:val="000D3B58"/>
    <w:rsid w:val="000D479D"/>
    <w:rsid w:val="000D4B29"/>
    <w:rsid w:val="000D5CFA"/>
    <w:rsid w:val="000D6211"/>
    <w:rsid w:val="000E0752"/>
    <w:rsid w:val="000E0D06"/>
    <w:rsid w:val="000E1EE6"/>
    <w:rsid w:val="000E41A8"/>
    <w:rsid w:val="000E4200"/>
    <w:rsid w:val="000E52A4"/>
    <w:rsid w:val="000E5A4D"/>
    <w:rsid w:val="000E6516"/>
    <w:rsid w:val="000F022F"/>
    <w:rsid w:val="000F184A"/>
    <w:rsid w:val="000F1BBE"/>
    <w:rsid w:val="000F2B70"/>
    <w:rsid w:val="000F51D7"/>
    <w:rsid w:val="000F5ACD"/>
    <w:rsid w:val="000F62F2"/>
    <w:rsid w:val="000F7423"/>
    <w:rsid w:val="00100A78"/>
    <w:rsid w:val="00100C1E"/>
    <w:rsid w:val="001010CC"/>
    <w:rsid w:val="001016D9"/>
    <w:rsid w:val="00101B23"/>
    <w:rsid w:val="00102B5D"/>
    <w:rsid w:val="0010316F"/>
    <w:rsid w:val="00103B8D"/>
    <w:rsid w:val="00104B64"/>
    <w:rsid w:val="00105327"/>
    <w:rsid w:val="00105DC7"/>
    <w:rsid w:val="00106496"/>
    <w:rsid w:val="00106D29"/>
    <w:rsid w:val="001078FB"/>
    <w:rsid w:val="001100EB"/>
    <w:rsid w:val="0011201D"/>
    <w:rsid w:val="00112F1B"/>
    <w:rsid w:val="00113829"/>
    <w:rsid w:val="00113FA7"/>
    <w:rsid w:val="0011544C"/>
    <w:rsid w:val="00115E78"/>
    <w:rsid w:val="00115F98"/>
    <w:rsid w:val="00116B26"/>
    <w:rsid w:val="00117208"/>
    <w:rsid w:val="0011762A"/>
    <w:rsid w:val="00117880"/>
    <w:rsid w:val="001178AF"/>
    <w:rsid w:val="001178BF"/>
    <w:rsid w:val="00121B2D"/>
    <w:rsid w:val="00122B2A"/>
    <w:rsid w:val="00124BF7"/>
    <w:rsid w:val="00126FD6"/>
    <w:rsid w:val="0012715F"/>
    <w:rsid w:val="00127BC3"/>
    <w:rsid w:val="00127E5F"/>
    <w:rsid w:val="00132BE9"/>
    <w:rsid w:val="00134FCE"/>
    <w:rsid w:val="0013606F"/>
    <w:rsid w:val="001360F9"/>
    <w:rsid w:val="0013688A"/>
    <w:rsid w:val="00136E8C"/>
    <w:rsid w:val="00137155"/>
    <w:rsid w:val="00140050"/>
    <w:rsid w:val="001422AA"/>
    <w:rsid w:val="0014432A"/>
    <w:rsid w:val="00145D16"/>
    <w:rsid w:val="00146327"/>
    <w:rsid w:val="00146838"/>
    <w:rsid w:val="001474BA"/>
    <w:rsid w:val="00147A9F"/>
    <w:rsid w:val="0015089F"/>
    <w:rsid w:val="00150C7D"/>
    <w:rsid w:val="0015445B"/>
    <w:rsid w:val="001557D5"/>
    <w:rsid w:val="00157683"/>
    <w:rsid w:val="00157ACA"/>
    <w:rsid w:val="00157DA4"/>
    <w:rsid w:val="001602C5"/>
    <w:rsid w:val="00161EA6"/>
    <w:rsid w:val="00164239"/>
    <w:rsid w:val="001660D2"/>
    <w:rsid w:val="001662A5"/>
    <w:rsid w:val="001668AC"/>
    <w:rsid w:val="00166BAD"/>
    <w:rsid w:val="0016766A"/>
    <w:rsid w:val="001679B0"/>
    <w:rsid w:val="001705B2"/>
    <w:rsid w:val="00170880"/>
    <w:rsid w:val="00170922"/>
    <w:rsid w:val="0017271C"/>
    <w:rsid w:val="0017283B"/>
    <w:rsid w:val="00173218"/>
    <w:rsid w:val="001756D2"/>
    <w:rsid w:val="001810A4"/>
    <w:rsid w:val="001815A6"/>
    <w:rsid w:val="00181725"/>
    <w:rsid w:val="00181CDC"/>
    <w:rsid w:val="00183173"/>
    <w:rsid w:val="00183683"/>
    <w:rsid w:val="00183ACB"/>
    <w:rsid w:val="00184627"/>
    <w:rsid w:val="001871D3"/>
    <w:rsid w:val="001903B7"/>
    <w:rsid w:val="001939AF"/>
    <w:rsid w:val="001945C2"/>
    <w:rsid w:val="00194C4A"/>
    <w:rsid w:val="00194DD0"/>
    <w:rsid w:val="0019589C"/>
    <w:rsid w:val="00195BD0"/>
    <w:rsid w:val="00196930"/>
    <w:rsid w:val="00196A0C"/>
    <w:rsid w:val="00197BC5"/>
    <w:rsid w:val="00197C01"/>
    <w:rsid w:val="001A002C"/>
    <w:rsid w:val="001A0760"/>
    <w:rsid w:val="001A094F"/>
    <w:rsid w:val="001A09C5"/>
    <w:rsid w:val="001A23AC"/>
    <w:rsid w:val="001A287B"/>
    <w:rsid w:val="001A3458"/>
    <w:rsid w:val="001A3DC9"/>
    <w:rsid w:val="001A4E32"/>
    <w:rsid w:val="001A52D1"/>
    <w:rsid w:val="001A52E2"/>
    <w:rsid w:val="001A5694"/>
    <w:rsid w:val="001A59FD"/>
    <w:rsid w:val="001B02FE"/>
    <w:rsid w:val="001B032D"/>
    <w:rsid w:val="001B0A37"/>
    <w:rsid w:val="001B2D13"/>
    <w:rsid w:val="001B3896"/>
    <w:rsid w:val="001B5D78"/>
    <w:rsid w:val="001B6394"/>
    <w:rsid w:val="001C0CBD"/>
    <w:rsid w:val="001C2E27"/>
    <w:rsid w:val="001C2F38"/>
    <w:rsid w:val="001C32D4"/>
    <w:rsid w:val="001C3612"/>
    <w:rsid w:val="001C4059"/>
    <w:rsid w:val="001C5C58"/>
    <w:rsid w:val="001C604A"/>
    <w:rsid w:val="001C7A57"/>
    <w:rsid w:val="001D01B3"/>
    <w:rsid w:val="001D0D66"/>
    <w:rsid w:val="001D26C2"/>
    <w:rsid w:val="001D34A7"/>
    <w:rsid w:val="001D4B89"/>
    <w:rsid w:val="001D5292"/>
    <w:rsid w:val="001D5D47"/>
    <w:rsid w:val="001D7B5B"/>
    <w:rsid w:val="001D7FA8"/>
    <w:rsid w:val="001E2560"/>
    <w:rsid w:val="001E326D"/>
    <w:rsid w:val="001E3308"/>
    <w:rsid w:val="001E4FCA"/>
    <w:rsid w:val="001E5043"/>
    <w:rsid w:val="001E6387"/>
    <w:rsid w:val="001E78F1"/>
    <w:rsid w:val="001E7F8B"/>
    <w:rsid w:val="001F0051"/>
    <w:rsid w:val="001F0CA3"/>
    <w:rsid w:val="001F2725"/>
    <w:rsid w:val="001F3A17"/>
    <w:rsid w:val="001F6641"/>
    <w:rsid w:val="001F7BB3"/>
    <w:rsid w:val="001F7ED9"/>
    <w:rsid w:val="002015BF"/>
    <w:rsid w:val="0020359C"/>
    <w:rsid w:val="00205E0C"/>
    <w:rsid w:val="00206055"/>
    <w:rsid w:val="002065CB"/>
    <w:rsid w:val="00207A9C"/>
    <w:rsid w:val="0021067C"/>
    <w:rsid w:val="00212B64"/>
    <w:rsid w:val="002133D4"/>
    <w:rsid w:val="0021367D"/>
    <w:rsid w:val="002178B7"/>
    <w:rsid w:val="00217B50"/>
    <w:rsid w:val="00217E5F"/>
    <w:rsid w:val="00221F67"/>
    <w:rsid w:val="002238DB"/>
    <w:rsid w:val="0022393E"/>
    <w:rsid w:val="00224C55"/>
    <w:rsid w:val="00226860"/>
    <w:rsid w:val="002277FF"/>
    <w:rsid w:val="00227A88"/>
    <w:rsid w:val="00227C83"/>
    <w:rsid w:val="002323AF"/>
    <w:rsid w:val="00235699"/>
    <w:rsid w:val="002358C6"/>
    <w:rsid w:val="00235D8A"/>
    <w:rsid w:val="00236A62"/>
    <w:rsid w:val="00236FA9"/>
    <w:rsid w:val="00237A94"/>
    <w:rsid w:val="002403B8"/>
    <w:rsid w:val="002416C0"/>
    <w:rsid w:val="00241893"/>
    <w:rsid w:val="0024253C"/>
    <w:rsid w:val="00242896"/>
    <w:rsid w:val="002435AD"/>
    <w:rsid w:val="00244BC3"/>
    <w:rsid w:val="00250A9A"/>
    <w:rsid w:val="00251D08"/>
    <w:rsid w:val="00251EDB"/>
    <w:rsid w:val="002527E1"/>
    <w:rsid w:val="0025331F"/>
    <w:rsid w:val="002535EB"/>
    <w:rsid w:val="00254A01"/>
    <w:rsid w:val="002561C6"/>
    <w:rsid w:val="002632D2"/>
    <w:rsid w:val="00263DD3"/>
    <w:rsid w:val="00264C16"/>
    <w:rsid w:val="00265E74"/>
    <w:rsid w:val="00266A7C"/>
    <w:rsid w:val="0026736D"/>
    <w:rsid w:val="00267CD1"/>
    <w:rsid w:val="00270EF1"/>
    <w:rsid w:val="00271949"/>
    <w:rsid w:val="002719FB"/>
    <w:rsid w:val="00271B1C"/>
    <w:rsid w:val="00273490"/>
    <w:rsid w:val="00273662"/>
    <w:rsid w:val="00273721"/>
    <w:rsid w:val="00274344"/>
    <w:rsid w:val="00274465"/>
    <w:rsid w:val="0027589F"/>
    <w:rsid w:val="002759C9"/>
    <w:rsid w:val="0027677E"/>
    <w:rsid w:val="00280D8F"/>
    <w:rsid w:val="00281A02"/>
    <w:rsid w:val="00283700"/>
    <w:rsid w:val="002839FD"/>
    <w:rsid w:val="00284532"/>
    <w:rsid w:val="00284A9A"/>
    <w:rsid w:val="00285DEE"/>
    <w:rsid w:val="00286822"/>
    <w:rsid w:val="00286AA5"/>
    <w:rsid w:val="002877A1"/>
    <w:rsid w:val="002878A3"/>
    <w:rsid w:val="002909AD"/>
    <w:rsid w:val="00290B36"/>
    <w:rsid w:val="00290B59"/>
    <w:rsid w:val="00290F92"/>
    <w:rsid w:val="002925DC"/>
    <w:rsid w:val="00292F9D"/>
    <w:rsid w:val="00293462"/>
    <w:rsid w:val="002947C4"/>
    <w:rsid w:val="00294E23"/>
    <w:rsid w:val="00295AA5"/>
    <w:rsid w:val="00296054"/>
    <w:rsid w:val="002961A0"/>
    <w:rsid w:val="00296842"/>
    <w:rsid w:val="00296D98"/>
    <w:rsid w:val="00297713"/>
    <w:rsid w:val="002A11FC"/>
    <w:rsid w:val="002A2F62"/>
    <w:rsid w:val="002A4FF2"/>
    <w:rsid w:val="002A5FAF"/>
    <w:rsid w:val="002A64CA"/>
    <w:rsid w:val="002A6DC4"/>
    <w:rsid w:val="002A7141"/>
    <w:rsid w:val="002B0031"/>
    <w:rsid w:val="002B0372"/>
    <w:rsid w:val="002B0FB7"/>
    <w:rsid w:val="002B1AE8"/>
    <w:rsid w:val="002B2668"/>
    <w:rsid w:val="002B27E0"/>
    <w:rsid w:val="002B4BF9"/>
    <w:rsid w:val="002B5CA4"/>
    <w:rsid w:val="002B7409"/>
    <w:rsid w:val="002C0632"/>
    <w:rsid w:val="002C2449"/>
    <w:rsid w:val="002C272B"/>
    <w:rsid w:val="002C4280"/>
    <w:rsid w:val="002C4384"/>
    <w:rsid w:val="002C4EBB"/>
    <w:rsid w:val="002D446D"/>
    <w:rsid w:val="002D5233"/>
    <w:rsid w:val="002D576C"/>
    <w:rsid w:val="002D582B"/>
    <w:rsid w:val="002D6BF6"/>
    <w:rsid w:val="002D6E4C"/>
    <w:rsid w:val="002E03A0"/>
    <w:rsid w:val="002E0B2D"/>
    <w:rsid w:val="002E21DD"/>
    <w:rsid w:val="002E250F"/>
    <w:rsid w:val="002E26EC"/>
    <w:rsid w:val="002E494A"/>
    <w:rsid w:val="002E513A"/>
    <w:rsid w:val="002E6E64"/>
    <w:rsid w:val="002E74B7"/>
    <w:rsid w:val="002F11EE"/>
    <w:rsid w:val="002F15DE"/>
    <w:rsid w:val="002F21B0"/>
    <w:rsid w:val="002F2901"/>
    <w:rsid w:val="002F2FE6"/>
    <w:rsid w:val="002F38CC"/>
    <w:rsid w:val="002F3B38"/>
    <w:rsid w:val="002F3DB7"/>
    <w:rsid w:val="002F6085"/>
    <w:rsid w:val="002F6155"/>
    <w:rsid w:val="002F697C"/>
    <w:rsid w:val="002F6D60"/>
    <w:rsid w:val="002F71A7"/>
    <w:rsid w:val="003009F5"/>
    <w:rsid w:val="00300CFE"/>
    <w:rsid w:val="00303A00"/>
    <w:rsid w:val="003077DF"/>
    <w:rsid w:val="00307D2A"/>
    <w:rsid w:val="00311014"/>
    <w:rsid w:val="0031163A"/>
    <w:rsid w:val="00312AE9"/>
    <w:rsid w:val="00312B52"/>
    <w:rsid w:val="00313AFE"/>
    <w:rsid w:val="003144A2"/>
    <w:rsid w:val="00316376"/>
    <w:rsid w:val="00316A0F"/>
    <w:rsid w:val="00316AA2"/>
    <w:rsid w:val="00316B06"/>
    <w:rsid w:val="0031716D"/>
    <w:rsid w:val="0031719E"/>
    <w:rsid w:val="00317755"/>
    <w:rsid w:val="00317DC0"/>
    <w:rsid w:val="00320A66"/>
    <w:rsid w:val="00322BDD"/>
    <w:rsid w:val="00323C30"/>
    <w:rsid w:val="00324E56"/>
    <w:rsid w:val="0032567E"/>
    <w:rsid w:val="00325E44"/>
    <w:rsid w:val="00326BDC"/>
    <w:rsid w:val="00326C98"/>
    <w:rsid w:val="00330955"/>
    <w:rsid w:val="00331D57"/>
    <w:rsid w:val="003320EA"/>
    <w:rsid w:val="003323C3"/>
    <w:rsid w:val="00332E98"/>
    <w:rsid w:val="00333387"/>
    <w:rsid w:val="003337C8"/>
    <w:rsid w:val="003344D3"/>
    <w:rsid w:val="00335423"/>
    <w:rsid w:val="003354A5"/>
    <w:rsid w:val="0033599D"/>
    <w:rsid w:val="00336E95"/>
    <w:rsid w:val="00337ACE"/>
    <w:rsid w:val="00342772"/>
    <w:rsid w:val="003431FE"/>
    <w:rsid w:val="003439BA"/>
    <w:rsid w:val="0034493D"/>
    <w:rsid w:val="00345088"/>
    <w:rsid w:val="00346619"/>
    <w:rsid w:val="003467CE"/>
    <w:rsid w:val="00346DCB"/>
    <w:rsid w:val="003475B0"/>
    <w:rsid w:val="003506FD"/>
    <w:rsid w:val="003512E2"/>
    <w:rsid w:val="00352E48"/>
    <w:rsid w:val="00353415"/>
    <w:rsid w:val="00353562"/>
    <w:rsid w:val="00354A60"/>
    <w:rsid w:val="00355497"/>
    <w:rsid w:val="003556F6"/>
    <w:rsid w:val="0035583E"/>
    <w:rsid w:val="0035758F"/>
    <w:rsid w:val="003601ED"/>
    <w:rsid w:val="00362C48"/>
    <w:rsid w:val="00362E9A"/>
    <w:rsid w:val="00363BE1"/>
    <w:rsid w:val="0036456F"/>
    <w:rsid w:val="00364789"/>
    <w:rsid w:val="003671C7"/>
    <w:rsid w:val="003679C5"/>
    <w:rsid w:val="00367D33"/>
    <w:rsid w:val="00367D34"/>
    <w:rsid w:val="00367E62"/>
    <w:rsid w:val="00371A4E"/>
    <w:rsid w:val="00371EED"/>
    <w:rsid w:val="00372454"/>
    <w:rsid w:val="00375697"/>
    <w:rsid w:val="00375CCB"/>
    <w:rsid w:val="003764C4"/>
    <w:rsid w:val="00377DBE"/>
    <w:rsid w:val="003826D1"/>
    <w:rsid w:val="0038426F"/>
    <w:rsid w:val="00384C62"/>
    <w:rsid w:val="003853E6"/>
    <w:rsid w:val="0038544D"/>
    <w:rsid w:val="0038585E"/>
    <w:rsid w:val="00386877"/>
    <w:rsid w:val="00387FC9"/>
    <w:rsid w:val="00390B7A"/>
    <w:rsid w:val="00390ECE"/>
    <w:rsid w:val="003922AA"/>
    <w:rsid w:val="003929FA"/>
    <w:rsid w:val="00393E9A"/>
    <w:rsid w:val="0039439E"/>
    <w:rsid w:val="00394EE8"/>
    <w:rsid w:val="003955CD"/>
    <w:rsid w:val="00396A2D"/>
    <w:rsid w:val="003A156B"/>
    <w:rsid w:val="003A2059"/>
    <w:rsid w:val="003A41DF"/>
    <w:rsid w:val="003A49D8"/>
    <w:rsid w:val="003A5C5A"/>
    <w:rsid w:val="003A607A"/>
    <w:rsid w:val="003A713B"/>
    <w:rsid w:val="003A7994"/>
    <w:rsid w:val="003B0A92"/>
    <w:rsid w:val="003B130A"/>
    <w:rsid w:val="003B17F0"/>
    <w:rsid w:val="003B20B6"/>
    <w:rsid w:val="003B311B"/>
    <w:rsid w:val="003B3E5D"/>
    <w:rsid w:val="003B5DE2"/>
    <w:rsid w:val="003B61E1"/>
    <w:rsid w:val="003B6646"/>
    <w:rsid w:val="003B6E15"/>
    <w:rsid w:val="003C0665"/>
    <w:rsid w:val="003C0B4C"/>
    <w:rsid w:val="003C0C41"/>
    <w:rsid w:val="003C121D"/>
    <w:rsid w:val="003C43F2"/>
    <w:rsid w:val="003C54B3"/>
    <w:rsid w:val="003C6273"/>
    <w:rsid w:val="003C6623"/>
    <w:rsid w:val="003C70E8"/>
    <w:rsid w:val="003D1031"/>
    <w:rsid w:val="003D168F"/>
    <w:rsid w:val="003D1923"/>
    <w:rsid w:val="003D1D83"/>
    <w:rsid w:val="003D1E4B"/>
    <w:rsid w:val="003D21C6"/>
    <w:rsid w:val="003D23BD"/>
    <w:rsid w:val="003D297F"/>
    <w:rsid w:val="003D2C4C"/>
    <w:rsid w:val="003D344D"/>
    <w:rsid w:val="003D3FE4"/>
    <w:rsid w:val="003D5031"/>
    <w:rsid w:val="003D5B85"/>
    <w:rsid w:val="003D64C9"/>
    <w:rsid w:val="003D6DE2"/>
    <w:rsid w:val="003D732A"/>
    <w:rsid w:val="003E071B"/>
    <w:rsid w:val="003E0AB7"/>
    <w:rsid w:val="003E1882"/>
    <w:rsid w:val="003E23BF"/>
    <w:rsid w:val="003E2A93"/>
    <w:rsid w:val="003E425F"/>
    <w:rsid w:val="003E49DF"/>
    <w:rsid w:val="003E4D07"/>
    <w:rsid w:val="003F040C"/>
    <w:rsid w:val="003F14C2"/>
    <w:rsid w:val="003F15F2"/>
    <w:rsid w:val="003F35B0"/>
    <w:rsid w:val="003F38F1"/>
    <w:rsid w:val="003F476F"/>
    <w:rsid w:val="003F7762"/>
    <w:rsid w:val="003F7972"/>
    <w:rsid w:val="00400601"/>
    <w:rsid w:val="0040102F"/>
    <w:rsid w:val="00401C3E"/>
    <w:rsid w:val="00402E06"/>
    <w:rsid w:val="0040305E"/>
    <w:rsid w:val="00403328"/>
    <w:rsid w:val="004033E2"/>
    <w:rsid w:val="004035EF"/>
    <w:rsid w:val="0040398F"/>
    <w:rsid w:val="00403B35"/>
    <w:rsid w:val="00404469"/>
    <w:rsid w:val="004051E6"/>
    <w:rsid w:val="004058EE"/>
    <w:rsid w:val="0041030B"/>
    <w:rsid w:val="0041116B"/>
    <w:rsid w:val="00412ADE"/>
    <w:rsid w:val="00412BC8"/>
    <w:rsid w:val="00413772"/>
    <w:rsid w:val="0041389F"/>
    <w:rsid w:val="00414223"/>
    <w:rsid w:val="004143B2"/>
    <w:rsid w:val="00415151"/>
    <w:rsid w:val="0041529F"/>
    <w:rsid w:val="00416809"/>
    <w:rsid w:val="00416ED0"/>
    <w:rsid w:val="00417D58"/>
    <w:rsid w:val="0042019C"/>
    <w:rsid w:val="00420BDC"/>
    <w:rsid w:val="00420F82"/>
    <w:rsid w:val="00422EC4"/>
    <w:rsid w:val="00423EDA"/>
    <w:rsid w:val="00424FD1"/>
    <w:rsid w:val="00424FEA"/>
    <w:rsid w:val="00431722"/>
    <w:rsid w:val="004331AA"/>
    <w:rsid w:val="00433798"/>
    <w:rsid w:val="00433DE6"/>
    <w:rsid w:val="004343C7"/>
    <w:rsid w:val="00435DDD"/>
    <w:rsid w:val="00436FFD"/>
    <w:rsid w:val="00440270"/>
    <w:rsid w:val="00440960"/>
    <w:rsid w:val="00441237"/>
    <w:rsid w:val="00442170"/>
    <w:rsid w:val="00442D51"/>
    <w:rsid w:val="0044365F"/>
    <w:rsid w:val="00444AA5"/>
    <w:rsid w:val="00445D68"/>
    <w:rsid w:val="004466AF"/>
    <w:rsid w:val="00446A29"/>
    <w:rsid w:val="0044719F"/>
    <w:rsid w:val="004519F5"/>
    <w:rsid w:val="00452C26"/>
    <w:rsid w:val="00452F51"/>
    <w:rsid w:val="00453142"/>
    <w:rsid w:val="00453F84"/>
    <w:rsid w:val="00455EA6"/>
    <w:rsid w:val="004568ED"/>
    <w:rsid w:val="00456A55"/>
    <w:rsid w:val="004573E6"/>
    <w:rsid w:val="004577A2"/>
    <w:rsid w:val="00460EA0"/>
    <w:rsid w:val="00461234"/>
    <w:rsid w:val="004614A1"/>
    <w:rsid w:val="0046249B"/>
    <w:rsid w:val="004629E9"/>
    <w:rsid w:val="0046402F"/>
    <w:rsid w:val="0046427C"/>
    <w:rsid w:val="004647BD"/>
    <w:rsid w:val="00465CE8"/>
    <w:rsid w:val="004660F8"/>
    <w:rsid w:val="0046698A"/>
    <w:rsid w:val="00466F88"/>
    <w:rsid w:val="00467326"/>
    <w:rsid w:val="004673D6"/>
    <w:rsid w:val="00467610"/>
    <w:rsid w:val="004677D1"/>
    <w:rsid w:val="004708D6"/>
    <w:rsid w:val="00472DB2"/>
    <w:rsid w:val="00474F34"/>
    <w:rsid w:val="00475732"/>
    <w:rsid w:val="004759C4"/>
    <w:rsid w:val="00480584"/>
    <w:rsid w:val="004805FD"/>
    <w:rsid w:val="004813ED"/>
    <w:rsid w:val="004815B0"/>
    <w:rsid w:val="0048163B"/>
    <w:rsid w:val="00481EA5"/>
    <w:rsid w:val="00483461"/>
    <w:rsid w:val="004859E5"/>
    <w:rsid w:val="00485A90"/>
    <w:rsid w:val="00485B32"/>
    <w:rsid w:val="00486087"/>
    <w:rsid w:val="00486968"/>
    <w:rsid w:val="00487220"/>
    <w:rsid w:val="00487591"/>
    <w:rsid w:val="00487B98"/>
    <w:rsid w:val="00490CF8"/>
    <w:rsid w:val="00490E0E"/>
    <w:rsid w:val="00491274"/>
    <w:rsid w:val="00491DC0"/>
    <w:rsid w:val="00494D64"/>
    <w:rsid w:val="00495339"/>
    <w:rsid w:val="0049587A"/>
    <w:rsid w:val="00496097"/>
    <w:rsid w:val="004962DD"/>
    <w:rsid w:val="00496DBE"/>
    <w:rsid w:val="004A00C7"/>
    <w:rsid w:val="004A056B"/>
    <w:rsid w:val="004A0996"/>
    <w:rsid w:val="004A0B3D"/>
    <w:rsid w:val="004A0D8D"/>
    <w:rsid w:val="004A2CD8"/>
    <w:rsid w:val="004A446A"/>
    <w:rsid w:val="004A499B"/>
    <w:rsid w:val="004A4D0E"/>
    <w:rsid w:val="004A5006"/>
    <w:rsid w:val="004A5836"/>
    <w:rsid w:val="004A6262"/>
    <w:rsid w:val="004A692A"/>
    <w:rsid w:val="004A6D2C"/>
    <w:rsid w:val="004A7A1D"/>
    <w:rsid w:val="004B0031"/>
    <w:rsid w:val="004B101B"/>
    <w:rsid w:val="004B18C7"/>
    <w:rsid w:val="004B19F1"/>
    <w:rsid w:val="004B1A67"/>
    <w:rsid w:val="004B2818"/>
    <w:rsid w:val="004B2F83"/>
    <w:rsid w:val="004B3657"/>
    <w:rsid w:val="004B46F3"/>
    <w:rsid w:val="004B4DBC"/>
    <w:rsid w:val="004B5306"/>
    <w:rsid w:val="004B5AC2"/>
    <w:rsid w:val="004B6AA4"/>
    <w:rsid w:val="004B71E4"/>
    <w:rsid w:val="004B7C22"/>
    <w:rsid w:val="004C0C4C"/>
    <w:rsid w:val="004C189E"/>
    <w:rsid w:val="004C1F21"/>
    <w:rsid w:val="004C2DA5"/>
    <w:rsid w:val="004C3AC7"/>
    <w:rsid w:val="004C3EEF"/>
    <w:rsid w:val="004C444C"/>
    <w:rsid w:val="004C4662"/>
    <w:rsid w:val="004C584E"/>
    <w:rsid w:val="004C5D9E"/>
    <w:rsid w:val="004C65EE"/>
    <w:rsid w:val="004D03C7"/>
    <w:rsid w:val="004D14F0"/>
    <w:rsid w:val="004D256A"/>
    <w:rsid w:val="004D3632"/>
    <w:rsid w:val="004D3A91"/>
    <w:rsid w:val="004D3ADF"/>
    <w:rsid w:val="004D4057"/>
    <w:rsid w:val="004D4849"/>
    <w:rsid w:val="004D4C6B"/>
    <w:rsid w:val="004D4E04"/>
    <w:rsid w:val="004D6FB9"/>
    <w:rsid w:val="004E117C"/>
    <w:rsid w:val="004E1C88"/>
    <w:rsid w:val="004E3BFA"/>
    <w:rsid w:val="004E40CE"/>
    <w:rsid w:val="004E5FA5"/>
    <w:rsid w:val="004E74C4"/>
    <w:rsid w:val="004E7DCF"/>
    <w:rsid w:val="004F0F0E"/>
    <w:rsid w:val="004F305D"/>
    <w:rsid w:val="004F4076"/>
    <w:rsid w:val="004F6109"/>
    <w:rsid w:val="005005D9"/>
    <w:rsid w:val="00502395"/>
    <w:rsid w:val="00502575"/>
    <w:rsid w:val="00503181"/>
    <w:rsid w:val="00503C74"/>
    <w:rsid w:val="00505A44"/>
    <w:rsid w:val="00505F84"/>
    <w:rsid w:val="00507186"/>
    <w:rsid w:val="005073D6"/>
    <w:rsid w:val="0050761C"/>
    <w:rsid w:val="00507806"/>
    <w:rsid w:val="0051033D"/>
    <w:rsid w:val="00511749"/>
    <w:rsid w:val="00512553"/>
    <w:rsid w:val="005131F0"/>
    <w:rsid w:val="00514815"/>
    <w:rsid w:val="00514F23"/>
    <w:rsid w:val="00514FE2"/>
    <w:rsid w:val="00515154"/>
    <w:rsid w:val="00515788"/>
    <w:rsid w:val="00516B63"/>
    <w:rsid w:val="00516CC8"/>
    <w:rsid w:val="00516D70"/>
    <w:rsid w:val="00520BD4"/>
    <w:rsid w:val="00521B7F"/>
    <w:rsid w:val="00523A48"/>
    <w:rsid w:val="005252C3"/>
    <w:rsid w:val="00526FA4"/>
    <w:rsid w:val="005308A5"/>
    <w:rsid w:val="0053255D"/>
    <w:rsid w:val="00533330"/>
    <w:rsid w:val="00534BEC"/>
    <w:rsid w:val="0053548F"/>
    <w:rsid w:val="00535942"/>
    <w:rsid w:val="00535DCC"/>
    <w:rsid w:val="00536005"/>
    <w:rsid w:val="00536166"/>
    <w:rsid w:val="00537324"/>
    <w:rsid w:val="0053766A"/>
    <w:rsid w:val="00540B73"/>
    <w:rsid w:val="00540F48"/>
    <w:rsid w:val="00541A2B"/>
    <w:rsid w:val="00541F38"/>
    <w:rsid w:val="005433CC"/>
    <w:rsid w:val="00543B46"/>
    <w:rsid w:val="00543B61"/>
    <w:rsid w:val="005460A5"/>
    <w:rsid w:val="00547A0C"/>
    <w:rsid w:val="00551715"/>
    <w:rsid w:val="0055241E"/>
    <w:rsid w:val="0055318D"/>
    <w:rsid w:val="005535BD"/>
    <w:rsid w:val="00553633"/>
    <w:rsid w:val="005536BE"/>
    <w:rsid w:val="00555774"/>
    <w:rsid w:val="0055582C"/>
    <w:rsid w:val="00555DA7"/>
    <w:rsid w:val="005565AB"/>
    <w:rsid w:val="00556A7F"/>
    <w:rsid w:val="00557609"/>
    <w:rsid w:val="00560438"/>
    <w:rsid w:val="0056171D"/>
    <w:rsid w:val="00561F0A"/>
    <w:rsid w:val="0056203D"/>
    <w:rsid w:val="00563F3E"/>
    <w:rsid w:val="005641D4"/>
    <w:rsid w:val="005679A1"/>
    <w:rsid w:val="00567BEF"/>
    <w:rsid w:val="005704B1"/>
    <w:rsid w:val="00570B9F"/>
    <w:rsid w:val="00570C7F"/>
    <w:rsid w:val="00571E49"/>
    <w:rsid w:val="0057267A"/>
    <w:rsid w:val="00573EAC"/>
    <w:rsid w:val="005741D4"/>
    <w:rsid w:val="00574612"/>
    <w:rsid w:val="00575508"/>
    <w:rsid w:val="005755BE"/>
    <w:rsid w:val="00576144"/>
    <w:rsid w:val="005768AB"/>
    <w:rsid w:val="00576D4B"/>
    <w:rsid w:val="00577624"/>
    <w:rsid w:val="00577B70"/>
    <w:rsid w:val="00581619"/>
    <w:rsid w:val="0058275B"/>
    <w:rsid w:val="00582923"/>
    <w:rsid w:val="00582C91"/>
    <w:rsid w:val="00582E6A"/>
    <w:rsid w:val="0058310D"/>
    <w:rsid w:val="00584E2E"/>
    <w:rsid w:val="00585180"/>
    <w:rsid w:val="00586E43"/>
    <w:rsid w:val="005874FB"/>
    <w:rsid w:val="005878AE"/>
    <w:rsid w:val="0059014F"/>
    <w:rsid w:val="00591702"/>
    <w:rsid w:val="00592C04"/>
    <w:rsid w:val="00593E3F"/>
    <w:rsid w:val="00593FD2"/>
    <w:rsid w:val="005940EF"/>
    <w:rsid w:val="0059482C"/>
    <w:rsid w:val="00594BDC"/>
    <w:rsid w:val="00595009"/>
    <w:rsid w:val="005952C9"/>
    <w:rsid w:val="00595B9B"/>
    <w:rsid w:val="00596108"/>
    <w:rsid w:val="00596C95"/>
    <w:rsid w:val="005977AE"/>
    <w:rsid w:val="00597C37"/>
    <w:rsid w:val="005A0F56"/>
    <w:rsid w:val="005A1473"/>
    <w:rsid w:val="005A182F"/>
    <w:rsid w:val="005A1E44"/>
    <w:rsid w:val="005A292E"/>
    <w:rsid w:val="005A35EB"/>
    <w:rsid w:val="005A3756"/>
    <w:rsid w:val="005A499C"/>
    <w:rsid w:val="005A6D52"/>
    <w:rsid w:val="005A71EC"/>
    <w:rsid w:val="005A73AA"/>
    <w:rsid w:val="005A7426"/>
    <w:rsid w:val="005B0906"/>
    <w:rsid w:val="005B0DC1"/>
    <w:rsid w:val="005B11F4"/>
    <w:rsid w:val="005B2C13"/>
    <w:rsid w:val="005B3165"/>
    <w:rsid w:val="005B455D"/>
    <w:rsid w:val="005B56BB"/>
    <w:rsid w:val="005B77EE"/>
    <w:rsid w:val="005C1A0D"/>
    <w:rsid w:val="005C1A58"/>
    <w:rsid w:val="005C3BEE"/>
    <w:rsid w:val="005C55EC"/>
    <w:rsid w:val="005C5EF6"/>
    <w:rsid w:val="005C60BA"/>
    <w:rsid w:val="005C7110"/>
    <w:rsid w:val="005C7D59"/>
    <w:rsid w:val="005D1240"/>
    <w:rsid w:val="005D1316"/>
    <w:rsid w:val="005D29B9"/>
    <w:rsid w:val="005D29DE"/>
    <w:rsid w:val="005D31C6"/>
    <w:rsid w:val="005D3B68"/>
    <w:rsid w:val="005D545A"/>
    <w:rsid w:val="005D573D"/>
    <w:rsid w:val="005D58AB"/>
    <w:rsid w:val="005D6360"/>
    <w:rsid w:val="005D6E9A"/>
    <w:rsid w:val="005E0D9B"/>
    <w:rsid w:val="005E176C"/>
    <w:rsid w:val="005E1835"/>
    <w:rsid w:val="005E19BF"/>
    <w:rsid w:val="005E3FA4"/>
    <w:rsid w:val="005E40C6"/>
    <w:rsid w:val="005E4A7D"/>
    <w:rsid w:val="005E5759"/>
    <w:rsid w:val="005E7784"/>
    <w:rsid w:val="005E77CF"/>
    <w:rsid w:val="005E7F47"/>
    <w:rsid w:val="005F0869"/>
    <w:rsid w:val="005F17FF"/>
    <w:rsid w:val="005F182F"/>
    <w:rsid w:val="005F4FBF"/>
    <w:rsid w:val="005F6085"/>
    <w:rsid w:val="005F7E8B"/>
    <w:rsid w:val="006002BC"/>
    <w:rsid w:val="00600384"/>
    <w:rsid w:val="00600501"/>
    <w:rsid w:val="006019F1"/>
    <w:rsid w:val="00601AEF"/>
    <w:rsid w:val="00601B40"/>
    <w:rsid w:val="006025B0"/>
    <w:rsid w:val="00603280"/>
    <w:rsid w:val="0060343A"/>
    <w:rsid w:val="00605254"/>
    <w:rsid w:val="006054C0"/>
    <w:rsid w:val="0060599D"/>
    <w:rsid w:val="00605EEB"/>
    <w:rsid w:val="00606111"/>
    <w:rsid w:val="006103AE"/>
    <w:rsid w:val="00610760"/>
    <w:rsid w:val="0061103F"/>
    <w:rsid w:val="006115CF"/>
    <w:rsid w:val="0061169B"/>
    <w:rsid w:val="00613377"/>
    <w:rsid w:val="00614253"/>
    <w:rsid w:val="00614A81"/>
    <w:rsid w:val="00614DDD"/>
    <w:rsid w:val="006154D0"/>
    <w:rsid w:val="006178B7"/>
    <w:rsid w:val="00617E26"/>
    <w:rsid w:val="006203AD"/>
    <w:rsid w:val="00620A83"/>
    <w:rsid w:val="006213D6"/>
    <w:rsid w:val="006219B2"/>
    <w:rsid w:val="00622284"/>
    <w:rsid w:val="006229EA"/>
    <w:rsid w:val="00624122"/>
    <w:rsid w:val="006241E4"/>
    <w:rsid w:val="0062421B"/>
    <w:rsid w:val="00624BE4"/>
    <w:rsid w:val="006252F4"/>
    <w:rsid w:val="00627BAF"/>
    <w:rsid w:val="00630767"/>
    <w:rsid w:val="00631716"/>
    <w:rsid w:val="006317A4"/>
    <w:rsid w:val="0063253F"/>
    <w:rsid w:val="006333AF"/>
    <w:rsid w:val="00633EFF"/>
    <w:rsid w:val="006346D3"/>
    <w:rsid w:val="00637639"/>
    <w:rsid w:val="006406CF"/>
    <w:rsid w:val="00641E32"/>
    <w:rsid w:val="00641EAE"/>
    <w:rsid w:val="006420BD"/>
    <w:rsid w:val="006421DB"/>
    <w:rsid w:val="006428A8"/>
    <w:rsid w:val="00642CA7"/>
    <w:rsid w:val="006430C2"/>
    <w:rsid w:val="006431F3"/>
    <w:rsid w:val="006439FE"/>
    <w:rsid w:val="00643E05"/>
    <w:rsid w:val="00644132"/>
    <w:rsid w:val="006452C7"/>
    <w:rsid w:val="00650CF4"/>
    <w:rsid w:val="00651F9F"/>
    <w:rsid w:val="006524E6"/>
    <w:rsid w:val="00652518"/>
    <w:rsid w:val="0065387D"/>
    <w:rsid w:val="00653A27"/>
    <w:rsid w:val="00660194"/>
    <w:rsid w:val="00660579"/>
    <w:rsid w:val="00661DA2"/>
    <w:rsid w:val="006624A2"/>
    <w:rsid w:val="00662602"/>
    <w:rsid w:val="00662CAC"/>
    <w:rsid w:val="00663B7A"/>
    <w:rsid w:val="00665822"/>
    <w:rsid w:val="006670AD"/>
    <w:rsid w:val="00670858"/>
    <w:rsid w:val="00671CD3"/>
    <w:rsid w:val="006722FB"/>
    <w:rsid w:val="00672B18"/>
    <w:rsid w:val="006733D0"/>
    <w:rsid w:val="006737B0"/>
    <w:rsid w:val="0067446C"/>
    <w:rsid w:val="0067482F"/>
    <w:rsid w:val="00674CDB"/>
    <w:rsid w:val="00675A74"/>
    <w:rsid w:val="00675AB2"/>
    <w:rsid w:val="00675F7E"/>
    <w:rsid w:val="0068062B"/>
    <w:rsid w:val="00683383"/>
    <w:rsid w:val="006843DE"/>
    <w:rsid w:val="00684952"/>
    <w:rsid w:val="00685BBA"/>
    <w:rsid w:val="00685F32"/>
    <w:rsid w:val="0068604F"/>
    <w:rsid w:val="006863AC"/>
    <w:rsid w:val="00686C46"/>
    <w:rsid w:val="00687A74"/>
    <w:rsid w:val="00690879"/>
    <w:rsid w:val="006914AC"/>
    <w:rsid w:val="0069256C"/>
    <w:rsid w:val="0069405D"/>
    <w:rsid w:val="006945D5"/>
    <w:rsid w:val="0069460C"/>
    <w:rsid w:val="006978FD"/>
    <w:rsid w:val="006A012B"/>
    <w:rsid w:val="006A0F91"/>
    <w:rsid w:val="006A1C10"/>
    <w:rsid w:val="006A220F"/>
    <w:rsid w:val="006A2692"/>
    <w:rsid w:val="006A30B4"/>
    <w:rsid w:val="006A3314"/>
    <w:rsid w:val="006A3615"/>
    <w:rsid w:val="006A4DF7"/>
    <w:rsid w:val="006A52E9"/>
    <w:rsid w:val="006A537F"/>
    <w:rsid w:val="006A5D82"/>
    <w:rsid w:val="006A6342"/>
    <w:rsid w:val="006A7E6A"/>
    <w:rsid w:val="006B00F5"/>
    <w:rsid w:val="006B09CA"/>
    <w:rsid w:val="006B0B8A"/>
    <w:rsid w:val="006B19CA"/>
    <w:rsid w:val="006B1D51"/>
    <w:rsid w:val="006B2D27"/>
    <w:rsid w:val="006B3827"/>
    <w:rsid w:val="006B6933"/>
    <w:rsid w:val="006B6C32"/>
    <w:rsid w:val="006C0E50"/>
    <w:rsid w:val="006C0FF9"/>
    <w:rsid w:val="006C252F"/>
    <w:rsid w:val="006C27D3"/>
    <w:rsid w:val="006C4504"/>
    <w:rsid w:val="006C4D0D"/>
    <w:rsid w:val="006C4D51"/>
    <w:rsid w:val="006C6B19"/>
    <w:rsid w:val="006C73D3"/>
    <w:rsid w:val="006D04A4"/>
    <w:rsid w:val="006D1CB9"/>
    <w:rsid w:val="006D2A33"/>
    <w:rsid w:val="006D3441"/>
    <w:rsid w:val="006D48AF"/>
    <w:rsid w:val="006D54A9"/>
    <w:rsid w:val="006D6534"/>
    <w:rsid w:val="006D676D"/>
    <w:rsid w:val="006D759C"/>
    <w:rsid w:val="006D7A88"/>
    <w:rsid w:val="006E0921"/>
    <w:rsid w:val="006E11BC"/>
    <w:rsid w:val="006E13FC"/>
    <w:rsid w:val="006E1BBA"/>
    <w:rsid w:val="006E2E8A"/>
    <w:rsid w:val="006E628B"/>
    <w:rsid w:val="006F0D23"/>
    <w:rsid w:val="006F0DFA"/>
    <w:rsid w:val="006F10D4"/>
    <w:rsid w:val="006F13A6"/>
    <w:rsid w:val="006F1AC1"/>
    <w:rsid w:val="006F1E82"/>
    <w:rsid w:val="006F2DFE"/>
    <w:rsid w:val="006F4B2A"/>
    <w:rsid w:val="006F4EAA"/>
    <w:rsid w:val="006F5EE5"/>
    <w:rsid w:val="006F6BFD"/>
    <w:rsid w:val="006F7515"/>
    <w:rsid w:val="006F7D58"/>
    <w:rsid w:val="00700024"/>
    <w:rsid w:val="00700198"/>
    <w:rsid w:val="007011F4"/>
    <w:rsid w:val="00702B30"/>
    <w:rsid w:val="007049E1"/>
    <w:rsid w:val="00706224"/>
    <w:rsid w:val="0070629D"/>
    <w:rsid w:val="00707685"/>
    <w:rsid w:val="007079F0"/>
    <w:rsid w:val="00707D94"/>
    <w:rsid w:val="0071072E"/>
    <w:rsid w:val="00711DD5"/>
    <w:rsid w:val="00712A5C"/>
    <w:rsid w:val="007130BF"/>
    <w:rsid w:val="00713174"/>
    <w:rsid w:val="0071460C"/>
    <w:rsid w:val="0071527C"/>
    <w:rsid w:val="007200E2"/>
    <w:rsid w:val="007203DE"/>
    <w:rsid w:val="00720885"/>
    <w:rsid w:val="00720A5F"/>
    <w:rsid w:val="007210F9"/>
    <w:rsid w:val="007226EF"/>
    <w:rsid w:val="00722C3A"/>
    <w:rsid w:val="00723B5D"/>
    <w:rsid w:val="007241E3"/>
    <w:rsid w:val="0072523C"/>
    <w:rsid w:val="00726F60"/>
    <w:rsid w:val="00727049"/>
    <w:rsid w:val="0072729E"/>
    <w:rsid w:val="00730269"/>
    <w:rsid w:val="00731377"/>
    <w:rsid w:val="007317D0"/>
    <w:rsid w:val="00731CDD"/>
    <w:rsid w:val="00733C16"/>
    <w:rsid w:val="00733C98"/>
    <w:rsid w:val="007365A8"/>
    <w:rsid w:val="0073673C"/>
    <w:rsid w:val="0073691D"/>
    <w:rsid w:val="00737525"/>
    <w:rsid w:val="00737E78"/>
    <w:rsid w:val="0074083F"/>
    <w:rsid w:val="007434B9"/>
    <w:rsid w:val="00743BB1"/>
    <w:rsid w:val="0074557D"/>
    <w:rsid w:val="00745F90"/>
    <w:rsid w:val="00747C4E"/>
    <w:rsid w:val="00750BB4"/>
    <w:rsid w:val="00750EB1"/>
    <w:rsid w:val="0075126D"/>
    <w:rsid w:val="0075211A"/>
    <w:rsid w:val="00752153"/>
    <w:rsid w:val="00752352"/>
    <w:rsid w:val="00752CB7"/>
    <w:rsid w:val="00752F74"/>
    <w:rsid w:val="007537B8"/>
    <w:rsid w:val="00753AEF"/>
    <w:rsid w:val="007561CB"/>
    <w:rsid w:val="00756879"/>
    <w:rsid w:val="00756BEA"/>
    <w:rsid w:val="00757351"/>
    <w:rsid w:val="007577A7"/>
    <w:rsid w:val="00760D9F"/>
    <w:rsid w:val="0076121D"/>
    <w:rsid w:val="007616E9"/>
    <w:rsid w:val="0076346C"/>
    <w:rsid w:val="00763747"/>
    <w:rsid w:val="007638C6"/>
    <w:rsid w:val="007643A9"/>
    <w:rsid w:val="00764581"/>
    <w:rsid w:val="007659BC"/>
    <w:rsid w:val="007701AD"/>
    <w:rsid w:val="00770821"/>
    <w:rsid w:val="00771B96"/>
    <w:rsid w:val="00771C1A"/>
    <w:rsid w:val="00772680"/>
    <w:rsid w:val="00773620"/>
    <w:rsid w:val="007754DF"/>
    <w:rsid w:val="00775CC8"/>
    <w:rsid w:val="007760A4"/>
    <w:rsid w:val="00776BC5"/>
    <w:rsid w:val="007824FC"/>
    <w:rsid w:val="00782512"/>
    <w:rsid w:val="0078565E"/>
    <w:rsid w:val="00785C2D"/>
    <w:rsid w:val="00786D87"/>
    <w:rsid w:val="007873C3"/>
    <w:rsid w:val="00787840"/>
    <w:rsid w:val="00787D7E"/>
    <w:rsid w:val="00791100"/>
    <w:rsid w:val="007919F0"/>
    <w:rsid w:val="00791C28"/>
    <w:rsid w:val="00794B73"/>
    <w:rsid w:val="007973EE"/>
    <w:rsid w:val="00797A6D"/>
    <w:rsid w:val="007A0081"/>
    <w:rsid w:val="007A0C41"/>
    <w:rsid w:val="007A0D0E"/>
    <w:rsid w:val="007A168D"/>
    <w:rsid w:val="007A21BB"/>
    <w:rsid w:val="007A2AAB"/>
    <w:rsid w:val="007A3A43"/>
    <w:rsid w:val="007A4A37"/>
    <w:rsid w:val="007A4C5F"/>
    <w:rsid w:val="007A57FB"/>
    <w:rsid w:val="007A622B"/>
    <w:rsid w:val="007A7F0B"/>
    <w:rsid w:val="007B04EC"/>
    <w:rsid w:val="007B23D4"/>
    <w:rsid w:val="007B2970"/>
    <w:rsid w:val="007B362B"/>
    <w:rsid w:val="007B46E8"/>
    <w:rsid w:val="007B49D9"/>
    <w:rsid w:val="007B4FEF"/>
    <w:rsid w:val="007B696A"/>
    <w:rsid w:val="007B7D15"/>
    <w:rsid w:val="007C0A14"/>
    <w:rsid w:val="007C1092"/>
    <w:rsid w:val="007C1485"/>
    <w:rsid w:val="007C1FEA"/>
    <w:rsid w:val="007C3282"/>
    <w:rsid w:val="007C49C7"/>
    <w:rsid w:val="007C4CB5"/>
    <w:rsid w:val="007C4FB7"/>
    <w:rsid w:val="007C7CD0"/>
    <w:rsid w:val="007D0D40"/>
    <w:rsid w:val="007D1913"/>
    <w:rsid w:val="007D2258"/>
    <w:rsid w:val="007D26F9"/>
    <w:rsid w:val="007D3F7A"/>
    <w:rsid w:val="007D4042"/>
    <w:rsid w:val="007D4074"/>
    <w:rsid w:val="007D6D22"/>
    <w:rsid w:val="007D7207"/>
    <w:rsid w:val="007E0BD6"/>
    <w:rsid w:val="007E1672"/>
    <w:rsid w:val="007E1B6C"/>
    <w:rsid w:val="007E2A49"/>
    <w:rsid w:val="007E31CF"/>
    <w:rsid w:val="007E3E5C"/>
    <w:rsid w:val="007E4AA6"/>
    <w:rsid w:val="007E522D"/>
    <w:rsid w:val="007E5A94"/>
    <w:rsid w:val="007E5AAC"/>
    <w:rsid w:val="007E6B11"/>
    <w:rsid w:val="007E6E35"/>
    <w:rsid w:val="007F121F"/>
    <w:rsid w:val="007F1DE7"/>
    <w:rsid w:val="007F2A2C"/>
    <w:rsid w:val="007F3C7A"/>
    <w:rsid w:val="007F4042"/>
    <w:rsid w:val="007F412A"/>
    <w:rsid w:val="007F5B42"/>
    <w:rsid w:val="007F5BB7"/>
    <w:rsid w:val="007F60B7"/>
    <w:rsid w:val="007F680B"/>
    <w:rsid w:val="007F7132"/>
    <w:rsid w:val="008005AC"/>
    <w:rsid w:val="00800C8A"/>
    <w:rsid w:val="0080128F"/>
    <w:rsid w:val="00801762"/>
    <w:rsid w:val="00801E41"/>
    <w:rsid w:val="00802811"/>
    <w:rsid w:val="00803591"/>
    <w:rsid w:val="00803959"/>
    <w:rsid w:val="00804435"/>
    <w:rsid w:val="00804B3F"/>
    <w:rsid w:val="00805C7D"/>
    <w:rsid w:val="00806BCD"/>
    <w:rsid w:val="008071C2"/>
    <w:rsid w:val="0081134F"/>
    <w:rsid w:val="008117AE"/>
    <w:rsid w:val="00813316"/>
    <w:rsid w:val="00814237"/>
    <w:rsid w:val="0081491A"/>
    <w:rsid w:val="00814A09"/>
    <w:rsid w:val="00815069"/>
    <w:rsid w:val="00815177"/>
    <w:rsid w:val="00815668"/>
    <w:rsid w:val="00815732"/>
    <w:rsid w:val="008161B7"/>
    <w:rsid w:val="0081669E"/>
    <w:rsid w:val="008168D5"/>
    <w:rsid w:val="00816E80"/>
    <w:rsid w:val="00817714"/>
    <w:rsid w:val="00817DBD"/>
    <w:rsid w:val="008206AE"/>
    <w:rsid w:val="0082385A"/>
    <w:rsid w:val="008240BF"/>
    <w:rsid w:val="008241BF"/>
    <w:rsid w:val="00824278"/>
    <w:rsid w:val="008256B1"/>
    <w:rsid w:val="00826329"/>
    <w:rsid w:val="00826829"/>
    <w:rsid w:val="008268A3"/>
    <w:rsid w:val="00826BF0"/>
    <w:rsid w:val="008326A6"/>
    <w:rsid w:val="00833094"/>
    <w:rsid w:val="00834453"/>
    <w:rsid w:val="008371CC"/>
    <w:rsid w:val="0084242E"/>
    <w:rsid w:val="00842D5E"/>
    <w:rsid w:val="00843AFE"/>
    <w:rsid w:val="00843C88"/>
    <w:rsid w:val="00844C56"/>
    <w:rsid w:val="00844E77"/>
    <w:rsid w:val="00846396"/>
    <w:rsid w:val="00846C8D"/>
    <w:rsid w:val="00847AA8"/>
    <w:rsid w:val="00847B04"/>
    <w:rsid w:val="008503A7"/>
    <w:rsid w:val="00851487"/>
    <w:rsid w:val="008527CE"/>
    <w:rsid w:val="008554AC"/>
    <w:rsid w:val="00855551"/>
    <w:rsid w:val="00857C09"/>
    <w:rsid w:val="00860A2F"/>
    <w:rsid w:val="00860C3F"/>
    <w:rsid w:val="0086293F"/>
    <w:rsid w:val="008657EF"/>
    <w:rsid w:val="00866CFA"/>
    <w:rsid w:val="008674BC"/>
    <w:rsid w:val="0087058B"/>
    <w:rsid w:val="00870693"/>
    <w:rsid w:val="00870840"/>
    <w:rsid w:val="00875184"/>
    <w:rsid w:val="00875EE3"/>
    <w:rsid w:val="00876669"/>
    <w:rsid w:val="00877064"/>
    <w:rsid w:val="0087750C"/>
    <w:rsid w:val="00877D7C"/>
    <w:rsid w:val="00880B9E"/>
    <w:rsid w:val="0088137E"/>
    <w:rsid w:val="0088176F"/>
    <w:rsid w:val="008821A6"/>
    <w:rsid w:val="00885BDB"/>
    <w:rsid w:val="0089143A"/>
    <w:rsid w:val="008929B4"/>
    <w:rsid w:val="00893D35"/>
    <w:rsid w:val="00895943"/>
    <w:rsid w:val="008968EF"/>
    <w:rsid w:val="00897969"/>
    <w:rsid w:val="00897F8A"/>
    <w:rsid w:val="008A05D1"/>
    <w:rsid w:val="008A5103"/>
    <w:rsid w:val="008A6878"/>
    <w:rsid w:val="008A6B3F"/>
    <w:rsid w:val="008B0576"/>
    <w:rsid w:val="008B0DD5"/>
    <w:rsid w:val="008B13FD"/>
    <w:rsid w:val="008B512A"/>
    <w:rsid w:val="008B551A"/>
    <w:rsid w:val="008B5FD3"/>
    <w:rsid w:val="008B63ED"/>
    <w:rsid w:val="008C00FE"/>
    <w:rsid w:val="008C0137"/>
    <w:rsid w:val="008C0CD6"/>
    <w:rsid w:val="008C1009"/>
    <w:rsid w:val="008C1927"/>
    <w:rsid w:val="008C1A6F"/>
    <w:rsid w:val="008C341E"/>
    <w:rsid w:val="008C3630"/>
    <w:rsid w:val="008C5F0C"/>
    <w:rsid w:val="008C623B"/>
    <w:rsid w:val="008C72BB"/>
    <w:rsid w:val="008D010C"/>
    <w:rsid w:val="008D02A6"/>
    <w:rsid w:val="008D0C33"/>
    <w:rsid w:val="008D1DED"/>
    <w:rsid w:val="008D29CD"/>
    <w:rsid w:val="008D2C86"/>
    <w:rsid w:val="008D38FD"/>
    <w:rsid w:val="008D3E85"/>
    <w:rsid w:val="008D4B4B"/>
    <w:rsid w:val="008D5AD0"/>
    <w:rsid w:val="008D6DD6"/>
    <w:rsid w:val="008D6F67"/>
    <w:rsid w:val="008D71C0"/>
    <w:rsid w:val="008E0573"/>
    <w:rsid w:val="008E08B4"/>
    <w:rsid w:val="008E0F6C"/>
    <w:rsid w:val="008E1D66"/>
    <w:rsid w:val="008E2504"/>
    <w:rsid w:val="008E2544"/>
    <w:rsid w:val="008E3208"/>
    <w:rsid w:val="008E3CDD"/>
    <w:rsid w:val="008E3EA8"/>
    <w:rsid w:val="008E5DBD"/>
    <w:rsid w:val="008E6BB3"/>
    <w:rsid w:val="008E7DAB"/>
    <w:rsid w:val="008F2B58"/>
    <w:rsid w:val="008F3625"/>
    <w:rsid w:val="008F4586"/>
    <w:rsid w:val="008F48D9"/>
    <w:rsid w:val="008F4B1C"/>
    <w:rsid w:val="008F698C"/>
    <w:rsid w:val="008F78F2"/>
    <w:rsid w:val="0090268B"/>
    <w:rsid w:val="0090326D"/>
    <w:rsid w:val="009033C8"/>
    <w:rsid w:val="00903747"/>
    <w:rsid w:val="0090380A"/>
    <w:rsid w:val="00906EF5"/>
    <w:rsid w:val="00907A96"/>
    <w:rsid w:val="00907F4F"/>
    <w:rsid w:val="00910FFD"/>
    <w:rsid w:val="0091418D"/>
    <w:rsid w:val="0091427F"/>
    <w:rsid w:val="0091482E"/>
    <w:rsid w:val="009158E6"/>
    <w:rsid w:val="009163C1"/>
    <w:rsid w:val="00917496"/>
    <w:rsid w:val="009179CD"/>
    <w:rsid w:val="00917E4D"/>
    <w:rsid w:val="0092033F"/>
    <w:rsid w:val="009243CC"/>
    <w:rsid w:val="0092592A"/>
    <w:rsid w:val="00926011"/>
    <w:rsid w:val="009278F3"/>
    <w:rsid w:val="00927C1B"/>
    <w:rsid w:val="00930278"/>
    <w:rsid w:val="00930E5B"/>
    <w:rsid w:val="00931D88"/>
    <w:rsid w:val="0093248D"/>
    <w:rsid w:val="00932ACA"/>
    <w:rsid w:val="00933B94"/>
    <w:rsid w:val="00933F79"/>
    <w:rsid w:val="00935370"/>
    <w:rsid w:val="00935673"/>
    <w:rsid w:val="009357D0"/>
    <w:rsid w:val="00935846"/>
    <w:rsid w:val="0093619A"/>
    <w:rsid w:val="0093707C"/>
    <w:rsid w:val="009376FD"/>
    <w:rsid w:val="0093774F"/>
    <w:rsid w:val="00937CDC"/>
    <w:rsid w:val="0094332A"/>
    <w:rsid w:val="00943F6B"/>
    <w:rsid w:val="009445D5"/>
    <w:rsid w:val="00944BD6"/>
    <w:rsid w:val="00944CF2"/>
    <w:rsid w:val="009453FF"/>
    <w:rsid w:val="00945733"/>
    <w:rsid w:val="00946B03"/>
    <w:rsid w:val="00946BF5"/>
    <w:rsid w:val="00947462"/>
    <w:rsid w:val="00947DDE"/>
    <w:rsid w:val="00950FF4"/>
    <w:rsid w:val="009514B7"/>
    <w:rsid w:val="009522E2"/>
    <w:rsid w:val="00952342"/>
    <w:rsid w:val="0095249F"/>
    <w:rsid w:val="00952576"/>
    <w:rsid w:val="00952DEA"/>
    <w:rsid w:val="00953DA5"/>
    <w:rsid w:val="00955FF0"/>
    <w:rsid w:val="00956B02"/>
    <w:rsid w:val="00957D11"/>
    <w:rsid w:val="0096104F"/>
    <w:rsid w:val="00961084"/>
    <w:rsid w:val="00961201"/>
    <w:rsid w:val="00961AF7"/>
    <w:rsid w:val="00962BA2"/>
    <w:rsid w:val="00965C88"/>
    <w:rsid w:val="00965E8D"/>
    <w:rsid w:val="009671D6"/>
    <w:rsid w:val="009675B3"/>
    <w:rsid w:val="00967A88"/>
    <w:rsid w:val="00967D66"/>
    <w:rsid w:val="00970C30"/>
    <w:rsid w:val="00970D80"/>
    <w:rsid w:val="00970D92"/>
    <w:rsid w:val="00970FEC"/>
    <w:rsid w:val="0097125A"/>
    <w:rsid w:val="00971A4F"/>
    <w:rsid w:val="00975916"/>
    <w:rsid w:val="00975ADB"/>
    <w:rsid w:val="00976219"/>
    <w:rsid w:val="00977272"/>
    <w:rsid w:val="009778D1"/>
    <w:rsid w:val="00977CE5"/>
    <w:rsid w:val="00981DC7"/>
    <w:rsid w:val="00981E09"/>
    <w:rsid w:val="00983B8D"/>
    <w:rsid w:val="00986ADE"/>
    <w:rsid w:val="00987514"/>
    <w:rsid w:val="0099018B"/>
    <w:rsid w:val="00990381"/>
    <w:rsid w:val="00994553"/>
    <w:rsid w:val="009945BA"/>
    <w:rsid w:val="009955B6"/>
    <w:rsid w:val="009960ED"/>
    <w:rsid w:val="009963FE"/>
    <w:rsid w:val="0099652C"/>
    <w:rsid w:val="009A1C5A"/>
    <w:rsid w:val="009A2866"/>
    <w:rsid w:val="009A3028"/>
    <w:rsid w:val="009A3B20"/>
    <w:rsid w:val="009A4435"/>
    <w:rsid w:val="009A4638"/>
    <w:rsid w:val="009A5B1E"/>
    <w:rsid w:val="009A5F9B"/>
    <w:rsid w:val="009A625B"/>
    <w:rsid w:val="009A75FC"/>
    <w:rsid w:val="009A79EE"/>
    <w:rsid w:val="009B0515"/>
    <w:rsid w:val="009B0A3A"/>
    <w:rsid w:val="009B1222"/>
    <w:rsid w:val="009B14FD"/>
    <w:rsid w:val="009B2FA0"/>
    <w:rsid w:val="009B6029"/>
    <w:rsid w:val="009B6343"/>
    <w:rsid w:val="009B6347"/>
    <w:rsid w:val="009C01D5"/>
    <w:rsid w:val="009C1024"/>
    <w:rsid w:val="009C1337"/>
    <w:rsid w:val="009C1633"/>
    <w:rsid w:val="009C1FD7"/>
    <w:rsid w:val="009C2C57"/>
    <w:rsid w:val="009C3C0B"/>
    <w:rsid w:val="009C57B3"/>
    <w:rsid w:val="009C5941"/>
    <w:rsid w:val="009C5F7F"/>
    <w:rsid w:val="009C6235"/>
    <w:rsid w:val="009C6361"/>
    <w:rsid w:val="009D1630"/>
    <w:rsid w:val="009D426A"/>
    <w:rsid w:val="009D4D1E"/>
    <w:rsid w:val="009D5F1F"/>
    <w:rsid w:val="009D6258"/>
    <w:rsid w:val="009D69F2"/>
    <w:rsid w:val="009D73F8"/>
    <w:rsid w:val="009D7601"/>
    <w:rsid w:val="009D7789"/>
    <w:rsid w:val="009D7880"/>
    <w:rsid w:val="009D7C30"/>
    <w:rsid w:val="009E3224"/>
    <w:rsid w:val="009E3F0C"/>
    <w:rsid w:val="009E46B3"/>
    <w:rsid w:val="009E46FB"/>
    <w:rsid w:val="009E6C0F"/>
    <w:rsid w:val="009E7C18"/>
    <w:rsid w:val="009E7D78"/>
    <w:rsid w:val="009E7F18"/>
    <w:rsid w:val="009E7FF0"/>
    <w:rsid w:val="009F131C"/>
    <w:rsid w:val="009F17FC"/>
    <w:rsid w:val="009F1DD3"/>
    <w:rsid w:val="009F3CB2"/>
    <w:rsid w:val="009F4206"/>
    <w:rsid w:val="009F6A2E"/>
    <w:rsid w:val="009F7B43"/>
    <w:rsid w:val="00A04B70"/>
    <w:rsid w:val="00A05194"/>
    <w:rsid w:val="00A065D9"/>
    <w:rsid w:val="00A07F78"/>
    <w:rsid w:val="00A133AB"/>
    <w:rsid w:val="00A13664"/>
    <w:rsid w:val="00A151C5"/>
    <w:rsid w:val="00A15BA3"/>
    <w:rsid w:val="00A20267"/>
    <w:rsid w:val="00A20AB9"/>
    <w:rsid w:val="00A227EA"/>
    <w:rsid w:val="00A22950"/>
    <w:rsid w:val="00A22A07"/>
    <w:rsid w:val="00A2364D"/>
    <w:rsid w:val="00A25242"/>
    <w:rsid w:val="00A26FD6"/>
    <w:rsid w:val="00A27D1A"/>
    <w:rsid w:val="00A31A8D"/>
    <w:rsid w:val="00A321A4"/>
    <w:rsid w:val="00A3307B"/>
    <w:rsid w:val="00A33BF0"/>
    <w:rsid w:val="00A343B5"/>
    <w:rsid w:val="00A35CED"/>
    <w:rsid w:val="00A35F6F"/>
    <w:rsid w:val="00A36A2E"/>
    <w:rsid w:val="00A36EF0"/>
    <w:rsid w:val="00A40B75"/>
    <w:rsid w:val="00A41656"/>
    <w:rsid w:val="00A426C2"/>
    <w:rsid w:val="00A433AD"/>
    <w:rsid w:val="00A434B7"/>
    <w:rsid w:val="00A43ED8"/>
    <w:rsid w:val="00A452F4"/>
    <w:rsid w:val="00A47556"/>
    <w:rsid w:val="00A504B5"/>
    <w:rsid w:val="00A513A2"/>
    <w:rsid w:val="00A52F1B"/>
    <w:rsid w:val="00A54F64"/>
    <w:rsid w:val="00A5551D"/>
    <w:rsid w:val="00A61282"/>
    <w:rsid w:val="00A61F19"/>
    <w:rsid w:val="00A621D0"/>
    <w:rsid w:val="00A63E62"/>
    <w:rsid w:val="00A64E42"/>
    <w:rsid w:val="00A651CC"/>
    <w:rsid w:val="00A659A0"/>
    <w:rsid w:val="00A661AF"/>
    <w:rsid w:val="00A679BD"/>
    <w:rsid w:val="00A67DBC"/>
    <w:rsid w:val="00A67F7A"/>
    <w:rsid w:val="00A71565"/>
    <w:rsid w:val="00A71B05"/>
    <w:rsid w:val="00A71D09"/>
    <w:rsid w:val="00A72A34"/>
    <w:rsid w:val="00A7306F"/>
    <w:rsid w:val="00A73F83"/>
    <w:rsid w:val="00A74A35"/>
    <w:rsid w:val="00A74B6B"/>
    <w:rsid w:val="00A760F5"/>
    <w:rsid w:val="00A7691E"/>
    <w:rsid w:val="00A778A7"/>
    <w:rsid w:val="00A82FFE"/>
    <w:rsid w:val="00A83AE9"/>
    <w:rsid w:val="00A84882"/>
    <w:rsid w:val="00A8606F"/>
    <w:rsid w:val="00A86493"/>
    <w:rsid w:val="00A8710A"/>
    <w:rsid w:val="00A87C55"/>
    <w:rsid w:val="00A90FE5"/>
    <w:rsid w:val="00A91242"/>
    <w:rsid w:val="00A92389"/>
    <w:rsid w:val="00A92BF5"/>
    <w:rsid w:val="00A9335C"/>
    <w:rsid w:val="00A93B26"/>
    <w:rsid w:val="00A93D28"/>
    <w:rsid w:val="00A96715"/>
    <w:rsid w:val="00A96F08"/>
    <w:rsid w:val="00AA1054"/>
    <w:rsid w:val="00AA1104"/>
    <w:rsid w:val="00AA25DB"/>
    <w:rsid w:val="00AA3703"/>
    <w:rsid w:val="00AA3C68"/>
    <w:rsid w:val="00AA42B3"/>
    <w:rsid w:val="00AA6823"/>
    <w:rsid w:val="00AA74E2"/>
    <w:rsid w:val="00AB0868"/>
    <w:rsid w:val="00AB1634"/>
    <w:rsid w:val="00AB1E31"/>
    <w:rsid w:val="00AB2389"/>
    <w:rsid w:val="00AB414E"/>
    <w:rsid w:val="00AB4713"/>
    <w:rsid w:val="00AB70D0"/>
    <w:rsid w:val="00AC4B2F"/>
    <w:rsid w:val="00AC5B18"/>
    <w:rsid w:val="00AC6874"/>
    <w:rsid w:val="00AD027D"/>
    <w:rsid w:val="00AD0C65"/>
    <w:rsid w:val="00AD3C88"/>
    <w:rsid w:val="00AD4033"/>
    <w:rsid w:val="00AD6A77"/>
    <w:rsid w:val="00AD7368"/>
    <w:rsid w:val="00AD7555"/>
    <w:rsid w:val="00AE0C82"/>
    <w:rsid w:val="00AE0DFA"/>
    <w:rsid w:val="00AE3ACE"/>
    <w:rsid w:val="00AE3D8B"/>
    <w:rsid w:val="00AE5E3B"/>
    <w:rsid w:val="00AF16F4"/>
    <w:rsid w:val="00AF2195"/>
    <w:rsid w:val="00AF29E4"/>
    <w:rsid w:val="00AF32A8"/>
    <w:rsid w:val="00AF6A13"/>
    <w:rsid w:val="00AF7141"/>
    <w:rsid w:val="00B0075B"/>
    <w:rsid w:val="00B017F4"/>
    <w:rsid w:val="00B01E35"/>
    <w:rsid w:val="00B02217"/>
    <w:rsid w:val="00B04F07"/>
    <w:rsid w:val="00B054FE"/>
    <w:rsid w:val="00B05E2D"/>
    <w:rsid w:val="00B06904"/>
    <w:rsid w:val="00B06F6A"/>
    <w:rsid w:val="00B0799C"/>
    <w:rsid w:val="00B07E8A"/>
    <w:rsid w:val="00B10FCF"/>
    <w:rsid w:val="00B125AB"/>
    <w:rsid w:val="00B14144"/>
    <w:rsid w:val="00B14935"/>
    <w:rsid w:val="00B14C57"/>
    <w:rsid w:val="00B15363"/>
    <w:rsid w:val="00B157DD"/>
    <w:rsid w:val="00B15DC5"/>
    <w:rsid w:val="00B17536"/>
    <w:rsid w:val="00B21619"/>
    <w:rsid w:val="00B21C78"/>
    <w:rsid w:val="00B21F66"/>
    <w:rsid w:val="00B21FE9"/>
    <w:rsid w:val="00B223FC"/>
    <w:rsid w:val="00B225C7"/>
    <w:rsid w:val="00B23DD7"/>
    <w:rsid w:val="00B25B4E"/>
    <w:rsid w:val="00B25BEE"/>
    <w:rsid w:val="00B26783"/>
    <w:rsid w:val="00B26C4B"/>
    <w:rsid w:val="00B273A1"/>
    <w:rsid w:val="00B303D8"/>
    <w:rsid w:val="00B31CA5"/>
    <w:rsid w:val="00B3212F"/>
    <w:rsid w:val="00B32EF2"/>
    <w:rsid w:val="00B34713"/>
    <w:rsid w:val="00B34C00"/>
    <w:rsid w:val="00B34CCB"/>
    <w:rsid w:val="00B3538A"/>
    <w:rsid w:val="00B35CA1"/>
    <w:rsid w:val="00B365C9"/>
    <w:rsid w:val="00B3765A"/>
    <w:rsid w:val="00B40934"/>
    <w:rsid w:val="00B41BDB"/>
    <w:rsid w:val="00B43D40"/>
    <w:rsid w:val="00B44683"/>
    <w:rsid w:val="00B44B57"/>
    <w:rsid w:val="00B450D6"/>
    <w:rsid w:val="00B47B7D"/>
    <w:rsid w:val="00B47CE1"/>
    <w:rsid w:val="00B515DF"/>
    <w:rsid w:val="00B51C9A"/>
    <w:rsid w:val="00B51D04"/>
    <w:rsid w:val="00B521DF"/>
    <w:rsid w:val="00B5250C"/>
    <w:rsid w:val="00B528E9"/>
    <w:rsid w:val="00B52FEE"/>
    <w:rsid w:val="00B532C8"/>
    <w:rsid w:val="00B53EE5"/>
    <w:rsid w:val="00B5437C"/>
    <w:rsid w:val="00B55333"/>
    <w:rsid w:val="00B557E2"/>
    <w:rsid w:val="00B55CF7"/>
    <w:rsid w:val="00B55D01"/>
    <w:rsid w:val="00B57D36"/>
    <w:rsid w:val="00B61259"/>
    <w:rsid w:val="00B617EA"/>
    <w:rsid w:val="00B63ADA"/>
    <w:rsid w:val="00B645FE"/>
    <w:rsid w:val="00B64D6E"/>
    <w:rsid w:val="00B65977"/>
    <w:rsid w:val="00B65FCA"/>
    <w:rsid w:val="00B66F86"/>
    <w:rsid w:val="00B67061"/>
    <w:rsid w:val="00B67076"/>
    <w:rsid w:val="00B673F5"/>
    <w:rsid w:val="00B679FC"/>
    <w:rsid w:val="00B67EAD"/>
    <w:rsid w:val="00B71150"/>
    <w:rsid w:val="00B71254"/>
    <w:rsid w:val="00B72AA1"/>
    <w:rsid w:val="00B72E42"/>
    <w:rsid w:val="00B73506"/>
    <w:rsid w:val="00B74154"/>
    <w:rsid w:val="00B7655F"/>
    <w:rsid w:val="00B80E46"/>
    <w:rsid w:val="00B81670"/>
    <w:rsid w:val="00B82848"/>
    <w:rsid w:val="00B83D82"/>
    <w:rsid w:val="00B8712A"/>
    <w:rsid w:val="00B87D04"/>
    <w:rsid w:val="00B905B3"/>
    <w:rsid w:val="00B90987"/>
    <w:rsid w:val="00B91F81"/>
    <w:rsid w:val="00B93E25"/>
    <w:rsid w:val="00B93E5C"/>
    <w:rsid w:val="00B94402"/>
    <w:rsid w:val="00B94B81"/>
    <w:rsid w:val="00B96850"/>
    <w:rsid w:val="00B96D8C"/>
    <w:rsid w:val="00B96E3B"/>
    <w:rsid w:val="00B9778C"/>
    <w:rsid w:val="00B97D67"/>
    <w:rsid w:val="00BA0A3A"/>
    <w:rsid w:val="00BA23E9"/>
    <w:rsid w:val="00BA2C31"/>
    <w:rsid w:val="00BA3484"/>
    <w:rsid w:val="00BA3C42"/>
    <w:rsid w:val="00BA3D93"/>
    <w:rsid w:val="00BA422E"/>
    <w:rsid w:val="00BA5823"/>
    <w:rsid w:val="00BA63CB"/>
    <w:rsid w:val="00BA7948"/>
    <w:rsid w:val="00BB1F28"/>
    <w:rsid w:val="00BB22C2"/>
    <w:rsid w:val="00BB3F4E"/>
    <w:rsid w:val="00BB4AF3"/>
    <w:rsid w:val="00BB5880"/>
    <w:rsid w:val="00BB5A48"/>
    <w:rsid w:val="00BB651A"/>
    <w:rsid w:val="00BB7C8B"/>
    <w:rsid w:val="00BB7D61"/>
    <w:rsid w:val="00BC0522"/>
    <w:rsid w:val="00BC3666"/>
    <w:rsid w:val="00BC4438"/>
    <w:rsid w:val="00BC4ADD"/>
    <w:rsid w:val="00BC58A1"/>
    <w:rsid w:val="00BC6551"/>
    <w:rsid w:val="00BD072C"/>
    <w:rsid w:val="00BD10C5"/>
    <w:rsid w:val="00BD14DB"/>
    <w:rsid w:val="00BD71A4"/>
    <w:rsid w:val="00BE3253"/>
    <w:rsid w:val="00BE4355"/>
    <w:rsid w:val="00BE46A7"/>
    <w:rsid w:val="00BE5E8F"/>
    <w:rsid w:val="00BE66CB"/>
    <w:rsid w:val="00BE670C"/>
    <w:rsid w:val="00BE79BE"/>
    <w:rsid w:val="00BE7C9C"/>
    <w:rsid w:val="00BE7F56"/>
    <w:rsid w:val="00BF02E1"/>
    <w:rsid w:val="00BF08EE"/>
    <w:rsid w:val="00BF18B9"/>
    <w:rsid w:val="00BF1983"/>
    <w:rsid w:val="00BF21B1"/>
    <w:rsid w:val="00BF280A"/>
    <w:rsid w:val="00BF48A2"/>
    <w:rsid w:val="00BF7306"/>
    <w:rsid w:val="00BF7BC7"/>
    <w:rsid w:val="00C02DAD"/>
    <w:rsid w:val="00C03F1E"/>
    <w:rsid w:val="00C05C2B"/>
    <w:rsid w:val="00C05C68"/>
    <w:rsid w:val="00C05D98"/>
    <w:rsid w:val="00C0695A"/>
    <w:rsid w:val="00C07685"/>
    <w:rsid w:val="00C07799"/>
    <w:rsid w:val="00C101D8"/>
    <w:rsid w:val="00C11F16"/>
    <w:rsid w:val="00C13FB6"/>
    <w:rsid w:val="00C15FDD"/>
    <w:rsid w:val="00C1752C"/>
    <w:rsid w:val="00C20BFB"/>
    <w:rsid w:val="00C21650"/>
    <w:rsid w:val="00C235C9"/>
    <w:rsid w:val="00C2383F"/>
    <w:rsid w:val="00C246FA"/>
    <w:rsid w:val="00C25F5D"/>
    <w:rsid w:val="00C264C1"/>
    <w:rsid w:val="00C26709"/>
    <w:rsid w:val="00C2708A"/>
    <w:rsid w:val="00C307B9"/>
    <w:rsid w:val="00C30CCE"/>
    <w:rsid w:val="00C32325"/>
    <w:rsid w:val="00C32BE7"/>
    <w:rsid w:val="00C332B3"/>
    <w:rsid w:val="00C33778"/>
    <w:rsid w:val="00C35626"/>
    <w:rsid w:val="00C36E3B"/>
    <w:rsid w:val="00C370AB"/>
    <w:rsid w:val="00C374B8"/>
    <w:rsid w:val="00C377AB"/>
    <w:rsid w:val="00C37A78"/>
    <w:rsid w:val="00C37C6A"/>
    <w:rsid w:val="00C40831"/>
    <w:rsid w:val="00C41B88"/>
    <w:rsid w:val="00C424DD"/>
    <w:rsid w:val="00C42C07"/>
    <w:rsid w:val="00C42DC0"/>
    <w:rsid w:val="00C432F0"/>
    <w:rsid w:val="00C433B5"/>
    <w:rsid w:val="00C4352E"/>
    <w:rsid w:val="00C43A12"/>
    <w:rsid w:val="00C43B69"/>
    <w:rsid w:val="00C44A05"/>
    <w:rsid w:val="00C44ABE"/>
    <w:rsid w:val="00C45889"/>
    <w:rsid w:val="00C45A09"/>
    <w:rsid w:val="00C46AF4"/>
    <w:rsid w:val="00C46BFE"/>
    <w:rsid w:val="00C47DCE"/>
    <w:rsid w:val="00C50524"/>
    <w:rsid w:val="00C51908"/>
    <w:rsid w:val="00C5220B"/>
    <w:rsid w:val="00C53B7F"/>
    <w:rsid w:val="00C54E04"/>
    <w:rsid w:val="00C578A0"/>
    <w:rsid w:val="00C57C91"/>
    <w:rsid w:val="00C57D12"/>
    <w:rsid w:val="00C613D5"/>
    <w:rsid w:val="00C61ACC"/>
    <w:rsid w:val="00C624A4"/>
    <w:rsid w:val="00C62AE0"/>
    <w:rsid w:val="00C63E9E"/>
    <w:rsid w:val="00C63F2E"/>
    <w:rsid w:val="00C64C96"/>
    <w:rsid w:val="00C64CA9"/>
    <w:rsid w:val="00C64ECE"/>
    <w:rsid w:val="00C650D5"/>
    <w:rsid w:val="00C65421"/>
    <w:rsid w:val="00C655BD"/>
    <w:rsid w:val="00C7142C"/>
    <w:rsid w:val="00C71CB4"/>
    <w:rsid w:val="00C745C0"/>
    <w:rsid w:val="00C74B70"/>
    <w:rsid w:val="00C7683C"/>
    <w:rsid w:val="00C76F4D"/>
    <w:rsid w:val="00C77DD6"/>
    <w:rsid w:val="00C80372"/>
    <w:rsid w:val="00C80B22"/>
    <w:rsid w:val="00C80D24"/>
    <w:rsid w:val="00C81B4F"/>
    <w:rsid w:val="00C856C4"/>
    <w:rsid w:val="00C87153"/>
    <w:rsid w:val="00C90F9A"/>
    <w:rsid w:val="00C91F75"/>
    <w:rsid w:val="00C944C4"/>
    <w:rsid w:val="00C94639"/>
    <w:rsid w:val="00C94A74"/>
    <w:rsid w:val="00C97256"/>
    <w:rsid w:val="00CA2C9D"/>
    <w:rsid w:val="00CA3BA1"/>
    <w:rsid w:val="00CA4CB0"/>
    <w:rsid w:val="00CA4CF8"/>
    <w:rsid w:val="00CA4DB1"/>
    <w:rsid w:val="00CA58C5"/>
    <w:rsid w:val="00CA6A79"/>
    <w:rsid w:val="00CA75BB"/>
    <w:rsid w:val="00CB073F"/>
    <w:rsid w:val="00CB0F18"/>
    <w:rsid w:val="00CB2471"/>
    <w:rsid w:val="00CB3762"/>
    <w:rsid w:val="00CB45C3"/>
    <w:rsid w:val="00CB4EEF"/>
    <w:rsid w:val="00CB7BF5"/>
    <w:rsid w:val="00CB7DB1"/>
    <w:rsid w:val="00CC0158"/>
    <w:rsid w:val="00CC06BD"/>
    <w:rsid w:val="00CC154E"/>
    <w:rsid w:val="00CC1885"/>
    <w:rsid w:val="00CC1D63"/>
    <w:rsid w:val="00CC1DEA"/>
    <w:rsid w:val="00CC2F4B"/>
    <w:rsid w:val="00CC4CB2"/>
    <w:rsid w:val="00CC6DE8"/>
    <w:rsid w:val="00CD04DB"/>
    <w:rsid w:val="00CD2D99"/>
    <w:rsid w:val="00CD370B"/>
    <w:rsid w:val="00CD6197"/>
    <w:rsid w:val="00CE0833"/>
    <w:rsid w:val="00CE1358"/>
    <w:rsid w:val="00CE17CB"/>
    <w:rsid w:val="00CE1A18"/>
    <w:rsid w:val="00CE1CBB"/>
    <w:rsid w:val="00CE1DC0"/>
    <w:rsid w:val="00CE2EE4"/>
    <w:rsid w:val="00CE3E41"/>
    <w:rsid w:val="00CE3F69"/>
    <w:rsid w:val="00CE4345"/>
    <w:rsid w:val="00CE499C"/>
    <w:rsid w:val="00CE4B57"/>
    <w:rsid w:val="00CE4F68"/>
    <w:rsid w:val="00CE517F"/>
    <w:rsid w:val="00CE6612"/>
    <w:rsid w:val="00CE689A"/>
    <w:rsid w:val="00CE69B7"/>
    <w:rsid w:val="00CE6D84"/>
    <w:rsid w:val="00CF0D2E"/>
    <w:rsid w:val="00CF22BF"/>
    <w:rsid w:val="00CF27AA"/>
    <w:rsid w:val="00CF3839"/>
    <w:rsid w:val="00CF4290"/>
    <w:rsid w:val="00CF68BF"/>
    <w:rsid w:val="00CF6A08"/>
    <w:rsid w:val="00CF73A8"/>
    <w:rsid w:val="00CF7813"/>
    <w:rsid w:val="00CF793A"/>
    <w:rsid w:val="00CF7D25"/>
    <w:rsid w:val="00D01036"/>
    <w:rsid w:val="00D02294"/>
    <w:rsid w:val="00D023F8"/>
    <w:rsid w:val="00D025B0"/>
    <w:rsid w:val="00D040D8"/>
    <w:rsid w:val="00D05542"/>
    <w:rsid w:val="00D0565C"/>
    <w:rsid w:val="00D0757D"/>
    <w:rsid w:val="00D0766B"/>
    <w:rsid w:val="00D07AA1"/>
    <w:rsid w:val="00D07B53"/>
    <w:rsid w:val="00D104A2"/>
    <w:rsid w:val="00D11FCA"/>
    <w:rsid w:val="00D136C9"/>
    <w:rsid w:val="00D13B7A"/>
    <w:rsid w:val="00D149D7"/>
    <w:rsid w:val="00D152E7"/>
    <w:rsid w:val="00D1667D"/>
    <w:rsid w:val="00D168F3"/>
    <w:rsid w:val="00D16B88"/>
    <w:rsid w:val="00D16DB4"/>
    <w:rsid w:val="00D171CD"/>
    <w:rsid w:val="00D17BB2"/>
    <w:rsid w:val="00D20E21"/>
    <w:rsid w:val="00D210BB"/>
    <w:rsid w:val="00D212A9"/>
    <w:rsid w:val="00D22AE6"/>
    <w:rsid w:val="00D23CC6"/>
    <w:rsid w:val="00D242AE"/>
    <w:rsid w:val="00D24EBA"/>
    <w:rsid w:val="00D255F6"/>
    <w:rsid w:val="00D258E0"/>
    <w:rsid w:val="00D27096"/>
    <w:rsid w:val="00D27E32"/>
    <w:rsid w:val="00D30CF4"/>
    <w:rsid w:val="00D3273F"/>
    <w:rsid w:val="00D32FC2"/>
    <w:rsid w:val="00D3451A"/>
    <w:rsid w:val="00D345FB"/>
    <w:rsid w:val="00D35FD8"/>
    <w:rsid w:val="00D362BE"/>
    <w:rsid w:val="00D36F58"/>
    <w:rsid w:val="00D400BF"/>
    <w:rsid w:val="00D401C2"/>
    <w:rsid w:val="00D41EFF"/>
    <w:rsid w:val="00D434CC"/>
    <w:rsid w:val="00D455B6"/>
    <w:rsid w:val="00D46028"/>
    <w:rsid w:val="00D46270"/>
    <w:rsid w:val="00D4634B"/>
    <w:rsid w:val="00D46986"/>
    <w:rsid w:val="00D47956"/>
    <w:rsid w:val="00D47E09"/>
    <w:rsid w:val="00D504A9"/>
    <w:rsid w:val="00D506D2"/>
    <w:rsid w:val="00D506E8"/>
    <w:rsid w:val="00D5092B"/>
    <w:rsid w:val="00D5134B"/>
    <w:rsid w:val="00D51DE0"/>
    <w:rsid w:val="00D52AAF"/>
    <w:rsid w:val="00D5340B"/>
    <w:rsid w:val="00D536B4"/>
    <w:rsid w:val="00D53B2D"/>
    <w:rsid w:val="00D53E9F"/>
    <w:rsid w:val="00D544DA"/>
    <w:rsid w:val="00D54602"/>
    <w:rsid w:val="00D55342"/>
    <w:rsid w:val="00D555D7"/>
    <w:rsid w:val="00D5745B"/>
    <w:rsid w:val="00D61D62"/>
    <w:rsid w:val="00D62118"/>
    <w:rsid w:val="00D62249"/>
    <w:rsid w:val="00D62369"/>
    <w:rsid w:val="00D62568"/>
    <w:rsid w:val="00D62AFC"/>
    <w:rsid w:val="00D64D74"/>
    <w:rsid w:val="00D65091"/>
    <w:rsid w:val="00D67D01"/>
    <w:rsid w:val="00D70AC4"/>
    <w:rsid w:val="00D70AF7"/>
    <w:rsid w:val="00D7146D"/>
    <w:rsid w:val="00D71FCA"/>
    <w:rsid w:val="00D7210B"/>
    <w:rsid w:val="00D724D4"/>
    <w:rsid w:val="00D72B3D"/>
    <w:rsid w:val="00D72F04"/>
    <w:rsid w:val="00D75363"/>
    <w:rsid w:val="00D75423"/>
    <w:rsid w:val="00D764BC"/>
    <w:rsid w:val="00D80AF0"/>
    <w:rsid w:val="00D823BE"/>
    <w:rsid w:val="00D824DF"/>
    <w:rsid w:val="00D83547"/>
    <w:rsid w:val="00D84534"/>
    <w:rsid w:val="00D84769"/>
    <w:rsid w:val="00D86062"/>
    <w:rsid w:val="00D86304"/>
    <w:rsid w:val="00D86DE3"/>
    <w:rsid w:val="00D87BA8"/>
    <w:rsid w:val="00D90107"/>
    <w:rsid w:val="00D90259"/>
    <w:rsid w:val="00D94AA8"/>
    <w:rsid w:val="00D94D9E"/>
    <w:rsid w:val="00D958BA"/>
    <w:rsid w:val="00D95995"/>
    <w:rsid w:val="00D95FDF"/>
    <w:rsid w:val="00D96CCA"/>
    <w:rsid w:val="00D975F1"/>
    <w:rsid w:val="00DA18E4"/>
    <w:rsid w:val="00DA3907"/>
    <w:rsid w:val="00DA39C1"/>
    <w:rsid w:val="00DA45EB"/>
    <w:rsid w:val="00DA615B"/>
    <w:rsid w:val="00DA61CC"/>
    <w:rsid w:val="00DA6496"/>
    <w:rsid w:val="00DA7D6B"/>
    <w:rsid w:val="00DA7D86"/>
    <w:rsid w:val="00DB02F4"/>
    <w:rsid w:val="00DB0474"/>
    <w:rsid w:val="00DB09D1"/>
    <w:rsid w:val="00DB0D98"/>
    <w:rsid w:val="00DB177F"/>
    <w:rsid w:val="00DB3E86"/>
    <w:rsid w:val="00DB5686"/>
    <w:rsid w:val="00DB596D"/>
    <w:rsid w:val="00DB5DEC"/>
    <w:rsid w:val="00DB61B3"/>
    <w:rsid w:val="00DB6656"/>
    <w:rsid w:val="00DB6D5D"/>
    <w:rsid w:val="00DB79D7"/>
    <w:rsid w:val="00DC0007"/>
    <w:rsid w:val="00DC011A"/>
    <w:rsid w:val="00DC1517"/>
    <w:rsid w:val="00DC3268"/>
    <w:rsid w:val="00DC3C55"/>
    <w:rsid w:val="00DC6793"/>
    <w:rsid w:val="00DC6860"/>
    <w:rsid w:val="00DC71DB"/>
    <w:rsid w:val="00DC74D9"/>
    <w:rsid w:val="00DC7B16"/>
    <w:rsid w:val="00DD20EA"/>
    <w:rsid w:val="00DD28A8"/>
    <w:rsid w:val="00DD30F9"/>
    <w:rsid w:val="00DD37F9"/>
    <w:rsid w:val="00DD4A4B"/>
    <w:rsid w:val="00DD4AAC"/>
    <w:rsid w:val="00DD4EA1"/>
    <w:rsid w:val="00DD559B"/>
    <w:rsid w:val="00DD5A58"/>
    <w:rsid w:val="00DD5BC9"/>
    <w:rsid w:val="00DD6DD9"/>
    <w:rsid w:val="00DD7148"/>
    <w:rsid w:val="00DD74E7"/>
    <w:rsid w:val="00DE01F1"/>
    <w:rsid w:val="00DE10E6"/>
    <w:rsid w:val="00DE2005"/>
    <w:rsid w:val="00DE6E70"/>
    <w:rsid w:val="00DF0903"/>
    <w:rsid w:val="00DF2B59"/>
    <w:rsid w:val="00DF3936"/>
    <w:rsid w:val="00DF4636"/>
    <w:rsid w:val="00DF4C30"/>
    <w:rsid w:val="00DF5636"/>
    <w:rsid w:val="00DF5D17"/>
    <w:rsid w:val="00DF7C3C"/>
    <w:rsid w:val="00E0090F"/>
    <w:rsid w:val="00E02425"/>
    <w:rsid w:val="00E06432"/>
    <w:rsid w:val="00E065D0"/>
    <w:rsid w:val="00E079C6"/>
    <w:rsid w:val="00E10245"/>
    <w:rsid w:val="00E102A2"/>
    <w:rsid w:val="00E10932"/>
    <w:rsid w:val="00E1096F"/>
    <w:rsid w:val="00E109FA"/>
    <w:rsid w:val="00E11436"/>
    <w:rsid w:val="00E11701"/>
    <w:rsid w:val="00E11C35"/>
    <w:rsid w:val="00E128BF"/>
    <w:rsid w:val="00E13D7E"/>
    <w:rsid w:val="00E160C4"/>
    <w:rsid w:val="00E16FBD"/>
    <w:rsid w:val="00E200F9"/>
    <w:rsid w:val="00E20860"/>
    <w:rsid w:val="00E22202"/>
    <w:rsid w:val="00E25C36"/>
    <w:rsid w:val="00E267B5"/>
    <w:rsid w:val="00E26D1E"/>
    <w:rsid w:val="00E27D1B"/>
    <w:rsid w:val="00E30A2D"/>
    <w:rsid w:val="00E3179A"/>
    <w:rsid w:val="00E33A61"/>
    <w:rsid w:val="00E33DC1"/>
    <w:rsid w:val="00E3569A"/>
    <w:rsid w:val="00E36E03"/>
    <w:rsid w:val="00E37A32"/>
    <w:rsid w:val="00E40839"/>
    <w:rsid w:val="00E44230"/>
    <w:rsid w:val="00E45504"/>
    <w:rsid w:val="00E45FC4"/>
    <w:rsid w:val="00E460FB"/>
    <w:rsid w:val="00E47FE6"/>
    <w:rsid w:val="00E5002C"/>
    <w:rsid w:val="00E50C04"/>
    <w:rsid w:val="00E50F59"/>
    <w:rsid w:val="00E51A7E"/>
    <w:rsid w:val="00E52186"/>
    <w:rsid w:val="00E550D3"/>
    <w:rsid w:val="00E554A7"/>
    <w:rsid w:val="00E56DEB"/>
    <w:rsid w:val="00E611AB"/>
    <w:rsid w:val="00E61723"/>
    <w:rsid w:val="00E61D15"/>
    <w:rsid w:val="00E62734"/>
    <w:rsid w:val="00E62C8E"/>
    <w:rsid w:val="00E64059"/>
    <w:rsid w:val="00E66423"/>
    <w:rsid w:val="00E671A1"/>
    <w:rsid w:val="00E67FF8"/>
    <w:rsid w:val="00E713CB"/>
    <w:rsid w:val="00E73BE4"/>
    <w:rsid w:val="00E74979"/>
    <w:rsid w:val="00E74D0D"/>
    <w:rsid w:val="00E754ED"/>
    <w:rsid w:val="00E81E5F"/>
    <w:rsid w:val="00E8290A"/>
    <w:rsid w:val="00E82BEC"/>
    <w:rsid w:val="00E82E6A"/>
    <w:rsid w:val="00E83C71"/>
    <w:rsid w:val="00E843E0"/>
    <w:rsid w:val="00E85111"/>
    <w:rsid w:val="00E86392"/>
    <w:rsid w:val="00E86A7D"/>
    <w:rsid w:val="00E86D77"/>
    <w:rsid w:val="00E90801"/>
    <w:rsid w:val="00E90964"/>
    <w:rsid w:val="00E910E4"/>
    <w:rsid w:val="00E917B2"/>
    <w:rsid w:val="00E91D74"/>
    <w:rsid w:val="00E9206B"/>
    <w:rsid w:val="00E9518C"/>
    <w:rsid w:val="00EA03F2"/>
    <w:rsid w:val="00EA04C9"/>
    <w:rsid w:val="00EA1D2E"/>
    <w:rsid w:val="00EA498B"/>
    <w:rsid w:val="00EA5A29"/>
    <w:rsid w:val="00EA6EA1"/>
    <w:rsid w:val="00EA7951"/>
    <w:rsid w:val="00EA7E72"/>
    <w:rsid w:val="00EB04E0"/>
    <w:rsid w:val="00EB093E"/>
    <w:rsid w:val="00EB2E11"/>
    <w:rsid w:val="00EB32B4"/>
    <w:rsid w:val="00EB3440"/>
    <w:rsid w:val="00EB475C"/>
    <w:rsid w:val="00EB4797"/>
    <w:rsid w:val="00EB4B4B"/>
    <w:rsid w:val="00EB4FE0"/>
    <w:rsid w:val="00EB52F3"/>
    <w:rsid w:val="00EB60B3"/>
    <w:rsid w:val="00EB6A6D"/>
    <w:rsid w:val="00EC00C6"/>
    <w:rsid w:val="00EC014B"/>
    <w:rsid w:val="00EC1280"/>
    <w:rsid w:val="00EC4AA6"/>
    <w:rsid w:val="00EC711C"/>
    <w:rsid w:val="00EC7D84"/>
    <w:rsid w:val="00ED1602"/>
    <w:rsid w:val="00ED21C1"/>
    <w:rsid w:val="00ED2517"/>
    <w:rsid w:val="00ED378A"/>
    <w:rsid w:val="00ED4DAB"/>
    <w:rsid w:val="00ED50E5"/>
    <w:rsid w:val="00ED5C45"/>
    <w:rsid w:val="00ED7317"/>
    <w:rsid w:val="00ED7861"/>
    <w:rsid w:val="00EE15D1"/>
    <w:rsid w:val="00EE1653"/>
    <w:rsid w:val="00EE24E8"/>
    <w:rsid w:val="00EE3439"/>
    <w:rsid w:val="00EE3D6A"/>
    <w:rsid w:val="00EE44AE"/>
    <w:rsid w:val="00EE4C3C"/>
    <w:rsid w:val="00EE51BC"/>
    <w:rsid w:val="00EE56B3"/>
    <w:rsid w:val="00EE5FDD"/>
    <w:rsid w:val="00EE6829"/>
    <w:rsid w:val="00EE7625"/>
    <w:rsid w:val="00EE76CA"/>
    <w:rsid w:val="00EF0C40"/>
    <w:rsid w:val="00EF292C"/>
    <w:rsid w:val="00EF3D32"/>
    <w:rsid w:val="00EF3EB3"/>
    <w:rsid w:val="00EF58D7"/>
    <w:rsid w:val="00EF74EE"/>
    <w:rsid w:val="00F01225"/>
    <w:rsid w:val="00F01387"/>
    <w:rsid w:val="00F01C27"/>
    <w:rsid w:val="00F02F4B"/>
    <w:rsid w:val="00F0443E"/>
    <w:rsid w:val="00F04D98"/>
    <w:rsid w:val="00F054FE"/>
    <w:rsid w:val="00F055C1"/>
    <w:rsid w:val="00F06326"/>
    <w:rsid w:val="00F067D8"/>
    <w:rsid w:val="00F078BD"/>
    <w:rsid w:val="00F10996"/>
    <w:rsid w:val="00F10AF2"/>
    <w:rsid w:val="00F11209"/>
    <w:rsid w:val="00F11499"/>
    <w:rsid w:val="00F1157A"/>
    <w:rsid w:val="00F11E18"/>
    <w:rsid w:val="00F12587"/>
    <w:rsid w:val="00F13552"/>
    <w:rsid w:val="00F1432B"/>
    <w:rsid w:val="00F1624E"/>
    <w:rsid w:val="00F16C29"/>
    <w:rsid w:val="00F2076F"/>
    <w:rsid w:val="00F2143B"/>
    <w:rsid w:val="00F22133"/>
    <w:rsid w:val="00F24A65"/>
    <w:rsid w:val="00F24D23"/>
    <w:rsid w:val="00F25C43"/>
    <w:rsid w:val="00F264A9"/>
    <w:rsid w:val="00F30A6E"/>
    <w:rsid w:val="00F32234"/>
    <w:rsid w:val="00F32261"/>
    <w:rsid w:val="00F324B8"/>
    <w:rsid w:val="00F32934"/>
    <w:rsid w:val="00F32A08"/>
    <w:rsid w:val="00F32D0E"/>
    <w:rsid w:val="00F36A56"/>
    <w:rsid w:val="00F377EC"/>
    <w:rsid w:val="00F37900"/>
    <w:rsid w:val="00F40D41"/>
    <w:rsid w:val="00F43A6C"/>
    <w:rsid w:val="00F44D77"/>
    <w:rsid w:val="00F45F16"/>
    <w:rsid w:val="00F46133"/>
    <w:rsid w:val="00F46703"/>
    <w:rsid w:val="00F4717D"/>
    <w:rsid w:val="00F4793D"/>
    <w:rsid w:val="00F50757"/>
    <w:rsid w:val="00F50D0E"/>
    <w:rsid w:val="00F50FE9"/>
    <w:rsid w:val="00F52AA3"/>
    <w:rsid w:val="00F52BC7"/>
    <w:rsid w:val="00F5366F"/>
    <w:rsid w:val="00F543C7"/>
    <w:rsid w:val="00F55F9A"/>
    <w:rsid w:val="00F57EE2"/>
    <w:rsid w:val="00F60864"/>
    <w:rsid w:val="00F608B6"/>
    <w:rsid w:val="00F608CB"/>
    <w:rsid w:val="00F61485"/>
    <w:rsid w:val="00F61DFC"/>
    <w:rsid w:val="00F63B86"/>
    <w:rsid w:val="00F63D40"/>
    <w:rsid w:val="00F647C0"/>
    <w:rsid w:val="00F6525C"/>
    <w:rsid w:val="00F65C4D"/>
    <w:rsid w:val="00F66A03"/>
    <w:rsid w:val="00F67577"/>
    <w:rsid w:val="00F70379"/>
    <w:rsid w:val="00F70CB2"/>
    <w:rsid w:val="00F72892"/>
    <w:rsid w:val="00F72CAE"/>
    <w:rsid w:val="00F72E34"/>
    <w:rsid w:val="00F737EC"/>
    <w:rsid w:val="00F73BD2"/>
    <w:rsid w:val="00F73C00"/>
    <w:rsid w:val="00F74E2E"/>
    <w:rsid w:val="00F758E5"/>
    <w:rsid w:val="00F76284"/>
    <w:rsid w:val="00F806F5"/>
    <w:rsid w:val="00F807E2"/>
    <w:rsid w:val="00F80C80"/>
    <w:rsid w:val="00F828F5"/>
    <w:rsid w:val="00F83007"/>
    <w:rsid w:val="00F83210"/>
    <w:rsid w:val="00F843B2"/>
    <w:rsid w:val="00F850E0"/>
    <w:rsid w:val="00F85533"/>
    <w:rsid w:val="00F85960"/>
    <w:rsid w:val="00F85C30"/>
    <w:rsid w:val="00F8621F"/>
    <w:rsid w:val="00F8654A"/>
    <w:rsid w:val="00F86819"/>
    <w:rsid w:val="00F86F77"/>
    <w:rsid w:val="00F91D1B"/>
    <w:rsid w:val="00F92670"/>
    <w:rsid w:val="00F92F5A"/>
    <w:rsid w:val="00F955FE"/>
    <w:rsid w:val="00F95785"/>
    <w:rsid w:val="00F95A54"/>
    <w:rsid w:val="00F95A68"/>
    <w:rsid w:val="00FA025B"/>
    <w:rsid w:val="00FA12D7"/>
    <w:rsid w:val="00FA3529"/>
    <w:rsid w:val="00FA3592"/>
    <w:rsid w:val="00FA3D7A"/>
    <w:rsid w:val="00FA4A29"/>
    <w:rsid w:val="00FA5256"/>
    <w:rsid w:val="00FA5785"/>
    <w:rsid w:val="00FA62BC"/>
    <w:rsid w:val="00FA694E"/>
    <w:rsid w:val="00FA6F0C"/>
    <w:rsid w:val="00FA71DE"/>
    <w:rsid w:val="00FA7214"/>
    <w:rsid w:val="00FA749B"/>
    <w:rsid w:val="00FA7561"/>
    <w:rsid w:val="00FA79DD"/>
    <w:rsid w:val="00FB0655"/>
    <w:rsid w:val="00FB1B98"/>
    <w:rsid w:val="00FB1F6A"/>
    <w:rsid w:val="00FB2A6B"/>
    <w:rsid w:val="00FB2A96"/>
    <w:rsid w:val="00FB75E9"/>
    <w:rsid w:val="00FB7859"/>
    <w:rsid w:val="00FB7A9A"/>
    <w:rsid w:val="00FC00D4"/>
    <w:rsid w:val="00FC00D9"/>
    <w:rsid w:val="00FC01A0"/>
    <w:rsid w:val="00FC34AD"/>
    <w:rsid w:val="00FC433D"/>
    <w:rsid w:val="00FC46B8"/>
    <w:rsid w:val="00FC5B97"/>
    <w:rsid w:val="00FC6005"/>
    <w:rsid w:val="00FC6948"/>
    <w:rsid w:val="00FC6B76"/>
    <w:rsid w:val="00FC7234"/>
    <w:rsid w:val="00FD063B"/>
    <w:rsid w:val="00FD082D"/>
    <w:rsid w:val="00FD0DF9"/>
    <w:rsid w:val="00FD1F2E"/>
    <w:rsid w:val="00FD21B4"/>
    <w:rsid w:val="00FD279E"/>
    <w:rsid w:val="00FD2875"/>
    <w:rsid w:val="00FD29E6"/>
    <w:rsid w:val="00FD2C19"/>
    <w:rsid w:val="00FD3301"/>
    <w:rsid w:val="00FD3B46"/>
    <w:rsid w:val="00FD69E8"/>
    <w:rsid w:val="00FD6E77"/>
    <w:rsid w:val="00FE1188"/>
    <w:rsid w:val="00FE45F5"/>
    <w:rsid w:val="00FE468D"/>
    <w:rsid w:val="00FE50DA"/>
    <w:rsid w:val="00FE53C1"/>
    <w:rsid w:val="00FE6EC1"/>
    <w:rsid w:val="00FE740F"/>
    <w:rsid w:val="00FF16BE"/>
    <w:rsid w:val="00FF22D9"/>
    <w:rsid w:val="00FF28A8"/>
    <w:rsid w:val="00FF334F"/>
    <w:rsid w:val="00FF34EF"/>
    <w:rsid w:val="00FF424E"/>
    <w:rsid w:val="00FF6412"/>
    <w:rsid w:val="00FF6814"/>
    <w:rsid w:val="00FF7056"/>
    <w:rsid w:val="00FF78A1"/>
    <w:rsid w:val="00FF7E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0C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055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9945BA"/>
  </w:style>
  <w:style w:type="character" w:styleId="a3">
    <w:name w:val="annotation reference"/>
    <w:basedOn w:val="a0"/>
    <w:uiPriority w:val="99"/>
    <w:unhideWhenUsed/>
    <w:qFormat/>
    <w:rsid w:val="00F1432B"/>
    <w:rPr>
      <w:sz w:val="21"/>
      <w:szCs w:val="21"/>
    </w:rPr>
  </w:style>
  <w:style w:type="paragraph" w:styleId="a4">
    <w:name w:val="annotation text"/>
    <w:basedOn w:val="a"/>
    <w:link w:val="Char"/>
    <w:uiPriority w:val="99"/>
    <w:unhideWhenUsed/>
    <w:qFormat/>
    <w:rsid w:val="00F1432B"/>
    <w:pPr>
      <w:jc w:val="left"/>
    </w:pPr>
  </w:style>
  <w:style w:type="character" w:customStyle="1" w:styleId="Char">
    <w:name w:val="批注文字 Char"/>
    <w:basedOn w:val="a0"/>
    <w:link w:val="a4"/>
    <w:uiPriority w:val="99"/>
    <w:semiHidden/>
    <w:rsid w:val="00F1432B"/>
  </w:style>
  <w:style w:type="paragraph" w:styleId="a5">
    <w:name w:val="annotation subject"/>
    <w:basedOn w:val="a4"/>
    <w:next w:val="a4"/>
    <w:link w:val="Char0"/>
    <w:uiPriority w:val="99"/>
    <w:semiHidden/>
    <w:unhideWhenUsed/>
    <w:rsid w:val="00F1432B"/>
    <w:rPr>
      <w:b/>
      <w:bCs/>
    </w:rPr>
  </w:style>
  <w:style w:type="character" w:customStyle="1" w:styleId="Char0">
    <w:name w:val="批注主题 Char"/>
    <w:basedOn w:val="Char"/>
    <w:link w:val="a5"/>
    <w:uiPriority w:val="99"/>
    <w:semiHidden/>
    <w:rsid w:val="00F1432B"/>
    <w:rPr>
      <w:b/>
      <w:bCs/>
    </w:rPr>
  </w:style>
  <w:style w:type="paragraph" w:styleId="a6">
    <w:name w:val="Balloon Text"/>
    <w:basedOn w:val="a"/>
    <w:link w:val="Char1"/>
    <w:uiPriority w:val="99"/>
    <w:semiHidden/>
    <w:unhideWhenUsed/>
    <w:rsid w:val="00F1432B"/>
    <w:rPr>
      <w:sz w:val="18"/>
      <w:szCs w:val="18"/>
    </w:rPr>
  </w:style>
  <w:style w:type="character" w:customStyle="1" w:styleId="Char1">
    <w:name w:val="批注框文本 Char"/>
    <w:basedOn w:val="a0"/>
    <w:link w:val="a6"/>
    <w:uiPriority w:val="99"/>
    <w:semiHidden/>
    <w:rsid w:val="00F1432B"/>
    <w:rPr>
      <w:sz w:val="18"/>
      <w:szCs w:val="18"/>
    </w:rPr>
  </w:style>
  <w:style w:type="paragraph" w:styleId="a7">
    <w:name w:val="List Paragraph"/>
    <w:basedOn w:val="a"/>
    <w:uiPriority w:val="34"/>
    <w:qFormat/>
    <w:rsid w:val="00547A0C"/>
    <w:pPr>
      <w:ind w:firstLineChars="200" w:firstLine="420"/>
    </w:pPr>
  </w:style>
  <w:style w:type="paragraph" w:styleId="a8">
    <w:name w:val="header"/>
    <w:basedOn w:val="a"/>
    <w:link w:val="Char2"/>
    <w:uiPriority w:val="99"/>
    <w:unhideWhenUsed/>
    <w:rsid w:val="007E6E3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7E6E35"/>
    <w:rPr>
      <w:sz w:val="18"/>
      <w:szCs w:val="18"/>
    </w:rPr>
  </w:style>
  <w:style w:type="paragraph" w:styleId="a9">
    <w:name w:val="footer"/>
    <w:basedOn w:val="a"/>
    <w:link w:val="Char3"/>
    <w:uiPriority w:val="99"/>
    <w:unhideWhenUsed/>
    <w:rsid w:val="007E6E35"/>
    <w:pPr>
      <w:tabs>
        <w:tab w:val="center" w:pos="4153"/>
        <w:tab w:val="right" w:pos="8306"/>
      </w:tabs>
      <w:snapToGrid w:val="0"/>
      <w:jc w:val="left"/>
    </w:pPr>
    <w:rPr>
      <w:sz w:val="18"/>
      <w:szCs w:val="18"/>
    </w:rPr>
  </w:style>
  <w:style w:type="character" w:customStyle="1" w:styleId="Char3">
    <w:name w:val="页脚 Char"/>
    <w:basedOn w:val="a0"/>
    <w:link w:val="a9"/>
    <w:uiPriority w:val="99"/>
    <w:rsid w:val="007E6E35"/>
    <w:rPr>
      <w:sz w:val="18"/>
      <w:szCs w:val="18"/>
    </w:rPr>
  </w:style>
  <w:style w:type="character" w:customStyle="1" w:styleId="internalref">
    <w:name w:val="internalref"/>
    <w:basedOn w:val="a0"/>
    <w:rsid w:val="00C50524"/>
  </w:style>
  <w:style w:type="character" w:styleId="aa">
    <w:name w:val="Hyperlink"/>
    <w:basedOn w:val="a0"/>
    <w:uiPriority w:val="99"/>
    <w:unhideWhenUsed/>
    <w:rsid w:val="00C50524"/>
    <w:rPr>
      <w:color w:val="0000FF"/>
      <w:u w:val="single"/>
    </w:rPr>
  </w:style>
  <w:style w:type="character" w:styleId="ab">
    <w:name w:val="Emphasis"/>
    <w:basedOn w:val="a0"/>
    <w:uiPriority w:val="20"/>
    <w:qFormat/>
    <w:rsid w:val="00C50524"/>
    <w:rPr>
      <w:i/>
      <w:iCs/>
    </w:rPr>
  </w:style>
  <w:style w:type="paragraph" w:styleId="ac">
    <w:name w:val="Revision"/>
    <w:hidden/>
    <w:uiPriority w:val="99"/>
    <w:semiHidden/>
    <w:rsid w:val="002878A3"/>
  </w:style>
  <w:style w:type="character" w:customStyle="1" w:styleId="1">
    <w:name w:val="未处理的提及1"/>
    <w:basedOn w:val="a0"/>
    <w:uiPriority w:val="99"/>
    <w:semiHidden/>
    <w:unhideWhenUsed/>
    <w:rsid w:val="00AC4B2F"/>
    <w:rPr>
      <w:color w:val="605E5C"/>
      <w:shd w:val="clear" w:color="auto" w:fill="E1DFDD"/>
    </w:rPr>
  </w:style>
  <w:style w:type="character" w:customStyle="1" w:styleId="10">
    <w:name w:val="批注文字 字符1"/>
    <w:basedOn w:val="a0"/>
    <w:uiPriority w:val="99"/>
    <w:qFormat/>
    <w:rsid w:val="00D3451A"/>
    <w:rPr>
      <w:rFonts w:ascii="Calibri" w:eastAsia="宋体" w:hAnsi="Calibri" w:cs="Times New Roman"/>
      <w:kern w:val="0"/>
      <w:sz w:val="22"/>
      <w:lang w:val="en-GB" w:eastAsia="en-US"/>
    </w:rPr>
  </w:style>
  <w:style w:type="character" w:styleId="ad">
    <w:name w:val="Strong"/>
    <w:basedOn w:val="a0"/>
    <w:uiPriority w:val="22"/>
    <w:qFormat/>
    <w:rsid w:val="00D3451A"/>
    <w:rPr>
      <w:b/>
      <w:bCs/>
    </w:rPr>
  </w:style>
  <w:style w:type="paragraph" w:styleId="ae">
    <w:name w:val="Normal (Web)"/>
    <w:basedOn w:val="a"/>
    <w:uiPriority w:val="99"/>
    <w:unhideWhenUsed/>
    <w:rsid w:val="00D3451A"/>
    <w:pPr>
      <w:widowControl/>
      <w:spacing w:after="200" w:line="276" w:lineRule="auto"/>
      <w:jc w:val="left"/>
    </w:pPr>
    <w:rPr>
      <w:rFonts w:ascii="Times New Roman" w:eastAsia="宋体" w:hAnsi="Times New Roman" w:cs="Times New Roman"/>
      <w:kern w:val="0"/>
      <w:sz w:val="24"/>
      <w:szCs w:val="24"/>
      <w:lang w:val="en-GB" w:eastAsia="en-US"/>
    </w:rPr>
  </w:style>
  <w:style w:type="character" w:styleId="af">
    <w:name w:val="line number"/>
    <w:basedOn w:val="a0"/>
    <w:uiPriority w:val="99"/>
    <w:semiHidden/>
    <w:unhideWhenUsed/>
    <w:rsid w:val="009612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055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9945BA"/>
  </w:style>
  <w:style w:type="character" w:styleId="a3">
    <w:name w:val="annotation reference"/>
    <w:basedOn w:val="a0"/>
    <w:uiPriority w:val="99"/>
    <w:unhideWhenUsed/>
    <w:qFormat/>
    <w:rsid w:val="00F1432B"/>
    <w:rPr>
      <w:sz w:val="21"/>
      <w:szCs w:val="21"/>
    </w:rPr>
  </w:style>
  <w:style w:type="paragraph" w:styleId="a4">
    <w:name w:val="annotation text"/>
    <w:basedOn w:val="a"/>
    <w:link w:val="Char"/>
    <w:uiPriority w:val="99"/>
    <w:unhideWhenUsed/>
    <w:qFormat/>
    <w:rsid w:val="00F1432B"/>
    <w:pPr>
      <w:jc w:val="left"/>
    </w:pPr>
  </w:style>
  <w:style w:type="character" w:customStyle="1" w:styleId="Char">
    <w:name w:val="批注文字 Char"/>
    <w:basedOn w:val="a0"/>
    <w:link w:val="a4"/>
    <w:uiPriority w:val="99"/>
    <w:semiHidden/>
    <w:rsid w:val="00F1432B"/>
  </w:style>
  <w:style w:type="paragraph" w:styleId="a5">
    <w:name w:val="annotation subject"/>
    <w:basedOn w:val="a4"/>
    <w:next w:val="a4"/>
    <w:link w:val="Char0"/>
    <w:uiPriority w:val="99"/>
    <w:semiHidden/>
    <w:unhideWhenUsed/>
    <w:rsid w:val="00F1432B"/>
    <w:rPr>
      <w:b/>
      <w:bCs/>
    </w:rPr>
  </w:style>
  <w:style w:type="character" w:customStyle="1" w:styleId="Char0">
    <w:name w:val="批注主题 Char"/>
    <w:basedOn w:val="Char"/>
    <w:link w:val="a5"/>
    <w:uiPriority w:val="99"/>
    <w:semiHidden/>
    <w:rsid w:val="00F1432B"/>
    <w:rPr>
      <w:b/>
      <w:bCs/>
    </w:rPr>
  </w:style>
  <w:style w:type="paragraph" w:styleId="a6">
    <w:name w:val="Balloon Text"/>
    <w:basedOn w:val="a"/>
    <w:link w:val="Char1"/>
    <w:uiPriority w:val="99"/>
    <w:semiHidden/>
    <w:unhideWhenUsed/>
    <w:rsid w:val="00F1432B"/>
    <w:rPr>
      <w:sz w:val="18"/>
      <w:szCs w:val="18"/>
    </w:rPr>
  </w:style>
  <w:style w:type="character" w:customStyle="1" w:styleId="Char1">
    <w:name w:val="批注框文本 Char"/>
    <w:basedOn w:val="a0"/>
    <w:link w:val="a6"/>
    <w:uiPriority w:val="99"/>
    <w:semiHidden/>
    <w:rsid w:val="00F1432B"/>
    <w:rPr>
      <w:sz w:val="18"/>
      <w:szCs w:val="18"/>
    </w:rPr>
  </w:style>
  <w:style w:type="paragraph" w:styleId="a7">
    <w:name w:val="List Paragraph"/>
    <w:basedOn w:val="a"/>
    <w:uiPriority w:val="34"/>
    <w:qFormat/>
    <w:rsid w:val="00547A0C"/>
    <w:pPr>
      <w:ind w:firstLineChars="200" w:firstLine="420"/>
    </w:pPr>
  </w:style>
  <w:style w:type="paragraph" w:styleId="a8">
    <w:name w:val="header"/>
    <w:basedOn w:val="a"/>
    <w:link w:val="Char2"/>
    <w:uiPriority w:val="99"/>
    <w:unhideWhenUsed/>
    <w:rsid w:val="007E6E3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uiPriority w:val="99"/>
    <w:rsid w:val="007E6E35"/>
    <w:rPr>
      <w:sz w:val="18"/>
      <w:szCs w:val="18"/>
    </w:rPr>
  </w:style>
  <w:style w:type="paragraph" w:styleId="a9">
    <w:name w:val="footer"/>
    <w:basedOn w:val="a"/>
    <w:link w:val="Char3"/>
    <w:uiPriority w:val="99"/>
    <w:unhideWhenUsed/>
    <w:rsid w:val="007E6E35"/>
    <w:pPr>
      <w:tabs>
        <w:tab w:val="center" w:pos="4153"/>
        <w:tab w:val="right" w:pos="8306"/>
      </w:tabs>
      <w:snapToGrid w:val="0"/>
      <w:jc w:val="left"/>
    </w:pPr>
    <w:rPr>
      <w:sz w:val="18"/>
      <w:szCs w:val="18"/>
    </w:rPr>
  </w:style>
  <w:style w:type="character" w:customStyle="1" w:styleId="Char3">
    <w:name w:val="页脚 Char"/>
    <w:basedOn w:val="a0"/>
    <w:link w:val="a9"/>
    <w:uiPriority w:val="99"/>
    <w:rsid w:val="007E6E35"/>
    <w:rPr>
      <w:sz w:val="18"/>
      <w:szCs w:val="18"/>
    </w:rPr>
  </w:style>
  <w:style w:type="character" w:customStyle="1" w:styleId="internalref">
    <w:name w:val="internalref"/>
    <w:basedOn w:val="a0"/>
    <w:rsid w:val="00C50524"/>
  </w:style>
  <w:style w:type="character" w:styleId="aa">
    <w:name w:val="Hyperlink"/>
    <w:basedOn w:val="a0"/>
    <w:uiPriority w:val="99"/>
    <w:unhideWhenUsed/>
    <w:rsid w:val="00C50524"/>
    <w:rPr>
      <w:color w:val="0000FF"/>
      <w:u w:val="single"/>
    </w:rPr>
  </w:style>
  <w:style w:type="character" w:styleId="ab">
    <w:name w:val="Emphasis"/>
    <w:basedOn w:val="a0"/>
    <w:uiPriority w:val="20"/>
    <w:qFormat/>
    <w:rsid w:val="00C50524"/>
    <w:rPr>
      <w:i/>
      <w:iCs/>
    </w:rPr>
  </w:style>
  <w:style w:type="paragraph" w:styleId="ac">
    <w:name w:val="Revision"/>
    <w:hidden/>
    <w:uiPriority w:val="99"/>
    <w:semiHidden/>
    <w:rsid w:val="002878A3"/>
  </w:style>
  <w:style w:type="character" w:customStyle="1" w:styleId="1">
    <w:name w:val="未处理的提及1"/>
    <w:basedOn w:val="a0"/>
    <w:uiPriority w:val="99"/>
    <w:semiHidden/>
    <w:unhideWhenUsed/>
    <w:rsid w:val="00AC4B2F"/>
    <w:rPr>
      <w:color w:val="605E5C"/>
      <w:shd w:val="clear" w:color="auto" w:fill="E1DFDD"/>
    </w:rPr>
  </w:style>
  <w:style w:type="character" w:customStyle="1" w:styleId="10">
    <w:name w:val="批注文字 字符1"/>
    <w:basedOn w:val="a0"/>
    <w:uiPriority w:val="99"/>
    <w:qFormat/>
    <w:rsid w:val="00D3451A"/>
    <w:rPr>
      <w:rFonts w:ascii="Calibri" w:eastAsia="宋体" w:hAnsi="Calibri" w:cs="Times New Roman"/>
      <w:kern w:val="0"/>
      <w:sz w:val="22"/>
      <w:lang w:val="en-GB" w:eastAsia="en-US"/>
    </w:rPr>
  </w:style>
  <w:style w:type="character" w:styleId="ad">
    <w:name w:val="Strong"/>
    <w:basedOn w:val="a0"/>
    <w:uiPriority w:val="22"/>
    <w:qFormat/>
    <w:rsid w:val="00D3451A"/>
    <w:rPr>
      <w:b/>
      <w:bCs/>
    </w:rPr>
  </w:style>
  <w:style w:type="paragraph" w:styleId="ae">
    <w:name w:val="Normal (Web)"/>
    <w:basedOn w:val="a"/>
    <w:uiPriority w:val="99"/>
    <w:unhideWhenUsed/>
    <w:rsid w:val="00D3451A"/>
    <w:pPr>
      <w:widowControl/>
      <w:spacing w:after="200" w:line="276" w:lineRule="auto"/>
      <w:jc w:val="left"/>
    </w:pPr>
    <w:rPr>
      <w:rFonts w:ascii="Times New Roman" w:eastAsia="宋体" w:hAnsi="Times New Roman" w:cs="Times New Roman"/>
      <w:kern w:val="0"/>
      <w:sz w:val="24"/>
      <w:szCs w:val="24"/>
      <w:lang w:val="en-GB" w:eastAsia="en-US"/>
    </w:rPr>
  </w:style>
  <w:style w:type="character" w:styleId="af">
    <w:name w:val="line number"/>
    <w:basedOn w:val="a0"/>
    <w:uiPriority w:val="99"/>
    <w:semiHidden/>
    <w:unhideWhenUsed/>
    <w:rsid w:val="009612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164157">
      <w:bodyDiv w:val="1"/>
      <w:marLeft w:val="0"/>
      <w:marRight w:val="0"/>
      <w:marTop w:val="0"/>
      <w:marBottom w:val="0"/>
      <w:divBdr>
        <w:top w:val="none" w:sz="0" w:space="0" w:color="auto"/>
        <w:left w:val="none" w:sz="0" w:space="0" w:color="auto"/>
        <w:bottom w:val="none" w:sz="0" w:space="0" w:color="auto"/>
        <w:right w:val="none" w:sz="0" w:space="0" w:color="auto"/>
      </w:divBdr>
    </w:div>
    <w:div w:id="1245602685">
      <w:bodyDiv w:val="1"/>
      <w:marLeft w:val="0"/>
      <w:marRight w:val="0"/>
      <w:marTop w:val="0"/>
      <w:marBottom w:val="0"/>
      <w:divBdr>
        <w:top w:val="none" w:sz="0" w:space="0" w:color="auto"/>
        <w:left w:val="none" w:sz="0" w:space="0" w:color="auto"/>
        <w:bottom w:val="none" w:sz="0" w:space="0" w:color="auto"/>
        <w:right w:val="none" w:sz="0" w:space="0" w:color="auto"/>
      </w:divBdr>
      <w:divsChild>
        <w:div w:id="1336300243">
          <w:marLeft w:val="0"/>
          <w:marRight w:val="0"/>
          <w:marTop w:val="90"/>
          <w:marBottom w:val="90"/>
          <w:divBdr>
            <w:top w:val="none" w:sz="0" w:space="0" w:color="auto"/>
            <w:left w:val="none" w:sz="0" w:space="0" w:color="auto"/>
            <w:bottom w:val="none" w:sz="0" w:space="0" w:color="auto"/>
            <w:right w:val="none" w:sz="0" w:space="0" w:color="auto"/>
          </w:divBdr>
        </w:div>
      </w:divsChild>
    </w:div>
    <w:div w:id="1257325827">
      <w:bodyDiv w:val="1"/>
      <w:marLeft w:val="0"/>
      <w:marRight w:val="0"/>
      <w:marTop w:val="0"/>
      <w:marBottom w:val="0"/>
      <w:divBdr>
        <w:top w:val="none" w:sz="0" w:space="0" w:color="auto"/>
        <w:left w:val="none" w:sz="0" w:space="0" w:color="auto"/>
        <w:bottom w:val="none" w:sz="0" w:space="0" w:color="auto"/>
        <w:right w:val="none" w:sz="0" w:space="0" w:color="auto"/>
      </w:divBdr>
    </w:div>
    <w:div w:id="1658920775">
      <w:bodyDiv w:val="1"/>
      <w:marLeft w:val="0"/>
      <w:marRight w:val="0"/>
      <w:marTop w:val="0"/>
      <w:marBottom w:val="0"/>
      <w:divBdr>
        <w:top w:val="none" w:sz="0" w:space="0" w:color="auto"/>
        <w:left w:val="none" w:sz="0" w:space="0" w:color="auto"/>
        <w:bottom w:val="none" w:sz="0" w:space="0" w:color="auto"/>
        <w:right w:val="none" w:sz="0" w:space="0" w:color="auto"/>
      </w:divBdr>
    </w:div>
    <w:div w:id="1843355226">
      <w:bodyDiv w:val="1"/>
      <w:marLeft w:val="0"/>
      <w:marRight w:val="0"/>
      <w:marTop w:val="0"/>
      <w:marBottom w:val="0"/>
      <w:divBdr>
        <w:top w:val="none" w:sz="0" w:space="0" w:color="auto"/>
        <w:left w:val="none" w:sz="0" w:space="0" w:color="auto"/>
        <w:bottom w:val="none" w:sz="0" w:space="0" w:color="auto"/>
        <w:right w:val="none" w:sz="0" w:space="0" w:color="auto"/>
      </w:divBdr>
    </w:div>
    <w:div w:id="193378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tiff"/><Relationship Id="rId23" Type="http://schemas.microsoft.com/office/2016/09/relationships/commentsIds" Target="commentsIds.xml"/><Relationship Id="rId10" Type="http://schemas.openxmlformats.org/officeDocument/2006/relationships/header" Target="header2.xml"/><Relationship Id="rId19" Type="http://schemas.openxmlformats.org/officeDocument/2006/relationships/image" Target="media/image9.tif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tif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B7E8BD"/>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80B80-04D2-49FD-8210-266C3737C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7366</Words>
  <Characters>41988</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NE.Rep</dc:description>
  <cp:lastModifiedBy>Administrator</cp:lastModifiedBy>
  <cp:revision>5</cp:revision>
  <dcterms:created xsi:type="dcterms:W3CDTF">2019-05-08T02:23:00Z</dcterms:created>
  <dcterms:modified xsi:type="dcterms:W3CDTF">2019-06-05T06:41:00Z</dcterms:modified>
</cp:coreProperties>
</file>