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4E" w:rsidRDefault="008F642A">
      <w:pPr>
        <w:snapToGrid w:val="0"/>
        <w:spacing w:line="360" w:lineRule="auto"/>
        <w:rPr>
          <w:rFonts w:ascii="Book Antiqua" w:eastAsia="宋体" w:hAnsi="Book Antiqua" w:cs="Book Antiqua"/>
          <w:b/>
          <w:bCs/>
          <w:kern w:val="0"/>
          <w:sz w:val="24"/>
          <w:szCs w:val="24"/>
        </w:rPr>
      </w:pPr>
      <w:bookmarkStart w:id="0" w:name="_Hlk529265316"/>
      <w:bookmarkStart w:id="1" w:name="_Hlk8479986"/>
      <w:r>
        <w:rPr>
          <w:rFonts w:ascii="Book Antiqua" w:hAnsi="Book Antiqua" w:cstheme="minorBidi"/>
          <w:b/>
          <w:sz w:val="24"/>
          <w:szCs w:val="24"/>
        </w:rPr>
        <w:t xml:space="preserve">Name of Journal: </w:t>
      </w:r>
      <w:r>
        <w:rPr>
          <w:rFonts w:ascii="Book Antiqua" w:hAnsi="Book Antiqua"/>
          <w:i/>
          <w:iCs/>
          <w:sz w:val="24"/>
          <w:szCs w:val="24"/>
        </w:rPr>
        <w:t>World Journal of Gastroenterology</w:t>
      </w:r>
    </w:p>
    <w:p w:rsidR="00AB3D4E" w:rsidRDefault="008F642A">
      <w:pPr>
        <w:tabs>
          <w:tab w:val="left" w:pos="0"/>
        </w:tabs>
        <w:snapToGrid w:val="0"/>
        <w:spacing w:line="360" w:lineRule="auto"/>
        <w:rPr>
          <w:rFonts w:ascii="Book Antiqua" w:hAnsi="Book Antiqua" w:cstheme="minorBidi"/>
          <w:b/>
          <w:sz w:val="24"/>
          <w:szCs w:val="24"/>
        </w:rPr>
      </w:pPr>
      <w:bookmarkStart w:id="2" w:name="OLE_LINK485"/>
      <w:bookmarkStart w:id="3" w:name="OLE_LINK768"/>
      <w:bookmarkStart w:id="4" w:name="OLE_LINK486"/>
      <w:bookmarkStart w:id="5" w:name="OLE_LINK661"/>
      <w:r>
        <w:rPr>
          <w:rFonts w:ascii="Book Antiqua" w:hAnsi="Book Antiqua" w:cstheme="minorBidi"/>
          <w:b/>
          <w:sz w:val="24"/>
          <w:szCs w:val="24"/>
        </w:rPr>
        <w:t>Manuscript NO:</w:t>
      </w:r>
      <w:bookmarkEnd w:id="2"/>
      <w:bookmarkEnd w:id="3"/>
      <w:bookmarkEnd w:id="4"/>
      <w:bookmarkEnd w:id="5"/>
      <w:r>
        <w:rPr>
          <w:rFonts w:ascii="Book Antiqua" w:hAnsi="Book Antiqua" w:cstheme="minorBidi"/>
          <w:b/>
          <w:sz w:val="24"/>
          <w:szCs w:val="24"/>
        </w:rPr>
        <w:t xml:space="preserve"> </w:t>
      </w:r>
      <w:r>
        <w:rPr>
          <w:rFonts w:ascii="Book Antiqua" w:hAnsi="Book Antiqua" w:cstheme="minorBidi"/>
          <w:sz w:val="24"/>
          <w:szCs w:val="24"/>
        </w:rPr>
        <w:t>49426</w:t>
      </w:r>
    </w:p>
    <w:p w:rsidR="00AB3D4E" w:rsidRDefault="008F642A">
      <w:pPr>
        <w:snapToGrid w:val="0"/>
        <w:spacing w:line="360" w:lineRule="auto"/>
        <w:rPr>
          <w:rFonts w:ascii="Book Antiqua" w:eastAsia="宋体" w:hAnsi="Book Antiqua" w:cs="Book Antiqua"/>
          <w:kern w:val="0"/>
          <w:sz w:val="24"/>
          <w:szCs w:val="24"/>
        </w:rPr>
      </w:pPr>
      <w:r>
        <w:rPr>
          <w:rFonts w:ascii="Book Antiqua" w:hAnsi="Book Antiqua" w:cstheme="minorBidi"/>
          <w:b/>
          <w:sz w:val="24"/>
          <w:szCs w:val="24"/>
        </w:rPr>
        <w:t xml:space="preserve">Manuscript Type: </w:t>
      </w:r>
      <w:r>
        <w:rPr>
          <w:rFonts w:ascii="Book Antiqua" w:eastAsia="Book Antiqua" w:hAnsi="Book Antiqua" w:cs="Book Antiqua"/>
          <w:sz w:val="24"/>
          <w:szCs w:val="24"/>
        </w:rPr>
        <w:t>ORIGINAL ARTICLE</w:t>
      </w:r>
      <w:r>
        <w:rPr>
          <w:rFonts w:ascii="Book Antiqua" w:hAnsi="Book Antiqua"/>
          <w:i/>
          <w:iCs/>
          <w:sz w:val="24"/>
          <w:szCs w:val="24"/>
        </w:rPr>
        <w:t xml:space="preserve"> </w:t>
      </w:r>
    </w:p>
    <w:p w:rsidR="00AB3D4E" w:rsidRDefault="00AB3D4E">
      <w:pPr>
        <w:pStyle w:val="a4"/>
        <w:spacing w:line="360" w:lineRule="auto"/>
        <w:rPr>
          <w:rFonts w:ascii="Book Antiqua" w:eastAsiaTheme="minorEastAsia" w:hAnsi="Book Antiqua" w:cs="Times New Roman"/>
          <w:sz w:val="24"/>
          <w:szCs w:val="24"/>
          <w:lang w:eastAsia="zh-CN"/>
        </w:rPr>
      </w:pPr>
    </w:p>
    <w:p w:rsidR="00AB3D4E" w:rsidRDefault="008F642A">
      <w:pPr>
        <w:pStyle w:val="a4"/>
        <w:spacing w:line="360" w:lineRule="auto"/>
        <w:rPr>
          <w:rFonts w:ascii="Book Antiqua" w:eastAsiaTheme="minorEastAsia" w:hAnsi="Book Antiqua" w:cs="Times New Roman"/>
          <w:sz w:val="24"/>
          <w:szCs w:val="24"/>
          <w:lang w:eastAsia="zh-CN"/>
        </w:rPr>
      </w:pPr>
      <w:r>
        <w:rPr>
          <w:rFonts w:ascii="Book Antiqua" w:hAnsi="Book Antiqua"/>
          <w:i/>
          <w:iCs/>
          <w:sz w:val="24"/>
          <w:szCs w:val="24"/>
        </w:rPr>
        <w:t>Case Control Study</w:t>
      </w:r>
    </w:p>
    <w:p w:rsidR="00AB3D4E" w:rsidRDefault="008F642A">
      <w:pPr>
        <w:pStyle w:val="a4"/>
        <w:spacing w:line="360" w:lineRule="auto"/>
        <w:rPr>
          <w:rFonts w:ascii="Book Antiqua" w:eastAsiaTheme="minorEastAsia" w:hAnsi="Book Antiqua" w:cs="Times New Roman"/>
          <w:sz w:val="24"/>
          <w:szCs w:val="24"/>
          <w:lang w:eastAsia="zh-CN"/>
        </w:rPr>
      </w:pPr>
      <w:bookmarkStart w:id="6" w:name="OLE_LINK1030"/>
      <w:bookmarkStart w:id="7" w:name="OLE_LINK1029"/>
      <w:r>
        <w:rPr>
          <w:rFonts w:ascii="Book Antiqua" w:eastAsiaTheme="minorEastAsia" w:hAnsi="Book Antiqua" w:cs="Times New Roman"/>
          <w:sz w:val="24"/>
          <w:szCs w:val="24"/>
          <w:lang w:eastAsia="zh-CN"/>
        </w:rPr>
        <w:t xml:space="preserve">Liver stiffness and serum markers </w:t>
      </w:r>
      <w:bookmarkEnd w:id="0"/>
      <w:r>
        <w:rPr>
          <w:rFonts w:ascii="Book Antiqua" w:eastAsiaTheme="minorEastAsia" w:hAnsi="Book Antiqua" w:cs="Times New Roman"/>
          <w:sz w:val="24"/>
          <w:szCs w:val="24"/>
          <w:lang w:eastAsia="zh-CN"/>
        </w:rPr>
        <w:t xml:space="preserve">for excluding high-risk varices in patients who do not meet </w:t>
      </w:r>
      <w:proofErr w:type="spellStart"/>
      <w:r>
        <w:rPr>
          <w:rFonts w:ascii="Book Antiqua" w:eastAsiaTheme="minorEastAsia" w:hAnsi="Book Antiqua" w:cs="Times New Roman"/>
          <w:sz w:val="24"/>
          <w:szCs w:val="24"/>
          <w:lang w:eastAsia="zh-CN"/>
        </w:rPr>
        <w:t>Baveno</w:t>
      </w:r>
      <w:proofErr w:type="spellEnd"/>
      <w:r>
        <w:rPr>
          <w:rFonts w:ascii="Book Antiqua" w:eastAsiaTheme="minorEastAsia" w:hAnsi="Book Antiqua" w:cs="Times New Roman"/>
          <w:sz w:val="24"/>
          <w:szCs w:val="24"/>
          <w:lang w:eastAsia="zh-CN"/>
        </w:rPr>
        <w:t xml:space="preserve"> VI criteria</w:t>
      </w:r>
      <w:bookmarkEnd w:id="6"/>
      <w:bookmarkEnd w:id="7"/>
    </w:p>
    <w:p w:rsidR="00AB3D4E" w:rsidRDefault="00AB3D4E">
      <w:pPr>
        <w:spacing w:line="360" w:lineRule="auto"/>
        <w:rPr>
          <w:rFonts w:ascii="Book Antiqua" w:hAnsi="Book Antiqua" w:cs="Times New Roman"/>
          <w:b/>
          <w:sz w:val="24"/>
          <w:szCs w:val="24"/>
        </w:rPr>
      </w:pPr>
    </w:p>
    <w:p w:rsidR="00AB3D4E" w:rsidRDefault="008F642A">
      <w:pPr>
        <w:snapToGrid w:val="0"/>
        <w:spacing w:line="360" w:lineRule="auto"/>
        <w:rPr>
          <w:rFonts w:ascii="Book Antiqua" w:hAnsi="Book Antiqua" w:cs="Times New Roman"/>
          <w:sz w:val="24"/>
          <w:szCs w:val="24"/>
        </w:rPr>
      </w:pPr>
      <w:r>
        <w:rPr>
          <w:rFonts w:ascii="Book Antiqua" w:hAnsi="Book Antiqua" w:cs="Times New Roman"/>
          <w:bCs/>
          <w:sz w:val="24"/>
          <w:szCs w:val="24"/>
        </w:rPr>
        <w:t>Zhou H</w:t>
      </w:r>
      <w:r>
        <w:rPr>
          <w:rFonts w:ascii="Book Antiqua" w:hAnsi="Book Antiqua" w:cs="Times New Roman"/>
          <w:b/>
          <w:sz w:val="24"/>
          <w:szCs w:val="24"/>
        </w:rPr>
        <w:t xml:space="preserve"> </w:t>
      </w:r>
      <w:r>
        <w:rPr>
          <w:rFonts w:ascii="Book Antiqua" w:hAnsi="Book Antiqua" w:cs="Times New Roman"/>
          <w:i/>
          <w:sz w:val="24"/>
          <w:szCs w:val="24"/>
        </w:rPr>
        <w:t>et al</w:t>
      </w:r>
      <w:r>
        <w:rPr>
          <w:rFonts w:ascii="Book Antiqua" w:hAnsi="Book Antiqua" w:cs="Times New Roman"/>
          <w:sz w:val="24"/>
          <w:szCs w:val="24"/>
        </w:rPr>
        <w:t xml:space="preserve">. </w:t>
      </w:r>
      <w:bookmarkStart w:id="8" w:name="OLE_LINK1032"/>
      <w:bookmarkStart w:id="9" w:name="OLE_LINK1031"/>
      <w:r>
        <w:rPr>
          <w:rFonts w:ascii="Book Antiqua" w:hAnsi="Book Antiqua" w:cs="Times New Roman"/>
          <w:sz w:val="24"/>
          <w:szCs w:val="24"/>
        </w:rPr>
        <w:t xml:space="preserve">Excluding HRV in patients not meeting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w:t>
      </w:r>
      <w:bookmarkEnd w:id="8"/>
      <w:bookmarkEnd w:id="9"/>
      <w:r>
        <w:rPr>
          <w:rFonts w:ascii="Book Antiqua" w:hAnsi="Book Antiqua" w:cs="Times New Roman"/>
          <w:sz w:val="24"/>
          <w:szCs w:val="24"/>
        </w:rPr>
        <w:t xml:space="preserve"> criteria</w:t>
      </w:r>
    </w:p>
    <w:p w:rsidR="00AB3D4E" w:rsidRDefault="00AB3D4E">
      <w:pPr>
        <w:pStyle w:val="a4"/>
        <w:spacing w:line="360" w:lineRule="auto"/>
        <w:rPr>
          <w:rFonts w:ascii="Book Antiqua" w:eastAsiaTheme="minorEastAsia" w:hAnsi="Book Antiqua" w:cs="Times New Roman"/>
          <w:b w:val="0"/>
          <w:bCs w:val="0"/>
          <w:sz w:val="24"/>
          <w:szCs w:val="24"/>
          <w:lang w:eastAsia="zh-CN"/>
        </w:rPr>
      </w:pPr>
    </w:p>
    <w:p w:rsidR="00AB3D4E" w:rsidRDefault="008F642A">
      <w:pPr>
        <w:pStyle w:val="a4"/>
        <w:spacing w:line="360" w:lineRule="auto"/>
        <w:rPr>
          <w:rFonts w:ascii="Book Antiqua" w:eastAsia="宋体" w:hAnsi="Book Antiqua" w:cs="Times New Roman"/>
          <w:sz w:val="24"/>
          <w:szCs w:val="24"/>
          <w:lang w:eastAsia="zh-CN"/>
        </w:rPr>
      </w:pPr>
      <w:r>
        <w:rPr>
          <w:rFonts w:ascii="Book Antiqua" w:eastAsia="宋体" w:hAnsi="Book Antiqua" w:cs="Times New Roman"/>
          <w:bCs w:val="0"/>
          <w:sz w:val="24"/>
          <w:szCs w:val="24"/>
          <w:lang w:eastAsia="zh-CN"/>
        </w:rPr>
        <w:t xml:space="preserve">Hong Zhou, </w:t>
      </w:r>
      <w:r>
        <w:rPr>
          <w:rFonts w:ascii="Book Antiqua" w:eastAsiaTheme="minorEastAsia" w:hAnsi="Book Antiqua" w:cs="Times New Roman"/>
          <w:bCs w:val="0"/>
          <w:sz w:val="24"/>
          <w:szCs w:val="24"/>
          <w:lang w:eastAsia="zh-CN"/>
        </w:rPr>
        <w:t xml:space="preserve">Jun Long, </w:t>
      </w:r>
      <w:r>
        <w:rPr>
          <w:rFonts w:ascii="Book Antiqua" w:eastAsia="宋体" w:hAnsi="Book Antiqua" w:cs="Times New Roman"/>
          <w:bCs w:val="0"/>
          <w:sz w:val="24"/>
          <w:szCs w:val="24"/>
          <w:lang w:eastAsia="zh-CN"/>
        </w:rPr>
        <w:t xml:space="preserve">Han Hu, </w:t>
      </w:r>
      <w:proofErr w:type="spellStart"/>
      <w:r>
        <w:rPr>
          <w:rFonts w:ascii="Book Antiqua" w:eastAsia="宋体" w:hAnsi="Book Antiqua" w:cs="Times New Roman"/>
          <w:bCs w:val="0"/>
          <w:sz w:val="24"/>
          <w:szCs w:val="24"/>
          <w:lang w:eastAsia="zh-CN"/>
        </w:rPr>
        <w:t>Cai</w:t>
      </w:r>
      <w:proofErr w:type="spellEnd"/>
      <w:r>
        <w:rPr>
          <w:rFonts w:ascii="Book Antiqua" w:eastAsiaTheme="minorEastAsia" w:hAnsi="Book Antiqua" w:cs="Times New Roman"/>
          <w:bCs w:val="0"/>
          <w:sz w:val="24"/>
          <w:szCs w:val="24"/>
          <w:lang w:eastAsia="zh-CN"/>
        </w:rPr>
        <w:t>-Y</w:t>
      </w:r>
      <w:r>
        <w:rPr>
          <w:rFonts w:ascii="Book Antiqua" w:eastAsia="宋体" w:hAnsi="Book Antiqua" w:cs="Times New Roman"/>
          <w:bCs w:val="0"/>
          <w:sz w:val="24"/>
          <w:szCs w:val="24"/>
          <w:lang w:eastAsia="zh-CN"/>
        </w:rPr>
        <w:t xml:space="preserve">un </w:t>
      </w:r>
      <w:proofErr w:type="spellStart"/>
      <w:r>
        <w:rPr>
          <w:rFonts w:ascii="Book Antiqua" w:eastAsia="宋体" w:hAnsi="Book Antiqua" w:cs="Times New Roman"/>
          <w:bCs w:val="0"/>
          <w:sz w:val="24"/>
          <w:szCs w:val="24"/>
          <w:lang w:eastAsia="zh-CN"/>
        </w:rPr>
        <w:t>Tian</w:t>
      </w:r>
      <w:proofErr w:type="spellEnd"/>
      <w:r>
        <w:rPr>
          <w:rFonts w:ascii="Book Antiqua" w:eastAsia="宋体" w:hAnsi="Book Antiqua" w:cs="Times New Roman"/>
          <w:bCs w:val="0"/>
          <w:sz w:val="24"/>
          <w:szCs w:val="24"/>
          <w:lang w:eastAsia="zh-CN"/>
        </w:rPr>
        <w:t>, Shi</w:t>
      </w:r>
      <w:r>
        <w:rPr>
          <w:rFonts w:ascii="Book Antiqua" w:eastAsiaTheme="minorEastAsia" w:hAnsi="Book Antiqua" w:cs="Times New Roman"/>
          <w:bCs w:val="0"/>
          <w:sz w:val="24"/>
          <w:szCs w:val="24"/>
          <w:lang w:eastAsia="zh-CN"/>
        </w:rPr>
        <w:t>-</w:t>
      </w:r>
      <w:r>
        <w:rPr>
          <w:rFonts w:ascii="Book Antiqua" w:eastAsia="宋体" w:hAnsi="Book Antiqua" w:cs="Times New Roman"/>
          <w:bCs w:val="0"/>
          <w:sz w:val="24"/>
          <w:szCs w:val="24"/>
          <w:lang w:eastAsia="zh-CN"/>
        </w:rPr>
        <w:t>De Lin</w:t>
      </w:r>
    </w:p>
    <w:p w:rsidR="00AB3D4E" w:rsidRDefault="00AB3D4E">
      <w:pPr>
        <w:pStyle w:val="a4"/>
        <w:spacing w:line="360" w:lineRule="auto"/>
        <w:rPr>
          <w:rFonts w:ascii="Book Antiqua" w:eastAsiaTheme="minorEastAsia" w:hAnsi="Book Antiqua" w:cs="Times New Roman"/>
          <w:b w:val="0"/>
          <w:bCs w:val="0"/>
          <w:sz w:val="24"/>
          <w:szCs w:val="24"/>
          <w:lang w:eastAsia="zh-CN"/>
        </w:rPr>
      </w:pPr>
    </w:p>
    <w:p w:rsidR="00AB3D4E" w:rsidRDefault="008F642A">
      <w:pPr>
        <w:pStyle w:val="a4"/>
        <w:spacing w:line="360" w:lineRule="auto"/>
        <w:rPr>
          <w:rFonts w:ascii="Book Antiqua" w:eastAsiaTheme="minorEastAsia" w:hAnsi="Book Antiqua" w:cs="Times New Roman"/>
          <w:bCs w:val="0"/>
          <w:sz w:val="24"/>
          <w:szCs w:val="24"/>
          <w:lang w:eastAsia="zh-CN"/>
        </w:rPr>
      </w:pPr>
      <w:r>
        <w:rPr>
          <w:rFonts w:ascii="Book Antiqua" w:eastAsia="宋体" w:hAnsi="Book Antiqua" w:cs="Times New Roman"/>
          <w:bCs w:val="0"/>
          <w:sz w:val="24"/>
          <w:szCs w:val="24"/>
          <w:lang w:eastAsia="zh-CN"/>
        </w:rPr>
        <w:t xml:space="preserve">Hong Zhou, </w:t>
      </w:r>
      <w:r>
        <w:rPr>
          <w:rFonts w:ascii="Book Antiqua" w:eastAsiaTheme="minorEastAsia" w:hAnsi="Book Antiqua" w:cs="Times New Roman"/>
          <w:bCs w:val="0"/>
          <w:sz w:val="24"/>
          <w:szCs w:val="24"/>
          <w:lang w:eastAsia="zh-CN"/>
        </w:rPr>
        <w:t xml:space="preserve">Jun Long, </w:t>
      </w:r>
      <w:r>
        <w:rPr>
          <w:rFonts w:ascii="Book Antiqua" w:eastAsia="宋体" w:hAnsi="Book Antiqua" w:cs="Times New Roman"/>
          <w:bCs w:val="0"/>
          <w:sz w:val="24"/>
          <w:szCs w:val="24"/>
          <w:lang w:eastAsia="zh-CN"/>
        </w:rPr>
        <w:t xml:space="preserve">Han Hu, </w:t>
      </w:r>
      <w:proofErr w:type="spellStart"/>
      <w:r>
        <w:rPr>
          <w:rFonts w:ascii="Book Antiqua" w:eastAsia="宋体" w:hAnsi="Book Antiqua" w:cs="Times New Roman"/>
          <w:bCs w:val="0"/>
          <w:sz w:val="24"/>
          <w:szCs w:val="24"/>
          <w:lang w:eastAsia="zh-CN"/>
        </w:rPr>
        <w:t>Cai</w:t>
      </w:r>
      <w:proofErr w:type="spellEnd"/>
      <w:r>
        <w:rPr>
          <w:rFonts w:ascii="Book Antiqua" w:eastAsiaTheme="minorEastAsia" w:hAnsi="Book Antiqua" w:cs="Times New Roman"/>
          <w:bCs w:val="0"/>
          <w:sz w:val="24"/>
          <w:szCs w:val="24"/>
          <w:lang w:eastAsia="zh-CN"/>
        </w:rPr>
        <w:t>-Y</w:t>
      </w:r>
      <w:r>
        <w:rPr>
          <w:rFonts w:ascii="Book Antiqua" w:eastAsia="宋体" w:hAnsi="Book Antiqua" w:cs="Times New Roman"/>
          <w:bCs w:val="0"/>
          <w:sz w:val="24"/>
          <w:szCs w:val="24"/>
          <w:lang w:eastAsia="zh-CN"/>
        </w:rPr>
        <w:t xml:space="preserve">un </w:t>
      </w:r>
      <w:proofErr w:type="spellStart"/>
      <w:r>
        <w:rPr>
          <w:rFonts w:ascii="Book Antiqua" w:eastAsia="宋体" w:hAnsi="Book Antiqua" w:cs="Times New Roman"/>
          <w:bCs w:val="0"/>
          <w:sz w:val="24"/>
          <w:szCs w:val="24"/>
          <w:lang w:eastAsia="zh-CN"/>
        </w:rPr>
        <w:t>Tian</w:t>
      </w:r>
      <w:proofErr w:type="spellEnd"/>
      <w:r>
        <w:rPr>
          <w:rFonts w:ascii="Book Antiqua" w:eastAsia="宋体" w:hAnsi="Book Antiqua" w:cs="Times New Roman"/>
          <w:bCs w:val="0"/>
          <w:sz w:val="24"/>
          <w:szCs w:val="24"/>
          <w:lang w:eastAsia="zh-CN"/>
        </w:rPr>
        <w:t>, Shi</w:t>
      </w:r>
      <w:r>
        <w:rPr>
          <w:rFonts w:ascii="Book Antiqua" w:eastAsiaTheme="minorEastAsia" w:hAnsi="Book Antiqua" w:cs="Times New Roman"/>
          <w:bCs w:val="0"/>
          <w:sz w:val="24"/>
          <w:szCs w:val="24"/>
          <w:lang w:eastAsia="zh-CN"/>
        </w:rPr>
        <w:t>-</w:t>
      </w:r>
      <w:r>
        <w:rPr>
          <w:rFonts w:ascii="Book Antiqua" w:eastAsia="宋体" w:hAnsi="Book Antiqua" w:cs="Times New Roman"/>
          <w:bCs w:val="0"/>
          <w:sz w:val="24"/>
          <w:szCs w:val="24"/>
          <w:lang w:eastAsia="zh-CN"/>
        </w:rPr>
        <w:t>De Lin,</w:t>
      </w:r>
      <w:r>
        <w:rPr>
          <w:rFonts w:ascii="Book Antiqua" w:eastAsiaTheme="minorEastAsia" w:hAnsi="Book Antiqua" w:cs="Times New Roman" w:hint="eastAsia"/>
          <w:bCs w:val="0"/>
          <w:sz w:val="24"/>
          <w:szCs w:val="24"/>
          <w:lang w:eastAsia="zh-CN"/>
        </w:rPr>
        <w:t xml:space="preserve"> </w:t>
      </w:r>
      <w:r>
        <w:rPr>
          <w:rFonts w:ascii="Book Antiqua" w:eastAsia="宋体" w:hAnsi="Book Antiqua" w:cs="Times New Roman"/>
          <w:b w:val="0"/>
          <w:bCs w:val="0"/>
          <w:sz w:val="24"/>
          <w:szCs w:val="24"/>
          <w:lang w:eastAsia="zh-CN"/>
        </w:rPr>
        <w:t xml:space="preserve">Department of Infectious Diseases, Affiliated Hospital of </w:t>
      </w:r>
      <w:proofErr w:type="spellStart"/>
      <w:r>
        <w:rPr>
          <w:rFonts w:ascii="Book Antiqua" w:eastAsia="宋体" w:hAnsi="Book Antiqua" w:cs="Times New Roman"/>
          <w:b w:val="0"/>
          <w:bCs w:val="0"/>
          <w:sz w:val="24"/>
          <w:szCs w:val="24"/>
          <w:lang w:eastAsia="zh-CN"/>
        </w:rPr>
        <w:t>Zunyi</w:t>
      </w:r>
      <w:proofErr w:type="spellEnd"/>
      <w:r>
        <w:rPr>
          <w:rFonts w:ascii="Book Antiqua" w:eastAsia="宋体" w:hAnsi="Book Antiqua" w:cs="Times New Roman"/>
          <w:b w:val="0"/>
          <w:bCs w:val="0"/>
          <w:sz w:val="24"/>
          <w:szCs w:val="24"/>
          <w:lang w:eastAsia="zh-CN"/>
        </w:rPr>
        <w:t xml:space="preserve"> Medical University, </w:t>
      </w:r>
      <w:proofErr w:type="spellStart"/>
      <w:r>
        <w:rPr>
          <w:rFonts w:ascii="Book Antiqua" w:eastAsia="宋体" w:hAnsi="Book Antiqua" w:cs="Times New Roman"/>
          <w:b w:val="0"/>
          <w:bCs w:val="0"/>
          <w:sz w:val="24"/>
          <w:szCs w:val="24"/>
          <w:lang w:eastAsia="zh-CN"/>
        </w:rPr>
        <w:t>Zunyi</w:t>
      </w:r>
      <w:proofErr w:type="spellEnd"/>
      <w:r>
        <w:rPr>
          <w:rFonts w:ascii="Book Antiqua" w:eastAsia="宋体" w:hAnsi="Book Antiqua" w:cs="Times New Roman"/>
          <w:b w:val="0"/>
          <w:bCs w:val="0"/>
          <w:sz w:val="24"/>
          <w:szCs w:val="24"/>
          <w:lang w:eastAsia="zh-CN"/>
        </w:rPr>
        <w:t xml:space="preserve"> 563003, </w:t>
      </w:r>
      <w:proofErr w:type="spellStart"/>
      <w:r>
        <w:rPr>
          <w:rFonts w:ascii="Book Antiqua" w:eastAsia="宋体" w:hAnsi="Book Antiqua" w:cs="Times New Roman"/>
          <w:b w:val="0"/>
          <w:bCs w:val="0"/>
          <w:sz w:val="24"/>
          <w:szCs w:val="24"/>
          <w:lang w:eastAsia="zh-CN"/>
        </w:rPr>
        <w:t>Guizhou</w:t>
      </w:r>
      <w:proofErr w:type="spellEnd"/>
      <w:r>
        <w:rPr>
          <w:rFonts w:ascii="Book Antiqua" w:eastAsia="宋体" w:hAnsi="Book Antiqua" w:cs="Times New Roman"/>
          <w:b w:val="0"/>
          <w:bCs w:val="0"/>
          <w:sz w:val="24"/>
          <w:szCs w:val="24"/>
          <w:lang w:eastAsia="zh-CN"/>
        </w:rPr>
        <w:t xml:space="preserve"> Province, China</w:t>
      </w:r>
    </w:p>
    <w:p w:rsidR="00AB3D4E" w:rsidRDefault="00AB3D4E">
      <w:pPr>
        <w:pStyle w:val="a4"/>
        <w:spacing w:line="360" w:lineRule="auto"/>
        <w:rPr>
          <w:rFonts w:ascii="Book Antiqua" w:eastAsiaTheme="minorEastAsia" w:hAnsi="Book Antiqua" w:cs="Times New Roman"/>
          <w:bCs w:val="0"/>
          <w:sz w:val="24"/>
          <w:szCs w:val="24"/>
          <w:lang w:eastAsia="zh-CN"/>
        </w:rPr>
      </w:pPr>
    </w:p>
    <w:p w:rsidR="00AB3D4E" w:rsidRDefault="008F642A">
      <w:pPr>
        <w:pStyle w:val="a4"/>
        <w:spacing w:line="360" w:lineRule="auto"/>
        <w:rPr>
          <w:rFonts w:ascii="Book Antiqua" w:eastAsiaTheme="minorEastAsia" w:hAnsi="Book Antiqua" w:cs="Times New Roman"/>
          <w:bCs w:val="0"/>
          <w:sz w:val="24"/>
          <w:szCs w:val="24"/>
          <w:lang w:eastAsia="zh-CN"/>
        </w:rPr>
      </w:pPr>
      <w:r>
        <w:rPr>
          <w:rFonts w:ascii="Book Antiqua" w:eastAsia="宋体" w:hAnsi="Book Antiqua" w:cs="Times New Roman"/>
          <w:bCs w:val="0"/>
          <w:sz w:val="24"/>
          <w:szCs w:val="24"/>
          <w:lang w:eastAsia="zh-CN"/>
        </w:rPr>
        <w:t>Hong Zhou,</w:t>
      </w:r>
      <w:r>
        <w:rPr>
          <w:rFonts w:ascii="Book Antiqua" w:eastAsiaTheme="minorEastAsia" w:hAnsi="Book Antiqua" w:cs="Times New Roman" w:hint="eastAsia"/>
          <w:bCs w:val="0"/>
          <w:sz w:val="24"/>
          <w:szCs w:val="24"/>
          <w:lang w:eastAsia="zh-CN"/>
        </w:rPr>
        <w:t xml:space="preserve"> </w:t>
      </w:r>
      <w:r>
        <w:rPr>
          <w:rFonts w:ascii="Book Antiqua" w:eastAsia="宋体" w:hAnsi="Book Antiqua" w:cs="Times New Roman"/>
          <w:b w:val="0"/>
          <w:bCs w:val="0"/>
          <w:sz w:val="24"/>
          <w:szCs w:val="24"/>
          <w:lang w:eastAsia="zh-CN"/>
        </w:rPr>
        <w:t xml:space="preserve">Department of Infectious Diseases, </w:t>
      </w:r>
      <w:proofErr w:type="spellStart"/>
      <w:r>
        <w:rPr>
          <w:rFonts w:ascii="Book Antiqua" w:eastAsia="宋体" w:hAnsi="Book Antiqua" w:cs="Times New Roman"/>
          <w:b w:val="0"/>
          <w:bCs w:val="0"/>
          <w:sz w:val="24"/>
          <w:szCs w:val="24"/>
          <w:lang w:eastAsia="zh-CN"/>
        </w:rPr>
        <w:t>Suining</w:t>
      </w:r>
      <w:proofErr w:type="spellEnd"/>
      <w:r>
        <w:rPr>
          <w:rFonts w:ascii="Book Antiqua" w:eastAsia="宋体" w:hAnsi="Book Antiqua" w:cs="Times New Roman"/>
          <w:b w:val="0"/>
          <w:bCs w:val="0"/>
          <w:sz w:val="24"/>
          <w:szCs w:val="24"/>
          <w:lang w:eastAsia="zh-CN"/>
        </w:rPr>
        <w:t xml:space="preserve"> Central Hospital, </w:t>
      </w:r>
      <w:proofErr w:type="spellStart"/>
      <w:r>
        <w:rPr>
          <w:rFonts w:ascii="Book Antiqua" w:eastAsia="宋体" w:hAnsi="Book Antiqua" w:cs="Times New Roman"/>
          <w:b w:val="0"/>
          <w:bCs w:val="0"/>
          <w:sz w:val="24"/>
          <w:szCs w:val="24"/>
          <w:lang w:eastAsia="zh-CN"/>
        </w:rPr>
        <w:t>Suining</w:t>
      </w:r>
      <w:proofErr w:type="spellEnd"/>
      <w:r>
        <w:rPr>
          <w:rFonts w:ascii="Book Antiqua" w:eastAsia="宋体" w:hAnsi="Book Antiqua" w:cs="Times New Roman"/>
          <w:b w:val="0"/>
          <w:bCs w:val="0"/>
          <w:sz w:val="24"/>
          <w:szCs w:val="24"/>
          <w:lang w:eastAsia="zh-CN"/>
        </w:rPr>
        <w:t xml:space="preserve"> 629000, Sichuan Province, China</w:t>
      </w:r>
    </w:p>
    <w:p w:rsidR="00AB3D4E" w:rsidRDefault="00AB3D4E">
      <w:pPr>
        <w:spacing w:line="360" w:lineRule="auto"/>
        <w:rPr>
          <w:rFonts w:ascii="Book Antiqua" w:hAnsi="Book Antiqua"/>
          <w:b/>
          <w:sz w:val="24"/>
          <w:szCs w:val="24"/>
        </w:rPr>
      </w:pPr>
    </w:p>
    <w:p w:rsidR="00AB3D4E" w:rsidRDefault="008F642A">
      <w:pPr>
        <w:spacing w:line="360" w:lineRule="auto"/>
        <w:rPr>
          <w:rFonts w:ascii="Book Antiqua" w:hAnsi="Book Antiqua"/>
          <w:sz w:val="24"/>
          <w:szCs w:val="24"/>
        </w:rPr>
      </w:pPr>
      <w:r>
        <w:rPr>
          <w:rFonts w:ascii="Book Antiqua" w:hAnsi="Book Antiqua"/>
          <w:b/>
          <w:bCs/>
          <w:color w:val="333333"/>
          <w:sz w:val="24"/>
          <w:szCs w:val="24"/>
        </w:rPr>
        <w:t>ORCID number</w:t>
      </w:r>
      <w:r>
        <w:rPr>
          <w:rFonts w:ascii="Book Antiqua" w:hAnsi="Book Antiqua"/>
          <w:b/>
          <w:color w:val="000000"/>
          <w:sz w:val="24"/>
          <w:szCs w:val="24"/>
          <w:lang w:val="en-GB"/>
        </w:rPr>
        <w:t>:</w:t>
      </w:r>
      <w:r>
        <w:rPr>
          <w:rFonts w:ascii="Book Antiqua" w:hAnsi="Book Antiqua" w:cstheme="minorBidi"/>
          <w:b/>
          <w:sz w:val="24"/>
          <w:szCs w:val="24"/>
        </w:rPr>
        <w:t xml:space="preserve"> </w:t>
      </w:r>
      <w:r>
        <w:rPr>
          <w:rFonts w:ascii="Book Antiqua" w:eastAsia="宋体" w:hAnsi="Book Antiqua" w:cs="Times New Roman"/>
          <w:sz w:val="24"/>
          <w:szCs w:val="24"/>
        </w:rPr>
        <w:t>Hong Zhou</w:t>
      </w:r>
      <w:r>
        <w:rPr>
          <w:rFonts w:ascii="Book Antiqua" w:hAnsi="Book Antiqua" w:cs="Times New Roman"/>
          <w:sz w:val="24"/>
          <w:szCs w:val="24"/>
        </w:rPr>
        <w:t xml:space="preserve"> </w:t>
      </w:r>
      <w:r>
        <w:rPr>
          <w:rFonts w:ascii="Book Antiqua" w:eastAsia="MS Mincho" w:hAnsi="Book Antiqua"/>
          <w:sz w:val="24"/>
          <w:szCs w:val="24"/>
          <w:lang w:eastAsia="ja-JP"/>
        </w:rPr>
        <w:t>(0000-000</w:t>
      </w:r>
      <w:r>
        <w:rPr>
          <w:rFonts w:ascii="Book Antiqua" w:hAnsi="Book Antiqua"/>
          <w:sz w:val="24"/>
          <w:szCs w:val="24"/>
        </w:rPr>
        <w:t>2</w:t>
      </w:r>
      <w:r>
        <w:rPr>
          <w:rFonts w:ascii="Book Antiqua" w:eastAsia="MS Mincho" w:hAnsi="Book Antiqua"/>
          <w:sz w:val="24"/>
          <w:szCs w:val="24"/>
          <w:lang w:eastAsia="ja-JP"/>
        </w:rPr>
        <w:t>-</w:t>
      </w:r>
      <w:r>
        <w:rPr>
          <w:rFonts w:ascii="Book Antiqua" w:hAnsi="Book Antiqua"/>
          <w:sz w:val="24"/>
          <w:szCs w:val="24"/>
        </w:rPr>
        <w:t>5580</w:t>
      </w:r>
      <w:r>
        <w:rPr>
          <w:rFonts w:ascii="Book Antiqua" w:eastAsia="MS Mincho" w:hAnsi="Book Antiqua"/>
          <w:sz w:val="24"/>
          <w:szCs w:val="24"/>
          <w:lang w:eastAsia="ja-JP"/>
        </w:rPr>
        <w:t>-</w:t>
      </w:r>
      <w:r>
        <w:rPr>
          <w:rFonts w:ascii="Book Antiqua" w:hAnsi="Book Antiqua"/>
          <w:sz w:val="24"/>
          <w:szCs w:val="24"/>
        </w:rPr>
        <w:t>6744</w:t>
      </w:r>
      <w:r>
        <w:rPr>
          <w:rFonts w:ascii="Book Antiqua" w:eastAsia="MS Mincho" w:hAnsi="Book Antiqua"/>
          <w:sz w:val="24"/>
          <w:szCs w:val="24"/>
          <w:lang w:eastAsia="ja-JP"/>
        </w:rPr>
        <w:t>)</w:t>
      </w:r>
      <w:r>
        <w:rPr>
          <w:rFonts w:ascii="Book Antiqua" w:eastAsia="宋体" w:hAnsi="Book Antiqua" w:cs="Times New Roman"/>
          <w:sz w:val="24"/>
          <w:szCs w:val="24"/>
        </w:rPr>
        <w:t xml:space="preserve">; </w:t>
      </w:r>
      <w:r>
        <w:rPr>
          <w:rFonts w:ascii="Book Antiqua" w:hAnsi="Book Antiqua" w:cs="Times New Roman"/>
          <w:sz w:val="24"/>
          <w:szCs w:val="24"/>
        </w:rPr>
        <w:t xml:space="preserve">Jun Long </w:t>
      </w:r>
      <w:r>
        <w:rPr>
          <w:rFonts w:ascii="Book Antiqua" w:eastAsia="MS Mincho" w:hAnsi="Book Antiqua"/>
          <w:sz w:val="24"/>
          <w:szCs w:val="24"/>
          <w:lang w:eastAsia="ja-JP"/>
        </w:rPr>
        <w:t>(0000-0001-</w:t>
      </w:r>
      <w:r>
        <w:rPr>
          <w:rFonts w:ascii="Book Antiqua" w:hAnsi="Book Antiqua"/>
          <w:sz w:val="24"/>
          <w:szCs w:val="24"/>
        </w:rPr>
        <w:t>7595</w:t>
      </w:r>
      <w:r>
        <w:rPr>
          <w:rFonts w:ascii="Book Antiqua" w:eastAsia="MS Mincho" w:hAnsi="Book Antiqua"/>
          <w:sz w:val="24"/>
          <w:szCs w:val="24"/>
          <w:lang w:eastAsia="ja-JP"/>
        </w:rPr>
        <w:t>-</w:t>
      </w:r>
      <w:r>
        <w:rPr>
          <w:rFonts w:ascii="Book Antiqua" w:hAnsi="Book Antiqua"/>
          <w:sz w:val="24"/>
          <w:szCs w:val="24"/>
        </w:rPr>
        <w:t>3840</w:t>
      </w:r>
      <w:r>
        <w:rPr>
          <w:rFonts w:ascii="Book Antiqua" w:eastAsia="MS Mincho" w:hAnsi="Book Antiqua"/>
          <w:sz w:val="24"/>
          <w:szCs w:val="24"/>
          <w:lang w:eastAsia="ja-JP"/>
        </w:rPr>
        <w:t>)</w:t>
      </w:r>
      <w:r>
        <w:rPr>
          <w:rFonts w:ascii="Book Antiqua" w:hAnsi="Book Antiqua" w:cs="Times New Roman"/>
          <w:sz w:val="24"/>
          <w:szCs w:val="24"/>
        </w:rPr>
        <w:t xml:space="preserve">; </w:t>
      </w:r>
      <w:r>
        <w:rPr>
          <w:rFonts w:ascii="Book Antiqua" w:eastAsia="宋体" w:hAnsi="Book Antiqua" w:cs="Times New Roman"/>
          <w:sz w:val="24"/>
          <w:szCs w:val="24"/>
        </w:rPr>
        <w:t>Han Hu</w:t>
      </w:r>
      <w:r>
        <w:rPr>
          <w:rFonts w:ascii="Book Antiqua" w:hAnsi="Book Antiqua" w:cs="Times New Roman"/>
          <w:sz w:val="24"/>
          <w:szCs w:val="24"/>
        </w:rPr>
        <w:t xml:space="preserve"> </w:t>
      </w:r>
      <w:r>
        <w:rPr>
          <w:rFonts w:ascii="Book Antiqua" w:eastAsia="MS Mincho" w:hAnsi="Book Antiqua"/>
          <w:sz w:val="24"/>
          <w:szCs w:val="24"/>
          <w:lang w:eastAsia="ja-JP"/>
        </w:rPr>
        <w:t>(0000-0001-</w:t>
      </w:r>
      <w:r>
        <w:rPr>
          <w:rFonts w:ascii="Book Antiqua" w:hAnsi="Book Antiqua"/>
          <w:sz w:val="24"/>
          <w:szCs w:val="24"/>
        </w:rPr>
        <w:t>7604</w:t>
      </w:r>
      <w:r>
        <w:rPr>
          <w:rFonts w:ascii="Book Antiqua" w:eastAsia="MS Mincho" w:hAnsi="Book Antiqua"/>
          <w:sz w:val="24"/>
          <w:szCs w:val="24"/>
          <w:lang w:eastAsia="ja-JP"/>
        </w:rPr>
        <w:t>-40</w:t>
      </w:r>
      <w:r>
        <w:rPr>
          <w:rFonts w:ascii="Book Antiqua" w:hAnsi="Book Antiqua"/>
          <w:sz w:val="24"/>
          <w:szCs w:val="24"/>
        </w:rPr>
        <w:t>08</w:t>
      </w:r>
      <w:r>
        <w:rPr>
          <w:rFonts w:ascii="Book Antiqua" w:eastAsia="MS Mincho" w:hAnsi="Book Antiqua"/>
          <w:sz w:val="24"/>
          <w:szCs w:val="24"/>
          <w:lang w:eastAsia="ja-JP"/>
        </w:rPr>
        <w:t>)</w:t>
      </w:r>
      <w:r>
        <w:rPr>
          <w:rFonts w:ascii="Book Antiqua" w:eastAsia="宋体" w:hAnsi="Book Antiqua" w:cs="Times New Roman"/>
          <w:sz w:val="24"/>
          <w:szCs w:val="24"/>
        </w:rPr>
        <w:t xml:space="preserve">; </w:t>
      </w:r>
      <w:proofErr w:type="spellStart"/>
      <w:r>
        <w:rPr>
          <w:rFonts w:ascii="Book Antiqua" w:eastAsia="宋体" w:hAnsi="Book Antiqua" w:cs="Times New Roman"/>
          <w:sz w:val="24"/>
          <w:szCs w:val="24"/>
        </w:rPr>
        <w:t>Cai</w:t>
      </w:r>
      <w:proofErr w:type="spellEnd"/>
      <w:r>
        <w:rPr>
          <w:rFonts w:ascii="Book Antiqua" w:hAnsi="Book Antiqua" w:cs="Times New Roman"/>
          <w:sz w:val="24"/>
          <w:szCs w:val="24"/>
        </w:rPr>
        <w:t>-Y</w:t>
      </w:r>
      <w:r>
        <w:rPr>
          <w:rFonts w:ascii="Book Antiqua" w:eastAsia="宋体" w:hAnsi="Book Antiqua" w:cs="Times New Roman"/>
          <w:sz w:val="24"/>
          <w:szCs w:val="24"/>
        </w:rPr>
        <w:t xml:space="preserve">un </w:t>
      </w:r>
      <w:proofErr w:type="spellStart"/>
      <w:r>
        <w:rPr>
          <w:rFonts w:ascii="Book Antiqua" w:eastAsia="宋体" w:hAnsi="Book Antiqua" w:cs="Times New Roman"/>
          <w:sz w:val="24"/>
          <w:szCs w:val="24"/>
        </w:rPr>
        <w:t>Tian</w:t>
      </w:r>
      <w:proofErr w:type="spellEnd"/>
      <w:r>
        <w:rPr>
          <w:rFonts w:ascii="Book Antiqua" w:eastAsia="宋体" w:hAnsi="Book Antiqua" w:cs="Times New Roman"/>
          <w:sz w:val="24"/>
          <w:szCs w:val="24"/>
        </w:rPr>
        <w:t xml:space="preserve"> </w:t>
      </w:r>
      <w:r>
        <w:rPr>
          <w:rFonts w:ascii="Book Antiqua" w:eastAsia="MS Mincho" w:hAnsi="Book Antiqua"/>
          <w:sz w:val="24"/>
          <w:szCs w:val="24"/>
          <w:lang w:eastAsia="ja-JP"/>
        </w:rPr>
        <w:t>(0000-000</w:t>
      </w:r>
      <w:r>
        <w:rPr>
          <w:rFonts w:ascii="Book Antiqua" w:hAnsi="Book Antiqua"/>
          <w:sz w:val="24"/>
          <w:szCs w:val="24"/>
        </w:rPr>
        <w:t>2</w:t>
      </w:r>
      <w:r>
        <w:rPr>
          <w:rFonts w:ascii="Book Antiqua" w:eastAsia="MS Mincho" w:hAnsi="Book Antiqua"/>
          <w:sz w:val="24"/>
          <w:szCs w:val="24"/>
          <w:lang w:eastAsia="ja-JP"/>
        </w:rPr>
        <w:t>-</w:t>
      </w:r>
      <w:r>
        <w:rPr>
          <w:rFonts w:ascii="Book Antiqua" w:hAnsi="Book Antiqua"/>
          <w:sz w:val="24"/>
          <w:szCs w:val="24"/>
        </w:rPr>
        <w:t>6847</w:t>
      </w:r>
      <w:r>
        <w:rPr>
          <w:rFonts w:ascii="Book Antiqua" w:eastAsia="MS Mincho" w:hAnsi="Book Antiqua"/>
          <w:sz w:val="24"/>
          <w:szCs w:val="24"/>
          <w:lang w:eastAsia="ja-JP"/>
        </w:rPr>
        <w:t>-4</w:t>
      </w:r>
      <w:r>
        <w:rPr>
          <w:rFonts w:ascii="Book Antiqua" w:hAnsi="Book Antiqua"/>
          <w:sz w:val="24"/>
          <w:szCs w:val="24"/>
        </w:rPr>
        <w:t>400</w:t>
      </w:r>
      <w:r>
        <w:rPr>
          <w:rFonts w:ascii="Book Antiqua" w:eastAsia="MS Mincho" w:hAnsi="Book Antiqua"/>
          <w:sz w:val="24"/>
          <w:szCs w:val="24"/>
          <w:lang w:eastAsia="ja-JP"/>
        </w:rPr>
        <w:t>)</w:t>
      </w:r>
      <w:r>
        <w:rPr>
          <w:rFonts w:ascii="Book Antiqua" w:hAnsi="Book Antiqua"/>
          <w:sz w:val="24"/>
          <w:szCs w:val="24"/>
        </w:rPr>
        <w:t xml:space="preserve">; </w:t>
      </w:r>
      <w:r>
        <w:rPr>
          <w:rFonts w:ascii="Book Antiqua" w:eastAsia="MS Mincho" w:hAnsi="Book Antiqua"/>
          <w:sz w:val="24"/>
          <w:szCs w:val="24"/>
          <w:lang w:eastAsia="ja-JP"/>
        </w:rPr>
        <w:t>Shi-De Lin (0000-0001-8803-4069).</w:t>
      </w:r>
    </w:p>
    <w:p w:rsidR="00AB3D4E" w:rsidRDefault="00AB3D4E">
      <w:pPr>
        <w:pStyle w:val="a4"/>
        <w:tabs>
          <w:tab w:val="left" w:pos="0"/>
        </w:tabs>
        <w:snapToGrid w:val="0"/>
        <w:spacing w:line="360" w:lineRule="auto"/>
        <w:rPr>
          <w:rFonts w:ascii="Book Antiqua" w:eastAsiaTheme="minorEastAsia" w:hAnsi="Book Antiqua" w:cstheme="minorBidi"/>
          <w:bCs w:val="0"/>
          <w:sz w:val="24"/>
          <w:szCs w:val="24"/>
          <w:lang w:eastAsia="zh-CN"/>
        </w:rPr>
      </w:pPr>
    </w:p>
    <w:p w:rsidR="00AB3D4E" w:rsidRDefault="008F642A">
      <w:pPr>
        <w:pStyle w:val="a4"/>
        <w:tabs>
          <w:tab w:val="left" w:pos="0"/>
        </w:tabs>
        <w:snapToGrid w:val="0"/>
        <w:spacing w:line="360" w:lineRule="auto"/>
        <w:rPr>
          <w:rFonts w:ascii="Book Antiqua" w:eastAsiaTheme="minorEastAsia" w:hAnsi="Book Antiqua"/>
          <w:b w:val="0"/>
          <w:bCs w:val="0"/>
          <w:sz w:val="24"/>
          <w:szCs w:val="24"/>
          <w:lang w:eastAsia="zh-CN"/>
        </w:rPr>
      </w:pPr>
      <w:r>
        <w:rPr>
          <w:rFonts w:ascii="Book Antiqua" w:eastAsiaTheme="minorEastAsia" w:hAnsi="Book Antiqua" w:cstheme="minorBidi"/>
          <w:bCs w:val="0"/>
          <w:sz w:val="24"/>
          <w:szCs w:val="24"/>
          <w:lang w:eastAsia="zh-CN"/>
        </w:rPr>
        <w:t xml:space="preserve">Author contributions: </w:t>
      </w:r>
      <w:r>
        <w:rPr>
          <w:rFonts w:ascii="Book Antiqua" w:eastAsiaTheme="minorEastAsia" w:hAnsi="Book Antiqua"/>
          <w:b w:val="0"/>
          <w:bCs w:val="0"/>
          <w:sz w:val="24"/>
          <w:szCs w:val="24"/>
          <w:lang w:eastAsia="zh-CN"/>
        </w:rPr>
        <w:t>Zhou H</w:t>
      </w:r>
      <w:r>
        <w:rPr>
          <w:rFonts w:ascii="Book Antiqua" w:hAnsi="Book Antiqua"/>
          <w:b w:val="0"/>
          <w:bCs w:val="0"/>
          <w:sz w:val="24"/>
          <w:szCs w:val="24"/>
        </w:rPr>
        <w:t xml:space="preserve"> and</w:t>
      </w:r>
      <w:r>
        <w:rPr>
          <w:rFonts w:ascii="Book Antiqua" w:eastAsiaTheme="minorEastAsia" w:hAnsi="Book Antiqua"/>
          <w:b w:val="0"/>
          <w:bCs w:val="0"/>
          <w:sz w:val="24"/>
          <w:szCs w:val="24"/>
          <w:lang w:eastAsia="zh-CN"/>
        </w:rPr>
        <w:t xml:space="preserve"> Long J</w:t>
      </w:r>
      <w:r>
        <w:rPr>
          <w:rFonts w:ascii="Book Antiqua" w:hAnsi="Book Antiqua"/>
          <w:b w:val="0"/>
          <w:bCs w:val="0"/>
          <w:sz w:val="24"/>
          <w:szCs w:val="24"/>
        </w:rPr>
        <w:t xml:space="preserve"> contributed equally to this work; </w:t>
      </w:r>
      <w:r>
        <w:rPr>
          <w:rFonts w:ascii="Book Antiqua" w:eastAsiaTheme="minorEastAsia" w:hAnsi="Book Antiqua"/>
          <w:b w:val="0"/>
          <w:bCs w:val="0"/>
          <w:sz w:val="24"/>
          <w:szCs w:val="24"/>
          <w:lang w:eastAsia="zh-CN"/>
        </w:rPr>
        <w:t>Zhou H, Long J,</w:t>
      </w:r>
      <w:r>
        <w:rPr>
          <w:rFonts w:ascii="Book Antiqua" w:hAnsi="Book Antiqua"/>
          <w:b w:val="0"/>
          <w:bCs w:val="0"/>
          <w:sz w:val="24"/>
          <w:szCs w:val="24"/>
        </w:rPr>
        <w:t xml:space="preserve"> </w:t>
      </w:r>
      <w:r>
        <w:rPr>
          <w:rFonts w:ascii="Book Antiqua" w:eastAsiaTheme="minorEastAsia" w:hAnsi="Book Antiqua"/>
          <w:b w:val="0"/>
          <w:bCs w:val="0"/>
          <w:sz w:val="24"/>
          <w:szCs w:val="24"/>
          <w:lang w:eastAsia="zh-CN"/>
        </w:rPr>
        <w:t>Hu H, Tian CY, and Lin SD</w:t>
      </w:r>
      <w:r>
        <w:rPr>
          <w:rFonts w:ascii="Book Antiqua" w:hAnsi="Book Antiqua"/>
          <w:b w:val="0"/>
          <w:bCs w:val="0"/>
          <w:sz w:val="24"/>
          <w:szCs w:val="24"/>
        </w:rPr>
        <w:t xml:space="preserve"> performed the research; </w:t>
      </w:r>
      <w:r>
        <w:rPr>
          <w:rFonts w:ascii="Book Antiqua" w:eastAsiaTheme="minorEastAsia" w:hAnsi="Book Antiqua"/>
          <w:b w:val="0"/>
          <w:bCs w:val="0"/>
          <w:sz w:val="24"/>
          <w:szCs w:val="24"/>
          <w:lang w:eastAsia="zh-CN"/>
        </w:rPr>
        <w:t>Zhou H</w:t>
      </w:r>
      <w:r>
        <w:rPr>
          <w:rFonts w:ascii="Book Antiqua" w:hAnsi="Book Antiqua"/>
          <w:b w:val="0"/>
          <w:bCs w:val="0"/>
          <w:sz w:val="24"/>
          <w:szCs w:val="24"/>
        </w:rPr>
        <w:t xml:space="preserve"> and </w:t>
      </w:r>
      <w:r>
        <w:rPr>
          <w:rFonts w:ascii="Book Antiqua" w:eastAsiaTheme="minorEastAsia" w:hAnsi="Book Antiqua"/>
          <w:b w:val="0"/>
          <w:bCs w:val="0"/>
          <w:sz w:val="24"/>
          <w:szCs w:val="24"/>
          <w:lang w:eastAsia="zh-CN"/>
        </w:rPr>
        <w:t>Lin SD</w:t>
      </w:r>
      <w:r>
        <w:rPr>
          <w:rFonts w:ascii="Book Antiqua" w:hAnsi="Book Antiqua"/>
          <w:b w:val="0"/>
          <w:bCs w:val="0"/>
          <w:sz w:val="24"/>
          <w:szCs w:val="24"/>
        </w:rPr>
        <w:t xml:space="preserve"> wrote the manuscript; </w:t>
      </w:r>
      <w:r>
        <w:rPr>
          <w:rFonts w:ascii="Book Antiqua" w:eastAsiaTheme="minorEastAsia" w:hAnsi="Book Antiqua"/>
          <w:b w:val="0"/>
          <w:bCs w:val="0"/>
          <w:sz w:val="24"/>
          <w:szCs w:val="24"/>
          <w:lang w:eastAsia="zh-CN"/>
        </w:rPr>
        <w:t>Long J</w:t>
      </w:r>
      <w:r>
        <w:rPr>
          <w:rFonts w:ascii="Book Antiqua" w:hAnsi="Book Antiqua"/>
          <w:b w:val="0"/>
          <w:bCs w:val="0"/>
          <w:sz w:val="24"/>
          <w:szCs w:val="24"/>
        </w:rPr>
        <w:t xml:space="preserve"> and Lin SD performed the biostatistics</w:t>
      </w:r>
      <w:r>
        <w:rPr>
          <w:rFonts w:ascii="Book Antiqua" w:hAnsi="Book Antiqua"/>
          <w:sz w:val="24"/>
          <w:szCs w:val="24"/>
        </w:rPr>
        <w:t xml:space="preserve"> </w:t>
      </w:r>
      <w:r>
        <w:rPr>
          <w:rFonts w:ascii="Book Antiqua" w:hAnsi="Book Antiqua"/>
          <w:b w:val="0"/>
          <w:bCs w:val="0"/>
          <w:sz w:val="24"/>
          <w:szCs w:val="24"/>
        </w:rPr>
        <w:t xml:space="preserve">analysis; </w:t>
      </w:r>
      <w:r>
        <w:rPr>
          <w:rFonts w:ascii="Book Antiqua" w:eastAsiaTheme="minorEastAsia" w:hAnsi="Book Antiqua"/>
          <w:b w:val="0"/>
          <w:bCs w:val="0"/>
          <w:sz w:val="24"/>
          <w:szCs w:val="24"/>
          <w:lang w:eastAsia="zh-CN"/>
        </w:rPr>
        <w:t>Hu H, Tian CY,</w:t>
      </w:r>
      <w:r>
        <w:rPr>
          <w:rFonts w:ascii="Book Antiqua" w:hAnsi="Book Antiqua"/>
          <w:b w:val="0"/>
          <w:bCs w:val="0"/>
          <w:sz w:val="24"/>
          <w:szCs w:val="24"/>
        </w:rPr>
        <w:t xml:space="preserve"> and Lin SD analyzed the data; all authors discussed the results and commented on the manuscript.</w:t>
      </w:r>
    </w:p>
    <w:p w:rsidR="00AB3D4E" w:rsidRDefault="00AB3D4E">
      <w:pPr>
        <w:pStyle w:val="a4"/>
        <w:tabs>
          <w:tab w:val="left" w:pos="0"/>
        </w:tabs>
        <w:snapToGrid w:val="0"/>
        <w:spacing w:line="360" w:lineRule="auto"/>
        <w:rPr>
          <w:rFonts w:ascii="Book Antiqua" w:eastAsiaTheme="minorEastAsia" w:hAnsi="Book Antiqua"/>
          <w:sz w:val="24"/>
          <w:szCs w:val="24"/>
          <w:lang w:eastAsia="zh-CN"/>
        </w:rPr>
      </w:pP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sz w:val="24"/>
          <w:szCs w:val="24"/>
        </w:rPr>
        <w:t>Supported by</w:t>
      </w:r>
      <w:r>
        <w:rPr>
          <w:rFonts w:ascii="Book Antiqua" w:eastAsia="AdvP846D" w:hAnsi="Book Antiqua"/>
          <w:kern w:val="0"/>
          <w:sz w:val="24"/>
          <w:szCs w:val="24"/>
        </w:rPr>
        <w:t xml:space="preserve"> the National Natural Science Foundation of China, </w:t>
      </w:r>
      <w:r>
        <w:rPr>
          <w:rFonts w:ascii="Book Antiqua" w:hAnsi="Book Antiqua" w:hint="eastAsia"/>
          <w:sz w:val="24"/>
          <w:szCs w:val="24"/>
        </w:rPr>
        <w:t>No.</w:t>
      </w:r>
      <w:r>
        <w:rPr>
          <w:rFonts w:ascii="Book Antiqua" w:hAnsi="Book Antiqua"/>
          <w:sz w:val="24"/>
          <w:szCs w:val="24"/>
        </w:rPr>
        <w:t xml:space="preserve"> </w:t>
      </w:r>
      <w:r>
        <w:rPr>
          <w:rFonts w:ascii="Book Antiqua" w:eastAsia="AdvP846D" w:hAnsi="Book Antiqua"/>
          <w:kern w:val="0"/>
          <w:sz w:val="24"/>
          <w:szCs w:val="24"/>
        </w:rPr>
        <w:t>81860114.</w:t>
      </w:r>
    </w:p>
    <w:p w:rsidR="00AB3D4E" w:rsidRDefault="00AB3D4E">
      <w:pPr>
        <w:tabs>
          <w:tab w:val="left" w:pos="0"/>
        </w:tabs>
        <w:snapToGrid w:val="0"/>
        <w:spacing w:line="360" w:lineRule="auto"/>
        <w:rPr>
          <w:rFonts w:ascii="Book Antiqua" w:eastAsia="AdvP846D" w:hAnsi="Book Antiqua"/>
          <w:kern w:val="0"/>
          <w:sz w:val="24"/>
          <w:szCs w:val="24"/>
        </w:rPr>
      </w:pP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color w:val="000000"/>
          <w:sz w:val="24"/>
          <w:szCs w:val="24"/>
        </w:rPr>
        <w:t>Institutional review board statement</w:t>
      </w:r>
      <w:r>
        <w:rPr>
          <w:rFonts w:ascii="Book Antiqua" w:hAnsi="Book Antiqua"/>
          <w:b/>
          <w:bCs/>
          <w:iCs/>
          <w:sz w:val="24"/>
          <w:szCs w:val="24"/>
        </w:rPr>
        <w:t>:</w:t>
      </w:r>
      <w:r>
        <w:rPr>
          <w:rFonts w:ascii="Book Antiqua" w:hAnsi="Book Antiqua"/>
          <w:b/>
          <w:sz w:val="24"/>
          <w:szCs w:val="24"/>
        </w:rPr>
        <w:t xml:space="preserve"> </w:t>
      </w:r>
      <w:r>
        <w:rPr>
          <w:rFonts w:ascii="Book Antiqua" w:eastAsia="AdvP846D" w:hAnsi="Book Antiqua"/>
          <w:kern w:val="0"/>
          <w:sz w:val="24"/>
          <w:szCs w:val="24"/>
        </w:rPr>
        <w:t xml:space="preserve">This study was approved by the Institutional Review Board of Affiliated Hospital of </w:t>
      </w:r>
      <w:proofErr w:type="spellStart"/>
      <w:r>
        <w:rPr>
          <w:rFonts w:ascii="Book Antiqua" w:eastAsia="AdvP846D" w:hAnsi="Book Antiqua"/>
          <w:kern w:val="0"/>
          <w:sz w:val="24"/>
          <w:szCs w:val="24"/>
        </w:rPr>
        <w:t>Zunyi</w:t>
      </w:r>
      <w:proofErr w:type="spellEnd"/>
      <w:r>
        <w:rPr>
          <w:rFonts w:ascii="Book Antiqua" w:eastAsia="AdvP846D" w:hAnsi="Book Antiqua"/>
          <w:kern w:val="0"/>
          <w:sz w:val="24"/>
          <w:szCs w:val="24"/>
        </w:rPr>
        <w:t xml:space="preserve"> Medical </w:t>
      </w:r>
      <w:r>
        <w:rPr>
          <w:rFonts w:ascii="Book Antiqua" w:hAnsi="Book Antiqua"/>
          <w:sz w:val="24"/>
          <w:szCs w:val="24"/>
        </w:rPr>
        <w:t>University</w:t>
      </w:r>
      <w:r>
        <w:rPr>
          <w:rFonts w:ascii="Book Antiqua" w:eastAsia="AdvP846D" w:hAnsi="Book Antiqua"/>
          <w:kern w:val="0"/>
          <w:sz w:val="24"/>
          <w:szCs w:val="24"/>
        </w:rPr>
        <w:t xml:space="preserve">, </w:t>
      </w:r>
      <w:proofErr w:type="spellStart"/>
      <w:r>
        <w:rPr>
          <w:rFonts w:ascii="Book Antiqua" w:eastAsia="AdvP846D" w:hAnsi="Book Antiqua"/>
          <w:kern w:val="0"/>
          <w:sz w:val="24"/>
          <w:szCs w:val="24"/>
        </w:rPr>
        <w:t>Guizhou</w:t>
      </w:r>
      <w:proofErr w:type="spellEnd"/>
      <w:r>
        <w:rPr>
          <w:rFonts w:ascii="Book Antiqua" w:eastAsia="AdvP846D" w:hAnsi="Book Antiqua"/>
          <w:kern w:val="0"/>
          <w:sz w:val="24"/>
          <w:szCs w:val="24"/>
        </w:rPr>
        <w:t xml:space="preserve"> Province, China.</w:t>
      </w:r>
    </w:p>
    <w:p w:rsidR="00AB3D4E" w:rsidRDefault="00AB3D4E">
      <w:pPr>
        <w:tabs>
          <w:tab w:val="left" w:pos="0"/>
        </w:tabs>
        <w:snapToGrid w:val="0"/>
        <w:spacing w:line="360" w:lineRule="auto"/>
        <w:rPr>
          <w:rFonts w:ascii="Book Antiqua" w:eastAsia="AdvP846D" w:hAnsi="Book Antiqua"/>
          <w:kern w:val="0"/>
          <w:sz w:val="24"/>
          <w:szCs w:val="24"/>
        </w:rPr>
      </w:pP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color w:val="000000"/>
          <w:sz w:val="24"/>
          <w:szCs w:val="24"/>
        </w:rPr>
        <w:t>Informed consent statement</w:t>
      </w:r>
      <w:r>
        <w:rPr>
          <w:rFonts w:ascii="Book Antiqua" w:hAnsi="Book Antiqua"/>
          <w:b/>
          <w:bCs/>
          <w:iCs/>
          <w:sz w:val="24"/>
          <w:szCs w:val="24"/>
        </w:rPr>
        <w:t>:</w:t>
      </w:r>
      <w:r>
        <w:rPr>
          <w:rFonts w:ascii="Book Antiqua" w:eastAsia="AdvP846D" w:hAnsi="Book Antiqua"/>
          <w:kern w:val="0"/>
          <w:sz w:val="24"/>
          <w:szCs w:val="24"/>
        </w:rPr>
        <w:t xml:space="preserve"> All patients were informed in writing of the use of their data for clinical research purposes and accepted.</w:t>
      </w:r>
    </w:p>
    <w:p w:rsidR="00AB3D4E" w:rsidRDefault="00AB3D4E">
      <w:pPr>
        <w:tabs>
          <w:tab w:val="left" w:pos="0"/>
        </w:tabs>
        <w:snapToGrid w:val="0"/>
        <w:spacing w:line="360" w:lineRule="auto"/>
        <w:rPr>
          <w:rFonts w:ascii="Book Antiqua" w:eastAsia="AdvP846D" w:hAnsi="Book Antiqua"/>
          <w:b/>
          <w:kern w:val="0"/>
          <w:sz w:val="24"/>
          <w:szCs w:val="24"/>
        </w:rPr>
      </w:pP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color w:val="000000"/>
          <w:sz w:val="24"/>
          <w:szCs w:val="24"/>
        </w:rPr>
        <w:t>Conflict-of-interest statement</w:t>
      </w:r>
      <w:r>
        <w:rPr>
          <w:rFonts w:ascii="Book Antiqua" w:hAnsi="Book Antiqua" w:cs="TimesNewRomanPS-BoldItalicMT"/>
          <w:b/>
          <w:bCs/>
          <w:iCs/>
          <w:sz w:val="24"/>
          <w:szCs w:val="24"/>
        </w:rPr>
        <w:t>:</w:t>
      </w:r>
      <w:r>
        <w:rPr>
          <w:rFonts w:ascii="Book Antiqua" w:hAnsi="Book Antiqua"/>
          <w:b/>
          <w:sz w:val="24"/>
          <w:szCs w:val="24"/>
        </w:rPr>
        <w:t xml:space="preserve"> </w:t>
      </w:r>
      <w:r>
        <w:rPr>
          <w:rFonts w:ascii="Book Antiqua" w:eastAsia="AdvP846D" w:hAnsi="Book Antiqua"/>
          <w:kern w:val="0"/>
          <w:sz w:val="24"/>
          <w:szCs w:val="24"/>
        </w:rPr>
        <w:t>The authors declare that they have no conflicts of interest in this study.</w:t>
      </w:r>
    </w:p>
    <w:p w:rsidR="00AB3D4E" w:rsidRDefault="00AB3D4E">
      <w:pPr>
        <w:tabs>
          <w:tab w:val="left" w:pos="0"/>
        </w:tabs>
        <w:snapToGrid w:val="0"/>
        <w:spacing w:line="360" w:lineRule="auto"/>
        <w:rPr>
          <w:rFonts w:ascii="Book Antiqua" w:eastAsia="AdvP846D" w:hAnsi="Book Antiqua"/>
          <w:kern w:val="0"/>
          <w:sz w:val="24"/>
          <w:szCs w:val="24"/>
        </w:rPr>
      </w:pPr>
    </w:p>
    <w:p w:rsidR="00AB3D4E" w:rsidRDefault="008F642A">
      <w:pPr>
        <w:snapToGrid w:val="0"/>
        <w:spacing w:line="360" w:lineRule="auto"/>
        <w:rPr>
          <w:rFonts w:ascii="Book Antiqua" w:hAnsi="Book Antiqua" w:cs="Garamond-Bold"/>
          <w:bCs/>
          <w:sz w:val="24"/>
          <w:szCs w:val="24"/>
        </w:rPr>
      </w:pPr>
      <w:r>
        <w:rPr>
          <w:rFonts w:ascii="Book Antiqua" w:hAnsi="Book Antiqua"/>
          <w:b/>
          <w:sz w:val="24"/>
          <w:szCs w:val="24"/>
        </w:rPr>
        <w:t>STROBE Statement</w:t>
      </w:r>
      <w:r>
        <w:rPr>
          <w:rFonts w:ascii="Book Antiqua" w:hAnsi="Book Antiqua" w:hint="eastAsia"/>
          <w:b/>
          <w:sz w:val="24"/>
          <w:szCs w:val="24"/>
        </w:rPr>
        <w:t>:</w:t>
      </w:r>
      <w:r>
        <w:rPr>
          <w:rFonts w:ascii="Book Antiqua" w:hAnsi="Book Antiqua" w:cs="Garamond-Bold"/>
          <w:bCs/>
          <w:sz w:val="24"/>
          <w:szCs w:val="24"/>
        </w:rPr>
        <w:t xml:space="preserve"> The authors have read the STROBE Statement-checklist of items, and the manuscript was prepared and revised according to the STROBE Statement-checklist of items.</w:t>
      </w:r>
    </w:p>
    <w:p w:rsidR="00AB3D4E" w:rsidRDefault="00AB3D4E">
      <w:pPr>
        <w:tabs>
          <w:tab w:val="left" w:pos="0"/>
        </w:tabs>
        <w:snapToGrid w:val="0"/>
        <w:spacing w:line="360" w:lineRule="auto"/>
        <w:rPr>
          <w:rFonts w:ascii="Book Antiqua" w:eastAsia="AdvP846D" w:hAnsi="Book Antiqua"/>
          <w:b/>
          <w:kern w:val="0"/>
          <w:sz w:val="24"/>
          <w:szCs w:val="24"/>
        </w:rPr>
      </w:pPr>
    </w:p>
    <w:p w:rsidR="00AB3D4E" w:rsidRDefault="008F642A">
      <w:pPr>
        <w:tabs>
          <w:tab w:val="left" w:pos="0"/>
        </w:tabs>
        <w:snapToGrid w:val="0"/>
        <w:spacing w:line="360" w:lineRule="auto"/>
        <w:rPr>
          <w:rFonts w:ascii="Book Antiqua" w:hAnsi="Book Antiqua"/>
          <w:sz w:val="24"/>
          <w:szCs w:val="24"/>
        </w:rPr>
      </w:pPr>
      <w:bookmarkStart w:id="10" w:name="OLE_LINK506"/>
      <w:bookmarkStart w:id="11" w:name="OLE_LINK507"/>
      <w:bookmarkStart w:id="12" w:name="OLE_LINK496"/>
      <w:bookmarkStart w:id="13" w:name="OLE_LINK479"/>
      <w:r>
        <w:rPr>
          <w:rFonts w:ascii="Book Antiqua" w:hAnsi="Book Antiqua"/>
          <w:b/>
          <w:sz w:val="24"/>
          <w:szCs w:val="24"/>
        </w:rPr>
        <w:t xml:space="preserve">Open-Access: </w:t>
      </w:r>
      <w:r>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Pr>
            <w:rStyle w:val="ad"/>
            <w:rFonts w:ascii="Book Antiqua" w:hAnsi="Book Antiqua"/>
            <w:sz w:val="24"/>
            <w:szCs w:val="24"/>
          </w:rPr>
          <w:t>http://creativecommons.org/licenses/by-nc/4.0/</w:t>
        </w:r>
      </w:hyperlink>
      <w:bookmarkEnd w:id="10"/>
      <w:bookmarkEnd w:id="11"/>
      <w:bookmarkEnd w:id="12"/>
      <w:bookmarkEnd w:id="13"/>
    </w:p>
    <w:p w:rsidR="00AB3D4E" w:rsidRDefault="00AB3D4E">
      <w:pPr>
        <w:tabs>
          <w:tab w:val="left" w:pos="0"/>
        </w:tabs>
        <w:snapToGrid w:val="0"/>
        <w:spacing w:line="360" w:lineRule="auto"/>
        <w:rPr>
          <w:rFonts w:ascii="Book Antiqua" w:eastAsia="AdvP846D" w:hAnsi="Book Antiqua"/>
          <w:b/>
          <w:kern w:val="0"/>
          <w:sz w:val="24"/>
          <w:szCs w:val="24"/>
        </w:rPr>
      </w:pPr>
    </w:p>
    <w:p w:rsidR="00AB3D4E" w:rsidRDefault="008F642A">
      <w:pPr>
        <w:tabs>
          <w:tab w:val="left" w:pos="0"/>
        </w:tabs>
        <w:snapToGrid w:val="0"/>
        <w:spacing w:line="360" w:lineRule="auto"/>
        <w:rPr>
          <w:rFonts w:ascii="Book Antiqua" w:eastAsia="AdvP846D" w:hAnsi="Book Antiqua"/>
          <w:b/>
          <w:kern w:val="0"/>
          <w:sz w:val="24"/>
          <w:szCs w:val="24"/>
        </w:rPr>
      </w:pPr>
      <w:r>
        <w:rPr>
          <w:rFonts w:ascii="Book Antiqua" w:eastAsia="等线" w:hAnsi="Book Antiqua"/>
          <w:b/>
          <w:sz w:val="24"/>
          <w:szCs w:val="24"/>
        </w:rPr>
        <w:t xml:space="preserve">Manuscript source: </w:t>
      </w:r>
      <w:r>
        <w:rPr>
          <w:rFonts w:ascii="Book Antiqua" w:eastAsia="等线" w:hAnsi="Book Antiqua"/>
          <w:sz w:val="24"/>
          <w:szCs w:val="24"/>
        </w:rPr>
        <w:t>Unsolicited manuscript</w:t>
      </w:r>
    </w:p>
    <w:p w:rsidR="00AB3D4E" w:rsidRDefault="00AB3D4E">
      <w:pPr>
        <w:tabs>
          <w:tab w:val="left" w:pos="0"/>
        </w:tabs>
        <w:snapToGrid w:val="0"/>
        <w:spacing w:line="360" w:lineRule="auto"/>
        <w:rPr>
          <w:rFonts w:ascii="Book Antiqua" w:eastAsia="AdvP846D" w:hAnsi="Book Antiqua"/>
          <w:b/>
          <w:kern w:val="0"/>
          <w:sz w:val="24"/>
          <w:szCs w:val="24"/>
        </w:rPr>
      </w:pPr>
    </w:p>
    <w:p w:rsidR="00AB3D4E" w:rsidRDefault="008F642A">
      <w:pPr>
        <w:tabs>
          <w:tab w:val="left" w:pos="0"/>
        </w:tabs>
        <w:snapToGrid w:val="0"/>
        <w:spacing w:line="360" w:lineRule="auto"/>
        <w:rPr>
          <w:rFonts w:ascii="Book Antiqua" w:eastAsia="AdvP846D" w:hAnsi="Book Antiqua"/>
          <w:kern w:val="0"/>
          <w:sz w:val="24"/>
          <w:szCs w:val="24"/>
        </w:rPr>
      </w:pPr>
      <w:bookmarkStart w:id="14" w:name="OLE_LINK536"/>
      <w:bookmarkStart w:id="15" w:name="OLE_LINK535"/>
      <w:r>
        <w:rPr>
          <w:rFonts w:ascii="Book Antiqua" w:hAnsi="Book Antiqua"/>
          <w:b/>
          <w:sz w:val="24"/>
          <w:szCs w:val="24"/>
        </w:rPr>
        <w:t>Corresponding author:</w:t>
      </w:r>
      <w:bookmarkEnd w:id="14"/>
      <w:bookmarkEnd w:id="15"/>
      <w:r>
        <w:rPr>
          <w:rFonts w:ascii="Book Antiqua" w:eastAsia="AdvP846D" w:hAnsi="Book Antiqua"/>
          <w:kern w:val="0"/>
          <w:sz w:val="24"/>
          <w:szCs w:val="24"/>
        </w:rPr>
        <w:t xml:space="preserve"> </w:t>
      </w:r>
      <w:r>
        <w:rPr>
          <w:rFonts w:ascii="Book Antiqua" w:eastAsia="AdvP846D" w:hAnsi="Book Antiqua"/>
          <w:b/>
          <w:bCs/>
          <w:kern w:val="0"/>
          <w:sz w:val="24"/>
          <w:szCs w:val="24"/>
        </w:rPr>
        <w:t>Shi-De Lin, MD, Occupational Physician, Professor,</w:t>
      </w:r>
      <w:r>
        <w:rPr>
          <w:rFonts w:ascii="Book Antiqua" w:eastAsia="AdvP846D" w:hAnsi="Book Antiqua"/>
          <w:kern w:val="0"/>
          <w:sz w:val="24"/>
          <w:szCs w:val="24"/>
        </w:rPr>
        <w:t xml:space="preserve"> Department of Infectious Diseases, Affiliated Hospital of </w:t>
      </w:r>
      <w:proofErr w:type="spellStart"/>
      <w:r>
        <w:rPr>
          <w:rFonts w:ascii="Book Antiqua" w:eastAsia="AdvP846D" w:hAnsi="Book Antiqua"/>
          <w:kern w:val="0"/>
          <w:sz w:val="24"/>
          <w:szCs w:val="24"/>
        </w:rPr>
        <w:t>Zunyi</w:t>
      </w:r>
      <w:proofErr w:type="spellEnd"/>
      <w:r>
        <w:rPr>
          <w:rFonts w:ascii="Book Antiqua" w:eastAsia="AdvP846D" w:hAnsi="Book Antiqua"/>
          <w:kern w:val="0"/>
          <w:sz w:val="24"/>
          <w:szCs w:val="24"/>
        </w:rPr>
        <w:t xml:space="preserve"> Medical </w:t>
      </w:r>
      <w:r>
        <w:rPr>
          <w:rFonts w:ascii="Book Antiqua" w:hAnsi="Book Antiqua"/>
          <w:sz w:val="24"/>
          <w:szCs w:val="24"/>
        </w:rPr>
        <w:t>University</w:t>
      </w:r>
      <w:r>
        <w:rPr>
          <w:rFonts w:ascii="Book Antiqua" w:eastAsia="AdvP846D" w:hAnsi="Book Antiqua"/>
          <w:kern w:val="0"/>
          <w:sz w:val="24"/>
          <w:szCs w:val="24"/>
        </w:rPr>
        <w:t xml:space="preserve">, 201 Dalian </w:t>
      </w:r>
      <w:r w:rsidR="0037546D">
        <w:rPr>
          <w:rFonts w:ascii="Book Antiqua" w:eastAsia="AdvP846D" w:hAnsi="Book Antiqua"/>
          <w:kern w:val="0"/>
          <w:sz w:val="24"/>
          <w:szCs w:val="24"/>
        </w:rPr>
        <w:t>S</w:t>
      </w:r>
      <w:r>
        <w:rPr>
          <w:rFonts w:ascii="Book Antiqua" w:eastAsia="AdvP846D" w:hAnsi="Book Antiqua"/>
          <w:kern w:val="0"/>
          <w:sz w:val="24"/>
          <w:szCs w:val="24"/>
        </w:rPr>
        <w:t xml:space="preserve">treet, </w:t>
      </w:r>
      <w:proofErr w:type="spellStart"/>
      <w:r>
        <w:rPr>
          <w:rFonts w:ascii="Book Antiqua" w:eastAsia="AdvP846D" w:hAnsi="Book Antiqua"/>
          <w:kern w:val="0"/>
          <w:sz w:val="24"/>
          <w:szCs w:val="24"/>
        </w:rPr>
        <w:t>Zunyi</w:t>
      </w:r>
      <w:proofErr w:type="spellEnd"/>
      <w:r>
        <w:rPr>
          <w:rFonts w:ascii="Book Antiqua" w:eastAsia="AdvP846D" w:hAnsi="Book Antiqua"/>
          <w:kern w:val="0"/>
          <w:sz w:val="24"/>
          <w:szCs w:val="24"/>
        </w:rPr>
        <w:t xml:space="preserve"> 563003, </w:t>
      </w:r>
      <w:proofErr w:type="spellStart"/>
      <w:r>
        <w:rPr>
          <w:rFonts w:ascii="Book Antiqua" w:eastAsia="AdvP846D" w:hAnsi="Book Antiqua"/>
          <w:kern w:val="0"/>
          <w:sz w:val="24"/>
          <w:szCs w:val="24"/>
        </w:rPr>
        <w:t>Guizhou</w:t>
      </w:r>
      <w:proofErr w:type="spellEnd"/>
      <w:r>
        <w:rPr>
          <w:rFonts w:ascii="Book Antiqua" w:eastAsia="AdvP846D" w:hAnsi="Book Antiqua"/>
          <w:kern w:val="0"/>
          <w:sz w:val="24"/>
          <w:szCs w:val="24"/>
        </w:rPr>
        <w:t xml:space="preserve"> Province, China. </w:t>
      </w:r>
      <w:bookmarkStart w:id="16" w:name="OLE_LINK36"/>
      <w:bookmarkStart w:id="17" w:name="OLE_LINK1133"/>
      <w:bookmarkStart w:id="18" w:name="OLE_LINK35"/>
      <w:r>
        <w:rPr>
          <w:rFonts w:ascii="Book Antiqua" w:eastAsia="AdvP846D" w:hAnsi="Book Antiqua"/>
          <w:kern w:val="0"/>
          <w:sz w:val="24"/>
          <w:szCs w:val="24"/>
        </w:rPr>
        <w:fldChar w:fldCharType="begin"/>
      </w:r>
      <w:r>
        <w:rPr>
          <w:rFonts w:ascii="Book Antiqua" w:eastAsia="AdvP846D" w:hAnsi="Book Antiqua"/>
          <w:kern w:val="0"/>
          <w:sz w:val="24"/>
          <w:szCs w:val="24"/>
        </w:rPr>
        <w:instrText xml:space="preserve"> HYPERLINK "mailto:linshide6@zmu.edu.cn " </w:instrText>
      </w:r>
      <w:r>
        <w:rPr>
          <w:rFonts w:ascii="Book Antiqua" w:eastAsia="AdvP846D" w:hAnsi="Book Antiqua"/>
          <w:kern w:val="0"/>
          <w:sz w:val="24"/>
          <w:szCs w:val="24"/>
        </w:rPr>
        <w:fldChar w:fldCharType="separate"/>
      </w:r>
      <w:r>
        <w:rPr>
          <w:rStyle w:val="ad"/>
          <w:rFonts w:ascii="Book Antiqua" w:eastAsia="AdvP846D" w:hAnsi="Book Antiqua"/>
          <w:color w:val="auto"/>
          <w:kern w:val="0"/>
          <w:sz w:val="24"/>
          <w:szCs w:val="24"/>
          <w:u w:val="none"/>
        </w:rPr>
        <w:t xml:space="preserve">linshide6@zmu.edu.cn </w:t>
      </w:r>
      <w:bookmarkEnd w:id="16"/>
      <w:bookmarkEnd w:id="17"/>
      <w:bookmarkEnd w:id="18"/>
      <w:r>
        <w:rPr>
          <w:rFonts w:ascii="Book Antiqua" w:eastAsia="AdvP846D" w:hAnsi="Book Antiqua"/>
          <w:kern w:val="0"/>
          <w:sz w:val="24"/>
          <w:szCs w:val="24"/>
        </w:rPr>
        <w:fldChar w:fldCharType="end"/>
      </w: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sz w:val="24"/>
          <w:szCs w:val="24"/>
          <w:lang w:eastAsia="fr-FR"/>
        </w:rPr>
        <w:t>Tel</w:t>
      </w:r>
      <w:r>
        <w:rPr>
          <w:rFonts w:ascii="Book Antiqua" w:hAnsi="Book Antiqua"/>
          <w:b/>
          <w:sz w:val="24"/>
          <w:szCs w:val="24"/>
        </w:rPr>
        <w:t>ephone</w:t>
      </w:r>
      <w:r>
        <w:rPr>
          <w:rFonts w:ascii="Book Antiqua" w:hAnsi="Book Antiqua"/>
          <w:b/>
          <w:sz w:val="24"/>
          <w:szCs w:val="24"/>
          <w:lang w:eastAsia="fr-FR"/>
        </w:rPr>
        <w:t>:</w:t>
      </w:r>
      <w:r>
        <w:rPr>
          <w:rFonts w:ascii="Book Antiqua" w:eastAsia="AdvP846D" w:hAnsi="Book Antiqua"/>
          <w:kern w:val="0"/>
          <w:sz w:val="24"/>
          <w:szCs w:val="24"/>
        </w:rPr>
        <w:t xml:space="preserve"> +86</w:t>
      </w:r>
      <w:r>
        <w:rPr>
          <w:rFonts w:ascii="Book Antiqua" w:eastAsia="AdvP846D" w:hAnsi="Book Antiqua" w:hint="eastAsia"/>
          <w:kern w:val="0"/>
          <w:sz w:val="24"/>
          <w:szCs w:val="24"/>
        </w:rPr>
        <w:t>-</w:t>
      </w:r>
      <w:r>
        <w:rPr>
          <w:rFonts w:ascii="Book Antiqua" w:eastAsia="AdvP846D" w:hAnsi="Book Antiqua"/>
          <w:kern w:val="0"/>
          <w:sz w:val="24"/>
          <w:szCs w:val="24"/>
        </w:rPr>
        <w:t>851</w:t>
      </w:r>
      <w:r>
        <w:rPr>
          <w:rFonts w:ascii="Book Antiqua" w:eastAsia="AdvP846D" w:hAnsi="Book Antiqua" w:hint="eastAsia"/>
          <w:kern w:val="0"/>
          <w:sz w:val="24"/>
          <w:szCs w:val="24"/>
        </w:rPr>
        <w:t>-</w:t>
      </w:r>
      <w:r>
        <w:rPr>
          <w:rFonts w:ascii="Book Antiqua" w:eastAsia="AdvP846D" w:hAnsi="Book Antiqua"/>
          <w:kern w:val="0"/>
          <w:sz w:val="24"/>
          <w:szCs w:val="24"/>
        </w:rPr>
        <w:t xml:space="preserve">28609183 </w:t>
      </w: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sz w:val="24"/>
          <w:szCs w:val="24"/>
          <w:lang w:eastAsia="fr-FR"/>
        </w:rPr>
        <w:t>Fax:</w:t>
      </w:r>
      <w:r>
        <w:rPr>
          <w:rFonts w:ascii="Book Antiqua" w:eastAsia="AdvP846D" w:hAnsi="Book Antiqua"/>
          <w:kern w:val="0"/>
          <w:sz w:val="24"/>
          <w:szCs w:val="24"/>
        </w:rPr>
        <w:t xml:space="preserve"> +86</w:t>
      </w:r>
      <w:r>
        <w:rPr>
          <w:rFonts w:ascii="Book Antiqua" w:eastAsia="AdvP846D" w:hAnsi="Book Antiqua" w:hint="eastAsia"/>
          <w:kern w:val="0"/>
          <w:sz w:val="24"/>
          <w:szCs w:val="24"/>
        </w:rPr>
        <w:t>-</w:t>
      </w:r>
      <w:r>
        <w:rPr>
          <w:rFonts w:ascii="Book Antiqua" w:eastAsia="AdvP846D" w:hAnsi="Book Antiqua"/>
          <w:kern w:val="0"/>
          <w:sz w:val="24"/>
          <w:szCs w:val="24"/>
        </w:rPr>
        <w:t>851</w:t>
      </w:r>
      <w:r>
        <w:rPr>
          <w:rFonts w:ascii="Book Antiqua" w:eastAsia="AdvP846D" w:hAnsi="Book Antiqua" w:hint="eastAsia"/>
          <w:kern w:val="0"/>
          <w:sz w:val="24"/>
          <w:szCs w:val="24"/>
        </w:rPr>
        <w:t>-</w:t>
      </w:r>
      <w:r>
        <w:rPr>
          <w:rFonts w:ascii="Book Antiqua" w:eastAsia="AdvP846D" w:hAnsi="Book Antiqua"/>
          <w:kern w:val="0"/>
          <w:sz w:val="24"/>
          <w:szCs w:val="24"/>
        </w:rPr>
        <w:t>28609183</w:t>
      </w:r>
    </w:p>
    <w:p w:rsidR="00AB3D4E" w:rsidRDefault="00AB3D4E">
      <w:pPr>
        <w:tabs>
          <w:tab w:val="left" w:pos="0"/>
        </w:tabs>
        <w:snapToGrid w:val="0"/>
        <w:spacing w:line="360" w:lineRule="auto"/>
        <w:rPr>
          <w:rFonts w:ascii="Book Antiqua" w:eastAsia="AdvP846D" w:hAnsi="Book Antiqua"/>
          <w:kern w:val="0"/>
          <w:sz w:val="24"/>
          <w:szCs w:val="24"/>
        </w:rPr>
      </w:pPr>
    </w:p>
    <w:p w:rsidR="00AB3D4E" w:rsidRDefault="008F642A">
      <w:pPr>
        <w:spacing w:line="360" w:lineRule="auto"/>
        <w:rPr>
          <w:rFonts w:ascii="Book Antiqua" w:hAnsi="Book Antiqua"/>
          <w:b/>
          <w:sz w:val="24"/>
          <w:szCs w:val="24"/>
        </w:rPr>
      </w:pPr>
      <w:r>
        <w:rPr>
          <w:rFonts w:ascii="Book Antiqua" w:hAnsi="Book Antiqua"/>
          <w:b/>
          <w:sz w:val="24"/>
          <w:szCs w:val="24"/>
        </w:rPr>
        <w:lastRenderedPageBreak/>
        <w:t xml:space="preserve">Received: </w:t>
      </w:r>
      <w:r>
        <w:rPr>
          <w:rFonts w:ascii="Book Antiqua" w:hAnsi="Book Antiqua"/>
          <w:sz w:val="24"/>
          <w:szCs w:val="24"/>
        </w:rPr>
        <w:t>May 29, 2019</w:t>
      </w:r>
    </w:p>
    <w:p w:rsidR="00AB3D4E" w:rsidRDefault="008F642A">
      <w:pPr>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May 30, 2019</w:t>
      </w:r>
    </w:p>
    <w:p w:rsidR="00AB3D4E" w:rsidRDefault="008F642A">
      <w:pPr>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July 21, 2019</w:t>
      </w:r>
    </w:p>
    <w:p w:rsidR="00AB3D4E" w:rsidRDefault="008F642A">
      <w:pPr>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July 30, 2019</w:t>
      </w:r>
    </w:p>
    <w:p w:rsidR="00AB3D4E" w:rsidRDefault="008F642A">
      <w:pPr>
        <w:spacing w:line="360" w:lineRule="auto"/>
        <w:rPr>
          <w:rFonts w:ascii="Book Antiqua" w:hAnsi="Book Antiqua"/>
          <w:color w:val="000000"/>
          <w:sz w:val="24"/>
          <w:szCs w:val="24"/>
        </w:rPr>
      </w:pPr>
      <w:r>
        <w:rPr>
          <w:rFonts w:ascii="Book Antiqua" w:hAnsi="Book Antiqua"/>
          <w:b/>
          <w:sz w:val="24"/>
          <w:szCs w:val="24"/>
        </w:rPr>
        <w:t>Accepted:</w:t>
      </w:r>
      <w:r>
        <w:t xml:space="preserve"> </w:t>
      </w:r>
      <w:r>
        <w:rPr>
          <w:rFonts w:ascii="Book Antiqua" w:hAnsi="Book Antiqua"/>
          <w:sz w:val="24"/>
          <w:szCs w:val="24"/>
        </w:rPr>
        <w:t xml:space="preserve">August 24, 2019 </w:t>
      </w:r>
    </w:p>
    <w:p w:rsidR="00AB3D4E" w:rsidRDefault="008F642A">
      <w:pPr>
        <w:spacing w:line="360" w:lineRule="auto"/>
        <w:rPr>
          <w:rFonts w:ascii="Book Antiqua" w:hAnsi="Book Antiqua"/>
          <w:b/>
          <w:sz w:val="24"/>
          <w:szCs w:val="24"/>
        </w:rPr>
      </w:pPr>
      <w:r>
        <w:rPr>
          <w:rFonts w:ascii="Book Antiqua" w:hAnsi="Book Antiqua"/>
          <w:b/>
          <w:sz w:val="24"/>
          <w:szCs w:val="24"/>
        </w:rPr>
        <w:t>Article in press:</w:t>
      </w:r>
      <w:r w:rsidR="00F71BDF">
        <w:rPr>
          <w:rFonts w:ascii="Book Antiqua" w:hAnsi="Book Antiqua"/>
          <w:b/>
          <w:sz w:val="24"/>
          <w:szCs w:val="24"/>
        </w:rPr>
        <w:t xml:space="preserve"> </w:t>
      </w:r>
      <w:r w:rsidR="00F71BDF">
        <w:rPr>
          <w:rFonts w:ascii="Book Antiqua" w:hAnsi="Book Antiqua"/>
          <w:sz w:val="24"/>
          <w:szCs w:val="24"/>
        </w:rPr>
        <w:t>August 24, 2019</w:t>
      </w:r>
    </w:p>
    <w:p w:rsidR="00AB3D4E" w:rsidRDefault="008F642A">
      <w:pPr>
        <w:tabs>
          <w:tab w:val="left" w:pos="0"/>
        </w:tabs>
        <w:snapToGrid w:val="0"/>
        <w:spacing w:line="360" w:lineRule="auto"/>
        <w:rPr>
          <w:rFonts w:ascii="Book Antiqua" w:eastAsia="AdvP846D" w:hAnsi="Book Antiqua"/>
          <w:kern w:val="0"/>
          <w:sz w:val="24"/>
          <w:szCs w:val="24"/>
        </w:rPr>
      </w:pPr>
      <w:r>
        <w:rPr>
          <w:rFonts w:ascii="Book Antiqua" w:hAnsi="Book Antiqua"/>
          <w:b/>
          <w:sz w:val="24"/>
          <w:szCs w:val="24"/>
        </w:rPr>
        <w:t>Published online:</w:t>
      </w:r>
      <w:r w:rsidR="00F71BDF">
        <w:rPr>
          <w:rFonts w:ascii="Book Antiqua" w:hAnsi="Book Antiqua"/>
          <w:b/>
          <w:sz w:val="24"/>
          <w:szCs w:val="24"/>
        </w:rPr>
        <w:t xml:space="preserve"> </w:t>
      </w:r>
      <w:r w:rsidR="00F71BDF">
        <w:rPr>
          <w:rFonts w:ascii="Book Antiqua" w:hAnsi="Book Antiqua"/>
          <w:sz w:val="24"/>
          <w:szCs w:val="24"/>
        </w:rPr>
        <w:t>September</w:t>
      </w:r>
      <w:r w:rsidR="00F71BDF">
        <w:rPr>
          <w:rFonts w:ascii="Book Antiqua" w:hAnsi="Book Antiqua"/>
          <w:sz w:val="24"/>
          <w:szCs w:val="24"/>
        </w:rPr>
        <w:t xml:space="preserve"> 2</w:t>
      </w:r>
      <w:r w:rsidR="00F71BDF">
        <w:rPr>
          <w:rFonts w:ascii="Book Antiqua" w:hAnsi="Book Antiqua"/>
          <w:sz w:val="24"/>
          <w:szCs w:val="24"/>
        </w:rPr>
        <w:t>1</w:t>
      </w:r>
      <w:r w:rsidR="00F71BDF">
        <w:rPr>
          <w:rFonts w:ascii="Book Antiqua" w:hAnsi="Book Antiqua"/>
          <w:sz w:val="24"/>
          <w:szCs w:val="24"/>
        </w:rPr>
        <w:t>, 2019</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br w:type="page"/>
      </w: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imes New Roman"/>
          <w:b/>
          <w:sz w:val="24"/>
          <w:szCs w:val="24"/>
        </w:rPr>
        <w:lastRenderedPageBreak/>
        <w:t>Abstract</w:t>
      </w: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b/>
          <w:i/>
          <w:color w:val="000000"/>
          <w:sz w:val="24"/>
          <w:szCs w:val="24"/>
        </w:rPr>
        <w:t>BACKGROUND</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t xml:space="preserve">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r>
        <w:rPr>
          <w:rFonts w:ascii="Book Antiqua" w:hAnsi="Book Antiqua"/>
          <w:sz w:val="24"/>
          <w:szCs w:val="24"/>
        </w:rPr>
        <w:t xml:space="preserve"> </w:t>
      </w:r>
      <w:r>
        <w:rPr>
          <w:rFonts w:ascii="Book Antiqua" w:hAnsi="Book Antiqua" w:cs="Times New Roman"/>
          <w:sz w:val="24"/>
          <w:szCs w:val="24"/>
        </w:rPr>
        <w:t xml:space="preserve">for predicting esophageal varices, </w:t>
      </w:r>
      <w:r>
        <w:rPr>
          <w:rFonts w:ascii="Book Antiqua" w:hAnsi="Book Antiqua" w:cs="Times New Roman"/>
          <w:i/>
          <w:sz w:val="24"/>
          <w:szCs w:val="24"/>
        </w:rPr>
        <w:t>i.e.</w:t>
      </w:r>
      <w:r>
        <w:rPr>
          <w:rFonts w:ascii="Book Antiqua" w:hAnsi="Book Antiqua" w:cs="Times New Roman"/>
          <w:sz w:val="24"/>
          <w:szCs w:val="24"/>
        </w:rPr>
        <w:t>, liver stiffness measurement (LSM) &lt;</w:t>
      </w:r>
      <w:r>
        <w:rPr>
          <w:rFonts w:ascii="Book Antiqua" w:hAnsi="Book Antiqua" w:cs="Times New Roman" w:hint="eastAsia"/>
          <w:sz w:val="24"/>
          <w:szCs w:val="24"/>
        </w:rPr>
        <w:t xml:space="preserve"> </w:t>
      </w:r>
      <w:r>
        <w:rPr>
          <w:rFonts w:ascii="Book Antiqua" w:hAnsi="Book Antiqua" w:cs="Times New Roman"/>
          <w:sz w:val="24"/>
          <w:szCs w:val="24"/>
        </w:rPr>
        <w:t xml:space="preserve">20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platelet (PLT) count &gt;</w:t>
      </w:r>
      <w:r>
        <w:rPr>
          <w:rFonts w:ascii="Book Antiqua" w:hAnsi="Book Antiqua" w:cs="Times New Roman" w:hint="eastAsia"/>
          <w:sz w:val="24"/>
          <w:szCs w:val="24"/>
        </w:rPr>
        <w:t xml:space="preserve"> </w:t>
      </w:r>
      <w:r>
        <w:rPr>
          <w:rFonts w:ascii="Book Antiqua" w:hAnsi="Book Antiqua" w:cs="Times New Roman"/>
          <w:sz w:val="24"/>
          <w:szCs w:val="24"/>
        </w:rPr>
        <w:t>150 × 10</w:t>
      </w:r>
      <w:r>
        <w:rPr>
          <w:rFonts w:ascii="Book Antiqua" w:hAnsi="Book Antiqua" w:cs="Times New Roman"/>
          <w:sz w:val="24"/>
          <w:szCs w:val="24"/>
          <w:vertAlign w:val="superscript"/>
        </w:rPr>
        <w:t>9</w:t>
      </w:r>
      <w:r>
        <w:rPr>
          <w:rFonts w:ascii="Book Antiqua" w:hAnsi="Book Antiqua" w:cs="Times New Roman"/>
          <w:sz w:val="24"/>
          <w:szCs w:val="24"/>
        </w:rPr>
        <w:t>/L, identify patients who can safely avoid gastroscopy screening. However, they require further refinement.</w:t>
      </w:r>
    </w:p>
    <w:p w:rsidR="00AB3D4E" w:rsidRDefault="00AB3D4E">
      <w:pPr>
        <w:widowControl/>
        <w:autoSpaceDE/>
        <w:autoSpaceDN/>
        <w:adjustRightInd/>
        <w:spacing w:line="360" w:lineRule="auto"/>
        <w:rPr>
          <w:rFonts w:ascii="Book Antiqua" w:hAnsi="Book Antiqua" w:cs="Times New Roman"/>
          <w:b/>
          <w:sz w:val="24"/>
          <w:szCs w:val="24"/>
        </w:rPr>
      </w:pPr>
    </w:p>
    <w:p w:rsidR="00AB3D4E" w:rsidRDefault="008F642A">
      <w:pPr>
        <w:widowControl/>
        <w:autoSpaceDE/>
        <w:autoSpaceDN/>
        <w:adjustRightInd/>
        <w:spacing w:line="360" w:lineRule="auto"/>
        <w:rPr>
          <w:rFonts w:ascii="Book Antiqua" w:hAnsi="Book Antiqua" w:cs="Times New Roman"/>
          <w:i/>
          <w:sz w:val="24"/>
          <w:szCs w:val="24"/>
        </w:rPr>
      </w:pPr>
      <w:r>
        <w:rPr>
          <w:rFonts w:ascii="Book Antiqua" w:hAnsi="Book Antiqua" w:cs="Times New Roman"/>
          <w:b/>
          <w:i/>
          <w:sz w:val="24"/>
          <w:szCs w:val="24"/>
        </w:rPr>
        <w:t>AIM</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t xml:space="preserve">To evaluate the utility of LSM and serum markers of liver fibrosis in ruling out high-risk varices (HRV) in patients who do not meet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AB3D4E">
      <w:pPr>
        <w:widowControl/>
        <w:autoSpaceDE/>
        <w:autoSpaceDN/>
        <w:adjustRightInd/>
        <w:spacing w:line="360" w:lineRule="auto"/>
        <w:rPr>
          <w:rFonts w:ascii="Book Antiqua" w:hAnsi="Book Antiqua" w:cs="Times New Roman"/>
          <w:sz w:val="24"/>
          <w:szCs w:val="24"/>
        </w:rPr>
      </w:pPr>
    </w:p>
    <w:p w:rsidR="00AB3D4E" w:rsidRDefault="008F642A">
      <w:pPr>
        <w:widowControl/>
        <w:autoSpaceDE/>
        <w:autoSpaceDN/>
        <w:adjustRightInd/>
        <w:spacing w:line="360" w:lineRule="auto"/>
        <w:rPr>
          <w:rFonts w:ascii="Book Antiqua" w:hAnsi="Book Antiqua" w:cs="Times New Roman"/>
          <w:b/>
          <w:i/>
          <w:sz w:val="24"/>
          <w:szCs w:val="24"/>
        </w:rPr>
      </w:pPr>
      <w:r>
        <w:rPr>
          <w:rFonts w:ascii="Book Antiqua" w:hAnsi="Book Antiqua" w:cs="Times New Roman"/>
          <w:b/>
          <w:i/>
          <w:sz w:val="24"/>
          <w:szCs w:val="24"/>
        </w:rPr>
        <w:t>METHODS</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t>Data from</w:t>
      </w:r>
      <w:r>
        <w:rPr>
          <w:rFonts w:ascii="Book Antiqua" w:hAnsi="Book Antiqua" w:cs="Times New Roman"/>
          <w:b/>
          <w:sz w:val="24"/>
          <w:szCs w:val="24"/>
        </w:rPr>
        <w:t xml:space="preserve"> </w:t>
      </w:r>
      <w:r>
        <w:rPr>
          <w:rFonts w:ascii="Book Antiqua" w:hAnsi="Book Antiqua" w:cs="Times New Roman"/>
          <w:sz w:val="24"/>
          <w:szCs w:val="24"/>
        </w:rPr>
        <w:t xml:space="preserve">132 patients with hepatitis B virus (HBV)-related compensated liver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were retrospectively reviewed. </w:t>
      </w:r>
      <w:proofErr w:type="spellStart"/>
      <w:r>
        <w:rPr>
          <w:rFonts w:ascii="Book Antiqua" w:hAnsi="Book Antiqua" w:cs="Times New Roman"/>
          <w:sz w:val="24"/>
          <w:szCs w:val="24"/>
        </w:rPr>
        <w:t>MedCalc</w:t>
      </w:r>
      <w:proofErr w:type="spellEnd"/>
      <w:r>
        <w:rPr>
          <w:rFonts w:ascii="Book Antiqua" w:hAnsi="Book Antiqua" w:cs="Times New Roman"/>
          <w:sz w:val="24"/>
          <w:szCs w:val="24"/>
        </w:rPr>
        <w:t xml:space="preserve"> 15.8 was used to calculate receiver operating characteristic (ROC) curves, and the accuracy of LSM, PLT count, aspartate aminotransferase (AST)-to-PLT ratio index, Fibrosis-4, and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in predicting HRV were evaluated according to the area under each ROC curve (AUROC). The utility of LSM, PLT, and serum markers of liver fibrosis </w:t>
      </w:r>
      <w:hyperlink r:id="rId10"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alanine transaminase (ALT) and total bilirubin (</w:t>
      </w:r>
      <w:proofErr w:type="spellStart"/>
      <w:r>
        <w:rPr>
          <w:rFonts w:ascii="Book Antiqua" w:hAnsi="Book Antiqua" w:cs="Times New Roman"/>
          <w:sz w:val="24"/>
          <w:szCs w:val="24"/>
        </w:rPr>
        <w:t>TBil</w:t>
      </w:r>
      <w:proofErr w:type="spellEnd"/>
      <w:r>
        <w:rPr>
          <w:rFonts w:ascii="Book Antiqua" w:hAnsi="Book Antiqua" w:cs="Times New Roman"/>
          <w:sz w:val="24"/>
          <w:szCs w:val="24"/>
        </w:rPr>
        <w:t>) levels was evaluated for ruling out HRV.</w:t>
      </w:r>
    </w:p>
    <w:p w:rsidR="00AB3D4E" w:rsidRDefault="00AB3D4E">
      <w:pPr>
        <w:widowControl/>
        <w:autoSpaceDE/>
        <w:autoSpaceDN/>
        <w:adjustRightInd/>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RESULTS</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In all patients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independent risk factors for HRV were LSM and ALT. Only the AUROC of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was above 0.7 for predicting HRV, and at a cutoff value of 0.4531 it could further spare 24.2% of gastroscopies without missing HRVs. The prevalence of HRV was significantly lower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w:t>
      </w:r>
      <w:r>
        <w:rPr>
          <w:rFonts w:ascii="Book Antiqua" w:hAnsi="Book Antiqua" w:cs="Times New Roman" w:hint="eastAsia"/>
          <w:sz w:val="24"/>
          <w:szCs w:val="24"/>
        </w:rPr>
        <w:t xml:space="preserve"> </w:t>
      </w:r>
      <w:r>
        <w:rPr>
          <w:rFonts w:ascii="Book Antiqua" w:hAnsi="Book Antiqua" w:cs="Times New Roman"/>
          <w:sz w:val="24"/>
          <w:szCs w:val="24"/>
        </w:rPr>
        <w:t xml:space="preserve">2 upper limit of normal (ULN) (14.3%) than in patients with both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2 ULN (34.1%) (</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0.018). In the 41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2 ULN, LSM had an AUROC for predicting HRV of 0.821. LSM &lt;</w:t>
      </w:r>
      <w:r>
        <w:rPr>
          <w:rFonts w:ascii="Book Antiqua" w:hAnsi="Book Antiqua" w:cs="Times New Roman" w:hint="eastAsia"/>
          <w:sz w:val="24"/>
          <w:szCs w:val="24"/>
        </w:rPr>
        <w:t xml:space="preserve"> </w:t>
      </w:r>
      <w:r>
        <w:rPr>
          <w:rFonts w:ascii="Book Antiqua" w:hAnsi="Book Antiqua" w:cs="Times New Roman"/>
          <w:sz w:val="24"/>
          <w:szCs w:val="24"/>
        </w:rPr>
        <w:t>20.6</w:t>
      </w:r>
      <w:r>
        <w:rPr>
          <w:rFonts w:ascii="Book Antiqua" w:hAnsi="Book Antiqua" w:cs="Times New Roman" w:hint="eastAsia"/>
          <w:sz w:val="24"/>
          <w:szCs w:val="24"/>
        </w:rPr>
        <w:t xml:space="preserve">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spared </w:t>
      </w:r>
      <w:r>
        <w:rPr>
          <w:rFonts w:ascii="Book Antiqua" w:hAnsi="Book Antiqua" w:cs="Times New Roman" w:hint="eastAsia"/>
          <w:sz w:val="24"/>
          <w:szCs w:val="24"/>
        </w:rPr>
        <w:t>39.0</w:t>
      </w:r>
      <w:r>
        <w:rPr>
          <w:rFonts w:ascii="Book Antiqua" w:hAnsi="Book Antiqua" w:cs="Times New Roman"/>
          <w:sz w:val="24"/>
          <w:szCs w:val="24"/>
        </w:rPr>
        <w:t xml:space="preserve">% of gastroscopies without missing HRVs. In the 91 patients </w:t>
      </w:r>
      <w:r>
        <w:rPr>
          <w:rFonts w:ascii="Book Antiqua" w:hAnsi="Book Antiqua" w:cs="Times New Roman"/>
          <w:sz w:val="24"/>
          <w:szCs w:val="24"/>
        </w:rPr>
        <w:lastRenderedPageBreak/>
        <w:t xml:space="preserve">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w:t>
      </w:r>
      <w:r>
        <w:rPr>
          <w:rFonts w:ascii="Book Antiqua" w:hAnsi="Book Antiqua" w:cs="Times New Roman" w:hint="eastAsia"/>
          <w:sz w:val="24"/>
          <w:szCs w:val="24"/>
        </w:rPr>
        <w:t xml:space="preserve"> </w:t>
      </w:r>
      <w:r>
        <w:rPr>
          <w:rFonts w:ascii="Book Antiqua" w:hAnsi="Book Antiqua" w:cs="Times New Roman"/>
          <w:sz w:val="24"/>
          <w:szCs w:val="24"/>
        </w:rPr>
        <w:t>2</w:t>
      </w:r>
      <w:r>
        <w:rPr>
          <w:rFonts w:ascii="Book Antiqua" w:hAnsi="Book Antiqua" w:cs="Times New Roman" w:hint="eastAsia"/>
          <w:sz w:val="24"/>
          <w:szCs w:val="24"/>
        </w:rPr>
        <w:t xml:space="preserve"> </w:t>
      </w:r>
      <w:r>
        <w:rPr>
          <w:rFonts w:ascii="Book Antiqua" w:hAnsi="Book Antiqua" w:cs="Times New Roman"/>
          <w:sz w:val="24"/>
          <w:szCs w:val="24"/>
        </w:rPr>
        <w:t xml:space="preserve">ULN,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and PLT had AUROCs of 0.814 and 0.741, respectively.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r>
        <w:rPr>
          <w:rFonts w:ascii="Book Antiqua" w:hAnsi="Book Antiqua" w:cs="Times New Roman" w:hint="eastAsia"/>
          <w:sz w:val="24"/>
          <w:szCs w:val="24"/>
        </w:rPr>
        <w:t xml:space="preserve"> </w:t>
      </w:r>
      <w:r>
        <w:rPr>
          <w:rFonts w:ascii="Book Antiqua" w:hAnsi="Book Antiqua" w:cs="Times New Roman"/>
          <w:sz w:val="24"/>
          <w:szCs w:val="24"/>
        </w:rPr>
        <w:t>0.5596 or PLT &gt; 100 × 10</w:t>
      </w:r>
      <w:r>
        <w:rPr>
          <w:rFonts w:ascii="Book Antiqua" w:hAnsi="Book Antiqua" w:cs="Times New Roman"/>
          <w:sz w:val="24"/>
          <w:szCs w:val="24"/>
          <w:vertAlign w:val="superscript"/>
        </w:rPr>
        <w:t>9</w:t>
      </w:r>
      <w:r>
        <w:rPr>
          <w:rFonts w:ascii="Book Antiqua" w:hAnsi="Book Antiqua" w:cs="Times New Roman"/>
          <w:sz w:val="24"/>
          <w:szCs w:val="24"/>
        </w:rPr>
        <w:t>/L further spared 39.6% and 43.9% of gastroscopies, respectively, without missing HRVs.</w:t>
      </w:r>
    </w:p>
    <w:p w:rsidR="00AB3D4E" w:rsidRDefault="00AB3D4E">
      <w:pPr>
        <w:spacing w:line="360" w:lineRule="auto"/>
        <w:rPr>
          <w:rFonts w:ascii="Book Antiqua" w:hAnsi="Book Antiqua" w:cs="Times New Roman"/>
          <w:sz w:val="24"/>
          <w:szCs w:val="24"/>
        </w:rPr>
      </w:pPr>
    </w:p>
    <w:p w:rsidR="00AB3D4E" w:rsidRDefault="008F642A">
      <w:pPr>
        <w:widowControl/>
        <w:autoSpaceDE/>
        <w:autoSpaceDN/>
        <w:adjustRightInd/>
        <w:spacing w:line="360" w:lineRule="auto"/>
        <w:rPr>
          <w:rFonts w:ascii="Book Antiqua" w:hAnsi="Book Antiqua" w:cs="Times New Roman"/>
          <w:i/>
          <w:sz w:val="24"/>
          <w:szCs w:val="24"/>
        </w:rPr>
      </w:pPr>
      <w:r>
        <w:rPr>
          <w:rFonts w:ascii="Book Antiqua" w:hAnsi="Book Antiqua" w:cs="Times New Roman"/>
          <w:b/>
          <w:i/>
          <w:sz w:val="24"/>
          <w:szCs w:val="24"/>
        </w:rPr>
        <w:t>CONCLUSION</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t xml:space="preserve">In HBV-related compensated cirrhosis patients who do not meet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LSM, PLT, or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cutoff </w:t>
      </w:r>
      <w:hyperlink r:id="rId11"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accurately identifies more patients without HRV.</w:t>
      </w:r>
    </w:p>
    <w:p w:rsidR="00AB3D4E" w:rsidRDefault="00AB3D4E">
      <w:pPr>
        <w:widowControl/>
        <w:autoSpaceDE/>
        <w:autoSpaceDN/>
        <w:adjustRightInd/>
        <w:spacing w:line="360" w:lineRule="auto"/>
        <w:rPr>
          <w:rFonts w:ascii="Book Antiqua" w:hAnsi="Book Antiqua" w:cs="Times New Roman"/>
          <w:b/>
          <w:sz w:val="24"/>
          <w:szCs w:val="24"/>
        </w:rPr>
      </w:pP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b/>
          <w:sz w:val="24"/>
          <w:szCs w:val="24"/>
        </w:rPr>
        <w:t xml:space="preserve">Key words: </w:t>
      </w:r>
      <w:bookmarkStart w:id="19" w:name="OLE_LINK1033"/>
      <w:bookmarkStart w:id="20" w:name="OLE_LINK1034"/>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w:t>
      </w:r>
      <w:bookmarkEnd w:id="19"/>
      <w:bookmarkEnd w:id="20"/>
      <w:r>
        <w:rPr>
          <w:rFonts w:ascii="Book Antiqua" w:hAnsi="Book Antiqua" w:cs="Times New Roman"/>
          <w:sz w:val="24"/>
          <w:szCs w:val="24"/>
        </w:rPr>
        <w:t xml:space="preserve">; </w:t>
      </w:r>
      <w:bookmarkStart w:id="21" w:name="OLE_LINK1035"/>
      <w:bookmarkStart w:id="22" w:name="OLE_LINK1036"/>
      <w:r>
        <w:rPr>
          <w:rFonts w:ascii="Book Antiqua" w:hAnsi="Book Antiqua" w:cs="Times New Roman"/>
          <w:sz w:val="24"/>
          <w:szCs w:val="24"/>
        </w:rPr>
        <w:t xml:space="preserve">Esophageal </w:t>
      </w:r>
      <w:proofErr w:type="spellStart"/>
      <w:r>
        <w:rPr>
          <w:rFonts w:ascii="Book Antiqua" w:hAnsi="Book Antiqua" w:cs="Times New Roman"/>
          <w:sz w:val="24"/>
          <w:szCs w:val="24"/>
        </w:rPr>
        <w:t>varices</w:t>
      </w:r>
      <w:bookmarkEnd w:id="21"/>
      <w:bookmarkEnd w:id="22"/>
      <w:proofErr w:type="spellEnd"/>
      <w:r>
        <w:rPr>
          <w:rFonts w:ascii="Book Antiqua" w:hAnsi="Book Antiqua" w:cs="Times New Roman"/>
          <w:sz w:val="24"/>
          <w:szCs w:val="24"/>
        </w:rPr>
        <w:t xml:space="preserve">; </w:t>
      </w:r>
      <w:bookmarkStart w:id="23" w:name="OLE_LINK1037"/>
      <w:bookmarkStart w:id="24" w:name="OLE_LINK1038"/>
      <w:r>
        <w:rPr>
          <w:rFonts w:ascii="Book Antiqua" w:hAnsi="Book Antiqua" w:cs="Times New Roman"/>
          <w:sz w:val="24"/>
          <w:szCs w:val="24"/>
        </w:rPr>
        <w:t>Liver cirrhosis</w:t>
      </w:r>
      <w:bookmarkEnd w:id="23"/>
      <w:bookmarkEnd w:id="24"/>
      <w:r>
        <w:rPr>
          <w:rFonts w:ascii="Book Antiqua" w:hAnsi="Book Antiqua" w:cs="Times New Roman"/>
          <w:sz w:val="24"/>
          <w:szCs w:val="24"/>
        </w:rPr>
        <w:t xml:space="preserve">; </w:t>
      </w:r>
      <w:bookmarkStart w:id="25" w:name="OLE_LINK1040"/>
      <w:bookmarkStart w:id="26" w:name="OLE_LINK1039"/>
      <w:r>
        <w:rPr>
          <w:rFonts w:ascii="Book Antiqua" w:hAnsi="Book Antiqua" w:cs="Times New Roman"/>
          <w:sz w:val="24"/>
          <w:szCs w:val="24"/>
        </w:rPr>
        <w:t>Liver stiffness measurement</w:t>
      </w:r>
      <w:bookmarkEnd w:id="25"/>
      <w:bookmarkEnd w:id="26"/>
      <w:r>
        <w:rPr>
          <w:rFonts w:ascii="Book Antiqua" w:hAnsi="Book Antiqua" w:cs="Times New Roman"/>
          <w:sz w:val="24"/>
          <w:szCs w:val="24"/>
        </w:rPr>
        <w:t xml:space="preserve">; </w:t>
      </w:r>
      <w:bookmarkStart w:id="27" w:name="OLE_LINK1041"/>
      <w:bookmarkStart w:id="28" w:name="OLE_LINK1042"/>
      <w:r>
        <w:rPr>
          <w:rFonts w:ascii="Book Antiqua" w:hAnsi="Book Antiqua" w:cs="Times New Roman"/>
          <w:sz w:val="24"/>
          <w:szCs w:val="24"/>
        </w:rPr>
        <w:t>Serum markers of liver fibrosis</w:t>
      </w:r>
      <w:bookmarkEnd w:id="27"/>
      <w:bookmarkEnd w:id="28"/>
    </w:p>
    <w:p w:rsidR="00AB3D4E" w:rsidRDefault="00AB3D4E">
      <w:pPr>
        <w:widowControl/>
        <w:autoSpaceDE/>
        <w:autoSpaceDN/>
        <w:adjustRightInd/>
        <w:spacing w:line="360" w:lineRule="auto"/>
        <w:rPr>
          <w:rFonts w:ascii="Book Antiqua" w:hAnsi="Book Antiqua" w:cs="Times New Roman"/>
          <w:sz w:val="24"/>
          <w:szCs w:val="24"/>
        </w:rPr>
      </w:pP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ahoma"/>
          <w:b/>
          <w:color w:val="000000"/>
          <w:sz w:val="24"/>
          <w:szCs w:val="24"/>
          <w:lang w:val="en-GB" w:eastAsia="ja-JP"/>
        </w:rPr>
        <w:t xml:space="preserve">© </w:t>
      </w:r>
      <w:r>
        <w:rPr>
          <w:rFonts w:ascii="Book Antiqua" w:eastAsia="AdvTimes" w:hAnsi="Book Antiqua" w:cs="AdvTimes"/>
          <w:b/>
          <w:color w:val="000000"/>
          <w:sz w:val="24"/>
          <w:szCs w:val="24"/>
          <w:lang w:val="fr-FR" w:eastAsia="ja-JP"/>
        </w:rPr>
        <w:t xml:space="preserve">The Author(s) </w:t>
      </w:r>
      <w:r>
        <w:rPr>
          <w:rFonts w:ascii="Book Antiqua" w:hAnsi="Book Antiqua" w:cs="AdvTimes"/>
          <w:b/>
          <w:color w:val="000000"/>
          <w:sz w:val="24"/>
          <w:szCs w:val="24"/>
          <w:lang w:val="fr-FR"/>
        </w:rPr>
        <w:t>2019</w:t>
      </w:r>
      <w:r>
        <w:rPr>
          <w:rFonts w:ascii="Book Antiqua" w:eastAsia="AdvTimes" w:hAnsi="Book Antiqua" w:cs="AdvTimes"/>
          <w:b/>
          <w:color w:val="000000"/>
          <w:sz w:val="24"/>
          <w:szCs w:val="24"/>
          <w:lang w:val="fr-FR" w:eastAsia="ja-JP"/>
        </w:rPr>
        <w:t>.</w:t>
      </w:r>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sz w:val="24"/>
          <w:szCs w:val="24"/>
          <w:lang w:val="fr-FR"/>
        </w:rPr>
        <w:t>.</w:t>
      </w:r>
    </w:p>
    <w:p w:rsidR="00AB3D4E" w:rsidRDefault="00AB3D4E">
      <w:pPr>
        <w:widowControl/>
        <w:autoSpaceDE/>
        <w:autoSpaceDN/>
        <w:adjustRightInd/>
        <w:spacing w:line="360" w:lineRule="auto"/>
        <w:rPr>
          <w:rFonts w:ascii="Book Antiqua" w:hAnsi="Book Antiqua"/>
          <w:b/>
          <w:sz w:val="24"/>
          <w:szCs w:val="24"/>
        </w:rPr>
      </w:pP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b/>
          <w:sz w:val="24"/>
          <w:szCs w:val="24"/>
        </w:rPr>
        <w:t>Core tip:</w:t>
      </w:r>
      <w:r>
        <w:rPr>
          <w:rFonts w:ascii="Book Antiqua" w:hAnsi="Book Antiqua"/>
          <w:sz w:val="24"/>
          <w:szCs w:val="24"/>
        </w:rPr>
        <w:t xml:space="preserve"> </w:t>
      </w:r>
      <w:bookmarkStart w:id="29" w:name="OLE_LINK1043"/>
      <w:bookmarkStart w:id="30" w:name="OLE_LINK1044"/>
      <w:r>
        <w:rPr>
          <w:rFonts w:ascii="Book Antiqua" w:hAnsi="Book Antiqua" w:cs="Times New Roman"/>
          <w:sz w:val="24"/>
          <w:szCs w:val="24"/>
        </w:rPr>
        <w:t xml:space="preserve">In patients with hepatitis B virus (HBV)-related compensated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prevalence of high-risk varices among patients with alanine transaminase (ALT) or total bilirubin (</w:t>
      </w:r>
      <w:proofErr w:type="spellStart"/>
      <w:r>
        <w:rPr>
          <w:rFonts w:ascii="Book Antiqua" w:hAnsi="Book Antiqua" w:cs="Times New Roman"/>
          <w:sz w:val="24"/>
          <w:szCs w:val="24"/>
        </w:rPr>
        <w:t>TBil</w:t>
      </w:r>
      <w:proofErr w:type="spellEnd"/>
      <w:r>
        <w:rPr>
          <w:rFonts w:ascii="Book Antiqua" w:hAnsi="Book Antiqua" w:cs="Times New Roman"/>
          <w:sz w:val="24"/>
          <w:szCs w:val="24"/>
        </w:rPr>
        <w:t>) ≥</w:t>
      </w:r>
      <w:r>
        <w:rPr>
          <w:rFonts w:ascii="Book Antiqua" w:hAnsi="Book Antiqua" w:cs="Times New Roman" w:hint="eastAsia"/>
          <w:sz w:val="24"/>
          <w:szCs w:val="24"/>
        </w:rPr>
        <w:t xml:space="preserve"> </w:t>
      </w:r>
      <w:r>
        <w:rPr>
          <w:rFonts w:ascii="Book Antiqua" w:hAnsi="Book Antiqua" w:cs="Times New Roman"/>
          <w:sz w:val="24"/>
          <w:szCs w:val="24"/>
        </w:rPr>
        <w:t xml:space="preserve">2 upper limit of normal (ULN) was significantly lower compared to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2</w:t>
      </w:r>
      <w:r>
        <w:rPr>
          <w:rFonts w:ascii="Book Antiqua" w:hAnsi="Book Antiqua" w:cs="Times New Roman" w:hint="eastAsia"/>
          <w:sz w:val="24"/>
          <w:szCs w:val="24"/>
        </w:rPr>
        <w:t xml:space="preserve"> </w:t>
      </w:r>
      <w:r>
        <w:rPr>
          <w:rFonts w:ascii="Book Antiqua" w:hAnsi="Book Antiqua" w:cs="Times New Roman"/>
          <w:sz w:val="24"/>
          <w:szCs w:val="24"/>
        </w:rPr>
        <w:t xml:space="preserve">ULN. In the 41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2 ULN, liver stiffness measurement (LSM) &lt;</w:t>
      </w:r>
      <w:r>
        <w:rPr>
          <w:rFonts w:ascii="Book Antiqua" w:hAnsi="Book Antiqua" w:cs="Times New Roman" w:hint="eastAsia"/>
          <w:sz w:val="24"/>
          <w:szCs w:val="24"/>
        </w:rPr>
        <w:t xml:space="preserve"> </w:t>
      </w:r>
      <w:r>
        <w:rPr>
          <w:rFonts w:ascii="Book Antiqua" w:hAnsi="Book Antiqua" w:cs="Times New Roman"/>
          <w:sz w:val="24"/>
          <w:szCs w:val="24"/>
        </w:rPr>
        <w:t>20.6</w:t>
      </w:r>
      <w:r>
        <w:rPr>
          <w:rFonts w:ascii="Book Antiqua" w:hAnsi="Book Antiqua" w:cs="Times New Roman" w:hint="eastAsia"/>
          <w:sz w:val="24"/>
          <w:szCs w:val="24"/>
        </w:rPr>
        <w:t xml:space="preserve">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spared 39.0% of gastroscopies without missing high-risk varices (HRVs). In the 91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w:t>
      </w:r>
      <w:r>
        <w:rPr>
          <w:rFonts w:ascii="Book Antiqua" w:hAnsi="Book Antiqua" w:cs="Times New Roman" w:hint="eastAsia"/>
          <w:sz w:val="24"/>
          <w:szCs w:val="24"/>
        </w:rPr>
        <w:t xml:space="preserve"> </w:t>
      </w:r>
      <w:r>
        <w:rPr>
          <w:rFonts w:ascii="Book Antiqua" w:hAnsi="Book Antiqua" w:cs="Times New Roman"/>
          <w:sz w:val="24"/>
          <w:szCs w:val="24"/>
        </w:rPr>
        <w:t xml:space="preserve">2 ULN,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r>
        <w:rPr>
          <w:rFonts w:ascii="Book Antiqua" w:hAnsi="Book Antiqua" w:cs="Times New Roman" w:hint="eastAsia"/>
          <w:sz w:val="24"/>
          <w:szCs w:val="24"/>
        </w:rPr>
        <w:t xml:space="preserve"> </w:t>
      </w:r>
      <w:r>
        <w:rPr>
          <w:rFonts w:ascii="Book Antiqua" w:hAnsi="Book Antiqua" w:cs="Times New Roman"/>
          <w:sz w:val="24"/>
          <w:szCs w:val="24"/>
        </w:rPr>
        <w:t>0.5596 or platelet (PLT) &gt;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further spared 39.6% and 43.9% of gastroscopies, respectively, without missing HRVs.</w:t>
      </w:r>
      <w:bookmarkEnd w:id="29"/>
      <w:bookmarkEnd w:id="30"/>
    </w:p>
    <w:p w:rsidR="00AB3D4E" w:rsidRDefault="00AB3D4E">
      <w:pPr>
        <w:widowControl/>
        <w:autoSpaceDE/>
        <w:autoSpaceDN/>
        <w:adjustRightInd/>
        <w:spacing w:line="360" w:lineRule="auto"/>
        <w:rPr>
          <w:rFonts w:ascii="Book Antiqua" w:hAnsi="Book Antiqua" w:cs="Times New Roman"/>
          <w:sz w:val="24"/>
          <w:szCs w:val="24"/>
        </w:rPr>
      </w:pPr>
    </w:p>
    <w:p w:rsidR="00F71BDF" w:rsidRDefault="00F71BDF" w:rsidP="00F71BDF">
      <w:pPr>
        <w:widowControl/>
        <w:spacing w:line="360" w:lineRule="auto"/>
        <w:rPr>
          <w:rFonts w:ascii="Book Antiqua" w:hAnsi="Book Antiqua"/>
          <w:sz w:val="24"/>
          <w:szCs w:val="24"/>
        </w:rPr>
      </w:pPr>
      <w:bookmarkStart w:id="31" w:name="OLE_LINK1045"/>
      <w:bookmarkStart w:id="32" w:name="OLE_LINK1046"/>
      <w:r w:rsidRPr="00F71BDF">
        <w:rPr>
          <w:rFonts w:ascii="Book Antiqua" w:hAnsi="Book Antiqua"/>
          <w:b/>
          <w:bCs/>
          <w:sz w:val="24"/>
          <w:szCs w:val="24"/>
        </w:rPr>
        <w:t>Citation</w:t>
      </w:r>
      <w:r>
        <w:rPr>
          <w:rFonts w:ascii="Book Antiqua" w:hAnsi="Book Antiqua"/>
          <w:bCs/>
          <w:sz w:val="24"/>
          <w:szCs w:val="24"/>
        </w:rPr>
        <w:t xml:space="preserve">: </w:t>
      </w:r>
      <w:r>
        <w:rPr>
          <w:rFonts w:ascii="Book Antiqua" w:hAnsi="Book Antiqua"/>
          <w:bCs/>
          <w:sz w:val="24"/>
          <w:szCs w:val="24"/>
        </w:rPr>
        <w:t xml:space="preserve">Zhou H, Long J, Hu H, </w:t>
      </w:r>
      <w:proofErr w:type="spellStart"/>
      <w:r>
        <w:rPr>
          <w:rFonts w:ascii="Book Antiqua" w:hAnsi="Book Antiqua"/>
          <w:bCs/>
          <w:sz w:val="24"/>
          <w:szCs w:val="24"/>
        </w:rPr>
        <w:t>Tian</w:t>
      </w:r>
      <w:proofErr w:type="spellEnd"/>
      <w:r>
        <w:rPr>
          <w:rFonts w:ascii="Book Antiqua" w:hAnsi="Book Antiqua"/>
          <w:bCs/>
          <w:sz w:val="24"/>
          <w:szCs w:val="24"/>
        </w:rPr>
        <w:t xml:space="preserve"> CY, Lin SD.</w:t>
      </w:r>
      <w:r>
        <w:t xml:space="preserve"> </w:t>
      </w:r>
      <w:r>
        <w:rPr>
          <w:rFonts w:ascii="Book Antiqua" w:hAnsi="Book Antiqua"/>
          <w:sz w:val="24"/>
          <w:szCs w:val="24"/>
        </w:rPr>
        <w:t xml:space="preserve">Liver stiffness and serum markers for excluding high-risk </w:t>
      </w:r>
      <w:proofErr w:type="spellStart"/>
      <w:r>
        <w:rPr>
          <w:rFonts w:ascii="Book Antiqua" w:hAnsi="Book Antiqua"/>
          <w:sz w:val="24"/>
          <w:szCs w:val="24"/>
        </w:rPr>
        <w:t>varices</w:t>
      </w:r>
      <w:proofErr w:type="spellEnd"/>
      <w:r>
        <w:rPr>
          <w:rFonts w:ascii="Book Antiqua" w:hAnsi="Book Antiqua"/>
          <w:sz w:val="24"/>
          <w:szCs w:val="24"/>
        </w:rPr>
        <w:t xml:space="preserve"> in patients who do not meet </w:t>
      </w:r>
      <w:proofErr w:type="spellStart"/>
      <w:r>
        <w:rPr>
          <w:rFonts w:ascii="Book Antiqua" w:hAnsi="Book Antiqua"/>
          <w:sz w:val="24"/>
          <w:szCs w:val="24"/>
        </w:rPr>
        <w:t>Baveno</w:t>
      </w:r>
      <w:proofErr w:type="spellEnd"/>
      <w:r>
        <w:rPr>
          <w:rFonts w:ascii="Book Antiqua" w:hAnsi="Book Antiqua"/>
          <w:sz w:val="24"/>
          <w:szCs w:val="24"/>
        </w:rPr>
        <w:t xml:space="preserve"> VI criteria</w:t>
      </w:r>
      <w:r>
        <w:rPr>
          <w:rFonts w:ascii="Book Antiqua" w:hAnsi="Book Antiqua" w:cs="Segoe UI"/>
          <w:bCs/>
          <w:sz w:val="24"/>
          <w:szCs w:val="24"/>
        </w:rPr>
        <w:t xml:space="preserve">.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2019; </w:t>
      </w:r>
      <w:bookmarkEnd w:id="31"/>
      <w:bookmarkEnd w:id="32"/>
      <w:r w:rsidRPr="0025224A">
        <w:rPr>
          <w:rFonts w:ascii="Book Antiqua" w:hAnsi="Book Antiqua"/>
          <w:sz w:val="24"/>
          <w:szCs w:val="24"/>
        </w:rPr>
        <w:t xml:space="preserve">25(35): </w:t>
      </w:r>
      <w:r>
        <w:rPr>
          <w:rFonts w:ascii="Book Antiqua" w:hAnsi="Book Antiqua"/>
          <w:sz w:val="24"/>
          <w:szCs w:val="24"/>
        </w:rPr>
        <w:t>5323</w:t>
      </w:r>
      <w:r w:rsidRPr="0025224A">
        <w:rPr>
          <w:rFonts w:ascii="Book Antiqua" w:hAnsi="Book Antiqua"/>
          <w:sz w:val="24"/>
          <w:szCs w:val="24"/>
        </w:rPr>
        <w:t>-</w:t>
      </w:r>
      <w:r>
        <w:rPr>
          <w:rFonts w:ascii="Book Antiqua" w:hAnsi="Book Antiqua"/>
          <w:sz w:val="24"/>
          <w:szCs w:val="24"/>
        </w:rPr>
        <w:t>5333</w:t>
      </w:r>
      <w:r w:rsidRPr="0025224A">
        <w:rPr>
          <w:rFonts w:ascii="Book Antiqua" w:hAnsi="Book Antiqua"/>
          <w:sz w:val="24"/>
          <w:szCs w:val="24"/>
        </w:rPr>
        <w:t xml:space="preserve">  </w:t>
      </w:r>
    </w:p>
    <w:p w:rsidR="00F71BDF" w:rsidRDefault="00F71BDF" w:rsidP="00F71BDF">
      <w:pPr>
        <w:widowControl/>
        <w:spacing w:line="360" w:lineRule="auto"/>
        <w:rPr>
          <w:rFonts w:ascii="Book Antiqua" w:hAnsi="Book Antiqua"/>
          <w:sz w:val="24"/>
          <w:szCs w:val="24"/>
        </w:rPr>
      </w:pPr>
      <w:r w:rsidRPr="00F71BDF">
        <w:rPr>
          <w:rFonts w:ascii="Book Antiqua" w:hAnsi="Book Antiqua"/>
          <w:b/>
          <w:sz w:val="24"/>
          <w:szCs w:val="24"/>
        </w:rPr>
        <w:t>URL:</w:t>
      </w:r>
      <w:r w:rsidRPr="0025224A">
        <w:rPr>
          <w:rFonts w:ascii="Book Antiqua" w:hAnsi="Book Antiqua"/>
          <w:sz w:val="24"/>
          <w:szCs w:val="24"/>
        </w:rPr>
        <w:t xml:space="preserve"> https://www.wjgnet.com/1007-9327/full/v25/i35/</w:t>
      </w:r>
      <w:r>
        <w:rPr>
          <w:rFonts w:ascii="Book Antiqua" w:hAnsi="Book Antiqua"/>
          <w:sz w:val="24"/>
          <w:szCs w:val="24"/>
        </w:rPr>
        <w:t>5323</w:t>
      </w:r>
      <w:r w:rsidRPr="0025224A">
        <w:rPr>
          <w:rFonts w:ascii="Book Antiqua" w:hAnsi="Book Antiqua"/>
          <w:sz w:val="24"/>
          <w:szCs w:val="24"/>
        </w:rPr>
        <w:t xml:space="preserve">.htm  </w:t>
      </w:r>
    </w:p>
    <w:p w:rsidR="00F71BDF" w:rsidRDefault="00F71BDF" w:rsidP="00F71BDF">
      <w:pPr>
        <w:widowControl/>
        <w:spacing w:line="360" w:lineRule="auto"/>
        <w:rPr>
          <w:rFonts w:ascii="Book Antiqua" w:hAnsi="Book Antiqua"/>
          <w:b/>
          <w:sz w:val="24"/>
          <w:szCs w:val="24"/>
        </w:rPr>
      </w:pPr>
      <w:r w:rsidRPr="00F71BDF">
        <w:rPr>
          <w:rFonts w:ascii="Book Antiqua" w:hAnsi="Book Antiqua"/>
          <w:b/>
          <w:sz w:val="24"/>
          <w:szCs w:val="24"/>
        </w:rPr>
        <w:t>DOI:</w:t>
      </w:r>
      <w:r w:rsidRPr="0025224A">
        <w:rPr>
          <w:rFonts w:ascii="Book Antiqua" w:hAnsi="Book Antiqua"/>
          <w:sz w:val="24"/>
          <w:szCs w:val="24"/>
        </w:rPr>
        <w:t xml:space="preserve"> https://dx.doi.org/10.3748/wjg.v25.i35.</w:t>
      </w:r>
      <w:r>
        <w:rPr>
          <w:rFonts w:ascii="Book Antiqua" w:hAnsi="Book Antiqua"/>
          <w:sz w:val="24"/>
          <w:szCs w:val="24"/>
        </w:rPr>
        <w:t>5323</w:t>
      </w:r>
    </w:p>
    <w:p w:rsidR="00AB3D4E" w:rsidRDefault="008F642A">
      <w:pPr>
        <w:widowControl/>
        <w:autoSpaceDE/>
        <w:autoSpaceDN/>
        <w:adjustRightInd/>
        <w:spacing w:line="360" w:lineRule="auto"/>
        <w:rPr>
          <w:rFonts w:ascii="Book Antiqua" w:hAnsi="Book Antiqua"/>
          <w:b/>
          <w:sz w:val="24"/>
          <w:szCs w:val="24"/>
        </w:rPr>
      </w:pPr>
      <w:r>
        <w:rPr>
          <w:rFonts w:ascii="Book Antiqua" w:hAnsi="Book Antiqua"/>
          <w:b/>
          <w:sz w:val="24"/>
          <w:szCs w:val="24"/>
        </w:rPr>
        <w:lastRenderedPageBreak/>
        <w:br w:type="page"/>
      </w:r>
    </w:p>
    <w:p w:rsidR="00AB3D4E" w:rsidRDefault="008F642A">
      <w:pPr>
        <w:spacing w:line="360" w:lineRule="auto"/>
        <w:rPr>
          <w:rFonts w:ascii="Book Antiqua" w:hAnsi="Book Antiqua"/>
          <w:b/>
          <w:sz w:val="24"/>
          <w:szCs w:val="24"/>
        </w:rPr>
      </w:pPr>
      <w:r>
        <w:rPr>
          <w:rFonts w:ascii="Book Antiqua" w:hAnsi="Book Antiqua"/>
          <w:b/>
          <w:sz w:val="24"/>
          <w:szCs w:val="24"/>
        </w:rPr>
        <w:lastRenderedPageBreak/>
        <w:t>INTRODUCTION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About 30% of cases of liver cirrhosis worldwide result from chronic hepatitis B virus (HBV) </w:t>
      </w:r>
      <w:proofErr w:type="gramStart"/>
      <w:r>
        <w:rPr>
          <w:rFonts w:ascii="Book Antiqua" w:hAnsi="Book Antiqua" w:cs="Times New Roman"/>
          <w:sz w:val="24"/>
          <w:szCs w:val="24"/>
        </w:rPr>
        <w:t>infection</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w:t>
      </w:r>
      <w:r>
        <w:rPr>
          <w:rFonts w:ascii="Book Antiqua" w:hAnsi="Book Antiqua" w:cs="Times New Roman"/>
          <w:sz w:val="24"/>
          <w:szCs w:val="24"/>
        </w:rPr>
        <w:t xml:space="preserve">. Esophageal </w:t>
      </w:r>
      <w:proofErr w:type="spellStart"/>
      <w:r>
        <w:rPr>
          <w:rFonts w:ascii="Book Antiqua" w:hAnsi="Book Antiqua" w:cs="Times New Roman"/>
          <w:sz w:val="24"/>
          <w:szCs w:val="24"/>
        </w:rPr>
        <w:t>varices</w:t>
      </w:r>
      <w:proofErr w:type="spellEnd"/>
      <w:r>
        <w:rPr>
          <w:rFonts w:ascii="Book Antiqua" w:hAnsi="Book Antiqua" w:cs="Times New Roman"/>
          <w:sz w:val="24"/>
          <w:szCs w:val="24"/>
        </w:rPr>
        <w:t xml:space="preserve"> (EV) and </w:t>
      </w:r>
      <w:proofErr w:type="spellStart"/>
      <w:r>
        <w:rPr>
          <w:rFonts w:ascii="Book Antiqua" w:hAnsi="Book Antiqua" w:cs="Times New Roman"/>
          <w:sz w:val="24"/>
          <w:szCs w:val="24"/>
        </w:rPr>
        <w:t>esophagogastric</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variceal</w:t>
      </w:r>
      <w:proofErr w:type="spellEnd"/>
      <w:r>
        <w:rPr>
          <w:rFonts w:ascii="Book Antiqua" w:hAnsi="Book Antiqua" w:cs="Times New Roman"/>
          <w:sz w:val="24"/>
          <w:szCs w:val="24"/>
        </w:rPr>
        <w:t xml:space="preserve"> bleeding (EVB) are major complications among patients with liver cirrhosis and are associated with high morbidity and </w:t>
      </w:r>
      <w:proofErr w:type="gramStart"/>
      <w:r>
        <w:rPr>
          <w:rFonts w:ascii="Book Antiqua" w:hAnsi="Book Antiqua" w:cs="Times New Roman"/>
          <w:sz w:val="24"/>
          <w:szCs w:val="24"/>
        </w:rPr>
        <w:t>mortality</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w:t>
      </w:r>
      <w:r>
        <w:rPr>
          <w:rFonts w:ascii="Book Antiqua" w:hAnsi="Book Antiqua" w:cs="Times New Roman"/>
          <w:sz w:val="24"/>
          <w:szCs w:val="24"/>
        </w:rPr>
        <w:t xml:space="preserve">. Six-week mortality rates range between 15% and 25% in patients with </w:t>
      </w:r>
      <w:proofErr w:type="gramStart"/>
      <w:r>
        <w:rPr>
          <w:rFonts w:ascii="Book Antiqua" w:hAnsi="Book Antiqua" w:cs="Times New Roman"/>
          <w:sz w:val="24"/>
          <w:szCs w:val="24"/>
        </w:rPr>
        <w:t>EVB</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3,4]</w:t>
      </w:r>
      <w:r>
        <w:rPr>
          <w:rFonts w:ascii="Book Antiqua" w:hAnsi="Book Antiqua" w:cs="Times New Roman"/>
          <w:sz w:val="24"/>
          <w:szCs w:val="24"/>
        </w:rPr>
        <w:t xml:space="preserve">. High-risk varices (HRV) are medium or large EV or small EV with red wale signs. Prophylactic therapy with beta-blockers or elastic band ligation benefits patients with HRV and is the standard of care in patients with cirrhosis to identify those with </w:t>
      </w:r>
      <w:proofErr w:type="gramStart"/>
      <w:r>
        <w:rPr>
          <w:rFonts w:ascii="Book Antiqua" w:hAnsi="Book Antiqua" w:cs="Times New Roman"/>
          <w:sz w:val="24"/>
          <w:szCs w:val="24"/>
        </w:rPr>
        <w:t>HRV</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5,6]</w:t>
      </w:r>
      <w:r>
        <w:rPr>
          <w:rFonts w:ascii="Book Antiqua" w:hAnsi="Book Antiqua" w:cs="Times New Roman"/>
          <w:sz w:val="24"/>
          <w:szCs w:val="24"/>
        </w:rPr>
        <w:t>.</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Gastroscopy is the gold standard for diagnosing EV and assessing bleeding </w:t>
      </w:r>
      <w:proofErr w:type="gramStart"/>
      <w:r>
        <w:rPr>
          <w:rFonts w:ascii="Book Antiqua" w:hAnsi="Book Antiqua" w:cs="Times New Roman"/>
          <w:sz w:val="24"/>
          <w:szCs w:val="24"/>
        </w:rPr>
        <w:t>risk</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7]</w:t>
      </w:r>
      <w:r>
        <w:rPr>
          <w:rFonts w:ascii="Book Antiqua" w:hAnsi="Book Antiqua" w:cs="Times New Roman"/>
          <w:sz w:val="24"/>
          <w:szCs w:val="24"/>
        </w:rPr>
        <w:t xml:space="preserve">. However, gastroscopy is an invasive and expensive procedure with associated </w:t>
      </w:r>
      <w:proofErr w:type="gramStart"/>
      <w:r>
        <w:rPr>
          <w:rFonts w:ascii="Book Antiqua" w:hAnsi="Book Antiqua" w:cs="Times New Roman"/>
          <w:sz w:val="24"/>
          <w:szCs w:val="24"/>
        </w:rPr>
        <w:t>risks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6]</w:t>
      </w:r>
      <w:r>
        <w:rPr>
          <w:rFonts w:ascii="Book Antiqua" w:hAnsi="Book Antiqua" w:cs="Times New Roman"/>
          <w:sz w:val="24"/>
          <w:szCs w:val="24"/>
        </w:rPr>
        <w:t xml:space="preserve">. In the last 10 years, evidence has accumulated regarding the usefulness of non-invasive methods for stratifying EV risk in patients with compensated advanced chronic liver </w:t>
      </w:r>
      <w:proofErr w:type="gramStart"/>
      <w:r>
        <w:rPr>
          <w:rFonts w:ascii="Book Antiqua" w:hAnsi="Book Antiqua" w:cs="Times New Roman"/>
          <w:sz w:val="24"/>
          <w:szCs w:val="24"/>
        </w:rPr>
        <w:t>disease</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8]</w:t>
      </w:r>
      <w:r>
        <w:rPr>
          <w:rFonts w:ascii="Book Antiqua" w:hAnsi="Book Antiqua" w:cs="Times New Roman"/>
          <w:sz w:val="24"/>
          <w:szCs w:val="24"/>
        </w:rPr>
        <w:t xml:space="preserve">. 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consensus workshop recommended that patients with liver stiffness measurement (LSM) &lt;</w:t>
      </w:r>
      <w:r>
        <w:rPr>
          <w:rFonts w:ascii="Book Antiqua" w:hAnsi="Book Antiqua" w:cs="Times New Roman" w:hint="eastAsia"/>
          <w:sz w:val="24"/>
          <w:szCs w:val="24"/>
        </w:rPr>
        <w:t xml:space="preserve"> </w:t>
      </w:r>
      <w:r>
        <w:rPr>
          <w:rFonts w:ascii="Book Antiqua" w:hAnsi="Book Antiqua" w:cs="Times New Roman"/>
          <w:sz w:val="24"/>
          <w:szCs w:val="24"/>
        </w:rPr>
        <w:t xml:space="preserve">20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platelet (PLT) count &gt;</w:t>
      </w:r>
      <w:r>
        <w:rPr>
          <w:rFonts w:ascii="Book Antiqua" w:hAnsi="Book Antiqua" w:cs="Times New Roman" w:hint="eastAsia"/>
          <w:sz w:val="24"/>
          <w:szCs w:val="24"/>
        </w:rPr>
        <w:t xml:space="preserve"> </w:t>
      </w:r>
      <w:r>
        <w:rPr>
          <w:rFonts w:ascii="Book Antiqua" w:hAnsi="Book Antiqua" w:cs="Times New Roman"/>
          <w:sz w:val="24"/>
          <w:szCs w:val="24"/>
        </w:rPr>
        <w:t>150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could safely avoid gastroscopy </w:t>
      </w:r>
      <w:proofErr w:type="gramStart"/>
      <w:r>
        <w:rPr>
          <w:rFonts w:ascii="Book Antiqua" w:hAnsi="Book Antiqua" w:cs="Times New Roman"/>
          <w:sz w:val="24"/>
          <w:szCs w:val="24"/>
        </w:rPr>
        <w:t>screening</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3,4]</w:t>
      </w:r>
      <w:r>
        <w:rPr>
          <w:rFonts w:ascii="Book Antiqua" w:hAnsi="Book Antiqua" w:cs="Times New Roman"/>
          <w:sz w:val="24"/>
          <w:szCs w:val="24"/>
        </w:rPr>
        <w:t>. These criteria were verified in several clinical studies and can safely spare 20%</w:t>
      </w:r>
      <w:r>
        <w:rPr>
          <w:rFonts w:ascii="Book Antiqua" w:hAnsi="Book Antiqua" w:cs="Times New Roman" w:hint="eastAsia"/>
          <w:sz w:val="24"/>
          <w:szCs w:val="24"/>
        </w:rPr>
        <w:t>-</w:t>
      </w:r>
      <w:r>
        <w:rPr>
          <w:rFonts w:ascii="Book Antiqua" w:hAnsi="Book Antiqua" w:cs="Times New Roman"/>
          <w:sz w:val="24"/>
          <w:szCs w:val="24"/>
        </w:rPr>
        <w:t xml:space="preserve">30% of liver cirrhosis patients from undergoing </w:t>
      </w:r>
      <w:proofErr w:type="gramStart"/>
      <w:r>
        <w:rPr>
          <w:rFonts w:ascii="Book Antiqua" w:hAnsi="Book Antiqua" w:cs="Times New Roman"/>
          <w:sz w:val="24"/>
          <w:szCs w:val="24"/>
        </w:rPr>
        <w:t>gastroscopy</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9,10]</w:t>
      </w:r>
      <w:r>
        <w:rPr>
          <w:rFonts w:ascii="Book Antiqua" w:hAnsi="Book Antiqua" w:cs="Times New Roman"/>
          <w:sz w:val="24"/>
          <w:szCs w:val="24"/>
        </w:rPr>
        <w:t>.</w:t>
      </w:r>
      <w:r>
        <w:rPr>
          <w:rFonts w:ascii="Book Antiqua" w:hAnsi="Book Antiqua" w:cs="Times New Roman"/>
          <w:sz w:val="24"/>
          <w:szCs w:val="24"/>
          <w:vertAlign w:val="superscript"/>
        </w:rPr>
        <w:t xml:space="preserve"> </w:t>
      </w:r>
      <w:r>
        <w:rPr>
          <w:rFonts w:ascii="Book Antiqua" w:hAnsi="Book Antiqua" w:cs="Times New Roman"/>
          <w:sz w:val="24"/>
          <w:szCs w:val="24"/>
        </w:rPr>
        <w:t xml:space="preserve">The American Association for the Study of Liver Disease recently recommended using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to stratify EV risk in patients with liver </w:t>
      </w:r>
      <w:proofErr w:type="gramStart"/>
      <w:r>
        <w:rPr>
          <w:rFonts w:ascii="Book Antiqua" w:hAnsi="Book Antiqua" w:cs="Times New Roman"/>
          <w:sz w:val="24"/>
          <w:szCs w:val="24"/>
        </w:rPr>
        <w:t>cirrhosis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3]</w:t>
      </w:r>
      <w:r>
        <w:rPr>
          <w:rFonts w:ascii="Book Antiqua" w:hAnsi="Book Antiqua" w:cs="Times New Roman"/>
          <w:sz w:val="24"/>
          <w:szCs w:val="24"/>
        </w:rPr>
        <w:t xml:space="preserve">. However, up to 40% of gastroscopies are still </w:t>
      </w:r>
      <w:proofErr w:type="gramStart"/>
      <w:r>
        <w:rPr>
          <w:rFonts w:ascii="Book Antiqua" w:hAnsi="Book Antiqua" w:cs="Times New Roman"/>
          <w:sz w:val="24"/>
          <w:szCs w:val="24"/>
        </w:rPr>
        <w:t>unnecessary</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11]</w:t>
      </w:r>
      <w:r>
        <w:rPr>
          <w:rFonts w:ascii="Book Antiqua" w:hAnsi="Book Antiqua" w:cs="Times New Roman"/>
          <w:sz w:val="24"/>
          <w:szCs w:val="24"/>
        </w:rPr>
        <w:t>. It is therefore imperative to finding a new strategy to identify more patients without HRV.</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Several studies reported that adjusting the LSM and PLT thresholds could spare more patients from undergoing gastroscopy. The expanded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w:t>
      </w:r>
      <w:r>
        <w:rPr>
          <w:rFonts w:ascii="Book Antiqua" w:eastAsia="黑体" w:hAnsi="Book Antiqua" w:cs="Times New Roman"/>
          <w:sz w:val="24"/>
          <w:szCs w:val="24"/>
        </w:rPr>
        <w:t>VI</w:t>
      </w:r>
      <w:r>
        <w:rPr>
          <w:rFonts w:ascii="Book Antiqua" w:hAnsi="Book Antiqua" w:cs="Times New Roman"/>
          <w:sz w:val="24"/>
          <w:szCs w:val="24"/>
        </w:rPr>
        <w:t xml:space="preserve"> criteria (PLT &gt; 110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and LSM &lt; 25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further spare 19% of gastroscopies compared to the original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w:t>
      </w:r>
      <w:r>
        <w:rPr>
          <w:rFonts w:ascii="Book Antiqua" w:eastAsia="黑体" w:hAnsi="Book Antiqua" w:cs="Times New Roman"/>
          <w:sz w:val="24"/>
          <w:szCs w:val="24"/>
        </w:rPr>
        <w:t>VI</w:t>
      </w:r>
      <w:r>
        <w:rPr>
          <w:rFonts w:ascii="Book Antiqua" w:hAnsi="Book Antiqua" w:cs="Times New Roman"/>
          <w:sz w:val="24"/>
          <w:szCs w:val="24"/>
        </w:rPr>
        <w:t xml:space="preserve"> criteria, with a risk of missing 1.6% of HRV cases</w:t>
      </w:r>
      <w:r>
        <w:rPr>
          <w:rFonts w:ascii="Book Antiqua" w:hAnsi="Book Antiqua" w:cs="Times New Roman"/>
          <w:sz w:val="24"/>
          <w:szCs w:val="24"/>
          <w:vertAlign w:val="superscript"/>
        </w:rPr>
        <w:t>[12]</w:t>
      </w:r>
      <w:r>
        <w:rPr>
          <w:rFonts w:ascii="Book Antiqua" w:hAnsi="Book Antiqua" w:cs="Times New Roman"/>
          <w:sz w:val="24"/>
          <w:szCs w:val="24"/>
        </w:rPr>
        <w:t xml:space="preserve">. </w:t>
      </w:r>
      <w:proofErr w:type="spellStart"/>
      <w:r>
        <w:rPr>
          <w:rFonts w:ascii="Book Antiqua" w:hAnsi="Book Antiqua" w:cs="Times New Roman"/>
          <w:sz w:val="24"/>
          <w:szCs w:val="24"/>
        </w:rPr>
        <w:t>Jangouk</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9]</w:t>
      </w:r>
      <w:r>
        <w:rPr>
          <w:rFonts w:ascii="Book Antiqua" w:hAnsi="Book Antiqua" w:cs="Times New Roman"/>
          <w:sz w:val="24"/>
          <w:szCs w:val="24"/>
        </w:rPr>
        <w:t xml:space="preserve"> recently reported a 12% increase in spared gastroscopies (with no additional HRV cases missed) by expanding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w:t>
      </w:r>
      <w:r>
        <w:rPr>
          <w:rFonts w:ascii="Book Antiqua" w:eastAsia="黑体" w:hAnsi="Book Antiqua" w:cs="Times New Roman"/>
          <w:sz w:val="24"/>
          <w:szCs w:val="24"/>
        </w:rPr>
        <w:t>VI</w:t>
      </w:r>
      <w:r>
        <w:rPr>
          <w:rFonts w:ascii="Book Antiqua" w:hAnsi="Book Antiqua" w:cs="Times New Roman"/>
          <w:sz w:val="24"/>
          <w:szCs w:val="24"/>
        </w:rPr>
        <w:t xml:space="preserve"> criteria to include a Model for End-Stage Liver Disease (MELD) score of 6. Using cutoff values of LSM ≤ 25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PLT ≥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w:t>
      </w:r>
      <w:hyperlink r:id="rId12" w:history="1">
        <w:r>
          <w:rPr>
            <w:rStyle w:val="ad"/>
            <w:rFonts w:ascii="Book Antiqua" w:hAnsi="Book Antiqua" w:cs="Times New Roman"/>
            <w:color w:val="auto"/>
            <w:sz w:val="24"/>
            <w:szCs w:val="24"/>
            <w:u w:val="none"/>
          </w:rPr>
          <w:t>Ding</w:t>
        </w:r>
      </w:hyperlink>
      <w:r>
        <w:rPr>
          <w:rFonts w:ascii="Book Antiqua" w:hAnsi="Book Antiqua" w:cs="Times New Roman"/>
          <w:sz w:val="24"/>
          <w:szCs w:val="24"/>
        </w:rPr>
        <w:t xml:space="preserve">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hAnsi="Book Antiqua" w:cs="Times New Roman"/>
          <w:kern w:val="0"/>
          <w:sz w:val="24"/>
          <w:szCs w:val="24"/>
          <w:vertAlign w:val="superscript"/>
        </w:rPr>
        <w:t>[</w:t>
      </w:r>
      <w:proofErr w:type="gramEnd"/>
      <w:r>
        <w:rPr>
          <w:rFonts w:ascii="Book Antiqua" w:hAnsi="Book Antiqua" w:cs="Times New Roman"/>
          <w:kern w:val="0"/>
          <w:sz w:val="24"/>
          <w:szCs w:val="24"/>
          <w:vertAlign w:val="superscript"/>
        </w:rPr>
        <w:t>13]</w:t>
      </w:r>
      <w:r>
        <w:rPr>
          <w:rFonts w:ascii="Book Antiqua" w:hAnsi="Book Antiqua" w:cs="Times New Roman"/>
          <w:sz w:val="24"/>
          <w:szCs w:val="24"/>
        </w:rPr>
        <w:t xml:space="preserve"> found</w:t>
      </w:r>
      <w:r>
        <w:rPr>
          <w:rFonts w:ascii="Book Antiqua" w:hAnsi="Book Antiqua" w:cs="Times New Roman"/>
          <w:kern w:val="0"/>
          <w:sz w:val="24"/>
          <w:szCs w:val="24"/>
        </w:rPr>
        <w:t xml:space="preserve"> that 21% of gastroscopies were spared.</w:t>
      </w:r>
      <w:r>
        <w:rPr>
          <w:rFonts w:ascii="Book Antiqua" w:hAnsi="Book Antiqua" w:cs="Times New Roman"/>
          <w:sz w:val="24"/>
          <w:szCs w:val="24"/>
        </w:rPr>
        <w:t xml:space="preserve"> </w:t>
      </w:r>
      <w:r>
        <w:rPr>
          <w:rFonts w:ascii="Book Antiqua" w:hAnsi="Book Antiqua" w:cs="Times New Roman"/>
          <w:sz w:val="24"/>
          <w:szCs w:val="24"/>
        </w:rPr>
        <w:lastRenderedPageBreak/>
        <w:t>However, these criteria have not been confirmed.</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Because liver inflammation can significantly increase LSM, it is recommended that the interpretation of LSM is based on the levels of alanine transaminase (ALT) and total bilirubin (</w:t>
      </w:r>
      <w:proofErr w:type="spellStart"/>
      <w:r>
        <w:rPr>
          <w:rFonts w:ascii="Book Antiqua" w:hAnsi="Book Antiqua" w:cs="Times New Roman"/>
          <w:sz w:val="24"/>
          <w:szCs w:val="24"/>
        </w:rPr>
        <w:t>TBil</w:t>
      </w:r>
      <w:proofErr w:type="spellEnd"/>
      <w:proofErr w:type="gramStart"/>
      <w:r>
        <w:rPr>
          <w:rFonts w:ascii="Book Antiqua" w:hAnsi="Book Antiqua" w:cs="Times New Roman"/>
          <w:sz w:val="24"/>
          <w:szCs w:val="24"/>
        </w:rPr>
        <w:t>)</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14,15]</w:t>
      </w:r>
      <w:r>
        <w:rPr>
          <w:rFonts w:ascii="Book Antiqua" w:hAnsi="Book Antiqua" w:cs="Times New Roman"/>
          <w:sz w:val="24"/>
          <w:szCs w:val="24"/>
        </w:rPr>
        <w:t xml:space="preserve">. Clinically, most patients with HBV-related liver cirrhosis have concomitant liver inflammation. However, it remains unknown whether adjusting the LSM and PLT cutoffs according to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would increase the number of spared gastroscopies among patients who do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8F642A">
      <w:pPr>
        <w:spacing w:line="360" w:lineRule="auto"/>
        <w:ind w:firstLineChars="100" w:firstLine="240"/>
        <w:rPr>
          <w:rFonts w:ascii="Book Antiqua" w:hAnsi="Book Antiqua"/>
          <w:b/>
          <w:sz w:val="24"/>
          <w:szCs w:val="24"/>
        </w:rPr>
      </w:pPr>
      <w:r>
        <w:rPr>
          <w:rFonts w:ascii="Book Antiqua" w:hAnsi="Book Antiqua" w:cs="Times New Roman"/>
          <w:sz w:val="24"/>
          <w:szCs w:val="24"/>
        </w:rPr>
        <w:t xml:space="preserve">Serum markers of liver fibrosis such as PLT count, aspartate aminotransferase (AST)-to-PLT ratio index (APRI), Fibrosis-4 (FIB-4), and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are useful in predicting severe liver fibrosis or cirrhosis</w:t>
      </w:r>
      <w:r>
        <w:rPr>
          <w:rFonts w:ascii="Book Antiqua" w:hAnsi="Book Antiqua" w:cs="Times New Roman"/>
          <w:sz w:val="24"/>
          <w:szCs w:val="24"/>
          <w:vertAlign w:val="superscript"/>
        </w:rPr>
        <w:t>[16-18]</w:t>
      </w:r>
      <w:r>
        <w:rPr>
          <w:rFonts w:ascii="Book Antiqua" w:hAnsi="Book Antiqua" w:cs="Times New Roman"/>
          <w:sz w:val="24"/>
          <w:szCs w:val="24"/>
        </w:rPr>
        <w:t>, EV risk, and variceal bleeding risk in patients with HBV infection</w:t>
      </w:r>
      <w:r>
        <w:rPr>
          <w:rFonts w:ascii="Book Antiqua" w:hAnsi="Book Antiqua" w:cs="Times New Roman"/>
          <w:sz w:val="24"/>
          <w:szCs w:val="24"/>
          <w:vertAlign w:val="superscript"/>
        </w:rPr>
        <w:t>[19]</w:t>
      </w:r>
      <w:r>
        <w:rPr>
          <w:rFonts w:ascii="Book Antiqua" w:hAnsi="Book Antiqua" w:cs="Times New Roman"/>
          <w:sz w:val="24"/>
          <w:szCs w:val="24"/>
        </w:rPr>
        <w:t xml:space="preserve">. It remains unknown whether these serum markers of liver fibrosis can identify patients without HRV among those who do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In this study, we aimed to evaluate the utilities of LSM, PLT count, APRI, FIB-4, and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hyperlink r:id="rId13"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for ruling out HRV in patients with HBV-related compensated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AB3D4E">
      <w:pPr>
        <w:widowControl/>
        <w:autoSpaceDE/>
        <w:autoSpaceDN/>
        <w:adjustRightInd/>
        <w:spacing w:line="360" w:lineRule="auto"/>
        <w:rPr>
          <w:rFonts w:ascii="Book Antiqua" w:hAnsi="Book Antiqua"/>
          <w:b/>
          <w:sz w:val="24"/>
          <w:szCs w:val="24"/>
        </w:rPr>
      </w:pPr>
    </w:p>
    <w:p w:rsidR="00AB3D4E" w:rsidRDefault="008F642A">
      <w:pPr>
        <w:spacing w:line="360" w:lineRule="auto"/>
        <w:rPr>
          <w:rFonts w:ascii="Book Antiqua" w:hAnsi="Book Antiqua"/>
          <w:b/>
          <w:sz w:val="24"/>
          <w:szCs w:val="24"/>
        </w:rPr>
      </w:pPr>
      <w:r>
        <w:rPr>
          <w:rFonts w:ascii="Book Antiqua" w:hAnsi="Book Antiqua"/>
          <w:b/>
          <w:sz w:val="24"/>
          <w:szCs w:val="24"/>
        </w:rPr>
        <w:t>MATERIALS AND METHODS</w:t>
      </w: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Study population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From September 2016 to June 2018</w:t>
      </w:r>
      <w:bookmarkStart w:id="33" w:name="_Hlk529660177"/>
      <w:r>
        <w:rPr>
          <w:rFonts w:ascii="Book Antiqua" w:hAnsi="Book Antiqua" w:cs="Times New Roman"/>
          <w:sz w:val="24"/>
          <w:szCs w:val="24"/>
        </w:rPr>
        <w:t xml:space="preserve">, we applied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to patients with compensated liver cirrhosis who were admitted to the Affiliated Hospital of </w:t>
      </w:r>
      <w:proofErr w:type="spellStart"/>
      <w:r>
        <w:rPr>
          <w:rFonts w:ascii="Book Antiqua" w:hAnsi="Book Antiqua" w:cs="Times New Roman"/>
          <w:sz w:val="24"/>
          <w:szCs w:val="24"/>
        </w:rPr>
        <w:t>Zunyi</w:t>
      </w:r>
      <w:proofErr w:type="spellEnd"/>
      <w:r>
        <w:rPr>
          <w:rFonts w:ascii="Book Antiqua" w:hAnsi="Book Antiqua" w:cs="Times New Roman"/>
          <w:sz w:val="24"/>
          <w:szCs w:val="24"/>
        </w:rPr>
        <w:t xml:space="preserve"> Medical </w:t>
      </w:r>
      <w:r>
        <w:rPr>
          <w:rStyle w:val="highlight"/>
          <w:rFonts w:ascii="Book Antiqua" w:hAnsi="Book Antiqua" w:cs="Times New Roman"/>
          <w:sz w:val="24"/>
          <w:szCs w:val="24"/>
        </w:rPr>
        <w:t>University</w:t>
      </w:r>
      <w:r>
        <w:rPr>
          <w:rFonts w:ascii="Book Antiqua" w:hAnsi="Book Antiqua" w:cs="Times New Roman"/>
          <w:sz w:val="24"/>
          <w:szCs w:val="24"/>
        </w:rPr>
        <w:t xml:space="preserve"> and </w:t>
      </w:r>
      <w:proofErr w:type="spellStart"/>
      <w:r>
        <w:rPr>
          <w:rFonts w:ascii="Book Antiqua" w:hAnsi="Book Antiqua" w:cs="Times New Roman"/>
          <w:sz w:val="24"/>
          <w:szCs w:val="24"/>
        </w:rPr>
        <w:t>Suining</w:t>
      </w:r>
      <w:proofErr w:type="spellEnd"/>
      <w:r>
        <w:rPr>
          <w:rFonts w:ascii="Book Antiqua" w:hAnsi="Book Antiqua" w:cs="Times New Roman"/>
          <w:sz w:val="24"/>
          <w:szCs w:val="24"/>
        </w:rPr>
        <w:t xml:space="preserve"> Central Hospital. All the patients with compensated liver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underwent gastroscopy screening during this period. We retrospectively reviewed records of 183 hospitalized patients</w:t>
      </w:r>
      <w:bookmarkEnd w:id="33"/>
      <w:r>
        <w:rPr>
          <w:rFonts w:ascii="Book Antiqua" w:hAnsi="Book Antiqua" w:cs="Times New Roman"/>
          <w:sz w:val="24"/>
          <w:szCs w:val="24"/>
        </w:rPr>
        <w:t xml:space="preserve"> with HBV-related compensated liver cirrhosis who underwent a </w:t>
      </w:r>
      <w:proofErr w:type="spellStart"/>
      <w:r>
        <w:rPr>
          <w:rFonts w:ascii="Book Antiqua" w:hAnsi="Book Antiqua" w:cs="Times New Roman"/>
          <w:sz w:val="24"/>
          <w:szCs w:val="24"/>
        </w:rPr>
        <w:t>FibroScan</w:t>
      </w:r>
      <w:proofErr w:type="spellEnd"/>
      <w:r>
        <w:rPr>
          <w:rFonts w:ascii="Book Antiqua" w:hAnsi="Book Antiqua" w:cs="Times New Roman"/>
          <w:sz w:val="24"/>
          <w:szCs w:val="24"/>
        </w:rPr>
        <w:t xml:space="preserve"> procedure and gastroscopy within 6 mo</w:t>
      </w:r>
      <w:r>
        <w:rPr>
          <w:rFonts w:ascii="Book Antiqua" w:hAnsi="Book Antiqua" w:cs="Times New Roman" w:hint="eastAsia"/>
          <w:sz w:val="24"/>
          <w:szCs w:val="24"/>
        </w:rPr>
        <w:t>nths</w:t>
      </w:r>
      <w:r>
        <w:rPr>
          <w:rFonts w:ascii="Book Antiqua" w:hAnsi="Book Antiqua" w:cs="Times New Roman"/>
          <w:sz w:val="24"/>
          <w:szCs w:val="24"/>
        </w:rPr>
        <w:t xml:space="preserve"> and had complete clinical, laboratory, and imaging data. A total of 132 patients were included in the study. The remaining 51 were excluded from the study because they had the following concomitant conditions: 19, alcoholic liver disease; 15, hepatocellular </w:t>
      </w:r>
      <w:r>
        <w:rPr>
          <w:rFonts w:ascii="Book Antiqua" w:hAnsi="Book Antiqua" w:cs="Times New Roman"/>
          <w:sz w:val="24"/>
          <w:szCs w:val="24"/>
        </w:rPr>
        <w:lastRenderedPageBreak/>
        <w:t>carcinoma; 6, invalid LSM; 4, human immunodeficiency virus infection; 3, cardiovascular disease; 3, splenectomy; and 1, primary biliary cholangitis.</w:t>
      </w:r>
    </w:p>
    <w:p w:rsidR="00AB3D4E" w:rsidRDefault="00AB3D4E">
      <w:pPr>
        <w:spacing w:line="360" w:lineRule="auto"/>
        <w:rPr>
          <w:rFonts w:ascii="Book Antiqua" w:hAnsi="Book Antiqua"/>
          <w:b/>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Diagnostic criteria for HBV-related compensated liver cirrhosis</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The diagnosis of cirrhosis was based on previous liver biopsy findings or a composite of clinical signs and findings provided by laboratory tests, gastroscopy, radiologic imaging, and </w:t>
      </w:r>
      <w:proofErr w:type="spellStart"/>
      <w:r>
        <w:rPr>
          <w:rFonts w:ascii="Book Antiqua" w:hAnsi="Book Antiqua" w:cs="Times New Roman"/>
          <w:sz w:val="24"/>
          <w:szCs w:val="24"/>
        </w:rPr>
        <w:t>FibroScan</w:t>
      </w:r>
      <w:proofErr w:type="spellEnd"/>
      <w:r>
        <w:rPr>
          <w:rFonts w:ascii="Book Antiqua" w:hAnsi="Book Antiqua" w:cs="Times New Roman"/>
          <w:sz w:val="24"/>
          <w:szCs w:val="24"/>
        </w:rPr>
        <w:t xml:space="preserve"> procedures. Decompensated liver cirrhosis was defined as the presence of one of the following: new onset of hepatic encephalopathy, EVB, or </w:t>
      </w:r>
      <w:proofErr w:type="gramStart"/>
      <w:r>
        <w:rPr>
          <w:rFonts w:ascii="Book Antiqua" w:hAnsi="Book Antiqua" w:cs="Times New Roman"/>
          <w:sz w:val="24"/>
          <w:szCs w:val="24"/>
        </w:rPr>
        <w:t>ascites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w:t>
      </w:r>
      <w:r>
        <w:rPr>
          <w:rFonts w:ascii="Book Antiqua" w:hAnsi="Book Antiqua" w:cs="Times New Roman"/>
          <w:sz w:val="24"/>
          <w:szCs w:val="24"/>
        </w:rPr>
        <w:t>.</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Two professionally trained operators performed each transient </w:t>
      </w:r>
      <w:proofErr w:type="spellStart"/>
      <w:r>
        <w:rPr>
          <w:rFonts w:ascii="Book Antiqua" w:hAnsi="Book Antiqua" w:cs="Times New Roman"/>
          <w:sz w:val="24"/>
          <w:szCs w:val="24"/>
        </w:rPr>
        <w:t>elastography</w:t>
      </w:r>
      <w:proofErr w:type="spellEnd"/>
      <w:r>
        <w:rPr>
          <w:rFonts w:ascii="Book Antiqua" w:hAnsi="Book Antiqua" w:cs="Times New Roman"/>
          <w:sz w:val="24"/>
          <w:szCs w:val="24"/>
        </w:rPr>
        <w:t xml:space="preserve"> (TE) measurement using a </w:t>
      </w:r>
      <w:proofErr w:type="spellStart"/>
      <w:r>
        <w:rPr>
          <w:rFonts w:ascii="Book Antiqua" w:hAnsi="Book Antiqua" w:cs="Times New Roman"/>
          <w:sz w:val="24"/>
          <w:szCs w:val="24"/>
        </w:rPr>
        <w:t>FibroScan</w:t>
      </w:r>
      <w:proofErr w:type="spellEnd"/>
      <w:r>
        <w:rPr>
          <w:rFonts w:ascii="Book Antiqua" w:hAnsi="Book Antiqua" w:cs="Times New Roman"/>
          <w:sz w:val="24"/>
          <w:szCs w:val="24"/>
        </w:rPr>
        <w:t xml:space="preserve"> device (</w:t>
      </w:r>
      <w:proofErr w:type="spellStart"/>
      <w:r>
        <w:rPr>
          <w:rFonts w:ascii="Book Antiqua" w:hAnsi="Book Antiqua" w:cs="Times New Roman"/>
          <w:sz w:val="24"/>
          <w:szCs w:val="24"/>
        </w:rPr>
        <w:t>Echosens</w:t>
      </w:r>
      <w:proofErr w:type="spellEnd"/>
      <w:r>
        <w:rPr>
          <w:rFonts w:ascii="Book Antiqua" w:hAnsi="Book Antiqua" w:cs="Times New Roman"/>
          <w:sz w:val="24"/>
          <w:szCs w:val="24"/>
        </w:rPr>
        <w:t xml:space="preserve">, Paris, France). The M probe was used in all measurements. Only cases with 10 valid measurements obtained with a success rate ≥ 60% and an interquartile range-to-median ratio ≤ 30% were considered valid. The median valid LSM value is expressed in </w:t>
      </w:r>
      <w:proofErr w:type="spellStart"/>
      <w:r>
        <w:rPr>
          <w:rFonts w:ascii="Book Antiqua" w:hAnsi="Book Antiqua" w:cs="Times New Roman"/>
          <w:sz w:val="24"/>
          <w:szCs w:val="24"/>
        </w:rPr>
        <w:t>kPa</w:t>
      </w:r>
      <w:proofErr w:type="spellEnd"/>
      <w:r>
        <w:rPr>
          <w:rFonts w:ascii="Book Antiqua" w:hAnsi="Book Antiqua" w:cs="Times New Roman"/>
          <w:sz w:val="24"/>
          <w:szCs w:val="24"/>
        </w:rPr>
        <w:t>.</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i/>
          <w:sz w:val="24"/>
          <w:szCs w:val="24"/>
        </w:rPr>
      </w:pPr>
      <w:r>
        <w:rPr>
          <w:rFonts w:ascii="Book Antiqua" w:hAnsi="Book Antiqua" w:cs="Times New Roman"/>
          <w:b/>
          <w:i/>
          <w:sz w:val="24"/>
          <w:szCs w:val="24"/>
        </w:rPr>
        <w:t>Grading criteria for EV</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Gastroscopy procedures were performed by two experienced </w:t>
      </w:r>
      <w:bookmarkStart w:id="34" w:name="OLE_LINK2"/>
      <w:bookmarkStart w:id="35" w:name="OLE_LINK1"/>
      <w:proofErr w:type="spellStart"/>
      <w:r>
        <w:rPr>
          <w:rFonts w:ascii="Book Antiqua" w:hAnsi="Book Antiqua" w:cs="Times New Roman"/>
          <w:sz w:val="24"/>
          <w:szCs w:val="24"/>
        </w:rPr>
        <w:t>endoscopists</w:t>
      </w:r>
      <w:bookmarkEnd w:id="34"/>
      <w:bookmarkEnd w:id="35"/>
      <w:proofErr w:type="spellEnd"/>
      <w:r>
        <w:rPr>
          <w:rFonts w:ascii="Book Antiqua" w:hAnsi="Book Antiqua" w:cs="Times New Roman"/>
          <w:sz w:val="24"/>
          <w:szCs w:val="24"/>
        </w:rPr>
        <w:t xml:space="preserve"> who were unaware of the LSM results. EV stage was classified as none (no veins above the esophageal mucosal surface; F0), small (minimally elevated veins above the esophageal mucosal surface; F1), medium (large tortuous veins occupying &lt; 1/3 of the lumen; F2), or large (large coil-shaped veins occupying ≥ 1/3 of the lumen; F3). HRV was defined as F2/F3 EV or F1 EV with red wale </w:t>
      </w:r>
      <w:proofErr w:type="gramStart"/>
      <w:r>
        <w:rPr>
          <w:rFonts w:ascii="Book Antiqua" w:hAnsi="Book Antiqua" w:cs="Times New Roman"/>
          <w:sz w:val="24"/>
          <w:szCs w:val="24"/>
        </w:rPr>
        <w:t>signs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20]</w:t>
      </w:r>
      <w:r>
        <w:rPr>
          <w:rFonts w:ascii="Book Antiqua" w:hAnsi="Book Antiqua" w:cs="Times New Roman"/>
          <w:sz w:val="24"/>
          <w:szCs w:val="24"/>
        </w:rPr>
        <w:t>.</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Candidate predictor variables</w:t>
      </w:r>
    </w:p>
    <w:p w:rsidR="00AB3D4E" w:rsidRDefault="008F642A">
      <w:pPr>
        <w:tabs>
          <w:tab w:val="left" w:pos="7797"/>
        </w:tabs>
        <w:spacing w:line="360" w:lineRule="auto"/>
        <w:rPr>
          <w:rFonts w:ascii="Book Antiqua" w:hAnsi="Book Antiqua" w:cs="Times New Roman"/>
          <w:sz w:val="24"/>
          <w:szCs w:val="24"/>
        </w:rPr>
      </w:pPr>
      <w:r>
        <w:rPr>
          <w:rFonts w:ascii="Book Antiqua" w:hAnsi="Book Antiqua" w:cs="Times New Roman"/>
          <w:sz w:val="24"/>
          <w:szCs w:val="24"/>
        </w:rPr>
        <w:t>Laboratory parameters included white blood cell (WBC) count, PLT count, ALT, AST, gamma-</w:t>
      </w:r>
      <w:proofErr w:type="spellStart"/>
      <w:r>
        <w:rPr>
          <w:rFonts w:ascii="Book Antiqua" w:hAnsi="Book Antiqua" w:cs="Times New Roman"/>
          <w:sz w:val="24"/>
          <w:szCs w:val="24"/>
        </w:rPr>
        <w:t>glutamyl</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transpeptidase</w:t>
      </w:r>
      <w:proofErr w:type="spellEnd"/>
      <w:r>
        <w:rPr>
          <w:rFonts w:ascii="Book Antiqua" w:hAnsi="Book Antiqua" w:cs="Times New Roman"/>
          <w:sz w:val="24"/>
          <w:szCs w:val="24"/>
        </w:rPr>
        <w:t xml:space="preserve"> (GGT),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albumin (ALB), globulin (GLB), prothrombin (PT), prothrombin time activity (PTA), </w:t>
      </w:r>
      <w:r>
        <w:rPr>
          <w:rFonts w:ascii="Book Antiqua" w:hAnsi="Book Antiqua" w:cs="Times New Roman"/>
          <w:kern w:val="0"/>
          <w:sz w:val="24"/>
          <w:szCs w:val="24"/>
        </w:rPr>
        <w:t>international normalized ratio</w:t>
      </w:r>
      <w:r>
        <w:rPr>
          <w:rFonts w:ascii="Book Antiqua" w:hAnsi="Book Antiqua" w:cs="Times New Roman"/>
          <w:sz w:val="24"/>
          <w:szCs w:val="24"/>
        </w:rPr>
        <w:t xml:space="preserve"> (INR), HBV DNA, serum sodium (Na</w:t>
      </w:r>
      <w:r>
        <w:rPr>
          <w:rFonts w:ascii="Book Antiqua" w:hAnsi="Book Antiqua" w:cs="Times New Roman"/>
          <w:sz w:val="24"/>
          <w:szCs w:val="24"/>
          <w:vertAlign w:val="superscript"/>
        </w:rPr>
        <w:t>+</w:t>
      </w:r>
      <w:r>
        <w:rPr>
          <w:rFonts w:ascii="Book Antiqua" w:hAnsi="Book Antiqua" w:cs="Times New Roman"/>
          <w:sz w:val="24"/>
          <w:szCs w:val="24"/>
        </w:rPr>
        <w:t>), blood urea nitrogen (BUN), creatinine (Cr), and alpha-fetoprotein (AFP). For patients with multiple laboratory parameter measurements, we used the results obtained nearest in time to the TE procedure.</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lastRenderedPageBreak/>
        <w:t xml:space="preserve">The serum markers of liver fibrosis were calculated according to the following formulas: APRI = </w:t>
      </w:r>
      <w:r>
        <w:rPr>
          <w:rFonts w:ascii="Book Antiqua" w:hAnsi="Book Antiqua" w:cs="Times New Roman" w:hint="eastAsia"/>
          <w:sz w:val="24"/>
          <w:szCs w:val="24"/>
        </w:rPr>
        <w:t>[</w:t>
      </w:r>
      <w:r>
        <w:rPr>
          <w:rFonts w:ascii="Book Antiqua" w:hAnsi="Book Antiqua" w:cs="Times New Roman"/>
          <w:sz w:val="24"/>
          <w:szCs w:val="24"/>
        </w:rPr>
        <w:t xml:space="preserve">AST/upper limit of normal </w:t>
      </w:r>
      <w:r>
        <w:rPr>
          <w:rFonts w:ascii="Book Antiqua" w:hAnsi="Book Antiqua" w:cs="Times New Roman" w:hint="eastAsia"/>
          <w:sz w:val="24"/>
          <w:szCs w:val="24"/>
        </w:rPr>
        <w:t>(</w:t>
      </w:r>
      <w:r>
        <w:rPr>
          <w:rFonts w:ascii="Book Antiqua" w:hAnsi="Book Antiqua" w:cs="Times New Roman"/>
          <w:sz w:val="24"/>
          <w:szCs w:val="24"/>
        </w:rPr>
        <w:t>ULN)</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100/PLT; FIB-4 = (age</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AST)</w:t>
      </w:r>
      <w:proofErr w:type="gramStart"/>
      <w:r>
        <w:rPr>
          <w:rFonts w:ascii="Book Antiqua" w:hAnsi="Book Antiqua" w:cs="Times New Roman"/>
          <w:sz w:val="24"/>
          <w:szCs w:val="24"/>
        </w:rPr>
        <w:t>/(</w:t>
      </w:r>
      <w:proofErr w:type="gramEnd"/>
      <w:r>
        <w:rPr>
          <w:rFonts w:ascii="Book Antiqua" w:hAnsi="Book Antiqua" w:cs="Times New Roman"/>
          <w:sz w:val="24"/>
          <w:szCs w:val="24"/>
        </w:rPr>
        <w:t>PLT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square root of ALT);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exp</w:t>
      </w:r>
      <w:proofErr w:type="spellEnd"/>
      <w:r>
        <w:rPr>
          <w:rFonts w:ascii="Book Antiqua" w:hAnsi="Book Antiqua" w:cs="Times New Roman"/>
          <w:sz w:val="24"/>
          <w:szCs w:val="24"/>
        </w:rPr>
        <w:t xml:space="preserve"> (log odds)/</w:t>
      </w:r>
      <w:r>
        <w:rPr>
          <w:rFonts w:ascii="Book Antiqua" w:hAnsi="Book Antiqua" w:cs="Times New Roman" w:hint="eastAsia"/>
          <w:sz w:val="24"/>
          <w:szCs w:val="24"/>
        </w:rPr>
        <w:t>[</w:t>
      </w:r>
      <w:r>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exp</w:t>
      </w:r>
      <w:proofErr w:type="spellEnd"/>
      <w:r>
        <w:rPr>
          <w:rFonts w:ascii="Book Antiqua" w:hAnsi="Book Antiqua" w:cs="Times New Roman"/>
          <w:sz w:val="24"/>
          <w:szCs w:val="24"/>
        </w:rPr>
        <w:t>(log odds)</w:t>
      </w:r>
      <w:r>
        <w:rPr>
          <w:rFonts w:ascii="Book Antiqua" w:hAnsi="Book Antiqua" w:cs="Times New Roman" w:hint="eastAsia"/>
          <w:sz w:val="24"/>
          <w:szCs w:val="24"/>
        </w:rPr>
        <w:t>]</w:t>
      </w:r>
      <w:r>
        <w:rPr>
          <w:rFonts w:ascii="Book Antiqua" w:hAnsi="Book Antiqua" w:cs="Times New Roman"/>
          <w:sz w:val="24"/>
          <w:szCs w:val="24"/>
        </w:rPr>
        <w:t>, log odds = -5.56</w:t>
      </w:r>
      <w:r>
        <w:rPr>
          <w:rFonts w:ascii="Book Antiqua" w:hAnsi="Book Antiqua" w:cs="Times New Roman" w:hint="eastAsia"/>
          <w:sz w:val="24"/>
          <w:szCs w:val="24"/>
        </w:rPr>
        <w:t xml:space="preserve"> - </w:t>
      </w:r>
      <w:r>
        <w:rPr>
          <w:rFonts w:ascii="Book Antiqua" w:hAnsi="Book Antiqua" w:cs="Times New Roman"/>
          <w:sz w:val="24"/>
          <w:szCs w:val="24"/>
        </w:rPr>
        <w:t>0.0089</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PLT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1.26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(AST/ALT)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5.27</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INR. The following formula was used for calculating the MELD scores: MELD score = 3.8</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proofErr w:type="gramStart"/>
      <w:r>
        <w:rPr>
          <w:rFonts w:ascii="Book Antiqua" w:hAnsi="Book Antiqua" w:cs="Times New Roman"/>
          <w:sz w:val="24"/>
          <w:szCs w:val="24"/>
        </w:rPr>
        <w:t>ln</w:t>
      </w:r>
      <w:proofErr w:type="spellEnd"/>
      <w:r>
        <w:rPr>
          <w:rFonts w:ascii="Book Antiqua" w:hAnsi="Book Antiqua" w:cs="Times New Roman"/>
          <w:sz w:val="24"/>
          <w:szCs w:val="24"/>
        </w:rPr>
        <w:t>[</w:t>
      </w:r>
      <w:proofErr w:type="spellStart"/>
      <w:proofErr w:type="gramEnd"/>
      <w:r>
        <w:rPr>
          <w:rFonts w:ascii="Book Antiqua" w:hAnsi="Book Antiqua" w:cs="Times New Roman"/>
          <w:sz w:val="24"/>
          <w:szCs w:val="24"/>
        </w:rPr>
        <w:t>TBil</w:t>
      </w:r>
      <w:proofErr w:type="spellEnd"/>
      <w:r>
        <w:rPr>
          <w:rFonts w:ascii="Book Antiqua" w:hAnsi="Book Antiqua" w:cs="Times New Roman"/>
          <w:sz w:val="24"/>
          <w:szCs w:val="24"/>
        </w:rPr>
        <w:t xml:space="preserve"> (mg/</w:t>
      </w:r>
      <w:proofErr w:type="spellStart"/>
      <w:r>
        <w:rPr>
          <w:rFonts w:ascii="Book Antiqua" w:hAnsi="Book Antiqua" w:cs="Times New Roman"/>
          <w:sz w:val="24"/>
          <w:szCs w:val="24"/>
        </w:rPr>
        <w:t>dL</w:t>
      </w:r>
      <w:proofErr w:type="spellEnd"/>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11.2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ln(INR)</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9.6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ln</w:t>
      </w:r>
      <w:proofErr w:type="spellEnd"/>
      <w:r>
        <w:rPr>
          <w:rFonts w:ascii="Book Antiqua" w:hAnsi="Book Antiqua" w:cs="Times New Roman"/>
          <w:sz w:val="24"/>
          <w:szCs w:val="24"/>
        </w:rPr>
        <w:t>[Cr (mg/</w:t>
      </w:r>
      <w:proofErr w:type="spellStart"/>
      <w:r>
        <w:rPr>
          <w:rFonts w:ascii="Book Antiqua" w:hAnsi="Book Antiqua" w:cs="Times New Roman"/>
          <w:sz w:val="24"/>
          <w:szCs w:val="24"/>
        </w:rPr>
        <w:t>dL</w:t>
      </w:r>
      <w:proofErr w:type="spellEnd"/>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6.4</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(constant for liver disease etiology: 0 if </w:t>
      </w:r>
      <w:proofErr w:type="spellStart"/>
      <w:r>
        <w:rPr>
          <w:rFonts w:ascii="Book Antiqua" w:hAnsi="Book Antiqua" w:cs="Times New Roman"/>
          <w:sz w:val="24"/>
          <w:szCs w:val="24"/>
        </w:rPr>
        <w:t>cholestatic</w:t>
      </w:r>
      <w:proofErr w:type="spellEnd"/>
      <w:r>
        <w:rPr>
          <w:rFonts w:ascii="Book Antiqua" w:hAnsi="Book Antiqua" w:cs="Times New Roman"/>
          <w:sz w:val="24"/>
          <w:szCs w:val="24"/>
        </w:rPr>
        <w:t xml:space="preserve"> or alcoholic, otherwise 1).</w:t>
      </w:r>
    </w:p>
    <w:p w:rsidR="00AB3D4E" w:rsidRDefault="00AB3D4E">
      <w:pPr>
        <w:spacing w:line="360" w:lineRule="auto"/>
        <w:ind w:firstLineChars="100" w:firstLine="240"/>
        <w:rPr>
          <w:rFonts w:ascii="Book Antiqua" w:hAnsi="Book Antiqua" w:cs="Times New Roman"/>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Ethics statement</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The protocol conformed to the provisions of the Declaration of Helsinki and was approved by the Human Ethical Committee of the Affiliated Hospital of </w:t>
      </w:r>
      <w:proofErr w:type="spellStart"/>
      <w:r>
        <w:rPr>
          <w:rFonts w:ascii="Book Antiqua" w:hAnsi="Book Antiqua" w:cs="Times New Roman"/>
          <w:sz w:val="24"/>
          <w:szCs w:val="24"/>
        </w:rPr>
        <w:t>Zunyi</w:t>
      </w:r>
      <w:proofErr w:type="spellEnd"/>
      <w:r>
        <w:rPr>
          <w:rFonts w:ascii="Book Antiqua" w:hAnsi="Book Antiqua" w:cs="Times New Roman"/>
          <w:sz w:val="24"/>
          <w:szCs w:val="24"/>
        </w:rPr>
        <w:t xml:space="preserve"> Medical </w:t>
      </w:r>
      <w:r>
        <w:rPr>
          <w:rStyle w:val="highlight"/>
          <w:rFonts w:ascii="Book Antiqua" w:hAnsi="Book Antiqua" w:cs="Times New Roman"/>
          <w:sz w:val="24"/>
          <w:szCs w:val="24"/>
        </w:rPr>
        <w:t>University</w:t>
      </w:r>
      <w:r>
        <w:rPr>
          <w:rFonts w:ascii="Book Antiqua" w:hAnsi="Book Antiqua" w:cs="Times New Roman"/>
          <w:sz w:val="24"/>
          <w:szCs w:val="24"/>
        </w:rPr>
        <w:t xml:space="preserve"> and </w:t>
      </w:r>
      <w:proofErr w:type="spellStart"/>
      <w:r>
        <w:rPr>
          <w:rFonts w:ascii="Book Antiqua" w:hAnsi="Book Antiqua" w:cs="Times New Roman"/>
          <w:sz w:val="24"/>
          <w:szCs w:val="24"/>
        </w:rPr>
        <w:t>Suining</w:t>
      </w:r>
      <w:proofErr w:type="spellEnd"/>
      <w:r>
        <w:rPr>
          <w:rFonts w:ascii="Book Antiqua" w:hAnsi="Book Antiqua" w:cs="Times New Roman"/>
          <w:sz w:val="24"/>
          <w:szCs w:val="24"/>
        </w:rPr>
        <w:t xml:space="preserve"> Central Hospital. All patients were informed in writing regarding the potential use of their data for clinical research purposes, and all accepted.</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Statistical analysis</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Statistical analyses were performed using SPSS 19.0 (SPSS, Chicago, IL, USA) and </w:t>
      </w:r>
      <w:proofErr w:type="spellStart"/>
      <w:r>
        <w:rPr>
          <w:rFonts w:ascii="Book Antiqua" w:hAnsi="Book Antiqua" w:cs="Times New Roman"/>
          <w:sz w:val="24"/>
          <w:szCs w:val="24"/>
        </w:rPr>
        <w:t>MedCalc</w:t>
      </w:r>
      <w:proofErr w:type="spellEnd"/>
      <w:r>
        <w:rPr>
          <w:rFonts w:ascii="Book Antiqua" w:hAnsi="Book Antiqua" w:cs="Times New Roman"/>
          <w:sz w:val="24"/>
          <w:szCs w:val="24"/>
          <w:vertAlign w:val="superscript"/>
        </w:rPr>
        <w:t>®</w:t>
      </w:r>
      <w:r>
        <w:rPr>
          <w:rFonts w:ascii="Book Antiqua" w:hAnsi="Book Antiqua" w:cs="Times New Roman"/>
          <w:sz w:val="24"/>
          <w:szCs w:val="24"/>
        </w:rPr>
        <w:t xml:space="preserve"> 15.8 (</w:t>
      </w:r>
      <w:proofErr w:type="spellStart"/>
      <w:r>
        <w:rPr>
          <w:rFonts w:ascii="Book Antiqua" w:hAnsi="Book Antiqua" w:cs="Times New Roman"/>
          <w:sz w:val="24"/>
          <w:szCs w:val="24"/>
        </w:rPr>
        <w:t>MedCalc</w:t>
      </w:r>
      <w:proofErr w:type="spellEnd"/>
      <w:r>
        <w:rPr>
          <w:rFonts w:ascii="Book Antiqua" w:hAnsi="Book Antiqua" w:cs="Times New Roman"/>
          <w:sz w:val="24"/>
          <w:szCs w:val="24"/>
        </w:rPr>
        <w:t xml:space="preserve"> Software BVBA, Ostend, Belgium). Patient characteristics were compared between patients with and without HRV, using </w:t>
      </w:r>
      <w:r>
        <w:rPr>
          <w:rFonts w:ascii="Book Antiqua" w:hAnsi="Book Antiqua" w:cs="Times New Roman"/>
          <w:i/>
          <w:sz w:val="24"/>
          <w:szCs w:val="24"/>
        </w:rPr>
        <w:sym w:font="Symbol" w:char="F063"/>
      </w:r>
      <w:r>
        <w:rPr>
          <w:rFonts w:ascii="Book Antiqua" w:hAnsi="Book Antiqua" w:cs="Times New Roman"/>
          <w:sz w:val="24"/>
          <w:szCs w:val="24"/>
          <w:vertAlign w:val="superscript"/>
        </w:rPr>
        <w:t>2</w:t>
      </w:r>
      <w:r>
        <w:rPr>
          <w:rFonts w:ascii="Book Antiqua" w:hAnsi="Book Antiqua" w:cs="Times New Roman"/>
          <w:sz w:val="24"/>
          <w:szCs w:val="24"/>
        </w:rPr>
        <w:t xml:space="preserve"> tests for categorical variables, </w:t>
      </w:r>
      <w:r>
        <w:rPr>
          <w:rFonts w:ascii="Book Antiqua" w:hAnsi="Book Antiqua" w:cs="Times New Roman"/>
          <w:i/>
          <w:sz w:val="24"/>
          <w:szCs w:val="24"/>
        </w:rPr>
        <w:t>t</w:t>
      </w:r>
      <w:r>
        <w:rPr>
          <w:rFonts w:ascii="Book Antiqua" w:hAnsi="Book Antiqua" w:cs="Times New Roman"/>
          <w:sz w:val="24"/>
          <w:szCs w:val="24"/>
        </w:rPr>
        <w:t xml:space="preserve">-tests for variables with normal distributions, and Mann–Whitney U tests for variables with non-normal distributions. Logistic regression analysis was used for univariate and multivariate analyses. </w:t>
      </w:r>
      <w:proofErr w:type="spellStart"/>
      <w:r>
        <w:rPr>
          <w:rFonts w:ascii="Book Antiqua" w:hAnsi="Book Antiqua" w:cs="Times New Roman"/>
          <w:sz w:val="24"/>
          <w:szCs w:val="24"/>
        </w:rPr>
        <w:t>MedCalc</w:t>
      </w:r>
      <w:proofErr w:type="spellEnd"/>
      <w:r>
        <w:rPr>
          <w:rFonts w:ascii="Book Antiqua" w:hAnsi="Book Antiqua" w:cs="Times New Roman"/>
          <w:sz w:val="24"/>
          <w:szCs w:val="24"/>
        </w:rPr>
        <w:t xml:space="preserve"> 15.8 was used to calculate receiver operating characteristic (ROC) curves, and the accuracy of each diagnostic criterion was evaluated according to the area under each ROC curve (AUROC). Given that the aim of this study was to identify patients without HRV, we defined the cutoff values of LSM, PLT, MELD score, and serum markers of liver fibrosis based on the values corresponding to a negative predictive value (NPV) of 100%. The main results calculated were sensitivity, specificity, positive predictive value (PPV), and positive likelihood ratio (PLR) as well as the number of unnecessary gastroscopy procedures. Since we set the cutoff values based on an </w:t>
      </w:r>
      <w:r>
        <w:rPr>
          <w:rFonts w:ascii="Book Antiqua" w:hAnsi="Book Antiqua" w:cs="Times New Roman"/>
          <w:sz w:val="24"/>
          <w:szCs w:val="24"/>
        </w:rPr>
        <w:lastRenderedPageBreak/>
        <w:t xml:space="preserve">NPV of 100%, we did not calculate the negative likelihood ratio (NLR). </w:t>
      </w:r>
      <w:r>
        <w:rPr>
          <w:rFonts w:ascii="Book Antiqua" w:hAnsi="Book Antiqua" w:cs="Times New Roman"/>
          <w:i/>
          <w:iCs/>
          <w:sz w:val="24"/>
          <w:szCs w:val="24"/>
        </w:rPr>
        <w:t xml:space="preserve">P </w:t>
      </w:r>
      <w:r>
        <w:rPr>
          <w:rFonts w:ascii="Book Antiqua" w:hAnsi="Book Antiqua" w:cs="Times New Roman"/>
          <w:iCs/>
          <w:sz w:val="24"/>
          <w:szCs w:val="24"/>
        </w:rPr>
        <w:t>&lt; 0.05</w:t>
      </w:r>
      <w:r>
        <w:rPr>
          <w:rFonts w:ascii="Book Antiqua" w:hAnsi="Book Antiqua" w:cs="Times New Roman"/>
          <w:sz w:val="24"/>
          <w:szCs w:val="24"/>
        </w:rPr>
        <w:t xml:space="preserve"> was considered statistically significant. </w:t>
      </w:r>
    </w:p>
    <w:p w:rsidR="00AB3D4E" w:rsidRDefault="00AB3D4E">
      <w:pPr>
        <w:widowControl/>
        <w:autoSpaceDE/>
        <w:autoSpaceDN/>
        <w:adjustRightInd/>
        <w:spacing w:line="360" w:lineRule="auto"/>
        <w:rPr>
          <w:rFonts w:ascii="Book Antiqua" w:hAnsi="Book Antiqua"/>
          <w:b/>
          <w:sz w:val="24"/>
          <w:szCs w:val="24"/>
        </w:rPr>
      </w:pPr>
    </w:p>
    <w:p w:rsidR="00AB3D4E" w:rsidRDefault="008F642A">
      <w:pPr>
        <w:spacing w:line="360" w:lineRule="auto"/>
        <w:rPr>
          <w:rFonts w:ascii="Book Antiqua" w:hAnsi="Book Antiqua"/>
          <w:b/>
          <w:sz w:val="24"/>
          <w:szCs w:val="24"/>
        </w:rPr>
      </w:pPr>
      <w:r>
        <w:rPr>
          <w:rFonts w:ascii="Book Antiqua" w:hAnsi="Book Antiqua"/>
          <w:b/>
          <w:sz w:val="24"/>
          <w:szCs w:val="24"/>
        </w:rPr>
        <w:t>RESULTS</w:t>
      </w:r>
    </w:p>
    <w:p w:rsidR="00AB3D4E" w:rsidRDefault="008F642A">
      <w:pPr>
        <w:spacing w:line="360" w:lineRule="auto"/>
        <w:rPr>
          <w:rFonts w:ascii="Book Antiqua" w:hAnsi="Book Antiqua"/>
          <w:b/>
          <w:sz w:val="24"/>
          <w:szCs w:val="24"/>
        </w:rPr>
      </w:pPr>
      <w:r>
        <w:rPr>
          <w:rFonts w:ascii="Book Antiqua" w:hAnsi="Book Antiqua" w:cs="Times New Roman"/>
          <w:b/>
          <w:i/>
          <w:sz w:val="24"/>
          <w:szCs w:val="24"/>
        </w:rPr>
        <w:t>Patient characteristics and HRV prevalence</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Among the 132 patients enrolled in the study, 5</w:t>
      </w:r>
      <w:r>
        <w:rPr>
          <w:rFonts w:ascii="Book Antiqua" w:hAnsi="Book Antiqua" w:cs="Times New Roman" w:hint="eastAsia"/>
          <w:sz w:val="24"/>
          <w:szCs w:val="24"/>
        </w:rPr>
        <w:t>9</w:t>
      </w:r>
      <w:r>
        <w:rPr>
          <w:rFonts w:ascii="Book Antiqua" w:hAnsi="Book Antiqua" w:cs="Times New Roman"/>
          <w:sz w:val="24"/>
          <w:szCs w:val="24"/>
        </w:rPr>
        <w:t xml:space="preserve"> (44.7%) had EV. Among them, 32 (24.2%) had small EV without red wale signs and 27 (20.5%) had HRV (medium or large EV). Regarding Child-Pugh class, 95 and 37 patients </w:t>
      </w:r>
      <w:r w:rsidR="0037546D">
        <w:rPr>
          <w:rFonts w:ascii="Book Antiqua" w:hAnsi="Book Antiqua" w:cs="Times New Roman"/>
          <w:sz w:val="24"/>
          <w:szCs w:val="24"/>
        </w:rPr>
        <w:t>had</w:t>
      </w:r>
      <w:r>
        <w:rPr>
          <w:rFonts w:ascii="Book Antiqua" w:hAnsi="Book Antiqua" w:cs="Times New Roman"/>
          <w:sz w:val="24"/>
          <w:szCs w:val="24"/>
        </w:rPr>
        <w:t xml:space="preserve"> classes A and B, respectively. Of the 132 patients, 99 (26 with HRV)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due to having both LSM ≥ 20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PLT ≤ 150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11 (1 with HRV) due to having only LSM ≥ 20 </w:t>
      </w:r>
      <w:proofErr w:type="spellStart"/>
      <w:r>
        <w:rPr>
          <w:rFonts w:ascii="Book Antiqua" w:hAnsi="Book Antiqua" w:cs="Times New Roman"/>
          <w:sz w:val="24"/>
          <w:szCs w:val="24"/>
        </w:rPr>
        <w:t>kPa</w:t>
      </w:r>
      <w:proofErr w:type="spellEnd"/>
      <w:r>
        <w:rPr>
          <w:rFonts w:ascii="Book Antiqua" w:hAnsi="Book Antiqua" w:cs="Times New Roman"/>
          <w:sz w:val="24"/>
          <w:szCs w:val="24"/>
        </w:rPr>
        <w:t>; and 22 (0 with HRV) due to having only PLT ≤</w:t>
      </w:r>
      <w:r>
        <w:rPr>
          <w:rFonts w:ascii="Book Antiqua" w:hAnsi="Book Antiqua" w:cs="Times New Roman" w:hint="eastAsia"/>
          <w:sz w:val="24"/>
          <w:szCs w:val="24"/>
        </w:rPr>
        <w:t xml:space="preserve"> </w:t>
      </w:r>
      <w:r>
        <w:rPr>
          <w:rFonts w:ascii="Book Antiqua" w:hAnsi="Book Antiqua" w:cs="Times New Roman"/>
          <w:sz w:val="24"/>
          <w:szCs w:val="24"/>
        </w:rPr>
        <w:t>150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As shown in Table 1, PT, INR, LSM, and MELD score were significantly higher in patients with HRV than in those without, whereas ALT, AST, GGT, PLT, PTA, and HBV DNA levels were significantly lower.</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i/>
          <w:sz w:val="24"/>
          <w:szCs w:val="24"/>
        </w:rPr>
      </w:pPr>
      <w:r>
        <w:rPr>
          <w:rFonts w:ascii="Book Antiqua" w:hAnsi="Book Antiqua" w:cs="Times New Roman"/>
          <w:b/>
          <w:bCs/>
          <w:i/>
          <w:sz w:val="24"/>
          <w:szCs w:val="24"/>
        </w:rPr>
        <w:t>Independent risk factors for HRV and performance of LSM and serum markers of liver fibrosis for ruling out HRV</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As shown in Table 2, the risk factors for HRV in patients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included PT, PLT, ALT, GGT, LSM, and MELD score. Independent risk factors for HRV were LSM and ALT. We then explored whether adjusting the LSM and PLT cutoff values and using serum markers of liver fibrosis could exclude more patients without HRV among those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As shown in Table 3,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had an AUROC of 0.753 [95% confidence interval (CI)</w:t>
      </w:r>
      <w:r>
        <w:rPr>
          <w:rFonts w:ascii="Book Antiqua" w:hAnsi="Book Antiqua" w:cs="Times New Roman" w:hint="eastAsia"/>
          <w:sz w:val="24"/>
          <w:szCs w:val="24"/>
        </w:rPr>
        <w:t xml:space="preserve">: </w:t>
      </w:r>
      <w:r>
        <w:rPr>
          <w:rFonts w:ascii="Book Antiqua" w:hAnsi="Book Antiqua" w:cs="Times New Roman"/>
          <w:sz w:val="24"/>
          <w:szCs w:val="24"/>
        </w:rPr>
        <w:t xml:space="preserve">0.671-0.824]. The AUROCs of LSM, APRI, FIB-4, and MELD score were all &lt; 0.7.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cutoff value of 0.4531 could further spare 32/132 (24.2%) of gastroscopies without missing HRVs. Although PLT had an AUROC of 0.712 (95%CI</w:t>
      </w:r>
      <w:r>
        <w:rPr>
          <w:rFonts w:ascii="Book Antiqua" w:hAnsi="Book Antiqua" w:cs="Times New Roman" w:hint="eastAsia"/>
          <w:sz w:val="24"/>
          <w:szCs w:val="24"/>
        </w:rPr>
        <w:t>:</w:t>
      </w:r>
      <w:r>
        <w:rPr>
          <w:rFonts w:ascii="Book Antiqua" w:hAnsi="Book Antiqua" w:cs="Times New Roman"/>
          <w:sz w:val="24"/>
          <w:szCs w:val="24"/>
        </w:rPr>
        <w:t xml:space="preserve"> 0.627</w:t>
      </w:r>
      <w:r>
        <w:rPr>
          <w:rFonts w:ascii="Book Antiqua" w:hAnsi="Book Antiqua" w:cs="Times New Roman" w:hint="eastAsia"/>
          <w:sz w:val="24"/>
          <w:szCs w:val="24"/>
        </w:rPr>
        <w:t>-</w:t>
      </w:r>
      <w:r>
        <w:rPr>
          <w:rFonts w:ascii="Book Antiqua" w:hAnsi="Book Antiqua" w:cs="Times New Roman"/>
          <w:sz w:val="24"/>
          <w:szCs w:val="24"/>
        </w:rPr>
        <w:t>0.787), PLT &gt; 151</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could only spare 10/132 (7.6%) of gastroscopies without missing HRVs. The AUROC of LSM was 0.637 (95%CI</w:t>
      </w:r>
      <w:r>
        <w:rPr>
          <w:rFonts w:ascii="Book Antiqua" w:hAnsi="Book Antiqua" w:cs="Times New Roman" w:hint="eastAsia"/>
          <w:sz w:val="24"/>
          <w:szCs w:val="24"/>
        </w:rPr>
        <w:t>:</w:t>
      </w:r>
      <w:r>
        <w:rPr>
          <w:rFonts w:ascii="Book Antiqua" w:hAnsi="Book Antiqua" w:cs="Times New Roman"/>
          <w:sz w:val="24"/>
          <w:szCs w:val="24"/>
        </w:rPr>
        <w:t xml:space="preserve"> 0.548</w:t>
      </w:r>
      <w:r>
        <w:rPr>
          <w:rFonts w:ascii="Book Antiqua" w:hAnsi="Book Antiqua" w:cs="Times New Roman" w:hint="eastAsia"/>
          <w:sz w:val="24"/>
          <w:szCs w:val="24"/>
        </w:rPr>
        <w:t>-</w:t>
      </w:r>
      <w:r>
        <w:rPr>
          <w:rFonts w:ascii="Book Antiqua" w:hAnsi="Book Antiqua" w:cs="Times New Roman"/>
          <w:sz w:val="24"/>
          <w:szCs w:val="24"/>
        </w:rPr>
        <w:t xml:space="preserve">0.718), and LSM &lt; 20.9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could spare 31/132 (23.5%) of gastroscopies without missing HRVs.</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lastRenderedPageBreak/>
        <w:t xml:space="preserve">If the expanded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(LSM &lt; 25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with a PLT count &gt; 110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were applied to patients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they only spared 8 (6.1%) gastroscopies without missing HRVs. In our study, only 7 patients had an MELD score of 6, and a stepwise strategy using PLT &gt; 150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and MELD = 6 only led to 7/132 (5.3%) additional patients avoiding gastroscopies without missing HRVs. Using cutoff values of LSM ≤ 25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PLT ≥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as suggested by Ding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13]</w:t>
      </w:r>
      <w:r>
        <w:rPr>
          <w:rFonts w:ascii="Book Antiqua" w:hAnsi="Book Antiqua" w:cs="Times New Roman"/>
          <w:sz w:val="24"/>
          <w:szCs w:val="24"/>
        </w:rPr>
        <w:t>, only led to 16/132 (12.1%) more patients avoiding gastroscopies without missing HRVs.</w:t>
      </w:r>
    </w:p>
    <w:p w:rsidR="00AB3D4E" w:rsidRDefault="00AB3D4E">
      <w:pPr>
        <w:spacing w:line="360" w:lineRule="auto"/>
        <w:ind w:firstLineChars="100" w:firstLine="240"/>
        <w:rPr>
          <w:rFonts w:ascii="Book Antiqua" w:hAnsi="Book Antiqua" w:cs="Times New Roman"/>
          <w:sz w:val="24"/>
          <w:szCs w:val="24"/>
        </w:rPr>
      </w:pPr>
    </w:p>
    <w:p w:rsidR="00AB3D4E" w:rsidRDefault="008F642A">
      <w:pPr>
        <w:spacing w:line="360" w:lineRule="auto"/>
        <w:rPr>
          <w:rFonts w:ascii="Book Antiqua" w:hAnsi="Book Antiqua" w:cs="Times New Roman"/>
          <w:b/>
          <w:bCs/>
          <w:i/>
          <w:sz w:val="24"/>
          <w:szCs w:val="24"/>
        </w:rPr>
      </w:pPr>
      <w:r>
        <w:rPr>
          <w:rFonts w:ascii="Book Antiqua" w:hAnsi="Book Antiqua" w:cs="Times New Roman"/>
          <w:b/>
          <w:bCs/>
          <w:i/>
          <w:sz w:val="24"/>
          <w:szCs w:val="24"/>
        </w:rPr>
        <w:t xml:space="preserve">Effects of ALT and </w:t>
      </w:r>
      <w:proofErr w:type="spellStart"/>
      <w:r>
        <w:rPr>
          <w:rFonts w:ascii="Book Antiqua" w:hAnsi="Book Antiqua" w:cs="Times New Roman"/>
          <w:b/>
          <w:bCs/>
          <w:i/>
          <w:sz w:val="24"/>
          <w:szCs w:val="24"/>
        </w:rPr>
        <w:t>TBil</w:t>
      </w:r>
      <w:proofErr w:type="spellEnd"/>
      <w:r>
        <w:rPr>
          <w:rFonts w:ascii="Book Antiqua" w:hAnsi="Book Antiqua" w:cs="Times New Roman"/>
          <w:b/>
          <w:bCs/>
          <w:i/>
          <w:sz w:val="24"/>
          <w:szCs w:val="24"/>
        </w:rPr>
        <w:t xml:space="preserve"> on LSM in patients who did not meet the </w:t>
      </w:r>
      <w:proofErr w:type="spellStart"/>
      <w:r>
        <w:rPr>
          <w:rFonts w:ascii="Book Antiqua" w:hAnsi="Book Antiqua" w:cs="Times New Roman"/>
          <w:b/>
          <w:bCs/>
          <w:i/>
          <w:sz w:val="24"/>
          <w:szCs w:val="24"/>
        </w:rPr>
        <w:t>Baveno</w:t>
      </w:r>
      <w:proofErr w:type="spellEnd"/>
      <w:r>
        <w:rPr>
          <w:rFonts w:ascii="Book Antiqua" w:hAnsi="Book Antiqua" w:cs="Times New Roman"/>
          <w:b/>
          <w:bCs/>
          <w:i/>
          <w:sz w:val="24"/>
          <w:szCs w:val="24"/>
        </w:rPr>
        <w:t xml:space="preserve"> VI criteria</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 in patients with ALT &lt; 2 ULN (26.77</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12.08 </w:t>
      </w:r>
      <w:proofErr w:type="spellStart"/>
      <w:r>
        <w:rPr>
          <w:rFonts w:ascii="Book Antiqua" w:hAnsi="Book Antiqua" w:cs="Times New Roman"/>
          <w:sz w:val="24"/>
          <w:szCs w:val="24"/>
        </w:rPr>
        <w:t>kPa</w:t>
      </w:r>
      <w:proofErr w:type="spellEnd"/>
      <w:r>
        <w:rPr>
          <w:rFonts w:ascii="Book Antiqua" w:hAnsi="Book Antiqua" w:cs="Times New Roman"/>
          <w:sz w:val="24"/>
          <w:szCs w:val="24"/>
        </w:rPr>
        <w:t>) was significantly lower than that in patients with ALT ≥ 2 ULN (32.59</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13.25 </w:t>
      </w:r>
      <w:proofErr w:type="spellStart"/>
      <w:r>
        <w:rPr>
          <w:rFonts w:ascii="Book Antiqua" w:hAnsi="Book Antiqua" w:cs="Times New Roman"/>
          <w:sz w:val="24"/>
          <w:szCs w:val="24"/>
        </w:rPr>
        <w:t>kPa</w:t>
      </w:r>
      <w:proofErr w:type="spellEnd"/>
      <w:r>
        <w:rPr>
          <w:rFonts w:ascii="Book Antiqua" w:hAnsi="Book Antiqua" w:cs="Times New Roman"/>
          <w:sz w:val="24"/>
          <w:szCs w:val="24"/>
        </w:rPr>
        <w:t>) (</w:t>
      </w:r>
      <w:r>
        <w:rPr>
          <w:rFonts w:ascii="Book Antiqua" w:hAnsi="Book Antiqua" w:cs="Times New Roman"/>
          <w:i/>
          <w:iCs/>
          <w:sz w:val="24"/>
          <w:szCs w:val="24"/>
        </w:rPr>
        <w:t xml:space="preserve">P </w:t>
      </w:r>
      <w:r>
        <w:rPr>
          <w:rFonts w:ascii="Book Antiqua" w:hAnsi="Book Antiqua" w:cs="Times New Roman"/>
          <w:iCs/>
          <w:sz w:val="24"/>
          <w:szCs w:val="24"/>
        </w:rPr>
        <w:t>= 0.011</w:t>
      </w:r>
      <w:r>
        <w:rPr>
          <w:rFonts w:ascii="Book Antiqua" w:hAnsi="Book Antiqua" w:cs="Times New Roman"/>
          <w:sz w:val="24"/>
          <w:szCs w:val="24"/>
        </w:rPr>
        <w:t xml:space="preserve">). The mean LSM value in patients with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(26.40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8.66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was also significantly lower than that in patients with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(38.80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16.77 </w:t>
      </w:r>
      <w:proofErr w:type="spellStart"/>
      <w:r>
        <w:rPr>
          <w:rFonts w:ascii="Book Antiqua" w:hAnsi="Book Antiqua" w:cs="Times New Roman"/>
          <w:sz w:val="24"/>
          <w:szCs w:val="24"/>
        </w:rPr>
        <w:t>kPa</w:t>
      </w:r>
      <w:proofErr w:type="spellEnd"/>
      <w:r>
        <w:rPr>
          <w:rFonts w:ascii="Book Antiqua" w:hAnsi="Book Antiqua" w:cs="Times New Roman"/>
          <w:sz w:val="24"/>
          <w:szCs w:val="24"/>
        </w:rPr>
        <w:t>) (</w:t>
      </w:r>
      <w:r>
        <w:rPr>
          <w:rFonts w:ascii="Book Antiqua" w:hAnsi="Book Antiqua" w:cs="Times New Roman"/>
          <w:i/>
          <w:iCs/>
          <w:sz w:val="24"/>
          <w:szCs w:val="24"/>
        </w:rPr>
        <w:t xml:space="preserve">P </w:t>
      </w:r>
      <w:r>
        <w:rPr>
          <w:rFonts w:ascii="Book Antiqua" w:hAnsi="Book Antiqua" w:cs="Times New Roman"/>
          <w:iCs/>
          <w:sz w:val="24"/>
          <w:szCs w:val="24"/>
        </w:rPr>
        <w:t>= 0.000</w:t>
      </w:r>
      <w:r>
        <w:rPr>
          <w:rFonts w:ascii="Book Antiqua" w:hAnsi="Book Antiqua" w:cs="Times New Roman"/>
          <w:sz w:val="24"/>
          <w:szCs w:val="24"/>
        </w:rPr>
        <w:t xml:space="preserve">). The LSM in patients with both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(23.66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8.44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was significantly lower than that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(33.23</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13.71</w:t>
      </w:r>
      <w:r>
        <w:rPr>
          <w:rFonts w:ascii="Book Antiqua" w:hAnsi="Book Antiqua" w:cs="Times New Roman" w:hint="eastAsia"/>
          <w:sz w:val="24"/>
          <w:szCs w:val="24"/>
        </w:rPr>
        <w:t xml:space="preserve"> </w:t>
      </w:r>
      <w:proofErr w:type="spellStart"/>
      <w:r>
        <w:rPr>
          <w:rFonts w:ascii="Book Antiqua" w:hAnsi="Book Antiqua" w:cs="Times New Roman"/>
          <w:sz w:val="24"/>
          <w:szCs w:val="24"/>
        </w:rPr>
        <w:t>kPa</w:t>
      </w:r>
      <w:proofErr w:type="spellEnd"/>
      <w:r>
        <w:rPr>
          <w:rFonts w:ascii="Book Antiqua" w:hAnsi="Book Antiqua" w:cs="Times New Roman"/>
          <w:sz w:val="24"/>
          <w:szCs w:val="24"/>
        </w:rPr>
        <w:t>) (</w:t>
      </w:r>
      <w:r>
        <w:rPr>
          <w:rFonts w:ascii="Book Antiqua" w:hAnsi="Book Antiqua" w:cs="Times New Roman"/>
          <w:i/>
          <w:iCs/>
          <w:sz w:val="24"/>
          <w:szCs w:val="24"/>
        </w:rPr>
        <w:t xml:space="preserve">P </w:t>
      </w:r>
      <w:r>
        <w:rPr>
          <w:rFonts w:ascii="Book Antiqua" w:hAnsi="Book Antiqua" w:cs="Times New Roman"/>
          <w:iCs/>
          <w:sz w:val="24"/>
          <w:szCs w:val="24"/>
        </w:rPr>
        <w:t>= 0.000</w:t>
      </w:r>
      <w:r>
        <w:rPr>
          <w:rFonts w:ascii="Book Antiqua" w:hAnsi="Book Antiqua" w:cs="Times New Roman"/>
          <w:sz w:val="24"/>
          <w:szCs w:val="24"/>
        </w:rPr>
        <w:t>).</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Times New Roman"/>
          <w:b/>
          <w:bCs/>
          <w:i/>
          <w:sz w:val="24"/>
          <w:szCs w:val="24"/>
        </w:rPr>
      </w:pPr>
      <w:r>
        <w:rPr>
          <w:rFonts w:ascii="Book Antiqua" w:hAnsi="Book Antiqua" w:cs="Times New Roman"/>
          <w:b/>
          <w:bCs/>
          <w:i/>
          <w:sz w:val="24"/>
          <w:szCs w:val="24"/>
        </w:rPr>
        <w:t xml:space="preserve">LSM and serum markers of liver fibrosis for ruling out HRV in patients with ALT and </w:t>
      </w:r>
      <w:proofErr w:type="spellStart"/>
      <w:r>
        <w:rPr>
          <w:rFonts w:ascii="Book Antiqua" w:hAnsi="Book Antiqua" w:cs="Times New Roman"/>
          <w:b/>
          <w:bCs/>
          <w:i/>
          <w:sz w:val="24"/>
          <w:szCs w:val="24"/>
        </w:rPr>
        <w:t>TBil</w:t>
      </w:r>
      <w:proofErr w:type="spellEnd"/>
      <w:r>
        <w:rPr>
          <w:rFonts w:ascii="Book Antiqua" w:hAnsi="Book Antiqua" w:cs="Times New Roman"/>
          <w:b/>
          <w:bCs/>
          <w:i/>
          <w:sz w:val="24"/>
          <w:szCs w:val="24"/>
        </w:rPr>
        <w:t xml:space="preserve"> &lt; 2 ULN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To explore the possibility of increasing the number of patients spared gastroscopy by adjusting the cutoff values of LSM and PLT according to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we divided them into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w:t>
      </w:r>
      <w:r>
        <w:rPr>
          <w:rFonts w:ascii="Book Antiqua" w:hAnsi="Book Antiqua" w:cs="Times New Roman"/>
          <w:i/>
          <w:sz w:val="24"/>
          <w:szCs w:val="24"/>
        </w:rPr>
        <w:t>n</w:t>
      </w:r>
      <w:r>
        <w:rPr>
          <w:rFonts w:ascii="Book Antiqua" w:hAnsi="Book Antiqua" w:cs="Times New Roman"/>
          <w:sz w:val="24"/>
          <w:szCs w:val="24"/>
        </w:rPr>
        <w:t xml:space="preserve"> = 41) and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w:t>
      </w:r>
      <w:r>
        <w:rPr>
          <w:rFonts w:ascii="Book Antiqua" w:hAnsi="Book Antiqua" w:cs="Times New Roman"/>
          <w:i/>
          <w:sz w:val="24"/>
          <w:szCs w:val="24"/>
        </w:rPr>
        <w:t xml:space="preserve">n </w:t>
      </w:r>
      <w:r>
        <w:rPr>
          <w:rFonts w:ascii="Book Antiqua" w:hAnsi="Book Antiqua" w:cs="Times New Roman"/>
          <w:sz w:val="24"/>
          <w:szCs w:val="24"/>
        </w:rPr>
        <w:t>= 91). Among the 41 patients with both ALT and TBIL &lt; 2 ULN, 14 (34.1%) had HRV. As shown in Table 4, LSM had an AUROC of 0.821 (95%CI: 0.670</w:t>
      </w:r>
      <w:r>
        <w:rPr>
          <w:rFonts w:ascii="Book Antiqua" w:hAnsi="Book Antiqua" w:cs="Times New Roman" w:hint="eastAsia"/>
          <w:sz w:val="24"/>
          <w:szCs w:val="24"/>
        </w:rPr>
        <w:t>-</w:t>
      </w:r>
      <w:r>
        <w:rPr>
          <w:rFonts w:ascii="Book Antiqua" w:hAnsi="Book Antiqua" w:cs="Times New Roman"/>
          <w:sz w:val="24"/>
          <w:szCs w:val="24"/>
        </w:rPr>
        <w:t xml:space="preserve">0.923, </w:t>
      </w:r>
      <w:r>
        <w:rPr>
          <w:rFonts w:ascii="Book Antiqua" w:hAnsi="Book Antiqua" w:cs="Times New Roman"/>
          <w:i/>
          <w:iCs/>
          <w:sz w:val="24"/>
          <w:szCs w:val="24"/>
        </w:rPr>
        <w:t xml:space="preserve">P &lt; </w:t>
      </w:r>
      <w:r>
        <w:rPr>
          <w:rFonts w:ascii="Book Antiqua" w:hAnsi="Book Antiqua" w:cs="Times New Roman"/>
          <w:iCs/>
          <w:sz w:val="24"/>
          <w:szCs w:val="24"/>
        </w:rPr>
        <w:t>0.0001</w:t>
      </w:r>
      <w:r>
        <w:rPr>
          <w:rFonts w:ascii="Book Antiqua" w:hAnsi="Book Antiqua" w:cs="Times New Roman"/>
          <w:sz w:val="24"/>
          <w:szCs w:val="24"/>
        </w:rPr>
        <w:t xml:space="preserve">). At a cutoff value of 20.6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LSM further spared 16/41 (39.0%) of gastroscopies without missing HRVs. PLT, </w:t>
      </w:r>
      <w:proofErr w:type="spellStart"/>
      <w:r>
        <w:rPr>
          <w:rFonts w:ascii="Book Antiqua" w:hAnsi="Book Antiqua" w:cs="Times New Roman"/>
          <w:bCs/>
          <w:sz w:val="24"/>
          <w:szCs w:val="24"/>
        </w:rPr>
        <w:t>Lok</w:t>
      </w:r>
      <w:proofErr w:type="spellEnd"/>
      <w:r>
        <w:rPr>
          <w:rFonts w:ascii="Book Antiqua" w:hAnsi="Book Antiqua" w:cs="Times New Roman"/>
          <w:bCs/>
          <w:sz w:val="24"/>
          <w:szCs w:val="24"/>
        </w:rPr>
        <w:t xml:space="preserve"> index,</w:t>
      </w:r>
      <w:r>
        <w:rPr>
          <w:rFonts w:ascii="Book Antiqua" w:hAnsi="Book Antiqua" w:cs="Times New Roman"/>
          <w:sz w:val="24"/>
          <w:szCs w:val="24"/>
        </w:rPr>
        <w:t xml:space="preserve"> MELD score, APRI, FiB-4, and PLT had no predictive value for HRV.</w:t>
      </w:r>
    </w:p>
    <w:p w:rsidR="00AB3D4E" w:rsidRDefault="00AB3D4E">
      <w:pPr>
        <w:spacing w:line="360" w:lineRule="auto"/>
        <w:rPr>
          <w:rFonts w:ascii="Book Antiqua" w:hAnsi="Book Antiqua" w:cs="Times New Roman"/>
          <w:b/>
          <w:bCs/>
          <w:sz w:val="24"/>
          <w:szCs w:val="24"/>
        </w:rPr>
      </w:pPr>
    </w:p>
    <w:p w:rsidR="00AB3D4E" w:rsidRDefault="008F642A">
      <w:pPr>
        <w:spacing w:line="360" w:lineRule="auto"/>
        <w:rPr>
          <w:rFonts w:ascii="Book Antiqua" w:hAnsi="Book Antiqua" w:cs="Times New Roman"/>
          <w:b/>
          <w:bCs/>
          <w:i/>
          <w:sz w:val="24"/>
          <w:szCs w:val="24"/>
        </w:rPr>
      </w:pPr>
      <w:r>
        <w:rPr>
          <w:rFonts w:ascii="Book Antiqua" w:hAnsi="Book Antiqua" w:cs="Times New Roman"/>
          <w:b/>
          <w:bCs/>
          <w:i/>
          <w:sz w:val="24"/>
          <w:szCs w:val="24"/>
        </w:rPr>
        <w:t xml:space="preserve">LSM and serum markers of liver fibrosis for ruling out HRV in patients with ALT or </w:t>
      </w:r>
      <w:proofErr w:type="spellStart"/>
      <w:r>
        <w:rPr>
          <w:rFonts w:ascii="Book Antiqua" w:hAnsi="Book Antiqua" w:cs="Times New Roman"/>
          <w:b/>
          <w:bCs/>
          <w:i/>
          <w:sz w:val="24"/>
          <w:szCs w:val="24"/>
        </w:rPr>
        <w:t>TBil</w:t>
      </w:r>
      <w:proofErr w:type="spellEnd"/>
      <w:r>
        <w:rPr>
          <w:rFonts w:ascii="Book Antiqua" w:hAnsi="Book Antiqua" w:cs="Times New Roman"/>
          <w:b/>
          <w:bCs/>
          <w:i/>
          <w:sz w:val="24"/>
          <w:szCs w:val="24"/>
        </w:rPr>
        <w:t xml:space="preserve"> ≥ 2 ULN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lastRenderedPageBreak/>
        <w:t xml:space="preserve">Among the 91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the prevalence of HRV (13/91, 14.3%) was significantly lower than that among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(14/41, 34.1%, </w:t>
      </w:r>
      <w:r>
        <w:rPr>
          <w:rFonts w:ascii="Book Antiqua" w:hAnsi="Book Antiqua" w:cs="Times New Roman"/>
          <w:i/>
          <w:sz w:val="24"/>
          <w:szCs w:val="24"/>
        </w:rPr>
        <w:t xml:space="preserve">P </w:t>
      </w:r>
      <w:r>
        <w:rPr>
          <w:rFonts w:ascii="Book Antiqua" w:hAnsi="Book Antiqua" w:cs="Times New Roman"/>
          <w:sz w:val="24"/>
          <w:szCs w:val="24"/>
        </w:rPr>
        <w:t xml:space="preserve">&lt; 0.05). As shown in Table 5, only the AUROC of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for identifying HRV was &gt; 0.800. The AUROC of LSM was significantly reduced to 0.672, which was lower than those for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(0.814), PLT (0.741), and MELD score (0.735).</w:t>
      </w:r>
    </w:p>
    <w:p w:rsidR="00AB3D4E" w:rsidRDefault="008F642A">
      <w:pPr>
        <w:spacing w:line="360" w:lineRule="auto"/>
        <w:ind w:firstLineChars="100" w:firstLine="240"/>
        <w:rPr>
          <w:rFonts w:ascii="Book Antiqua" w:hAnsi="Book Antiqua" w:cs="Times New Roman"/>
          <w:b/>
          <w:bCs/>
          <w:sz w:val="24"/>
          <w:szCs w:val="24"/>
        </w:rPr>
      </w:pPr>
      <w:r>
        <w:rPr>
          <w:rFonts w:ascii="Book Antiqua" w:hAnsi="Book Antiqua" w:cs="Times New Roman"/>
          <w:bCs/>
          <w:sz w:val="24"/>
          <w:szCs w:val="24"/>
        </w:rPr>
        <w:t xml:space="preserve">Using a </w:t>
      </w:r>
      <w:proofErr w:type="spellStart"/>
      <w:r>
        <w:rPr>
          <w:rFonts w:ascii="Book Antiqua" w:hAnsi="Book Antiqua" w:cs="Times New Roman"/>
          <w:bCs/>
          <w:sz w:val="24"/>
          <w:szCs w:val="24"/>
        </w:rPr>
        <w:t>Lok</w:t>
      </w:r>
      <w:proofErr w:type="spellEnd"/>
      <w:r>
        <w:rPr>
          <w:rFonts w:ascii="Book Antiqua" w:hAnsi="Book Antiqua" w:cs="Times New Roman"/>
          <w:bCs/>
          <w:sz w:val="24"/>
          <w:szCs w:val="24"/>
        </w:rPr>
        <w:t xml:space="preserve"> index cutoff </w:t>
      </w:r>
      <w:r>
        <w:rPr>
          <w:rFonts w:ascii="Book Antiqua" w:hAnsi="Book Antiqua" w:cs="Times New Roman"/>
          <w:sz w:val="24"/>
          <w:szCs w:val="24"/>
        </w:rPr>
        <w:t>≤ 0.5596 could spare 36/91 (39.6%) of gastroscopies without missing HRVs. Using PLT &gt;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 xml:space="preserve">/L could spare 40/91 (43.9%) of gastroscopies without missing HRVs. An </w:t>
      </w:r>
      <w:r>
        <w:rPr>
          <w:rFonts w:ascii="Book Antiqua" w:hAnsi="Book Antiqua" w:cs="Times New Roman"/>
          <w:bCs/>
          <w:sz w:val="24"/>
          <w:szCs w:val="24"/>
        </w:rPr>
        <w:t xml:space="preserve">MELD score </w:t>
      </w:r>
      <w:r>
        <w:rPr>
          <w:rFonts w:ascii="Book Antiqua" w:hAnsi="Book Antiqua" w:cs="Times New Roman"/>
          <w:sz w:val="24"/>
          <w:szCs w:val="24"/>
        </w:rPr>
        <w:t xml:space="preserve">≤ 7 could only spare 10/91 (11.0%) of gastroscopies without missing HRVs. These results suggested that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and PLT performed satisfactorily in identifying patients without HRV among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w:t>
      </w:r>
    </w:p>
    <w:p w:rsidR="00AB3D4E" w:rsidRDefault="00AB3D4E">
      <w:pPr>
        <w:widowControl/>
        <w:autoSpaceDE/>
        <w:autoSpaceDN/>
        <w:adjustRightInd/>
        <w:spacing w:line="360" w:lineRule="auto"/>
        <w:rPr>
          <w:rFonts w:ascii="Book Antiqua" w:hAnsi="Book Antiqua"/>
          <w:b/>
          <w:sz w:val="24"/>
          <w:szCs w:val="24"/>
        </w:rPr>
      </w:pPr>
    </w:p>
    <w:p w:rsidR="00AB3D4E" w:rsidRDefault="008F642A">
      <w:pPr>
        <w:spacing w:line="360" w:lineRule="auto"/>
        <w:rPr>
          <w:rFonts w:ascii="Book Antiqua" w:hAnsi="Book Antiqua"/>
          <w:b/>
          <w:sz w:val="24"/>
          <w:szCs w:val="24"/>
        </w:rPr>
      </w:pPr>
      <w:r>
        <w:rPr>
          <w:rFonts w:ascii="Book Antiqua" w:hAnsi="Book Antiqua"/>
          <w:b/>
          <w:sz w:val="24"/>
          <w:szCs w:val="24"/>
        </w:rPr>
        <w:t>DISCUSSION</w:t>
      </w:r>
    </w:p>
    <w:p w:rsidR="00AB3D4E" w:rsidRDefault="008F642A">
      <w:pPr>
        <w:widowControl/>
        <w:spacing w:line="360" w:lineRule="auto"/>
        <w:rPr>
          <w:rFonts w:ascii="Book Antiqua" w:hAnsi="Book Antiqua" w:cs="Times New Roman"/>
          <w:sz w:val="24"/>
          <w:szCs w:val="24"/>
        </w:rPr>
      </w:pPr>
      <w:r>
        <w:rPr>
          <w:rFonts w:ascii="Book Antiqua" w:hAnsi="Book Antiqua" w:cs="Times New Roman"/>
          <w:sz w:val="24"/>
          <w:szCs w:val="24"/>
        </w:rPr>
        <w:t xml:space="preserve">Although many studies have validated the accuracy of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for ruling out HRV</w:t>
      </w:r>
      <w:r>
        <w:rPr>
          <w:rFonts w:ascii="Book Antiqua" w:hAnsi="Book Antiqua" w:cs="Times New Roman"/>
          <w:sz w:val="24"/>
          <w:szCs w:val="24"/>
          <w:vertAlign w:val="superscript"/>
        </w:rPr>
        <w:t>[9,21</w:t>
      </w:r>
      <w:r>
        <w:rPr>
          <w:rFonts w:ascii="Book Antiqua" w:hAnsi="Book Antiqua" w:cs="Times New Roman" w:hint="eastAsia"/>
          <w:sz w:val="24"/>
          <w:szCs w:val="24"/>
          <w:vertAlign w:val="superscript"/>
        </w:rPr>
        <w:t>-</w:t>
      </w:r>
      <w:r>
        <w:rPr>
          <w:rFonts w:ascii="Book Antiqua" w:hAnsi="Book Antiqua" w:cs="Times New Roman"/>
          <w:sz w:val="24"/>
          <w:szCs w:val="24"/>
          <w:vertAlign w:val="superscript"/>
        </w:rPr>
        <w:t>23]</w:t>
      </w:r>
      <w:r>
        <w:rPr>
          <w:rFonts w:ascii="Book Antiqua" w:hAnsi="Book Antiqua" w:cs="Times New Roman"/>
          <w:sz w:val="24"/>
          <w:szCs w:val="24"/>
        </w:rPr>
        <w:t xml:space="preserve">, studies have also found that the criteria are </w:t>
      </w:r>
      <w:hyperlink r:id="rId14" w:anchor="conservative" w:tgtFrame="_blank" w:history="1">
        <w:r>
          <w:rPr>
            <w:rFonts w:ascii="Book Antiqua" w:hAnsi="Book Antiqua" w:cs="Times New Roman"/>
            <w:sz w:val="24"/>
            <w:szCs w:val="24"/>
          </w:rPr>
          <w:t>conservative</w:t>
        </w:r>
      </w:hyperlink>
      <w:r>
        <w:rPr>
          <w:rFonts w:ascii="Book Antiqua" w:hAnsi="Book Antiqua" w:cs="Times New Roman"/>
          <w:sz w:val="24"/>
          <w:szCs w:val="24"/>
        </w:rPr>
        <w:t xml:space="preserve"> and need to be refined to accurately identify more patients without HRV</w:t>
      </w:r>
      <w:r>
        <w:rPr>
          <w:rFonts w:ascii="Book Antiqua" w:hAnsi="Book Antiqua" w:cs="Times New Roman"/>
          <w:sz w:val="24"/>
          <w:szCs w:val="24"/>
          <w:vertAlign w:val="superscript"/>
        </w:rPr>
        <w:t>[10,24,25]</w:t>
      </w:r>
      <w:r>
        <w:rPr>
          <w:rFonts w:ascii="Book Antiqua" w:hAnsi="Book Antiqua" w:cs="Times New Roman"/>
          <w:sz w:val="24"/>
          <w:szCs w:val="24"/>
        </w:rPr>
        <w:t>.</w:t>
      </w:r>
      <w:r>
        <w:rPr>
          <w:rFonts w:ascii="Book Antiqua" w:hAnsi="Book Antiqua" w:cs="Times New Roman"/>
          <w:sz w:val="24"/>
          <w:szCs w:val="24"/>
          <w:vertAlign w:val="superscript"/>
        </w:rPr>
        <w:t xml:space="preserve"> </w:t>
      </w:r>
      <w:r>
        <w:rPr>
          <w:rFonts w:ascii="Book Antiqua" w:hAnsi="Book Antiqua" w:cs="Times New Roman"/>
          <w:sz w:val="24"/>
          <w:szCs w:val="24"/>
        </w:rPr>
        <w:t xml:space="preserve">In this study, we focused on patients with HBV-related compensated liver cirrhosis who did not meet 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because the prevalence of HRV is relatively high in this population and the possible HRV risk factors may be different from those for patients who fulfill 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w:t>
      </w:r>
      <w:proofErr w:type="gramStart"/>
      <w:r>
        <w:rPr>
          <w:rFonts w:ascii="Book Antiqua" w:hAnsi="Book Antiqua" w:cs="Times New Roman"/>
          <w:sz w:val="24"/>
          <w:szCs w:val="24"/>
        </w:rPr>
        <w:t>criteria</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3,26]</w:t>
      </w:r>
      <w:r>
        <w:rPr>
          <w:rFonts w:ascii="Book Antiqua" w:hAnsi="Book Antiqua" w:cs="Times New Roman"/>
          <w:sz w:val="24"/>
          <w:szCs w:val="24"/>
        </w:rPr>
        <w:t xml:space="preserve">. We found that only 20.5% of the patients had HRV. Moreover, among the 91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only 14.3% had HRV. Thus, our results demonstrated that many unnecessary gastroscopies are conducted in patients with HBV-related compensated liver cirrhosis despite excluding patients at low risk for EV using 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especially among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w:t>
      </w:r>
    </w:p>
    <w:p w:rsidR="00AB3D4E" w:rsidRDefault="008F642A">
      <w:pPr>
        <w:widowControl/>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Although LSM was still one of the independent factors associated with HRV, it only had an AUROC of 0.637 for predicting HRV among patients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This result indicated that LSM was not a good predictor of HRV in the overall cohort of patients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8F642A">
      <w:pPr>
        <w:widowControl/>
        <w:spacing w:line="360" w:lineRule="auto"/>
        <w:ind w:firstLineChars="100" w:firstLine="240"/>
        <w:rPr>
          <w:rFonts w:ascii="Book Antiqua" w:hAnsi="Book Antiqua" w:cs="Times New Roman"/>
          <w:sz w:val="24"/>
          <w:szCs w:val="24"/>
        </w:rPr>
      </w:pPr>
      <w:r>
        <w:rPr>
          <w:rFonts w:ascii="Book Antiqua" w:hAnsi="Book Antiqua" w:cs="Times New Roman"/>
          <w:sz w:val="24"/>
          <w:szCs w:val="24"/>
        </w:rPr>
        <w:lastRenderedPageBreak/>
        <w:t xml:space="preserve">We also found that ALT was independently negatively associated with HRV, because most patients in our study had concomitant liver inflammation. Previous studies showed that LSM can be elevated by liver inflammation and </w:t>
      </w:r>
      <w:proofErr w:type="gramStart"/>
      <w:r>
        <w:rPr>
          <w:rFonts w:ascii="Book Antiqua" w:hAnsi="Book Antiqua" w:cs="Times New Roman"/>
          <w:sz w:val="24"/>
          <w:szCs w:val="24"/>
        </w:rPr>
        <w:t>cholestasis</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27,28]</w:t>
      </w:r>
      <w:r>
        <w:rPr>
          <w:rFonts w:ascii="Book Antiqua" w:hAnsi="Book Antiqua" w:cs="Times New Roman"/>
          <w:sz w:val="24"/>
          <w:szCs w:val="24"/>
        </w:rPr>
        <w:t xml:space="preserve">. Our results suggested that concomitant liver inflammation might be an important factor that interfered with the predictive accuracy of LSM in patients with HBV-related compensated liver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8F642A">
      <w:pPr>
        <w:widowControl/>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It was previously unknown whether adjusting the LSM cutoff value according to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could improve its utility for predicting HRV among patients with compensated liver cirrhosis and obvious liver inflammation. We found that LSM could accurately identify patients with HRV in those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By slightly increasing the LSM cutoff to 20.6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LSM further spared 16/41 (39.0%) of gastroscopies without missing HRVs. PLT, </w:t>
      </w:r>
      <w:proofErr w:type="spellStart"/>
      <w:r>
        <w:rPr>
          <w:rFonts w:ascii="Book Antiqua" w:hAnsi="Book Antiqua" w:cs="Times New Roman"/>
          <w:bCs/>
          <w:sz w:val="24"/>
          <w:szCs w:val="24"/>
        </w:rPr>
        <w:t>Lok</w:t>
      </w:r>
      <w:proofErr w:type="spellEnd"/>
      <w:r>
        <w:rPr>
          <w:rFonts w:ascii="Book Antiqua" w:hAnsi="Book Antiqua" w:cs="Times New Roman"/>
          <w:bCs/>
          <w:sz w:val="24"/>
          <w:szCs w:val="24"/>
        </w:rPr>
        <w:t xml:space="preserve"> index,</w:t>
      </w:r>
      <w:r>
        <w:rPr>
          <w:rFonts w:ascii="Book Antiqua" w:hAnsi="Book Antiqua" w:cs="Times New Roman"/>
          <w:sz w:val="24"/>
          <w:szCs w:val="24"/>
        </w:rPr>
        <w:t xml:space="preserve"> MELD score, APRI, FiB-4, and PLT had no value for predicting HRV. However, in the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LSM had no HRV predictive value.</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Previous studies have found that serum markers of liver fibrosis have moderate value for predicting liver cirrhosis in patients with HBV </w:t>
      </w:r>
      <w:proofErr w:type="gramStart"/>
      <w:r>
        <w:rPr>
          <w:rFonts w:ascii="Book Antiqua" w:hAnsi="Book Antiqua" w:cs="Times New Roman"/>
          <w:sz w:val="24"/>
          <w:szCs w:val="24"/>
        </w:rPr>
        <w:t>infection</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29,30]</w:t>
      </w:r>
      <w:r>
        <w:rPr>
          <w:rFonts w:ascii="Book Antiqua" w:hAnsi="Book Antiqua" w:cs="Times New Roman"/>
          <w:sz w:val="24"/>
          <w:szCs w:val="24"/>
        </w:rPr>
        <w:t xml:space="preserve">. However, there is </w:t>
      </w:r>
      <w:r>
        <w:rPr>
          <w:rFonts w:ascii="Book Antiqua" w:hAnsi="Book Antiqua" w:cs="Arial"/>
          <w:bCs/>
          <w:sz w:val="24"/>
          <w:szCs w:val="24"/>
        </w:rPr>
        <w:t>disagreement</w:t>
      </w:r>
      <w:r>
        <w:rPr>
          <w:rFonts w:ascii="Book Antiqua" w:hAnsi="Book Antiqua" w:cs="Times New Roman"/>
          <w:sz w:val="24"/>
          <w:szCs w:val="24"/>
        </w:rPr>
        <w:t xml:space="preserve"> on the performance of serum markers of liver fibrosis in EV or HRV </w:t>
      </w:r>
      <w:proofErr w:type="gramStart"/>
      <w:r>
        <w:rPr>
          <w:rFonts w:ascii="Book Antiqua" w:hAnsi="Book Antiqua" w:cs="Times New Roman"/>
          <w:sz w:val="24"/>
          <w:szCs w:val="24"/>
        </w:rPr>
        <w:t>prediction</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8,19,31]</w:t>
      </w:r>
      <w:r>
        <w:rPr>
          <w:rFonts w:ascii="Book Antiqua" w:hAnsi="Book Antiqua" w:cs="Times New Roman"/>
          <w:sz w:val="24"/>
          <w:szCs w:val="24"/>
        </w:rPr>
        <w:t xml:space="preserve">. In this study, we found that APRI and FIB-4 could not predict HRV. We also found that PLT and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performed better in predicting HRV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compared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As previous studies found that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could better predict liver fibrosis in patients with a slightly higher ALT level compared with a normal ALT level</w:t>
      </w:r>
      <w:r>
        <w:rPr>
          <w:rFonts w:ascii="Book Antiqua" w:hAnsi="Book Antiqua" w:cs="Times New Roman"/>
          <w:sz w:val="24"/>
          <w:szCs w:val="24"/>
          <w:vertAlign w:val="superscript"/>
        </w:rPr>
        <w:t>[16,32]</w:t>
      </w:r>
      <w:r>
        <w:rPr>
          <w:rFonts w:ascii="Book Antiqua" w:hAnsi="Book Antiqua" w:cs="Times New Roman"/>
          <w:sz w:val="24"/>
          <w:szCs w:val="24"/>
        </w:rPr>
        <w:t xml:space="preserve">, it is reasonable that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performed better in predicting HRV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However, it is difficult to explain the different performances of PLT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w:t>
      </w:r>
      <w:r>
        <w:rPr>
          <w:rFonts w:ascii="Book Antiqua" w:hAnsi="Book Antiqua" w:cs="Times New Roman"/>
          <w:i/>
          <w:iCs/>
          <w:sz w:val="24"/>
          <w:szCs w:val="24"/>
        </w:rPr>
        <w:t>vs</w:t>
      </w:r>
      <w:r>
        <w:rPr>
          <w:rFonts w:ascii="Book Antiqua" w:hAnsi="Book Antiqua" w:cs="Times New Roman"/>
          <w:sz w:val="24"/>
          <w:szCs w:val="24"/>
        </w:rPr>
        <w:t xml:space="preserve"> &lt; 2 ULN. The different prevalence rates of HRV in these two groups may be a possible explanation, as the prevalence in the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(34.1%) was significantly higher compared to that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(14.3%). Indeed, previous studies reported that the utility of serum markers of liver fibrosis in predicting EV or HRV is greatly affected by the </w:t>
      </w:r>
      <w:proofErr w:type="gramStart"/>
      <w:r>
        <w:rPr>
          <w:rFonts w:ascii="Book Antiqua" w:hAnsi="Book Antiqua" w:cs="Times New Roman"/>
          <w:sz w:val="24"/>
          <w:szCs w:val="24"/>
        </w:rPr>
        <w:t>prevalence</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29,33,34]</w:t>
      </w:r>
      <w:r>
        <w:rPr>
          <w:rFonts w:ascii="Book Antiqua" w:hAnsi="Book Antiqua" w:cs="Times New Roman"/>
          <w:sz w:val="24"/>
          <w:szCs w:val="24"/>
        </w:rPr>
        <w:t xml:space="preserve">. Because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had </w:t>
      </w:r>
      <w:r>
        <w:rPr>
          <w:rFonts w:ascii="Book Antiqua" w:hAnsi="Book Antiqua" w:cs="Times New Roman"/>
          <w:sz w:val="24"/>
          <w:szCs w:val="24"/>
        </w:rPr>
        <w:lastRenderedPageBreak/>
        <w:t>obvious liver inflammation, which could elevate LSM</w:t>
      </w:r>
      <w:proofErr w:type="gramStart"/>
      <w:r>
        <w:rPr>
          <w:rFonts w:ascii="Book Antiqua" w:hAnsi="Book Antiqua" w:cs="Times New Roman"/>
          <w:sz w:val="24"/>
          <w:szCs w:val="24"/>
        </w:rPr>
        <w:t>,  they</w:t>
      </w:r>
      <w:proofErr w:type="gramEnd"/>
      <w:r>
        <w:rPr>
          <w:rFonts w:ascii="Book Antiqua" w:hAnsi="Book Antiqua" w:cs="Times New Roman"/>
          <w:sz w:val="24"/>
          <w:szCs w:val="24"/>
        </w:rPr>
        <w:t xml:space="preserve"> were difficult to fulfill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w:t>
      </w:r>
      <w:r>
        <w:rPr>
          <w:rFonts w:ascii="Book Antiqua" w:eastAsia="微软雅黑" w:hAnsi="Book Antiqua"/>
          <w:sz w:val="24"/>
          <w:szCs w:val="24"/>
        </w:rPr>
        <w:t xml:space="preserve">and as a result, the </w:t>
      </w:r>
      <w:r>
        <w:rPr>
          <w:rFonts w:ascii="Book Antiqua" w:hAnsi="Book Antiqua" w:cs="Times New Roman"/>
          <w:sz w:val="24"/>
          <w:szCs w:val="24"/>
        </w:rPr>
        <w:t xml:space="preserve">prevalence rate of HRV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was lower than that in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kern w:val="0"/>
          <w:sz w:val="24"/>
          <w:szCs w:val="24"/>
        </w:rPr>
        <w:t xml:space="preserve">Our study had several limitations. First, it was a two-center, retrospective study based on LSM assessed and gastroscopies performed by different operators, although all were experienced. Second, because we only included the </w:t>
      </w:r>
      <w:r>
        <w:rPr>
          <w:rFonts w:ascii="Book Antiqua" w:hAnsi="Book Antiqua" w:cs="Times New Roman"/>
          <w:sz w:val="24"/>
          <w:szCs w:val="24"/>
        </w:rPr>
        <w:t xml:space="preserve">patients with HBV-related compensated liver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number of patients in this study was small, and </w:t>
      </w:r>
      <w:r>
        <w:rPr>
          <w:rFonts w:ascii="Book Antiqua" w:hAnsi="Book Antiqua" w:cs="Times New Roman"/>
          <w:kern w:val="0"/>
          <w:sz w:val="24"/>
          <w:szCs w:val="24"/>
        </w:rPr>
        <w:t>the cutoff values were not tested in a validation cohort. Further studies are required to verify our findings.</w:t>
      </w:r>
      <w:r>
        <w:rPr>
          <w:rFonts w:ascii="Book Antiqua" w:hAnsi="Book Antiqua" w:cs="Times New Roman"/>
          <w:sz w:val="24"/>
          <w:szCs w:val="24"/>
        </w:rPr>
        <w:t xml:space="preserve"> </w:t>
      </w:r>
    </w:p>
    <w:p w:rsidR="00AB3D4E" w:rsidRDefault="008F642A">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In conclusion, our study found that in patients with HBV-related compensated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using the cutoff value of LSM, PLT, or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hyperlink r:id="rId15"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accurately identified more patients without HRV. An</w:t>
      </w:r>
      <w:r>
        <w:rPr>
          <w:rFonts w:ascii="Book Antiqua" w:hAnsi="Book Antiqua" w:cs="Times New Roman"/>
          <w:kern w:val="0"/>
          <w:sz w:val="24"/>
          <w:szCs w:val="24"/>
        </w:rPr>
        <w:t xml:space="preserve"> a</w:t>
      </w:r>
      <w:r>
        <w:rPr>
          <w:rFonts w:ascii="Book Antiqua" w:eastAsia="AdvGulliv-R" w:hAnsi="Book Antiqua" w:cs="Times New Roman"/>
          <w:kern w:val="0"/>
          <w:sz w:val="24"/>
          <w:szCs w:val="24"/>
        </w:rPr>
        <w:t xml:space="preserve">lgorithm-based screening process for HRV in patients with </w:t>
      </w:r>
      <w:r>
        <w:rPr>
          <w:rFonts w:ascii="Book Antiqua" w:hAnsi="Book Antiqua" w:cs="Times New Roman"/>
          <w:sz w:val="24"/>
          <w:szCs w:val="24"/>
        </w:rPr>
        <w:t>HBV-related compensated liver cirrhosis is shown in Figure 1</w:t>
      </w:r>
      <w:r>
        <w:rPr>
          <w:rFonts w:ascii="Book Antiqua" w:eastAsia="AdvGulliv-R" w:hAnsi="Book Antiqua" w:cs="Times New Roman"/>
          <w:kern w:val="0"/>
          <w:sz w:val="24"/>
          <w:szCs w:val="24"/>
        </w:rPr>
        <w:t>.</w:t>
      </w:r>
    </w:p>
    <w:p w:rsidR="00AB3D4E" w:rsidRDefault="00AB3D4E">
      <w:pPr>
        <w:widowControl/>
        <w:autoSpaceDE/>
        <w:autoSpaceDN/>
        <w:adjustRightInd/>
        <w:spacing w:line="360" w:lineRule="auto"/>
        <w:rPr>
          <w:rFonts w:ascii="Book Antiqua" w:hAnsi="Book Antiqua" w:cs="Times New Roman"/>
          <w:kern w:val="0"/>
          <w:sz w:val="24"/>
          <w:szCs w:val="24"/>
        </w:rPr>
      </w:pPr>
    </w:p>
    <w:p w:rsidR="00AB3D4E" w:rsidRDefault="008F642A">
      <w:pPr>
        <w:snapToGrid w:val="0"/>
        <w:spacing w:line="360" w:lineRule="auto"/>
        <w:rPr>
          <w:rFonts w:ascii="Book Antiqua" w:hAnsi="Book Antiqua" w:cs="Garamond-Bold"/>
          <w:b/>
          <w:bCs/>
          <w:sz w:val="24"/>
          <w:szCs w:val="24"/>
        </w:rPr>
      </w:pPr>
      <w:bookmarkStart w:id="36" w:name="OLE_LINK83"/>
      <w:bookmarkStart w:id="37" w:name="_Hlk5627588"/>
      <w:bookmarkStart w:id="38" w:name="OLE_LINK899"/>
      <w:r>
        <w:rPr>
          <w:rFonts w:ascii="Book Antiqua" w:hAnsi="Book Antiqua" w:cs="Garamond-Bold"/>
          <w:b/>
          <w:bCs/>
          <w:sz w:val="24"/>
          <w:szCs w:val="24"/>
        </w:rPr>
        <w:t xml:space="preserve">ARTICLE HIGHLIGHTS </w:t>
      </w:r>
      <w:bookmarkEnd w:id="36"/>
    </w:p>
    <w:bookmarkEnd w:id="37"/>
    <w:bookmarkEnd w:id="38"/>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background</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The 2015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consensus workshop recommended that patients with liver stiffness measurement (LSM) &lt; 20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and platelet (PLT) count &gt;150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could safely avoid gastroscopy screening.</w:t>
      </w:r>
      <w:r>
        <w:rPr>
          <w:rFonts w:ascii="Book Antiqua" w:hAnsi="Book Antiqua" w:cs="Times New Roman"/>
          <w:sz w:val="24"/>
          <w:szCs w:val="24"/>
          <w:vertAlign w:val="superscript"/>
        </w:rPr>
        <w:t xml:space="preserve"> </w:t>
      </w:r>
      <w:r>
        <w:rPr>
          <w:rFonts w:ascii="Book Antiqua" w:hAnsi="Book Antiqua" w:cs="Times New Roman"/>
          <w:sz w:val="24"/>
          <w:szCs w:val="24"/>
        </w:rPr>
        <w:t xml:space="preserve"> However, studies have also found that such criteria are </w:t>
      </w:r>
      <w:hyperlink r:id="rId16" w:anchor="conservative" w:tgtFrame="_blank" w:history="1">
        <w:r>
          <w:rPr>
            <w:rFonts w:ascii="Book Antiqua" w:hAnsi="Book Antiqua" w:cs="Times New Roman"/>
            <w:sz w:val="24"/>
            <w:szCs w:val="24"/>
          </w:rPr>
          <w:t>conservative</w:t>
        </w:r>
      </w:hyperlink>
      <w:r>
        <w:rPr>
          <w:rFonts w:ascii="Book Antiqua" w:hAnsi="Book Antiqua" w:cs="Times New Roman"/>
          <w:sz w:val="24"/>
          <w:szCs w:val="24"/>
        </w:rPr>
        <w:t xml:space="preserve"> and need to be refined to accurately identify more patients without high-risk varices (HRV).</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motivation</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It is recommended that the interpretation of LSM is based on the levels of alanine transaminase (ALT) and total bilirubin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but it remains unknown whether the LSM, PLT and serum markers of liver fibrosis </w:t>
      </w:r>
      <w:hyperlink r:id="rId17"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can identify more patients without HRV among those who do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p>
    <w:p w:rsidR="00AB3D4E" w:rsidRDefault="00AB3D4E">
      <w:pPr>
        <w:spacing w:line="360" w:lineRule="auto"/>
        <w:rPr>
          <w:rFonts w:ascii="Book Antiqua" w:hAnsi="Book Antiqua" w:cs="Times New Roman"/>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lastRenderedPageBreak/>
        <w:t>Research objectives</w:t>
      </w:r>
      <w:r>
        <w:rPr>
          <w:rFonts w:ascii="Book Antiqua" w:hAnsi="Book Antiqua" w:cs="Arial"/>
          <w:sz w:val="24"/>
          <w:szCs w:val="24"/>
        </w:rPr>
        <w:t xml:space="preserve"> </w:t>
      </w:r>
    </w:p>
    <w:p w:rsidR="00AB3D4E" w:rsidRDefault="008F642A">
      <w:pPr>
        <w:spacing w:line="360" w:lineRule="auto"/>
        <w:rPr>
          <w:rFonts w:ascii="Book Antiqua" w:hAnsi="Book Antiqua" w:cs="Arial"/>
          <w:sz w:val="24"/>
          <w:szCs w:val="24"/>
        </w:rPr>
      </w:pPr>
      <w:r>
        <w:rPr>
          <w:rFonts w:ascii="Book Antiqua" w:hAnsi="Book Antiqua" w:cs="Times New Roman"/>
          <w:sz w:val="24"/>
          <w:szCs w:val="24"/>
        </w:rPr>
        <w:t xml:space="preserve">To evaluate the utility of LSM and serum markers of liver fibrosis in ruling out high-risk varices (HRV) in patients who do not meet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w:t>
      </w:r>
      <w:r>
        <w:rPr>
          <w:rFonts w:ascii="Book Antiqua" w:hAnsi="Book Antiqua" w:cs="Arial"/>
          <w:sz w:val="24"/>
          <w:szCs w:val="24"/>
        </w:rPr>
        <w:t xml:space="preserve"> </w:t>
      </w:r>
    </w:p>
    <w:p w:rsidR="00AB3D4E" w:rsidRDefault="00AB3D4E">
      <w:pPr>
        <w:spacing w:line="360" w:lineRule="auto"/>
        <w:rPr>
          <w:rFonts w:ascii="Book Antiqua" w:hAnsi="Book Antiqua" w:cs="Arial"/>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methods</w:t>
      </w:r>
    </w:p>
    <w:p w:rsidR="00AB3D4E" w:rsidRDefault="008F642A">
      <w:pPr>
        <w:spacing w:line="360" w:lineRule="auto"/>
        <w:rPr>
          <w:rFonts w:ascii="Book Antiqua" w:hAnsi="Book Antiqua" w:cs="Arial"/>
          <w:sz w:val="24"/>
          <w:szCs w:val="24"/>
        </w:rPr>
      </w:pPr>
      <w:r>
        <w:rPr>
          <w:rFonts w:ascii="Book Antiqua" w:hAnsi="Book Antiqua" w:cs="Times New Roman"/>
          <w:sz w:val="24"/>
          <w:szCs w:val="24"/>
        </w:rPr>
        <w:t>Data from</w:t>
      </w:r>
      <w:r>
        <w:rPr>
          <w:rFonts w:ascii="Book Antiqua" w:hAnsi="Book Antiqua" w:cs="Times New Roman"/>
          <w:b/>
          <w:sz w:val="24"/>
          <w:szCs w:val="24"/>
        </w:rPr>
        <w:t xml:space="preserve"> </w:t>
      </w:r>
      <w:r>
        <w:rPr>
          <w:rFonts w:ascii="Book Antiqua" w:hAnsi="Book Antiqua" w:cs="Times New Roman"/>
          <w:sz w:val="24"/>
          <w:szCs w:val="24"/>
        </w:rPr>
        <w:t xml:space="preserve">132 patients with hepatitis B virus (HBV)-related compensated liver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were retrospectively reviewed. The accuracy of LSM, PLT count, aspartate aminotransferase (AST)-to-PLT ratio index, Fibrosis-4, and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in predicting HRV was evaluated. The utility of LSM, PLT, and serum markers of liver fibrosis </w:t>
      </w:r>
      <w:hyperlink r:id="rId18"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was evaluated for ruling out HRV.</w:t>
      </w:r>
      <w:r>
        <w:rPr>
          <w:rFonts w:ascii="Book Antiqua" w:hAnsi="Book Antiqua" w:cs="Arial"/>
          <w:sz w:val="24"/>
          <w:szCs w:val="24"/>
        </w:rPr>
        <w:t xml:space="preserve"> </w:t>
      </w:r>
    </w:p>
    <w:p w:rsidR="00AB3D4E" w:rsidRDefault="00AB3D4E">
      <w:pPr>
        <w:spacing w:line="360" w:lineRule="auto"/>
        <w:rPr>
          <w:rFonts w:ascii="Book Antiqua" w:hAnsi="Book Antiqua" w:cs="Arial"/>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results</w:t>
      </w:r>
    </w:p>
    <w:p w:rsidR="00AB3D4E" w:rsidRDefault="008F642A">
      <w:pPr>
        <w:spacing w:line="360" w:lineRule="auto"/>
        <w:rPr>
          <w:rFonts w:ascii="Book Antiqua" w:hAnsi="Book Antiqua" w:cs="Arial"/>
          <w:sz w:val="24"/>
          <w:szCs w:val="24"/>
        </w:rPr>
      </w:pPr>
      <w:r>
        <w:rPr>
          <w:rFonts w:ascii="Book Antiqua" w:hAnsi="Book Antiqua" w:cs="Times New Roman"/>
          <w:sz w:val="24"/>
          <w:szCs w:val="24"/>
        </w:rPr>
        <w:t xml:space="preserve">The prevalence of HRV was significantly lower in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upper limit of normal (ULN) (14.3%) than in patients with both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(34.1%) (</w:t>
      </w:r>
      <w:r>
        <w:rPr>
          <w:rFonts w:ascii="Book Antiqua" w:hAnsi="Book Antiqua" w:cs="Times New Roman"/>
          <w:i/>
          <w:sz w:val="24"/>
          <w:szCs w:val="24"/>
        </w:rPr>
        <w:t xml:space="preserve">P </w:t>
      </w:r>
      <w:r>
        <w:rPr>
          <w:rFonts w:ascii="Book Antiqua" w:hAnsi="Book Antiqua" w:cs="Times New Roman"/>
          <w:sz w:val="24"/>
          <w:szCs w:val="24"/>
        </w:rPr>
        <w:t xml:space="preserve">= 0.018). In the 41 patients with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&lt; 2 ULN, LSM &lt; 20.6 </w:t>
      </w:r>
      <w:proofErr w:type="spellStart"/>
      <w:r>
        <w:rPr>
          <w:rFonts w:ascii="Book Antiqua" w:hAnsi="Book Antiqua" w:cs="Times New Roman"/>
          <w:sz w:val="24"/>
          <w:szCs w:val="24"/>
        </w:rPr>
        <w:t>kPa</w:t>
      </w:r>
      <w:proofErr w:type="spellEnd"/>
      <w:r>
        <w:rPr>
          <w:rFonts w:ascii="Book Antiqua" w:hAnsi="Book Antiqua" w:cs="Times New Roman"/>
          <w:sz w:val="24"/>
          <w:szCs w:val="24"/>
        </w:rPr>
        <w:t xml:space="preserve"> spared 39.0% of gastroscopies without missing HRVs. In the 91 patients with ALT or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 2 ULN,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 0.5596 or PLT &gt; 100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10</w:t>
      </w:r>
      <w:r>
        <w:rPr>
          <w:rFonts w:ascii="Book Antiqua" w:hAnsi="Book Antiqua" w:cs="Times New Roman"/>
          <w:sz w:val="24"/>
          <w:szCs w:val="24"/>
          <w:vertAlign w:val="superscript"/>
        </w:rPr>
        <w:t>9</w:t>
      </w:r>
      <w:r>
        <w:rPr>
          <w:rFonts w:ascii="Book Antiqua" w:hAnsi="Book Antiqua" w:cs="Times New Roman"/>
          <w:sz w:val="24"/>
          <w:szCs w:val="24"/>
        </w:rPr>
        <w:t>/L further spared 39.6% and 43.9% of gastroscopies, respectively, without missing HRVs.</w:t>
      </w:r>
      <w:r>
        <w:rPr>
          <w:rFonts w:ascii="Book Antiqua" w:hAnsi="Book Antiqua" w:cs="Arial"/>
          <w:sz w:val="24"/>
          <w:szCs w:val="24"/>
        </w:rPr>
        <w:t xml:space="preserve"> </w:t>
      </w:r>
    </w:p>
    <w:p w:rsidR="00AB3D4E" w:rsidRDefault="00AB3D4E">
      <w:pPr>
        <w:spacing w:line="360" w:lineRule="auto"/>
        <w:rPr>
          <w:rFonts w:ascii="Book Antiqua" w:hAnsi="Book Antiqua" w:cs="Arial"/>
          <w:sz w:val="24"/>
          <w:szCs w:val="24"/>
        </w:rPr>
      </w:pPr>
    </w:p>
    <w:p w:rsidR="00AB3D4E" w:rsidRDefault="008F642A">
      <w:pPr>
        <w:spacing w:line="360" w:lineRule="auto"/>
        <w:rPr>
          <w:rFonts w:ascii="Book Antiqua" w:hAnsi="Book Antiqua" w:cs="Arial"/>
          <w:sz w:val="24"/>
          <w:szCs w:val="24"/>
        </w:rPr>
      </w:pPr>
      <w:r>
        <w:rPr>
          <w:rFonts w:ascii="Book Antiqua" w:hAnsi="Book Antiqua" w:cs="Arial"/>
          <w:b/>
          <w:i/>
          <w:sz w:val="24"/>
          <w:szCs w:val="24"/>
        </w:rPr>
        <w:t>Research conclusions</w:t>
      </w:r>
    </w:p>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In HBV-related compensated cirrhosis patients who do not meet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the LSM, PLT, or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cutoff </w:t>
      </w:r>
      <w:hyperlink r:id="rId19"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accurately identified more patients without HRV.</w:t>
      </w:r>
    </w:p>
    <w:p w:rsidR="00AB3D4E" w:rsidRDefault="00AB3D4E">
      <w:pPr>
        <w:spacing w:line="360" w:lineRule="auto"/>
        <w:rPr>
          <w:rFonts w:ascii="Book Antiqua" w:hAnsi="Book Antiqua" w:cs="Times New Roman"/>
          <w:sz w:val="24"/>
          <w:szCs w:val="24"/>
        </w:rPr>
      </w:pPr>
    </w:p>
    <w:p w:rsidR="00AB3D4E" w:rsidRDefault="008F642A">
      <w:pPr>
        <w:snapToGrid w:val="0"/>
        <w:spacing w:line="360" w:lineRule="auto"/>
        <w:rPr>
          <w:rFonts w:ascii="Book Antiqua" w:hAnsi="Book Antiqua"/>
          <w:b/>
          <w:i/>
          <w:color w:val="000000"/>
          <w:sz w:val="24"/>
          <w:szCs w:val="24"/>
        </w:rPr>
      </w:pPr>
      <w:r>
        <w:rPr>
          <w:rFonts w:ascii="Book Antiqua" w:hAnsi="Book Antiqua"/>
          <w:b/>
          <w:i/>
          <w:color w:val="000000"/>
          <w:sz w:val="24"/>
          <w:szCs w:val="24"/>
        </w:rPr>
        <w:t>Research perspectives</w:t>
      </w:r>
    </w:p>
    <w:p w:rsidR="00AB3D4E" w:rsidRDefault="008F642A">
      <w:pPr>
        <w:spacing w:line="360" w:lineRule="auto"/>
        <w:rPr>
          <w:rFonts w:ascii="Book Antiqua" w:hAnsi="Book Antiqua" w:cs="Times New Roman"/>
          <w:kern w:val="0"/>
          <w:sz w:val="24"/>
          <w:szCs w:val="24"/>
        </w:rPr>
      </w:pPr>
      <w:r>
        <w:rPr>
          <w:rFonts w:ascii="Book Antiqua" w:hAnsi="Book Antiqua" w:cs="Times New Roman"/>
          <w:sz w:val="24"/>
          <w:szCs w:val="24"/>
        </w:rPr>
        <w:t xml:space="preserve">Our study found that in patients with HBV-related compensated cirrhosis who did not meet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using the cutoff value of LSM, PLT or the </w:t>
      </w: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 </w:t>
      </w:r>
      <w:hyperlink r:id="rId20" w:anchor="stratified" w:tgtFrame="_blank" w:history="1">
        <w:r>
          <w:rPr>
            <w:rFonts w:ascii="Book Antiqua" w:hAnsi="Book Antiqua" w:cs="Times New Roman"/>
            <w:sz w:val="24"/>
            <w:szCs w:val="24"/>
          </w:rPr>
          <w:t>stratified</w:t>
        </w:r>
      </w:hyperlink>
      <w:r>
        <w:rPr>
          <w:rFonts w:ascii="Book Antiqua" w:hAnsi="Book Antiqua" w:cs="Times New Roman"/>
          <w:sz w:val="24"/>
          <w:szCs w:val="24"/>
        </w:rPr>
        <w:t xml:space="preserve"> by ALT and </w:t>
      </w: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levels accurately identified more patients without HRV.</w:t>
      </w:r>
    </w:p>
    <w:p w:rsidR="00AB3D4E" w:rsidRDefault="008F642A">
      <w:pPr>
        <w:widowControl/>
        <w:autoSpaceDE/>
        <w:autoSpaceDN/>
        <w:adjustRightInd/>
        <w:spacing w:line="360" w:lineRule="auto"/>
        <w:rPr>
          <w:rFonts w:ascii="Book Antiqua" w:hAnsi="Book Antiqua"/>
          <w:b/>
          <w:sz w:val="24"/>
          <w:szCs w:val="24"/>
        </w:rPr>
      </w:pPr>
      <w:r>
        <w:rPr>
          <w:rFonts w:ascii="Book Antiqua" w:hAnsi="Book Antiqua"/>
          <w:b/>
          <w:sz w:val="24"/>
          <w:szCs w:val="24"/>
        </w:rPr>
        <w:br w:type="page"/>
      </w:r>
    </w:p>
    <w:p w:rsidR="00AB3D4E" w:rsidRDefault="008F642A">
      <w:pPr>
        <w:spacing w:line="360" w:lineRule="auto"/>
        <w:rPr>
          <w:rFonts w:ascii="Book Antiqua" w:hAnsi="Book Antiqua"/>
          <w:b/>
          <w:sz w:val="24"/>
          <w:szCs w:val="24"/>
        </w:rPr>
      </w:pPr>
      <w:r>
        <w:rPr>
          <w:rFonts w:ascii="Book Antiqua" w:hAnsi="Book Antiqua"/>
          <w:b/>
          <w:sz w:val="24"/>
          <w:szCs w:val="24"/>
        </w:rPr>
        <w:lastRenderedPageBreak/>
        <w:t>REFERENCES</w:t>
      </w:r>
    </w:p>
    <w:p w:rsidR="00AB3D4E" w:rsidRDefault="008F642A">
      <w:pPr>
        <w:spacing w:line="360" w:lineRule="auto"/>
        <w:rPr>
          <w:rFonts w:ascii="Book Antiqua" w:hAnsi="Book Antiqua" w:cs="Times New Roman"/>
          <w:sz w:val="24"/>
          <w:szCs w:val="24"/>
        </w:rPr>
      </w:pPr>
      <w:bookmarkStart w:id="39" w:name="_ENREF_1"/>
      <w:r>
        <w:rPr>
          <w:rFonts w:ascii="Book Antiqua" w:hAnsi="Book Antiqua" w:cs="Times New Roman"/>
          <w:sz w:val="24"/>
          <w:szCs w:val="24"/>
        </w:rPr>
        <w:t>1</w:t>
      </w:r>
      <w:r>
        <w:rPr>
          <w:rFonts w:ascii="Book Antiqua" w:hAnsi="Book Antiqua" w:cs="Times New Roman"/>
          <w:sz w:val="24"/>
          <w:szCs w:val="24"/>
        </w:rPr>
        <w:tab/>
      </w:r>
      <w:bookmarkEnd w:id="39"/>
      <w:proofErr w:type="spellStart"/>
      <w:r>
        <w:rPr>
          <w:rFonts w:ascii="Book Antiqua" w:hAnsi="Book Antiqua"/>
          <w:b/>
          <w:sz w:val="24"/>
          <w:szCs w:val="24"/>
        </w:rPr>
        <w:t>Terrault</w:t>
      </w:r>
      <w:proofErr w:type="spellEnd"/>
      <w:r>
        <w:rPr>
          <w:rFonts w:ascii="Book Antiqua" w:hAnsi="Book Antiqua"/>
          <w:b/>
          <w:sz w:val="24"/>
          <w:szCs w:val="24"/>
        </w:rPr>
        <w:t xml:space="preserve"> NA</w:t>
      </w:r>
      <w:r>
        <w:rPr>
          <w:rFonts w:ascii="Book Antiqua" w:hAnsi="Book Antiqua"/>
          <w:sz w:val="24"/>
          <w:szCs w:val="24"/>
        </w:rPr>
        <w:t>, </w:t>
      </w:r>
      <w:proofErr w:type="spellStart"/>
      <w:r>
        <w:rPr>
          <w:rFonts w:ascii="Book Antiqua" w:hAnsi="Book Antiqua"/>
          <w:sz w:val="24"/>
          <w:szCs w:val="24"/>
        </w:rPr>
        <w:t>Lok</w:t>
      </w:r>
      <w:proofErr w:type="spellEnd"/>
      <w:r>
        <w:rPr>
          <w:rFonts w:ascii="Book Antiqua" w:hAnsi="Book Antiqua"/>
          <w:sz w:val="24"/>
          <w:szCs w:val="24"/>
        </w:rPr>
        <w:t xml:space="preserve"> ASF, McMahon BJ, Chang KM, Hwang JP, Jonas MM, Brown RS </w:t>
      </w:r>
      <w:proofErr w:type="spellStart"/>
      <w:r>
        <w:rPr>
          <w:rFonts w:ascii="Book Antiqua" w:hAnsi="Book Antiqua"/>
          <w:sz w:val="24"/>
          <w:szCs w:val="24"/>
        </w:rPr>
        <w:t>Jr</w:t>
      </w:r>
      <w:proofErr w:type="spellEnd"/>
      <w:r>
        <w:rPr>
          <w:rFonts w:ascii="Book Antiqua" w:hAnsi="Book Antiqua"/>
          <w:sz w:val="24"/>
          <w:szCs w:val="24"/>
        </w:rPr>
        <w:t>, </w:t>
      </w:r>
      <w:proofErr w:type="spellStart"/>
      <w:r>
        <w:rPr>
          <w:rFonts w:ascii="Book Antiqua" w:hAnsi="Book Antiqua"/>
          <w:sz w:val="24"/>
          <w:szCs w:val="24"/>
        </w:rPr>
        <w:t>Bzowej</w:t>
      </w:r>
      <w:proofErr w:type="spellEnd"/>
      <w:r>
        <w:rPr>
          <w:rFonts w:ascii="Book Antiqua" w:hAnsi="Book Antiqua"/>
          <w:sz w:val="24"/>
          <w:szCs w:val="24"/>
        </w:rPr>
        <w:t xml:space="preserve"> NH, Wong JB. Update on prevention, diagnosis, and treatment of chronic hepatitis B: AASLD 2018 hepatitis B guidance. </w:t>
      </w:r>
      <w:r>
        <w:rPr>
          <w:rFonts w:ascii="Book Antiqua" w:hAnsi="Book Antiqua"/>
          <w:i/>
          <w:sz w:val="24"/>
          <w:szCs w:val="24"/>
        </w:rPr>
        <w:t xml:space="preserve">Hepatology </w:t>
      </w:r>
      <w:r>
        <w:rPr>
          <w:rFonts w:ascii="Book Antiqua" w:hAnsi="Book Antiqua"/>
          <w:sz w:val="24"/>
          <w:szCs w:val="24"/>
        </w:rPr>
        <w:t xml:space="preserve">2018; </w:t>
      </w:r>
      <w:r>
        <w:rPr>
          <w:rFonts w:ascii="Book Antiqua" w:hAnsi="Book Antiqua"/>
          <w:b/>
          <w:sz w:val="24"/>
          <w:szCs w:val="24"/>
        </w:rPr>
        <w:t>67</w:t>
      </w:r>
      <w:r>
        <w:rPr>
          <w:rFonts w:ascii="Book Antiqua" w:hAnsi="Book Antiqua"/>
          <w:sz w:val="24"/>
          <w:szCs w:val="24"/>
        </w:rPr>
        <w:t>: 1560-1599 [PMID: 29405329 DOI: 10.1002/hep.29800]</w:t>
      </w:r>
    </w:p>
    <w:p w:rsidR="00AB3D4E" w:rsidRDefault="008F642A">
      <w:pPr>
        <w:spacing w:line="360" w:lineRule="auto"/>
        <w:rPr>
          <w:rFonts w:ascii="Book Antiqua" w:hAnsi="Book Antiqua" w:cs="Times New Roman"/>
          <w:sz w:val="24"/>
          <w:szCs w:val="24"/>
        </w:rPr>
      </w:pPr>
      <w:bookmarkStart w:id="40" w:name="_ENREF_2"/>
      <w:r>
        <w:rPr>
          <w:rFonts w:ascii="Book Antiqua" w:hAnsi="Book Antiqua" w:cs="Times New Roman"/>
          <w:sz w:val="24"/>
          <w:szCs w:val="24"/>
        </w:rPr>
        <w:t>2</w:t>
      </w:r>
      <w:r>
        <w:rPr>
          <w:rFonts w:ascii="Book Antiqua" w:hAnsi="Book Antiqua" w:cs="Times New Roman"/>
          <w:sz w:val="24"/>
          <w:szCs w:val="24"/>
        </w:rPr>
        <w:tab/>
      </w:r>
      <w:bookmarkEnd w:id="40"/>
      <w:r>
        <w:rPr>
          <w:rFonts w:ascii="Book Antiqua" w:hAnsi="Book Antiqua"/>
          <w:b/>
          <w:bCs/>
          <w:sz w:val="24"/>
          <w:szCs w:val="24"/>
        </w:rPr>
        <w:t>European Association for the Study of the Liver</w:t>
      </w:r>
      <w:r>
        <w:rPr>
          <w:rFonts w:ascii="Book Antiqua" w:hAnsi="Book Antiqua"/>
          <w:sz w:val="24"/>
          <w:szCs w:val="24"/>
        </w:rPr>
        <w:t xml:space="preserve">. EASL Clinical Practice Guidelines for the management of patients with decompensated cirrhosis. </w:t>
      </w:r>
      <w:r>
        <w:rPr>
          <w:rFonts w:ascii="Book Antiqua" w:hAnsi="Book Antiqua"/>
          <w:i/>
          <w:sz w:val="24"/>
          <w:szCs w:val="24"/>
        </w:rPr>
        <w:t xml:space="preserve">J </w:t>
      </w:r>
      <w:proofErr w:type="spellStart"/>
      <w:r>
        <w:rPr>
          <w:rFonts w:ascii="Book Antiqua" w:hAnsi="Book Antiqua"/>
          <w:i/>
          <w:sz w:val="24"/>
          <w:szCs w:val="24"/>
        </w:rPr>
        <w:t>Hepatol</w:t>
      </w:r>
      <w:proofErr w:type="spellEnd"/>
      <w:r>
        <w:rPr>
          <w:rFonts w:ascii="Book Antiqua" w:hAnsi="Book Antiqua"/>
          <w:i/>
          <w:sz w:val="24"/>
          <w:szCs w:val="24"/>
        </w:rPr>
        <w:t xml:space="preserve"> </w:t>
      </w:r>
      <w:r>
        <w:rPr>
          <w:rFonts w:ascii="Book Antiqua" w:hAnsi="Book Antiqua"/>
          <w:sz w:val="24"/>
          <w:szCs w:val="24"/>
        </w:rPr>
        <w:t xml:space="preserve">2018; </w:t>
      </w:r>
      <w:r>
        <w:rPr>
          <w:rFonts w:ascii="Book Antiqua" w:hAnsi="Book Antiqua"/>
          <w:b/>
          <w:sz w:val="24"/>
          <w:szCs w:val="24"/>
        </w:rPr>
        <w:t>69</w:t>
      </w:r>
      <w:r>
        <w:rPr>
          <w:rFonts w:ascii="Book Antiqua" w:hAnsi="Book Antiqua"/>
          <w:sz w:val="24"/>
          <w:szCs w:val="24"/>
        </w:rPr>
        <w:t>: 406-460 [PMID: 29653741 DOI: 10.1016/j.jhep.2018.03.024]</w:t>
      </w:r>
    </w:p>
    <w:p w:rsidR="00AB3D4E" w:rsidRDefault="008F642A">
      <w:pPr>
        <w:spacing w:line="360" w:lineRule="auto"/>
        <w:rPr>
          <w:rFonts w:ascii="Book Antiqua" w:hAnsi="Book Antiqua" w:cs="Times New Roman"/>
          <w:sz w:val="24"/>
          <w:szCs w:val="24"/>
        </w:rPr>
      </w:pPr>
      <w:bookmarkStart w:id="41" w:name="_ENREF_3"/>
      <w:r>
        <w:rPr>
          <w:rFonts w:ascii="Book Antiqua" w:hAnsi="Book Antiqua" w:cs="Times New Roman"/>
          <w:sz w:val="24"/>
          <w:szCs w:val="24"/>
        </w:rPr>
        <w:t>3</w:t>
      </w:r>
      <w:r>
        <w:rPr>
          <w:rFonts w:ascii="Book Antiqua" w:hAnsi="Book Antiqua" w:cs="Times New Roman"/>
          <w:sz w:val="24"/>
          <w:szCs w:val="24"/>
        </w:rPr>
        <w:tab/>
      </w:r>
      <w:r>
        <w:rPr>
          <w:rFonts w:ascii="Book Antiqua" w:hAnsi="Book Antiqua" w:cs="Times New Roman"/>
          <w:b/>
          <w:sz w:val="24"/>
          <w:szCs w:val="24"/>
        </w:rPr>
        <w:t>Garcia-</w:t>
      </w:r>
      <w:proofErr w:type="spellStart"/>
      <w:r>
        <w:rPr>
          <w:rFonts w:ascii="Book Antiqua" w:hAnsi="Book Antiqua" w:cs="Times New Roman"/>
          <w:b/>
          <w:sz w:val="24"/>
          <w:szCs w:val="24"/>
        </w:rPr>
        <w:t>Tsao</w:t>
      </w:r>
      <w:proofErr w:type="spellEnd"/>
      <w:r>
        <w:rPr>
          <w:rFonts w:ascii="Book Antiqua" w:hAnsi="Book Antiqua" w:cs="Times New Roman"/>
          <w:b/>
          <w:sz w:val="24"/>
          <w:szCs w:val="24"/>
        </w:rPr>
        <w:t xml:space="preserve"> G,</w:t>
      </w:r>
      <w:r>
        <w:rPr>
          <w:rFonts w:ascii="Book Antiqua" w:hAnsi="Book Antiqua" w:cs="Times New Roman"/>
          <w:sz w:val="24"/>
          <w:szCs w:val="24"/>
        </w:rPr>
        <w:t xml:space="preserve"> </w:t>
      </w:r>
      <w:proofErr w:type="spellStart"/>
      <w:r>
        <w:rPr>
          <w:rFonts w:ascii="Book Antiqua" w:hAnsi="Book Antiqua" w:cs="Times New Roman"/>
          <w:sz w:val="24"/>
          <w:szCs w:val="24"/>
        </w:rPr>
        <w:t>Abraldes</w:t>
      </w:r>
      <w:proofErr w:type="spellEnd"/>
      <w:r>
        <w:rPr>
          <w:rFonts w:ascii="Book Antiqua" w:hAnsi="Book Antiqua" w:cs="Times New Roman"/>
          <w:sz w:val="24"/>
          <w:szCs w:val="24"/>
        </w:rPr>
        <w:t xml:space="preserve"> JG, </w:t>
      </w:r>
      <w:proofErr w:type="spellStart"/>
      <w:r>
        <w:rPr>
          <w:rFonts w:ascii="Book Antiqua" w:hAnsi="Book Antiqua" w:cs="Times New Roman"/>
          <w:sz w:val="24"/>
          <w:szCs w:val="24"/>
        </w:rPr>
        <w:t>Berzigotti</w:t>
      </w:r>
      <w:proofErr w:type="spellEnd"/>
      <w:r>
        <w:rPr>
          <w:rFonts w:ascii="Book Antiqua" w:hAnsi="Book Antiqua" w:cs="Times New Roman"/>
          <w:sz w:val="24"/>
          <w:szCs w:val="24"/>
        </w:rPr>
        <w:t xml:space="preserve"> A, Bosch J. Portal hypertensive bleeding in cirrhosis: Risk stratification, diagnosis, and management: 2016 practice guidance by the American Association for the study of liver diseases. </w:t>
      </w:r>
      <w:r>
        <w:rPr>
          <w:rFonts w:ascii="Book Antiqua" w:hAnsi="Book Antiqua" w:cs="Times New Roman"/>
          <w:i/>
          <w:sz w:val="24"/>
          <w:szCs w:val="24"/>
        </w:rPr>
        <w:t>Hepatology</w:t>
      </w:r>
      <w:r>
        <w:rPr>
          <w:rFonts w:ascii="Book Antiqua" w:hAnsi="Book Antiqua" w:cs="Times New Roman"/>
          <w:sz w:val="24"/>
          <w:szCs w:val="24"/>
        </w:rPr>
        <w:t xml:space="preserve"> 2017; </w:t>
      </w:r>
      <w:r>
        <w:rPr>
          <w:rFonts w:ascii="Book Antiqua" w:hAnsi="Book Antiqua" w:cs="Times New Roman"/>
          <w:b/>
          <w:sz w:val="24"/>
          <w:szCs w:val="24"/>
        </w:rPr>
        <w:t>65</w:t>
      </w:r>
      <w:r>
        <w:rPr>
          <w:rFonts w:ascii="Book Antiqua" w:hAnsi="Book Antiqua" w:cs="Times New Roman"/>
          <w:sz w:val="24"/>
          <w:szCs w:val="24"/>
        </w:rPr>
        <w:t>: 310-335 [PMID: 27786365 DOI: 10.1002/hep.28906]</w:t>
      </w:r>
      <w:bookmarkEnd w:id="41"/>
    </w:p>
    <w:p w:rsidR="00AB3D4E" w:rsidRDefault="008F642A">
      <w:pPr>
        <w:spacing w:line="360" w:lineRule="auto"/>
        <w:rPr>
          <w:rFonts w:ascii="Book Antiqua" w:hAnsi="Book Antiqua" w:cs="Times New Roman"/>
          <w:sz w:val="24"/>
          <w:szCs w:val="24"/>
        </w:rPr>
      </w:pPr>
      <w:bookmarkStart w:id="42" w:name="_ENREF_4"/>
      <w:r>
        <w:rPr>
          <w:rFonts w:ascii="Book Antiqua" w:hAnsi="Book Antiqua" w:cs="Times New Roman"/>
          <w:sz w:val="24"/>
          <w:szCs w:val="24"/>
        </w:rPr>
        <w:t>4</w:t>
      </w:r>
      <w:r>
        <w:rPr>
          <w:rFonts w:ascii="Book Antiqua" w:hAnsi="Book Antiqua" w:cs="Times New Roman"/>
          <w:sz w:val="24"/>
          <w:szCs w:val="24"/>
        </w:rPr>
        <w:tab/>
      </w:r>
      <w:r>
        <w:rPr>
          <w:rFonts w:ascii="Book Antiqua" w:hAnsi="Book Antiqua" w:cs="Times New Roman"/>
          <w:b/>
          <w:sz w:val="24"/>
          <w:szCs w:val="24"/>
        </w:rPr>
        <w:t xml:space="preserve">de </w:t>
      </w:r>
      <w:proofErr w:type="spellStart"/>
      <w:r>
        <w:rPr>
          <w:rFonts w:ascii="Book Antiqua" w:hAnsi="Book Antiqua" w:cs="Times New Roman"/>
          <w:b/>
          <w:sz w:val="24"/>
          <w:szCs w:val="24"/>
        </w:rPr>
        <w:t>Franchis</w:t>
      </w:r>
      <w:proofErr w:type="spellEnd"/>
      <w:r>
        <w:rPr>
          <w:rFonts w:ascii="Book Antiqua" w:hAnsi="Book Antiqua" w:cs="Times New Roman"/>
          <w:b/>
          <w:sz w:val="24"/>
          <w:szCs w:val="24"/>
        </w:rPr>
        <w:t xml:space="preserve"> R</w:t>
      </w:r>
      <w:r>
        <w:rPr>
          <w:rFonts w:ascii="Book Antiqua" w:hAnsi="Book Antiqua" w:cs="Times New Roman"/>
          <w:sz w:val="24"/>
          <w:szCs w:val="24"/>
        </w:rPr>
        <w:t xml:space="preserv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Faculty. Expanding consensus in portal hypertension: Report of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Consensus Workshop: Stratifying risk and individualizing care for portal hypertension.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sz w:val="24"/>
          <w:szCs w:val="24"/>
        </w:rPr>
        <w:t xml:space="preserve"> 2015; </w:t>
      </w:r>
      <w:r>
        <w:rPr>
          <w:rFonts w:ascii="Book Antiqua" w:hAnsi="Book Antiqua" w:cs="Times New Roman"/>
          <w:b/>
          <w:sz w:val="24"/>
          <w:szCs w:val="24"/>
        </w:rPr>
        <w:t>63</w:t>
      </w:r>
      <w:r>
        <w:rPr>
          <w:rFonts w:ascii="Book Antiqua" w:hAnsi="Book Antiqua" w:cs="Times New Roman"/>
          <w:sz w:val="24"/>
          <w:szCs w:val="24"/>
        </w:rPr>
        <w:t>: 743-752</w:t>
      </w:r>
      <w:bookmarkEnd w:id="42"/>
      <w:r>
        <w:rPr>
          <w:rFonts w:ascii="Book Antiqua" w:hAnsi="Book Antiqua" w:cs="Times New Roman"/>
          <w:sz w:val="24"/>
          <w:szCs w:val="24"/>
        </w:rPr>
        <w:t xml:space="preserve"> [PMID: 26047908 DOI: 10.1016/j.jhep.2015.05.022]</w:t>
      </w:r>
    </w:p>
    <w:p w:rsidR="00AB3D4E" w:rsidRDefault="008F642A">
      <w:pPr>
        <w:spacing w:line="360" w:lineRule="auto"/>
        <w:rPr>
          <w:rFonts w:ascii="Book Antiqua" w:hAnsi="Book Antiqua" w:cs="Times New Roman"/>
          <w:sz w:val="24"/>
          <w:szCs w:val="24"/>
        </w:rPr>
      </w:pPr>
      <w:bookmarkStart w:id="43" w:name="_ENREF_5"/>
      <w:r>
        <w:rPr>
          <w:rFonts w:ascii="Book Antiqua" w:hAnsi="Book Antiqua" w:cs="Times New Roman"/>
          <w:sz w:val="24"/>
          <w:szCs w:val="24"/>
        </w:rPr>
        <w:t>5</w:t>
      </w:r>
      <w:r>
        <w:rPr>
          <w:rFonts w:ascii="Book Antiqua" w:hAnsi="Book Antiqua" w:cs="Times New Roman"/>
          <w:sz w:val="24"/>
          <w:szCs w:val="24"/>
        </w:rPr>
        <w:tab/>
      </w:r>
      <w:r>
        <w:rPr>
          <w:rFonts w:ascii="Book Antiqua" w:hAnsi="Book Antiqua" w:cs="Times New Roman"/>
          <w:b/>
          <w:sz w:val="24"/>
          <w:szCs w:val="24"/>
        </w:rPr>
        <w:t>Fukui H,</w:t>
      </w:r>
      <w:r>
        <w:rPr>
          <w:rFonts w:ascii="Book Antiqua" w:hAnsi="Book Antiqua" w:cs="Times New Roman"/>
          <w:sz w:val="24"/>
          <w:szCs w:val="24"/>
        </w:rPr>
        <w:t> Saito H, Ueno Y, </w:t>
      </w:r>
      <w:proofErr w:type="spellStart"/>
      <w:r>
        <w:rPr>
          <w:rFonts w:ascii="Book Antiqua" w:hAnsi="Book Antiqua" w:cs="Times New Roman"/>
          <w:sz w:val="24"/>
          <w:szCs w:val="24"/>
        </w:rPr>
        <w:t>Uto</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Obara</w:t>
      </w:r>
      <w:proofErr w:type="spellEnd"/>
      <w:r>
        <w:rPr>
          <w:rFonts w:ascii="Book Antiqua" w:hAnsi="Book Antiqua" w:cs="Times New Roman"/>
          <w:sz w:val="24"/>
          <w:szCs w:val="24"/>
        </w:rPr>
        <w:t xml:space="preserve"> K, </w:t>
      </w:r>
      <w:proofErr w:type="spellStart"/>
      <w:r>
        <w:rPr>
          <w:rFonts w:ascii="Book Antiqua" w:hAnsi="Book Antiqua" w:cs="Times New Roman"/>
          <w:sz w:val="24"/>
          <w:szCs w:val="24"/>
        </w:rPr>
        <w:t>Sakaida</w:t>
      </w:r>
      <w:proofErr w:type="spellEnd"/>
      <w:r>
        <w:rPr>
          <w:rFonts w:ascii="Book Antiqua" w:hAnsi="Book Antiqua" w:cs="Times New Roman"/>
          <w:sz w:val="24"/>
          <w:szCs w:val="24"/>
        </w:rPr>
        <w:t xml:space="preserve"> I, Shibuya A, </w:t>
      </w:r>
      <w:proofErr w:type="spellStart"/>
      <w:r>
        <w:rPr>
          <w:rFonts w:ascii="Book Antiqua" w:hAnsi="Book Antiqua" w:cs="Times New Roman"/>
          <w:sz w:val="24"/>
          <w:szCs w:val="24"/>
        </w:rPr>
        <w:t>Seike</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Nagoshi</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Segawa</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Tsubouchi</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Moriwaki</w:t>
      </w:r>
      <w:proofErr w:type="spellEnd"/>
      <w:r>
        <w:rPr>
          <w:rFonts w:ascii="Book Antiqua" w:hAnsi="Book Antiqua" w:cs="Times New Roman"/>
          <w:sz w:val="24"/>
          <w:szCs w:val="24"/>
        </w:rPr>
        <w:t xml:space="preserve"> H, Kato A, Hashimoto E, </w:t>
      </w:r>
      <w:proofErr w:type="spellStart"/>
      <w:r>
        <w:rPr>
          <w:rFonts w:ascii="Book Antiqua" w:hAnsi="Book Antiqua" w:cs="Times New Roman"/>
          <w:sz w:val="24"/>
          <w:szCs w:val="24"/>
        </w:rPr>
        <w:t>Michitaka</w:t>
      </w:r>
      <w:proofErr w:type="spellEnd"/>
      <w:r>
        <w:rPr>
          <w:rFonts w:ascii="Book Antiqua" w:hAnsi="Book Antiqua" w:cs="Times New Roman"/>
          <w:sz w:val="24"/>
          <w:szCs w:val="24"/>
        </w:rPr>
        <w:t xml:space="preserve"> K, </w:t>
      </w:r>
      <w:proofErr w:type="spellStart"/>
      <w:r>
        <w:rPr>
          <w:rFonts w:ascii="Book Antiqua" w:hAnsi="Book Antiqua" w:cs="Times New Roman"/>
          <w:sz w:val="24"/>
          <w:szCs w:val="24"/>
        </w:rPr>
        <w:t>Murawaki</w:t>
      </w:r>
      <w:proofErr w:type="spellEnd"/>
      <w:r>
        <w:rPr>
          <w:rFonts w:ascii="Book Antiqua" w:hAnsi="Book Antiqua" w:cs="Times New Roman"/>
          <w:sz w:val="24"/>
          <w:szCs w:val="24"/>
        </w:rPr>
        <w:t xml:space="preserve"> T, Sugano K, Watanabe M, </w:t>
      </w:r>
      <w:proofErr w:type="spellStart"/>
      <w:r>
        <w:rPr>
          <w:rFonts w:ascii="Book Antiqua" w:hAnsi="Book Antiqua" w:cs="Times New Roman"/>
          <w:sz w:val="24"/>
          <w:szCs w:val="24"/>
        </w:rPr>
        <w:t>Shimosegawa</w:t>
      </w:r>
      <w:proofErr w:type="spellEnd"/>
      <w:r>
        <w:rPr>
          <w:rFonts w:ascii="Book Antiqua" w:hAnsi="Book Antiqua" w:cs="Times New Roman"/>
          <w:sz w:val="24"/>
          <w:szCs w:val="24"/>
        </w:rPr>
        <w:t xml:space="preserve"> T. Evidence-based clinical practice guidelines for liver cirrhosis 2015. </w:t>
      </w:r>
      <w:r>
        <w:rPr>
          <w:rFonts w:ascii="Book Antiqua" w:hAnsi="Book Antiqua" w:cs="Times New Roman"/>
          <w:i/>
          <w:sz w:val="24"/>
          <w:szCs w:val="24"/>
        </w:rPr>
        <w:t xml:space="preserve">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2016; </w:t>
      </w:r>
      <w:r>
        <w:rPr>
          <w:rFonts w:ascii="Book Antiqua" w:hAnsi="Book Antiqua" w:cs="Times New Roman"/>
          <w:b/>
          <w:sz w:val="24"/>
          <w:szCs w:val="24"/>
        </w:rPr>
        <w:t>51</w:t>
      </w:r>
      <w:r>
        <w:rPr>
          <w:rFonts w:ascii="Book Antiqua" w:hAnsi="Book Antiqua" w:cs="Times New Roman"/>
          <w:sz w:val="24"/>
          <w:szCs w:val="24"/>
        </w:rPr>
        <w:t>: 629-650</w:t>
      </w:r>
      <w:bookmarkEnd w:id="43"/>
      <w:r>
        <w:rPr>
          <w:rFonts w:ascii="Book Antiqua" w:hAnsi="Book Antiqua" w:cs="Times New Roman"/>
          <w:sz w:val="24"/>
          <w:szCs w:val="24"/>
        </w:rPr>
        <w:t xml:space="preserve"> [PMID: 27246107 DOI: 10.1007/s00535-016-1216-y]</w:t>
      </w:r>
    </w:p>
    <w:p w:rsidR="00AB3D4E" w:rsidRDefault="008F642A">
      <w:pPr>
        <w:spacing w:line="360" w:lineRule="auto"/>
        <w:rPr>
          <w:rFonts w:ascii="Book Antiqua" w:hAnsi="Book Antiqua" w:cs="Times New Roman"/>
          <w:sz w:val="24"/>
          <w:szCs w:val="24"/>
        </w:rPr>
      </w:pPr>
      <w:bookmarkStart w:id="44" w:name="_ENREF_6"/>
      <w:r>
        <w:rPr>
          <w:rFonts w:ascii="Book Antiqua" w:hAnsi="Book Antiqua" w:cs="Times New Roman"/>
          <w:sz w:val="24"/>
          <w:szCs w:val="24"/>
        </w:rPr>
        <w:t>6</w:t>
      </w:r>
      <w:r>
        <w:rPr>
          <w:rFonts w:ascii="Book Antiqua" w:hAnsi="Book Antiqua" w:cs="Times New Roman"/>
          <w:sz w:val="24"/>
          <w:szCs w:val="24"/>
        </w:rPr>
        <w:tab/>
      </w:r>
      <w:r>
        <w:rPr>
          <w:rFonts w:ascii="Book Antiqua" w:hAnsi="Book Antiqua" w:cs="Times New Roman"/>
          <w:b/>
          <w:sz w:val="24"/>
          <w:szCs w:val="24"/>
        </w:rPr>
        <w:t>Garcia-</w:t>
      </w:r>
      <w:proofErr w:type="spellStart"/>
      <w:r>
        <w:rPr>
          <w:rFonts w:ascii="Book Antiqua" w:hAnsi="Book Antiqua" w:cs="Times New Roman"/>
          <w:b/>
          <w:sz w:val="24"/>
          <w:szCs w:val="24"/>
        </w:rPr>
        <w:t>Tsao</w:t>
      </w:r>
      <w:proofErr w:type="spellEnd"/>
      <w:r>
        <w:rPr>
          <w:rFonts w:ascii="Book Antiqua" w:hAnsi="Book Antiqua" w:cs="Times New Roman"/>
          <w:b/>
          <w:sz w:val="24"/>
          <w:szCs w:val="24"/>
        </w:rPr>
        <w:t xml:space="preserve"> G</w:t>
      </w:r>
      <w:r>
        <w:rPr>
          <w:rFonts w:ascii="Book Antiqua" w:hAnsi="Book Antiqua" w:cs="Times New Roman"/>
          <w:sz w:val="24"/>
          <w:szCs w:val="24"/>
        </w:rPr>
        <w:t>, </w:t>
      </w:r>
      <w:proofErr w:type="spellStart"/>
      <w:r>
        <w:rPr>
          <w:rFonts w:ascii="Book Antiqua" w:hAnsi="Book Antiqua" w:cs="Times New Roman"/>
          <w:sz w:val="24"/>
          <w:szCs w:val="24"/>
        </w:rPr>
        <w:t>Sanyal</w:t>
      </w:r>
      <w:proofErr w:type="spellEnd"/>
      <w:r>
        <w:rPr>
          <w:rFonts w:ascii="Book Antiqua" w:hAnsi="Book Antiqua" w:cs="Times New Roman"/>
          <w:sz w:val="24"/>
          <w:szCs w:val="24"/>
        </w:rPr>
        <w:t xml:space="preserve">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Pr>
          <w:rFonts w:ascii="Book Antiqua" w:hAnsi="Book Antiqua" w:cs="Times New Roman"/>
          <w:i/>
          <w:sz w:val="24"/>
          <w:szCs w:val="24"/>
        </w:rPr>
        <w:t xml:space="preserve">Hepatology </w:t>
      </w:r>
      <w:r>
        <w:rPr>
          <w:rFonts w:ascii="Book Antiqua" w:hAnsi="Book Antiqua" w:cs="Times New Roman"/>
          <w:sz w:val="24"/>
          <w:szCs w:val="24"/>
        </w:rPr>
        <w:t xml:space="preserve">2007; </w:t>
      </w:r>
      <w:r>
        <w:rPr>
          <w:rFonts w:ascii="Book Antiqua" w:hAnsi="Book Antiqua" w:cs="Times New Roman"/>
          <w:b/>
          <w:sz w:val="24"/>
          <w:szCs w:val="24"/>
        </w:rPr>
        <w:t>46</w:t>
      </w:r>
      <w:r>
        <w:rPr>
          <w:rFonts w:ascii="Book Antiqua" w:hAnsi="Book Antiqua" w:cs="Times New Roman"/>
          <w:sz w:val="24"/>
          <w:szCs w:val="24"/>
        </w:rPr>
        <w:t>: 922-938</w:t>
      </w:r>
      <w:bookmarkEnd w:id="44"/>
      <w:r>
        <w:rPr>
          <w:rFonts w:ascii="Book Antiqua" w:hAnsi="Book Antiqua" w:cs="Times New Roman"/>
          <w:sz w:val="24"/>
          <w:szCs w:val="24"/>
        </w:rPr>
        <w:t xml:space="preserve"> [PMID: 17879356 DOI: 10.1002/hep.21907]</w:t>
      </w:r>
    </w:p>
    <w:p w:rsidR="00AB3D4E" w:rsidRDefault="008F642A">
      <w:pPr>
        <w:spacing w:line="360" w:lineRule="auto"/>
        <w:rPr>
          <w:rFonts w:ascii="Book Antiqua" w:hAnsi="Book Antiqua" w:cs="Times New Roman"/>
          <w:sz w:val="24"/>
          <w:szCs w:val="24"/>
        </w:rPr>
      </w:pPr>
      <w:bookmarkStart w:id="45" w:name="_ENREF_7"/>
      <w:r>
        <w:rPr>
          <w:rFonts w:ascii="Book Antiqua" w:hAnsi="Book Antiqua" w:cs="Times New Roman"/>
          <w:sz w:val="24"/>
          <w:szCs w:val="24"/>
        </w:rPr>
        <w:t>7</w:t>
      </w:r>
      <w:r>
        <w:rPr>
          <w:rFonts w:ascii="Book Antiqua" w:hAnsi="Book Antiqua" w:cs="Times New Roman"/>
          <w:sz w:val="24"/>
          <w:szCs w:val="24"/>
        </w:rPr>
        <w:tab/>
      </w:r>
      <w:r>
        <w:rPr>
          <w:rFonts w:ascii="Book Antiqua" w:hAnsi="Book Antiqua" w:cs="Times New Roman"/>
          <w:b/>
          <w:sz w:val="24"/>
          <w:szCs w:val="24"/>
        </w:rPr>
        <w:t xml:space="preserve">de </w:t>
      </w:r>
      <w:proofErr w:type="spellStart"/>
      <w:r>
        <w:rPr>
          <w:rFonts w:ascii="Book Antiqua" w:hAnsi="Book Antiqua" w:cs="Times New Roman"/>
          <w:b/>
          <w:sz w:val="24"/>
          <w:szCs w:val="24"/>
        </w:rPr>
        <w:t>Franchis</w:t>
      </w:r>
      <w:proofErr w:type="spellEnd"/>
      <w:r>
        <w:rPr>
          <w:rFonts w:ascii="Book Antiqua" w:hAnsi="Book Antiqua" w:cs="Times New Roman"/>
          <w:b/>
          <w:sz w:val="24"/>
          <w:szCs w:val="24"/>
        </w:rPr>
        <w:t xml:space="preserve"> R</w:t>
      </w:r>
      <w:r>
        <w:rPr>
          <w:rFonts w:ascii="Book Antiqua" w:hAnsi="Book Antiqua" w:cs="Times New Roman"/>
          <w:sz w:val="24"/>
          <w:szCs w:val="24"/>
        </w:rPr>
        <w:t xml:space="preserv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 Faculty. Revising consensus in portal hypertension: Report of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 consensus workshop on methodology of diagnosis and therapy in portal hypertension.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sz w:val="24"/>
          <w:szCs w:val="24"/>
        </w:rPr>
        <w:t xml:space="preserve"> 2010; </w:t>
      </w:r>
      <w:r>
        <w:rPr>
          <w:rFonts w:ascii="Book Antiqua" w:hAnsi="Book Antiqua" w:cs="Times New Roman"/>
          <w:b/>
          <w:sz w:val="24"/>
          <w:szCs w:val="24"/>
        </w:rPr>
        <w:t>53</w:t>
      </w:r>
      <w:r>
        <w:rPr>
          <w:rFonts w:ascii="Book Antiqua" w:hAnsi="Book Antiqua" w:cs="Times New Roman"/>
          <w:sz w:val="24"/>
          <w:szCs w:val="24"/>
        </w:rPr>
        <w:t>: 762-768</w:t>
      </w:r>
      <w:bookmarkEnd w:id="45"/>
      <w:r>
        <w:rPr>
          <w:rFonts w:ascii="Book Antiqua" w:hAnsi="Book Antiqua" w:cs="Times New Roman"/>
          <w:sz w:val="24"/>
          <w:szCs w:val="24"/>
        </w:rPr>
        <w:t xml:space="preserve"> [PMID: 20638742 DOI: 10.1016/j.jhep.2010.06.004]</w:t>
      </w:r>
    </w:p>
    <w:p w:rsidR="00AB3D4E" w:rsidRDefault="008F642A">
      <w:pPr>
        <w:spacing w:line="360" w:lineRule="auto"/>
        <w:rPr>
          <w:rFonts w:ascii="Book Antiqua" w:hAnsi="Book Antiqua" w:cs="Times New Roman"/>
          <w:sz w:val="24"/>
          <w:szCs w:val="24"/>
        </w:rPr>
      </w:pPr>
      <w:bookmarkStart w:id="46" w:name="_ENREF_8"/>
      <w:r>
        <w:rPr>
          <w:rFonts w:ascii="Book Antiqua" w:hAnsi="Book Antiqua" w:cs="Times New Roman"/>
          <w:sz w:val="24"/>
          <w:szCs w:val="24"/>
        </w:rPr>
        <w:lastRenderedPageBreak/>
        <w:t>8</w:t>
      </w:r>
      <w:r>
        <w:rPr>
          <w:rFonts w:ascii="Book Antiqua" w:hAnsi="Book Antiqua" w:cs="Times New Roman"/>
          <w:sz w:val="24"/>
          <w:szCs w:val="24"/>
        </w:rPr>
        <w:tab/>
      </w:r>
      <w:proofErr w:type="spellStart"/>
      <w:r>
        <w:rPr>
          <w:rFonts w:ascii="Book Antiqua" w:hAnsi="Book Antiqua" w:cs="Times New Roman"/>
          <w:b/>
          <w:sz w:val="24"/>
          <w:szCs w:val="24"/>
        </w:rPr>
        <w:t>Sebastiani</w:t>
      </w:r>
      <w:proofErr w:type="spellEnd"/>
      <w:r>
        <w:rPr>
          <w:rFonts w:ascii="Book Antiqua" w:hAnsi="Book Antiqua" w:cs="Times New Roman"/>
          <w:b/>
          <w:sz w:val="24"/>
          <w:szCs w:val="24"/>
        </w:rPr>
        <w:t xml:space="preserve"> G</w:t>
      </w:r>
      <w:r>
        <w:rPr>
          <w:rFonts w:ascii="Book Antiqua" w:hAnsi="Book Antiqua" w:cs="Times New Roman"/>
          <w:sz w:val="24"/>
          <w:szCs w:val="24"/>
        </w:rPr>
        <w:t xml:space="preserve">, </w:t>
      </w:r>
      <w:proofErr w:type="spellStart"/>
      <w:r>
        <w:rPr>
          <w:rFonts w:ascii="Book Antiqua" w:hAnsi="Book Antiqua" w:cs="Times New Roman"/>
          <w:sz w:val="24"/>
          <w:szCs w:val="24"/>
        </w:rPr>
        <w:t>Tempesta</w:t>
      </w:r>
      <w:proofErr w:type="spellEnd"/>
      <w:r>
        <w:rPr>
          <w:rFonts w:ascii="Book Antiqua" w:hAnsi="Book Antiqua" w:cs="Times New Roman"/>
          <w:sz w:val="24"/>
          <w:szCs w:val="24"/>
        </w:rPr>
        <w:t xml:space="preserve"> D, </w:t>
      </w:r>
      <w:proofErr w:type="spellStart"/>
      <w:r>
        <w:rPr>
          <w:rFonts w:ascii="Book Antiqua" w:hAnsi="Book Antiqua" w:cs="Times New Roman"/>
          <w:sz w:val="24"/>
          <w:szCs w:val="24"/>
        </w:rPr>
        <w:t>Fattovich</w:t>
      </w:r>
      <w:proofErr w:type="spellEnd"/>
      <w:r>
        <w:rPr>
          <w:rFonts w:ascii="Book Antiqua" w:hAnsi="Book Antiqua" w:cs="Times New Roman"/>
          <w:sz w:val="24"/>
          <w:szCs w:val="24"/>
        </w:rPr>
        <w:t xml:space="preserve"> G, </w:t>
      </w:r>
      <w:proofErr w:type="spellStart"/>
      <w:r>
        <w:rPr>
          <w:rFonts w:ascii="Book Antiqua" w:hAnsi="Book Antiqua" w:cs="Times New Roman"/>
          <w:sz w:val="24"/>
          <w:szCs w:val="24"/>
        </w:rPr>
        <w:t>Castera</w:t>
      </w:r>
      <w:proofErr w:type="spellEnd"/>
      <w:r>
        <w:rPr>
          <w:rFonts w:ascii="Book Antiqua" w:hAnsi="Book Antiqua" w:cs="Times New Roman"/>
          <w:sz w:val="24"/>
          <w:szCs w:val="24"/>
        </w:rPr>
        <w:t xml:space="preserve"> L, </w:t>
      </w:r>
      <w:proofErr w:type="spellStart"/>
      <w:r>
        <w:rPr>
          <w:rFonts w:ascii="Book Antiqua" w:hAnsi="Book Antiqua" w:cs="Times New Roman"/>
          <w:sz w:val="24"/>
          <w:szCs w:val="24"/>
        </w:rPr>
        <w:t>Halfon</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Bourliere</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Noventa</w:t>
      </w:r>
      <w:proofErr w:type="spellEnd"/>
      <w:r>
        <w:rPr>
          <w:rFonts w:ascii="Book Antiqua" w:hAnsi="Book Antiqua" w:cs="Times New Roman"/>
          <w:sz w:val="24"/>
          <w:szCs w:val="24"/>
        </w:rPr>
        <w:t xml:space="preserve"> F, </w:t>
      </w:r>
      <w:proofErr w:type="spellStart"/>
      <w:r>
        <w:rPr>
          <w:rFonts w:ascii="Book Antiqua" w:hAnsi="Book Antiqua" w:cs="Times New Roman"/>
          <w:sz w:val="24"/>
          <w:szCs w:val="24"/>
        </w:rPr>
        <w:t>Angeli</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Saggioro</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Alberti</w:t>
      </w:r>
      <w:proofErr w:type="spellEnd"/>
      <w:r>
        <w:rPr>
          <w:rFonts w:ascii="Book Antiqua" w:hAnsi="Book Antiqua" w:cs="Times New Roman"/>
          <w:sz w:val="24"/>
          <w:szCs w:val="24"/>
        </w:rPr>
        <w:t xml:space="preserve"> A. Prediction of </w:t>
      </w:r>
      <w:proofErr w:type="spellStart"/>
      <w:r>
        <w:rPr>
          <w:rFonts w:ascii="Book Antiqua" w:hAnsi="Book Antiqua" w:cs="Times New Roman"/>
          <w:sz w:val="24"/>
          <w:szCs w:val="24"/>
        </w:rPr>
        <w:t>oesophageal</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varices</w:t>
      </w:r>
      <w:proofErr w:type="spellEnd"/>
      <w:r>
        <w:rPr>
          <w:rFonts w:ascii="Book Antiqua" w:hAnsi="Book Antiqua" w:cs="Times New Roman"/>
          <w:sz w:val="24"/>
          <w:szCs w:val="24"/>
        </w:rPr>
        <w:t xml:space="preserve"> in hepatic cirrhosis by simple serum non-invasive markers: Results of a multicenter, large-scale study.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2010; </w:t>
      </w:r>
      <w:r>
        <w:rPr>
          <w:rFonts w:ascii="Book Antiqua" w:hAnsi="Book Antiqua" w:cs="Times New Roman"/>
          <w:b/>
          <w:sz w:val="24"/>
          <w:szCs w:val="24"/>
        </w:rPr>
        <w:t>53</w:t>
      </w:r>
      <w:r>
        <w:rPr>
          <w:rFonts w:ascii="Book Antiqua" w:hAnsi="Book Antiqua" w:cs="Times New Roman"/>
          <w:sz w:val="24"/>
          <w:szCs w:val="24"/>
        </w:rPr>
        <w:t>: 630-638</w:t>
      </w:r>
      <w:bookmarkEnd w:id="46"/>
      <w:r>
        <w:rPr>
          <w:rFonts w:ascii="Book Antiqua" w:hAnsi="Book Antiqua" w:cs="Times New Roman"/>
          <w:sz w:val="24"/>
          <w:szCs w:val="24"/>
        </w:rPr>
        <w:t xml:space="preserve"> [PMID: 20615567 DOI: 10.1016/j.jhep.2010.04.019]</w:t>
      </w:r>
    </w:p>
    <w:p w:rsidR="00AB3D4E" w:rsidRDefault="008F642A">
      <w:pPr>
        <w:spacing w:line="360" w:lineRule="auto"/>
        <w:rPr>
          <w:rFonts w:ascii="Book Antiqua" w:hAnsi="Book Antiqua" w:cs="Times New Roman"/>
          <w:sz w:val="24"/>
          <w:szCs w:val="24"/>
        </w:rPr>
      </w:pPr>
      <w:bookmarkStart w:id="47" w:name="_ENREF_9"/>
      <w:r>
        <w:rPr>
          <w:rFonts w:ascii="Book Antiqua" w:hAnsi="Book Antiqua" w:cs="Times New Roman"/>
          <w:sz w:val="24"/>
          <w:szCs w:val="24"/>
        </w:rPr>
        <w:t>9</w:t>
      </w:r>
      <w:r>
        <w:rPr>
          <w:rFonts w:ascii="Book Antiqua" w:hAnsi="Book Antiqua" w:cs="Times New Roman"/>
          <w:sz w:val="24"/>
          <w:szCs w:val="24"/>
        </w:rPr>
        <w:tab/>
      </w:r>
      <w:proofErr w:type="spellStart"/>
      <w:r>
        <w:rPr>
          <w:rFonts w:ascii="Book Antiqua" w:hAnsi="Book Antiqua" w:cs="Times New Roman"/>
          <w:b/>
          <w:sz w:val="24"/>
          <w:szCs w:val="24"/>
        </w:rPr>
        <w:t>Jangouk</w:t>
      </w:r>
      <w:proofErr w:type="spellEnd"/>
      <w:r>
        <w:rPr>
          <w:rFonts w:ascii="Book Antiqua" w:hAnsi="Book Antiqua" w:cs="Times New Roman"/>
          <w:b/>
          <w:sz w:val="24"/>
          <w:szCs w:val="24"/>
        </w:rPr>
        <w:t xml:space="preserve"> P</w:t>
      </w:r>
      <w:r>
        <w:rPr>
          <w:rFonts w:ascii="Book Antiqua" w:hAnsi="Book Antiqua" w:cs="Times New Roman"/>
          <w:sz w:val="24"/>
          <w:szCs w:val="24"/>
        </w:rPr>
        <w:t>, </w:t>
      </w:r>
      <w:proofErr w:type="spellStart"/>
      <w:r>
        <w:rPr>
          <w:rFonts w:ascii="Book Antiqua" w:hAnsi="Book Antiqua" w:cs="Times New Roman"/>
          <w:sz w:val="24"/>
          <w:szCs w:val="24"/>
        </w:rPr>
        <w:t>Turco</w:t>
      </w:r>
      <w:proofErr w:type="spellEnd"/>
      <w:r>
        <w:rPr>
          <w:rFonts w:ascii="Book Antiqua" w:hAnsi="Book Antiqua" w:cs="Times New Roman"/>
          <w:sz w:val="24"/>
          <w:szCs w:val="24"/>
        </w:rPr>
        <w:t xml:space="preserve"> L, De Oliveira A, </w:t>
      </w:r>
      <w:proofErr w:type="spellStart"/>
      <w:r>
        <w:rPr>
          <w:rFonts w:ascii="Book Antiqua" w:hAnsi="Book Antiqua" w:cs="Times New Roman"/>
          <w:sz w:val="24"/>
          <w:szCs w:val="24"/>
        </w:rPr>
        <w:t>Schepis</w:t>
      </w:r>
      <w:proofErr w:type="spellEnd"/>
      <w:r>
        <w:rPr>
          <w:rFonts w:ascii="Book Antiqua" w:hAnsi="Book Antiqua" w:cs="Times New Roman"/>
          <w:sz w:val="24"/>
          <w:szCs w:val="24"/>
        </w:rPr>
        <w:t xml:space="preserve"> F, Villa E, Garcia-</w:t>
      </w:r>
      <w:proofErr w:type="spellStart"/>
      <w:r>
        <w:rPr>
          <w:rFonts w:ascii="Book Antiqua" w:hAnsi="Book Antiqua" w:cs="Times New Roman"/>
          <w:sz w:val="24"/>
          <w:szCs w:val="24"/>
        </w:rPr>
        <w:t>Tsao</w:t>
      </w:r>
      <w:proofErr w:type="spellEnd"/>
      <w:r>
        <w:rPr>
          <w:rFonts w:ascii="Book Antiqua" w:hAnsi="Book Antiqua" w:cs="Times New Roman"/>
          <w:sz w:val="24"/>
          <w:szCs w:val="24"/>
        </w:rPr>
        <w:t xml:space="preserve"> G. Validating, deconstructing and refining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criteria for ruling out high-risk varices in patients with compensated cirrhosis. </w:t>
      </w:r>
      <w:r>
        <w:rPr>
          <w:rFonts w:ascii="Book Antiqua" w:hAnsi="Book Antiqua" w:cs="Times New Roman"/>
          <w:i/>
          <w:sz w:val="24"/>
          <w:szCs w:val="24"/>
        </w:rPr>
        <w:t xml:space="preserve">Liver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2017; </w:t>
      </w:r>
      <w:r>
        <w:rPr>
          <w:rFonts w:ascii="Book Antiqua" w:hAnsi="Book Antiqua" w:cs="Times New Roman"/>
          <w:b/>
          <w:sz w:val="24"/>
          <w:szCs w:val="24"/>
        </w:rPr>
        <w:t>37</w:t>
      </w:r>
      <w:r>
        <w:rPr>
          <w:rFonts w:ascii="Book Antiqua" w:hAnsi="Book Antiqua" w:cs="Times New Roman"/>
          <w:sz w:val="24"/>
          <w:szCs w:val="24"/>
        </w:rPr>
        <w:t>: 1177-1183 [PMID: 28160373 DOI: 10.1111/liv.13379]</w:t>
      </w:r>
      <w:bookmarkEnd w:id="47"/>
    </w:p>
    <w:p w:rsidR="00AB3D4E" w:rsidRDefault="008F642A">
      <w:pPr>
        <w:spacing w:line="360" w:lineRule="auto"/>
        <w:rPr>
          <w:rFonts w:ascii="Book Antiqua" w:hAnsi="Book Antiqua" w:cs="Times New Roman"/>
          <w:sz w:val="24"/>
          <w:szCs w:val="24"/>
        </w:rPr>
      </w:pPr>
      <w:bookmarkStart w:id="48" w:name="_ENREF_10"/>
      <w:r>
        <w:rPr>
          <w:rFonts w:ascii="Book Antiqua" w:hAnsi="Book Antiqua" w:cs="Times New Roman"/>
          <w:sz w:val="24"/>
          <w:szCs w:val="24"/>
        </w:rPr>
        <w:t>10</w:t>
      </w:r>
      <w:r>
        <w:rPr>
          <w:rFonts w:ascii="Book Antiqua" w:hAnsi="Book Antiqua" w:cs="Times New Roman"/>
          <w:sz w:val="24"/>
          <w:szCs w:val="24"/>
        </w:rPr>
        <w:tab/>
      </w:r>
      <w:r>
        <w:rPr>
          <w:rFonts w:ascii="Book Antiqua" w:hAnsi="Book Antiqua" w:cs="Times New Roman"/>
          <w:b/>
          <w:sz w:val="24"/>
          <w:szCs w:val="24"/>
        </w:rPr>
        <w:t>Sousa M</w:t>
      </w:r>
      <w:r>
        <w:rPr>
          <w:rFonts w:ascii="Book Antiqua" w:hAnsi="Book Antiqua" w:cs="Times New Roman"/>
          <w:sz w:val="24"/>
          <w:szCs w:val="24"/>
        </w:rPr>
        <w:t>, </w:t>
      </w:r>
      <w:proofErr w:type="spellStart"/>
      <w:r>
        <w:rPr>
          <w:rFonts w:ascii="Book Antiqua" w:hAnsi="Book Antiqua" w:cs="Times New Roman"/>
          <w:sz w:val="24"/>
          <w:szCs w:val="24"/>
        </w:rPr>
        <w:t>Fernandes</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Proença</w:t>
      </w:r>
      <w:proofErr w:type="spellEnd"/>
      <w:r>
        <w:rPr>
          <w:rFonts w:ascii="Book Antiqua" w:hAnsi="Book Antiqua" w:cs="Times New Roman"/>
          <w:sz w:val="24"/>
          <w:szCs w:val="24"/>
        </w:rPr>
        <w:t xml:space="preserve"> L, Silva AP, </w:t>
      </w:r>
      <w:proofErr w:type="spellStart"/>
      <w:r>
        <w:rPr>
          <w:rFonts w:ascii="Book Antiqua" w:hAnsi="Book Antiqua" w:cs="Times New Roman"/>
          <w:sz w:val="24"/>
          <w:szCs w:val="24"/>
        </w:rPr>
        <w:t>Leite</w:t>
      </w:r>
      <w:proofErr w:type="spellEnd"/>
      <w:r>
        <w:rPr>
          <w:rFonts w:ascii="Book Antiqua" w:hAnsi="Book Antiqua" w:cs="Times New Roman"/>
          <w:sz w:val="24"/>
          <w:szCs w:val="24"/>
        </w:rPr>
        <w:t xml:space="preserve"> S, Silva J, Ponte A, Rodrigues J, Silva JC, </w:t>
      </w:r>
      <w:proofErr w:type="spellStart"/>
      <w:r>
        <w:rPr>
          <w:rFonts w:ascii="Book Antiqua" w:hAnsi="Book Antiqua" w:cs="Times New Roman"/>
          <w:sz w:val="24"/>
          <w:szCs w:val="24"/>
        </w:rPr>
        <w:t>Carvalho</w:t>
      </w:r>
      <w:proofErr w:type="spellEnd"/>
      <w:r>
        <w:rPr>
          <w:rFonts w:ascii="Book Antiqua" w:hAnsi="Book Antiqua" w:cs="Times New Roman"/>
          <w:sz w:val="24"/>
          <w:szCs w:val="24"/>
        </w:rPr>
        <w:t xml:space="preserve"> J.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for predicting esophageal varices: Validation in real life practice. </w:t>
      </w:r>
      <w:r>
        <w:rPr>
          <w:rFonts w:ascii="Book Antiqua" w:hAnsi="Book Antiqua" w:cs="Times New Roman"/>
          <w:i/>
          <w:sz w:val="24"/>
          <w:szCs w:val="24"/>
        </w:rPr>
        <w:t xml:space="preserve">Rev </w:t>
      </w:r>
      <w:proofErr w:type="spellStart"/>
      <w:proofErr w:type="gramStart"/>
      <w:r>
        <w:rPr>
          <w:rFonts w:ascii="Book Antiqua" w:hAnsi="Book Antiqua" w:cs="Times New Roman"/>
          <w:i/>
          <w:sz w:val="24"/>
          <w:szCs w:val="24"/>
        </w:rPr>
        <w:t>Esp</w:t>
      </w:r>
      <w:proofErr w:type="spellEnd"/>
      <w:proofErr w:type="gramEnd"/>
      <w:r>
        <w:rPr>
          <w:rFonts w:ascii="Book Antiqua" w:hAnsi="Book Antiqua" w:cs="Times New Roman"/>
          <w:i/>
          <w:sz w:val="24"/>
          <w:szCs w:val="24"/>
        </w:rPr>
        <w:t xml:space="preserve"> </w:t>
      </w:r>
      <w:proofErr w:type="spellStart"/>
      <w:r>
        <w:rPr>
          <w:rFonts w:ascii="Book Antiqua" w:hAnsi="Book Antiqua" w:cs="Times New Roman"/>
          <w:i/>
          <w:sz w:val="24"/>
          <w:szCs w:val="24"/>
        </w:rPr>
        <w:t>Enferm</w:t>
      </w:r>
      <w:proofErr w:type="spellEnd"/>
      <w:r>
        <w:rPr>
          <w:rFonts w:ascii="Book Antiqua" w:hAnsi="Book Antiqua" w:cs="Times New Roman"/>
          <w:i/>
          <w:sz w:val="24"/>
          <w:szCs w:val="24"/>
        </w:rPr>
        <w:t xml:space="preserve"> Dig</w:t>
      </w:r>
      <w:r>
        <w:rPr>
          <w:rFonts w:ascii="Book Antiqua" w:hAnsi="Book Antiqua" w:cs="Times New Roman"/>
          <w:sz w:val="24"/>
          <w:szCs w:val="24"/>
        </w:rPr>
        <w:t xml:space="preserve"> 2017; </w:t>
      </w:r>
      <w:r>
        <w:rPr>
          <w:rFonts w:ascii="Book Antiqua" w:hAnsi="Book Antiqua" w:cs="Times New Roman"/>
          <w:b/>
          <w:sz w:val="24"/>
          <w:szCs w:val="24"/>
        </w:rPr>
        <w:t>109</w:t>
      </w:r>
      <w:r>
        <w:rPr>
          <w:rFonts w:ascii="Book Antiqua" w:hAnsi="Book Antiqua" w:cs="Times New Roman"/>
          <w:sz w:val="24"/>
          <w:szCs w:val="24"/>
        </w:rPr>
        <w:t>: 704-707</w:t>
      </w:r>
      <w:bookmarkEnd w:id="48"/>
      <w:r>
        <w:rPr>
          <w:rFonts w:ascii="Book Antiqua" w:hAnsi="Book Antiqua" w:cs="Times New Roman"/>
          <w:sz w:val="24"/>
          <w:szCs w:val="24"/>
        </w:rPr>
        <w:t xml:space="preserve"> [PMID: 28776387 DOI: 10.17235/reed.2017.5052/2017]</w:t>
      </w:r>
    </w:p>
    <w:p w:rsidR="00AB3D4E" w:rsidRDefault="008F642A">
      <w:pPr>
        <w:spacing w:line="360" w:lineRule="auto"/>
        <w:rPr>
          <w:rFonts w:ascii="Book Antiqua" w:hAnsi="Book Antiqua" w:cs="Times New Roman"/>
          <w:sz w:val="24"/>
          <w:szCs w:val="24"/>
        </w:rPr>
      </w:pPr>
      <w:bookmarkStart w:id="49" w:name="_ENREF_11"/>
      <w:r>
        <w:rPr>
          <w:rFonts w:ascii="Book Antiqua" w:hAnsi="Book Antiqua" w:cs="Times New Roman"/>
          <w:sz w:val="24"/>
          <w:szCs w:val="24"/>
        </w:rPr>
        <w:t>11</w:t>
      </w:r>
      <w:r>
        <w:rPr>
          <w:rFonts w:ascii="Book Antiqua" w:hAnsi="Book Antiqua" w:cs="Times New Roman"/>
          <w:sz w:val="24"/>
          <w:szCs w:val="24"/>
        </w:rPr>
        <w:tab/>
      </w:r>
      <w:r>
        <w:rPr>
          <w:rFonts w:ascii="Book Antiqua" w:hAnsi="Book Antiqua" w:cs="Times New Roman"/>
          <w:b/>
          <w:sz w:val="24"/>
          <w:szCs w:val="24"/>
        </w:rPr>
        <w:t>Silva MJ</w:t>
      </w:r>
      <w:r>
        <w:rPr>
          <w:rFonts w:ascii="Book Antiqua" w:hAnsi="Book Antiqua" w:cs="Times New Roman"/>
          <w:sz w:val="24"/>
          <w:szCs w:val="24"/>
        </w:rPr>
        <w:t>, </w:t>
      </w:r>
      <w:proofErr w:type="spellStart"/>
      <w:r>
        <w:rPr>
          <w:rFonts w:ascii="Book Antiqua" w:hAnsi="Book Antiqua" w:cs="Times New Roman"/>
          <w:sz w:val="24"/>
          <w:szCs w:val="24"/>
        </w:rPr>
        <w:t>Bernardes</w:t>
      </w:r>
      <w:proofErr w:type="spellEnd"/>
      <w:r>
        <w:rPr>
          <w:rFonts w:ascii="Book Antiqua" w:hAnsi="Book Antiqua" w:cs="Times New Roman"/>
          <w:sz w:val="24"/>
          <w:szCs w:val="24"/>
        </w:rPr>
        <w:t xml:space="preserve"> C, Pinto J, </w:t>
      </w:r>
      <w:proofErr w:type="spellStart"/>
      <w:r>
        <w:rPr>
          <w:rFonts w:ascii="Book Antiqua" w:hAnsi="Book Antiqua" w:cs="Times New Roman"/>
          <w:sz w:val="24"/>
          <w:szCs w:val="24"/>
        </w:rPr>
        <w:t>Loureiro</w:t>
      </w:r>
      <w:proofErr w:type="spellEnd"/>
      <w:r>
        <w:rPr>
          <w:rFonts w:ascii="Book Antiqua" w:hAnsi="Book Antiqua" w:cs="Times New Roman"/>
          <w:sz w:val="24"/>
          <w:szCs w:val="24"/>
        </w:rPr>
        <w:t xml:space="preserve"> R, Duarte P, Mendes M, </w:t>
      </w:r>
      <w:proofErr w:type="spellStart"/>
      <w:proofErr w:type="gramStart"/>
      <w:r>
        <w:rPr>
          <w:rFonts w:ascii="Book Antiqua" w:hAnsi="Book Antiqua" w:cs="Times New Roman"/>
          <w:sz w:val="24"/>
          <w:szCs w:val="24"/>
        </w:rPr>
        <w:t>Calinas</w:t>
      </w:r>
      <w:proofErr w:type="spellEnd"/>
      <w:proofErr w:type="gramEnd"/>
      <w:r>
        <w:rPr>
          <w:rFonts w:ascii="Book Antiqua" w:hAnsi="Book Antiqua" w:cs="Times New Roman"/>
          <w:sz w:val="24"/>
          <w:szCs w:val="24"/>
        </w:rPr>
        <w:t xml:space="preserve"> F.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Recommendation on Avoidance of Screening Endoscopy in Cirrhotic Patients: Are We There Yet? </w:t>
      </w:r>
      <w:r>
        <w:rPr>
          <w:rFonts w:ascii="Book Antiqua" w:hAnsi="Book Antiqua" w:cs="Times New Roman"/>
          <w:i/>
          <w:sz w:val="24"/>
          <w:szCs w:val="24"/>
        </w:rPr>
        <w:t xml:space="preserve">GE Port J </w:t>
      </w:r>
      <w:proofErr w:type="spellStart"/>
      <w:r>
        <w:rPr>
          <w:rFonts w:ascii="Book Antiqua" w:hAnsi="Book Antiqua" w:cs="Times New Roman"/>
          <w:i/>
          <w:sz w:val="24"/>
          <w:szCs w:val="24"/>
        </w:rPr>
        <w:t>Gastroenterol</w:t>
      </w:r>
      <w:proofErr w:type="spellEnd"/>
      <w:r>
        <w:rPr>
          <w:rFonts w:ascii="Book Antiqua" w:hAnsi="Book Antiqua" w:cs="Times New Roman"/>
          <w:sz w:val="24"/>
          <w:szCs w:val="24"/>
        </w:rPr>
        <w:t xml:space="preserve"> 2017; </w:t>
      </w:r>
      <w:r>
        <w:rPr>
          <w:rFonts w:ascii="Book Antiqua" w:hAnsi="Book Antiqua" w:cs="Times New Roman"/>
          <w:b/>
          <w:sz w:val="24"/>
          <w:szCs w:val="24"/>
        </w:rPr>
        <w:t>24</w:t>
      </w:r>
      <w:r>
        <w:rPr>
          <w:rFonts w:ascii="Book Antiqua" w:hAnsi="Book Antiqua" w:cs="Times New Roman"/>
          <w:sz w:val="24"/>
          <w:szCs w:val="24"/>
        </w:rPr>
        <w:t>: 79-83</w:t>
      </w:r>
      <w:bookmarkEnd w:id="49"/>
      <w:r>
        <w:rPr>
          <w:rFonts w:ascii="Book Antiqua" w:hAnsi="Book Antiqua" w:cs="Times New Roman"/>
          <w:sz w:val="24"/>
          <w:szCs w:val="24"/>
        </w:rPr>
        <w:t xml:space="preserve"> [PMID: 28848787</w:t>
      </w:r>
      <w:r>
        <w:rPr>
          <w:rFonts w:ascii="Book Antiqua" w:hAnsi="Book Antiqua" w:cs="Times New Roman" w:hint="eastAsia"/>
          <w:sz w:val="24"/>
          <w:szCs w:val="24"/>
        </w:rPr>
        <w:t xml:space="preserve"> </w:t>
      </w:r>
      <w:r>
        <w:rPr>
          <w:rFonts w:ascii="Book Antiqua" w:hAnsi="Book Antiqua" w:cs="Times New Roman"/>
          <w:sz w:val="24"/>
          <w:szCs w:val="24"/>
        </w:rPr>
        <w:t>DOI: 10.1159/000452693]</w:t>
      </w:r>
    </w:p>
    <w:p w:rsidR="00AB3D4E" w:rsidRDefault="008F642A">
      <w:pPr>
        <w:spacing w:line="360" w:lineRule="auto"/>
        <w:rPr>
          <w:rFonts w:ascii="Book Antiqua" w:hAnsi="Book Antiqua" w:cs="Times New Roman"/>
          <w:sz w:val="24"/>
          <w:szCs w:val="24"/>
        </w:rPr>
      </w:pPr>
      <w:bookmarkStart w:id="50" w:name="_ENREF_12"/>
      <w:r>
        <w:rPr>
          <w:rFonts w:ascii="Book Antiqua" w:hAnsi="Book Antiqua" w:cs="Times New Roman"/>
          <w:sz w:val="24"/>
          <w:szCs w:val="24"/>
        </w:rPr>
        <w:t>12</w:t>
      </w:r>
      <w:r>
        <w:rPr>
          <w:rFonts w:ascii="Book Antiqua" w:hAnsi="Book Antiqua" w:cs="Times New Roman"/>
          <w:sz w:val="24"/>
          <w:szCs w:val="24"/>
        </w:rPr>
        <w:tab/>
      </w:r>
      <w:r>
        <w:rPr>
          <w:rFonts w:ascii="Book Antiqua" w:hAnsi="Book Antiqua" w:cs="Times New Roman"/>
          <w:b/>
          <w:sz w:val="24"/>
          <w:szCs w:val="24"/>
        </w:rPr>
        <w:t>Augustin S</w:t>
      </w:r>
      <w:r>
        <w:rPr>
          <w:rFonts w:ascii="Book Antiqua" w:hAnsi="Book Antiqua" w:cs="Times New Roman"/>
          <w:sz w:val="24"/>
          <w:szCs w:val="24"/>
        </w:rPr>
        <w:t xml:space="preserve">, Pons M, Maurice JB, Bureau C, </w:t>
      </w:r>
      <w:proofErr w:type="spellStart"/>
      <w:r>
        <w:rPr>
          <w:rFonts w:ascii="Book Antiqua" w:hAnsi="Book Antiqua" w:cs="Times New Roman"/>
          <w:sz w:val="24"/>
          <w:szCs w:val="24"/>
        </w:rPr>
        <w:t>Stefanescu</w:t>
      </w:r>
      <w:proofErr w:type="spellEnd"/>
      <w:r>
        <w:rPr>
          <w:rFonts w:ascii="Book Antiqua" w:hAnsi="Book Antiqua" w:cs="Times New Roman"/>
          <w:sz w:val="24"/>
          <w:szCs w:val="24"/>
        </w:rPr>
        <w:t xml:space="preserve"> H, Ney M, </w:t>
      </w:r>
      <w:proofErr w:type="spellStart"/>
      <w:r>
        <w:rPr>
          <w:rFonts w:ascii="Book Antiqua" w:hAnsi="Book Antiqua" w:cs="Times New Roman"/>
          <w:sz w:val="24"/>
          <w:szCs w:val="24"/>
        </w:rPr>
        <w:t>Blasco</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Procopet</w:t>
      </w:r>
      <w:proofErr w:type="spellEnd"/>
      <w:r>
        <w:rPr>
          <w:rFonts w:ascii="Book Antiqua" w:hAnsi="Book Antiqua" w:cs="Times New Roman"/>
          <w:sz w:val="24"/>
          <w:szCs w:val="24"/>
        </w:rPr>
        <w:t xml:space="preserve"> B, </w:t>
      </w:r>
      <w:proofErr w:type="spellStart"/>
      <w:r>
        <w:rPr>
          <w:rFonts w:ascii="Book Antiqua" w:hAnsi="Book Antiqua" w:cs="Times New Roman"/>
          <w:sz w:val="24"/>
          <w:szCs w:val="24"/>
        </w:rPr>
        <w:t>Tsochatzis</w:t>
      </w:r>
      <w:proofErr w:type="spellEnd"/>
      <w:r>
        <w:rPr>
          <w:rFonts w:ascii="Book Antiqua" w:hAnsi="Book Antiqua" w:cs="Times New Roman"/>
          <w:sz w:val="24"/>
          <w:szCs w:val="24"/>
        </w:rPr>
        <w:t xml:space="preserve"> E, Westbrook RH, Bosch J, </w:t>
      </w:r>
      <w:proofErr w:type="spellStart"/>
      <w:r>
        <w:rPr>
          <w:rFonts w:ascii="Book Antiqua" w:hAnsi="Book Antiqua" w:cs="Times New Roman"/>
          <w:sz w:val="24"/>
          <w:szCs w:val="24"/>
        </w:rPr>
        <w:t>Berzigotti</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Abraldes</w:t>
      </w:r>
      <w:proofErr w:type="spellEnd"/>
      <w:r>
        <w:rPr>
          <w:rFonts w:ascii="Book Antiqua" w:hAnsi="Book Antiqua" w:cs="Times New Roman"/>
          <w:sz w:val="24"/>
          <w:szCs w:val="24"/>
        </w:rPr>
        <w:t xml:space="preserve"> JG, </w:t>
      </w:r>
      <w:proofErr w:type="spellStart"/>
      <w:r>
        <w:rPr>
          <w:rFonts w:ascii="Book Antiqua" w:hAnsi="Book Antiqua" w:cs="Times New Roman"/>
          <w:sz w:val="24"/>
          <w:szCs w:val="24"/>
        </w:rPr>
        <w:t>Genescà</w:t>
      </w:r>
      <w:proofErr w:type="spellEnd"/>
      <w:r>
        <w:rPr>
          <w:rFonts w:ascii="Book Antiqua" w:hAnsi="Book Antiqua" w:cs="Times New Roman"/>
          <w:sz w:val="24"/>
          <w:szCs w:val="24"/>
        </w:rPr>
        <w:t xml:space="preserve"> J. Expanding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for the screening of varices in patients with compensated advanced chronic liver disease. </w:t>
      </w:r>
      <w:r>
        <w:rPr>
          <w:rFonts w:ascii="Book Antiqua" w:hAnsi="Book Antiqua" w:cs="Times New Roman"/>
          <w:i/>
          <w:sz w:val="24"/>
          <w:szCs w:val="24"/>
        </w:rPr>
        <w:t>Hepatology</w:t>
      </w:r>
      <w:r>
        <w:rPr>
          <w:rFonts w:ascii="Book Antiqua" w:hAnsi="Book Antiqua" w:cs="Times New Roman"/>
          <w:sz w:val="24"/>
          <w:szCs w:val="24"/>
        </w:rPr>
        <w:t xml:space="preserve"> 2017; </w:t>
      </w:r>
      <w:r>
        <w:rPr>
          <w:rFonts w:ascii="Book Antiqua" w:hAnsi="Book Antiqua" w:cs="Times New Roman"/>
          <w:b/>
          <w:sz w:val="24"/>
          <w:szCs w:val="24"/>
        </w:rPr>
        <w:t>66</w:t>
      </w:r>
      <w:r>
        <w:rPr>
          <w:rFonts w:ascii="Book Antiqua" w:hAnsi="Book Antiqua" w:cs="Times New Roman"/>
          <w:sz w:val="24"/>
          <w:szCs w:val="24"/>
        </w:rPr>
        <w:t>: 1980-1988</w:t>
      </w:r>
      <w:bookmarkEnd w:id="50"/>
      <w:r>
        <w:rPr>
          <w:rFonts w:ascii="Book Antiqua" w:hAnsi="Book Antiqua" w:cs="Times New Roman"/>
          <w:sz w:val="24"/>
          <w:szCs w:val="24"/>
        </w:rPr>
        <w:t xml:space="preserve"> [PMID: 28696510 DOI: 10.1002/hep.29363]</w:t>
      </w:r>
    </w:p>
    <w:p w:rsidR="00AB3D4E" w:rsidRDefault="008F642A">
      <w:pPr>
        <w:spacing w:line="360" w:lineRule="auto"/>
        <w:rPr>
          <w:rFonts w:ascii="Book Antiqua" w:hAnsi="Book Antiqua" w:cs="Times New Roman"/>
          <w:sz w:val="24"/>
          <w:szCs w:val="24"/>
        </w:rPr>
      </w:pPr>
      <w:bookmarkStart w:id="51" w:name="_ENREF_13"/>
      <w:r>
        <w:rPr>
          <w:rFonts w:ascii="Book Antiqua" w:hAnsi="Book Antiqua" w:cs="Times New Roman"/>
          <w:sz w:val="24"/>
          <w:szCs w:val="24"/>
        </w:rPr>
        <w:t>13</w:t>
      </w:r>
      <w:r>
        <w:rPr>
          <w:rFonts w:ascii="Book Antiqua" w:hAnsi="Book Antiqua" w:cs="Times New Roman"/>
          <w:b/>
          <w:sz w:val="24"/>
          <w:szCs w:val="24"/>
        </w:rPr>
        <w:tab/>
        <w:t>Ding NS</w:t>
      </w:r>
      <w:r>
        <w:rPr>
          <w:rFonts w:ascii="Book Antiqua" w:hAnsi="Book Antiqua" w:cs="Times New Roman"/>
          <w:sz w:val="24"/>
          <w:szCs w:val="24"/>
        </w:rPr>
        <w:t xml:space="preserve">, Nguyen T, </w:t>
      </w:r>
      <w:proofErr w:type="spellStart"/>
      <w:r>
        <w:rPr>
          <w:rFonts w:ascii="Book Antiqua" w:hAnsi="Book Antiqua" w:cs="Times New Roman"/>
          <w:sz w:val="24"/>
          <w:szCs w:val="24"/>
        </w:rPr>
        <w:t>Iser</w:t>
      </w:r>
      <w:proofErr w:type="spellEnd"/>
      <w:r>
        <w:rPr>
          <w:rFonts w:ascii="Book Antiqua" w:hAnsi="Book Antiqua" w:cs="Times New Roman"/>
          <w:sz w:val="24"/>
          <w:szCs w:val="24"/>
        </w:rPr>
        <w:t xml:space="preserve"> DM, Hong T, Flanagan E, Wong A, Luiz L, Tan JY, </w:t>
      </w:r>
      <w:proofErr w:type="spellStart"/>
      <w:r>
        <w:rPr>
          <w:rFonts w:ascii="Book Antiqua" w:hAnsi="Book Antiqua" w:cs="Times New Roman"/>
          <w:sz w:val="24"/>
          <w:szCs w:val="24"/>
        </w:rPr>
        <w:t>Fulforth</w:t>
      </w:r>
      <w:proofErr w:type="spellEnd"/>
      <w:r>
        <w:rPr>
          <w:rFonts w:ascii="Book Antiqua" w:hAnsi="Book Antiqua" w:cs="Times New Roman"/>
          <w:sz w:val="24"/>
          <w:szCs w:val="24"/>
        </w:rPr>
        <w:t xml:space="preserve"> J, Holmes J, Ryan M, Bell SJ, Desmond PV, Roberts SK, </w:t>
      </w:r>
      <w:proofErr w:type="spellStart"/>
      <w:r>
        <w:rPr>
          <w:rFonts w:ascii="Book Antiqua" w:hAnsi="Book Antiqua" w:cs="Times New Roman"/>
          <w:sz w:val="24"/>
          <w:szCs w:val="24"/>
        </w:rPr>
        <w:t>Lubel</w:t>
      </w:r>
      <w:proofErr w:type="spellEnd"/>
      <w:r>
        <w:rPr>
          <w:rFonts w:ascii="Book Antiqua" w:hAnsi="Book Antiqua" w:cs="Times New Roman"/>
          <w:sz w:val="24"/>
          <w:szCs w:val="24"/>
        </w:rPr>
        <w:t xml:space="preserve"> J, Kemp W, Thompson AJ. Liver stiffness plus platelet count can be used to exclude high-risk </w:t>
      </w:r>
      <w:proofErr w:type="spellStart"/>
      <w:r>
        <w:rPr>
          <w:rFonts w:ascii="Book Antiqua" w:hAnsi="Book Antiqua" w:cs="Times New Roman"/>
          <w:sz w:val="24"/>
          <w:szCs w:val="24"/>
        </w:rPr>
        <w:t>oesophageal</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varices</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Liver </w:t>
      </w:r>
      <w:proofErr w:type="spellStart"/>
      <w:r>
        <w:rPr>
          <w:rFonts w:ascii="Book Antiqua" w:hAnsi="Book Antiqua" w:cs="Times New Roman"/>
          <w:i/>
          <w:sz w:val="24"/>
          <w:szCs w:val="24"/>
        </w:rPr>
        <w:t>Int</w:t>
      </w:r>
      <w:proofErr w:type="spellEnd"/>
      <w:r>
        <w:rPr>
          <w:rFonts w:ascii="Book Antiqua" w:hAnsi="Book Antiqua" w:cs="Times New Roman"/>
          <w:sz w:val="24"/>
          <w:szCs w:val="24"/>
        </w:rPr>
        <w:t xml:space="preserve"> 2016; </w:t>
      </w:r>
      <w:r>
        <w:rPr>
          <w:rFonts w:ascii="Book Antiqua" w:hAnsi="Book Antiqua" w:cs="Times New Roman"/>
          <w:b/>
          <w:sz w:val="24"/>
          <w:szCs w:val="24"/>
        </w:rPr>
        <w:t>36</w:t>
      </w:r>
      <w:r>
        <w:rPr>
          <w:rFonts w:ascii="Book Antiqua" w:hAnsi="Book Antiqua" w:cs="Times New Roman"/>
          <w:sz w:val="24"/>
          <w:szCs w:val="24"/>
        </w:rPr>
        <w:t>: 240-245</w:t>
      </w:r>
      <w:bookmarkEnd w:id="51"/>
      <w:r>
        <w:rPr>
          <w:rFonts w:ascii="Book Antiqua" w:hAnsi="Book Antiqua" w:cs="Times New Roman"/>
          <w:sz w:val="24"/>
          <w:szCs w:val="24"/>
        </w:rPr>
        <w:t xml:space="preserve"> [PMID: 26212020 DOI: 10.1111/liv.12916]</w:t>
      </w:r>
    </w:p>
    <w:p w:rsidR="00AB3D4E" w:rsidRDefault="008F642A">
      <w:pPr>
        <w:spacing w:line="360" w:lineRule="auto"/>
        <w:rPr>
          <w:rFonts w:ascii="Book Antiqua" w:hAnsi="Book Antiqua" w:cs="Times New Roman"/>
          <w:sz w:val="24"/>
          <w:szCs w:val="24"/>
        </w:rPr>
      </w:pPr>
      <w:bookmarkStart w:id="52" w:name="_ENREF_14"/>
      <w:r>
        <w:rPr>
          <w:rFonts w:ascii="Book Antiqua" w:hAnsi="Book Antiqua" w:cs="Times New Roman"/>
          <w:sz w:val="24"/>
          <w:szCs w:val="24"/>
        </w:rPr>
        <w:t>14</w:t>
      </w:r>
      <w:r>
        <w:rPr>
          <w:rFonts w:ascii="Book Antiqua" w:hAnsi="Book Antiqua" w:cs="Times New Roman"/>
          <w:sz w:val="24"/>
          <w:szCs w:val="24"/>
        </w:rPr>
        <w:tab/>
      </w:r>
      <w:proofErr w:type="spellStart"/>
      <w:r>
        <w:rPr>
          <w:rFonts w:ascii="Book Antiqua" w:hAnsi="Book Antiqua" w:cs="Times New Roman"/>
          <w:b/>
          <w:sz w:val="24"/>
          <w:szCs w:val="24"/>
        </w:rPr>
        <w:t>Shiha</w:t>
      </w:r>
      <w:proofErr w:type="spellEnd"/>
      <w:r>
        <w:rPr>
          <w:rFonts w:ascii="Book Antiqua" w:hAnsi="Book Antiqua" w:cs="Times New Roman"/>
          <w:b/>
          <w:sz w:val="24"/>
          <w:szCs w:val="24"/>
        </w:rPr>
        <w:t xml:space="preserve"> G</w:t>
      </w:r>
      <w:r>
        <w:rPr>
          <w:rFonts w:ascii="Book Antiqua" w:hAnsi="Book Antiqua" w:cs="Times New Roman"/>
          <w:sz w:val="24"/>
          <w:szCs w:val="24"/>
        </w:rPr>
        <w:t xml:space="preserve">, Ibrahim A, </w:t>
      </w:r>
      <w:proofErr w:type="spellStart"/>
      <w:r>
        <w:rPr>
          <w:rFonts w:ascii="Book Antiqua" w:hAnsi="Book Antiqua" w:cs="Times New Roman"/>
          <w:sz w:val="24"/>
          <w:szCs w:val="24"/>
        </w:rPr>
        <w:t>Helmy</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Sarin</w:t>
      </w:r>
      <w:proofErr w:type="spellEnd"/>
      <w:r>
        <w:rPr>
          <w:rFonts w:ascii="Book Antiqua" w:hAnsi="Book Antiqua" w:cs="Times New Roman"/>
          <w:sz w:val="24"/>
          <w:szCs w:val="24"/>
        </w:rPr>
        <w:t xml:space="preserve"> SK, </w:t>
      </w:r>
      <w:proofErr w:type="spellStart"/>
      <w:r>
        <w:rPr>
          <w:rFonts w:ascii="Book Antiqua" w:hAnsi="Book Antiqua" w:cs="Times New Roman"/>
          <w:sz w:val="24"/>
          <w:szCs w:val="24"/>
        </w:rPr>
        <w:t>Omata</w:t>
      </w:r>
      <w:proofErr w:type="spellEnd"/>
      <w:r>
        <w:rPr>
          <w:rFonts w:ascii="Book Antiqua" w:hAnsi="Book Antiqua" w:cs="Times New Roman"/>
          <w:sz w:val="24"/>
          <w:szCs w:val="24"/>
        </w:rPr>
        <w:t xml:space="preserve"> M, Kumar A, </w:t>
      </w:r>
      <w:proofErr w:type="spellStart"/>
      <w:r>
        <w:rPr>
          <w:rFonts w:ascii="Book Antiqua" w:hAnsi="Book Antiqua" w:cs="Times New Roman"/>
          <w:sz w:val="24"/>
          <w:szCs w:val="24"/>
        </w:rPr>
        <w:t>Bernstien</w:t>
      </w:r>
      <w:proofErr w:type="spellEnd"/>
      <w:r>
        <w:rPr>
          <w:rFonts w:ascii="Book Antiqua" w:hAnsi="Book Antiqua" w:cs="Times New Roman"/>
          <w:sz w:val="24"/>
          <w:szCs w:val="24"/>
        </w:rPr>
        <w:t xml:space="preserve"> D, Maruyama H, </w:t>
      </w:r>
      <w:proofErr w:type="spellStart"/>
      <w:r>
        <w:rPr>
          <w:rFonts w:ascii="Book Antiqua" w:hAnsi="Book Antiqua" w:cs="Times New Roman"/>
          <w:sz w:val="24"/>
          <w:szCs w:val="24"/>
        </w:rPr>
        <w:t>Saraswat</w:t>
      </w:r>
      <w:proofErr w:type="spellEnd"/>
      <w:r>
        <w:rPr>
          <w:rFonts w:ascii="Book Antiqua" w:hAnsi="Book Antiqua" w:cs="Times New Roman"/>
          <w:sz w:val="24"/>
          <w:szCs w:val="24"/>
        </w:rPr>
        <w:t xml:space="preserve"> V, </w:t>
      </w:r>
      <w:proofErr w:type="spellStart"/>
      <w:r>
        <w:rPr>
          <w:rFonts w:ascii="Book Antiqua" w:hAnsi="Book Antiqua" w:cs="Times New Roman"/>
          <w:sz w:val="24"/>
          <w:szCs w:val="24"/>
        </w:rPr>
        <w:t>Chawla</w:t>
      </w:r>
      <w:proofErr w:type="spellEnd"/>
      <w:r>
        <w:rPr>
          <w:rFonts w:ascii="Book Antiqua" w:hAnsi="Book Antiqua" w:cs="Times New Roman"/>
          <w:sz w:val="24"/>
          <w:szCs w:val="24"/>
        </w:rPr>
        <w:t xml:space="preserve"> Y, Hamid S, Abbas Z, </w:t>
      </w:r>
      <w:proofErr w:type="spellStart"/>
      <w:r>
        <w:rPr>
          <w:rFonts w:ascii="Book Antiqua" w:hAnsi="Book Antiqua" w:cs="Times New Roman"/>
          <w:sz w:val="24"/>
          <w:szCs w:val="24"/>
        </w:rPr>
        <w:t>Bedossa</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Sakhuja</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Elmahatab</w:t>
      </w:r>
      <w:proofErr w:type="spellEnd"/>
      <w:r>
        <w:rPr>
          <w:rFonts w:ascii="Book Antiqua" w:hAnsi="Book Antiqua" w:cs="Times New Roman"/>
          <w:sz w:val="24"/>
          <w:szCs w:val="24"/>
        </w:rPr>
        <w:t xml:space="preserve"> M, Lim SG, </w:t>
      </w:r>
      <w:proofErr w:type="spellStart"/>
      <w:r>
        <w:rPr>
          <w:rFonts w:ascii="Book Antiqua" w:hAnsi="Book Antiqua" w:cs="Times New Roman"/>
          <w:sz w:val="24"/>
          <w:szCs w:val="24"/>
        </w:rPr>
        <w:t>Lesmana</w:t>
      </w:r>
      <w:proofErr w:type="spellEnd"/>
      <w:r>
        <w:rPr>
          <w:rFonts w:ascii="Book Antiqua" w:hAnsi="Book Antiqua" w:cs="Times New Roman"/>
          <w:sz w:val="24"/>
          <w:szCs w:val="24"/>
        </w:rPr>
        <w:t xml:space="preserve"> L, </w:t>
      </w:r>
      <w:proofErr w:type="spellStart"/>
      <w:r>
        <w:rPr>
          <w:rFonts w:ascii="Book Antiqua" w:hAnsi="Book Antiqua" w:cs="Times New Roman"/>
          <w:sz w:val="24"/>
          <w:szCs w:val="24"/>
        </w:rPr>
        <w:t>Sollano</w:t>
      </w:r>
      <w:proofErr w:type="spellEnd"/>
      <w:r>
        <w:rPr>
          <w:rFonts w:ascii="Book Antiqua" w:hAnsi="Book Antiqua" w:cs="Times New Roman"/>
          <w:sz w:val="24"/>
          <w:szCs w:val="24"/>
        </w:rPr>
        <w:t xml:space="preserve"> J, </w:t>
      </w:r>
      <w:proofErr w:type="spellStart"/>
      <w:r>
        <w:rPr>
          <w:rFonts w:ascii="Book Antiqua" w:hAnsi="Book Antiqua" w:cs="Times New Roman"/>
          <w:sz w:val="24"/>
          <w:szCs w:val="24"/>
        </w:rPr>
        <w:t>Jia</w:t>
      </w:r>
      <w:proofErr w:type="spellEnd"/>
      <w:r>
        <w:rPr>
          <w:rFonts w:ascii="Book Antiqua" w:hAnsi="Book Antiqua" w:cs="Times New Roman"/>
          <w:sz w:val="24"/>
          <w:szCs w:val="24"/>
        </w:rPr>
        <w:t xml:space="preserve"> JD, Abbas B, Omar A, Sharma B, </w:t>
      </w:r>
      <w:proofErr w:type="spellStart"/>
      <w:r>
        <w:rPr>
          <w:rFonts w:ascii="Book Antiqua" w:hAnsi="Book Antiqua" w:cs="Times New Roman"/>
          <w:sz w:val="24"/>
          <w:szCs w:val="24"/>
        </w:rPr>
        <w:lastRenderedPageBreak/>
        <w:t>Payawal</w:t>
      </w:r>
      <w:proofErr w:type="spellEnd"/>
      <w:r>
        <w:rPr>
          <w:rFonts w:ascii="Book Antiqua" w:hAnsi="Book Antiqua" w:cs="Times New Roman"/>
          <w:sz w:val="24"/>
          <w:szCs w:val="24"/>
        </w:rPr>
        <w:t xml:space="preserve"> D, </w:t>
      </w:r>
      <w:proofErr w:type="spellStart"/>
      <w:r>
        <w:rPr>
          <w:rFonts w:ascii="Book Antiqua" w:hAnsi="Book Antiqua" w:cs="Times New Roman"/>
          <w:sz w:val="24"/>
          <w:szCs w:val="24"/>
        </w:rPr>
        <w:t>Abdallah</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Serwah</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Hamed</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Elsayed</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AbdelMaqsod</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Hassanein</w:t>
      </w:r>
      <w:proofErr w:type="spellEnd"/>
      <w:r>
        <w:rPr>
          <w:rFonts w:ascii="Book Antiqua" w:hAnsi="Book Antiqua" w:cs="Times New Roman"/>
          <w:sz w:val="24"/>
          <w:szCs w:val="24"/>
        </w:rPr>
        <w:t xml:space="preserve"> T, </w:t>
      </w:r>
      <w:proofErr w:type="spellStart"/>
      <w:r>
        <w:rPr>
          <w:rFonts w:ascii="Book Antiqua" w:hAnsi="Book Antiqua" w:cs="Times New Roman"/>
          <w:sz w:val="24"/>
          <w:szCs w:val="24"/>
        </w:rPr>
        <w:t>Ihab</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GHaziuan</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Zein</w:t>
      </w:r>
      <w:proofErr w:type="spellEnd"/>
      <w:r>
        <w:rPr>
          <w:rFonts w:ascii="Book Antiqua" w:hAnsi="Book Antiqua" w:cs="Times New Roman"/>
          <w:sz w:val="24"/>
          <w:szCs w:val="24"/>
        </w:rPr>
        <w:t xml:space="preserve"> N, Kumar M. Asian-Pacific Association for the Study of the Liver (APASL) consensus guidelines on invasive and non-invasive assessment of hepatic fibrosis: A 2016 update.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2017; </w:t>
      </w:r>
      <w:r>
        <w:rPr>
          <w:rFonts w:ascii="Book Antiqua" w:hAnsi="Book Antiqua" w:cs="Times New Roman"/>
          <w:b/>
          <w:sz w:val="24"/>
          <w:szCs w:val="24"/>
        </w:rPr>
        <w:t>11</w:t>
      </w:r>
      <w:r>
        <w:rPr>
          <w:rFonts w:ascii="Book Antiqua" w:hAnsi="Book Antiqua" w:cs="Times New Roman"/>
          <w:sz w:val="24"/>
          <w:szCs w:val="24"/>
        </w:rPr>
        <w:t>: 1-30</w:t>
      </w:r>
      <w:bookmarkEnd w:id="52"/>
      <w:r>
        <w:rPr>
          <w:rFonts w:ascii="Book Antiqua" w:hAnsi="Book Antiqua" w:cs="Times New Roman"/>
          <w:sz w:val="24"/>
          <w:szCs w:val="24"/>
        </w:rPr>
        <w:t xml:space="preserve"> [PMID: 27714681 DOI: 10.1007/s12072-016-9760-3]</w:t>
      </w:r>
    </w:p>
    <w:p w:rsidR="00AB3D4E" w:rsidRDefault="008F642A">
      <w:pPr>
        <w:spacing w:line="360" w:lineRule="auto"/>
        <w:rPr>
          <w:rFonts w:ascii="Book Antiqua" w:hAnsi="Book Antiqua" w:cs="Times New Roman"/>
          <w:sz w:val="24"/>
          <w:szCs w:val="24"/>
        </w:rPr>
      </w:pPr>
      <w:bookmarkStart w:id="53" w:name="_ENREF_15"/>
      <w:r>
        <w:rPr>
          <w:rFonts w:ascii="Book Antiqua" w:hAnsi="Book Antiqua" w:cs="Times New Roman"/>
          <w:sz w:val="24"/>
          <w:szCs w:val="24"/>
        </w:rPr>
        <w:t>15</w:t>
      </w:r>
      <w:r>
        <w:rPr>
          <w:rFonts w:ascii="Book Antiqua" w:hAnsi="Book Antiqua" w:cs="Times New Roman"/>
          <w:sz w:val="24"/>
          <w:szCs w:val="24"/>
        </w:rPr>
        <w:tab/>
      </w:r>
      <w:r>
        <w:rPr>
          <w:rFonts w:ascii="Book Antiqua" w:hAnsi="Book Antiqua" w:cs="Times New Roman"/>
          <w:b/>
          <w:sz w:val="24"/>
          <w:szCs w:val="24"/>
        </w:rPr>
        <w:t>Singh S</w:t>
      </w:r>
      <w:r>
        <w:rPr>
          <w:rFonts w:ascii="Book Antiqua" w:hAnsi="Book Antiqua" w:cs="Times New Roman"/>
          <w:sz w:val="24"/>
          <w:szCs w:val="24"/>
        </w:rPr>
        <w:t>, Muir AJ, </w:t>
      </w:r>
      <w:proofErr w:type="spellStart"/>
      <w:r>
        <w:rPr>
          <w:rFonts w:ascii="Book Antiqua" w:hAnsi="Book Antiqua" w:cs="Times New Roman"/>
          <w:sz w:val="24"/>
          <w:szCs w:val="24"/>
        </w:rPr>
        <w:t>Dieterich</w:t>
      </w:r>
      <w:proofErr w:type="spellEnd"/>
      <w:r>
        <w:rPr>
          <w:rFonts w:ascii="Book Antiqua" w:hAnsi="Book Antiqua" w:cs="Times New Roman"/>
          <w:sz w:val="24"/>
          <w:szCs w:val="24"/>
        </w:rPr>
        <w:t xml:space="preserve"> DT, </w:t>
      </w:r>
      <w:proofErr w:type="spellStart"/>
      <w:r>
        <w:rPr>
          <w:rFonts w:ascii="Book Antiqua" w:hAnsi="Book Antiqua" w:cs="Times New Roman"/>
          <w:sz w:val="24"/>
          <w:szCs w:val="24"/>
        </w:rPr>
        <w:t>Falck-Ytter</w:t>
      </w:r>
      <w:proofErr w:type="spellEnd"/>
      <w:r>
        <w:rPr>
          <w:rFonts w:ascii="Book Antiqua" w:hAnsi="Book Antiqua" w:cs="Times New Roman"/>
          <w:sz w:val="24"/>
          <w:szCs w:val="24"/>
        </w:rPr>
        <w:t xml:space="preserve"> YT. American Gastroenterological Association Institute Technical Review on the Role of </w:t>
      </w:r>
      <w:proofErr w:type="spellStart"/>
      <w:r>
        <w:rPr>
          <w:rFonts w:ascii="Book Antiqua" w:hAnsi="Book Antiqua" w:cs="Times New Roman"/>
          <w:sz w:val="24"/>
          <w:szCs w:val="24"/>
        </w:rPr>
        <w:t>Elastography</w:t>
      </w:r>
      <w:proofErr w:type="spellEnd"/>
      <w:r>
        <w:rPr>
          <w:rFonts w:ascii="Book Antiqua" w:hAnsi="Book Antiqua" w:cs="Times New Roman"/>
          <w:sz w:val="24"/>
          <w:szCs w:val="24"/>
        </w:rPr>
        <w:t xml:space="preserve"> in Chronic Liver Diseases. </w:t>
      </w:r>
      <w:r>
        <w:rPr>
          <w:rFonts w:ascii="Book Antiqua" w:hAnsi="Book Antiqua" w:cs="Times New Roman"/>
          <w:i/>
          <w:sz w:val="24"/>
          <w:szCs w:val="24"/>
        </w:rPr>
        <w:t>Gastroenterology</w:t>
      </w:r>
      <w:r>
        <w:rPr>
          <w:rFonts w:ascii="Book Antiqua" w:hAnsi="Book Antiqua" w:cs="Times New Roman"/>
          <w:sz w:val="24"/>
          <w:szCs w:val="24"/>
        </w:rPr>
        <w:t xml:space="preserve"> 2017; 152: 1544-1577</w:t>
      </w:r>
      <w:bookmarkEnd w:id="53"/>
      <w:r>
        <w:rPr>
          <w:rFonts w:ascii="Book Antiqua" w:hAnsi="Book Antiqua" w:cs="Times New Roman"/>
          <w:sz w:val="24"/>
          <w:szCs w:val="24"/>
        </w:rPr>
        <w:t xml:space="preserve"> [PMID: 28442120 DOI: 10.1053/j.gastro.2017.03.016]</w:t>
      </w:r>
    </w:p>
    <w:p w:rsidR="00AB3D4E" w:rsidRDefault="008F642A">
      <w:pPr>
        <w:spacing w:line="360" w:lineRule="auto"/>
        <w:rPr>
          <w:rFonts w:ascii="Book Antiqua" w:hAnsi="Book Antiqua" w:cs="Times New Roman"/>
          <w:sz w:val="24"/>
          <w:szCs w:val="24"/>
        </w:rPr>
      </w:pPr>
      <w:bookmarkStart w:id="54" w:name="_ENREF_16"/>
      <w:r>
        <w:rPr>
          <w:rFonts w:ascii="Book Antiqua" w:hAnsi="Book Antiqua" w:cs="Times New Roman"/>
          <w:sz w:val="24"/>
          <w:szCs w:val="24"/>
        </w:rPr>
        <w:t>16</w:t>
      </w:r>
      <w:r>
        <w:rPr>
          <w:rFonts w:ascii="Book Antiqua" w:hAnsi="Book Antiqua" w:cs="Times New Roman"/>
          <w:sz w:val="24"/>
          <w:szCs w:val="24"/>
        </w:rPr>
        <w:tab/>
      </w:r>
      <w:r>
        <w:rPr>
          <w:rFonts w:ascii="Book Antiqua" w:hAnsi="Book Antiqua" w:cs="Times New Roman"/>
          <w:b/>
          <w:sz w:val="24"/>
          <w:szCs w:val="24"/>
        </w:rPr>
        <w:t>Dong M</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Wu J,</w:t>
      </w:r>
      <w:r>
        <w:rPr>
          <w:rFonts w:ascii="Book Antiqua" w:hAnsi="Book Antiqua" w:cs="Times New Roman" w:hint="eastAsia"/>
          <w:sz w:val="24"/>
          <w:szCs w:val="24"/>
        </w:rPr>
        <w:t xml:space="preserve"> </w:t>
      </w:r>
      <w:r>
        <w:rPr>
          <w:rFonts w:ascii="Book Antiqua" w:hAnsi="Book Antiqua" w:cs="Times New Roman"/>
          <w:sz w:val="24"/>
          <w:szCs w:val="24"/>
        </w:rPr>
        <w:t>Yu X,</w:t>
      </w:r>
      <w:r>
        <w:rPr>
          <w:rFonts w:ascii="Book Antiqua" w:hAnsi="Book Antiqua" w:cs="Times New Roman" w:hint="eastAsia"/>
          <w:sz w:val="24"/>
          <w:szCs w:val="24"/>
        </w:rPr>
        <w:t xml:space="preserve"> </w:t>
      </w:r>
      <w:r>
        <w:rPr>
          <w:rFonts w:ascii="Book Antiqua" w:hAnsi="Book Antiqua" w:cs="Times New Roman"/>
          <w:sz w:val="24"/>
          <w:szCs w:val="24"/>
        </w:rPr>
        <w:t>Li J,</w:t>
      </w:r>
      <w:r>
        <w:rPr>
          <w:rFonts w:ascii="Book Antiqua" w:hAnsi="Book Antiqua" w:cs="Times New Roman" w:hint="eastAsia"/>
          <w:sz w:val="24"/>
          <w:szCs w:val="24"/>
        </w:rPr>
        <w:t xml:space="preserve"> </w:t>
      </w:r>
      <w:r>
        <w:rPr>
          <w:rFonts w:ascii="Book Antiqua" w:hAnsi="Book Antiqua" w:cs="Times New Roman"/>
          <w:sz w:val="24"/>
          <w:szCs w:val="24"/>
        </w:rPr>
        <w:t>Yang S,</w:t>
      </w:r>
      <w:r>
        <w:rPr>
          <w:rFonts w:ascii="Book Antiqua" w:hAnsi="Book Antiqua" w:cs="Times New Roman" w:hint="eastAsia"/>
          <w:sz w:val="24"/>
          <w:szCs w:val="24"/>
        </w:rPr>
        <w:t xml:space="preserve"> </w:t>
      </w:r>
      <w:r>
        <w:rPr>
          <w:rFonts w:ascii="Book Antiqua" w:hAnsi="Book Antiqua" w:cs="Times New Roman"/>
          <w:sz w:val="24"/>
          <w:szCs w:val="24"/>
        </w:rPr>
        <w:t>Qi X,</w:t>
      </w:r>
      <w:r>
        <w:rPr>
          <w:rFonts w:ascii="Book Antiqua" w:hAnsi="Book Antiqua" w:cs="Times New Roman" w:hint="eastAsia"/>
          <w:sz w:val="24"/>
          <w:szCs w:val="24"/>
        </w:rPr>
        <w:t xml:space="preserve"> </w:t>
      </w:r>
      <w:r>
        <w:rPr>
          <w:rFonts w:ascii="Book Antiqua" w:hAnsi="Book Antiqua" w:cs="Times New Roman"/>
          <w:sz w:val="24"/>
          <w:szCs w:val="24"/>
        </w:rPr>
        <w:t>Mao R,</w:t>
      </w:r>
      <w:r>
        <w:rPr>
          <w:rFonts w:ascii="Book Antiqua" w:hAnsi="Book Antiqua" w:cs="Times New Roman" w:hint="eastAsia"/>
          <w:sz w:val="24"/>
          <w:szCs w:val="24"/>
        </w:rPr>
        <w:t xml:space="preserve"> </w:t>
      </w:r>
      <w:r>
        <w:rPr>
          <w:rFonts w:ascii="Book Antiqua" w:hAnsi="Book Antiqua" w:cs="Times New Roman"/>
          <w:sz w:val="24"/>
          <w:szCs w:val="24"/>
        </w:rPr>
        <w:t>Zhang Y,</w:t>
      </w:r>
      <w:r>
        <w:rPr>
          <w:rFonts w:ascii="Book Antiqua" w:hAnsi="Book Antiqua" w:cs="Times New Roman" w:hint="eastAsia"/>
          <w:sz w:val="24"/>
          <w:szCs w:val="24"/>
        </w:rPr>
        <w:t xml:space="preserve"> </w:t>
      </w:r>
      <w:r>
        <w:rPr>
          <w:rFonts w:ascii="Book Antiqua" w:hAnsi="Book Antiqua" w:cs="Times New Roman"/>
          <w:sz w:val="24"/>
          <w:szCs w:val="24"/>
        </w:rPr>
        <w:t>Yu J,</w:t>
      </w:r>
      <w:r>
        <w:rPr>
          <w:rFonts w:ascii="Book Antiqua" w:hAnsi="Book Antiqua" w:cs="Times New Roman" w:hint="eastAsia"/>
          <w:sz w:val="24"/>
          <w:szCs w:val="24"/>
        </w:rPr>
        <w:t xml:space="preserve"> </w:t>
      </w:r>
      <w:r>
        <w:rPr>
          <w:rFonts w:ascii="Book Antiqua" w:hAnsi="Book Antiqua" w:cs="Times New Roman"/>
          <w:sz w:val="24"/>
          <w:szCs w:val="24"/>
        </w:rPr>
        <w:t>Zhu H,</w:t>
      </w:r>
      <w:r>
        <w:rPr>
          <w:rFonts w:ascii="Book Antiqua" w:hAnsi="Book Antiqua" w:cs="Times New Roman" w:hint="eastAsia"/>
          <w:sz w:val="24"/>
          <w:szCs w:val="24"/>
        </w:rPr>
        <w:t xml:space="preserve"> </w:t>
      </w:r>
      <w:r>
        <w:rPr>
          <w:rFonts w:ascii="Book Antiqua" w:hAnsi="Book Antiqua" w:cs="Times New Roman"/>
          <w:sz w:val="24"/>
          <w:szCs w:val="24"/>
        </w:rPr>
        <w:t>Yang F,</w:t>
      </w:r>
      <w:r>
        <w:rPr>
          <w:rFonts w:ascii="Book Antiqua" w:hAnsi="Book Antiqua" w:cs="Times New Roman" w:hint="eastAsia"/>
          <w:sz w:val="24"/>
          <w:szCs w:val="24"/>
        </w:rPr>
        <w:t xml:space="preserve"> </w:t>
      </w:r>
      <w:r>
        <w:rPr>
          <w:rFonts w:ascii="Book Antiqua" w:hAnsi="Book Antiqua" w:cs="Times New Roman"/>
          <w:sz w:val="24"/>
          <w:szCs w:val="24"/>
        </w:rPr>
        <w:t>Qin Y,</w:t>
      </w:r>
      <w:r>
        <w:rPr>
          <w:rFonts w:ascii="Book Antiqua" w:hAnsi="Book Antiqua" w:cs="Times New Roman" w:hint="eastAsia"/>
          <w:sz w:val="24"/>
          <w:szCs w:val="24"/>
        </w:rPr>
        <w:t xml:space="preserve"> </w:t>
      </w:r>
      <w:r>
        <w:rPr>
          <w:rFonts w:ascii="Book Antiqua" w:hAnsi="Book Antiqua" w:cs="Times New Roman"/>
          <w:sz w:val="24"/>
          <w:szCs w:val="24"/>
        </w:rPr>
        <w:t xml:space="preserve">Zhang J. Validation and comparison of seventeen noninvasive models for evaluating liver fibrosis in Chinese hepatitis B patients. </w:t>
      </w:r>
      <w:r>
        <w:rPr>
          <w:rFonts w:ascii="Book Antiqua" w:hAnsi="Book Antiqua" w:cs="Times New Roman"/>
          <w:i/>
          <w:sz w:val="24"/>
          <w:szCs w:val="24"/>
        </w:rPr>
        <w:t xml:space="preserve">Liver </w:t>
      </w:r>
      <w:proofErr w:type="spellStart"/>
      <w:r>
        <w:rPr>
          <w:rFonts w:ascii="Book Antiqua" w:hAnsi="Book Antiqua" w:cs="Times New Roman"/>
          <w:i/>
          <w:sz w:val="24"/>
          <w:szCs w:val="24"/>
        </w:rPr>
        <w:t>Int</w:t>
      </w:r>
      <w:proofErr w:type="spellEnd"/>
      <w:r>
        <w:rPr>
          <w:rFonts w:ascii="Book Antiqua" w:hAnsi="Book Antiqua" w:cs="Times New Roman"/>
          <w:sz w:val="24"/>
          <w:szCs w:val="24"/>
        </w:rPr>
        <w:t xml:space="preserve"> 2018; </w:t>
      </w:r>
      <w:r>
        <w:rPr>
          <w:rFonts w:ascii="Book Antiqua" w:hAnsi="Book Antiqua" w:cs="Times New Roman"/>
          <w:b/>
          <w:sz w:val="24"/>
          <w:szCs w:val="24"/>
        </w:rPr>
        <w:t>38</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1562-1570</w:t>
      </w:r>
      <w:bookmarkEnd w:id="54"/>
      <w:r>
        <w:rPr>
          <w:rFonts w:ascii="Book Antiqua" w:hAnsi="Book Antiqua" w:cs="Times New Roman"/>
          <w:sz w:val="24"/>
          <w:szCs w:val="24"/>
        </w:rPr>
        <w:t xml:space="preserve"> [PMID: 29314613 DOI: 10.1111/liv.13688]</w:t>
      </w:r>
    </w:p>
    <w:p w:rsidR="00AB3D4E" w:rsidRDefault="008F642A">
      <w:pPr>
        <w:spacing w:line="360" w:lineRule="auto"/>
        <w:rPr>
          <w:rFonts w:ascii="Book Antiqua" w:hAnsi="Book Antiqua" w:cs="Times New Roman"/>
          <w:sz w:val="24"/>
          <w:szCs w:val="24"/>
        </w:rPr>
      </w:pPr>
      <w:bookmarkStart w:id="55" w:name="_ENREF_17"/>
      <w:r>
        <w:rPr>
          <w:rFonts w:ascii="Book Antiqua" w:hAnsi="Book Antiqua" w:cs="Times New Roman"/>
          <w:sz w:val="24"/>
          <w:szCs w:val="24"/>
        </w:rPr>
        <w:t>17</w:t>
      </w:r>
      <w:r>
        <w:rPr>
          <w:rFonts w:ascii="Book Antiqua" w:hAnsi="Book Antiqua" w:cs="Times New Roman"/>
          <w:sz w:val="24"/>
          <w:szCs w:val="24"/>
        </w:rPr>
        <w:tab/>
      </w:r>
      <w:proofErr w:type="spellStart"/>
      <w:r>
        <w:rPr>
          <w:rFonts w:ascii="Book Antiqua" w:hAnsi="Book Antiqua" w:cs="Times New Roman"/>
          <w:b/>
          <w:sz w:val="24"/>
          <w:szCs w:val="24"/>
        </w:rPr>
        <w:t>Lok</w:t>
      </w:r>
      <w:proofErr w:type="spellEnd"/>
      <w:r>
        <w:rPr>
          <w:rFonts w:ascii="Book Antiqua" w:hAnsi="Book Antiqua" w:cs="Times New Roman"/>
          <w:b/>
          <w:sz w:val="24"/>
          <w:szCs w:val="24"/>
        </w:rPr>
        <w:t xml:space="preserve"> AS</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Ghany</w:t>
      </w:r>
      <w:proofErr w:type="spellEnd"/>
      <w:r>
        <w:rPr>
          <w:rFonts w:ascii="Book Antiqua" w:hAnsi="Book Antiqua" w:cs="Times New Roman"/>
          <w:sz w:val="24"/>
          <w:szCs w:val="24"/>
        </w:rPr>
        <w:t xml:space="preserve"> MG,</w:t>
      </w:r>
      <w:r>
        <w:rPr>
          <w:rFonts w:ascii="Book Antiqua" w:hAnsi="Book Antiqua" w:cs="Times New Roman" w:hint="eastAsia"/>
          <w:sz w:val="24"/>
          <w:szCs w:val="24"/>
        </w:rPr>
        <w:t xml:space="preserve"> </w:t>
      </w:r>
      <w:r>
        <w:rPr>
          <w:rFonts w:ascii="Book Antiqua" w:hAnsi="Book Antiqua" w:cs="Times New Roman"/>
          <w:sz w:val="24"/>
          <w:szCs w:val="24"/>
        </w:rPr>
        <w:t>Goodman ZD,</w:t>
      </w:r>
      <w:r>
        <w:rPr>
          <w:rFonts w:ascii="Book Antiqua" w:hAnsi="Book Antiqua" w:cs="Times New Roman" w:hint="eastAsia"/>
          <w:sz w:val="24"/>
          <w:szCs w:val="24"/>
        </w:rPr>
        <w:t xml:space="preserve"> </w:t>
      </w:r>
      <w:r>
        <w:rPr>
          <w:rFonts w:ascii="Book Antiqua" w:hAnsi="Book Antiqua" w:cs="Times New Roman"/>
          <w:sz w:val="24"/>
          <w:szCs w:val="24"/>
        </w:rPr>
        <w:t>Wright EC,</w:t>
      </w:r>
      <w:r>
        <w:rPr>
          <w:rFonts w:ascii="Book Antiqua" w:hAnsi="Book Antiqua" w:cs="Times New Roman" w:hint="eastAsia"/>
          <w:sz w:val="24"/>
          <w:szCs w:val="24"/>
        </w:rPr>
        <w:t xml:space="preserve"> </w:t>
      </w:r>
      <w:r>
        <w:rPr>
          <w:rFonts w:ascii="Book Antiqua" w:hAnsi="Book Antiqua" w:cs="Times New Roman"/>
          <w:sz w:val="24"/>
          <w:szCs w:val="24"/>
        </w:rPr>
        <w:t>Everson GT,</w:t>
      </w:r>
      <w:r>
        <w:rPr>
          <w:rFonts w:ascii="Book Antiqua" w:hAnsi="Book Antiqua" w:cs="Times New Roman" w:hint="eastAsia"/>
          <w:sz w:val="24"/>
          <w:szCs w:val="24"/>
        </w:rPr>
        <w:t xml:space="preserve"> </w:t>
      </w:r>
      <w:r>
        <w:rPr>
          <w:rFonts w:ascii="Book Antiqua" w:hAnsi="Book Antiqua" w:cs="Times New Roman"/>
          <w:sz w:val="24"/>
          <w:szCs w:val="24"/>
        </w:rPr>
        <w:t>Sterling RK,</w:t>
      </w:r>
      <w:r>
        <w:rPr>
          <w:rFonts w:ascii="Book Antiqua" w:hAnsi="Book Antiqua" w:cs="Times New Roman" w:hint="eastAsia"/>
          <w:sz w:val="24"/>
          <w:szCs w:val="24"/>
        </w:rPr>
        <w:t xml:space="preserve"> </w:t>
      </w:r>
      <w:r>
        <w:rPr>
          <w:rFonts w:ascii="Book Antiqua" w:hAnsi="Book Antiqua" w:cs="Times New Roman"/>
          <w:sz w:val="24"/>
          <w:szCs w:val="24"/>
        </w:rPr>
        <w:t>Everhart JE,</w:t>
      </w:r>
      <w:r>
        <w:rPr>
          <w:rFonts w:ascii="Book Antiqua" w:hAnsi="Book Antiqua" w:cs="Times New Roman" w:hint="eastAsia"/>
          <w:sz w:val="24"/>
          <w:szCs w:val="24"/>
        </w:rPr>
        <w:t xml:space="preserve"> </w:t>
      </w:r>
      <w:r>
        <w:rPr>
          <w:rFonts w:ascii="Book Antiqua" w:hAnsi="Book Antiqua" w:cs="Times New Roman"/>
          <w:sz w:val="24"/>
          <w:szCs w:val="24"/>
        </w:rPr>
        <w:t>Lindsay KL,</w:t>
      </w:r>
      <w:r>
        <w:rPr>
          <w:rFonts w:ascii="Book Antiqua" w:hAnsi="Book Antiqua" w:cs="Times New Roman" w:hint="eastAsia"/>
          <w:sz w:val="24"/>
          <w:szCs w:val="24"/>
        </w:rPr>
        <w:t xml:space="preserve"> </w:t>
      </w:r>
      <w:proofErr w:type="spellStart"/>
      <w:r>
        <w:rPr>
          <w:rFonts w:ascii="Book Antiqua" w:hAnsi="Book Antiqua" w:cs="Times New Roman"/>
          <w:sz w:val="24"/>
          <w:szCs w:val="24"/>
        </w:rPr>
        <w:t>Bonkovsky</w:t>
      </w:r>
      <w:proofErr w:type="spellEnd"/>
      <w:r>
        <w:rPr>
          <w:rFonts w:ascii="Book Antiqua" w:hAnsi="Book Antiqua" w:cs="Times New Roman"/>
          <w:sz w:val="24"/>
          <w:szCs w:val="24"/>
        </w:rPr>
        <w:t xml:space="preserve"> HL,</w:t>
      </w:r>
      <w:r>
        <w:rPr>
          <w:rFonts w:ascii="Book Antiqua" w:hAnsi="Book Antiqua" w:cs="Times New Roman" w:hint="eastAsia"/>
          <w:sz w:val="24"/>
          <w:szCs w:val="24"/>
        </w:rPr>
        <w:t xml:space="preserve"> </w:t>
      </w:r>
      <w:r>
        <w:rPr>
          <w:rFonts w:ascii="Book Antiqua" w:hAnsi="Book Antiqua" w:cs="Times New Roman"/>
          <w:sz w:val="24"/>
          <w:szCs w:val="24"/>
        </w:rPr>
        <w:t xml:space="preserve">Di </w:t>
      </w:r>
      <w:proofErr w:type="spellStart"/>
      <w:r>
        <w:rPr>
          <w:rFonts w:ascii="Book Antiqua" w:hAnsi="Book Antiqua" w:cs="Times New Roman"/>
          <w:sz w:val="24"/>
          <w:szCs w:val="24"/>
        </w:rPr>
        <w:t>Bisceglie</w:t>
      </w:r>
      <w:proofErr w:type="spellEnd"/>
      <w:r>
        <w:rPr>
          <w:rFonts w:ascii="Book Antiqua" w:hAnsi="Book Antiqua" w:cs="Times New Roman"/>
          <w:sz w:val="24"/>
          <w:szCs w:val="24"/>
        </w:rPr>
        <w:t xml:space="preserve"> AM,</w:t>
      </w:r>
      <w:r>
        <w:rPr>
          <w:rFonts w:ascii="Book Antiqua" w:hAnsi="Book Antiqua" w:cs="Times New Roman" w:hint="eastAsia"/>
          <w:sz w:val="24"/>
          <w:szCs w:val="24"/>
        </w:rPr>
        <w:t xml:space="preserve"> </w:t>
      </w:r>
      <w:r>
        <w:rPr>
          <w:rFonts w:ascii="Book Antiqua" w:hAnsi="Book Antiqua" w:cs="Times New Roman"/>
          <w:sz w:val="24"/>
          <w:szCs w:val="24"/>
        </w:rPr>
        <w:t>Lee WM,</w:t>
      </w:r>
      <w:r>
        <w:rPr>
          <w:rFonts w:ascii="Book Antiqua" w:hAnsi="Book Antiqua" w:cs="Times New Roman" w:hint="eastAsia"/>
          <w:sz w:val="24"/>
          <w:szCs w:val="24"/>
        </w:rPr>
        <w:t xml:space="preserve"> </w:t>
      </w:r>
      <w:r>
        <w:rPr>
          <w:rFonts w:ascii="Book Antiqua" w:hAnsi="Book Antiqua" w:cs="Times New Roman"/>
          <w:sz w:val="24"/>
          <w:szCs w:val="24"/>
        </w:rPr>
        <w:t>Morgan TR,</w:t>
      </w:r>
      <w:r>
        <w:rPr>
          <w:rFonts w:ascii="Book Antiqua" w:hAnsi="Book Antiqua" w:cs="Times New Roman" w:hint="eastAsia"/>
          <w:sz w:val="24"/>
          <w:szCs w:val="24"/>
        </w:rPr>
        <w:t xml:space="preserve"> </w:t>
      </w:r>
      <w:proofErr w:type="spellStart"/>
      <w:r>
        <w:rPr>
          <w:rFonts w:ascii="Book Antiqua" w:hAnsi="Book Antiqua" w:cs="Times New Roman"/>
          <w:sz w:val="24"/>
          <w:szCs w:val="24"/>
        </w:rPr>
        <w:t>Dienstag</w:t>
      </w:r>
      <w:proofErr w:type="spellEnd"/>
      <w:r>
        <w:rPr>
          <w:rFonts w:ascii="Book Antiqua" w:hAnsi="Book Antiqua" w:cs="Times New Roman"/>
          <w:sz w:val="24"/>
          <w:szCs w:val="24"/>
        </w:rPr>
        <w:t xml:space="preserve"> JL,</w:t>
      </w:r>
      <w:r>
        <w:rPr>
          <w:rFonts w:ascii="Book Antiqua" w:hAnsi="Book Antiqua" w:cs="Times New Roman" w:hint="eastAsia"/>
          <w:sz w:val="24"/>
          <w:szCs w:val="24"/>
        </w:rPr>
        <w:t xml:space="preserve"> </w:t>
      </w:r>
      <w:proofErr w:type="spellStart"/>
      <w:r>
        <w:rPr>
          <w:rFonts w:ascii="Book Antiqua" w:hAnsi="Book Antiqua" w:cs="Times New Roman"/>
          <w:sz w:val="24"/>
          <w:szCs w:val="24"/>
        </w:rPr>
        <w:t>Morishima</w:t>
      </w:r>
      <w:proofErr w:type="spellEnd"/>
      <w:r>
        <w:rPr>
          <w:rFonts w:ascii="Book Antiqua" w:hAnsi="Book Antiqua" w:cs="Times New Roman" w:hint="eastAsia"/>
          <w:sz w:val="24"/>
          <w:szCs w:val="24"/>
        </w:rPr>
        <w:t xml:space="preserve"> </w:t>
      </w:r>
      <w:r>
        <w:rPr>
          <w:rFonts w:ascii="Book Antiqua" w:hAnsi="Book Antiqua" w:cs="Times New Roman"/>
          <w:sz w:val="24"/>
          <w:szCs w:val="24"/>
        </w:rPr>
        <w:t xml:space="preserve">C. Predicting cirrhosis in patients with hepatitis C based on standard laboratory tests: Results of the HALT-C cohort. </w:t>
      </w:r>
      <w:r>
        <w:rPr>
          <w:rFonts w:ascii="Book Antiqua" w:hAnsi="Book Antiqua" w:cs="Times New Roman"/>
          <w:i/>
          <w:sz w:val="24"/>
          <w:szCs w:val="24"/>
        </w:rPr>
        <w:t>Hepatology</w:t>
      </w:r>
      <w:r>
        <w:rPr>
          <w:rFonts w:ascii="Book Antiqua" w:hAnsi="Book Antiqua" w:cs="Times New Roman"/>
          <w:sz w:val="24"/>
          <w:szCs w:val="24"/>
        </w:rPr>
        <w:t xml:space="preserve"> 2005; </w:t>
      </w:r>
      <w:r>
        <w:rPr>
          <w:rFonts w:ascii="Book Antiqua" w:hAnsi="Book Antiqua" w:cs="Times New Roman"/>
          <w:b/>
          <w:sz w:val="24"/>
          <w:szCs w:val="24"/>
        </w:rPr>
        <w:t>42</w:t>
      </w:r>
      <w:r>
        <w:rPr>
          <w:rFonts w:ascii="Book Antiqua" w:hAnsi="Book Antiqua" w:cs="Times New Roman"/>
          <w:sz w:val="24"/>
          <w:szCs w:val="24"/>
        </w:rPr>
        <w:t>: 282-292</w:t>
      </w:r>
      <w:bookmarkEnd w:id="55"/>
      <w:r>
        <w:rPr>
          <w:rFonts w:ascii="Book Antiqua" w:hAnsi="Book Antiqua" w:cs="Times New Roman"/>
          <w:sz w:val="24"/>
          <w:szCs w:val="24"/>
        </w:rPr>
        <w:t xml:space="preserve"> [PMID: 15986415 DOI: 10.1002/hep.20772]</w:t>
      </w:r>
    </w:p>
    <w:p w:rsidR="00AB3D4E" w:rsidRDefault="008F642A">
      <w:pPr>
        <w:spacing w:line="360" w:lineRule="auto"/>
        <w:rPr>
          <w:rFonts w:ascii="Book Antiqua" w:hAnsi="Book Antiqua" w:cs="Times New Roman"/>
          <w:sz w:val="24"/>
          <w:szCs w:val="24"/>
        </w:rPr>
      </w:pPr>
      <w:bookmarkStart w:id="56" w:name="_ENREF_18"/>
      <w:r>
        <w:rPr>
          <w:rFonts w:ascii="Book Antiqua" w:hAnsi="Book Antiqua" w:cs="Times New Roman"/>
          <w:sz w:val="24"/>
          <w:szCs w:val="24"/>
        </w:rPr>
        <w:t>18</w:t>
      </w:r>
      <w:r>
        <w:rPr>
          <w:rFonts w:ascii="Book Antiqua" w:hAnsi="Book Antiqua" w:cs="Times New Roman"/>
          <w:sz w:val="24"/>
          <w:szCs w:val="24"/>
        </w:rPr>
        <w:tab/>
      </w:r>
      <w:r>
        <w:rPr>
          <w:rFonts w:ascii="Book Antiqua" w:hAnsi="Book Antiqua" w:cs="Times New Roman"/>
          <w:b/>
          <w:sz w:val="24"/>
          <w:szCs w:val="24"/>
        </w:rPr>
        <w:t>Ma J</w:t>
      </w:r>
      <w:r>
        <w:rPr>
          <w:rFonts w:ascii="Book Antiqua" w:hAnsi="Book Antiqua" w:cs="Times New Roman"/>
          <w:sz w:val="24"/>
          <w:szCs w:val="24"/>
        </w:rPr>
        <w:t xml:space="preserve">, Jiang Y, Gong G. Evaluation of seven noninvasive models in staging liver fibrosis in patients with chronic hepatitis B virus infection. </w:t>
      </w:r>
      <w:proofErr w:type="spellStart"/>
      <w:r>
        <w:rPr>
          <w:rFonts w:ascii="Book Antiqua" w:hAnsi="Book Antiqua" w:cs="Times New Roman"/>
          <w:i/>
          <w:sz w:val="24"/>
          <w:szCs w:val="24"/>
        </w:rPr>
        <w:t>Eur</w:t>
      </w:r>
      <w:proofErr w:type="spellEnd"/>
      <w:r>
        <w:rPr>
          <w:rFonts w:ascii="Book Antiqua" w:hAnsi="Book Antiqua" w:cs="Times New Roman"/>
          <w:i/>
          <w:sz w:val="24"/>
          <w:szCs w:val="24"/>
        </w:rPr>
        <w:t xml:space="preserve"> 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Hepatol</w:t>
      </w:r>
      <w:proofErr w:type="spellEnd"/>
      <w:r>
        <w:rPr>
          <w:rFonts w:ascii="Book Antiqua" w:hAnsi="Book Antiqua" w:cs="Times New Roman"/>
          <w:sz w:val="24"/>
          <w:szCs w:val="24"/>
        </w:rPr>
        <w:t xml:space="preserve"> 2013; </w:t>
      </w:r>
      <w:r>
        <w:rPr>
          <w:rFonts w:ascii="Book Antiqua" w:hAnsi="Book Antiqua" w:cs="Times New Roman"/>
          <w:b/>
          <w:sz w:val="24"/>
          <w:szCs w:val="24"/>
        </w:rPr>
        <w:t>25</w:t>
      </w:r>
      <w:r>
        <w:rPr>
          <w:rFonts w:ascii="Book Antiqua" w:hAnsi="Book Antiqua" w:cs="Times New Roman"/>
          <w:sz w:val="24"/>
          <w:szCs w:val="24"/>
        </w:rPr>
        <w:t>: 428-434</w:t>
      </w:r>
      <w:bookmarkEnd w:id="56"/>
      <w:r>
        <w:rPr>
          <w:rFonts w:ascii="Book Antiqua" w:hAnsi="Book Antiqua" w:cs="Times New Roman"/>
          <w:sz w:val="24"/>
          <w:szCs w:val="24"/>
        </w:rPr>
        <w:t xml:space="preserve"> [PMID: 23358121 DOI: 10.1097/MEG.0b013e32835cb5dd]</w:t>
      </w:r>
    </w:p>
    <w:p w:rsidR="00AB3D4E" w:rsidRDefault="008F642A">
      <w:pPr>
        <w:spacing w:line="360" w:lineRule="auto"/>
        <w:rPr>
          <w:rFonts w:ascii="Book Antiqua" w:hAnsi="Book Antiqua" w:cs="Times New Roman"/>
          <w:sz w:val="24"/>
          <w:szCs w:val="24"/>
        </w:rPr>
      </w:pPr>
      <w:bookmarkStart w:id="57" w:name="_ENREF_19"/>
      <w:r>
        <w:rPr>
          <w:rFonts w:ascii="Book Antiqua" w:hAnsi="Book Antiqua" w:cs="Times New Roman"/>
          <w:sz w:val="24"/>
          <w:szCs w:val="24"/>
        </w:rPr>
        <w:t>19</w:t>
      </w:r>
      <w:r>
        <w:rPr>
          <w:rFonts w:ascii="Book Antiqua" w:hAnsi="Book Antiqua" w:cs="Times New Roman"/>
          <w:sz w:val="24"/>
          <w:szCs w:val="24"/>
        </w:rPr>
        <w:tab/>
      </w:r>
      <w:proofErr w:type="spellStart"/>
      <w:r>
        <w:rPr>
          <w:rFonts w:ascii="Book Antiqua" w:hAnsi="Book Antiqua" w:cs="Times New Roman"/>
          <w:b/>
          <w:sz w:val="24"/>
          <w:szCs w:val="24"/>
        </w:rPr>
        <w:t>Rockey</w:t>
      </w:r>
      <w:proofErr w:type="spellEnd"/>
      <w:r>
        <w:rPr>
          <w:rFonts w:ascii="Book Antiqua" w:hAnsi="Book Antiqua" w:cs="Times New Roman"/>
          <w:b/>
          <w:sz w:val="24"/>
          <w:szCs w:val="24"/>
        </w:rPr>
        <w:t xml:space="preserve"> DC</w:t>
      </w:r>
      <w:r>
        <w:rPr>
          <w:rFonts w:ascii="Book Antiqua" w:hAnsi="Book Antiqua" w:cs="Times New Roman"/>
          <w:sz w:val="24"/>
          <w:szCs w:val="24"/>
        </w:rPr>
        <w:t xml:space="preserve">, Elliott A, Lyles T. Prediction of esophageal varices and variceal hemorrhage in patients with acute upper gastrointestinal bleeding. </w:t>
      </w:r>
      <w:r>
        <w:rPr>
          <w:rFonts w:ascii="Book Antiqua" w:hAnsi="Book Antiqua" w:cs="Times New Roman"/>
          <w:i/>
          <w:sz w:val="24"/>
          <w:szCs w:val="24"/>
        </w:rPr>
        <w:t xml:space="preserve">J </w:t>
      </w:r>
      <w:proofErr w:type="spellStart"/>
      <w:r>
        <w:rPr>
          <w:rFonts w:ascii="Book Antiqua" w:hAnsi="Book Antiqua" w:cs="Times New Roman"/>
          <w:i/>
          <w:sz w:val="24"/>
          <w:szCs w:val="24"/>
        </w:rPr>
        <w:t>Investig</w:t>
      </w:r>
      <w:proofErr w:type="spellEnd"/>
      <w:r>
        <w:rPr>
          <w:rFonts w:ascii="Book Antiqua" w:hAnsi="Book Antiqua" w:cs="Times New Roman"/>
          <w:i/>
          <w:sz w:val="24"/>
          <w:szCs w:val="24"/>
        </w:rPr>
        <w:t xml:space="preserve"> Med</w:t>
      </w:r>
      <w:r>
        <w:rPr>
          <w:rFonts w:ascii="Book Antiqua" w:hAnsi="Book Antiqua" w:cs="Times New Roman"/>
          <w:sz w:val="24"/>
          <w:szCs w:val="24"/>
        </w:rPr>
        <w:t xml:space="preserve"> 2016; </w:t>
      </w:r>
      <w:r>
        <w:rPr>
          <w:rFonts w:ascii="Book Antiqua" w:hAnsi="Book Antiqua" w:cs="Times New Roman"/>
          <w:b/>
          <w:sz w:val="24"/>
          <w:szCs w:val="24"/>
        </w:rPr>
        <w:t>64</w:t>
      </w:r>
      <w:r>
        <w:rPr>
          <w:rFonts w:ascii="Book Antiqua" w:hAnsi="Book Antiqua" w:cs="Times New Roman"/>
          <w:sz w:val="24"/>
          <w:szCs w:val="24"/>
        </w:rPr>
        <w:t>: 745-751</w:t>
      </w:r>
      <w:bookmarkEnd w:id="57"/>
      <w:r>
        <w:rPr>
          <w:rFonts w:ascii="Book Antiqua" w:hAnsi="Book Antiqua" w:cs="Times New Roman"/>
          <w:sz w:val="24"/>
          <w:szCs w:val="24"/>
        </w:rPr>
        <w:t xml:space="preserve"> [PMID: 26912006 DOI: 10.1136/jim-2015-000047]</w:t>
      </w:r>
    </w:p>
    <w:p w:rsidR="00AB3D4E" w:rsidRDefault="008F642A">
      <w:pPr>
        <w:spacing w:line="360" w:lineRule="auto"/>
        <w:ind w:right="113"/>
        <w:rPr>
          <w:rFonts w:ascii="Book Antiqua" w:eastAsia="宋体" w:hAnsi="Book Antiqua" w:cs="Arial"/>
          <w:kern w:val="0"/>
          <w:sz w:val="24"/>
          <w:szCs w:val="24"/>
        </w:rPr>
      </w:pPr>
      <w:bookmarkStart w:id="58" w:name="_ENREF_20"/>
      <w:r>
        <w:rPr>
          <w:rFonts w:ascii="Book Antiqua" w:hAnsi="Book Antiqua" w:cs="Times New Roman"/>
          <w:sz w:val="24"/>
          <w:szCs w:val="24"/>
        </w:rPr>
        <w:t>20</w:t>
      </w:r>
      <w:r>
        <w:rPr>
          <w:rFonts w:ascii="Book Antiqua" w:hAnsi="Book Antiqua" w:cs="Times New Roman"/>
          <w:sz w:val="24"/>
          <w:szCs w:val="24"/>
        </w:rPr>
        <w:tab/>
      </w:r>
      <w:proofErr w:type="spellStart"/>
      <w:r>
        <w:rPr>
          <w:rFonts w:ascii="Book Antiqua" w:hAnsi="Book Antiqua" w:cs="Times New Roman"/>
          <w:b/>
          <w:sz w:val="24"/>
          <w:szCs w:val="24"/>
        </w:rPr>
        <w:t>Beppu</w:t>
      </w:r>
      <w:proofErr w:type="spellEnd"/>
      <w:r>
        <w:rPr>
          <w:rFonts w:ascii="Book Antiqua" w:hAnsi="Book Antiqua" w:cs="Times New Roman"/>
          <w:b/>
          <w:sz w:val="24"/>
          <w:szCs w:val="24"/>
        </w:rPr>
        <w:t xml:space="preserve"> K</w:t>
      </w:r>
      <w:r>
        <w:rPr>
          <w:rFonts w:ascii="Book Antiqua" w:hAnsi="Book Antiqua" w:cs="Times New Roman"/>
          <w:sz w:val="24"/>
          <w:szCs w:val="24"/>
        </w:rPr>
        <w:t>, </w:t>
      </w:r>
      <w:proofErr w:type="spellStart"/>
      <w:r>
        <w:rPr>
          <w:rFonts w:ascii="Book Antiqua" w:hAnsi="Book Antiqua" w:cs="Times New Roman"/>
          <w:sz w:val="24"/>
          <w:szCs w:val="24"/>
        </w:rPr>
        <w:t>Inokuchi</w:t>
      </w:r>
      <w:proofErr w:type="spellEnd"/>
      <w:r>
        <w:rPr>
          <w:rFonts w:ascii="Book Antiqua" w:hAnsi="Book Antiqua" w:cs="Times New Roman"/>
          <w:sz w:val="24"/>
          <w:szCs w:val="24"/>
        </w:rPr>
        <w:t xml:space="preserve"> K, </w:t>
      </w:r>
      <w:proofErr w:type="spellStart"/>
      <w:r>
        <w:rPr>
          <w:rFonts w:ascii="Book Antiqua" w:hAnsi="Book Antiqua" w:cs="Times New Roman"/>
          <w:sz w:val="24"/>
          <w:szCs w:val="24"/>
        </w:rPr>
        <w:t>Koyanagi</w:t>
      </w:r>
      <w:proofErr w:type="spellEnd"/>
      <w:r>
        <w:rPr>
          <w:rFonts w:ascii="Book Antiqua" w:hAnsi="Book Antiqua" w:cs="Times New Roman"/>
          <w:sz w:val="24"/>
          <w:szCs w:val="24"/>
        </w:rPr>
        <w:t xml:space="preserve"> N, Nakayama S, Sakata H, Kitano S, Kobayashi M. Prediction of variceal hemorrhage by esophageal endoscopy. </w:t>
      </w:r>
      <w:proofErr w:type="spellStart"/>
      <w:r>
        <w:rPr>
          <w:rFonts w:ascii="Book Antiqua" w:hAnsi="Book Antiqua" w:cs="Times New Roman"/>
          <w:i/>
          <w:sz w:val="24"/>
          <w:szCs w:val="24"/>
        </w:rPr>
        <w:t>Gastrointest</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Endosc</w:t>
      </w:r>
      <w:proofErr w:type="spellEnd"/>
      <w:r>
        <w:rPr>
          <w:rFonts w:ascii="Book Antiqua" w:hAnsi="Book Antiqua" w:cs="Times New Roman"/>
          <w:sz w:val="24"/>
          <w:szCs w:val="24"/>
        </w:rPr>
        <w:t xml:space="preserve"> 1981; </w:t>
      </w:r>
      <w:r>
        <w:rPr>
          <w:rFonts w:ascii="Book Antiqua" w:hAnsi="Book Antiqua" w:cs="Times New Roman"/>
          <w:b/>
          <w:sz w:val="24"/>
          <w:szCs w:val="24"/>
        </w:rPr>
        <w:t>27</w:t>
      </w:r>
      <w:r>
        <w:rPr>
          <w:rFonts w:ascii="Book Antiqua" w:hAnsi="Book Antiqua" w:cs="Times New Roman"/>
          <w:sz w:val="24"/>
          <w:szCs w:val="24"/>
        </w:rPr>
        <w:t>: 213-218</w:t>
      </w:r>
      <w:bookmarkEnd w:id="58"/>
      <w:r>
        <w:rPr>
          <w:rFonts w:ascii="Book Antiqua" w:hAnsi="Book Antiqua" w:cs="Times New Roman"/>
          <w:sz w:val="24"/>
          <w:szCs w:val="24"/>
        </w:rPr>
        <w:t xml:space="preserve"> [PMID: 6975734 DOI: 10.1016/s0016-5107(81)73224-3]</w:t>
      </w:r>
    </w:p>
    <w:p w:rsidR="00AB3D4E" w:rsidRDefault="008F642A">
      <w:pPr>
        <w:spacing w:line="360" w:lineRule="auto"/>
        <w:rPr>
          <w:rFonts w:ascii="Book Antiqua" w:hAnsi="Book Antiqua" w:cs="Times New Roman"/>
          <w:sz w:val="24"/>
          <w:szCs w:val="24"/>
        </w:rPr>
      </w:pPr>
      <w:bookmarkStart w:id="59" w:name="_ENREF_21"/>
      <w:r>
        <w:rPr>
          <w:rFonts w:ascii="Book Antiqua" w:hAnsi="Book Antiqua" w:cs="Times New Roman"/>
          <w:sz w:val="24"/>
          <w:szCs w:val="24"/>
        </w:rPr>
        <w:t>21</w:t>
      </w:r>
      <w:r>
        <w:rPr>
          <w:rFonts w:ascii="Book Antiqua" w:hAnsi="Book Antiqua" w:cs="Times New Roman"/>
          <w:sz w:val="24"/>
          <w:szCs w:val="24"/>
        </w:rPr>
        <w:tab/>
      </w:r>
      <w:r>
        <w:rPr>
          <w:rFonts w:ascii="Book Antiqua" w:hAnsi="Book Antiqua" w:cs="Times New Roman"/>
          <w:b/>
          <w:sz w:val="24"/>
          <w:szCs w:val="24"/>
        </w:rPr>
        <w:t>Marot A</w:t>
      </w:r>
      <w:r>
        <w:rPr>
          <w:rFonts w:ascii="Book Antiqua" w:hAnsi="Book Antiqua" w:cs="Times New Roman"/>
          <w:sz w:val="24"/>
          <w:szCs w:val="24"/>
        </w:rPr>
        <w:t>, </w:t>
      </w:r>
      <w:proofErr w:type="spellStart"/>
      <w:r>
        <w:rPr>
          <w:rFonts w:ascii="Book Antiqua" w:hAnsi="Book Antiqua" w:cs="Times New Roman"/>
          <w:sz w:val="24"/>
          <w:szCs w:val="24"/>
        </w:rPr>
        <w:t>Trépo</w:t>
      </w:r>
      <w:proofErr w:type="spellEnd"/>
      <w:r>
        <w:rPr>
          <w:rFonts w:ascii="Book Antiqua" w:hAnsi="Book Antiqua" w:cs="Times New Roman"/>
          <w:sz w:val="24"/>
          <w:szCs w:val="24"/>
        </w:rPr>
        <w:t xml:space="preserve"> E, </w:t>
      </w:r>
      <w:proofErr w:type="spellStart"/>
      <w:r>
        <w:rPr>
          <w:rFonts w:ascii="Book Antiqua" w:hAnsi="Book Antiqua" w:cs="Times New Roman"/>
          <w:sz w:val="24"/>
          <w:szCs w:val="24"/>
        </w:rPr>
        <w:t>Doerig</w:t>
      </w:r>
      <w:proofErr w:type="spellEnd"/>
      <w:r>
        <w:rPr>
          <w:rFonts w:ascii="Book Antiqua" w:hAnsi="Book Antiqua" w:cs="Times New Roman"/>
          <w:sz w:val="24"/>
          <w:szCs w:val="24"/>
        </w:rPr>
        <w:t xml:space="preserve"> C, </w:t>
      </w:r>
      <w:proofErr w:type="spellStart"/>
      <w:r>
        <w:rPr>
          <w:rFonts w:ascii="Book Antiqua" w:hAnsi="Book Antiqua" w:cs="Times New Roman"/>
          <w:sz w:val="24"/>
          <w:szCs w:val="24"/>
        </w:rPr>
        <w:t>Schoepfer</w:t>
      </w:r>
      <w:proofErr w:type="spellEnd"/>
      <w:r>
        <w:rPr>
          <w:rFonts w:ascii="Book Antiqua" w:hAnsi="Book Antiqua" w:cs="Times New Roman"/>
          <w:sz w:val="24"/>
          <w:szCs w:val="24"/>
        </w:rPr>
        <w:t xml:space="preserve"> A,</w:t>
      </w:r>
      <w:r>
        <w:rPr>
          <w:rFonts w:ascii="Book Antiqua" w:hAnsi="Book Antiqua" w:cs="Times New Roman" w:hint="eastAsia"/>
          <w:sz w:val="24"/>
          <w:szCs w:val="24"/>
        </w:rPr>
        <w:t xml:space="preserve"> </w:t>
      </w:r>
      <w:r>
        <w:rPr>
          <w:rFonts w:ascii="Book Antiqua" w:hAnsi="Book Antiqua" w:cs="Times New Roman"/>
          <w:sz w:val="24"/>
          <w:szCs w:val="24"/>
        </w:rPr>
        <w:t>Moreno C,</w:t>
      </w:r>
      <w:r>
        <w:rPr>
          <w:rFonts w:ascii="Book Antiqua" w:hAnsi="Book Antiqua" w:cs="Times New Roman" w:hint="eastAsia"/>
          <w:sz w:val="24"/>
          <w:szCs w:val="24"/>
        </w:rPr>
        <w:t xml:space="preserve"> </w:t>
      </w:r>
      <w:proofErr w:type="spellStart"/>
      <w:r>
        <w:rPr>
          <w:rFonts w:ascii="Book Antiqua" w:hAnsi="Book Antiqua" w:cs="Times New Roman"/>
          <w:sz w:val="24"/>
          <w:szCs w:val="24"/>
        </w:rPr>
        <w:t>Deltenre</w:t>
      </w:r>
      <w:proofErr w:type="spellEnd"/>
      <w:r>
        <w:rPr>
          <w:rFonts w:ascii="Book Antiqua" w:hAnsi="Book Antiqua" w:cs="Times New Roman"/>
          <w:sz w:val="24"/>
          <w:szCs w:val="24"/>
        </w:rPr>
        <w:t xml:space="preserve"> P. Liver stiffness and platelet count for identifying patients with compensated liver disease at low risk of variceal bleeding. </w:t>
      </w:r>
      <w:r>
        <w:rPr>
          <w:rFonts w:ascii="Book Antiqua" w:hAnsi="Book Antiqua" w:cs="Times New Roman"/>
          <w:i/>
          <w:sz w:val="24"/>
          <w:szCs w:val="24"/>
        </w:rPr>
        <w:t xml:space="preserve">Liver </w:t>
      </w:r>
      <w:proofErr w:type="spellStart"/>
      <w:r>
        <w:rPr>
          <w:rFonts w:ascii="Book Antiqua" w:hAnsi="Book Antiqua" w:cs="Times New Roman"/>
          <w:i/>
          <w:sz w:val="24"/>
          <w:szCs w:val="24"/>
        </w:rPr>
        <w:t>Int</w:t>
      </w:r>
      <w:proofErr w:type="spellEnd"/>
      <w:r>
        <w:rPr>
          <w:rFonts w:ascii="Book Antiqua" w:hAnsi="Book Antiqua" w:cs="Times New Roman"/>
          <w:sz w:val="24"/>
          <w:szCs w:val="24"/>
        </w:rPr>
        <w:t xml:space="preserve"> 2017; </w:t>
      </w:r>
      <w:r>
        <w:rPr>
          <w:rFonts w:ascii="Book Antiqua" w:hAnsi="Book Antiqua" w:cs="Times New Roman"/>
          <w:b/>
          <w:sz w:val="24"/>
          <w:szCs w:val="24"/>
        </w:rPr>
        <w:t>37</w:t>
      </w:r>
      <w:r>
        <w:rPr>
          <w:rFonts w:ascii="Book Antiqua" w:hAnsi="Book Antiqua" w:cs="Times New Roman"/>
          <w:sz w:val="24"/>
          <w:szCs w:val="24"/>
        </w:rPr>
        <w:t>: 707-716</w:t>
      </w:r>
      <w:bookmarkEnd w:id="59"/>
      <w:r>
        <w:rPr>
          <w:rFonts w:ascii="Book Antiqua" w:hAnsi="Book Antiqua" w:cs="Times New Roman"/>
          <w:sz w:val="24"/>
          <w:szCs w:val="24"/>
        </w:rPr>
        <w:t xml:space="preserve"> [PMID: 27862856 DOI: </w:t>
      </w:r>
      <w:r>
        <w:rPr>
          <w:rFonts w:ascii="Book Antiqua" w:hAnsi="Book Antiqua" w:cs="Times New Roman"/>
          <w:sz w:val="24"/>
          <w:szCs w:val="24"/>
        </w:rPr>
        <w:lastRenderedPageBreak/>
        <w:t>10.1111/liv.13318]</w:t>
      </w:r>
    </w:p>
    <w:p w:rsidR="00AB3D4E" w:rsidRDefault="008F642A">
      <w:pPr>
        <w:spacing w:line="360" w:lineRule="auto"/>
        <w:rPr>
          <w:rFonts w:ascii="Book Antiqua" w:hAnsi="Book Antiqua" w:cs="Times New Roman"/>
          <w:sz w:val="24"/>
          <w:szCs w:val="24"/>
        </w:rPr>
      </w:pPr>
      <w:bookmarkStart w:id="60" w:name="_ENREF_22"/>
      <w:r>
        <w:rPr>
          <w:rFonts w:ascii="Book Antiqua" w:hAnsi="Book Antiqua" w:cs="Times New Roman"/>
          <w:sz w:val="24"/>
          <w:szCs w:val="24"/>
        </w:rPr>
        <w:t>22</w:t>
      </w:r>
      <w:r>
        <w:rPr>
          <w:rFonts w:ascii="Book Antiqua" w:hAnsi="Book Antiqua" w:cs="Times New Roman"/>
          <w:sz w:val="24"/>
          <w:szCs w:val="24"/>
        </w:rPr>
        <w:tab/>
      </w:r>
      <w:proofErr w:type="spellStart"/>
      <w:r>
        <w:rPr>
          <w:rFonts w:ascii="Book Antiqua" w:hAnsi="Book Antiqua" w:cs="Times New Roman"/>
          <w:b/>
          <w:sz w:val="24"/>
          <w:szCs w:val="24"/>
        </w:rPr>
        <w:t>Stafylidou</w:t>
      </w:r>
      <w:proofErr w:type="spellEnd"/>
      <w:r>
        <w:rPr>
          <w:rFonts w:ascii="Book Antiqua" w:hAnsi="Book Antiqua" w:cs="Times New Roman"/>
          <w:b/>
          <w:sz w:val="24"/>
          <w:szCs w:val="24"/>
        </w:rPr>
        <w:t xml:space="preserve"> M</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Paschos</w:t>
      </w:r>
      <w:proofErr w:type="spellEnd"/>
      <w:r>
        <w:rPr>
          <w:rFonts w:ascii="Book Antiqua" w:hAnsi="Book Antiqua" w:cs="Times New Roman"/>
          <w:sz w:val="24"/>
          <w:szCs w:val="24"/>
        </w:rPr>
        <w:t xml:space="preserve"> P,</w:t>
      </w:r>
      <w:r>
        <w:rPr>
          <w:rFonts w:ascii="Book Antiqua" w:hAnsi="Book Antiqua" w:cs="Times New Roman" w:hint="eastAsia"/>
          <w:sz w:val="24"/>
          <w:szCs w:val="24"/>
        </w:rPr>
        <w:t xml:space="preserve"> </w:t>
      </w:r>
      <w:proofErr w:type="spellStart"/>
      <w:r>
        <w:rPr>
          <w:rFonts w:ascii="Book Antiqua" w:hAnsi="Book Antiqua" w:cs="Times New Roman"/>
          <w:sz w:val="24"/>
          <w:szCs w:val="24"/>
        </w:rPr>
        <w:t>Katsoula</w:t>
      </w:r>
      <w:proofErr w:type="spellEnd"/>
      <w:r>
        <w:rPr>
          <w:rFonts w:ascii="Book Antiqua" w:hAnsi="Book Antiqua" w:cs="Times New Roman"/>
          <w:sz w:val="24"/>
          <w:szCs w:val="24"/>
        </w:rPr>
        <w:t xml:space="preserve"> A,</w:t>
      </w:r>
      <w:r>
        <w:rPr>
          <w:rFonts w:ascii="Book Antiqua" w:hAnsi="Book Antiqua" w:cs="Times New Roman" w:hint="eastAsia"/>
          <w:sz w:val="24"/>
          <w:szCs w:val="24"/>
        </w:rPr>
        <w:t xml:space="preserve"> </w:t>
      </w:r>
      <w:proofErr w:type="spellStart"/>
      <w:r>
        <w:rPr>
          <w:rFonts w:ascii="Book Antiqua" w:hAnsi="Book Antiqua" w:cs="Times New Roman"/>
          <w:sz w:val="24"/>
          <w:szCs w:val="24"/>
        </w:rPr>
        <w:t>Malandris</w:t>
      </w:r>
      <w:proofErr w:type="spellEnd"/>
      <w:r>
        <w:rPr>
          <w:rFonts w:ascii="Book Antiqua" w:hAnsi="Book Antiqua" w:cs="Times New Roman"/>
          <w:sz w:val="24"/>
          <w:szCs w:val="24"/>
        </w:rPr>
        <w:t xml:space="preserve"> K,</w:t>
      </w:r>
      <w:r>
        <w:rPr>
          <w:rFonts w:ascii="Book Antiqua" w:hAnsi="Book Antiqua" w:cs="Times New Roman" w:hint="eastAsia"/>
          <w:sz w:val="24"/>
          <w:szCs w:val="24"/>
        </w:rPr>
        <w:t xml:space="preserve"> </w:t>
      </w:r>
      <w:proofErr w:type="spellStart"/>
      <w:r>
        <w:rPr>
          <w:rFonts w:ascii="Book Antiqua" w:hAnsi="Book Antiqua" w:cs="Times New Roman"/>
          <w:sz w:val="24"/>
          <w:szCs w:val="24"/>
        </w:rPr>
        <w:t>Ioakim</w:t>
      </w:r>
      <w:proofErr w:type="spellEnd"/>
      <w:r>
        <w:rPr>
          <w:rFonts w:ascii="Book Antiqua" w:hAnsi="Book Antiqua" w:cs="Times New Roman"/>
          <w:sz w:val="24"/>
          <w:szCs w:val="24"/>
        </w:rPr>
        <w:t xml:space="preserve"> K,</w:t>
      </w:r>
      <w:r>
        <w:rPr>
          <w:rFonts w:ascii="Book Antiqua" w:hAnsi="Book Antiqua" w:cs="Times New Roman" w:hint="eastAsia"/>
          <w:sz w:val="24"/>
          <w:szCs w:val="24"/>
        </w:rPr>
        <w:t xml:space="preserve"> </w:t>
      </w:r>
      <w:proofErr w:type="spellStart"/>
      <w:r>
        <w:rPr>
          <w:rFonts w:ascii="Book Antiqua" w:hAnsi="Book Antiqua" w:cs="Times New Roman"/>
          <w:sz w:val="24"/>
          <w:szCs w:val="24"/>
        </w:rPr>
        <w:t>Bekiari</w:t>
      </w:r>
      <w:proofErr w:type="spellEnd"/>
      <w:r>
        <w:rPr>
          <w:rFonts w:ascii="Book Antiqua" w:hAnsi="Book Antiqua" w:cs="Times New Roman"/>
          <w:sz w:val="24"/>
          <w:szCs w:val="24"/>
        </w:rPr>
        <w:t xml:space="preserve"> E,</w:t>
      </w:r>
      <w:r>
        <w:rPr>
          <w:rFonts w:ascii="Book Antiqua" w:hAnsi="Book Antiqua" w:cs="Times New Roman" w:hint="eastAsia"/>
          <w:sz w:val="24"/>
          <w:szCs w:val="24"/>
        </w:rPr>
        <w:t xml:space="preserve"> </w:t>
      </w:r>
      <w:proofErr w:type="spellStart"/>
      <w:r>
        <w:rPr>
          <w:rFonts w:ascii="Book Antiqua" w:hAnsi="Book Antiqua" w:cs="Times New Roman"/>
          <w:sz w:val="24"/>
          <w:szCs w:val="24"/>
        </w:rPr>
        <w:t>Haidich</w:t>
      </w:r>
      <w:proofErr w:type="spellEnd"/>
      <w:r>
        <w:rPr>
          <w:rFonts w:ascii="Book Antiqua" w:hAnsi="Book Antiqua" w:cs="Times New Roman"/>
          <w:sz w:val="24"/>
          <w:szCs w:val="24"/>
        </w:rPr>
        <w:t xml:space="preserve"> AB, </w:t>
      </w:r>
      <w:proofErr w:type="spellStart"/>
      <w:r>
        <w:rPr>
          <w:rFonts w:ascii="Book Antiqua" w:hAnsi="Book Antiqua" w:cs="Times New Roman"/>
          <w:sz w:val="24"/>
          <w:szCs w:val="24"/>
        </w:rPr>
        <w:t>Akriviadis</w:t>
      </w:r>
      <w:proofErr w:type="spellEnd"/>
      <w:r>
        <w:rPr>
          <w:rFonts w:ascii="Book Antiqua" w:hAnsi="Book Antiqua" w:cs="Times New Roman"/>
          <w:sz w:val="24"/>
          <w:szCs w:val="24"/>
        </w:rPr>
        <w:t xml:space="preserve"> E,</w:t>
      </w:r>
      <w:r>
        <w:rPr>
          <w:rFonts w:ascii="Book Antiqua" w:hAnsi="Book Antiqua" w:cs="Times New Roman" w:hint="eastAsia"/>
          <w:sz w:val="24"/>
          <w:szCs w:val="24"/>
        </w:rPr>
        <w:t xml:space="preserve"> </w:t>
      </w:r>
      <w:proofErr w:type="spellStart"/>
      <w:r>
        <w:rPr>
          <w:rFonts w:ascii="Book Antiqua" w:hAnsi="Book Antiqua" w:cs="Times New Roman"/>
          <w:sz w:val="24"/>
          <w:szCs w:val="24"/>
        </w:rPr>
        <w:t>Tsapas</w:t>
      </w:r>
      <w:proofErr w:type="spellEnd"/>
      <w:r>
        <w:rPr>
          <w:rFonts w:ascii="Book Antiqua" w:hAnsi="Book Antiqua" w:cs="Times New Roman"/>
          <w:sz w:val="24"/>
          <w:szCs w:val="24"/>
        </w:rPr>
        <w:t xml:space="preserve"> A. Performance of</w:t>
      </w:r>
      <w:r>
        <w:rPr>
          <w:rFonts w:ascii="Book Antiqua" w:hAnsi="Book Antiqua" w:cs="Times New Roman" w:hint="eastAsia"/>
          <w:sz w:val="24"/>
          <w:szCs w:val="24"/>
        </w:rPr>
        <w:t xml:space="preserve"> </w:t>
      </w:r>
      <w:proofErr w:type="spellStart"/>
      <w:r>
        <w:rPr>
          <w:rFonts w:ascii="Book Antiqua" w:hAnsi="Book Antiqua" w:cs="Times New Roman"/>
          <w:sz w:val="24"/>
          <w:szCs w:val="24"/>
        </w:rPr>
        <w:t>Baveno</w:t>
      </w:r>
      <w:proofErr w:type="spellEnd"/>
      <w:r>
        <w:rPr>
          <w:rFonts w:ascii="Book Antiqua" w:hAnsi="Book Antiqua" w:cs="Times New Roman" w:hint="eastAsia"/>
          <w:sz w:val="24"/>
          <w:szCs w:val="24"/>
        </w:rPr>
        <w:t xml:space="preserve"> </w:t>
      </w:r>
      <w:r>
        <w:rPr>
          <w:rFonts w:ascii="Book Antiqua" w:hAnsi="Book Antiqua" w:cs="Times New Roman"/>
          <w:sz w:val="24"/>
          <w:szCs w:val="24"/>
        </w:rPr>
        <w:t>VI</w:t>
      </w:r>
      <w:r>
        <w:rPr>
          <w:rFonts w:ascii="Book Antiqua" w:hAnsi="Book Antiqua" w:cs="Times New Roman" w:hint="eastAsia"/>
          <w:sz w:val="24"/>
          <w:szCs w:val="24"/>
        </w:rPr>
        <w:t xml:space="preserve"> </w:t>
      </w:r>
      <w:r>
        <w:rPr>
          <w:rFonts w:ascii="Book Antiqua" w:hAnsi="Book Antiqua" w:cs="Times New Roman"/>
          <w:sz w:val="24"/>
          <w:szCs w:val="24"/>
        </w:rPr>
        <w:t>and Expanded</w:t>
      </w:r>
      <w:r>
        <w:rPr>
          <w:rFonts w:ascii="Book Antiqua" w:hAnsi="Book Antiqua" w:cs="Times New Roman" w:hint="eastAsia"/>
          <w:sz w:val="24"/>
          <w:szCs w:val="24"/>
        </w:rPr>
        <w:t xml:space="preserve"> </w:t>
      </w:r>
      <w:proofErr w:type="spellStart"/>
      <w:r>
        <w:rPr>
          <w:rFonts w:ascii="Book Antiqua" w:hAnsi="Book Antiqua" w:cs="Times New Roman"/>
          <w:sz w:val="24"/>
          <w:szCs w:val="24"/>
        </w:rPr>
        <w:t>Baveno</w:t>
      </w:r>
      <w:proofErr w:type="spellEnd"/>
      <w:r>
        <w:rPr>
          <w:rFonts w:ascii="Book Antiqua" w:hAnsi="Book Antiqua" w:cs="Times New Roman" w:hint="eastAsia"/>
          <w:sz w:val="24"/>
          <w:szCs w:val="24"/>
        </w:rPr>
        <w:t xml:space="preserve"> </w:t>
      </w:r>
      <w:r>
        <w:rPr>
          <w:rFonts w:ascii="Book Antiqua" w:hAnsi="Book Antiqua" w:cs="Times New Roman"/>
          <w:sz w:val="24"/>
          <w:szCs w:val="24"/>
        </w:rPr>
        <w:t>VI</w:t>
      </w:r>
      <w:r>
        <w:rPr>
          <w:rFonts w:ascii="Book Antiqua" w:hAnsi="Book Antiqua" w:cs="Times New Roman" w:hint="eastAsia"/>
          <w:sz w:val="24"/>
          <w:szCs w:val="24"/>
        </w:rPr>
        <w:t xml:space="preserve"> </w:t>
      </w:r>
      <w:r>
        <w:rPr>
          <w:rFonts w:ascii="Book Antiqua" w:hAnsi="Book Antiqua" w:cs="Times New Roman"/>
          <w:sz w:val="24"/>
          <w:szCs w:val="24"/>
        </w:rPr>
        <w:t xml:space="preserve">Criteria for Excluding High-Risk Varices in Patients With Chronic Liver Diseases: A Systematic Review and Meta-analysis. </w:t>
      </w:r>
      <w:proofErr w:type="spellStart"/>
      <w:r>
        <w:rPr>
          <w:rFonts w:ascii="Book Antiqua" w:hAnsi="Book Antiqua" w:cs="Times New Roman"/>
          <w:i/>
          <w:sz w:val="24"/>
          <w:szCs w:val="24"/>
        </w:rPr>
        <w:t>Clin</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r>
        <w:rPr>
          <w:rFonts w:ascii="Book Antiqua" w:hAnsi="Book Antiqua" w:cs="Times New Roman"/>
          <w:sz w:val="24"/>
          <w:szCs w:val="24"/>
        </w:rPr>
        <w:t>2019;</w:t>
      </w:r>
      <w:bookmarkEnd w:id="60"/>
      <w:r>
        <w:rPr>
          <w:rFonts w:ascii="Book Antiqua" w:hAnsi="Book Antiqua" w:cs="Times New Roman"/>
          <w:sz w:val="24"/>
          <w:szCs w:val="24"/>
        </w:rPr>
        <w:t xml:space="preserve"> </w:t>
      </w:r>
      <w:r>
        <w:rPr>
          <w:rFonts w:ascii="Book Antiqua" w:hAnsi="Book Antiqua" w:cs="Times New Roman"/>
          <w:b/>
          <w:bCs/>
          <w:sz w:val="24"/>
          <w:szCs w:val="24"/>
        </w:rPr>
        <w:t>17</w:t>
      </w:r>
      <w:r>
        <w:rPr>
          <w:rFonts w:ascii="Book Antiqua" w:hAnsi="Book Antiqua" w:cs="Times New Roman"/>
          <w:bCs/>
          <w:sz w:val="24"/>
          <w:szCs w:val="24"/>
        </w:rPr>
        <w:t>: 1744-1755. e11</w:t>
      </w:r>
      <w:r>
        <w:rPr>
          <w:rFonts w:ascii="Book Antiqua" w:hAnsi="Book Antiqua" w:cs="Times New Roman"/>
          <w:sz w:val="24"/>
          <w:szCs w:val="24"/>
        </w:rPr>
        <w:t xml:space="preserve"> [PMID: 31077823 DOI: 10.1016/j.cgh.2019.04.062]</w:t>
      </w:r>
    </w:p>
    <w:p w:rsidR="00AB3D4E" w:rsidRDefault="008F642A">
      <w:pPr>
        <w:spacing w:line="360" w:lineRule="auto"/>
        <w:rPr>
          <w:rFonts w:ascii="Book Antiqua" w:hAnsi="Book Antiqua" w:cs="Times New Roman"/>
          <w:sz w:val="24"/>
          <w:szCs w:val="24"/>
        </w:rPr>
      </w:pPr>
      <w:bookmarkStart w:id="61" w:name="_ENREF_23"/>
      <w:r>
        <w:rPr>
          <w:rFonts w:ascii="Book Antiqua" w:hAnsi="Book Antiqua" w:cs="Times New Roman"/>
          <w:sz w:val="24"/>
          <w:szCs w:val="24"/>
        </w:rPr>
        <w:t>23</w:t>
      </w:r>
      <w:r>
        <w:rPr>
          <w:rFonts w:ascii="Book Antiqua" w:hAnsi="Book Antiqua" w:cs="Times New Roman"/>
          <w:sz w:val="24"/>
          <w:szCs w:val="24"/>
        </w:rPr>
        <w:tab/>
      </w:r>
      <w:r>
        <w:rPr>
          <w:rFonts w:ascii="Book Antiqua" w:hAnsi="Book Antiqua" w:cs="Times New Roman"/>
          <w:b/>
          <w:sz w:val="24"/>
          <w:szCs w:val="24"/>
        </w:rPr>
        <w:t>Augustin S</w:t>
      </w:r>
      <w:r>
        <w:rPr>
          <w:rFonts w:ascii="Book Antiqua" w:hAnsi="Book Antiqua" w:cs="Times New Roman"/>
          <w:sz w:val="24"/>
          <w:szCs w:val="24"/>
        </w:rPr>
        <w:t xml:space="preserve">, Pons M, </w:t>
      </w:r>
      <w:proofErr w:type="spellStart"/>
      <w:r>
        <w:rPr>
          <w:rFonts w:ascii="Book Antiqua" w:hAnsi="Book Antiqua" w:cs="Times New Roman"/>
          <w:sz w:val="24"/>
          <w:szCs w:val="24"/>
        </w:rPr>
        <w:t>Genesca</w:t>
      </w:r>
      <w:proofErr w:type="spellEnd"/>
      <w:r>
        <w:rPr>
          <w:rFonts w:ascii="Book Antiqua" w:hAnsi="Book Antiqua" w:cs="Times New Roman"/>
          <w:sz w:val="24"/>
          <w:szCs w:val="24"/>
        </w:rPr>
        <w:t xml:space="preserve"> J. Validating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recommendations for screening varices.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2017; </w:t>
      </w:r>
      <w:r>
        <w:rPr>
          <w:rFonts w:ascii="Book Antiqua" w:hAnsi="Book Antiqua" w:cs="Times New Roman"/>
          <w:b/>
          <w:sz w:val="24"/>
          <w:szCs w:val="24"/>
        </w:rPr>
        <w:t>66</w:t>
      </w:r>
      <w:r>
        <w:rPr>
          <w:rFonts w:ascii="Book Antiqua" w:hAnsi="Book Antiqua" w:cs="Times New Roman"/>
          <w:sz w:val="24"/>
          <w:szCs w:val="24"/>
        </w:rPr>
        <w:t>: 459-460</w:t>
      </w:r>
      <w:bookmarkEnd w:id="61"/>
      <w:r>
        <w:rPr>
          <w:rFonts w:ascii="Book Antiqua" w:hAnsi="Book Antiqua" w:cs="Times New Roman"/>
          <w:sz w:val="24"/>
          <w:szCs w:val="24"/>
        </w:rPr>
        <w:t xml:space="preserve"> [PMID: 27826055 DOI: 10.1016/j.jhep.2016.09.027]</w:t>
      </w:r>
    </w:p>
    <w:p w:rsidR="00AB3D4E" w:rsidRDefault="008F642A">
      <w:pPr>
        <w:spacing w:line="360" w:lineRule="auto"/>
        <w:rPr>
          <w:rFonts w:ascii="Book Antiqua" w:hAnsi="Book Antiqua" w:cs="Times New Roman"/>
          <w:sz w:val="24"/>
          <w:szCs w:val="24"/>
        </w:rPr>
      </w:pPr>
      <w:bookmarkStart w:id="62" w:name="_ENREF_24"/>
      <w:r>
        <w:rPr>
          <w:rFonts w:ascii="Book Antiqua" w:hAnsi="Book Antiqua" w:cs="Times New Roman"/>
          <w:sz w:val="24"/>
          <w:szCs w:val="24"/>
        </w:rPr>
        <w:t>24</w:t>
      </w:r>
      <w:r>
        <w:rPr>
          <w:rFonts w:ascii="Book Antiqua" w:hAnsi="Book Antiqua" w:cs="Times New Roman"/>
          <w:sz w:val="24"/>
          <w:szCs w:val="24"/>
        </w:rPr>
        <w:tab/>
      </w:r>
      <w:proofErr w:type="spellStart"/>
      <w:r>
        <w:rPr>
          <w:rFonts w:ascii="Book Antiqua" w:hAnsi="Book Antiqua" w:cs="Times New Roman"/>
          <w:b/>
          <w:sz w:val="24"/>
          <w:szCs w:val="24"/>
        </w:rPr>
        <w:t>Colecchia</w:t>
      </w:r>
      <w:proofErr w:type="spellEnd"/>
      <w:r>
        <w:rPr>
          <w:rFonts w:ascii="Book Antiqua" w:hAnsi="Book Antiqua" w:cs="Times New Roman"/>
          <w:b/>
          <w:sz w:val="24"/>
          <w:szCs w:val="24"/>
        </w:rPr>
        <w:t xml:space="preserve"> A</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sz w:val="24"/>
          <w:szCs w:val="24"/>
        </w:rPr>
        <w:t>Ravaioli</w:t>
      </w:r>
      <w:proofErr w:type="spellEnd"/>
      <w:r>
        <w:rPr>
          <w:rFonts w:ascii="Book Antiqua" w:hAnsi="Book Antiqua" w:cs="Times New Roman"/>
          <w:sz w:val="24"/>
          <w:szCs w:val="24"/>
        </w:rPr>
        <w:t xml:space="preserve"> F,</w:t>
      </w:r>
      <w:r>
        <w:rPr>
          <w:rFonts w:ascii="Book Antiqua" w:hAnsi="Book Antiqua" w:cs="Times New Roman" w:hint="eastAsia"/>
          <w:sz w:val="24"/>
          <w:szCs w:val="24"/>
        </w:rPr>
        <w:t xml:space="preserve"> </w:t>
      </w:r>
      <w:proofErr w:type="spellStart"/>
      <w:r>
        <w:rPr>
          <w:rFonts w:ascii="Book Antiqua" w:hAnsi="Book Antiqua" w:cs="Times New Roman"/>
          <w:sz w:val="24"/>
          <w:szCs w:val="24"/>
        </w:rPr>
        <w:t>Marasco</w:t>
      </w:r>
      <w:proofErr w:type="spellEnd"/>
      <w:r>
        <w:rPr>
          <w:rFonts w:ascii="Book Antiqua" w:hAnsi="Book Antiqua" w:cs="Times New Roman"/>
          <w:sz w:val="24"/>
          <w:szCs w:val="24"/>
        </w:rPr>
        <w:t xml:space="preserve"> G,</w:t>
      </w:r>
      <w:r>
        <w:rPr>
          <w:rFonts w:ascii="Book Antiqua" w:hAnsi="Book Antiqua" w:cs="Times New Roman" w:hint="eastAsia"/>
          <w:sz w:val="24"/>
          <w:szCs w:val="24"/>
        </w:rPr>
        <w:t xml:space="preserve"> </w:t>
      </w:r>
      <w:proofErr w:type="spellStart"/>
      <w:r>
        <w:rPr>
          <w:rFonts w:ascii="Book Antiqua" w:hAnsi="Book Antiqua" w:cs="Times New Roman"/>
          <w:sz w:val="24"/>
          <w:szCs w:val="24"/>
        </w:rPr>
        <w:t>Colli</w:t>
      </w:r>
      <w:proofErr w:type="spellEnd"/>
      <w:r>
        <w:rPr>
          <w:rFonts w:ascii="Book Antiqua" w:hAnsi="Book Antiqua" w:cs="Times New Roman"/>
          <w:sz w:val="24"/>
          <w:szCs w:val="24"/>
        </w:rPr>
        <w:t xml:space="preserve"> A,</w:t>
      </w:r>
      <w:r>
        <w:rPr>
          <w:rFonts w:ascii="Book Antiqua" w:hAnsi="Book Antiqua" w:cs="Times New Roman" w:hint="eastAsia"/>
          <w:sz w:val="24"/>
          <w:szCs w:val="24"/>
        </w:rPr>
        <w:t xml:space="preserve"> </w:t>
      </w:r>
      <w:proofErr w:type="spellStart"/>
      <w:r>
        <w:rPr>
          <w:rFonts w:ascii="Book Antiqua" w:hAnsi="Book Antiqua" w:cs="Times New Roman"/>
          <w:sz w:val="24"/>
          <w:szCs w:val="24"/>
        </w:rPr>
        <w:t>Dajti</w:t>
      </w:r>
      <w:proofErr w:type="spellEnd"/>
      <w:r>
        <w:rPr>
          <w:rFonts w:ascii="Book Antiqua" w:hAnsi="Book Antiqua" w:cs="Times New Roman"/>
          <w:sz w:val="24"/>
          <w:szCs w:val="24"/>
        </w:rPr>
        <w:t xml:space="preserve"> E,</w:t>
      </w:r>
      <w:r>
        <w:rPr>
          <w:rFonts w:ascii="Book Antiqua" w:hAnsi="Book Antiqua" w:cs="Times New Roman" w:hint="eastAsia"/>
          <w:sz w:val="24"/>
          <w:szCs w:val="24"/>
        </w:rPr>
        <w:t xml:space="preserve"> </w:t>
      </w:r>
      <w:r>
        <w:rPr>
          <w:rFonts w:ascii="Book Antiqua" w:hAnsi="Book Antiqua" w:cs="Times New Roman"/>
          <w:sz w:val="24"/>
          <w:szCs w:val="24"/>
        </w:rPr>
        <w:t xml:space="preserve">Di </w:t>
      </w:r>
      <w:proofErr w:type="spellStart"/>
      <w:r>
        <w:rPr>
          <w:rFonts w:ascii="Book Antiqua" w:hAnsi="Book Antiqua" w:cs="Times New Roman"/>
          <w:sz w:val="24"/>
          <w:szCs w:val="24"/>
        </w:rPr>
        <w:t>Biase</w:t>
      </w:r>
      <w:proofErr w:type="spellEnd"/>
      <w:r>
        <w:rPr>
          <w:rFonts w:ascii="Book Antiqua" w:hAnsi="Book Antiqua" w:cs="Times New Roman"/>
          <w:sz w:val="24"/>
          <w:szCs w:val="24"/>
        </w:rPr>
        <w:t xml:space="preserve"> AR,</w:t>
      </w:r>
      <w:r>
        <w:rPr>
          <w:rFonts w:ascii="Book Antiqua" w:hAnsi="Book Antiqua" w:cs="Times New Roman" w:hint="eastAsia"/>
          <w:sz w:val="24"/>
          <w:szCs w:val="24"/>
        </w:rPr>
        <w:t xml:space="preserve"> </w:t>
      </w:r>
      <w:proofErr w:type="spellStart"/>
      <w:r>
        <w:rPr>
          <w:rFonts w:ascii="Book Antiqua" w:hAnsi="Book Antiqua" w:cs="Times New Roman"/>
          <w:sz w:val="24"/>
          <w:szCs w:val="24"/>
        </w:rPr>
        <w:t>Bacchi</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Reggiani</w:t>
      </w:r>
      <w:proofErr w:type="spellEnd"/>
      <w:r>
        <w:rPr>
          <w:rFonts w:ascii="Book Antiqua" w:hAnsi="Book Antiqua" w:cs="Times New Roman"/>
          <w:sz w:val="24"/>
          <w:szCs w:val="24"/>
        </w:rPr>
        <w:t xml:space="preserve"> ML,</w:t>
      </w:r>
      <w:r>
        <w:rPr>
          <w:rFonts w:ascii="Book Antiqua" w:hAnsi="Book Antiqua" w:cs="Times New Roman" w:hint="eastAsia"/>
          <w:sz w:val="24"/>
          <w:szCs w:val="24"/>
        </w:rPr>
        <w:t xml:space="preserve"> </w:t>
      </w:r>
      <w:proofErr w:type="spellStart"/>
      <w:r>
        <w:rPr>
          <w:rFonts w:ascii="Book Antiqua" w:hAnsi="Book Antiqua" w:cs="Times New Roman"/>
          <w:sz w:val="24"/>
          <w:szCs w:val="24"/>
        </w:rPr>
        <w:t>Berzigotti</w:t>
      </w:r>
      <w:proofErr w:type="spellEnd"/>
      <w:r>
        <w:rPr>
          <w:rFonts w:ascii="Book Antiqua" w:hAnsi="Book Antiqua" w:cs="Times New Roman"/>
          <w:sz w:val="24"/>
          <w:szCs w:val="24"/>
        </w:rPr>
        <w:t xml:space="preserve"> A,</w:t>
      </w:r>
      <w:r>
        <w:rPr>
          <w:rFonts w:ascii="Book Antiqua" w:hAnsi="Book Antiqua" w:cs="Times New Roman" w:hint="eastAsia"/>
          <w:sz w:val="24"/>
          <w:szCs w:val="24"/>
        </w:rPr>
        <w:t xml:space="preserve"> </w:t>
      </w:r>
      <w:proofErr w:type="spellStart"/>
      <w:r>
        <w:rPr>
          <w:rFonts w:ascii="Book Antiqua" w:hAnsi="Book Antiqua" w:cs="Times New Roman"/>
          <w:sz w:val="24"/>
          <w:szCs w:val="24"/>
        </w:rPr>
        <w:t>Pinzani</w:t>
      </w:r>
      <w:proofErr w:type="spellEnd"/>
      <w:r>
        <w:rPr>
          <w:rFonts w:ascii="Book Antiqua" w:hAnsi="Book Antiqua" w:cs="Times New Roman"/>
          <w:sz w:val="24"/>
          <w:szCs w:val="24"/>
        </w:rPr>
        <w:t xml:space="preserve"> M,</w:t>
      </w:r>
      <w:r>
        <w:rPr>
          <w:rFonts w:ascii="Book Antiqua" w:hAnsi="Book Antiqua" w:cs="Times New Roman" w:hint="eastAsia"/>
          <w:sz w:val="24"/>
          <w:szCs w:val="24"/>
        </w:rPr>
        <w:t xml:space="preserve"> </w:t>
      </w:r>
      <w:proofErr w:type="spellStart"/>
      <w:r>
        <w:rPr>
          <w:rFonts w:ascii="Book Antiqua" w:hAnsi="Book Antiqua" w:cs="Times New Roman"/>
          <w:sz w:val="24"/>
          <w:szCs w:val="24"/>
        </w:rPr>
        <w:t>Festi</w:t>
      </w:r>
      <w:proofErr w:type="spellEnd"/>
      <w:r>
        <w:rPr>
          <w:rFonts w:ascii="Book Antiqua" w:hAnsi="Book Antiqua" w:cs="Times New Roman"/>
          <w:sz w:val="24"/>
          <w:szCs w:val="24"/>
        </w:rPr>
        <w:t xml:space="preserve"> D. A combined model based on spleen stiffness measurement and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to rule out high-risk varices in advanced chronic liver disease.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sz w:val="24"/>
          <w:szCs w:val="24"/>
        </w:rPr>
        <w:t xml:space="preserve"> 2018; </w:t>
      </w:r>
      <w:r>
        <w:rPr>
          <w:rFonts w:ascii="Book Antiqua" w:hAnsi="Book Antiqua" w:cs="Times New Roman"/>
          <w:b/>
          <w:sz w:val="24"/>
          <w:szCs w:val="24"/>
        </w:rPr>
        <w:t>69</w:t>
      </w:r>
      <w:r>
        <w:rPr>
          <w:rFonts w:ascii="Book Antiqua" w:hAnsi="Book Antiqua" w:cs="Times New Roman"/>
          <w:sz w:val="24"/>
          <w:szCs w:val="24"/>
        </w:rPr>
        <w:t>: 308-317</w:t>
      </w:r>
      <w:bookmarkEnd w:id="62"/>
      <w:r>
        <w:rPr>
          <w:rFonts w:ascii="Book Antiqua" w:hAnsi="Book Antiqua" w:cs="Times New Roman"/>
          <w:sz w:val="24"/>
          <w:szCs w:val="24"/>
        </w:rPr>
        <w:t xml:space="preserve"> [PMID: 29729368 DOI: 10.1016/j.jhep.2018.04.023]</w:t>
      </w:r>
    </w:p>
    <w:p w:rsidR="00AB3D4E" w:rsidRDefault="008F642A">
      <w:pPr>
        <w:spacing w:line="360" w:lineRule="auto"/>
        <w:rPr>
          <w:rFonts w:ascii="Book Antiqua" w:hAnsi="Book Antiqua" w:cs="Times New Roman"/>
          <w:sz w:val="24"/>
          <w:szCs w:val="24"/>
        </w:rPr>
      </w:pPr>
      <w:bookmarkStart w:id="63" w:name="_ENREF_25"/>
      <w:r>
        <w:rPr>
          <w:rFonts w:ascii="Book Antiqua" w:hAnsi="Book Antiqua" w:cs="Times New Roman"/>
          <w:sz w:val="24"/>
          <w:szCs w:val="24"/>
        </w:rPr>
        <w:t>25</w:t>
      </w:r>
      <w:r>
        <w:rPr>
          <w:rFonts w:ascii="Book Antiqua" w:hAnsi="Book Antiqua" w:cs="Times New Roman"/>
          <w:sz w:val="24"/>
          <w:szCs w:val="24"/>
        </w:rPr>
        <w:tab/>
      </w:r>
      <w:proofErr w:type="spellStart"/>
      <w:r>
        <w:rPr>
          <w:rFonts w:ascii="Book Antiqua" w:hAnsi="Book Antiqua" w:cs="Times New Roman"/>
          <w:b/>
          <w:sz w:val="24"/>
          <w:szCs w:val="24"/>
        </w:rPr>
        <w:t>Moctezuma</w:t>
      </w:r>
      <w:proofErr w:type="spellEnd"/>
      <w:r>
        <w:rPr>
          <w:rFonts w:ascii="Book Antiqua" w:hAnsi="Book Antiqua" w:cs="Times New Roman"/>
          <w:b/>
          <w:sz w:val="24"/>
          <w:szCs w:val="24"/>
        </w:rPr>
        <w:t xml:space="preserve"> </w:t>
      </w:r>
      <w:r>
        <w:rPr>
          <w:rFonts w:ascii="Book Antiqua" w:hAnsi="Book Antiqua" w:cs="Times New Roman"/>
          <w:b/>
          <w:bCs/>
          <w:sz w:val="24"/>
          <w:szCs w:val="24"/>
        </w:rPr>
        <w:t>Velázquez</w:t>
      </w:r>
      <w:r>
        <w:rPr>
          <w:rFonts w:ascii="Book Antiqua" w:hAnsi="Book Antiqua" w:cs="Times New Roman"/>
          <w:b/>
          <w:sz w:val="24"/>
          <w:szCs w:val="24"/>
        </w:rPr>
        <w:t xml:space="preserve"> C, </w:t>
      </w:r>
      <w:proofErr w:type="spellStart"/>
      <w:r>
        <w:rPr>
          <w:rFonts w:ascii="Book Antiqua" w:hAnsi="Book Antiqua" w:cs="Times New Roman"/>
          <w:sz w:val="24"/>
          <w:szCs w:val="24"/>
        </w:rPr>
        <w:t>Abraldes</w:t>
      </w:r>
      <w:proofErr w:type="spellEnd"/>
      <w:r>
        <w:rPr>
          <w:rFonts w:ascii="Book Antiqua" w:hAnsi="Book Antiqua" w:cs="Times New Roman"/>
          <w:sz w:val="24"/>
          <w:szCs w:val="24"/>
        </w:rPr>
        <w:t xml:space="preserve"> JG. Non-invasive diagnosis of esophageal </w:t>
      </w:r>
      <w:proofErr w:type="spellStart"/>
      <w:r>
        <w:rPr>
          <w:rFonts w:ascii="Book Antiqua" w:hAnsi="Book Antiqua" w:cs="Times New Roman"/>
          <w:sz w:val="24"/>
          <w:szCs w:val="24"/>
        </w:rPr>
        <w:t>varices</w:t>
      </w:r>
      <w:proofErr w:type="spellEnd"/>
      <w:r>
        <w:rPr>
          <w:rFonts w:ascii="Book Antiqua" w:hAnsi="Book Antiqua" w:cs="Times New Roman"/>
          <w:sz w:val="24"/>
          <w:szCs w:val="24"/>
        </w:rPr>
        <w:t xml:space="preserve"> after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w:t>
      </w:r>
      <w:r>
        <w:rPr>
          <w:rFonts w:ascii="Book Antiqua" w:hAnsi="Book Antiqua" w:cs="Times New Roman"/>
          <w:i/>
          <w:sz w:val="24"/>
          <w:szCs w:val="24"/>
        </w:rPr>
        <w:t xml:space="preserve">Turk 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2017; </w:t>
      </w:r>
      <w:r>
        <w:rPr>
          <w:rFonts w:ascii="Book Antiqua" w:hAnsi="Book Antiqua" w:cs="Times New Roman"/>
          <w:b/>
          <w:sz w:val="24"/>
          <w:szCs w:val="24"/>
        </w:rPr>
        <w:t>28</w:t>
      </w:r>
      <w:r>
        <w:rPr>
          <w:rFonts w:ascii="Book Antiqua" w:hAnsi="Book Antiqua" w:cs="Times New Roman"/>
          <w:sz w:val="24"/>
          <w:szCs w:val="24"/>
        </w:rPr>
        <w:t>: 159-165</w:t>
      </w:r>
      <w:bookmarkEnd w:id="63"/>
      <w:r>
        <w:rPr>
          <w:rFonts w:ascii="Book Antiqua" w:hAnsi="Book Antiqua" w:cs="Times New Roman"/>
          <w:sz w:val="24"/>
          <w:szCs w:val="24"/>
        </w:rPr>
        <w:t xml:space="preserve"> [PMID: 28492370 DOI: 10.5152/tjg.2017.16744]</w:t>
      </w:r>
    </w:p>
    <w:p w:rsidR="00AB3D4E" w:rsidRDefault="008F642A">
      <w:pPr>
        <w:spacing w:line="360" w:lineRule="auto"/>
        <w:rPr>
          <w:rFonts w:ascii="Book Antiqua" w:hAnsi="Book Antiqua" w:cs="Times New Roman"/>
          <w:sz w:val="24"/>
          <w:szCs w:val="24"/>
        </w:rPr>
      </w:pPr>
      <w:bookmarkStart w:id="64" w:name="_ENREF_26"/>
      <w:r>
        <w:rPr>
          <w:rFonts w:ascii="Book Antiqua" w:hAnsi="Book Antiqua" w:cs="Times New Roman"/>
          <w:sz w:val="24"/>
          <w:szCs w:val="24"/>
        </w:rPr>
        <w:t>26</w:t>
      </w:r>
      <w:r>
        <w:rPr>
          <w:rFonts w:ascii="Book Antiqua" w:hAnsi="Book Antiqua" w:cs="Times New Roman"/>
          <w:sz w:val="24"/>
          <w:szCs w:val="24"/>
        </w:rPr>
        <w:tab/>
      </w:r>
      <w:r>
        <w:rPr>
          <w:rFonts w:ascii="Book Antiqua" w:hAnsi="Book Antiqua" w:cs="Times New Roman"/>
          <w:b/>
          <w:sz w:val="24"/>
          <w:szCs w:val="24"/>
        </w:rPr>
        <w:t>Maurice JB</w:t>
      </w:r>
      <w:r>
        <w:rPr>
          <w:rFonts w:ascii="Book Antiqua" w:hAnsi="Book Antiqua" w:cs="Times New Roman"/>
          <w:sz w:val="24"/>
          <w:szCs w:val="24"/>
        </w:rPr>
        <w:t>, </w:t>
      </w:r>
      <w:proofErr w:type="spellStart"/>
      <w:r>
        <w:rPr>
          <w:rFonts w:ascii="Book Antiqua" w:hAnsi="Book Antiqua" w:cs="Times New Roman"/>
          <w:sz w:val="24"/>
          <w:szCs w:val="24"/>
        </w:rPr>
        <w:t>Brodkin</w:t>
      </w:r>
      <w:proofErr w:type="spellEnd"/>
      <w:r>
        <w:rPr>
          <w:rFonts w:ascii="Book Antiqua" w:hAnsi="Book Antiqua" w:cs="Times New Roman"/>
          <w:sz w:val="24"/>
          <w:szCs w:val="24"/>
        </w:rPr>
        <w:t xml:space="preserve"> E, Arnold F, </w:t>
      </w:r>
      <w:proofErr w:type="spellStart"/>
      <w:r>
        <w:rPr>
          <w:rFonts w:ascii="Book Antiqua" w:hAnsi="Book Antiqua" w:cs="Times New Roman"/>
          <w:sz w:val="24"/>
          <w:szCs w:val="24"/>
        </w:rPr>
        <w:t>Navaratnam</w:t>
      </w:r>
      <w:proofErr w:type="spellEnd"/>
      <w:r>
        <w:rPr>
          <w:rFonts w:ascii="Book Antiqua" w:hAnsi="Book Antiqua" w:cs="Times New Roman"/>
          <w:sz w:val="24"/>
          <w:szCs w:val="24"/>
        </w:rPr>
        <w:t xml:space="preserve"> A, Paine H, </w:t>
      </w:r>
      <w:proofErr w:type="spellStart"/>
      <w:r>
        <w:rPr>
          <w:rFonts w:ascii="Book Antiqua" w:hAnsi="Book Antiqua" w:cs="Times New Roman"/>
          <w:sz w:val="24"/>
          <w:szCs w:val="24"/>
        </w:rPr>
        <w:t>Khawar</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Dhar</w:t>
      </w:r>
      <w:proofErr w:type="spellEnd"/>
      <w:r>
        <w:rPr>
          <w:rFonts w:ascii="Book Antiqua" w:hAnsi="Book Antiqua" w:cs="Times New Roman"/>
          <w:sz w:val="24"/>
          <w:szCs w:val="24"/>
        </w:rPr>
        <w:t xml:space="preserve"> A, Patch D, </w:t>
      </w:r>
      <w:proofErr w:type="spellStart"/>
      <w:r>
        <w:rPr>
          <w:rFonts w:ascii="Book Antiqua" w:hAnsi="Book Antiqua" w:cs="Times New Roman"/>
          <w:sz w:val="24"/>
          <w:szCs w:val="24"/>
        </w:rPr>
        <w:t>O'Beirne</w:t>
      </w:r>
      <w:proofErr w:type="spellEnd"/>
      <w:r>
        <w:rPr>
          <w:rFonts w:ascii="Book Antiqua" w:hAnsi="Book Antiqua" w:cs="Times New Roman"/>
          <w:sz w:val="24"/>
          <w:szCs w:val="24"/>
        </w:rPr>
        <w:t xml:space="preserve"> J, </w:t>
      </w:r>
      <w:proofErr w:type="spellStart"/>
      <w:r>
        <w:rPr>
          <w:rFonts w:ascii="Book Antiqua" w:hAnsi="Book Antiqua" w:cs="Times New Roman"/>
          <w:sz w:val="24"/>
          <w:szCs w:val="24"/>
        </w:rPr>
        <w:t>Mookerjee</w:t>
      </w:r>
      <w:proofErr w:type="spellEnd"/>
      <w:r>
        <w:rPr>
          <w:rFonts w:ascii="Book Antiqua" w:hAnsi="Book Antiqua" w:cs="Times New Roman"/>
          <w:sz w:val="24"/>
          <w:szCs w:val="24"/>
        </w:rPr>
        <w:t xml:space="preserve"> R, </w:t>
      </w:r>
      <w:proofErr w:type="spellStart"/>
      <w:r>
        <w:rPr>
          <w:rFonts w:ascii="Book Antiqua" w:hAnsi="Book Antiqua" w:cs="Times New Roman"/>
          <w:sz w:val="24"/>
          <w:szCs w:val="24"/>
        </w:rPr>
        <w:t>Pinzani</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Tsochatzis</w:t>
      </w:r>
      <w:proofErr w:type="spellEnd"/>
      <w:r>
        <w:rPr>
          <w:rFonts w:ascii="Book Antiqua" w:hAnsi="Book Antiqua" w:cs="Times New Roman"/>
          <w:sz w:val="24"/>
          <w:szCs w:val="24"/>
        </w:rPr>
        <w:t xml:space="preserve"> E, Westbrook RH. Validation of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to identify low risk cirrhotic patients not requiring endoscopic surveillance for varices. </w:t>
      </w:r>
      <w:r>
        <w:rPr>
          <w:rFonts w:ascii="Book Antiqua" w:hAnsi="Book Antiqua" w:cs="Times New Roman"/>
          <w:i/>
          <w:sz w:val="24"/>
          <w:szCs w:val="24"/>
        </w:rPr>
        <w:t xml:space="preserve">J </w:t>
      </w:r>
      <w:proofErr w:type="spellStart"/>
      <w:r>
        <w:rPr>
          <w:rFonts w:ascii="Book Antiqua" w:hAnsi="Book Antiqua" w:cs="Times New Roman"/>
          <w:i/>
          <w:sz w:val="24"/>
          <w:szCs w:val="24"/>
        </w:rPr>
        <w:t>Hepatol</w:t>
      </w:r>
      <w:proofErr w:type="spellEnd"/>
      <w:r>
        <w:rPr>
          <w:rFonts w:ascii="Book Antiqua" w:hAnsi="Book Antiqua" w:cs="Times New Roman"/>
          <w:sz w:val="24"/>
          <w:szCs w:val="24"/>
        </w:rPr>
        <w:t xml:space="preserve"> 2016; </w:t>
      </w:r>
      <w:r>
        <w:rPr>
          <w:rFonts w:ascii="Book Antiqua" w:hAnsi="Book Antiqua" w:cs="Times New Roman"/>
          <w:b/>
          <w:sz w:val="24"/>
          <w:szCs w:val="24"/>
        </w:rPr>
        <w:t>65</w:t>
      </w:r>
      <w:r>
        <w:rPr>
          <w:rFonts w:ascii="Book Antiqua" w:hAnsi="Book Antiqua" w:cs="Times New Roman"/>
          <w:sz w:val="24"/>
          <w:szCs w:val="24"/>
        </w:rPr>
        <w:t>: 899-905</w:t>
      </w:r>
      <w:bookmarkEnd w:id="64"/>
      <w:r>
        <w:rPr>
          <w:rFonts w:ascii="Book Antiqua" w:hAnsi="Book Antiqua" w:cs="Times New Roman"/>
          <w:sz w:val="24"/>
          <w:szCs w:val="24"/>
        </w:rPr>
        <w:t xml:space="preserve"> [PMID: 27388923 DOI: 10.1016/j.jhep.2016.06.021]</w:t>
      </w:r>
    </w:p>
    <w:p w:rsidR="00AB3D4E" w:rsidRDefault="008F642A">
      <w:pPr>
        <w:spacing w:line="360" w:lineRule="auto"/>
        <w:rPr>
          <w:rFonts w:ascii="Book Antiqua" w:hAnsi="Book Antiqua" w:cs="Times New Roman"/>
          <w:sz w:val="24"/>
          <w:szCs w:val="24"/>
        </w:rPr>
      </w:pPr>
      <w:bookmarkStart w:id="65" w:name="_ENREF_27"/>
      <w:r>
        <w:rPr>
          <w:rFonts w:ascii="Book Antiqua" w:hAnsi="Book Antiqua" w:cs="Times New Roman"/>
          <w:sz w:val="24"/>
          <w:szCs w:val="24"/>
        </w:rPr>
        <w:t>27</w:t>
      </w:r>
      <w:r>
        <w:rPr>
          <w:rFonts w:ascii="Book Antiqua" w:hAnsi="Book Antiqua" w:cs="Times New Roman"/>
          <w:sz w:val="24"/>
          <w:szCs w:val="24"/>
        </w:rPr>
        <w:tab/>
      </w:r>
      <w:r>
        <w:rPr>
          <w:rFonts w:ascii="Book Antiqua" w:hAnsi="Book Antiqua" w:cs="Times New Roman"/>
          <w:b/>
          <w:sz w:val="24"/>
          <w:szCs w:val="24"/>
        </w:rPr>
        <w:t>Wong GL</w:t>
      </w:r>
      <w:r>
        <w:rPr>
          <w:rFonts w:ascii="Book Antiqua" w:hAnsi="Book Antiqua" w:cs="Times New Roman"/>
          <w:sz w:val="24"/>
          <w:szCs w:val="24"/>
        </w:rPr>
        <w:t>, Wong VW, Choi PC, Chan AW, </w:t>
      </w:r>
      <w:proofErr w:type="spellStart"/>
      <w:r>
        <w:rPr>
          <w:rFonts w:ascii="Book Antiqua" w:hAnsi="Book Antiqua" w:cs="Times New Roman"/>
          <w:sz w:val="24"/>
          <w:szCs w:val="24"/>
        </w:rPr>
        <w:t>Chim</w:t>
      </w:r>
      <w:proofErr w:type="spellEnd"/>
      <w:r>
        <w:rPr>
          <w:rFonts w:ascii="Book Antiqua" w:hAnsi="Book Antiqua" w:cs="Times New Roman"/>
          <w:sz w:val="24"/>
          <w:szCs w:val="24"/>
        </w:rPr>
        <w:t xml:space="preserve"> AM, </w:t>
      </w:r>
      <w:proofErr w:type="spellStart"/>
      <w:r>
        <w:rPr>
          <w:rFonts w:ascii="Book Antiqua" w:hAnsi="Book Antiqua" w:cs="Times New Roman"/>
          <w:sz w:val="24"/>
          <w:szCs w:val="24"/>
        </w:rPr>
        <w:t>Yiu</w:t>
      </w:r>
      <w:proofErr w:type="spellEnd"/>
      <w:r>
        <w:rPr>
          <w:rFonts w:ascii="Book Antiqua" w:hAnsi="Book Antiqua" w:cs="Times New Roman"/>
          <w:sz w:val="24"/>
          <w:szCs w:val="24"/>
        </w:rPr>
        <w:t xml:space="preserve"> KK, Chan FK, Sung JJ, Chan HL. Increased liver stiffness measurement by transient </w:t>
      </w:r>
      <w:proofErr w:type="spellStart"/>
      <w:r>
        <w:rPr>
          <w:rFonts w:ascii="Book Antiqua" w:hAnsi="Book Antiqua" w:cs="Times New Roman"/>
          <w:sz w:val="24"/>
          <w:szCs w:val="24"/>
        </w:rPr>
        <w:t>elastography</w:t>
      </w:r>
      <w:proofErr w:type="spellEnd"/>
      <w:r>
        <w:rPr>
          <w:rFonts w:ascii="Book Antiqua" w:hAnsi="Book Antiqua" w:cs="Times New Roman"/>
          <w:sz w:val="24"/>
          <w:szCs w:val="24"/>
        </w:rPr>
        <w:t xml:space="preserve"> in severe acute exacerbation of chronic hepatitis B. </w:t>
      </w:r>
      <w:r>
        <w:rPr>
          <w:rFonts w:ascii="Book Antiqua" w:hAnsi="Book Antiqua" w:cs="Times New Roman"/>
          <w:i/>
          <w:sz w:val="24"/>
          <w:szCs w:val="24"/>
        </w:rPr>
        <w:t xml:space="preserve">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2009; </w:t>
      </w:r>
      <w:r>
        <w:rPr>
          <w:rFonts w:ascii="Book Antiqua" w:hAnsi="Book Antiqua" w:cs="Times New Roman"/>
          <w:b/>
          <w:sz w:val="24"/>
          <w:szCs w:val="24"/>
        </w:rPr>
        <w:t>24</w:t>
      </w:r>
      <w:r>
        <w:rPr>
          <w:rFonts w:ascii="Book Antiqua" w:hAnsi="Book Antiqua" w:cs="Times New Roman"/>
          <w:sz w:val="24"/>
          <w:szCs w:val="24"/>
        </w:rPr>
        <w:t>: 1002-1007</w:t>
      </w:r>
      <w:bookmarkEnd w:id="65"/>
      <w:r>
        <w:rPr>
          <w:rFonts w:ascii="Book Antiqua" w:hAnsi="Book Antiqua" w:cs="Times New Roman"/>
          <w:sz w:val="24"/>
          <w:szCs w:val="24"/>
        </w:rPr>
        <w:t xml:space="preserve"> [PMID: 19457152 DOI: 10.1111/j.1440-1746.2009.05779.x]</w:t>
      </w:r>
    </w:p>
    <w:p w:rsidR="00AB3D4E" w:rsidRDefault="008F642A">
      <w:pPr>
        <w:spacing w:line="360" w:lineRule="auto"/>
        <w:rPr>
          <w:rFonts w:ascii="Book Antiqua" w:hAnsi="Book Antiqua" w:cs="Times New Roman"/>
          <w:sz w:val="24"/>
          <w:szCs w:val="24"/>
        </w:rPr>
      </w:pPr>
      <w:bookmarkStart w:id="66" w:name="_ENREF_28"/>
      <w:r>
        <w:rPr>
          <w:rFonts w:ascii="Book Antiqua" w:hAnsi="Book Antiqua" w:cs="Times New Roman"/>
          <w:sz w:val="24"/>
          <w:szCs w:val="24"/>
        </w:rPr>
        <w:t>28</w:t>
      </w:r>
      <w:r>
        <w:rPr>
          <w:rFonts w:ascii="Book Antiqua" w:hAnsi="Book Antiqua" w:cs="Times New Roman"/>
          <w:sz w:val="24"/>
          <w:szCs w:val="24"/>
        </w:rPr>
        <w:tab/>
      </w:r>
      <w:proofErr w:type="spellStart"/>
      <w:r>
        <w:rPr>
          <w:rFonts w:ascii="Book Antiqua" w:hAnsi="Book Antiqua" w:cs="Times New Roman"/>
          <w:b/>
          <w:sz w:val="24"/>
          <w:szCs w:val="24"/>
        </w:rPr>
        <w:t>Millonig</w:t>
      </w:r>
      <w:proofErr w:type="spellEnd"/>
      <w:r>
        <w:rPr>
          <w:rFonts w:ascii="Book Antiqua" w:hAnsi="Book Antiqua" w:cs="Times New Roman"/>
          <w:b/>
          <w:sz w:val="24"/>
          <w:szCs w:val="24"/>
        </w:rPr>
        <w:t xml:space="preserve"> G</w:t>
      </w:r>
      <w:r>
        <w:rPr>
          <w:rFonts w:ascii="Book Antiqua" w:hAnsi="Book Antiqua" w:cs="Times New Roman"/>
          <w:sz w:val="24"/>
          <w:szCs w:val="24"/>
        </w:rPr>
        <w:t>, </w:t>
      </w:r>
      <w:proofErr w:type="spellStart"/>
      <w:r>
        <w:rPr>
          <w:rFonts w:ascii="Book Antiqua" w:hAnsi="Book Antiqua" w:cs="Times New Roman"/>
          <w:sz w:val="24"/>
          <w:szCs w:val="24"/>
        </w:rPr>
        <w:t>Reimann</w:t>
      </w:r>
      <w:proofErr w:type="spellEnd"/>
      <w:r>
        <w:rPr>
          <w:rFonts w:ascii="Book Antiqua" w:hAnsi="Book Antiqua" w:cs="Times New Roman"/>
          <w:sz w:val="24"/>
          <w:szCs w:val="24"/>
        </w:rPr>
        <w:t xml:space="preserve"> FM, Friedrich S, </w:t>
      </w:r>
      <w:proofErr w:type="spellStart"/>
      <w:r>
        <w:rPr>
          <w:rFonts w:ascii="Book Antiqua" w:hAnsi="Book Antiqua" w:cs="Times New Roman"/>
          <w:sz w:val="24"/>
          <w:szCs w:val="24"/>
        </w:rPr>
        <w:t>Fonouni</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Mehrabi</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Büchler</w:t>
      </w:r>
      <w:proofErr w:type="spellEnd"/>
      <w:r>
        <w:rPr>
          <w:rFonts w:ascii="Book Antiqua" w:hAnsi="Book Antiqua" w:cs="Times New Roman"/>
          <w:sz w:val="24"/>
          <w:szCs w:val="24"/>
        </w:rPr>
        <w:t xml:space="preserve"> MW, Seitz HK, Mueller S. Extrahepatic cholestasis increases liver stiffness (</w:t>
      </w:r>
      <w:proofErr w:type="spellStart"/>
      <w:r>
        <w:rPr>
          <w:rFonts w:ascii="Book Antiqua" w:hAnsi="Book Antiqua" w:cs="Times New Roman"/>
          <w:sz w:val="24"/>
          <w:szCs w:val="24"/>
        </w:rPr>
        <w:t>FibroScan</w:t>
      </w:r>
      <w:proofErr w:type="spellEnd"/>
      <w:r>
        <w:rPr>
          <w:rFonts w:ascii="Book Antiqua" w:hAnsi="Book Antiqua" w:cs="Times New Roman"/>
          <w:sz w:val="24"/>
          <w:szCs w:val="24"/>
        </w:rPr>
        <w:t xml:space="preserve">) irrespective of fibrosis. </w:t>
      </w:r>
      <w:r>
        <w:rPr>
          <w:rFonts w:ascii="Book Antiqua" w:hAnsi="Book Antiqua" w:cs="Times New Roman"/>
          <w:i/>
          <w:sz w:val="24"/>
          <w:szCs w:val="24"/>
        </w:rPr>
        <w:t>Hepatology</w:t>
      </w:r>
      <w:r>
        <w:rPr>
          <w:rFonts w:ascii="Book Antiqua" w:hAnsi="Book Antiqua" w:cs="Times New Roman"/>
          <w:sz w:val="24"/>
          <w:szCs w:val="24"/>
        </w:rPr>
        <w:t xml:space="preserve"> 2008; </w:t>
      </w:r>
      <w:r>
        <w:rPr>
          <w:rFonts w:ascii="Book Antiqua" w:hAnsi="Book Antiqua" w:cs="Times New Roman"/>
          <w:b/>
          <w:sz w:val="24"/>
          <w:szCs w:val="24"/>
        </w:rPr>
        <w:t>48</w:t>
      </w:r>
      <w:r>
        <w:rPr>
          <w:rFonts w:ascii="Book Antiqua" w:hAnsi="Book Antiqua" w:cs="Times New Roman"/>
          <w:sz w:val="24"/>
          <w:szCs w:val="24"/>
        </w:rPr>
        <w:t>: 1718-1723</w:t>
      </w:r>
      <w:bookmarkEnd w:id="66"/>
      <w:r>
        <w:rPr>
          <w:rFonts w:ascii="Book Antiqua" w:hAnsi="Book Antiqua" w:cs="Times New Roman"/>
          <w:sz w:val="24"/>
          <w:szCs w:val="24"/>
        </w:rPr>
        <w:t xml:space="preserve"> [PMID: 18836992 DOI: 10.1002/hep.22577]</w:t>
      </w:r>
    </w:p>
    <w:p w:rsidR="00AB3D4E" w:rsidRDefault="008F642A">
      <w:pPr>
        <w:spacing w:line="360" w:lineRule="auto"/>
        <w:rPr>
          <w:rFonts w:ascii="Book Antiqua" w:hAnsi="Book Antiqua" w:cs="Times New Roman"/>
          <w:sz w:val="24"/>
          <w:szCs w:val="24"/>
        </w:rPr>
      </w:pPr>
      <w:bookmarkStart w:id="67" w:name="_ENREF_29"/>
      <w:r>
        <w:rPr>
          <w:rFonts w:ascii="Book Antiqua" w:hAnsi="Book Antiqua" w:cs="Times New Roman"/>
          <w:sz w:val="24"/>
          <w:szCs w:val="24"/>
        </w:rPr>
        <w:lastRenderedPageBreak/>
        <w:t>29</w:t>
      </w:r>
      <w:r>
        <w:rPr>
          <w:rFonts w:ascii="Book Antiqua" w:hAnsi="Book Antiqua" w:cs="Times New Roman"/>
          <w:sz w:val="24"/>
          <w:szCs w:val="24"/>
        </w:rPr>
        <w:tab/>
      </w:r>
      <w:r>
        <w:rPr>
          <w:rFonts w:ascii="Book Antiqua" w:hAnsi="Book Antiqua" w:cs="Times New Roman"/>
          <w:b/>
          <w:sz w:val="24"/>
          <w:szCs w:val="24"/>
        </w:rPr>
        <w:t>Leung JC</w:t>
      </w:r>
      <w:r>
        <w:rPr>
          <w:rFonts w:ascii="Book Antiqua" w:hAnsi="Book Antiqua" w:cs="Times New Roman"/>
          <w:sz w:val="24"/>
          <w:szCs w:val="24"/>
        </w:rPr>
        <w:t xml:space="preserve">, Loong TC, Pang J, Wei JL, Wong VW. Invasive and non-invasive assessment of portal hypertension. </w:t>
      </w:r>
      <w:proofErr w:type="spellStart"/>
      <w:r>
        <w:rPr>
          <w:rFonts w:ascii="Book Antiqua" w:hAnsi="Book Antiqua" w:cs="Times New Roman"/>
          <w:i/>
          <w:sz w:val="24"/>
          <w:szCs w:val="24"/>
        </w:rPr>
        <w:t>Hepatol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Int</w:t>
      </w:r>
      <w:proofErr w:type="spellEnd"/>
      <w:r>
        <w:rPr>
          <w:rFonts w:ascii="Book Antiqua" w:hAnsi="Book Antiqua" w:cs="Times New Roman"/>
          <w:sz w:val="24"/>
          <w:szCs w:val="24"/>
        </w:rPr>
        <w:t xml:space="preserve"> 2018; </w:t>
      </w:r>
      <w:r>
        <w:rPr>
          <w:rFonts w:ascii="Book Antiqua" w:hAnsi="Book Antiqua" w:cs="Times New Roman"/>
          <w:b/>
          <w:sz w:val="24"/>
          <w:szCs w:val="24"/>
        </w:rPr>
        <w:t>12</w:t>
      </w:r>
      <w:r>
        <w:rPr>
          <w:rFonts w:ascii="Book Antiqua" w:hAnsi="Book Antiqua" w:cs="Times New Roman"/>
          <w:sz w:val="24"/>
          <w:szCs w:val="24"/>
        </w:rPr>
        <w:t>: 44-55</w:t>
      </w:r>
      <w:bookmarkEnd w:id="67"/>
      <w:r>
        <w:rPr>
          <w:rFonts w:ascii="Book Antiqua" w:hAnsi="Book Antiqua" w:cs="Times New Roman"/>
          <w:sz w:val="24"/>
          <w:szCs w:val="24"/>
        </w:rPr>
        <w:t xml:space="preserve"> [PMID: 28361299 DOI: 10.1007/s12072-017-9795-0]</w:t>
      </w:r>
    </w:p>
    <w:p w:rsidR="00AB3D4E" w:rsidRDefault="008F642A">
      <w:pPr>
        <w:spacing w:line="360" w:lineRule="auto"/>
        <w:rPr>
          <w:rFonts w:ascii="Book Antiqua" w:hAnsi="Book Antiqua" w:cs="Times New Roman"/>
          <w:sz w:val="24"/>
          <w:szCs w:val="24"/>
        </w:rPr>
      </w:pPr>
      <w:bookmarkStart w:id="68" w:name="_ENREF_30"/>
      <w:r>
        <w:rPr>
          <w:rFonts w:ascii="Book Antiqua" w:hAnsi="Book Antiqua" w:cs="Times New Roman"/>
          <w:sz w:val="24"/>
          <w:szCs w:val="24"/>
        </w:rPr>
        <w:t>30</w:t>
      </w:r>
      <w:r>
        <w:rPr>
          <w:rFonts w:ascii="Book Antiqua" w:hAnsi="Book Antiqua" w:cs="Times New Roman"/>
          <w:sz w:val="24"/>
          <w:szCs w:val="24"/>
        </w:rPr>
        <w:tab/>
      </w:r>
      <w:r>
        <w:rPr>
          <w:rFonts w:ascii="Book Antiqua" w:hAnsi="Book Antiqua" w:cs="Times New Roman"/>
          <w:b/>
          <w:sz w:val="24"/>
          <w:szCs w:val="24"/>
        </w:rPr>
        <w:t>Tan YW</w:t>
      </w:r>
      <w:r>
        <w:rPr>
          <w:rFonts w:ascii="Book Antiqua" w:hAnsi="Book Antiqua" w:cs="Times New Roman"/>
          <w:sz w:val="24"/>
          <w:szCs w:val="24"/>
        </w:rPr>
        <w:t xml:space="preserve">, Zhou XB, Ye Y, He C, Ge GH. Diagnostic value of FIB-4, aspartate aminotransferase-to-platelet ratio index and liver stiffness measurement in hepatitis B virus-infected patients with persistently normal alanine aminotransferase. </w:t>
      </w:r>
      <w:r>
        <w:rPr>
          <w:rFonts w:ascii="Book Antiqua" w:hAnsi="Book Antiqua" w:cs="Times New Roman"/>
          <w:i/>
          <w:sz w:val="24"/>
          <w:szCs w:val="24"/>
        </w:rPr>
        <w:t xml:space="preserve">World J </w:t>
      </w:r>
      <w:proofErr w:type="spellStart"/>
      <w:r>
        <w:rPr>
          <w:rFonts w:ascii="Book Antiqua" w:hAnsi="Book Antiqua" w:cs="Times New Roman"/>
          <w:i/>
          <w:sz w:val="24"/>
          <w:szCs w:val="24"/>
        </w:rPr>
        <w:t>Gastroenterol</w:t>
      </w:r>
      <w:proofErr w:type="spellEnd"/>
      <w:r>
        <w:rPr>
          <w:rFonts w:ascii="Book Antiqua" w:hAnsi="Book Antiqua" w:cs="Times New Roman"/>
          <w:sz w:val="24"/>
          <w:szCs w:val="24"/>
        </w:rPr>
        <w:t xml:space="preserve"> 2017; </w:t>
      </w:r>
      <w:r>
        <w:rPr>
          <w:rFonts w:ascii="Book Antiqua" w:hAnsi="Book Antiqua" w:cs="Times New Roman"/>
          <w:b/>
          <w:sz w:val="24"/>
          <w:szCs w:val="24"/>
        </w:rPr>
        <w:t>23</w:t>
      </w:r>
      <w:r>
        <w:rPr>
          <w:rFonts w:ascii="Book Antiqua" w:hAnsi="Book Antiqua" w:cs="Times New Roman"/>
          <w:sz w:val="24"/>
          <w:szCs w:val="24"/>
        </w:rPr>
        <w:t>: 5746-5754</w:t>
      </w:r>
      <w:bookmarkEnd w:id="68"/>
      <w:r>
        <w:rPr>
          <w:rFonts w:ascii="Book Antiqua" w:hAnsi="Book Antiqua" w:cs="Times New Roman"/>
          <w:sz w:val="24"/>
          <w:szCs w:val="24"/>
        </w:rPr>
        <w:t xml:space="preserve"> [PMID: 28883700 DOI: 10.3748/wjg.v23.i31.5746]</w:t>
      </w:r>
    </w:p>
    <w:p w:rsidR="00AB3D4E" w:rsidRDefault="008F642A">
      <w:pPr>
        <w:spacing w:line="360" w:lineRule="auto"/>
        <w:rPr>
          <w:rFonts w:ascii="Book Antiqua" w:hAnsi="Book Antiqua" w:cs="Times New Roman"/>
          <w:sz w:val="24"/>
          <w:szCs w:val="24"/>
        </w:rPr>
      </w:pPr>
      <w:bookmarkStart w:id="69" w:name="_ENREF_31"/>
      <w:r>
        <w:rPr>
          <w:rFonts w:ascii="Book Antiqua" w:hAnsi="Book Antiqua" w:cs="Times New Roman"/>
          <w:sz w:val="24"/>
          <w:szCs w:val="24"/>
        </w:rPr>
        <w:t>31</w:t>
      </w:r>
      <w:r>
        <w:rPr>
          <w:rFonts w:ascii="Book Antiqua" w:hAnsi="Book Antiqua" w:cs="Times New Roman"/>
          <w:sz w:val="24"/>
          <w:szCs w:val="24"/>
        </w:rPr>
        <w:tab/>
      </w:r>
      <w:r>
        <w:rPr>
          <w:rFonts w:ascii="Book Antiqua" w:hAnsi="Book Antiqua" w:cs="Times New Roman"/>
          <w:b/>
          <w:sz w:val="24"/>
          <w:szCs w:val="24"/>
        </w:rPr>
        <w:t>Wang L</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Feng Y,</w:t>
      </w:r>
      <w:r>
        <w:rPr>
          <w:rFonts w:ascii="Book Antiqua" w:hAnsi="Book Antiqua" w:cs="Times New Roman" w:hint="eastAsia"/>
          <w:sz w:val="24"/>
          <w:szCs w:val="24"/>
        </w:rPr>
        <w:t xml:space="preserve"> </w:t>
      </w:r>
      <w:r>
        <w:rPr>
          <w:rFonts w:ascii="Book Antiqua" w:hAnsi="Book Antiqua" w:cs="Times New Roman"/>
          <w:sz w:val="24"/>
          <w:szCs w:val="24"/>
        </w:rPr>
        <w:t>Ma X,</w:t>
      </w:r>
      <w:r>
        <w:rPr>
          <w:rFonts w:ascii="Book Antiqua" w:hAnsi="Book Antiqua" w:cs="Times New Roman" w:hint="eastAsia"/>
          <w:sz w:val="24"/>
          <w:szCs w:val="24"/>
        </w:rPr>
        <w:t xml:space="preserve"> </w:t>
      </w:r>
      <w:r>
        <w:rPr>
          <w:rFonts w:ascii="Book Antiqua" w:hAnsi="Book Antiqua" w:cs="Times New Roman"/>
          <w:sz w:val="24"/>
          <w:szCs w:val="24"/>
        </w:rPr>
        <w:t>Wang G,</w:t>
      </w:r>
      <w:r>
        <w:rPr>
          <w:rFonts w:ascii="Book Antiqua" w:hAnsi="Book Antiqua" w:cs="Times New Roman" w:hint="eastAsia"/>
          <w:sz w:val="24"/>
          <w:szCs w:val="24"/>
        </w:rPr>
        <w:t xml:space="preserve"> </w:t>
      </w:r>
      <w:r>
        <w:rPr>
          <w:rFonts w:ascii="Book Antiqua" w:hAnsi="Book Antiqua" w:cs="Times New Roman"/>
          <w:sz w:val="24"/>
          <w:szCs w:val="24"/>
        </w:rPr>
        <w:t>Wu H,</w:t>
      </w:r>
      <w:r>
        <w:rPr>
          <w:rFonts w:ascii="Book Antiqua" w:hAnsi="Book Antiqua" w:cs="Times New Roman" w:hint="eastAsia"/>
          <w:sz w:val="24"/>
          <w:szCs w:val="24"/>
        </w:rPr>
        <w:t xml:space="preserve"> </w:t>
      </w:r>
      <w:proofErr w:type="spellStart"/>
      <w:r>
        <w:rPr>
          <w:rFonts w:ascii="Book Antiqua" w:hAnsi="Book Antiqua" w:cs="Times New Roman"/>
          <w:sz w:val="24"/>
          <w:szCs w:val="24"/>
        </w:rPr>
        <w:t>Xie</w:t>
      </w:r>
      <w:proofErr w:type="spellEnd"/>
      <w:r>
        <w:rPr>
          <w:rFonts w:ascii="Book Antiqua" w:hAnsi="Book Antiqua" w:cs="Times New Roman"/>
          <w:sz w:val="24"/>
          <w:szCs w:val="24"/>
        </w:rPr>
        <w:t xml:space="preserve"> X,</w:t>
      </w:r>
      <w:r>
        <w:rPr>
          <w:rFonts w:ascii="Book Antiqua" w:hAnsi="Book Antiqua" w:cs="Times New Roman" w:hint="eastAsia"/>
          <w:sz w:val="24"/>
          <w:szCs w:val="24"/>
        </w:rPr>
        <w:t xml:space="preserve"> </w:t>
      </w:r>
      <w:r>
        <w:rPr>
          <w:rFonts w:ascii="Book Antiqua" w:hAnsi="Book Antiqua" w:cs="Times New Roman"/>
          <w:sz w:val="24"/>
          <w:szCs w:val="24"/>
        </w:rPr>
        <w:t>Zhang C,</w:t>
      </w:r>
      <w:r>
        <w:rPr>
          <w:rFonts w:ascii="Book Antiqua" w:hAnsi="Book Antiqua" w:cs="Times New Roman" w:hint="eastAsia"/>
          <w:sz w:val="24"/>
          <w:szCs w:val="24"/>
        </w:rPr>
        <w:t xml:space="preserve"> </w:t>
      </w:r>
      <w:r>
        <w:rPr>
          <w:rFonts w:ascii="Book Antiqua" w:hAnsi="Book Antiqua" w:cs="Times New Roman"/>
          <w:sz w:val="24"/>
          <w:szCs w:val="24"/>
        </w:rPr>
        <w:t xml:space="preserve">Zhu Q. Diagnostic efficacy of noninvasive liver fibrosis indexes in predicting portal hypertension in patients with cirrhosis. </w:t>
      </w:r>
      <w:proofErr w:type="spellStart"/>
      <w:r>
        <w:rPr>
          <w:rFonts w:ascii="Book Antiqua" w:hAnsi="Book Antiqua" w:cs="Times New Roman"/>
          <w:i/>
          <w:sz w:val="24"/>
          <w:szCs w:val="24"/>
        </w:rPr>
        <w:t>PLoS</w:t>
      </w:r>
      <w:proofErr w:type="spellEnd"/>
      <w:r>
        <w:rPr>
          <w:rFonts w:ascii="Book Antiqua" w:hAnsi="Book Antiqua" w:cs="Times New Roman"/>
          <w:i/>
          <w:sz w:val="24"/>
          <w:szCs w:val="24"/>
        </w:rPr>
        <w:t xml:space="preserve"> One</w:t>
      </w:r>
      <w:r>
        <w:rPr>
          <w:rFonts w:ascii="Book Antiqua" w:hAnsi="Book Antiqua" w:cs="Times New Roman"/>
          <w:sz w:val="24"/>
          <w:szCs w:val="24"/>
        </w:rPr>
        <w:t xml:space="preserve"> 2017; </w:t>
      </w:r>
      <w:r>
        <w:rPr>
          <w:rFonts w:ascii="Book Antiqua" w:hAnsi="Book Antiqua" w:cs="Times New Roman"/>
          <w:b/>
          <w:sz w:val="24"/>
          <w:szCs w:val="24"/>
        </w:rPr>
        <w:t>12</w:t>
      </w:r>
      <w:r>
        <w:rPr>
          <w:rFonts w:ascii="Book Antiqua" w:hAnsi="Book Antiqua" w:cs="Times New Roman"/>
          <w:sz w:val="24"/>
          <w:szCs w:val="24"/>
        </w:rPr>
        <w:t>: e0182969</w:t>
      </w:r>
      <w:bookmarkEnd w:id="69"/>
      <w:r>
        <w:rPr>
          <w:rFonts w:ascii="Book Antiqua" w:hAnsi="Book Antiqua" w:cs="Times New Roman"/>
          <w:sz w:val="24"/>
          <w:szCs w:val="24"/>
        </w:rPr>
        <w:t xml:space="preserve"> [PMID: 28820885 DOI: 10.1371/journal.pone.0182969]</w:t>
      </w:r>
    </w:p>
    <w:p w:rsidR="00AB3D4E" w:rsidRDefault="008F642A">
      <w:pPr>
        <w:spacing w:line="360" w:lineRule="auto"/>
        <w:rPr>
          <w:rFonts w:ascii="Book Antiqua" w:hAnsi="Book Antiqua" w:cs="Times New Roman"/>
          <w:sz w:val="24"/>
          <w:szCs w:val="24"/>
        </w:rPr>
      </w:pPr>
      <w:bookmarkStart w:id="70" w:name="_ENREF_32"/>
      <w:r>
        <w:rPr>
          <w:rFonts w:ascii="Book Antiqua" w:hAnsi="Book Antiqua" w:cs="Times New Roman"/>
          <w:sz w:val="24"/>
          <w:szCs w:val="24"/>
        </w:rPr>
        <w:t>32</w:t>
      </w:r>
      <w:r>
        <w:rPr>
          <w:rFonts w:ascii="Book Antiqua" w:hAnsi="Book Antiqua" w:cs="Times New Roman"/>
          <w:sz w:val="24"/>
          <w:szCs w:val="24"/>
        </w:rPr>
        <w:tab/>
      </w:r>
      <w:r>
        <w:rPr>
          <w:rFonts w:ascii="Book Antiqua" w:hAnsi="Book Antiqua" w:cs="Times New Roman"/>
          <w:b/>
          <w:sz w:val="24"/>
          <w:szCs w:val="24"/>
        </w:rPr>
        <w:t>Dong XQ</w:t>
      </w:r>
      <w:r>
        <w:rPr>
          <w:rFonts w:ascii="Book Antiqua" w:hAnsi="Book Antiqua" w:cs="Times New Roman"/>
          <w:sz w:val="24"/>
          <w:szCs w:val="24"/>
        </w:rPr>
        <w:t xml:space="preserve">, Wu Z, Zhao H, Wang GQ; China </w:t>
      </w:r>
      <w:proofErr w:type="spellStart"/>
      <w:r>
        <w:rPr>
          <w:rFonts w:ascii="Book Antiqua" w:hAnsi="Book Antiqua" w:cs="Times New Roman"/>
          <w:sz w:val="24"/>
          <w:szCs w:val="24"/>
        </w:rPr>
        <w:t>HepB</w:t>
      </w:r>
      <w:proofErr w:type="spellEnd"/>
      <w:r>
        <w:rPr>
          <w:rFonts w:ascii="Book Antiqua" w:hAnsi="Book Antiqua" w:cs="Times New Roman"/>
          <w:sz w:val="24"/>
          <w:szCs w:val="24"/>
        </w:rPr>
        <w:t xml:space="preserve">-Related Fibrosis Assessment Research Group. Evaluation and comparison of thirty noninvasive models for diagnosing liver fibrosis in </w:t>
      </w:r>
      <w:proofErr w:type="spellStart"/>
      <w:proofErr w:type="gramStart"/>
      <w:r>
        <w:rPr>
          <w:rFonts w:ascii="Book Antiqua" w:hAnsi="Book Antiqua" w:cs="Times New Roman"/>
          <w:sz w:val="24"/>
          <w:szCs w:val="24"/>
        </w:rPr>
        <w:t>chinese</w:t>
      </w:r>
      <w:proofErr w:type="spellEnd"/>
      <w:proofErr w:type="gramEnd"/>
      <w:r>
        <w:rPr>
          <w:rFonts w:ascii="Book Antiqua" w:hAnsi="Book Antiqua" w:cs="Times New Roman"/>
          <w:sz w:val="24"/>
          <w:szCs w:val="24"/>
        </w:rPr>
        <w:t xml:space="preserve"> hepatitis B patients. </w:t>
      </w:r>
      <w:r>
        <w:rPr>
          <w:rFonts w:ascii="Book Antiqua" w:hAnsi="Book Antiqua" w:cs="Times New Roman"/>
          <w:i/>
          <w:sz w:val="24"/>
          <w:szCs w:val="24"/>
        </w:rPr>
        <w:t xml:space="preserve">J Viral </w:t>
      </w:r>
      <w:proofErr w:type="spellStart"/>
      <w:r>
        <w:rPr>
          <w:rFonts w:ascii="Book Antiqua" w:hAnsi="Book Antiqua" w:cs="Times New Roman"/>
          <w:i/>
          <w:sz w:val="24"/>
          <w:szCs w:val="24"/>
        </w:rPr>
        <w:t>Hepat</w:t>
      </w:r>
      <w:proofErr w:type="spellEnd"/>
      <w:r>
        <w:rPr>
          <w:rFonts w:ascii="Book Antiqua" w:hAnsi="Book Antiqua" w:cs="Times New Roman"/>
          <w:sz w:val="24"/>
          <w:szCs w:val="24"/>
        </w:rPr>
        <w:t xml:space="preserve"> </w:t>
      </w:r>
      <w:bookmarkEnd w:id="70"/>
      <w:r>
        <w:rPr>
          <w:rFonts w:ascii="Book Antiqua" w:hAnsi="Book Antiqua" w:cs="Times New Roman"/>
          <w:sz w:val="24"/>
          <w:szCs w:val="24"/>
        </w:rPr>
        <w:t xml:space="preserve">2019; </w:t>
      </w:r>
      <w:r>
        <w:rPr>
          <w:rFonts w:ascii="Book Antiqua" w:hAnsi="Book Antiqua" w:cs="Times New Roman"/>
          <w:b/>
          <w:sz w:val="24"/>
          <w:szCs w:val="24"/>
        </w:rPr>
        <w:t>26</w:t>
      </w:r>
      <w:r>
        <w:rPr>
          <w:rFonts w:ascii="Book Antiqua" w:hAnsi="Book Antiqua" w:cs="Times New Roman"/>
          <w:sz w:val="24"/>
          <w:szCs w:val="24"/>
        </w:rPr>
        <w:t>: 297-307 [PMID: 30380170 DOI: 10.1111/jvh.13031]</w:t>
      </w:r>
    </w:p>
    <w:p w:rsidR="00AB3D4E" w:rsidRDefault="008F642A">
      <w:pPr>
        <w:spacing w:line="360" w:lineRule="auto"/>
        <w:rPr>
          <w:rFonts w:ascii="Book Antiqua" w:hAnsi="Book Antiqua" w:cs="Times New Roman"/>
          <w:sz w:val="24"/>
          <w:szCs w:val="24"/>
        </w:rPr>
      </w:pPr>
      <w:bookmarkStart w:id="71" w:name="_ENREF_33"/>
      <w:r>
        <w:rPr>
          <w:rFonts w:ascii="Book Antiqua" w:hAnsi="Book Antiqua" w:cs="Times New Roman"/>
          <w:sz w:val="24"/>
          <w:szCs w:val="24"/>
        </w:rPr>
        <w:t>33</w:t>
      </w:r>
      <w:r>
        <w:rPr>
          <w:rFonts w:ascii="Book Antiqua" w:hAnsi="Book Antiqua" w:cs="Times New Roman"/>
          <w:sz w:val="24"/>
          <w:szCs w:val="24"/>
        </w:rPr>
        <w:tab/>
      </w:r>
      <w:proofErr w:type="spellStart"/>
      <w:r>
        <w:rPr>
          <w:rFonts w:ascii="Book Antiqua" w:hAnsi="Book Antiqua" w:cs="Times New Roman"/>
          <w:b/>
          <w:sz w:val="24"/>
          <w:szCs w:val="24"/>
        </w:rPr>
        <w:t>Paternostro</w:t>
      </w:r>
      <w:proofErr w:type="spellEnd"/>
      <w:r>
        <w:rPr>
          <w:rFonts w:ascii="Book Antiqua" w:hAnsi="Book Antiqua" w:cs="Times New Roman"/>
          <w:b/>
          <w:sz w:val="24"/>
          <w:szCs w:val="24"/>
        </w:rPr>
        <w:t xml:space="preserve"> R</w:t>
      </w:r>
      <w:r>
        <w:rPr>
          <w:rFonts w:ascii="Book Antiqua" w:hAnsi="Book Antiqua" w:cs="Times New Roman"/>
          <w:sz w:val="24"/>
          <w:szCs w:val="24"/>
        </w:rPr>
        <w:t xml:space="preserve">, </w:t>
      </w:r>
      <w:proofErr w:type="spellStart"/>
      <w:r>
        <w:rPr>
          <w:rFonts w:ascii="Book Antiqua" w:hAnsi="Book Antiqua" w:cs="Times New Roman"/>
          <w:sz w:val="24"/>
          <w:szCs w:val="24"/>
        </w:rPr>
        <w:t>Reiberger</w:t>
      </w:r>
      <w:proofErr w:type="spellEnd"/>
      <w:r>
        <w:rPr>
          <w:rFonts w:ascii="Book Antiqua" w:hAnsi="Book Antiqua" w:cs="Times New Roman"/>
          <w:sz w:val="24"/>
          <w:szCs w:val="24"/>
        </w:rPr>
        <w:t xml:space="preserve"> T, </w:t>
      </w:r>
      <w:proofErr w:type="spellStart"/>
      <w:r>
        <w:rPr>
          <w:rFonts w:ascii="Book Antiqua" w:hAnsi="Book Antiqua" w:cs="Times New Roman"/>
          <w:sz w:val="24"/>
          <w:szCs w:val="24"/>
        </w:rPr>
        <w:t>Bucsics</w:t>
      </w:r>
      <w:proofErr w:type="spellEnd"/>
      <w:r>
        <w:rPr>
          <w:rFonts w:ascii="Book Antiqua" w:hAnsi="Book Antiqua" w:cs="Times New Roman"/>
          <w:sz w:val="24"/>
          <w:szCs w:val="24"/>
        </w:rPr>
        <w:t xml:space="preserve"> T. </w:t>
      </w:r>
      <w:proofErr w:type="spellStart"/>
      <w:r>
        <w:rPr>
          <w:rFonts w:ascii="Book Antiqua" w:hAnsi="Book Antiqua" w:cs="Times New Roman"/>
          <w:sz w:val="24"/>
          <w:szCs w:val="24"/>
        </w:rPr>
        <w:t>Elastography</w:t>
      </w:r>
      <w:proofErr w:type="spellEnd"/>
      <w:r>
        <w:rPr>
          <w:rFonts w:ascii="Book Antiqua" w:hAnsi="Book Antiqua" w:cs="Times New Roman"/>
          <w:sz w:val="24"/>
          <w:szCs w:val="24"/>
        </w:rPr>
        <w:t xml:space="preserve">-based screening for esophageal varices in patients with advanced chronic liver disease. </w:t>
      </w:r>
      <w:r>
        <w:rPr>
          <w:rFonts w:ascii="Book Antiqua" w:hAnsi="Book Antiqua" w:cs="Times New Roman"/>
          <w:i/>
          <w:sz w:val="24"/>
          <w:szCs w:val="24"/>
        </w:rPr>
        <w:t xml:space="preserve">World J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2019; </w:t>
      </w:r>
      <w:r>
        <w:rPr>
          <w:rFonts w:ascii="Book Antiqua" w:hAnsi="Book Antiqua" w:cs="Times New Roman"/>
          <w:b/>
          <w:sz w:val="24"/>
          <w:szCs w:val="24"/>
        </w:rPr>
        <w:t>25</w:t>
      </w:r>
      <w:r>
        <w:rPr>
          <w:rFonts w:ascii="Book Antiqua" w:hAnsi="Book Antiqua" w:cs="Times New Roman"/>
          <w:sz w:val="24"/>
          <w:szCs w:val="24"/>
        </w:rPr>
        <w:t>: 308-329</w:t>
      </w:r>
      <w:bookmarkEnd w:id="71"/>
      <w:r>
        <w:rPr>
          <w:rFonts w:ascii="Book Antiqua" w:hAnsi="Book Antiqua" w:cs="Times New Roman"/>
          <w:sz w:val="24"/>
          <w:szCs w:val="24"/>
        </w:rPr>
        <w:t xml:space="preserve"> [PMID: 30686900 DOI: 10.3748/wjg.v25.i3.308]</w:t>
      </w:r>
    </w:p>
    <w:p w:rsidR="00AB3D4E" w:rsidRDefault="008F642A">
      <w:pPr>
        <w:spacing w:line="360" w:lineRule="auto"/>
        <w:rPr>
          <w:rFonts w:ascii="Book Antiqua" w:hAnsi="Book Antiqua" w:cs="Times New Roman"/>
          <w:sz w:val="24"/>
          <w:szCs w:val="24"/>
        </w:rPr>
      </w:pPr>
      <w:bookmarkStart w:id="72" w:name="_ENREF_34"/>
      <w:r>
        <w:rPr>
          <w:rFonts w:ascii="Book Antiqua" w:hAnsi="Book Antiqua" w:cs="Times New Roman"/>
          <w:sz w:val="24"/>
          <w:szCs w:val="24"/>
        </w:rPr>
        <w:t>34.</w:t>
      </w:r>
      <w:r>
        <w:rPr>
          <w:rFonts w:ascii="Book Antiqua" w:hAnsi="Book Antiqua" w:cs="Times New Roman"/>
          <w:sz w:val="24"/>
          <w:szCs w:val="24"/>
        </w:rPr>
        <w:tab/>
      </w:r>
      <w:proofErr w:type="spellStart"/>
      <w:r>
        <w:rPr>
          <w:rFonts w:ascii="Book Antiqua" w:hAnsi="Book Antiqua" w:cs="Times New Roman"/>
          <w:b/>
          <w:sz w:val="24"/>
          <w:szCs w:val="24"/>
        </w:rPr>
        <w:t>Calès</w:t>
      </w:r>
      <w:proofErr w:type="spellEnd"/>
      <w:r>
        <w:rPr>
          <w:rFonts w:ascii="Book Antiqua" w:hAnsi="Book Antiqua" w:cs="Times New Roman"/>
          <w:b/>
          <w:sz w:val="24"/>
          <w:szCs w:val="24"/>
        </w:rPr>
        <w:t xml:space="preserve"> P</w:t>
      </w:r>
      <w:r>
        <w:rPr>
          <w:rFonts w:ascii="Book Antiqua" w:hAnsi="Book Antiqua" w:cs="Times New Roman"/>
          <w:sz w:val="24"/>
          <w:szCs w:val="24"/>
        </w:rPr>
        <w:t>, Buisson F, </w:t>
      </w:r>
      <w:proofErr w:type="spellStart"/>
      <w:r>
        <w:rPr>
          <w:rFonts w:ascii="Book Antiqua" w:hAnsi="Book Antiqua" w:cs="Times New Roman"/>
          <w:sz w:val="24"/>
          <w:szCs w:val="24"/>
        </w:rPr>
        <w:t>Ravaioli</w:t>
      </w:r>
      <w:proofErr w:type="spellEnd"/>
      <w:r>
        <w:rPr>
          <w:rFonts w:ascii="Book Antiqua" w:hAnsi="Book Antiqua" w:cs="Times New Roman"/>
          <w:sz w:val="24"/>
          <w:szCs w:val="24"/>
        </w:rPr>
        <w:t xml:space="preserve"> F, Berger A, </w:t>
      </w:r>
      <w:proofErr w:type="spellStart"/>
      <w:r>
        <w:rPr>
          <w:rFonts w:ascii="Book Antiqua" w:hAnsi="Book Antiqua" w:cs="Times New Roman"/>
          <w:sz w:val="24"/>
          <w:szCs w:val="24"/>
        </w:rPr>
        <w:t>Carboni</w:t>
      </w:r>
      <w:proofErr w:type="spellEnd"/>
      <w:r>
        <w:rPr>
          <w:rFonts w:ascii="Book Antiqua" w:hAnsi="Book Antiqua" w:cs="Times New Roman"/>
          <w:sz w:val="24"/>
          <w:szCs w:val="24"/>
        </w:rPr>
        <w:t xml:space="preserve"> C, </w:t>
      </w:r>
      <w:proofErr w:type="spellStart"/>
      <w:r>
        <w:rPr>
          <w:rFonts w:ascii="Book Antiqua" w:hAnsi="Book Antiqua" w:cs="Times New Roman"/>
          <w:sz w:val="24"/>
          <w:szCs w:val="24"/>
        </w:rPr>
        <w:t>Marasco</w:t>
      </w:r>
      <w:proofErr w:type="spellEnd"/>
      <w:r>
        <w:rPr>
          <w:rFonts w:ascii="Book Antiqua" w:hAnsi="Book Antiqua" w:cs="Times New Roman"/>
          <w:sz w:val="24"/>
          <w:szCs w:val="24"/>
        </w:rPr>
        <w:t xml:space="preserve"> G, </w:t>
      </w:r>
      <w:proofErr w:type="spellStart"/>
      <w:r>
        <w:rPr>
          <w:rFonts w:ascii="Book Antiqua" w:hAnsi="Book Antiqua" w:cs="Times New Roman"/>
          <w:sz w:val="24"/>
          <w:szCs w:val="24"/>
        </w:rPr>
        <w:t>Festi</w:t>
      </w:r>
      <w:proofErr w:type="spellEnd"/>
      <w:r>
        <w:rPr>
          <w:rFonts w:ascii="Book Antiqua" w:hAnsi="Book Antiqua" w:cs="Times New Roman"/>
          <w:sz w:val="24"/>
          <w:szCs w:val="24"/>
        </w:rPr>
        <w:t xml:space="preserve"> D. How to clarify the </w:t>
      </w:r>
      <w:proofErr w:type="spellStart"/>
      <w:r>
        <w:rPr>
          <w:rFonts w:ascii="Book Antiqua" w:hAnsi="Book Antiqua" w:cs="Times New Roman"/>
          <w:sz w:val="24"/>
          <w:szCs w:val="24"/>
        </w:rPr>
        <w:t>Baveno</w:t>
      </w:r>
      <w:proofErr w:type="spellEnd"/>
      <w:r>
        <w:rPr>
          <w:rFonts w:ascii="Book Antiqua" w:hAnsi="Book Antiqua" w:cs="Times New Roman"/>
          <w:sz w:val="24"/>
          <w:szCs w:val="24"/>
        </w:rPr>
        <w:t xml:space="preserve"> VI criteria for ruling</w:t>
      </w:r>
      <w:bookmarkStart w:id="73" w:name="_GoBack"/>
      <w:bookmarkEnd w:id="73"/>
      <w:r>
        <w:rPr>
          <w:rFonts w:ascii="Book Antiqua" w:hAnsi="Book Antiqua" w:cs="Times New Roman"/>
          <w:sz w:val="24"/>
          <w:szCs w:val="24"/>
        </w:rPr>
        <w:t xml:space="preserve"> out varices needing treatment by noninvasive tests. </w:t>
      </w:r>
      <w:r>
        <w:rPr>
          <w:rFonts w:ascii="Book Antiqua" w:hAnsi="Book Antiqua" w:cs="Times New Roman"/>
          <w:i/>
          <w:sz w:val="24"/>
          <w:szCs w:val="24"/>
        </w:rPr>
        <w:t xml:space="preserve">Liver </w:t>
      </w:r>
      <w:proofErr w:type="spellStart"/>
      <w:r>
        <w:rPr>
          <w:rFonts w:ascii="Book Antiqua" w:hAnsi="Book Antiqua" w:cs="Times New Roman"/>
          <w:i/>
          <w:sz w:val="24"/>
          <w:szCs w:val="24"/>
        </w:rPr>
        <w:t>Int</w:t>
      </w:r>
      <w:proofErr w:type="spellEnd"/>
      <w:r>
        <w:rPr>
          <w:rFonts w:ascii="Book Antiqua" w:hAnsi="Book Antiqua" w:cs="Times New Roman"/>
          <w:sz w:val="24"/>
          <w:szCs w:val="24"/>
        </w:rPr>
        <w:t xml:space="preserve"> 2019; </w:t>
      </w:r>
      <w:r>
        <w:rPr>
          <w:rFonts w:ascii="Book Antiqua" w:hAnsi="Book Antiqua" w:cs="Times New Roman"/>
          <w:b/>
          <w:sz w:val="24"/>
          <w:szCs w:val="24"/>
        </w:rPr>
        <w:t>39</w:t>
      </w:r>
      <w:r>
        <w:rPr>
          <w:rFonts w:ascii="Book Antiqua" w:hAnsi="Book Antiqua" w:cs="Times New Roman"/>
          <w:sz w:val="24"/>
          <w:szCs w:val="24"/>
        </w:rPr>
        <w:t>: 49</w:t>
      </w:r>
      <w:r>
        <w:rPr>
          <w:rFonts w:ascii="Book Antiqua" w:hAnsi="Book Antiqua" w:cs="Times New Roman" w:hint="eastAsia"/>
          <w:sz w:val="24"/>
          <w:szCs w:val="24"/>
        </w:rPr>
        <w:t>-</w:t>
      </w:r>
      <w:r>
        <w:rPr>
          <w:rFonts w:ascii="Book Antiqua" w:hAnsi="Book Antiqua" w:cs="Times New Roman"/>
          <w:sz w:val="24"/>
          <w:szCs w:val="24"/>
        </w:rPr>
        <w:t>53</w:t>
      </w:r>
      <w:bookmarkEnd w:id="72"/>
      <w:r>
        <w:rPr>
          <w:rFonts w:ascii="Book Antiqua" w:hAnsi="Book Antiqua" w:cs="Times New Roman"/>
          <w:sz w:val="24"/>
          <w:szCs w:val="24"/>
        </w:rPr>
        <w:t xml:space="preserve"> [PMID: 30129700 DOI: 10.1111/liv.13945]</w:t>
      </w:r>
    </w:p>
    <w:p w:rsidR="00AB3D4E" w:rsidRDefault="008F642A">
      <w:pPr>
        <w:snapToGrid w:val="0"/>
        <w:spacing w:line="360" w:lineRule="auto"/>
        <w:jc w:val="right"/>
        <w:rPr>
          <w:rFonts w:ascii="Book Antiqua" w:hAnsi="Book Antiqua"/>
          <w:color w:val="000000"/>
          <w:sz w:val="24"/>
          <w:szCs w:val="24"/>
        </w:rPr>
      </w:pPr>
      <w:bookmarkStart w:id="74" w:name="OLE_LINK139"/>
      <w:bookmarkStart w:id="75" w:name="OLE_LINK140"/>
      <w:bookmarkStart w:id="76" w:name="OLE_LINK1027"/>
      <w:bookmarkStart w:id="77" w:name="OLE_LINK1023"/>
      <w:r>
        <w:rPr>
          <w:rFonts w:ascii="Book Antiqua" w:hAnsi="Book Antiqua"/>
          <w:b/>
          <w:bCs/>
          <w:color w:val="000000"/>
          <w:sz w:val="24"/>
          <w:szCs w:val="24"/>
        </w:rPr>
        <w:t>P-Reviewer:</w:t>
      </w:r>
      <w:r>
        <w:rPr>
          <w:rFonts w:ascii="Book Antiqua" w:hAnsi="Book Antiqua"/>
          <w:bCs/>
          <w:color w:val="000000"/>
          <w:sz w:val="24"/>
          <w:szCs w:val="24"/>
        </w:rPr>
        <w:t xml:space="preserve"> El-</w:t>
      </w:r>
      <w:proofErr w:type="spellStart"/>
      <w:r>
        <w:rPr>
          <w:rFonts w:ascii="Book Antiqua" w:hAnsi="Book Antiqua"/>
          <w:bCs/>
          <w:color w:val="000000"/>
          <w:sz w:val="24"/>
          <w:szCs w:val="24"/>
        </w:rPr>
        <w:t>Karaksy</w:t>
      </w:r>
      <w:proofErr w:type="spellEnd"/>
      <w:r>
        <w:rPr>
          <w:rFonts w:ascii="Book Antiqua" w:hAnsi="Book Antiqua"/>
          <w:bCs/>
          <w:color w:val="000000"/>
          <w:sz w:val="24"/>
          <w:szCs w:val="24"/>
        </w:rPr>
        <w:t xml:space="preserve"> H, </w:t>
      </w:r>
      <w:proofErr w:type="spellStart"/>
      <w:r>
        <w:rPr>
          <w:rFonts w:ascii="Book Antiqua" w:hAnsi="Book Antiqua"/>
          <w:bCs/>
          <w:color w:val="000000"/>
          <w:sz w:val="24"/>
          <w:szCs w:val="24"/>
        </w:rPr>
        <w:t>Fouad</w:t>
      </w:r>
      <w:proofErr w:type="spellEnd"/>
      <w:r>
        <w:rPr>
          <w:rFonts w:ascii="Book Antiqua" w:hAnsi="Book Antiqua"/>
          <w:bCs/>
          <w:color w:val="000000"/>
          <w:sz w:val="24"/>
          <w:szCs w:val="24"/>
        </w:rPr>
        <w:t xml:space="preserve"> YM, </w:t>
      </w:r>
      <w:proofErr w:type="spellStart"/>
      <w:r>
        <w:rPr>
          <w:rFonts w:ascii="Book Antiqua" w:hAnsi="Book Antiqua"/>
          <w:bCs/>
          <w:color w:val="000000"/>
          <w:sz w:val="24"/>
          <w:szCs w:val="24"/>
        </w:rPr>
        <w:t>Thomopoulos</w:t>
      </w:r>
      <w:proofErr w:type="spellEnd"/>
      <w:r>
        <w:rPr>
          <w:rFonts w:ascii="Book Antiqua" w:hAnsi="Book Antiqua"/>
          <w:bCs/>
          <w:color w:val="000000"/>
          <w:sz w:val="24"/>
          <w:szCs w:val="24"/>
        </w:rPr>
        <w:t xml:space="preserve"> K</w:t>
      </w:r>
      <w:r>
        <w:rPr>
          <w:rFonts w:ascii="Book Antiqua" w:hAnsi="Book Antiqua"/>
          <w:b/>
          <w:bCs/>
          <w:color w:val="000000"/>
          <w:sz w:val="24"/>
          <w:szCs w:val="24"/>
        </w:rPr>
        <w:t xml:space="preserve"> S-Editor:</w:t>
      </w:r>
      <w:r>
        <w:rPr>
          <w:rFonts w:ascii="Book Antiqua" w:hAnsi="Book Antiqua"/>
          <w:color w:val="000000"/>
          <w:sz w:val="24"/>
          <w:szCs w:val="24"/>
        </w:rPr>
        <w:t xml:space="preserve"> Yan JP</w:t>
      </w:r>
    </w:p>
    <w:p w:rsidR="00AB3D4E" w:rsidRDefault="008F642A" w:rsidP="0037546D">
      <w:pPr>
        <w:wordWrap w:val="0"/>
        <w:snapToGrid w:val="0"/>
        <w:spacing w:line="360" w:lineRule="auto"/>
        <w:jc w:val="right"/>
        <w:rPr>
          <w:rFonts w:ascii="Book Antiqua" w:hAnsi="Book Antiqua"/>
          <w:b/>
          <w:bCs/>
          <w:color w:val="000000"/>
          <w:sz w:val="24"/>
          <w:szCs w:val="24"/>
        </w:rPr>
      </w:pPr>
      <w:r>
        <w:rPr>
          <w:rFonts w:ascii="Book Antiqua" w:hAnsi="Book Antiqua"/>
          <w:b/>
          <w:bCs/>
          <w:color w:val="000000"/>
          <w:sz w:val="24"/>
          <w:szCs w:val="24"/>
        </w:rPr>
        <w:t>L-Editor:</w:t>
      </w:r>
      <w:r>
        <w:rPr>
          <w:rFonts w:ascii="Book Antiqua" w:hAnsi="Book Antiqua"/>
          <w:color w:val="000000"/>
          <w:sz w:val="24"/>
          <w:szCs w:val="24"/>
        </w:rPr>
        <w:t xml:space="preserve"> Wang TQ </w:t>
      </w:r>
      <w:proofErr w:type="spellStart"/>
      <w:r>
        <w:rPr>
          <w:rFonts w:ascii="Book Antiqua" w:hAnsi="Book Antiqua"/>
          <w:b/>
          <w:bCs/>
          <w:color w:val="000000"/>
          <w:sz w:val="24"/>
          <w:szCs w:val="24"/>
        </w:rPr>
        <w:t>E-Editor</w:t>
      </w:r>
      <w:proofErr w:type="gramStart"/>
      <w:r w:rsidRPr="00F71BDF">
        <w:rPr>
          <w:rFonts w:ascii="Book Antiqua" w:hAnsi="Book Antiqua"/>
          <w:bCs/>
          <w:color w:val="000000"/>
          <w:sz w:val="24"/>
          <w:szCs w:val="24"/>
        </w:rPr>
        <w:t>:</w:t>
      </w:r>
      <w:r w:rsidR="00F71BDF" w:rsidRPr="00F71BDF">
        <w:rPr>
          <w:rFonts w:ascii="Book Antiqua" w:hAnsi="Book Antiqua"/>
          <w:bCs/>
          <w:color w:val="000000"/>
          <w:sz w:val="24"/>
          <w:szCs w:val="24"/>
        </w:rPr>
        <w:t>Ma</w:t>
      </w:r>
      <w:proofErr w:type="spellEnd"/>
      <w:proofErr w:type="gramEnd"/>
      <w:r w:rsidR="00F71BDF" w:rsidRPr="00F71BDF">
        <w:rPr>
          <w:rFonts w:ascii="Book Antiqua" w:hAnsi="Book Antiqua"/>
          <w:bCs/>
          <w:color w:val="000000"/>
          <w:sz w:val="24"/>
          <w:szCs w:val="24"/>
        </w:rPr>
        <w:t xml:space="preserve"> YJ</w:t>
      </w:r>
    </w:p>
    <w:bookmarkEnd w:id="74"/>
    <w:bookmarkEnd w:id="75"/>
    <w:p w:rsidR="00AB3D4E" w:rsidRDefault="008F642A">
      <w:pPr>
        <w:spacing w:line="360" w:lineRule="auto"/>
        <w:rPr>
          <w:rFonts w:ascii="Book Antiqua" w:hAnsi="Book Antiqua" w:cs="Times New Roman"/>
          <w:sz w:val="24"/>
          <w:szCs w:val="24"/>
        </w:rPr>
      </w:pPr>
      <w:r>
        <w:rPr>
          <w:rFonts w:ascii="Book Antiqua" w:hAnsi="Book Antiqua"/>
          <w:b/>
          <w:kern w:val="0"/>
          <w:sz w:val="24"/>
          <w:szCs w:val="24"/>
        </w:rPr>
        <w:t xml:space="preserve">Specialty type: </w:t>
      </w:r>
      <w:r>
        <w:rPr>
          <w:rFonts w:ascii="Book Antiqua" w:eastAsia="微软雅黑" w:hAnsi="Book Antiqua"/>
          <w:kern w:val="0"/>
          <w:sz w:val="24"/>
          <w:szCs w:val="24"/>
        </w:rPr>
        <w:t>Gastroenterology and hepatology</w:t>
      </w:r>
      <w:r>
        <w:rPr>
          <w:rFonts w:ascii="Book Antiqua" w:hAnsi="Book Antiqua"/>
          <w:kern w:val="0"/>
          <w:sz w:val="24"/>
          <w:szCs w:val="24"/>
        </w:rPr>
        <w:t xml:space="preserve"> </w:t>
      </w:r>
      <w:r>
        <w:rPr>
          <w:rFonts w:ascii="Book Antiqua" w:hAnsi="Book Antiqua"/>
          <w:kern w:val="0"/>
          <w:sz w:val="24"/>
          <w:szCs w:val="24"/>
        </w:rPr>
        <w:br/>
      </w:r>
      <w:r>
        <w:rPr>
          <w:rFonts w:ascii="Book Antiqua" w:hAnsi="Book Antiqua"/>
          <w:b/>
          <w:kern w:val="0"/>
          <w:sz w:val="24"/>
          <w:szCs w:val="24"/>
        </w:rPr>
        <w:t xml:space="preserve">Country of origin: </w:t>
      </w:r>
      <w:r>
        <w:rPr>
          <w:rFonts w:ascii="Book Antiqua" w:hAnsi="Book Antiqua"/>
          <w:kern w:val="0"/>
          <w:sz w:val="24"/>
          <w:szCs w:val="24"/>
        </w:rPr>
        <w:t>China</w:t>
      </w:r>
      <w:r>
        <w:rPr>
          <w:rFonts w:ascii="Book Antiqua" w:hAnsi="Book Antiqua"/>
          <w:kern w:val="0"/>
          <w:sz w:val="24"/>
          <w:szCs w:val="24"/>
        </w:rPr>
        <w:br/>
      </w:r>
      <w:r>
        <w:rPr>
          <w:rFonts w:ascii="Book Antiqua" w:hAnsi="Book Antiqua"/>
          <w:b/>
          <w:kern w:val="0"/>
          <w:sz w:val="24"/>
          <w:szCs w:val="24"/>
        </w:rPr>
        <w:t>Peer-review report classification</w:t>
      </w:r>
      <w:r>
        <w:rPr>
          <w:rFonts w:ascii="Book Antiqua" w:hAnsi="Book Antiqua"/>
          <w:kern w:val="0"/>
          <w:sz w:val="24"/>
          <w:szCs w:val="24"/>
        </w:rPr>
        <w:br/>
      </w:r>
      <w:r>
        <w:rPr>
          <w:rFonts w:ascii="Book Antiqua" w:hAnsi="Book Antiqua"/>
          <w:b/>
          <w:kern w:val="0"/>
          <w:sz w:val="24"/>
          <w:szCs w:val="24"/>
        </w:rPr>
        <w:t xml:space="preserve">Grade A (Excellent): </w:t>
      </w:r>
      <w:r>
        <w:rPr>
          <w:rFonts w:ascii="Book Antiqua" w:hAnsi="Book Antiqua"/>
          <w:kern w:val="0"/>
          <w:sz w:val="24"/>
          <w:szCs w:val="24"/>
        </w:rPr>
        <w:t>0</w:t>
      </w:r>
      <w:r>
        <w:rPr>
          <w:rFonts w:ascii="Book Antiqua" w:hAnsi="Book Antiqua"/>
          <w:kern w:val="0"/>
          <w:sz w:val="24"/>
          <w:szCs w:val="24"/>
        </w:rPr>
        <w:br/>
      </w:r>
      <w:r>
        <w:rPr>
          <w:rFonts w:ascii="Book Antiqua" w:hAnsi="Book Antiqua"/>
          <w:b/>
          <w:kern w:val="0"/>
          <w:sz w:val="24"/>
          <w:szCs w:val="24"/>
        </w:rPr>
        <w:t xml:space="preserve">Grade B (Very good): </w:t>
      </w:r>
      <w:r>
        <w:rPr>
          <w:rFonts w:ascii="Book Antiqua" w:hAnsi="Book Antiqua"/>
          <w:kern w:val="0"/>
          <w:sz w:val="24"/>
          <w:szCs w:val="24"/>
        </w:rPr>
        <w:t>B, B</w:t>
      </w:r>
      <w:r>
        <w:rPr>
          <w:rFonts w:ascii="Book Antiqua" w:hAnsi="Book Antiqua"/>
          <w:kern w:val="0"/>
          <w:sz w:val="24"/>
          <w:szCs w:val="24"/>
        </w:rPr>
        <w:br/>
      </w:r>
      <w:r>
        <w:rPr>
          <w:rFonts w:ascii="Book Antiqua" w:hAnsi="Book Antiqua"/>
          <w:b/>
          <w:kern w:val="0"/>
          <w:sz w:val="24"/>
          <w:szCs w:val="24"/>
        </w:rPr>
        <w:t xml:space="preserve">Grade C (Good): </w:t>
      </w:r>
      <w:r>
        <w:rPr>
          <w:rFonts w:ascii="Book Antiqua" w:hAnsi="Book Antiqua"/>
          <w:kern w:val="0"/>
          <w:sz w:val="24"/>
          <w:szCs w:val="24"/>
        </w:rPr>
        <w:t>C</w:t>
      </w:r>
      <w:r>
        <w:rPr>
          <w:rFonts w:ascii="Book Antiqua" w:hAnsi="Book Antiqua"/>
          <w:kern w:val="0"/>
          <w:sz w:val="24"/>
          <w:szCs w:val="24"/>
        </w:rPr>
        <w:br/>
      </w:r>
      <w:r>
        <w:rPr>
          <w:rFonts w:ascii="Book Antiqua" w:hAnsi="Book Antiqua"/>
          <w:b/>
          <w:kern w:val="0"/>
          <w:sz w:val="24"/>
          <w:szCs w:val="24"/>
        </w:rPr>
        <w:t xml:space="preserve">Grade D (Fair): </w:t>
      </w:r>
      <w:r>
        <w:rPr>
          <w:rFonts w:ascii="Book Antiqua" w:hAnsi="Book Antiqua"/>
          <w:kern w:val="0"/>
          <w:sz w:val="24"/>
          <w:szCs w:val="24"/>
        </w:rPr>
        <w:t>0</w:t>
      </w:r>
      <w:r>
        <w:rPr>
          <w:rFonts w:ascii="Book Antiqua" w:hAnsi="Book Antiqua"/>
          <w:b/>
          <w:kern w:val="0"/>
          <w:sz w:val="24"/>
          <w:szCs w:val="24"/>
        </w:rPr>
        <w:br/>
      </w:r>
      <w:r>
        <w:rPr>
          <w:rFonts w:ascii="Book Antiqua" w:hAnsi="Book Antiqua"/>
          <w:b/>
          <w:kern w:val="0"/>
          <w:sz w:val="24"/>
          <w:szCs w:val="24"/>
        </w:rPr>
        <w:lastRenderedPageBreak/>
        <w:t xml:space="preserve">Grade E (Poor): </w:t>
      </w:r>
      <w:r>
        <w:rPr>
          <w:rFonts w:ascii="Book Antiqua" w:hAnsi="Book Antiqua"/>
          <w:kern w:val="0"/>
          <w:sz w:val="24"/>
          <w:szCs w:val="24"/>
        </w:rPr>
        <w:t>0</w:t>
      </w:r>
      <w:bookmarkEnd w:id="76"/>
      <w:bookmarkEnd w:id="77"/>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imes New Roman"/>
          <w:b/>
          <w:sz w:val="24"/>
          <w:szCs w:val="24"/>
        </w:rPr>
        <w:br w:type="page"/>
      </w:r>
    </w:p>
    <w:p w:rsidR="00AB3D4E" w:rsidRDefault="008F642A">
      <w:pPr>
        <w:spacing w:line="360" w:lineRule="auto"/>
        <w:rPr>
          <w:rFonts w:ascii="Book Antiqua" w:eastAsia="AdvGulliv-R" w:hAnsi="Book Antiqua" w:cs="Times New Roman"/>
          <w:kern w:val="0"/>
          <w:sz w:val="24"/>
          <w:szCs w:val="24"/>
        </w:rPr>
      </w:pPr>
      <w:r>
        <w:rPr>
          <w:noProof/>
        </w:rPr>
        <w:lastRenderedPageBreak/>
        <w:drawing>
          <wp:inline distT="0" distB="0" distL="0" distR="0">
            <wp:extent cx="3962400" cy="5393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3961905" cy="5393011"/>
                    </a:xfrm>
                    <a:prstGeom prst="rect">
                      <a:avLst/>
                    </a:prstGeom>
                  </pic:spPr>
                </pic:pic>
              </a:graphicData>
            </a:graphic>
          </wp:inline>
        </w:drawing>
      </w:r>
    </w:p>
    <w:p w:rsidR="00AB3D4E" w:rsidRDefault="008F642A">
      <w:pPr>
        <w:spacing w:line="360" w:lineRule="auto"/>
        <w:rPr>
          <w:rFonts w:ascii="Book Antiqua" w:hAnsi="Book Antiqua" w:cs="Times New Roman"/>
          <w:kern w:val="0"/>
          <w:sz w:val="24"/>
          <w:szCs w:val="24"/>
        </w:rPr>
      </w:pPr>
      <w:r>
        <w:rPr>
          <w:rFonts w:ascii="Book Antiqua" w:eastAsia="AdvGulliv-R" w:hAnsi="Book Antiqua" w:cs="Times New Roman"/>
          <w:b/>
          <w:bCs/>
          <w:kern w:val="0"/>
          <w:sz w:val="24"/>
          <w:szCs w:val="24"/>
        </w:rPr>
        <w:t xml:space="preserve">Figure 1 Algorithm-based screening process for high-risk varices in patients with </w:t>
      </w:r>
      <w:r>
        <w:rPr>
          <w:rFonts w:ascii="Book Antiqua" w:hAnsi="Book Antiqua" w:cs="Times New Roman"/>
          <w:b/>
          <w:bCs/>
          <w:sz w:val="24"/>
          <w:szCs w:val="24"/>
        </w:rPr>
        <w:t>HBV-related compensated liver cirrhosis</w:t>
      </w:r>
      <w:r>
        <w:rPr>
          <w:rFonts w:ascii="Book Antiqua" w:eastAsia="AdvGulliv-R" w:hAnsi="Book Antiqua" w:cs="Times New Roman"/>
          <w:b/>
          <w:bCs/>
          <w:kern w:val="0"/>
          <w:sz w:val="24"/>
          <w:szCs w:val="24"/>
        </w:rPr>
        <w:t>.</w:t>
      </w:r>
      <w:r>
        <w:rPr>
          <w:rFonts w:ascii="Book Antiqua" w:eastAsia="AdvGulliv-R" w:hAnsi="Book Antiqua" w:cs="Times New Roman"/>
          <w:kern w:val="0"/>
          <w:sz w:val="24"/>
          <w:szCs w:val="24"/>
        </w:rPr>
        <w:t xml:space="preserve"> </w:t>
      </w:r>
      <w:r>
        <w:rPr>
          <w:rFonts w:ascii="Book Antiqua" w:hAnsi="Book Antiqua" w:cs="Times New Roman"/>
          <w:kern w:val="0"/>
          <w:sz w:val="24"/>
          <w:szCs w:val="24"/>
        </w:rPr>
        <w:t xml:space="preserve">ALT: Alanine aminotransferase; HBV: Hepatitis B virus; LSM: Liver stiffness measurement; PLT: Platelet; </w:t>
      </w:r>
      <w:proofErr w:type="spellStart"/>
      <w:r>
        <w:rPr>
          <w:rFonts w:ascii="Book Antiqua" w:hAnsi="Book Antiqua" w:cs="Times New Roman"/>
          <w:kern w:val="0"/>
          <w:sz w:val="24"/>
          <w:szCs w:val="24"/>
        </w:rPr>
        <w:t>TBil</w:t>
      </w:r>
      <w:proofErr w:type="spellEnd"/>
      <w:r>
        <w:rPr>
          <w:rFonts w:ascii="Book Antiqua" w:hAnsi="Book Antiqua" w:cs="Times New Roman"/>
          <w:kern w:val="0"/>
          <w:sz w:val="24"/>
          <w:szCs w:val="24"/>
        </w:rPr>
        <w:t>: Total bilirubin;</w:t>
      </w:r>
      <w:r>
        <w:rPr>
          <w:rFonts w:ascii="Book Antiqua" w:hAnsi="Book Antiqua" w:cs="Times New Roman"/>
          <w:sz w:val="24"/>
          <w:szCs w:val="24"/>
        </w:rPr>
        <w:t xml:space="preserve"> ULN: Upper limit of normal</w:t>
      </w:r>
      <w:r>
        <w:rPr>
          <w:rFonts w:ascii="Book Antiqua" w:hAnsi="Book Antiqua" w:cs="Times New Roman"/>
          <w:kern w:val="0"/>
          <w:sz w:val="24"/>
          <w:szCs w:val="24"/>
        </w:rPr>
        <w:t>.</w:t>
      </w:r>
    </w:p>
    <w:p w:rsidR="00AB3D4E" w:rsidRDefault="00AB3D4E">
      <w:pPr>
        <w:widowControl/>
        <w:autoSpaceDE/>
        <w:autoSpaceDN/>
        <w:adjustRightInd/>
        <w:spacing w:line="360" w:lineRule="auto"/>
        <w:rPr>
          <w:rFonts w:ascii="Book Antiqua" w:hAnsi="Book Antiqua" w:cs="Times New Roman"/>
          <w:bCs/>
          <w:sz w:val="24"/>
          <w:szCs w:val="24"/>
        </w:rPr>
      </w:pPr>
    </w:p>
    <w:p w:rsidR="00AB3D4E" w:rsidRDefault="008F642A">
      <w:pPr>
        <w:widowControl/>
        <w:autoSpaceDE/>
        <w:autoSpaceDN/>
        <w:adjustRightInd/>
        <w:spacing w:line="360" w:lineRule="auto"/>
        <w:rPr>
          <w:rFonts w:ascii="Book Antiqua" w:hAnsi="Book Antiqua" w:cs="Times New Roman"/>
          <w:bCs/>
          <w:sz w:val="24"/>
          <w:szCs w:val="24"/>
        </w:rPr>
      </w:pPr>
      <w:r>
        <w:rPr>
          <w:rFonts w:ascii="Book Antiqua" w:hAnsi="Book Antiqua" w:cs="Times New Roman"/>
          <w:bCs/>
          <w:sz w:val="24"/>
          <w:szCs w:val="24"/>
        </w:rPr>
        <w:br w:type="page"/>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lastRenderedPageBreak/>
        <w:t>Table 1 Biochemical characteristics of patients with hepatitis B virus-related liver cirrhosis with and without high-risk varices</w:t>
      </w:r>
    </w:p>
    <w:tbl>
      <w:tblPr>
        <w:tblW w:w="7821" w:type="dxa"/>
        <w:jc w:val="center"/>
        <w:tblBorders>
          <w:top w:val="single" w:sz="12" w:space="0" w:color="auto"/>
          <w:bottom w:val="single" w:sz="12" w:space="0" w:color="auto"/>
        </w:tblBorders>
        <w:tblLayout w:type="fixed"/>
        <w:tblLook w:val="04A0" w:firstRow="1" w:lastRow="0" w:firstColumn="1" w:lastColumn="0" w:noHBand="0" w:noVBand="1"/>
      </w:tblPr>
      <w:tblGrid>
        <w:gridCol w:w="2375"/>
        <w:gridCol w:w="2345"/>
        <w:gridCol w:w="2126"/>
        <w:gridCol w:w="975"/>
      </w:tblGrid>
      <w:tr w:rsidR="00AB3D4E">
        <w:trPr>
          <w:trHeight w:val="319"/>
          <w:jc w:val="center"/>
        </w:trPr>
        <w:tc>
          <w:tcPr>
            <w:tcW w:w="2375" w:type="dxa"/>
            <w:tcBorders>
              <w:top w:val="single" w:sz="12" w:space="0" w:color="auto"/>
              <w:bottom w:val="single" w:sz="12" w:space="0" w:color="auto"/>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Variable</w:t>
            </w:r>
          </w:p>
        </w:tc>
        <w:tc>
          <w:tcPr>
            <w:tcW w:w="2345" w:type="dxa"/>
            <w:tcBorders>
              <w:top w:val="single" w:sz="12" w:space="0" w:color="auto"/>
              <w:bottom w:val="single" w:sz="12" w:space="0" w:color="auto"/>
            </w:tcBorders>
          </w:tcPr>
          <w:p w:rsidR="00AB3D4E" w:rsidRDefault="008F642A">
            <w:pPr>
              <w:spacing w:line="360" w:lineRule="auto"/>
              <w:rPr>
                <w:rFonts w:ascii="Book Antiqua" w:hAnsi="Book Antiqua" w:cs="Times New Roman"/>
                <w:b/>
                <w:sz w:val="24"/>
                <w:szCs w:val="24"/>
              </w:rPr>
            </w:pPr>
            <w:r>
              <w:rPr>
                <w:rFonts w:ascii="Book Antiqua" w:hAnsi="Book Antiqua" w:cs="Times New Roman"/>
                <w:b/>
                <w:bCs/>
                <w:sz w:val="24"/>
                <w:szCs w:val="24"/>
              </w:rPr>
              <w:t xml:space="preserve">Without </w:t>
            </w:r>
            <w:r>
              <w:rPr>
                <w:rFonts w:ascii="Book Antiqua" w:hAnsi="Book Antiqua" w:cs="Times New Roman"/>
                <w:b/>
                <w:sz w:val="24"/>
                <w:szCs w:val="24"/>
              </w:rPr>
              <w:t>high-risk varices (</w:t>
            </w:r>
            <w:r>
              <w:rPr>
                <w:rFonts w:ascii="Book Antiqua" w:hAnsi="Book Antiqua" w:cs="Times New Roman"/>
                <w:b/>
                <w:i/>
                <w:sz w:val="24"/>
                <w:szCs w:val="24"/>
              </w:rPr>
              <w:t>n</w:t>
            </w:r>
            <w:r>
              <w:rPr>
                <w:rFonts w:ascii="Book Antiqua" w:hAnsi="Book Antiqua" w:cs="Times New Roman"/>
                <w:b/>
                <w:sz w:val="24"/>
                <w:szCs w:val="24"/>
              </w:rPr>
              <w:t xml:space="preserve"> = 105)</w:t>
            </w:r>
          </w:p>
        </w:tc>
        <w:tc>
          <w:tcPr>
            <w:tcW w:w="2126" w:type="dxa"/>
            <w:tcBorders>
              <w:top w:val="single" w:sz="12" w:space="0" w:color="auto"/>
              <w:bottom w:val="single" w:sz="12" w:space="0" w:color="auto"/>
            </w:tcBorders>
          </w:tcPr>
          <w:p w:rsidR="00AB3D4E" w:rsidRDefault="008F642A">
            <w:pPr>
              <w:spacing w:line="360" w:lineRule="auto"/>
              <w:rPr>
                <w:rFonts w:ascii="Book Antiqua" w:hAnsi="Book Antiqua" w:cs="Times New Roman"/>
                <w:b/>
                <w:sz w:val="24"/>
                <w:szCs w:val="24"/>
              </w:rPr>
            </w:pPr>
            <w:r>
              <w:rPr>
                <w:rFonts w:ascii="Book Antiqua" w:hAnsi="Book Antiqua" w:cs="Times New Roman"/>
                <w:b/>
                <w:bCs/>
                <w:sz w:val="24"/>
                <w:szCs w:val="24"/>
              </w:rPr>
              <w:t xml:space="preserve">With </w:t>
            </w:r>
            <w:r>
              <w:rPr>
                <w:rFonts w:ascii="Book Antiqua" w:hAnsi="Book Antiqua" w:cs="Times New Roman"/>
                <w:b/>
                <w:sz w:val="24"/>
                <w:szCs w:val="24"/>
              </w:rPr>
              <w:t>high-risk varices (</w:t>
            </w:r>
            <w:r>
              <w:rPr>
                <w:rFonts w:ascii="Book Antiqua" w:hAnsi="Book Antiqua" w:cs="Times New Roman"/>
                <w:b/>
                <w:i/>
                <w:sz w:val="24"/>
                <w:szCs w:val="24"/>
              </w:rPr>
              <w:t>n</w:t>
            </w:r>
            <w:r>
              <w:rPr>
                <w:rFonts w:ascii="Book Antiqua" w:hAnsi="Book Antiqua" w:cs="Times New Roman"/>
                <w:b/>
                <w:sz w:val="24"/>
                <w:szCs w:val="24"/>
              </w:rPr>
              <w:t xml:space="preserve"> = 27)</w:t>
            </w:r>
          </w:p>
        </w:tc>
        <w:tc>
          <w:tcPr>
            <w:tcW w:w="975" w:type="dxa"/>
            <w:tcBorders>
              <w:top w:val="single" w:sz="12" w:space="0" w:color="auto"/>
              <w:bottom w:val="single" w:sz="12" w:space="0" w:color="auto"/>
            </w:tcBorders>
          </w:tcPr>
          <w:p w:rsidR="00AB3D4E" w:rsidRDefault="008F642A">
            <w:pPr>
              <w:spacing w:line="360" w:lineRule="auto"/>
              <w:outlineLvl w:val="0"/>
              <w:rPr>
                <w:rFonts w:ascii="Book Antiqua" w:hAnsi="Book Antiqua" w:cs="Times New Roman"/>
                <w:b/>
                <w:i/>
                <w:sz w:val="24"/>
                <w:szCs w:val="24"/>
              </w:rPr>
            </w:pPr>
            <w:r>
              <w:rPr>
                <w:rFonts w:ascii="Book Antiqua" w:hAnsi="Book Antiqua" w:cs="Times New Roman"/>
                <w:b/>
                <w:i/>
                <w:sz w:val="24"/>
                <w:szCs w:val="24"/>
              </w:rPr>
              <w:t>P-</w:t>
            </w:r>
            <w:r>
              <w:rPr>
                <w:rFonts w:ascii="Book Antiqua" w:hAnsi="Book Antiqua" w:cs="Times New Roman"/>
                <w:b/>
                <w:iCs/>
                <w:sz w:val="24"/>
                <w:szCs w:val="24"/>
              </w:rPr>
              <w:t>value</w:t>
            </w:r>
          </w:p>
        </w:tc>
      </w:tr>
      <w:tr w:rsidR="00AB3D4E">
        <w:trPr>
          <w:trHeight w:val="319"/>
          <w:jc w:val="center"/>
        </w:trPr>
        <w:tc>
          <w:tcPr>
            <w:tcW w:w="2375" w:type="dxa"/>
            <w:tcBorders>
              <w:top w:val="single" w:sz="12" w:space="0" w:color="auto"/>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Age</w:t>
            </w:r>
          </w:p>
        </w:tc>
        <w:tc>
          <w:tcPr>
            <w:tcW w:w="2345" w:type="dxa"/>
            <w:tcBorders>
              <w:top w:val="single" w:sz="12" w:space="0" w:color="auto"/>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46.32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11.83</w:t>
            </w:r>
          </w:p>
        </w:tc>
        <w:tc>
          <w:tcPr>
            <w:tcW w:w="2126" w:type="dxa"/>
            <w:tcBorders>
              <w:top w:val="single" w:sz="12" w:space="0" w:color="auto"/>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46.74</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11.17</w:t>
            </w:r>
          </w:p>
        </w:tc>
        <w:tc>
          <w:tcPr>
            <w:tcW w:w="975" w:type="dxa"/>
            <w:tcBorders>
              <w:top w:val="single" w:sz="12" w:space="0" w:color="auto"/>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0.869</w:t>
            </w:r>
            <w:r>
              <w:rPr>
                <w:rFonts w:ascii="Book Antiqua" w:hAnsi="Book Antiqua" w:cs="Times New Roman"/>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Male </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88 (83.81)</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25 (92.59)</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0.246</w:t>
            </w:r>
            <w:r>
              <w:rPr>
                <w:rFonts w:ascii="Book Antiqua" w:hAnsi="Book Antiqua" w:cs="Times New Roman" w:hint="eastAsia"/>
                <w:sz w:val="24"/>
                <w:szCs w:val="24"/>
                <w:vertAlign w:val="superscript"/>
              </w:rPr>
              <w:t>2</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BMI (kg/m</w:t>
            </w:r>
            <w:r>
              <w:rPr>
                <w:rFonts w:ascii="Book Antiqua" w:hAnsi="Book Antiqua" w:cs="Times New Roman"/>
                <w:sz w:val="24"/>
                <w:szCs w:val="24"/>
                <w:vertAlign w:val="superscript"/>
              </w:rPr>
              <w:t>2</w:t>
            </w:r>
            <w:r>
              <w:rPr>
                <w:rFonts w:ascii="Book Antiqua" w:hAnsi="Book Antiqua" w:cs="Times New Roman"/>
                <w:sz w:val="24"/>
                <w:szCs w:val="24"/>
              </w:rPr>
              <w:t>)</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24.6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3.53</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23.8</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2.96</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0.912</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HBeAg</w:t>
            </w:r>
            <w:proofErr w:type="spellEnd"/>
            <w:r>
              <w:rPr>
                <w:rFonts w:ascii="Book Antiqua" w:hAnsi="Book Antiqua" w:cs="Times New Roman"/>
                <w:sz w:val="24"/>
                <w:szCs w:val="24"/>
              </w:rPr>
              <w:t>: Positive</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59 (56.19)</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 (40.74)</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0.151</w:t>
            </w:r>
            <w:r>
              <w:rPr>
                <w:rFonts w:ascii="Book Antiqua" w:hAnsi="Book Antiqua" w:cs="Times New Roman" w:hint="eastAsia"/>
                <w:sz w:val="24"/>
                <w:szCs w:val="24"/>
                <w:vertAlign w:val="superscript"/>
              </w:rPr>
              <w:t>2</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HBV DNA (log 10, copies/mL)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6.27</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1.43</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5.08</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1.46</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0.002</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Na</w:t>
            </w:r>
            <w:r>
              <w:rPr>
                <w:rFonts w:ascii="Book Antiqua" w:hAnsi="Book Antiqua" w:cs="Times New Roman"/>
                <w:sz w:val="24"/>
                <w:szCs w:val="24"/>
                <w:vertAlign w:val="superscript"/>
              </w:rPr>
              <w:t>+</w:t>
            </w:r>
            <w:r>
              <w:rPr>
                <w:rFonts w:ascii="Book Antiqua" w:hAnsi="Book Antiqua" w:cs="Times New Roman"/>
                <w:sz w:val="24"/>
                <w:szCs w:val="24"/>
              </w:rPr>
              <w:t xml:space="preserve"> (</w:t>
            </w:r>
            <w:proofErr w:type="spellStart"/>
            <w:r>
              <w:rPr>
                <w:rFonts w:ascii="Book Antiqua" w:hAnsi="Book Antiqua" w:cs="Times New Roman"/>
                <w:sz w:val="24"/>
                <w:szCs w:val="24"/>
              </w:rPr>
              <w:t>mmol</w:t>
            </w:r>
            <w:proofErr w:type="spellEnd"/>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137.56</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13.80</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139.12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3.07</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0.560</w:t>
            </w:r>
            <w:r>
              <w:rPr>
                <w:rFonts w:ascii="Book Antiqua" w:hAnsi="Book Antiqua" w:cs="Times New Roman"/>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ALT (U/L)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177.0 (64.0</w:t>
            </w:r>
            <w:r>
              <w:rPr>
                <w:rFonts w:ascii="Book Antiqua" w:hAnsi="Book Antiqua" w:cs="Times New Roman" w:hint="eastAsia"/>
                <w:sz w:val="24"/>
                <w:szCs w:val="24"/>
              </w:rPr>
              <w:t>-</w:t>
            </w:r>
            <w:r>
              <w:rPr>
                <w:rFonts w:ascii="Book Antiqua" w:hAnsi="Book Antiqua" w:cs="Times New Roman"/>
                <w:sz w:val="24"/>
                <w:szCs w:val="24"/>
              </w:rPr>
              <w:t>318.0)</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54.0 (33.0</w:t>
            </w:r>
            <w:r>
              <w:rPr>
                <w:rFonts w:ascii="Book Antiqua" w:hAnsi="Book Antiqua" w:cs="Times New Roman" w:hint="eastAsia"/>
                <w:sz w:val="24"/>
                <w:szCs w:val="24"/>
              </w:rPr>
              <w:t>-</w:t>
            </w:r>
            <w:r>
              <w:rPr>
                <w:rFonts w:ascii="Book Antiqua" w:hAnsi="Book Antiqua" w:cs="Times New Roman"/>
                <w:sz w:val="24"/>
                <w:szCs w:val="24"/>
              </w:rPr>
              <w:t>92.0)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0.000</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AST (U/L)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144.0 (55.5</w:t>
            </w:r>
            <w:r>
              <w:rPr>
                <w:rFonts w:ascii="Book Antiqua" w:hAnsi="Book Antiqua" w:cs="Times New Roman" w:hint="eastAsia"/>
                <w:sz w:val="24"/>
                <w:szCs w:val="24"/>
              </w:rPr>
              <w:t>-</w:t>
            </w:r>
            <w:r>
              <w:rPr>
                <w:rFonts w:ascii="Book Antiqua" w:hAnsi="Book Antiqua" w:cs="Times New Roman"/>
                <w:sz w:val="24"/>
                <w:szCs w:val="24"/>
              </w:rPr>
              <w:t>266.5)</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60.0 (37.0</w:t>
            </w:r>
            <w:r>
              <w:rPr>
                <w:rFonts w:ascii="Book Antiqua" w:hAnsi="Book Antiqua" w:cs="Times New Roman" w:hint="eastAsia"/>
                <w:sz w:val="24"/>
                <w:szCs w:val="24"/>
              </w:rPr>
              <w:t>-</w:t>
            </w:r>
            <w:r>
              <w:rPr>
                <w:rFonts w:ascii="Book Antiqua" w:hAnsi="Book Antiqua" w:cs="Times New Roman"/>
                <w:sz w:val="24"/>
                <w:szCs w:val="24"/>
              </w:rPr>
              <w:t>136.9)</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0.001</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GGT (U/L)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105.0 (68.4</w:t>
            </w:r>
            <w:r>
              <w:rPr>
                <w:rFonts w:ascii="Book Antiqua" w:hAnsi="Book Antiqua" w:cs="Times New Roman" w:hint="eastAsia"/>
                <w:sz w:val="24"/>
                <w:szCs w:val="24"/>
              </w:rPr>
              <w:t>-</w:t>
            </w:r>
            <w:r>
              <w:rPr>
                <w:rFonts w:ascii="Book Antiqua" w:hAnsi="Book Antiqua" w:cs="Times New Roman"/>
                <w:sz w:val="24"/>
                <w:szCs w:val="24"/>
              </w:rPr>
              <w:t>198.0)</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60.0 (35.0</w:t>
            </w:r>
            <w:r>
              <w:rPr>
                <w:rFonts w:ascii="Book Antiqua" w:hAnsi="Book Antiqua" w:cs="Times New Roman" w:hint="eastAsia"/>
                <w:sz w:val="24"/>
                <w:szCs w:val="24"/>
              </w:rPr>
              <w:t>-</w:t>
            </w:r>
            <w:r>
              <w:rPr>
                <w:rFonts w:ascii="Book Antiqua" w:hAnsi="Book Antiqua" w:cs="Times New Roman"/>
                <w:sz w:val="24"/>
                <w:szCs w:val="24"/>
              </w:rPr>
              <w:t>93.0)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0.000</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TBil</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μmol</w:t>
            </w:r>
            <w:proofErr w:type="spellEnd"/>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24.4 (16.75</w:t>
            </w:r>
            <w:r>
              <w:rPr>
                <w:rFonts w:ascii="Book Antiqua" w:hAnsi="Book Antiqua" w:cs="Times New Roman" w:hint="eastAsia"/>
                <w:sz w:val="24"/>
                <w:szCs w:val="24"/>
              </w:rPr>
              <w:t>-</w:t>
            </w:r>
            <w:r>
              <w:rPr>
                <w:rFonts w:ascii="Book Antiqua" w:hAnsi="Book Antiqua" w:cs="Times New Roman"/>
                <w:sz w:val="24"/>
                <w:szCs w:val="24"/>
              </w:rPr>
              <w:t>37.5)</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27.8 (15.5</w:t>
            </w:r>
            <w:r>
              <w:rPr>
                <w:rFonts w:ascii="Book Antiqua" w:hAnsi="Book Antiqua" w:cs="Times New Roman" w:hint="eastAsia"/>
                <w:sz w:val="24"/>
                <w:szCs w:val="24"/>
              </w:rPr>
              <w:t>-</w:t>
            </w:r>
            <w:r>
              <w:rPr>
                <w:rFonts w:ascii="Book Antiqua" w:hAnsi="Book Antiqua" w:cs="Times New Roman"/>
                <w:sz w:val="24"/>
                <w:szCs w:val="24"/>
              </w:rPr>
              <w:t>48.2)</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0.676</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ALB (g/L)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37.35</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5.74</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36.07</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5.74</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0.305</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GLB (g/L)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31.4 (28.55</w:t>
            </w:r>
            <w:r>
              <w:rPr>
                <w:rFonts w:ascii="Book Antiqua" w:hAnsi="Book Antiqua" w:cs="Times New Roman" w:hint="eastAsia"/>
                <w:sz w:val="24"/>
                <w:szCs w:val="24"/>
              </w:rPr>
              <w:t>-</w:t>
            </w:r>
            <w:r>
              <w:rPr>
                <w:rFonts w:ascii="Book Antiqua" w:hAnsi="Book Antiqua" w:cs="Times New Roman"/>
                <w:sz w:val="24"/>
                <w:szCs w:val="24"/>
              </w:rPr>
              <w:t>35.65)</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34.6 (28.6</w:t>
            </w:r>
            <w:r>
              <w:rPr>
                <w:rFonts w:ascii="Book Antiqua" w:hAnsi="Book Antiqua" w:cs="Times New Roman" w:hint="eastAsia"/>
                <w:sz w:val="24"/>
                <w:szCs w:val="24"/>
              </w:rPr>
              <w:t>-</w:t>
            </w:r>
            <w:r>
              <w:rPr>
                <w:rFonts w:ascii="Book Antiqua" w:hAnsi="Book Antiqua" w:cs="Times New Roman"/>
                <w:sz w:val="24"/>
                <w:szCs w:val="24"/>
              </w:rPr>
              <w:t>39.1)</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0.101</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AFP (ng/mL)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16.47 (6.66</w:t>
            </w:r>
            <w:r>
              <w:rPr>
                <w:rFonts w:ascii="Book Antiqua" w:hAnsi="Book Antiqua" w:cs="Times New Roman" w:hint="eastAsia"/>
                <w:sz w:val="24"/>
                <w:szCs w:val="24"/>
              </w:rPr>
              <w:t>-</w:t>
            </w:r>
            <w:r>
              <w:rPr>
                <w:rFonts w:ascii="Book Antiqua" w:hAnsi="Book Antiqua" w:cs="Times New Roman"/>
                <w:sz w:val="24"/>
                <w:szCs w:val="24"/>
              </w:rPr>
              <w:t>74.73)</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13.6 (7.00</w:t>
            </w:r>
            <w:r>
              <w:rPr>
                <w:rFonts w:ascii="Book Antiqua" w:hAnsi="Book Antiqua" w:cs="Times New Roman" w:hint="eastAsia"/>
                <w:sz w:val="24"/>
                <w:szCs w:val="24"/>
              </w:rPr>
              <w:t>-</w:t>
            </w:r>
            <w:r>
              <w:rPr>
                <w:rFonts w:ascii="Book Antiqua" w:hAnsi="Book Antiqua" w:cs="Times New Roman"/>
                <w:sz w:val="24"/>
                <w:szCs w:val="24"/>
              </w:rPr>
              <w:t>30.1)</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0.422</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BUN (</w:t>
            </w:r>
            <w:proofErr w:type="spellStart"/>
            <w:r>
              <w:rPr>
                <w:rFonts w:ascii="Book Antiqua" w:hAnsi="Book Antiqua" w:cs="Times New Roman"/>
                <w:sz w:val="24"/>
                <w:szCs w:val="24"/>
              </w:rPr>
              <w:t>mmol</w:t>
            </w:r>
            <w:proofErr w:type="spellEnd"/>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4.64 ± 1.28</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4.71 ± 1.29</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0.801</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Cr (</w:t>
            </w:r>
            <w:proofErr w:type="spellStart"/>
            <w:r>
              <w:rPr>
                <w:rFonts w:ascii="Book Antiqua" w:hAnsi="Book Antiqua" w:cs="Times New Roman"/>
                <w:sz w:val="24"/>
                <w:szCs w:val="24"/>
              </w:rPr>
              <w:t>μmol</w:t>
            </w:r>
            <w:proofErr w:type="spellEnd"/>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73.0 (62.0</w:t>
            </w:r>
            <w:r>
              <w:rPr>
                <w:rFonts w:ascii="Book Antiqua" w:hAnsi="Book Antiqua" w:cs="Times New Roman" w:hint="eastAsia"/>
                <w:sz w:val="24"/>
                <w:szCs w:val="24"/>
              </w:rPr>
              <w:t>-</w:t>
            </w:r>
            <w:r>
              <w:rPr>
                <w:rFonts w:ascii="Book Antiqua" w:hAnsi="Book Antiqua" w:cs="Times New Roman"/>
                <w:sz w:val="24"/>
                <w:szCs w:val="24"/>
              </w:rPr>
              <w:t>80.5)</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73.0 (69.0</w:t>
            </w:r>
            <w:r>
              <w:rPr>
                <w:rFonts w:ascii="Book Antiqua" w:hAnsi="Book Antiqua" w:cs="Times New Roman" w:hint="eastAsia"/>
                <w:sz w:val="24"/>
                <w:szCs w:val="24"/>
              </w:rPr>
              <w:t>-</w:t>
            </w:r>
            <w:r>
              <w:rPr>
                <w:rFonts w:ascii="Book Antiqua" w:hAnsi="Book Antiqua" w:cs="Times New Roman"/>
                <w:sz w:val="24"/>
                <w:szCs w:val="24"/>
              </w:rPr>
              <w:t>90.0)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0.277</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PT (s)</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13.0 (11.8</w:t>
            </w:r>
            <w:r>
              <w:rPr>
                <w:rFonts w:ascii="Book Antiqua" w:hAnsi="Book Antiqua" w:cs="Times New Roman" w:hint="eastAsia"/>
                <w:sz w:val="24"/>
                <w:szCs w:val="24"/>
              </w:rPr>
              <w:t>-</w:t>
            </w:r>
            <w:r>
              <w:rPr>
                <w:rFonts w:ascii="Book Antiqua" w:hAnsi="Book Antiqua" w:cs="Times New Roman"/>
                <w:sz w:val="24"/>
                <w:szCs w:val="24"/>
              </w:rPr>
              <w:t>14.4)</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15.4 (12.5</w:t>
            </w:r>
            <w:r>
              <w:rPr>
                <w:rFonts w:ascii="Book Antiqua" w:hAnsi="Book Antiqua" w:cs="Times New Roman" w:hint="eastAsia"/>
                <w:sz w:val="24"/>
                <w:szCs w:val="24"/>
              </w:rPr>
              <w:t>-</w:t>
            </w:r>
            <w:r>
              <w:rPr>
                <w:rFonts w:ascii="Book Antiqua" w:hAnsi="Book Antiqua" w:cs="Times New Roman"/>
                <w:sz w:val="24"/>
                <w:szCs w:val="24"/>
              </w:rPr>
              <w:t>16.3)</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0.002</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INR</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1.08 (0.98</w:t>
            </w:r>
            <w:r>
              <w:rPr>
                <w:rFonts w:ascii="Book Antiqua" w:hAnsi="Book Antiqua" w:cs="Times New Roman" w:hint="eastAsia"/>
                <w:sz w:val="24"/>
                <w:szCs w:val="24"/>
              </w:rPr>
              <w:t>-</w:t>
            </w:r>
            <w:r>
              <w:rPr>
                <w:rFonts w:ascii="Book Antiqua" w:hAnsi="Book Antiqua" w:cs="Times New Roman"/>
                <w:sz w:val="24"/>
                <w:szCs w:val="24"/>
              </w:rPr>
              <w:t>1.17)</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1.23 (1.04</w:t>
            </w:r>
            <w:r>
              <w:rPr>
                <w:rFonts w:ascii="Book Antiqua" w:hAnsi="Book Antiqua" w:cs="Times New Roman" w:hint="eastAsia"/>
                <w:sz w:val="24"/>
                <w:szCs w:val="24"/>
              </w:rPr>
              <w:t>-</w:t>
            </w:r>
            <w:r>
              <w:rPr>
                <w:rFonts w:ascii="Book Antiqua" w:hAnsi="Book Antiqua" w:cs="Times New Roman"/>
                <w:sz w:val="24"/>
                <w:szCs w:val="24"/>
              </w:rPr>
              <w:t>1.38)</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0.003</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PTA (%)</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85.05</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21.33</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74.52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20.25</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0.022</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WBC (10</w:t>
            </w:r>
            <w:r>
              <w:rPr>
                <w:rFonts w:ascii="Book Antiqua" w:hAnsi="Book Antiqua" w:cs="Times New Roman"/>
                <w:sz w:val="24"/>
                <w:szCs w:val="24"/>
                <w:vertAlign w:val="superscript"/>
              </w:rPr>
              <w:t>9</w:t>
            </w:r>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4.21 (3.28-5.34)</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3.64 (2.68-4.50)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0.052</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 (10</w:t>
            </w:r>
            <w:r>
              <w:rPr>
                <w:rFonts w:ascii="Book Antiqua" w:hAnsi="Book Antiqua" w:cs="Times New Roman"/>
                <w:sz w:val="24"/>
                <w:szCs w:val="24"/>
                <w:vertAlign w:val="superscript"/>
              </w:rPr>
              <w:t>9</w:t>
            </w:r>
            <w:r>
              <w:rPr>
                <w:rFonts w:ascii="Book Antiqua" w:hAnsi="Book Antiqua" w:cs="Times New Roman"/>
                <w:sz w:val="24"/>
                <w:szCs w:val="24"/>
              </w:rPr>
              <w:t>/L)</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98.35</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46.49</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67.00</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28.29</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0.000</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 (</w:t>
            </w:r>
            <w:proofErr w:type="spellStart"/>
            <w:r>
              <w:rPr>
                <w:rFonts w:ascii="Book Antiqua" w:hAnsi="Book Antiqua" w:cs="Times New Roman"/>
                <w:sz w:val="24"/>
                <w:szCs w:val="24"/>
              </w:rPr>
              <w:t>kPa</w:t>
            </w:r>
            <w:proofErr w:type="spellEnd"/>
            <w:r>
              <w:rPr>
                <w:rFonts w:ascii="Book Antiqua" w:hAnsi="Book Antiqua" w:cs="Times New Roman"/>
                <w:sz w:val="24"/>
                <w:szCs w:val="24"/>
              </w:rPr>
              <w:t>)</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28.93</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12.41</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35.42</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14.44</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0.021</w:t>
            </w:r>
            <w:r>
              <w:rPr>
                <w:rFonts w:ascii="Book Antiqua" w:hAnsi="Book Antiqua" w:cs="Times New Roman" w:hint="eastAsia"/>
                <w:sz w:val="24"/>
                <w:szCs w:val="24"/>
                <w:vertAlign w:val="superscript"/>
              </w:rPr>
              <w:t>1</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Child-Pugh score</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5.00 (5.00</w:t>
            </w:r>
            <w:r>
              <w:rPr>
                <w:rFonts w:ascii="Book Antiqua" w:hAnsi="Book Antiqua" w:cs="Times New Roman" w:hint="eastAsia"/>
                <w:sz w:val="24"/>
                <w:szCs w:val="24"/>
              </w:rPr>
              <w:t>-</w:t>
            </w:r>
            <w:r>
              <w:rPr>
                <w:rFonts w:ascii="Book Antiqua" w:hAnsi="Book Antiqua" w:cs="Times New Roman"/>
                <w:sz w:val="24"/>
                <w:szCs w:val="24"/>
              </w:rPr>
              <w:t>7.00)</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6.00 (5.00</w:t>
            </w:r>
            <w:r>
              <w:rPr>
                <w:rFonts w:ascii="Book Antiqua" w:hAnsi="Book Antiqua" w:cs="Times New Roman" w:hint="eastAsia"/>
                <w:sz w:val="24"/>
                <w:szCs w:val="24"/>
              </w:rPr>
              <w:t>-</w:t>
            </w:r>
            <w:r>
              <w:rPr>
                <w:rFonts w:ascii="Book Antiqua" w:hAnsi="Book Antiqua" w:cs="Times New Roman"/>
                <w:sz w:val="24"/>
                <w:szCs w:val="24"/>
              </w:rPr>
              <w:t>7.00)</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0.508</w:t>
            </w:r>
            <w:r>
              <w:rPr>
                <w:rFonts w:ascii="Book Antiqua" w:hAnsi="Book Antiqua" w:cs="Times New Roman" w:hint="eastAsia"/>
                <w:sz w:val="24"/>
                <w:szCs w:val="24"/>
                <w:vertAlign w:val="superscript"/>
              </w:rPr>
              <w:t>3</w:t>
            </w:r>
          </w:p>
        </w:tc>
      </w:tr>
      <w:tr w:rsidR="00AB3D4E">
        <w:trPr>
          <w:trHeight w:val="319"/>
          <w:jc w:val="center"/>
        </w:trPr>
        <w:tc>
          <w:tcPr>
            <w:tcW w:w="23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 xml:space="preserve">MELD </w:t>
            </w:r>
          </w:p>
        </w:tc>
        <w:tc>
          <w:tcPr>
            <w:tcW w:w="234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8.83 (7.50</w:t>
            </w:r>
            <w:r>
              <w:rPr>
                <w:rFonts w:ascii="Book Antiqua" w:hAnsi="Book Antiqua" w:cs="Times New Roman" w:hint="eastAsia"/>
                <w:sz w:val="24"/>
                <w:szCs w:val="24"/>
              </w:rPr>
              <w:t>-</w:t>
            </w:r>
            <w:r>
              <w:rPr>
                <w:rFonts w:ascii="Book Antiqua" w:hAnsi="Book Antiqua" w:cs="Times New Roman"/>
                <w:sz w:val="24"/>
                <w:szCs w:val="24"/>
              </w:rPr>
              <w:t>11.76)</w:t>
            </w:r>
          </w:p>
        </w:tc>
        <w:tc>
          <w:tcPr>
            <w:tcW w:w="2126"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11.33 (8.81</w:t>
            </w:r>
            <w:r>
              <w:rPr>
                <w:rFonts w:ascii="Book Antiqua" w:hAnsi="Book Antiqua" w:cs="Times New Roman" w:hint="eastAsia"/>
                <w:sz w:val="24"/>
                <w:szCs w:val="24"/>
              </w:rPr>
              <w:t>-</w:t>
            </w:r>
            <w:r>
              <w:rPr>
                <w:rFonts w:ascii="Book Antiqua" w:hAnsi="Book Antiqua" w:cs="Times New Roman"/>
                <w:sz w:val="24"/>
                <w:szCs w:val="24"/>
              </w:rPr>
              <w:t>13.18)</w:t>
            </w:r>
          </w:p>
        </w:tc>
        <w:tc>
          <w:tcPr>
            <w:tcW w:w="975" w:type="dxa"/>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0.025</w:t>
            </w:r>
            <w:r>
              <w:rPr>
                <w:rFonts w:ascii="Book Antiqua" w:hAnsi="Book Antiqua" w:cs="Times New Roman" w:hint="eastAsia"/>
                <w:sz w:val="24"/>
                <w:szCs w:val="24"/>
                <w:vertAlign w:val="superscript"/>
              </w:rPr>
              <w:t>3</w:t>
            </w:r>
          </w:p>
        </w:tc>
      </w:tr>
    </w:tbl>
    <w:p w:rsidR="00AB3D4E" w:rsidRDefault="008F642A">
      <w:pPr>
        <w:spacing w:line="360" w:lineRule="auto"/>
        <w:rPr>
          <w:rFonts w:ascii="Book Antiqua" w:hAnsi="Book Antiqua" w:cs="Times New Roman"/>
          <w:kern w:val="0"/>
          <w:sz w:val="24"/>
          <w:szCs w:val="24"/>
        </w:rPr>
      </w:pPr>
      <w:r>
        <w:rPr>
          <w:rFonts w:ascii="Book Antiqua" w:hAnsi="Book Antiqua" w:cs="Times New Roman"/>
          <w:sz w:val="24"/>
          <w:szCs w:val="24"/>
        </w:rPr>
        <w:t xml:space="preserve">Data are presented as the mean ± SD, or median (interquartile range). </w:t>
      </w:r>
      <w:r>
        <w:rPr>
          <w:rFonts w:ascii="Book Antiqua" w:hAnsi="Book Antiqua" w:cs="Times New Roman"/>
          <w:sz w:val="24"/>
          <w:szCs w:val="24"/>
          <w:vertAlign w:val="superscript"/>
        </w:rPr>
        <w:t>1</w:t>
      </w:r>
      <w:r>
        <w:rPr>
          <w:rFonts w:ascii="Book Antiqua" w:hAnsi="Book Antiqua" w:cs="Times New Roman"/>
          <w:i/>
          <w:sz w:val="24"/>
          <w:szCs w:val="24"/>
        </w:rPr>
        <w:t>t</w:t>
      </w:r>
      <w:r>
        <w:rPr>
          <w:rFonts w:ascii="Book Antiqua" w:hAnsi="Book Antiqua" w:cs="Times New Roman"/>
          <w:sz w:val="24"/>
          <w:szCs w:val="24"/>
        </w:rPr>
        <w:t xml:space="preserve">-test results; </w:t>
      </w:r>
      <w:r>
        <w:rPr>
          <w:rFonts w:ascii="Book Antiqua" w:hAnsi="Book Antiqua" w:cs="Times New Roman" w:hint="eastAsia"/>
          <w:kern w:val="0"/>
          <w:sz w:val="24"/>
          <w:szCs w:val="24"/>
          <w:vertAlign w:val="superscript"/>
        </w:rPr>
        <w:lastRenderedPageBreak/>
        <w:t>2</w:t>
      </w:r>
      <w:r>
        <w:rPr>
          <w:rFonts w:ascii="Book Antiqua" w:hAnsi="Book Antiqua" w:cs="Times New Roman"/>
          <w:sz w:val="24"/>
          <w:szCs w:val="24"/>
        </w:rPr>
        <w:t xml:space="preserve">Chi square test results; </w:t>
      </w:r>
      <w:r>
        <w:rPr>
          <w:rFonts w:ascii="Book Antiqua" w:hAnsi="Book Antiqua" w:cs="Times New Roman" w:hint="eastAsia"/>
          <w:sz w:val="24"/>
          <w:szCs w:val="24"/>
          <w:vertAlign w:val="superscript"/>
        </w:rPr>
        <w:t>3</w:t>
      </w:r>
      <w:r>
        <w:rPr>
          <w:rFonts w:ascii="Book Antiqua" w:hAnsi="Book Antiqua" w:cs="Times New Roman"/>
          <w:sz w:val="24"/>
          <w:szCs w:val="24"/>
        </w:rPr>
        <w:t xml:space="preserve">Mann–Whitney </w:t>
      </w:r>
      <w:r>
        <w:rPr>
          <w:rFonts w:ascii="Book Antiqua" w:hAnsi="Book Antiqua" w:cs="Times New Roman"/>
          <w:i/>
          <w:iCs/>
          <w:sz w:val="24"/>
          <w:szCs w:val="24"/>
        </w:rPr>
        <w:t>U</w:t>
      </w:r>
      <w:r>
        <w:rPr>
          <w:rFonts w:ascii="Book Antiqua" w:hAnsi="Book Antiqua" w:cs="Times New Roman"/>
          <w:sz w:val="24"/>
          <w:szCs w:val="24"/>
        </w:rPr>
        <w:t xml:space="preserve"> test results. </w:t>
      </w:r>
      <w:r>
        <w:rPr>
          <w:rFonts w:ascii="Book Antiqua" w:hAnsi="Book Antiqua" w:cs="Times New Roman"/>
          <w:i/>
          <w:iCs/>
          <w:sz w:val="24"/>
          <w:szCs w:val="24"/>
        </w:rPr>
        <w:t xml:space="preserve">P </w:t>
      </w:r>
      <w:r>
        <w:rPr>
          <w:rFonts w:ascii="Book Antiqua" w:hAnsi="Book Antiqua" w:cs="Times New Roman"/>
          <w:kern w:val="0"/>
          <w:sz w:val="24"/>
          <w:szCs w:val="24"/>
        </w:rPr>
        <w:t>&lt; 0.05 was statistically significant</w:t>
      </w:r>
      <w:r>
        <w:rPr>
          <w:rFonts w:ascii="Book Antiqua" w:hAnsi="Book Antiqua" w:cs="Times New Roman"/>
          <w:sz w:val="24"/>
          <w:szCs w:val="24"/>
        </w:rPr>
        <w:t xml:space="preserve">. </w:t>
      </w:r>
      <w:r>
        <w:rPr>
          <w:rFonts w:ascii="Book Antiqua" w:hAnsi="Book Antiqua" w:cs="Times New Roman"/>
          <w:kern w:val="0"/>
          <w:sz w:val="24"/>
          <w:szCs w:val="24"/>
        </w:rPr>
        <w:t xml:space="preserve">AFP: Alpha-fetoprotein; ALB: Albumin; ALT: Alanine aminotransferase; AST: Aspartate aminotransferase; BMI: Body mass index; BUN: Urea nitrogen; Cr: </w:t>
      </w:r>
      <w:proofErr w:type="spellStart"/>
      <w:r>
        <w:rPr>
          <w:rFonts w:ascii="Book Antiqua" w:hAnsi="Book Antiqua" w:cs="Times New Roman"/>
          <w:kern w:val="0"/>
          <w:sz w:val="24"/>
          <w:szCs w:val="24"/>
        </w:rPr>
        <w:t>Creatinine</w:t>
      </w:r>
      <w:proofErr w:type="spellEnd"/>
      <w:r>
        <w:rPr>
          <w:rFonts w:ascii="Book Antiqua" w:hAnsi="Book Antiqua" w:cs="Times New Roman"/>
          <w:kern w:val="0"/>
          <w:sz w:val="24"/>
          <w:szCs w:val="24"/>
        </w:rPr>
        <w:t xml:space="preserve">; GGT: Glutamine </w:t>
      </w:r>
      <w:proofErr w:type="spellStart"/>
      <w:r>
        <w:rPr>
          <w:rFonts w:ascii="Book Antiqua" w:hAnsi="Book Antiqua" w:cs="Times New Roman"/>
          <w:kern w:val="0"/>
          <w:sz w:val="24"/>
          <w:szCs w:val="24"/>
        </w:rPr>
        <w:t>transpeptidase</w:t>
      </w:r>
      <w:proofErr w:type="spellEnd"/>
      <w:r>
        <w:rPr>
          <w:rFonts w:ascii="Book Antiqua" w:hAnsi="Book Antiqua" w:cs="Times New Roman"/>
          <w:kern w:val="0"/>
          <w:sz w:val="24"/>
          <w:szCs w:val="24"/>
        </w:rPr>
        <w:t xml:space="preserve">; GLB: Globulin; </w:t>
      </w:r>
      <w:proofErr w:type="spellStart"/>
      <w:r>
        <w:rPr>
          <w:rFonts w:ascii="Book Antiqua" w:hAnsi="Book Antiqua" w:cs="Times New Roman"/>
          <w:kern w:val="0"/>
          <w:sz w:val="24"/>
          <w:szCs w:val="24"/>
        </w:rPr>
        <w:t>HBeAg</w:t>
      </w:r>
      <w:proofErr w:type="spellEnd"/>
      <w:r>
        <w:rPr>
          <w:rFonts w:ascii="Book Antiqua" w:hAnsi="Book Antiqua" w:cs="Times New Roman"/>
          <w:kern w:val="0"/>
          <w:sz w:val="24"/>
          <w:szCs w:val="24"/>
        </w:rPr>
        <w:t>: Hepatitis B e-antigen; HBV DNA: Hepatitis B virus DNA; INR: International normalized ratio; LSM: Liver stiffness measurement; MELD</w:t>
      </w:r>
      <w:r>
        <w:rPr>
          <w:rFonts w:ascii="Book Antiqua" w:hAnsi="Book Antiqua" w:cs="Times New Roman"/>
          <w:sz w:val="24"/>
          <w:szCs w:val="24"/>
        </w:rPr>
        <w:t>: Model for End-Stage Liver Disease</w:t>
      </w:r>
      <w:r>
        <w:rPr>
          <w:rFonts w:ascii="Book Antiqua" w:hAnsi="Book Antiqua" w:cs="Times New Roman"/>
          <w:kern w:val="0"/>
          <w:sz w:val="24"/>
          <w:szCs w:val="24"/>
        </w:rPr>
        <w:t>; Na</w:t>
      </w:r>
      <w:r>
        <w:rPr>
          <w:rFonts w:ascii="Book Antiqua" w:hAnsi="Book Antiqua" w:cs="Times New Roman"/>
          <w:kern w:val="0"/>
          <w:sz w:val="24"/>
          <w:szCs w:val="24"/>
          <w:vertAlign w:val="superscript"/>
        </w:rPr>
        <w:t>+</w:t>
      </w:r>
      <w:r>
        <w:rPr>
          <w:rFonts w:ascii="Book Antiqua" w:hAnsi="Book Antiqua" w:cs="Times New Roman"/>
          <w:kern w:val="0"/>
          <w:sz w:val="24"/>
          <w:szCs w:val="24"/>
        </w:rPr>
        <w:t xml:space="preserve">: Sodium; PLT: Platelet; PT: Prothrombin time; PTA: </w:t>
      </w:r>
      <w:proofErr w:type="spellStart"/>
      <w:r>
        <w:rPr>
          <w:rFonts w:ascii="Book Antiqua" w:hAnsi="Book Antiqua" w:cs="Times New Roman"/>
          <w:kern w:val="0"/>
          <w:sz w:val="24"/>
          <w:szCs w:val="24"/>
        </w:rPr>
        <w:t>Prothrombin</w:t>
      </w:r>
      <w:proofErr w:type="spellEnd"/>
      <w:r>
        <w:rPr>
          <w:rFonts w:ascii="Book Antiqua" w:hAnsi="Book Antiqua" w:cs="Times New Roman"/>
          <w:kern w:val="0"/>
          <w:sz w:val="24"/>
          <w:szCs w:val="24"/>
        </w:rPr>
        <w:t xml:space="preserve"> activity; </w:t>
      </w:r>
      <w:proofErr w:type="spellStart"/>
      <w:r>
        <w:rPr>
          <w:rFonts w:ascii="Book Antiqua" w:hAnsi="Book Antiqua" w:cs="Times New Roman"/>
          <w:kern w:val="0"/>
          <w:sz w:val="24"/>
          <w:szCs w:val="24"/>
        </w:rPr>
        <w:t>TBil</w:t>
      </w:r>
      <w:proofErr w:type="spellEnd"/>
      <w:r>
        <w:rPr>
          <w:rFonts w:ascii="Book Antiqua" w:hAnsi="Book Antiqua" w:cs="Times New Roman"/>
          <w:kern w:val="0"/>
          <w:sz w:val="24"/>
          <w:szCs w:val="24"/>
        </w:rPr>
        <w:t>: Total bilirubin; WBC: White blood cell.</w:t>
      </w:r>
    </w:p>
    <w:p w:rsidR="00AB3D4E" w:rsidRDefault="008F642A">
      <w:pPr>
        <w:widowControl/>
        <w:autoSpaceDE/>
        <w:autoSpaceDN/>
        <w:adjustRightInd/>
        <w:spacing w:line="240" w:lineRule="auto"/>
        <w:jc w:val="left"/>
        <w:rPr>
          <w:rFonts w:ascii="Book Antiqua" w:hAnsi="Book Antiqua" w:cs="Times New Roman"/>
          <w:bCs/>
          <w:sz w:val="24"/>
          <w:szCs w:val="24"/>
        </w:rPr>
      </w:pPr>
      <w:r>
        <w:rPr>
          <w:rFonts w:ascii="Book Antiqua" w:hAnsi="Book Antiqua" w:cs="Times New Roman"/>
          <w:bCs/>
          <w:sz w:val="24"/>
          <w:szCs w:val="24"/>
        </w:rPr>
        <w:br w:type="page"/>
      </w: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2 Univariate and multivariate analyses of risk factors associated with high-risk varices in patients who did not meet the 2015 </w:t>
      </w:r>
      <w:proofErr w:type="spellStart"/>
      <w:r>
        <w:rPr>
          <w:rFonts w:ascii="Book Antiqua" w:hAnsi="Book Antiqua" w:cs="Times New Roman"/>
          <w:b/>
          <w:sz w:val="24"/>
          <w:szCs w:val="24"/>
        </w:rPr>
        <w:t>Baveno</w:t>
      </w:r>
      <w:proofErr w:type="spellEnd"/>
      <w:r>
        <w:rPr>
          <w:rFonts w:ascii="Book Antiqua" w:hAnsi="Book Antiqua" w:cs="Times New Roman"/>
          <w:b/>
          <w:sz w:val="24"/>
          <w:szCs w:val="24"/>
        </w:rPr>
        <w:t xml:space="preserve"> VI criteria</w:t>
      </w:r>
    </w:p>
    <w:tbl>
      <w:tblPr>
        <w:tblW w:w="9323" w:type="dxa"/>
        <w:tblInd w:w="-426" w:type="dxa"/>
        <w:tblBorders>
          <w:top w:val="single" w:sz="4" w:space="0" w:color="auto"/>
          <w:bottom w:val="single" w:sz="4" w:space="0" w:color="auto"/>
        </w:tblBorders>
        <w:tblLayout w:type="fixed"/>
        <w:tblLook w:val="04A0" w:firstRow="1" w:lastRow="0" w:firstColumn="1" w:lastColumn="0" w:noHBand="0" w:noVBand="1"/>
      </w:tblPr>
      <w:tblGrid>
        <w:gridCol w:w="1419"/>
        <w:gridCol w:w="850"/>
        <w:gridCol w:w="851"/>
        <w:gridCol w:w="1417"/>
        <w:gridCol w:w="851"/>
        <w:gridCol w:w="851"/>
        <w:gridCol w:w="850"/>
        <w:gridCol w:w="1418"/>
        <w:gridCol w:w="816"/>
      </w:tblGrid>
      <w:tr w:rsidR="00AB3D4E">
        <w:trPr>
          <w:trHeight w:val="454"/>
        </w:trPr>
        <w:tc>
          <w:tcPr>
            <w:tcW w:w="1419" w:type="dxa"/>
            <w:vMerge w:val="restart"/>
            <w:tcBorders>
              <w:top w:val="single" w:sz="12" w:space="0" w:color="auto"/>
              <w:left w:val="nil"/>
              <w:bottom w:val="nil"/>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Variable</w:t>
            </w:r>
          </w:p>
        </w:tc>
        <w:tc>
          <w:tcPr>
            <w:tcW w:w="3969" w:type="dxa"/>
            <w:gridSpan w:val="4"/>
            <w:tcBorders>
              <w:top w:val="single" w:sz="12" w:space="0" w:color="auto"/>
              <w:left w:val="nil"/>
              <w:bottom w:val="single" w:sz="4"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Univariate analysis</w:t>
            </w:r>
          </w:p>
        </w:tc>
        <w:tc>
          <w:tcPr>
            <w:tcW w:w="3935" w:type="dxa"/>
            <w:gridSpan w:val="4"/>
            <w:tcBorders>
              <w:top w:val="single" w:sz="12" w:space="0" w:color="auto"/>
              <w:left w:val="nil"/>
              <w:bottom w:val="single" w:sz="4"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Multivariate analysis</w:t>
            </w:r>
          </w:p>
        </w:tc>
      </w:tr>
      <w:tr w:rsidR="00AB3D4E">
        <w:trPr>
          <w:trHeight w:val="454"/>
        </w:trPr>
        <w:tc>
          <w:tcPr>
            <w:tcW w:w="1419" w:type="dxa"/>
            <w:vMerge/>
            <w:tcBorders>
              <w:top w:val="single" w:sz="12" w:space="0" w:color="auto"/>
              <w:left w:val="nil"/>
              <w:bottom w:val="single" w:sz="12" w:space="0" w:color="auto"/>
              <w:right w:val="nil"/>
            </w:tcBorders>
            <w:vAlign w:val="center"/>
          </w:tcPr>
          <w:p w:rsidR="00AB3D4E" w:rsidRDefault="00AB3D4E">
            <w:pPr>
              <w:spacing w:line="360" w:lineRule="auto"/>
              <w:rPr>
                <w:rFonts w:ascii="Book Antiqua" w:hAnsi="Book Antiqua" w:cs="Times New Roman"/>
                <w:b/>
                <w:sz w:val="24"/>
                <w:szCs w:val="24"/>
              </w:rPr>
            </w:pPr>
          </w:p>
        </w:tc>
        <w:tc>
          <w:tcPr>
            <w:tcW w:w="850"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β</w:t>
            </w:r>
          </w:p>
        </w:tc>
        <w:tc>
          <w:tcPr>
            <w:tcW w:w="851"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OR</w:t>
            </w:r>
          </w:p>
        </w:tc>
        <w:tc>
          <w:tcPr>
            <w:tcW w:w="1417"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95%CI</w:t>
            </w:r>
          </w:p>
        </w:tc>
        <w:tc>
          <w:tcPr>
            <w:tcW w:w="851" w:type="dxa"/>
            <w:tcBorders>
              <w:top w:val="single" w:sz="4" w:space="0" w:color="auto"/>
              <w:left w:val="nil"/>
              <w:bottom w:val="single" w:sz="12" w:space="0" w:color="auto"/>
              <w:right w:val="nil"/>
            </w:tcBorders>
          </w:tcPr>
          <w:p w:rsidR="00AB3D4E" w:rsidRDefault="0037546D">
            <w:pPr>
              <w:spacing w:line="360" w:lineRule="auto"/>
              <w:rPr>
                <w:rFonts w:ascii="Book Antiqua" w:hAnsi="Book Antiqua" w:cs="Times New Roman"/>
                <w:b/>
                <w:i/>
                <w:sz w:val="24"/>
                <w:szCs w:val="24"/>
              </w:rPr>
            </w:pPr>
            <w:r>
              <w:rPr>
                <w:rFonts w:ascii="Book Antiqua" w:hAnsi="Book Antiqua" w:cs="Times New Roman"/>
                <w:b/>
                <w:i/>
                <w:sz w:val="24"/>
                <w:szCs w:val="24"/>
              </w:rPr>
              <w:t>P-</w:t>
            </w:r>
            <w:r w:rsidR="008F642A">
              <w:rPr>
                <w:rFonts w:ascii="Book Antiqua" w:hAnsi="Book Antiqua" w:cs="Times New Roman"/>
                <w:b/>
                <w:iCs/>
                <w:sz w:val="24"/>
                <w:szCs w:val="24"/>
              </w:rPr>
              <w:t>value</w:t>
            </w:r>
          </w:p>
        </w:tc>
        <w:tc>
          <w:tcPr>
            <w:tcW w:w="851"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β</w:t>
            </w:r>
          </w:p>
        </w:tc>
        <w:tc>
          <w:tcPr>
            <w:tcW w:w="850"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OR</w:t>
            </w:r>
          </w:p>
        </w:tc>
        <w:tc>
          <w:tcPr>
            <w:tcW w:w="1418"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95%CI</w:t>
            </w:r>
          </w:p>
        </w:tc>
        <w:tc>
          <w:tcPr>
            <w:tcW w:w="816" w:type="dxa"/>
            <w:tcBorders>
              <w:top w:val="single" w:sz="4" w:space="0" w:color="auto"/>
              <w:left w:val="nil"/>
              <w:bottom w:val="single" w:sz="12" w:space="0" w:color="auto"/>
              <w:right w:val="nil"/>
            </w:tcBorders>
          </w:tcPr>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P-</w:t>
            </w:r>
            <w:r>
              <w:rPr>
                <w:rFonts w:ascii="Book Antiqua" w:hAnsi="Book Antiqua" w:cs="Times New Roman"/>
                <w:b/>
                <w:iCs/>
                <w:sz w:val="24"/>
                <w:szCs w:val="24"/>
              </w:rPr>
              <w:t>value</w:t>
            </w: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PT</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0.289</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1.335</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1.117</w:t>
            </w:r>
            <w:r>
              <w:rPr>
                <w:rFonts w:ascii="Book Antiqua" w:hAnsi="Book Antiqua" w:cs="Times New Roman" w:hint="eastAsia"/>
                <w:sz w:val="24"/>
                <w:szCs w:val="24"/>
              </w:rPr>
              <w:t>-</w:t>
            </w:r>
            <w:r>
              <w:rPr>
                <w:rFonts w:ascii="Book Antiqua" w:hAnsi="Book Antiqua" w:cs="Times New Roman"/>
                <w:sz w:val="24"/>
                <w:szCs w:val="24"/>
              </w:rPr>
              <w:t>1.595</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0.001</w:t>
            </w:r>
          </w:p>
        </w:tc>
        <w:tc>
          <w:tcPr>
            <w:tcW w:w="85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41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16"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-0.025</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0.975</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0.960</w:t>
            </w:r>
            <w:r>
              <w:rPr>
                <w:rFonts w:ascii="Book Antiqua" w:hAnsi="Book Antiqua" w:cs="Times New Roman" w:hint="eastAsia"/>
                <w:sz w:val="24"/>
                <w:szCs w:val="24"/>
              </w:rPr>
              <w:t>-</w:t>
            </w:r>
            <w:r>
              <w:rPr>
                <w:rFonts w:ascii="Book Antiqua" w:hAnsi="Book Antiqua" w:cs="Times New Roman"/>
                <w:sz w:val="24"/>
                <w:szCs w:val="24"/>
              </w:rPr>
              <w:t>0.990</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0.001</w:t>
            </w:r>
          </w:p>
        </w:tc>
        <w:tc>
          <w:tcPr>
            <w:tcW w:w="85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41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16"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ALT</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-0.008</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0.992</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0.987</w:t>
            </w:r>
            <w:r>
              <w:rPr>
                <w:rFonts w:ascii="Book Antiqua" w:hAnsi="Book Antiqua" w:cs="Times New Roman" w:hint="eastAsia"/>
                <w:sz w:val="24"/>
                <w:szCs w:val="24"/>
              </w:rPr>
              <w:t>-</w:t>
            </w:r>
            <w:r>
              <w:rPr>
                <w:rFonts w:ascii="Book Antiqua" w:hAnsi="Book Antiqua" w:cs="Times New Roman"/>
                <w:sz w:val="24"/>
                <w:szCs w:val="24"/>
              </w:rPr>
              <w:t>0.997</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0.003</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-0.007</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0.993</w:t>
            </w:r>
          </w:p>
        </w:tc>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0.987-0.999</w:t>
            </w:r>
          </w:p>
        </w:tc>
        <w:tc>
          <w:tcPr>
            <w:tcW w:w="81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0.029</w:t>
            </w: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GGT</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-0.013</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0.987</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0.979</w:t>
            </w:r>
            <w:r>
              <w:rPr>
                <w:rFonts w:ascii="Book Antiqua" w:hAnsi="Book Antiqua" w:cs="Times New Roman" w:hint="eastAsia"/>
                <w:sz w:val="24"/>
                <w:szCs w:val="24"/>
              </w:rPr>
              <w:t>-</w:t>
            </w:r>
            <w:r>
              <w:rPr>
                <w:rFonts w:ascii="Book Antiqua" w:hAnsi="Book Antiqua" w:cs="Times New Roman"/>
                <w:sz w:val="24"/>
                <w:szCs w:val="24"/>
              </w:rPr>
              <w:t>0.996</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0.003</w:t>
            </w:r>
          </w:p>
        </w:tc>
        <w:tc>
          <w:tcPr>
            <w:tcW w:w="85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41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16"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54"/>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0.035</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1.035</w:t>
            </w:r>
          </w:p>
        </w:tc>
        <w:tc>
          <w:tcPr>
            <w:tcW w:w="1417"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1.004</w:t>
            </w:r>
            <w:r>
              <w:rPr>
                <w:rFonts w:ascii="Book Antiqua" w:hAnsi="Book Antiqua" w:cs="Times New Roman" w:hint="eastAsia"/>
                <w:sz w:val="24"/>
                <w:szCs w:val="24"/>
              </w:rPr>
              <w:t>-</w:t>
            </w:r>
            <w:r>
              <w:rPr>
                <w:rFonts w:ascii="Book Antiqua" w:hAnsi="Book Antiqua" w:cs="Times New Roman"/>
                <w:sz w:val="24"/>
                <w:szCs w:val="24"/>
              </w:rPr>
              <w:t>1.068</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0.025</w:t>
            </w:r>
          </w:p>
        </w:tc>
        <w:tc>
          <w:tcPr>
            <w:tcW w:w="8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0.077</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1.080</w:t>
            </w:r>
          </w:p>
        </w:tc>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1.030-1.132</w:t>
            </w:r>
          </w:p>
        </w:tc>
        <w:tc>
          <w:tcPr>
            <w:tcW w:w="81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0.001</w:t>
            </w:r>
          </w:p>
        </w:tc>
      </w:tr>
      <w:tr w:rsidR="00AB3D4E">
        <w:trPr>
          <w:trHeight w:val="454"/>
        </w:trPr>
        <w:tc>
          <w:tcPr>
            <w:tcW w:w="1419"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MELD</w:t>
            </w:r>
          </w:p>
        </w:tc>
        <w:tc>
          <w:tcPr>
            <w:tcW w:w="850"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0.091</w:t>
            </w:r>
          </w:p>
        </w:tc>
        <w:tc>
          <w:tcPr>
            <w:tcW w:w="851"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1.096</w:t>
            </w:r>
          </w:p>
        </w:tc>
        <w:tc>
          <w:tcPr>
            <w:tcW w:w="1417"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1.002</w:t>
            </w:r>
            <w:r>
              <w:rPr>
                <w:rFonts w:ascii="Book Antiqua" w:hAnsi="Book Antiqua" w:cs="Times New Roman" w:hint="eastAsia"/>
                <w:sz w:val="24"/>
                <w:szCs w:val="24"/>
              </w:rPr>
              <w:t>-</w:t>
            </w:r>
            <w:r>
              <w:rPr>
                <w:rFonts w:ascii="Book Antiqua" w:hAnsi="Book Antiqua" w:cs="Times New Roman"/>
                <w:sz w:val="24"/>
                <w:szCs w:val="24"/>
              </w:rPr>
              <w:t>1.198</w:t>
            </w:r>
          </w:p>
        </w:tc>
        <w:tc>
          <w:tcPr>
            <w:tcW w:w="851"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0.045</w:t>
            </w:r>
          </w:p>
        </w:tc>
        <w:tc>
          <w:tcPr>
            <w:tcW w:w="851"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418"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highlight w:val="yellow"/>
              </w:rPr>
            </w:pPr>
          </w:p>
        </w:tc>
        <w:tc>
          <w:tcPr>
            <w:tcW w:w="816"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r>
    </w:tbl>
    <w:p w:rsidR="00AB3D4E" w:rsidRDefault="008F642A">
      <w:pPr>
        <w:widowControl/>
        <w:snapToGrid w:val="0"/>
        <w:spacing w:afterLines="50" w:after="156" w:line="360" w:lineRule="auto"/>
        <w:rPr>
          <w:rFonts w:ascii="Book Antiqua" w:hAnsi="Book Antiqua" w:cs="Times New Roman"/>
          <w:kern w:val="0"/>
          <w:sz w:val="24"/>
          <w:szCs w:val="24"/>
        </w:rPr>
      </w:pPr>
      <w:r>
        <w:rPr>
          <w:rFonts w:ascii="Book Antiqua" w:hAnsi="Book Antiqua" w:cs="Times New Roman"/>
          <w:kern w:val="0"/>
          <w:sz w:val="24"/>
          <w:szCs w:val="24"/>
        </w:rPr>
        <w:t xml:space="preserve">ALT: Alanine aminotransferase; </w:t>
      </w:r>
      <w:r>
        <w:rPr>
          <w:rFonts w:ascii="Book Antiqua" w:hAnsi="Book Antiqua" w:cs="Times New Roman"/>
          <w:sz w:val="24"/>
          <w:szCs w:val="24"/>
        </w:rPr>
        <w:t>CI</w:t>
      </w:r>
      <w:r>
        <w:rPr>
          <w:rFonts w:ascii="Book Antiqua" w:hAnsi="Book Antiqua" w:cs="Times New Roman"/>
          <w:kern w:val="0"/>
          <w:sz w:val="24"/>
          <w:szCs w:val="24"/>
        </w:rPr>
        <w:t>:</w:t>
      </w:r>
      <w:r>
        <w:rPr>
          <w:rFonts w:ascii="Book Antiqua" w:hAnsi="Book Antiqua" w:cs="Times New Roman"/>
          <w:sz w:val="24"/>
          <w:szCs w:val="24"/>
        </w:rPr>
        <w:t xml:space="preserve"> Confidence interval; </w:t>
      </w:r>
      <w:r>
        <w:rPr>
          <w:rFonts w:ascii="Book Antiqua" w:hAnsi="Book Antiqua" w:cs="Times New Roman"/>
          <w:kern w:val="0"/>
          <w:sz w:val="24"/>
          <w:szCs w:val="24"/>
        </w:rPr>
        <w:t xml:space="preserve">GGT: Glutamine </w:t>
      </w:r>
      <w:bookmarkStart w:id="78" w:name="OLE_LINK1048"/>
      <w:bookmarkStart w:id="79" w:name="OLE_LINK1047"/>
      <w:proofErr w:type="spellStart"/>
      <w:r>
        <w:rPr>
          <w:rFonts w:ascii="Book Antiqua" w:hAnsi="Book Antiqua" w:cs="Times New Roman"/>
          <w:kern w:val="0"/>
          <w:sz w:val="24"/>
          <w:szCs w:val="24"/>
        </w:rPr>
        <w:t>transpeptidase</w:t>
      </w:r>
      <w:bookmarkEnd w:id="78"/>
      <w:bookmarkEnd w:id="79"/>
      <w:proofErr w:type="spellEnd"/>
      <w:r>
        <w:rPr>
          <w:rFonts w:ascii="Book Antiqua" w:hAnsi="Book Antiqua" w:cs="Times New Roman"/>
          <w:kern w:val="0"/>
          <w:sz w:val="24"/>
          <w:szCs w:val="24"/>
        </w:rPr>
        <w:t>; LSM: Liver stiffness measurement; MELD:</w:t>
      </w:r>
      <w:r>
        <w:rPr>
          <w:rFonts w:ascii="Book Antiqua" w:hAnsi="Book Antiqua" w:cs="Times New Roman"/>
          <w:sz w:val="24"/>
          <w:szCs w:val="24"/>
        </w:rPr>
        <w:t xml:space="preserve"> Model for End-Stage Liver Disease</w:t>
      </w:r>
      <w:r>
        <w:rPr>
          <w:rFonts w:ascii="Book Antiqua" w:hAnsi="Book Antiqua" w:cs="Times New Roman"/>
          <w:kern w:val="0"/>
          <w:sz w:val="24"/>
          <w:szCs w:val="24"/>
        </w:rPr>
        <w:t xml:space="preserve">; OR: Odds ratio; PLT: Platelet; PT: Prothrombin time. </w:t>
      </w:r>
      <w:r>
        <w:rPr>
          <w:rFonts w:ascii="Book Antiqua" w:hAnsi="Book Antiqua" w:cs="Times New Roman"/>
          <w:i/>
          <w:iCs/>
          <w:kern w:val="0"/>
          <w:sz w:val="24"/>
          <w:szCs w:val="24"/>
        </w:rPr>
        <w:t xml:space="preserve">P </w:t>
      </w:r>
      <w:r>
        <w:rPr>
          <w:rFonts w:ascii="Book Antiqua" w:hAnsi="Book Antiqua" w:cs="Times New Roman"/>
          <w:kern w:val="0"/>
          <w:sz w:val="24"/>
          <w:szCs w:val="24"/>
        </w:rPr>
        <w:t>&lt; 0.05 was statistically significant.</w:t>
      </w:r>
    </w:p>
    <w:p w:rsidR="00AB3D4E" w:rsidRDefault="00AB3D4E">
      <w:pPr>
        <w:widowControl/>
        <w:autoSpaceDE/>
        <w:autoSpaceDN/>
        <w:adjustRightInd/>
        <w:spacing w:line="360" w:lineRule="auto"/>
        <w:rPr>
          <w:rFonts w:ascii="Book Antiqua" w:hAnsi="Book Antiqua" w:cs="Times New Roman"/>
          <w:kern w:val="0"/>
          <w:sz w:val="24"/>
          <w:szCs w:val="24"/>
        </w:rPr>
      </w:pP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br w:type="page"/>
      </w:r>
    </w:p>
    <w:p w:rsidR="00AB3D4E" w:rsidRDefault="008F642A">
      <w:pPr>
        <w:widowControl/>
        <w:autoSpaceDE/>
        <w:autoSpaceDN/>
        <w:adjustRightInd/>
        <w:spacing w:line="360" w:lineRule="auto"/>
        <w:rPr>
          <w:rFonts w:ascii="Book Antiqua" w:hAnsi="Book Antiqua" w:cs="Times New Roman"/>
          <w:b/>
          <w:bCs/>
          <w:kern w:val="0"/>
          <w:sz w:val="24"/>
          <w:szCs w:val="24"/>
        </w:rPr>
      </w:pPr>
      <w:r>
        <w:rPr>
          <w:rFonts w:ascii="Book Antiqua" w:hAnsi="Book Antiqua" w:cs="Times New Roman"/>
          <w:b/>
          <w:bCs/>
          <w:sz w:val="24"/>
          <w:szCs w:val="24"/>
        </w:rPr>
        <w:lastRenderedPageBreak/>
        <w:t xml:space="preserve">Table 3 Performance of </w:t>
      </w:r>
      <w:r>
        <w:rPr>
          <w:rFonts w:ascii="Book Antiqua" w:hAnsi="Book Antiqua" w:cs="Times New Roman"/>
          <w:b/>
          <w:bCs/>
          <w:kern w:val="0"/>
          <w:sz w:val="24"/>
          <w:szCs w:val="24"/>
        </w:rPr>
        <w:t>liver stiffness measurement</w:t>
      </w:r>
      <w:r>
        <w:rPr>
          <w:rFonts w:ascii="Book Antiqua" w:hAnsi="Book Antiqua" w:cs="Times New Roman"/>
          <w:b/>
          <w:bCs/>
          <w:sz w:val="24"/>
          <w:szCs w:val="24"/>
        </w:rPr>
        <w:t xml:space="preserve"> and serum markers of liver fibrosis in predicting high-risk varices in patients who did not meet the 2015 </w:t>
      </w:r>
      <w:proofErr w:type="spellStart"/>
      <w:r>
        <w:rPr>
          <w:rFonts w:ascii="Book Antiqua" w:hAnsi="Book Antiqua" w:cs="Times New Roman"/>
          <w:b/>
          <w:bCs/>
          <w:sz w:val="24"/>
          <w:szCs w:val="24"/>
        </w:rPr>
        <w:t>Baveno</w:t>
      </w:r>
      <w:proofErr w:type="spellEnd"/>
      <w:r>
        <w:rPr>
          <w:rFonts w:ascii="Book Antiqua" w:hAnsi="Book Antiqua" w:cs="Times New Roman"/>
          <w:b/>
          <w:bCs/>
          <w:sz w:val="24"/>
          <w:szCs w:val="24"/>
        </w:rPr>
        <w:t xml:space="preserve"> VI criteria</w:t>
      </w:r>
    </w:p>
    <w:tbl>
      <w:tblPr>
        <w:tblW w:w="10916" w:type="dxa"/>
        <w:tblInd w:w="-743" w:type="dxa"/>
        <w:tblBorders>
          <w:bottom w:val="single" w:sz="4" w:space="0" w:color="auto"/>
        </w:tblBorders>
        <w:tblLayout w:type="fixed"/>
        <w:tblLook w:val="04A0" w:firstRow="1" w:lastRow="0" w:firstColumn="1" w:lastColumn="0" w:noHBand="0" w:noVBand="1"/>
      </w:tblPr>
      <w:tblGrid>
        <w:gridCol w:w="1418"/>
        <w:gridCol w:w="2268"/>
        <w:gridCol w:w="993"/>
        <w:gridCol w:w="992"/>
        <w:gridCol w:w="709"/>
        <w:gridCol w:w="845"/>
        <w:gridCol w:w="706"/>
        <w:gridCol w:w="751"/>
        <w:gridCol w:w="263"/>
        <w:gridCol w:w="1097"/>
        <w:gridCol w:w="281"/>
        <w:gridCol w:w="593"/>
      </w:tblGrid>
      <w:tr w:rsidR="00AB3D4E">
        <w:trPr>
          <w:trHeight w:val="665"/>
        </w:trPr>
        <w:tc>
          <w:tcPr>
            <w:tcW w:w="1418"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Variable</w:t>
            </w:r>
          </w:p>
        </w:tc>
        <w:tc>
          <w:tcPr>
            <w:tcW w:w="2268"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AUROC (95%CI)</w:t>
            </w:r>
          </w:p>
        </w:tc>
        <w:tc>
          <w:tcPr>
            <w:tcW w:w="993"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P-</w:t>
            </w:r>
            <w:r>
              <w:rPr>
                <w:rFonts w:ascii="Book Antiqua" w:hAnsi="Book Antiqua" w:cs="Times New Roman"/>
                <w:b/>
                <w:iCs/>
                <w:sz w:val="24"/>
                <w:szCs w:val="24"/>
              </w:rPr>
              <w:t>value</w:t>
            </w:r>
          </w:p>
        </w:tc>
        <w:tc>
          <w:tcPr>
            <w:tcW w:w="992"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Cutoff</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value</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Se</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845"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proofErr w:type="spellStart"/>
            <w:r>
              <w:rPr>
                <w:rFonts w:ascii="Book Antiqua" w:hAnsi="Book Antiqua" w:cs="Times New Roman"/>
                <w:b/>
                <w:sz w:val="24"/>
                <w:szCs w:val="24"/>
              </w:rPr>
              <w:t>Sp</w:t>
            </w:r>
            <w:proofErr w:type="spellEnd"/>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6"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PPV</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1014" w:type="dxa"/>
            <w:gridSpan w:val="2"/>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PLR</w:t>
            </w:r>
          </w:p>
        </w:tc>
        <w:tc>
          <w:tcPr>
            <w:tcW w:w="1971" w:type="dxa"/>
            <w:gridSpan w:val="3"/>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Spared gastroscopies</w:t>
            </w:r>
          </w:p>
          <w:p w:rsidR="00AB3D4E" w:rsidRDefault="008F642A">
            <w:pPr>
              <w:spacing w:line="360" w:lineRule="auto"/>
              <w:rPr>
                <w:rFonts w:ascii="Book Antiqua" w:hAnsi="Book Antiqua" w:cs="Times New Roman"/>
                <w:b/>
                <w:sz w:val="24"/>
                <w:szCs w:val="24"/>
              </w:rPr>
            </w:pPr>
            <w:r>
              <w:rPr>
                <w:rFonts w:ascii="Book Antiqua" w:hAnsi="Book Antiqua" w:cs="Times New Roman"/>
                <w:b/>
                <w:i/>
                <w:sz w:val="24"/>
                <w:szCs w:val="24"/>
              </w:rPr>
              <w:t>n</w:t>
            </w:r>
            <w:r>
              <w:rPr>
                <w:rFonts w:ascii="Book Antiqua" w:hAnsi="Book Antiqua" w:cs="Times New Roman"/>
                <w:b/>
                <w:sz w:val="24"/>
                <w:szCs w:val="24"/>
              </w:rPr>
              <w:t xml:space="preserve"> = 132, (%)</w:t>
            </w:r>
          </w:p>
        </w:tc>
      </w:tr>
      <w:tr w:rsidR="00AB3D4E">
        <w:trPr>
          <w:trHeight w:val="468"/>
        </w:trPr>
        <w:tc>
          <w:tcPr>
            <w:tcW w:w="141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w:t>
            </w:r>
          </w:p>
        </w:tc>
        <w:tc>
          <w:tcPr>
            <w:tcW w:w="226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0.637 (0.548-0.718)</w:t>
            </w:r>
          </w:p>
        </w:tc>
        <w:tc>
          <w:tcPr>
            <w:tcW w:w="993"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0.0141</w:t>
            </w:r>
          </w:p>
        </w:tc>
        <w:tc>
          <w:tcPr>
            <w:tcW w:w="992"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20.9</w:t>
            </w:r>
          </w:p>
        </w:tc>
        <w:tc>
          <w:tcPr>
            <w:tcW w:w="709"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45"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29.52</w:t>
            </w:r>
          </w:p>
        </w:tc>
        <w:tc>
          <w:tcPr>
            <w:tcW w:w="706"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26.7</w:t>
            </w:r>
          </w:p>
        </w:tc>
        <w:tc>
          <w:tcPr>
            <w:tcW w:w="751"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1.42</w:t>
            </w:r>
          </w:p>
        </w:tc>
        <w:tc>
          <w:tcPr>
            <w:tcW w:w="1641" w:type="dxa"/>
            <w:gridSpan w:val="3"/>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31/132 (23.5)</w:t>
            </w:r>
          </w:p>
        </w:tc>
        <w:tc>
          <w:tcPr>
            <w:tcW w:w="593" w:type="dxa"/>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0.712 (0.627-0.787)</w:t>
            </w:r>
          </w:p>
        </w:tc>
        <w:tc>
          <w:tcPr>
            <w:tcW w:w="99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&lt;0.0001</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151.0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45"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9.52</w:t>
            </w:r>
          </w:p>
        </w:tc>
        <w:tc>
          <w:tcPr>
            <w:tcW w:w="70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22.1</w:t>
            </w:r>
          </w:p>
        </w:tc>
        <w:tc>
          <w:tcPr>
            <w:tcW w:w="7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1.11</w:t>
            </w:r>
          </w:p>
        </w:tc>
        <w:tc>
          <w:tcPr>
            <w:tcW w:w="1641" w:type="dxa"/>
            <w:gridSpan w:val="3"/>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10/132 (7.6)</w:t>
            </w:r>
          </w:p>
        </w:tc>
        <w:tc>
          <w:tcPr>
            <w:tcW w:w="593" w:type="dxa"/>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0.753 (0.671-0.824)</w:t>
            </w:r>
          </w:p>
        </w:tc>
        <w:tc>
          <w:tcPr>
            <w:tcW w:w="99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&lt;0.0001</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0.4531</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45"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30.48</w:t>
            </w:r>
          </w:p>
        </w:tc>
        <w:tc>
          <w:tcPr>
            <w:tcW w:w="70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27.0</w:t>
            </w:r>
          </w:p>
        </w:tc>
        <w:tc>
          <w:tcPr>
            <w:tcW w:w="7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1.44</w:t>
            </w:r>
          </w:p>
        </w:tc>
        <w:tc>
          <w:tcPr>
            <w:tcW w:w="1641" w:type="dxa"/>
            <w:gridSpan w:val="3"/>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32/132 (24.2)</w:t>
            </w:r>
          </w:p>
        </w:tc>
        <w:tc>
          <w:tcPr>
            <w:tcW w:w="593" w:type="dxa"/>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MELD</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0.644 (0.556-0.726)</w:t>
            </w:r>
          </w:p>
        </w:tc>
        <w:tc>
          <w:tcPr>
            <w:tcW w:w="99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0.0122</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45"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6.67</w:t>
            </w:r>
          </w:p>
        </w:tc>
        <w:tc>
          <w:tcPr>
            <w:tcW w:w="706"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21.6</w:t>
            </w:r>
          </w:p>
        </w:tc>
        <w:tc>
          <w:tcPr>
            <w:tcW w:w="75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1.07</w:t>
            </w:r>
          </w:p>
        </w:tc>
        <w:tc>
          <w:tcPr>
            <w:tcW w:w="1641" w:type="dxa"/>
            <w:gridSpan w:val="3"/>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7/132 (5.3)</w:t>
            </w:r>
          </w:p>
        </w:tc>
        <w:tc>
          <w:tcPr>
            <w:tcW w:w="593" w:type="dxa"/>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APRI</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0.586 (0.497-0.671)</w:t>
            </w:r>
          </w:p>
        </w:tc>
        <w:tc>
          <w:tcPr>
            <w:tcW w:w="99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0.1453</w:t>
            </w:r>
          </w:p>
        </w:tc>
        <w:tc>
          <w:tcPr>
            <w:tcW w:w="992"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45"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6"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014" w:type="dxa"/>
            <w:gridSpan w:val="2"/>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097" w:type="dxa"/>
          </w:tcPr>
          <w:p w:rsidR="00AB3D4E" w:rsidRDefault="00AB3D4E">
            <w:pPr>
              <w:spacing w:line="360" w:lineRule="auto"/>
              <w:rPr>
                <w:rFonts w:ascii="Book Antiqua" w:hAnsi="Book Antiqua" w:cs="Times New Roman"/>
                <w:sz w:val="24"/>
                <w:szCs w:val="24"/>
              </w:rPr>
            </w:pPr>
          </w:p>
        </w:tc>
        <w:tc>
          <w:tcPr>
            <w:tcW w:w="874" w:type="dxa"/>
            <w:gridSpan w:val="2"/>
            <w:vAlign w:val="center"/>
          </w:tcPr>
          <w:p w:rsidR="00AB3D4E" w:rsidRDefault="00AB3D4E">
            <w:pPr>
              <w:spacing w:line="360" w:lineRule="auto"/>
              <w:rPr>
                <w:rFonts w:ascii="Book Antiqua" w:hAnsi="Book Antiqua" w:cs="Times New Roman"/>
                <w:sz w:val="24"/>
                <w:szCs w:val="24"/>
              </w:rPr>
            </w:pPr>
          </w:p>
        </w:tc>
      </w:tr>
      <w:tr w:rsidR="00AB3D4E">
        <w:trPr>
          <w:trHeight w:val="468"/>
        </w:trPr>
        <w:tc>
          <w:tcPr>
            <w:tcW w:w="1418"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FIB-4</w:t>
            </w:r>
          </w:p>
        </w:tc>
        <w:tc>
          <w:tcPr>
            <w:tcW w:w="2268"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0.585 (0.496-0.670)</w:t>
            </w:r>
          </w:p>
        </w:tc>
        <w:tc>
          <w:tcPr>
            <w:tcW w:w="993"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0.1281</w:t>
            </w:r>
          </w:p>
        </w:tc>
        <w:tc>
          <w:tcPr>
            <w:tcW w:w="992"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845"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6"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014" w:type="dxa"/>
            <w:gridSpan w:val="2"/>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097" w:type="dxa"/>
            <w:tcBorders>
              <w:bottom w:val="single" w:sz="12" w:space="0" w:color="auto"/>
            </w:tcBorders>
          </w:tcPr>
          <w:p w:rsidR="00AB3D4E" w:rsidRDefault="00AB3D4E">
            <w:pPr>
              <w:spacing w:line="360" w:lineRule="auto"/>
              <w:rPr>
                <w:rFonts w:ascii="Book Antiqua" w:hAnsi="Book Antiqua" w:cs="Times New Roman"/>
                <w:sz w:val="24"/>
                <w:szCs w:val="24"/>
              </w:rPr>
            </w:pPr>
          </w:p>
        </w:tc>
        <w:tc>
          <w:tcPr>
            <w:tcW w:w="874" w:type="dxa"/>
            <w:gridSpan w:val="2"/>
            <w:tcBorders>
              <w:bottom w:val="single" w:sz="12" w:space="0" w:color="auto"/>
            </w:tcBorders>
            <w:vAlign w:val="center"/>
          </w:tcPr>
          <w:p w:rsidR="00AB3D4E" w:rsidRDefault="00AB3D4E">
            <w:pPr>
              <w:spacing w:line="360" w:lineRule="auto"/>
              <w:rPr>
                <w:rFonts w:ascii="Book Antiqua" w:hAnsi="Book Antiqua" w:cs="Times New Roman"/>
                <w:sz w:val="24"/>
                <w:szCs w:val="24"/>
              </w:rPr>
            </w:pPr>
          </w:p>
        </w:tc>
      </w:tr>
    </w:tbl>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APRI: Aspartate aminotransferase-to-platelet ratio index; AUROC: Area under the receiver operating characteristic curve;</w:t>
      </w:r>
      <w:r>
        <w:rPr>
          <w:rFonts w:ascii="Book Antiqua" w:hAnsi="Book Antiqua" w:cs="Times New Roman"/>
          <w:position w:val="-2"/>
          <w:sz w:val="24"/>
          <w:szCs w:val="24"/>
        </w:rPr>
        <w:t xml:space="preserve"> </w:t>
      </w:r>
      <w:r>
        <w:rPr>
          <w:rFonts w:ascii="Book Antiqua" w:hAnsi="Book Antiqua" w:cs="Times New Roman"/>
          <w:sz w:val="24"/>
          <w:szCs w:val="24"/>
        </w:rPr>
        <w:t>CI: Confidence interval; MELD: Model for End-Stage Liver Disease</w:t>
      </w:r>
      <w:r>
        <w:rPr>
          <w:rFonts w:ascii="Book Antiqua" w:hAnsi="Book Antiqua" w:cs="Times New Roman"/>
          <w:kern w:val="0"/>
          <w:sz w:val="24"/>
          <w:szCs w:val="24"/>
        </w:rPr>
        <w:t xml:space="preserve">; </w:t>
      </w:r>
      <w:r>
        <w:rPr>
          <w:rFonts w:ascii="Book Antiqua" w:hAnsi="Book Antiqua" w:cs="Times New Roman"/>
          <w:sz w:val="24"/>
          <w:szCs w:val="24"/>
        </w:rPr>
        <w:t xml:space="preserve">PLT: Platelet; PLR: Positive likelihood ratio; PPV: Positive predictive value; Se: Sensitivity; </w:t>
      </w:r>
      <w:proofErr w:type="spellStart"/>
      <w:r>
        <w:rPr>
          <w:rFonts w:ascii="Book Antiqua" w:hAnsi="Book Antiqua" w:cs="Times New Roman"/>
          <w:sz w:val="24"/>
          <w:szCs w:val="24"/>
        </w:rPr>
        <w:t>Sp</w:t>
      </w:r>
      <w:proofErr w:type="spellEnd"/>
      <w:r>
        <w:rPr>
          <w:rFonts w:ascii="Book Antiqua" w:hAnsi="Book Antiqua" w:cs="Times New Roman"/>
          <w:sz w:val="24"/>
          <w:szCs w:val="24"/>
        </w:rPr>
        <w:t xml:space="preserve">: Specificity. </w:t>
      </w:r>
      <w:r>
        <w:rPr>
          <w:rFonts w:ascii="Book Antiqua" w:hAnsi="Book Antiqua" w:cs="Times New Roman"/>
          <w:i/>
          <w:iCs/>
          <w:kern w:val="0"/>
          <w:sz w:val="24"/>
          <w:szCs w:val="24"/>
        </w:rPr>
        <w:t xml:space="preserve">P </w:t>
      </w:r>
      <w:r>
        <w:rPr>
          <w:rFonts w:ascii="Book Antiqua" w:hAnsi="Book Antiqua" w:cs="Times New Roman"/>
          <w:kern w:val="0"/>
          <w:sz w:val="24"/>
          <w:szCs w:val="24"/>
        </w:rPr>
        <w:t>&lt; 0.05 was statistically significant.</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br w:type="page"/>
      </w:r>
    </w:p>
    <w:p w:rsidR="00AB3D4E" w:rsidRDefault="008F642A">
      <w:pPr>
        <w:widowControl/>
        <w:autoSpaceDE/>
        <w:autoSpaceDN/>
        <w:adjustRightInd/>
        <w:spacing w:line="360" w:lineRule="auto"/>
        <w:rPr>
          <w:rFonts w:ascii="Book Antiqua" w:hAnsi="Book Antiqua" w:cs="Times New Roman"/>
          <w:b/>
          <w:bCs/>
          <w:kern w:val="0"/>
          <w:sz w:val="24"/>
          <w:szCs w:val="24"/>
        </w:rPr>
      </w:pPr>
      <w:r>
        <w:rPr>
          <w:rFonts w:ascii="Book Antiqua" w:hAnsi="Book Antiqua" w:cs="Times New Roman"/>
          <w:b/>
          <w:bCs/>
          <w:sz w:val="24"/>
          <w:szCs w:val="24"/>
        </w:rPr>
        <w:lastRenderedPageBreak/>
        <w:t xml:space="preserve">Table 4 Performance of </w:t>
      </w:r>
      <w:r>
        <w:rPr>
          <w:rFonts w:ascii="Book Antiqua" w:hAnsi="Book Antiqua" w:cs="Times New Roman"/>
          <w:b/>
          <w:bCs/>
          <w:kern w:val="0"/>
          <w:sz w:val="24"/>
          <w:szCs w:val="24"/>
        </w:rPr>
        <w:t>liver stiffness measurement</w:t>
      </w:r>
      <w:r>
        <w:rPr>
          <w:rFonts w:ascii="Book Antiqua" w:hAnsi="Book Antiqua" w:cs="Times New Roman"/>
          <w:b/>
          <w:bCs/>
          <w:sz w:val="24"/>
          <w:szCs w:val="24"/>
        </w:rPr>
        <w:t xml:space="preserve"> and serum markers of liver fibrosis in predicting high-risk varices in patients with alanine aminotransferase and total bilirubin &lt; 2 upper limit of normal</w:t>
      </w:r>
    </w:p>
    <w:tbl>
      <w:tblPr>
        <w:tblW w:w="10019" w:type="dxa"/>
        <w:jc w:val="center"/>
        <w:tblBorders>
          <w:bottom w:val="single" w:sz="4" w:space="0" w:color="auto"/>
        </w:tblBorders>
        <w:tblLayout w:type="fixed"/>
        <w:tblLook w:val="04A0" w:firstRow="1" w:lastRow="0" w:firstColumn="1" w:lastColumn="0" w:noHBand="0" w:noVBand="1"/>
      </w:tblPr>
      <w:tblGrid>
        <w:gridCol w:w="141"/>
        <w:gridCol w:w="1138"/>
        <w:gridCol w:w="2344"/>
        <w:gridCol w:w="913"/>
        <w:gridCol w:w="993"/>
        <w:gridCol w:w="708"/>
        <w:gridCol w:w="709"/>
        <w:gridCol w:w="709"/>
        <w:gridCol w:w="663"/>
        <w:gridCol w:w="1701"/>
      </w:tblGrid>
      <w:tr w:rsidR="00AB3D4E">
        <w:trPr>
          <w:trHeight w:val="638"/>
          <w:jc w:val="center"/>
        </w:trPr>
        <w:tc>
          <w:tcPr>
            <w:tcW w:w="1279" w:type="dxa"/>
            <w:gridSpan w:val="2"/>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Variable</w:t>
            </w:r>
          </w:p>
        </w:tc>
        <w:tc>
          <w:tcPr>
            <w:tcW w:w="2344"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AUROC (95%CI)</w:t>
            </w:r>
          </w:p>
        </w:tc>
        <w:tc>
          <w:tcPr>
            <w:tcW w:w="913"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 xml:space="preserve">P </w:t>
            </w:r>
            <w:r>
              <w:rPr>
                <w:rFonts w:ascii="Book Antiqua" w:hAnsi="Book Antiqua" w:cs="Times New Roman"/>
                <w:b/>
                <w:iCs/>
                <w:sz w:val="24"/>
                <w:szCs w:val="24"/>
              </w:rPr>
              <w:t>value</w:t>
            </w:r>
          </w:p>
        </w:tc>
        <w:tc>
          <w:tcPr>
            <w:tcW w:w="993"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Cutoff</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value</w:t>
            </w:r>
          </w:p>
        </w:tc>
        <w:tc>
          <w:tcPr>
            <w:tcW w:w="708"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Se</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proofErr w:type="spellStart"/>
            <w:r>
              <w:rPr>
                <w:rFonts w:ascii="Book Antiqua" w:hAnsi="Book Antiqua" w:cs="Times New Roman"/>
                <w:b/>
                <w:sz w:val="24"/>
                <w:szCs w:val="24"/>
              </w:rPr>
              <w:t>Sp</w:t>
            </w:r>
            <w:proofErr w:type="spellEnd"/>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PPV</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663"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PLR</w:t>
            </w:r>
          </w:p>
        </w:tc>
        <w:tc>
          <w:tcPr>
            <w:tcW w:w="1701"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Spared gastroscopies</w:t>
            </w:r>
          </w:p>
          <w:p w:rsidR="00AB3D4E" w:rsidRDefault="008F642A">
            <w:pPr>
              <w:spacing w:line="360" w:lineRule="auto"/>
              <w:rPr>
                <w:rFonts w:ascii="Book Antiqua" w:hAnsi="Book Antiqua" w:cs="Times New Roman"/>
                <w:b/>
                <w:sz w:val="24"/>
                <w:szCs w:val="24"/>
              </w:rPr>
            </w:pPr>
            <w:r>
              <w:rPr>
                <w:rFonts w:ascii="Book Antiqua" w:hAnsi="Book Antiqua" w:cs="Times New Roman"/>
                <w:b/>
                <w:i/>
                <w:sz w:val="24"/>
                <w:szCs w:val="24"/>
              </w:rPr>
              <w:t>n</w:t>
            </w:r>
            <w:r>
              <w:rPr>
                <w:rFonts w:ascii="Book Antiqua" w:hAnsi="Book Antiqua" w:cs="Times New Roman"/>
                <w:b/>
                <w:sz w:val="24"/>
                <w:szCs w:val="24"/>
              </w:rPr>
              <w:t xml:space="preserve"> = 41 (%)</w:t>
            </w:r>
          </w:p>
        </w:tc>
      </w:tr>
      <w:tr w:rsidR="00AB3D4E">
        <w:trPr>
          <w:gridBefore w:val="1"/>
          <w:wBefore w:w="141" w:type="dxa"/>
          <w:trHeight w:val="452"/>
          <w:jc w:val="center"/>
        </w:trPr>
        <w:tc>
          <w:tcPr>
            <w:tcW w:w="113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w:t>
            </w:r>
          </w:p>
        </w:tc>
        <w:tc>
          <w:tcPr>
            <w:tcW w:w="2344"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0.821 (0.670-0.923)</w:t>
            </w:r>
          </w:p>
        </w:tc>
        <w:tc>
          <w:tcPr>
            <w:tcW w:w="913"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&lt;0.0001</w:t>
            </w:r>
          </w:p>
        </w:tc>
        <w:tc>
          <w:tcPr>
            <w:tcW w:w="993"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20.60</w:t>
            </w:r>
          </w:p>
        </w:tc>
        <w:tc>
          <w:tcPr>
            <w:tcW w:w="70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709"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66.7</w:t>
            </w:r>
          </w:p>
        </w:tc>
        <w:tc>
          <w:tcPr>
            <w:tcW w:w="709"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60.9</w:t>
            </w:r>
          </w:p>
        </w:tc>
        <w:tc>
          <w:tcPr>
            <w:tcW w:w="663"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3.00</w:t>
            </w:r>
          </w:p>
        </w:tc>
        <w:tc>
          <w:tcPr>
            <w:tcW w:w="1701"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16/41 (39.0)</w:t>
            </w:r>
          </w:p>
        </w:tc>
      </w:tr>
      <w:tr w:rsidR="00AB3D4E">
        <w:trPr>
          <w:gridBefore w:val="1"/>
          <w:wBefore w:w="141" w:type="dxa"/>
          <w:trHeight w:val="452"/>
          <w:jc w:val="center"/>
        </w:trPr>
        <w:tc>
          <w:tcPr>
            <w:tcW w:w="113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w:t>
            </w:r>
          </w:p>
        </w:tc>
        <w:tc>
          <w:tcPr>
            <w:tcW w:w="234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0.628 (0.464-0.774)</w:t>
            </w:r>
          </w:p>
        </w:tc>
        <w:tc>
          <w:tcPr>
            <w:tcW w:w="91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0.1928</w:t>
            </w:r>
          </w:p>
        </w:tc>
        <w:tc>
          <w:tcPr>
            <w:tcW w:w="99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gridBefore w:val="1"/>
          <w:wBefore w:w="141" w:type="dxa"/>
          <w:trHeight w:val="452"/>
          <w:jc w:val="center"/>
        </w:trPr>
        <w:tc>
          <w:tcPr>
            <w:tcW w:w="1138" w:type="dxa"/>
            <w:tcBorders>
              <w:top w:val="nil"/>
              <w:left w:val="nil"/>
              <w:bottom w:val="nil"/>
              <w:right w:val="nil"/>
            </w:tcBorders>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w:t>
            </w:r>
          </w:p>
        </w:tc>
        <w:tc>
          <w:tcPr>
            <w:tcW w:w="234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0.638 (0.473-0.782)</w:t>
            </w:r>
          </w:p>
        </w:tc>
        <w:tc>
          <w:tcPr>
            <w:tcW w:w="91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0.1407</w:t>
            </w:r>
          </w:p>
        </w:tc>
        <w:tc>
          <w:tcPr>
            <w:tcW w:w="99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gridBefore w:val="1"/>
          <w:wBefore w:w="141" w:type="dxa"/>
          <w:trHeight w:val="452"/>
          <w:jc w:val="center"/>
        </w:trPr>
        <w:tc>
          <w:tcPr>
            <w:tcW w:w="113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MELD</w:t>
            </w:r>
          </w:p>
        </w:tc>
        <w:tc>
          <w:tcPr>
            <w:tcW w:w="234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0.644 (0.479-0.787)</w:t>
            </w:r>
          </w:p>
        </w:tc>
        <w:tc>
          <w:tcPr>
            <w:tcW w:w="91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0.1449</w:t>
            </w:r>
          </w:p>
        </w:tc>
        <w:tc>
          <w:tcPr>
            <w:tcW w:w="99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gridBefore w:val="1"/>
          <w:wBefore w:w="141" w:type="dxa"/>
          <w:trHeight w:val="452"/>
          <w:jc w:val="center"/>
        </w:trPr>
        <w:tc>
          <w:tcPr>
            <w:tcW w:w="113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APRI</w:t>
            </w:r>
          </w:p>
        </w:tc>
        <w:tc>
          <w:tcPr>
            <w:tcW w:w="234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0.569 (0.405- 0.722)</w:t>
            </w:r>
          </w:p>
        </w:tc>
        <w:tc>
          <w:tcPr>
            <w:tcW w:w="913"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0.4667</w:t>
            </w:r>
          </w:p>
        </w:tc>
        <w:tc>
          <w:tcPr>
            <w:tcW w:w="99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gridBefore w:val="1"/>
          <w:wBefore w:w="141" w:type="dxa"/>
          <w:trHeight w:val="452"/>
          <w:jc w:val="center"/>
        </w:trPr>
        <w:tc>
          <w:tcPr>
            <w:tcW w:w="1138"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FIB-4</w:t>
            </w:r>
          </w:p>
        </w:tc>
        <w:tc>
          <w:tcPr>
            <w:tcW w:w="2344"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0.608 (0.444-0.757)</w:t>
            </w:r>
          </w:p>
        </w:tc>
        <w:tc>
          <w:tcPr>
            <w:tcW w:w="913"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0.2474</w:t>
            </w:r>
          </w:p>
        </w:tc>
        <w:tc>
          <w:tcPr>
            <w:tcW w:w="993"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8"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663"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r>
    </w:tbl>
    <w:p w:rsidR="00AB3D4E" w:rsidRDefault="008F642A">
      <w:pPr>
        <w:spacing w:line="360" w:lineRule="auto"/>
        <w:rPr>
          <w:rFonts w:ascii="Book Antiqua" w:hAnsi="Book Antiqua" w:cs="Times New Roman"/>
          <w:kern w:val="0"/>
          <w:sz w:val="24"/>
          <w:szCs w:val="24"/>
        </w:rPr>
      </w:pPr>
      <w:r>
        <w:rPr>
          <w:rFonts w:ascii="Book Antiqua" w:hAnsi="Book Antiqua" w:cs="Times New Roman"/>
          <w:sz w:val="24"/>
          <w:szCs w:val="24"/>
        </w:rPr>
        <w:t>APRI: Aspartate aminotransferase-to-platelet ratio index; AUROC: Area under the receiver operating characteristic curve;</w:t>
      </w:r>
      <w:r>
        <w:rPr>
          <w:rFonts w:ascii="Book Antiqua" w:hAnsi="Book Antiqua" w:cs="Times New Roman"/>
          <w:position w:val="-2"/>
          <w:sz w:val="24"/>
          <w:szCs w:val="24"/>
        </w:rPr>
        <w:t xml:space="preserve"> </w:t>
      </w:r>
      <w:r>
        <w:rPr>
          <w:rFonts w:ascii="Book Antiqua" w:hAnsi="Book Antiqua" w:cs="Times New Roman"/>
          <w:sz w:val="24"/>
          <w:szCs w:val="24"/>
        </w:rPr>
        <w:t>CI: Confidence interval; MELD: Model for End-Stage Liver Disease</w:t>
      </w:r>
      <w:r>
        <w:rPr>
          <w:rFonts w:ascii="Book Antiqua" w:hAnsi="Book Antiqua" w:cs="Times New Roman"/>
          <w:kern w:val="0"/>
          <w:sz w:val="24"/>
          <w:szCs w:val="24"/>
        </w:rPr>
        <w:t xml:space="preserve">; </w:t>
      </w:r>
      <w:r>
        <w:rPr>
          <w:rFonts w:ascii="Book Antiqua" w:hAnsi="Book Antiqua" w:cs="Times New Roman"/>
          <w:sz w:val="24"/>
          <w:szCs w:val="24"/>
        </w:rPr>
        <w:t xml:space="preserve">PLT: Platelet; PLR: Positive likelihood ratio; PPV: Positive predictive value; Se: Sensitivity; </w:t>
      </w:r>
      <w:proofErr w:type="spellStart"/>
      <w:r>
        <w:rPr>
          <w:rFonts w:ascii="Book Antiqua" w:hAnsi="Book Antiqua" w:cs="Times New Roman"/>
          <w:sz w:val="24"/>
          <w:szCs w:val="24"/>
        </w:rPr>
        <w:t>Sp</w:t>
      </w:r>
      <w:proofErr w:type="spellEnd"/>
      <w:r>
        <w:rPr>
          <w:rFonts w:ascii="Book Antiqua" w:hAnsi="Book Antiqua" w:cs="Times New Roman"/>
          <w:sz w:val="24"/>
          <w:szCs w:val="24"/>
        </w:rPr>
        <w:t xml:space="preserve">: Specificity. </w:t>
      </w:r>
      <w:r>
        <w:rPr>
          <w:rFonts w:ascii="Book Antiqua" w:hAnsi="Book Antiqua" w:cs="Times New Roman"/>
          <w:i/>
          <w:iCs/>
          <w:kern w:val="0"/>
          <w:sz w:val="24"/>
          <w:szCs w:val="24"/>
        </w:rPr>
        <w:t xml:space="preserve">P </w:t>
      </w:r>
      <w:r>
        <w:rPr>
          <w:rFonts w:ascii="Book Antiqua" w:hAnsi="Book Antiqua" w:cs="Times New Roman"/>
          <w:kern w:val="0"/>
          <w:sz w:val="24"/>
          <w:szCs w:val="24"/>
        </w:rPr>
        <w:t>&lt; 0.05 was statistically significant.</w:t>
      </w:r>
    </w:p>
    <w:p w:rsidR="00AB3D4E" w:rsidRDefault="00AB3D4E">
      <w:pPr>
        <w:widowControl/>
        <w:spacing w:line="360" w:lineRule="auto"/>
        <w:rPr>
          <w:rFonts w:ascii="Book Antiqua" w:hAnsi="Book Antiqua" w:cs="Times New Roman"/>
          <w:sz w:val="24"/>
          <w:szCs w:val="24"/>
        </w:rPr>
      </w:pPr>
    </w:p>
    <w:p w:rsidR="00AB3D4E" w:rsidRDefault="00AB3D4E">
      <w:pPr>
        <w:widowControl/>
        <w:autoSpaceDE/>
        <w:autoSpaceDN/>
        <w:adjustRightInd/>
        <w:spacing w:line="360" w:lineRule="auto"/>
        <w:rPr>
          <w:rFonts w:ascii="Book Antiqua" w:hAnsi="Book Antiqua" w:cs="Times New Roman"/>
          <w:kern w:val="0"/>
          <w:sz w:val="24"/>
          <w:szCs w:val="24"/>
        </w:rPr>
      </w:pP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br w:type="page"/>
      </w:r>
    </w:p>
    <w:p w:rsidR="00AB3D4E" w:rsidRDefault="008F642A">
      <w:pPr>
        <w:widowControl/>
        <w:autoSpaceDE/>
        <w:autoSpaceDN/>
        <w:adjustRightInd/>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5 Performance of </w:t>
      </w:r>
      <w:r>
        <w:rPr>
          <w:rFonts w:ascii="Book Antiqua" w:hAnsi="Book Antiqua" w:cs="Times New Roman"/>
          <w:b/>
          <w:kern w:val="0"/>
          <w:sz w:val="24"/>
          <w:szCs w:val="24"/>
        </w:rPr>
        <w:t>liver stiffness measurement</w:t>
      </w:r>
      <w:r>
        <w:rPr>
          <w:rFonts w:ascii="Book Antiqua" w:hAnsi="Book Antiqua" w:cs="Times New Roman"/>
          <w:b/>
          <w:sz w:val="24"/>
          <w:szCs w:val="24"/>
        </w:rPr>
        <w:t xml:space="preserve"> </w:t>
      </w:r>
      <w:r>
        <w:rPr>
          <w:rFonts w:ascii="Book Antiqua" w:hAnsi="Book Antiqua" w:cs="Times New Roman"/>
          <w:b/>
          <w:bCs/>
          <w:sz w:val="24"/>
          <w:szCs w:val="24"/>
        </w:rPr>
        <w:t xml:space="preserve">and </w:t>
      </w:r>
      <w:r>
        <w:rPr>
          <w:rFonts w:ascii="Book Antiqua" w:hAnsi="Book Antiqua" w:cs="Times New Roman"/>
          <w:b/>
          <w:sz w:val="24"/>
          <w:szCs w:val="24"/>
        </w:rPr>
        <w:t>serum markers of liver fibrosis</w:t>
      </w:r>
      <w:r>
        <w:rPr>
          <w:rFonts w:ascii="Book Antiqua" w:hAnsi="Book Antiqua" w:cs="Times New Roman"/>
          <w:b/>
          <w:bCs/>
          <w:sz w:val="24"/>
          <w:szCs w:val="24"/>
        </w:rPr>
        <w:t xml:space="preserve"> in </w:t>
      </w:r>
      <w:r>
        <w:rPr>
          <w:rFonts w:ascii="Book Antiqua" w:hAnsi="Book Antiqua" w:cs="Times New Roman"/>
          <w:b/>
          <w:sz w:val="24"/>
          <w:szCs w:val="24"/>
        </w:rPr>
        <w:t>predicting high-risk varices</w:t>
      </w:r>
      <w:r>
        <w:rPr>
          <w:rFonts w:ascii="Book Antiqua" w:hAnsi="Book Antiqua" w:cs="Times New Roman"/>
          <w:b/>
          <w:bCs/>
          <w:sz w:val="24"/>
          <w:szCs w:val="24"/>
        </w:rPr>
        <w:t xml:space="preserve"> in patients with </w:t>
      </w:r>
      <w:r>
        <w:rPr>
          <w:rFonts w:ascii="Book Antiqua" w:hAnsi="Book Antiqua" w:cs="Times New Roman"/>
          <w:b/>
          <w:sz w:val="24"/>
          <w:szCs w:val="24"/>
        </w:rPr>
        <w:t>alanine aminotransferase</w:t>
      </w:r>
      <w:r>
        <w:rPr>
          <w:rFonts w:ascii="Book Antiqua" w:hAnsi="Book Antiqua" w:cs="Times New Roman"/>
          <w:b/>
          <w:bCs/>
          <w:sz w:val="24"/>
          <w:szCs w:val="24"/>
        </w:rPr>
        <w:t xml:space="preserve"> or </w:t>
      </w:r>
      <w:r>
        <w:rPr>
          <w:rFonts w:ascii="Book Antiqua" w:hAnsi="Book Antiqua" w:cs="Times New Roman"/>
          <w:b/>
          <w:sz w:val="24"/>
          <w:szCs w:val="24"/>
        </w:rPr>
        <w:t>total bilirubin</w:t>
      </w:r>
      <w:r>
        <w:rPr>
          <w:rFonts w:ascii="Book Antiqua" w:hAnsi="Book Antiqua" w:cs="Times New Roman"/>
          <w:b/>
          <w:bCs/>
          <w:sz w:val="24"/>
          <w:szCs w:val="24"/>
        </w:rPr>
        <w:t xml:space="preserve"> ≥ 2</w:t>
      </w:r>
      <w:r>
        <w:rPr>
          <w:rFonts w:ascii="Book Antiqua" w:hAnsi="Book Antiqua" w:cs="Times New Roman"/>
          <w:b/>
          <w:sz w:val="24"/>
          <w:szCs w:val="24"/>
        </w:rPr>
        <w:t xml:space="preserve"> upper limit of normal</w:t>
      </w:r>
    </w:p>
    <w:tbl>
      <w:tblPr>
        <w:tblW w:w="10491" w:type="dxa"/>
        <w:tblInd w:w="-885" w:type="dxa"/>
        <w:tblBorders>
          <w:bottom w:val="single" w:sz="4" w:space="0" w:color="auto"/>
        </w:tblBorders>
        <w:tblLayout w:type="fixed"/>
        <w:tblLook w:val="04A0" w:firstRow="1" w:lastRow="0" w:firstColumn="1" w:lastColumn="0" w:noHBand="0" w:noVBand="1"/>
      </w:tblPr>
      <w:tblGrid>
        <w:gridCol w:w="1419"/>
        <w:gridCol w:w="2268"/>
        <w:gridCol w:w="1134"/>
        <w:gridCol w:w="992"/>
        <w:gridCol w:w="709"/>
        <w:gridCol w:w="850"/>
        <w:gridCol w:w="709"/>
        <w:gridCol w:w="709"/>
        <w:gridCol w:w="1701"/>
      </w:tblGrid>
      <w:tr w:rsidR="00AB3D4E">
        <w:trPr>
          <w:trHeight w:val="661"/>
        </w:trPr>
        <w:tc>
          <w:tcPr>
            <w:tcW w:w="141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Variable</w:t>
            </w:r>
          </w:p>
        </w:tc>
        <w:tc>
          <w:tcPr>
            <w:tcW w:w="2268"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AUROC (95%CI)</w:t>
            </w:r>
          </w:p>
        </w:tc>
        <w:tc>
          <w:tcPr>
            <w:tcW w:w="1134"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i/>
                <w:sz w:val="24"/>
                <w:szCs w:val="24"/>
              </w:rPr>
            </w:pPr>
            <w:r>
              <w:rPr>
                <w:rFonts w:ascii="Book Antiqua" w:hAnsi="Book Antiqua" w:cs="Times New Roman"/>
                <w:b/>
                <w:i/>
                <w:sz w:val="24"/>
                <w:szCs w:val="24"/>
              </w:rPr>
              <w:t>P-</w:t>
            </w:r>
            <w:r>
              <w:rPr>
                <w:rFonts w:ascii="Book Antiqua" w:hAnsi="Book Antiqua" w:cs="Times New Roman"/>
                <w:b/>
                <w:iCs/>
                <w:sz w:val="24"/>
                <w:szCs w:val="24"/>
              </w:rPr>
              <w:t>value</w:t>
            </w:r>
          </w:p>
        </w:tc>
        <w:tc>
          <w:tcPr>
            <w:tcW w:w="992"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Cutoff</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value</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Se</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850"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proofErr w:type="spellStart"/>
            <w:r>
              <w:rPr>
                <w:rFonts w:ascii="Book Antiqua" w:hAnsi="Book Antiqua" w:cs="Times New Roman"/>
                <w:b/>
                <w:sz w:val="24"/>
                <w:szCs w:val="24"/>
              </w:rPr>
              <w:t>Sp</w:t>
            </w:r>
            <w:proofErr w:type="spellEnd"/>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PPV</w:t>
            </w:r>
          </w:p>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w:t>
            </w:r>
          </w:p>
        </w:tc>
        <w:tc>
          <w:tcPr>
            <w:tcW w:w="709"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PLR</w:t>
            </w:r>
          </w:p>
        </w:tc>
        <w:tc>
          <w:tcPr>
            <w:tcW w:w="1701" w:type="dxa"/>
            <w:tcBorders>
              <w:top w:val="single" w:sz="12" w:space="0" w:color="auto"/>
              <w:left w:val="nil"/>
              <w:bottom w:val="single" w:sz="12" w:space="0" w:color="auto"/>
              <w:right w:val="nil"/>
            </w:tcBorders>
          </w:tcPr>
          <w:p w:rsidR="00AB3D4E" w:rsidRDefault="008F642A">
            <w:pPr>
              <w:spacing w:line="360" w:lineRule="auto"/>
              <w:rPr>
                <w:rFonts w:ascii="Book Antiqua" w:hAnsi="Book Antiqua" w:cs="Times New Roman"/>
                <w:b/>
                <w:sz w:val="24"/>
                <w:szCs w:val="24"/>
              </w:rPr>
            </w:pPr>
            <w:r>
              <w:rPr>
                <w:rFonts w:ascii="Book Antiqua" w:hAnsi="Book Antiqua" w:cs="Times New Roman"/>
                <w:b/>
                <w:sz w:val="24"/>
                <w:szCs w:val="24"/>
              </w:rPr>
              <w:t>Spared gastroscopies</w:t>
            </w:r>
          </w:p>
          <w:p w:rsidR="00AB3D4E" w:rsidRDefault="008F642A">
            <w:pPr>
              <w:spacing w:line="360" w:lineRule="auto"/>
              <w:rPr>
                <w:rFonts w:ascii="Book Antiqua" w:hAnsi="Book Antiqua" w:cs="Times New Roman"/>
                <w:b/>
                <w:sz w:val="24"/>
                <w:szCs w:val="24"/>
              </w:rPr>
            </w:pPr>
            <w:r>
              <w:rPr>
                <w:rFonts w:ascii="Book Antiqua" w:hAnsi="Book Antiqua" w:cs="Times New Roman"/>
                <w:b/>
                <w:i/>
                <w:sz w:val="24"/>
                <w:szCs w:val="24"/>
              </w:rPr>
              <w:t>n</w:t>
            </w:r>
            <w:r>
              <w:rPr>
                <w:rFonts w:ascii="Book Antiqua" w:hAnsi="Book Antiqua" w:cs="Times New Roman"/>
                <w:b/>
                <w:sz w:val="24"/>
                <w:szCs w:val="24"/>
              </w:rPr>
              <w:t xml:space="preserve"> = 91 (%)</w:t>
            </w:r>
          </w:p>
        </w:tc>
      </w:tr>
      <w:tr w:rsidR="00AB3D4E">
        <w:trPr>
          <w:trHeight w:val="467"/>
        </w:trPr>
        <w:tc>
          <w:tcPr>
            <w:tcW w:w="1419"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LSM</w:t>
            </w:r>
          </w:p>
        </w:tc>
        <w:tc>
          <w:tcPr>
            <w:tcW w:w="2268"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0.672 (0.565-0.766)</w:t>
            </w:r>
          </w:p>
        </w:tc>
        <w:tc>
          <w:tcPr>
            <w:tcW w:w="1134" w:type="dxa"/>
            <w:tcBorders>
              <w:top w:val="single" w:sz="4" w:space="0" w:color="auto"/>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0.0508</w:t>
            </w:r>
          </w:p>
        </w:tc>
        <w:tc>
          <w:tcPr>
            <w:tcW w:w="992"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single" w:sz="4" w:space="0" w:color="auto"/>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67"/>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PLT</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0.741 (0.639-0.827)</w:t>
            </w:r>
          </w:p>
        </w:tc>
        <w:tc>
          <w:tcPr>
            <w:tcW w:w="113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&lt;0.0001</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51.28</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25.5</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2.05</w:t>
            </w:r>
          </w:p>
        </w:tc>
        <w:tc>
          <w:tcPr>
            <w:tcW w:w="170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40/91 (43.9)</w:t>
            </w:r>
          </w:p>
        </w:tc>
      </w:tr>
      <w:tr w:rsidR="00AB3D4E">
        <w:trPr>
          <w:trHeight w:val="467"/>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proofErr w:type="spellStart"/>
            <w:r>
              <w:rPr>
                <w:rFonts w:ascii="Book Antiqua" w:hAnsi="Book Antiqua" w:cs="Times New Roman"/>
                <w:sz w:val="24"/>
                <w:szCs w:val="24"/>
              </w:rPr>
              <w:t>Lok</w:t>
            </w:r>
            <w:proofErr w:type="spellEnd"/>
            <w:r>
              <w:rPr>
                <w:rFonts w:ascii="Book Antiqua" w:hAnsi="Book Antiqua" w:cs="Times New Roman"/>
                <w:sz w:val="24"/>
                <w:szCs w:val="24"/>
              </w:rPr>
              <w:t xml:space="preserve"> index</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0.814 (0.718-0.888)</w:t>
            </w:r>
          </w:p>
        </w:tc>
        <w:tc>
          <w:tcPr>
            <w:tcW w:w="113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&lt;0.0001</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0.5596</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47.44</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24.1</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1.90</w:t>
            </w:r>
          </w:p>
        </w:tc>
        <w:tc>
          <w:tcPr>
            <w:tcW w:w="170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36/91 (39.6)</w:t>
            </w:r>
          </w:p>
        </w:tc>
      </w:tr>
      <w:tr w:rsidR="00AB3D4E">
        <w:trPr>
          <w:trHeight w:val="467"/>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MELD</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0.735 (0.632-0.822)</w:t>
            </w:r>
          </w:p>
        </w:tc>
        <w:tc>
          <w:tcPr>
            <w:tcW w:w="113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0.0003</w:t>
            </w:r>
          </w:p>
        </w:tc>
        <w:tc>
          <w:tcPr>
            <w:tcW w:w="992"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7.0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100</w:t>
            </w:r>
          </w:p>
        </w:tc>
        <w:tc>
          <w:tcPr>
            <w:tcW w:w="850"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12.82</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16.0</w:t>
            </w:r>
          </w:p>
        </w:tc>
        <w:tc>
          <w:tcPr>
            <w:tcW w:w="70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1.15</w:t>
            </w:r>
          </w:p>
        </w:tc>
        <w:tc>
          <w:tcPr>
            <w:tcW w:w="1701"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10/91 (11.0)</w:t>
            </w:r>
          </w:p>
        </w:tc>
      </w:tr>
      <w:tr w:rsidR="00AB3D4E">
        <w:trPr>
          <w:trHeight w:val="467"/>
        </w:trPr>
        <w:tc>
          <w:tcPr>
            <w:tcW w:w="1419"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APRI</w:t>
            </w:r>
          </w:p>
        </w:tc>
        <w:tc>
          <w:tcPr>
            <w:tcW w:w="2268"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0.532 (0.424-0.637)</w:t>
            </w:r>
          </w:p>
        </w:tc>
        <w:tc>
          <w:tcPr>
            <w:tcW w:w="1134" w:type="dxa"/>
            <w:tcBorders>
              <w:top w:val="nil"/>
              <w:left w:val="nil"/>
              <w:bottom w:val="nil"/>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0.7256</w:t>
            </w:r>
          </w:p>
        </w:tc>
        <w:tc>
          <w:tcPr>
            <w:tcW w:w="992"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nil"/>
              <w:right w:val="nil"/>
            </w:tcBorders>
          </w:tcPr>
          <w:p w:rsidR="00AB3D4E" w:rsidRDefault="00AB3D4E">
            <w:pPr>
              <w:spacing w:line="360" w:lineRule="auto"/>
              <w:rPr>
                <w:rFonts w:ascii="Book Antiqua" w:hAnsi="Book Antiqua" w:cs="Times New Roman"/>
                <w:sz w:val="24"/>
                <w:szCs w:val="24"/>
              </w:rPr>
            </w:pPr>
          </w:p>
        </w:tc>
      </w:tr>
      <w:tr w:rsidR="00AB3D4E">
        <w:trPr>
          <w:trHeight w:val="467"/>
        </w:trPr>
        <w:tc>
          <w:tcPr>
            <w:tcW w:w="1419"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FIB-4</w:t>
            </w:r>
          </w:p>
        </w:tc>
        <w:tc>
          <w:tcPr>
            <w:tcW w:w="2268"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0.576 (0.468-0.679)</w:t>
            </w:r>
          </w:p>
        </w:tc>
        <w:tc>
          <w:tcPr>
            <w:tcW w:w="1134" w:type="dxa"/>
            <w:tcBorders>
              <w:top w:val="nil"/>
              <w:left w:val="nil"/>
              <w:bottom w:val="single" w:sz="12" w:space="0" w:color="auto"/>
              <w:right w:val="nil"/>
            </w:tcBorders>
          </w:tcPr>
          <w:p w:rsidR="00AB3D4E" w:rsidRDefault="008F642A">
            <w:pPr>
              <w:spacing w:line="360" w:lineRule="auto"/>
              <w:rPr>
                <w:rFonts w:ascii="Book Antiqua" w:hAnsi="Book Antiqua" w:cs="Times New Roman"/>
                <w:sz w:val="24"/>
                <w:szCs w:val="24"/>
              </w:rPr>
            </w:pPr>
            <w:r>
              <w:rPr>
                <w:rFonts w:ascii="Book Antiqua" w:hAnsi="Book Antiqua" w:cs="Times New Roman"/>
                <w:sz w:val="24"/>
                <w:szCs w:val="24"/>
              </w:rPr>
              <w:t>0.3329</w:t>
            </w:r>
          </w:p>
        </w:tc>
        <w:tc>
          <w:tcPr>
            <w:tcW w:w="992"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850"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709"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c>
          <w:tcPr>
            <w:tcW w:w="1701" w:type="dxa"/>
            <w:tcBorders>
              <w:top w:val="nil"/>
              <w:left w:val="nil"/>
              <w:bottom w:val="single" w:sz="12" w:space="0" w:color="auto"/>
              <w:right w:val="nil"/>
            </w:tcBorders>
          </w:tcPr>
          <w:p w:rsidR="00AB3D4E" w:rsidRDefault="00AB3D4E">
            <w:pPr>
              <w:spacing w:line="360" w:lineRule="auto"/>
              <w:rPr>
                <w:rFonts w:ascii="Book Antiqua" w:hAnsi="Book Antiqua" w:cs="Times New Roman"/>
                <w:sz w:val="24"/>
                <w:szCs w:val="24"/>
              </w:rPr>
            </w:pPr>
          </w:p>
        </w:tc>
      </w:tr>
    </w:tbl>
    <w:p w:rsidR="00AB3D4E" w:rsidRDefault="008F642A">
      <w:pPr>
        <w:spacing w:line="360" w:lineRule="auto"/>
        <w:rPr>
          <w:rFonts w:ascii="Book Antiqua" w:hAnsi="Book Antiqua" w:cs="Times New Roman"/>
          <w:kern w:val="0"/>
          <w:sz w:val="24"/>
          <w:szCs w:val="24"/>
        </w:rPr>
      </w:pPr>
      <w:r>
        <w:rPr>
          <w:rFonts w:ascii="Book Antiqua" w:hAnsi="Book Antiqua" w:cs="Times New Roman"/>
          <w:sz w:val="24"/>
          <w:szCs w:val="24"/>
        </w:rPr>
        <w:t>APRI: Aspartate aminotransferase-to-platelet ratio index; AUROC: Area under the receiver operating characteristic curve;</w:t>
      </w:r>
      <w:r>
        <w:rPr>
          <w:rFonts w:ascii="Book Antiqua" w:hAnsi="Book Antiqua" w:cs="Times New Roman"/>
          <w:position w:val="-2"/>
          <w:sz w:val="24"/>
          <w:szCs w:val="24"/>
        </w:rPr>
        <w:t xml:space="preserve"> </w:t>
      </w:r>
      <w:r>
        <w:rPr>
          <w:rFonts w:ascii="Book Antiqua" w:hAnsi="Book Antiqua" w:cs="Times New Roman"/>
          <w:sz w:val="24"/>
          <w:szCs w:val="24"/>
        </w:rPr>
        <w:t>CI: Confidence interval; MELD: Model for End-Stage Liver Disease</w:t>
      </w:r>
      <w:r>
        <w:rPr>
          <w:rFonts w:ascii="Book Antiqua" w:hAnsi="Book Antiqua" w:cs="Times New Roman"/>
          <w:kern w:val="0"/>
          <w:sz w:val="24"/>
          <w:szCs w:val="24"/>
        </w:rPr>
        <w:t xml:space="preserve">; </w:t>
      </w:r>
      <w:r>
        <w:rPr>
          <w:rFonts w:ascii="Book Antiqua" w:hAnsi="Book Antiqua" w:cs="Times New Roman"/>
          <w:sz w:val="24"/>
          <w:szCs w:val="24"/>
        </w:rPr>
        <w:t xml:space="preserve">PLT: Platelet; PLR: Positive likelihood ratio; PPV: Positive predictive value; Se: Sensitivity; </w:t>
      </w:r>
      <w:proofErr w:type="spellStart"/>
      <w:r>
        <w:rPr>
          <w:rFonts w:ascii="Book Antiqua" w:hAnsi="Book Antiqua" w:cs="Times New Roman"/>
          <w:sz w:val="24"/>
          <w:szCs w:val="24"/>
        </w:rPr>
        <w:t>Sp</w:t>
      </w:r>
      <w:proofErr w:type="spellEnd"/>
      <w:r>
        <w:rPr>
          <w:rFonts w:ascii="Book Antiqua" w:hAnsi="Book Antiqua" w:cs="Times New Roman"/>
          <w:sz w:val="24"/>
          <w:szCs w:val="24"/>
        </w:rPr>
        <w:t xml:space="preserve">: Specificity. </w:t>
      </w:r>
      <w:r>
        <w:rPr>
          <w:rFonts w:ascii="Book Antiqua" w:hAnsi="Book Antiqua" w:cs="Times New Roman"/>
          <w:i/>
          <w:iCs/>
          <w:kern w:val="0"/>
          <w:sz w:val="24"/>
          <w:szCs w:val="24"/>
        </w:rPr>
        <w:t xml:space="preserve">P </w:t>
      </w:r>
      <w:r>
        <w:rPr>
          <w:rFonts w:ascii="Book Antiqua" w:hAnsi="Book Antiqua" w:cs="Times New Roman"/>
          <w:kern w:val="0"/>
          <w:sz w:val="24"/>
          <w:szCs w:val="24"/>
        </w:rPr>
        <w:t>&lt; 0.05 was statistically significant.</w:t>
      </w:r>
    </w:p>
    <w:p w:rsidR="00AB3D4E" w:rsidRDefault="008F642A">
      <w:pPr>
        <w:widowControl/>
        <w:autoSpaceDE/>
        <w:autoSpaceDN/>
        <w:adjustRightInd/>
        <w:spacing w:line="360" w:lineRule="auto"/>
        <w:rPr>
          <w:rFonts w:ascii="Book Antiqua" w:hAnsi="Book Antiqua" w:cs="Times New Roman"/>
          <w:sz w:val="24"/>
          <w:szCs w:val="24"/>
        </w:rPr>
      </w:pPr>
      <w:r>
        <w:rPr>
          <w:rFonts w:ascii="Book Antiqua" w:hAnsi="Book Antiqua" w:cs="Times New Roman"/>
          <w:sz w:val="24"/>
          <w:szCs w:val="24"/>
        </w:rPr>
        <w:fldChar w:fldCharType="begin"/>
      </w:r>
      <w:r>
        <w:rPr>
          <w:rFonts w:ascii="Book Antiqua" w:hAnsi="Book Antiqua" w:cs="Times New Roman"/>
          <w:sz w:val="24"/>
          <w:szCs w:val="24"/>
        </w:rPr>
        <w:instrText xml:space="preserve"> ADDIN  EN.REFLIST </w:instrText>
      </w:r>
      <w:r>
        <w:rPr>
          <w:rFonts w:ascii="Book Antiqua" w:hAnsi="Book Antiqua" w:cs="Times New Roman"/>
          <w:sz w:val="24"/>
          <w:szCs w:val="24"/>
        </w:rPr>
        <w:fldChar w:fldCharType="end"/>
      </w:r>
      <w:bookmarkEnd w:id="1"/>
    </w:p>
    <w:sectPr w:rsidR="00AB3D4E">
      <w:headerReference w:type="default" r:id="rId2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6F" w:rsidRDefault="0020116F">
      <w:pPr>
        <w:spacing w:line="240" w:lineRule="auto"/>
      </w:pPr>
      <w:r>
        <w:separator/>
      </w:r>
    </w:p>
  </w:endnote>
  <w:endnote w:type="continuationSeparator" w:id="0">
    <w:p w:rsidR="0020116F" w:rsidRDefault="00201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dvP846D">
    <w:altName w:val="微软雅黑"/>
    <w:panose1 w:val="00000000000000000000"/>
    <w:charset w:val="86"/>
    <w:family w:val="auto"/>
    <w:notTrueType/>
    <w:pitch w:val="default"/>
    <w:sig w:usb0="00000000" w:usb1="080E0000" w:usb2="00000010" w:usb3="00000000" w:csb0="00040000"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等线">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dvGulliv-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6F" w:rsidRDefault="0020116F">
      <w:pPr>
        <w:spacing w:line="240" w:lineRule="auto"/>
      </w:pPr>
      <w:r>
        <w:separator/>
      </w:r>
    </w:p>
  </w:footnote>
  <w:footnote w:type="continuationSeparator" w:id="0">
    <w:p w:rsidR="0020116F" w:rsidRDefault="002011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4E" w:rsidRDefault="00AB3D4E">
    <w:pPr>
      <w:pStyle w:val="a8"/>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movePersonalInformation/>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epatology Copy&lt;/Style&gt;&lt;LeftDelim&gt;{&lt;/LeftDelim&gt;&lt;RightDelim&gt;}&lt;/RightDelim&gt;&lt;FontName&g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vasw0zrpr2peeexa95w90ys5af0sad0wpv&quot;&gt;参考文献&lt;record-ids&gt;&lt;item&gt;2&lt;/item&gt;&lt;item&gt;12&lt;/item&gt;&lt;item&gt;13&lt;/item&gt;&lt;item&gt;15&lt;/item&gt;&lt;item&gt;25&lt;/item&gt;&lt;item&gt;44&lt;/item&gt;&lt;item&gt;45&lt;/item&gt;&lt;item&gt;46&lt;/item&gt;&lt;item&gt;51&lt;/item&gt;&lt;item&gt;53&lt;/item&gt;&lt;item&gt;56&lt;/item&gt;&lt;item&gt;82&lt;/item&gt;&lt;item&gt;90&lt;/item&gt;&lt;item&gt;96&lt;/item&gt;&lt;item&gt;111&lt;/item&gt;&lt;item&gt;124&lt;/item&gt;&lt;item&gt;125&lt;/item&gt;&lt;item&gt;127&lt;/item&gt;&lt;item&gt;141&lt;/item&gt;&lt;item&gt;145&lt;/item&gt;&lt;item&gt;191&lt;/item&gt;&lt;item&gt;193&lt;/item&gt;&lt;item&gt;199&lt;/item&gt;&lt;item&gt;205&lt;/item&gt;&lt;item&gt;207&lt;/item&gt;&lt;item&gt;208&lt;/item&gt;&lt;item&gt;211&lt;/item&gt;&lt;item&gt;212&lt;/item&gt;&lt;item&gt;217&lt;/item&gt;&lt;item&gt;221&lt;/item&gt;&lt;item&gt;225&lt;/item&gt;&lt;item&gt;226&lt;/item&gt;&lt;item&gt;233&lt;/item&gt;&lt;/record-ids&gt;&lt;/item&gt;&lt;/Libraries&gt;"/>
  </w:docVars>
  <w:rsids>
    <w:rsidRoot w:val="00172A27"/>
    <w:rsid w:val="000055A9"/>
    <w:rsid w:val="000061A9"/>
    <w:rsid w:val="00006C5D"/>
    <w:rsid w:val="00006F92"/>
    <w:rsid w:val="00010761"/>
    <w:rsid w:val="000107DF"/>
    <w:rsid w:val="00012194"/>
    <w:rsid w:val="000132CA"/>
    <w:rsid w:val="00013B78"/>
    <w:rsid w:val="00015E8A"/>
    <w:rsid w:val="0001655A"/>
    <w:rsid w:val="0002024E"/>
    <w:rsid w:val="000203EA"/>
    <w:rsid w:val="00026337"/>
    <w:rsid w:val="0002715B"/>
    <w:rsid w:val="000307AF"/>
    <w:rsid w:val="0003189D"/>
    <w:rsid w:val="00035849"/>
    <w:rsid w:val="00040A1F"/>
    <w:rsid w:val="00040F19"/>
    <w:rsid w:val="00041639"/>
    <w:rsid w:val="00042EBA"/>
    <w:rsid w:val="00043FEC"/>
    <w:rsid w:val="000440FC"/>
    <w:rsid w:val="00044E1D"/>
    <w:rsid w:val="00046109"/>
    <w:rsid w:val="00046A7E"/>
    <w:rsid w:val="00051CB9"/>
    <w:rsid w:val="000522C9"/>
    <w:rsid w:val="0006001B"/>
    <w:rsid w:val="00060D07"/>
    <w:rsid w:val="00061278"/>
    <w:rsid w:val="0006176A"/>
    <w:rsid w:val="000621B0"/>
    <w:rsid w:val="0007059C"/>
    <w:rsid w:val="00070AFB"/>
    <w:rsid w:val="0007396F"/>
    <w:rsid w:val="00076918"/>
    <w:rsid w:val="000809B5"/>
    <w:rsid w:val="000818C6"/>
    <w:rsid w:val="0008419A"/>
    <w:rsid w:val="000849E5"/>
    <w:rsid w:val="00086391"/>
    <w:rsid w:val="000906FD"/>
    <w:rsid w:val="00090D6B"/>
    <w:rsid w:val="000914D0"/>
    <w:rsid w:val="000923E1"/>
    <w:rsid w:val="00092BC3"/>
    <w:rsid w:val="00095FFD"/>
    <w:rsid w:val="0009768E"/>
    <w:rsid w:val="000A0D16"/>
    <w:rsid w:val="000A1113"/>
    <w:rsid w:val="000A12E9"/>
    <w:rsid w:val="000A5401"/>
    <w:rsid w:val="000A56BB"/>
    <w:rsid w:val="000A76AE"/>
    <w:rsid w:val="000B068E"/>
    <w:rsid w:val="000B137F"/>
    <w:rsid w:val="000B1DE2"/>
    <w:rsid w:val="000B3FEF"/>
    <w:rsid w:val="000B6327"/>
    <w:rsid w:val="000B64BE"/>
    <w:rsid w:val="000B77C8"/>
    <w:rsid w:val="000B78DC"/>
    <w:rsid w:val="000C00C2"/>
    <w:rsid w:val="000C02AD"/>
    <w:rsid w:val="000C0512"/>
    <w:rsid w:val="000C7DE1"/>
    <w:rsid w:val="000D1009"/>
    <w:rsid w:val="000D1ECE"/>
    <w:rsid w:val="000D782D"/>
    <w:rsid w:val="000E19F8"/>
    <w:rsid w:val="000E4EE7"/>
    <w:rsid w:val="000F0FCF"/>
    <w:rsid w:val="000F3D95"/>
    <w:rsid w:val="000F5B21"/>
    <w:rsid w:val="000F6A8B"/>
    <w:rsid w:val="000F7683"/>
    <w:rsid w:val="000F795D"/>
    <w:rsid w:val="000F7A20"/>
    <w:rsid w:val="00104974"/>
    <w:rsid w:val="00104DBC"/>
    <w:rsid w:val="00104FA9"/>
    <w:rsid w:val="00106463"/>
    <w:rsid w:val="00106489"/>
    <w:rsid w:val="001116A2"/>
    <w:rsid w:val="00111C99"/>
    <w:rsid w:val="001124FC"/>
    <w:rsid w:val="0011308C"/>
    <w:rsid w:val="001170A7"/>
    <w:rsid w:val="00121EA5"/>
    <w:rsid w:val="00122090"/>
    <w:rsid w:val="00123C8C"/>
    <w:rsid w:val="0012426F"/>
    <w:rsid w:val="001249C8"/>
    <w:rsid w:val="00126FE0"/>
    <w:rsid w:val="00132490"/>
    <w:rsid w:val="00132D56"/>
    <w:rsid w:val="0013365A"/>
    <w:rsid w:val="001400D1"/>
    <w:rsid w:val="0014167E"/>
    <w:rsid w:val="001424EF"/>
    <w:rsid w:val="00143F76"/>
    <w:rsid w:val="00145084"/>
    <w:rsid w:val="00145C6E"/>
    <w:rsid w:val="00146422"/>
    <w:rsid w:val="001478F5"/>
    <w:rsid w:val="00150D5F"/>
    <w:rsid w:val="001535E4"/>
    <w:rsid w:val="00154191"/>
    <w:rsid w:val="00154198"/>
    <w:rsid w:val="001637E7"/>
    <w:rsid w:val="00166C7E"/>
    <w:rsid w:val="001672BD"/>
    <w:rsid w:val="001674C2"/>
    <w:rsid w:val="001724E1"/>
    <w:rsid w:val="00172A27"/>
    <w:rsid w:val="00172E7F"/>
    <w:rsid w:val="00173379"/>
    <w:rsid w:val="00175076"/>
    <w:rsid w:val="00176C9C"/>
    <w:rsid w:val="00177356"/>
    <w:rsid w:val="00177B1E"/>
    <w:rsid w:val="0018093A"/>
    <w:rsid w:val="001820B9"/>
    <w:rsid w:val="0018235B"/>
    <w:rsid w:val="00182ED7"/>
    <w:rsid w:val="001834A2"/>
    <w:rsid w:val="001843A9"/>
    <w:rsid w:val="00190C77"/>
    <w:rsid w:val="00192ADF"/>
    <w:rsid w:val="00194697"/>
    <w:rsid w:val="001A1274"/>
    <w:rsid w:val="001A1A87"/>
    <w:rsid w:val="001A1C16"/>
    <w:rsid w:val="001A1DD1"/>
    <w:rsid w:val="001A1EF4"/>
    <w:rsid w:val="001A3CE5"/>
    <w:rsid w:val="001A51A3"/>
    <w:rsid w:val="001B0441"/>
    <w:rsid w:val="001B1DFE"/>
    <w:rsid w:val="001B49C4"/>
    <w:rsid w:val="001B6498"/>
    <w:rsid w:val="001B6D4F"/>
    <w:rsid w:val="001C0EE4"/>
    <w:rsid w:val="001C28AB"/>
    <w:rsid w:val="001C64D4"/>
    <w:rsid w:val="001C6722"/>
    <w:rsid w:val="001C6849"/>
    <w:rsid w:val="001C7684"/>
    <w:rsid w:val="001D217B"/>
    <w:rsid w:val="001D2DFC"/>
    <w:rsid w:val="001D4CEF"/>
    <w:rsid w:val="001D6A25"/>
    <w:rsid w:val="001D7FBE"/>
    <w:rsid w:val="001E0407"/>
    <w:rsid w:val="001E131F"/>
    <w:rsid w:val="001E1626"/>
    <w:rsid w:val="001E3D0E"/>
    <w:rsid w:val="001E42A7"/>
    <w:rsid w:val="001E473D"/>
    <w:rsid w:val="001E6B8D"/>
    <w:rsid w:val="001F05FD"/>
    <w:rsid w:val="00200D08"/>
    <w:rsid w:val="0020116F"/>
    <w:rsid w:val="00204856"/>
    <w:rsid w:val="00212744"/>
    <w:rsid w:val="002143DA"/>
    <w:rsid w:val="0021771F"/>
    <w:rsid w:val="00217E0B"/>
    <w:rsid w:val="00220136"/>
    <w:rsid w:val="00221451"/>
    <w:rsid w:val="00223A64"/>
    <w:rsid w:val="002241DB"/>
    <w:rsid w:val="00235E65"/>
    <w:rsid w:val="00237B75"/>
    <w:rsid w:val="00243343"/>
    <w:rsid w:val="00243CE3"/>
    <w:rsid w:val="00245104"/>
    <w:rsid w:val="00245C45"/>
    <w:rsid w:val="002479F7"/>
    <w:rsid w:val="00251817"/>
    <w:rsid w:val="00251DE3"/>
    <w:rsid w:val="0025423F"/>
    <w:rsid w:val="0025431B"/>
    <w:rsid w:val="002550B6"/>
    <w:rsid w:val="00256605"/>
    <w:rsid w:val="00262D8F"/>
    <w:rsid w:val="00262FD2"/>
    <w:rsid w:val="00264B32"/>
    <w:rsid w:val="00264DB4"/>
    <w:rsid w:val="00264DBF"/>
    <w:rsid w:val="002669DB"/>
    <w:rsid w:val="00267D95"/>
    <w:rsid w:val="00267EC5"/>
    <w:rsid w:val="00271A59"/>
    <w:rsid w:val="00272B9A"/>
    <w:rsid w:val="002751E3"/>
    <w:rsid w:val="00275299"/>
    <w:rsid w:val="002758A4"/>
    <w:rsid w:val="00283880"/>
    <w:rsid w:val="00283DB9"/>
    <w:rsid w:val="00284713"/>
    <w:rsid w:val="0028479A"/>
    <w:rsid w:val="0028631C"/>
    <w:rsid w:val="00286532"/>
    <w:rsid w:val="002869F9"/>
    <w:rsid w:val="002943B8"/>
    <w:rsid w:val="00294F06"/>
    <w:rsid w:val="00295A51"/>
    <w:rsid w:val="0029659D"/>
    <w:rsid w:val="00296657"/>
    <w:rsid w:val="002976BC"/>
    <w:rsid w:val="002A0A36"/>
    <w:rsid w:val="002A6928"/>
    <w:rsid w:val="002B0316"/>
    <w:rsid w:val="002B14D1"/>
    <w:rsid w:val="002B17F8"/>
    <w:rsid w:val="002B2BC1"/>
    <w:rsid w:val="002B3390"/>
    <w:rsid w:val="002B3AA2"/>
    <w:rsid w:val="002B40C6"/>
    <w:rsid w:val="002B415A"/>
    <w:rsid w:val="002B5A5D"/>
    <w:rsid w:val="002C0667"/>
    <w:rsid w:val="002C0E0A"/>
    <w:rsid w:val="002C4803"/>
    <w:rsid w:val="002C737E"/>
    <w:rsid w:val="002C75A8"/>
    <w:rsid w:val="002D14D7"/>
    <w:rsid w:val="002D2C2F"/>
    <w:rsid w:val="002D36CE"/>
    <w:rsid w:val="002D3C43"/>
    <w:rsid w:val="002D4FE1"/>
    <w:rsid w:val="002E044E"/>
    <w:rsid w:val="002E28A6"/>
    <w:rsid w:val="002E388F"/>
    <w:rsid w:val="002F033F"/>
    <w:rsid w:val="002F0FC9"/>
    <w:rsid w:val="002F12DF"/>
    <w:rsid w:val="002F181F"/>
    <w:rsid w:val="002F31EF"/>
    <w:rsid w:val="002F462B"/>
    <w:rsid w:val="002F4986"/>
    <w:rsid w:val="002F56C3"/>
    <w:rsid w:val="002F6251"/>
    <w:rsid w:val="00300394"/>
    <w:rsid w:val="00301F2E"/>
    <w:rsid w:val="00302810"/>
    <w:rsid w:val="00303C2B"/>
    <w:rsid w:val="00305A68"/>
    <w:rsid w:val="00305DD4"/>
    <w:rsid w:val="00306749"/>
    <w:rsid w:val="003108ED"/>
    <w:rsid w:val="00310A41"/>
    <w:rsid w:val="00311340"/>
    <w:rsid w:val="003116E3"/>
    <w:rsid w:val="00313526"/>
    <w:rsid w:val="00316111"/>
    <w:rsid w:val="00316F93"/>
    <w:rsid w:val="0032224C"/>
    <w:rsid w:val="00322CE3"/>
    <w:rsid w:val="00325351"/>
    <w:rsid w:val="00326428"/>
    <w:rsid w:val="00327017"/>
    <w:rsid w:val="00330647"/>
    <w:rsid w:val="00332556"/>
    <w:rsid w:val="003328CC"/>
    <w:rsid w:val="003403B2"/>
    <w:rsid w:val="0034359B"/>
    <w:rsid w:val="00343628"/>
    <w:rsid w:val="00343649"/>
    <w:rsid w:val="00343A5D"/>
    <w:rsid w:val="00344EB8"/>
    <w:rsid w:val="00350D3C"/>
    <w:rsid w:val="00355C72"/>
    <w:rsid w:val="00356D6F"/>
    <w:rsid w:val="00357F2F"/>
    <w:rsid w:val="00361E76"/>
    <w:rsid w:val="00361F3F"/>
    <w:rsid w:val="00362B4A"/>
    <w:rsid w:val="00365D30"/>
    <w:rsid w:val="003666B8"/>
    <w:rsid w:val="003723D0"/>
    <w:rsid w:val="00373458"/>
    <w:rsid w:val="003747A5"/>
    <w:rsid w:val="00374B66"/>
    <w:rsid w:val="003753D2"/>
    <w:rsid w:val="0037546D"/>
    <w:rsid w:val="00376298"/>
    <w:rsid w:val="0037653D"/>
    <w:rsid w:val="00377368"/>
    <w:rsid w:val="00380A9D"/>
    <w:rsid w:val="00382AA0"/>
    <w:rsid w:val="00386168"/>
    <w:rsid w:val="0039057B"/>
    <w:rsid w:val="00391E4C"/>
    <w:rsid w:val="0039324B"/>
    <w:rsid w:val="003A01EA"/>
    <w:rsid w:val="003A6B71"/>
    <w:rsid w:val="003A7ED7"/>
    <w:rsid w:val="003B00BA"/>
    <w:rsid w:val="003B0C69"/>
    <w:rsid w:val="003B2308"/>
    <w:rsid w:val="003B3EB0"/>
    <w:rsid w:val="003B5BB1"/>
    <w:rsid w:val="003B679E"/>
    <w:rsid w:val="003B78F6"/>
    <w:rsid w:val="003B7CF7"/>
    <w:rsid w:val="003C0F02"/>
    <w:rsid w:val="003C5183"/>
    <w:rsid w:val="003C6A4D"/>
    <w:rsid w:val="003D0646"/>
    <w:rsid w:val="003D0B1D"/>
    <w:rsid w:val="003D4222"/>
    <w:rsid w:val="003D583E"/>
    <w:rsid w:val="003E1751"/>
    <w:rsid w:val="003E369F"/>
    <w:rsid w:val="003E5849"/>
    <w:rsid w:val="003E7E45"/>
    <w:rsid w:val="003F0E98"/>
    <w:rsid w:val="003F13E5"/>
    <w:rsid w:val="003F1846"/>
    <w:rsid w:val="003F2372"/>
    <w:rsid w:val="003F2408"/>
    <w:rsid w:val="003F3839"/>
    <w:rsid w:val="003F424D"/>
    <w:rsid w:val="003F4636"/>
    <w:rsid w:val="003F54FA"/>
    <w:rsid w:val="003F5963"/>
    <w:rsid w:val="00400BBE"/>
    <w:rsid w:val="00401789"/>
    <w:rsid w:val="00402CC5"/>
    <w:rsid w:val="00403B5D"/>
    <w:rsid w:val="0040463A"/>
    <w:rsid w:val="00405B7F"/>
    <w:rsid w:val="00406025"/>
    <w:rsid w:val="004066B7"/>
    <w:rsid w:val="0041341D"/>
    <w:rsid w:val="00413C9D"/>
    <w:rsid w:val="0041557A"/>
    <w:rsid w:val="00421406"/>
    <w:rsid w:val="00425838"/>
    <w:rsid w:val="00425E62"/>
    <w:rsid w:val="00427337"/>
    <w:rsid w:val="00431D8B"/>
    <w:rsid w:val="00433695"/>
    <w:rsid w:val="004369F0"/>
    <w:rsid w:val="00437C72"/>
    <w:rsid w:val="00441670"/>
    <w:rsid w:val="004433E4"/>
    <w:rsid w:val="00446E95"/>
    <w:rsid w:val="0045005A"/>
    <w:rsid w:val="00451DF7"/>
    <w:rsid w:val="004524B9"/>
    <w:rsid w:val="004540D8"/>
    <w:rsid w:val="004544AA"/>
    <w:rsid w:val="00455457"/>
    <w:rsid w:val="004562F9"/>
    <w:rsid w:val="004579C4"/>
    <w:rsid w:val="0046005F"/>
    <w:rsid w:val="004638EB"/>
    <w:rsid w:val="00465F45"/>
    <w:rsid w:val="0047352D"/>
    <w:rsid w:val="00473A36"/>
    <w:rsid w:val="0047542F"/>
    <w:rsid w:val="00475559"/>
    <w:rsid w:val="00480588"/>
    <w:rsid w:val="00484BE1"/>
    <w:rsid w:val="00487154"/>
    <w:rsid w:val="00487E4B"/>
    <w:rsid w:val="00495FC4"/>
    <w:rsid w:val="00496F5A"/>
    <w:rsid w:val="004A087B"/>
    <w:rsid w:val="004A144A"/>
    <w:rsid w:val="004A2893"/>
    <w:rsid w:val="004A3D13"/>
    <w:rsid w:val="004A47A4"/>
    <w:rsid w:val="004A4A2E"/>
    <w:rsid w:val="004A4B55"/>
    <w:rsid w:val="004A7741"/>
    <w:rsid w:val="004B3009"/>
    <w:rsid w:val="004B3CE9"/>
    <w:rsid w:val="004B4C96"/>
    <w:rsid w:val="004C0966"/>
    <w:rsid w:val="004C2853"/>
    <w:rsid w:val="004C2D5E"/>
    <w:rsid w:val="004C2F92"/>
    <w:rsid w:val="004C6181"/>
    <w:rsid w:val="004C6E19"/>
    <w:rsid w:val="004D0E0B"/>
    <w:rsid w:val="004E0172"/>
    <w:rsid w:val="004E4683"/>
    <w:rsid w:val="004E46DC"/>
    <w:rsid w:val="004E5EDA"/>
    <w:rsid w:val="004E7599"/>
    <w:rsid w:val="004F0B3E"/>
    <w:rsid w:val="004F45C8"/>
    <w:rsid w:val="004F7202"/>
    <w:rsid w:val="0050064E"/>
    <w:rsid w:val="00500D6A"/>
    <w:rsid w:val="00501764"/>
    <w:rsid w:val="00501B3D"/>
    <w:rsid w:val="00501B4F"/>
    <w:rsid w:val="00503A73"/>
    <w:rsid w:val="0050477C"/>
    <w:rsid w:val="0051223C"/>
    <w:rsid w:val="0051364D"/>
    <w:rsid w:val="0051418F"/>
    <w:rsid w:val="0051453A"/>
    <w:rsid w:val="00516370"/>
    <w:rsid w:val="005203CD"/>
    <w:rsid w:val="00520E9A"/>
    <w:rsid w:val="005247E6"/>
    <w:rsid w:val="005260BE"/>
    <w:rsid w:val="00527506"/>
    <w:rsid w:val="0053060F"/>
    <w:rsid w:val="0053274A"/>
    <w:rsid w:val="00536ABC"/>
    <w:rsid w:val="00537170"/>
    <w:rsid w:val="00537A02"/>
    <w:rsid w:val="0054089F"/>
    <w:rsid w:val="005426B8"/>
    <w:rsid w:val="00545CC5"/>
    <w:rsid w:val="00552E84"/>
    <w:rsid w:val="0055480C"/>
    <w:rsid w:val="00554FED"/>
    <w:rsid w:val="0055528A"/>
    <w:rsid w:val="005565B9"/>
    <w:rsid w:val="00562276"/>
    <w:rsid w:val="00564B6B"/>
    <w:rsid w:val="00566F68"/>
    <w:rsid w:val="005679A0"/>
    <w:rsid w:val="00570B3A"/>
    <w:rsid w:val="00571E3C"/>
    <w:rsid w:val="005723D9"/>
    <w:rsid w:val="005731D4"/>
    <w:rsid w:val="00573CE6"/>
    <w:rsid w:val="005766FA"/>
    <w:rsid w:val="005905C6"/>
    <w:rsid w:val="00593814"/>
    <w:rsid w:val="00593EA2"/>
    <w:rsid w:val="00595C08"/>
    <w:rsid w:val="00596693"/>
    <w:rsid w:val="005A097A"/>
    <w:rsid w:val="005A1E27"/>
    <w:rsid w:val="005A2526"/>
    <w:rsid w:val="005A278F"/>
    <w:rsid w:val="005A3484"/>
    <w:rsid w:val="005A4970"/>
    <w:rsid w:val="005A6DAF"/>
    <w:rsid w:val="005B0F19"/>
    <w:rsid w:val="005B1ADD"/>
    <w:rsid w:val="005B1F5F"/>
    <w:rsid w:val="005B2D83"/>
    <w:rsid w:val="005B42EC"/>
    <w:rsid w:val="005B4D62"/>
    <w:rsid w:val="005B625C"/>
    <w:rsid w:val="005B66CE"/>
    <w:rsid w:val="005B7C0E"/>
    <w:rsid w:val="005C0A7D"/>
    <w:rsid w:val="005C38EF"/>
    <w:rsid w:val="005C4137"/>
    <w:rsid w:val="005D302C"/>
    <w:rsid w:val="005D413E"/>
    <w:rsid w:val="005D4367"/>
    <w:rsid w:val="005D681A"/>
    <w:rsid w:val="005D7843"/>
    <w:rsid w:val="005E195D"/>
    <w:rsid w:val="005E2173"/>
    <w:rsid w:val="005E408D"/>
    <w:rsid w:val="005E5783"/>
    <w:rsid w:val="005F3953"/>
    <w:rsid w:val="005F4F92"/>
    <w:rsid w:val="005F5AEE"/>
    <w:rsid w:val="005F6027"/>
    <w:rsid w:val="005F60CD"/>
    <w:rsid w:val="005F66CB"/>
    <w:rsid w:val="005F6D39"/>
    <w:rsid w:val="005F745E"/>
    <w:rsid w:val="006031B7"/>
    <w:rsid w:val="006038F6"/>
    <w:rsid w:val="00604010"/>
    <w:rsid w:val="0060475A"/>
    <w:rsid w:val="00605D48"/>
    <w:rsid w:val="006065BC"/>
    <w:rsid w:val="00607E73"/>
    <w:rsid w:val="0061075D"/>
    <w:rsid w:val="00611D73"/>
    <w:rsid w:val="00612816"/>
    <w:rsid w:val="00612D1B"/>
    <w:rsid w:val="0061547E"/>
    <w:rsid w:val="006154D4"/>
    <w:rsid w:val="00617416"/>
    <w:rsid w:val="00620A5F"/>
    <w:rsid w:val="006211C9"/>
    <w:rsid w:val="00622C2B"/>
    <w:rsid w:val="00623FEF"/>
    <w:rsid w:val="00624E0C"/>
    <w:rsid w:val="00626D34"/>
    <w:rsid w:val="006275F9"/>
    <w:rsid w:val="006346F4"/>
    <w:rsid w:val="00635832"/>
    <w:rsid w:val="006374EC"/>
    <w:rsid w:val="00637E8D"/>
    <w:rsid w:val="0064019C"/>
    <w:rsid w:val="0064164C"/>
    <w:rsid w:val="00644E56"/>
    <w:rsid w:val="00647D38"/>
    <w:rsid w:val="00652021"/>
    <w:rsid w:val="006530B2"/>
    <w:rsid w:val="00653AF9"/>
    <w:rsid w:val="006562F3"/>
    <w:rsid w:val="00657DC8"/>
    <w:rsid w:val="00663377"/>
    <w:rsid w:val="00665D5E"/>
    <w:rsid w:val="00667F12"/>
    <w:rsid w:val="006710F7"/>
    <w:rsid w:val="00672115"/>
    <w:rsid w:val="0068041D"/>
    <w:rsid w:val="006808A6"/>
    <w:rsid w:val="006845BE"/>
    <w:rsid w:val="006867B2"/>
    <w:rsid w:val="00692221"/>
    <w:rsid w:val="006926A6"/>
    <w:rsid w:val="00692789"/>
    <w:rsid w:val="00692A9A"/>
    <w:rsid w:val="00692AF6"/>
    <w:rsid w:val="006945B6"/>
    <w:rsid w:val="00694AD2"/>
    <w:rsid w:val="0069591A"/>
    <w:rsid w:val="00696217"/>
    <w:rsid w:val="006A03EA"/>
    <w:rsid w:val="006A3C6B"/>
    <w:rsid w:val="006A3DBF"/>
    <w:rsid w:val="006A40B6"/>
    <w:rsid w:val="006A5DE0"/>
    <w:rsid w:val="006A6E59"/>
    <w:rsid w:val="006A7B71"/>
    <w:rsid w:val="006A7E54"/>
    <w:rsid w:val="006B4CC8"/>
    <w:rsid w:val="006B69D8"/>
    <w:rsid w:val="006B7422"/>
    <w:rsid w:val="006B7B93"/>
    <w:rsid w:val="006C00C5"/>
    <w:rsid w:val="006C1430"/>
    <w:rsid w:val="006C3638"/>
    <w:rsid w:val="006C5E1E"/>
    <w:rsid w:val="006C7617"/>
    <w:rsid w:val="006C7822"/>
    <w:rsid w:val="006D0A05"/>
    <w:rsid w:val="006D55CF"/>
    <w:rsid w:val="006D7B46"/>
    <w:rsid w:val="006E0064"/>
    <w:rsid w:val="006E1365"/>
    <w:rsid w:val="006E336B"/>
    <w:rsid w:val="006E3B0F"/>
    <w:rsid w:val="006E71E6"/>
    <w:rsid w:val="006F0538"/>
    <w:rsid w:val="006F0B04"/>
    <w:rsid w:val="006F1182"/>
    <w:rsid w:val="006F4032"/>
    <w:rsid w:val="006F7F68"/>
    <w:rsid w:val="007009B0"/>
    <w:rsid w:val="007017C1"/>
    <w:rsid w:val="00701A24"/>
    <w:rsid w:val="00703296"/>
    <w:rsid w:val="00703822"/>
    <w:rsid w:val="0070438D"/>
    <w:rsid w:val="0070455D"/>
    <w:rsid w:val="00704930"/>
    <w:rsid w:val="00704A2D"/>
    <w:rsid w:val="0070580F"/>
    <w:rsid w:val="00707C3B"/>
    <w:rsid w:val="00713B2E"/>
    <w:rsid w:val="00715B68"/>
    <w:rsid w:val="00715B9E"/>
    <w:rsid w:val="00716806"/>
    <w:rsid w:val="0071798A"/>
    <w:rsid w:val="00723E48"/>
    <w:rsid w:val="00731150"/>
    <w:rsid w:val="0073185A"/>
    <w:rsid w:val="00736FB4"/>
    <w:rsid w:val="00740679"/>
    <w:rsid w:val="00740C57"/>
    <w:rsid w:val="007410E2"/>
    <w:rsid w:val="007416FE"/>
    <w:rsid w:val="007417DF"/>
    <w:rsid w:val="00743A32"/>
    <w:rsid w:val="0074417E"/>
    <w:rsid w:val="00744D9D"/>
    <w:rsid w:val="0074775E"/>
    <w:rsid w:val="00747EE7"/>
    <w:rsid w:val="00750978"/>
    <w:rsid w:val="00750BC5"/>
    <w:rsid w:val="0075106E"/>
    <w:rsid w:val="0075131F"/>
    <w:rsid w:val="0075441F"/>
    <w:rsid w:val="00755607"/>
    <w:rsid w:val="007569DE"/>
    <w:rsid w:val="00760BD6"/>
    <w:rsid w:val="00761CCA"/>
    <w:rsid w:val="007627D5"/>
    <w:rsid w:val="00765AAD"/>
    <w:rsid w:val="00766DDB"/>
    <w:rsid w:val="00774222"/>
    <w:rsid w:val="007752BF"/>
    <w:rsid w:val="00775D2E"/>
    <w:rsid w:val="00776007"/>
    <w:rsid w:val="007803BC"/>
    <w:rsid w:val="007814C0"/>
    <w:rsid w:val="00782236"/>
    <w:rsid w:val="00782316"/>
    <w:rsid w:val="007841E2"/>
    <w:rsid w:val="00786776"/>
    <w:rsid w:val="0078742A"/>
    <w:rsid w:val="00793722"/>
    <w:rsid w:val="00796F09"/>
    <w:rsid w:val="007972DD"/>
    <w:rsid w:val="007A0211"/>
    <w:rsid w:val="007A149B"/>
    <w:rsid w:val="007A1626"/>
    <w:rsid w:val="007A1970"/>
    <w:rsid w:val="007A1B81"/>
    <w:rsid w:val="007A2375"/>
    <w:rsid w:val="007A3C35"/>
    <w:rsid w:val="007A4A26"/>
    <w:rsid w:val="007A4EE1"/>
    <w:rsid w:val="007A69A9"/>
    <w:rsid w:val="007B0E88"/>
    <w:rsid w:val="007B51AE"/>
    <w:rsid w:val="007B59AA"/>
    <w:rsid w:val="007B66FF"/>
    <w:rsid w:val="007C0F9A"/>
    <w:rsid w:val="007C1358"/>
    <w:rsid w:val="007C24F2"/>
    <w:rsid w:val="007C3E05"/>
    <w:rsid w:val="007D76E8"/>
    <w:rsid w:val="007E2F59"/>
    <w:rsid w:val="007E2FAE"/>
    <w:rsid w:val="007E31C4"/>
    <w:rsid w:val="007E4BDA"/>
    <w:rsid w:val="007E626B"/>
    <w:rsid w:val="007F029B"/>
    <w:rsid w:val="007F13FF"/>
    <w:rsid w:val="007F1C74"/>
    <w:rsid w:val="007F4A03"/>
    <w:rsid w:val="007F51C5"/>
    <w:rsid w:val="007F5B5A"/>
    <w:rsid w:val="007F7499"/>
    <w:rsid w:val="0080284F"/>
    <w:rsid w:val="008028BB"/>
    <w:rsid w:val="00802EEB"/>
    <w:rsid w:val="00803DCC"/>
    <w:rsid w:val="00805B3B"/>
    <w:rsid w:val="0080629E"/>
    <w:rsid w:val="0080646E"/>
    <w:rsid w:val="00812D1B"/>
    <w:rsid w:val="00813B0E"/>
    <w:rsid w:val="00813DEC"/>
    <w:rsid w:val="00820768"/>
    <w:rsid w:val="00824F31"/>
    <w:rsid w:val="008269C1"/>
    <w:rsid w:val="00831BDB"/>
    <w:rsid w:val="00832608"/>
    <w:rsid w:val="00832973"/>
    <w:rsid w:val="00833CFD"/>
    <w:rsid w:val="00835834"/>
    <w:rsid w:val="00836C4C"/>
    <w:rsid w:val="008428A1"/>
    <w:rsid w:val="00844949"/>
    <w:rsid w:val="00845120"/>
    <w:rsid w:val="008462F1"/>
    <w:rsid w:val="008466A3"/>
    <w:rsid w:val="00852974"/>
    <w:rsid w:val="0085602E"/>
    <w:rsid w:val="0086103A"/>
    <w:rsid w:val="00864B5F"/>
    <w:rsid w:val="008712E7"/>
    <w:rsid w:val="00871689"/>
    <w:rsid w:val="00873C1C"/>
    <w:rsid w:val="0087592E"/>
    <w:rsid w:val="008809C1"/>
    <w:rsid w:val="00880FAD"/>
    <w:rsid w:val="00881803"/>
    <w:rsid w:val="00887958"/>
    <w:rsid w:val="008914B5"/>
    <w:rsid w:val="008958DE"/>
    <w:rsid w:val="00897A59"/>
    <w:rsid w:val="00897B75"/>
    <w:rsid w:val="008A0DE0"/>
    <w:rsid w:val="008A29E7"/>
    <w:rsid w:val="008A56F7"/>
    <w:rsid w:val="008B4020"/>
    <w:rsid w:val="008B4CDF"/>
    <w:rsid w:val="008B643A"/>
    <w:rsid w:val="008B6E36"/>
    <w:rsid w:val="008C0D5D"/>
    <w:rsid w:val="008C18D5"/>
    <w:rsid w:val="008C1DAD"/>
    <w:rsid w:val="008C1F9A"/>
    <w:rsid w:val="008C25DD"/>
    <w:rsid w:val="008C2D6F"/>
    <w:rsid w:val="008C5624"/>
    <w:rsid w:val="008D11E8"/>
    <w:rsid w:val="008D5F78"/>
    <w:rsid w:val="008D6134"/>
    <w:rsid w:val="008D6832"/>
    <w:rsid w:val="008D687E"/>
    <w:rsid w:val="008E15D4"/>
    <w:rsid w:val="008E1F53"/>
    <w:rsid w:val="008E2EBA"/>
    <w:rsid w:val="008E66AA"/>
    <w:rsid w:val="008F15F8"/>
    <w:rsid w:val="008F1B2F"/>
    <w:rsid w:val="008F4CF1"/>
    <w:rsid w:val="008F5925"/>
    <w:rsid w:val="008F642A"/>
    <w:rsid w:val="008F6DE1"/>
    <w:rsid w:val="008F7015"/>
    <w:rsid w:val="0090291E"/>
    <w:rsid w:val="00903177"/>
    <w:rsid w:val="00904E8E"/>
    <w:rsid w:val="009066B9"/>
    <w:rsid w:val="00906E8C"/>
    <w:rsid w:val="00907B7C"/>
    <w:rsid w:val="00910432"/>
    <w:rsid w:val="00910F45"/>
    <w:rsid w:val="00910F71"/>
    <w:rsid w:val="009113DE"/>
    <w:rsid w:val="0091224A"/>
    <w:rsid w:val="00914BA6"/>
    <w:rsid w:val="00921EF1"/>
    <w:rsid w:val="00924426"/>
    <w:rsid w:val="00930E71"/>
    <w:rsid w:val="0093288A"/>
    <w:rsid w:val="009346B0"/>
    <w:rsid w:val="00934C78"/>
    <w:rsid w:val="00935086"/>
    <w:rsid w:val="00935362"/>
    <w:rsid w:val="00936687"/>
    <w:rsid w:val="00936C0A"/>
    <w:rsid w:val="00937103"/>
    <w:rsid w:val="00937947"/>
    <w:rsid w:val="00937B12"/>
    <w:rsid w:val="009422DD"/>
    <w:rsid w:val="00943AF2"/>
    <w:rsid w:val="00944B99"/>
    <w:rsid w:val="00944D5D"/>
    <w:rsid w:val="00945972"/>
    <w:rsid w:val="00945987"/>
    <w:rsid w:val="0095128F"/>
    <w:rsid w:val="00951652"/>
    <w:rsid w:val="00951A56"/>
    <w:rsid w:val="009526AA"/>
    <w:rsid w:val="00952926"/>
    <w:rsid w:val="00956288"/>
    <w:rsid w:val="009563A0"/>
    <w:rsid w:val="009571DF"/>
    <w:rsid w:val="00962B21"/>
    <w:rsid w:val="00963448"/>
    <w:rsid w:val="0096365C"/>
    <w:rsid w:val="0096408B"/>
    <w:rsid w:val="0096711B"/>
    <w:rsid w:val="00970D3D"/>
    <w:rsid w:val="00971A0B"/>
    <w:rsid w:val="00971D7B"/>
    <w:rsid w:val="00971FB4"/>
    <w:rsid w:val="0097292B"/>
    <w:rsid w:val="00976814"/>
    <w:rsid w:val="00976F08"/>
    <w:rsid w:val="00981E47"/>
    <w:rsid w:val="00982612"/>
    <w:rsid w:val="009826C6"/>
    <w:rsid w:val="00984C9E"/>
    <w:rsid w:val="00991653"/>
    <w:rsid w:val="009952D1"/>
    <w:rsid w:val="009971B3"/>
    <w:rsid w:val="00997577"/>
    <w:rsid w:val="009A1A14"/>
    <w:rsid w:val="009A2725"/>
    <w:rsid w:val="009A2EC1"/>
    <w:rsid w:val="009A3378"/>
    <w:rsid w:val="009A568B"/>
    <w:rsid w:val="009A6B9D"/>
    <w:rsid w:val="009B10A0"/>
    <w:rsid w:val="009B3AFF"/>
    <w:rsid w:val="009B5055"/>
    <w:rsid w:val="009B5CAC"/>
    <w:rsid w:val="009B6842"/>
    <w:rsid w:val="009C18B0"/>
    <w:rsid w:val="009C46B7"/>
    <w:rsid w:val="009C5197"/>
    <w:rsid w:val="009C6ADA"/>
    <w:rsid w:val="009C6D10"/>
    <w:rsid w:val="009C7B1B"/>
    <w:rsid w:val="009D0C0F"/>
    <w:rsid w:val="009D2A19"/>
    <w:rsid w:val="009D44CD"/>
    <w:rsid w:val="009D497C"/>
    <w:rsid w:val="009D62F3"/>
    <w:rsid w:val="009D78B2"/>
    <w:rsid w:val="009E2014"/>
    <w:rsid w:val="009E2BFE"/>
    <w:rsid w:val="009E3478"/>
    <w:rsid w:val="009E39EB"/>
    <w:rsid w:val="009E557C"/>
    <w:rsid w:val="009E60D7"/>
    <w:rsid w:val="009E61E1"/>
    <w:rsid w:val="009E64DA"/>
    <w:rsid w:val="009E71C7"/>
    <w:rsid w:val="009E7FAA"/>
    <w:rsid w:val="009F2F6B"/>
    <w:rsid w:val="009F4B4C"/>
    <w:rsid w:val="009F6557"/>
    <w:rsid w:val="00A00339"/>
    <w:rsid w:val="00A01421"/>
    <w:rsid w:val="00A015EA"/>
    <w:rsid w:val="00A01611"/>
    <w:rsid w:val="00A02FAC"/>
    <w:rsid w:val="00A03306"/>
    <w:rsid w:val="00A04755"/>
    <w:rsid w:val="00A05B16"/>
    <w:rsid w:val="00A069BC"/>
    <w:rsid w:val="00A06FAB"/>
    <w:rsid w:val="00A13AA1"/>
    <w:rsid w:val="00A13D2C"/>
    <w:rsid w:val="00A1466B"/>
    <w:rsid w:val="00A16B47"/>
    <w:rsid w:val="00A207E5"/>
    <w:rsid w:val="00A22D17"/>
    <w:rsid w:val="00A240E3"/>
    <w:rsid w:val="00A30F7F"/>
    <w:rsid w:val="00A32171"/>
    <w:rsid w:val="00A32F5F"/>
    <w:rsid w:val="00A3367B"/>
    <w:rsid w:val="00A35BE0"/>
    <w:rsid w:val="00A3782D"/>
    <w:rsid w:val="00A41245"/>
    <w:rsid w:val="00A4164F"/>
    <w:rsid w:val="00A43451"/>
    <w:rsid w:val="00A44114"/>
    <w:rsid w:val="00A44FF7"/>
    <w:rsid w:val="00A45215"/>
    <w:rsid w:val="00A50546"/>
    <w:rsid w:val="00A5158B"/>
    <w:rsid w:val="00A536FA"/>
    <w:rsid w:val="00A55414"/>
    <w:rsid w:val="00A57382"/>
    <w:rsid w:val="00A5792D"/>
    <w:rsid w:val="00A60ADD"/>
    <w:rsid w:val="00A63DB1"/>
    <w:rsid w:val="00A65CDF"/>
    <w:rsid w:val="00A65E91"/>
    <w:rsid w:val="00A716ED"/>
    <w:rsid w:val="00A723ED"/>
    <w:rsid w:val="00A7301E"/>
    <w:rsid w:val="00A73257"/>
    <w:rsid w:val="00A74181"/>
    <w:rsid w:val="00A7526F"/>
    <w:rsid w:val="00A7533C"/>
    <w:rsid w:val="00A76142"/>
    <w:rsid w:val="00A77E0D"/>
    <w:rsid w:val="00A8112A"/>
    <w:rsid w:val="00A82E6A"/>
    <w:rsid w:val="00A8413E"/>
    <w:rsid w:val="00A869BB"/>
    <w:rsid w:val="00A87F2E"/>
    <w:rsid w:val="00A91B32"/>
    <w:rsid w:val="00A921EE"/>
    <w:rsid w:val="00A93B9F"/>
    <w:rsid w:val="00A93CB0"/>
    <w:rsid w:val="00A95C2F"/>
    <w:rsid w:val="00A95E47"/>
    <w:rsid w:val="00A96175"/>
    <w:rsid w:val="00A97D78"/>
    <w:rsid w:val="00AA018D"/>
    <w:rsid w:val="00AA108C"/>
    <w:rsid w:val="00AA2082"/>
    <w:rsid w:val="00AA3577"/>
    <w:rsid w:val="00AA584C"/>
    <w:rsid w:val="00AA6083"/>
    <w:rsid w:val="00AA691C"/>
    <w:rsid w:val="00AB3D4E"/>
    <w:rsid w:val="00AB408C"/>
    <w:rsid w:val="00AB7773"/>
    <w:rsid w:val="00AC0984"/>
    <w:rsid w:val="00AC1418"/>
    <w:rsid w:val="00AC150B"/>
    <w:rsid w:val="00AC1D44"/>
    <w:rsid w:val="00AC2310"/>
    <w:rsid w:val="00AC29E4"/>
    <w:rsid w:val="00AC2A1E"/>
    <w:rsid w:val="00AC46B1"/>
    <w:rsid w:val="00AC515A"/>
    <w:rsid w:val="00AC7E38"/>
    <w:rsid w:val="00AD4D31"/>
    <w:rsid w:val="00AD4E71"/>
    <w:rsid w:val="00AE328E"/>
    <w:rsid w:val="00AE484E"/>
    <w:rsid w:val="00AE541B"/>
    <w:rsid w:val="00AE66E2"/>
    <w:rsid w:val="00AE6AC4"/>
    <w:rsid w:val="00AE747C"/>
    <w:rsid w:val="00AE7759"/>
    <w:rsid w:val="00AF2082"/>
    <w:rsid w:val="00AF3AA5"/>
    <w:rsid w:val="00AF3D0A"/>
    <w:rsid w:val="00AF47F9"/>
    <w:rsid w:val="00AF7893"/>
    <w:rsid w:val="00B018B2"/>
    <w:rsid w:val="00B01CDC"/>
    <w:rsid w:val="00B04FDF"/>
    <w:rsid w:val="00B059EB"/>
    <w:rsid w:val="00B07287"/>
    <w:rsid w:val="00B1019F"/>
    <w:rsid w:val="00B107A1"/>
    <w:rsid w:val="00B10FE2"/>
    <w:rsid w:val="00B110CD"/>
    <w:rsid w:val="00B12063"/>
    <w:rsid w:val="00B1337D"/>
    <w:rsid w:val="00B1462F"/>
    <w:rsid w:val="00B152E6"/>
    <w:rsid w:val="00B157CC"/>
    <w:rsid w:val="00B17CFF"/>
    <w:rsid w:val="00B201D3"/>
    <w:rsid w:val="00B216C0"/>
    <w:rsid w:val="00B228CE"/>
    <w:rsid w:val="00B26014"/>
    <w:rsid w:val="00B26034"/>
    <w:rsid w:val="00B30E18"/>
    <w:rsid w:val="00B32C80"/>
    <w:rsid w:val="00B32FB9"/>
    <w:rsid w:val="00B33374"/>
    <w:rsid w:val="00B33FD8"/>
    <w:rsid w:val="00B35D65"/>
    <w:rsid w:val="00B369D2"/>
    <w:rsid w:val="00B41F89"/>
    <w:rsid w:val="00B434E4"/>
    <w:rsid w:val="00B43616"/>
    <w:rsid w:val="00B4436D"/>
    <w:rsid w:val="00B45265"/>
    <w:rsid w:val="00B52095"/>
    <w:rsid w:val="00B52703"/>
    <w:rsid w:val="00B528EC"/>
    <w:rsid w:val="00B54F0C"/>
    <w:rsid w:val="00B56258"/>
    <w:rsid w:val="00B56C6C"/>
    <w:rsid w:val="00B57ACA"/>
    <w:rsid w:val="00B61591"/>
    <w:rsid w:val="00B7059F"/>
    <w:rsid w:val="00B70881"/>
    <w:rsid w:val="00B713C0"/>
    <w:rsid w:val="00B71E9C"/>
    <w:rsid w:val="00B747BE"/>
    <w:rsid w:val="00B75214"/>
    <w:rsid w:val="00B75E7C"/>
    <w:rsid w:val="00B76282"/>
    <w:rsid w:val="00B80247"/>
    <w:rsid w:val="00B8172E"/>
    <w:rsid w:val="00B82437"/>
    <w:rsid w:val="00B848A4"/>
    <w:rsid w:val="00B85644"/>
    <w:rsid w:val="00B8649F"/>
    <w:rsid w:val="00B9207A"/>
    <w:rsid w:val="00B930D7"/>
    <w:rsid w:val="00B931E9"/>
    <w:rsid w:val="00B96B0B"/>
    <w:rsid w:val="00B96B8E"/>
    <w:rsid w:val="00B97B6F"/>
    <w:rsid w:val="00B97DD6"/>
    <w:rsid w:val="00BA29AA"/>
    <w:rsid w:val="00BA2ABD"/>
    <w:rsid w:val="00BA3406"/>
    <w:rsid w:val="00BA5A60"/>
    <w:rsid w:val="00BA692C"/>
    <w:rsid w:val="00BB009D"/>
    <w:rsid w:val="00BB14CF"/>
    <w:rsid w:val="00BB1EE5"/>
    <w:rsid w:val="00BB3A2A"/>
    <w:rsid w:val="00BB5B12"/>
    <w:rsid w:val="00BB768E"/>
    <w:rsid w:val="00BC02C1"/>
    <w:rsid w:val="00BC3485"/>
    <w:rsid w:val="00BC414E"/>
    <w:rsid w:val="00BC6CDB"/>
    <w:rsid w:val="00BD29EA"/>
    <w:rsid w:val="00BD2F0D"/>
    <w:rsid w:val="00BD3E63"/>
    <w:rsid w:val="00BD6D00"/>
    <w:rsid w:val="00BD6ECB"/>
    <w:rsid w:val="00BE0197"/>
    <w:rsid w:val="00BE2CB2"/>
    <w:rsid w:val="00BE5880"/>
    <w:rsid w:val="00BE5B82"/>
    <w:rsid w:val="00BE61B9"/>
    <w:rsid w:val="00BE682C"/>
    <w:rsid w:val="00BE69F5"/>
    <w:rsid w:val="00BE7A92"/>
    <w:rsid w:val="00BF257F"/>
    <w:rsid w:val="00BF39CC"/>
    <w:rsid w:val="00BF3A45"/>
    <w:rsid w:val="00BF3C79"/>
    <w:rsid w:val="00BF53FF"/>
    <w:rsid w:val="00BF628E"/>
    <w:rsid w:val="00BF668A"/>
    <w:rsid w:val="00C001C8"/>
    <w:rsid w:val="00C01567"/>
    <w:rsid w:val="00C0596F"/>
    <w:rsid w:val="00C07F3E"/>
    <w:rsid w:val="00C1060E"/>
    <w:rsid w:val="00C14AD2"/>
    <w:rsid w:val="00C15F4D"/>
    <w:rsid w:val="00C17774"/>
    <w:rsid w:val="00C17AAD"/>
    <w:rsid w:val="00C26102"/>
    <w:rsid w:val="00C309A3"/>
    <w:rsid w:val="00C3251C"/>
    <w:rsid w:val="00C326D5"/>
    <w:rsid w:val="00C33B98"/>
    <w:rsid w:val="00C349F3"/>
    <w:rsid w:val="00C36DF5"/>
    <w:rsid w:val="00C3771D"/>
    <w:rsid w:val="00C37E38"/>
    <w:rsid w:val="00C43C1C"/>
    <w:rsid w:val="00C440AE"/>
    <w:rsid w:val="00C452EB"/>
    <w:rsid w:val="00C458A5"/>
    <w:rsid w:val="00C46314"/>
    <w:rsid w:val="00C46F48"/>
    <w:rsid w:val="00C50165"/>
    <w:rsid w:val="00C505B2"/>
    <w:rsid w:val="00C5131E"/>
    <w:rsid w:val="00C51AFB"/>
    <w:rsid w:val="00C51B6C"/>
    <w:rsid w:val="00C51B7C"/>
    <w:rsid w:val="00C53E4C"/>
    <w:rsid w:val="00C540C9"/>
    <w:rsid w:val="00C642A5"/>
    <w:rsid w:val="00C65323"/>
    <w:rsid w:val="00C65FC6"/>
    <w:rsid w:val="00C6717F"/>
    <w:rsid w:val="00C706F9"/>
    <w:rsid w:val="00C72FD8"/>
    <w:rsid w:val="00C73969"/>
    <w:rsid w:val="00C76C04"/>
    <w:rsid w:val="00C77DC6"/>
    <w:rsid w:val="00C80400"/>
    <w:rsid w:val="00C80ED1"/>
    <w:rsid w:val="00C81B5A"/>
    <w:rsid w:val="00C83020"/>
    <w:rsid w:val="00C83643"/>
    <w:rsid w:val="00C83BA3"/>
    <w:rsid w:val="00C85211"/>
    <w:rsid w:val="00C86CB8"/>
    <w:rsid w:val="00C90A56"/>
    <w:rsid w:val="00C91262"/>
    <w:rsid w:val="00C939FD"/>
    <w:rsid w:val="00C93FD1"/>
    <w:rsid w:val="00C96C0A"/>
    <w:rsid w:val="00CA04F6"/>
    <w:rsid w:val="00CA0505"/>
    <w:rsid w:val="00CA1AF4"/>
    <w:rsid w:val="00CA1F7F"/>
    <w:rsid w:val="00CA1FE0"/>
    <w:rsid w:val="00CA309F"/>
    <w:rsid w:val="00CA349B"/>
    <w:rsid w:val="00CA35CD"/>
    <w:rsid w:val="00CA7199"/>
    <w:rsid w:val="00CB22EE"/>
    <w:rsid w:val="00CB31F1"/>
    <w:rsid w:val="00CB339B"/>
    <w:rsid w:val="00CB3718"/>
    <w:rsid w:val="00CB3893"/>
    <w:rsid w:val="00CB3F4A"/>
    <w:rsid w:val="00CB48C6"/>
    <w:rsid w:val="00CB5977"/>
    <w:rsid w:val="00CB6A4B"/>
    <w:rsid w:val="00CC08C0"/>
    <w:rsid w:val="00CC0F51"/>
    <w:rsid w:val="00CC11B0"/>
    <w:rsid w:val="00CC1649"/>
    <w:rsid w:val="00CC1C18"/>
    <w:rsid w:val="00CC3051"/>
    <w:rsid w:val="00CC3F6C"/>
    <w:rsid w:val="00CC42C1"/>
    <w:rsid w:val="00CC4F14"/>
    <w:rsid w:val="00CC6656"/>
    <w:rsid w:val="00CC7D59"/>
    <w:rsid w:val="00CD041F"/>
    <w:rsid w:val="00CD2F6F"/>
    <w:rsid w:val="00CD32D2"/>
    <w:rsid w:val="00CD60CE"/>
    <w:rsid w:val="00CD7209"/>
    <w:rsid w:val="00CE10D0"/>
    <w:rsid w:val="00CE12FF"/>
    <w:rsid w:val="00CE14EE"/>
    <w:rsid w:val="00CE2903"/>
    <w:rsid w:val="00CE6E3C"/>
    <w:rsid w:val="00CE77F5"/>
    <w:rsid w:val="00CF0383"/>
    <w:rsid w:val="00CF0861"/>
    <w:rsid w:val="00CF0B94"/>
    <w:rsid w:val="00CF1948"/>
    <w:rsid w:val="00CF3B02"/>
    <w:rsid w:val="00CF5F7B"/>
    <w:rsid w:val="00CF625E"/>
    <w:rsid w:val="00D00B70"/>
    <w:rsid w:val="00D02D42"/>
    <w:rsid w:val="00D045EC"/>
    <w:rsid w:val="00D12A51"/>
    <w:rsid w:val="00D14586"/>
    <w:rsid w:val="00D20062"/>
    <w:rsid w:val="00D22EE6"/>
    <w:rsid w:val="00D231EF"/>
    <w:rsid w:val="00D25307"/>
    <w:rsid w:val="00D25B15"/>
    <w:rsid w:val="00D25BFA"/>
    <w:rsid w:val="00D30391"/>
    <w:rsid w:val="00D3312E"/>
    <w:rsid w:val="00D359C0"/>
    <w:rsid w:val="00D35D42"/>
    <w:rsid w:val="00D37734"/>
    <w:rsid w:val="00D40BB2"/>
    <w:rsid w:val="00D4137C"/>
    <w:rsid w:val="00D4163E"/>
    <w:rsid w:val="00D4180B"/>
    <w:rsid w:val="00D4541B"/>
    <w:rsid w:val="00D45E73"/>
    <w:rsid w:val="00D51662"/>
    <w:rsid w:val="00D51B11"/>
    <w:rsid w:val="00D52222"/>
    <w:rsid w:val="00D56F56"/>
    <w:rsid w:val="00D576EA"/>
    <w:rsid w:val="00D665BC"/>
    <w:rsid w:val="00D7453A"/>
    <w:rsid w:val="00D74694"/>
    <w:rsid w:val="00D7516A"/>
    <w:rsid w:val="00D768E5"/>
    <w:rsid w:val="00D77ECE"/>
    <w:rsid w:val="00D808E7"/>
    <w:rsid w:val="00D8160C"/>
    <w:rsid w:val="00D83A26"/>
    <w:rsid w:val="00D84F95"/>
    <w:rsid w:val="00D8524E"/>
    <w:rsid w:val="00D8582F"/>
    <w:rsid w:val="00D85B2F"/>
    <w:rsid w:val="00D8704C"/>
    <w:rsid w:val="00D87AB0"/>
    <w:rsid w:val="00D9034D"/>
    <w:rsid w:val="00D9079A"/>
    <w:rsid w:val="00D93221"/>
    <w:rsid w:val="00D9398E"/>
    <w:rsid w:val="00DA0585"/>
    <w:rsid w:val="00DA1FED"/>
    <w:rsid w:val="00DA3167"/>
    <w:rsid w:val="00DA3398"/>
    <w:rsid w:val="00DA3929"/>
    <w:rsid w:val="00DA3C96"/>
    <w:rsid w:val="00DA3D21"/>
    <w:rsid w:val="00DA43D5"/>
    <w:rsid w:val="00DA4723"/>
    <w:rsid w:val="00DA7993"/>
    <w:rsid w:val="00DB2CB9"/>
    <w:rsid w:val="00DB5DD3"/>
    <w:rsid w:val="00DB63A2"/>
    <w:rsid w:val="00DB740F"/>
    <w:rsid w:val="00DC1743"/>
    <w:rsid w:val="00DC1872"/>
    <w:rsid w:val="00DC1974"/>
    <w:rsid w:val="00DC42BB"/>
    <w:rsid w:val="00DD3D9E"/>
    <w:rsid w:val="00DD4198"/>
    <w:rsid w:val="00DD42BD"/>
    <w:rsid w:val="00DD52D2"/>
    <w:rsid w:val="00DD7C00"/>
    <w:rsid w:val="00DD7C56"/>
    <w:rsid w:val="00DE0DE0"/>
    <w:rsid w:val="00DE354B"/>
    <w:rsid w:val="00DE5A61"/>
    <w:rsid w:val="00DE5B68"/>
    <w:rsid w:val="00DF1F42"/>
    <w:rsid w:val="00DF28B5"/>
    <w:rsid w:val="00DF663C"/>
    <w:rsid w:val="00DF7980"/>
    <w:rsid w:val="00E001CC"/>
    <w:rsid w:val="00E00ACB"/>
    <w:rsid w:val="00E07737"/>
    <w:rsid w:val="00E11AD5"/>
    <w:rsid w:val="00E15FB4"/>
    <w:rsid w:val="00E21CB4"/>
    <w:rsid w:val="00E252F7"/>
    <w:rsid w:val="00E26613"/>
    <w:rsid w:val="00E2758B"/>
    <w:rsid w:val="00E3069C"/>
    <w:rsid w:val="00E310CA"/>
    <w:rsid w:val="00E349BD"/>
    <w:rsid w:val="00E35215"/>
    <w:rsid w:val="00E355B9"/>
    <w:rsid w:val="00E35643"/>
    <w:rsid w:val="00E365FA"/>
    <w:rsid w:val="00E37FA5"/>
    <w:rsid w:val="00E41512"/>
    <w:rsid w:val="00E45276"/>
    <w:rsid w:val="00E47EA0"/>
    <w:rsid w:val="00E506A0"/>
    <w:rsid w:val="00E521C7"/>
    <w:rsid w:val="00E534E8"/>
    <w:rsid w:val="00E53655"/>
    <w:rsid w:val="00E5551A"/>
    <w:rsid w:val="00E6116D"/>
    <w:rsid w:val="00E62969"/>
    <w:rsid w:val="00E630B5"/>
    <w:rsid w:val="00E639A2"/>
    <w:rsid w:val="00E64BCB"/>
    <w:rsid w:val="00E652CB"/>
    <w:rsid w:val="00E66207"/>
    <w:rsid w:val="00E74A45"/>
    <w:rsid w:val="00E755A6"/>
    <w:rsid w:val="00E76C7A"/>
    <w:rsid w:val="00E76CA9"/>
    <w:rsid w:val="00E80317"/>
    <w:rsid w:val="00E852B5"/>
    <w:rsid w:val="00E862DA"/>
    <w:rsid w:val="00E868A5"/>
    <w:rsid w:val="00E9002A"/>
    <w:rsid w:val="00E9052E"/>
    <w:rsid w:val="00E9093C"/>
    <w:rsid w:val="00E91003"/>
    <w:rsid w:val="00E9374E"/>
    <w:rsid w:val="00E95AB1"/>
    <w:rsid w:val="00E9711D"/>
    <w:rsid w:val="00EA1A79"/>
    <w:rsid w:val="00EA5E82"/>
    <w:rsid w:val="00EA5FC4"/>
    <w:rsid w:val="00EA74D4"/>
    <w:rsid w:val="00EA7F48"/>
    <w:rsid w:val="00EB06F4"/>
    <w:rsid w:val="00EB12AA"/>
    <w:rsid w:val="00EB1C38"/>
    <w:rsid w:val="00EB2304"/>
    <w:rsid w:val="00EB264C"/>
    <w:rsid w:val="00EB41B7"/>
    <w:rsid w:val="00EB4D35"/>
    <w:rsid w:val="00EB52E8"/>
    <w:rsid w:val="00EB7593"/>
    <w:rsid w:val="00EC0896"/>
    <w:rsid w:val="00EC1D88"/>
    <w:rsid w:val="00EC3448"/>
    <w:rsid w:val="00EC3C31"/>
    <w:rsid w:val="00EC4CDC"/>
    <w:rsid w:val="00EC52A6"/>
    <w:rsid w:val="00EC579D"/>
    <w:rsid w:val="00EE056A"/>
    <w:rsid w:val="00EE1388"/>
    <w:rsid w:val="00EE1CB5"/>
    <w:rsid w:val="00EE2BA9"/>
    <w:rsid w:val="00EE2EF2"/>
    <w:rsid w:val="00EE3866"/>
    <w:rsid w:val="00EE4158"/>
    <w:rsid w:val="00EE5BA6"/>
    <w:rsid w:val="00EE6DB3"/>
    <w:rsid w:val="00EF1DC2"/>
    <w:rsid w:val="00EF41E5"/>
    <w:rsid w:val="00EF75CF"/>
    <w:rsid w:val="00EF7E7E"/>
    <w:rsid w:val="00F00344"/>
    <w:rsid w:val="00F006C8"/>
    <w:rsid w:val="00F0100D"/>
    <w:rsid w:val="00F0209D"/>
    <w:rsid w:val="00F032AD"/>
    <w:rsid w:val="00F04A38"/>
    <w:rsid w:val="00F04EDE"/>
    <w:rsid w:val="00F0658E"/>
    <w:rsid w:val="00F10A92"/>
    <w:rsid w:val="00F1791F"/>
    <w:rsid w:val="00F23FF4"/>
    <w:rsid w:val="00F25691"/>
    <w:rsid w:val="00F25E55"/>
    <w:rsid w:val="00F32099"/>
    <w:rsid w:val="00F3290D"/>
    <w:rsid w:val="00F33050"/>
    <w:rsid w:val="00F339D7"/>
    <w:rsid w:val="00F3432B"/>
    <w:rsid w:val="00F3533C"/>
    <w:rsid w:val="00F419E5"/>
    <w:rsid w:val="00F42AE5"/>
    <w:rsid w:val="00F42BCE"/>
    <w:rsid w:val="00F50622"/>
    <w:rsid w:val="00F5087B"/>
    <w:rsid w:val="00F50DF6"/>
    <w:rsid w:val="00F50FEF"/>
    <w:rsid w:val="00F5199B"/>
    <w:rsid w:val="00F523AD"/>
    <w:rsid w:val="00F53A42"/>
    <w:rsid w:val="00F53B0E"/>
    <w:rsid w:val="00F54859"/>
    <w:rsid w:val="00F55ED4"/>
    <w:rsid w:val="00F56B46"/>
    <w:rsid w:val="00F56EBE"/>
    <w:rsid w:val="00F57D85"/>
    <w:rsid w:val="00F64186"/>
    <w:rsid w:val="00F6494B"/>
    <w:rsid w:val="00F66912"/>
    <w:rsid w:val="00F67120"/>
    <w:rsid w:val="00F706F9"/>
    <w:rsid w:val="00F71BDF"/>
    <w:rsid w:val="00F7293A"/>
    <w:rsid w:val="00F81377"/>
    <w:rsid w:val="00F82DBC"/>
    <w:rsid w:val="00F86077"/>
    <w:rsid w:val="00F90CBB"/>
    <w:rsid w:val="00F935BB"/>
    <w:rsid w:val="00F9382E"/>
    <w:rsid w:val="00F93F55"/>
    <w:rsid w:val="00F974A6"/>
    <w:rsid w:val="00F97C17"/>
    <w:rsid w:val="00FA0725"/>
    <w:rsid w:val="00FA0CE5"/>
    <w:rsid w:val="00FA12E8"/>
    <w:rsid w:val="00FA1806"/>
    <w:rsid w:val="00FA2109"/>
    <w:rsid w:val="00FA4CD0"/>
    <w:rsid w:val="00FA55FD"/>
    <w:rsid w:val="00FB236E"/>
    <w:rsid w:val="00FB2D45"/>
    <w:rsid w:val="00FB512D"/>
    <w:rsid w:val="00FB5F08"/>
    <w:rsid w:val="00FB755D"/>
    <w:rsid w:val="00FC064D"/>
    <w:rsid w:val="00FC25B2"/>
    <w:rsid w:val="00FC2819"/>
    <w:rsid w:val="00FD03C7"/>
    <w:rsid w:val="00FD0E70"/>
    <w:rsid w:val="00FD17E9"/>
    <w:rsid w:val="00FD2A87"/>
    <w:rsid w:val="00FD2F7A"/>
    <w:rsid w:val="00FD486B"/>
    <w:rsid w:val="00FD5439"/>
    <w:rsid w:val="00FD5E1F"/>
    <w:rsid w:val="00FE06EE"/>
    <w:rsid w:val="00FE0AE2"/>
    <w:rsid w:val="00FE1051"/>
    <w:rsid w:val="00FE1673"/>
    <w:rsid w:val="00FE17DF"/>
    <w:rsid w:val="00FE4586"/>
    <w:rsid w:val="00FF0371"/>
    <w:rsid w:val="00FF0E0F"/>
    <w:rsid w:val="00FF4FA9"/>
    <w:rsid w:val="00FF5B5A"/>
    <w:rsid w:val="00FF6AE2"/>
    <w:rsid w:val="015133CE"/>
    <w:rsid w:val="019E6FCF"/>
    <w:rsid w:val="01A712A3"/>
    <w:rsid w:val="0228554B"/>
    <w:rsid w:val="026F606E"/>
    <w:rsid w:val="027D1232"/>
    <w:rsid w:val="02AA66E5"/>
    <w:rsid w:val="02FB4201"/>
    <w:rsid w:val="03590340"/>
    <w:rsid w:val="038D6941"/>
    <w:rsid w:val="040651F3"/>
    <w:rsid w:val="0438749B"/>
    <w:rsid w:val="048E434C"/>
    <w:rsid w:val="051A0B0D"/>
    <w:rsid w:val="05251C3D"/>
    <w:rsid w:val="057D69C4"/>
    <w:rsid w:val="05CE1616"/>
    <w:rsid w:val="065548F9"/>
    <w:rsid w:val="065A220E"/>
    <w:rsid w:val="06A24A27"/>
    <w:rsid w:val="077A4BFB"/>
    <w:rsid w:val="07C2068E"/>
    <w:rsid w:val="08010DAD"/>
    <w:rsid w:val="08D879B5"/>
    <w:rsid w:val="08DE4693"/>
    <w:rsid w:val="08DF56D1"/>
    <w:rsid w:val="09101B43"/>
    <w:rsid w:val="0919385C"/>
    <w:rsid w:val="094419B6"/>
    <w:rsid w:val="096036BA"/>
    <w:rsid w:val="09BE073C"/>
    <w:rsid w:val="09D26A4D"/>
    <w:rsid w:val="09D83F38"/>
    <w:rsid w:val="0A3921BB"/>
    <w:rsid w:val="0AB33893"/>
    <w:rsid w:val="0AB56830"/>
    <w:rsid w:val="0ADF3E31"/>
    <w:rsid w:val="0B571F51"/>
    <w:rsid w:val="0B933252"/>
    <w:rsid w:val="0BEA00EF"/>
    <w:rsid w:val="0C1722AB"/>
    <w:rsid w:val="0C1C5EA9"/>
    <w:rsid w:val="0C3C088D"/>
    <w:rsid w:val="0C7413EC"/>
    <w:rsid w:val="0D100C02"/>
    <w:rsid w:val="0D4F0778"/>
    <w:rsid w:val="0D7D5C45"/>
    <w:rsid w:val="0D862A5B"/>
    <w:rsid w:val="0E4203E9"/>
    <w:rsid w:val="0E441DF9"/>
    <w:rsid w:val="0E8C0569"/>
    <w:rsid w:val="0EE32BBB"/>
    <w:rsid w:val="0F0A678B"/>
    <w:rsid w:val="0F584BEB"/>
    <w:rsid w:val="0F985BC9"/>
    <w:rsid w:val="0FEB49D0"/>
    <w:rsid w:val="105C7341"/>
    <w:rsid w:val="10671BAE"/>
    <w:rsid w:val="10C64AEB"/>
    <w:rsid w:val="10DE2266"/>
    <w:rsid w:val="10FD6A69"/>
    <w:rsid w:val="113114B4"/>
    <w:rsid w:val="11705703"/>
    <w:rsid w:val="117F77B6"/>
    <w:rsid w:val="118B61FB"/>
    <w:rsid w:val="11C57BFA"/>
    <w:rsid w:val="12871A98"/>
    <w:rsid w:val="12DF5FCA"/>
    <w:rsid w:val="12E720AC"/>
    <w:rsid w:val="12EF6A0A"/>
    <w:rsid w:val="134C381E"/>
    <w:rsid w:val="13A42C7C"/>
    <w:rsid w:val="144E47A5"/>
    <w:rsid w:val="147A5C17"/>
    <w:rsid w:val="14EE2998"/>
    <w:rsid w:val="14EE3B40"/>
    <w:rsid w:val="14F25F7A"/>
    <w:rsid w:val="15105FD4"/>
    <w:rsid w:val="15E8349C"/>
    <w:rsid w:val="169A36D4"/>
    <w:rsid w:val="16D001E3"/>
    <w:rsid w:val="16FE7D45"/>
    <w:rsid w:val="171E2A9F"/>
    <w:rsid w:val="17211341"/>
    <w:rsid w:val="17493A5F"/>
    <w:rsid w:val="17F44401"/>
    <w:rsid w:val="18041B35"/>
    <w:rsid w:val="18D016D0"/>
    <w:rsid w:val="18D36023"/>
    <w:rsid w:val="18DF76FB"/>
    <w:rsid w:val="18E45665"/>
    <w:rsid w:val="18F33A67"/>
    <w:rsid w:val="190402C8"/>
    <w:rsid w:val="195F3049"/>
    <w:rsid w:val="199C69AE"/>
    <w:rsid w:val="19ED01FB"/>
    <w:rsid w:val="1AD85DBF"/>
    <w:rsid w:val="1B112877"/>
    <w:rsid w:val="1B21074C"/>
    <w:rsid w:val="1B475FEA"/>
    <w:rsid w:val="1B8944E4"/>
    <w:rsid w:val="1BB24334"/>
    <w:rsid w:val="1BBB11B9"/>
    <w:rsid w:val="1C050C35"/>
    <w:rsid w:val="1C301405"/>
    <w:rsid w:val="1C7A1F2D"/>
    <w:rsid w:val="1CA51B61"/>
    <w:rsid w:val="1CD11146"/>
    <w:rsid w:val="1CFA6B1B"/>
    <w:rsid w:val="1D0B0C10"/>
    <w:rsid w:val="1D4B1A02"/>
    <w:rsid w:val="1D9D028F"/>
    <w:rsid w:val="1E134CD3"/>
    <w:rsid w:val="1EF2633D"/>
    <w:rsid w:val="1EFB59A4"/>
    <w:rsid w:val="1F4451C2"/>
    <w:rsid w:val="1F4D5BF1"/>
    <w:rsid w:val="1F7E6ECA"/>
    <w:rsid w:val="1F824AB3"/>
    <w:rsid w:val="1FA6109E"/>
    <w:rsid w:val="1FAB5BD1"/>
    <w:rsid w:val="1FC747C0"/>
    <w:rsid w:val="20B5663B"/>
    <w:rsid w:val="20D424A3"/>
    <w:rsid w:val="211441B5"/>
    <w:rsid w:val="211F1005"/>
    <w:rsid w:val="2123758F"/>
    <w:rsid w:val="21822D20"/>
    <w:rsid w:val="21A13595"/>
    <w:rsid w:val="21D5387E"/>
    <w:rsid w:val="22400A7E"/>
    <w:rsid w:val="224974BE"/>
    <w:rsid w:val="227D4F70"/>
    <w:rsid w:val="2350715C"/>
    <w:rsid w:val="24173938"/>
    <w:rsid w:val="2461256C"/>
    <w:rsid w:val="247D5882"/>
    <w:rsid w:val="250A49B4"/>
    <w:rsid w:val="25616A0F"/>
    <w:rsid w:val="257D24A1"/>
    <w:rsid w:val="25904C0C"/>
    <w:rsid w:val="26407322"/>
    <w:rsid w:val="264416DD"/>
    <w:rsid w:val="265329D2"/>
    <w:rsid w:val="26BA0868"/>
    <w:rsid w:val="26FD7CE9"/>
    <w:rsid w:val="2760557D"/>
    <w:rsid w:val="27A93E22"/>
    <w:rsid w:val="27F76B44"/>
    <w:rsid w:val="285B2CF0"/>
    <w:rsid w:val="28AC5305"/>
    <w:rsid w:val="2B591FB0"/>
    <w:rsid w:val="2BAC5F93"/>
    <w:rsid w:val="2BBC3933"/>
    <w:rsid w:val="2C5A1C6D"/>
    <w:rsid w:val="2D0A2B5E"/>
    <w:rsid w:val="2D3D1570"/>
    <w:rsid w:val="2D8D5FD6"/>
    <w:rsid w:val="2DC41926"/>
    <w:rsid w:val="2E793F87"/>
    <w:rsid w:val="2F9B421F"/>
    <w:rsid w:val="2FA43A19"/>
    <w:rsid w:val="30692E18"/>
    <w:rsid w:val="308A240C"/>
    <w:rsid w:val="31367E32"/>
    <w:rsid w:val="31991C4E"/>
    <w:rsid w:val="31EA298D"/>
    <w:rsid w:val="321A5265"/>
    <w:rsid w:val="34301B75"/>
    <w:rsid w:val="34660AEB"/>
    <w:rsid w:val="34E63CE6"/>
    <w:rsid w:val="35461E55"/>
    <w:rsid w:val="35492FCE"/>
    <w:rsid w:val="354D4C7F"/>
    <w:rsid w:val="35771EDA"/>
    <w:rsid w:val="35922417"/>
    <w:rsid w:val="3613503C"/>
    <w:rsid w:val="3615307C"/>
    <w:rsid w:val="36363830"/>
    <w:rsid w:val="364B18C8"/>
    <w:rsid w:val="3692664E"/>
    <w:rsid w:val="36DF1BF7"/>
    <w:rsid w:val="36E13CFC"/>
    <w:rsid w:val="3732483F"/>
    <w:rsid w:val="37B13E16"/>
    <w:rsid w:val="38016EF9"/>
    <w:rsid w:val="383F2961"/>
    <w:rsid w:val="389D543E"/>
    <w:rsid w:val="38D53E5B"/>
    <w:rsid w:val="38DD6EFC"/>
    <w:rsid w:val="39431054"/>
    <w:rsid w:val="39806FFD"/>
    <w:rsid w:val="39B1748A"/>
    <w:rsid w:val="3A166694"/>
    <w:rsid w:val="3A6A4CD8"/>
    <w:rsid w:val="3B587D95"/>
    <w:rsid w:val="3B7F74C8"/>
    <w:rsid w:val="3BA14138"/>
    <w:rsid w:val="3C1361FA"/>
    <w:rsid w:val="3C311263"/>
    <w:rsid w:val="3C5B5E74"/>
    <w:rsid w:val="3CE71107"/>
    <w:rsid w:val="3D0D4B69"/>
    <w:rsid w:val="3D1547A5"/>
    <w:rsid w:val="3D3D1E1D"/>
    <w:rsid w:val="3DF42E8C"/>
    <w:rsid w:val="3E3A46B9"/>
    <w:rsid w:val="3E5A7796"/>
    <w:rsid w:val="3E787143"/>
    <w:rsid w:val="3E7D33C2"/>
    <w:rsid w:val="3EBA1990"/>
    <w:rsid w:val="3EBC2232"/>
    <w:rsid w:val="3EBE5249"/>
    <w:rsid w:val="3EC07F52"/>
    <w:rsid w:val="3F1C372E"/>
    <w:rsid w:val="3F287258"/>
    <w:rsid w:val="3F2D3CBA"/>
    <w:rsid w:val="3FDB35FC"/>
    <w:rsid w:val="40047CAC"/>
    <w:rsid w:val="402B0EEE"/>
    <w:rsid w:val="40433693"/>
    <w:rsid w:val="404505FC"/>
    <w:rsid w:val="405A1526"/>
    <w:rsid w:val="408261B9"/>
    <w:rsid w:val="40924B4B"/>
    <w:rsid w:val="409B2B6C"/>
    <w:rsid w:val="41130903"/>
    <w:rsid w:val="4167351C"/>
    <w:rsid w:val="41B21ADC"/>
    <w:rsid w:val="424E030A"/>
    <w:rsid w:val="42851F3B"/>
    <w:rsid w:val="429552C4"/>
    <w:rsid w:val="42CA56B7"/>
    <w:rsid w:val="42E16D6A"/>
    <w:rsid w:val="42FC11E5"/>
    <w:rsid w:val="42FD4A75"/>
    <w:rsid w:val="43271A86"/>
    <w:rsid w:val="43586610"/>
    <w:rsid w:val="43B87AA7"/>
    <w:rsid w:val="44055890"/>
    <w:rsid w:val="4430664E"/>
    <w:rsid w:val="444A39A7"/>
    <w:rsid w:val="446E23FD"/>
    <w:rsid w:val="44C7355A"/>
    <w:rsid w:val="45426226"/>
    <w:rsid w:val="46115FFF"/>
    <w:rsid w:val="461270A7"/>
    <w:rsid w:val="469215D0"/>
    <w:rsid w:val="46A51447"/>
    <w:rsid w:val="46EC21F9"/>
    <w:rsid w:val="4709478D"/>
    <w:rsid w:val="47424CB7"/>
    <w:rsid w:val="47493C08"/>
    <w:rsid w:val="477C29C1"/>
    <w:rsid w:val="47A00BFF"/>
    <w:rsid w:val="486E2AC6"/>
    <w:rsid w:val="48D60C6A"/>
    <w:rsid w:val="49102795"/>
    <w:rsid w:val="49467689"/>
    <w:rsid w:val="49602475"/>
    <w:rsid w:val="498373B1"/>
    <w:rsid w:val="4A757F2D"/>
    <w:rsid w:val="4AB81A10"/>
    <w:rsid w:val="4B2C470D"/>
    <w:rsid w:val="4B9D1559"/>
    <w:rsid w:val="4C414416"/>
    <w:rsid w:val="4C5F221D"/>
    <w:rsid w:val="4C670726"/>
    <w:rsid w:val="4C76624A"/>
    <w:rsid w:val="4C8411E2"/>
    <w:rsid w:val="4CA97DC6"/>
    <w:rsid w:val="4CAD7C10"/>
    <w:rsid w:val="4CFE402B"/>
    <w:rsid w:val="4D874323"/>
    <w:rsid w:val="4E10028B"/>
    <w:rsid w:val="4E2932B7"/>
    <w:rsid w:val="4E317B43"/>
    <w:rsid w:val="4E5620C5"/>
    <w:rsid w:val="4E8A55AB"/>
    <w:rsid w:val="4F6109B7"/>
    <w:rsid w:val="4F7237C1"/>
    <w:rsid w:val="4FBC3AF9"/>
    <w:rsid w:val="4FD67510"/>
    <w:rsid w:val="4FE94147"/>
    <w:rsid w:val="50067F90"/>
    <w:rsid w:val="505A570C"/>
    <w:rsid w:val="51385174"/>
    <w:rsid w:val="51741885"/>
    <w:rsid w:val="51881761"/>
    <w:rsid w:val="519B0AA8"/>
    <w:rsid w:val="520004E8"/>
    <w:rsid w:val="52835E78"/>
    <w:rsid w:val="52843DA0"/>
    <w:rsid w:val="532D0AD7"/>
    <w:rsid w:val="53500165"/>
    <w:rsid w:val="53642EC9"/>
    <w:rsid w:val="5379521E"/>
    <w:rsid w:val="53802D2D"/>
    <w:rsid w:val="53AD50FB"/>
    <w:rsid w:val="54265EDB"/>
    <w:rsid w:val="54382C46"/>
    <w:rsid w:val="54554E72"/>
    <w:rsid w:val="54772F09"/>
    <w:rsid w:val="553E1BEC"/>
    <w:rsid w:val="55745F94"/>
    <w:rsid w:val="55EA4640"/>
    <w:rsid w:val="55F2689E"/>
    <w:rsid w:val="566D15A9"/>
    <w:rsid w:val="56980800"/>
    <w:rsid w:val="56BF7893"/>
    <w:rsid w:val="56DD24AD"/>
    <w:rsid w:val="56F06BFA"/>
    <w:rsid w:val="57274689"/>
    <w:rsid w:val="57530D04"/>
    <w:rsid w:val="57C769BA"/>
    <w:rsid w:val="583145E6"/>
    <w:rsid w:val="58450096"/>
    <w:rsid w:val="593167BB"/>
    <w:rsid w:val="59347C1B"/>
    <w:rsid w:val="59CC5369"/>
    <w:rsid w:val="59FE0B0A"/>
    <w:rsid w:val="5A151F0E"/>
    <w:rsid w:val="5A4166D7"/>
    <w:rsid w:val="5A8B68EE"/>
    <w:rsid w:val="5A95682E"/>
    <w:rsid w:val="5A9C5D9B"/>
    <w:rsid w:val="5AA9709E"/>
    <w:rsid w:val="5B3D7506"/>
    <w:rsid w:val="5B4E541D"/>
    <w:rsid w:val="5B4F065F"/>
    <w:rsid w:val="5B6936CA"/>
    <w:rsid w:val="5B784A0B"/>
    <w:rsid w:val="5BFE660B"/>
    <w:rsid w:val="5C8911BC"/>
    <w:rsid w:val="5C8B5C41"/>
    <w:rsid w:val="5CB064B3"/>
    <w:rsid w:val="5D3662A4"/>
    <w:rsid w:val="5D903105"/>
    <w:rsid w:val="5DC94E9A"/>
    <w:rsid w:val="5E0D0920"/>
    <w:rsid w:val="5E3426CB"/>
    <w:rsid w:val="5E647EDA"/>
    <w:rsid w:val="5E903F37"/>
    <w:rsid w:val="5EA34893"/>
    <w:rsid w:val="5F9E05C5"/>
    <w:rsid w:val="5FB96B9E"/>
    <w:rsid w:val="6041634E"/>
    <w:rsid w:val="607675BB"/>
    <w:rsid w:val="61074E23"/>
    <w:rsid w:val="61E75717"/>
    <w:rsid w:val="631A200A"/>
    <w:rsid w:val="638270E9"/>
    <w:rsid w:val="63E27A34"/>
    <w:rsid w:val="64143171"/>
    <w:rsid w:val="64217A7D"/>
    <w:rsid w:val="645448E3"/>
    <w:rsid w:val="64733C63"/>
    <w:rsid w:val="6527540F"/>
    <w:rsid w:val="65547038"/>
    <w:rsid w:val="65713891"/>
    <w:rsid w:val="65C222E0"/>
    <w:rsid w:val="65EA07F3"/>
    <w:rsid w:val="65EB20C8"/>
    <w:rsid w:val="65F61266"/>
    <w:rsid w:val="66A8512B"/>
    <w:rsid w:val="675132CA"/>
    <w:rsid w:val="67AE7B6A"/>
    <w:rsid w:val="67BF50C2"/>
    <w:rsid w:val="68045939"/>
    <w:rsid w:val="684C79E0"/>
    <w:rsid w:val="68AF775C"/>
    <w:rsid w:val="697A1B79"/>
    <w:rsid w:val="69A93A36"/>
    <w:rsid w:val="69EA5564"/>
    <w:rsid w:val="6A3641DA"/>
    <w:rsid w:val="6A8578DE"/>
    <w:rsid w:val="6A9F5099"/>
    <w:rsid w:val="6BB20D84"/>
    <w:rsid w:val="6C1A0F1D"/>
    <w:rsid w:val="6C287521"/>
    <w:rsid w:val="6C787590"/>
    <w:rsid w:val="6CAD1525"/>
    <w:rsid w:val="6CD31BA0"/>
    <w:rsid w:val="6D535020"/>
    <w:rsid w:val="6D960E0F"/>
    <w:rsid w:val="6DB81268"/>
    <w:rsid w:val="6DE73B50"/>
    <w:rsid w:val="6DF2532B"/>
    <w:rsid w:val="6DFF33FA"/>
    <w:rsid w:val="6E0C318D"/>
    <w:rsid w:val="6EC90E66"/>
    <w:rsid w:val="6F1540D4"/>
    <w:rsid w:val="6F1B291C"/>
    <w:rsid w:val="6F7E3EFA"/>
    <w:rsid w:val="6F803F17"/>
    <w:rsid w:val="6F954F48"/>
    <w:rsid w:val="6FA57C6A"/>
    <w:rsid w:val="70504052"/>
    <w:rsid w:val="71266A8B"/>
    <w:rsid w:val="7135382B"/>
    <w:rsid w:val="715C5493"/>
    <w:rsid w:val="7169795D"/>
    <w:rsid w:val="717A2A0C"/>
    <w:rsid w:val="71815C3F"/>
    <w:rsid w:val="71F87A64"/>
    <w:rsid w:val="72186BFA"/>
    <w:rsid w:val="726313E0"/>
    <w:rsid w:val="729661A8"/>
    <w:rsid w:val="72C45A4A"/>
    <w:rsid w:val="730E7160"/>
    <w:rsid w:val="73645220"/>
    <w:rsid w:val="73B70028"/>
    <w:rsid w:val="73F77AB0"/>
    <w:rsid w:val="742D3633"/>
    <w:rsid w:val="743E7E9F"/>
    <w:rsid w:val="7468462D"/>
    <w:rsid w:val="74694A87"/>
    <w:rsid w:val="74BA6223"/>
    <w:rsid w:val="74D86A1C"/>
    <w:rsid w:val="74FE165E"/>
    <w:rsid w:val="752D2340"/>
    <w:rsid w:val="756712A4"/>
    <w:rsid w:val="75AB6237"/>
    <w:rsid w:val="76794B0D"/>
    <w:rsid w:val="76D10FDE"/>
    <w:rsid w:val="77120047"/>
    <w:rsid w:val="774E7E38"/>
    <w:rsid w:val="77DB414E"/>
    <w:rsid w:val="781A1E0F"/>
    <w:rsid w:val="787D3680"/>
    <w:rsid w:val="78AF5C86"/>
    <w:rsid w:val="78EB6786"/>
    <w:rsid w:val="79107BF0"/>
    <w:rsid w:val="799F08B4"/>
    <w:rsid w:val="79A94FCB"/>
    <w:rsid w:val="79C44C94"/>
    <w:rsid w:val="79F764E5"/>
    <w:rsid w:val="7B682864"/>
    <w:rsid w:val="7B9644DD"/>
    <w:rsid w:val="7C42095E"/>
    <w:rsid w:val="7C6124AB"/>
    <w:rsid w:val="7CB75D09"/>
    <w:rsid w:val="7CC268B9"/>
    <w:rsid w:val="7D2566F7"/>
    <w:rsid w:val="7D6009F9"/>
    <w:rsid w:val="7D6D42BC"/>
    <w:rsid w:val="7D7622DF"/>
    <w:rsid w:val="7DF26104"/>
    <w:rsid w:val="7E591BB7"/>
    <w:rsid w:val="7EAB51BA"/>
    <w:rsid w:val="7EC352E3"/>
    <w:rsid w:val="7F892316"/>
    <w:rsid w:val="7FF6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unhideWhenUsed="0" w:qFormat="1"/>
    <w:lsdException w:name="footer" w:semiHidden="0" w:unhideWhenUsed="0" w:qFormat="1"/>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iPriority="20" w:unhideWhenUsed="0" w:qFormat="1"/>
    <w:lsdException w:name="Plain Text" w:semiHidden="0" w:uiPriority="99"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480" w:lineRule="auto"/>
      <w:jc w:val="both"/>
    </w:pPr>
    <w:rPr>
      <w:rFonts w:cs="宋体"/>
      <w:kern w:val="2"/>
      <w:sz w:val="21"/>
      <w:szCs w:val="21"/>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ody Text"/>
    <w:basedOn w:val="a"/>
    <w:link w:val="Char0"/>
    <w:uiPriority w:val="99"/>
    <w:qFormat/>
    <w:rPr>
      <w:rFonts w:eastAsia="MS Mincho"/>
      <w:b/>
      <w:bCs/>
      <w:lang w:eastAsia="ja-JP"/>
    </w:rPr>
  </w:style>
  <w:style w:type="paragraph" w:styleId="a5">
    <w:name w:val="Plain Text"/>
    <w:basedOn w:val="a"/>
    <w:link w:val="Char1"/>
    <w:uiPriority w:val="99"/>
    <w:unhideWhenUsed/>
    <w:qFormat/>
    <w:pPr>
      <w:autoSpaceDE/>
      <w:autoSpaceDN/>
      <w:adjustRightInd/>
      <w:spacing w:line="240" w:lineRule="auto"/>
    </w:pPr>
    <w:rPr>
      <w:rFonts w:ascii="宋体" w:hAnsi="Courier New" w:cs="Courier New"/>
    </w:rPr>
  </w:style>
  <w:style w:type="paragraph" w:styleId="a6">
    <w:name w:val="Balloon Text"/>
    <w:basedOn w:val="a"/>
    <w:link w:val="Char2"/>
    <w:pPr>
      <w:spacing w:line="240" w:lineRule="auto"/>
    </w:pPr>
    <w:rPr>
      <w:sz w:val="18"/>
      <w:szCs w:val="18"/>
    </w:rPr>
  </w:style>
  <w:style w:type="paragraph" w:styleId="a7">
    <w:name w:val="footer"/>
    <w:basedOn w:val="a"/>
    <w:link w:val="Char3"/>
    <w:qFormat/>
    <w:pPr>
      <w:tabs>
        <w:tab w:val="center" w:pos="4153"/>
        <w:tab w:val="right" w:pos="8306"/>
      </w:tabs>
      <w:snapToGrid w:val="0"/>
      <w:spacing w:line="240" w:lineRule="auto"/>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unhideWhenUsed/>
    <w:qFormat/>
    <w:pPr>
      <w:widowControl/>
      <w:autoSpaceDE/>
      <w:autoSpaceDN/>
      <w:adjustRightInd/>
      <w:spacing w:before="100" w:beforeAutospacing="1" w:after="100" w:afterAutospacing="1" w:line="240" w:lineRule="auto"/>
      <w:jc w:val="left"/>
    </w:pPr>
    <w:rPr>
      <w:rFonts w:ascii="宋体" w:hAnsi="宋体"/>
      <w:kern w:val="0"/>
      <w:sz w:val="24"/>
      <w:szCs w:val="24"/>
    </w:rPr>
  </w:style>
  <w:style w:type="paragraph" w:styleId="aa">
    <w:name w:val="annotation subject"/>
    <w:basedOn w:val="a3"/>
    <w:next w:val="a3"/>
    <w:link w:val="Char5"/>
    <w:semiHidden/>
    <w:unhideWhenUsed/>
    <w:qFormat/>
    <w:pPr>
      <w:spacing w:line="240" w:lineRule="auto"/>
      <w:jc w:val="both"/>
    </w:pPr>
    <w:rPr>
      <w:b/>
      <w:bCs/>
      <w:sz w:val="20"/>
      <w:szCs w:val="20"/>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Pr>
      <w:i/>
      <w:iCs/>
    </w:rPr>
  </w:style>
  <w:style w:type="character" w:styleId="ad">
    <w:name w:val="Hyperlink"/>
    <w:basedOn w:val="a0"/>
    <w:uiPriority w:val="99"/>
    <w:qFormat/>
    <w:rPr>
      <w:color w:val="0000FF"/>
      <w:u w:val="single"/>
    </w:rPr>
  </w:style>
  <w:style w:type="character" w:styleId="ae">
    <w:name w:val="annotation reference"/>
    <w:basedOn w:val="a0"/>
    <w:uiPriority w:val="99"/>
    <w:unhideWhenUsed/>
    <w:qFormat/>
    <w:rPr>
      <w:sz w:val="16"/>
      <w:szCs w:val="16"/>
    </w:rPr>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qFormat/>
    <w:rPr>
      <w:rFonts w:ascii="Times New Roman" w:eastAsia="宋体" w:hAnsi="Times New Roman" w:cs="Times New Roman"/>
      <w:sz w:val="18"/>
      <w:szCs w:val="18"/>
    </w:rPr>
  </w:style>
  <w:style w:type="character" w:customStyle="1" w:styleId="10">
    <w:name w:val="未处理的提及1"/>
    <w:basedOn w:val="a0"/>
    <w:uiPriority w:val="99"/>
    <w:semiHidden/>
    <w:unhideWhenUsed/>
    <w:qFormat/>
    <w:rPr>
      <w:color w:val="605E5C"/>
      <w:shd w:val="clear" w:color="auto" w:fill="E1DFDD"/>
    </w:rPr>
  </w:style>
  <w:style w:type="paragraph" w:styleId="af">
    <w:name w:val="List Paragraph"/>
    <w:basedOn w:val="a"/>
    <w:uiPriority w:val="1"/>
    <w:qFormat/>
    <w:pPr>
      <w:ind w:left="520" w:right="108" w:hanging="370"/>
    </w:pPr>
    <w:rPr>
      <w:rFonts w:eastAsia="Times New Roman"/>
      <w:lang w:eastAsia="en-US" w:bidi="en-US"/>
    </w:rPr>
  </w:style>
  <w:style w:type="character" w:customStyle="1" w:styleId="2">
    <w:name w:val="未处理的提及2"/>
    <w:basedOn w:val="a0"/>
    <w:uiPriority w:val="99"/>
    <w:semiHidden/>
    <w:unhideWhenUsed/>
    <w:qFormat/>
    <w:rPr>
      <w:color w:val="605E5C"/>
      <w:shd w:val="clear" w:color="auto" w:fill="E1DFDD"/>
    </w:rPr>
  </w:style>
  <w:style w:type="character" w:customStyle="1" w:styleId="3">
    <w:name w:val="未处理的提及3"/>
    <w:basedOn w:val="a0"/>
    <w:uiPriority w:val="99"/>
    <w:semiHidden/>
    <w:unhideWhenUsed/>
    <w:qFormat/>
    <w:rPr>
      <w:color w:val="605E5C"/>
      <w:shd w:val="clear" w:color="auto" w:fill="E1DFDD"/>
    </w:rPr>
  </w:style>
  <w:style w:type="character" w:customStyle="1" w:styleId="4">
    <w:name w:val="未处理的提及4"/>
    <w:basedOn w:val="a0"/>
    <w:uiPriority w:val="99"/>
    <w:semiHidden/>
    <w:unhideWhenUsed/>
    <w:qFormat/>
    <w:rPr>
      <w:color w:val="605E5C"/>
      <w:shd w:val="clear" w:color="auto" w:fill="E1DFDD"/>
    </w:rPr>
  </w:style>
  <w:style w:type="character" w:customStyle="1" w:styleId="5">
    <w:name w:val="未处理的提及5"/>
    <w:basedOn w:val="a0"/>
    <w:uiPriority w:val="99"/>
    <w:semiHidden/>
    <w:unhideWhenUsed/>
    <w:qFormat/>
    <w:rPr>
      <w:color w:val="605E5C"/>
      <w:shd w:val="clear" w:color="auto" w:fill="E1DFDD"/>
    </w:rPr>
  </w:style>
  <w:style w:type="paragraph" w:customStyle="1" w:styleId="11">
    <w:name w:val="正文1"/>
    <w:uiPriority w:val="99"/>
    <w:qFormat/>
    <w:pPr>
      <w:jc w:val="both"/>
    </w:pPr>
    <w:rPr>
      <w:rFonts w:cs="宋体"/>
      <w:kern w:val="2"/>
      <w:sz w:val="21"/>
      <w:szCs w:val="21"/>
    </w:rPr>
  </w:style>
  <w:style w:type="paragraph" w:customStyle="1" w:styleId="20">
    <w:name w:val="正文2"/>
    <w:basedOn w:val="a"/>
    <w:qFormat/>
    <w:pPr>
      <w:widowControl/>
      <w:autoSpaceDE/>
      <w:autoSpaceDN/>
      <w:adjustRightInd/>
      <w:spacing w:line="240" w:lineRule="auto"/>
    </w:pPr>
  </w:style>
  <w:style w:type="paragraph" w:customStyle="1" w:styleId="12">
    <w:name w:val="列表段落1"/>
    <w:basedOn w:val="a"/>
    <w:qFormat/>
    <w:pPr>
      <w:spacing w:before="100" w:beforeAutospacing="1" w:after="100" w:afterAutospacing="1"/>
      <w:ind w:left="520" w:right="108" w:hanging="370"/>
    </w:pPr>
    <w:rPr>
      <w:rFonts w:eastAsia="Times New Roman"/>
    </w:rPr>
  </w:style>
  <w:style w:type="character" w:customStyle="1" w:styleId="6">
    <w:name w:val="未处理的提及6"/>
    <w:basedOn w:val="a0"/>
    <w:uiPriority w:val="99"/>
    <w:semiHidden/>
    <w:unhideWhenUsed/>
    <w:qFormat/>
    <w:rPr>
      <w:color w:val="605E5C"/>
      <w:shd w:val="clear" w:color="auto" w:fill="E1DFDD"/>
    </w:rPr>
  </w:style>
  <w:style w:type="paragraph" w:customStyle="1" w:styleId="30">
    <w:name w:val="正文3"/>
    <w:basedOn w:val="a"/>
    <w:qFormat/>
    <w:pPr>
      <w:widowControl/>
      <w:autoSpaceDE/>
      <w:autoSpaceDN/>
      <w:adjustRightInd/>
      <w:spacing w:line="240" w:lineRule="auto"/>
    </w:pPr>
  </w:style>
  <w:style w:type="paragraph" w:customStyle="1" w:styleId="ListParagraph1">
    <w:name w:val="List Paragraph1"/>
    <w:basedOn w:val="a"/>
    <w:qFormat/>
    <w:pPr>
      <w:spacing w:before="100" w:beforeAutospacing="1" w:after="100" w:afterAutospacing="1"/>
      <w:ind w:left="520" w:right="108" w:hanging="370"/>
    </w:pPr>
    <w:rPr>
      <w:rFonts w:eastAsia="Times New Roman"/>
    </w:rPr>
  </w:style>
  <w:style w:type="character" w:customStyle="1" w:styleId="7">
    <w:name w:val="未处理的提及7"/>
    <w:basedOn w:val="a0"/>
    <w:uiPriority w:val="99"/>
    <w:semiHidden/>
    <w:unhideWhenUsed/>
    <w:qFormat/>
    <w:rPr>
      <w:color w:val="605E5C"/>
      <w:shd w:val="clear" w:color="auto" w:fill="E1DFDD"/>
    </w:rPr>
  </w:style>
  <w:style w:type="character" w:customStyle="1" w:styleId="8">
    <w:name w:val="未处理的提及8"/>
    <w:basedOn w:val="a0"/>
    <w:uiPriority w:val="99"/>
    <w:semiHidden/>
    <w:unhideWhenUsed/>
    <w:qFormat/>
    <w:rPr>
      <w:color w:val="605E5C"/>
      <w:shd w:val="clear" w:color="auto" w:fill="E1DFDD"/>
    </w:rPr>
  </w:style>
  <w:style w:type="character" w:customStyle="1" w:styleId="9">
    <w:name w:val="未处理的提及9"/>
    <w:basedOn w:val="a0"/>
    <w:uiPriority w:val="99"/>
    <w:semiHidden/>
    <w:unhideWhenUsed/>
    <w:qFormat/>
    <w:rPr>
      <w:color w:val="605E5C"/>
      <w:shd w:val="clear" w:color="auto" w:fill="E1DFDD"/>
    </w:rPr>
  </w:style>
  <w:style w:type="character" w:customStyle="1" w:styleId="100">
    <w:name w:val="未处理的提及10"/>
    <w:basedOn w:val="a0"/>
    <w:uiPriority w:val="99"/>
    <w:semiHidden/>
    <w:unhideWhenUsed/>
    <w:qFormat/>
    <w:rPr>
      <w:color w:val="605E5C"/>
      <w:shd w:val="clear" w:color="auto" w:fill="E1DFDD"/>
    </w:rPr>
  </w:style>
  <w:style w:type="character" w:customStyle="1" w:styleId="110">
    <w:name w:val="未处理的提及1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批注文字 Char"/>
    <w:basedOn w:val="a0"/>
    <w:link w:val="a3"/>
    <w:rPr>
      <w:rFonts w:ascii="Calibri" w:eastAsia="宋体" w:hAnsi="Calibri" w:cs="宋体"/>
      <w:kern w:val="2"/>
      <w:sz w:val="21"/>
      <w:szCs w:val="21"/>
    </w:rPr>
  </w:style>
  <w:style w:type="character" w:customStyle="1" w:styleId="Char0">
    <w:name w:val="正文文本 Char"/>
    <w:basedOn w:val="a0"/>
    <w:link w:val="a4"/>
    <w:uiPriority w:val="99"/>
    <w:qFormat/>
    <w:rPr>
      <w:rFonts w:ascii="Calibri" w:eastAsia="MS Mincho" w:hAnsi="Calibri" w:cs="宋体"/>
      <w:b/>
      <w:bCs/>
      <w:kern w:val="2"/>
      <w:sz w:val="21"/>
      <w:szCs w:val="21"/>
      <w:lang w:eastAsia="ja-JP"/>
    </w:rPr>
  </w:style>
  <w:style w:type="character" w:customStyle="1" w:styleId="Char2">
    <w:name w:val="批注框文本 Char"/>
    <w:basedOn w:val="a0"/>
    <w:link w:val="a6"/>
    <w:qFormat/>
    <w:rPr>
      <w:rFonts w:cs="宋体"/>
      <w:kern w:val="2"/>
      <w:sz w:val="18"/>
      <w:szCs w:val="18"/>
    </w:rPr>
  </w:style>
  <w:style w:type="character" w:customStyle="1" w:styleId="result">
    <w:name w:val="result"/>
    <w:basedOn w:val="a0"/>
    <w:qFormat/>
    <w:rPr>
      <w:color w:val="000080"/>
    </w:rPr>
  </w:style>
  <w:style w:type="character" w:customStyle="1" w:styleId="Char1">
    <w:name w:val="纯文本 Char"/>
    <w:basedOn w:val="a0"/>
    <w:link w:val="a5"/>
    <w:uiPriority w:val="99"/>
    <w:qFormat/>
    <w:rPr>
      <w:rFonts w:ascii="宋体" w:hAnsi="Courier New" w:cs="Courier New"/>
      <w:kern w:val="2"/>
      <w:sz w:val="21"/>
      <w:szCs w:val="21"/>
    </w:rPr>
  </w:style>
  <w:style w:type="character" w:customStyle="1" w:styleId="Char5">
    <w:name w:val="批注主题 Char"/>
    <w:basedOn w:val="Char"/>
    <w:link w:val="aa"/>
    <w:semiHidden/>
    <w:qFormat/>
    <w:rPr>
      <w:rFonts w:ascii="Calibri" w:eastAsia="宋体" w:hAnsi="Calibri" w:cs="宋体"/>
      <w:b/>
      <w:bCs/>
      <w:kern w:val="2"/>
      <w:sz w:val="21"/>
      <w:szCs w:val="21"/>
    </w:rPr>
  </w:style>
  <w:style w:type="character" w:customStyle="1" w:styleId="jrnl">
    <w:name w:val="jrnl"/>
    <w:basedOn w:val="a0"/>
    <w:qFormat/>
  </w:style>
  <w:style w:type="character" w:customStyle="1" w:styleId="13">
    <w:name w:val="批注文字 字符1"/>
    <w:basedOn w:val="a0"/>
    <w:uiPriority w:val="99"/>
    <w:qFormat/>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unhideWhenUsed="0" w:qFormat="1"/>
    <w:lsdException w:name="footer" w:semiHidden="0" w:unhideWhenUsed="0" w:qFormat="1"/>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iPriority="20" w:unhideWhenUsed="0" w:qFormat="1"/>
    <w:lsdException w:name="Plain Text" w:semiHidden="0" w:uiPriority="99"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480" w:lineRule="auto"/>
      <w:jc w:val="both"/>
    </w:pPr>
    <w:rPr>
      <w:rFonts w:cs="宋体"/>
      <w:kern w:val="2"/>
      <w:sz w:val="21"/>
      <w:szCs w:val="21"/>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ody Text"/>
    <w:basedOn w:val="a"/>
    <w:link w:val="Char0"/>
    <w:uiPriority w:val="99"/>
    <w:qFormat/>
    <w:rPr>
      <w:rFonts w:eastAsia="MS Mincho"/>
      <w:b/>
      <w:bCs/>
      <w:lang w:eastAsia="ja-JP"/>
    </w:rPr>
  </w:style>
  <w:style w:type="paragraph" w:styleId="a5">
    <w:name w:val="Plain Text"/>
    <w:basedOn w:val="a"/>
    <w:link w:val="Char1"/>
    <w:uiPriority w:val="99"/>
    <w:unhideWhenUsed/>
    <w:qFormat/>
    <w:pPr>
      <w:autoSpaceDE/>
      <w:autoSpaceDN/>
      <w:adjustRightInd/>
      <w:spacing w:line="240" w:lineRule="auto"/>
    </w:pPr>
    <w:rPr>
      <w:rFonts w:ascii="宋体" w:hAnsi="Courier New" w:cs="Courier New"/>
    </w:rPr>
  </w:style>
  <w:style w:type="paragraph" w:styleId="a6">
    <w:name w:val="Balloon Text"/>
    <w:basedOn w:val="a"/>
    <w:link w:val="Char2"/>
    <w:pPr>
      <w:spacing w:line="240" w:lineRule="auto"/>
    </w:pPr>
    <w:rPr>
      <w:sz w:val="18"/>
      <w:szCs w:val="18"/>
    </w:rPr>
  </w:style>
  <w:style w:type="paragraph" w:styleId="a7">
    <w:name w:val="footer"/>
    <w:basedOn w:val="a"/>
    <w:link w:val="Char3"/>
    <w:qFormat/>
    <w:pPr>
      <w:tabs>
        <w:tab w:val="center" w:pos="4153"/>
        <w:tab w:val="right" w:pos="8306"/>
      </w:tabs>
      <w:snapToGrid w:val="0"/>
      <w:spacing w:line="240" w:lineRule="auto"/>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unhideWhenUsed/>
    <w:qFormat/>
    <w:pPr>
      <w:widowControl/>
      <w:autoSpaceDE/>
      <w:autoSpaceDN/>
      <w:adjustRightInd/>
      <w:spacing w:before="100" w:beforeAutospacing="1" w:after="100" w:afterAutospacing="1" w:line="240" w:lineRule="auto"/>
      <w:jc w:val="left"/>
    </w:pPr>
    <w:rPr>
      <w:rFonts w:ascii="宋体" w:hAnsi="宋体"/>
      <w:kern w:val="0"/>
      <w:sz w:val="24"/>
      <w:szCs w:val="24"/>
    </w:rPr>
  </w:style>
  <w:style w:type="paragraph" w:styleId="aa">
    <w:name w:val="annotation subject"/>
    <w:basedOn w:val="a3"/>
    <w:next w:val="a3"/>
    <w:link w:val="Char5"/>
    <w:semiHidden/>
    <w:unhideWhenUsed/>
    <w:qFormat/>
    <w:pPr>
      <w:spacing w:line="240" w:lineRule="auto"/>
      <w:jc w:val="both"/>
    </w:pPr>
    <w:rPr>
      <w:b/>
      <w:bCs/>
      <w:sz w:val="20"/>
      <w:szCs w:val="20"/>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Pr>
      <w:i/>
      <w:iCs/>
    </w:rPr>
  </w:style>
  <w:style w:type="character" w:styleId="ad">
    <w:name w:val="Hyperlink"/>
    <w:basedOn w:val="a0"/>
    <w:uiPriority w:val="99"/>
    <w:qFormat/>
    <w:rPr>
      <w:color w:val="0000FF"/>
      <w:u w:val="single"/>
    </w:rPr>
  </w:style>
  <w:style w:type="character" w:styleId="ae">
    <w:name w:val="annotation reference"/>
    <w:basedOn w:val="a0"/>
    <w:uiPriority w:val="99"/>
    <w:unhideWhenUsed/>
    <w:qFormat/>
    <w:rPr>
      <w:sz w:val="16"/>
      <w:szCs w:val="16"/>
    </w:rPr>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qFormat/>
    <w:rPr>
      <w:rFonts w:ascii="Times New Roman" w:eastAsia="宋体" w:hAnsi="Times New Roman" w:cs="Times New Roman"/>
      <w:sz w:val="18"/>
      <w:szCs w:val="18"/>
    </w:rPr>
  </w:style>
  <w:style w:type="character" w:customStyle="1" w:styleId="10">
    <w:name w:val="未处理的提及1"/>
    <w:basedOn w:val="a0"/>
    <w:uiPriority w:val="99"/>
    <w:semiHidden/>
    <w:unhideWhenUsed/>
    <w:qFormat/>
    <w:rPr>
      <w:color w:val="605E5C"/>
      <w:shd w:val="clear" w:color="auto" w:fill="E1DFDD"/>
    </w:rPr>
  </w:style>
  <w:style w:type="paragraph" w:styleId="af">
    <w:name w:val="List Paragraph"/>
    <w:basedOn w:val="a"/>
    <w:uiPriority w:val="1"/>
    <w:qFormat/>
    <w:pPr>
      <w:ind w:left="520" w:right="108" w:hanging="370"/>
    </w:pPr>
    <w:rPr>
      <w:rFonts w:eastAsia="Times New Roman"/>
      <w:lang w:eastAsia="en-US" w:bidi="en-US"/>
    </w:rPr>
  </w:style>
  <w:style w:type="character" w:customStyle="1" w:styleId="2">
    <w:name w:val="未处理的提及2"/>
    <w:basedOn w:val="a0"/>
    <w:uiPriority w:val="99"/>
    <w:semiHidden/>
    <w:unhideWhenUsed/>
    <w:qFormat/>
    <w:rPr>
      <w:color w:val="605E5C"/>
      <w:shd w:val="clear" w:color="auto" w:fill="E1DFDD"/>
    </w:rPr>
  </w:style>
  <w:style w:type="character" w:customStyle="1" w:styleId="3">
    <w:name w:val="未处理的提及3"/>
    <w:basedOn w:val="a0"/>
    <w:uiPriority w:val="99"/>
    <w:semiHidden/>
    <w:unhideWhenUsed/>
    <w:qFormat/>
    <w:rPr>
      <w:color w:val="605E5C"/>
      <w:shd w:val="clear" w:color="auto" w:fill="E1DFDD"/>
    </w:rPr>
  </w:style>
  <w:style w:type="character" w:customStyle="1" w:styleId="4">
    <w:name w:val="未处理的提及4"/>
    <w:basedOn w:val="a0"/>
    <w:uiPriority w:val="99"/>
    <w:semiHidden/>
    <w:unhideWhenUsed/>
    <w:qFormat/>
    <w:rPr>
      <w:color w:val="605E5C"/>
      <w:shd w:val="clear" w:color="auto" w:fill="E1DFDD"/>
    </w:rPr>
  </w:style>
  <w:style w:type="character" w:customStyle="1" w:styleId="5">
    <w:name w:val="未处理的提及5"/>
    <w:basedOn w:val="a0"/>
    <w:uiPriority w:val="99"/>
    <w:semiHidden/>
    <w:unhideWhenUsed/>
    <w:qFormat/>
    <w:rPr>
      <w:color w:val="605E5C"/>
      <w:shd w:val="clear" w:color="auto" w:fill="E1DFDD"/>
    </w:rPr>
  </w:style>
  <w:style w:type="paragraph" w:customStyle="1" w:styleId="11">
    <w:name w:val="正文1"/>
    <w:uiPriority w:val="99"/>
    <w:qFormat/>
    <w:pPr>
      <w:jc w:val="both"/>
    </w:pPr>
    <w:rPr>
      <w:rFonts w:cs="宋体"/>
      <w:kern w:val="2"/>
      <w:sz w:val="21"/>
      <w:szCs w:val="21"/>
    </w:rPr>
  </w:style>
  <w:style w:type="paragraph" w:customStyle="1" w:styleId="20">
    <w:name w:val="正文2"/>
    <w:basedOn w:val="a"/>
    <w:qFormat/>
    <w:pPr>
      <w:widowControl/>
      <w:autoSpaceDE/>
      <w:autoSpaceDN/>
      <w:adjustRightInd/>
      <w:spacing w:line="240" w:lineRule="auto"/>
    </w:pPr>
  </w:style>
  <w:style w:type="paragraph" w:customStyle="1" w:styleId="12">
    <w:name w:val="列表段落1"/>
    <w:basedOn w:val="a"/>
    <w:qFormat/>
    <w:pPr>
      <w:spacing w:before="100" w:beforeAutospacing="1" w:after="100" w:afterAutospacing="1"/>
      <w:ind w:left="520" w:right="108" w:hanging="370"/>
    </w:pPr>
    <w:rPr>
      <w:rFonts w:eastAsia="Times New Roman"/>
    </w:rPr>
  </w:style>
  <w:style w:type="character" w:customStyle="1" w:styleId="6">
    <w:name w:val="未处理的提及6"/>
    <w:basedOn w:val="a0"/>
    <w:uiPriority w:val="99"/>
    <w:semiHidden/>
    <w:unhideWhenUsed/>
    <w:qFormat/>
    <w:rPr>
      <w:color w:val="605E5C"/>
      <w:shd w:val="clear" w:color="auto" w:fill="E1DFDD"/>
    </w:rPr>
  </w:style>
  <w:style w:type="paragraph" w:customStyle="1" w:styleId="30">
    <w:name w:val="正文3"/>
    <w:basedOn w:val="a"/>
    <w:qFormat/>
    <w:pPr>
      <w:widowControl/>
      <w:autoSpaceDE/>
      <w:autoSpaceDN/>
      <w:adjustRightInd/>
      <w:spacing w:line="240" w:lineRule="auto"/>
    </w:pPr>
  </w:style>
  <w:style w:type="paragraph" w:customStyle="1" w:styleId="ListParagraph1">
    <w:name w:val="List Paragraph1"/>
    <w:basedOn w:val="a"/>
    <w:qFormat/>
    <w:pPr>
      <w:spacing w:before="100" w:beforeAutospacing="1" w:after="100" w:afterAutospacing="1"/>
      <w:ind w:left="520" w:right="108" w:hanging="370"/>
    </w:pPr>
    <w:rPr>
      <w:rFonts w:eastAsia="Times New Roman"/>
    </w:rPr>
  </w:style>
  <w:style w:type="character" w:customStyle="1" w:styleId="7">
    <w:name w:val="未处理的提及7"/>
    <w:basedOn w:val="a0"/>
    <w:uiPriority w:val="99"/>
    <w:semiHidden/>
    <w:unhideWhenUsed/>
    <w:qFormat/>
    <w:rPr>
      <w:color w:val="605E5C"/>
      <w:shd w:val="clear" w:color="auto" w:fill="E1DFDD"/>
    </w:rPr>
  </w:style>
  <w:style w:type="character" w:customStyle="1" w:styleId="8">
    <w:name w:val="未处理的提及8"/>
    <w:basedOn w:val="a0"/>
    <w:uiPriority w:val="99"/>
    <w:semiHidden/>
    <w:unhideWhenUsed/>
    <w:qFormat/>
    <w:rPr>
      <w:color w:val="605E5C"/>
      <w:shd w:val="clear" w:color="auto" w:fill="E1DFDD"/>
    </w:rPr>
  </w:style>
  <w:style w:type="character" w:customStyle="1" w:styleId="9">
    <w:name w:val="未处理的提及9"/>
    <w:basedOn w:val="a0"/>
    <w:uiPriority w:val="99"/>
    <w:semiHidden/>
    <w:unhideWhenUsed/>
    <w:qFormat/>
    <w:rPr>
      <w:color w:val="605E5C"/>
      <w:shd w:val="clear" w:color="auto" w:fill="E1DFDD"/>
    </w:rPr>
  </w:style>
  <w:style w:type="character" w:customStyle="1" w:styleId="100">
    <w:name w:val="未处理的提及10"/>
    <w:basedOn w:val="a0"/>
    <w:uiPriority w:val="99"/>
    <w:semiHidden/>
    <w:unhideWhenUsed/>
    <w:qFormat/>
    <w:rPr>
      <w:color w:val="605E5C"/>
      <w:shd w:val="clear" w:color="auto" w:fill="E1DFDD"/>
    </w:rPr>
  </w:style>
  <w:style w:type="character" w:customStyle="1" w:styleId="110">
    <w:name w:val="未处理的提及1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批注文字 Char"/>
    <w:basedOn w:val="a0"/>
    <w:link w:val="a3"/>
    <w:rPr>
      <w:rFonts w:ascii="Calibri" w:eastAsia="宋体" w:hAnsi="Calibri" w:cs="宋体"/>
      <w:kern w:val="2"/>
      <w:sz w:val="21"/>
      <w:szCs w:val="21"/>
    </w:rPr>
  </w:style>
  <w:style w:type="character" w:customStyle="1" w:styleId="Char0">
    <w:name w:val="正文文本 Char"/>
    <w:basedOn w:val="a0"/>
    <w:link w:val="a4"/>
    <w:uiPriority w:val="99"/>
    <w:qFormat/>
    <w:rPr>
      <w:rFonts w:ascii="Calibri" w:eastAsia="MS Mincho" w:hAnsi="Calibri" w:cs="宋体"/>
      <w:b/>
      <w:bCs/>
      <w:kern w:val="2"/>
      <w:sz w:val="21"/>
      <w:szCs w:val="21"/>
      <w:lang w:eastAsia="ja-JP"/>
    </w:rPr>
  </w:style>
  <w:style w:type="character" w:customStyle="1" w:styleId="Char2">
    <w:name w:val="批注框文本 Char"/>
    <w:basedOn w:val="a0"/>
    <w:link w:val="a6"/>
    <w:qFormat/>
    <w:rPr>
      <w:rFonts w:cs="宋体"/>
      <w:kern w:val="2"/>
      <w:sz w:val="18"/>
      <w:szCs w:val="18"/>
    </w:rPr>
  </w:style>
  <w:style w:type="character" w:customStyle="1" w:styleId="result">
    <w:name w:val="result"/>
    <w:basedOn w:val="a0"/>
    <w:qFormat/>
    <w:rPr>
      <w:color w:val="000080"/>
    </w:rPr>
  </w:style>
  <w:style w:type="character" w:customStyle="1" w:styleId="Char1">
    <w:name w:val="纯文本 Char"/>
    <w:basedOn w:val="a0"/>
    <w:link w:val="a5"/>
    <w:uiPriority w:val="99"/>
    <w:qFormat/>
    <w:rPr>
      <w:rFonts w:ascii="宋体" w:hAnsi="Courier New" w:cs="Courier New"/>
      <w:kern w:val="2"/>
      <w:sz w:val="21"/>
      <w:szCs w:val="21"/>
    </w:rPr>
  </w:style>
  <w:style w:type="character" w:customStyle="1" w:styleId="Char5">
    <w:name w:val="批注主题 Char"/>
    <w:basedOn w:val="Char"/>
    <w:link w:val="aa"/>
    <w:semiHidden/>
    <w:qFormat/>
    <w:rPr>
      <w:rFonts w:ascii="Calibri" w:eastAsia="宋体" w:hAnsi="Calibri" w:cs="宋体"/>
      <w:b/>
      <w:bCs/>
      <w:kern w:val="2"/>
      <w:sz w:val="21"/>
      <w:szCs w:val="21"/>
    </w:rPr>
  </w:style>
  <w:style w:type="character" w:customStyle="1" w:styleId="jrnl">
    <w:name w:val="jrnl"/>
    <w:basedOn w:val="a0"/>
    <w:qFormat/>
  </w:style>
  <w:style w:type="character" w:customStyle="1" w:styleId="13">
    <w:name w:val="批注文字 字符1"/>
    <w:basedOn w:val="a0"/>
    <w:uiPriority w:val="99"/>
    <w:qFormat/>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nyi.so.com/" TargetMode="External"/><Relationship Id="rId18" Type="http://schemas.openxmlformats.org/officeDocument/2006/relationships/hyperlink" Target="https://fanyi.so.co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ncbi.nlm.nih.gov/pubmed/?term=Ding%20NS%5bAuthor%5d&amp;cauthor=true&amp;cauthor_uid=26212020" TargetMode="External"/><Relationship Id="rId17" Type="http://schemas.openxmlformats.org/officeDocument/2006/relationships/hyperlink" Target="https://fanyi.so.com/" TargetMode="External"/><Relationship Id="rId2" Type="http://schemas.openxmlformats.org/officeDocument/2006/relationships/customXml" Target="../customXml/item2.xml"/><Relationship Id="rId16" Type="http://schemas.openxmlformats.org/officeDocument/2006/relationships/hyperlink" Target="https://fanyi.so.com/?src=onebox" TargetMode="External"/><Relationship Id="rId20" Type="http://schemas.openxmlformats.org/officeDocument/2006/relationships/hyperlink" Target="https://fanyi.s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nyi.s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anyi.so.com/" TargetMode="External"/><Relationship Id="rId23" Type="http://schemas.openxmlformats.org/officeDocument/2006/relationships/fontTable" Target="fontTable.xml"/><Relationship Id="rId10" Type="http://schemas.openxmlformats.org/officeDocument/2006/relationships/hyperlink" Target="https://fanyi.so.com/" TargetMode="External"/><Relationship Id="rId19" Type="http://schemas.openxmlformats.org/officeDocument/2006/relationships/hyperlink" Target="https://fanyi.so.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s://fanyi.so.com/?src=onebox"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DD579-B869-459A-BBF1-9892C3BB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6520</Words>
  <Characters>37164</Characters>
  <Application>Microsoft Office Word</Application>
  <DocSecurity>0</DocSecurity>
  <Lines>309</Lines>
  <Paragraphs>87</Paragraphs>
  <ScaleCrop>false</ScaleCrop>
  <LinksUpToDate>false</LinksUpToDate>
  <CharactersWithSpaces>43597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2019-09-01T08:10:00Z</dcterms:created>
  <dcterms:modified xsi:type="dcterms:W3CDTF">2019-09-19T03:20:00Z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