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5768" w14:textId="220554B6" w:rsidR="00581343" w:rsidRPr="00CE02BD" w:rsidRDefault="00581343"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 xml:space="preserve">Name of Journal: </w:t>
      </w:r>
      <w:r w:rsidRPr="00CE02BD">
        <w:rPr>
          <w:rFonts w:ascii="Book Antiqua" w:hAnsi="Book Antiqua"/>
          <w:b/>
          <w:i/>
          <w:iCs/>
          <w:sz w:val="24"/>
          <w:szCs w:val="24"/>
          <w:lang w:val="en-US"/>
        </w:rPr>
        <w:t>World Journal of Gastroenterology</w:t>
      </w:r>
    </w:p>
    <w:p w14:paraId="1DA6F8AE" w14:textId="142CF192" w:rsidR="0092122F" w:rsidRPr="00CE02BD" w:rsidRDefault="00397CC0"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Manuscript</w:t>
      </w:r>
      <w:r w:rsidR="0092122F" w:rsidRPr="00CE02BD">
        <w:rPr>
          <w:rFonts w:ascii="Book Antiqua" w:hAnsi="Book Antiqua"/>
          <w:b/>
          <w:sz w:val="24"/>
          <w:szCs w:val="24"/>
          <w:lang w:val="en-US"/>
        </w:rPr>
        <w:t xml:space="preserve"> </w:t>
      </w:r>
      <w:r w:rsidR="009A0BBE" w:rsidRPr="00CE02BD">
        <w:rPr>
          <w:rFonts w:ascii="Book Antiqua" w:hAnsi="Book Antiqua"/>
          <w:b/>
          <w:sz w:val="24"/>
          <w:szCs w:val="24"/>
          <w:lang w:val="en-US"/>
        </w:rPr>
        <w:t>NO</w:t>
      </w:r>
      <w:r w:rsidR="0092122F" w:rsidRPr="00CE02BD">
        <w:rPr>
          <w:rFonts w:ascii="Book Antiqua" w:hAnsi="Book Antiqua"/>
          <w:b/>
          <w:sz w:val="24"/>
          <w:szCs w:val="24"/>
          <w:lang w:val="en-US"/>
        </w:rPr>
        <w:t xml:space="preserve">: </w:t>
      </w:r>
      <w:r w:rsidR="001669AA" w:rsidRPr="00CE02BD">
        <w:rPr>
          <w:rFonts w:ascii="Book Antiqua" w:hAnsi="Book Antiqua"/>
          <w:b/>
          <w:sz w:val="24"/>
          <w:szCs w:val="24"/>
          <w:lang w:val="en-US"/>
        </w:rPr>
        <w:t>51298</w:t>
      </w:r>
    </w:p>
    <w:p w14:paraId="1FA310B5" w14:textId="77777777" w:rsidR="009A0BBE" w:rsidRPr="00CE02BD" w:rsidRDefault="009A0BBE"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Manuscript Type: REVIEW</w:t>
      </w:r>
    </w:p>
    <w:p w14:paraId="0E946EA8" w14:textId="77777777" w:rsidR="00581343" w:rsidRPr="00CE02BD" w:rsidRDefault="00581343" w:rsidP="000F1138">
      <w:pPr>
        <w:adjustRightInd w:val="0"/>
        <w:snapToGrid w:val="0"/>
        <w:spacing w:after="0" w:line="360" w:lineRule="auto"/>
        <w:jc w:val="both"/>
        <w:rPr>
          <w:rFonts w:ascii="Book Antiqua" w:hAnsi="Book Antiqua"/>
          <w:b/>
          <w:sz w:val="24"/>
          <w:szCs w:val="24"/>
          <w:lang w:val="en-US"/>
        </w:rPr>
      </w:pPr>
    </w:p>
    <w:p w14:paraId="15DD3F4F" w14:textId="67242335" w:rsidR="00940BA3" w:rsidRPr="00CE02BD" w:rsidRDefault="00974CCB"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Disease monitoring strateg</w:t>
      </w:r>
      <w:r w:rsidR="00A30D47" w:rsidRPr="00CE02BD">
        <w:rPr>
          <w:rFonts w:ascii="Book Antiqua" w:hAnsi="Book Antiqua"/>
          <w:b/>
          <w:sz w:val="24"/>
          <w:szCs w:val="24"/>
          <w:lang w:val="en-US"/>
        </w:rPr>
        <w:t xml:space="preserve">ies in </w:t>
      </w:r>
      <w:r w:rsidR="00AB461A" w:rsidRPr="00CE02BD">
        <w:rPr>
          <w:rFonts w:ascii="Book Antiqua" w:hAnsi="Book Antiqua"/>
          <w:b/>
          <w:sz w:val="24"/>
          <w:szCs w:val="24"/>
          <w:lang w:val="en-US"/>
        </w:rPr>
        <w:t>inflammatory bowel diseases</w:t>
      </w:r>
      <w:r w:rsidR="00A30D47" w:rsidRPr="00CE02BD">
        <w:rPr>
          <w:rFonts w:ascii="Book Antiqua" w:hAnsi="Book Antiqua"/>
          <w:b/>
          <w:sz w:val="24"/>
          <w:szCs w:val="24"/>
          <w:lang w:val="en-US"/>
        </w:rPr>
        <w:t xml:space="preserve">: </w:t>
      </w:r>
      <w:r w:rsidR="009A0BBE" w:rsidRPr="00CE02BD">
        <w:rPr>
          <w:rFonts w:ascii="Book Antiqua" w:hAnsi="Book Antiqua"/>
          <w:b/>
          <w:sz w:val="24"/>
          <w:szCs w:val="24"/>
          <w:lang w:val="en-US"/>
        </w:rPr>
        <w:t>W</w:t>
      </w:r>
      <w:r w:rsidR="00A30D47" w:rsidRPr="00CE02BD">
        <w:rPr>
          <w:rFonts w:ascii="Book Antiqua" w:hAnsi="Book Antiqua"/>
          <w:b/>
          <w:sz w:val="24"/>
          <w:szCs w:val="24"/>
          <w:lang w:val="en-US"/>
        </w:rPr>
        <w:t xml:space="preserve">hat do we mean by </w:t>
      </w:r>
      <w:r w:rsidR="00A26A85" w:rsidRPr="00CE02BD">
        <w:rPr>
          <w:rFonts w:ascii="Book Antiqua" w:hAnsi="Book Antiqua"/>
          <w:b/>
          <w:sz w:val="24"/>
          <w:szCs w:val="24"/>
          <w:lang w:val="en-US" w:eastAsia="zh-CN"/>
        </w:rPr>
        <w:t>“</w:t>
      </w:r>
      <w:r w:rsidR="00A30D47" w:rsidRPr="00CE02BD">
        <w:rPr>
          <w:rFonts w:ascii="Book Antiqua" w:hAnsi="Book Antiqua"/>
          <w:b/>
          <w:sz w:val="24"/>
          <w:szCs w:val="24"/>
          <w:lang w:val="en-US"/>
        </w:rPr>
        <w:t>tight control</w:t>
      </w:r>
      <w:r w:rsidR="00A26A85" w:rsidRPr="00CE02BD">
        <w:rPr>
          <w:rFonts w:ascii="Book Antiqua" w:hAnsi="Book Antiqua"/>
          <w:b/>
          <w:sz w:val="24"/>
          <w:szCs w:val="24"/>
          <w:lang w:val="en-US" w:eastAsia="zh-CN"/>
        </w:rPr>
        <w:t>”</w:t>
      </w:r>
      <w:r w:rsidRPr="00CE02BD">
        <w:rPr>
          <w:rFonts w:ascii="Book Antiqua" w:hAnsi="Book Antiqua"/>
          <w:b/>
          <w:sz w:val="24"/>
          <w:szCs w:val="24"/>
          <w:lang w:val="en-US"/>
        </w:rPr>
        <w:t>?</w:t>
      </w:r>
    </w:p>
    <w:p w14:paraId="29ADC4DB" w14:textId="77777777" w:rsidR="001669AA" w:rsidRPr="00CE02BD" w:rsidRDefault="001669AA" w:rsidP="000F1138">
      <w:pPr>
        <w:adjustRightInd w:val="0"/>
        <w:snapToGrid w:val="0"/>
        <w:spacing w:after="0" w:line="360" w:lineRule="auto"/>
        <w:jc w:val="both"/>
        <w:rPr>
          <w:rFonts w:ascii="Book Antiqua" w:hAnsi="Book Antiqua"/>
          <w:b/>
          <w:sz w:val="24"/>
          <w:szCs w:val="24"/>
          <w:lang w:val="en-US"/>
        </w:rPr>
      </w:pPr>
    </w:p>
    <w:p w14:paraId="63D27ACF" w14:textId="144B2206" w:rsidR="00974CCB" w:rsidRPr="00CE02BD" w:rsidRDefault="009411E5"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Gonczi</w:t>
      </w:r>
      <w:r w:rsidR="009A0BBE" w:rsidRPr="00CE02BD">
        <w:rPr>
          <w:rFonts w:ascii="Book Antiqua" w:hAnsi="Book Antiqua"/>
          <w:sz w:val="24"/>
          <w:szCs w:val="24"/>
          <w:lang w:val="en-US"/>
        </w:rPr>
        <w:t xml:space="preserve"> L</w:t>
      </w:r>
      <w:r w:rsidR="00581343" w:rsidRPr="00CE02BD">
        <w:rPr>
          <w:rFonts w:ascii="Book Antiqua" w:hAnsi="Book Antiqua"/>
          <w:sz w:val="24"/>
          <w:szCs w:val="24"/>
          <w:lang w:val="en-US"/>
        </w:rPr>
        <w:t xml:space="preserve"> </w:t>
      </w:r>
      <w:r w:rsidR="00967F41" w:rsidRPr="00CE02BD">
        <w:rPr>
          <w:rFonts w:ascii="Book Antiqua" w:hAnsi="Book Antiqua"/>
          <w:i/>
          <w:sz w:val="24"/>
          <w:szCs w:val="24"/>
          <w:lang w:val="en-US"/>
        </w:rPr>
        <w:t>et al.</w:t>
      </w:r>
      <w:r w:rsidR="008D6775" w:rsidRPr="00CE02BD">
        <w:rPr>
          <w:rFonts w:ascii="Book Antiqua" w:hAnsi="Book Antiqua"/>
          <w:sz w:val="24"/>
          <w:szCs w:val="24"/>
          <w:lang w:val="en-US"/>
        </w:rPr>
        <w:t xml:space="preserve"> Treat-to-</w:t>
      </w:r>
      <w:r w:rsidR="00581343" w:rsidRPr="00CE02BD">
        <w:rPr>
          <w:rFonts w:ascii="Book Antiqua" w:hAnsi="Book Antiqua"/>
          <w:sz w:val="24"/>
          <w:szCs w:val="24"/>
          <w:lang w:val="en-US"/>
        </w:rPr>
        <w:t>target in IBD</w:t>
      </w:r>
    </w:p>
    <w:p w14:paraId="0131DA02"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70852516" w14:textId="5471E641" w:rsidR="00581343"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Lorant Gonczi, Talat Bessissow, Peter L</w:t>
      </w:r>
      <w:r w:rsidR="00BA0528" w:rsidRPr="00CE02BD">
        <w:rPr>
          <w:rFonts w:ascii="Book Antiqua" w:hAnsi="Book Antiqua"/>
          <w:bCs/>
          <w:sz w:val="24"/>
          <w:szCs w:val="24"/>
          <w:lang w:val="en-US"/>
        </w:rPr>
        <w:t>aszlo</w:t>
      </w:r>
      <w:r w:rsidRPr="00CE02BD">
        <w:rPr>
          <w:rFonts w:ascii="Book Antiqua" w:hAnsi="Book Antiqua"/>
          <w:sz w:val="24"/>
          <w:szCs w:val="24"/>
          <w:lang w:val="en-US"/>
        </w:rPr>
        <w:t xml:space="preserve"> Lakatos</w:t>
      </w:r>
    </w:p>
    <w:p w14:paraId="296E8F16"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11741AA2" w14:textId="46BD45FB" w:rsidR="00581343"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sz w:val="24"/>
          <w:szCs w:val="24"/>
          <w:lang w:val="en-US"/>
        </w:rPr>
        <w:t>Lorant Gonczi, Peter L</w:t>
      </w:r>
      <w:r w:rsidR="00906DA5" w:rsidRPr="00CE02BD">
        <w:rPr>
          <w:rFonts w:ascii="Book Antiqua" w:hAnsi="Book Antiqua"/>
          <w:b/>
          <w:sz w:val="24"/>
          <w:szCs w:val="24"/>
          <w:lang w:val="en-US"/>
        </w:rPr>
        <w:t>aszlo</w:t>
      </w:r>
      <w:r w:rsidRPr="00CE02BD">
        <w:rPr>
          <w:rFonts w:ascii="Book Antiqua" w:hAnsi="Book Antiqua"/>
          <w:b/>
          <w:sz w:val="24"/>
          <w:szCs w:val="24"/>
          <w:lang w:val="en-US"/>
        </w:rPr>
        <w:t xml:space="preserve"> Lakatos,</w:t>
      </w:r>
      <w:r w:rsidRPr="00CE02BD">
        <w:rPr>
          <w:rFonts w:ascii="Book Antiqua" w:hAnsi="Book Antiqua"/>
          <w:sz w:val="24"/>
          <w:szCs w:val="24"/>
          <w:lang w:val="en-US"/>
        </w:rPr>
        <w:t xml:space="preserve"> First Department of Medicine, Semmelweis University, Budapest</w:t>
      </w:r>
      <w:r w:rsidR="003E65C0" w:rsidRPr="00CE02BD">
        <w:rPr>
          <w:rFonts w:ascii="Book Antiqua" w:hAnsi="Book Antiqua"/>
          <w:sz w:val="24"/>
          <w:szCs w:val="24"/>
          <w:lang w:val="en-US"/>
        </w:rPr>
        <w:t xml:space="preserve"> H-1083,</w:t>
      </w:r>
      <w:r w:rsidRPr="00CE02BD">
        <w:rPr>
          <w:rFonts w:ascii="Book Antiqua" w:hAnsi="Book Antiqua"/>
          <w:sz w:val="24"/>
          <w:szCs w:val="24"/>
          <w:lang w:val="en-US"/>
        </w:rPr>
        <w:t xml:space="preserve"> Hungary</w:t>
      </w:r>
    </w:p>
    <w:p w14:paraId="002E5769" w14:textId="77777777" w:rsidR="009A0BBE" w:rsidRPr="00CE02BD" w:rsidRDefault="009A0BBE" w:rsidP="000F1138">
      <w:pPr>
        <w:adjustRightInd w:val="0"/>
        <w:snapToGrid w:val="0"/>
        <w:spacing w:after="0" w:line="360" w:lineRule="auto"/>
        <w:jc w:val="both"/>
        <w:rPr>
          <w:rFonts w:ascii="Book Antiqua" w:hAnsi="Book Antiqua"/>
          <w:sz w:val="24"/>
          <w:szCs w:val="24"/>
          <w:lang w:val="en-US"/>
        </w:rPr>
      </w:pPr>
    </w:p>
    <w:p w14:paraId="1CBE517C" w14:textId="7EAB3F7F" w:rsidR="00974CCB"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sz w:val="24"/>
          <w:szCs w:val="24"/>
          <w:lang w:val="en-US"/>
        </w:rPr>
        <w:t>Talat Bessissow, Peter L</w:t>
      </w:r>
      <w:r w:rsidR="00906DA5" w:rsidRPr="00CE02BD">
        <w:rPr>
          <w:rFonts w:ascii="Book Antiqua" w:hAnsi="Book Antiqua"/>
          <w:b/>
          <w:sz w:val="24"/>
          <w:szCs w:val="24"/>
          <w:lang w:val="en-US"/>
        </w:rPr>
        <w:t>aszlo</w:t>
      </w:r>
      <w:r w:rsidRPr="00CE02BD">
        <w:rPr>
          <w:rFonts w:ascii="Book Antiqua" w:hAnsi="Book Antiqua"/>
          <w:b/>
          <w:sz w:val="24"/>
          <w:szCs w:val="24"/>
          <w:lang w:val="en-US"/>
        </w:rPr>
        <w:t xml:space="preserve"> Lakatos,</w:t>
      </w:r>
      <w:r w:rsidRPr="00CE02BD">
        <w:rPr>
          <w:rFonts w:ascii="Book Antiqua" w:hAnsi="Book Antiqua"/>
          <w:sz w:val="24"/>
          <w:szCs w:val="24"/>
          <w:lang w:val="en-US"/>
        </w:rPr>
        <w:t xml:space="preserve"> </w:t>
      </w:r>
      <w:bookmarkStart w:id="0" w:name="_Hlk21766338"/>
      <w:r w:rsidRPr="00CE02BD">
        <w:rPr>
          <w:rFonts w:ascii="Book Antiqua" w:hAnsi="Book Antiqua"/>
          <w:sz w:val="24"/>
          <w:szCs w:val="24"/>
          <w:lang w:val="en-US"/>
        </w:rPr>
        <w:t>Division of Gastroenterology, McGill University Health Centre</w:t>
      </w:r>
      <w:bookmarkEnd w:id="0"/>
      <w:r w:rsidRPr="00CE02BD">
        <w:rPr>
          <w:rFonts w:ascii="Book Antiqua" w:hAnsi="Book Antiqua"/>
          <w:sz w:val="24"/>
          <w:szCs w:val="24"/>
          <w:lang w:val="en-US"/>
        </w:rPr>
        <w:t>, Montreal</w:t>
      </w:r>
      <w:r w:rsidR="003E65C0" w:rsidRPr="00CE02BD">
        <w:rPr>
          <w:rFonts w:ascii="Book Antiqua" w:hAnsi="Book Antiqua"/>
          <w:sz w:val="24"/>
          <w:szCs w:val="24"/>
          <w:lang w:val="en-US"/>
        </w:rPr>
        <w:t xml:space="preserve"> H3G</w:t>
      </w:r>
      <w:r w:rsidR="0057256D" w:rsidRPr="00CE02BD">
        <w:rPr>
          <w:rFonts w:ascii="Book Antiqua" w:hAnsi="Book Antiqua"/>
          <w:sz w:val="24"/>
          <w:szCs w:val="24"/>
          <w:lang w:val="en-US"/>
        </w:rPr>
        <w:t xml:space="preserve"> </w:t>
      </w:r>
      <w:r w:rsidR="003E65C0" w:rsidRPr="00CE02BD">
        <w:rPr>
          <w:rFonts w:ascii="Book Antiqua" w:hAnsi="Book Antiqua"/>
          <w:sz w:val="24"/>
          <w:szCs w:val="24"/>
          <w:lang w:val="en-US"/>
        </w:rPr>
        <w:t xml:space="preserve">1A4, </w:t>
      </w:r>
      <w:r w:rsidRPr="00CE02BD">
        <w:rPr>
          <w:rFonts w:ascii="Book Antiqua" w:hAnsi="Book Antiqua"/>
          <w:sz w:val="24"/>
          <w:szCs w:val="24"/>
          <w:lang w:val="en-US"/>
        </w:rPr>
        <w:t>Quebec, Canada</w:t>
      </w:r>
    </w:p>
    <w:p w14:paraId="2A73E52A"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3B2B4B75" w14:textId="54AA9168" w:rsidR="00581343" w:rsidRPr="00CE02BD" w:rsidRDefault="00581343" w:rsidP="000F1138">
      <w:pPr>
        <w:adjustRightInd w:val="0"/>
        <w:snapToGrid w:val="0"/>
        <w:spacing w:after="0" w:line="360" w:lineRule="auto"/>
        <w:jc w:val="both"/>
        <w:rPr>
          <w:rFonts w:ascii="Book Antiqua" w:hAnsi="Book Antiqua"/>
          <w:sz w:val="24"/>
          <w:szCs w:val="24"/>
          <w:lang w:val="en-US" w:eastAsia="zh-CN"/>
        </w:rPr>
      </w:pPr>
      <w:r w:rsidRPr="00CE02BD">
        <w:rPr>
          <w:rFonts w:ascii="Book Antiqua" w:hAnsi="Book Antiqua"/>
          <w:b/>
          <w:sz w:val="24"/>
          <w:szCs w:val="24"/>
          <w:lang w:val="en-US"/>
        </w:rPr>
        <w:t>ORCID number:</w:t>
      </w:r>
      <w:r w:rsidRPr="00CE02BD">
        <w:rPr>
          <w:rFonts w:ascii="Book Antiqua" w:hAnsi="Book Antiqua"/>
          <w:sz w:val="24"/>
          <w:szCs w:val="24"/>
          <w:lang w:val="en-US"/>
        </w:rPr>
        <w:t xml:space="preserve"> Lorant Gonczi (0000-0002-8819-6460); Talat Bessissow (0000-0003-2610-1910); Peter </w:t>
      </w:r>
      <w:r w:rsidR="00AA5A86" w:rsidRPr="00CE02BD">
        <w:rPr>
          <w:rFonts w:ascii="Book Antiqua" w:hAnsi="Book Antiqua"/>
          <w:sz w:val="24"/>
          <w:szCs w:val="24"/>
          <w:lang w:val="en-US"/>
        </w:rPr>
        <w:t>Laszlo</w:t>
      </w:r>
      <w:r w:rsidRPr="00CE02BD">
        <w:rPr>
          <w:rFonts w:ascii="Book Antiqua" w:hAnsi="Book Antiqua"/>
          <w:sz w:val="24"/>
          <w:szCs w:val="24"/>
          <w:lang w:val="en-US"/>
        </w:rPr>
        <w:t xml:space="preserve"> Lakatos (0000-0002-3948-6488)</w:t>
      </w:r>
      <w:r w:rsidR="009A0BBE" w:rsidRPr="00CE02BD">
        <w:rPr>
          <w:rFonts w:ascii="Book Antiqua" w:hAnsi="Book Antiqua"/>
          <w:sz w:val="24"/>
          <w:szCs w:val="24"/>
          <w:lang w:val="en-US" w:eastAsia="zh-CN"/>
        </w:rPr>
        <w:t>.</w:t>
      </w:r>
    </w:p>
    <w:p w14:paraId="770A1335"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06FAA11F" w14:textId="37401D85" w:rsidR="00581343"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sz w:val="24"/>
          <w:szCs w:val="24"/>
          <w:lang w:val="en-US"/>
        </w:rPr>
        <w:t xml:space="preserve">Author contributions: </w:t>
      </w:r>
      <w:r w:rsidRPr="00CE02BD">
        <w:rPr>
          <w:rFonts w:ascii="Book Antiqua" w:hAnsi="Book Antiqua"/>
          <w:sz w:val="24"/>
          <w:szCs w:val="24"/>
          <w:lang w:val="en-US"/>
        </w:rPr>
        <w:t>All authors equally contributed to this paper with conception and design of the study, literature review and analysis, drafting and critical revision and editing, and final</w:t>
      </w:r>
      <w:r w:rsidR="005014A7" w:rsidRPr="00CE02BD">
        <w:rPr>
          <w:rFonts w:ascii="Book Antiqua" w:hAnsi="Book Antiqua"/>
          <w:sz w:val="24"/>
          <w:szCs w:val="24"/>
          <w:lang w:val="en-US"/>
        </w:rPr>
        <w:t xml:space="preserve"> approval of the final version</w:t>
      </w:r>
      <w:r w:rsidR="009A0BBE" w:rsidRPr="00CE02BD">
        <w:rPr>
          <w:rFonts w:ascii="Book Antiqua" w:hAnsi="Book Antiqua"/>
          <w:sz w:val="24"/>
          <w:szCs w:val="24"/>
          <w:lang w:val="en-US"/>
        </w:rPr>
        <w:t>;</w:t>
      </w:r>
      <w:r w:rsidR="005014A7" w:rsidRPr="00CE02BD">
        <w:rPr>
          <w:rFonts w:ascii="Book Antiqua" w:hAnsi="Book Antiqua"/>
          <w:sz w:val="24"/>
          <w:szCs w:val="24"/>
          <w:lang w:val="en-US"/>
        </w:rPr>
        <w:t xml:space="preserve"> Bessissow</w:t>
      </w:r>
      <w:r w:rsidR="00BA0528" w:rsidRPr="00CE02BD">
        <w:rPr>
          <w:rFonts w:ascii="Book Antiqua" w:hAnsi="Book Antiqua"/>
          <w:sz w:val="24"/>
          <w:szCs w:val="24"/>
          <w:lang w:val="en-US"/>
        </w:rPr>
        <w:t xml:space="preserve"> T</w:t>
      </w:r>
      <w:r w:rsidR="005014A7" w:rsidRPr="00CE02BD">
        <w:rPr>
          <w:rFonts w:ascii="Book Antiqua" w:hAnsi="Book Antiqua"/>
          <w:sz w:val="24"/>
          <w:szCs w:val="24"/>
          <w:lang w:val="en-US"/>
        </w:rPr>
        <w:t xml:space="preserve"> reviewed and language edited the submitted version of the manuscript.</w:t>
      </w:r>
    </w:p>
    <w:p w14:paraId="2ECA3636" w14:textId="40C12009" w:rsidR="001669AA" w:rsidRPr="00CE02BD" w:rsidRDefault="001669AA" w:rsidP="000F1138">
      <w:pPr>
        <w:adjustRightInd w:val="0"/>
        <w:snapToGrid w:val="0"/>
        <w:spacing w:after="0" w:line="360" w:lineRule="auto"/>
        <w:jc w:val="both"/>
        <w:rPr>
          <w:rFonts w:ascii="Book Antiqua" w:hAnsi="Book Antiqua"/>
          <w:sz w:val="24"/>
          <w:szCs w:val="24"/>
          <w:lang w:val="en-US"/>
        </w:rPr>
      </w:pPr>
    </w:p>
    <w:p w14:paraId="68880991" w14:textId="67FD651D" w:rsidR="00581343" w:rsidRPr="00CE02BD" w:rsidRDefault="00581343"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Conflict-of-interest statement:</w:t>
      </w:r>
      <w:r w:rsidR="002005E3" w:rsidRPr="00CE02BD">
        <w:rPr>
          <w:rFonts w:ascii="Book Antiqua" w:hAnsi="Book Antiqua"/>
          <w:b/>
          <w:sz w:val="24"/>
          <w:szCs w:val="24"/>
          <w:lang w:val="en-US"/>
        </w:rPr>
        <w:t xml:space="preserve"> </w:t>
      </w:r>
      <w:r w:rsidR="002005E3" w:rsidRPr="00CE02BD">
        <w:rPr>
          <w:rFonts w:ascii="Book Antiqua" w:hAnsi="Book Antiqua"/>
          <w:sz w:val="24"/>
          <w:szCs w:val="24"/>
          <w:lang w:val="en-US"/>
        </w:rPr>
        <w:t>Authors declare no conflict of interest.</w:t>
      </w:r>
    </w:p>
    <w:p w14:paraId="6C84F930" w14:textId="38BB0173" w:rsidR="003E65C0" w:rsidRPr="00CE02BD" w:rsidRDefault="003E65C0" w:rsidP="000F1138">
      <w:pPr>
        <w:pStyle w:val="10"/>
        <w:adjustRightInd w:val="0"/>
        <w:snapToGrid w:val="0"/>
        <w:spacing w:line="360" w:lineRule="auto"/>
        <w:jc w:val="both"/>
        <w:rPr>
          <w:rFonts w:ascii="Book Antiqua" w:hAnsi="Book Antiqua" w:cs="Times New Roman"/>
          <w:b/>
          <w:bCs/>
          <w:color w:val="FF0000"/>
          <w:sz w:val="24"/>
          <w:szCs w:val="24"/>
          <w:lang w:val="en-US" w:eastAsia="zh-CN"/>
        </w:rPr>
      </w:pPr>
      <w:bookmarkStart w:id="1" w:name="OLE_LINK294"/>
      <w:bookmarkStart w:id="2" w:name="OLE_LINK295"/>
      <w:bookmarkStart w:id="3" w:name="OLE_LINK15"/>
      <w:bookmarkStart w:id="4" w:name="OLE_LINK16"/>
      <w:bookmarkStart w:id="5" w:name="OLE_LINK56"/>
      <w:bookmarkStart w:id="6" w:name="OLE_LINK152"/>
      <w:bookmarkStart w:id="7" w:name="OLE_LINK153"/>
      <w:bookmarkStart w:id="8" w:name="OLE_LINK516"/>
      <w:bookmarkStart w:id="9" w:name="OLE_LINK522"/>
      <w:bookmarkStart w:id="10" w:name="OLE_LINK651"/>
      <w:bookmarkStart w:id="11" w:name="OLE_LINK652"/>
    </w:p>
    <w:p w14:paraId="0A460AB6" w14:textId="77777777" w:rsidR="00AA5A86" w:rsidRPr="00CE02BD" w:rsidRDefault="00AA5A86" w:rsidP="000F1138">
      <w:pPr>
        <w:adjustRightInd w:val="0"/>
        <w:snapToGrid w:val="0"/>
        <w:spacing w:after="0" w:line="360" w:lineRule="auto"/>
        <w:jc w:val="both"/>
        <w:rPr>
          <w:rFonts w:ascii="Book Antiqua" w:eastAsia="宋体" w:hAnsi="Book Antiqua" w:cs="Times New Roman"/>
          <w:sz w:val="24"/>
          <w:szCs w:val="24"/>
          <w:lang w:val="en-US" w:eastAsia="zh-CN"/>
        </w:rPr>
      </w:pPr>
      <w:bookmarkStart w:id="12" w:name="OLE_LINK25"/>
      <w:bookmarkStart w:id="13" w:name="OLE_LINK26"/>
      <w:bookmarkStart w:id="14" w:name="OLE_LINK375"/>
      <w:bookmarkStart w:id="15" w:name="OLE_LINK32"/>
      <w:bookmarkStart w:id="16" w:name="OLE_LINK381"/>
      <w:bookmarkStart w:id="17" w:name="OLE_LINK413"/>
      <w:bookmarkStart w:id="18" w:name="OLE_LINK61"/>
      <w:bookmarkStart w:id="19" w:name="OLE_LINK615"/>
      <w:bookmarkStart w:id="20" w:name="OLE_LINK69"/>
      <w:bookmarkStart w:id="21" w:name="OLE_LINK140"/>
      <w:bookmarkStart w:id="22" w:name="OLE_LINK29"/>
      <w:bookmarkStart w:id="23" w:name="OLE_LINK36"/>
      <w:bookmarkStart w:id="24" w:name="OLE_LINK17"/>
      <w:r w:rsidRPr="00CE02BD">
        <w:rPr>
          <w:rFonts w:ascii="Book Antiqua" w:eastAsia="宋体" w:hAnsi="Book Antiqua" w:cs="Times New Roman"/>
          <w:b/>
          <w:color w:val="000000"/>
          <w:sz w:val="24"/>
          <w:szCs w:val="24"/>
          <w:lang w:val="en-US" w:eastAsia="zh-CN"/>
        </w:rPr>
        <w:t xml:space="preserve">Open-Access: </w:t>
      </w:r>
      <w:r w:rsidRPr="00CE02BD">
        <w:rPr>
          <w:rFonts w:ascii="Book Antiqua" w:eastAsia="宋体" w:hAnsi="Book Antiqua" w:cs="Times New Roman"/>
          <w:color w:val="000000"/>
          <w:sz w:val="24"/>
          <w:szCs w:val="24"/>
          <w:lang w:val="en-US" w:eastAsia="zh-CN"/>
        </w:rPr>
        <w:t xml:space="preserve">This is an </w:t>
      </w:r>
      <w:r w:rsidRPr="00CE02BD">
        <w:rPr>
          <w:rFonts w:ascii="Book Antiqua" w:eastAsia="宋体" w:hAnsi="Book Antiqua" w:cs="宋体"/>
          <w:sz w:val="24"/>
          <w:szCs w:val="24"/>
          <w:lang w:val="en-US" w:eastAsia="zh-CN"/>
        </w:rPr>
        <w:t xml:space="preserve">open-access article that was </w:t>
      </w:r>
      <w:r w:rsidRPr="00CE02BD">
        <w:rPr>
          <w:rFonts w:ascii="Book Antiqua" w:eastAsia="宋体" w:hAnsi="Book Antiqua" w:cs="Times New Roman"/>
          <w:sz w:val="24"/>
          <w:szCs w:val="24"/>
          <w:lang w:val="en-US" w:eastAsia="zh-CN"/>
        </w:rPr>
        <w:t xml:space="preserve">selected by an in-house editor and fully peer-reviewed by external reviewers. It is </w:t>
      </w:r>
      <w:r w:rsidRPr="00CE02BD">
        <w:rPr>
          <w:rFonts w:ascii="Book Antiqua" w:eastAsia="宋体" w:hAnsi="Book Antiqua" w:cs="宋体"/>
          <w:sz w:val="24"/>
          <w:szCs w:val="24"/>
          <w:lang w:val="en-US" w:eastAsia="zh-CN"/>
        </w:rPr>
        <w:t xml:space="preserve">distributed in accordance with </w:t>
      </w:r>
      <w:r w:rsidRPr="00CE02BD">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w:t>
      </w:r>
      <w:r w:rsidRPr="00CE02BD">
        <w:rPr>
          <w:rFonts w:ascii="Book Antiqua" w:eastAsia="宋体" w:hAnsi="Book Antiqua" w:cs="Times New Roman"/>
          <w:sz w:val="24"/>
          <w:szCs w:val="24"/>
          <w:lang w:val="en-US" w:eastAsia="zh-CN"/>
        </w:rPr>
        <w:lastRenderedPageBreak/>
        <w:t xml:space="preserve">and license their derivative works on different terms, provided the original work is properly cited and the use is non-commercial. See: </w:t>
      </w:r>
      <w:hyperlink r:id="rId9" w:history="1">
        <w:r w:rsidRPr="00CE02BD">
          <w:rPr>
            <w:rFonts w:ascii="Book Antiqua" w:eastAsia="宋体" w:hAnsi="Book Antiqua" w:cs="Times New Roman"/>
            <w:color w:val="0000FF"/>
            <w:sz w:val="24"/>
            <w:szCs w:val="24"/>
            <w:u w:val="single"/>
            <w:lang w:val="en-US" w:eastAsia="zh-CN"/>
          </w:rPr>
          <w:t>http://creativecommons.org/licenses/by-nc/4.0/</w:t>
        </w:r>
      </w:hyperlink>
    </w:p>
    <w:p w14:paraId="36BF874C" w14:textId="77777777" w:rsidR="00BA0528" w:rsidRPr="00CE02BD" w:rsidRDefault="00BA0528" w:rsidP="000F1138">
      <w:pPr>
        <w:adjustRightInd w:val="0"/>
        <w:snapToGrid w:val="0"/>
        <w:spacing w:after="0" w:line="360" w:lineRule="auto"/>
        <w:jc w:val="both"/>
        <w:rPr>
          <w:rFonts w:ascii="Book Antiqua" w:hAnsi="Book Antiqua"/>
          <w:sz w:val="24"/>
          <w:szCs w:val="24"/>
        </w:rPr>
      </w:pPr>
    </w:p>
    <w:p w14:paraId="79335BD6" w14:textId="1F7EDD6A" w:rsidR="00BA0528" w:rsidRPr="00CE02BD" w:rsidRDefault="00BA0528" w:rsidP="000F1138">
      <w:pPr>
        <w:pStyle w:val="10"/>
        <w:adjustRightInd w:val="0"/>
        <w:snapToGrid w:val="0"/>
        <w:spacing w:line="360" w:lineRule="auto"/>
        <w:jc w:val="both"/>
        <w:rPr>
          <w:rFonts w:ascii="Book Antiqua" w:hAnsi="Book Antiqua" w:cs="Times New Roman"/>
          <w:b/>
          <w:bCs/>
          <w:color w:val="auto"/>
          <w:sz w:val="24"/>
          <w:szCs w:val="24"/>
          <w:lang w:val="en-US"/>
        </w:rPr>
      </w:pPr>
      <w:bookmarkStart w:id="25" w:name="OLE_LINK11"/>
      <w:r w:rsidRPr="00CE02BD">
        <w:rPr>
          <w:rFonts w:ascii="Book Antiqua" w:hAnsi="Book Antiqua" w:cs="Times New Roman"/>
          <w:b/>
          <w:bCs/>
          <w:color w:val="auto"/>
          <w:sz w:val="24"/>
          <w:szCs w:val="24"/>
          <w:lang w:val="en-US"/>
        </w:rPr>
        <w:t>Manuscript source:</w:t>
      </w:r>
      <w:r w:rsidRPr="00CE02BD">
        <w:rPr>
          <w:rFonts w:ascii="Book Antiqua" w:hAnsi="Book Antiqua" w:cs="Times New Roman"/>
          <w:b/>
          <w:bCs/>
          <w:color w:val="auto"/>
          <w:sz w:val="24"/>
          <w:szCs w:val="24"/>
          <w:lang w:val="en-US" w:eastAsia="zh-CN"/>
        </w:rPr>
        <w:t xml:space="preserve"> </w:t>
      </w:r>
      <w:bookmarkEnd w:id="12"/>
      <w:bookmarkEnd w:id="13"/>
      <w:bookmarkEnd w:id="14"/>
      <w:bookmarkEnd w:id="15"/>
      <w:bookmarkEnd w:id="16"/>
      <w:bookmarkEnd w:id="17"/>
      <w:bookmarkEnd w:id="18"/>
      <w:bookmarkEnd w:id="19"/>
      <w:bookmarkEnd w:id="20"/>
      <w:bookmarkEnd w:id="21"/>
      <w:bookmarkEnd w:id="25"/>
      <w:r w:rsidRPr="00CE02BD">
        <w:rPr>
          <w:rFonts w:ascii="Book Antiqua" w:hAnsi="Book Antiqua" w:cs="Times New Roman"/>
          <w:bCs/>
          <w:color w:val="auto"/>
          <w:sz w:val="24"/>
          <w:szCs w:val="24"/>
          <w:lang w:val="en-US"/>
        </w:rPr>
        <w:t xml:space="preserve">Invited Manuscript </w:t>
      </w:r>
      <w:bookmarkEnd w:id="22"/>
      <w:bookmarkEnd w:id="23"/>
      <w:bookmarkEnd w:id="24"/>
    </w:p>
    <w:p w14:paraId="211C7252" w14:textId="77777777" w:rsidR="00BA0528" w:rsidRPr="00CE02BD" w:rsidRDefault="00BA0528" w:rsidP="000F1138">
      <w:pPr>
        <w:pStyle w:val="10"/>
        <w:adjustRightInd w:val="0"/>
        <w:snapToGrid w:val="0"/>
        <w:spacing w:line="360" w:lineRule="auto"/>
        <w:jc w:val="both"/>
        <w:rPr>
          <w:rFonts w:ascii="Book Antiqua" w:hAnsi="Book Antiqua" w:cs="Times New Roman"/>
          <w:b/>
          <w:bCs/>
          <w:color w:val="FF0000"/>
          <w:sz w:val="24"/>
          <w:szCs w:val="24"/>
          <w:lang w:val="en-US" w:eastAsia="zh-CN"/>
        </w:rPr>
      </w:pPr>
    </w:p>
    <w:p w14:paraId="7A33E7D5" w14:textId="136AF418" w:rsidR="00581343" w:rsidRPr="00CE02BD" w:rsidRDefault="001669AA" w:rsidP="000F1138">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r w:rsidRPr="00CE02BD">
        <w:rPr>
          <w:rFonts w:ascii="Book Antiqua" w:hAnsi="Book Antiqua" w:cs="Times New Roman"/>
          <w:b/>
          <w:bCs/>
          <w:color w:val="000000" w:themeColor="text1"/>
          <w:sz w:val="24"/>
          <w:szCs w:val="24"/>
          <w:lang w:val="en-US" w:eastAsia="zh-CN"/>
        </w:rPr>
        <w:t>Corresponding author:</w:t>
      </w:r>
      <w:bookmarkEnd w:id="1"/>
      <w:bookmarkEnd w:id="2"/>
      <w:bookmarkEnd w:id="3"/>
      <w:bookmarkEnd w:id="4"/>
      <w:bookmarkEnd w:id="5"/>
      <w:r w:rsidRPr="00CE02BD">
        <w:rPr>
          <w:rFonts w:ascii="Book Antiqua" w:hAnsi="Book Antiqua" w:cs="Times New Roman"/>
          <w:b/>
          <w:bCs/>
          <w:color w:val="000000" w:themeColor="text1"/>
          <w:sz w:val="24"/>
          <w:szCs w:val="24"/>
          <w:lang w:val="en-US" w:eastAsia="zh-CN"/>
        </w:rPr>
        <w:t xml:space="preserve"> </w:t>
      </w:r>
      <w:bookmarkEnd w:id="6"/>
      <w:bookmarkEnd w:id="7"/>
      <w:r w:rsidR="00906DA5" w:rsidRPr="00CE02BD">
        <w:rPr>
          <w:rFonts w:ascii="Book Antiqua" w:hAnsi="Book Antiqua" w:cs="Times New Roman"/>
          <w:b/>
          <w:bCs/>
          <w:color w:val="000000" w:themeColor="text1"/>
          <w:sz w:val="24"/>
          <w:szCs w:val="24"/>
          <w:lang w:val="en-US" w:eastAsia="zh-CN"/>
        </w:rPr>
        <w:t xml:space="preserve">Peter Laszlo Lakatos, </w:t>
      </w:r>
      <w:r w:rsidR="00BA0528" w:rsidRPr="00CE02BD">
        <w:rPr>
          <w:rFonts w:ascii="Book Antiqua" w:hAnsi="Book Antiqua"/>
          <w:b/>
          <w:sz w:val="24"/>
          <w:szCs w:val="24"/>
          <w:lang w:val="en-US"/>
        </w:rPr>
        <w:t>DSc, FRCP (C), MD, Full Professor, Staff Physician,</w:t>
      </w:r>
      <w:bookmarkEnd w:id="8"/>
      <w:bookmarkEnd w:id="9"/>
      <w:bookmarkEnd w:id="10"/>
      <w:bookmarkEnd w:id="11"/>
      <w:r w:rsidR="00BA0528" w:rsidRPr="00CE02BD">
        <w:rPr>
          <w:rFonts w:ascii="Book Antiqua" w:hAnsi="Book Antiqua"/>
          <w:b/>
          <w:sz w:val="24"/>
          <w:szCs w:val="24"/>
          <w:lang w:val="en-US"/>
        </w:rPr>
        <w:t xml:space="preserve"> </w:t>
      </w:r>
      <w:r w:rsidR="0057256D" w:rsidRPr="00CE02BD">
        <w:rPr>
          <w:rFonts w:ascii="Book Antiqua" w:hAnsi="Book Antiqua"/>
          <w:sz w:val="24"/>
          <w:szCs w:val="24"/>
          <w:lang w:val="en-US"/>
        </w:rPr>
        <w:t>Division of Gastroenterology, McGill University Health Centre,</w:t>
      </w:r>
      <w:r w:rsidR="00581343" w:rsidRPr="00CE02BD">
        <w:rPr>
          <w:rFonts w:ascii="Book Antiqua" w:hAnsi="Book Antiqua"/>
          <w:sz w:val="24"/>
          <w:szCs w:val="24"/>
          <w:lang w:val="en-US"/>
        </w:rPr>
        <w:t xml:space="preserve"> </w:t>
      </w:r>
      <w:r w:rsidR="0057256D" w:rsidRPr="00CE02BD">
        <w:rPr>
          <w:rFonts w:ascii="Book Antiqua" w:hAnsi="Book Antiqua"/>
          <w:sz w:val="24"/>
          <w:szCs w:val="24"/>
          <w:lang w:val="en-US"/>
        </w:rPr>
        <w:t>1650 Cedar Avenue</w:t>
      </w:r>
      <w:r w:rsidR="00581343" w:rsidRPr="00CE02BD">
        <w:rPr>
          <w:rFonts w:ascii="Book Antiqua" w:hAnsi="Book Antiqua"/>
          <w:sz w:val="24"/>
          <w:szCs w:val="24"/>
          <w:lang w:val="en-US"/>
        </w:rPr>
        <w:t>, Montreal</w:t>
      </w:r>
      <w:r w:rsidR="0057256D" w:rsidRPr="00CE02BD">
        <w:rPr>
          <w:rFonts w:ascii="Book Antiqua" w:hAnsi="Book Antiqua"/>
          <w:sz w:val="24"/>
          <w:szCs w:val="24"/>
          <w:lang w:val="en-US"/>
        </w:rPr>
        <w:t xml:space="preserve"> H3G 1A4</w:t>
      </w:r>
      <w:r w:rsidR="00581343" w:rsidRPr="00CE02BD">
        <w:rPr>
          <w:rFonts w:ascii="Book Antiqua" w:hAnsi="Book Antiqua"/>
          <w:sz w:val="24"/>
          <w:szCs w:val="24"/>
          <w:lang w:val="en-US"/>
        </w:rPr>
        <w:t xml:space="preserve">, </w:t>
      </w:r>
      <w:r w:rsidR="0057256D" w:rsidRPr="00CE02BD">
        <w:rPr>
          <w:rFonts w:ascii="Book Antiqua" w:hAnsi="Book Antiqua"/>
          <w:sz w:val="24"/>
          <w:szCs w:val="24"/>
          <w:lang w:val="en-US"/>
        </w:rPr>
        <w:t>Quebec, Canada.</w:t>
      </w:r>
      <w:r w:rsidR="00581343" w:rsidRPr="00CE02BD">
        <w:rPr>
          <w:rFonts w:ascii="Book Antiqua" w:hAnsi="Book Antiqua"/>
          <w:sz w:val="24"/>
          <w:szCs w:val="24"/>
          <w:lang w:val="en-US"/>
        </w:rPr>
        <w:t xml:space="preserve"> </w:t>
      </w:r>
      <w:r w:rsidR="0057256D" w:rsidRPr="00CE02BD">
        <w:rPr>
          <w:rFonts w:ascii="Book Antiqua" w:hAnsi="Book Antiqua"/>
          <w:sz w:val="24"/>
          <w:szCs w:val="24"/>
          <w:u w:val="single"/>
          <w:lang w:val="en-US"/>
        </w:rPr>
        <w:t>peter.lakatos@mcgill.ca</w:t>
      </w:r>
    </w:p>
    <w:p w14:paraId="3451DADA" w14:textId="55A43B42" w:rsidR="00581343" w:rsidRPr="00CE02BD" w:rsidRDefault="003E65C0"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bCs/>
          <w:sz w:val="24"/>
          <w:szCs w:val="24"/>
          <w:lang w:val="en-US"/>
        </w:rPr>
        <w:t>Tel</w:t>
      </w:r>
      <w:r w:rsidR="0057256D" w:rsidRPr="00CE02BD">
        <w:rPr>
          <w:rFonts w:ascii="Book Antiqua" w:hAnsi="Book Antiqua"/>
          <w:b/>
          <w:bCs/>
          <w:sz w:val="24"/>
          <w:szCs w:val="24"/>
          <w:lang w:val="en-US"/>
        </w:rPr>
        <w:t>phone</w:t>
      </w:r>
      <w:r w:rsidRPr="00CE02BD">
        <w:rPr>
          <w:rFonts w:ascii="Book Antiqua" w:hAnsi="Book Antiqua"/>
          <w:b/>
          <w:bCs/>
          <w:sz w:val="24"/>
          <w:szCs w:val="24"/>
          <w:lang w:val="en-US"/>
        </w:rPr>
        <w:t>:</w:t>
      </w:r>
      <w:r w:rsidRPr="00CE02BD">
        <w:rPr>
          <w:rFonts w:ascii="Book Antiqua" w:hAnsi="Book Antiqua"/>
          <w:sz w:val="24"/>
          <w:szCs w:val="24"/>
          <w:lang w:val="en-US"/>
        </w:rPr>
        <w:t xml:space="preserve"> +</w:t>
      </w:r>
      <w:r w:rsidR="00581343" w:rsidRPr="00CE02BD">
        <w:rPr>
          <w:rFonts w:ascii="Book Antiqua" w:hAnsi="Book Antiqua"/>
          <w:sz w:val="24"/>
          <w:szCs w:val="24"/>
          <w:lang w:val="en-US"/>
        </w:rPr>
        <w:t>1-514-9341934</w:t>
      </w:r>
    </w:p>
    <w:p w14:paraId="4345BC6E" w14:textId="1882391B" w:rsidR="00581343"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bCs/>
          <w:sz w:val="24"/>
          <w:szCs w:val="24"/>
          <w:lang w:val="en-US"/>
        </w:rPr>
        <w:t>Fax:</w:t>
      </w:r>
      <w:r w:rsidRPr="00CE02BD">
        <w:rPr>
          <w:rFonts w:ascii="Book Antiqua" w:hAnsi="Book Antiqua"/>
          <w:sz w:val="24"/>
          <w:szCs w:val="24"/>
          <w:lang w:val="en-US"/>
        </w:rPr>
        <w:t xml:space="preserve"> +1-514-9344452</w:t>
      </w:r>
    </w:p>
    <w:p w14:paraId="592AE00A" w14:textId="77777777" w:rsidR="0057256D" w:rsidRPr="00CE02BD" w:rsidRDefault="0057256D" w:rsidP="000F1138">
      <w:pPr>
        <w:adjustRightInd w:val="0"/>
        <w:snapToGrid w:val="0"/>
        <w:spacing w:after="0" w:line="360" w:lineRule="auto"/>
        <w:jc w:val="both"/>
        <w:rPr>
          <w:rFonts w:ascii="Book Antiqua" w:hAnsi="Book Antiqua"/>
          <w:sz w:val="24"/>
          <w:szCs w:val="24"/>
          <w:lang w:val="en-US"/>
        </w:rPr>
      </w:pPr>
    </w:p>
    <w:p w14:paraId="4E24116D" w14:textId="1AA67BC6" w:rsidR="0057256D" w:rsidRPr="00CE02BD"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bookmarkStart w:id="26" w:name="OLE_LINK14"/>
      <w:bookmarkStart w:id="27" w:name="OLE_LINK51"/>
      <w:bookmarkStart w:id="28" w:name="OLE_LINK27"/>
      <w:bookmarkStart w:id="29" w:name="OLE_LINK30"/>
      <w:bookmarkStart w:id="30" w:name="OLE_LINK376"/>
      <w:bookmarkStart w:id="31" w:name="OLE_LINK35"/>
      <w:bookmarkStart w:id="32" w:name="OLE_LINK64"/>
      <w:bookmarkStart w:id="33" w:name="OLE_LINK616"/>
      <w:bookmarkStart w:id="34" w:name="OLE_LINK141"/>
      <w:r w:rsidRPr="00CE02BD">
        <w:rPr>
          <w:rFonts w:ascii="Book Antiqua" w:eastAsia="宋体" w:hAnsi="Book Antiqua" w:cs="Times New Roman"/>
          <w:b/>
          <w:sz w:val="24"/>
          <w:szCs w:val="24"/>
          <w:lang w:val="en-US" w:eastAsia="zh-CN"/>
        </w:rPr>
        <w:t xml:space="preserve">Received: </w:t>
      </w:r>
      <w:r w:rsidRPr="00CE02BD">
        <w:rPr>
          <w:rFonts w:ascii="Book Antiqua" w:eastAsia="宋体" w:hAnsi="Book Antiqua" w:cs="Times New Roman"/>
          <w:sz w:val="24"/>
          <w:szCs w:val="24"/>
          <w:lang w:val="en-US" w:eastAsia="zh-CN"/>
        </w:rPr>
        <w:t>September</w:t>
      </w:r>
      <w:r w:rsidRPr="00CE02BD">
        <w:rPr>
          <w:rFonts w:ascii="Book Antiqua" w:eastAsia="等线" w:hAnsi="Book Antiqua" w:cs="Times New Roman"/>
          <w:sz w:val="24"/>
          <w:szCs w:val="24"/>
          <w:lang w:val="en-US" w:eastAsia="zh-CN"/>
        </w:rPr>
        <w:t xml:space="preserve"> 8, 2019</w:t>
      </w:r>
    </w:p>
    <w:p w14:paraId="58BD667A" w14:textId="75E47545" w:rsidR="0057256D" w:rsidRPr="00CE02BD" w:rsidRDefault="0057256D" w:rsidP="000F1138">
      <w:pPr>
        <w:adjustRightInd w:val="0"/>
        <w:snapToGrid w:val="0"/>
        <w:spacing w:after="0" w:line="360" w:lineRule="auto"/>
        <w:jc w:val="both"/>
        <w:rPr>
          <w:rFonts w:ascii="Book Antiqua" w:eastAsia="等线" w:hAnsi="Book Antiqua" w:cs="Times New Roman"/>
          <w:b/>
          <w:sz w:val="24"/>
          <w:szCs w:val="24"/>
          <w:lang w:val="en-US" w:eastAsia="zh-CN"/>
        </w:rPr>
      </w:pPr>
      <w:r w:rsidRPr="00CE02BD">
        <w:rPr>
          <w:rFonts w:ascii="Book Antiqua" w:eastAsia="宋体" w:hAnsi="Book Antiqua" w:cs="Times New Roman"/>
          <w:b/>
          <w:sz w:val="24"/>
          <w:szCs w:val="24"/>
          <w:lang w:val="en-US" w:eastAsia="zh-CN"/>
        </w:rPr>
        <w:t>Peer-review started:</w:t>
      </w:r>
      <w:r w:rsidRPr="00CE02BD">
        <w:rPr>
          <w:rFonts w:ascii="Book Antiqua" w:eastAsia="等线" w:hAnsi="Book Antiqua" w:cs="Times New Roman"/>
          <w:b/>
          <w:sz w:val="24"/>
          <w:szCs w:val="24"/>
          <w:lang w:val="en-US" w:eastAsia="zh-CN"/>
        </w:rPr>
        <w:t xml:space="preserve"> </w:t>
      </w:r>
      <w:r w:rsidRPr="00CE02BD">
        <w:rPr>
          <w:rFonts w:ascii="Book Antiqua" w:eastAsia="宋体" w:hAnsi="Book Antiqua" w:cs="Times New Roman"/>
          <w:sz w:val="24"/>
          <w:szCs w:val="24"/>
          <w:lang w:val="en-US" w:eastAsia="zh-CN"/>
        </w:rPr>
        <w:t>September 8</w:t>
      </w:r>
      <w:r w:rsidRPr="00CE02BD">
        <w:rPr>
          <w:rFonts w:ascii="Book Antiqua" w:eastAsia="等线" w:hAnsi="Book Antiqua" w:cs="Times New Roman"/>
          <w:sz w:val="24"/>
          <w:szCs w:val="24"/>
          <w:lang w:val="en-US" w:eastAsia="zh-CN"/>
        </w:rPr>
        <w:t>, 2019</w:t>
      </w:r>
    </w:p>
    <w:p w14:paraId="75113507" w14:textId="709844A7" w:rsidR="0057256D" w:rsidRPr="00CE02BD" w:rsidRDefault="0057256D" w:rsidP="000F1138">
      <w:pPr>
        <w:adjustRightInd w:val="0"/>
        <w:snapToGrid w:val="0"/>
        <w:spacing w:after="0" w:line="360" w:lineRule="auto"/>
        <w:jc w:val="both"/>
        <w:rPr>
          <w:rFonts w:ascii="Book Antiqua" w:eastAsia="等线" w:hAnsi="Book Antiqua" w:cs="Times New Roman"/>
          <w:b/>
          <w:sz w:val="24"/>
          <w:szCs w:val="24"/>
          <w:lang w:val="en-US" w:eastAsia="zh-CN"/>
        </w:rPr>
      </w:pPr>
      <w:r w:rsidRPr="00CE02BD">
        <w:rPr>
          <w:rFonts w:ascii="Book Antiqua" w:eastAsia="宋体" w:hAnsi="Book Antiqua" w:cs="Times New Roman"/>
          <w:b/>
          <w:sz w:val="24"/>
          <w:szCs w:val="24"/>
          <w:lang w:val="en-US" w:eastAsia="zh-CN"/>
        </w:rPr>
        <w:t>First decision:</w:t>
      </w:r>
      <w:r w:rsidRPr="00CE02BD">
        <w:rPr>
          <w:rFonts w:ascii="Book Antiqua" w:eastAsia="等线" w:hAnsi="Book Antiqua" w:cs="Times New Roman"/>
          <w:b/>
          <w:sz w:val="24"/>
          <w:szCs w:val="24"/>
          <w:lang w:val="en-US" w:eastAsia="zh-CN"/>
        </w:rPr>
        <w:t xml:space="preserve"> </w:t>
      </w:r>
      <w:r w:rsidR="00545542" w:rsidRPr="00CE02BD">
        <w:rPr>
          <w:rFonts w:ascii="Book Antiqua" w:eastAsia="宋体" w:hAnsi="Book Antiqua" w:cs="Times New Roman"/>
          <w:sz w:val="24"/>
          <w:szCs w:val="24"/>
          <w:lang w:val="en-US" w:eastAsia="zh-CN"/>
        </w:rPr>
        <w:t>September 19</w:t>
      </w:r>
      <w:r w:rsidRPr="00CE02BD">
        <w:rPr>
          <w:rFonts w:ascii="Book Antiqua" w:eastAsia="等线" w:hAnsi="Book Antiqua" w:cs="Times New Roman"/>
          <w:sz w:val="24"/>
          <w:szCs w:val="24"/>
          <w:lang w:val="en-US" w:eastAsia="zh-CN"/>
        </w:rPr>
        <w:t>, 2019</w:t>
      </w:r>
    </w:p>
    <w:p w14:paraId="302C3E29" w14:textId="55E48457" w:rsidR="0057256D" w:rsidRPr="00CE02BD"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r w:rsidRPr="00CE02BD">
        <w:rPr>
          <w:rFonts w:ascii="Book Antiqua" w:eastAsia="宋体" w:hAnsi="Book Antiqua" w:cs="Times New Roman"/>
          <w:b/>
          <w:sz w:val="24"/>
          <w:szCs w:val="24"/>
          <w:lang w:val="en-US" w:eastAsia="zh-CN"/>
        </w:rPr>
        <w:t xml:space="preserve">Revised: </w:t>
      </w:r>
      <w:r w:rsidR="00545542" w:rsidRPr="00CE02BD">
        <w:rPr>
          <w:rFonts w:ascii="Book Antiqua" w:eastAsia="宋体" w:hAnsi="Book Antiqua" w:cs="Times New Roman"/>
          <w:sz w:val="24"/>
          <w:szCs w:val="24"/>
          <w:lang w:val="en-US" w:eastAsia="zh-CN"/>
        </w:rPr>
        <w:t>September 26</w:t>
      </w:r>
      <w:r w:rsidRPr="00CE02BD">
        <w:rPr>
          <w:rFonts w:ascii="Book Antiqua" w:eastAsia="宋体" w:hAnsi="Book Antiqua" w:cs="Times New Roman"/>
          <w:sz w:val="24"/>
          <w:szCs w:val="24"/>
          <w:lang w:val="en-US" w:eastAsia="zh-CN"/>
        </w:rPr>
        <w:t>, 2019</w:t>
      </w:r>
    </w:p>
    <w:p w14:paraId="2C598509" w14:textId="2ED10528" w:rsidR="0057256D" w:rsidRPr="00CE02BD"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r w:rsidRPr="00CE02BD">
        <w:rPr>
          <w:rFonts w:ascii="Book Antiqua" w:eastAsia="宋体" w:hAnsi="Book Antiqua" w:cs="Times New Roman"/>
          <w:b/>
          <w:sz w:val="24"/>
          <w:szCs w:val="24"/>
          <w:lang w:val="en-US" w:eastAsia="zh-CN"/>
        </w:rPr>
        <w:t>Accepted:</w:t>
      </w:r>
      <w:r w:rsidR="00954BC4" w:rsidRPr="00CE02BD">
        <w:t xml:space="preserve"> </w:t>
      </w:r>
      <w:r w:rsidR="00954BC4" w:rsidRPr="00CE02BD">
        <w:rPr>
          <w:rFonts w:ascii="Book Antiqua" w:eastAsia="宋体" w:hAnsi="Book Antiqua" w:cs="Times New Roman"/>
          <w:sz w:val="24"/>
          <w:szCs w:val="24"/>
          <w:lang w:val="en-US" w:eastAsia="zh-CN"/>
        </w:rPr>
        <w:t>October 30, 2019</w:t>
      </w:r>
      <w:r w:rsidRPr="00CE02BD">
        <w:rPr>
          <w:rFonts w:ascii="Book Antiqua" w:eastAsia="宋体" w:hAnsi="Book Antiqua" w:cs="Times New Roman"/>
          <w:sz w:val="24"/>
          <w:szCs w:val="24"/>
          <w:lang w:val="en-US" w:eastAsia="zh-CN"/>
        </w:rPr>
        <w:t xml:space="preserve"> </w:t>
      </w:r>
    </w:p>
    <w:p w14:paraId="01517175" w14:textId="2587AE70" w:rsidR="0057256D" w:rsidRPr="00CE02BD" w:rsidRDefault="0057256D" w:rsidP="000F1138">
      <w:pPr>
        <w:adjustRightInd w:val="0"/>
        <w:snapToGrid w:val="0"/>
        <w:spacing w:after="0" w:line="360" w:lineRule="auto"/>
        <w:jc w:val="both"/>
        <w:rPr>
          <w:rFonts w:ascii="Book Antiqua" w:eastAsia="宋体" w:hAnsi="Book Antiqua" w:cs="Times New Roman"/>
          <w:b/>
          <w:sz w:val="24"/>
          <w:szCs w:val="24"/>
          <w:lang w:val="en-US" w:eastAsia="zh-CN"/>
        </w:rPr>
      </w:pPr>
      <w:r w:rsidRPr="00CE02BD">
        <w:rPr>
          <w:rFonts w:ascii="Book Antiqua" w:eastAsia="宋体" w:hAnsi="Book Antiqua" w:cs="Times New Roman"/>
          <w:b/>
          <w:sz w:val="24"/>
          <w:szCs w:val="24"/>
          <w:lang w:val="en-US" w:eastAsia="zh-CN"/>
        </w:rPr>
        <w:t>Article in press:</w:t>
      </w:r>
      <w:r w:rsidR="00A26A85" w:rsidRPr="00CE02BD">
        <w:rPr>
          <w:rFonts w:ascii="Book Antiqua" w:eastAsia="宋体" w:hAnsi="Book Antiqua" w:cs="Times New Roman" w:hint="eastAsia"/>
          <w:b/>
          <w:sz w:val="24"/>
          <w:szCs w:val="24"/>
          <w:lang w:val="en-US" w:eastAsia="zh-CN"/>
        </w:rPr>
        <w:t xml:space="preserve"> </w:t>
      </w:r>
      <w:r w:rsidR="00A26A85" w:rsidRPr="00CE02BD">
        <w:rPr>
          <w:rFonts w:ascii="Book Antiqua" w:eastAsia="宋体" w:hAnsi="Book Antiqua" w:cs="Times New Roman"/>
          <w:sz w:val="24"/>
          <w:szCs w:val="24"/>
          <w:lang w:val="en-US" w:eastAsia="zh-CN"/>
        </w:rPr>
        <w:t>October 30, 2019</w:t>
      </w:r>
    </w:p>
    <w:p w14:paraId="2C7A380C" w14:textId="1B0B38BF" w:rsidR="0057256D" w:rsidRPr="00CE02BD" w:rsidRDefault="0057256D" w:rsidP="000F1138">
      <w:pPr>
        <w:adjustRightInd w:val="0"/>
        <w:snapToGrid w:val="0"/>
        <w:spacing w:after="0" w:line="360" w:lineRule="auto"/>
        <w:jc w:val="both"/>
        <w:rPr>
          <w:rFonts w:ascii="Book Antiqua" w:eastAsia="宋体" w:hAnsi="Book Antiqua" w:cs="Times New Roman"/>
          <w:color w:val="000000"/>
          <w:sz w:val="24"/>
          <w:szCs w:val="24"/>
          <w:lang w:val="en-US" w:eastAsia="zh-CN"/>
        </w:rPr>
      </w:pPr>
      <w:r w:rsidRPr="00CE02BD">
        <w:rPr>
          <w:rFonts w:ascii="Book Antiqua" w:eastAsia="宋体" w:hAnsi="Book Antiqua" w:cs="Times New Roman"/>
          <w:b/>
          <w:sz w:val="24"/>
          <w:szCs w:val="24"/>
          <w:lang w:val="en-US" w:eastAsia="zh-CN"/>
        </w:rPr>
        <w:t>Published online:</w:t>
      </w:r>
      <w:bookmarkEnd w:id="26"/>
      <w:bookmarkEnd w:id="27"/>
      <w:bookmarkEnd w:id="28"/>
      <w:r w:rsidR="00A26A85" w:rsidRPr="00CE02BD">
        <w:rPr>
          <w:rFonts w:ascii="Book Antiqua" w:eastAsia="宋体" w:hAnsi="Book Antiqua" w:cs="Times New Roman"/>
          <w:sz w:val="24"/>
          <w:szCs w:val="24"/>
          <w:lang w:val="en-US" w:eastAsia="zh-CN"/>
        </w:rPr>
        <w:t xml:space="preserve"> </w:t>
      </w:r>
      <w:r w:rsidR="00A26A85" w:rsidRPr="00CE02BD">
        <w:rPr>
          <w:rFonts w:ascii="Book Antiqua" w:eastAsia="宋体" w:hAnsi="Book Antiqua" w:cs="Times New Roman" w:hint="eastAsia"/>
          <w:sz w:val="24"/>
          <w:szCs w:val="24"/>
          <w:lang w:val="en-US" w:eastAsia="zh-CN"/>
        </w:rPr>
        <w:t>November 7</w:t>
      </w:r>
      <w:r w:rsidR="00A26A85" w:rsidRPr="00CE02BD">
        <w:rPr>
          <w:rFonts w:ascii="Book Antiqua" w:eastAsia="宋体" w:hAnsi="Book Antiqua" w:cs="Times New Roman"/>
          <w:sz w:val="24"/>
          <w:szCs w:val="24"/>
          <w:lang w:val="en-US" w:eastAsia="zh-CN"/>
        </w:rPr>
        <w:t>, 2019</w:t>
      </w:r>
    </w:p>
    <w:bookmarkEnd w:id="29"/>
    <w:bookmarkEnd w:id="30"/>
    <w:bookmarkEnd w:id="31"/>
    <w:bookmarkEnd w:id="32"/>
    <w:bookmarkEnd w:id="33"/>
    <w:bookmarkEnd w:id="34"/>
    <w:p w14:paraId="5C4CF4D7" w14:textId="77777777" w:rsidR="0057256D" w:rsidRPr="00CE02BD" w:rsidRDefault="0057256D" w:rsidP="000F1138">
      <w:pPr>
        <w:adjustRightInd w:val="0"/>
        <w:snapToGrid w:val="0"/>
        <w:spacing w:after="0" w:line="360" w:lineRule="auto"/>
        <w:jc w:val="both"/>
        <w:rPr>
          <w:rFonts w:ascii="Book Antiqua" w:hAnsi="Book Antiqua"/>
          <w:sz w:val="24"/>
          <w:szCs w:val="24"/>
          <w:lang w:val="en-US"/>
        </w:rPr>
      </w:pPr>
    </w:p>
    <w:p w14:paraId="7D3BD5CD" w14:textId="5CE1C4EF" w:rsidR="00581343"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br w:type="page"/>
      </w:r>
    </w:p>
    <w:p w14:paraId="6BB9DE1F" w14:textId="324C72D5" w:rsidR="00581343" w:rsidRPr="00CE02BD" w:rsidRDefault="0058134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sz w:val="24"/>
          <w:szCs w:val="24"/>
          <w:lang w:val="en-US"/>
        </w:rPr>
        <w:lastRenderedPageBreak/>
        <w:t>A</w:t>
      </w:r>
      <w:r w:rsidR="000D0A43" w:rsidRPr="00CE02BD">
        <w:rPr>
          <w:rFonts w:ascii="Book Antiqua" w:hAnsi="Book Antiqua"/>
          <w:b/>
          <w:sz w:val="24"/>
          <w:szCs w:val="24"/>
          <w:lang w:val="en-US"/>
        </w:rPr>
        <w:t>bstract</w:t>
      </w:r>
    </w:p>
    <w:p w14:paraId="5EA3BC47" w14:textId="7B29196F" w:rsidR="00277CAC" w:rsidRPr="00CE02BD" w:rsidRDefault="00277CAC"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In recent years, there has been a critical change in treatment paradigms in </w:t>
      </w:r>
      <w:r w:rsidR="008B1343" w:rsidRPr="00CE02BD">
        <w:rPr>
          <w:rFonts w:ascii="Book Antiqua" w:hAnsi="Book Antiqua"/>
          <w:sz w:val="24"/>
          <w:szCs w:val="24"/>
          <w:lang w:val="en-US"/>
        </w:rPr>
        <w:t>inflammatory bowel diseases</w:t>
      </w:r>
      <w:r w:rsidRPr="00CE02BD">
        <w:rPr>
          <w:rFonts w:ascii="Book Antiqua" w:hAnsi="Book Antiqua"/>
          <w:sz w:val="24"/>
          <w:szCs w:val="24"/>
          <w:lang w:val="en-US"/>
        </w:rPr>
        <w:t xml:space="preserve"> (IBD) triggered by the arrival of new effective treatments aim</w:t>
      </w:r>
      <w:r w:rsidR="002005E3" w:rsidRPr="00CE02BD">
        <w:rPr>
          <w:rFonts w:ascii="Book Antiqua" w:hAnsi="Book Antiqua"/>
          <w:sz w:val="24"/>
          <w:szCs w:val="24"/>
          <w:lang w:val="en-US"/>
        </w:rPr>
        <w:t>ing</w:t>
      </w:r>
      <w:r w:rsidRPr="00CE02BD">
        <w:rPr>
          <w:rFonts w:ascii="Book Antiqua" w:hAnsi="Book Antiqua"/>
          <w:sz w:val="24"/>
          <w:szCs w:val="24"/>
          <w:lang w:val="en-US"/>
        </w:rPr>
        <w:t xml:space="preserve"> </w:t>
      </w:r>
      <w:r w:rsidR="002005E3" w:rsidRPr="00CE02BD">
        <w:rPr>
          <w:rFonts w:ascii="Book Antiqua" w:hAnsi="Book Antiqua"/>
          <w:sz w:val="24"/>
          <w:szCs w:val="24"/>
          <w:lang w:val="en-US"/>
        </w:rPr>
        <w:t>to prevent</w:t>
      </w:r>
      <w:r w:rsidRPr="00CE02BD">
        <w:rPr>
          <w:rFonts w:ascii="Book Antiqua" w:hAnsi="Book Antiqua"/>
          <w:sz w:val="24"/>
          <w:szCs w:val="24"/>
          <w:lang w:val="en-US"/>
        </w:rPr>
        <w:t xml:space="preserve"> disease progression, bowel damage and disability. The insufficiency of symptomat</w:t>
      </w:r>
      <w:r w:rsidR="008D6775" w:rsidRPr="00CE02BD">
        <w:rPr>
          <w:rFonts w:ascii="Book Antiqua" w:hAnsi="Book Antiqua"/>
          <w:sz w:val="24"/>
          <w:szCs w:val="24"/>
          <w:lang w:val="en-US"/>
        </w:rPr>
        <w:t>ic disease control and the well-</w:t>
      </w:r>
      <w:r w:rsidRPr="00CE02BD">
        <w:rPr>
          <w:rFonts w:ascii="Book Antiqua" w:hAnsi="Book Antiqua"/>
          <w:sz w:val="24"/>
          <w:szCs w:val="24"/>
          <w:lang w:val="en-US"/>
        </w:rPr>
        <w:t>known discordance between symptoms and objective measures of disease activity lead to the need of reviewing conventional treatment algorithms and developing new concepts of optimal therapeutic strategy.</w:t>
      </w:r>
      <w:r w:rsidR="00A4647C" w:rsidRPr="00CE02BD">
        <w:rPr>
          <w:rFonts w:ascii="Book Antiqua" w:hAnsi="Book Antiqua"/>
          <w:sz w:val="24"/>
          <w:szCs w:val="24"/>
          <w:lang w:val="en-US"/>
        </w:rPr>
        <w:t xml:space="preserve"> </w:t>
      </w:r>
      <w:r w:rsidR="008D6775" w:rsidRPr="00CE02BD">
        <w:rPr>
          <w:rFonts w:ascii="Book Antiqua" w:hAnsi="Book Antiqua"/>
          <w:sz w:val="24"/>
          <w:szCs w:val="24"/>
          <w:lang w:val="en-US"/>
        </w:rPr>
        <w:t>The treat-to-</w:t>
      </w:r>
      <w:r w:rsidR="00614ACE" w:rsidRPr="00CE02BD">
        <w:rPr>
          <w:rFonts w:ascii="Book Antiqua" w:hAnsi="Book Antiqua"/>
          <w:sz w:val="24"/>
          <w:szCs w:val="24"/>
          <w:lang w:val="en-US"/>
        </w:rPr>
        <w:t xml:space="preserve">target strategies, defined by the </w:t>
      </w:r>
      <w:r w:rsidR="000E27AB" w:rsidRPr="00CE02BD">
        <w:rPr>
          <w:rFonts w:ascii="Book Antiqua" w:hAnsi="Book Antiqua"/>
          <w:sz w:val="24"/>
          <w:szCs w:val="24"/>
          <w:lang w:val="en-US"/>
        </w:rPr>
        <w:t>selecting therapeutic targets in inflammatory bowel disease</w:t>
      </w:r>
      <w:r w:rsidR="00614ACE" w:rsidRPr="00CE02BD">
        <w:rPr>
          <w:rFonts w:ascii="Book Antiqua" w:hAnsi="Book Antiqua"/>
          <w:sz w:val="24"/>
          <w:szCs w:val="24"/>
          <w:lang w:val="en-US"/>
        </w:rPr>
        <w:t xml:space="preserve"> consensus recommendation, move away from only symptomatic disease control and support targeting composite therapeutic endpoints (clinical and endoscopical remission) </w:t>
      </w:r>
      <w:r w:rsidR="0048791F" w:rsidRPr="00CE02BD">
        <w:rPr>
          <w:rFonts w:ascii="Book Antiqua" w:hAnsi="Book Antiqua"/>
          <w:sz w:val="24"/>
          <w:szCs w:val="24"/>
          <w:lang w:val="en-US"/>
        </w:rPr>
        <w:t xml:space="preserve">and timely assessment. </w:t>
      </w:r>
      <w:r w:rsidR="007750F0" w:rsidRPr="00CE02BD">
        <w:rPr>
          <w:rFonts w:ascii="Book Antiqua" w:hAnsi="Book Antiqua"/>
          <w:sz w:val="24"/>
          <w:szCs w:val="24"/>
          <w:lang w:val="en-US"/>
        </w:rPr>
        <w:t>Emerging data suggest t</w:t>
      </w:r>
      <w:r w:rsidR="008D6775" w:rsidRPr="00CE02BD">
        <w:rPr>
          <w:rFonts w:ascii="Book Antiqua" w:hAnsi="Book Antiqua"/>
          <w:sz w:val="24"/>
          <w:szCs w:val="24"/>
          <w:lang w:val="en-US"/>
        </w:rPr>
        <w:t>hat early therapy using a treat-to-</w:t>
      </w:r>
      <w:r w:rsidR="007750F0" w:rsidRPr="00CE02BD">
        <w:rPr>
          <w:rFonts w:ascii="Book Antiqua" w:hAnsi="Book Antiqua"/>
          <w:sz w:val="24"/>
          <w:szCs w:val="24"/>
          <w:lang w:val="en-US"/>
        </w:rPr>
        <w:t xml:space="preserve">target approach and an algorithmic therapy escalation using regular disease monitoring by clinical and biochemical markers (fecal calprotectin and C-reactive protein) leads to improved outcomes. </w:t>
      </w:r>
      <w:r w:rsidRPr="00CE02BD">
        <w:rPr>
          <w:rFonts w:ascii="Book Antiqua" w:hAnsi="Book Antiqua"/>
          <w:sz w:val="24"/>
          <w:szCs w:val="24"/>
          <w:lang w:val="en-US"/>
        </w:rPr>
        <w:t>This review aims to present the emerging strategies and supporting evidence in the current therapeutic paradigm of IBD including the concept</w:t>
      </w:r>
      <w:r w:rsidR="00A4647C" w:rsidRPr="00CE02BD">
        <w:rPr>
          <w:rFonts w:ascii="Book Antiqua" w:hAnsi="Book Antiqua"/>
          <w:sz w:val="24"/>
          <w:szCs w:val="24"/>
          <w:lang w:val="en-US"/>
        </w:rPr>
        <w:t>s</w:t>
      </w:r>
      <w:r w:rsidRPr="00CE02BD">
        <w:rPr>
          <w:rFonts w:ascii="Book Antiqua" w:hAnsi="Book Antiqua"/>
          <w:sz w:val="24"/>
          <w:szCs w:val="24"/>
          <w:lang w:val="en-US"/>
        </w:rPr>
        <w:t xml:space="preserve"> of ‘early in</w:t>
      </w:r>
      <w:r w:rsidR="008D6775" w:rsidRPr="00CE02BD">
        <w:rPr>
          <w:rFonts w:ascii="Book Antiqua" w:hAnsi="Book Antiqua"/>
          <w:sz w:val="24"/>
          <w:szCs w:val="24"/>
          <w:lang w:val="en-US"/>
        </w:rPr>
        <w:t>tervention’, ‘treat</w:t>
      </w:r>
      <w:r w:rsidRPr="00CE02BD">
        <w:rPr>
          <w:rFonts w:ascii="Book Antiqua" w:hAnsi="Book Antiqua"/>
          <w:sz w:val="24"/>
          <w:szCs w:val="24"/>
          <w:lang w:val="en-US"/>
        </w:rPr>
        <w:t xml:space="preserve">-to-target’ and ‘tight control’ </w:t>
      </w:r>
      <w:r w:rsidR="00A4647C" w:rsidRPr="00CE02BD">
        <w:rPr>
          <w:rFonts w:ascii="Book Antiqua" w:hAnsi="Book Antiqua"/>
          <w:sz w:val="24"/>
          <w:szCs w:val="24"/>
          <w:lang w:val="en-US"/>
        </w:rPr>
        <w:t>strategies</w:t>
      </w:r>
      <w:r w:rsidRPr="00CE02BD">
        <w:rPr>
          <w:rFonts w:ascii="Book Antiqua" w:hAnsi="Book Antiqua"/>
          <w:sz w:val="24"/>
          <w:szCs w:val="24"/>
          <w:lang w:val="en-US"/>
        </w:rPr>
        <w:t>.</w:t>
      </w:r>
      <w:r w:rsidR="00A4647C" w:rsidRPr="00CE02BD">
        <w:rPr>
          <w:rFonts w:ascii="Book Antiqua" w:hAnsi="Book Antiqua"/>
          <w:sz w:val="24"/>
          <w:szCs w:val="24"/>
          <w:lang w:val="en-US"/>
        </w:rPr>
        <w:t xml:space="preserve"> We also discuss the real-word experience and applicability of these new strategies and give an overview on the future perspectives and areas in need of further research and potential improvement regarding treatment targets and (</w:t>
      </w:r>
      <w:r w:rsidR="007750F0" w:rsidRPr="00CE02BD">
        <w:rPr>
          <w:rFonts w:ascii="Book Antiqua" w:hAnsi="Book Antiqua"/>
          <w:sz w:val="24"/>
          <w:szCs w:val="24"/>
          <w:lang w:val="en-US"/>
        </w:rPr>
        <w:t>‘</w:t>
      </w:r>
      <w:r w:rsidR="00A4647C" w:rsidRPr="00CE02BD">
        <w:rPr>
          <w:rFonts w:ascii="Book Antiqua" w:hAnsi="Book Antiqua"/>
          <w:sz w:val="24"/>
          <w:szCs w:val="24"/>
          <w:lang w:val="en-US"/>
        </w:rPr>
        <w:t>tight</w:t>
      </w:r>
      <w:r w:rsidR="007750F0" w:rsidRPr="00CE02BD">
        <w:rPr>
          <w:rFonts w:ascii="Book Antiqua" w:hAnsi="Book Antiqua"/>
          <w:sz w:val="24"/>
          <w:szCs w:val="24"/>
          <w:lang w:val="en-US"/>
        </w:rPr>
        <w:t>’</w:t>
      </w:r>
      <w:r w:rsidR="00A4647C" w:rsidRPr="00CE02BD">
        <w:rPr>
          <w:rFonts w:ascii="Book Antiqua" w:hAnsi="Book Antiqua"/>
          <w:sz w:val="24"/>
          <w:szCs w:val="24"/>
          <w:lang w:val="en-US"/>
        </w:rPr>
        <w:t>) disease monitoring</w:t>
      </w:r>
      <w:r w:rsidR="007750F0" w:rsidRPr="00CE02BD">
        <w:rPr>
          <w:rFonts w:ascii="Book Antiqua" w:hAnsi="Book Antiqua"/>
          <w:sz w:val="24"/>
          <w:szCs w:val="24"/>
          <w:lang w:val="en-US"/>
        </w:rPr>
        <w:t xml:space="preserve"> strategies</w:t>
      </w:r>
      <w:r w:rsidR="00A4647C" w:rsidRPr="00CE02BD">
        <w:rPr>
          <w:rFonts w:ascii="Book Antiqua" w:hAnsi="Book Antiqua"/>
          <w:sz w:val="24"/>
          <w:szCs w:val="24"/>
          <w:lang w:val="en-US"/>
        </w:rPr>
        <w:t>.</w:t>
      </w:r>
    </w:p>
    <w:p w14:paraId="682FE668"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10A70FE8" w14:textId="7ADBFDE3" w:rsidR="00581343" w:rsidRPr="00CE02BD" w:rsidRDefault="005B5F14"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 xml:space="preserve">Key words: </w:t>
      </w:r>
      <w:r w:rsidRPr="00CE02BD">
        <w:rPr>
          <w:rFonts w:ascii="Book Antiqua" w:hAnsi="Book Antiqua"/>
          <w:sz w:val="24"/>
          <w:szCs w:val="24"/>
          <w:lang w:val="en-US"/>
        </w:rPr>
        <w:t xml:space="preserve">Crohn’s disease; </w:t>
      </w:r>
      <w:r w:rsidR="000D0A43" w:rsidRPr="00CE02BD">
        <w:rPr>
          <w:rFonts w:ascii="Book Antiqua" w:hAnsi="Book Antiqua"/>
          <w:sz w:val="24"/>
          <w:szCs w:val="24"/>
          <w:lang w:val="en-US"/>
        </w:rPr>
        <w:t>U</w:t>
      </w:r>
      <w:r w:rsidRPr="00CE02BD">
        <w:rPr>
          <w:rFonts w:ascii="Book Antiqua" w:hAnsi="Book Antiqua"/>
          <w:sz w:val="24"/>
          <w:szCs w:val="24"/>
          <w:lang w:val="en-US"/>
        </w:rPr>
        <w:t xml:space="preserve">lcerative colitis; </w:t>
      </w:r>
      <w:r w:rsidR="000D0A43" w:rsidRPr="00CE02BD">
        <w:rPr>
          <w:rFonts w:ascii="Book Antiqua" w:hAnsi="Book Antiqua"/>
          <w:sz w:val="24"/>
          <w:szCs w:val="24"/>
          <w:lang w:val="en-US"/>
        </w:rPr>
        <w:t>T</w:t>
      </w:r>
      <w:r w:rsidRPr="00CE02BD">
        <w:rPr>
          <w:rFonts w:ascii="Book Antiqua" w:hAnsi="Book Antiqua"/>
          <w:sz w:val="24"/>
          <w:szCs w:val="24"/>
          <w:lang w:val="en-US"/>
        </w:rPr>
        <w:t xml:space="preserve">reat-to-target; </w:t>
      </w:r>
      <w:r w:rsidR="000D0A43" w:rsidRPr="00CE02BD">
        <w:rPr>
          <w:rFonts w:ascii="Book Antiqua" w:hAnsi="Book Antiqua"/>
          <w:sz w:val="24"/>
          <w:szCs w:val="24"/>
          <w:lang w:val="en-US"/>
        </w:rPr>
        <w:t>T</w:t>
      </w:r>
      <w:r w:rsidRPr="00CE02BD">
        <w:rPr>
          <w:rFonts w:ascii="Book Antiqua" w:hAnsi="Book Antiqua"/>
          <w:sz w:val="24"/>
          <w:szCs w:val="24"/>
          <w:lang w:val="en-US"/>
        </w:rPr>
        <w:t xml:space="preserve">ight control; </w:t>
      </w:r>
      <w:r w:rsidR="000D0A43" w:rsidRPr="00CE02BD">
        <w:rPr>
          <w:rFonts w:ascii="Book Antiqua" w:hAnsi="Book Antiqua"/>
          <w:sz w:val="24"/>
          <w:szCs w:val="24"/>
          <w:lang w:val="en-US"/>
        </w:rPr>
        <w:t>M</w:t>
      </w:r>
      <w:r w:rsidRPr="00CE02BD">
        <w:rPr>
          <w:rFonts w:ascii="Book Antiqua" w:hAnsi="Book Antiqua"/>
          <w:sz w:val="24"/>
          <w:szCs w:val="24"/>
          <w:lang w:val="en-US"/>
        </w:rPr>
        <w:t xml:space="preserve">onitorting; </w:t>
      </w:r>
      <w:r w:rsidR="000D0A43" w:rsidRPr="00CE02BD">
        <w:rPr>
          <w:rFonts w:ascii="Book Antiqua" w:hAnsi="Book Antiqua"/>
          <w:sz w:val="24"/>
          <w:szCs w:val="24"/>
          <w:lang w:val="en-US"/>
        </w:rPr>
        <w:t>B</w:t>
      </w:r>
      <w:r w:rsidRPr="00CE02BD">
        <w:rPr>
          <w:rFonts w:ascii="Book Antiqua" w:hAnsi="Book Antiqua"/>
          <w:sz w:val="24"/>
          <w:szCs w:val="24"/>
          <w:lang w:val="en-US"/>
        </w:rPr>
        <w:t>iomarker</w:t>
      </w:r>
    </w:p>
    <w:p w14:paraId="7419EEE0"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0D489C5F" w14:textId="77777777" w:rsidR="000D0A43" w:rsidRPr="00CE02BD" w:rsidRDefault="000D0A43" w:rsidP="000F1138">
      <w:pPr>
        <w:adjustRightInd w:val="0"/>
        <w:snapToGrid w:val="0"/>
        <w:spacing w:after="0" w:line="360" w:lineRule="auto"/>
        <w:jc w:val="both"/>
        <w:rPr>
          <w:rFonts w:ascii="Book Antiqua" w:eastAsia="宋体" w:hAnsi="Book Antiqua" w:cs="Times New Roman"/>
          <w:sz w:val="24"/>
          <w:szCs w:val="24"/>
          <w:lang w:val="en-US" w:eastAsia="zh-CN"/>
        </w:rPr>
      </w:pPr>
      <w:bookmarkStart w:id="35" w:name="OLE_LINK43"/>
      <w:bookmarkStart w:id="36" w:name="OLE_LINK44"/>
      <w:bookmarkStart w:id="37" w:name="OLE_LINK67"/>
      <w:bookmarkStart w:id="38" w:name="OLE_LINK65"/>
      <w:bookmarkStart w:id="39" w:name="OLE_LINK71"/>
      <w:bookmarkStart w:id="40" w:name="OLE_LINK58"/>
      <w:bookmarkStart w:id="41" w:name="OLE_LINK59"/>
      <w:bookmarkStart w:id="42" w:name="OLE_LINK24"/>
      <w:r w:rsidRPr="00CE02BD">
        <w:rPr>
          <w:rFonts w:ascii="Book Antiqua" w:eastAsia="宋体" w:hAnsi="Book Antiqua" w:cs="Times New Roman"/>
          <w:b/>
          <w:sz w:val="24"/>
          <w:szCs w:val="24"/>
          <w:lang w:val="en-US" w:eastAsia="zh-CN"/>
        </w:rPr>
        <w:t xml:space="preserve">© The Author(s) 2019. </w:t>
      </w:r>
      <w:r w:rsidRPr="00CE02BD">
        <w:rPr>
          <w:rFonts w:ascii="Book Antiqua" w:eastAsia="宋体" w:hAnsi="Book Antiqua" w:cs="Times New Roman"/>
          <w:sz w:val="24"/>
          <w:szCs w:val="24"/>
          <w:lang w:val="en-US" w:eastAsia="zh-CN"/>
        </w:rPr>
        <w:t>Published by Baishideng Publishing Group Inc. All rights reserved.</w:t>
      </w:r>
      <w:bookmarkEnd w:id="35"/>
      <w:bookmarkEnd w:id="36"/>
      <w:bookmarkEnd w:id="37"/>
      <w:bookmarkEnd w:id="38"/>
      <w:bookmarkEnd w:id="39"/>
      <w:r w:rsidRPr="00CE02BD">
        <w:rPr>
          <w:rFonts w:ascii="Book Antiqua" w:eastAsia="宋体" w:hAnsi="Book Antiqua" w:cs="Times New Roman"/>
          <w:sz w:val="24"/>
          <w:szCs w:val="24"/>
          <w:lang w:val="en-US" w:eastAsia="zh-CN"/>
        </w:rPr>
        <w:t xml:space="preserve"> </w:t>
      </w:r>
    </w:p>
    <w:bookmarkEnd w:id="40"/>
    <w:bookmarkEnd w:id="41"/>
    <w:bookmarkEnd w:id="42"/>
    <w:p w14:paraId="21EDFF0A" w14:textId="77777777" w:rsidR="00581343" w:rsidRPr="00CE02BD" w:rsidRDefault="00581343" w:rsidP="000F1138">
      <w:pPr>
        <w:adjustRightInd w:val="0"/>
        <w:snapToGrid w:val="0"/>
        <w:spacing w:after="0" w:line="360" w:lineRule="auto"/>
        <w:jc w:val="both"/>
        <w:rPr>
          <w:rFonts w:ascii="Book Antiqua" w:hAnsi="Book Antiqua"/>
          <w:sz w:val="24"/>
          <w:szCs w:val="24"/>
          <w:lang w:val="en-US"/>
        </w:rPr>
      </w:pPr>
    </w:p>
    <w:p w14:paraId="79A43018" w14:textId="128AD476" w:rsidR="0089645B" w:rsidRPr="00CE02BD" w:rsidRDefault="00A664A6"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b/>
          <w:sz w:val="24"/>
          <w:szCs w:val="24"/>
          <w:lang w:val="en-US"/>
        </w:rPr>
        <w:t>Core tip</w:t>
      </w:r>
      <w:r w:rsidR="005B5F14" w:rsidRPr="00CE02BD">
        <w:rPr>
          <w:rFonts w:ascii="Book Antiqua" w:hAnsi="Book Antiqua"/>
          <w:b/>
          <w:sz w:val="24"/>
          <w:szCs w:val="24"/>
          <w:lang w:val="en-US"/>
        </w:rPr>
        <w:t>:</w:t>
      </w:r>
      <w:r w:rsidR="00564939" w:rsidRPr="00CE02BD">
        <w:rPr>
          <w:rFonts w:ascii="Book Antiqua" w:hAnsi="Book Antiqua"/>
          <w:b/>
          <w:sz w:val="24"/>
          <w:szCs w:val="24"/>
          <w:lang w:val="en-US"/>
        </w:rPr>
        <w:t xml:space="preserve"> </w:t>
      </w:r>
      <w:r w:rsidR="009E37F5" w:rsidRPr="00CE02BD">
        <w:rPr>
          <w:rFonts w:ascii="Book Antiqua" w:hAnsi="Book Antiqua"/>
          <w:sz w:val="24"/>
          <w:szCs w:val="24"/>
          <w:lang w:val="en-US"/>
        </w:rPr>
        <w:t>Inflammatory bowel diseases are chronic, progressive, immune-mediated disorders leading to disability and cumulative intestinal damage. There has been a major change in treatment paradigms favo</w:t>
      </w:r>
      <w:r w:rsidR="00F27B48" w:rsidRPr="00CE02BD">
        <w:rPr>
          <w:rFonts w:ascii="Book Antiqua" w:hAnsi="Book Antiqua"/>
          <w:sz w:val="24"/>
          <w:szCs w:val="24"/>
          <w:lang w:val="en-US"/>
        </w:rPr>
        <w:t>u</w:t>
      </w:r>
      <w:r w:rsidR="009E37F5" w:rsidRPr="00CE02BD">
        <w:rPr>
          <w:rFonts w:ascii="Book Antiqua" w:hAnsi="Book Antiqua"/>
          <w:sz w:val="24"/>
          <w:szCs w:val="24"/>
          <w:lang w:val="en-US"/>
        </w:rPr>
        <w:t>ring an early introduction of highly effective</w:t>
      </w:r>
      <w:r w:rsidR="008D6775" w:rsidRPr="00CE02BD">
        <w:rPr>
          <w:rFonts w:ascii="Book Antiqua" w:hAnsi="Book Antiqua"/>
          <w:sz w:val="24"/>
          <w:szCs w:val="24"/>
          <w:lang w:val="en-US"/>
        </w:rPr>
        <w:t xml:space="preserve"> therapies</w:t>
      </w:r>
      <w:r w:rsidR="00425287" w:rsidRPr="00CE02BD">
        <w:rPr>
          <w:rFonts w:ascii="Book Antiqua" w:hAnsi="Book Antiqua"/>
          <w:sz w:val="24"/>
          <w:szCs w:val="24"/>
          <w:lang w:val="en-US"/>
        </w:rPr>
        <w:t xml:space="preserve">, </w:t>
      </w:r>
      <w:r w:rsidR="008D6775" w:rsidRPr="00CE02BD">
        <w:rPr>
          <w:rFonts w:ascii="Book Antiqua" w:hAnsi="Book Antiqua"/>
          <w:sz w:val="24"/>
          <w:szCs w:val="24"/>
          <w:lang w:val="en-US"/>
        </w:rPr>
        <w:t>applying a treat-to-</w:t>
      </w:r>
      <w:r w:rsidR="009E37F5" w:rsidRPr="00CE02BD">
        <w:rPr>
          <w:rFonts w:ascii="Book Antiqua" w:hAnsi="Book Antiqua"/>
          <w:sz w:val="24"/>
          <w:szCs w:val="24"/>
          <w:lang w:val="en-US"/>
        </w:rPr>
        <w:t xml:space="preserve">target approach to target composite clinical </w:t>
      </w:r>
      <w:r w:rsidR="009E37F5" w:rsidRPr="00CE02BD">
        <w:rPr>
          <w:rFonts w:ascii="Book Antiqua" w:hAnsi="Book Antiqua"/>
          <w:sz w:val="24"/>
          <w:szCs w:val="24"/>
          <w:lang w:val="en-US"/>
        </w:rPr>
        <w:lastRenderedPageBreak/>
        <w:t>and end</w:t>
      </w:r>
      <w:r w:rsidR="00425287" w:rsidRPr="00CE02BD">
        <w:rPr>
          <w:rFonts w:ascii="Book Antiqua" w:hAnsi="Book Antiqua"/>
          <w:sz w:val="24"/>
          <w:szCs w:val="24"/>
          <w:lang w:val="en-US"/>
        </w:rPr>
        <w:t>oscopical therapeutic endpoints and</w:t>
      </w:r>
      <w:r w:rsidR="009E37F5" w:rsidRPr="00CE02BD">
        <w:rPr>
          <w:rFonts w:ascii="Book Antiqua" w:hAnsi="Book Antiqua"/>
          <w:sz w:val="24"/>
          <w:szCs w:val="24"/>
          <w:lang w:val="en-US"/>
        </w:rPr>
        <w:t xml:space="preserve"> </w:t>
      </w:r>
      <w:r w:rsidR="0089645B" w:rsidRPr="00CE02BD">
        <w:rPr>
          <w:rFonts w:ascii="Book Antiqua" w:hAnsi="Book Antiqua"/>
          <w:sz w:val="24"/>
          <w:szCs w:val="24"/>
          <w:lang w:val="en-US"/>
        </w:rPr>
        <w:t>using close monitoring of objective markers of inflammation (</w:t>
      </w:r>
      <w:r w:rsidR="00B2045F" w:rsidRPr="00CE02BD">
        <w:rPr>
          <w:rFonts w:ascii="Book Antiqua" w:hAnsi="Book Antiqua"/>
          <w:sz w:val="24"/>
          <w:szCs w:val="24"/>
          <w:lang w:val="en-US"/>
        </w:rPr>
        <w:t xml:space="preserve">with </w:t>
      </w:r>
      <w:r w:rsidR="0089645B" w:rsidRPr="00CE02BD">
        <w:rPr>
          <w:rFonts w:ascii="Book Antiqua" w:hAnsi="Book Antiqua"/>
          <w:sz w:val="24"/>
          <w:szCs w:val="24"/>
          <w:lang w:val="en-US"/>
        </w:rPr>
        <w:t>clinical, endoscopical and biomarker</w:t>
      </w:r>
      <w:r w:rsidR="00425287" w:rsidRPr="00CE02BD">
        <w:rPr>
          <w:rFonts w:ascii="Book Antiqua" w:hAnsi="Book Antiqua"/>
          <w:sz w:val="24"/>
          <w:szCs w:val="24"/>
          <w:lang w:val="en-US"/>
        </w:rPr>
        <w:t xml:space="preserve"> </w:t>
      </w:r>
      <w:r w:rsidR="00D205FA" w:rsidRPr="00CE02BD">
        <w:rPr>
          <w:rFonts w:ascii="Book Antiqua" w:hAnsi="Book Antiqua"/>
          <w:sz w:val="24"/>
          <w:szCs w:val="24"/>
          <w:lang w:val="en-US"/>
        </w:rPr>
        <w:t>assessment</w:t>
      </w:r>
      <w:r w:rsidR="0089645B" w:rsidRPr="00CE02BD">
        <w:rPr>
          <w:rFonts w:ascii="Book Antiqua" w:hAnsi="Book Antiqua"/>
          <w:sz w:val="24"/>
          <w:szCs w:val="24"/>
          <w:lang w:val="en-US"/>
        </w:rPr>
        <w:t>) to direct therapeutic decisions until these goals are reached. Although several data s</w:t>
      </w:r>
      <w:r w:rsidR="008D6775" w:rsidRPr="00CE02BD">
        <w:rPr>
          <w:rFonts w:ascii="Book Antiqua" w:hAnsi="Book Antiqua"/>
          <w:sz w:val="24"/>
          <w:szCs w:val="24"/>
          <w:lang w:val="en-US"/>
        </w:rPr>
        <w:t>upport the benefit of ‘treat-to-</w:t>
      </w:r>
      <w:r w:rsidR="0089645B" w:rsidRPr="00CE02BD">
        <w:rPr>
          <w:rFonts w:ascii="Book Antiqua" w:hAnsi="Book Antiqua"/>
          <w:sz w:val="24"/>
          <w:szCs w:val="24"/>
          <w:lang w:val="en-US"/>
        </w:rPr>
        <w:t>target’ and ‘tight control’ strategies so far, these approaches require further validation assessing long-term outcomes and more precise definition of therapeutic targets (</w:t>
      </w:r>
      <w:r w:rsidR="00D205FA" w:rsidRPr="00CE02BD">
        <w:rPr>
          <w:rFonts w:ascii="Book Antiqua" w:hAnsi="Book Antiqua"/>
          <w:sz w:val="24"/>
          <w:szCs w:val="24"/>
          <w:lang w:val="en-US"/>
        </w:rPr>
        <w:t xml:space="preserve">for </w:t>
      </w:r>
      <w:r w:rsidR="00425287" w:rsidRPr="00CE02BD">
        <w:rPr>
          <w:rFonts w:ascii="Book Antiqua" w:hAnsi="Book Antiqua"/>
          <w:sz w:val="24"/>
          <w:szCs w:val="24"/>
          <w:lang w:val="en-US"/>
        </w:rPr>
        <w:t xml:space="preserve">both </w:t>
      </w:r>
      <w:r w:rsidR="0089645B" w:rsidRPr="00CE02BD">
        <w:rPr>
          <w:rFonts w:ascii="Book Antiqua" w:hAnsi="Book Antiqua"/>
          <w:sz w:val="24"/>
          <w:szCs w:val="24"/>
          <w:lang w:val="en-US"/>
        </w:rPr>
        <w:t>endoscopic and biomarker</w:t>
      </w:r>
      <w:r w:rsidR="00425287" w:rsidRPr="00CE02BD">
        <w:rPr>
          <w:rFonts w:ascii="Book Antiqua" w:hAnsi="Book Antiqua"/>
          <w:sz w:val="24"/>
          <w:szCs w:val="24"/>
          <w:lang w:val="en-US"/>
        </w:rPr>
        <w:t xml:space="preserve"> monitoring</w:t>
      </w:r>
      <w:r w:rsidR="0089645B" w:rsidRPr="00CE02BD">
        <w:rPr>
          <w:rFonts w:ascii="Book Antiqua" w:hAnsi="Book Antiqua"/>
          <w:sz w:val="24"/>
          <w:szCs w:val="24"/>
          <w:lang w:val="en-US"/>
        </w:rPr>
        <w:t>).</w:t>
      </w:r>
    </w:p>
    <w:p w14:paraId="51923DF9" w14:textId="72605431" w:rsidR="001669AA" w:rsidRPr="00CE02BD" w:rsidRDefault="001669AA" w:rsidP="000F1138">
      <w:pPr>
        <w:adjustRightInd w:val="0"/>
        <w:snapToGrid w:val="0"/>
        <w:spacing w:after="0" w:line="360" w:lineRule="auto"/>
        <w:jc w:val="both"/>
        <w:rPr>
          <w:rFonts w:ascii="Book Antiqua" w:hAnsi="Book Antiqua"/>
          <w:color w:val="000000" w:themeColor="text1"/>
          <w:sz w:val="24"/>
          <w:szCs w:val="24"/>
          <w:lang w:val="en-US"/>
        </w:rPr>
      </w:pPr>
    </w:p>
    <w:p w14:paraId="02C6B5E1" w14:textId="77777777" w:rsidR="00CE02BD" w:rsidRPr="00CE02BD" w:rsidRDefault="00CE02BD" w:rsidP="00CE02BD">
      <w:pPr>
        <w:adjustRightInd w:val="0"/>
        <w:snapToGrid w:val="0"/>
        <w:spacing w:line="360" w:lineRule="auto"/>
        <w:rPr>
          <w:rFonts w:ascii="Book Antiqua" w:hAnsi="Book Antiqua" w:cs="Times New Roman" w:hint="eastAsia"/>
          <w:color w:val="000000" w:themeColor="text1"/>
          <w:sz w:val="24"/>
          <w:szCs w:val="24"/>
          <w:lang w:eastAsia="zh-CN"/>
        </w:rPr>
      </w:pPr>
      <w:bookmarkStart w:id="43" w:name="OLE_LINK47"/>
      <w:bookmarkStart w:id="44" w:name="OLE_LINK48"/>
      <w:bookmarkStart w:id="45" w:name="OLE_LINK289"/>
      <w:bookmarkStart w:id="46" w:name="OLE_LINK494"/>
      <w:bookmarkStart w:id="47" w:name="OLE_LINK428"/>
      <w:bookmarkStart w:id="48" w:name="OLE_LINK108"/>
      <w:bookmarkStart w:id="49" w:name="OLE_LINK109"/>
      <w:bookmarkStart w:id="50" w:name="OLE_LINK1105"/>
      <w:bookmarkStart w:id="51" w:name="OLE_LINK1107"/>
      <w:bookmarkStart w:id="52" w:name="OLE_LINK142"/>
      <w:bookmarkStart w:id="53" w:name="OLE_LINK143"/>
      <w:bookmarkStart w:id="54" w:name="OLE_LINK249"/>
      <w:bookmarkStart w:id="55" w:name="OLE_LINK256"/>
      <w:bookmarkStart w:id="56" w:name="OLE_LINK85"/>
      <w:r w:rsidRPr="00CE02BD">
        <w:rPr>
          <w:rFonts w:ascii="Book Antiqua" w:hAnsi="Book Antiqua" w:cs="Times New Roman" w:hint="eastAsia"/>
          <w:b/>
          <w:color w:val="000000" w:themeColor="text1"/>
          <w:sz w:val="24"/>
          <w:szCs w:val="24"/>
          <w:lang w:eastAsia="zh-CN"/>
        </w:rPr>
        <w:t>Citation:</w:t>
      </w:r>
      <w:r w:rsidRPr="00CE02BD">
        <w:rPr>
          <w:rFonts w:ascii="Book Antiqua" w:hAnsi="Book Antiqua" w:cs="Times New Roman" w:hint="eastAsia"/>
          <w:color w:val="000000" w:themeColor="text1"/>
          <w:sz w:val="24"/>
          <w:szCs w:val="24"/>
          <w:lang w:eastAsia="zh-CN"/>
        </w:rPr>
        <w:t xml:space="preserve"> </w:t>
      </w:r>
      <w:r w:rsidRPr="00CE02BD">
        <w:rPr>
          <w:rFonts w:ascii="Book Antiqua" w:hAnsi="Book Antiqua" w:cs="Times New Roman"/>
          <w:color w:val="000000" w:themeColor="text1"/>
          <w:sz w:val="24"/>
          <w:szCs w:val="24"/>
        </w:rPr>
        <w:t>Gonczi L, Bessissow T, Lakatos PL.</w:t>
      </w:r>
      <w:r w:rsidRPr="00CE02BD">
        <w:rPr>
          <w:rFonts w:ascii="Book Antiqua" w:hAnsi="Book Antiqua"/>
          <w:sz w:val="24"/>
          <w:szCs w:val="24"/>
        </w:rPr>
        <w:t xml:space="preserve"> </w:t>
      </w:r>
      <w:r w:rsidRPr="00CE02BD">
        <w:rPr>
          <w:rFonts w:ascii="Book Antiqua" w:hAnsi="Book Antiqua" w:cs="Times New Roman"/>
          <w:color w:val="000000" w:themeColor="text1"/>
          <w:sz w:val="24"/>
          <w:szCs w:val="24"/>
        </w:rPr>
        <w:t>Disease monitoring strategies in inflammatory bowel diseases: What do we mean</w:t>
      </w:r>
      <w:r w:rsidRPr="00CE02BD">
        <w:rPr>
          <w:rFonts w:ascii="Book Antiqua" w:hAnsi="Book Antiqua" w:cs="Times New Roman" w:hint="eastAsia"/>
          <w:color w:val="000000" w:themeColor="text1"/>
          <w:sz w:val="24"/>
          <w:szCs w:val="24"/>
        </w:rPr>
        <w:t xml:space="preserve"> </w:t>
      </w:r>
      <w:r w:rsidRPr="00CE02BD">
        <w:rPr>
          <w:rFonts w:ascii="Book Antiqua" w:hAnsi="Book Antiqua" w:cs="Times New Roman"/>
          <w:color w:val="000000" w:themeColor="text1"/>
          <w:sz w:val="24"/>
          <w:szCs w:val="24"/>
        </w:rPr>
        <w:t>”by</w:t>
      </w:r>
      <w:r w:rsidRPr="00CE02BD">
        <w:rPr>
          <w:rFonts w:ascii="Book Antiqua" w:hAnsi="Book Antiqua" w:cs="Times New Roman" w:hint="eastAsia"/>
          <w:color w:val="000000" w:themeColor="text1"/>
          <w:sz w:val="24"/>
          <w:szCs w:val="24"/>
        </w:rPr>
        <w:t xml:space="preserve"> </w:t>
      </w:r>
      <w:r w:rsidRPr="00CE02BD">
        <w:rPr>
          <w:rFonts w:ascii="Book Antiqua" w:hAnsi="Book Antiqua" w:cs="Times New Roman"/>
          <w:color w:val="000000" w:themeColor="text1"/>
          <w:sz w:val="24"/>
          <w:szCs w:val="24"/>
        </w:rPr>
        <w:t xml:space="preserve">tight control”?. </w:t>
      </w:r>
      <w:r w:rsidRPr="00CE02BD">
        <w:rPr>
          <w:rFonts w:ascii="Book Antiqua" w:hAnsi="Book Antiqua" w:cs="Times New Roman"/>
          <w:i/>
          <w:color w:val="000000" w:themeColor="text1"/>
          <w:sz w:val="24"/>
          <w:szCs w:val="24"/>
        </w:rPr>
        <w:t xml:space="preserve">World J Gastroenterol </w:t>
      </w:r>
      <w:r w:rsidRPr="00CE02BD">
        <w:rPr>
          <w:rFonts w:ascii="Book Antiqua" w:hAnsi="Book Antiqua" w:cs="Times New Roman"/>
          <w:color w:val="000000" w:themeColor="text1"/>
          <w:sz w:val="24"/>
          <w:szCs w:val="24"/>
        </w:rPr>
        <w:t xml:space="preserve">2019; </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E02BD">
        <w:rPr>
          <w:rFonts w:ascii="Book Antiqua" w:hAnsi="Book Antiqua" w:cs="Times New Roman"/>
          <w:color w:val="000000" w:themeColor="text1"/>
          <w:sz w:val="24"/>
          <w:szCs w:val="24"/>
        </w:rPr>
        <w:t xml:space="preserve">25(41): </w:t>
      </w:r>
      <w:r w:rsidRPr="00CE02BD">
        <w:rPr>
          <w:rFonts w:ascii="Book Antiqua" w:hAnsi="Book Antiqua" w:cs="Times New Roman" w:hint="eastAsia"/>
          <w:color w:val="000000" w:themeColor="text1"/>
          <w:sz w:val="24"/>
          <w:szCs w:val="24"/>
        </w:rPr>
        <w:t>6172</w:t>
      </w:r>
      <w:r w:rsidRPr="00CE02BD">
        <w:rPr>
          <w:rFonts w:ascii="Book Antiqua" w:hAnsi="Book Antiqua" w:cs="Times New Roman"/>
          <w:color w:val="000000" w:themeColor="text1"/>
          <w:sz w:val="24"/>
          <w:szCs w:val="24"/>
        </w:rPr>
        <w:t>-</w:t>
      </w:r>
      <w:r w:rsidRPr="00CE02BD">
        <w:rPr>
          <w:rFonts w:ascii="Book Antiqua" w:hAnsi="Book Antiqua" w:cs="Times New Roman" w:hint="eastAsia"/>
          <w:color w:val="000000" w:themeColor="text1"/>
          <w:sz w:val="24"/>
          <w:szCs w:val="24"/>
        </w:rPr>
        <w:t>6189</w:t>
      </w:r>
      <w:r w:rsidRPr="00CE02BD">
        <w:rPr>
          <w:rFonts w:ascii="Book Antiqua" w:hAnsi="Book Antiqua" w:cs="Times New Roman"/>
          <w:color w:val="000000" w:themeColor="text1"/>
          <w:sz w:val="24"/>
          <w:szCs w:val="24"/>
        </w:rPr>
        <w:t xml:space="preserve">  </w:t>
      </w:r>
    </w:p>
    <w:p w14:paraId="48F8087E" w14:textId="77777777" w:rsidR="00CE02BD" w:rsidRPr="00CE02BD" w:rsidRDefault="00CE02BD" w:rsidP="00CE02BD">
      <w:pPr>
        <w:adjustRightInd w:val="0"/>
        <w:snapToGrid w:val="0"/>
        <w:spacing w:line="360" w:lineRule="auto"/>
        <w:rPr>
          <w:rFonts w:ascii="Book Antiqua" w:hAnsi="Book Antiqua" w:cs="Times New Roman" w:hint="eastAsia"/>
          <w:color w:val="000000" w:themeColor="text1"/>
          <w:sz w:val="24"/>
          <w:szCs w:val="24"/>
          <w:lang w:eastAsia="zh-CN"/>
        </w:rPr>
      </w:pPr>
      <w:r w:rsidRPr="00CE02BD">
        <w:rPr>
          <w:rFonts w:ascii="Book Antiqua" w:hAnsi="Book Antiqua" w:cs="Times New Roman"/>
          <w:b/>
          <w:color w:val="000000" w:themeColor="text1"/>
          <w:sz w:val="24"/>
          <w:szCs w:val="24"/>
        </w:rPr>
        <w:t xml:space="preserve">URL: </w:t>
      </w:r>
      <w:r w:rsidRPr="00CE02BD">
        <w:rPr>
          <w:rFonts w:ascii="Book Antiqua" w:hAnsi="Book Antiqua" w:cs="Times New Roman"/>
          <w:color w:val="000000" w:themeColor="text1"/>
          <w:sz w:val="24"/>
          <w:szCs w:val="24"/>
        </w:rPr>
        <w:t>https://www.wjgnet.com/1007-9327/full/v25/i41/</w:t>
      </w:r>
      <w:r w:rsidRPr="00CE02BD">
        <w:rPr>
          <w:rFonts w:ascii="Book Antiqua" w:hAnsi="Book Antiqua" w:cs="Times New Roman" w:hint="eastAsia"/>
          <w:color w:val="000000" w:themeColor="text1"/>
          <w:sz w:val="24"/>
          <w:szCs w:val="24"/>
        </w:rPr>
        <w:t>6172</w:t>
      </w:r>
      <w:r w:rsidRPr="00CE02BD">
        <w:rPr>
          <w:rFonts w:ascii="Book Antiqua" w:hAnsi="Book Antiqua" w:cs="Times New Roman"/>
          <w:color w:val="000000" w:themeColor="text1"/>
          <w:sz w:val="24"/>
          <w:szCs w:val="24"/>
        </w:rPr>
        <w:t xml:space="preserve">.htm  </w:t>
      </w:r>
    </w:p>
    <w:p w14:paraId="67DC158B" w14:textId="6E6AB871" w:rsidR="00CE02BD" w:rsidRPr="00CE02BD" w:rsidRDefault="00CE02BD" w:rsidP="00CE02BD">
      <w:pPr>
        <w:adjustRightInd w:val="0"/>
        <w:snapToGrid w:val="0"/>
        <w:spacing w:line="360" w:lineRule="auto"/>
        <w:rPr>
          <w:rFonts w:ascii="Book Antiqua" w:hAnsi="Book Antiqua"/>
          <w:sz w:val="24"/>
          <w:szCs w:val="24"/>
        </w:rPr>
      </w:pPr>
      <w:r w:rsidRPr="00CE02BD">
        <w:rPr>
          <w:rFonts w:ascii="Book Antiqua" w:hAnsi="Book Antiqua" w:cs="Times New Roman"/>
          <w:b/>
          <w:color w:val="000000" w:themeColor="text1"/>
          <w:sz w:val="24"/>
          <w:szCs w:val="24"/>
        </w:rPr>
        <w:t>DOI:</w:t>
      </w:r>
      <w:r w:rsidRPr="00CE02BD">
        <w:rPr>
          <w:rFonts w:ascii="Book Antiqua" w:hAnsi="Book Antiqua" w:cs="Times New Roman"/>
          <w:color w:val="000000" w:themeColor="text1"/>
          <w:sz w:val="24"/>
          <w:szCs w:val="24"/>
        </w:rPr>
        <w:t xml:space="preserve"> https://dx.doi.org/10.3748/wjg.v25.i41.</w:t>
      </w:r>
      <w:r w:rsidRPr="00CE02BD">
        <w:rPr>
          <w:rFonts w:ascii="Book Antiqua" w:hAnsi="Book Antiqua" w:cs="Times New Roman" w:hint="eastAsia"/>
          <w:color w:val="000000" w:themeColor="text1"/>
          <w:sz w:val="24"/>
          <w:szCs w:val="24"/>
        </w:rPr>
        <w:t>6172</w:t>
      </w:r>
    </w:p>
    <w:p w14:paraId="748ADABA" w14:textId="77777777" w:rsidR="001669AA" w:rsidRPr="00CE02BD" w:rsidRDefault="001669AA" w:rsidP="000F1138">
      <w:pPr>
        <w:adjustRightInd w:val="0"/>
        <w:snapToGrid w:val="0"/>
        <w:spacing w:after="0" w:line="360" w:lineRule="auto"/>
        <w:jc w:val="both"/>
        <w:rPr>
          <w:rFonts w:ascii="Book Antiqua" w:hAnsi="Book Antiqua"/>
          <w:sz w:val="24"/>
          <w:szCs w:val="24"/>
        </w:rPr>
      </w:pPr>
    </w:p>
    <w:p w14:paraId="2AD5F8F7" w14:textId="6DBCD31A" w:rsidR="0089645B" w:rsidRPr="00CE02BD" w:rsidRDefault="0089645B"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br w:type="page"/>
      </w:r>
    </w:p>
    <w:p w14:paraId="4C48C64E" w14:textId="0CE37D1D" w:rsidR="00974CCB" w:rsidRPr="00CE02BD" w:rsidRDefault="00974CCB"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lastRenderedPageBreak/>
        <w:t>I</w:t>
      </w:r>
      <w:r w:rsidR="001F4D8B" w:rsidRPr="00CE02BD">
        <w:rPr>
          <w:rFonts w:ascii="Book Antiqua" w:hAnsi="Book Antiqua"/>
          <w:b/>
          <w:sz w:val="24"/>
          <w:szCs w:val="24"/>
          <w:lang w:val="en-US"/>
        </w:rPr>
        <w:t>NTRODUCTION</w:t>
      </w:r>
    </w:p>
    <w:p w14:paraId="4C622B1C" w14:textId="6A9292D9" w:rsidR="00DC4DF7" w:rsidRPr="00CE02BD" w:rsidRDefault="0007790F"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Inflammatory bowel diseases (IBD) are </w:t>
      </w:r>
      <w:r w:rsidR="00C459E7" w:rsidRPr="00CE02BD">
        <w:rPr>
          <w:rFonts w:ascii="Book Antiqua" w:hAnsi="Book Antiqua"/>
          <w:sz w:val="24"/>
          <w:szCs w:val="24"/>
          <w:lang w:val="en-US"/>
        </w:rPr>
        <w:t>chronic</w:t>
      </w:r>
      <w:r w:rsidRPr="00CE02BD">
        <w:rPr>
          <w:rFonts w:ascii="Book Antiqua" w:hAnsi="Book Antiqua"/>
          <w:sz w:val="24"/>
          <w:szCs w:val="24"/>
          <w:lang w:val="en-US"/>
        </w:rPr>
        <w:t xml:space="preserve"> immune-mediated inflammatory disorders that primarily affect the gastrointestinal tract</w:t>
      </w:r>
      <w:r w:rsidR="00C459E7" w:rsidRPr="00CE02BD">
        <w:rPr>
          <w:rFonts w:ascii="Book Antiqua" w:hAnsi="Book Antiqua"/>
          <w:sz w:val="24"/>
          <w:szCs w:val="24"/>
          <w:lang w:val="en-US"/>
        </w:rPr>
        <w:t xml:space="preserve"> and if uncontrolled, lead to disabling conditions that impact severely on the patient’s physical health</w:t>
      </w:r>
      <w:r w:rsidR="004C2AF5" w:rsidRPr="00CE02BD">
        <w:rPr>
          <w:rFonts w:ascii="Book Antiqua" w:hAnsi="Book Antiqua"/>
          <w:sz w:val="24"/>
          <w:szCs w:val="24"/>
          <w:lang w:val="en-US"/>
        </w:rPr>
        <w:t xml:space="preserve"> </w:t>
      </w:r>
      <w:r w:rsidR="00C459E7" w:rsidRPr="00CE02BD">
        <w:rPr>
          <w:rFonts w:ascii="Book Antiqua" w:hAnsi="Book Antiqua"/>
          <w:sz w:val="24"/>
          <w:szCs w:val="24"/>
          <w:lang w:val="en-US"/>
        </w:rPr>
        <w:t>and quality of life</w:t>
      </w:r>
      <w:r w:rsidRPr="00CE02BD">
        <w:rPr>
          <w:rFonts w:ascii="Book Antiqua" w:hAnsi="Book Antiqua"/>
          <w:sz w:val="24"/>
          <w:szCs w:val="24"/>
          <w:lang w:val="en-US"/>
        </w:rPr>
        <w:t>.</w:t>
      </w:r>
      <w:r w:rsidR="00275D95" w:rsidRPr="00CE02BD">
        <w:rPr>
          <w:rFonts w:ascii="Book Antiqua" w:hAnsi="Book Antiqua"/>
          <w:sz w:val="24"/>
          <w:szCs w:val="24"/>
          <w:lang w:val="en-US"/>
        </w:rPr>
        <w:t xml:space="preserve"> </w:t>
      </w:r>
      <w:r w:rsidRPr="00CE02BD">
        <w:rPr>
          <w:rFonts w:ascii="Book Antiqua" w:hAnsi="Book Antiqua"/>
          <w:sz w:val="24"/>
          <w:szCs w:val="24"/>
          <w:lang w:val="en-US"/>
        </w:rPr>
        <w:t xml:space="preserve">The incidence and prevalence of IBD is increasing worldwide, putting significant burden on </w:t>
      </w:r>
      <w:r w:rsidR="00C459E7" w:rsidRPr="00CE02BD">
        <w:rPr>
          <w:rFonts w:ascii="Book Antiqua" w:hAnsi="Book Antiqua"/>
          <w:sz w:val="24"/>
          <w:szCs w:val="24"/>
          <w:lang w:val="en-US"/>
        </w:rPr>
        <w:t xml:space="preserve">both individuals and </w:t>
      </w:r>
      <w:r w:rsidRPr="00CE02BD">
        <w:rPr>
          <w:rFonts w:ascii="Book Antiqua" w:hAnsi="Book Antiqua"/>
          <w:sz w:val="24"/>
          <w:szCs w:val="24"/>
          <w:lang w:val="en-US"/>
        </w:rPr>
        <w:t xml:space="preserve">the health care </w:t>
      </w:r>
      <w:proofErr w:type="gramStart"/>
      <w:r w:rsidRPr="00CE02BD">
        <w:rPr>
          <w:rFonts w:ascii="Book Antiqua" w:hAnsi="Book Antiqua"/>
          <w:sz w:val="24"/>
          <w:szCs w:val="24"/>
          <w:lang w:val="en-US"/>
        </w:rPr>
        <w:t>system</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1</w:t>
      </w:r>
      <w:r w:rsidR="000F1138" w:rsidRPr="00CE02BD">
        <w:rPr>
          <w:rFonts w:ascii="Book Antiqua" w:hAnsi="Book Antiqua"/>
          <w:color w:val="000000" w:themeColor="text1"/>
          <w:sz w:val="24"/>
          <w:szCs w:val="24"/>
          <w:vertAlign w:val="superscript"/>
          <w:lang w:val="en-US"/>
        </w:rPr>
        <w:t>]</w:t>
      </w:r>
      <w:r w:rsidRPr="00CE02BD">
        <w:rPr>
          <w:rFonts w:ascii="Book Antiqua" w:hAnsi="Book Antiqua"/>
          <w:sz w:val="24"/>
          <w:szCs w:val="24"/>
          <w:lang w:val="en-US"/>
        </w:rPr>
        <w:t xml:space="preserve">. </w:t>
      </w:r>
      <w:r w:rsidR="00C459E7" w:rsidRPr="00CE02BD">
        <w:rPr>
          <w:rFonts w:ascii="Book Antiqua" w:hAnsi="Book Antiqua"/>
          <w:sz w:val="24"/>
          <w:szCs w:val="24"/>
          <w:lang w:val="en-US"/>
        </w:rPr>
        <w:t xml:space="preserve">The past </w:t>
      </w:r>
      <w:r w:rsidR="00862034" w:rsidRPr="00CE02BD">
        <w:rPr>
          <w:rFonts w:ascii="Book Antiqua" w:hAnsi="Book Antiqua"/>
          <w:sz w:val="24"/>
          <w:szCs w:val="24"/>
          <w:lang w:val="en-US"/>
        </w:rPr>
        <w:t xml:space="preserve">two </w:t>
      </w:r>
      <w:r w:rsidR="00C459E7" w:rsidRPr="00CE02BD">
        <w:rPr>
          <w:rFonts w:ascii="Book Antiqua" w:hAnsi="Book Antiqua"/>
          <w:sz w:val="24"/>
          <w:szCs w:val="24"/>
          <w:lang w:val="en-US"/>
        </w:rPr>
        <w:t>decade</w:t>
      </w:r>
      <w:r w:rsidR="00D05F9A" w:rsidRPr="00CE02BD">
        <w:rPr>
          <w:rFonts w:ascii="Book Antiqua" w:hAnsi="Book Antiqua"/>
          <w:sz w:val="24"/>
          <w:szCs w:val="24"/>
          <w:lang w:val="en-US"/>
        </w:rPr>
        <w:t>s</w:t>
      </w:r>
      <w:r w:rsidR="00C459E7" w:rsidRPr="00CE02BD">
        <w:rPr>
          <w:rFonts w:ascii="Book Antiqua" w:hAnsi="Book Antiqua"/>
          <w:sz w:val="24"/>
          <w:szCs w:val="24"/>
          <w:lang w:val="en-US"/>
        </w:rPr>
        <w:t xml:space="preserve"> ha</w:t>
      </w:r>
      <w:r w:rsidR="00D05F9A" w:rsidRPr="00CE02BD">
        <w:rPr>
          <w:rFonts w:ascii="Book Antiqua" w:hAnsi="Book Antiqua"/>
          <w:sz w:val="24"/>
          <w:szCs w:val="24"/>
          <w:lang w:val="en-US"/>
        </w:rPr>
        <w:t>ve</w:t>
      </w:r>
      <w:r w:rsidR="00C459E7" w:rsidRPr="00CE02BD">
        <w:rPr>
          <w:rFonts w:ascii="Book Antiqua" w:hAnsi="Book Antiqua"/>
          <w:sz w:val="24"/>
          <w:szCs w:val="24"/>
          <w:lang w:val="en-US"/>
        </w:rPr>
        <w:t xml:space="preserve"> brought substantial advances in the pharmacological management of IBD</w:t>
      </w:r>
      <w:r w:rsidR="00862034" w:rsidRPr="00CE02BD">
        <w:rPr>
          <w:rFonts w:ascii="Book Antiqua" w:hAnsi="Book Antiqua"/>
          <w:sz w:val="24"/>
          <w:szCs w:val="24"/>
          <w:lang w:val="en-US"/>
        </w:rPr>
        <w:t xml:space="preserve"> by the introduction of immunosuppressive agents, biologics and</w:t>
      </w:r>
      <w:r w:rsidR="003B2F12" w:rsidRPr="00CE02BD">
        <w:rPr>
          <w:rFonts w:ascii="Book Antiqua" w:hAnsi="Book Antiqua"/>
          <w:sz w:val="24"/>
          <w:szCs w:val="24"/>
          <w:lang w:val="en-US"/>
        </w:rPr>
        <w:t xml:space="preserve"> lately small molecules</w:t>
      </w:r>
      <w:r w:rsidR="00862034" w:rsidRPr="00CE02BD">
        <w:rPr>
          <w:rFonts w:ascii="Book Antiqua" w:hAnsi="Book Antiqua"/>
          <w:sz w:val="24"/>
          <w:szCs w:val="24"/>
          <w:lang w:val="en-US"/>
        </w:rPr>
        <w:t xml:space="preserve">. Numerous </w:t>
      </w:r>
      <w:r w:rsidR="00C459E7" w:rsidRPr="00CE02BD">
        <w:rPr>
          <w:rFonts w:ascii="Book Antiqua" w:hAnsi="Book Antiqua"/>
          <w:sz w:val="24"/>
          <w:szCs w:val="24"/>
          <w:lang w:val="en-US"/>
        </w:rPr>
        <w:t>new drugs</w:t>
      </w:r>
      <w:r w:rsidR="00862034" w:rsidRPr="00CE02BD">
        <w:rPr>
          <w:rFonts w:ascii="Book Antiqua" w:hAnsi="Book Antiqua"/>
          <w:sz w:val="24"/>
          <w:szCs w:val="24"/>
          <w:lang w:val="en-US"/>
        </w:rPr>
        <w:t xml:space="preserve"> with different mechanisms of action </w:t>
      </w:r>
      <w:r w:rsidR="00907BAA" w:rsidRPr="00CE02BD">
        <w:rPr>
          <w:rFonts w:ascii="Book Antiqua" w:hAnsi="Book Antiqua"/>
          <w:sz w:val="24"/>
          <w:szCs w:val="24"/>
          <w:lang w:val="en-US"/>
        </w:rPr>
        <w:t xml:space="preserve">have </w:t>
      </w:r>
      <w:r w:rsidR="00862034" w:rsidRPr="00CE02BD">
        <w:rPr>
          <w:rFonts w:ascii="Book Antiqua" w:hAnsi="Book Antiqua"/>
          <w:sz w:val="24"/>
          <w:szCs w:val="24"/>
          <w:lang w:val="en-US"/>
        </w:rPr>
        <w:t xml:space="preserve">emerged, </w:t>
      </w:r>
      <w:r w:rsidR="003B2F12" w:rsidRPr="00CE02BD">
        <w:rPr>
          <w:rFonts w:ascii="Book Antiqua" w:hAnsi="Book Antiqua"/>
          <w:sz w:val="24"/>
          <w:szCs w:val="24"/>
          <w:lang w:val="en-US"/>
        </w:rPr>
        <w:t>however</w:t>
      </w:r>
      <w:r w:rsidR="00862034" w:rsidRPr="00CE02BD">
        <w:rPr>
          <w:rFonts w:ascii="Book Antiqua" w:hAnsi="Book Antiqua"/>
          <w:sz w:val="24"/>
          <w:szCs w:val="24"/>
          <w:lang w:val="en-US"/>
        </w:rPr>
        <w:t xml:space="preserve"> </w:t>
      </w:r>
      <w:r w:rsidR="003B2F12" w:rsidRPr="00CE02BD">
        <w:rPr>
          <w:rFonts w:ascii="Book Antiqua" w:hAnsi="Book Antiqua"/>
          <w:sz w:val="24"/>
          <w:szCs w:val="24"/>
          <w:lang w:val="en-US"/>
        </w:rPr>
        <w:t xml:space="preserve">determining </w:t>
      </w:r>
      <w:r w:rsidR="00862034" w:rsidRPr="00CE02BD">
        <w:rPr>
          <w:rFonts w:ascii="Book Antiqua" w:hAnsi="Book Antiqua"/>
          <w:sz w:val="24"/>
          <w:szCs w:val="24"/>
          <w:lang w:val="en-US"/>
        </w:rPr>
        <w:t xml:space="preserve">the specific role of </w:t>
      </w:r>
      <w:r w:rsidR="003B2F12" w:rsidRPr="00CE02BD">
        <w:rPr>
          <w:rFonts w:ascii="Book Antiqua" w:hAnsi="Book Antiqua"/>
          <w:sz w:val="24"/>
          <w:szCs w:val="24"/>
          <w:lang w:val="en-US"/>
        </w:rPr>
        <w:t>each drug</w:t>
      </w:r>
      <w:r w:rsidR="00862034" w:rsidRPr="00CE02BD">
        <w:rPr>
          <w:rFonts w:ascii="Book Antiqua" w:hAnsi="Book Antiqua"/>
          <w:sz w:val="24"/>
          <w:szCs w:val="24"/>
          <w:lang w:val="en-US"/>
        </w:rPr>
        <w:t xml:space="preserve"> in the therapeutic armamentarium of IBD </w:t>
      </w:r>
      <w:r w:rsidR="005F623A" w:rsidRPr="00CE02BD">
        <w:rPr>
          <w:rFonts w:ascii="Book Antiqua" w:hAnsi="Book Antiqua"/>
          <w:sz w:val="24"/>
          <w:szCs w:val="24"/>
          <w:lang w:val="en-US"/>
        </w:rPr>
        <w:t>has become</w:t>
      </w:r>
      <w:r w:rsidR="00862034" w:rsidRPr="00CE02BD">
        <w:rPr>
          <w:rFonts w:ascii="Book Antiqua" w:hAnsi="Book Antiqua"/>
          <w:sz w:val="24"/>
          <w:szCs w:val="24"/>
          <w:lang w:val="en-US"/>
        </w:rPr>
        <w:t xml:space="preserve"> challenging</w:t>
      </w:r>
      <w:r w:rsidR="003B2F12" w:rsidRPr="00CE02BD">
        <w:rPr>
          <w:rFonts w:ascii="Book Antiqua" w:hAnsi="Book Antiqua"/>
          <w:sz w:val="24"/>
          <w:szCs w:val="24"/>
          <w:lang w:val="en-US"/>
        </w:rPr>
        <w:t xml:space="preserve">. </w:t>
      </w:r>
      <w:r w:rsidR="001E05E7" w:rsidRPr="00CE02BD">
        <w:rPr>
          <w:rFonts w:ascii="Book Antiqua" w:hAnsi="Book Antiqua"/>
          <w:sz w:val="24"/>
          <w:szCs w:val="24"/>
          <w:lang w:val="en-US"/>
        </w:rPr>
        <w:t xml:space="preserve">In addition to the burst of novel therapeutic options, probably the second most important </w:t>
      </w:r>
      <w:r w:rsidR="00331A1B" w:rsidRPr="00CE02BD">
        <w:rPr>
          <w:rFonts w:ascii="Book Antiqua" w:hAnsi="Book Antiqua"/>
          <w:sz w:val="24"/>
          <w:szCs w:val="24"/>
          <w:lang w:val="en-US"/>
        </w:rPr>
        <w:t>result</w:t>
      </w:r>
      <w:r w:rsidR="001E05E7" w:rsidRPr="00CE02BD">
        <w:rPr>
          <w:rFonts w:ascii="Book Antiqua" w:hAnsi="Book Antiqua"/>
          <w:sz w:val="24"/>
          <w:szCs w:val="24"/>
          <w:lang w:val="en-US"/>
        </w:rPr>
        <w:t xml:space="preserve"> of the past years is the observation that</w:t>
      </w:r>
      <w:r w:rsidR="009D3D02" w:rsidRPr="00CE02BD">
        <w:rPr>
          <w:rFonts w:ascii="Book Antiqua" w:hAnsi="Book Antiqua"/>
          <w:sz w:val="24"/>
          <w:szCs w:val="24"/>
          <w:lang w:val="en-US"/>
        </w:rPr>
        <w:t xml:space="preserve"> most therapeutic</w:t>
      </w:r>
      <w:r w:rsidR="001E05E7" w:rsidRPr="00CE02BD">
        <w:rPr>
          <w:rFonts w:ascii="Book Antiqua" w:hAnsi="Book Antiqua"/>
          <w:sz w:val="24"/>
          <w:szCs w:val="24"/>
          <w:lang w:val="en-US"/>
        </w:rPr>
        <w:t xml:space="preserve"> approaches</w:t>
      </w:r>
      <w:r w:rsidR="009D3D02" w:rsidRPr="00CE02BD">
        <w:rPr>
          <w:rFonts w:ascii="Book Antiqua" w:hAnsi="Book Antiqua"/>
          <w:sz w:val="24"/>
          <w:szCs w:val="24"/>
          <w:lang w:val="en-US"/>
        </w:rPr>
        <w:t xml:space="preserve"> </w:t>
      </w:r>
      <w:r w:rsidR="004C2AF5" w:rsidRPr="00CE02BD">
        <w:rPr>
          <w:rFonts w:ascii="Book Antiqua" w:hAnsi="Book Antiqua"/>
          <w:sz w:val="24"/>
          <w:szCs w:val="24"/>
          <w:lang w:val="en-US"/>
        </w:rPr>
        <w:t xml:space="preserve">driven only by </w:t>
      </w:r>
      <w:r w:rsidR="009D3D02" w:rsidRPr="00CE02BD">
        <w:rPr>
          <w:rFonts w:ascii="Book Antiqua" w:hAnsi="Book Antiqua"/>
          <w:sz w:val="24"/>
          <w:szCs w:val="24"/>
          <w:lang w:val="en-US"/>
        </w:rPr>
        <w:t xml:space="preserve">symptomatic control of disease activity </w:t>
      </w:r>
      <w:r w:rsidR="00331A1B" w:rsidRPr="00CE02BD">
        <w:rPr>
          <w:rFonts w:ascii="Book Antiqua" w:hAnsi="Book Antiqua"/>
          <w:sz w:val="24"/>
          <w:szCs w:val="24"/>
          <w:lang w:val="en-US"/>
        </w:rPr>
        <w:t xml:space="preserve">probably </w:t>
      </w:r>
      <w:r w:rsidR="009D3D02" w:rsidRPr="00CE02BD">
        <w:rPr>
          <w:rFonts w:ascii="Book Antiqua" w:hAnsi="Book Antiqua"/>
          <w:sz w:val="24"/>
          <w:szCs w:val="24"/>
          <w:lang w:val="en-US"/>
        </w:rPr>
        <w:t xml:space="preserve">failed to change the natural course of the </w:t>
      </w:r>
      <w:proofErr w:type="gramStart"/>
      <w:r w:rsidR="009D3D02" w:rsidRPr="00CE02BD">
        <w:rPr>
          <w:rFonts w:ascii="Book Antiqua" w:hAnsi="Book Antiqua"/>
          <w:sz w:val="24"/>
          <w:szCs w:val="24"/>
          <w:lang w:val="en-US"/>
        </w:rPr>
        <w:t>disease</w:t>
      </w:r>
      <w:bookmarkStart w:id="57" w:name="_Ref16878257"/>
      <w:r w:rsidR="001F4D8B" w:rsidRPr="00CE02BD">
        <w:rPr>
          <w:rFonts w:ascii="Book Antiqua" w:hAnsi="Book Antiqua"/>
          <w:sz w:val="24"/>
          <w:szCs w:val="24"/>
          <w:vertAlign w:val="superscript"/>
          <w:lang w:val="en-US"/>
        </w:rPr>
        <w:t>[</w:t>
      </w:r>
      <w:bookmarkEnd w:id="57"/>
      <w:proofErr w:type="gramEnd"/>
      <w:r w:rsidR="00B02396" w:rsidRPr="00CE02BD">
        <w:rPr>
          <w:rFonts w:ascii="Book Antiqua" w:hAnsi="Book Antiqua"/>
          <w:sz w:val="24"/>
          <w:szCs w:val="24"/>
          <w:vertAlign w:val="superscript"/>
          <w:lang w:val="en-US"/>
        </w:rPr>
        <w:t>2</w:t>
      </w:r>
      <w:r w:rsidR="000F1138" w:rsidRPr="00CE02BD">
        <w:rPr>
          <w:rFonts w:ascii="Book Antiqua" w:hAnsi="Book Antiqua"/>
          <w:sz w:val="24"/>
          <w:szCs w:val="24"/>
          <w:vertAlign w:val="superscript"/>
          <w:lang w:val="en-US"/>
        </w:rPr>
        <w:t>-</w:t>
      </w:r>
      <w:r w:rsidR="00B02396" w:rsidRPr="00CE02BD">
        <w:rPr>
          <w:rFonts w:ascii="Book Antiqua" w:hAnsi="Book Antiqua"/>
          <w:sz w:val="24"/>
          <w:szCs w:val="24"/>
          <w:vertAlign w:val="superscript"/>
          <w:lang w:val="en-US"/>
        </w:rPr>
        <w:t>5</w:t>
      </w:r>
      <w:r w:rsidR="001F4D8B" w:rsidRPr="00CE02BD">
        <w:rPr>
          <w:rFonts w:ascii="Book Antiqua" w:hAnsi="Book Antiqua"/>
          <w:color w:val="000000" w:themeColor="text1"/>
          <w:sz w:val="24"/>
          <w:szCs w:val="24"/>
          <w:vertAlign w:val="superscript"/>
          <w:lang w:val="en-US"/>
        </w:rPr>
        <w:t>]</w:t>
      </w:r>
      <w:r w:rsidR="000F1138" w:rsidRPr="00CE02BD">
        <w:rPr>
          <w:rFonts w:ascii="Book Antiqua" w:hAnsi="Book Antiqua"/>
          <w:sz w:val="24"/>
          <w:szCs w:val="24"/>
          <w:lang w:val="en-US"/>
        </w:rPr>
        <w:t>.</w:t>
      </w:r>
    </w:p>
    <w:p w14:paraId="46497EE8" w14:textId="18E9DFE8" w:rsidR="00C459E7" w:rsidRPr="00CE02BD" w:rsidRDefault="003B2F12" w:rsidP="00583505">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The availability of new</w:t>
      </w:r>
      <w:r w:rsidR="00D05F9A" w:rsidRPr="00CE02BD">
        <w:rPr>
          <w:rFonts w:ascii="Book Antiqua" w:hAnsi="Book Antiqua"/>
          <w:sz w:val="24"/>
          <w:szCs w:val="24"/>
          <w:lang w:val="en-US"/>
        </w:rPr>
        <w:t xml:space="preserve">, </w:t>
      </w:r>
      <w:r w:rsidRPr="00CE02BD">
        <w:rPr>
          <w:rFonts w:ascii="Book Antiqua" w:hAnsi="Book Antiqua"/>
          <w:sz w:val="24"/>
          <w:szCs w:val="24"/>
          <w:lang w:val="en-US"/>
        </w:rPr>
        <w:t xml:space="preserve">effective </w:t>
      </w:r>
      <w:r w:rsidR="00D05F9A" w:rsidRPr="00CE02BD">
        <w:rPr>
          <w:rFonts w:ascii="Book Antiqua" w:hAnsi="Book Antiqua"/>
          <w:sz w:val="24"/>
          <w:szCs w:val="24"/>
          <w:lang w:val="en-US"/>
        </w:rPr>
        <w:t xml:space="preserve">therapies with biologics </w:t>
      </w:r>
      <w:r w:rsidR="00DC4DF7" w:rsidRPr="00CE02BD">
        <w:rPr>
          <w:rFonts w:ascii="Book Antiqua" w:hAnsi="Book Antiqua"/>
          <w:sz w:val="24"/>
          <w:szCs w:val="24"/>
          <w:lang w:val="en-US"/>
        </w:rPr>
        <w:t xml:space="preserve">and the insufficiency of symptomatic disease control </w:t>
      </w:r>
      <w:r w:rsidRPr="00CE02BD">
        <w:rPr>
          <w:rFonts w:ascii="Book Antiqua" w:hAnsi="Book Antiqua"/>
          <w:sz w:val="24"/>
          <w:szCs w:val="24"/>
          <w:lang w:val="en-US"/>
        </w:rPr>
        <w:t xml:space="preserve">inherently lead to the </w:t>
      </w:r>
      <w:r w:rsidR="005F623A" w:rsidRPr="00CE02BD">
        <w:rPr>
          <w:rFonts w:ascii="Book Antiqua" w:hAnsi="Book Antiqua"/>
          <w:sz w:val="24"/>
          <w:szCs w:val="24"/>
          <w:lang w:val="en-US"/>
        </w:rPr>
        <w:t>need</w:t>
      </w:r>
      <w:r w:rsidRPr="00CE02BD">
        <w:rPr>
          <w:rFonts w:ascii="Book Antiqua" w:hAnsi="Book Antiqua"/>
          <w:sz w:val="24"/>
          <w:szCs w:val="24"/>
          <w:lang w:val="en-US"/>
        </w:rPr>
        <w:t xml:space="preserve"> of reviewing </w:t>
      </w:r>
      <w:r w:rsidR="007615A3" w:rsidRPr="00CE02BD">
        <w:rPr>
          <w:rFonts w:ascii="Book Antiqua" w:hAnsi="Book Antiqua"/>
          <w:sz w:val="24"/>
          <w:szCs w:val="24"/>
          <w:lang w:val="en-US"/>
        </w:rPr>
        <w:t>conventional</w:t>
      </w:r>
      <w:r w:rsidR="00DC4DF7" w:rsidRPr="00CE02BD">
        <w:rPr>
          <w:rFonts w:ascii="Book Antiqua" w:hAnsi="Book Antiqua"/>
          <w:sz w:val="24"/>
          <w:szCs w:val="24"/>
          <w:lang w:val="en-US"/>
        </w:rPr>
        <w:t xml:space="preserve"> </w:t>
      </w:r>
      <w:r w:rsidRPr="00CE02BD">
        <w:rPr>
          <w:rFonts w:ascii="Book Antiqua" w:hAnsi="Book Antiqua"/>
          <w:sz w:val="24"/>
          <w:szCs w:val="24"/>
          <w:lang w:val="en-US"/>
        </w:rPr>
        <w:t>treatment algorithms</w:t>
      </w:r>
      <w:r w:rsidR="00DC4DF7" w:rsidRPr="00CE02BD">
        <w:rPr>
          <w:rFonts w:ascii="Book Antiqua" w:hAnsi="Book Antiqua"/>
          <w:sz w:val="24"/>
          <w:szCs w:val="24"/>
          <w:lang w:val="en-US"/>
        </w:rPr>
        <w:t xml:space="preserve"> and </w:t>
      </w:r>
      <w:r w:rsidR="009D3D02" w:rsidRPr="00CE02BD">
        <w:rPr>
          <w:rFonts w:ascii="Book Antiqua" w:hAnsi="Book Antiqua"/>
          <w:sz w:val="24"/>
          <w:szCs w:val="24"/>
          <w:lang w:val="en-US"/>
        </w:rPr>
        <w:t>developing</w:t>
      </w:r>
      <w:r w:rsidR="00DC4DF7" w:rsidRPr="00CE02BD">
        <w:rPr>
          <w:rFonts w:ascii="Book Antiqua" w:hAnsi="Book Antiqua"/>
          <w:sz w:val="24"/>
          <w:szCs w:val="24"/>
          <w:lang w:val="en-US"/>
        </w:rPr>
        <w:t xml:space="preserve"> </w:t>
      </w:r>
      <w:r w:rsidR="009D3D02" w:rsidRPr="00CE02BD">
        <w:rPr>
          <w:rFonts w:ascii="Book Antiqua" w:hAnsi="Book Antiqua"/>
          <w:sz w:val="24"/>
          <w:szCs w:val="24"/>
          <w:lang w:val="en-US"/>
        </w:rPr>
        <w:t xml:space="preserve">new concepts of </w:t>
      </w:r>
      <w:r w:rsidR="00DC4DF7" w:rsidRPr="00CE02BD">
        <w:rPr>
          <w:rFonts w:ascii="Book Antiqua" w:hAnsi="Book Antiqua"/>
          <w:sz w:val="24"/>
          <w:szCs w:val="24"/>
          <w:lang w:val="en-US"/>
        </w:rPr>
        <w:t>optimal therapeutic</w:t>
      </w:r>
      <w:r w:rsidR="009D3D02" w:rsidRPr="00CE02BD">
        <w:rPr>
          <w:rFonts w:ascii="Book Antiqua" w:hAnsi="Book Antiqua"/>
          <w:sz w:val="24"/>
          <w:szCs w:val="24"/>
          <w:lang w:val="en-US"/>
        </w:rPr>
        <w:t xml:space="preserve"> strategy</w:t>
      </w:r>
      <w:r w:rsidRPr="00CE02BD">
        <w:rPr>
          <w:rFonts w:ascii="Book Antiqua" w:hAnsi="Book Antiqua"/>
          <w:sz w:val="24"/>
          <w:szCs w:val="24"/>
          <w:lang w:val="en-US"/>
        </w:rPr>
        <w:t>.</w:t>
      </w:r>
      <w:r w:rsidR="00DC4DF7" w:rsidRPr="00CE02BD">
        <w:rPr>
          <w:rFonts w:ascii="Book Antiqua" w:hAnsi="Book Antiqua"/>
          <w:sz w:val="24"/>
          <w:szCs w:val="24"/>
          <w:lang w:val="en-US"/>
        </w:rPr>
        <w:t xml:space="preserve"> This review aims to present the emerging trends</w:t>
      </w:r>
      <w:r w:rsidR="007615A3" w:rsidRPr="00CE02BD">
        <w:rPr>
          <w:rFonts w:ascii="Book Antiqua" w:hAnsi="Book Antiqua"/>
          <w:sz w:val="24"/>
          <w:szCs w:val="24"/>
          <w:lang w:val="en-US"/>
        </w:rPr>
        <w:t xml:space="preserve"> and evidence</w:t>
      </w:r>
      <w:r w:rsidR="00DC4DF7" w:rsidRPr="00CE02BD">
        <w:rPr>
          <w:rFonts w:ascii="Book Antiqua" w:hAnsi="Book Antiqua"/>
          <w:sz w:val="24"/>
          <w:szCs w:val="24"/>
          <w:lang w:val="en-US"/>
        </w:rPr>
        <w:t xml:space="preserve"> in the current therapeutic paradigm of IBD including </w:t>
      </w:r>
      <w:r w:rsidR="004506D2" w:rsidRPr="00CE02BD">
        <w:rPr>
          <w:rFonts w:ascii="Book Antiqua" w:hAnsi="Book Antiqua"/>
          <w:sz w:val="24"/>
          <w:szCs w:val="24"/>
          <w:lang w:val="en-US"/>
        </w:rPr>
        <w:t>‘</w:t>
      </w:r>
      <w:r w:rsidR="00DC4DF7" w:rsidRPr="00CE02BD">
        <w:rPr>
          <w:rFonts w:ascii="Book Antiqua" w:hAnsi="Book Antiqua"/>
          <w:sz w:val="24"/>
          <w:szCs w:val="24"/>
          <w:lang w:val="en-US"/>
        </w:rPr>
        <w:t>early intervention</w:t>
      </w:r>
      <w:r w:rsidR="004506D2" w:rsidRPr="00CE02BD">
        <w:rPr>
          <w:rFonts w:ascii="Book Antiqua" w:hAnsi="Book Antiqua"/>
          <w:sz w:val="24"/>
          <w:szCs w:val="24"/>
          <w:lang w:val="en-US"/>
        </w:rPr>
        <w:t>’</w:t>
      </w:r>
      <w:r w:rsidR="00DC4DF7" w:rsidRPr="00CE02BD">
        <w:rPr>
          <w:rFonts w:ascii="Book Antiqua" w:hAnsi="Book Antiqua"/>
          <w:sz w:val="24"/>
          <w:szCs w:val="24"/>
          <w:lang w:val="en-US"/>
        </w:rPr>
        <w:t xml:space="preserve">, </w:t>
      </w:r>
      <w:r w:rsidR="004506D2" w:rsidRPr="00CE02BD">
        <w:rPr>
          <w:rFonts w:ascii="Book Antiqua" w:hAnsi="Book Antiqua"/>
          <w:sz w:val="24"/>
          <w:szCs w:val="24"/>
          <w:lang w:val="en-US"/>
        </w:rPr>
        <w:t>‘</w:t>
      </w:r>
      <w:r w:rsidR="00DC4DF7" w:rsidRPr="00CE02BD">
        <w:rPr>
          <w:rFonts w:ascii="Book Antiqua" w:hAnsi="Book Antiqua"/>
          <w:sz w:val="24"/>
          <w:szCs w:val="24"/>
          <w:lang w:val="en-US"/>
        </w:rPr>
        <w:t>treating to target</w:t>
      </w:r>
      <w:r w:rsidR="004506D2" w:rsidRPr="00CE02BD">
        <w:rPr>
          <w:rFonts w:ascii="Book Antiqua" w:hAnsi="Book Antiqua"/>
          <w:sz w:val="24"/>
          <w:szCs w:val="24"/>
          <w:lang w:val="en-US"/>
        </w:rPr>
        <w:t>’</w:t>
      </w:r>
      <w:r w:rsidR="00DC4DF7" w:rsidRPr="00CE02BD">
        <w:rPr>
          <w:rFonts w:ascii="Book Antiqua" w:hAnsi="Book Antiqua"/>
          <w:sz w:val="24"/>
          <w:szCs w:val="24"/>
          <w:lang w:val="en-US"/>
        </w:rPr>
        <w:t xml:space="preserve"> and </w:t>
      </w:r>
      <w:r w:rsidR="004506D2" w:rsidRPr="00CE02BD">
        <w:rPr>
          <w:rFonts w:ascii="Book Antiqua" w:hAnsi="Book Antiqua"/>
          <w:sz w:val="24"/>
          <w:szCs w:val="24"/>
          <w:lang w:val="en-US"/>
        </w:rPr>
        <w:t>‘</w:t>
      </w:r>
      <w:r w:rsidR="00DC4DF7" w:rsidRPr="00CE02BD">
        <w:rPr>
          <w:rFonts w:ascii="Book Antiqua" w:hAnsi="Book Antiqua"/>
          <w:sz w:val="24"/>
          <w:szCs w:val="24"/>
          <w:lang w:val="en-US"/>
        </w:rPr>
        <w:t>tight control</w:t>
      </w:r>
      <w:r w:rsidR="004506D2" w:rsidRPr="00CE02BD">
        <w:rPr>
          <w:rFonts w:ascii="Book Antiqua" w:hAnsi="Book Antiqua"/>
          <w:sz w:val="24"/>
          <w:szCs w:val="24"/>
          <w:lang w:val="en-US"/>
        </w:rPr>
        <w:t>’ as three pillars of a modern, individualized therapeutic approach in IBD management.</w:t>
      </w:r>
    </w:p>
    <w:p w14:paraId="217EDA92" w14:textId="77777777" w:rsidR="002B5FFC" w:rsidRPr="00CE02BD" w:rsidRDefault="002B5FFC" w:rsidP="000F1138">
      <w:pPr>
        <w:adjustRightInd w:val="0"/>
        <w:snapToGrid w:val="0"/>
        <w:spacing w:after="0" w:line="360" w:lineRule="auto"/>
        <w:jc w:val="both"/>
        <w:rPr>
          <w:rFonts w:ascii="Book Antiqua" w:hAnsi="Book Antiqua"/>
          <w:b/>
          <w:sz w:val="24"/>
          <w:szCs w:val="24"/>
          <w:lang w:val="en-US"/>
        </w:rPr>
      </w:pPr>
    </w:p>
    <w:p w14:paraId="03FC5F53" w14:textId="0AF87B3F" w:rsidR="001F4D8B" w:rsidRPr="00CE02BD" w:rsidRDefault="001F4D8B"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THE EVOLUTION OF TREATMENT STRATEGIES–EARLY INTERVENTION AND RISK STRATIFICATION</w:t>
      </w:r>
    </w:p>
    <w:p w14:paraId="5EF50D50" w14:textId="615DA5A4" w:rsidR="001F4D8B" w:rsidRPr="00CE02BD" w:rsidRDefault="001A6818"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The treatment approach and the positioning of available therapies in</w:t>
      </w:r>
      <w:r w:rsidR="002B5FFC" w:rsidRPr="00CE02BD">
        <w:rPr>
          <w:rFonts w:ascii="Book Antiqua" w:hAnsi="Book Antiqua"/>
          <w:sz w:val="24"/>
          <w:szCs w:val="24"/>
          <w:lang w:val="en-US"/>
        </w:rPr>
        <w:t xml:space="preserve"> </w:t>
      </w:r>
      <w:r w:rsidRPr="00CE02BD">
        <w:rPr>
          <w:rFonts w:ascii="Book Antiqua" w:hAnsi="Book Antiqua"/>
          <w:sz w:val="24"/>
          <w:szCs w:val="24"/>
          <w:lang w:val="en-US"/>
        </w:rPr>
        <w:t>the management of</w:t>
      </w:r>
      <w:r w:rsidR="002A4917" w:rsidRPr="00CE02BD">
        <w:rPr>
          <w:rFonts w:ascii="Book Antiqua" w:hAnsi="Book Antiqua"/>
          <w:sz w:val="24"/>
          <w:szCs w:val="24"/>
          <w:lang w:val="en-US"/>
        </w:rPr>
        <w:t xml:space="preserve"> IBD has evolved significantly</w:t>
      </w:r>
      <w:r w:rsidR="005C5B25" w:rsidRPr="00CE02BD">
        <w:rPr>
          <w:rFonts w:ascii="Book Antiqua" w:hAnsi="Book Antiqua"/>
          <w:sz w:val="24"/>
          <w:szCs w:val="24"/>
          <w:lang w:val="en-US"/>
        </w:rPr>
        <w:t>.</w:t>
      </w:r>
      <w:r w:rsidR="002A4917" w:rsidRPr="00CE02BD">
        <w:rPr>
          <w:rFonts w:ascii="Book Antiqua" w:hAnsi="Book Antiqua"/>
          <w:sz w:val="24"/>
          <w:szCs w:val="24"/>
          <w:lang w:val="en-US"/>
        </w:rPr>
        <w:t xml:space="preserve"> </w:t>
      </w:r>
      <w:r w:rsidR="00825EAD" w:rsidRPr="00CE02BD">
        <w:rPr>
          <w:rFonts w:ascii="Book Antiqua" w:hAnsi="Book Antiqua"/>
          <w:sz w:val="24"/>
          <w:szCs w:val="24"/>
          <w:lang w:val="en-US"/>
        </w:rPr>
        <w:t>It has now been widely acknowledged that IBD is a progressive disease</w:t>
      </w:r>
      <w:r w:rsidR="00B86766" w:rsidRPr="00CE02BD">
        <w:rPr>
          <w:rFonts w:ascii="Book Antiqua" w:hAnsi="Book Antiqua"/>
          <w:sz w:val="24"/>
          <w:szCs w:val="24"/>
          <w:lang w:val="en-US"/>
        </w:rPr>
        <w:t xml:space="preserve"> </w:t>
      </w:r>
      <w:r w:rsidR="00162875" w:rsidRPr="00CE02BD">
        <w:rPr>
          <w:rFonts w:ascii="Book Antiqua" w:hAnsi="Book Antiqua"/>
          <w:sz w:val="24"/>
          <w:szCs w:val="24"/>
          <w:lang w:val="en-US"/>
        </w:rPr>
        <w:t>and</w:t>
      </w:r>
      <w:r w:rsidR="00B86766" w:rsidRPr="00CE02BD">
        <w:rPr>
          <w:rFonts w:ascii="Book Antiqua" w:hAnsi="Book Antiqua"/>
          <w:sz w:val="24"/>
          <w:szCs w:val="24"/>
          <w:lang w:val="en-US"/>
        </w:rPr>
        <w:t xml:space="preserve"> in the absence of timely and effective treatment causes</w:t>
      </w:r>
      <w:r w:rsidR="00825EAD" w:rsidRPr="00CE02BD">
        <w:rPr>
          <w:rFonts w:ascii="Book Antiqua" w:hAnsi="Book Antiqua"/>
          <w:sz w:val="24"/>
          <w:szCs w:val="24"/>
          <w:lang w:val="en-US"/>
        </w:rPr>
        <w:t xml:space="preserve"> cumulative structural damage and</w:t>
      </w:r>
      <w:r w:rsidR="00B86766" w:rsidRPr="00CE02BD">
        <w:rPr>
          <w:rFonts w:ascii="Book Antiqua" w:hAnsi="Book Antiqua"/>
          <w:sz w:val="24"/>
          <w:szCs w:val="24"/>
          <w:lang w:val="en-US"/>
        </w:rPr>
        <w:t xml:space="preserve"> disability to</w:t>
      </w:r>
      <w:r w:rsidR="00825EAD" w:rsidRPr="00CE02BD">
        <w:rPr>
          <w:rFonts w:ascii="Book Antiqua" w:hAnsi="Book Antiqua"/>
          <w:sz w:val="24"/>
          <w:szCs w:val="24"/>
          <w:lang w:val="en-US"/>
        </w:rPr>
        <w:t xml:space="preserve"> the gastrointestinal tract alongside the disease course</w:t>
      </w:r>
      <w:r w:rsidR="005C5B25" w:rsidRPr="00CE02BD">
        <w:rPr>
          <w:rFonts w:ascii="Book Antiqua" w:hAnsi="Book Antiqua"/>
          <w:sz w:val="24"/>
          <w:szCs w:val="24"/>
          <w:lang w:val="en-US"/>
        </w:rPr>
        <w:t>, especially in C</w:t>
      </w:r>
      <w:r w:rsidR="001F4D8B" w:rsidRPr="00CE02BD">
        <w:rPr>
          <w:rFonts w:ascii="Book Antiqua" w:hAnsi="Book Antiqua"/>
          <w:sz w:val="24"/>
          <w:szCs w:val="24"/>
          <w:lang w:val="en-US"/>
        </w:rPr>
        <w:t>rohn’s disease (C</w:t>
      </w:r>
      <w:r w:rsidR="005C5B25" w:rsidRPr="00CE02BD">
        <w:rPr>
          <w:rFonts w:ascii="Book Antiqua" w:hAnsi="Book Antiqua"/>
          <w:sz w:val="24"/>
          <w:szCs w:val="24"/>
          <w:lang w:val="en-US"/>
        </w:rPr>
        <w:t>D</w:t>
      </w:r>
      <w:proofErr w:type="gramStart"/>
      <w:r w:rsidR="001F4D8B" w:rsidRPr="00CE02BD">
        <w:rPr>
          <w:rFonts w:ascii="Book Antiqua" w:hAnsi="Book Antiqua"/>
          <w:sz w:val="24"/>
          <w:szCs w:val="24"/>
          <w:lang w:val="en-US"/>
        </w:rPr>
        <w:t>)</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6-8</w:t>
      </w:r>
      <w:r w:rsidR="000F1138" w:rsidRPr="00CE02BD">
        <w:rPr>
          <w:rFonts w:ascii="Book Antiqua" w:hAnsi="Book Antiqua"/>
          <w:color w:val="000000" w:themeColor="text1"/>
          <w:sz w:val="24"/>
          <w:szCs w:val="24"/>
          <w:vertAlign w:val="superscript"/>
          <w:lang w:val="en-US"/>
        </w:rPr>
        <w:t>]</w:t>
      </w:r>
      <w:r w:rsidR="00825EAD" w:rsidRPr="00CE02BD">
        <w:rPr>
          <w:rFonts w:ascii="Book Antiqua" w:hAnsi="Book Antiqua"/>
          <w:sz w:val="24"/>
          <w:szCs w:val="24"/>
          <w:lang w:val="en-US"/>
        </w:rPr>
        <w:t>.</w:t>
      </w:r>
      <w:r w:rsidR="00825EAD" w:rsidRPr="00CE02BD">
        <w:rPr>
          <w:rFonts w:ascii="Book Antiqua" w:hAnsi="Book Antiqua"/>
          <w:sz w:val="24"/>
          <w:szCs w:val="24"/>
          <w:vertAlign w:val="superscript"/>
          <w:lang w:val="en-US"/>
        </w:rPr>
        <w:t xml:space="preserve"> </w:t>
      </w:r>
      <w:r w:rsidR="00162875" w:rsidRPr="00CE02BD">
        <w:rPr>
          <w:rFonts w:ascii="Book Antiqua" w:hAnsi="Book Antiqua"/>
          <w:sz w:val="24"/>
          <w:szCs w:val="24"/>
          <w:lang w:val="en-US"/>
        </w:rPr>
        <w:t>The Lémann score is</w:t>
      </w:r>
      <w:r w:rsidR="00825EAD" w:rsidRPr="00CE02BD">
        <w:rPr>
          <w:rFonts w:ascii="Book Antiqua" w:hAnsi="Book Antiqua"/>
          <w:sz w:val="24"/>
          <w:szCs w:val="24"/>
          <w:lang w:val="en-US"/>
        </w:rPr>
        <w:t xml:space="preserve"> the first disability </w:t>
      </w:r>
      <w:r w:rsidR="005C5B25" w:rsidRPr="00CE02BD">
        <w:rPr>
          <w:rFonts w:ascii="Book Antiqua" w:hAnsi="Book Antiqua"/>
          <w:sz w:val="24"/>
          <w:szCs w:val="24"/>
          <w:lang w:val="en-US"/>
        </w:rPr>
        <w:t>index for CD</w:t>
      </w:r>
      <w:r w:rsidR="00162875" w:rsidRPr="00CE02BD">
        <w:rPr>
          <w:rFonts w:ascii="Book Antiqua" w:hAnsi="Book Antiqua"/>
          <w:sz w:val="24"/>
          <w:szCs w:val="24"/>
          <w:lang w:val="en-US"/>
        </w:rPr>
        <w:t xml:space="preserve"> providing comprehensive assessment of </w:t>
      </w:r>
      <w:r w:rsidR="00162875" w:rsidRPr="00CE02BD">
        <w:rPr>
          <w:rFonts w:ascii="Book Antiqua" w:hAnsi="Book Antiqua"/>
          <w:sz w:val="24"/>
          <w:szCs w:val="24"/>
          <w:lang w:val="en-US"/>
        </w:rPr>
        <w:lastRenderedPageBreak/>
        <w:t xml:space="preserve">structural bowel damage </w:t>
      </w:r>
      <w:r w:rsidR="00825EAD" w:rsidRPr="00CE02BD">
        <w:rPr>
          <w:rFonts w:ascii="Book Antiqua" w:hAnsi="Book Antiqua"/>
          <w:sz w:val="24"/>
          <w:szCs w:val="24"/>
          <w:lang w:val="en-US"/>
        </w:rPr>
        <w:t>(strictures, abscesses, fistulas</w:t>
      </w:r>
      <w:r w:rsidR="00583505" w:rsidRPr="00CE02BD">
        <w:rPr>
          <w:rFonts w:ascii="Book Antiqua" w:hAnsi="Book Antiqua"/>
          <w:sz w:val="24"/>
          <w:szCs w:val="24"/>
          <w:lang w:val="en-US" w:eastAsia="zh-CN"/>
        </w:rPr>
        <w:t>,</w:t>
      </w:r>
      <w:r w:rsidR="00825EAD" w:rsidRPr="00CE02BD">
        <w:rPr>
          <w:rFonts w:ascii="Book Antiqua" w:hAnsi="Book Antiqua"/>
          <w:sz w:val="24"/>
          <w:szCs w:val="24"/>
          <w:lang w:val="en-US"/>
        </w:rPr>
        <w:t xml:space="preserve"> and surgical requirements</w:t>
      </w:r>
      <w:proofErr w:type="gramStart"/>
      <w:r w:rsidR="00825EAD" w:rsidRPr="00CE02BD">
        <w:rPr>
          <w:rFonts w:ascii="Book Antiqua" w:hAnsi="Book Antiqua"/>
          <w:sz w:val="24"/>
          <w:szCs w:val="24"/>
          <w:lang w:val="en-US"/>
        </w:rPr>
        <w:t>)</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7</w:t>
      </w:r>
      <w:r w:rsidR="000F1138" w:rsidRPr="00CE02BD">
        <w:rPr>
          <w:rFonts w:ascii="Book Antiqua" w:hAnsi="Book Antiqua"/>
          <w:color w:val="000000" w:themeColor="text1"/>
          <w:sz w:val="24"/>
          <w:szCs w:val="24"/>
          <w:vertAlign w:val="superscript"/>
          <w:lang w:val="en-US"/>
        </w:rPr>
        <w:t>]</w:t>
      </w:r>
      <w:r w:rsidR="00825EAD" w:rsidRPr="00CE02BD">
        <w:rPr>
          <w:rFonts w:ascii="Book Antiqua" w:hAnsi="Book Antiqua"/>
          <w:sz w:val="24"/>
          <w:szCs w:val="24"/>
          <w:lang w:val="en-US"/>
        </w:rPr>
        <w:t>.</w:t>
      </w:r>
      <w:r w:rsidR="005C5B25" w:rsidRPr="00CE02BD">
        <w:rPr>
          <w:rFonts w:ascii="Book Antiqua" w:hAnsi="Book Antiqua"/>
          <w:sz w:val="24"/>
          <w:szCs w:val="24"/>
          <w:vertAlign w:val="superscript"/>
          <w:lang w:val="en-US"/>
        </w:rPr>
        <w:t xml:space="preserve"> </w:t>
      </w:r>
      <w:r w:rsidR="00162875" w:rsidRPr="00CE02BD">
        <w:rPr>
          <w:rFonts w:ascii="Book Antiqua" w:hAnsi="Book Antiqua"/>
          <w:sz w:val="24"/>
          <w:szCs w:val="24"/>
          <w:lang w:val="en-US"/>
        </w:rPr>
        <w:t>In ulcerative colitis</w:t>
      </w:r>
      <w:r w:rsidR="00732523" w:rsidRPr="00CE02BD">
        <w:rPr>
          <w:rFonts w:ascii="Book Antiqua" w:hAnsi="Book Antiqua"/>
          <w:sz w:val="24"/>
          <w:szCs w:val="24"/>
          <w:lang w:val="en-US"/>
        </w:rPr>
        <w:t xml:space="preserve"> (UC)</w:t>
      </w:r>
      <w:r w:rsidR="00162875" w:rsidRPr="00CE02BD">
        <w:rPr>
          <w:rFonts w:ascii="Book Antiqua" w:hAnsi="Book Antiqua"/>
          <w:sz w:val="24"/>
          <w:szCs w:val="24"/>
          <w:lang w:val="en-US"/>
        </w:rPr>
        <w:t>, there is less evidence whether</w:t>
      </w:r>
      <w:r w:rsidR="007A14B6" w:rsidRPr="00CE02BD">
        <w:rPr>
          <w:rFonts w:ascii="Book Antiqua" w:hAnsi="Book Antiqua"/>
          <w:sz w:val="24"/>
          <w:szCs w:val="24"/>
          <w:lang w:val="en-US"/>
        </w:rPr>
        <w:t xml:space="preserve"> </w:t>
      </w:r>
      <w:r w:rsidR="00162875" w:rsidRPr="00CE02BD">
        <w:rPr>
          <w:rFonts w:ascii="Book Antiqua" w:hAnsi="Book Antiqua"/>
          <w:sz w:val="24"/>
          <w:szCs w:val="24"/>
          <w:lang w:val="en-US"/>
        </w:rPr>
        <w:t xml:space="preserve">ongoing inflammation necessarily leads to permanent bowel damage, however data suggests </w:t>
      </w:r>
      <w:r w:rsidR="007A14B6" w:rsidRPr="00CE02BD">
        <w:rPr>
          <w:rFonts w:ascii="Book Antiqua" w:hAnsi="Book Antiqua"/>
          <w:sz w:val="24"/>
          <w:szCs w:val="24"/>
          <w:lang w:val="en-US"/>
        </w:rPr>
        <w:t xml:space="preserve">that </w:t>
      </w:r>
      <w:r w:rsidR="00732523" w:rsidRPr="00CE02BD">
        <w:rPr>
          <w:rFonts w:ascii="Book Antiqua" w:hAnsi="Book Antiqua"/>
          <w:sz w:val="24"/>
          <w:szCs w:val="24"/>
          <w:lang w:val="en-US"/>
        </w:rPr>
        <w:t>UC</w:t>
      </w:r>
      <w:r w:rsidR="007A14B6" w:rsidRPr="00CE02BD">
        <w:rPr>
          <w:rFonts w:ascii="Book Antiqua" w:hAnsi="Book Antiqua"/>
          <w:sz w:val="24"/>
          <w:szCs w:val="24"/>
          <w:lang w:val="en-US"/>
        </w:rPr>
        <w:t xml:space="preserve"> also present a</w:t>
      </w:r>
      <w:r w:rsidR="00162875" w:rsidRPr="00CE02BD">
        <w:rPr>
          <w:rFonts w:ascii="Book Antiqua" w:hAnsi="Book Antiqua"/>
          <w:sz w:val="24"/>
          <w:szCs w:val="24"/>
          <w:lang w:val="en-US"/>
        </w:rPr>
        <w:t xml:space="preserve"> progressive</w:t>
      </w:r>
      <w:r w:rsidR="007A14B6" w:rsidRPr="00CE02BD">
        <w:rPr>
          <w:rFonts w:ascii="Book Antiqua" w:hAnsi="Book Antiqua"/>
          <w:sz w:val="24"/>
          <w:szCs w:val="24"/>
          <w:lang w:val="en-US"/>
        </w:rPr>
        <w:t xml:space="preserve"> nature </w:t>
      </w:r>
      <w:r w:rsidR="001A3BEC" w:rsidRPr="00CE02BD">
        <w:rPr>
          <w:rFonts w:ascii="Book Antiqua" w:hAnsi="Book Antiqua"/>
          <w:sz w:val="24"/>
          <w:szCs w:val="24"/>
          <w:lang w:val="en-US"/>
        </w:rPr>
        <w:t xml:space="preserve">in </w:t>
      </w:r>
      <w:r w:rsidR="007A14B6" w:rsidRPr="00CE02BD">
        <w:rPr>
          <w:rFonts w:ascii="Book Antiqua" w:hAnsi="Book Antiqua"/>
          <w:sz w:val="24"/>
          <w:szCs w:val="24"/>
          <w:lang w:val="en-US"/>
        </w:rPr>
        <w:t xml:space="preserve">about one-fifth of patients </w:t>
      </w:r>
      <w:r w:rsidR="001A3BEC" w:rsidRPr="00CE02BD">
        <w:rPr>
          <w:rFonts w:ascii="Book Antiqua" w:hAnsi="Book Antiqua"/>
          <w:sz w:val="24"/>
          <w:szCs w:val="24"/>
          <w:lang w:val="en-US"/>
        </w:rPr>
        <w:t>(</w:t>
      </w:r>
      <w:r w:rsidR="007A14B6" w:rsidRPr="00CE02BD">
        <w:rPr>
          <w:rFonts w:ascii="Book Antiqua" w:hAnsi="Book Antiqua"/>
          <w:sz w:val="24"/>
          <w:szCs w:val="24"/>
          <w:lang w:val="en-US"/>
        </w:rPr>
        <w:t>proctitis or left-sided colitis progressing to extensive colitis over time</w:t>
      </w:r>
      <w:r w:rsidR="001A3BEC" w:rsidRPr="00CE02BD">
        <w:rPr>
          <w:rFonts w:ascii="Book Antiqua" w:hAnsi="Book Antiqua"/>
          <w:sz w:val="24"/>
          <w:szCs w:val="24"/>
          <w:lang w:val="en-US"/>
        </w:rPr>
        <w:t>)</w:t>
      </w:r>
      <w:r w:rsidR="000F1138" w:rsidRPr="00CE02BD">
        <w:rPr>
          <w:rFonts w:ascii="Book Antiqua" w:hAnsi="Book Antiqua"/>
          <w:sz w:val="24"/>
          <w:szCs w:val="24"/>
          <w:vertAlign w:val="superscript"/>
          <w:lang w:val="en-US"/>
        </w:rPr>
        <w:t>[3,9</w:t>
      </w:r>
      <w:r w:rsidR="000F1138" w:rsidRPr="00CE02BD">
        <w:rPr>
          <w:rFonts w:ascii="Book Antiqua" w:hAnsi="Book Antiqua"/>
          <w:color w:val="000000" w:themeColor="text1"/>
          <w:sz w:val="24"/>
          <w:szCs w:val="24"/>
          <w:vertAlign w:val="superscript"/>
          <w:lang w:val="en-US"/>
        </w:rPr>
        <w:t>]</w:t>
      </w:r>
      <w:r w:rsidR="007A14B6" w:rsidRPr="00CE02BD">
        <w:rPr>
          <w:rFonts w:ascii="Book Antiqua" w:hAnsi="Book Antiqua"/>
          <w:sz w:val="24"/>
          <w:szCs w:val="24"/>
          <w:lang w:val="en-US"/>
        </w:rPr>
        <w:t>.</w:t>
      </w:r>
      <w:r w:rsidR="007A14B6" w:rsidRPr="00CE02BD">
        <w:rPr>
          <w:rFonts w:ascii="Book Antiqua" w:hAnsi="Book Antiqua"/>
          <w:sz w:val="24"/>
          <w:szCs w:val="24"/>
          <w:vertAlign w:val="superscript"/>
          <w:lang w:val="en-US"/>
        </w:rPr>
        <w:t xml:space="preserve"> </w:t>
      </w:r>
      <w:r w:rsidR="005C5B25" w:rsidRPr="00CE02BD">
        <w:rPr>
          <w:rFonts w:ascii="Book Antiqua" w:hAnsi="Book Antiqua"/>
          <w:sz w:val="24"/>
          <w:szCs w:val="24"/>
          <w:lang w:val="en-US"/>
        </w:rPr>
        <w:t xml:space="preserve">This recognition led to the revision of conventional ‘step-up’ treatment approaches based on the idea that the introduction of </w:t>
      </w:r>
      <w:r w:rsidR="00D05F9A" w:rsidRPr="00CE02BD">
        <w:rPr>
          <w:rFonts w:ascii="Book Antiqua" w:hAnsi="Book Antiqua"/>
          <w:sz w:val="24"/>
          <w:szCs w:val="24"/>
          <w:lang w:val="en-US"/>
        </w:rPr>
        <w:t>more efficacious</w:t>
      </w:r>
      <w:r w:rsidR="005C5B25" w:rsidRPr="00CE02BD">
        <w:rPr>
          <w:rFonts w:ascii="Book Antiqua" w:hAnsi="Book Antiqua"/>
          <w:sz w:val="24"/>
          <w:szCs w:val="24"/>
          <w:lang w:val="en-US"/>
        </w:rPr>
        <w:t xml:space="preserve"> therapies early in the disease course can potentially modify the disease trajectory.</w:t>
      </w:r>
    </w:p>
    <w:p w14:paraId="61694B63" w14:textId="4768AE05" w:rsidR="00A67253" w:rsidRPr="00CE02BD" w:rsidRDefault="002B5FFC" w:rsidP="00583505">
      <w:pPr>
        <w:adjustRightInd w:val="0"/>
        <w:snapToGrid w:val="0"/>
        <w:spacing w:after="0" w:line="360" w:lineRule="auto"/>
        <w:ind w:firstLineChars="100" w:firstLine="240"/>
        <w:jc w:val="both"/>
        <w:rPr>
          <w:rFonts w:ascii="Book Antiqua" w:hAnsi="Book Antiqua"/>
          <w:color w:val="FF0000"/>
          <w:sz w:val="24"/>
          <w:szCs w:val="24"/>
          <w:lang w:val="en-US"/>
        </w:rPr>
      </w:pPr>
      <w:r w:rsidRPr="00CE02BD">
        <w:rPr>
          <w:rFonts w:ascii="Book Antiqua" w:hAnsi="Book Antiqua"/>
          <w:sz w:val="24"/>
          <w:szCs w:val="24"/>
          <w:lang w:val="en-US"/>
        </w:rPr>
        <w:t>TOP-</w:t>
      </w:r>
      <w:proofErr w:type="gramStart"/>
      <w:r w:rsidRPr="00CE02BD">
        <w:rPr>
          <w:rFonts w:ascii="Book Antiqua" w:hAnsi="Book Antiqua"/>
          <w:sz w:val="24"/>
          <w:szCs w:val="24"/>
          <w:lang w:val="en-US"/>
        </w:rPr>
        <w:t>DOWN</w:t>
      </w:r>
      <w:bookmarkStart w:id="58" w:name="_Ref17192264"/>
      <w:r w:rsidR="001F4D8B" w:rsidRPr="00CE02BD">
        <w:rPr>
          <w:rFonts w:ascii="Book Antiqua" w:hAnsi="Book Antiqua"/>
          <w:sz w:val="24"/>
          <w:szCs w:val="24"/>
          <w:vertAlign w:val="superscript"/>
          <w:lang w:val="en-US"/>
        </w:rPr>
        <w:t>[</w:t>
      </w:r>
      <w:bookmarkEnd w:id="58"/>
      <w:proofErr w:type="gramEnd"/>
      <w:r w:rsidR="00B02396" w:rsidRPr="00CE02BD">
        <w:rPr>
          <w:rFonts w:ascii="Book Antiqua" w:hAnsi="Book Antiqua"/>
          <w:sz w:val="24"/>
          <w:szCs w:val="24"/>
          <w:vertAlign w:val="superscript"/>
          <w:lang w:val="en-US"/>
        </w:rPr>
        <w:t>10</w:t>
      </w:r>
      <w:r w:rsidR="001F4D8B" w:rsidRPr="00CE02BD">
        <w:rPr>
          <w:rFonts w:ascii="Book Antiqua" w:hAnsi="Book Antiqua"/>
          <w:color w:val="000000" w:themeColor="text1"/>
          <w:sz w:val="24"/>
          <w:szCs w:val="24"/>
          <w:vertAlign w:val="superscript"/>
          <w:lang w:val="en-US"/>
        </w:rPr>
        <w:t>]</w:t>
      </w:r>
      <w:r w:rsidRPr="00CE02BD">
        <w:rPr>
          <w:rFonts w:ascii="Book Antiqua" w:hAnsi="Book Antiqua"/>
          <w:sz w:val="24"/>
          <w:szCs w:val="24"/>
          <w:lang w:val="en-US"/>
        </w:rPr>
        <w:t xml:space="preserve"> was the first trial to assess and compare different treatment algorithms in IBD. In this landmark study, treatment-naïve CD patients were randomly assigned to ‘top-down’ strategy </w:t>
      </w:r>
      <w:r w:rsidR="00583505" w:rsidRPr="00CE02BD">
        <w:rPr>
          <w:rFonts w:ascii="Book Antiqua" w:hAnsi="Book Antiqua"/>
          <w:sz w:val="24"/>
          <w:szCs w:val="24"/>
          <w:lang w:val="en-US"/>
        </w:rPr>
        <w:t>[</w:t>
      </w:r>
      <w:r w:rsidRPr="00CE02BD">
        <w:rPr>
          <w:rFonts w:ascii="Book Antiqua" w:hAnsi="Book Antiqua"/>
          <w:sz w:val="24"/>
          <w:szCs w:val="24"/>
          <w:lang w:val="en-US"/>
        </w:rPr>
        <w:t>start with a combination of biological therapy and immunosuppressant–early combined immunosuppression (ECI)</w:t>
      </w:r>
      <w:r w:rsidR="00583505" w:rsidRPr="00CE02BD">
        <w:rPr>
          <w:rFonts w:ascii="Book Antiqua" w:hAnsi="Book Antiqua"/>
          <w:sz w:val="24"/>
          <w:szCs w:val="24"/>
          <w:lang w:val="en-US"/>
        </w:rPr>
        <w:t>]</w:t>
      </w:r>
      <w:r w:rsidRPr="00CE02BD">
        <w:rPr>
          <w:rFonts w:ascii="Book Antiqua" w:hAnsi="Book Antiqua"/>
          <w:sz w:val="24"/>
          <w:szCs w:val="24"/>
          <w:lang w:val="en-US"/>
        </w:rPr>
        <w:t xml:space="preserve"> compared with the standard ‘step-up’ management (start with steroids and step up to immunosuppressant and biologics if necessary). Authors found that ECI was more effective than conventional management for achieving corticosteroid-free remission at week 52 (61.5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42.2%; </w:t>
      </w:r>
      <w:r w:rsidR="00583505" w:rsidRPr="00CE02BD">
        <w:rPr>
          <w:rFonts w:ascii="Book Antiqua" w:hAnsi="Book Antiqua"/>
          <w:i/>
          <w:iCs/>
          <w:sz w:val="24"/>
          <w:szCs w:val="24"/>
          <w:lang w:val="en-US"/>
        </w:rPr>
        <w:t xml:space="preserve">P </w:t>
      </w:r>
      <w:r w:rsidRPr="00CE02BD">
        <w:rPr>
          <w:rFonts w:ascii="Book Antiqua" w:hAnsi="Book Antiqua"/>
          <w:sz w:val="24"/>
          <w:szCs w:val="24"/>
          <w:lang w:val="en-US"/>
        </w:rPr>
        <w:t>=</w:t>
      </w:r>
      <w:r w:rsidR="00583505" w:rsidRPr="00CE02BD">
        <w:rPr>
          <w:rFonts w:ascii="Book Antiqua" w:hAnsi="Book Antiqua"/>
          <w:sz w:val="24"/>
          <w:szCs w:val="24"/>
          <w:lang w:val="en-US"/>
        </w:rPr>
        <w:t xml:space="preserve"> </w:t>
      </w:r>
      <w:r w:rsidRPr="00CE02BD">
        <w:rPr>
          <w:rFonts w:ascii="Book Antiqua" w:hAnsi="Book Antiqua"/>
          <w:sz w:val="24"/>
          <w:szCs w:val="24"/>
          <w:lang w:val="en-US"/>
        </w:rPr>
        <w:t>0.0278).</w:t>
      </w:r>
      <w:r w:rsidR="002755D0" w:rsidRPr="00CE02BD">
        <w:rPr>
          <w:rFonts w:ascii="Book Antiqua" w:hAnsi="Book Antiqua"/>
          <w:sz w:val="24"/>
          <w:szCs w:val="24"/>
          <w:lang w:val="en-US"/>
        </w:rPr>
        <w:t xml:space="preserve"> A subsequent trial </w:t>
      </w:r>
      <w:r w:rsidR="00F42429" w:rsidRPr="00CE02BD">
        <w:rPr>
          <w:rFonts w:ascii="Book Antiqua" w:hAnsi="Book Antiqua"/>
          <w:sz w:val="24"/>
          <w:szCs w:val="24"/>
          <w:lang w:val="en-US"/>
        </w:rPr>
        <w:t xml:space="preserve">proving the superiority of combined immunosuppression </w:t>
      </w:r>
      <w:r w:rsidR="007A14B6" w:rsidRPr="00CE02BD">
        <w:rPr>
          <w:rFonts w:ascii="Book Antiqua" w:hAnsi="Book Antiqua"/>
          <w:sz w:val="24"/>
          <w:szCs w:val="24"/>
          <w:lang w:val="en-US"/>
        </w:rPr>
        <w:t xml:space="preserve">in biologic naïve CD patients </w:t>
      </w:r>
      <w:r w:rsidR="00F42429" w:rsidRPr="00CE02BD">
        <w:rPr>
          <w:rFonts w:ascii="Book Antiqua" w:hAnsi="Book Antiqua"/>
          <w:sz w:val="24"/>
          <w:szCs w:val="24"/>
          <w:lang w:val="en-US"/>
        </w:rPr>
        <w:t xml:space="preserve">was the </w:t>
      </w:r>
      <w:proofErr w:type="gramStart"/>
      <w:r w:rsidR="00F42429" w:rsidRPr="00CE02BD">
        <w:rPr>
          <w:rFonts w:ascii="Book Antiqua" w:hAnsi="Book Antiqua"/>
          <w:sz w:val="24"/>
          <w:szCs w:val="24"/>
          <w:lang w:val="en-US"/>
        </w:rPr>
        <w:t>SONIC</w:t>
      </w:r>
      <w:r w:rsidR="001F4D8B" w:rsidRPr="00CE02BD">
        <w:rPr>
          <w:rFonts w:ascii="Book Antiqua" w:hAnsi="Book Antiqua"/>
          <w:sz w:val="24"/>
          <w:szCs w:val="24"/>
          <w:vertAlign w:val="superscript"/>
          <w:lang w:val="en-US"/>
        </w:rPr>
        <w:t>[</w:t>
      </w:r>
      <w:proofErr w:type="gramEnd"/>
      <w:r w:rsidR="00B02396" w:rsidRPr="00CE02BD">
        <w:rPr>
          <w:rFonts w:ascii="Book Antiqua" w:hAnsi="Book Antiqua"/>
          <w:sz w:val="24"/>
          <w:szCs w:val="24"/>
          <w:vertAlign w:val="superscript"/>
          <w:lang w:val="en-US"/>
        </w:rPr>
        <w:t>11</w:t>
      </w:r>
      <w:r w:rsidR="001F4D8B" w:rsidRPr="00CE02BD">
        <w:rPr>
          <w:rFonts w:ascii="Book Antiqua" w:hAnsi="Book Antiqua"/>
          <w:color w:val="000000" w:themeColor="text1"/>
          <w:sz w:val="24"/>
          <w:szCs w:val="24"/>
          <w:vertAlign w:val="superscript"/>
          <w:lang w:val="en-US"/>
        </w:rPr>
        <w:t>]</w:t>
      </w:r>
      <w:r w:rsidR="00F42429" w:rsidRPr="00CE02BD">
        <w:rPr>
          <w:rFonts w:ascii="Book Antiqua" w:hAnsi="Book Antiqua"/>
          <w:sz w:val="24"/>
          <w:szCs w:val="24"/>
          <w:lang w:val="en-US"/>
        </w:rPr>
        <w:t xml:space="preserve"> trial. </w:t>
      </w:r>
      <w:r w:rsidR="007A14B6" w:rsidRPr="00CE02BD">
        <w:rPr>
          <w:rFonts w:ascii="Book Antiqua" w:hAnsi="Book Antiqua"/>
          <w:sz w:val="24"/>
          <w:szCs w:val="24"/>
          <w:lang w:val="en-US"/>
        </w:rPr>
        <w:t xml:space="preserve">Results showed a clear benefit for ECI in terms of corticosteroid-free clinical remission at week 26. </w:t>
      </w:r>
      <w:r w:rsidR="004808BB" w:rsidRPr="00CE02BD">
        <w:rPr>
          <w:rFonts w:ascii="Book Antiqua" w:hAnsi="Book Antiqua"/>
          <w:sz w:val="24"/>
          <w:szCs w:val="24"/>
          <w:lang w:val="en-US"/>
        </w:rPr>
        <w:t xml:space="preserve">The </w:t>
      </w:r>
      <w:proofErr w:type="gramStart"/>
      <w:r w:rsidR="00FA5D34" w:rsidRPr="00CE02BD">
        <w:rPr>
          <w:rFonts w:ascii="Book Antiqua" w:hAnsi="Book Antiqua"/>
          <w:sz w:val="24"/>
          <w:szCs w:val="24"/>
          <w:lang w:val="en-US"/>
        </w:rPr>
        <w:t>REACT</w:t>
      </w:r>
      <w:bookmarkStart w:id="59" w:name="_Ref18405863"/>
      <w:r w:rsidR="001F4D8B" w:rsidRPr="00CE02BD">
        <w:rPr>
          <w:rFonts w:ascii="Book Antiqua" w:hAnsi="Book Antiqua"/>
          <w:sz w:val="24"/>
          <w:szCs w:val="24"/>
          <w:vertAlign w:val="superscript"/>
          <w:lang w:val="en-US"/>
        </w:rPr>
        <w:t>[</w:t>
      </w:r>
      <w:bookmarkEnd w:id="59"/>
      <w:proofErr w:type="gramEnd"/>
      <w:r w:rsidR="00B02396" w:rsidRPr="00CE02BD">
        <w:rPr>
          <w:rFonts w:ascii="Book Antiqua" w:hAnsi="Book Antiqua"/>
          <w:sz w:val="24"/>
          <w:szCs w:val="24"/>
          <w:vertAlign w:val="superscript"/>
          <w:lang w:val="en-US"/>
        </w:rPr>
        <w:t>12</w:t>
      </w:r>
      <w:r w:rsidR="001F4D8B" w:rsidRPr="00CE02BD">
        <w:rPr>
          <w:rFonts w:ascii="Book Antiqua" w:hAnsi="Book Antiqua"/>
          <w:color w:val="000000" w:themeColor="text1"/>
          <w:sz w:val="24"/>
          <w:szCs w:val="24"/>
          <w:vertAlign w:val="superscript"/>
          <w:lang w:val="en-US"/>
        </w:rPr>
        <w:t>]</w:t>
      </w:r>
      <w:r w:rsidR="00FA5D34" w:rsidRPr="00CE02BD">
        <w:rPr>
          <w:rFonts w:ascii="Book Antiqua" w:hAnsi="Book Antiqua"/>
          <w:sz w:val="24"/>
          <w:szCs w:val="24"/>
          <w:lang w:val="en-US"/>
        </w:rPr>
        <w:t xml:space="preserve"> study was designed to validate the efficacy, safety and generalizability of </w:t>
      </w:r>
      <w:r w:rsidR="00907BAA" w:rsidRPr="00CE02BD">
        <w:rPr>
          <w:rFonts w:ascii="Book Antiqua" w:hAnsi="Book Antiqua"/>
          <w:sz w:val="24"/>
          <w:szCs w:val="24"/>
          <w:lang w:val="en-US"/>
        </w:rPr>
        <w:t>the top-down algorithm-</w:t>
      </w:r>
      <w:r w:rsidR="00FA5D34" w:rsidRPr="00CE02BD">
        <w:rPr>
          <w:rFonts w:ascii="Book Antiqua" w:hAnsi="Book Antiqua"/>
          <w:sz w:val="24"/>
          <w:szCs w:val="24"/>
          <w:lang w:val="en-US"/>
        </w:rPr>
        <w:t>based therapy in community GI practices</w:t>
      </w:r>
      <w:r w:rsidR="00A67253" w:rsidRPr="00CE02BD">
        <w:rPr>
          <w:rFonts w:ascii="Book Antiqua" w:hAnsi="Book Antiqua"/>
          <w:sz w:val="24"/>
          <w:szCs w:val="24"/>
          <w:lang w:val="en-US"/>
        </w:rPr>
        <w:t>.</w:t>
      </w:r>
      <w:r w:rsidR="004808BB" w:rsidRPr="00CE02BD">
        <w:rPr>
          <w:rFonts w:ascii="Book Antiqua" w:hAnsi="Book Antiqua"/>
          <w:sz w:val="24"/>
          <w:szCs w:val="24"/>
          <w:lang w:val="en-US"/>
        </w:rPr>
        <w:t xml:space="preserve"> In this </w:t>
      </w:r>
      <w:r w:rsidR="00A67253" w:rsidRPr="00CE02BD">
        <w:rPr>
          <w:rFonts w:ascii="Book Antiqua" w:hAnsi="Book Antiqua"/>
          <w:sz w:val="24"/>
          <w:szCs w:val="24"/>
          <w:lang w:val="en-US"/>
        </w:rPr>
        <w:t>study</w:t>
      </w:r>
      <w:r w:rsidR="004808BB" w:rsidRPr="00CE02BD">
        <w:rPr>
          <w:rFonts w:ascii="Book Antiqua" w:hAnsi="Book Antiqua"/>
          <w:sz w:val="24"/>
          <w:szCs w:val="24"/>
          <w:lang w:val="en-US"/>
        </w:rPr>
        <w:t xml:space="preserve">, 1982 patients with </w:t>
      </w:r>
      <w:r w:rsidR="00A67253" w:rsidRPr="00CE02BD">
        <w:rPr>
          <w:rFonts w:ascii="Book Antiqua" w:hAnsi="Book Antiqua"/>
          <w:sz w:val="24"/>
          <w:szCs w:val="24"/>
          <w:lang w:val="en-US"/>
        </w:rPr>
        <w:t xml:space="preserve">CD </w:t>
      </w:r>
      <w:r w:rsidR="004808BB" w:rsidRPr="00CE02BD">
        <w:rPr>
          <w:rFonts w:ascii="Book Antiqua" w:hAnsi="Book Antiqua"/>
          <w:sz w:val="24"/>
          <w:szCs w:val="24"/>
          <w:lang w:val="en-US"/>
        </w:rPr>
        <w:t xml:space="preserve">were randomized to receive either ECI or conventional </w:t>
      </w:r>
      <w:r w:rsidR="00E140C3" w:rsidRPr="00CE02BD">
        <w:rPr>
          <w:rFonts w:ascii="Book Antiqua" w:hAnsi="Book Antiqua"/>
          <w:sz w:val="24"/>
          <w:szCs w:val="24"/>
          <w:lang w:val="en-US"/>
        </w:rPr>
        <w:t>‘step-up’ therapy</w:t>
      </w:r>
      <w:r w:rsidR="004808BB" w:rsidRPr="00CE02BD">
        <w:rPr>
          <w:rFonts w:ascii="Book Antiqua" w:hAnsi="Book Antiqua"/>
          <w:sz w:val="24"/>
          <w:szCs w:val="24"/>
          <w:lang w:val="en-US"/>
        </w:rPr>
        <w:t xml:space="preserve">. The composite endpoint of hospitalization, surgery and serious disease related complications was lower in patients treated with ECI strategy at 24 </w:t>
      </w:r>
      <w:r w:rsidR="00583505" w:rsidRPr="00CE02BD">
        <w:rPr>
          <w:rFonts w:ascii="Book Antiqua" w:hAnsi="Book Antiqua"/>
          <w:sz w:val="24"/>
          <w:szCs w:val="24"/>
          <w:lang w:val="en-US"/>
        </w:rPr>
        <w:t>mo</w:t>
      </w:r>
      <w:r w:rsidR="004808BB" w:rsidRPr="00CE02BD">
        <w:rPr>
          <w:rFonts w:ascii="Book Antiqua" w:hAnsi="Book Antiqua"/>
          <w:sz w:val="24"/>
          <w:szCs w:val="24"/>
          <w:lang w:val="en-US"/>
        </w:rPr>
        <w:t xml:space="preserve"> (27.7 and 35.1%, </w:t>
      </w:r>
      <w:r w:rsidR="00583505" w:rsidRPr="00CE02BD">
        <w:rPr>
          <w:rFonts w:ascii="Book Antiqua" w:hAnsi="Book Antiqua"/>
          <w:i/>
          <w:iCs/>
          <w:sz w:val="24"/>
          <w:szCs w:val="24"/>
          <w:lang w:val="en-US"/>
        </w:rPr>
        <w:t>P</w:t>
      </w:r>
      <w:r w:rsidR="00583505" w:rsidRPr="00CE02BD">
        <w:rPr>
          <w:rFonts w:ascii="Book Antiqua" w:hAnsi="Book Antiqua"/>
          <w:sz w:val="24"/>
          <w:szCs w:val="24"/>
          <w:lang w:val="en-US"/>
        </w:rPr>
        <w:t xml:space="preserve"> </w:t>
      </w:r>
      <w:r w:rsidR="004808BB" w:rsidRPr="00CE02BD">
        <w:rPr>
          <w:rFonts w:ascii="Book Antiqua" w:hAnsi="Book Antiqua"/>
          <w:sz w:val="24"/>
          <w:szCs w:val="24"/>
          <w:lang w:val="en-US"/>
        </w:rPr>
        <w:t>&lt;</w:t>
      </w:r>
      <w:r w:rsidR="00583505" w:rsidRPr="00CE02BD">
        <w:rPr>
          <w:rFonts w:ascii="Book Antiqua" w:hAnsi="Book Antiqua"/>
          <w:sz w:val="24"/>
          <w:szCs w:val="24"/>
          <w:lang w:val="en-US"/>
        </w:rPr>
        <w:t xml:space="preserve"> </w:t>
      </w:r>
      <w:r w:rsidR="004808BB" w:rsidRPr="00CE02BD">
        <w:rPr>
          <w:rFonts w:ascii="Book Antiqua" w:hAnsi="Book Antiqua"/>
          <w:sz w:val="24"/>
          <w:szCs w:val="24"/>
          <w:lang w:val="en-US"/>
        </w:rPr>
        <w:t xml:space="preserve">0.001). However, the primary outcome, the proportion of patients in corticosteroid-free remission at 12 </w:t>
      </w:r>
      <w:r w:rsidR="00583505" w:rsidRPr="00CE02BD">
        <w:rPr>
          <w:rFonts w:ascii="Book Antiqua" w:hAnsi="Book Antiqua"/>
          <w:sz w:val="24"/>
          <w:szCs w:val="24"/>
          <w:lang w:val="en-US"/>
        </w:rPr>
        <w:t>mo</w:t>
      </w:r>
      <w:r w:rsidR="004808BB" w:rsidRPr="00CE02BD">
        <w:rPr>
          <w:rFonts w:ascii="Book Antiqua" w:hAnsi="Book Antiqua"/>
          <w:sz w:val="24"/>
          <w:szCs w:val="24"/>
          <w:lang w:val="en-US"/>
        </w:rPr>
        <w:t xml:space="preserve">, was not </w:t>
      </w:r>
      <w:r w:rsidR="0032788C" w:rsidRPr="00CE02BD">
        <w:rPr>
          <w:rFonts w:ascii="Book Antiqua" w:hAnsi="Book Antiqua"/>
          <w:sz w:val="24"/>
          <w:szCs w:val="24"/>
          <w:lang w:val="en-US"/>
        </w:rPr>
        <w:t xml:space="preserve">superior </w:t>
      </w:r>
      <w:r w:rsidR="004808BB" w:rsidRPr="00CE02BD">
        <w:rPr>
          <w:rFonts w:ascii="Book Antiqua" w:hAnsi="Book Antiqua"/>
          <w:sz w:val="24"/>
          <w:szCs w:val="24"/>
          <w:lang w:val="en-US"/>
        </w:rPr>
        <w:t xml:space="preserve">(66% </w:t>
      </w:r>
      <w:r w:rsidR="00967F41" w:rsidRPr="00CE02BD">
        <w:rPr>
          <w:rFonts w:ascii="Book Antiqua" w:hAnsi="Book Antiqua"/>
          <w:i/>
          <w:sz w:val="24"/>
          <w:szCs w:val="24"/>
          <w:lang w:val="en-US"/>
        </w:rPr>
        <w:t>vs</w:t>
      </w:r>
      <w:r w:rsidR="004808BB" w:rsidRPr="00CE02BD">
        <w:rPr>
          <w:rFonts w:ascii="Book Antiqua" w:hAnsi="Book Antiqua"/>
          <w:sz w:val="24"/>
          <w:szCs w:val="24"/>
          <w:lang w:val="en-US"/>
        </w:rPr>
        <w:t xml:space="preserve"> 61.9%; </w:t>
      </w:r>
      <w:r w:rsidR="00583505" w:rsidRPr="00CE02BD">
        <w:rPr>
          <w:rFonts w:ascii="Book Antiqua" w:hAnsi="Book Antiqua"/>
          <w:i/>
          <w:iCs/>
          <w:sz w:val="24"/>
          <w:szCs w:val="24"/>
          <w:lang w:val="en-US"/>
        </w:rPr>
        <w:t>P</w:t>
      </w:r>
      <w:r w:rsidR="00583505" w:rsidRPr="00CE02BD">
        <w:rPr>
          <w:rFonts w:ascii="Book Antiqua" w:hAnsi="Book Antiqua"/>
          <w:sz w:val="24"/>
          <w:szCs w:val="24"/>
          <w:lang w:val="en-US"/>
        </w:rPr>
        <w:t xml:space="preserve"> </w:t>
      </w:r>
      <w:r w:rsidR="004808BB" w:rsidRPr="00CE02BD">
        <w:rPr>
          <w:rFonts w:ascii="Book Antiqua" w:hAnsi="Book Antiqua"/>
          <w:sz w:val="24"/>
          <w:szCs w:val="24"/>
          <w:lang w:val="en-US"/>
        </w:rPr>
        <w:t>=</w:t>
      </w:r>
      <w:r w:rsidR="00583505" w:rsidRPr="00CE02BD">
        <w:rPr>
          <w:rFonts w:ascii="Book Antiqua" w:hAnsi="Book Antiqua"/>
          <w:sz w:val="24"/>
          <w:szCs w:val="24"/>
          <w:lang w:val="en-US"/>
        </w:rPr>
        <w:t xml:space="preserve"> </w:t>
      </w:r>
      <w:r w:rsidR="004808BB" w:rsidRPr="00CE02BD">
        <w:rPr>
          <w:rFonts w:ascii="Book Antiqua" w:hAnsi="Book Antiqua"/>
          <w:sz w:val="24"/>
          <w:szCs w:val="24"/>
          <w:lang w:val="en-US"/>
        </w:rPr>
        <w:t>0.52).</w:t>
      </w:r>
      <w:r w:rsidR="002B70AB" w:rsidRPr="00CE02BD">
        <w:rPr>
          <w:rFonts w:ascii="Book Antiqua" w:hAnsi="Book Antiqua"/>
          <w:sz w:val="24"/>
          <w:szCs w:val="24"/>
          <w:lang w:val="en-US"/>
        </w:rPr>
        <w:t xml:space="preserve"> A</w:t>
      </w:r>
      <w:r w:rsidR="00A67253" w:rsidRPr="00CE02BD">
        <w:rPr>
          <w:rFonts w:ascii="Book Antiqua" w:hAnsi="Book Antiqua"/>
          <w:sz w:val="24"/>
          <w:szCs w:val="24"/>
          <w:lang w:val="en-US"/>
        </w:rPr>
        <w:t xml:space="preserve"> notable limitation to the REACT study is that</w:t>
      </w:r>
      <w:r w:rsidR="002B70AB" w:rsidRPr="00CE02BD">
        <w:rPr>
          <w:rFonts w:ascii="Book Antiqua" w:hAnsi="Book Antiqua"/>
          <w:sz w:val="24"/>
          <w:szCs w:val="24"/>
          <w:lang w:val="en-US"/>
        </w:rPr>
        <w:t xml:space="preserve"> </w:t>
      </w:r>
      <w:r w:rsidR="00384538" w:rsidRPr="00CE02BD">
        <w:rPr>
          <w:rFonts w:ascii="Book Antiqua" w:hAnsi="Book Antiqua"/>
          <w:sz w:val="24"/>
          <w:szCs w:val="24"/>
          <w:lang w:val="en-US"/>
        </w:rPr>
        <w:t>although</w:t>
      </w:r>
      <w:r w:rsidR="002B70AB" w:rsidRPr="00CE02BD">
        <w:rPr>
          <w:rFonts w:ascii="Book Antiqua" w:hAnsi="Book Antiqua"/>
          <w:sz w:val="24"/>
          <w:szCs w:val="24"/>
          <w:lang w:val="en-US"/>
        </w:rPr>
        <w:t xml:space="preserve"> the trial is supposed to investigate the effects of “early” introduction of combined immunosuppression, a large proportion of</w:t>
      </w:r>
      <w:r w:rsidR="00A67253" w:rsidRPr="00CE02BD">
        <w:rPr>
          <w:rFonts w:ascii="Book Antiqua" w:hAnsi="Book Antiqua"/>
          <w:sz w:val="24"/>
          <w:szCs w:val="24"/>
          <w:lang w:val="en-US"/>
        </w:rPr>
        <w:t xml:space="preserve"> patients had longstanding disease or prior respective surgery</w:t>
      </w:r>
      <w:r w:rsidR="002B70AB" w:rsidRPr="00CE02BD">
        <w:rPr>
          <w:rFonts w:ascii="Book Antiqua" w:hAnsi="Book Antiqua"/>
          <w:sz w:val="24"/>
          <w:szCs w:val="24"/>
          <w:lang w:val="en-US"/>
        </w:rPr>
        <w:t xml:space="preserve">, and had been treated with biologics and/or </w:t>
      </w:r>
      <w:r w:rsidR="002B70AB" w:rsidRPr="00CE02BD">
        <w:rPr>
          <w:rFonts w:ascii="Book Antiqua" w:hAnsi="Book Antiqua"/>
          <w:color w:val="000000" w:themeColor="text1"/>
          <w:sz w:val="24"/>
          <w:szCs w:val="24"/>
          <w:lang w:val="en-US"/>
        </w:rPr>
        <w:t>immunosuppressants</w:t>
      </w:r>
      <w:r w:rsidR="00A67253" w:rsidRPr="00CE02BD">
        <w:rPr>
          <w:rFonts w:ascii="Book Antiqua" w:hAnsi="Book Antiqua"/>
          <w:color w:val="000000" w:themeColor="text1"/>
          <w:sz w:val="24"/>
          <w:szCs w:val="24"/>
          <w:lang w:val="en-US"/>
        </w:rPr>
        <w:t xml:space="preserve">. </w:t>
      </w:r>
      <w:r w:rsidR="001A3BEC" w:rsidRPr="00CE02BD">
        <w:rPr>
          <w:rFonts w:ascii="Book Antiqua" w:hAnsi="Book Antiqua"/>
          <w:color w:val="000000" w:themeColor="text1"/>
          <w:sz w:val="24"/>
          <w:szCs w:val="24"/>
          <w:lang w:val="en-US"/>
        </w:rPr>
        <w:t xml:space="preserve">The very recent </w:t>
      </w:r>
      <w:proofErr w:type="gramStart"/>
      <w:r w:rsidR="001A3BEC" w:rsidRPr="00CE02BD">
        <w:rPr>
          <w:rFonts w:ascii="Book Antiqua" w:hAnsi="Book Antiqua"/>
          <w:color w:val="000000" w:themeColor="text1"/>
          <w:sz w:val="24"/>
          <w:szCs w:val="24"/>
          <w:lang w:val="en-US"/>
        </w:rPr>
        <w:t>CALM</w:t>
      </w:r>
      <w:bookmarkStart w:id="60" w:name="_Ref17457475"/>
      <w:r w:rsidR="001F4D8B" w:rsidRPr="00CE02BD">
        <w:rPr>
          <w:rFonts w:ascii="Book Antiqua" w:hAnsi="Book Antiqua"/>
          <w:sz w:val="24"/>
          <w:szCs w:val="24"/>
          <w:vertAlign w:val="superscript"/>
          <w:lang w:val="en-US"/>
        </w:rPr>
        <w:t>[</w:t>
      </w:r>
      <w:bookmarkEnd w:id="60"/>
      <w:proofErr w:type="gramEnd"/>
      <w:r w:rsidR="00B02396" w:rsidRPr="00CE02BD">
        <w:rPr>
          <w:rFonts w:ascii="Book Antiqua" w:hAnsi="Book Antiqua"/>
          <w:sz w:val="24"/>
          <w:szCs w:val="24"/>
          <w:vertAlign w:val="superscript"/>
          <w:lang w:val="en-US"/>
        </w:rPr>
        <w:t>13</w:t>
      </w:r>
      <w:r w:rsidR="001F4D8B" w:rsidRPr="00CE02BD">
        <w:rPr>
          <w:rFonts w:ascii="Book Antiqua" w:hAnsi="Book Antiqua"/>
          <w:color w:val="000000" w:themeColor="text1"/>
          <w:sz w:val="24"/>
          <w:szCs w:val="24"/>
          <w:vertAlign w:val="superscript"/>
          <w:lang w:val="en-US"/>
        </w:rPr>
        <w:t>]</w:t>
      </w:r>
      <w:r w:rsidR="001A3BEC" w:rsidRPr="00CE02BD">
        <w:rPr>
          <w:rFonts w:ascii="Book Antiqua" w:hAnsi="Book Antiqua"/>
          <w:color w:val="000000" w:themeColor="text1"/>
          <w:sz w:val="24"/>
          <w:szCs w:val="24"/>
          <w:lang w:val="en-US"/>
        </w:rPr>
        <w:t xml:space="preserve"> trial also verified the benefits of early introduction and quick escalation of immunosuppressive and biologic therapies when meeting </w:t>
      </w:r>
      <w:r w:rsidR="001A3BEC" w:rsidRPr="00CE02BD">
        <w:rPr>
          <w:rFonts w:ascii="Book Antiqua" w:hAnsi="Book Antiqua"/>
          <w:color w:val="000000" w:themeColor="text1"/>
          <w:sz w:val="24"/>
          <w:szCs w:val="24"/>
          <w:lang w:val="en-US"/>
        </w:rPr>
        <w:lastRenderedPageBreak/>
        <w:t>treatment failure criteria (either clinical</w:t>
      </w:r>
      <w:r w:rsidR="00274772" w:rsidRPr="00CE02BD">
        <w:rPr>
          <w:rFonts w:ascii="Book Antiqua" w:hAnsi="Book Antiqua"/>
          <w:color w:val="000000" w:themeColor="text1"/>
          <w:sz w:val="24"/>
          <w:szCs w:val="24"/>
          <w:lang w:val="en-US"/>
        </w:rPr>
        <w:t xml:space="preserve"> or biomarker</w:t>
      </w:r>
      <w:r w:rsidR="001A3BEC" w:rsidRPr="00CE02BD">
        <w:rPr>
          <w:rFonts w:ascii="Book Antiqua" w:hAnsi="Book Antiqua"/>
          <w:color w:val="000000" w:themeColor="text1"/>
          <w:sz w:val="24"/>
          <w:szCs w:val="24"/>
          <w:lang w:val="en-US"/>
        </w:rPr>
        <w:t xml:space="preserve">). </w:t>
      </w:r>
      <w:r w:rsidR="00C66389" w:rsidRPr="00CE02BD">
        <w:rPr>
          <w:rFonts w:ascii="Book Antiqua" w:hAnsi="Book Antiqua"/>
          <w:color w:val="000000" w:themeColor="text1"/>
          <w:sz w:val="24"/>
          <w:szCs w:val="24"/>
          <w:lang w:val="en-US"/>
        </w:rPr>
        <w:t xml:space="preserve">Despite certain </w:t>
      </w:r>
      <w:r w:rsidR="0013084C" w:rsidRPr="00CE02BD">
        <w:rPr>
          <w:rFonts w:ascii="Book Antiqua" w:hAnsi="Book Antiqua"/>
          <w:color w:val="000000" w:themeColor="text1"/>
          <w:sz w:val="24"/>
          <w:szCs w:val="24"/>
          <w:lang w:val="en-US"/>
        </w:rPr>
        <w:t xml:space="preserve">limitations </w:t>
      </w:r>
      <w:r w:rsidR="00C66389" w:rsidRPr="00CE02BD">
        <w:rPr>
          <w:rFonts w:ascii="Book Antiqua" w:hAnsi="Book Antiqua"/>
          <w:color w:val="000000" w:themeColor="text1"/>
          <w:sz w:val="24"/>
          <w:szCs w:val="24"/>
          <w:lang w:val="en-US"/>
        </w:rPr>
        <w:t>and methodological differences,</w:t>
      </w:r>
      <w:r w:rsidR="00F466ED" w:rsidRPr="00CE02BD">
        <w:rPr>
          <w:rFonts w:ascii="Book Antiqua" w:hAnsi="Book Antiqua"/>
          <w:color w:val="000000" w:themeColor="text1"/>
          <w:sz w:val="24"/>
          <w:szCs w:val="24"/>
          <w:lang w:val="en-US"/>
        </w:rPr>
        <w:t xml:space="preserve"> </w:t>
      </w:r>
      <w:r w:rsidR="00C66389" w:rsidRPr="00CE02BD">
        <w:rPr>
          <w:rFonts w:ascii="Book Antiqua" w:hAnsi="Book Antiqua"/>
          <w:color w:val="000000" w:themeColor="text1"/>
          <w:sz w:val="24"/>
          <w:szCs w:val="24"/>
          <w:lang w:val="en-US"/>
        </w:rPr>
        <w:t xml:space="preserve">the above </w:t>
      </w:r>
      <w:r w:rsidR="0013084C" w:rsidRPr="00CE02BD">
        <w:rPr>
          <w:rFonts w:ascii="Book Antiqua" w:hAnsi="Book Antiqua"/>
          <w:color w:val="000000" w:themeColor="text1"/>
          <w:sz w:val="24"/>
          <w:szCs w:val="24"/>
          <w:lang w:val="en-US"/>
        </w:rPr>
        <w:t xml:space="preserve">results suggest that highly effective therapy initiated early in the course </w:t>
      </w:r>
      <w:r w:rsidR="00C66389" w:rsidRPr="00CE02BD">
        <w:rPr>
          <w:rFonts w:ascii="Book Antiqua" w:hAnsi="Book Antiqua"/>
          <w:color w:val="000000" w:themeColor="text1"/>
          <w:sz w:val="24"/>
          <w:szCs w:val="24"/>
          <w:lang w:val="en-US"/>
        </w:rPr>
        <w:t>can potentially lead to better outcomes</w:t>
      </w:r>
      <w:r w:rsidR="0013084C" w:rsidRPr="00CE02BD">
        <w:rPr>
          <w:rFonts w:ascii="Book Antiqua" w:hAnsi="Book Antiqua"/>
          <w:color w:val="000000" w:themeColor="text1"/>
          <w:sz w:val="24"/>
          <w:szCs w:val="24"/>
          <w:lang w:val="en-US"/>
        </w:rPr>
        <w:t xml:space="preserve"> without a significant increase in drug-related risk</w:t>
      </w:r>
      <w:r w:rsidR="00F466ED" w:rsidRPr="00CE02BD">
        <w:rPr>
          <w:rFonts w:ascii="Book Antiqua" w:hAnsi="Book Antiqua"/>
          <w:color w:val="000000" w:themeColor="text1"/>
          <w:sz w:val="24"/>
          <w:szCs w:val="24"/>
          <w:lang w:val="en-US"/>
        </w:rPr>
        <w:t xml:space="preserve"> (concept of ‘window of opportunity’)</w:t>
      </w:r>
      <w:r w:rsidR="001A3BEC" w:rsidRPr="00CE02BD">
        <w:rPr>
          <w:rFonts w:ascii="Book Antiqua" w:hAnsi="Book Antiqua"/>
          <w:color w:val="000000" w:themeColor="text1"/>
          <w:sz w:val="24"/>
          <w:szCs w:val="24"/>
          <w:lang w:val="en-US"/>
        </w:rPr>
        <w:t>.</w:t>
      </w:r>
    </w:p>
    <w:p w14:paraId="177CD430" w14:textId="15E8C58B" w:rsidR="006D666D" w:rsidRPr="00CE02BD" w:rsidRDefault="00392D85" w:rsidP="00583505">
      <w:pPr>
        <w:adjustRightInd w:val="0"/>
        <w:snapToGrid w:val="0"/>
        <w:spacing w:after="0" w:line="360" w:lineRule="auto"/>
        <w:ind w:firstLineChars="100" w:firstLine="240"/>
        <w:jc w:val="both"/>
        <w:rPr>
          <w:rFonts w:ascii="Book Antiqua" w:hAnsi="Book Antiqua"/>
          <w:noProof/>
          <w:color w:val="FF0000"/>
          <w:sz w:val="24"/>
          <w:szCs w:val="24"/>
          <w:lang w:val="en-US"/>
        </w:rPr>
      </w:pPr>
      <w:r w:rsidRPr="00CE02BD">
        <w:rPr>
          <w:rFonts w:ascii="Book Antiqua" w:hAnsi="Book Antiqua"/>
          <w:color w:val="000000" w:themeColor="text1"/>
          <w:sz w:val="24"/>
          <w:szCs w:val="24"/>
          <w:lang w:val="en-US"/>
        </w:rPr>
        <w:t xml:space="preserve">It is important to recognize that a significant proportion of IBD patients have mild disease course. </w:t>
      </w:r>
      <w:r w:rsidR="00F149B8" w:rsidRPr="00CE02BD">
        <w:rPr>
          <w:rFonts w:ascii="Book Antiqua" w:hAnsi="Book Antiqua"/>
          <w:color w:val="000000" w:themeColor="text1"/>
          <w:sz w:val="24"/>
          <w:szCs w:val="24"/>
          <w:lang w:val="en-US"/>
        </w:rPr>
        <w:t>P</w:t>
      </w:r>
      <w:r w:rsidRPr="00CE02BD">
        <w:rPr>
          <w:rFonts w:ascii="Book Antiqua" w:hAnsi="Book Antiqua"/>
          <w:color w:val="000000" w:themeColor="text1"/>
          <w:sz w:val="24"/>
          <w:szCs w:val="24"/>
          <w:lang w:val="en-US"/>
        </w:rPr>
        <w:t>opulation-based data suggests that 40% of patients with CD have a clinically indolent disease, and app</w:t>
      </w:r>
      <w:r w:rsidR="00907BAA" w:rsidRPr="00CE02BD">
        <w:rPr>
          <w:rFonts w:ascii="Book Antiqua" w:hAnsi="Book Antiqua"/>
          <w:color w:val="000000" w:themeColor="text1"/>
          <w:sz w:val="24"/>
          <w:szCs w:val="24"/>
          <w:lang w:val="en-US"/>
        </w:rPr>
        <w:t>roximately</w:t>
      </w:r>
      <w:r w:rsidRPr="00CE02BD">
        <w:rPr>
          <w:rFonts w:ascii="Book Antiqua" w:hAnsi="Book Antiqua"/>
          <w:color w:val="000000" w:themeColor="text1"/>
          <w:sz w:val="24"/>
          <w:szCs w:val="24"/>
          <w:lang w:val="en-US"/>
        </w:rPr>
        <w:t xml:space="preserve"> half of the patients with CD will present non-complicated (B1) disease behavior 10 years after </w:t>
      </w:r>
      <w:proofErr w:type="gramStart"/>
      <w:r w:rsidRPr="00CE02BD">
        <w:rPr>
          <w:rFonts w:ascii="Book Antiqua" w:hAnsi="Book Antiqua"/>
          <w:color w:val="000000" w:themeColor="text1"/>
          <w:sz w:val="24"/>
          <w:szCs w:val="24"/>
          <w:lang w:val="en-US"/>
        </w:rPr>
        <w:t>diagnosis</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8]</w:t>
      </w:r>
      <w:r w:rsidRPr="00CE02BD">
        <w:rPr>
          <w:rFonts w:ascii="Book Antiqua" w:hAnsi="Book Antiqua"/>
          <w:color w:val="000000" w:themeColor="text1"/>
          <w:sz w:val="24"/>
          <w:szCs w:val="24"/>
          <w:lang w:val="en-US"/>
        </w:rPr>
        <w:t>. I</w:t>
      </w:r>
      <w:r w:rsidR="00692B93" w:rsidRPr="00CE02BD">
        <w:rPr>
          <w:rFonts w:ascii="Book Antiqua" w:hAnsi="Book Antiqua"/>
          <w:color w:val="000000" w:themeColor="text1"/>
          <w:sz w:val="24"/>
          <w:szCs w:val="24"/>
          <w:lang w:val="en-US"/>
        </w:rPr>
        <w:t xml:space="preserve">n both CD and UC, </w:t>
      </w:r>
      <w:r w:rsidRPr="00CE02BD">
        <w:rPr>
          <w:rFonts w:ascii="Book Antiqua" w:hAnsi="Book Antiqua"/>
          <w:color w:val="000000" w:themeColor="text1"/>
          <w:sz w:val="24"/>
          <w:szCs w:val="24"/>
          <w:lang w:val="en-US"/>
        </w:rPr>
        <w:t>potentially indolent</w:t>
      </w:r>
      <w:r w:rsidR="00692B93" w:rsidRPr="00CE02BD">
        <w:rPr>
          <w:rFonts w:ascii="Book Antiqua" w:hAnsi="Book Antiqua"/>
          <w:color w:val="000000" w:themeColor="text1"/>
          <w:sz w:val="24"/>
          <w:szCs w:val="24"/>
          <w:lang w:val="en-US"/>
        </w:rPr>
        <w:t xml:space="preserve"> disease must be distinguished from </w:t>
      </w:r>
      <w:r w:rsidRPr="00CE02BD">
        <w:rPr>
          <w:rFonts w:ascii="Book Antiqua" w:hAnsi="Book Antiqua"/>
          <w:color w:val="000000" w:themeColor="text1"/>
          <w:sz w:val="24"/>
          <w:szCs w:val="24"/>
          <w:lang w:val="en-US"/>
        </w:rPr>
        <w:t xml:space="preserve">severe disease, </w:t>
      </w:r>
      <w:r w:rsidR="00692B93" w:rsidRPr="00CE02BD">
        <w:rPr>
          <w:rFonts w:ascii="Book Antiqua" w:hAnsi="Book Antiqua"/>
          <w:color w:val="000000" w:themeColor="text1"/>
          <w:sz w:val="24"/>
          <w:szCs w:val="24"/>
          <w:lang w:val="en-US"/>
        </w:rPr>
        <w:t>assuring</w:t>
      </w:r>
      <w:r w:rsidRPr="00CE02BD">
        <w:rPr>
          <w:rFonts w:ascii="Book Antiqua" w:hAnsi="Book Antiqua"/>
          <w:color w:val="000000" w:themeColor="text1"/>
          <w:sz w:val="24"/>
          <w:szCs w:val="24"/>
          <w:lang w:val="en-US"/>
        </w:rPr>
        <w:t xml:space="preserve"> the opportunity of </w:t>
      </w:r>
      <w:r w:rsidR="00692B93" w:rsidRPr="00CE02BD">
        <w:rPr>
          <w:rFonts w:ascii="Book Antiqua" w:hAnsi="Book Antiqua"/>
          <w:color w:val="000000" w:themeColor="text1"/>
          <w:sz w:val="24"/>
          <w:szCs w:val="24"/>
          <w:lang w:val="en-US"/>
        </w:rPr>
        <w:t>early intensive therapy</w:t>
      </w:r>
      <w:r w:rsidRPr="00CE02BD">
        <w:rPr>
          <w:rFonts w:ascii="Book Antiqua" w:hAnsi="Book Antiqua"/>
          <w:color w:val="000000" w:themeColor="text1"/>
          <w:sz w:val="24"/>
          <w:szCs w:val="24"/>
          <w:lang w:val="en-US"/>
        </w:rPr>
        <w:t xml:space="preserve"> for the latter one</w:t>
      </w:r>
      <w:r w:rsidR="00692B93" w:rsidRPr="00CE02BD">
        <w:rPr>
          <w:rFonts w:ascii="Book Antiqua" w:hAnsi="Book Antiqua"/>
          <w:color w:val="000000" w:themeColor="text1"/>
          <w:sz w:val="24"/>
          <w:szCs w:val="24"/>
          <w:lang w:val="en-US"/>
        </w:rPr>
        <w:t xml:space="preserve">, while those with indolent disease might benefit from a </w:t>
      </w:r>
      <w:r w:rsidRPr="00CE02BD">
        <w:rPr>
          <w:rFonts w:ascii="Book Antiqua" w:hAnsi="Book Antiqua"/>
          <w:color w:val="000000" w:themeColor="text1"/>
          <w:sz w:val="24"/>
          <w:szCs w:val="24"/>
          <w:lang w:val="en-US"/>
        </w:rPr>
        <w:t xml:space="preserve">slower escalation of therapeutic steps, </w:t>
      </w:r>
      <w:r w:rsidR="00692B93" w:rsidRPr="00CE02BD">
        <w:rPr>
          <w:rFonts w:ascii="Book Antiqua" w:hAnsi="Book Antiqua"/>
          <w:color w:val="000000" w:themeColor="text1"/>
          <w:sz w:val="24"/>
          <w:szCs w:val="24"/>
          <w:lang w:val="en-US"/>
        </w:rPr>
        <w:t xml:space="preserve">avoiding </w:t>
      </w:r>
      <w:r w:rsidRPr="00CE02BD">
        <w:rPr>
          <w:rFonts w:ascii="Book Antiqua" w:hAnsi="Book Antiqua"/>
          <w:color w:val="000000" w:themeColor="text1"/>
          <w:sz w:val="24"/>
          <w:szCs w:val="24"/>
          <w:lang w:val="en-US"/>
        </w:rPr>
        <w:t>potential overtreatment</w:t>
      </w:r>
      <w:r w:rsidR="00692B93"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5116A" w:rsidRPr="00CE02BD">
        <w:rPr>
          <w:rFonts w:ascii="Book Antiqua" w:hAnsi="Book Antiqua"/>
          <w:color w:val="000000" w:themeColor="text1"/>
          <w:sz w:val="24"/>
          <w:szCs w:val="24"/>
          <w:lang w:val="en-US"/>
        </w:rPr>
        <w:t xml:space="preserve">With the introduction of multiple new therapies, the identification of </w:t>
      </w:r>
      <w:r w:rsidR="00A67253" w:rsidRPr="00CE02BD">
        <w:rPr>
          <w:rFonts w:ascii="Book Antiqua" w:hAnsi="Book Antiqua"/>
          <w:color w:val="000000" w:themeColor="text1"/>
          <w:sz w:val="24"/>
          <w:szCs w:val="24"/>
          <w:lang w:val="en-US"/>
        </w:rPr>
        <w:t>population</w:t>
      </w:r>
      <w:r w:rsidR="0095116A" w:rsidRPr="00CE02BD">
        <w:rPr>
          <w:rFonts w:ascii="Book Antiqua" w:hAnsi="Book Antiqua"/>
          <w:color w:val="000000" w:themeColor="text1"/>
          <w:sz w:val="24"/>
          <w:szCs w:val="24"/>
          <w:lang w:val="en-US"/>
        </w:rPr>
        <w:t>s</w:t>
      </w:r>
      <w:r w:rsidR="00A67253" w:rsidRPr="00CE02BD">
        <w:rPr>
          <w:rFonts w:ascii="Book Antiqua" w:hAnsi="Book Antiqua"/>
          <w:color w:val="000000" w:themeColor="text1"/>
          <w:sz w:val="24"/>
          <w:szCs w:val="24"/>
          <w:lang w:val="en-US"/>
        </w:rPr>
        <w:t xml:space="preserve"> </w:t>
      </w:r>
      <w:r w:rsidR="0095116A" w:rsidRPr="00CE02BD">
        <w:rPr>
          <w:rFonts w:ascii="Book Antiqua" w:hAnsi="Book Antiqua"/>
          <w:color w:val="000000" w:themeColor="text1"/>
          <w:sz w:val="24"/>
          <w:szCs w:val="24"/>
          <w:lang w:val="en-US"/>
        </w:rPr>
        <w:t>with high risk of severe</w:t>
      </w:r>
      <w:r w:rsidR="00A67253" w:rsidRPr="00CE02BD">
        <w:rPr>
          <w:rFonts w:ascii="Book Antiqua" w:hAnsi="Book Antiqua"/>
          <w:color w:val="000000" w:themeColor="text1"/>
          <w:sz w:val="24"/>
          <w:szCs w:val="24"/>
          <w:lang w:val="en-US"/>
        </w:rPr>
        <w:t xml:space="preserve"> disease course </w:t>
      </w:r>
      <w:r w:rsidR="0095116A" w:rsidRPr="00CE02BD">
        <w:rPr>
          <w:rFonts w:ascii="Book Antiqua" w:hAnsi="Book Antiqua"/>
          <w:color w:val="000000" w:themeColor="text1"/>
          <w:sz w:val="24"/>
          <w:szCs w:val="24"/>
          <w:lang w:val="en-US"/>
        </w:rPr>
        <w:t>gaine</w:t>
      </w:r>
      <w:r w:rsidR="000E071E" w:rsidRPr="00CE02BD">
        <w:rPr>
          <w:rFonts w:ascii="Book Antiqua" w:hAnsi="Book Antiqua"/>
          <w:color w:val="000000" w:themeColor="text1"/>
          <w:sz w:val="24"/>
          <w:szCs w:val="24"/>
          <w:lang w:val="en-US"/>
        </w:rPr>
        <w:t xml:space="preserve">d a growing interest. </w:t>
      </w:r>
      <w:r w:rsidR="00B55FFE" w:rsidRPr="00CE02BD">
        <w:rPr>
          <w:rFonts w:ascii="Book Antiqua" w:hAnsi="Book Antiqua"/>
          <w:color w:val="000000" w:themeColor="text1"/>
          <w:sz w:val="24"/>
          <w:szCs w:val="24"/>
          <w:lang w:val="en-US"/>
        </w:rPr>
        <w:t xml:space="preserve">Predictive factors have been </w:t>
      </w:r>
      <w:r w:rsidR="000E071E" w:rsidRPr="00CE02BD">
        <w:rPr>
          <w:rFonts w:ascii="Book Antiqua" w:hAnsi="Book Antiqua"/>
          <w:color w:val="000000" w:themeColor="text1"/>
          <w:sz w:val="24"/>
          <w:szCs w:val="24"/>
          <w:lang w:val="en-US"/>
        </w:rPr>
        <w:t>identified in population-</w:t>
      </w:r>
      <w:r w:rsidR="00B55FFE" w:rsidRPr="00CE02BD">
        <w:rPr>
          <w:rFonts w:ascii="Book Antiqua" w:hAnsi="Book Antiqua"/>
          <w:color w:val="000000" w:themeColor="text1"/>
          <w:sz w:val="24"/>
          <w:szCs w:val="24"/>
          <w:lang w:val="en-US"/>
        </w:rPr>
        <w:t>based cohorts for CD</w:t>
      </w:r>
      <w:r w:rsidR="000E071E" w:rsidRPr="00CE02BD">
        <w:rPr>
          <w:rFonts w:ascii="Book Antiqua" w:hAnsi="Book Antiqua"/>
          <w:color w:val="000000" w:themeColor="text1"/>
          <w:sz w:val="24"/>
          <w:szCs w:val="24"/>
          <w:lang w:val="en-US"/>
        </w:rPr>
        <w:t xml:space="preserve">, including </w:t>
      </w:r>
      <w:r w:rsidR="00B55FFE" w:rsidRPr="00CE02BD">
        <w:rPr>
          <w:rFonts w:ascii="Book Antiqua" w:hAnsi="Book Antiqua"/>
          <w:color w:val="000000" w:themeColor="text1"/>
          <w:sz w:val="24"/>
          <w:szCs w:val="24"/>
          <w:lang w:val="en-US"/>
        </w:rPr>
        <w:t xml:space="preserve">younger age at disease onset, smoking, extensive small bowel disease, </w:t>
      </w:r>
      <w:r w:rsidR="000E071E" w:rsidRPr="00CE02BD">
        <w:rPr>
          <w:rFonts w:ascii="Book Antiqua" w:hAnsi="Book Antiqua"/>
          <w:color w:val="000000" w:themeColor="text1"/>
          <w:sz w:val="24"/>
          <w:szCs w:val="24"/>
          <w:lang w:val="en-US"/>
        </w:rPr>
        <w:t>perianal disease, deep ulcerati</w:t>
      </w:r>
      <w:r w:rsidR="00B55FFE" w:rsidRPr="00CE02BD">
        <w:rPr>
          <w:rFonts w:ascii="Book Antiqua" w:hAnsi="Book Antiqua"/>
          <w:color w:val="000000" w:themeColor="text1"/>
          <w:sz w:val="24"/>
          <w:szCs w:val="24"/>
          <w:lang w:val="en-US"/>
        </w:rPr>
        <w:t>on on endoscopy, prior surgery,</w:t>
      </w:r>
      <w:r w:rsidR="000E071E" w:rsidRPr="00CE02BD">
        <w:rPr>
          <w:rFonts w:ascii="Book Antiqua" w:hAnsi="Book Antiqua"/>
          <w:color w:val="000000" w:themeColor="text1"/>
          <w:sz w:val="24"/>
          <w:szCs w:val="24"/>
          <w:lang w:val="en-US"/>
        </w:rPr>
        <w:t xml:space="preserve"> cortico</w:t>
      </w:r>
      <w:r w:rsidR="00B55FFE" w:rsidRPr="00CE02BD">
        <w:rPr>
          <w:rFonts w:ascii="Book Antiqua" w:hAnsi="Book Antiqua"/>
          <w:color w:val="000000" w:themeColor="text1"/>
          <w:sz w:val="24"/>
          <w:szCs w:val="24"/>
          <w:lang w:val="en-US"/>
        </w:rPr>
        <w:t>steroid use at diagnosis</w:t>
      </w:r>
      <w:r w:rsidR="00583505" w:rsidRPr="00CE02BD">
        <w:rPr>
          <w:rFonts w:ascii="Book Antiqua" w:hAnsi="Book Antiqua"/>
          <w:color w:val="000000" w:themeColor="text1"/>
          <w:sz w:val="24"/>
          <w:szCs w:val="24"/>
          <w:lang w:val="en-US"/>
        </w:rPr>
        <w:t>,</w:t>
      </w:r>
      <w:r w:rsidR="00B55FFE" w:rsidRPr="00CE02BD">
        <w:rPr>
          <w:rFonts w:ascii="Book Antiqua" w:hAnsi="Book Antiqua"/>
          <w:color w:val="000000" w:themeColor="text1"/>
          <w:sz w:val="24"/>
          <w:szCs w:val="24"/>
          <w:lang w:val="en-US"/>
        </w:rPr>
        <w:t xml:space="preserve"> </w:t>
      </w:r>
      <w:r w:rsidR="000E071E" w:rsidRPr="00CE02BD">
        <w:rPr>
          <w:rFonts w:ascii="Book Antiqua" w:hAnsi="Book Antiqua"/>
          <w:color w:val="000000" w:themeColor="text1"/>
          <w:sz w:val="24"/>
          <w:szCs w:val="24"/>
          <w:lang w:val="en-US"/>
        </w:rPr>
        <w:t xml:space="preserve">and extra-intestinal </w:t>
      </w:r>
      <w:proofErr w:type="gramStart"/>
      <w:r w:rsidR="000E071E" w:rsidRPr="00CE02BD">
        <w:rPr>
          <w:rFonts w:ascii="Book Antiqua" w:hAnsi="Book Antiqua"/>
          <w:color w:val="000000" w:themeColor="text1"/>
          <w:sz w:val="24"/>
          <w:szCs w:val="24"/>
          <w:lang w:val="en-US"/>
        </w:rPr>
        <w:t>manif</w:t>
      </w:r>
      <w:r w:rsidR="00B55FFE" w:rsidRPr="00CE02BD">
        <w:rPr>
          <w:rFonts w:ascii="Book Antiqua" w:hAnsi="Book Antiqua"/>
          <w:color w:val="000000" w:themeColor="text1"/>
          <w:sz w:val="24"/>
          <w:szCs w:val="24"/>
          <w:lang w:val="en-US"/>
        </w:rPr>
        <w:t>estations</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14,15]</w:t>
      </w:r>
      <w:r w:rsidR="000E071E" w:rsidRPr="00CE02BD">
        <w:rPr>
          <w:rFonts w:ascii="Book Antiqua" w:hAnsi="Book Antiqua"/>
          <w:color w:val="000000" w:themeColor="text1"/>
          <w:sz w:val="24"/>
          <w:szCs w:val="24"/>
          <w:lang w:val="en-US"/>
        </w:rPr>
        <w:t>. In the case of UC, patients with panco</w:t>
      </w:r>
      <w:r w:rsidR="00B55FFE" w:rsidRPr="00CE02BD">
        <w:rPr>
          <w:rFonts w:ascii="Book Antiqua" w:hAnsi="Book Antiqua"/>
          <w:color w:val="000000" w:themeColor="text1"/>
          <w:sz w:val="24"/>
          <w:szCs w:val="24"/>
          <w:lang w:val="en-US"/>
        </w:rPr>
        <w:t xml:space="preserve">litis, deep ulcers on endoscopy </w:t>
      </w:r>
      <w:r w:rsidR="000E071E" w:rsidRPr="00CE02BD">
        <w:rPr>
          <w:rFonts w:ascii="Book Antiqua" w:hAnsi="Book Antiqua"/>
          <w:color w:val="000000" w:themeColor="text1"/>
          <w:sz w:val="24"/>
          <w:szCs w:val="24"/>
          <w:lang w:val="en-US"/>
        </w:rPr>
        <w:t>and non</w:t>
      </w:r>
      <w:r w:rsidR="00B55FFE" w:rsidRPr="00CE02BD">
        <w:rPr>
          <w:rFonts w:ascii="Book Antiqua" w:hAnsi="Book Antiqua"/>
          <w:color w:val="000000" w:themeColor="text1"/>
          <w:sz w:val="24"/>
          <w:szCs w:val="24"/>
          <w:lang w:val="en-US"/>
        </w:rPr>
        <w:t>-</w:t>
      </w:r>
      <w:r w:rsidR="000E071E" w:rsidRPr="00CE02BD">
        <w:rPr>
          <w:rFonts w:ascii="Book Antiqua" w:hAnsi="Book Antiqua"/>
          <w:color w:val="000000" w:themeColor="text1"/>
          <w:sz w:val="24"/>
          <w:szCs w:val="24"/>
          <w:lang w:val="en-US"/>
        </w:rPr>
        <w:t xml:space="preserve">smoking status are at higher risk for </w:t>
      </w:r>
      <w:proofErr w:type="gramStart"/>
      <w:r w:rsidR="00B55FFE" w:rsidRPr="00CE02BD">
        <w:rPr>
          <w:rFonts w:ascii="Book Antiqua" w:hAnsi="Book Antiqua"/>
          <w:color w:val="000000" w:themeColor="text1"/>
          <w:sz w:val="24"/>
          <w:szCs w:val="24"/>
          <w:lang w:val="en-US"/>
        </w:rPr>
        <w:t>colectomy</w:t>
      </w:r>
      <w:bookmarkStart w:id="61" w:name="_Ref17360338"/>
      <w:r w:rsidR="000F1138" w:rsidRPr="00CE02BD">
        <w:rPr>
          <w:rFonts w:ascii="Book Antiqua" w:hAnsi="Book Antiqua"/>
          <w:sz w:val="24"/>
          <w:szCs w:val="24"/>
          <w:vertAlign w:val="superscript"/>
          <w:lang w:val="en-US"/>
        </w:rPr>
        <w:t>[</w:t>
      </w:r>
      <w:bookmarkEnd w:id="61"/>
      <w:proofErr w:type="gramEnd"/>
      <w:r w:rsidR="000F1138" w:rsidRPr="00CE02BD">
        <w:rPr>
          <w:rFonts w:ascii="Book Antiqua" w:hAnsi="Book Antiqua"/>
          <w:color w:val="000000" w:themeColor="text1"/>
          <w:sz w:val="24"/>
          <w:szCs w:val="24"/>
          <w:vertAlign w:val="superscript"/>
          <w:lang w:val="en-US"/>
        </w:rPr>
        <w:t>16]</w:t>
      </w:r>
      <w:r w:rsidR="000E071E" w:rsidRPr="00CE02BD">
        <w:rPr>
          <w:rFonts w:ascii="Book Antiqua" w:hAnsi="Book Antiqua"/>
          <w:color w:val="000000" w:themeColor="text1"/>
          <w:sz w:val="24"/>
          <w:szCs w:val="24"/>
          <w:lang w:val="en-US"/>
        </w:rPr>
        <w:t>.</w:t>
      </w:r>
      <w:r w:rsidR="00B55FFE" w:rsidRPr="00CE02BD">
        <w:rPr>
          <w:rFonts w:ascii="Book Antiqua" w:hAnsi="Book Antiqua"/>
          <w:color w:val="000000" w:themeColor="text1"/>
          <w:sz w:val="24"/>
          <w:szCs w:val="24"/>
          <w:lang w:val="en-US"/>
        </w:rPr>
        <w:t xml:space="preserve"> Prediction models for assessing the probability of advanced disease 5 and 10 years after diagnosis have been developed in both CD and UC, however </w:t>
      </w:r>
      <w:r w:rsidR="004414A0" w:rsidRPr="00CE02BD">
        <w:rPr>
          <w:rFonts w:ascii="Book Antiqua" w:hAnsi="Book Antiqua"/>
          <w:color w:val="000000" w:themeColor="text1"/>
          <w:sz w:val="24"/>
          <w:szCs w:val="24"/>
          <w:lang w:val="en-US"/>
        </w:rPr>
        <w:t>external validation of these</w:t>
      </w:r>
      <w:r w:rsidR="00B55FFE" w:rsidRPr="00CE02BD">
        <w:rPr>
          <w:rFonts w:ascii="Book Antiqua" w:hAnsi="Book Antiqua"/>
          <w:color w:val="000000" w:themeColor="text1"/>
          <w:sz w:val="24"/>
          <w:szCs w:val="24"/>
          <w:lang w:val="en-US"/>
        </w:rPr>
        <w:t xml:space="preserve"> prediction tools </w:t>
      </w:r>
      <w:r w:rsidR="004414A0" w:rsidRPr="00CE02BD">
        <w:rPr>
          <w:rFonts w:ascii="Book Antiqua" w:hAnsi="Book Antiqua"/>
          <w:color w:val="000000" w:themeColor="text1"/>
          <w:sz w:val="24"/>
          <w:szCs w:val="24"/>
          <w:lang w:val="en-US"/>
        </w:rPr>
        <w:t>are still warranted</w:t>
      </w:r>
      <w:r w:rsidR="000F1138" w:rsidRPr="00CE02BD">
        <w:rPr>
          <w:rFonts w:ascii="Book Antiqua" w:hAnsi="Book Antiqua"/>
          <w:sz w:val="24"/>
          <w:szCs w:val="24"/>
          <w:vertAlign w:val="superscript"/>
          <w:lang w:val="en-US"/>
        </w:rPr>
        <w:t>[</w:t>
      </w:r>
      <w:r w:rsidR="000F1138" w:rsidRPr="00CE02BD">
        <w:rPr>
          <w:rFonts w:ascii="Book Antiqua" w:hAnsi="Book Antiqua"/>
          <w:color w:val="000000" w:themeColor="text1"/>
          <w:sz w:val="24"/>
          <w:szCs w:val="24"/>
          <w:vertAlign w:val="superscript"/>
          <w:lang w:val="en-US"/>
        </w:rPr>
        <w:t>16-18]</w:t>
      </w:r>
      <w:r w:rsidR="004414A0" w:rsidRPr="00CE02BD">
        <w:rPr>
          <w:rFonts w:ascii="Book Antiqua" w:hAnsi="Book Antiqua"/>
          <w:color w:val="000000" w:themeColor="text1"/>
          <w:sz w:val="24"/>
          <w:szCs w:val="24"/>
          <w:lang w:val="en-US"/>
        </w:rPr>
        <w:t>.</w:t>
      </w:r>
      <w:r w:rsidR="001F4D8B" w:rsidRPr="00CE02BD">
        <w:rPr>
          <w:rFonts w:ascii="Book Antiqua" w:hAnsi="Book Antiqua"/>
          <w:sz w:val="24"/>
          <w:szCs w:val="24"/>
          <w:lang w:val="en-US"/>
        </w:rPr>
        <w:t xml:space="preserve"> </w:t>
      </w:r>
    </w:p>
    <w:p w14:paraId="6B4C683F" w14:textId="77777777" w:rsidR="00E11EA6" w:rsidRPr="00CE02BD" w:rsidRDefault="00E11EA6" w:rsidP="000F1138">
      <w:pPr>
        <w:adjustRightInd w:val="0"/>
        <w:snapToGrid w:val="0"/>
        <w:spacing w:after="0" w:line="360" w:lineRule="auto"/>
        <w:jc w:val="both"/>
        <w:rPr>
          <w:rFonts w:ascii="Book Antiqua" w:hAnsi="Book Antiqua"/>
          <w:sz w:val="24"/>
          <w:szCs w:val="24"/>
          <w:lang w:val="en-US"/>
        </w:rPr>
      </w:pPr>
    </w:p>
    <w:p w14:paraId="076D380E" w14:textId="31DD27F9" w:rsidR="00413629" w:rsidRPr="00CE02BD" w:rsidRDefault="00AE0FD8"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 xml:space="preserve">THE CONCEPT OF TREAT-TO-TARGET </w:t>
      </w:r>
    </w:p>
    <w:p w14:paraId="168855D5" w14:textId="60179EB0" w:rsidR="001A6818" w:rsidRPr="00CE02BD" w:rsidRDefault="001A6818"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The concept of </w:t>
      </w:r>
      <w:r w:rsidR="00F149B8" w:rsidRPr="00CE02BD">
        <w:rPr>
          <w:rFonts w:ascii="Book Antiqua" w:hAnsi="Book Antiqua"/>
          <w:sz w:val="24"/>
          <w:szCs w:val="24"/>
          <w:lang w:val="en-US"/>
        </w:rPr>
        <w:t>‘</w:t>
      </w:r>
      <w:r w:rsidR="008D6775" w:rsidRPr="00CE02BD">
        <w:rPr>
          <w:rFonts w:ascii="Book Antiqua" w:hAnsi="Book Antiqua"/>
          <w:sz w:val="24"/>
          <w:szCs w:val="24"/>
          <w:lang w:val="en-US"/>
        </w:rPr>
        <w:t>treat-to-</w:t>
      </w:r>
      <w:r w:rsidRPr="00CE02BD">
        <w:rPr>
          <w:rFonts w:ascii="Book Antiqua" w:hAnsi="Book Antiqua"/>
          <w:sz w:val="24"/>
          <w:szCs w:val="24"/>
          <w:lang w:val="en-US"/>
        </w:rPr>
        <w:t>target</w:t>
      </w:r>
      <w:r w:rsidR="00F149B8" w:rsidRPr="00CE02BD">
        <w:rPr>
          <w:rFonts w:ascii="Book Antiqua" w:hAnsi="Book Antiqua"/>
          <w:sz w:val="24"/>
          <w:szCs w:val="24"/>
          <w:lang w:val="en-US"/>
        </w:rPr>
        <w:t>’</w:t>
      </w:r>
      <w:r w:rsidRPr="00CE02BD">
        <w:rPr>
          <w:rFonts w:ascii="Book Antiqua" w:hAnsi="Book Antiqua"/>
          <w:sz w:val="24"/>
          <w:szCs w:val="24"/>
          <w:lang w:val="en-US"/>
        </w:rPr>
        <w:t xml:space="preserve"> has been studied and applied thoroughly in chronic diseases, such as diabetes or rheumatoid arthritis for several years</w:t>
      </w:r>
      <w:r w:rsidR="00E51B2F" w:rsidRPr="00CE02BD">
        <w:rPr>
          <w:rFonts w:ascii="Book Antiqua" w:hAnsi="Book Antiqua"/>
          <w:sz w:val="24"/>
          <w:szCs w:val="24"/>
          <w:lang w:val="en-US"/>
        </w:rPr>
        <w:t xml:space="preserve"> and resulted in improved outcomes</w:t>
      </w:r>
      <w:r w:rsidRPr="00CE02BD">
        <w:rPr>
          <w:rFonts w:ascii="Book Antiqua" w:hAnsi="Book Antiqua"/>
          <w:sz w:val="24"/>
          <w:szCs w:val="24"/>
          <w:lang w:val="en-US"/>
        </w:rPr>
        <w:t xml:space="preserve">. For IBD patients, this concept </w:t>
      </w:r>
      <w:r w:rsidR="00483997" w:rsidRPr="00CE02BD">
        <w:rPr>
          <w:rFonts w:ascii="Book Antiqua" w:hAnsi="Book Antiqua"/>
          <w:sz w:val="24"/>
          <w:szCs w:val="24"/>
          <w:lang w:val="en-US"/>
        </w:rPr>
        <w:t>originated</w:t>
      </w:r>
      <w:r w:rsidRPr="00CE02BD">
        <w:rPr>
          <w:rFonts w:ascii="Book Antiqua" w:hAnsi="Book Antiqua"/>
          <w:sz w:val="24"/>
          <w:szCs w:val="24"/>
          <w:lang w:val="en-US"/>
        </w:rPr>
        <w:t xml:space="preserve"> from the observation that </w:t>
      </w:r>
      <w:r w:rsidR="00483997" w:rsidRPr="00CE02BD">
        <w:rPr>
          <w:rFonts w:ascii="Book Antiqua" w:hAnsi="Book Antiqua"/>
          <w:sz w:val="24"/>
          <w:szCs w:val="24"/>
          <w:lang w:val="en-US"/>
        </w:rPr>
        <w:t xml:space="preserve">current symptom oriented </w:t>
      </w:r>
      <w:r w:rsidRPr="00CE02BD">
        <w:rPr>
          <w:rFonts w:ascii="Book Antiqua" w:hAnsi="Book Antiqua"/>
          <w:sz w:val="24"/>
          <w:szCs w:val="24"/>
          <w:lang w:val="en-US"/>
        </w:rPr>
        <w:t>therapeutic strategies failed to</w:t>
      </w:r>
      <w:r w:rsidR="00483997" w:rsidRPr="00CE02BD">
        <w:rPr>
          <w:rFonts w:ascii="Book Antiqua" w:hAnsi="Book Antiqua"/>
          <w:sz w:val="24"/>
          <w:szCs w:val="24"/>
          <w:lang w:val="en-US"/>
        </w:rPr>
        <w:t xml:space="preserve"> </w:t>
      </w:r>
      <w:r w:rsidRPr="00CE02BD">
        <w:rPr>
          <w:rFonts w:ascii="Book Antiqua" w:hAnsi="Book Antiqua"/>
          <w:sz w:val="24"/>
          <w:szCs w:val="24"/>
          <w:lang w:val="en-US"/>
        </w:rPr>
        <w:t xml:space="preserve">alter </w:t>
      </w:r>
      <w:r w:rsidR="00483997" w:rsidRPr="00CE02BD">
        <w:rPr>
          <w:rFonts w:ascii="Book Antiqua" w:hAnsi="Book Antiqua"/>
          <w:sz w:val="24"/>
          <w:szCs w:val="24"/>
          <w:lang w:val="en-US"/>
        </w:rPr>
        <w:t xml:space="preserve">the natural </w:t>
      </w:r>
      <w:r w:rsidRPr="00CE02BD">
        <w:rPr>
          <w:rFonts w:ascii="Book Antiqua" w:hAnsi="Book Antiqua"/>
          <w:sz w:val="24"/>
          <w:szCs w:val="24"/>
          <w:lang w:val="en-US"/>
        </w:rPr>
        <w:t xml:space="preserve">progression of </w:t>
      </w:r>
      <w:r w:rsidR="00483997" w:rsidRPr="00CE02BD">
        <w:rPr>
          <w:rFonts w:ascii="Book Antiqua" w:hAnsi="Book Antiqua"/>
          <w:sz w:val="24"/>
          <w:szCs w:val="24"/>
          <w:lang w:val="en-US"/>
        </w:rPr>
        <w:t>IBD according to the results of many population-based studies, even though immunosuppressives and biological</w:t>
      </w:r>
      <w:r w:rsidR="00D05F9A" w:rsidRPr="00CE02BD">
        <w:rPr>
          <w:rFonts w:ascii="Book Antiqua" w:hAnsi="Book Antiqua"/>
          <w:sz w:val="24"/>
          <w:szCs w:val="24"/>
          <w:lang w:val="en-US"/>
        </w:rPr>
        <w:t>s</w:t>
      </w:r>
      <w:r w:rsidR="00483997" w:rsidRPr="00CE02BD">
        <w:rPr>
          <w:rFonts w:ascii="Book Antiqua" w:hAnsi="Book Antiqua"/>
          <w:sz w:val="24"/>
          <w:szCs w:val="24"/>
          <w:lang w:val="en-US"/>
        </w:rPr>
        <w:t xml:space="preserve"> have been </w:t>
      </w:r>
      <w:proofErr w:type="gramStart"/>
      <w:r w:rsidR="00483997" w:rsidRPr="00CE02BD">
        <w:rPr>
          <w:rFonts w:ascii="Book Antiqua" w:hAnsi="Book Antiqua"/>
          <w:sz w:val="24"/>
          <w:szCs w:val="24"/>
          <w:lang w:val="en-US"/>
        </w:rPr>
        <w:t>introduced</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2-5,19-21]</w:t>
      </w:r>
      <w:r w:rsidR="00772F70" w:rsidRPr="00CE02BD">
        <w:rPr>
          <w:rFonts w:ascii="Book Antiqua" w:hAnsi="Book Antiqua"/>
          <w:sz w:val="24"/>
          <w:szCs w:val="24"/>
          <w:lang w:val="en-US"/>
        </w:rPr>
        <w:t>.</w:t>
      </w:r>
      <w:r w:rsidR="006D666D" w:rsidRPr="00CE02BD">
        <w:rPr>
          <w:rFonts w:ascii="Book Antiqua" w:hAnsi="Book Antiqua"/>
          <w:sz w:val="24"/>
          <w:szCs w:val="24"/>
          <w:vertAlign w:val="superscript"/>
          <w:lang w:val="en-US"/>
        </w:rPr>
        <w:t xml:space="preserve"> </w:t>
      </w:r>
      <w:r w:rsidR="00483997" w:rsidRPr="00CE02BD">
        <w:rPr>
          <w:rFonts w:ascii="Book Antiqua" w:hAnsi="Book Antiqua"/>
          <w:sz w:val="24"/>
          <w:szCs w:val="24"/>
          <w:lang w:val="en-US"/>
        </w:rPr>
        <w:t>This could at least partly be the results of the frequent and widely acknowledged discordance</w:t>
      </w:r>
      <w:r w:rsidR="006D666D" w:rsidRPr="00CE02BD">
        <w:rPr>
          <w:rFonts w:ascii="Book Antiqua" w:hAnsi="Book Antiqua"/>
          <w:sz w:val="24"/>
          <w:szCs w:val="24"/>
          <w:lang w:val="en-US"/>
        </w:rPr>
        <w:t xml:space="preserve"> </w:t>
      </w:r>
      <w:r w:rsidR="00483997" w:rsidRPr="00CE02BD">
        <w:rPr>
          <w:rFonts w:ascii="Book Antiqua" w:hAnsi="Book Antiqua"/>
          <w:sz w:val="24"/>
          <w:szCs w:val="24"/>
          <w:lang w:val="en-US"/>
        </w:rPr>
        <w:t>between symptoms and objective measures of disease activity</w:t>
      </w:r>
      <w:r w:rsidR="006D666D" w:rsidRPr="00CE02BD">
        <w:rPr>
          <w:rFonts w:ascii="Book Antiqua" w:hAnsi="Book Antiqua"/>
          <w:sz w:val="24"/>
          <w:szCs w:val="24"/>
          <w:lang w:val="en-US"/>
        </w:rPr>
        <w:t xml:space="preserve">, especially </w:t>
      </w:r>
      <w:r w:rsidR="006D666D" w:rsidRPr="00CE02BD">
        <w:rPr>
          <w:rFonts w:ascii="Book Antiqua" w:hAnsi="Book Antiqua"/>
          <w:sz w:val="24"/>
          <w:szCs w:val="24"/>
          <w:lang w:val="en-US"/>
        </w:rPr>
        <w:lastRenderedPageBreak/>
        <w:t>in CD</w:t>
      </w:r>
      <w:r w:rsidR="00483997" w:rsidRPr="00CE02BD">
        <w:rPr>
          <w:rFonts w:ascii="Book Antiqua" w:hAnsi="Book Antiqua"/>
          <w:sz w:val="24"/>
          <w:szCs w:val="24"/>
          <w:lang w:val="en-US"/>
        </w:rPr>
        <w:t>.</w:t>
      </w:r>
      <w:r w:rsidR="006D666D" w:rsidRPr="00CE02BD">
        <w:rPr>
          <w:rFonts w:ascii="Book Antiqua" w:hAnsi="Book Antiqua"/>
          <w:sz w:val="24"/>
          <w:szCs w:val="24"/>
          <w:lang w:val="en-US"/>
        </w:rPr>
        <w:t xml:space="preserve"> </w:t>
      </w:r>
      <w:r w:rsidRPr="00CE02BD">
        <w:rPr>
          <w:rFonts w:ascii="Book Antiqua" w:hAnsi="Book Antiqua"/>
          <w:sz w:val="24"/>
          <w:szCs w:val="24"/>
          <w:lang w:val="en-US"/>
        </w:rPr>
        <w:t>In a post-hoc an</w:t>
      </w:r>
      <w:r w:rsidR="006D666D" w:rsidRPr="00CE02BD">
        <w:rPr>
          <w:rFonts w:ascii="Book Antiqua" w:hAnsi="Book Antiqua"/>
          <w:sz w:val="24"/>
          <w:szCs w:val="24"/>
          <w:lang w:val="en-US"/>
        </w:rPr>
        <w:t xml:space="preserve">alysis of </w:t>
      </w:r>
      <w:r w:rsidRPr="00CE02BD">
        <w:rPr>
          <w:rFonts w:ascii="Book Antiqua" w:hAnsi="Book Antiqua"/>
          <w:sz w:val="24"/>
          <w:szCs w:val="24"/>
          <w:lang w:val="en-US"/>
        </w:rPr>
        <w:t>the SONIC</w:t>
      </w:r>
      <w:r w:rsidR="006D666D" w:rsidRPr="00CE02BD">
        <w:rPr>
          <w:rFonts w:ascii="Book Antiqua" w:hAnsi="Book Antiqua"/>
          <w:sz w:val="24"/>
          <w:szCs w:val="24"/>
          <w:lang w:val="en-US"/>
        </w:rPr>
        <w:t xml:space="preserve"> trial, half of the patients who were in clinical remission had evidence of residual disease activity, based on endoscopic assessment or C-reactive protein (CRP) measurement, </w:t>
      </w:r>
      <w:r w:rsidR="006D666D" w:rsidRPr="00CE02BD">
        <w:rPr>
          <w:rFonts w:ascii="Book Antiqua" w:hAnsi="Book Antiqua"/>
          <w:color w:val="000000" w:themeColor="text1"/>
          <w:sz w:val="24"/>
          <w:szCs w:val="24"/>
          <w:lang w:val="en-US"/>
        </w:rPr>
        <w:t>whereas other patients with endoscopic and CRP normalization still had persistent clinical symptoms</w:t>
      </w:r>
      <w:r w:rsidR="000F1138" w:rsidRPr="00CE02BD">
        <w:rPr>
          <w:rFonts w:ascii="Book Antiqua" w:hAnsi="Book Antiqua"/>
          <w:sz w:val="24"/>
          <w:szCs w:val="24"/>
          <w:vertAlign w:val="superscript"/>
          <w:lang w:val="en-US"/>
        </w:rPr>
        <w:t>[22]</w:t>
      </w:r>
      <w:r w:rsidR="006D666D" w:rsidRPr="00CE02BD">
        <w:rPr>
          <w:rFonts w:ascii="Book Antiqua" w:hAnsi="Book Antiqua"/>
          <w:color w:val="000000" w:themeColor="text1"/>
          <w:sz w:val="24"/>
          <w:szCs w:val="24"/>
          <w:lang w:val="en-US"/>
        </w:rPr>
        <w:t>.</w:t>
      </w:r>
      <w:bookmarkStart w:id="62" w:name="_Ref17395952"/>
      <w:r w:rsidR="00413629" w:rsidRPr="00CE02BD">
        <w:rPr>
          <w:rFonts w:ascii="Book Antiqua" w:hAnsi="Book Antiqua"/>
          <w:sz w:val="24"/>
          <w:szCs w:val="24"/>
          <w:vertAlign w:val="superscript"/>
          <w:lang w:val="en-US"/>
        </w:rPr>
        <w:t xml:space="preserve"> </w:t>
      </w:r>
      <w:bookmarkEnd w:id="62"/>
      <w:r w:rsidR="006D666D" w:rsidRPr="00CE02BD">
        <w:rPr>
          <w:rFonts w:ascii="Book Antiqua" w:hAnsi="Book Antiqua"/>
          <w:color w:val="000000" w:themeColor="text1"/>
          <w:sz w:val="24"/>
          <w:szCs w:val="24"/>
          <w:lang w:val="en-US"/>
        </w:rPr>
        <w:t>In the case of UC, symptoms usually correlate better with endoscopic activity</w:t>
      </w:r>
      <w:r w:rsidR="003C75C5" w:rsidRPr="00CE02BD">
        <w:rPr>
          <w:rFonts w:ascii="Book Antiqua" w:hAnsi="Book Antiqua"/>
          <w:color w:val="000000" w:themeColor="text1"/>
          <w:sz w:val="24"/>
          <w:szCs w:val="24"/>
          <w:lang w:val="en-US"/>
        </w:rPr>
        <w:t xml:space="preserve"> compared to CD, although a significant proportion</w:t>
      </w:r>
      <w:r w:rsidR="006D666D" w:rsidRPr="00CE02BD">
        <w:rPr>
          <w:rFonts w:ascii="Book Antiqua" w:hAnsi="Book Antiqua"/>
          <w:color w:val="000000" w:themeColor="text1"/>
          <w:sz w:val="24"/>
          <w:szCs w:val="24"/>
          <w:lang w:val="en-US"/>
        </w:rPr>
        <w:t xml:space="preserve"> of</w:t>
      </w:r>
      <w:r w:rsidR="003C75C5" w:rsidRPr="00CE02BD">
        <w:rPr>
          <w:rFonts w:ascii="Book Antiqua" w:hAnsi="Book Antiqua"/>
          <w:color w:val="000000" w:themeColor="text1"/>
          <w:sz w:val="24"/>
          <w:szCs w:val="24"/>
          <w:lang w:val="en-US"/>
        </w:rPr>
        <w:t xml:space="preserve"> </w:t>
      </w:r>
      <w:r w:rsidR="006D666D" w:rsidRPr="00CE02BD">
        <w:rPr>
          <w:rFonts w:ascii="Book Antiqua" w:hAnsi="Book Antiqua"/>
          <w:color w:val="000000" w:themeColor="text1"/>
          <w:sz w:val="24"/>
          <w:szCs w:val="24"/>
          <w:lang w:val="en-US"/>
        </w:rPr>
        <w:t>patients in clinical remission still have endoscopic</w:t>
      </w:r>
      <w:r w:rsidR="003C75C5" w:rsidRPr="00CE02BD">
        <w:rPr>
          <w:rFonts w:ascii="Book Antiqua" w:hAnsi="Book Antiqua"/>
          <w:color w:val="000000" w:themeColor="text1"/>
          <w:sz w:val="24"/>
          <w:szCs w:val="24"/>
          <w:lang w:val="en-US"/>
        </w:rPr>
        <w:t xml:space="preserve"> activity and the</w:t>
      </w:r>
      <w:r w:rsidR="006D666D" w:rsidRPr="00CE02BD">
        <w:rPr>
          <w:rFonts w:ascii="Book Antiqua" w:hAnsi="Book Antiqua"/>
          <w:color w:val="000000" w:themeColor="text1"/>
          <w:sz w:val="24"/>
          <w:szCs w:val="24"/>
          <w:lang w:val="en-US"/>
        </w:rPr>
        <w:t xml:space="preserve"> normalization of</w:t>
      </w:r>
      <w:r w:rsidR="003C75C5" w:rsidRPr="00CE02BD">
        <w:rPr>
          <w:rFonts w:ascii="Book Antiqua" w:hAnsi="Book Antiqua"/>
          <w:color w:val="000000" w:themeColor="text1"/>
          <w:sz w:val="24"/>
          <w:szCs w:val="24"/>
          <w:lang w:val="en-US"/>
        </w:rPr>
        <w:t xml:space="preserve"> stool frequency does</w:t>
      </w:r>
      <w:r w:rsidR="006D666D" w:rsidRPr="00CE02BD">
        <w:rPr>
          <w:rFonts w:ascii="Book Antiqua" w:hAnsi="Book Antiqua"/>
          <w:color w:val="000000" w:themeColor="text1"/>
          <w:sz w:val="24"/>
          <w:szCs w:val="24"/>
          <w:lang w:val="en-US"/>
        </w:rPr>
        <w:t xml:space="preserve"> not always </w:t>
      </w:r>
      <w:r w:rsidR="003C75C5" w:rsidRPr="00CE02BD">
        <w:rPr>
          <w:rFonts w:ascii="Book Antiqua" w:hAnsi="Book Antiqua"/>
          <w:color w:val="000000" w:themeColor="text1"/>
          <w:sz w:val="24"/>
          <w:szCs w:val="24"/>
          <w:lang w:val="en-US"/>
        </w:rPr>
        <w:t xml:space="preserve">follow </w:t>
      </w:r>
      <w:r w:rsidR="006D666D" w:rsidRPr="00CE02BD">
        <w:rPr>
          <w:rFonts w:ascii="Book Antiqua" w:hAnsi="Book Antiqua"/>
          <w:color w:val="000000" w:themeColor="text1"/>
          <w:sz w:val="24"/>
          <w:szCs w:val="24"/>
          <w:lang w:val="en-US"/>
        </w:rPr>
        <w:t xml:space="preserve">endoscopic </w:t>
      </w:r>
      <w:proofErr w:type="gramStart"/>
      <w:r w:rsidR="006D666D" w:rsidRPr="00CE02BD">
        <w:rPr>
          <w:rFonts w:ascii="Book Antiqua" w:hAnsi="Book Antiqua"/>
          <w:color w:val="000000" w:themeColor="text1"/>
          <w:sz w:val="24"/>
          <w:szCs w:val="24"/>
          <w:lang w:val="en-US"/>
        </w:rPr>
        <w:t>healing</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23]</w:t>
      </w:r>
      <w:r w:rsidR="006D666D" w:rsidRPr="00CE02BD">
        <w:rPr>
          <w:rFonts w:ascii="Book Antiqua" w:hAnsi="Book Antiqua"/>
          <w:color w:val="000000" w:themeColor="text1"/>
          <w:sz w:val="24"/>
          <w:szCs w:val="24"/>
          <w:lang w:val="en-US"/>
        </w:rPr>
        <w:t>.</w:t>
      </w:r>
      <w:r w:rsidR="008949E4" w:rsidRPr="00CE02BD">
        <w:rPr>
          <w:rFonts w:ascii="Book Antiqua" w:hAnsi="Book Antiqua"/>
          <w:color w:val="000000" w:themeColor="text1"/>
          <w:sz w:val="24"/>
          <w:szCs w:val="24"/>
          <w:lang w:val="en-US"/>
        </w:rPr>
        <w:t xml:space="preserve"> Switching the therapeutic endpoints from clinical remission to endoscopic healing has been incre</w:t>
      </w:r>
      <w:r w:rsidR="008949E4" w:rsidRPr="00CE02BD">
        <w:rPr>
          <w:rFonts w:ascii="Book Antiqua" w:hAnsi="Book Antiqua"/>
          <w:sz w:val="24"/>
          <w:szCs w:val="24"/>
          <w:lang w:val="en-US"/>
        </w:rPr>
        <w:t xml:space="preserve">asingly supported by post-hoc analyses of </w:t>
      </w:r>
      <w:r w:rsidR="00E4533A" w:rsidRPr="00CE02BD">
        <w:rPr>
          <w:rFonts w:ascii="Book Antiqua" w:hAnsi="Book Antiqua"/>
          <w:sz w:val="24"/>
          <w:szCs w:val="24"/>
          <w:lang w:val="en-US"/>
        </w:rPr>
        <w:t>pivotal clinical trials.</w:t>
      </w:r>
      <w:r w:rsidR="007D2B43" w:rsidRPr="00CE02BD">
        <w:rPr>
          <w:rFonts w:ascii="Book Antiqua" w:hAnsi="Book Antiqua"/>
          <w:sz w:val="24"/>
          <w:szCs w:val="24"/>
          <w:lang w:val="en-US"/>
        </w:rPr>
        <w:t xml:space="preserve"> Achieving mucosal healing was shown to predict long-term steroid </w:t>
      </w:r>
      <w:r w:rsidR="00852770" w:rsidRPr="00CE02BD">
        <w:rPr>
          <w:rFonts w:ascii="Book Antiqua" w:hAnsi="Book Antiqua"/>
          <w:sz w:val="24"/>
          <w:szCs w:val="24"/>
          <w:lang w:val="en-US"/>
        </w:rPr>
        <w:t xml:space="preserve">free remission and better outcomes in terms of surgical and hospitalization </w:t>
      </w:r>
      <w:proofErr w:type="gramStart"/>
      <w:r w:rsidR="00852770" w:rsidRPr="00CE02BD">
        <w:rPr>
          <w:rFonts w:ascii="Book Antiqua" w:hAnsi="Book Antiqua"/>
          <w:sz w:val="24"/>
          <w:szCs w:val="24"/>
          <w:lang w:val="en-US"/>
        </w:rPr>
        <w:t>requirements</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10,24-27]</w:t>
      </w:r>
      <w:r w:rsidR="00852770" w:rsidRPr="00CE02BD">
        <w:rPr>
          <w:rFonts w:ascii="Book Antiqua" w:hAnsi="Book Antiqua"/>
          <w:sz w:val="24"/>
          <w:szCs w:val="24"/>
          <w:lang w:val="en-US"/>
        </w:rPr>
        <w:t>.</w:t>
      </w:r>
    </w:p>
    <w:p w14:paraId="286B984E" w14:textId="6EF2165B" w:rsidR="006D666D" w:rsidRPr="00CE02BD" w:rsidRDefault="008D6775" w:rsidP="00583505">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The treat-to-</w:t>
      </w:r>
      <w:r w:rsidR="00217AE7" w:rsidRPr="00CE02BD">
        <w:rPr>
          <w:rFonts w:ascii="Book Antiqua" w:hAnsi="Book Antiqua"/>
          <w:sz w:val="24"/>
          <w:szCs w:val="24"/>
          <w:lang w:val="en-US"/>
        </w:rPr>
        <w:t xml:space="preserve">target concept in IBD was developed by the </w:t>
      </w:r>
      <w:r w:rsidR="00FF50AF" w:rsidRPr="00CE02BD">
        <w:rPr>
          <w:rFonts w:ascii="Book Antiqua" w:hAnsi="Book Antiqua"/>
          <w:sz w:val="24"/>
          <w:szCs w:val="24"/>
          <w:lang w:val="en-US"/>
        </w:rPr>
        <w:t>selecting therapeutic targets in inflammatory bowel disease</w:t>
      </w:r>
      <w:r w:rsidR="00217AE7" w:rsidRPr="00CE02BD">
        <w:rPr>
          <w:rFonts w:ascii="Book Antiqua" w:hAnsi="Book Antiqua"/>
          <w:sz w:val="24"/>
          <w:szCs w:val="24"/>
          <w:lang w:val="en-US"/>
        </w:rPr>
        <w:t xml:space="preserve"> (STRIDE) committee, a group of international IBD experts established by the International Organization for the Study of </w:t>
      </w:r>
      <w:r w:rsidR="000E27AB" w:rsidRPr="00CE02BD">
        <w:rPr>
          <w:rFonts w:ascii="Book Antiqua" w:hAnsi="Book Antiqua"/>
          <w:sz w:val="24"/>
          <w:szCs w:val="24"/>
          <w:lang w:val="en-US"/>
        </w:rPr>
        <w:t>Inflammatory Bowel Diseases</w:t>
      </w:r>
      <w:r w:rsidR="00217AE7" w:rsidRPr="00CE02BD">
        <w:rPr>
          <w:rFonts w:ascii="Book Antiqua" w:hAnsi="Book Antiqua"/>
          <w:sz w:val="24"/>
          <w:szCs w:val="24"/>
          <w:lang w:val="en-US"/>
        </w:rPr>
        <w:t xml:space="preserve"> in </w:t>
      </w:r>
      <w:r w:rsidRPr="00CE02BD">
        <w:rPr>
          <w:rFonts w:ascii="Book Antiqua" w:hAnsi="Book Antiqua"/>
          <w:sz w:val="24"/>
          <w:szCs w:val="24"/>
          <w:lang w:val="en-US"/>
        </w:rPr>
        <w:t>2015. The treat-to-</w:t>
      </w:r>
      <w:r w:rsidR="00217AE7" w:rsidRPr="00CE02BD">
        <w:rPr>
          <w:rFonts w:ascii="Book Antiqua" w:hAnsi="Book Antiqua"/>
          <w:sz w:val="24"/>
          <w:szCs w:val="24"/>
          <w:lang w:val="en-US"/>
        </w:rPr>
        <w:t>target implies the ident</w:t>
      </w:r>
      <w:r w:rsidR="00BE6261" w:rsidRPr="00CE02BD">
        <w:rPr>
          <w:rFonts w:ascii="Book Antiqua" w:hAnsi="Book Antiqua"/>
          <w:sz w:val="24"/>
          <w:szCs w:val="24"/>
          <w:lang w:val="en-US"/>
        </w:rPr>
        <w:t>ification of a predefined goal</w:t>
      </w:r>
      <w:r w:rsidR="00217AE7" w:rsidRPr="00CE02BD">
        <w:rPr>
          <w:rFonts w:ascii="Book Antiqua" w:hAnsi="Book Antiqua"/>
          <w:sz w:val="24"/>
          <w:szCs w:val="24"/>
          <w:lang w:val="en-US"/>
        </w:rPr>
        <w:t xml:space="preserve"> in the context of the patient’s individual needs to be achieved by the therapy, followed by regular monitoring and treatment optimization if needed, until this goal is achieved. </w:t>
      </w:r>
      <w:r w:rsidR="002A4917" w:rsidRPr="00CE02BD">
        <w:rPr>
          <w:rFonts w:ascii="Book Antiqua" w:hAnsi="Book Antiqua"/>
          <w:sz w:val="24"/>
          <w:szCs w:val="24"/>
          <w:lang w:val="en-US"/>
        </w:rPr>
        <w:t xml:space="preserve">The definition of recommended treatment targets </w:t>
      </w:r>
      <w:r w:rsidR="004808BB" w:rsidRPr="00CE02BD">
        <w:rPr>
          <w:rFonts w:ascii="Book Antiqua" w:hAnsi="Book Antiqua"/>
          <w:sz w:val="24"/>
          <w:szCs w:val="24"/>
          <w:lang w:val="en-US"/>
        </w:rPr>
        <w:t>were performed based on</w:t>
      </w:r>
      <w:r w:rsidR="002A4917" w:rsidRPr="00CE02BD">
        <w:rPr>
          <w:rFonts w:ascii="Book Antiqua" w:hAnsi="Book Antiqua"/>
          <w:sz w:val="24"/>
          <w:szCs w:val="24"/>
          <w:lang w:val="en-US"/>
        </w:rPr>
        <w:t xml:space="preserve"> an evidence-based expert consensus </w:t>
      </w:r>
      <w:proofErr w:type="gramStart"/>
      <w:r w:rsidR="002A4917" w:rsidRPr="00CE02BD">
        <w:rPr>
          <w:rFonts w:ascii="Book Antiqua" w:hAnsi="Book Antiqua"/>
          <w:sz w:val="24"/>
          <w:szCs w:val="24"/>
          <w:lang w:val="en-US"/>
        </w:rPr>
        <w:t>process</w:t>
      </w:r>
      <w:bookmarkStart w:id="63" w:name="_Ref17368677"/>
      <w:r w:rsidR="000F1138" w:rsidRPr="00CE02BD">
        <w:rPr>
          <w:rFonts w:ascii="Book Antiqua" w:hAnsi="Book Antiqua"/>
          <w:sz w:val="24"/>
          <w:szCs w:val="24"/>
          <w:vertAlign w:val="superscript"/>
          <w:lang w:val="en-US"/>
        </w:rPr>
        <w:t>[</w:t>
      </w:r>
      <w:bookmarkEnd w:id="63"/>
      <w:proofErr w:type="gramEnd"/>
      <w:r w:rsidR="000F1138" w:rsidRPr="00CE02BD">
        <w:rPr>
          <w:rFonts w:ascii="Book Antiqua" w:hAnsi="Book Antiqua"/>
          <w:sz w:val="24"/>
          <w:szCs w:val="24"/>
          <w:vertAlign w:val="superscript"/>
          <w:lang w:val="en-US"/>
        </w:rPr>
        <w:t>28]</w:t>
      </w:r>
      <w:r w:rsidR="00885E00" w:rsidRPr="00CE02BD">
        <w:rPr>
          <w:rFonts w:ascii="Book Antiqua" w:hAnsi="Book Antiqua"/>
          <w:sz w:val="24"/>
          <w:szCs w:val="24"/>
          <w:lang w:val="en-US"/>
        </w:rPr>
        <w:t>.</w:t>
      </w:r>
    </w:p>
    <w:p w14:paraId="74E323CE" w14:textId="0794ECF0" w:rsidR="00217AE7" w:rsidRPr="00CE02BD" w:rsidRDefault="00BE6261" w:rsidP="0058350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E02BD">
        <w:rPr>
          <w:rFonts w:ascii="Book Antiqua" w:hAnsi="Book Antiqua"/>
          <w:sz w:val="24"/>
          <w:szCs w:val="24"/>
          <w:lang w:val="en-US"/>
        </w:rPr>
        <w:t>In CD</w:t>
      </w:r>
      <w:r w:rsidR="008D6775" w:rsidRPr="00CE02BD">
        <w:rPr>
          <w:rFonts w:ascii="Book Antiqua" w:hAnsi="Book Antiqua"/>
          <w:color w:val="000000" w:themeColor="text1"/>
          <w:sz w:val="24"/>
          <w:szCs w:val="24"/>
          <w:lang w:val="en-US"/>
        </w:rPr>
        <w:t>, the treat-to-</w:t>
      </w:r>
      <w:r w:rsidRPr="00CE02BD">
        <w:rPr>
          <w:rFonts w:ascii="Book Antiqua" w:hAnsi="Book Antiqua"/>
          <w:color w:val="000000" w:themeColor="text1"/>
          <w:sz w:val="24"/>
          <w:szCs w:val="24"/>
          <w:lang w:val="en-US"/>
        </w:rPr>
        <w:t>target recommendations are composite endpoints of clinical (defined as resolution of abdominal pain and altered bowel habit) and endoscopic remission (defined as resolution of ulceration). For patients who could not be adequately assessed by ileocolonoscopy, resolution of inflammation based on cross-sectional imaging is the desired target.</w:t>
      </w:r>
      <w:r w:rsidR="009F2D24" w:rsidRPr="00CE02BD">
        <w:rPr>
          <w:rFonts w:ascii="Book Antiqua" w:hAnsi="Book Antiqua"/>
          <w:color w:val="000000" w:themeColor="text1"/>
          <w:sz w:val="24"/>
          <w:szCs w:val="24"/>
          <w:lang w:val="en-US"/>
        </w:rPr>
        <w:t xml:space="preserve"> The primary target recommendations for UC also consist of clinical (defined as resolution of rectal bleeding and normalisation of bowel habit) and endoscopic endpoints (</w:t>
      </w:r>
      <w:r w:rsidR="00885E00" w:rsidRPr="00CE02BD">
        <w:rPr>
          <w:rFonts w:ascii="Book Antiqua" w:hAnsi="Book Antiqua"/>
          <w:color w:val="000000" w:themeColor="text1"/>
          <w:sz w:val="24"/>
          <w:szCs w:val="24"/>
          <w:lang w:val="en-US"/>
        </w:rPr>
        <w:t>defined as resolution of friability and ulceration at flexible sigmoidoscopy or colonoscopy</w:t>
      </w:r>
      <w:r w:rsidR="009F2D24" w:rsidRPr="00CE02BD">
        <w:rPr>
          <w:rFonts w:ascii="Book Antiqua" w:hAnsi="Book Antiqua"/>
          <w:color w:val="000000" w:themeColor="text1"/>
          <w:sz w:val="24"/>
          <w:szCs w:val="24"/>
          <w:lang w:val="en-US"/>
        </w:rPr>
        <w:t>)</w:t>
      </w:r>
      <w:r w:rsidR="00885E00" w:rsidRPr="00CE02BD">
        <w:rPr>
          <w:rFonts w:ascii="Book Antiqua" w:hAnsi="Book Antiqua"/>
          <w:color w:val="000000" w:themeColor="text1"/>
          <w:sz w:val="24"/>
          <w:szCs w:val="24"/>
          <w:lang w:val="en-US"/>
        </w:rPr>
        <w:t xml:space="preserve">. </w:t>
      </w:r>
      <w:r w:rsidR="005852C9" w:rsidRPr="00CE02BD">
        <w:rPr>
          <w:rFonts w:ascii="Book Antiqua" w:hAnsi="Book Antiqua"/>
          <w:color w:val="000000" w:themeColor="text1"/>
          <w:sz w:val="24"/>
          <w:szCs w:val="24"/>
          <w:lang w:val="en-US"/>
        </w:rPr>
        <w:t>Biochemical t</w:t>
      </w:r>
      <w:r w:rsidR="00D374B3" w:rsidRPr="00CE02BD">
        <w:rPr>
          <w:rFonts w:ascii="Book Antiqua" w:hAnsi="Book Antiqua"/>
          <w:color w:val="000000" w:themeColor="text1"/>
          <w:sz w:val="24"/>
          <w:szCs w:val="24"/>
          <w:lang w:val="en-US"/>
        </w:rPr>
        <w:t xml:space="preserve">argets </w:t>
      </w:r>
      <w:r w:rsidR="00583505" w:rsidRPr="00CE02BD">
        <w:rPr>
          <w:rFonts w:ascii="Book Antiqua" w:hAnsi="Book Antiqua"/>
          <w:color w:val="000000" w:themeColor="text1"/>
          <w:sz w:val="24"/>
          <w:szCs w:val="24"/>
          <w:lang w:val="en-US"/>
        </w:rPr>
        <w:t>[</w:t>
      </w:r>
      <w:r w:rsidR="00D374B3" w:rsidRPr="00CE02BD">
        <w:rPr>
          <w:rFonts w:ascii="Book Antiqua" w:hAnsi="Book Antiqua"/>
          <w:color w:val="000000" w:themeColor="text1"/>
          <w:sz w:val="24"/>
          <w:szCs w:val="24"/>
          <w:lang w:val="en-US"/>
        </w:rPr>
        <w:t>CRP or fecal calprotectin (FCAL)</w:t>
      </w:r>
      <w:r w:rsidR="00583505" w:rsidRPr="00CE02BD">
        <w:rPr>
          <w:rFonts w:ascii="Book Antiqua" w:hAnsi="Book Antiqua"/>
          <w:color w:val="000000" w:themeColor="text1"/>
          <w:sz w:val="24"/>
          <w:szCs w:val="24"/>
          <w:lang w:val="en-US"/>
        </w:rPr>
        <w:t>]</w:t>
      </w:r>
      <w:r w:rsidR="005852C9" w:rsidRPr="00CE02BD">
        <w:rPr>
          <w:rFonts w:ascii="Book Antiqua" w:hAnsi="Book Antiqua"/>
          <w:color w:val="000000" w:themeColor="text1"/>
          <w:sz w:val="24"/>
          <w:szCs w:val="24"/>
          <w:lang w:val="en-US"/>
        </w:rPr>
        <w:t xml:space="preserve"> </w:t>
      </w:r>
      <w:r w:rsidR="00D374B3" w:rsidRPr="00CE02BD">
        <w:rPr>
          <w:rFonts w:ascii="Book Antiqua" w:hAnsi="Book Antiqua"/>
          <w:color w:val="000000" w:themeColor="text1"/>
          <w:sz w:val="24"/>
          <w:szCs w:val="24"/>
          <w:lang w:val="en-US"/>
        </w:rPr>
        <w:t xml:space="preserve">and histopathology </w:t>
      </w:r>
      <w:r w:rsidR="005852C9" w:rsidRPr="00CE02BD">
        <w:rPr>
          <w:rFonts w:ascii="Book Antiqua" w:hAnsi="Book Antiqua"/>
          <w:color w:val="000000" w:themeColor="text1"/>
          <w:sz w:val="24"/>
          <w:szCs w:val="24"/>
          <w:lang w:val="en-US"/>
        </w:rPr>
        <w:t>were not recommended</w:t>
      </w:r>
      <w:r w:rsidR="00D374B3" w:rsidRPr="00CE02BD">
        <w:rPr>
          <w:rFonts w:ascii="Book Antiqua" w:hAnsi="Book Antiqua"/>
          <w:color w:val="000000" w:themeColor="text1"/>
          <w:sz w:val="24"/>
          <w:szCs w:val="24"/>
          <w:lang w:val="en-US"/>
        </w:rPr>
        <w:t xml:space="preserve"> </w:t>
      </w:r>
      <w:r w:rsidR="005852C9" w:rsidRPr="00CE02BD">
        <w:rPr>
          <w:rFonts w:ascii="Book Antiqua" w:hAnsi="Book Antiqua"/>
          <w:color w:val="000000" w:themeColor="text1"/>
          <w:sz w:val="24"/>
          <w:szCs w:val="24"/>
          <w:lang w:val="en-US"/>
        </w:rPr>
        <w:t xml:space="preserve">as </w:t>
      </w:r>
      <w:r w:rsidR="00A64431" w:rsidRPr="00CE02BD">
        <w:rPr>
          <w:rFonts w:ascii="Book Antiqua" w:hAnsi="Book Antiqua"/>
          <w:color w:val="000000" w:themeColor="text1"/>
          <w:sz w:val="24"/>
          <w:szCs w:val="24"/>
          <w:lang w:val="en-US"/>
        </w:rPr>
        <w:t>adjunctive</w:t>
      </w:r>
      <w:r w:rsidR="005852C9" w:rsidRPr="00CE02BD">
        <w:rPr>
          <w:rFonts w:ascii="Book Antiqua" w:hAnsi="Book Antiqua"/>
          <w:color w:val="000000" w:themeColor="text1"/>
          <w:sz w:val="24"/>
          <w:szCs w:val="24"/>
          <w:lang w:val="en-US"/>
        </w:rPr>
        <w:t xml:space="preserve"> </w:t>
      </w:r>
      <w:r w:rsidR="00D374B3" w:rsidRPr="00CE02BD">
        <w:rPr>
          <w:rFonts w:ascii="Book Antiqua" w:hAnsi="Book Antiqua"/>
          <w:color w:val="000000" w:themeColor="text1"/>
          <w:sz w:val="24"/>
          <w:szCs w:val="24"/>
          <w:lang w:val="en-US"/>
        </w:rPr>
        <w:t>end</w:t>
      </w:r>
      <w:r w:rsidR="005852C9" w:rsidRPr="00CE02BD">
        <w:rPr>
          <w:rFonts w:ascii="Book Antiqua" w:hAnsi="Book Antiqua"/>
          <w:color w:val="000000" w:themeColor="text1"/>
          <w:sz w:val="24"/>
          <w:szCs w:val="24"/>
          <w:lang w:val="en-US"/>
        </w:rPr>
        <w:t>points</w:t>
      </w:r>
      <w:r w:rsidR="00D374B3" w:rsidRPr="00CE02BD">
        <w:rPr>
          <w:rFonts w:ascii="Book Antiqua" w:hAnsi="Book Antiqua"/>
          <w:color w:val="000000" w:themeColor="text1"/>
          <w:sz w:val="24"/>
          <w:szCs w:val="24"/>
          <w:lang w:val="en-US"/>
        </w:rPr>
        <w:t xml:space="preserve">. The use of biomarkers (CRP and FCAL) are recommended </w:t>
      </w:r>
      <w:r w:rsidR="005852C9" w:rsidRPr="00CE02BD">
        <w:rPr>
          <w:rFonts w:ascii="Book Antiqua" w:hAnsi="Book Antiqua"/>
          <w:color w:val="000000" w:themeColor="text1"/>
          <w:sz w:val="24"/>
          <w:szCs w:val="24"/>
          <w:lang w:val="en-US"/>
        </w:rPr>
        <w:t xml:space="preserve">in both CD and UC </w:t>
      </w:r>
      <w:r w:rsidR="00D374B3" w:rsidRPr="00CE02BD">
        <w:rPr>
          <w:rFonts w:ascii="Book Antiqua" w:hAnsi="Book Antiqua"/>
          <w:color w:val="000000" w:themeColor="text1"/>
          <w:sz w:val="24"/>
          <w:szCs w:val="24"/>
          <w:lang w:val="en-US"/>
        </w:rPr>
        <w:t>for disease monitoring, and</w:t>
      </w:r>
      <w:r w:rsidR="005852C9" w:rsidRPr="00CE02BD">
        <w:rPr>
          <w:rFonts w:ascii="Book Antiqua" w:hAnsi="Book Antiqua"/>
          <w:color w:val="000000" w:themeColor="text1"/>
          <w:sz w:val="24"/>
          <w:szCs w:val="24"/>
          <w:lang w:val="en-US"/>
        </w:rPr>
        <w:t xml:space="preserve"> </w:t>
      </w:r>
      <w:r w:rsidR="00D374B3" w:rsidRPr="00CE02BD">
        <w:rPr>
          <w:rFonts w:ascii="Book Antiqua" w:hAnsi="Book Antiqua"/>
          <w:color w:val="000000" w:themeColor="text1"/>
          <w:sz w:val="24"/>
          <w:szCs w:val="24"/>
          <w:lang w:val="en-US"/>
        </w:rPr>
        <w:t xml:space="preserve">persistent failure of normalization should </w:t>
      </w:r>
      <w:r w:rsidR="00D374B3" w:rsidRPr="00CE02BD">
        <w:rPr>
          <w:rFonts w:ascii="Book Antiqua" w:hAnsi="Book Antiqua"/>
          <w:color w:val="000000" w:themeColor="text1"/>
          <w:sz w:val="24"/>
          <w:szCs w:val="24"/>
          <w:lang w:val="en-US"/>
        </w:rPr>
        <w:lastRenderedPageBreak/>
        <w:t>prompt further endoscopic or radiologic evaluation</w:t>
      </w:r>
      <w:r w:rsidR="005852C9" w:rsidRPr="00CE02BD">
        <w:rPr>
          <w:rFonts w:ascii="Book Antiqua" w:hAnsi="Book Antiqua"/>
          <w:color w:val="000000" w:themeColor="text1"/>
          <w:sz w:val="24"/>
          <w:szCs w:val="24"/>
          <w:lang w:val="en-US"/>
        </w:rPr>
        <w:t>, regardless of symptom</w:t>
      </w:r>
      <w:r w:rsidR="00DD4861" w:rsidRPr="00CE02BD">
        <w:rPr>
          <w:rFonts w:ascii="Book Antiqua" w:hAnsi="Book Antiqua"/>
          <w:color w:val="000000" w:themeColor="text1"/>
          <w:sz w:val="24"/>
          <w:szCs w:val="24"/>
          <w:lang w:val="en-US"/>
        </w:rPr>
        <w:t>s.</w:t>
      </w:r>
      <w:r w:rsidR="00224699" w:rsidRPr="00CE02BD">
        <w:rPr>
          <w:rFonts w:ascii="Book Antiqua" w:hAnsi="Book Antiqua"/>
          <w:sz w:val="24"/>
          <w:szCs w:val="24"/>
        </w:rPr>
        <w:t xml:space="preserve"> </w:t>
      </w:r>
      <w:r w:rsidR="00224699" w:rsidRPr="00CE02BD">
        <w:rPr>
          <w:rFonts w:ascii="Book Antiqua" w:hAnsi="Book Antiqua"/>
          <w:color w:val="000000" w:themeColor="text1"/>
          <w:sz w:val="24"/>
          <w:szCs w:val="24"/>
          <w:lang w:val="en-US"/>
        </w:rPr>
        <w:t xml:space="preserve">Imaging modalities are considered </w:t>
      </w:r>
      <w:r w:rsidR="00A64431" w:rsidRPr="00CE02BD">
        <w:rPr>
          <w:rFonts w:ascii="Book Antiqua" w:hAnsi="Book Antiqua"/>
          <w:color w:val="000000" w:themeColor="text1"/>
          <w:sz w:val="24"/>
          <w:szCs w:val="24"/>
          <w:lang w:val="en-US"/>
        </w:rPr>
        <w:t>having</w:t>
      </w:r>
      <w:r w:rsidR="00224699" w:rsidRPr="00CE02BD">
        <w:rPr>
          <w:rFonts w:ascii="Book Antiqua" w:hAnsi="Book Antiqua"/>
          <w:color w:val="000000" w:themeColor="text1"/>
          <w:sz w:val="24"/>
          <w:szCs w:val="24"/>
          <w:lang w:val="en-US"/>
        </w:rPr>
        <w:t xml:space="preserve"> a complementary role to endoscopy in CD, and they are not recommended for disease assessment in </w:t>
      </w:r>
      <w:proofErr w:type="gramStart"/>
      <w:r w:rsidR="00224699" w:rsidRPr="00CE02BD">
        <w:rPr>
          <w:rFonts w:ascii="Book Antiqua" w:hAnsi="Book Antiqua"/>
          <w:color w:val="000000" w:themeColor="text1"/>
          <w:sz w:val="24"/>
          <w:szCs w:val="24"/>
          <w:lang w:val="en-US"/>
        </w:rPr>
        <w:t>UC</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28</w:t>
      </w:r>
      <w:r w:rsidR="000F1138" w:rsidRPr="00CE02BD">
        <w:rPr>
          <w:rFonts w:ascii="Book Antiqua" w:hAnsi="Book Antiqua"/>
          <w:sz w:val="24"/>
          <w:szCs w:val="24"/>
          <w:vertAlign w:val="superscript"/>
          <w:lang w:val="en-US"/>
        </w:rPr>
        <w:t>]</w:t>
      </w:r>
      <w:r w:rsidR="00224699" w:rsidRPr="00CE02BD">
        <w:rPr>
          <w:rFonts w:ascii="Book Antiqua" w:hAnsi="Book Antiqua"/>
          <w:color w:val="000000" w:themeColor="text1"/>
          <w:sz w:val="24"/>
          <w:szCs w:val="24"/>
          <w:lang w:val="en-US"/>
        </w:rPr>
        <w:t>.</w:t>
      </w:r>
    </w:p>
    <w:p w14:paraId="2BFB85E5" w14:textId="77777777" w:rsidR="00E11EA6" w:rsidRPr="00CE02BD" w:rsidRDefault="00E11EA6" w:rsidP="000F1138">
      <w:pPr>
        <w:adjustRightInd w:val="0"/>
        <w:snapToGrid w:val="0"/>
        <w:spacing w:after="0" w:line="360" w:lineRule="auto"/>
        <w:jc w:val="both"/>
        <w:rPr>
          <w:rFonts w:ascii="Book Antiqua" w:hAnsi="Book Antiqua"/>
          <w:sz w:val="24"/>
          <w:szCs w:val="24"/>
          <w:lang w:val="en-US"/>
        </w:rPr>
      </w:pPr>
    </w:p>
    <w:p w14:paraId="41E1BEB4" w14:textId="77525D4B" w:rsidR="00413629" w:rsidRPr="00CE02BD" w:rsidRDefault="00413629"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INSTRUMENTS OF TIGHT CONTROL IN DISEASE MONITORING</w:t>
      </w:r>
    </w:p>
    <w:p w14:paraId="170B7A66" w14:textId="47A81AC5" w:rsidR="00E11EA6" w:rsidRPr="00CE02BD" w:rsidRDefault="00E11EA6"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At the time of </w:t>
      </w:r>
      <w:r w:rsidR="00A64431" w:rsidRPr="00CE02BD">
        <w:rPr>
          <w:rFonts w:ascii="Book Antiqua" w:hAnsi="Book Antiqua"/>
          <w:sz w:val="24"/>
          <w:szCs w:val="24"/>
          <w:lang w:val="en-US"/>
        </w:rPr>
        <w:t xml:space="preserve">the development of STRIDE, </w:t>
      </w:r>
      <w:r w:rsidRPr="00CE02BD">
        <w:rPr>
          <w:rFonts w:ascii="Book Antiqua" w:hAnsi="Book Antiqua"/>
          <w:sz w:val="24"/>
          <w:szCs w:val="24"/>
          <w:lang w:val="en-US"/>
        </w:rPr>
        <w:t xml:space="preserve">supporting evidence for </w:t>
      </w:r>
      <w:r w:rsidR="00A64431" w:rsidRPr="00CE02BD">
        <w:rPr>
          <w:rFonts w:ascii="Book Antiqua" w:hAnsi="Book Antiqua"/>
          <w:sz w:val="24"/>
          <w:szCs w:val="24"/>
          <w:lang w:val="en-US"/>
        </w:rPr>
        <w:t>target recommendations</w:t>
      </w:r>
      <w:r w:rsidRPr="00CE02BD">
        <w:rPr>
          <w:rFonts w:ascii="Book Antiqua" w:hAnsi="Book Antiqua"/>
          <w:sz w:val="24"/>
          <w:szCs w:val="24"/>
          <w:lang w:val="en-US"/>
        </w:rPr>
        <w:t xml:space="preserve"> were available only from retrospective studies and post-hoc analyses of randomized clinical trials. Emerging prospec</w:t>
      </w:r>
      <w:r w:rsidR="00A64431" w:rsidRPr="00CE02BD">
        <w:rPr>
          <w:rFonts w:ascii="Book Antiqua" w:hAnsi="Book Antiqua"/>
          <w:sz w:val="24"/>
          <w:szCs w:val="24"/>
          <w:lang w:val="en-US"/>
        </w:rPr>
        <w:t xml:space="preserve">tive and clinical trial data with </w:t>
      </w:r>
      <w:r w:rsidRPr="00CE02BD">
        <w:rPr>
          <w:rFonts w:ascii="Book Antiqua" w:hAnsi="Book Antiqua"/>
          <w:sz w:val="24"/>
          <w:szCs w:val="24"/>
          <w:lang w:val="en-US"/>
        </w:rPr>
        <w:t xml:space="preserve">long-term outcomes </w:t>
      </w:r>
      <w:r w:rsidR="008D6775" w:rsidRPr="00CE02BD">
        <w:rPr>
          <w:rFonts w:ascii="Book Antiqua" w:hAnsi="Book Antiqua"/>
          <w:sz w:val="24"/>
          <w:szCs w:val="24"/>
          <w:lang w:val="en-US"/>
        </w:rPr>
        <w:t>of the application of the treat-to-t</w:t>
      </w:r>
      <w:r w:rsidRPr="00CE02BD">
        <w:rPr>
          <w:rFonts w:ascii="Book Antiqua" w:hAnsi="Book Antiqua"/>
          <w:sz w:val="24"/>
          <w:szCs w:val="24"/>
          <w:lang w:val="en-US"/>
        </w:rPr>
        <w:t>arget concept have been</w:t>
      </w:r>
      <w:r w:rsidR="00A64431" w:rsidRPr="00CE02BD">
        <w:rPr>
          <w:rFonts w:ascii="Book Antiqua" w:hAnsi="Book Antiqua"/>
          <w:sz w:val="24"/>
          <w:szCs w:val="24"/>
          <w:lang w:val="en-US"/>
        </w:rPr>
        <w:t xml:space="preserve"> published, which will help further </w:t>
      </w:r>
      <w:r w:rsidR="008D6775" w:rsidRPr="00CE02BD">
        <w:rPr>
          <w:rFonts w:ascii="Book Antiqua" w:hAnsi="Book Antiqua"/>
          <w:sz w:val="24"/>
          <w:szCs w:val="24"/>
          <w:lang w:val="en-US"/>
        </w:rPr>
        <w:t>understanding of the treat-to-</w:t>
      </w:r>
      <w:r w:rsidRPr="00CE02BD">
        <w:rPr>
          <w:rFonts w:ascii="Book Antiqua" w:hAnsi="Book Antiqua"/>
          <w:sz w:val="24"/>
          <w:szCs w:val="24"/>
          <w:lang w:val="en-US"/>
        </w:rPr>
        <w:t>target approach and adjusting and optimizing the various targets in everyday clinical practice.</w:t>
      </w:r>
      <w:r w:rsidR="00201EC7" w:rsidRPr="00CE02BD">
        <w:rPr>
          <w:rFonts w:ascii="Book Antiqua" w:hAnsi="Book Antiqua"/>
          <w:sz w:val="24"/>
          <w:szCs w:val="24"/>
          <w:lang w:val="en-US"/>
        </w:rPr>
        <w:t xml:space="preserve"> </w:t>
      </w:r>
      <w:r w:rsidR="00D176A2" w:rsidRPr="00CE02BD">
        <w:rPr>
          <w:rFonts w:ascii="Book Antiqua" w:hAnsi="Book Antiqua"/>
          <w:sz w:val="24"/>
          <w:szCs w:val="24"/>
          <w:lang w:val="en-US"/>
        </w:rPr>
        <w:t xml:space="preserve">The importance of </w:t>
      </w:r>
      <w:r w:rsidRPr="00CE02BD">
        <w:rPr>
          <w:rFonts w:ascii="Book Antiqua" w:hAnsi="Book Antiqua"/>
          <w:sz w:val="24"/>
          <w:szCs w:val="24"/>
          <w:lang w:val="en-US"/>
        </w:rPr>
        <w:t xml:space="preserve">timely assessment </w:t>
      </w:r>
      <w:r w:rsidR="00D176A2" w:rsidRPr="00CE02BD">
        <w:rPr>
          <w:rFonts w:ascii="Book Antiqua" w:hAnsi="Book Antiqua"/>
          <w:sz w:val="24"/>
          <w:szCs w:val="24"/>
          <w:lang w:val="en-US"/>
        </w:rPr>
        <w:t>of disease activity has been clearly emphasized in the STRIDE</w:t>
      </w:r>
      <w:r w:rsidR="005B06A0" w:rsidRPr="00CE02BD">
        <w:rPr>
          <w:rFonts w:ascii="Book Antiqua" w:hAnsi="Book Antiqua"/>
          <w:sz w:val="24"/>
          <w:szCs w:val="24"/>
          <w:lang w:val="en-US"/>
        </w:rPr>
        <w:t xml:space="preserve"> creating the concept of ‘tight’ disease control</w:t>
      </w:r>
      <w:r w:rsidR="0028757C" w:rsidRPr="00CE02BD">
        <w:rPr>
          <w:rFonts w:ascii="Book Antiqua" w:hAnsi="Book Antiqua"/>
          <w:sz w:val="24"/>
          <w:szCs w:val="24"/>
          <w:lang w:val="en-US"/>
        </w:rPr>
        <w:t>. The CALM</w:t>
      </w:r>
      <w:r w:rsidR="00413629" w:rsidRPr="00CE02BD">
        <w:rPr>
          <w:rFonts w:ascii="Book Antiqua" w:hAnsi="Book Antiqua"/>
          <w:sz w:val="24"/>
          <w:szCs w:val="24"/>
          <w:vertAlign w:val="superscript"/>
          <w:lang w:val="en-US"/>
        </w:rPr>
        <w:t>[</w:t>
      </w:r>
      <w:r w:rsidR="00B02396" w:rsidRPr="00CE02BD">
        <w:rPr>
          <w:rFonts w:ascii="Book Antiqua" w:hAnsi="Book Antiqua"/>
          <w:sz w:val="24"/>
          <w:szCs w:val="24"/>
          <w:vertAlign w:val="superscript"/>
          <w:lang w:val="en-US"/>
        </w:rPr>
        <w:t>13</w:t>
      </w:r>
      <w:r w:rsidR="00413629" w:rsidRPr="00CE02BD">
        <w:rPr>
          <w:rFonts w:ascii="Book Antiqua" w:hAnsi="Book Antiqua"/>
          <w:sz w:val="24"/>
          <w:szCs w:val="24"/>
          <w:vertAlign w:val="superscript"/>
          <w:lang w:val="en-US"/>
        </w:rPr>
        <w:t>]</w:t>
      </w:r>
      <w:r w:rsidR="0028757C" w:rsidRPr="00CE02BD">
        <w:rPr>
          <w:rFonts w:ascii="Book Antiqua" w:hAnsi="Book Antiqua"/>
          <w:sz w:val="24"/>
          <w:szCs w:val="24"/>
          <w:lang w:val="en-US"/>
        </w:rPr>
        <w:t xml:space="preserve"> trial was the first randomized study to show that tight disease monitoring using objective markers of inflammation and timely escalation of therapy in patients with early CD leads to better clinical and endoscopic outcomes compared to symptom-driven management alone.</w:t>
      </w:r>
      <w:r w:rsidR="007615A3" w:rsidRPr="00CE02BD">
        <w:rPr>
          <w:rFonts w:ascii="Book Antiqua" w:hAnsi="Book Antiqua"/>
          <w:sz w:val="24"/>
          <w:szCs w:val="24"/>
          <w:lang w:val="en-US"/>
        </w:rPr>
        <w:t xml:space="preserve"> </w:t>
      </w:r>
      <w:r w:rsidR="0028757C" w:rsidRPr="00CE02BD">
        <w:rPr>
          <w:rFonts w:ascii="Book Antiqua" w:hAnsi="Book Antiqua"/>
          <w:sz w:val="24"/>
          <w:szCs w:val="24"/>
          <w:lang w:val="en-US"/>
        </w:rPr>
        <w:t>O</w:t>
      </w:r>
      <w:r w:rsidR="00D176A2" w:rsidRPr="00CE02BD">
        <w:rPr>
          <w:rFonts w:ascii="Book Antiqua" w:hAnsi="Book Antiqua"/>
          <w:sz w:val="24"/>
          <w:szCs w:val="24"/>
          <w:lang w:val="en-US"/>
        </w:rPr>
        <w:t>bjective measurement</w:t>
      </w:r>
      <w:r w:rsidR="00AB4718" w:rsidRPr="00CE02BD">
        <w:rPr>
          <w:rFonts w:ascii="Book Antiqua" w:hAnsi="Book Antiqua"/>
          <w:sz w:val="24"/>
          <w:szCs w:val="24"/>
          <w:lang w:val="en-US"/>
        </w:rPr>
        <w:t xml:space="preserve"> of </w:t>
      </w:r>
      <w:r w:rsidR="005B06A0" w:rsidRPr="00CE02BD">
        <w:rPr>
          <w:rFonts w:ascii="Book Antiqua" w:hAnsi="Book Antiqua"/>
          <w:sz w:val="24"/>
          <w:szCs w:val="24"/>
          <w:lang w:val="en-US"/>
        </w:rPr>
        <w:t>inflammatory activity</w:t>
      </w:r>
      <w:r w:rsidR="00D176A2" w:rsidRPr="00CE02BD">
        <w:rPr>
          <w:rFonts w:ascii="Book Antiqua" w:hAnsi="Book Antiqua"/>
          <w:sz w:val="24"/>
          <w:szCs w:val="24"/>
          <w:lang w:val="en-US"/>
        </w:rPr>
        <w:t xml:space="preserve"> requires invasive and costly procedures, such as ileocolonoscopy or cross-sectional imaging. </w:t>
      </w:r>
      <w:r w:rsidR="00591913" w:rsidRPr="00CE02BD">
        <w:rPr>
          <w:rFonts w:ascii="Book Antiqua" w:hAnsi="Book Antiqua"/>
          <w:sz w:val="24"/>
          <w:szCs w:val="24"/>
          <w:lang w:val="en-US"/>
        </w:rPr>
        <w:t>Levels of</w:t>
      </w:r>
      <w:r w:rsidR="005B06A0" w:rsidRPr="00CE02BD">
        <w:rPr>
          <w:rFonts w:ascii="Book Antiqua" w:hAnsi="Book Antiqua"/>
          <w:sz w:val="24"/>
          <w:szCs w:val="24"/>
          <w:lang w:val="en-US"/>
        </w:rPr>
        <w:t xml:space="preserve"> </w:t>
      </w:r>
      <w:r w:rsidR="00F9728C" w:rsidRPr="00CE02BD">
        <w:rPr>
          <w:rFonts w:ascii="Book Antiqua" w:hAnsi="Book Antiqua"/>
          <w:sz w:val="24"/>
          <w:szCs w:val="24"/>
          <w:lang w:val="en-US"/>
        </w:rPr>
        <w:t xml:space="preserve">CRP and FCAL </w:t>
      </w:r>
      <w:r w:rsidR="005B06A0" w:rsidRPr="00CE02BD">
        <w:rPr>
          <w:rFonts w:ascii="Book Antiqua" w:hAnsi="Book Antiqua"/>
          <w:sz w:val="24"/>
          <w:szCs w:val="24"/>
          <w:lang w:val="en-US"/>
        </w:rPr>
        <w:t>are among the most widely investigated non-invasive markers of inflammation in IBD. In recent years,</w:t>
      </w:r>
      <w:r w:rsidR="00D176A2" w:rsidRPr="00CE02BD">
        <w:rPr>
          <w:rFonts w:ascii="Book Antiqua" w:hAnsi="Book Antiqua"/>
          <w:sz w:val="24"/>
          <w:szCs w:val="24"/>
          <w:lang w:val="en-US"/>
        </w:rPr>
        <w:t xml:space="preserve"> the most significant adjustment to the STRIDE recommendations is the</w:t>
      </w:r>
      <w:r w:rsidR="00AB4718" w:rsidRPr="00CE02BD">
        <w:rPr>
          <w:rFonts w:ascii="Book Antiqua" w:hAnsi="Book Antiqua"/>
          <w:sz w:val="24"/>
          <w:szCs w:val="24"/>
          <w:lang w:val="en-US"/>
        </w:rPr>
        <w:t xml:space="preserve"> increasing role of biomarkers (CRP and FCAL) </w:t>
      </w:r>
      <w:r w:rsidR="005B06A0" w:rsidRPr="00CE02BD">
        <w:rPr>
          <w:rFonts w:ascii="Book Antiqua" w:hAnsi="Book Antiqua"/>
          <w:sz w:val="24"/>
          <w:szCs w:val="24"/>
          <w:lang w:val="en-US"/>
        </w:rPr>
        <w:t>in treatment decisions</w:t>
      </w:r>
      <w:r w:rsidR="00AB4718" w:rsidRPr="00CE02BD">
        <w:rPr>
          <w:rFonts w:ascii="Book Antiqua" w:hAnsi="Book Antiqua"/>
          <w:sz w:val="24"/>
          <w:szCs w:val="24"/>
          <w:lang w:val="en-US"/>
        </w:rPr>
        <w:t xml:space="preserve"> based on the </w:t>
      </w:r>
      <w:r w:rsidR="005B06A0" w:rsidRPr="00CE02BD">
        <w:rPr>
          <w:rFonts w:ascii="Book Antiqua" w:hAnsi="Book Antiqua"/>
          <w:sz w:val="24"/>
          <w:szCs w:val="24"/>
          <w:lang w:val="en-US"/>
        </w:rPr>
        <w:t xml:space="preserve">supporting </w:t>
      </w:r>
      <w:r w:rsidR="00AB4718" w:rsidRPr="00CE02BD">
        <w:rPr>
          <w:rFonts w:ascii="Book Antiqua" w:hAnsi="Book Antiqua"/>
          <w:sz w:val="24"/>
          <w:szCs w:val="24"/>
          <w:lang w:val="en-US"/>
        </w:rPr>
        <w:t>results of the CALM</w:t>
      </w:r>
      <w:r w:rsidR="005B06A0" w:rsidRPr="00CE02BD">
        <w:rPr>
          <w:rFonts w:ascii="Book Antiqua" w:hAnsi="Book Antiqua"/>
          <w:sz w:val="24"/>
          <w:szCs w:val="24"/>
          <w:lang w:val="en-US"/>
        </w:rPr>
        <w:t xml:space="preserve"> trial.</w:t>
      </w:r>
      <w:r w:rsidR="007615A3" w:rsidRPr="00CE02BD">
        <w:rPr>
          <w:rFonts w:ascii="Book Antiqua" w:hAnsi="Book Antiqua"/>
          <w:sz w:val="24"/>
          <w:szCs w:val="24"/>
          <w:lang w:val="en-US"/>
        </w:rPr>
        <w:t xml:space="preserve"> In the following sections we aim to give a detailed description and review of current evidence on each therapeutic target and their role in a ‘tight control’ disease management</w:t>
      </w:r>
      <w:r w:rsidR="00583505" w:rsidRPr="00CE02BD">
        <w:rPr>
          <w:rFonts w:ascii="Book Antiqua" w:hAnsi="Book Antiqua"/>
          <w:sz w:val="24"/>
          <w:szCs w:val="24"/>
          <w:lang w:val="en-US"/>
        </w:rPr>
        <w:t xml:space="preserve"> (see Table 1)</w:t>
      </w:r>
      <w:r w:rsidR="007615A3" w:rsidRPr="00CE02BD">
        <w:rPr>
          <w:rFonts w:ascii="Book Antiqua" w:hAnsi="Book Antiqua"/>
          <w:sz w:val="24"/>
          <w:szCs w:val="24"/>
          <w:lang w:val="en-US"/>
        </w:rPr>
        <w:t>.</w:t>
      </w:r>
      <w:r w:rsidR="00201EC7" w:rsidRPr="00CE02BD">
        <w:rPr>
          <w:rFonts w:ascii="Book Antiqua" w:hAnsi="Book Antiqua"/>
          <w:sz w:val="24"/>
          <w:szCs w:val="24"/>
          <w:lang w:val="en-US"/>
        </w:rPr>
        <w:t xml:space="preserve"> </w:t>
      </w:r>
    </w:p>
    <w:p w14:paraId="197D8660" w14:textId="77777777" w:rsidR="007615A3" w:rsidRPr="00CE02BD" w:rsidRDefault="007615A3" w:rsidP="000F1138">
      <w:pPr>
        <w:adjustRightInd w:val="0"/>
        <w:snapToGrid w:val="0"/>
        <w:spacing w:after="0" w:line="360" w:lineRule="auto"/>
        <w:jc w:val="both"/>
        <w:rPr>
          <w:rFonts w:ascii="Book Antiqua" w:hAnsi="Book Antiqua"/>
          <w:sz w:val="24"/>
          <w:szCs w:val="24"/>
          <w:lang w:val="en-US"/>
        </w:rPr>
      </w:pPr>
    </w:p>
    <w:p w14:paraId="7F98DB93" w14:textId="7FB01B71" w:rsidR="007615A3" w:rsidRPr="00CE02BD" w:rsidRDefault="00F9728C" w:rsidP="000F1138">
      <w:pPr>
        <w:adjustRightInd w:val="0"/>
        <w:snapToGrid w:val="0"/>
        <w:spacing w:after="0" w:line="360" w:lineRule="auto"/>
        <w:jc w:val="both"/>
        <w:rPr>
          <w:rFonts w:ascii="Book Antiqua" w:hAnsi="Book Antiqua"/>
          <w:b/>
          <w:i/>
          <w:sz w:val="24"/>
          <w:szCs w:val="24"/>
          <w:lang w:val="en-US"/>
        </w:rPr>
      </w:pPr>
      <w:r w:rsidRPr="00CE02BD">
        <w:rPr>
          <w:rFonts w:ascii="Book Antiqua" w:hAnsi="Book Antiqua"/>
          <w:b/>
          <w:i/>
          <w:sz w:val="24"/>
          <w:szCs w:val="24"/>
          <w:lang w:val="en-US"/>
        </w:rPr>
        <w:t>Clinical targets</w:t>
      </w:r>
    </w:p>
    <w:p w14:paraId="67E9F6A3" w14:textId="0A6878DE" w:rsidR="00F16E2D" w:rsidRPr="00CE02BD" w:rsidRDefault="0019383E" w:rsidP="000F1138">
      <w:pPr>
        <w:adjustRightInd w:val="0"/>
        <w:snapToGrid w:val="0"/>
        <w:spacing w:after="0" w:line="360" w:lineRule="auto"/>
        <w:jc w:val="both"/>
        <w:rPr>
          <w:rFonts w:ascii="Book Antiqua" w:hAnsi="Book Antiqua"/>
          <w:color w:val="000000" w:themeColor="text1"/>
          <w:sz w:val="24"/>
          <w:szCs w:val="24"/>
          <w:vertAlign w:val="superscript"/>
          <w:lang w:val="en-US"/>
        </w:rPr>
      </w:pPr>
      <w:r w:rsidRPr="00CE02BD">
        <w:rPr>
          <w:rFonts w:ascii="Book Antiqua" w:hAnsi="Book Antiqua"/>
          <w:color w:val="000000" w:themeColor="text1"/>
          <w:sz w:val="24"/>
          <w:szCs w:val="24"/>
          <w:lang w:val="en-US"/>
        </w:rPr>
        <w:t>Although resolution of symptoms alone is not a sufficient therapeutic endpoint, it is still necessary to properly monitor and treat symptoms of the disease. Multiple clinical scoring systems have been</w:t>
      </w:r>
      <w:r w:rsidR="007A5725" w:rsidRPr="00CE02BD">
        <w:rPr>
          <w:rFonts w:ascii="Book Antiqua" w:hAnsi="Book Antiqua"/>
          <w:color w:val="000000" w:themeColor="text1"/>
          <w:sz w:val="24"/>
          <w:szCs w:val="24"/>
          <w:lang w:val="en-US"/>
        </w:rPr>
        <w:t xml:space="preserve"> developed in clinical practice;</w:t>
      </w:r>
      <w:r w:rsidRPr="00CE02BD">
        <w:rPr>
          <w:rFonts w:ascii="Book Antiqua" w:hAnsi="Book Antiqua"/>
          <w:color w:val="000000" w:themeColor="text1"/>
          <w:sz w:val="24"/>
          <w:szCs w:val="24"/>
          <w:lang w:val="en-US"/>
        </w:rPr>
        <w:t xml:space="preserve"> the</w:t>
      </w:r>
      <w:r w:rsidR="007B5FA5" w:rsidRPr="00CE02BD">
        <w:rPr>
          <w:rFonts w:ascii="Book Antiqua" w:hAnsi="Book Antiqua"/>
          <w:color w:val="000000" w:themeColor="text1"/>
          <w:sz w:val="24"/>
          <w:szCs w:val="24"/>
          <w:lang w:val="en-US"/>
        </w:rPr>
        <w:t xml:space="preserve"> Crohn’s </w:t>
      </w:r>
      <w:r w:rsidR="005D0860" w:rsidRPr="00CE02BD">
        <w:rPr>
          <w:rFonts w:ascii="Book Antiqua" w:hAnsi="Book Antiqua"/>
          <w:color w:val="000000" w:themeColor="text1"/>
          <w:sz w:val="24"/>
          <w:szCs w:val="24"/>
          <w:lang w:val="en-US"/>
        </w:rPr>
        <w:t>Disease Activity Index</w:t>
      </w:r>
      <w:r w:rsidR="007B5FA5" w:rsidRPr="00CE02BD">
        <w:rPr>
          <w:rFonts w:ascii="Book Antiqua" w:hAnsi="Book Antiqua"/>
          <w:color w:val="000000" w:themeColor="text1"/>
          <w:sz w:val="24"/>
          <w:szCs w:val="24"/>
          <w:lang w:val="en-US"/>
        </w:rPr>
        <w:t xml:space="preserve"> (CDAI) and</w:t>
      </w:r>
      <w:r w:rsidRPr="00CE02BD">
        <w:rPr>
          <w:rFonts w:ascii="Book Antiqua" w:hAnsi="Book Antiqua"/>
          <w:color w:val="000000" w:themeColor="text1"/>
          <w:sz w:val="24"/>
          <w:szCs w:val="24"/>
          <w:lang w:val="en-US"/>
        </w:rPr>
        <w:t xml:space="preserve"> Harvey Bradshaw Index (HBI)</w:t>
      </w:r>
      <w:r w:rsidR="007B5FA5" w:rsidRPr="00CE02BD">
        <w:rPr>
          <w:rFonts w:ascii="Book Antiqua" w:hAnsi="Book Antiqua"/>
          <w:color w:val="000000" w:themeColor="text1"/>
          <w:sz w:val="24"/>
          <w:szCs w:val="24"/>
          <w:lang w:val="en-US"/>
        </w:rPr>
        <w:t xml:space="preserve"> being the most widely </w:t>
      </w:r>
      <w:r w:rsidR="007B5FA5" w:rsidRPr="00CE02BD">
        <w:rPr>
          <w:rFonts w:ascii="Book Antiqua" w:hAnsi="Book Antiqua"/>
          <w:color w:val="000000" w:themeColor="text1"/>
          <w:sz w:val="24"/>
          <w:szCs w:val="24"/>
          <w:lang w:val="en-US"/>
        </w:rPr>
        <w:lastRenderedPageBreak/>
        <w:t>used in CD,</w:t>
      </w:r>
      <w:r w:rsidR="005F46E8" w:rsidRPr="00CE02BD">
        <w:rPr>
          <w:rFonts w:ascii="Book Antiqua" w:hAnsi="Book Antiqua"/>
          <w:color w:val="000000" w:themeColor="text1"/>
          <w:sz w:val="24"/>
          <w:szCs w:val="24"/>
          <w:lang w:val="en-US"/>
        </w:rPr>
        <w:t xml:space="preserve"> and the partial Mayo score (pMayo) and the Simple Clinical Colitis Activity Index in UC</w:t>
      </w:r>
      <w:r w:rsidR="000F1138" w:rsidRPr="00CE02BD">
        <w:rPr>
          <w:rFonts w:ascii="Book Antiqua" w:hAnsi="Book Antiqua"/>
          <w:sz w:val="24"/>
          <w:szCs w:val="24"/>
          <w:vertAlign w:val="superscript"/>
          <w:lang w:val="en-US"/>
        </w:rPr>
        <w:t>[</w:t>
      </w:r>
      <w:r w:rsidR="000F1138" w:rsidRPr="00CE02BD">
        <w:rPr>
          <w:rFonts w:ascii="Book Antiqua" w:hAnsi="Book Antiqua"/>
          <w:color w:val="000000" w:themeColor="text1"/>
          <w:sz w:val="24"/>
          <w:szCs w:val="24"/>
          <w:vertAlign w:val="superscript"/>
          <w:lang w:val="en-US"/>
        </w:rPr>
        <w:t>29-32</w:t>
      </w:r>
      <w:r w:rsidR="000F1138" w:rsidRPr="00CE02BD">
        <w:rPr>
          <w:rFonts w:ascii="Book Antiqua" w:hAnsi="Book Antiqua"/>
          <w:sz w:val="24"/>
          <w:szCs w:val="24"/>
          <w:vertAlign w:val="superscript"/>
          <w:lang w:val="en-US"/>
        </w:rPr>
        <w:t>]</w:t>
      </w:r>
      <w:r w:rsidR="003111D5" w:rsidRPr="00CE02BD">
        <w:rPr>
          <w:rFonts w:ascii="Book Antiqua" w:hAnsi="Book Antiqua"/>
          <w:color w:val="000000" w:themeColor="text1"/>
          <w:sz w:val="24"/>
          <w:szCs w:val="24"/>
          <w:lang w:val="en-US"/>
        </w:rPr>
        <w:t>.</w:t>
      </w:r>
      <w:r w:rsidR="00413629" w:rsidRPr="00CE02BD">
        <w:rPr>
          <w:rFonts w:ascii="Book Antiqua" w:hAnsi="Book Antiqua"/>
          <w:sz w:val="24"/>
          <w:szCs w:val="24"/>
          <w:vertAlign w:val="superscript"/>
          <w:lang w:val="en-US"/>
        </w:rPr>
        <w:t xml:space="preserve"> </w:t>
      </w:r>
    </w:p>
    <w:p w14:paraId="26503C06" w14:textId="13CFCA8A" w:rsidR="00C62C2C" w:rsidRPr="00CE02BD" w:rsidRDefault="00F16E2D" w:rsidP="00583505">
      <w:pPr>
        <w:adjustRightInd w:val="0"/>
        <w:snapToGrid w:val="0"/>
        <w:spacing w:after="0" w:line="360" w:lineRule="auto"/>
        <w:ind w:firstLineChars="100" w:firstLine="240"/>
        <w:jc w:val="both"/>
        <w:rPr>
          <w:rFonts w:ascii="Book Antiqua" w:hAnsi="Book Antiqua"/>
          <w:color w:val="FF0000"/>
          <w:sz w:val="24"/>
          <w:szCs w:val="24"/>
          <w:lang w:val="en-US"/>
        </w:rPr>
      </w:pPr>
      <w:r w:rsidRPr="00CE02BD">
        <w:rPr>
          <w:rFonts w:ascii="Book Antiqua" w:hAnsi="Book Antiqua"/>
          <w:color w:val="000000" w:themeColor="text1"/>
          <w:sz w:val="24"/>
          <w:szCs w:val="24"/>
          <w:lang w:val="en-US"/>
        </w:rPr>
        <w:t xml:space="preserve">The CDAI, HBI or pMayo scores are composite clinical scores, meaning that they include laboratory features, disease characteristics or the general assessment of the physician. </w:t>
      </w:r>
      <w:r w:rsidR="00D43297" w:rsidRPr="00CE02BD">
        <w:rPr>
          <w:rFonts w:ascii="Book Antiqua" w:hAnsi="Book Antiqua"/>
          <w:color w:val="000000" w:themeColor="text1"/>
          <w:sz w:val="24"/>
          <w:szCs w:val="24"/>
          <w:lang w:val="en-US"/>
        </w:rPr>
        <w:t xml:space="preserve">As the STRIDE recommendation outlined the resolution of clinical symptoms as a separate therapeutic target, it is </w:t>
      </w:r>
      <w:r w:rsidR="00C97F90" w:rsidRPr="00CE02BD">
        <w:rPr>
          <w:rFonts w:ascii="Book Antiqua" w:hAnsi="Book Antiqua"/>
          <w:color w:val="000000" w:themeColor="text1"/>
          <w:sz w:val="24"/>
          <w:szCs w:val="24"/>
          <w:lang w:val="en-US"/>
        </w:rPr>
        <w:t>logical</w:t>
      </w:r>
      <w:r w:rsidR="00D43297" w:rsidRPr="00CE02BD">
        <w:rPr>
          <w:rFonts w:ascii="Book Antiqua" w:hAnsi="Book Antiqua"/>
          <w:color w:val="000000" w:themeColor="text1"/>
          <w:sz w:val="24"/>
          <w:szCs w:val="24"/>
          <w:lang w:val="en-US"/>
        </w:rPr>
        <w:t xml:space="preserve"> to develop</w:t>
      </w:r>
      <w:r w:rsidR="007B5FA5" w:rsidRPr="00CE02BD">
        <w:rPr>
          <w:rFonts w:ascii="Book Antiqua" w:hAnsi="Book Antiqua"/>
          <w:color w:val="000000" w:themeColor="text1"/>
          <w:sz w:val="24"/>
          <w:szCs w:val="24"/>
          <w:lang w:val="en-US"/>
        </w:rPr>
        <w:t xml:space="preserve"> independent clinical measures that reliably assess symptoms </w:t>
      </w:r>
      <w:r w:rsidR="003111D5" w:rsidRPr="00CE02BD">
        <w:rPr>
          <w:rFonts w:ascii="Book Antiqua" w:hAnsi="Book Antiqua"/>
          <w:color w:val="000000" w:themeColor="text1"/>
          <w:sz w:val="24"/>
          <w:szCs w:val="24"/>
          <w:lang w:val="en-US"/>
        </w:rPr>
        <w:t>coming directly from a patient</w:t>
      </w:r>
      <w:r w:rsidR="00D43297" w:rsidRPr="00CE02BD">
        <w:rPr>
          <w:rFonts w:ascii="Book Antiqua" w:hAnsi="Book Antiqua"/>
          <w:color w:val="000000" w:themeColor="text1"/>
          <w:sz w:val="24"/>
          <w:szCs w:val="24"/>
          <w:lang w:val="en-US"/>
        </w:rPr>
        <w:t>. A ‘patient reported outcome’ (PRO</w:t>
      </w:r>
      <w:r w:rsidR="0012483F" w:rsidRPr="00CE02BD">
        <w:rPr>
          <w:rFonts w:ascii="Book Antiqua" w:hAnsi="Book Antiqua"/>
          <w:color w:val="000000" w:themeColor="text1"/>
          <w:sz w:val="24"/>
          <w:szCs w:val="24"/>
          <w:lang w:val="en-US"/>
        </w:rPr>
        <w:t xml:space="preserve">) </w:t>
      </w:r>
      <w:r w:rsidR="001201A4" w:rsidRPr="00CE02BD">
        <w:rPr>
          <w:rFonts w:ascii="Book Antiqua" w:hAnsi="Book Antiqua"/>
          <w:color w:val="000000" w:themeColor="text1"/>
          <w:sz w:val="24"/>
          <w:szCs w:val="24"/>
          <w:lang w:val="en-US"/>
        </w:rPr>
        <w:t xml:space="preserve">is a report </w:t>
      </w:r>
      <w:r w:rsidR="003111D5" w:rsidRPr="00CE02BD">
        <w:rPr>
          <w:rFonts w:ascii="Book Antiqua" w:hAnsi="Book Antiqua"/>
          <w:color w:val="000000" w:themeColor="text1"/>
          <w:sz w:val="24"/>
          <w:szCs w:val="24"/>
          <w:lang w:val="en-US"/>
        </w:rPr>
        <w:t xml:space="preserve">from the patient’s perspective </w:t>
      </w:r>
      <w:r w:rsidR="001201A4" w:rsidRPr="00CE02BD">
        <w:rPr>
          <w:rFonts w:ascii="Book Antiqua" w:hAnsi="Book Antiqua"/>
          <w:color w:val="000000" w:themeColor="text1"/>
          <w:sz w:val="24"/>
          <w:szCs w:val="24"/>
          <w:lang w:val="en-US"/>
        </w:rPr>
        <w:t xml:space="preserve">about the status of their </w:t>
      </w:r>
      <w:r w:rsidR="003111D5" w:rsidRPr="00CE02BD">
        <w:rPr>
          <w:rFonts w:ascii="Book Antiqua" w:hAnsi="Book Antiqua"/>
          <w:color w:val="000000" w:themeColor="text1"/>
          <w:sz w:val="24"/>
          <w:szCs w:val="24"/>
          <w:lang w:val="en-US"/>
        </w:rPr>
        <w:t>symptoms and</w:t>
      </w:r>
      <w:r w:rsidR="001201A4" w:rsidRPr="00CE02BD">
        <w:rPr>
          <w:rFonts w:ascii="Book Antiqua" w:hAnsi="Book Antiqua"/>
          <w:color w:val="000000" w:themeColor="text1"/>
          <w:sz w:val="24"/>
          <w:szCs w:val="24"/>
          <w:lang w:val="en-US"/>
        </w:rPr>
        <w:t xml:space="preserve"> </w:t>
      </w:r>
      <w:r w:rsidR="003111D5" w:rsidRPr="00CE02BD">
        <w:rPr>
          <w:rFonts w:ascii="Book Antiqua" w:hAnsi="Book Antiqua"/>
          <w:color w:val="000000" w:themeColor="text1"/>
          <w:sz w:val="24"/>
          <w:szCs w:val="24"/>
          <w:lang w:val="en-US"/>
        </w:rPr>
        <w:t xml:space="preserve">perceived </w:t>
      </w:r>
      <w:r w:rsidR="001201A4" w:rsidRPr="00CE02BD">
        <w:rPr>
          <w:rFonts w:ascii="Book Antiqua" w:hAnsi="Book Antiqua"/>
          <w:color w:val="000000" w:themeColor="text1"/>
          <w:sz w:val="24"/>
          <w:szCs w:val="24"/>
          <w:lang w:val="en-US"/>
        </w:rPr>
        <w:t xml:space="preserve">response to therapy. </w:t>
      </w:r>
      <w:r w:rsidR="003111D5" w:rsidRPr="00CE02BD">
        <w:rPr>
          <w:rFonts w:ascii="Book Antiqua" w:hAnsi="Book Antiqua"/>
          <w:color w:val="000000" w:themeColor="text1"/>
          <w:sz w:val="24"/>
          <w:szCs w:val="24"/>
          <w:lang w:val="en-US"/>
        </w:rPr>
        <w:t>A</w:t>
      </w:r>
      <w:r w:rsidR="00C7157B" w:rsidRPr="00CE02BD">
        <w:rPr>
          <w:rFonts w:ascii="Book Antiqua" w:hAnsi="Book Antiqua"/>
          <w:color w:val="000000" w:themeColor="text1"/>
          <w:sz w:val="24"/>
          <w:szCs w:val="24"/>
          <w:lang w:val="en-US"/>
        </w:rPr>
        <w:t xml:space="preserve">ccording to the FDA guidance, creating a PRO must involve generation of items based on qualitative patient interviews and thorough testing for responsiveness and internal </w:t>
      </w:r>
      <w:proofErr w:type="gramStart"/>
      <w:r w:rsidR="00C7157B" w:rsidRPr="00CE02BD">
        <w:rPr>
          <w:rFonts w:ascii="Book Antiqua" w:hAnsi="Book Antiqua"/>
          <w:color w:val="000000" w:themeColor="text1"/>
          <w:sz w:val="24"/>
          <w:szCs w:val="24"/>
          <w:lang w:val="en-US"/>
        </w:rPr>
        <w:t>consistency</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33]</w:t>
      </w:r>
      <w:r w:rsidR="00C7157B" w:rsidRPr="00CE02BD">
        <w:rPr>
          <w:rFonts w:ascii="Book Antiqua" w:hAnsi="Book Antiqua"/>
          <w:color w:val="000000" w:themeColor="text1"/>
          <w:sz w:val="24"/>
          <w:szCs w:val="24"/>
          <w:lang w:val="en-US"/>
        </w:rPr>
        <w:t xml:space="preserve">. </w:t>
      </w:r>
      <w:r w:rsidR="003111D5" w:rsidRPr="00CE02BD">
        <w:rPr>
          <w:rFonts w:ascii="Book Antiqua" w:hAnsi="Book Antiqua"/>
          <w:color w:val="000000" w:themeColor="text1"/>
          <w:sz w:val="24"/>
          <w:szCs w:val="24"/>
          <w:lang w:val="en-US"/>
        </w:rPr>
        <w:t>Although</w:t>
      </w:r>
      <w:r w:rsidR="0012483F" w:rsidRPr="00CE02BD">
        <w:rPr>
          <w:rFonts w:ascii="Book Antiqua" w:hAnsi="Book Antiqua"/>
          <w:color w:val="000000" w:themeColor="text1"/>
          <w:sz w:val="24"/>
          <w:szCs w:val="24"/>
          <w:lang w:val="en-US"/>
        </w:rPr>
        <w:t xml:space="preserve"> </w:t>
      </w:r>
      <w:r w:rsidR="003111D5" w:rsidRPr="00CE02BD">
        <w:rPr>
          <w:rFonts w:ascii="Book Antiqua" w:hAnsi="Book Antiqua"/>
          <w:color w:val="000000" w:themeColor="text1"/>
          <w:sz w:val="24"/>
          <w:szCs w:val="24"/>
          <w:lang w:val="en-US"/>
        </w:rPr>
        <w:t>composite clinical scores such</w:t>
      </w:r>
      <w:r w:rsidR="0012483F" w:rsidRPr="00CE02BD">
        <w:rPr>
          <w:rFonts w:ascii="Book Antiqua" w:hAnsi="Book Antiqua"/>
          <w:color w:val="000000" w:themeColor="text1"/>
          <w:sz w:val="24"/>
          <w:szCs w:val="24"/>
          <w:lang w:val="en-US"/>
        </w:rPr>
        <w:t xml:space="preserve"> as the CDAI and HBI </w:t>
      </w:r>
      <w:r w:rsidR="003111D5" w:rsidRPr="00CE02BD">
        <w:rPr>
          <w:rFonts w:ascii="Book Antiqua" w:hAnsi="Book Antiqua"/>
          <w:color w:val="000000" w:themeColor="text1"/>
          <w:sz w:val="24"/>
          <w:szCs w:val="24"/>
          <w:lang w:val="en-US"/>
        </w:rPr>
        <w:t>indices include</w:t>
      </w:r>
      <w:r w:rsidR="0012483F" w:rsidRPr="00CE02BD">
        <w:rPr>
          <w:rFonts w:ascii="Book Antiqua" w:hAnsi="Book Antiqua"/>
          <w:color w:val="000000" w:themeColor="text1"/>
          <w:sz w:val="24"/>
          <w:szCs w:val="24"/>
          <w:lang w:val="en-US"/>
        </w:rPr>
        <w:t xml:space="preserve"> patient-reported severity of symptoms</w:t>
      </w:r>
      <w:r w:rsidR="00C7157B" w:rsidRPr="00CE02BD">
        <w:rPr>
          <w:rFonts w:ascii="Book Antiqua" w:hAnsi="Book Antiqua"/>
          <w:color w:val="000000" w:themeColor="text1"/>
          <w:sz w:val="24"/>
          <w:szCs w:val="24"/>
          <w:lang w:val="en-US"/>
        </w:rPr>
        <w:t>, their development was not conducted in accordance with these stringent requirements.</w:t>
      </w:r>
      <w:r w:rsidR="0012483F" w:rsidRPr="00CE02BD">
        <w:rPr>
          <w:rFonts w:ascii="Book Antiqua" w:hAnsi="Book Antiqua"/>
          <w:color w:val="000000" w:themeColor="text1"/>
          <w:sz w:val="24"/>
          <w:szCs w:val="24"/>
          <w:lang w:val="en-US"/>
        </w:rPr>
        <w:t xml:space="preserve"> </w:t>
      </w:r>
      <w:r w:rsidR="001201A4" w:rsidRPr="00CE02BD">
        <w:rPr>
          <w:rFonts w:ascii="Book Antiqua" w:hAnsi="Book Antiqua"/>
          <w:color w:val="000000" w:themeColor="text1"/>
          <w:sz w:val="24"/>
          <w:szCs w:val="24"/>
          <w:lang w:val="en-US"/>
        </w:rPr>
        <w:t xml:space="preserve">In the absence of a well-characterized </w:t>
      </w:r>
      <w:r w:rsidR="00C7157B" w:rsidRPr="00CE02BD">
        <w:rPr>
          <w:rFonts w:ascii="Book Antiqua" w:hAnsi="Book Antiqua"/>
          <w:color w:val="000000" w:themeColor="text1"/>
          <w:sz w:val="24"/>
          <w:szCs w:val="24"/>
          <w:lang w:val="en-US"/>
        </w:rPr>
        <w:t>PRO items for IBD,</w:t>
      </w:r>
      <w:r w:rsidR="001201A4" w:rsidRPr="00CE02BD">
        <w:rPr>
          <w:rFonts w:ascii="Book Antiqua" w:hAnsi="Book Antiqua"/>
          <w:color w:val="000000" w:themeColor="text1"/>
          <w:sz w:val="24"/>
          <w:szCs w:val="24"/>
          <w:lang w:val="en-US"/>
        </w:rPr>
        <w:t xml:space="preserve"> the STRIDE program recommends </w:t>
      </w:r>
      <w:r w:rsidR="00C7157B" w:rsidRPr="00CE02BD">
        <w:rPr>
          <w:rFonts w:ascii="Book Antiqua" w:hAnsi="Book Antiqua"/>
          <w:color w:val="000000" w:themeColor="text1"/>
          <w:sz w:val="24"/>
          <w:szCs w:val="24"/>
          <w:lang w:val="en-US"/>
        </w:rPr>
        <w:t xml:space="preserve">the use of </w:t>
      </w:r>
      <w:r w:rsidR="0012483F" w:rsidRPr="00CE02BD">
        <w:rPr>
          <w:rFonts w:ascii="Book Antiqua" w:hAnsi="Book Antiqua"/>
          <w:color w:val="000000" w:themeColor="text1"/>
          <w:sz w:val="24"/>
          <w:szCs w:val="24"/>
          <w:lang w:val="en-US"/>
        </w:rPr>
        <w:t xml:space="preserve">a two-item interim PRO </w:t>
      </w:r>
      <w:r w:rsidR="001201A4" w:rsidRPr="00CE02BD">
        <w:rPr>
          <w:rFonts w:ascii="Book Antiqua" w:hAnsi="Book Antiqua"/>
          <w:color w:val="000000" w:themeColor="text1"/>
          <w:sz w:val="24"/>
          <w:szCs w:val="24"/>
          <w:lang w:val="en-US"/>
        </w:rPr>
        <w:t>that should be resolution of abdominal pain and normalization of bowel habit</w:t>
      </w:r>
      <w:r w:rsidR="0012483F" w:rsidRPr="00CE02BD">
        <w:rPr>
          <w:rFonts w:ascii="Book Antiqua" w:hAnsi="Book Antiqua"/>
          <w:color w:val="000000" w:themeColor="text1"/>
          <w:sz w:val="24"/>
          <w:szCs w:val="24"/>
          <w:lang w:val="en-US"/>
        </w:rPr>
        <w:t xml:space="preserve"> for CD</w:t>
      </w:r>
      <w:r w:rsidR="001201A4" w:rsidRPr="00CE02BD">
        <w:rPr>
          <w:rFonts w:ascii="Book Antiqua" w:hAnsi="Book Antiqua"/>
          <w:color w:val="000000" w:themeColor="text1"/>
          <w:sz w:val="24"/>
          <w:szCs w:val="24"/>
          <w:lang w:val="en-US"/>
        </w:rPr>
        <w:t>, and in the case of UC, resolution of rectal bleeding and normalization of bowel habit.</w:t>
      </w:r>
      <w:r w:rsidR="00C97F90" w:rsidRPr="00CE02BD">
        <w:rPr>
          <w:rFonts w:ascii="Book Antiqua" w:hAnsi="Book Antiqua"/>
          <w:color w:val="000000" w:themeColor="text1"/>
          <w:sz w:val="24"/>
          <w:szCs w:val="24"/>
          <w:lang w:val="en-US"/>
        </w:rPr>
        <w:t xml:space="preserve"> </w:t>
      </w:r>
      <w:r w:rsidR="005F46E8" w:rsidRPr="00CE02BD">
        <w:rPr>
          <w:rFonts w:ascii="Book Antiqua" w:hAnsi="Book Antiqua"/>
          <w:color w:val="000000" w:themeColor="text1"/>
          <w:sz w:val="24"/>
          <w:szCs w:val="24"/>
          <w:lang w:val="en-US"/>
        </w:rPr>
        <w:t>Assessm</w:t>
      </w:r>
      <w:r w:rsidR="00137CC3" w:rsidRPr="00CE02BD">
        <w:rPr>
          <w:rFonts w:ascii="Book Antiqua" w:hAnsi="Book Antiqua"/>
          <w:color w:val="000000" w:themeColor="text1"/>
          <w:sz w:val="24"/>
          <w:szCs w:val="24"/>
          <w:lang w:val="en-US"/>
        </w:rPr>
        <w:t>ent of clinical targets</w:t>
      </w:r>
      <w:r w:rsidR="005F46E8" w:rsidRPr="00CE02BD">
        <w:rPr>
          <w:rFonts w:ascii="Book Antiqua" w:hAnsi="Book Antiqua"/>
          <w:color w:val="000000" w:themeColor="text1"/>
          <w:sz w:val="24"/>
          <w:szCs w:val="24"/>
          <w:lang w:val="en-US"/>
        </w:rPr>
        <w:t xml:space="preserve"> should be tailored to the patient’s individual needs, with a minimum of every 3 </w:t>
      </w:r>
      <w:r w:rsidR="00583505" w:rsidRPr="00CE02BD">
        <w:rPr>
          <w:rFonts w:ascii="Book Antiqua" w:hAnsi="Book Antiqua"/>
          <w:color w:val="000000" w:themeColor="text1"/>
          <w:sz w:val="24"/>
          <w:szCs w:val="24"/>
          <w:lang w:val="en-US"/>
        </w:rPr>
        <w:t>mo</w:t>
      </w:r>
      <w:r w:rsidR="005F46E8" w:rsidRPr="00CE02BD">
        <w:rPr>
          <w:rFonts w:ascii="Book Antiqua" w:hAnsi="Book Antiqua"/>
          <w:color w:val="000000" w:themeColor="text1"/>
          <w:sz w:val="24"/>
          <w:szCs w:val="24"/>
          <w:lang w:val="en-US"/>
        </w:rPr>
        <w:t xml:space="preserve"> during active disease and every 6-12 </w:t>
      </w:r>
      <w:r w:rsidR="00583505" w:rsidRPr="00CE02BD">
        <w:rPr>
          <w:rFonts w:ascii="Book Antiqua" w:hAnsi="Book Antiqua"/>
          <w:color w:val="000000" w:themeColor="text1"/>
          <w:sz w:val="24"/>
          <w:szCs w:val="24"/>
          <w:lang w:val="en-US"/>
        </w:rPr>
        <w:t>mo</w:t>
      </w:r>
      <w:r w:rsidR="005F46E8" w:rsidRPr="00CE02BD">
        <w:rPr>
          <w:rFonts w:ascii="Book Antiqua" w:hAnsi="Book Antiqua"/>
          <w:color w:val="000000" w:themeColor="text1"/>
          <w:sz w:val="24"/>
          <w:szCs w:val="24"/>
          <w:lang w:val="en-US"/>
        </w:rPr>
        <w:t xml:space="preserve"> after symptom resolution for both CD and UC</w:t>
      </w:r>
      <w:r w:rsidR="000F1138" w:rsidRPr="00CE02BD">
        <w:rPr>
          <w:rFonts w:ascii="Book Antiqua" w:hAnsi="Book Antiqua"/>
          <w:sz w:val="24"/>
          <w:szCs w:val="24"/>
          <w:vertAlign w:val="superscript"/>
          <w:lang w:val="en-US"/>
        </w:rPr>
        <w:t>[</w:t>
      </w:r>
      <w:r w:rsidR="000F1138" w:rsidRPr="00CE02BD">
        <w:rPr>
          <w:rFonts w:ascii="Book Antiqua" w:hAnsi="Book Antiqua"/>
          <w:color w:val="000000" w:themeColor="text1"/>
          <w:sz w:val="24"/>
          <w:szCs w:val="24"/>
          <w:vertAlign w:val="superscript"/>
          <w:lang w:val="en-US"/>
        </w:rPr>
        <w:t>28</w:t>
      </w:r>
      <w:r w:rsidR="000F1138" w:rsidRPr="00CE02BD">
        <w:rPr>
          <w:rFonts w:ascii="Book Antiqua" w:hAnsi="Book Antiqua"/>
          <w:sz w:val="24"/>
          <w:szCs w:val="24"/>
          <w:vertAlign w:val="superscript"/>
          <w:lang w:val="en-US"/>
        </w:rPr>
        <w:t>]</w:t>
      </w:r>
      <w:r w:rsidR="00583505" w:rsidRPr="00CE02BD">
        <w:rPr>
          <w:rFonts w:ascii="Book Antiqua" w:hAnsi="Book Antiqua"/>
          <w:color w:val="000000" w:themeColor="text1"/>
          <w:sz w:val="24"/>
          <w:szCs w:val="24"/>
          <w:lang w:val="en-US"/>
        </w:rPr>
        <w:t xml:space="preserve"> (see Table 2)</w:t>
      </w:r>
      <w:r w:rsidR="005F46E8" w:rsidRPr="00CE02BD">
        <w:rPr>
          <w:rFonts w:ascii="Book Antiqua" w:hAnsi="Book Antiqua"/>
          <w:color w:val="000000" w:themeColor="text1"/>
          <w:sz w:val="24"/>
          <w:szCs w:val="24"/>
          <w:lang w:val="en-US"/>
        </w:rPr>
        <w:t>.</w:t>
      </w:r>
      <w:r w:rsidR="00413629" w:rsidRPr="00CE02BD">
        <w:rPr>
          <w:rFonts w:ascii="Book Antiqua" w:hAnsi="Book Antiqua"/>
          <w:sz w:val="24"/>
          <w:szCs w:val="24"/>
          <w:vertAlign w:val="superscript"/>
          <w:lang w:val="en-US"/>
        </w:rPr>
        <w:t xml:space="preserve"> </w:t>
      </w:r>
    </w:p>
    <w:p w14:paraId="2FCA37A1" w14:textId="237A9E8E" w:rsidR="00301A0A" w:rsidRPr="00CE02BD" w:rsidRDefault="00137CC3" w:rsidP="00583505">
      <w:pPr>
        <w:adjustRightInd w:val="0"/>
        <w:snapToGrid w:val="0"/>
        <w:spacing w:after="0" w:line="360" w:lineRule="auto"/>
        <w:ind w:firstLineChars="100" w:firstLine="240"/>
        <w:jc w:val="both"/>
        <w:rPr>
          <w:rFonts w:ascii="Book Antiqua" w:hAnsi="Book Antiqua"/>
          <w:color w:val="FF0000"/>
          <w:sz w:val="24"/>
          <w:szCs w:val="24"/>
          <w:lang w:val="en-US"/>
        </w:rPr>
      </w:pPr>
      <w:r w:rsidRPr="00CE02BD">
        <w:rPr>
          <w:rFonts w:ascii="Book Antiqua" w:hAnsi="Book Antiqua"/>
          <w:color w:val="000000" w:themeColor="text1"/>
          <w:sz w:val="24"/>
          <w:szCs w:val="24"/>
          <w:lang w:val="en-US"/>
        </w:rPr>
        <w:t xml:space="preserve">Since the STRIDE recommendations, newer PRO tools, </w:t>
      </w:r>
      <w:r w:rsidR="00DA5F81" w:rsidRPr="00CE02BD">
        <w:rPr>
          <w:rFonts w:ascii="Book Antiqua" w:hAnsi="Book Antiqua"/>
          <w:color w:val="000000" w:themeColor="text1"/>
          <w:sz w:val="24"/>
          <w:szCs w:val="24"/>
          <w:lang w:val="en-US"/>
        </w:rPr>
        <w:t>including</w:t>
      </w:r>
      <w:r w:rsidRPr="00CE02BD">
        <w:rPr>
          <w:rFonts w:ascii="Book Antiqua" w:hAnsi="Book Antiqua"/>
          <w:color w:val="000000" w:themeColor="text1"/>
          <w:sz w:val="24"/>
          <w:szCs w:val="24"/>
          <w:lang w:val="en-US"/>
        </w:rPr>
        <w:t xml:space="preserve"> more clinical variables </w:t>
      </w:r>
      <w:r w:rsidR="00C97F90" w:rsidRPr="00CE02BD">
        <w:rPr>
          <w:rFonts w:ascii="Book Antiqua" w:hAnsi="Book Antiqua"/>
          <w:color w:val="000000" w:themeColor="text1"/>
          <w:sz w:val="24"/>
          <w:szCs w:val="24"/>
          <w:lang w:val="en-US"/>
        </w:rPr>
        <w:t xml:space="preserve">(abdominal pain and urgency for UC) </w:t>
      </w:r>
      <w:r w:rsidRPr="00CE02BD">
        <w:rPr>
          <w:rFonts w:ascii="Book Antiqua" w:hAnsi="Book Antiqua"/>
          <w:color w:val="000000" w:themeColor="text1"/>
          <w:sz w:val="24"/>
          <w:szCs w:val="24"/>
          <w:lang w:val="en-US"/>
        </w:rPr>
        <w:t>in accordance with FDA guidance, have been developed, however t</w:t>
      </w:r>
      <w:r w:rsidR="00DA5F81" w:rsidRPr="00CE02BD">
        <w:rPr>
          <w:rFonts w:ascii="Book Antiqua" w:hAnsi="Book Antiqua"/>
          <w:color w:val="000000" w:themeColor="text1"/>
          <w:sz w:val="24"/>
          <w:szCs w:val="24"/>
          <w:lang w:val="en-US"/>
        </w:rPr>
        <w:t xml:space="preserve">heir applicability </w:t>
      </w:r>
      <w:r w:rsidRPr="00CE02BD">
        <w:rPr>
          <w:rFonts w:ascii="Book Antiqua" w:hAnsi="Book Antiqua"/>
          <w:color w:val="000000" w:themeColor="text1"/>
          <w:sz w:val="24"/>
          <w:szCs w:val="24"/>
          <w:lang w:val="en-US"/>
        </w:rPr>
        <w:t xml:space="preserve">in </w:t>
      </w:r>
      <w:r w:rsidR="00DA5F81" w:rsidRPr="00CE02BD">
        <w:rPr>
          <w:rFonts w:ascii="Book Antiqua" w:hAnsi="Book Antiqua"/>
          <w:color w:val="000000" w:themeColor="text1"/>
          <w:sz w:val="24"/>
          <w:szCs w:val="24"/>
          <w:lang w:val="en-US"/>
        </w:rPr>
        <w:t xml:space="preserve">clinical trial design or everyday </w:t>
      </w:r>
      <w:r w:rsidRPr="00CE02BD">
        <w:rPr>
          <w:rFonts w:ascii="Book Antiqua" w:hAnsi="Book Antiqua"/>
          <w:color w:val="000000" w:themeColor="text1"/>
          <w:sz w:val="24"/>
          <w:szCs w:val="24"/>
          <w:lang w:val="en-US"/>
        </w:rPr>
        <w:t xml:space="preserve">clinical </w:t>
      </w:r>
      <w:r w:rsidR="00DA5F81" w:rsidRPr="00CE02BD">
        <w:rPr>
          <w:rFonts w:ascii="Book Antiqua" w:hAnsi="Book Antiqua"/>
          <w:color w:val="000000" w:themeColor="text1"/>
          <w:sz w:val="24"/>
          <w:szCs w:val="24"/>
          <w:lang w:val="en-US"/>
        </w:rPr>
        <w:t>practice</w:t>
      </w:r>
      <w:r w:rsidRPr="00CE02BD">
        <w:rPr>
          <w:rFonts w:ascii="Book Antiqua" w:hAnsi="Book Antiqua"/>
          <w:color w:val="000000" w:themeColor="text1"/>
          <w:sz w:val="24"/>
          <w:szCs w:val="24"/>
          <w:lang w:val="en-US"/>
        </w:rPr>
        <w:t xml:space="preserve"> </w:t>
      </w:r>
      <w:r w:rsidR="00DA5F81" w:rsidRPr="00CE02BD">
        <w:rPr>
          <w:rFonts w:ascii="Book Antiqua" w:hAnsi="Book Antiqua"/>
          <w:color w:val="000000" w:themeColor="text1"/>
          <w:sz w:val="24"/>
          <w:szCs w:val="24"/>
          <w:lang w:val="en-US"/>
        </w:rPr>
        <w:t xml:space="preserve">still </w:t>
      </w:r>
      <w:r w:rsidRPr="00CE02BD">
        <w:rPr>
          <w:rFonts w:ascii="Book Antiqua" w:hAnsi="Book Antiqua"/>
          <w:color w:val="000000" w:themeColor="text1"/>
          <w:sz w:val="24"/>
          <w:szCs w:val="24"/>
          <w:lang w:val="en-US"/>
        </w:rPr>
        <w:t xml:space="preserve">remain to be </w:t>
      </w:r>
      <w:proofErr w:type="gramStart"/>
      <w:r w:rsidR="00214AA8" w:rsidRPr="00CE02BD">
        <w:rPr>
          <w:rFonts w:ascii="Book Antiqua" w:hAnsi="Book Antiqua"/>
          <w:color w:val="000000" w:themeColor="text1"/>
          <w:sz w:val="24"/>
          <w:szCs w:val="24"/>
          <w:lang w:val="en-US"/>
        </w:rPr>
        <w:t>validated</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34-36</w:t>
      </w:r>
      <w:r w:rsidR="000F1138" w:rsidRPr="00CE02BD">
        <w:rPr>
          <w:rFonts w:ascii="Book Antiqua" w:hAnsi="Book Antiqua"/>
          <w:sz w:val="24"/>
          <w:szCs w:val="24"/>
          <w:vertAlign w:val="superscript"/>
          <w:lang w:val="en-US"/>
        </w:rPr>
        <w:t>]</w:t>
      </w:r>
      <w:r w:rsidRPr="00CE02BD">
        <w:rPr>
          <w:rFonts w:ascii="Book Antiqua" w:hAnsi="Book Antiqua"/>
          <w:color w:val="000000" w:themeColor="text1"/>
          <w:sz w:val="24"/>
          <w:szCs w:val="24"/>
          <w:lang w:val="en-US"/>
        </w:rPr>
        <w:t xml:space="preserve">. </w:t>
      </w:r>
      <w:r w:rsidR="0012483F" w:rsidRPr="00CE02BD">
        <w:rPr>
          <w:rFonts w:ascii="Book Antiqua" w:hAnsi="Book Antiqua"/>
          <w:color w:val="000000" w:themeColor="text1"/>
          <w:sz w:val="24"/>
          <w:szCs w:val="24"/>
          <w:lang w:val="en-US"/>
        </w:rPr>
        <w:t>Various o</w:t>
      </w:r>
      <w:r w:rsidR="00301A0A" w:rsidRPr="00CE02BD">
        <w:rPr>
          <w:rFonts w:ascii="Book Antiqua" w:hAnsi="Book Antiqua"/>
          <w:color w:val="000000" w:themeColor="text1"/>
          <w:sz w:val="24"/>
          <w:szCs w:val="24"/>
          <w:lang w:val="en-US"/>
        </w:rPr>
        <w:t>ther PRO</w:t>
      </w:r>
      <w:r w:rsidR="0012483F" w:rsidRPr="00CE02BD">
        <w:rPr>
          <w:rFonts w:ascii="Book Antiqua" w:hAnsi="Book Antiqua"/>
          <w:color w:val="000000" w:themeColor="text1"/>
          <w:sz w:val="24"/>
          <w:szCs w:val="24"/>
          <w:lang w:val="en-US"/>
        </w:rPr>
        <w:t>s</w:t>
      </w:r>
      <w:r w:rsidR="00301A0A" w:rsidRPr="00CE02BD">
        <w:rPr>
          <w:rFonts w:ascii="Book Antiqua" w:hAnsi="Book Antiqua"/>
          <w:color w:val="000000" w:themeColor="text1"/>
          <w:sz w:val="24"/>
          <w:szCs w:val="24"/>
          <w:lang w:val="en-US"/>
        </w:rPr>
        <w:t xml:space="preserve"> </w:t>
      </w:r>
      <w:r w:rsidR="00DA5F81" w:rsidRPr="00CE02BD">
        <w:rPr>
          <w:rFonts w:ascii="Book Antiqua" w:hAnsi="Book Antiqua"/>
          <w:color w:val="000000" w:themeColor="text1"/>
          <w:sz w:val="24"/>
          <w:szCs w:val="24"/>
          <w:lang w:val="en-US"/>
        </w:rPr>
        <w:t>have already been used</w:t>
      </w:r>
      <w:r w:rsidR="00301A0A" w:rsidRPr="00CE02BD">
        <w:rPr>
          <w:rFonts w:ascii="Book Antiqua" w:hAnsi="Book Antiqua"/>
          <w:color w:val="000000" w:themeColor="text1"/>
          <w:sz w:val="24"/>
          <w:szCs w:val="24"/>
          <w:lang w:val="en-US"/>
        </w:rPr>
        <w:t xml:space="preserve"> </w:t>
      </w:r>
      <w:r w:rsidR="0012483F" w:rsidRPr="00CE02BD">
        <w:rPr>
          <w:rFonts w:ascii="Book Antiqua" w:hAnsi="Book Antiqua"/>
          <w:color w:val="000000" w:themeColor="text1"/>
          <w:sz w:val="24"/>
          <w:szCs w:val="24"/>
          <w:lang w:val="en-US"/>
        </w:rPr>
        <w:t xml:space="preserve">in </w:t>
      </w:r>
      <w:r w:rsidR="00301A0A" w:rsidRPr="00CE02BD">
        <w:rPr>
          <w:rFonts w:ascii="Book Antiqua" w:hAnsi="Book Antiqua"/>
          <w:color w:val="000000" w:themeColor="text1"/>
          <w:sz w:val="24"/>
          <w:szCs w:val="24"/>
          <w:lang w:val="en-US"/>
        </w:rPr>
        <w:t xml:space="preserve">clinical trials reporting </w:t>
      </w:r>
      <w:r w:rsidR="0012483F" w:rsidRPr="00CE02BD">
        <w:rPr>
          <w:rFonts w:ascii="Book Antiqua" w:hAnsi="Book Antiqua"/>
          <w:color w:val="000000" w:themeColor="text1"/>
          <w:sz w:val="24"/>
          <w:szCs w:val="24"/>
          <w:lang w:val="en-US"/>
        </w:rPr>
        <w:t>depression, anxiety, disability and other quality of life</w:t>
      </w:r>
      <w:r w:rsidR="00C62C2C" w:rsidRPr="00CE02BD">
        <w:rPr>
          <w:rFonts w:ascii="Book Antiqua" w:hAnsi="Book Antiqua"/>
          <w:color w:val="000000" w:themeColor="text1"/>
          <w:sz w:val="24"/>
          <w:szCs w:val="24"/>
          <w:lang w:val="en-US"/>
        </w:rPr>
        <w:t xml:space="preserve"> </w:t>
      </w:r>
      <w:r w:rsidR="0012483F" w:rsidRPr="00CE02BD">
        <w:rPr>
          <w:rFonts w:ascii="Book Antiqua" w:hAnsi="Book Antiqua"/>
          <w:color w:val="000000" w:themeColor="text1"/>
          <w:sz w:val="24"/>
          <w:szCs w:val="24"/>
          <w:lang w:val="en-US"/>
        </w:rPr>
        <w:t xml:space="preserve">parameters, </w:t>
      </w:r>
      <w:r w:rsidR="00C62C2C" w:rsidRPr="00CE02BD">
        <w:rPr>
          <w:rFonts w:ascii="Book Antiqua" w:hAnsi="Book Antiqua"/>
          <w:color w:val="000000" w:themeColor="text1"/>
          <w:sz w:val="24"/>
          <w:szCs w:val="24"/>
          <w:lang w:val="en-US"/>
        </w:rPr>
        <w:t xml:space="preserve">however </w:t>
      </w:r>
      <w:r w:rsidR="00DA5F81" w:rsidRPr="00CE02BD">
        <w:rPr>
          <w:rFonts w:ascii="Book Antiqua" w:hAnsi="Book Antiqua"/>
          <w:color w:val="000000" w:themeColor="text1"/>
          <w:sz w:val="24"/>
          <w:szCs w:val="24"/>
          <w:lang w:val="en-US"/>
        </w:rPr>
        <w:t xml:space="preserve">available </w:t>
      </w:r>
      <w:r w:rsidR="0012483F" w:rsidRPr="00CE02BD">
        <w:rPr>
          <w:rFonts w:ascii="Book Antiqua" w:hAnsi="Book Antiqua"/>
          <w:color w:val="000000" w:themeColor="text1"/>
          <w:sz w:val="24"/>
          <w:szCs w:val="24"/>
          <w:lang w:val="en-US"/>
        </w:rPr>
        <w:t xml:space="preserve">data </w:t>
      </w:r>
      <w:r w:rsidR="00DA5F81" w:rsidRPr="00CE02BD">
        <w:rPr>
          <w:rFonts w:ascii="Book Antiqua" w:hAnsi="Book Antiqua"/>
          <w:color w:val="000000" w:themeColor="text1"/>
          <w:sz w:val="24"/>
          <w:szCs w:val="24"/>
          <w:lang w:val="en-US"/>
        </w:rPr>
        <w:t>on</w:t>
      </w:r>
      <w:r w:rsidR="0012483F" w:rsidRPr="00CE02BD">
        <w:rPr>
          <w:rFonts w:ascii="Book Antiqua" w:hAnsi="Book Antiqua"/>
          <w:color w:val="000000" w:themeColor="text1"/>
          <w:sz w:val="24"/>
          <w:szCs w:val="24"/>
          <w:lang w:val="en-US"/>
        </w:rPr>
        <w:t xml:space="preserve"> these PROs in IBD are </w:t>
      </w:r>
      <w:r w:rsidR="00C62C2C" w:rsidRPr="00CE02BD">
        <w:rPr>
          <w:rFonts w:ascii="Book Antiqua" w:hAnsi="Book Antiqua"/>
          <w:color w:val="000000" w:themeColor="text1"/>
          <w:sz w:val="24"/>
          <w:szCs w:val="24"/>
          <w:lang w:val="en-US"/>
        </w:rPr>
        <w:t>yet limited</w:t>
      </w:r>
      <w:r w:rsidR="0012483F" w:rsidRPr="00CE02BD">
        <w:rPr>
          <w:rFonts w:ascii="Book Antiqua" w:hAnsi="Book Antiqua"/>
          <w:color w:val="000000" w:themeColor="text1"/>
          <w:sz w:val="24"/>
          <w:szCs w:val="24"/>
          <w:lang w:val="en-US"/>
        </w:rPr>
        <w:t xml:space="preserve">. </w:t>
      </w:r>
      <w:r w:rsidR="00C62C2C" w:rsidRPr="00CE02BD">
        <w:rPr>
          <w:rFonts w:ascii="Book Antiqua" w:hAnsi="Book Antiqua"/>
          <w:color w:val="000000" w:themeColor="text1"/>
          <w:sz w:val="24"/>
          <w:szCs w:val="24"/>
          <w:lang w:val="en-US"/>
        </w:rPr>
        <w:t>The IBD disability i</w:t>
      </w:r>
      <w:r w:rsidR="00DA5F81" w:rsidRPr="00CE02BD">
        <w:rPr>
          <w:rFonts w:ascii="Book Antiqua" w:hAnsi="Book Antiqua"/>
          <w:color w:val="000000" w:themeColor="text1"/>
          <w:sz w:val="24"/>
          <w:szCs w:val="24"/>
          <w:lang w:val="en-US"/>
        </w:rPr>
        <w:t xml:space="preserve">ndex (IBD-DI), developed in accordance with the WHO International Classification of Functioning is a validated </w:t>
      </w:r>
      <w:r w:rsidR="00C62C2C" w:rsidRPr="00CE02BD">
        <w:rPr>
          <w:rFonts w:ascii="Book Antiqua" w:hAnsi="Book Antiqua"/>
          <w:color w:val="000000" w:themeColor="text1"/>
          <w:sz w:val="24"/>
          <w:szCs w:val="24"/>
          <w:lang w:val="en-US"/>
        </w:rPr>
        <w:t xml:space="preserve">tool to measure disability, </w:t>
      </w:r>
      <w:r w:rsidR="00DA5F81" w:rsidRPr="00CE02BD">
        <w:rPr>
          <w:rFonts w:ascii="Book Antiqua" w:hAnsi="Book Antiqua"/>
          <w:color w:val="000000" w:themeColor="text1"/>
          <w:sz w:val="24"/>
          <w:szCs w:val="24"/>
          <w:lang w:val="en-US"/>
        </w:rPr>
        <w:t>and shows good correlation with clinical disease activity</w:t>
      </w:r>
      <w:r w:rsidR="000F1138" w:rsidRPr="00CE02BD">
        <w:rPr>
          <w:rFonts w:ascii="Book Antiqua" w:hAnsi="Book Antiqua"/>
          <w:sz w:val="24"/>
          <w:szCs w:val="24"/>
          <w:vertAlign w:val="superscript"/>
          <w:lang w:val="en-US"/>
        </w:rPr>
        <w:t>[</w:t>
      </w:r>
      <w:r w:rsidR="000F1138" w:rsidRPr="00CE02BD">
        <w:rPr>
          <w:rFonts w:ascii="Book Antiqua" w:hAnsi="Book Antiqua"/>
          <w:color w:val="000000" w:themeColor="text1"/>
          <w:sz w:val="24"/>
          <w:szCs w:val="24"/>
          <w:vertAlign w:val="superscript"/>
          <w:lang w:val="en-US"/>
        </w:rPr>
        <w:t>37</w:t>
      </w:r>
      <w:r w:rsidR="000F1138" w:rsidRPr="00CE02BD">
        <w:rPr>
          <w:rFonts w:ascii="Book Antiqua" w:hAnsi="Book Antiqua"/>
          <w:sz w:val="24"/>
          <w:szCs w:val="24"/>
          <w:vertAlign w:val="superscript"/>
          <w:lang w:val="en-US"/>
        </w:rPr>
        <w:t>]</w:t>
      </w:r>
      <w:r w:rsidR="00C62C2C" w:rsidRPr="00CE02BD">
        <w:rPr>
          <w:rFonts w:ascii="Book Antiqua" w:hAnsi="Book Antiqua"/>
          <w:color w:val="000000" w:themeColor="text1"/>
          <w:sz w:val="24"/>
          <w:szCs w:val="24"/>
          <w:lang w:val="en-US"/>
        </w:rPr>
        <w:t xml:space="preserve">. Future studies </w:t>
      </w:r>
      <w:r w:rsidR="00DA5F81" w:rsidRPr="00CE02BD">
        <w:rPr>
          <w:rFonts w:ascii="Book Antiqua" w:hAnsi="Book Antiqua"/>
          <w:color w:val="000000" w:themeColor="text1"/>
          <w:sz w:val="24"/>
          <w:szCs w:val="24"/>
          <w:lang w:val="en-US"/>
        </w:rPr>
        <w:t xml:space="preserve">will assess </w:t>
      </w:r>
      <w:r w:rsidR="00C62C2C" w:rsidRPr="00CE02BD">
        <w:rPr>
          <w:rFonts w:ascii="Book Antiqua" w:hAnsi="Book Antiqua"/>
          <w:color w:val="000000" w:themeColor="text1"/>
          <w:sz w:val="24"/>
          <w:szCs w:val="24"/>
          <w:lang w:val="en-US"/>
        </w:rPr>
        <w:t xml:space="preserve">the role of IBD-DI as a </w:t>
      </w:r>
      <w:r w:rsidR="00DA5F81" w:rsidRPr="00CE02BD">
        <w:rPr>
          <w:rFonts w:ascii="Book Antiqua" w:hAnsi="Book Antiqua"/>
          <w:color w:val="000000" w:themeColor="text1"/>
          <w:sz w:val="24"/>
          <w:szCs w:val="24"/>
          <w:lang w:val="en-US"/>
        </w:rPr>
        <w:t xml:space="preserve">potential clinical </w:t>
      </w:r>
      <w:r w:rsidR="00C62C2C" w:rsidRPr="00CE02BD">
        <w:rPr>
          <w:rFonts w:ascii="Book Antiqua" w:hAnsi="Book Antiqua"/>
          <w:color w:val="000000" w:themeColor="text1"/>
          <w:sz w:val="24"/>
          <w:szCs w:val="24"/>
          <w:lang w:val="en-US"/>
        </w:rPr>
        <w:t>target.</w:t>
      </w:r>
    </w:p>
    <w:p w14:paraId="3C90A1A2" w14:textId="77777777" w:rsidR="00C97F90" w:rsidRPr="00CE02BD" w:rsidRDefault="00C97F90" w:rsidP="000F1138">
      <w:pPr>
        <w:adjustRightInd w:val="0"/>
        <w:snapToGrid w:val="0"/>
        <w:spacing w:after="0" w:line="360" w:lineRule="auto"/>
        <w:jc w:val="both"/>
        <w:rPr>
          <w:rFonts w:ascii="Book Antiqua" w:hAnsi="Book Antiqua"/>
          <w:color w:val="FF0000"/>
          <w:sz w:val="24"/>
          <w:szCs w:val="24"/>
          <w:lang w:val="en-US"/>
        </w:rPr>
      </w:pPr>
    </w:p>
    <w:p w14:paraId="262C9A47" w14:textId="72119E8F" w:rsidR="007615A3" w:rsidRPr="00CE02BD" w:rsidRDefault="007615A3" w:rsidP="000F1138">
      <w:pPr>
        <w:adjustRightInd w:val="0"/>
        <w:snapToGrid w:val="0"/>
        <w:spacing w:after="0" w:line="360" w:lineRule="auto"/>
        <w:jc w:val="both"/>
        <w:rPr>
          <w:rFonts w:ascii="Book Antiqua" w:hAnsi="Book Antiqua"/>
          <w:b/>
          <w:i/>
          <w:sz w:val="24"/>
          <w:szCs w:val="24"/>
          <w:lang w:val="en-US"/>
        </w:rPr>
      </w:pPr>
      <w:r w:rsidRPr="00CE02BD">
        <w:rPr>
          <w:rFonts w:ascii="Book Antiqua" w:hAnsi="Book Antiqua"/>
          <w:b/>
          <w:i/>
          <w:sz w:val="24"/>
          <w:szCs w:val="24"/>
          <w:lang w:val="en-US"/>
        </w:rPr>
        <w:lastRenderedPageBreak/>
        <w:t>Endoscopic targets</w:t>
      </w:r>
    </w:p>
    <w:p w14:paraId="4565E13A" w14:textId="747FAC1C" w:rsidR="0019383E" w:rsidRPr="00CE02BD" w:rsidRDefault="002F13B4" w:rsidP="000F1138">
      <w:pPr>
        <w:adjustRightInd w:val="0"/>
        <w:snapToGrid w:val="0"/>
        <w:spacing w:after="0" w:line="360" w:lineRule="auto"/>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 xml:space="preserve">Numerous </w:t>
      </w:r>
      <w:r w:rsidR="00C97F90" w:rsidRPr="00CE02BD">
        <w:rPr>
          <w:rFonts w:ascii="Book Antiqua" w:hAnsi="Book Antiqua"/>
          <w:color w:val="000000" w:themeColor="text1"/>
          <w:sz w:val="24"/>
          <w:szCs w:val="24"/>
          <w:lang w:val="en-US"/>
        </w:rPr>
        <w:t xml:space="preserve">recent studies support the STRIDE recommendation to target endoscopic </w:t>
      </w:r>
      <w:r w:rsidRPr="00CE02BD">
        <w:rPr>
          <w:rFonts w:ascii="Book Antiqua" w:hAnsi="Book Antiqua"/>
          <w:color w:val="000000" w:themeColor="text1"/>
          <w:sz w:val="24"/>
          <w:szCs w:val="24"/>
          <w:lang w:val="en-US"/>
        </w:rPr>
        <w:t>healing</w:t>
      </w:r>
      <w:r w:rsidR="00A624DC" w:rsidRPr="00CE02BD">
        <w:rPr>
          <w:rFonts w:ascii="Book Antiqua" w:hAnsi="Book Antiqua"/>
          <w:color w:val="000000" w:themeColor="text1"/>
          <w:sz w:val="24"/>
          <w:szCs w:val="24"/>
          <w:lang w:val="en-US"/>
        </w:rPr>
        <w:t>, since</w:t>
      </w:r>
      <w:r w:rsidR="0019383E" w:rsidRPr="00CE02BD">
        <w:rPr>
          <w:rFonts w:ascii="Book Antiqua" w:hAnsi="Book Antiqua"/>
          <w:color w:val="000000" w:themeColor="text1"/>
          <w:sz w:val="24"/>
          <w:szCs w:val="24"/>
          <w:lang w:val="en-US"/>
        </w:rPr>
        <w:t xml:space="preserve"> </w:t>
      </w:r>
      <w:r w:rsidR="00A624DC" w:rsidRPr="00CE02BD">
        <w:rPr>
          <w:rFonts w:ascii="Book Antiqua" w:hAnsi="Book Antiqua"/>
          <w:color w:val="000000" w:themeColor="text1"/>
          <w:sz w:val="24"/>
          <w:szCs w:val="24"/>
          <w:lang w:val="en-US"/>
        </w:rPr>
        <w:t>several clinical trials</w:t>
      </w:r>
      <w:r w:rsidR="001B3CB7" w:rsidRPr="00CE02BD">
        <w:rPr>
          <w:rFonts w:ascii="Book Antiqua" w:hAnsi="Book Antiqua"/>
          <w:color w:val="000000" w:themeColor="text1"/>
          <w:sz w:val="24"/>
          <w:szCs w:val="24"/>
          <w:lang w:val="en-US"/>
        </w:rPr>
        <w:t xml:space="preserve"> (post-hoc analysis)</w:t>
      </w:r>
      <w:r w:rsidR="00A624DC" w:rsidRPr="00CE02BD">
        <w:rPr>
          <w:rFonts w:ascii="Book Antiqua" w:hAnsi="Book Antiqua"/>
          <w:color w:val="000000" w:themeColor="text1"/>
          <w:sz w:val="24"/>
          <w:szCs w:val="24"/>
          <w:lang w:val="en-US"/>
        </w:rPr>
        <w:t xml:space="preserve"> and population-based studies have demonstrated that </w:t>
      </w:r>
      <w:r w:rsidRPr="00CE02BD">
        <w:rPr>
          <w:rFonts w:ascii="Book Antiqua" w:hAnsi="Book Antiqua"/>
          <w:color w:val="000000" w:themeColor="text1"/>
          <w:sz w:val="24"/>
          <w:szCs w:val="24"/>
          <w:lang w:val="en-US"/>
        </w:rPr>
        <w:t xml:space="preserve">achieving </w:t>
      </w:r>
      <w:r w:rsidR="00A624DC" w:rsidRPr="00CE02BD">
        <w:rPr>
          <w:rFonts w:ascii="Book Antiqua" w:hAnsi="Book Antiqua"/>
          <w:color w:val="000000" w:themeColor="text1"/>
          <w:sz w:val="24"/>
          <w:szCs w:val="24"/>
          <w:lang w:val="en-US"/>
        </w:rPr>
        <w:t xml:space="preserve">mucosal healing is associated with </w:t>
      </w:r>
      <w:r w:rsidRPr="00CE02BD">
        <w:rPr>
          <w:rFonts w:ascii="Book Antiqua" w:hAnsi="Book Antiqua"/>
          <w:color w:val="000000" w:themeColor="text1"/>
          <w:sz w:val="24"/>
          <w:szCs w:val="24"/>
          <w:lang w:val="en-US"/>
        </w:rPr>
        <w:t>improving outcomes, such as</w:t>
      </w:r>
      <w:r w:rsidR="00A624DC" w:rsidRPr="00CE02BD">
        <w:rPr>
          <w:rFonts w:ascii="Book Antiqua" w:hAnsi="Book Antiqua"/>
          <w:color w:val="000000" w:themeColor="text1"/>
          <w:sz w:val="24"/>
          <w:szCs w:val="24"/>
          <w:lang w:val="en-US"/>
        </w:rPr>
        <w:t xml:space="preserve"> lower </w:t>
      </w:r>
      <w:r w:rsidRPr="00CE02BD">
        <w:rPr>
          <w:rFonts w:ascii="Book Antiqua" w:hAnsi="Book Antiqua"/>
          <w:color w:val="000000" w:themeColor="text1"/>
          <w:sz w:val="24"/>
          <w:szCs w:val="24"/>
          <w:lang w:val="en-US"/>
        </w:rPr>
        <w:t>rates</w:t>
      </w:r>
      <w:r w:rsidR="00A624DC" w:rsidRPr="00CE02BD">
        <w:rPr>
          <w:rFonts w:ascii="Book Antiqua" w:hAnsi="Book Antiqua"/>
          <w:color w:val="000000" w:themeColor="text1"/>
          <w:sz w:val="24"/>
          <w:szCs w:val="24"/>
          <w:lang w:val="en-US"/>
        </w:rPr>
        <w:t xml:space="preserve"> of </w:t>
      </w:r>
      <w:r w:rsidRPr="00CE02BD">
        <w:rPr>
          <w:rFonts w:ascii="Book Antiqua" w:hAnsi="Book Antiqua"/>
          <w:color w:val="000000" w:themeColor="text1"/>
          <w:sz w:val="24"/>
          <w:szCs w:val="24"/>
          <w:lang w:val="en-US"/>
        </w:rPr>
        <w:t xml:space="preserve">hospitalizations, </w:t>
      </w:r>
      <w:r w:rsidR="00A624DC" w:rsidRPr="00CE02BD">
        <w:rPr>
          <w:rFonts w:ascii="Book Antiqua" w:hAnsi="Book Antiqua"/>
          <w:color w:val="000000" w:themeColor="text1"/>
          <w:sz w:val="24"/>
          <w:szCs w:val="24"/>
          <w:lang w:val="en-US"/>
        </w:rPr>
        <w:t xml:space="preserve">disease relapse, and </w:t>
      </w:r>
      <w:r w:rsidRPr="00CE02BD">
        <w:rPr>
          <w:rFonts w:ascii="Book Antiqua" w:hAnsi="Book Antiqua"/>
          <w:color w:val="000000" w:themeColor="text1"/>
          <w:sz w:val="24"/>
          <w:szCs w:val="24"/>
          <w:lang w:val="en-US"/>
        </w:rPr>
        <w:t xml:space="preserve">lower </w:t>
      </w:r>
      <w:r w:rsidR="00A624DC" w:rsidRPr="00CE02BD">
        <w:rPr>
          <w:rFonts w:ascii="Book Antiqua" w:hAnsi="Book Antiqua"/>
          <w:color w:val="000000" w:themeColor="text1"/>
          <w:sz w:val="24"/>
          <w:szCs w:val="24"/>
          <w:lang w:val="en-US"/>
        </w:rPr>
        <w:t>surgery</w:t>
      </w:r>
      <w:r w:rsidRPr="00CE02BD">
        <w:rPr>
          <w:rFonts w:ascii="Book Antiqua" w:hAnsi="Book Antiqua"/>
          <w:color w:val="000000" w:themeColor="text1"/>
          <w:sz w:val="24"/>
          <w:szCs w:val="24"/>
          <w:lang w:val="en-US"/>
        </w:rPr>
        <w:t xml:space="preserve"> </w:t>
      </w:r>
      <w:proofErr w:type="gramStart"/>
      <w:r w:rsidRPr="00CE02BD">
        <w:rPr>
          <w:rFonts w:ascii="Book Antiqua" w:hAnsi="Book Antiqua"/>
          <w:color w:val="000000" w:themeColor="text1"/>
          <w:sz w:val="24"/>
          <w:szCs w:val="24"/>
          <w:lang w:val="en-US"/>
        </w:rPr>
        <w:t>requirements</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24-27</w:t>
      </w:r>
      <w:r w:rsidR="000F1138" w:rsidRPr="00CE02BD">
        <w:rPr>
          <w:rFonts w:ascii="Book Antiqua" w:hAnsi="Book Antiqua"/>
          <w:sz w:val="24"/>
          <w:szCs w:val="24"/>
          <w:vertAlign w:val="superscript"/>
          <w:lang w:val="en-US"/>
        </w:rPr>
        <w:t>]</w:t>
      </w:r>
      <w:r w:rsidR="00A624DC" w:rsidRPr="00CE02BD">
        <w:rPr>
          <w:rFonts w:ascii="Book Antiqua" w:hAnsi="Book Antiqua"/>
          <w:color w:val="000000" w:themeColor="text1"/>
          <w:sz w:val="24"/>
          <w:szCs w:val="24"/>
          <w:lang w:val="en-US"/>
        </w:rPr>
        <w:t>.</w:t>
      </w:r>
      <w:r w:rsidR="0019383E" w:rsidRPr="00CE02BD">
        <w:rPr>
          <w:rFonts w:ascii="Book Antiqua" w:hAnsi="Book Antiqua"/>
          <w:color w:val="000000" w:themeColor="text1"/>
          <w:sz w:val="24"/>
          <w:szCs w:val="24"/>
          <w:lang w:val="en-US"/>
        </w:rPr>
        <w:t xml:space="preserve"> </w:t>
      </w:r>
      <w:r w:rsidR="00A624DC" w:rsidRPr="00CE02BD">
        <w:rPr>
          <w:rFonts w:ascii="Book Antiqua" w:hAnsi="Book Antiqua"/>
          <w:color w:val="000000" w:themeColor="text1"/>
          <w:sz w:val="24"/>
          <w:szCs w:val="24"/>
          <w:lang w:val="en-US"/>
        </w:rPr>
        <w:t xml:space="preserve">In a systematic review and meta-analysis of 12 </w:t>
      </w:r>
      <w:r w:rsidRPr="00CE02BD">
        <w:rPr>
          <w:rFonts w:ascii="Book Antiqua" w:hAnsi="Book Antiqua"/>
          <w:color w:val="000000" w:themeColor="text1"/>
          <w:sz w:val="24"/>
          <w:szCs w:val="24"/>
          <w:lang w:val="en-US"/>
        </w:rPr>
        <w:t>studies</w:t>
      </w:r>
      <w:r w:rsidR="00A624DC" w:rsidRPr="00CE02BD">
        <w:rPr>
          <w:rFonts w:ascii="Book Antiqua" w:hAnsi="Book Antiqua"/>
          <w:color w:val="000000" w:themeColor="text1"/>
          <w:sz w:val="24"/>
          <w:szCs w:val="24"/>
          <w:lang w:val="en-US"/>
        </w:rPr>
        <w:t xml:space="preserve">, endoscopic remission (or mucosal healing) on the first post-treatment endoscopy was associated with a higher </w:t>
      </w:r>
      <w:r w:rsidRPr="00CE02BD">
        <w:rPr>
          <w:rFonts w:ascii="Book Antiqua" w:hAnsi="Book Antiqua"/>
          <w:color w:val="000000" w:themeColor="text1"/>
          <w:sz w:val="24"/>
          <w:szCs w:val="24"/>
          <w:lang w:val="en-US"/>
        </w:rPr>
        <w:t>rates</w:t>
      </w:r>
      <w:r w:rsidR="00A624DC" w:rsidRPr="00CE02BD">
        <w:rPr>
          <w:rFonts w:ascii="Book Antiqua" w:hAnsi="Book Antiqua"/>
          <w:color w:val="000000" w:themeColor="text1"/>
          <w:sz w:val="24"/>
          <w:szCs w:val="24"/>
          <w:lang w:val="en-US"/>
        </w:rPr>
        <w:t xml:space="preserve"> of long-term clinical remission </w:t>
      </w:r>
      <w:r w:rsidR="00C87D1F" w:rsidRPr="00CE02BD">
        <w:rPr>
          <w:rFonts w:ascii="Book Antiqua" w:hAnsi="Book Antiqua"/>
          <w:color w:val="000000" w:themeColor="text1"/>
          <w:sz w:val="24"/>
          <w:szCs w:val="24"/>
          <w:lang w:val="en-US"/>
        </w:rPr>
        <w:t>[</w:t>
      </w:r>
      <w:r w:rsidR="00A624DC" w:rsidRPr="00CE02BD">
        <w:rPr>
          <w:rFonts w:ascii="Book Antiqua" w:hAnsi="Book Antiqua"/>
          <w:color w:val="000000" w:themeColor="text1"/>
          <w:sz w:val="24"/>
          <w:szCs w:val="24"/>
          <w:lang w:val="en-US"/>
        </w:rPr>
        <w:t xml:space="preserve">pooled odds ratio </w:t>
      </w:r>
      <w:r w:rsidR="00C87D1F" w:rsidRPr="00CE02BD">
        <w:rPr>
          <w:rFonts w:ascii="Book Antiqua" w:hAnsi="Book Antiqua"/>
          <w:color w:val="000000" w:themeColor="text1"/>
          <w:sz w:val="24"/>
          <w:szCs w:val="24"/>
          <w:lang w:val="en-US"/>
        </w:rPr>
        <w:t>(</w:t>
      </w:r>
      <w:r w:rsidR="00A624DC" w:rsidRPr="00CE02BD">
        <w:rPr>
          <w:rFonts w:ascii="Book Antiqua" w:hAnsi="Book Antiqua"/>
          <w:color w:val="000000" w:themeColor="text1"/>
          <w:sz w:val="24"/>
          <w:szCs w:val="24"/>
          <w:lang w:val="en-US"/>
        </w:rPr>
        <w:t>OR</w:t>
      </w:r>
      <w:r w:rsidR="00C87D1F" w:rsidRPr="00CE02BD">
        <w:rPr>
          <w:rFonts w:ascii="Book Antiqua" w:hAnsi="Book Antiqua"/>
          <w:color w:val="000000" w:themeColor="text1"/>
          <w:sz w:val="24"/>
          <w:szCs w:val="24"/>
          <w:lang w:val="en-US"/>
        </w:rPr>
        <w:t>)</w:t>
      </w:r>
      <w:r w:rsidR="008B1343" w:rsidRPr="00CE02BD">
        <w:rPr>
          <w:rFonts w:ascii="Book Antiqua" w:hAnsi="Book Antiqua"/>
          <w:color w:val="000000" w:themeColor="text1"/>
          <w:sz w:val="24"/>
          <w:szCs w:val="24"/>
          <w:lang w:val="en-US"/>
        </w:rPr>
        <w:t xml:space="preserve"> =</w:t>
      </w:r>
      <w:r w:rsidR="00A624DC" w:rsidRPr="00CE02BD">
        <w:rPr>
          <w:rFonts w:ascii="Book Antiqua" w:hAnsi="Book Antiqua"/>
          <w:color w:val="000000" w:themeColor="text1"/>
          <w:sz w:val="24"/>
          <w:szCs w:val="24"/>
          <w:lang w:val="en-US"/>
        </w:rPr>
        <w:t xml:space="preserve"> 2.80, 95%</w:t>
      </w:r>
      <w:r w:rsidR="001B3CB7" w:rsidRPr="00CE02BD">
        <w:rPr>
          <w:rFonts w:ascii="Book Antiqua" w:hAnsi="Book Antiqua"/>
          <w:color w:val="000000" w:themeColor="text1"/>
          <w:sz w:val="24"/>
          <w:szCs w:val="24"/>
          <w:lang w:val="en-US"/>
        </w:rPr>
        <w:t>CI</w:t>
      </w:r>
      <w:r w:rsidR="00967F41" w:rsidRPr="00CE02BD">
        <w:rPr>
          <w:rFonts w:ascii="Book Antiqua" w:hAnsi="Book Antiqua"/>
          <w:color w:val="000000" w:themeColor="text1"/>
          <w:sz w:val="24"/>
          <w:szCs w:val="24"/>
          <w:lang w:val="en-US"/>
        </w:rPr>
        <w:t>:</w:t>
      </w:r>
      <w:r w:rsidR="00A624DC" w:rsidRPr="00CE02BD">
        <w:rPr>
          <w:rFonts w:ascii="Book Antiqua" w:hAnsi="Book Antiqua"/>
          <w:color w:val="000000" w:themeColor="text1"/>
          <w:sz w:val="24"/>
          <w:szCs w:val="24"/>
          <w:lang w:val="en-US"/>
        </w:rPr>
        <w:t xml:space="preserve"> 1.91–4.10</w:t>
      </w:r>
      <w:r w:rsidR="00C87D1F" w:rsidRPr="00CE02BD">
        <w:rPr>
          <w:rFonts w:ascii="Book Antiqua" w:hAnsi="Book Antiqua"/>
          <w:color w:val="000000" w:themeColor="text1"/>
          <w:sz w:val="24"/>
          <w:szCs w:val="24"/>
          <w:lang w:val="en-US"/>
        </w:rPr>
        <w:t>]</w:t>
      </w:r>
      <w:r w:rsidR="00A624DC" w:rsidRPr="00CE02BD">
        <w:rPr>
          <w:rFonts w:ascii="Book Antiqua" w:hAnsi="Book Antiqua"/>
          <w:color w:val="000000" w:themeColor="text1"/>
          <w:sz w:val="24"/>
          <w:szCs w:val="24"/>
          <w:lang w:val="en-US"/>
        </w:rPr>
        <w:t>, maintenance of mucosal healing (14.30, 95%CI</w:t>
      </w:r>
      <w:r w:rsidR="00967F41" w:rsidRPr="00CE02BD">
        <w:rPr>
          <w:rFonts w:ascii="Book Antiqua" w:hAnsi="Book Antiqua"/>
          <w:color w:val="000000" w:themeColor="text1"/>
          <w:sz w:val="24"/>
          <w:szCs w:val="24"/>
          <w:lang w:val="en-US"/>
        </w:rPr>
        <w:t>:</w:t>
      </w:r>
      <w:r w:rsidR="00A624DC" w:rsidRPr="00CE02BD">
        <w:rPr>
          <w:rFonts w:ascii="Book Antiqua" w:hAnsi="Book Antiqua"/>
          <w:color w:val="000000" w:themeColor="text1"/>
          <w:sz w:val="24"/>
          <w:szCs w:val="24"/>
          <w:lang w:val="en-US"/>
        </w:rPr>
        <w:t xml:space="preserve"> 5.57–36.74), and lower risk of surgery (2.22, 95%CI</w:t>
      </w:r>
      <w:r w:rsidR="00967F41" w:rsidRPr="00CE02BD">
        <w:rPr>
          <w:rFonts w:ascii="Book Antiqua" w:hAnsi="Book Antiqua"/>
          <w:color w:val="000000" w:themeColor="text1"/>
          <w:sz w:val="24"/>
          <w:szCs w:val="24"/>
          <w:lang w:val="en-US"/>
        </w:rPr>
        <w:t>:</w:t>
      </w:r>
      <w:r w:rsidR="00A624DC" w:rsidRPr="00CE02BD">
        <w:rPr>
          <w:rFonts w:ascii="Book Antiqua" w:hAnsi="Book Antiqua"/>
          <w:color w:val="000000" w:themeColor="text1"/>
          <w:sz w:val="24"/>
          <w:szCs w:val="24"/>
          <w:lang w:val="en-US"/>
        </w:rPr>
        <w:t xml:space="preserve"> 0.86–5.69)</w:t>
      </w:r>
      <w:r w:rsidRPr="00CE02BD">
        <w:rPr>
          <w:rFonts w:ascii="Book Antiqua" w:hAnsi="Book Antiqua"/>
          <w:color w:val="000000" w:themeColor="text1"/>
          <w:sz w:val="24"/>
          <w:szCs w:val="24"/>
          <w:lang w:val="en-US"/>
        </w:rPr>
        <w:t xml:space="preserve"> in patients with CD</w:t>
      </w:r>
      <w:bookmarkStart w:id="64" w:name="_Ref18519411"/>
      <w:r w:rsidR="000F1138" w:rsidRPr="00CE02BD">
        <w:rPr>
          <w:rFonts w:ascii="Book Antiqua" w:eastAsia="Times New Roman" w:hAnsi="Book Antiqua" w:cstheme="minorHAnsi"/>
          <w:color w:val="000000"/>
          <w:sz w:val="24"/>
          <w:szCs w:val="24"/>
          <w:vertAlign w:val="superscript"/>
          <w:lang w:val="en-US"/>
        </w:rPr>
        <w:t>[</w:t>
      </w:r>
      <w:bookmarkEnd w:id="64"/>
      <w:r w:rsidR="000F1138" w:rsidRPr="00CE02BD">
        <w:rPr>
          <w:rFonts w:ascii="Book Antiqua" w:eastAsia="Times New Roman" w:hAnsi="Book Antiqua" w:cstheme="minorHAnsi"/>
          <w:color w:val="000000"/>
          <w:sz w:val="24"/>
          <w:szCs w:val="24"/>
          <w:vertAlign w:val="superscript"/>
          <w:lang w:val="en-US"/>
        </w:rPr>
        <w:t>38</w:t>
      </w:r>
      <w:r w:rsidR="000F1138" w:rsidRPr="00CE02BD">
        <w:rPr>
          <w:rFonts w:ascii="Book Antiqua" w:hAnsi="Book Antiqua"/>
          <w:sz w:val="24"/>
          <w:szCs w:val="24"/>
          <w:vertAlign w:val="superscript"/>
          <w:lang w:val="en-US"/>
        </w:rPr>
        <w:t>]</w:t>
      </w:r>
      <w:r w:rsidR="00A624DC" w:rsidRPr="00CE02BD">
        <w:rPr>
          <w:rFonts w:ascii="Book Antiqua" w:hAnsi="Book Antiqua"/>
          <w:color w:val="000000" w:themeColor="text1"/>
          <w:sz w:val="24"/>
          <w:szCs w:val="24"/>
          <w:lang w:val="en-US"/>
        </w:rPr>
        <w:t>.</w:t>
      </w:r>
      <w:r w:rsidR="001B3CB7" w:rsidRPr="00CE02BD">
        <w:rPr>
          <w:rFonts w:ascii="Book Antiqua" w:hAnsi="Book Antiqua"/>
          <w:color w:val="000000" w:themeColor="text1"/>
          <w:sz w:val="24"/>
          <w:szCs w:val="24"/>
          <w:lang w:val="en-US"/>
        </w:rPr>
        <w:t xml:space="preserve"> The same meta-analysis of 13 studies was performed for UC, resulting that mucosal healing on the first post-treatment endoscopy </w:t>
      </w:r>
      <w:r w:rsidRPr="00CE02BD">
        <w:rPr>
          <w:rFonts w:ascii="Book Antiqua" w:hAnsi="Book Antiqua"/>
          <w:color w:val="000000" w:themeColor="text1"/>
          <w:sz w:val="24"/>
          <w:szCs w:val="24"/>
          <w:lang w:val="en-US"/>
        </w:rPr>
        <w:t xml:space="preserve">was associated with </w:t>
      </w:r>
      <w:r w:rsidR="001B3CB7" w:rsidRPr="00CE02BD">
        <w:rPr>
          <w:rFonts w:ascii="Book Antiqua" w:hAnsi="Book Antiqua"/>
          <w:color w:val="000000" w:themeColor="text1"/>
          <w:sz w:val="24"/>
          <w:szCs w:val="24"/>
          <w:lang w:val="en-US"/>
        </w:rPr>
        <w:t xml:space="preserve">long-term (52 </w:t>
      </w:r>
      <w:r w:rsidR="00967F41" w:rsidRPr="00CE02BD">
        <w:rPr>
          <w:rFonts w:ascii="Book Antiqua" w:hAnsi="Book Antiqua"/>
          <w:color w:val="000000" w:themeColor="text1"/>
          <w:sz w:val="24"/>
          <w:szCs w:val="24"/>
          <w:lang w:val="en-US"/>
        </w:rPr>
        <w:t>wk</w:t>
      </w:r>
      <w:r w:rsidR="001B3CB7" w:rsidRPr="00CE02BD">
        <w:rPr>
          <w:rFonts w:ascii="Book Antiqua" w:hAnsi="Book Antiqua"/>
          <w:color w:val="000000" w:themeColor="text1"/>
          <w:sz w:val="24"/>
          <w:szCs w:val="24"/>
          <w:lang w:val="en-US"/>
        </w:rPr>
        <w:t xml:space="preserve">) clinical remission </w:t>
      </w:r>
      <w:r w:rsidR="00967F41"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OR</w:t>
      </w:r>
      <w:r w:rsidR="000E27AB"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 4.50, 95%CI</w:t>
      </w:r>
      <w:r w:rsidR="00967F41"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2.12-9.52</w:t>
      </w:r>
      <w:r w:rsidR="00967F41"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avoiding</w:t>
      </w:r>
      <w:r w:rsidR="001B3CB7" w:rsidRPr="00CE02BD">
        <w:rPr>
          <w:rFonts w:ascii="Book Antiqua" w:hAnsi="Book Antiqua"/>
          <w:color w:val="000000" w:themeColor="text1"/>
          <w:sz w:val="24"/>
          <w:szCs w:val="24"/>
          <w:lang w:val="en-US"/>
        </w:rPr>
        <w:t xml:space="preserve"> colectomy (</w:t>
      </w:r>
      <w:r w:rsidRPr="00CE02BD">
        <w:rPr>
          <w:rFonts w:ascii="Book Antiqua" w:hAnsi="Book Antiqua"/>
          <w:color w:val="000000" w:themeColor="text1"/>
          <w:sz w:val="24"/>
          <w:szCs w:val="24"/>
          <w:lang w:val="en-US"/>
        </w:rPr>
        <w:t xml:space="preserve">4.15, </w:t>
      </w:r>
      <w:r w:rsidR="001B3CB7" w:rsidRPr="00CE02BD">
        <w:rPr>
          <w:rFonts w:ascii="Book Antiqua" w:hAnsi="Book Antiqua"/>
          <w:color w:val="000000" w:themeColor="text1"/>
          <w:sz w:val="24"/>
          <w:szCs w:val="24"/>
          <w:lang w:val="en-US"/>
        </w:rPr>
        <w:t>95%CI</w:t>
      </w:r>
      <w:r w:rsidR="00967F41" w:rsidRPr="00CE02BD">
        <w:rPr>
          <w:rFonts w:ascii="Book Antiqua" w:hAnsi="Book Antiqua"/>
          <w:color w:val="000000" w:themeColor="text1"/>
          <w:sz w:val="24"/>
          <w:szCs w:val="24"/>
          <w:lang w:val="en-US"/>
        </w:rPr>
        <w:t>:</w:t>
      </w:r>
      <w:r w:rsidR="001B3CB7" w:rsidRPr="00CE02BD">
        <w:rPr>
          <w:rFonts w:ascii="Book Antiqua" w:hAnsi="Book Antiqua"/>
          <w:color w:val="000000" w:themeColor="text1"/>
          <w:sz w:val="24"/>
          <w:szCs w:val="24"/>
          <w:lang w:val="en-US"/>
        </w:rPr>
        <w:t xml:space="preserve"> 2.53-6.81), achieving </w:t>
      </w:r>
      <w:r w:rsidRPr="00CE02BD">
        <w:rPr>
          <w:rFonts w:ascii="Book Antiqua" w:hAnsi="Book Antiqua"/>
          <w:color w:val="000000" w:themeColor="text1"/>
          <w:sz w:val="24"/>
          <w:szCs w:val="24"/>
          <w:lang w:val="en-US"/>
        </w:rPr>
        <w:t>long-term corticosteroid-free clinical remission (9.70, 95%CI</w:t>
      </w:r>
      <w:r w:rsidR="00967F41"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0.94-99.67)</w:t>
      </w:r>
      <w:r w:rsidR="00967F41"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and long-term mucosal healing (8.40, 95%CI</w:t>
      </w:r>
      <w:r w:rsidR="00967F41"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3.13-22.53)</w:t>
      </w:r>
      <w:bookmarkStart w:id="65" w:name="_Ref18520855"/>
      <w:r w:rsidR="000F1138" w:rsidRPr="00CE02BD">
        <w:rPr>
          <w:rFonts w:ascii="Book Antiqua" w:eastAsia="Times New Roman" w:hAnsi="Book Antiqua" w:cstheme="minorHAnsi"/>
          <w:color w:val="000000"/>
          <w:sz w:val="24"/>
          <w:szCs w:val="24"/>
          <w:vertAlign w:val="superscript"/>
          <w:lang w:val="en-US"/>
        </w:rPr>
        <w:t>[</w:t>
      </w:r>
      <w:bookmarkEnd w:id="65"/>
      <w:r w:rsidR="000F1138" w:rsidRPr="00CE02BD">
        <w:rPr>
          <w:rFonts w:ascii="Book Antiqua" w:eastAsia="Times New Roman" w:hAnsi="Book Antiqua" w:cstheme="minorHAnsi"/>
          <w:color w:val="000000"/>
          <w:sz w:val="24"/>
          <w:szCs w:val="24"/>
          <w:vertAlign w:val="superscript"/>
          <w:lang w:val="en-US"/>
        </w:rPr>
        <w:t>39</w:t>
      </w:r>
      <w:r w:rsidR="000F1138" w:rsidRPr="00CE02BD">
        <w:rPr>
          <w:rFonts w:ascii="Book Antiqua" w:hAnsi="Book Antiqua"/>
          <w:sz w:val="24"/>
          <w:szCs w:val="24"/>
          <w:vertAlign w:val="superscript"/>
          <w:lang w:val="en-US"/>
        </w:rPr>
        <w:t>]</w:t>
      </w:r>
      <w:r w:rsidRPr="00CE02BD">
        <w:rPr>
          <w:rFonts w:ascii="Book Antiqua" w:hAnsi="Book Antiqua"/>
          <w:color w:val="000000" w:themeColor="text1"/>
          <w:sz w:val="24"/>
          <w:szCs w:val="24"/>
          <w:lang w:val="en-US"/>
        </w:rPr>
        <w:t xml:space="preserve">. </w:t>
      </w:r>
      <w:r w:rsidR="0070655B" w:rsidRPr="00CE02BD">
        <w:rPr>
          <w:rFonts w:ascii="Book Antiqua" w:hAnsi="Book Antiqua"/>
          <w:color w:val="000000" w:themeColor="text1"/>
          <w:sz w:val="24"/>
          <w:szCs w:val="24"/>
          <w:lang w:val="en-US"/>
        </w:rPr>
        <w:t>The feasibility of applying</w:t>
      </w:r>
      <w:r w:rsidR="008D6775" w:rsidRPr="00CE02BD">
        <w:rPr>
          <w:rFonts w:ascii="Book Antiqua" w:hAnsi="Book Antiqua"/>
          <w:color w:val="000000" w:themeColor="text1"/>
          <w:sz w:val="24"/>
          <w:szCs w:val="24"/>
          <w:lang w:val="en-US"/>
        </w:rPr>
        <w:t xml:space="preserve"> a treat-to-</w:t>
      </w:r>
      <w:r w:rsidR="0070655B" w:rsidRPr="00CE02BD">
        <w:rPr>
          <w:rFonts w:ascii="Book Antiqua" w:hAnsi="Book Antiqua"/>
          <w:color w:val="000000" w:themeColor="text1"/>
          <w:sz w:val="24"/>
          <w:szCs w:val="24"/>
          <w:lang w:val="en-US"/>
        </w:rPr>
        <w:t xml:space="preserve">target approach in regard to mucosal healing was studied by </w:t>
      </w:r>
      <w:r w:rsidR="000E27AB" w:rsidRPr="00CE02BD">
        <w:rPr>
          <w:rFonts w:ascii="Book Antiqua" w:hAnsi="Book Antiqua"/>
          <w:color w:val="000000" w:themeColor="text1"/>
          <w:sz w:val="24"/>
          <w:szCs w:val="24"/>
          <w:lang w:val="en-US"/>
        </w:rPr>
        <w:t>Bouguen</w:t>
      </w:r>
      <w:r w:rsidR="0070655B" w:rsidRPr="00CE02BD">
        <w:rPr>
          <w:rFonts w:ascii="Book Antiqua" w:hAnsi="Book Antiqua"/>
          <w:color w:val="000000" w:themeColor="text1"/>
          <w:sz w:val="24"/>
          <w:szCs w:val="24"/>
          <w:lang w:val="en-US"/>
        </w:rPr>
        <w:t xml:space="preserve"> </w:t>
      </w:r>
      <w:r w:rsidR="00967F41" w:rsidRPr="00CE02BD">
        <w:rPr>
          <w:rFonts w:ascii="Book Antiqua" w:hAnsi="Book Antiqua"/>
          <w:i/>
          <w:color w:val="000000" w:themeColor="text1"/>
          <w:sz w:val="24"/>
          <w:szCs w:val="24"/>
          <w:lang w:val="en-US"/>
        </w:rPr>
        <w:t xml:space="preserve">et </w:t>
      </w:r>
      <w:proofErr w:type="gramStart"/>
      <w:r w:rsidR="00967F41" w:rsidRPr="00CE02BD">
        <w:rPr>
          <w:rFonts w:ascii="Book Antiqua" w:hAnsi="Book Antiqua"/>
          <w:i/>
          <w:color w:val="000000" w:themeColor="text1"/>
          <w:sz w:val="24"/>
          <w:szCs w:val="24"/>
          <w:lang w:val="en-US"/>
        </w:rPr>
        <w:t>al</w:t>
      </w:r>
      <w:r w:rsidR="000E27AB" w:rsidRPr="00CE02BD">
        <w:rPr>
          <w:rFonts w:ascii="Book Antiqua" w:eastAsia="Times New Roman" w:hAnsi="Book Antiqua" w:cstheme="minorHAnsi"/>
          <w:color w:val="000000"/>
          <w:sz w:val="24"/>
          <w:szCs w:val="24"/>
          <w:vertAlign w:val="superscript"/>
          <w:lang w:val="en-US"/>
        </w:rPr>
        <w:t>[</w:t>
      </w:r>
      <w:proofErr w:type="gramEnd"/>
      <w:r w:rsidR="000E27AB" w:rsidRPr="00CE02BD">
        <w:rPr>
          <w:rFonts w:ascii="Book Antiqua" w:eastAsia="Times New Roman" w:hAnsi="Book Antiqua" w:cstheme="minorHAnsi"/>
          <w:color w:val="000000"/>
          <w:sz w:val="24"/>
          <w:szCs w:val="24"/>
          <w:vertAlign w:val="superscript"/>
          <w:lang w:val="en-US"/>
        </w:rPr>
        <w:t>40</w:t>
      </w:r>
      <w:r w:rsidR="000E27AB" w:rsidRPr="00CE02BD">
        <w:rPr>
          <w:rFonts w:ascii="Book Antiqua" w:hAnsi="Book Antiqua"/>
          <w:sz w:val="24"/>
          <w:szCs w:val="24"/>
          <w:vertAlign w:val="superscript"/>
          <w:lang w:val="en-US"/>
        </w:rPr>
        <w:t>]</w:t>
      </w:r>
      <w:r w:rsidR="00397CC0" w:rsidRPr="00CE02BD">
        <w:rPr>
          <w:rFonts w:ascii="Book Antiqua" w:hAnsi="Book Antiqua"/>
          <w:sz w:val="24"/>
          <w:szCs w:val="24"/>
          <w:lang w:val="en-US" w:eastAsia="zh-CN"/>
        </w:rPr>
        <w:t>.</w:t>
      </w:r>
      <w:r w:rsidR="0070655B" w:rsidRPr="00CE02BD">
        <w:rPr>
          <w:rFonts w:ascii="Book Antiqua" w:hAnsi="Book Antiqua"/>
          <w:color w:val="000000" w:themeColor="text1"/>
          <w:sz w:val="24"/>
          <w:szCs w:val="24"/>
          <w:lang w:val="en-US"/>
        </w:rPr>
        <w:t xml:space="preserve"> Sixty-seven CD patients with endoscopic lesions underwent two to four subsequent endoscopies </w:t>
      </w:r>
      <w:r w:rsidR="004F1003" w:rsidRPr="00CE02BD">
        <w:rPr>
          <w:rFonts w:ascii="Book Antiqua" w:hAnsi="Book Antiqua"/>
          <w:color w:val="000000" w:themeColor="text1"/>
          <w:sz w:val="24"/>
          <w:szCs w:val="24"/>
          <w:lang w:val="en-US"/>
        </w:rPr>
        <w:t xml:space="preserve">with a median follow-up of 76 </w:t>
      </w:r>
      <w:r w:rsidR="00967F41" w:rsidRPr="00CE02BD">
        <w:rPr>
          <w:rFonts w:ascii="Book Antiqua" w:hAnsi="Book Antiqua"/>
          <w:color w:val="000000" w:themeColor="text1"/>
          <w:sz w:val="24"/>
          <w:szCs w:val="24"/>
          <w:lang w:val="en-US"/>
        </w:rPr>
        <w:t>wk</w:t>
      </w:r>
      <w:r w:rsidR="0070655B" w:rsidRPr="00CE02BD">
        <w:rPr>
          <w:rFonts w:ascii="Book Antiqua" w:hAnsi="Book Antiqua"/>
          <w:color w:val="000000" w:themeColor="text1"/>
          <w:sz w:val="24"/>
          <w:szCs w:val="24"/>
          <w:lang w:val="en-US"/>
        </w:rPr>
        <w:t xml:space="preserve">. Factors associated with achieving mucosal healing were fewer than 26 </w:t>
      </w:r>
      <w:r w:rsidR="00967F41" w:rsidRPr="00CE02BD">
        <w:rPr>
          <w:rFonts w:ascii="Book Antiqua" w:hAnsi="Book Antiqua"/>
          <w:color w:val="000000" w:themeColor="text1"/>
          <w:sz w:val="24"/>
          <w:szCs w:val="24"/>
          <w:lang w:val="en-US"/>
        </w:rPr>
        <w:t>wk</w:t>
      </w:r>
      <w:r w:rsidR="0070655B" w:rsidRPr="00CE02BD">
        <w:rPr>
          <w:rFonts w:ascii="Book Antiqua" w:hAnsi="Book Antiqua"/>
          <w:color w:val="000000" w:themeColor="text1"/>
          <w:sz w:val="24"/>
          <w:szCs w:val="24"/>
          <w:lang w:val="en-US"/>
        </w:rPr>
        <w:t xml:space="preserve"> between </w:t>
      </w:r>
      <w:r w:rsidR="004F1003" w:rsidRPr="00CE02BD">
        <w:rPr>
          <w:rFonts w:ascii="Book Antiqua" w:hAnsi="Book Antiqua"/>
          <w:color w:val="000000" w:themeColor="text1"/>
          <w:sz w:val="24"/>
          <w:szCs w:val="24"/>
          <w:lang w:val="en-US"/>
        </w:rPr>
        <w:t xml:space="preserve">endoscopic procedures </w:t>
      </w:r>
      <w:r w:rsidR="00967F41" w:rsidRPr="00CE02BD">
        <w:rPr>
          <w:rFonts w:ascii="Book Antiqua" w:hAnsi="Book Antiqua"/>
          <w:color w:val="000000" w:themeColor="text1"/>
          <w:sz w:val="24"/>
          <w:szCs w:val="24"/>
          <w:lang w:val="en-US"/>
        </w:rPr>
        <w:t>[</w:t>
      </w:r>
      <w:r w:rsidR="004F1003" w:rsidRPr="00CE02BD">
        <w:rPr>
          <w:rFonts w:ascii="Book Antiqua" w:hAnsi="Book Antiqua"/>
          <w:color w:val="000000" w:themeColor="text1"/>
          <w:sz w:val="24"/>
          <w:szCs w:val="24"/>
          <w:lang w:val="en-US"/>
        </w:rPr>
        <w:t xml:space="preserve">hazard ratio </w:t>
      </w:r>
      <w:r w:rsidR="00967F41" w:rsidRPr="00CE02BD">
        <w:rPr>
          <w:rFonts w:ascii="Book Antiqua" w:hAnsi="Book Antiqua" w:cstheme="minorHAnsi"/>
          <w:color w:val="000000" w:themeColor="text1"/>
          <w:sz w:val="24"/>
          <w:szCs w:val="24"/>
          <w:lang w:val="en-US"/>
        </w:rPr>
        <w:t>(</w:t>
      </w:r>
      <w:r w:rsidR="004F1003" w:rsidRPr="00CE02BD">
        <w:rPr>
          <w:rFonts w:ascii="Book Antiqua" w:hAnsi="Book Antiqua"/>
          <w:color w:val="000000" w:themeColor="text1"/>
          <w:sz w:val="24"/>
          <w:szCs w:val="24"/>
          <w:lang w:val="en-US"/>
        </w:rPr>
        <w:t>HR</w:t>
      </w:r>
      <w:r w:rsidR="00967F41" w:rsidRPr="00CE02BD">
        <w:rPr>
          <w:rFonts w:ascii="Book Antiqua" w:hAnsi="Book Antiqua" w:cstheme="minorHAnsi"/>
          <w:color w:val="000000" w:themeColor="text1"/>
          <w:sz w:val="24"/>
          <w:szCs w:val="24"/>
          <w:lang w:val="en-US"/>
        </w:rPr>
        <w:t>)</w:t>
      </w:r>
      <w:r w:rsidR="000E27AB" w:rsidRPr="00CE02BD">
        <w:rPr>
          <w:rFonts w:ascii="Book Antiqua" w:hAnsi="Book Antiqua" w:cstheme="minorHAnsi"/>
          <w:color w:val="000000" w:themeColor="text1"/>
          <w:sz w:val="24"/>
          <w:szCs w:val="24"/>
          <w:lang w:val="en-US"/>
        </w:rPr>
        <w:t xml:space="preserve"> =</w:t>
      </w:r>
      <w:r w:rsidR="004F1003" w:rsidRPr="00CE02BD">
        <w:rPr>
          <w:rFonts w:ascii="Book Antiqua" w:hAnsi="Book Antiqua"/>
          <w:color w:val="000000" w:themeColor="text1"/>
          <w:sz w:val="24"/>
          <w:szCs w:val="24"/>
          <w:lang w:val="en-US"/>
        </w:rPr>
        <w:t xml:space="preserve"> 2.21; 95%CI</w:t>
      </w:r>
      <w:r w:rsidR="00967F41" w:rsidRPr="00CE02BD">
        <w:rPr>
          <w:rFonts w:ascii="Book Antiqua" w:hAnsi="Book Antiqua"/>
          <w:color w:val="000000" w:themeColor="text1"/>
          <w:sz w:val="24"/>
          <w:szCs w:val="24"/>
          <w:lang w:val="en-US"/>
        </w:rPr>
        <w:t>:</w:t>
      </w:r>
      <w:r w:rsidR="00286746" w:rsidRPr="00CE02BD">
        <w:rPr>
          <w:rFonts w:ascii="Book Antiqua" w:hAnsi="Book Antiqua"/>
          <w:color w:val="000000" w:themeColor="text1"/>
          <w:sz w:val="24"/>
          <w:szCs w:val="24"/>
          <w:lang w:val="en-US"/>
        </w:rPr>
        <w:t xml:space="preserve"> </w:t>
      </w:r>
      <w:r w:rsidR="004F1003" w:rsidRPr="00CE02BD">
        <w:rPr>
          <w:rFonts w:ascii="Book Antiqua" w:hAnsi="Book Antiqua"/>
          <w:color w:val="000000" w:themeColor="text1"/>
          <w:sz w:val="24"/>
          <w:szCs w:val="24"/>
          <w:lang w:val="en-US"/>
        </w:rPr>
        <w:t xml:space="preserve">1.16–4.26; </w:t>
      </w:r>
      <w:r w:rsidR="004F1003" w:rsidRPr="00CE02BD">
        <w:rPr>
          <w:rFonts w:ascii="Book Antiqua" w:hAnsi="Book Antiqua"/>
          <w:i/>
          <w:iCs/>
          <w:color w:val="000000" w:themeColor="text1"/>
          <w:sz w:val="24"/>
          <w:szCs w:val="24"/>
          <w:lang w:val="en-US"/>
        </w:rPr>
        <w:t>P</w:t>
      </w:r>
      <w:r w:rsidR="00967F41" w:rsidRPr="00CE02BD">
        <w:rPr>
          <w:rFonts w:ascii="Book Antiqua" w:hAnsi="Book Antiqua"/>
          <w:color w:val="000000" w:themeColor="text1"/>
          <w:sz w:val="24"/>
          <w:szCs w:val="24"/>
          <w:lang w:val="en-US"/>
        </w:rPr>
        <w:t xml:space="preserve"> </w:t>
      </w:r>
      <w:r w:rsidR="004F1003" w:rsidRPr="00CE02BD">
        <w:rPr>
          <w:rFonts w:ascii="Book Antiqua" w:hAnsi="Book Antiqua"/>
          <w:color w:val="000000" w:themeColor="text1"/>
          <w:sz w:val="24"/>
          <w:szCs w:val="24"/>
          <w:lang w:val="en-US"/>
        </w:rPr>
        <w:t>=</w:t>
      </w:r>
      <w:r w:rsidR="00967F41" w:rsidRPr="00CE02BD">
        <w:rPr>
          <w:rFonts w:ascii="Book Antiqua" w:hAnsi="Book Antiqua"/>
          <w:color w:val="000000" w:themeColor="text1"/>
          <w:sz w:val="24"/>
          <w:szCs w:val="24"/>
          <w:lang w:val="en-US"/>
        </w:rPr>
        <w:t xml:space="preserve"> </w:t>
      </w:r>
      <w:r w:rsidR="004F1003" w:rsidRPr="00CE02BD">
        <w:rPr>
          <w:rFonts w:ascii="Book Antiqua" w:hAnsi="Book Antiqua"/>
          <w:color w:val="000000" w:themeColor="text1"/>
          <w:sz w:val="24"/>
          <w:szCs w:val="24"/>
          <w:lang w:val="en-US"/>
        </w:rPr>
        <w:t>0.016</w:t>
      </w:r>
      <w:r w:rsidR="00967F41" w:rsidRPr="00CE02BD">
        <w:rPr>
          <w:rFonts w:ascii="Book Antiqua" w:hAnsi="Book Antiqua"/>
          <w:color w:val="000000" w:themeColor="text1"/>
          <w:sz w:val="24"/>
          <w:szCs w:val="24"/>
          <w:lang w:val="en-US"/>
        </w:rPr>
        <w:t>]</w:t>
      </w:r>
      <w:r w:rsidR="0070655B" w:rsidRPr="00CE02BD">
        <w:rPr>
          <w:rFonts w:ascii="Book Antiqua" w:hAnsi="Book Antiqua"/>
          <w:color w:val="000000" w:themeColor="text1"/>
          <w:sz w:val="24"/>
          <w:szCs w:val="24"/>
          <w:lang w:val="en-US"/>
        </w:rPr>
        <w:t xml:space="preserve"> and adjustment to medical therapy when mucosal healing was not observed (</w:t>
      </w:r>
      <w:r w:rsidR="004F1003" w:rsidRPr="00CE02BD">
        <w:rPr>
          <w:rFonts w:ascii="Book Antiqua" w:hAnsi="Book Antiqua"/>
          <w:color w:val="000000" w:themeColor="text1"/>
          <w:sz w:val="24"/>
          <w:szCs w:val="24"/>
          <w:lang w:val="en-US"/>
        </w:rPr>
        <w:t>2.35; 95%CI</w:t>
      </w:r>
      <w:r w:rsidR="00967F41" w:rsidRPr="00CE02BD">
        <w:rPr>
          <w:rFonts w:ascii="Book Antiqua" w:hAnsi="Book Antiqua"/>
          <w:color w:val="000000" w:themeColor="text1"/>
          <w:sz w:val="24"/>
          <w:szCs w:val="24"/>
          <w:lang w:val="en-US"/>
        </w:rPr>
        <w:t>:</w:t>
      </w:r>
      <w:r w:rsidR="004F1003" w:rsidRPr="00CE02BD">
        <w:rPr>
          <w:rFonts w:ascii="Book Antiqua" w:hAnsi="Book Antiqua"/>
          <w:color w:val="000000" w:themeColor="text1"/>
          <w:sz w:val="24"/>
          <w:szCs w:val="24"/>
          <w:lang w:val="en-US"/>
        </w:rPr>
        <w:t xml:space="preserve"> 1.2–4.94; </w:t>
      </w:r>
      <w:r w:rsidR="004F1003" w:rsidRPr="00CE02BD">
        <w:rPr>
          <w:rFonts w:ascii="Book Antiqua" w:hAnsi="Book Antiqua"/>
          <w:i/>
          <w:iCs/>
          <w:color w:val="000000" w:themeColor="text1"/>
          <w:sz w:val="24"/>
          <w:szCs w:val="24"/>
          <w:lang w:val="en-US"/>
        </w:rPr>
        <w:t>P</w:t>
      </w:r>
      <w:r w:rsidR="00967F41" w:rsidRPr="00CE02BD">
        <w:rPr>
          <w:rFonts w:ascii="Book Antiqua" w:hAnsi="Book Antiqua"/>
          <w:color w:val="000000" w:themeColor="text1"/>
          <w:sz w:val="24"/>
          <w:szCs w:val="24"/>
          <w:lang w:val="en-US"/>
        </w:rPr>
        <w:t xml:space="preserve"> </w:t>
      </w:r>
      <w:r w:rsidR="004F1003" w:rsidRPr="00CE02BD">
        <w:rPr>
          <w:rFonts w:ascii="Book Antiqua" w:hAnsi="Book Antiqua"/>
          <w:color w:val="000000" w:themeColor="text1"/>
          <w:sz w:val="24"/>
          <w:szCs w:val="24"/>
          <w:lang w:val="en-US"/>
        </w:rPr>
        <w:t>=</w:t>
      </w:r>
      <w:r w:rsidR="00967F41" w:rsidRPr="00CE02BD">
        <w:rPr>
          <w:rFonts w:ascii="Book Antiqua" w:hAnsi="Book Antiqua"/>
          <w:color w:val="000000" w:themeColor="text1"/>
          <w:sz w:val="24"/>
          <w:szCs w:val="24"/>
          <w:lang w:val="en-US"/>
        </w:rPr>
        <w:t xml:space="preserve"> </w:t>
      </w:r>
      <w:r w:rsidR="004F1003" w:rsidRPr="00CE02BD">
        <w:rPr>
          <w:rFonts w:ascii="Book Antiqua" w:hAnsi="Book Antiqua"/>
          <w:color w:val="000000" w:themeColor="text1"/>
          <w:sz w:val="24"/>
          <w:szCs w:val="24"/>
          <w:lang w:val="en-US"/>
        </w:rPr>
        <w:t>0.012</w:t>
      </w:r>
      <w:r w:rsidR="0070655B" w:rsidRPr="00CE02BD">
        <w:rPr>
          <w:rFonts w:ascii="Book Antiqua" w:hAnsi="Book Antiqua"/>
          <w:color w:val="000000" w:themeColor="text1"/>
          <w:sz w:val="24"/>
          <w:szCs w:val="24"/>
          <w:lang w:val="en-US"/>
        </w:rPr>
        <w:t>)</w:t>
      </w:r>
      <w:r w:rsidR="00286746" w:rsidRPr="00CE02BD">
        <w:rPr>
          <w:rFonts w:ascii="Book Antiqua" w:hAnsi="Book Antiqua"/>
          <w:color w:val="000000" w:themeColor="text1"/>
          <w:sz w:val="24"/>
          <w:szCs w:val="24"/>
          <w:lang w:val="en-US"/>
        </w:rPr>
        <w:t>, concluding that serial endoscopic procedures and treatment optimizations accordingly are feasible in clinical practice and high rates of MH can be achieved.</w:t>
      </w:r>
    </w:p>
    <w:p w14:paraId="07B9EF3C" w14:textId="20EC8D5D" w:rsidR="00566440" w:rsidRPr="00CE02BD" w:rsidRDefault="00343BE7"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Although, the predictive value of early mucosal healing and the need for applying endoscopic targets as primary therapeutic endpoints is clear</w:t>
      </w:r>
      <w:r w:rsidR="00E33D98" w:rsidRPr="00CE02BD">
        <w:rPr>
          <w:rFonts w:ascii="Book Antiqua" w:hAnsi="Book Antiqua"/>
          <w:color w:val="000000" w:themeColor="text1"/>
          <w:sz w:val="24"/>
          <w:szCs w:val="24"/>
          <w:lang w:val="en-US"/>
        </w:rPr>
        <w:t xml:space="preserve">, the definition </w:t>
      </w:r>
      <w:r w:rsidR="00566440" w:rsidRPr="00CE02BD">
        <w:rPr>
          <w:rFonts w:ascii="Book Antiqua" w:hAnsi="Book Antiqua"/>
          <w:color w:val="000000" w:themeColor="text1"/>
          <w:sz w:val="24"/>
          <w:szCs w:val="24"/>
          <w:lang w:val="en-US"/>
        </w:rPr>
        <w:t>for optimal endoscopic targets</w:t>
      </w:r>
      <w:r w:rsidR="00B0653C" w:rsidRPr="00CE02BD">
        <w:rPr>
          <w:rFonts w:ascii="Book Antiqua" w:hAnsi="Book Antiqua"/>
          <w:color w:val="000000" w:themeColor="text1"/>
          <w:sz w:val="24"/>
          <w:szCs w:val="24"/>
          <w:lang w:val="en-US"/>
        </w:rPr>
        <w:t xml:space="preserve"> is lacking. </w:t>
      </w:r>
      <w:r w:rsidR="00643C43" w:rsidRPr="00CE02BD">
        <w:rPr>
          <w:rFonts w:ascii="Book Antiqua" w:hAnsi="Book Antiqua"/>
          <w:color w:val="000000" w:themeColor="text1"/>
          <w:sz w:val="24"/>
          <w:szCs w:val="24"/>
          <w:lang w:val="en-US"/>
        </w:rPr>
        <w:t>The STRIDE recommendations specify endoscopic targets as resolution of ulceration in CD and resolution of ulceration and friability in UC</w:t>
      </w:r>
      <w:r w:rsidR="00F15E31" w:rsidRPr="00CE02BD">
        <w:rPr>
          <w:rFonts w:ascii="Book Antiqua" w:hAnsi="Book Antiqua"/>
          <w:color w:val="000000" w:themeColor="text1"/>
          <w:sz w:val="24"/>
          <w:szCs w:val="24"/>
          <w:lang w:val="en-US"/>
        </w:rPr>
        <w:t xml:space="preserve"> assessed at 6-9 </w:t>
      </w:r>
      <w:r w:rsidR="00583505" w:rsidRPr="00CE02BD">
        <w:rPr>
          <w:rFonts w:ascii="Book Antiqua" w:hAnsi="Book Antiqua"/>
          <w:color w:val="000000" w:themeColor="text1"/>
          <w:sz w:val="24"/>
          <w:szCs w:val="24"/>
          <w:lang w:val="en-US"/>
        </w:rPr>
        <w:t>mo</w:t>
      </w:r>
      <w:r w:rsidR="00F15E31" w:rsidRPr="00CE02BD">
        <w:rPr>
          <w:rFonts w:ascii="Book Antiqua" w:hAnsi="Book Antiqua"/>
          <w:color w:val="000000" w:themeColor="text1"/>
          <w:sz w:val="24"/>
          <w:szCs w:val="24"/>
          <w:lang w:val="en-US"/>
        </w:rPr>
        <w:t xml:space="preserve"> and 3-6 </w:t>
      </w:r>
      <w:r w:rsidR="00583505" w:rsidRPr="00CE02BD">
        <w:rPr>
          <w:rFonts w:ascii="Book Antiqua" w:hAnsi="Book Antiqua"/>
          <w:color w:val="000000" w:themeColor="text1"/>
          <w:sz w:val="24"/>
          <w:szCs w:val="24"/>
          <w:lang w:val="en-US"/>
        </w:rPr>
        <w:t>mo</w:t>
      </w:r>
      <w:r w:rsidR="00F15E31" w:rsidRPr="00CE02BD">
        <w:rPr>
          <w:rFonts w:ascii="Book Antiqua" w:hAnsi="Book Antiqua"/>
          <w:color w:val="000000" w:themeColor="text1"/>
          <w:sz w:val="24"/>
          <w:szCs w:val="24"/>
          <w:lang w:val="en-US"/>
        </w:rPr>
        <w:t xml:space="preserve"> after commencing therapy, respectively</w:t>
      </w:r>
      <w:r w:rsidR="000F1138" w:rsidRPr="00CE02BD">
        <w:rPr>
          <w:rFonts w:ascii="Book Antiqua" w:eastAsia="Times New Roman" w:hAnsi="Book Antiqua" w:cstheme="minorHAnsi"/>
          <w:color w:val="000000"/>
          <w:sz w:val="24"/>
          <w:szCs w:val="24"/>
          <w:vertAlign w:val="superscript"/>
          <w:lang w:val="en-US"/>
        </w:rPr>
        <w:t>[</w:t>
      </w:r>
      <w:r w:rsidR="000F1138" w:rsidRPr="00CE02BD">
        <w:rPr>
          <w:rFonts w:ascii="Book Antiqua" w:hAnsi="Book Antiqua"/>
          <w:color w:val="000000" w:themeColor="text1"/>
          <w:sz w:val="24"/>
          <w:szCs w:val="24"/>
          <w:vertAlign w:val="superscript"/>
          <w:lang w:val="en-US"/>
        </w:rPr>
        <w:t>28</w:t>
      </w:r>
      <w:r w:rsidR="000F1138" w:rsidRPr="00CE02BD">
        <w:rPr>
          <w:rFonts w:ascii="Book Antiqua" w:hAnsi="Book Antiqua"/>
          <w:sz w:val="24"/>
          <w:szCs w:val="24"/>
          <w:vertAlign w:val="superscript"/>
          <w:lang w:val="en-US"/>
        </w:rPr>
        <w:t>]</w:t>
      </w:r>
      <w:r w:rsidR="00967F41" w:rsidRPr="00CE02BD">
        <w:rPr>
          <w:rFonts w:ascii="Book Antiqua" w:hAnsi="Book Antiqua"/>
          <w:color w:val="000000" w:themeColor="text1"/>
          <w:sz w:val="24"/>
          <w:szCs w:val="24"/>
          <w:lang w:val="en-US"/>
        </w:rPr>
        <w:t xml:space="preserve"> (Table 2)</w:t>
      </w:r>
      <w:r w:rsidR="00F15E31" w:rsidRPr="00CE02BD">
        <w:rPr>
          <w:rFonts w:ascii="Book Antiqua" w:hAnsi="Book Antiqua"/>
          <w:color w:val="000000" w:themeColor="text1"/>
          <w:sz w:val="24"/>
          <w:szCs w:val="24"/>
          <w:lang w:val="en-US"/>
        </w:rPr>
        <w:t xml:space="preserve">. </w:t>
      </w:r>
      <w:r w:rsidR="00566440" w:rsidRPr="00CE02BD">
        <w:rPr>
          <w:rFonts w:ascii="Book Antiqua" w:hAnsi="Book Antiqua"/>
          <w:color w:val="000000" w:themeColor="text1"/>
          <w:sz w:val="24"/>
          <w:szCs w:val="24"/>
          <w:lang w:val="en-US"/>
        </w:rPr>
        <w:t xml:space="preserve">The definition of </w:t>
      </w:r>
      <w:r w:rsidR="00F057DA" w:rsidRPr="00CE02BD">
        <w:rPr>
          <w:rFonts w:ascii="Book Antiqua" w:hAnsi="Book Antiqua"/>
          <w:color w:val="000000" w:themeColor="text1"/>
          <w:sz w:val="24"/>
          <w:szCs w:val="24"/>
          <w:lang w:val="en-US"/>
        </w:rPr>
        <w:t>mucosal healing</w:t>
      </w:r>
      <w:r w:rsidR="00566440" w:rsidRPr="00CE02BD">
        <w:rPr>
          <w:rFonts w:ascii="Book Antiqua" w:hAnsi="Book Antiqua"/>
          <w:color w:val="000000" w:themeColor="text1"/>
          <w:sz w:val="24"/>
          <w:szCs w:val="24"/>
          <w:lang w:val="en-US"/>
        </w:rPr>
        <w:t xml:space="preserve"> </w:t>
      </w:r>
      <w:r w:rsidR="00643C43" w:rsidRPr="00CE02BD">
        <w:rPr>
          <w:rFonts w:ascii="Book Antiqua" w:hAnsi="Book Antiqua"/>
          <w:color w:val="000000" w:themeColor="text1"/>
          <w:sz w:val="24"/>
          <w:szCs w:val="24"/>
          <w:lang w:val="en-US"/>
        </w:rPr>
        <w:t xml:space="preserve">is however </w:t>
      </w:r>
      <w:r w:rsidR="00566440" w:rsidRPr="00CE02BD">
        <w:rPr>
          <w:rFonts w:ascii="Book Antiqua" w:hAnsi="Book Antiqua"/>
          <w:color w:val="000000" w:themeColor="text1"/>
          <w:sz w:val="24"/>
          <w:szCs w:val="24"/>
          <w:lang w:val="en-US"/>
        </w:rPr>
        <w:t>highly heterogenous</w:t>
      </w:r>
      <w:r w:rsidR="00DE7D80" w:rsidRPr="00CE02BD">
        <w:rPr>
          <w:rFonts w:ascii="Book Antiqua" w:hAnsi="Book Antiqua"/>
          <w:color w:val="000000" w:themeColor="text1"/>
          <w:sz w:val="24"/>
          <w:szCs w:val="24"/>
          <w:lang w:val="en-US"/>
        </w:rPr>
        <w:t>, especially in CD</w:t>
      </w:r>
      <w:r w:rsidR="00566440" w:rsidRPr="00CE02BD">
        <w:rPr>
          <w:rFonts w:ascii="Book Antiqua" w:hAnsi="Book Antiqua"/>
          <w:color w:val="000000" w:themeColor="text1"/>
          <w:sz w:val="24"/>
          <w:szCs w:val="24"/>
          <w:lang w:val="en-US"/>
        </w:rPr>
        <w:t xml:space="preserve">. </w:t>
      </w:r>
      <w:r w:rsidR="00F057DA" w:rsidRPr="00CE02BD">
        <w:rPr>
          <w:rFonts w:ascii="Book Antiqua" w:hAnsi="Book Antiqua"/>
          <w:color w:val="000000" w:themeColor="text1"/>
          <w:sz w:val="24"/>
          <w:szCs w:val="24"/>
          <w:lang w:val="en-US"/>
        </w:rPr>
        <w:t xml:space="preserve">The most commonly accepted definition of endoscopic healing is the disappearance of all ulcerative lesions, however this </w:t>
      </w:r>
      <w:r w:rsidR="00F057DA" w:rsidRPr="00CE02BD">
        <w:rPr>
          <w:rFonts w:ascii="Book Antiqua" w:hAnsi="Book Antiqua"/>
          <w:color w:val="000000" w:themeColor="text1"/>
          <w:sz w:val="24"/>
          <w:szCs w:val="24"/>
          <w:lang w:val="en-US"/>
        </w:rPr>
        <w:lastRenderedPageBreak/>
        <w:t xml:space="preserve">definition does not allow for the interpretation of partial resolution of mucosal inflammation. A different solution would be the use of reproducible endoscopic activity scores capable of depicting precise degree of endoscopic activity and subsequent changes. </w:t>
      </w:r>
      <w:r w:rsidR="00DE7D80" w:rsidRPr="00CE02BD">
        <w:rPr>
          <w:rFonts w:ascii="Book Antiqua" w:hAnsi="Book Antiqua"/>
          <w:color w:val="000000" w:themeColor="text1"/>
          <w:sz w:val="24"/>
          <w:szCs w:val="24"/>
          <w:lang w:val="en-US"/>
        </w:rPr>
        <w:t>Widely used endoscopic scores in CD are the Crohn’s disease Endoscopic Index of Severity (CDEIS) and Simple Endoscopic Score for Crohn’s disease (SES-CD), and Rutgeerts’ score for post-surgical evaluation of endoscopic recurrence.</w:t>
      </w:r>
      <w:r w:rsidR="00643C43" w:rsidRPr="00CE02BD">
        <w:rPr>
          <w:rFonts w:ascii="Book Antiqua" w:hAnsi="Book Antiqua"/>
          <w:color w:val="000000" w:themeColor="text1"/>
          <w:sz w:val="24"/>
          <w:szCs w:val="24"/>
          <w:lang w:val="en-US"/>
        </w:rPr>
        <w:t xml:space="preserve"> </w:t>
      </w:r>
      <w:r w:rsidR="00F15E31" w:rsidRPr="00CE02BD">
        <w:rPr>
          <w:rFonts w:ascii="Book Antiqua" w:hAnsi="Book Antiqua"/>
          <w:color w:val="000000" w:themeColor="text1"/>
          <w:sz w:val="24"/>
          <w:szCs w:val="24"/>
          <w:lang w:val="en-US"/>
        </w:rPr>
        <w:t>In UC, the endoscopic Mayo score and the Ulcerative Colitis Endoscopic Index of Severity (UCEIS) are most frequently used.</w:t>
      </w:r>
      <w:r w:rsidR="00017EFA" w:rsidRPr="00CE02BD">
        <w:rPr>
          <w:rFonts w:ascii="Book Antiqua" w:hAnsi="Book Antiqua"/>
          <w:color w:val="000000" w:themeColor="text1"/>
          <w:sz w:val="24"/>
          <w:szCs w:val="24"/>
          <w:lang w:val="en-US"/>
        </w:rPr>
        <w:t xml:space="preserve"> However, the </w:t>
      </w:r>
      <w:r w:rsidR="00A86C8C" w:rsidRPr="00CE02BD">
        <w:rPr>
          <w:rFonts w:ascii="Book Antiqua" w:hAnsi="Book Antiqua"/>
          <w:color w:val="000000" w:themeColor="text1"/>
          <w:sz w:val="24"/>
          <w:szCs w:val="24"/>
          <w:lang w:val="en-US"/>
        </w:rPr>
        <w:t xml:space="preserve">proper </w:t>
      </w:r>
      <w:r w:rsidR="00017EFA" w:rsidRPr="00CE02BD">
        <w:rPr>
          <w:rFonts w:ascii="Book Antiqua" w:hAnsi="Book Antiqua"/>
          <w:color w:val="000000" w:themeColor="text1"/>
          <w:sz w:val="24"/>
          <w:szCs w:val="24"/>
          <w:lang w:val="en-US"/>
        </w:rPr>
        <w:t xml:space="preserve">definition of ‘optimal’ or ‘targeted’ degree </w:t>
      </w:r>
      <w:r w:rsidR="00A86C8C" w:rsidRPr="00CE02BD">
        <w:rPr>
          <w:rFonts w:ascii="Book Antiqua" w:hAnsi="Book Antiqua"/>
          <w:color w:val="000000" w:themeColor="text1"/>
          <w:sz w:val="24"/>
          <w:szCs w:val="24"/>
          <w:lang w:val="en-US"/>
        </w:rPr>
        <w:t xml:space="preserve">of </w:t>
      </w:r>
      <w:r w:rsidR="00017EFA" w:rsidRPr="00CE02BD">
        <w:rPr>
          <w:rFonts w:ascii="Book Antiqua" w:hAnsi="Book Antiqua"/>
          <w:color w:val="000000" w:themeColor="text1"/>
          <w:sz w:val="24"/>
          <w:szCs w:val="24"/>
          <w:lang w:val="en-US"/>
        </w:rPr>
        <w:t>endoscopic healing is lacking.</w:t>
      </w:r>
    </w:p>
    <w:p w14:paraId="66A66257" w14:textId="7953EA05" w:rsidR="00343BE7" w:rsidRPr="00CE02BD" w:rsidRDefault="00F057DA" w:rsidP="00967F41">
      <w:pPr>
        <w:adjustRightInd w:val="0"/>
        <w:snapToGrid w:val="0"/>
        <w:spacing w:after="0" w:line="360" w:lineRule="auto"/>
        <w:ind w:firstLineChars="100" w:firstLine="240"/>
        <w:jc w:val="both"/>
        <w:rPr>
          <w:rFonts w:ascii="Book Antiqua" w:hAnsi="Book Antiqua"/>
          <w:color w:val="FF0000"/>
          <w:sz w:val="24"/>
          <w:szCs w:val="24"/>
          <w:lang w:val="en-US"/>
        </w:rPr>
      </w:pPr>
      <w:r w:rsidRPr="00CE02BD">
        <w:rPr>
          <w:rFonts w:ascii="Book Antiqua" w:hAnsi="Book Antiqua"/>
          <w:color w:val="000000" w:themeColor="text1"/>
          <w:sz w:val="24"/>
          <w:szCs w:val="24"/>
          <w:lang w:val="en-US"/>
        </w:rPr>
        <w:t>A post-hoc analysis of the SCONIC trial tried to identify an optimal definition for endoscopic healing/remission that would predict long term outcomes</w:t>
      </w:r>
      <w:r w:rsidR="00B0653C" w:rsidRPr="00CE02BD">
        <w:rPr>
          <w:rFonts w:ascii="Book Antiqua" w:hAnsi="Book Antiqua"/>
          <w:color w:val="000000" w:themeColor="text1"/>
          <w:sz w:val="24"/>
          <w:szCs w:val="24"/>
          <w:lang w:val="en-US"/>
        </w:rPr>
        <w:t xml:space="preserve"> in CD</w:t>
      </w:r>
      <w:r w:rsidRPr="00CE02BD">
        <w:rPr>
          <w:rFonts w:ascii="Book Antiqua" w:hAnsi="Book Antiqua"/>
          <w:color w:val="000000" w:themeColor="text1"/>
          <w:sz w:val="24"/>
          <w:szCs w:val="24"/>
          <w:lang w:val="en-US"/>
        </w:rPr>
        <w:t xml:space="preserve">. Mucosal healing </w:t>
      </w:r>
      <w:r w:rsidR="00B0653C" w:rsidRPr="00CE02BD">
        <w:rPr>
          <w:rFonts w:ascii="Book Antiqua" w:hAnsi="Book Antiqua"/>
          <w:color w:val="000000" w:themeColor="text1"/>
          <w:sz w:val="24"/>
          <w:szCs w:val="24"/>
          <w:lang w:val="en-US"/>
        </w:rPr>
        <w:t xml:space="preserve">(resolution of ulcers) </w:t>
      </w:r>
      <w:r w:rsidRPr="00CE02BD">
        <w:rPr>
          <w:rFonts w:ascii="Book Antiqua" w:hAnsi="Book Antiqua"/>
          <w:color w:val="000000" w:themeColor="text1"/>
          <w:sz w:val="24"/>
          <w:szCs w:val="24"/>
          <w:lang w:val="en-US"/>
        </w:rPr>
        <w:t xml:space="preserve">and endoscopic response (defined as a decrease from baseline SES-CD or CDEIS by at least 50%) at week 26 </w:t>
      </w:r>
      <w:r w:rsidR="00B0653C" w:rsidRPr="00CE02BD">
        <w:rPr>
          <w:rFonts w:ascii="Book Antiqua" w:hAnsi="Book Antiqua"/>
          <w:color w:val="000000" w:themeColor="text1"/>
          <w:sz w:val="24"/>
          <w:szCs w:val="24"/>
          <w:lang w:val="en-US"/>
        </w:rPr>
        <w:t xml:space="preserve">showed the best performance in identifying those most likely to be in corticosteroid-free clinical remission at week 50, however </w:t>
      </w:r>
      <w:r w:rsidR="00190B6D" w:rsidRPr="00CE02BD">
        <w:rPr>
          <w:rFonts w:ascii="Book Antiqua" w:hAnsi="Book Antiqua"/>
          <w:color w:val="000000" w:themeColor="text1"/>
          <w:sz w:val="24"/>
          <w:szCs w:val="24"/>
          <w:lang w:val="en-US"/>
        </w:rPr>
        <w:t>AUC values were fairly modest in either case, moreover a higher decrease from baseline SES-CD or CDEIS scores did not show better predictive performance</w:t>
      </w:r>
      <w:r w:rsidR="000F1138" w:rsidRPr="00CE02BD">
        <w:rPr>
          <w:rFonts w:ascii="Book Antiqua" w:eastAsia="Times New Roman" w:hAnsi="Book Antiqua" w:cstheme="minorHAnsi"/>
          <w:color w:val="000000"/>
          <w:sz w:val="24"/>
          <w:szCs w:val="24"/>
          <w:vertAlign w:val="superscript"/>
          <w:lang w:val="en-US"/>
        </w:rPr>
        <w:t>[</w:t>
      </w:r>
      <w:r w:rsidR="000F1138" w:rsidRPr="00CE02BD">
        <w:rPr>
          <w:rFonts w:ascii="Book Antiqua" w:hAnsi="Book Antiqua"/>
          <w:color w:val="000000" w:themeColor="text1"/>
          <w:sz w:val="24"/>
          <w:szCs w:val="24"/>
          <w:vertAlign w:val="superscript"/>
          <w:lang w:val="en-US"/>
        </w:rPr>
        <w:t>41</w:t>
      </w:r>
      <w:r w:rsidR="000F1138" w:rsidRPr="00CE02BD">
        <w:rPr>
          <w:rFonts w:ascii="Book Antiqua" w:hAnsi="Book Antiqua"/>
          <w:sz w:val="24"/>
          <w:szCs w:val="24"/>
          <w:vertAlign w:val="superscript"/>
          <w:lang w:val="en-US"/>
        </w:rPr>
        <w:t>]</w:t>
      </w:r>
      <w:r w:rsidR="00190B6D" w:rsidRPr="00CE02BD">
        <w:rPr>
          <w:rFonts w:ascii="Book Antiqua" w:hAnsi="Book Antiqua"/>
          <w:color w:val="000000" w:themeColor="text1"/>
          <w:sz w:val="24"/>
          <w:szCs w:val="24"/>
          <w:lang w:val="en-US"/>
        </w:rPr>
        <w:t xml:space="preserve">. This </w:t>
      </w:r>
      <w:r w:rsidR="00DE7D80" w:rsidRPr="00CE02BD">
        <w:rPr>
          <w:rFonts w:ascii="Book Antiqua" w:hAnsi="Book Antiqua"/>
          <w:color w:val="000000" w:themeColor="text1"/>
          <w:sz w:val="24"/>
          <w:szCs w:val="24"/>
          <w:lang w:val="en-US"/>
        </w:rPr>
        <w:t>further strengthen</w:t>
      </w:r>
      <w:r w:rsidR="00E16EA7" w:rsidRPr="00CE02BD">
        <w:rPr>
          <w:rFonts w:ascii="Book Antiqua" w:hAnsi="Book Antiqua"/>
          <w:color w:val="000000" w:themeColor="text1"/>
          <w:sz w:val="24"/>
          <w:szCs w:val="24"/>
          <w:lang w:val="en-US"/>
        </w:rPr>
        <w:t>s</w:t>
      </w:r>
      <w:r w:rsidR="00DE7D80" w:rsidRPr="00CE02BD">
        <w:rPr>
          <w:rFonts w:ascii="Book Antiqua" w:hAnsi="Book Antiqua"/>
          <w:color w:val="000000" w:themeColor="text1"/>
          <w:sz w:val="24"/>
          <w:szCs w:val="24"/>
          <w:lang w:val="en-US"/>
        </w:rPr>
        <w:t xml:space="preserve"> the fact that</w:t>
      </w:r>
      <w:r w:rsidR="00190B6D" w:rsidRPr="00CE02BD">
        <w:rPr>
          <w:rFonts w:ascii="Book Antiqua" w:hAnsi="Book Antiqua"/>
          <w:color w:val="000000" w:themeColor="text1"/>
          <w:sz w:val="24"/>
          <w:szCs w:val="24"/>
          <w:lang w:val="en-US"/>
        </w:rPr>
        <w:t xml:space="preserve"> the desired degree of endoscopic healing to reach superior long-term outcomes or the absence of endoscopic improvement which should prompt therapy change is largely unknown.</w:t>
      </w:r>
      <w:r w:rsidR="00DE7D80" w:rsidRPr="00CE02BD">
        <w:rPr>
          <w:rFonts w:ascii="Book Antiqua" w:hAnsi="Book Antiqua"/>
          <w:color w:val="000000" w:themeColor="text1"/>
          <w:sz w:val="24"/>
          <w:szCs w:val="24"/>
          <w:lang w:val="en-US"/>
        </w:rPr>
        <w:t xml:space="preserve"> The same problem applies for clinical trial design where the absence of validated definitions of endoscopic healing leads to the arbitrary choice of endoscopic endpoints by investigators. Recently, t</w:t>
      </w:r>
      <w:r w:rsidRPr="00CE02BD">
        <w:rPr>
          <w:rFonts w:ascii="Book Antiqua" w:hAnsi="Book Antiqua"/>
          <w:color w:val="000000" w:themeColor="text1"/>
          <w:sz w:val="24"/>
          <w:szCs w:val="24"/>
          <w:lang w:val="en-US"/>
        </w:rPr>
        <w:t>he International Organization for the Study of Infl</w:t>
      </w:r>
      <w:r w:rsidR="00017EFA" w:rsidRPr="00CE02BD">
        <w:rPr>
          <w:rFonts w:ascii="Book Antiqua" w:hAnsi="Book Antiqua"/>
          <w:color w:val="000000" w:themeColor="text1"/>
          <w:sz w:val="24"/>
          <w:szCs w:val="24"/>
          <w:lang w:val="en-US"/>
        </w:rPr>
        <w:t>ammatory Bowel Disease (IOIBD) reviewed</w:t>
      </w:r>
      <w:r w:rsidR="00B0653C" w:rsidRPr="00CE02BD">
        <w:rPr>
          <w:rFonts w:ascii="Book Antiqua" w:hAnsi="Book Antiqua"/>
          <w:color w:val="000000" w:themeColor="text1"/>
          <w:sz w:val="24"/>
          <w:szCs w:val="24"/>
          <w:lang w:val="en-US"/>
        </w:rPr>
        <w:t xml:space="preserve"> </w:t>
      </w:r>
      <w:r w:rsidR="00017EFA" w:rsidRPr="00CE02BD">
        <w:rPr>
          <w:rFonts w:ascii="Book Antiqua" w:hAnsi="Book Antiqua"/>
          <w:color w:val="000000" w:themeColor="text1"/>
          <w:sz w:val="24"/>
          <w:szCs w:val="24"/>
          <w:lang w:val="en-US"/>
        </w:rPr>
        <w:t>endoscopic</w:t>
      </w:r>
      <w:r w:rsidRPr="00CE02BD">
        <w:rPr>
          <w:rFonts w:ascii="Book Antiqua" w:hAnsi="Book Antiqua"/>
          <w:color w:val="000000" w:themeColor="text1"/>
          <w:sz w:val="24"/>
          <w:szCs w:val="24"/>
          <w:lang w:val="en-US"/>
        </w:rPr>
        <w:t xml:space="preserve"> scoring systems </w:t>
      </w:r>
      <w:r w:rsidR="00017EFA" w:rsidRPr="00CE02BD">
        <w:rPr>
          <w:rFonts w:ascii="Book Antiqua" w:hAnsi="Book Antiqua"/>
          <w:color w:val="000000" w:themeColor="text1"/>
          <w:sz w:val="24"/>
          <w:szCs w:val="24"/>
          <w:lang w:val="en-US"/>
        </w:rPr>
        <w:t xml:space="preserve">and </w:t>
      </w:r>
      <w:r w:rsidRPr="00CE02BD">
        <w:rPr>
          <w:rFonts w:ascii="Book Antiqua" w:hAnsi="Book Antiqua"/>
          <w:color w:val="000000" w:themeColor="text1"/>
          <w:sz w:val="24"/>
          <w:szCs w:val="24"/>
          <w:lang w:val="en-US"/>
        </w:rPr>
        <w:t xml:space="preserve">achieved consensus on </w:t>
      </w:r>
      <w:r w:rsidR="00B0653C" w:rsidRPr="00CE02BD">
        <w:rPr>
          <w:rFonts w:ascii="Book Antiqua" w:hAnsi="Book Antiqua"/>
          <w:color w:val="000000" w:themeColor="text1"/>
          <w:sz w:val="24"/>
          <w:szCs w:val="24"/>
          <w:lang w:val="en-US"/>
        </w:rPr>
        <w:t xml:space="preserve">definitions of </w:t>
      </w:r>
      <w:r w:rsidR="00017EFA" w:rsidRPr="00CE02BD">
        <w:rPr>
          <w:rFonts w:ascii="Book Antiqua" w:hAnsi="Book Antiqua"/>
          <w:color w:val="000000" w:themeColor="text1"/>
          <w:sz w:val="24"/>
          <w:szCs w:val="24"/>
          <w:lang w:val="en-US"/>
        </w:rPr>
        <w:t xml:space="preserve">endoscopic </w:t>
      </w:r>
      <w:r w:rsidR="00B0653C" w:rsidRPr="00CE02BD">
        <w:rPr>
          <w:rFonts w:ascii="Book Antiqua" w:hAnsi="Book Antiqua"/>
          <w:color w:val="000000" w:themeColor="text1"/>
          <w:sz w:val="24"/>
          <w:szCs w:val="24"/>
          <w:lang w:val="en-US"/>
        </w:rPr>
        <w:t xml:space="preserve">remission and </w:t>
      </w:r>
      <w:r w:rsidRPr="00CE02BD">
        <w:rPr>
          <w:rFonts w:ascii="Book Antiqua" w:hAnsi="Book Antiqua"/>
          <w:color w:val="000000" w:themeColor="text1"/>
          <w:sz w:val="24"/>
          <w:szCs w:val="24"/>
          <w:lang w:val="en-US"/>
        </w:rPr>
        <w:t>response</w:t>
      </w:r>
      <w:r w:rsidR="00B0653C" w:rsidRPr="00CE02BD">
        <w:rPr>
          <w:rFonts w:ascii="Book Antiqua" w:hAnsi="Book Antiqua"/>
          <w:color w:val="000000" w:themeColor="text1"/>
          <w:sz w:val="24"/>
          <w:szCs w:val="24"/>
          <w:lang w:val="en-US"/>
        </w:rPr>
        <w:t xml:space="preserve"> in CD. </w:t>
      </w:r>
      <w:r w:rsidRPr="00CE02BD">
        <w:rPr>
          <w:rFonts w:ascii="Book Antiqua" w:hAnsi="Book Antiqua"/>
          <w:color w:val="000000" w:themeColor="text1"/>
          <w:sz w:val="24"/>
          <w:szCs w:val="24"/>
          <w:lang w:val="en-US"/>
        </w:rPr>
        <w:t xml:space="preserve">Expert </w:t>
      </w:r>
      <w:r w:rsidR="00B0653C" w:rsidRPr="00CE02BD">
        <w:rPr>
          <w:rFonts w:ascii="Book Antiqua" w:hAnsi="Book Antiqua"/>
          <w:color w:val="000000" w:themeColor="text1"/>
          <w:sz w:val="24"/>
          <w:szCs w:val="24"/>
          <w:lang w:val="en-US"/>
        </w:rPr>
        <w:t xml:space="preserve">investigators </w:t>
      </w:r>
      <w:r w:rsidR="00017EFA" w:rsidRPr="00CE02BD">
        <w:rPr>
          <w:rFonts w:ascii="Book Antiqua" w:hAnsi="Book Antiqua"/>
          <w:color w:val="000000" w:themeColor="text1"/>
          <w:sz w:val="24"/>
          <w:szCs w:val="24"/>
          <w:lang w:val="en-US"/>
        </w:rPr>
        <w:t>chose</w:t>
      </w:r>
      <w:r w:rsidR="00B0653C" w:rsidRPr="00CE02BD">
        <w:rPr>
          <w:rFonts w:ascii="Book Antiqua" w:hAnsi="Book Antiqua"/>
          <w:color w:val="000000" w:themeColor="text1"/>
          <w:sz w:val="24"/>
          <w:szCs w:val="24"/>
          <w:lang w:val="en-US"/>
        </w:rPr>
        <w:t xml:space="preserve"> a &gt;</w:t>
      </w:r>
      <w:r w:rsidR="00967F41"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50% decrease in SES-CD or</w:t>
      </w:r>
      <w:r w:rsidR="00B0653C" w:rsidRPr="00CE02BD">
        <w:rPr>
          <w:rFonts w:ascii="Book Antiqua" w:hAnsi="Book Antiqua"/>
          <w:color w:val="000000" w:themeColor="text1"/>
          <w:sz w:val="24"/>
          <w:szCs w:val="24"/>
          <w:lang w:val="en-US"/>
        </w:rPr>
        <w:t xml:space="preserve"> CDIES</w:t>
      </w:r>
      <w:r w:rsidRPr="00CE02BD">
        <w:rPr>
          <w:rFonts w:ascii="Book Antiqua" w:hAnsi="Book Antiqua"/>
          <w:color w:val="000000" w:themeColor="text1"/>
          <w:sz w:val="24"/>
          <w:szCs w:val="24"/>
          <w:lang w:val="en-US"/>
        </w:rPr>
        <w:t xml:space="preserve"> for the definition of endoscopic response, and</w:t>
      </w:r>
      <w:r w:rsidR="00B0653C"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an SES-CD 0–2 for the definition of endoscopic </w:t>
      </w:r>
      <w:proofErr w:type="gramStart"/>
      <w:r w:rsidRPr="00CE02BD">
        <w:rPr>
          <w:rFonts w:ascii="Book Antiqua" w:hAnsi="Book Antiqua"/>
          <w:color w:val="000000" w:themeColor="text1"/>
          <w:sz w:val="24"/>
          <w:szCs w:val="24"/>
          <w:lang w:val="en-US"/>
        </w:rPr>
        <w:t>remission</w:t>
      </w:r>
      <w:bookmarkStart w:id="66" w:name="_Ref18739807"/>
      <w:r w:rsidR="000F1138" w:rsidRPr="00CE02BD">
        <w:rPr>
          <w:rFonts w:ascii="Book Antiqua" w:eastAsia="Times New Roman" w:hAnsi="Book Antiqua" w:cstheme="minorHAnsi"/>
          <w:color w:val="000000"/>
          <w:sz w:val="24"/>
          <w:szCs w:val="24"/>
          <w:vertAlign w:val="superscript"/>
          <w:lang w:val="en-US"/>
        </w:rPr>
        <w:t>[</w:t>
      </w:r>
      <w:bookmarkEnd w:id="66"/>
      <w:proofErr w:type="gramEnd"/>
      <w:r w:rsidR="000F1138" w:rsidRPr="00CE02BD">
        <w:rPr>
          <w:rFonts w:ascii="Book Antiqua" w:hAnsi="Book Antiqua"/>
          <w:color w:val="000000" w:themeColor="text1"/>
          <w:sz w:val="24"/>
          <w:szCs w:val="24"/>
          <w:vertAlign w:val="superscript"/>
          <w:lang w:val="en-US"/>
        </w:rPr>
        <w:t>42</w:t>
      </w:r>
      <w:r w:rsidR="000F1138" w:rsidRPr="00CE02BD">
        <w:rPr>
          <w:rFonts w:ascii="Book Antiqua" w:hAnsi="Book Antiqua"/>
          <w:sz w:val="24"/>
          <w:szCs w:val="24"/>
          <w:vertAlign w:val="superscript"/>
          <w:lang w:val="en-US"/>
        </w:rPr>
        <w:t>]</w:t>
      </w:r>
      <w:r w:rsidRPr="00CE02BD">
        <w:rPr>
          <w:rFonts w:ascii="Book Antiqua" w:hAnsi="Book Antiqua"/>
          <w:color w:val="000000" w:themeColor="text1"/>
          <w:sz w:val="24"/>
          <w:szCs w:val="24"/>
          <w:lang w:val="en-US"/>
        </w:rPr>
        <w:t>. Of note, these recommendations are yet to</w:t>
      </w:r>
      <w:r w:rsidR="00B0653C"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be subjected to thorough validation and prospective testing before widely incorporated into clinical</w:t>
      </w:r>
      <w:r w:rsidR="00B0653C"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trial </w:t>
      </w:r>
      <w:r w:rsidR="00017EFA" w:rsidRPr="00CE02BD">
        <w:rPr>
          <w:rFonts w:ascii="Book Antiqua" w:hAnsi="Book Antiqua"/>
          <w:color w:val="000000" w:themeColor="text1"/>
          <w:sz w:val="24"/>
          <w:szCs w:val="24"/>
          <w:lang w:val="en-US"/>
        </w:rPr>
        <w:t>endpoints</w:t>
      </w:r>
      <w:r w:rsidR="00B0653C" w:rsidRPr="00CE02BD">
        <w:rPr>
          <w:rFonts w:ascii="Book Antiqua" w:hAnsi="Book Antiqua"/>
          <w:color w:val="000000" w:themeColor="text1"/>
          <w:sz w:val="24"/>
          <w:szCs w:val="24"/>
          <w:lang w:val="en-US"/>
        </w:rPr>
        <w:t xml:space="preserve"> or everyday clinical practice</w:t>
      </w:r>
      <w:r w:rsidRPr="00CE02BD">
        <w:rPr>
          <w:rFonts w:ascii="Book Antiqua" w:hAnsi="Book Antiqua"/>
          <w:color w:val="000000" w:themeColor="text1"/>
          <w:sz w:val="24"/>
          <w:szCs w:val="24"/>
          <w:lang w:val="en-US"/>
        </w:rPr>
        <w:t>.</w:t>
      </w:r>
    </w:p>
    <w:p w14:paraId="16177AE4" w14:textId="12A5EDDE" w:rsidR="00DE7D80" w:rsidRPr="00CE02BD" w:rsidRDefault="00DE7D80"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 xml:space="preserve">Although endoscopic </w:t>
      </w:r>
      <w:r w:rsidR="00017EFA" w:rsidRPr="00CE02BD">
        <w:rPr>
          <w:rFonts w:ascii="Book Antiqua" w:hAnsi="Book Antiqua"/>
          <w:color w:val="000000" w:themeColor="text1"/>
          <w:sz w:val="24"/>
          <w:szCs w:val="24"/>
          <w:lang w:val="en-US"/>
        </w:rPr>
        <w:t>healing</w:t>
      </w:r>
      <w:r w:rsidRPr="00CE02BD">
        <w:rPr>
          <w:rFonts w:ascii="Book Antiqua" w:hAnsi="Book Antiqua"/>
          <w:color w:val="000000" w:themeColor="text1"/>
          <w:sz w:val="24"/>
          <w:szCs w:val="24"/>
          <w:lang w:val="en-US"/>
        </w:rPr>
        <w:t xml:space="preserve"> is a c</w:t>
      </w:r>
      <w:r w:rsidR="00017EFA" w:rsidRPr="00CE02BD">
        <w:rPr>
          <w:rFonts w:ascii="Book Antiqua" w:hAnsi="Book Antiqua"/>
          <w:color w:val="000000" w:themeColor="text1"/>
          <w:sz w:val="24"/>
          <w:szCs w:val="24"/>
          <w:lang w:val="en-US"/>
        </w:rPr>
        <w:t>ritical target in</w:t>
      </w:r>
      <w:r w:rsidRPr="00CE02BD">
        <w:rPr>
          <w:rFonts w:ascii="Book Antiqua" w:hAnsi="Book Antiqua"/>
          <w:color w:val="000000" w:themeColor="text1"/>
          <w:sz w:val="24"/>
          <w:szCs w:val="24"/>
          <w:lang w:val="en-US"/>
        </w:rPr>
        <w:t xml:space="preserve"> UC, the scoring systems </w:t>
      </w:r>
      <w:r w:rsidR="00017EFA" w:rsidRPr="00CE02BD">
        <w:rPr>
          <w:rFonts w:ascii="Book Antiqua" w:hAnsi="Book Antiqua"/>
          <w:color w:val="000000" w:themeColor="text1"/>
          <w:sz w:val="24"/>
          <w:szCs w:val="24"/>
          <w:lang w:val="en-US"/>
        </w:rPr>
        <w:t>and endoscopic criteria of healing also</w:t>
      </w:r>
      <w:r w:rsidRPr="00CE02BD">
        <w:rPr>
          <w:rFonts w:ascii="Book Antiqua" w:hAnsi="Book Antiqua"/>
          <w:color w:val="000000" w:themeColor="text1"/>
          <w:sz w:val="24"/>
          <w:szCs w:val="24"/>
          <w:lang w:val="en-US"/>
        </w:rPr>
        <w:t xml:space="preserve"> warrant revision. </w:t>
      </w:r>
      <w:r w:rsidR="00F15E31" w:rsidRPr="00CE02BD">
        <w:rPr>
          <w:rFonts w:ascii="Book Antiqua" w:hAnsi="Book Antiqua"/>
          <w:color w:val="000000" w:themeColor="text1"/>
          <w:sz w:val="24"/>
          <w:szCs w:val="24"/>
          <w:lang w:val="en-US"/>
        </w:rPr>
        <w:t xml:space="preserve">Generally, a Mayo 0 or 1 </w:t>
      </w:r>
      <w:r w:rsidR="00F15E31" w:rsidRPr="00CE02BD">
        <w:rPr>
          <w:rFonts w:ascii="Book Antiqua" w:hAnsi="Book Antiqua"/>
          <w:color w:val="000000" w:themeColor="text1"/>
          <w:sz w:val="24"/>
          <w:szCs w:val="24"/>
          <w:lang w:val="en-US"/>
        </w:rPr>
        <w:lastRenderedPageBreak/>
        <w:t xml:space="preserve">endoscopic score is considered to be endoscopic remission, however </w:t>
      </w:r>
      <w:r w:rsidR="00017EFA" w:rsidRPr="00CE02BD">
        <w:rPr>
          <w:rFonts w:ascii="Book Antiqua" w:hAnsi="Book Antiqua"/>
          <w:color w:val="000000" w:themeColor="text1"/>
          <w:sz w:val="24"/>
          <w:szCs w:val="24"/>
          <w:lang w:val="en-US"/>
        </w:rPr>
        <w:t>new data show</w:t>
      </w:r>
      <w:r w:rsidR="00F15E31" w:rsidRPr="00CE02BD">
        <w:rPr>
          <w:rFonts w:ascii="Book Antiqua" w:hAnsi="Book Antiqua"/>
          <w:color w:val="000000" w:themeColor="text1"/>
          <w:sz w:val="24"/>
          <w:szCs w:val="24"/>
          <w:lang w:val="en-US"/>
        </w:rPr>
        <w:t xml:space="preserve"> that a score of 0 is associated with lower risk of clinical relapse compared with a score of 1</w:t>
      </w:r>
      <w:r w:rsidR="000F1138" w:rsidRPr="00CE02BD">
        <w:rPr>
          <w:rFonts w:ascii="Book Antiqua" w:eastAsia="Times New Roman" w:hAnsi="Book Antiqua" w:cstheme="minorHAnsi"/>
          <w:color w:val="000000"/>
          <w:sz w:val="24"/>
          <w:szCs w:val="24"/>
          <w:vertAlign w:val="superscript"/>
          <w:lang w:val="en-US"/>
        </w:rPr>
        <w:t>[</w:t>
      </w:r>
      <w:r w:rsidR="000F1138" w:rsidRPr="00CE02BD">
        <w:rPr>
          <w:rFonts w:ascii="Book Antiqua" w:hAnsi="Book Antiqua"/>
          <w:color w:val="000000" w:themeColor="text1"/>
          <w:sz w:val="24"/>
          <w:szCs w:val="24"/>
          <w:vertAlign w:val="superscript"/>
          <w:lang w:val="en-US"/>
        </w:rPr>
        <w:t>43,44</w:t>
      </w:r>
      <w:r w:rsidR="000F1138" w:rsidRPr="00CE02BD">
        <w:rPr>
          <w:rFonts w:ascii="Book Antiqua" w:hAnsi="Book Antiqua"/>
          <w:sz w:val="24"/>
          <w:szCs w:val="24"/>
          <w:vertAlign w:val="superscript"/>
          <w:lang w:val="en-US"/>
        </w:rPr>
        <w:t>]</w:t>
      </w:r>
      <w:r w:rsidR="00F15E31"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Updates in the endoscopic Mayo score incorporating disease extent correlate </w:t>
      </w:r>
      <w:r w:rsidR="00017EFA" w:rsidRPr="00CE02BD">
        <w:rPr>
          <w:rFonts w:ascii="Book Antiqua" w:hAnsi="Book Antiqua"/>
          <w:color w:val="000000" w:themeColor="text1"/>
          <w:sz w:val="24"/>
          <w:szCs w:val="24"/>
          <w:lang w:val="en-US"/>
        </w:rPr>
        <w:t xml:space="preserve">well </w:t>
      </w:r>
      <w:r w:rsidRPr="00CE02BD">
        <w:rPr>
          <w:rFonts w:ascii="Book Antiqua" w:hAnsi="Book Antiqua"/>
          <w:color w:val="000000" w:themeColor="text1"/>
          <w:sz w:val="24"/>
          <w:szCs w:val="24"/>
          <w:lang w:val="en-US"/>
        </w:rPr>
        <w:t xml:space="preserve">with clinical and endoscopic outcomes and </w:t>
      </w:r>
      <w:r w:rsidR="00017EFA" w:rsidRPr="00CE02BD">
        <w:rPr>
          <w:rFonts w:ascii="Book Antiqua" w:hAnsi="Book Antiqua"/>
          <w:color w:val="000000" w:themeColor="text1"/>
          <w:sz w:val="24"/>
          <w:szCs w:val="24"/>
          <w:lang w:val="en-US"/>
        </w:rPr>
        <w:t>may improve the</w:t>
      </w:r>
      <w:r w:rsidR="00643C43" w:rsidRPr="00CE02BD">
        <w:rPr>
          <w:rFonts w:ascii="Book Antiqua" w:hAnsi="Book Antiqua"/>
          <w:color w:val="000000" w:themeColor="text1"/>
          <w:sz w:val="24"/>
          <w:szCs w:val="24"/>
          <w:lang w:val="en-US"/>
        </w:rPr>
        <w:t xml:space="preserve"> applicability</w:t>
      </w:r>
      <w:r w:rsidR="00017EFA" w:rsidRPr="00CE02BD">
        <w:rPr>
          <w:rFonts w:ascii="Book Antiqua" w:hAnsi="Book Antiqua"/>
          <w:color w:val="000000" w:themeColor="text1"/>
          <w:sz w:val="24"/>
          <w:szCs w:val="24"/>
          <w:lang w:val="en-US"/>
        </w:rPr>
        <w:t xml:space="preserve"> and accuracy of the most widely used scoring </w:t>
      </w:r>
      <w:proofErr w:type="gramStart"/>
      <w:r w:rsidR="00017EFA" w:rsidRPr="00CE02BD">
        <w:rPr>
          <w:rFonts w:ascii="Book Antiqua" w:hAnsi="Book Antiqua"/>
          <w:color w:val="000000" w:themeColor="text1"/>
          <w:sz w:val="24"/>
          <w:szCs w:val="24"/>
          <w:lang w:val="en-US"/>
        </w:rPr>
        <w:t>system</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45</w:t>
      </w:r>
      <w:r w:rsidR="000F1138" w:rsidRPr="00CE02BD">
        <w:rPr>
          <w:rFonts w:ascii="Book Antiqua" w:hAnsi="Book Antiqua"/>
          <w:sz w:val="24"/>
          <w:szCs w:val="24"/>
          <w:vertAlign w:val="superscript"/>
          <w:lang w:val="en-US"/>
        </w:rPr>
        <w:t>]</w:t>
      </w:r>
      <w:r w:rsidR="00643C43"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643C43" w:rsidRPr="00CE02BD">
        <w:rPr>
          <w:rFonts w:ascii="Book Antiqua" w:hAnsi="Book Antiqua"/>
          <w:color w:val="000000" w:themeColor="text1"/>
          <w:sz w:val="24"/>
          <w:szCs w:val="24"/>
          <w:lang w:val="en-US"/>
        </w:rPr>
        <w:t>T</w:t>
      </w:r>
      <w:r w:rsidRPr="00CE02BD">
        <w:rPr>
          <w:rFonts w:ascii="Book Antiqua" w:hAnsi="Book Antiqua"/>
          <w:color w:val="000000" w:themeColor="text1"/>
          <w:sz w:val="24"/>
          <w:szCs w:val="24"/>
          <w:lang w:val="en-US"/>
        </w:rPr>
        <w:t xml:space="preserve">he UCEIS is </w:t>
      </w:r>
      <w:r w:rsidR="00017EFA" w:rsidRPr="00CE02BD">
        <w:rPr>
          <w:rFonts w:ascii="Book Antiqua" w:hAnsi="Book Antiqua"/>
          <w:color w:val="000000" w:themeColor="text1"/>
          <w:sz w:val="24"/>
          <w:szCs w:val="24"/>
          <w:lang w:val="en-US"/>
        </w:rPr>
        <w:t xml:space="preserve">also accurate and responsive, and takes </w:t>
      </w:r>
      <w:r w:rsidRPr="00CE02BD">
        <w:rPr>
          <w:rFonts w:ascii="Book Antiqua" w:hAnsi="Book Antiqua"/>
          <w:color w:val="000000" w:themeColor="text1"/>
          <w:sz w:val="24"/>
          <w:szCs w:val="24"/>
          <w:lang w:val="en-US"/>
        </w:rPr>
        <w:t>ulcer size and depth</w:t>
      </w:r>
      <w:r w:rsidR="00017EFA" w:rsidRPr="00CE02BD">
        <w:rPr>
          <w:rFonts w:ascii="Book Antiqua" w:hAnsi="Book Antiqua"/>
          <w:color w:val="000000" w:themeColor="text1"/>
          <w:sz w:val="24"/>
          <w:szCs w:val="24"/>
          <w:lang w:val="en-US"/>
        </w:rPr>
        <w:t xml:space="preserve"> in consideration</w:t>
      </w:r>
      <w:r w:rsidRPr="00CE02BD">
        <w:rPr>
          <w:rFonts w:ascii="Book Antiqua" w:hAnsi="Book Antiqua"/>
          <w:color w:val="000000" w:themeColor="text1"/>
          <w:sz w:val="24"/>
          <w:szCs w:val="24"/>
          <w:lang w:val="en-US"/>
        </w:rPr>
        <w:t>, parameters</w:t>
      </w:r>
      <w:r w:rsidR="00643C43"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that are not captured by the </w:t>
      </w:r>
      <w:r w:rsidR="00017EFA" w:rsidRPr="00CE02BD">
        <w:rPr>
          <w:rFonts w:ascii="Book Antiqua" w:hAnsi="Book Antiqua"/>
          <w:color w:val="000000" w:themeColor="text1"/>
          <w:sz w:val="24"/>
          <w:szCs w:val="24"/>
          <w:lang w:val="en-US"/>
        </w:rPr>
        <w:t xml:space="preserve">endoscopic </w:t>
      </w:r>
      <w:r w:rsidRPr="00CE02BD">
        <w:rPr>
          <w:rFonts w:ascii="Book Antiqua" w:hAnsi="Book Antiqua"/>
          <w:color w:val="000000" w:themeColor="text1"/>
          <w:sz w:val="24"/>
          <w:szCs w:val="24"/>
          <w:lang w:val="en-US"/>
        </w:rPr>
        <w:t>Mayo score</w:t>
      </w:r>
      <w:r w:rsidR="00643C43" w:rsidRPr="00CE02BD">
        <w:rPr>
          <w:rFonts w:ascii="Book Antiqua" w:hAnsi="Book Antiqua"/>
          <w:color w:val="000000" w:themeColor="text1"/>
          <w:sz w:val="24"/>
          <w:szCs w:val="24"/>
          <w:lang w:val="en-US"/>
        </w:rPr>
        <w:t xml:space="preserve">, however </w:t>
      </w:r>
      <w:r w:rsidR="00643C43" w:rsidRPr="00CE02BD">
        <w:rPr>
          <w:rFonts w:ascii="Book Antiqua" w:hAnsi="Book Antiqua" w:cstheme="minorHAnsi"/>
          <w:color w:val="000000" w:themeColor="text1"/>
          <w:sz w:val="24"/>
          <w:szCs w:val="24"/>
          <w:lang w:val="en-US"/>
        </w:rPr>
        <w:t>the assessment of friability is excluded</w:t>
      </w:r>
      <w:r w:rsidR="00017EFA" w:rsidRPr="00CE02BD">
        <w:rPr>
          <w:rFonts w:ascii="Book Antiqua" w:hAnsi="Book Antiqua" w:cstheme="minorHAnsi"/>
          <w:color w:val="000000" w:themeColor="text1"/>
          <w:sz w:val="24"/>
          <w:szCs w:val="24"/>
          <w:lang w:val="en-US"/>
        </w:rPr>
        <w:t xml:space="preserve"> from the </w:t>
      </w:r>
      <w:proofErr w:type="gramStart"/>
      <w:r w:rsidR="00017EFA" w:rsidRPr="00CE02BD">
        <w:rPr>
          <w:rFonts w:ascii="Book Antiqua" w:hAnsi="Book Antiqua" w:cstheme="minorHAnsi"/>
          <w:color w:val="000000" w:themeColor="text1"/>
          <w:sz w:val="24"/>
          <w:szCs w:val="24"/>
          <w:lang w:val="en-US"/>
        </w:rPr>
        <w:t>UCEIS</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hAnsi="Book Antiqua" w:cstheme="minorHAnsi"/>
          <w:color w:val="000000" w:themeColor="text1"/>
          <w:sz w:val="24"/>
          <w:szCs w:val="24"/>
          <w:vertAlign w:val="superscript"/>
          <w:lang w:val="en-US"/>
        </w:rPr>
        <w:t>46</w:t>
      </w:r>
      <w:r w:rsidR="000F1138" w:rsidRPr="00CE02BD">
        <w:rPr>
          <w:rFonts w:ascii="Book Antiqua" w:hAnsi="Book Antiqua"/>
          <w:sz w:val="24"/>
          <w:szCs w:val="24"/>
          <w:vertAlign w:val="superscript"/>
          <w:lang w:val="en-US"/>
        </w:rPr>
        <w:t>]</w:t>
      </w:r>
      <w:r w:rsidR="00643C43" w:rsidRPr="00CE02BD">
        <w:rPr>
          <w:rFonts w:ascii="Book Antiqua" w:hAnsi="Book Antiqua" w:cstheme="minorHAnsi"/>
          <w:color w:val="000000" w:themeColor="text1"/>
          <w:sz w:val="24"/>
          <w:szCs w:val="24"/>
          <w:lang w:val="en-US"/>
        </w:rPr>
        <w:t>.</w:t>
      </w:r>
      <w:r w:rsidR="00364BA4" w:rsidRPr="00CE02BD">
        <w:rPr>
          <w:rFonts w:ascii="Book Antiqua" w:hAnsi="Book Antiqua" w:cstheme="minorHAnsi"/>
          <w:color w:val="000000" w:themeColor="text1"/>
          <w:sz w:val="24"/>
          <w:szCs w:val="24"/>
          <w:lang w:val="en-US"/>
        </w:rPr>
        <w:t xml:space="preserve"> Recently, the IOIBD suggested the use of UCEIS of 0 as the definition of endoscopic remission and </w:t>
      </w:r>
      <w:r w:rsidR="00364BA4" w:rsidRPr="00CE02BD">
        <w:rPr>
          <w:rFonts w:ascii="Book Antiqua" w:eastAsia="Times New Roman" w:hAnsi="Book Antiqua" w:cstheme="minorHAnsi"/>
          <w:color w:val="000000"/>
          <w:sz w:val="24"/>
          <w:szCs w:val="24"/>
          <w:lang w:val="en-US"/>
        </w:rPr>
        <w:t>a decrease in Mayo endoscopic score ≥</w:t>
      </w:r>
      <w:r w:rsidR="00967F41" w:rsidRPr="00CE02BD">
        <w:rPr>
          <w:rFonts w:ascii="Book Antiqua" w:eastAsia="Times New Roman" w:hAnsi="Book Antiqua" w:cstheme="minorHAnsi"/>
          <w:color w:val="000000"/>
          <w:sz w:val="24"/>
          <w:szCs w:val="24"/>
          <w:lang w:val="en-US"/>
        </w:rPr>
        <w:t xml:space="preserve"> </w:t>
      </w:r>
      <w:r w:rsidR="00364BA4" w:rsidRPr="00CE02BD">
        <w:rPr>
          <w:rFonts w:ascii="Book Antiqua" w:eastAsia="Times New Roman" w:hAnsi="Book Antiqua" w:cstheme="minorHAnsi"/>
          <w:color w:val="000000"/>
          <w:sz w:val="24"/>
          <w:szCs w:val="24"/>
          <w:lang w:val="en-US"/>
        </w:rPr>
        <w:t>1 grade or a decrease in UCEIS ≥</w:t>
      </w:r>
      <w:r w:rsidR="00967F41" w:rsidRPr="00CE02BD">
        <w:rPr>
          <w:rFonts w:ascii="Book Antiqua" w:eastAsia="Times New Roman" w:hAnsi="Book Antiqua" w:cstheme="minorHAnsi"/>
          <w:color w:val="000000"/>
          <w:sz w:val="24"/>
          <w:szCs w:val="24"/>
          <w:lang w:val="en-US"/>
        </w:rPr>
        <w:t xml:space="preserve"> </w:t>
      </w:r>
      <w:r w:rsidR="00364BA4" w:rsidRPr="00CE02BD">
        <w:rPr>
          <w:rFonts w:ascii="Book Antiqua" w:eastAsia="Times New Roman" w:hAnsi="Book Antiqua" w:cstheme="minorHAnsi"/>
          <w:color w:val="000000"/>
          <w:sz w:val="24"/>
          <w:szCs w:val="24"/>
          <w:lang w:val="en-US"/>
        </w:rPr>
        <w:t xml:space="preserve">2 points for the definition of endoscopic response in </w:t>
      </w:r>
      <w:proofErr w:type="gramStart"/>
      <w:r w:rsidR="00732523" w:rsidRPr="00CE02BD">
        <w:rPr>
          <w:rFonts w:ascii="Book Antiqua" w:eastAsia="Times New Roman" w:hAnsi="Book Antiqua" w:cstheme="minorHAnsi"/>
          <w:color w:val="000000"/>
          <w:sz w:val="24"/>
          <w:szCs w:val="24"/>
          <w:lang w:val="en-US"/>
        </w:rPr>
        <w:t>UC</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47</w:t>
      </w:r>
      <w:r w:rsidR="000F1138" w:rsidRPr="00CE02BD">
        <w:rPr>
          <w:rFonts w:ascii="Book Antiqua" w:hAnsi="Book Antiqua"/>
          <w:sz w:val="24"/>
          <w:szCs w:val="24"/>
          <w:vertAlign w:val="superscript"/>
          <w:lang w:val="en-US"/>
        </w:rPr>
        <w:t>]</w:t>
      </w:r>
      <w:r w:rsidR="00364BA4" w:rsidRPr="00CE02BD">
        <w:rPr>
          <w:rFonts w:ascii="Book Antiqua" w:eastAsia="Times New Roman" w:hAnsi="Book Antiqua" w:cstheme="minorHAnsi"/>
          <w:color w:val="000000"/>
          <w:sz w:val="24"/>
          <w:szCs w:val="24"/>
          <w:lang w:val="en-US"/>
        </w:rPr>
        <w:t>.</w:t>
      </w:r>
    </w:p>
    <w:p w14:paraId="4E1EA114" w14:textId="77777777" w:rsidR="00C04B16" w:rsidRPr="00CE02BD" w:rsidRDefault="00C04B16" w:rsidP="000F1138">
      <w:pPr>
        <w:adjustRightInd w:val="0"/>
        <w:snapToGrid w:val="0"/>
        <w:spacing w:after="0" w:line="360" w:lineRule="auto"/>
        <w:jc w:val="both"/>
        <w:rPr>
          <w:rFonts w:ascii="Book Antiqua" w:hAnsi="Book Antiqua"/>
          <w:i/>
          <w:sz w:val="24"/>
          <w:szCs w:val="24"/>
          <w:lang w:val="en-US"/>
        </w:rPr>
      </w:pPr>
    </w:p>
    <w:p w14:paraId="3A268037" w14:textId="072A04EC" w:rsidR="007615A3" w:rsidRPr="00CE02BD" w:rsidRDefault="007615A3" w:rsidP="000F1138">
      <w:pPr>
        <w:adjustRightInd w:val="0"/>
        <w:snapToGrid w:val="0"/>
        <w:spacing w:after="0" w:line="360" w:lineRule="auto"/>
        <w:jc w:val="both"/>
        <w:rPr>
          <w:rFonts w:ascii="Book Antiqua" w:hAnsi="Book Antiqua"/>
          <w:b/>
          <w:i/>
          <w:sz w:val="24"/>
          <w:szCs w:val="24"/>
          <w:lang w:val="en-US"/>
        </w:rPr>
      </w:pPr>
      <w:r w:rsidRPr="00CE02BD">
        <w:rPr>
          <w:rFonts w:ascii="Book Antiqua" w:hAnsi="Book Antiqua"/>
          <w:b/>
          <w:i/>
          <w:sz w:val="24"/>
          <w:szCs w:val="24"/>
          <w:lang w:val="en-US"/>
        </w:rPr>
        <w:t>Biochemical targets</w:t>
      </w:r>
    </w:p>
    <w:p w14:paraId="4D2E7D7B" w14:textId="24C9613C" w:rsidR="008C1D4A" w:rsidRPr="00CE02BD" w:rsidRDefault="008C1D4A" w:rsidP="000F1138">
      <w:pPr>
        <w:adjustRightInd w:val="0"/>
        <w:snapToGrid w:val="0"/>
        <w:spacing w:after="0" w:line="360" w:lineRule="auto"/>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 xml:space="preserve">The most broadly used and </w:t>
      </w:r>
      <w:r w:rsidR="00C04B16" w:rsidRPr="00CE02BD">
        <w:rPr>
          <w:rFonts w:ascii="Book Antiqua" w:hAnsi="Book Antiqua"/>
          <w:color w:val="000000" w:themeColor="text1"/>
          <w:sz w:val="24"/>
          <w:szCs w:val="24"/>
          <w:lang w:val="en-US"/>
        </w:rPr>
        <w:t xml:space="preserve">thoroughly </w:t>
      </w:r>
      <w:r w:rsidRPr="00CE02BD">
        <w:rPr>
          <w:rFonts w:ascii="Book Antiqua" w:hAnsi="Book Antiqua"/>
          <w:color w:val="000000" w:themeColor="text1"/>
          <w:sz w:val="24"/>
          <w:szCs w:val="24"/>
          <w:lang w:val="en-US"/>
        </w:rPr>
        <w:t xml:space="preserve">studied biomarkers are </w:t>
      </w:r>
      <w:r w:rsidR="00C04B16" w:rsidRPr="00CE02BD">
        <w:rPr>
          <w:rFonts w:ascii="Book Antiqua" w:hAnsi="Book Antiqua"/>
          <w:color w:val="000000" w:themeColor="text1"/>
          <w:sz w:val="24"/>
          <w:szCs w:val="24"/>
          <w:lang w:val="en-US"/>
        </w:rPr>
        <w:t xml:space="preserve">the serum CRP and </w:t>
      </w:r>
      <w:r w:rsidRPr="00CE02BD">
        <w:rPr>
          <w:rFonts w:ascii="Book Antiqua" w:hAnsi="Book Antiqua"/>
          <w:color w:val="000000" w:themeColor="text1"/>
          <w:sz w:val="24"/>
          <w:szCs w:val="24"/>
          <w:lang w:val="en-US"/>
        </w:rPr>
        <w:t xml:space="preserve">FCAL. </w:t>
      </w:r>
      <w:r w:rsidR="00245E3E" w:rsidRPr="00CE02BD">
        <w:rPr>
          <w:rFonts w:ascii="Book Antiqua" w:hAnsi="Book Antiqua"/>
          <w:color w:val="000000" w:themeColor="text1"/>
          <w:sz w:val="24"/>
          <w:szCs w:val="24"/>
          <w:lang w:val="en-US"/>
        </w:rPr>
        <w:t xml:space="preserve">In general, elevated CRP </w:t>
      </w:r>
      <w:r w:rsidR="00C04B16" w:rsidRPr="00CE02BD">
        <w:rPr>
          <w:rFonts w:ascii="Book Antiqua" w:hAnsi="Book Antiqua"/>
          <w:color w:val="000000" w:themeColor="text1"/>
          <w:sz w:val="24"/>
          <w:szCs w:val="24"/>
          <w:lang w:val="en-US"/>
        </w:rPr>
        <w:t>levels in CD are</w:t>
      </w:r>
      <w:r w:rsidR="00245E3E" w:rsidRPr="00CE02BD">
        <w:rPr>
          <w:rFonts w:ascii="Book Antiqua" w:hAnsi="Book Antiqua"/>
          <w:color w:val="000000" w:themeColor="text1"/>
          <w:sz w:val="24"/>
          <w:szCs w:val="24"/>
          <w:lang w:val="en-US"/>
        </w:rPr>
        <w:t xml:space="preserve"> associated with clinical disease activity and endoscopic </w:t>
      </w:r>
      <w:proofErr w:type="gramStart"/>
      <w:r w:rsidR="00245E3E" w:rsidRPr="00CE02BD">
        <w:rPr>
          <w:rFonts w:ascii="Book Antiqua" w:hAnsi="Book Antiqua"/>
          <w:color w:val="000000" w:themeColor="text1"/>
          <w:sz w:val="24"/>
          <w:szCs w:val="24"/>
          <w:lang w:val="en-US"/>
        </w:rPr>
        <w:t>inflammation</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48]</w:t>
      </w:r>
      <w:r w:rsidR="00D72C01" w:rsidRPr="00CE02BD">
        <w:rPr>
          <w:rFonts w:ascii="Book Antiqua" w:hAnsi="Book Antiqua"/>
          <w:color w:val="000000" w:themeColor="text1"/>
          <w:sz w:val="24"/>
          <w:szCs w:val="24"/>
          <w:lang w:val="en-US"/>
        </w:rPr>
        <w:t>.</w:t>
      </w:r>
      <w:r w:rsidR="00245E3E" w:rsidRPr="00CE02BD">
        <w:rPr>
          <w:rFonts w:ascii="Book Antiqua" w:hAnsi="Book Antiqua"/>
          <w:color w:val="000000" w:themeColor="text1"/>
          <w:sz w:val="24"/>
          <w:szCs w:val="24"/>
          <w:lang w:val="en-US"/>
        </w:rPr>
        <w:t xml:space="preserve"> </w:t>
      </w:r>
      <w:r w:rsidR="0087765D" w:rsidRPr="00CE02BD">
        <w:rPr>
          <w:rFonts w:ascii="Book Antiqua" w:hAnsi="Book Antiqua"/>
          <w:color w:val="000000" w:themeColor="text1"/>
          <w:sz w:val="24"/>
          <w:szCs w:val="24"/>
          <w:lang w:val="en-US"/>
        </w:rPr>
        <w:t xml:space="preserve">Compelling </w:t>
      </w:r>
      <w:r w:rsidR="00C04B16" w:rsidRPr="00CE02BD">
        <w:rPr>
          <w:rFonts w:ascii="Book Antiqua" w:hAnsi="Book Antiqua"/>
          <w:color w:val="000000" w:themeColor="text1"/>
          <w:sz w:val="24"/>
          <w:szCs w:val="24"/>
          <w:lang w:val="en-US"/>
        </w:rPr>
        <w:t>results show</w:t>
      </w:r>
      <w:r w:rsidR="0087765D" w:rsidRPr="00CE02BD">
        <w:rPr>
          <w:rFonts w:ascii="Book Antiqua" w:hAnsi="Book Antiqua"/>
          <w:color w:val="000000" w:themeColor="text1"/>
          <w:sz w:val="24"/>
          <w:szCs w:val="24"/>
          <w:lang w:val="en-US"/>
        </w:rPr>
        <w:t xml:space="preserve"> that early normalization of CRP is associated w</w:t>
      </w:r>
      <w:r w:rsidR="0002525B" w:rsidRPr="00CE02BD">
        <w:rPr>
          <w:rFonts w:ascii="Book Antiqua" w:hAnsi="Book Antiqua"/>
          <w:color w:val="000000" w:themeColor="text1"/>
          <w:sz w:val="24"/>
          <w:szCs w:val="24"/>
          <w:lang w:val="en-US"/>
        </w:rPr>
        <w:t>ith therapeutic response in CD and i</w:t>
      </w:r>
      <w:r w:rsidR="00C04B16" w:rsidRPr="00CE02BD">
        <w:rPr>
          <w:rFonts w:ascii="Book Antiqua" w:hAnsi="Book Antiqua"/>
          <w:color w:val="000000" w:themeColor="text1"/>
          <w:sz w:val="24"/>
          <w:szCs w:val="24"/>
          <w:lang w:val="en-US"/>
        </w:rPr>
        <w:t xml:space="preserve">n </w:t>
      </w:r>
      <w:r w:rsidR="0087765D" w:rsidRPr="00CE02BD">
        <w:rPr>
          <w:rFonts w:ascii="Book Antiqua" w:hAnsi="Book Antiqua"/>
          <w:color w:val="000000" w:themeColor="text1"/>
          <w:sz w:val="24"/>
          <w:szCs w:val="24"/>
          <w:lang w:val="en-US"/>
        </w:rPr>
        <w:t>patients</w:t>
      </w:r>
      <w:r w:rsidR="00C04B16" w:rsidRPr="00CE02BD">
        <w:rPr>
          <w:rFonts w:ascii="Book Antiqua" w:hAnsi="Book Antiqua"/>
          <w:color w:val="000000" w:themeColor="text1"/>
          <w:sz w:val="24"/>
          <w:szCs w:val="24"/>
          <w:lang w:val="en-US"/>
        </w:rPr>
        <w:t xml:space="preserve"> having an elevated </w:t>
      </w:r>
      <w:r w:rsidR="0087765D" w:rsidRPr="00CE02BD">
        <w:rPr>
          <w:rFonts w:ascii="Book Antiqua" w:hAnsi="Book Antiqua"/>
          <w:color w:val="000000" w:themeColor="text1"/>
          <w:sz w:val="24"/>
          <w:szCs w:val="24"/>
          <w:lang w:val="en-US"/>
        </w:rPr>
        <w:t>CRP concentration at baseline, changes in CRP may provide useful information in monitoring</w:t>
      </w:r>
      <w:r w:rsidR="00C04B16" w:rsidRPr="00CE02BD">
        <w:rPr>
          <w:rFonts w:ascii="Book Antiqua" w:hAnsi="Book Antiqua"/>
          <w:color w:val="000000" w:themeColor="text1"/>
          <w:sz w:val="24"/>
          <w:szCs w:val="24"/>
          <w:lang w:val="en-US"/>
        </w:rPr>
        <w:t xml:space="preserve"> </w:t>
      </w:r>
      <w:r w:rsidR="0087765D" w:rsidRPr="00CE02BD">
        <w:rPr>
          <w:rFonts w:ascii="Book Antiqua" w:hAnsi="Book Antiqua"/>
          <w:color w:val="000000" w:themeColor="text1"/>
          <w:sz w:val="24"/>
          <w:szCs w:val="24"/>
          <w:lang w:val="en-US"/>
        </w:rPr>
        <w:t>treatment</w:t>
      </w:r>
      <w:r w:rsidR="00C04B16" w:rsidRPr="00CE02BD">
        <w:rPr>
          <w:rFonts w:ascii="Book Antiqua" w:hAnsi="Book Antiqua"/>
          <w:color w:val="000000" w:themeColor="text1"/>
          <w:sz w:val="24"/>
          <w:szCs w:val="24"/>
          <w:lang w:val="en-US"/>
        </w:rPr>
        <w:t xml:space="preserve"> response</w:t>
      </w:r>
      <w:r w:rsidR="0087765D" w:rsidRPr="00CE02BD">
        <w:rPr>
          <w:rFonts w:ascii="Book Antiqua" w:hAnsi="Book Antiqua"/>
          <w:color w:val="000000" w:themeColor="text1"/>
          <w:sz w:val="24"/>
          <w:szCs w:val="24"/>
          <w:lang w:val="en-US"/>
        </w:rPr>
        <w:t>.</w:t>
      </w:r>
      <w:r w:rsidR="003823C4" w:rsidRPr="00CE02BD">
        <w:rPr>
          <w:rFonts w:ascii="Book Antiqua" w:hAnsi="Book Antiqua"/>
          <w:color w:val="000000" w:themeColor="text1"/>
          <w:sz w:val="24"/>
          <w:szCs w:val="24"/>
          <w:lang w:val="en-US"/>
        </w:rPr>
        <w:t xml:space="preserve"> </w:t>
      </w:r>
      <w:r w:rsidR="00245E3E" w:rsidRPr="00CE02BD">
        <w:rPr>
          <w:rFonts w:ascii="Book Antiqua" w:hAnsi="Book Antiqua"/>
          <w:color w:val="000000" w:themeColor="text1"/>
          <w:sz w:val="24"/>
          <w:szCs w:val="24"/>
          <w:lang w:val="en-US"/>
        </w:rPr>
        <w:t xml:space="preserve">However, CRP is not </w:t>
      </w:r>
      <w:r w:rsidR="00C04B16" w:rsidRPr="00CE02BD">
        <w:rPr>
          <w:rFonts w:ascii="Book Antiqua" w:hAnsi="Book Antiqua"/>
          <w:color w:val="000000" w:themeColor="text1"/>
          <w:sz w:val="24"/>
          <w:szCs w:val="24"/>
          <w:lang w:val="en-US"/>
        </w:rPr>
        <w:t xml:space="preserve">a </w:t>
      </w:r>
      <w:r w:rsidR="00245E3E" w:rsidRPr="00CE02BD">
        <w:rPr>
          <w:rFonts w:ascii="Book Antiqua" w:hAnsi="Book Antiqua"/>
          <w:color w:val="000000" w:themeColor="text1"/>
          <w:sz w:val="24"/>
          <w:szCs w:val="24"/>
          <w:lang w:val="en-US"/>
        </w:rPr>
        <w:t xml:space="preserve">specific </w:t>
      </w:r>
      <w:r w:rsidR="00C04B16" w:rsidRPr="00CE02BD">
        <w:rPr>
          <w:rFonts w:ascii="Book Antiqua" w:hAnsi="Book Antiqua"/>
          <w:color w:val="000000" w:themeColor="text1"/>
          <w:sz w:val="24"/>
          <w:szCs w:val="24"/>
          <w:lang w:val="en-US"/>
        </w:rPr>
        <w:t>marker of</w:t>
      </w:r>
      <w:r w:rsidR="00245E3E" w:rsidRPr="00CE02BD">
        <w:rPr>
          <w:rFonts w:ascii="Book Antiqua" w:hAnsi="Book Antiqua"/>
          <w:color w:val="000000" w:themeColor="text1"/>
          <w:sz w:val="24"/>
          <w:szCs w:val="24"/>
          <w:lang w:val="en-US"/>
        </w:rPr>
        <w:t xml:space="preserve"> intestinal inflammation with an </w:t>
      </w:r>
      <w:r w:rsidR="00C04B16" w:rsidRPr="00CE02BD">
        <w:rPr>
          <w:rFonts w:ascii="Book Antiqua" w:hAnsi="Book Antiqua"/>
          <w:color w:val="000000" w:themeColor="text1"/>
          <w:sz w:val="24"/>
          <w:szCs w:val="24"/>
          <w:lang w:val="en-US"/>
        </w:rPr>
        <w:t xml:space="preserve">overall specificity </w:t>
      </w:r>
      <w:r w:rsidR="00245E3E" w:rsidRPr="00CE02BD">
        <w:rPr>
          <w:rFonts w:ascii="Book Antiqua" w:hAnsi="Book Antiqua"/>
          <w:color w:val="000000" w:themeColor="text1"/>
          <w:sz w:val="24"/>
          <w:szCs w:val="24"/>
          <w:lang w:val="en-US"/>
        </w:rPr>
        <w:t>of 0.49 (95%CI</w:t>
      </w:r>
      <w:r w:rsidR="00967F41" w:rsidRPr="00CE02BD">
        <w:rPr>
          <w:rFonts w:ascii="Book Antiqua" w:hAnsi="Book Antiqua"/>
          <w:color w:val="000000" w:themeColor="text1"/>
          <w:sz w:val="24"/>
          <w:szCs w:val="24"/>
          <w:lang w:val="en-US"/>
        </w:rPr>
        <w:t>:</w:t>
      </w:r>
      <w:r w:rsidR="00245E3E" w:rsidRPr="00CE02BD">
        <w:rPr>
          <w:rFonts w:ascii="Book Antiqua" w:hAnsi="Book Antiqua"/>
          <w:color w:val="000000" w:themeColor="text1"/>
          <w:sz w:val="24"/>
          <w:szCs w:val="24"/>
          <w:lang w:val="en-US"/>
        </w:rPr>
        <w:t xml:space="preserve"> 0.72–0.98)</w:t>
      </w:r>
      <w:r w:rsidR="00C04B16" w:rsidRPr="00CE02BD">
        <w:rPr>
          <w:rFonts w:ascii="Book Antiqua" w:hAnsi="Book Antiqua"/>
          <w:color w:val="000000" w:themeColor="text1"/>
          <w:sz w:val="24"/>
          <w:szCs w:val="24"/>
          <w:lang w:val="en-US"/>
        </w:rPr>
        <w:t xml:space="preserve"> in CD</w:t>
      </w:r>
      <w:r w:rsidR="00245E3E" w:rsidRPr="00CE02BD">
        <w:rPr>
          <w:rFonts w:ascii="Book Antiqua" w:hAnsi="Book Antiqua"/>
          <w:color w:val="000000" w:themeColor="text1"/>
          <w:sz w:val="24"/>
          <w:szCs w:val="24"/>
          <w:lang w:val="en-US"/>
        </w:rPr>
        <w:t xml:space="preserve">, moreover, approximately 20% of patients do not </w:t>
      </w:r>
      <w:r w:rsidR="00C04B16" w:rsidRPr="00CE02BD">
        <w:rPr>
          <w:rFonts w:ascii="Book Antiqua" w:hAnsi="Book Antiqua"/>
          <w:color w:val="000000" w:themeColor="text1"/>
          <w:sz w:val="24"/>
          <w:szCs w:val="24"/>
          <w:lang w:val="en-US"/>
        </w:rPr>
        <w:t>present with</w:t>
      </w:r>
      <w:r w:rsidR="00245E3E" w:rsidRPr="00CE02BD">
        <w:rPr>
          <w:rFonts w:ascii="Book Antiqua" w:hAnsi="Book Antiqua"/>
          <w:color w:val="000000" w:themeColor="text1"/>
          <w:sz w:val="24"/>
          <w:szCs w:val="24"/>
          <w:lang w:val="en-US"/>
        </w:rPr>
        <w:t xml:space="preserve"> a</w:t>
      </w:r>
      <w:r w:rsidR="00C04B16" w:rsidRPr="00CE02BD">
        <w:rPr>
          <w:rFonts w:ascii="Book Antiqua" w:hAnsi="Book Antiqua"/>
          <w:color w:val="000000" w:themeColor="text1"/>
          <w:sz w:val="24"/>
          <w:szCs w:val="24"/>
          <w:lang w:val="en-US"/>
        </w:rPr>
        <w:t>n elevated</w:t>
      </w:r>
      <w:r w:rsidR="00245E3E" w:rsidRPr="00CE02BD">
        <w:rPr>
          <w:rFonts w:ascii="Book Antiqua" w:hAnsi="Book Antiqua"/>
          <w:color w:val="000000" w:themeColor="text1"/>
          <w:sz w:val="24"/>
          <w:szCs w:val="24"/>
          <w:lang w:val="en-US"/>
        </w:rPr>
        <w:t xml:space="preserve"> CRP during </w:t>
      </w:r>
      <w:r w:rsidR="003741B0" w:rsidRPr="00CE02BD">
        <w:rPr>
          <w:rFonts w:ascii="Book Antiqua" w:hAnsi="Book Antiqua"/>
          <w:color w:val="000000" w:themeColor="text1"/>
          <w:sz w:val="24"/>
          <w:szCs w:val="24"/>
          <w:lang w:val="en-US"/>
        </w:rPr>
        <w:t xml:space="preserve">disease </w:t>
      </w:r>
      <w:proofErr w:type="gramStart"/>
      <w:r w:rsidR="003741B0" w:rsidRPr="00CE02BD">
        <w:rPr>
          <w:rFonts w:ascii="Book Antiqua" w:hAnsi="Book Antiqua"/>
          <w:color w:val="000000" w:themeColor="text1"/>
          <w:sz w:val="24"/>
          <w:szCs w:val="24"/>
          <w:lang w:val="en-US"/>
        </w:rPr>
        <w:t>flare</w:t>
      </w:r>
      <w:bookmarkStart w:id="67" w:name="_Ref17840205"/>
      <w:r w:rsidR="000F1138" w:rsidRPr="00CE02BD">
        <w:rPr>
          <w:rFonts w:ascii="Book Antiqua" w:eastAsia="Times New Roman" w:hAnsi="Book Antiqua" w:cstheme="minorHAnsi"/>
          <w:color w:val="000000"/>
          <w:sz w:val="24"/>
          <w:szCs w:val="24"/>
          <w:vertAlign w:val="superscript"/>
          <w:lang w:val="en-US"/>
        </w:rPr>
        <w:t>[</w:t>
      </w:r>
      <w:bookmarkEnd w:id="67"/>
      <w:proofErr w:type="gramEnd"/>
      <w:r w:rsidR="000F1138" w:rsidRPr="00CE02BD">
        <w:rPr>
          <w:rFonts w:ascii="Book Antiqua" w:eastAsia="Times New Roman" w:hAnsi="Book Antiqua" w:cstheme="minorHAnsi"/>
          <w:color w:val="000000"/>
          <w:sz w:val="24"/>
          <w:szCs w:val="24"/>
          <w:vertAlign w:val="superscript"/>
          <w:lang w:val="en-US"/>
        </w:rPr>
        <w:t>49]</w:t>
      </w:r>
      <w:r w:rsidR="00245E3E" w:rsidRPr="00CE02BD">
        <w:rPr>
          <w:rFonts w:ascii="Book Antiqua" w:hAnsi="Book Antiqua"/>
          <w:color w:val="000000" w:themeColor="text1"/>
          <w:sz w:val="24"/>
          <w:szCs w:val="24"/>
          <w:lang w:val="en-US"/>
        </w:rPr>
        <w:t xml:space="preserve">. </w:t>
      </w:r>
      <w:r w:rsidR="00C04B16" w:rsidRPr="00CE02BD">
        <w:rPr>
          <w:rFonts w:ascii="Book Antiqua" w:hAnsi="Book Antiqua"/>
          <w:color w:val="000000" w:themeColor="text1"/>
          <w:sz w:val="24"/>
          <w:szCs w:val="24"/>
          <w:lang w:val="en-US"/>
        </w:rPr>
        <w:t>Much less data support the applicability of CRP measurements in UC as m</w:t>
      </w:r>
      <w:r w:rsidR="00245E3E" w:rsidRPr="00CE02BD">
        <w:rPr>
          <w:rFonts w:ascii="Book Antiqua" w:hAnsi="Book Antiqua"/>
          <w:color w:val="000000" w:themeColor="text1"/>
          <w:sz w:val="24"/>
          <w:szCs w:val="24"/>
          <w:lang w:val="en-US"/>
        </w:rPr>
        <w:t>any patients with UC do not have elevated</w:t>
      </w:r>
      <w:r w:rsidR="0087765D" w:rsidRPr="00CE02BD">
        <w:rPr>
          <w:rFonts w:ascii="Book Antiqua" w:hAnsi="Book Antiqua"/>
          <w:color w:val="000000" w:themeColor="text1"/>
          <w:sz w:val="24"/>
          <w:szCs w:val="24"/>
          <w:lang w:val="en-US"/>
        </w:rPr>
        <w:t xml:space="preserve"> CRP</w:t>
      </w:r>
      <w:r w:rsidR="00C04B16" w:rsidRPr="00CE02BD">
        <w:rPr>
          <w:rFonts w:ascii="Book Antiqua" w:hAnsi="Book Antiqua"/>
          <w:color w:val="000000" w:themeColor="text1"/>
          <w:sz w:val="24"/>
          <w:szCs w:val="24"/>
          <w:lang w:val="en-US"/>
        </w:rPr>
        <w:t xml:space="preserve"> levels. H</w:t>
      </w:r>
      <w:r w:rsidR="0087765D" w:rsidRPr="00CE02BD">
        <w:rPr>
          <w:rFonts w:ascii="Book Antiqua" w:hAnsi="Book Antiqua"/>
          <w:color w:val="000000" w:themeColor="text1"/>
          <w:sz w:val="24"/>
          <w:szCs w:val="24"/>
          <w:lang w:val="en-US"/>
        </w:rPr>
        <w:t>owever, serial measurement</w:t>
      </w:r>
      <w:r w:rsidR="00C04B16" w:rsidRPr="00CE02BD">
        <w:rPr>
          <w:rFonts w:ascii="Book Antiqua" w:hAnsi="Book Antiqua"/>
          <w:color w:val="000000" w:themeColor="text1"/>
          <w:sz w:val="24"/>
          <w:szCs w:val="24"/>
          <w:lang w:val="en-US"/>
        </w:rPr>
        <w:t>s</w:t>
      </w:r>
      <w:r w:rsidR="0087765D" w:rsidRPr="00CE02BD">
        <w:rPr>
          <w:rFonts w:ascii="Book Antiqua" w:hAnsi="Book Antiqua"/>
          <w:color w:val="000000" w:themeColor="text1"/>
          <w:sz w:val="24"/>
          <w:szCs w:val="24"/>
          <w:lang w:val="en-US"/>
        </w:rPr>
        <w:t xml:space="preserve"> may be </w:t>
      </w:r>
      <w:r w:rsidR="00245E3E" w:rsidRPr="00CE02BD">
        <w:rPr>
          <w:rFonts w:ascii="Book Antiqua" w:hAnsi="Book Antiqua"/>
          <w:color w:val="000000" w:themeColor="text1"/>
          <w:sz w:val="24"/>
          <w:szCs w:val="24"/>
          <w:lang w:val="en-US"/>
        </w:rPr>
        <w:t>useful for</w:t>
      </w:r>
      <w:r w:rsidR="0087765D" w:rsidRPr="00CE02BD">
        <w:rPr>
          <w:rFonts w:ascii="Book Antiqua" w:hAnsi="Book Antiqua"/>
          <w:color w:val="000000" w:themeColor="text1"/>
          <w:sz w:val="24"/>
          <w:szCs w:val="24"/>
          <w:lang w:val="en-US"/>
        </w:rPr>
        <w:t xml:space="preserve"> </w:t>
      </w:r>
      <w:r w:rsidR="00245E3E" w:rsidRPr="00CE02BD">
        <w:rPr>
          <w:rFonts w:ascii="Book Antiqua" w:hAnsi="Book Antiqua"/>
          <w:color w:val="000000" w:themeColor="text1"/>
          <w:sz w:val="24"/>
          <w:szCs w:val="24"/>
          <w:lang w:val="en-US"/>
        </w:rPr>
        <w:t xml:space="preserve">assessment of treatment response </w:t>
      </w:r>
      <w:r w:rsidR="0087765D" w:rsidRPr="00CE02BD">
        <w:rPr>
          <w:rFonts w:ascii="Book Antiqua" w:hAnsi="Book Antiqua"/>
          <w:color w:val="000000" w:themeColor="text1"/>
          <w:sz w:val="24"/>
          <w:szCs w:val="24"/>
          <w:lang w:val="en-US"/>
        </w:rPr>
        <w:t>in patients with severe colitis</w:t>
      </w:r>
      <w:r w:rsidR="00245E3E" w:rsidRPr="00CE02BD">
        <w:rPr>
          <w:rFonts w:ascii="Book Antiqua" w:hAnsi="Book Antiqua"/>
          <w:color w:val="000000" w:themeColor="text1"/>
          <w:sz w:val="24"/>
          <w:szCs w:val="24"/>
          <w:lang w:val="en-US"/>
        </w:rPr>
        <w:t xml:space="preserve">. </w:t>
      </w:r>
    </w:p>
    <w:p w14:paraId="0448269E" w14:textId="5DA505C1" w:rsidR="004F1B81" w:rsidRPr="00CE02BD" w:rsidRDefault="00932CEA" w:rsidP="00967F41">
      <w:pPr>
        <w:adjustRightInd w:val="0"/>
        <w:snapToGrid w:val="0"/>
        <w:spacing w:after="0" w:line="360" w:lineRule="auto"/>
        <w:ind w:firstLineChars="100" w:firstLine="240"/>
        <w:jc w:val="both"/>
        <w:rPr>
          <w:rFonts w:ascii="Book Antiqua" w:hAnsi="Book Antiqua"/>
          <w:color w:val="FF0000"/>
          <w:sz w:val="24"/>
          <w:szCs w:val="24"/>
          <w:lang w:val="en-US"/>
        </w:rPr>
      </w:pPr>
      <w:r w:rsidRPr="00CE02BD">
        <w:rPr>
          <w:rFonts w:ascii="Book Antiqua" w:hAnsi="Book Antiqua"/>
          <w:color w:val="000000" w:themeColor="text1"/>
          <w:sz w:val="24"/>
          <w:szCs w:val="24"/>
          <w:lang w:val="en-US"/>
        </w:rPr>
        <w:t xml:space="preserve">FCAL is a highly sensitive marker of </w:t>
      </w:r>
      <w:r w:rsidR="003741B0" w:rsidRPr="00CE02BD">
        <w:rPr>
          <w:rFonts w:ascii="Book Antiqua" w:hAnsi="Book Antiqua"/>
          <w:color w:val="000000" w:themeColor="text1"/>
          <w:sz w:val="24"/>
          <w:szCs w:val="24"/>
          <w:lang w:val="en-US"/>
        </w:rPr>
        <w:t>endoscopic disease activity</w:t>
      </w:r>
      <w:r w:rsidRPr="00CE02BD">
        <w:rPr>
          <w:rFonts w:ascii="Book Antiqua" w:hAnsi="Book Antiqua"/>
          <w:color w:val="000000" w:themeColor="text1"/>
          <w:sz w:val="24"/>
          <w:szCs w:val="24"/>
          <w:lang w:val="en-US"/>
        </w:rPr>
        <w:t xml:space="preserve"> in </w:t>
      </w:r>
      <w:r w:rsidR="00CA1E7E" w:rsidRPr="00CE02BD">
        <w:rPr>
          <w:rFonts w:ascii="Book Antiqua" w:hAnsi="Book Antiqua"/>
          <w:color w:val="000000" w:themeColor="text1"/>
          <w:sz w:val="24"/>
          <w:szCs w:val="24"/>
          <w:lang w:val="en-US"/>
        </w:rPr>
        <w:t xml:space="preserve">both UC and </w:t>
      </w:r>
      <w:proofErr w:type="gramStart"/>
      <w:r w:rsidR="00CA1E7E" w:rsidRPr="00CE02BD">
        <w:rPr>
          <w:rFonts w:ascii="Book Antiqua" w:hAnsi="Book Antiqua"/>
          <w:color w:val="000000" w:themeColor="text1"/>
          <w:sz w:val="24"/>
          <w:szCs w:val="24"/>
          <w:lang w:val="en-US"/>
        </w:rPr>
        <w:t>CD</w:t>
      </w:r>
      <w:r w:rsidR="00967F41" w:rsidRPr="00CE02BD">
        <w:rPr>
          <w:rFonts w:ascii="Book Antiqua" w:eastAsia="Times New Roman" w:hAnsi="Book Antiqua" w:cstheme="minorHAnsi"/>
          <w:color w:val="000000"/>
          <w:sz w:val="24"/>
          <w:szCs w:val="24"/>
          <w:vertAlign w:val="superscript"/>
          <w:lang w:val="en-US"/>
        </w:rPr>
        <w:t>[</w:t>
      </w:r>
      <w:proofErr w:type="gramEnd"/>
      <w:r w:rsidR="00967F41" w:rsidRPr="00CE02BD">
        <w:rPr>
          <w:rFonts w:ascii="Book Antiqua" w:hAnsi="Book Antiqua"/>
          <w:color w:val="000000" w:themeColor="text1"/>
          <w:sz w:val="24"/>
          <w:szCs w:val="24"/>
          <w:vertAlign w:val="superscript"/>
          <w:lang w:val="en-US"/>
        </w:rPr>
        <w:t>49</w:t>
      </w:r>
      <w:r w:rsidR="00967F41" w:rsidRPr="00CE02BD">
        <w:rPr>
          <w:rFonts w:ascii="Book Antiqua" w:eastAsia="Times New Roman" w:hAnsi="Book Antiqua" w:cstheme="minorHAnsi"/>
          <w:color w:val="000000"/>
          <w:sz w:val="24"/>
          <w:szCs w:val="24"/>
          <w:vertAlign w:val="superscript"/>
          <w:lang w:val="en-US"/>
        </w:rPr>
        <w:t>]</w:t>
      </w:r>
      <w:r w:rsidR="003741B0" w:rsidRPr="00CE02BD">
        <w:rPr>
          <w:rFonts w:ascii="Book Antiqua" w:hAnsi="Book Antiqua"/>
          <w:color w:val="000000" w:themeColor="text1"/>
          <w:sz w:val="24"/>
          <w:szCs w:val="24"/>
          <w:lang w:val="en-US"/>
        </w:rPr>
        <w:t>. H</w:t>
      </w:r>
      <w:r w:rsidRPr="00CE02BD">
        <w:rPr>
          <w:rFonts w:ascii="Book Antiqua" w:hAnsi="Book Antiqua"/>
          <w:color w:val="000000" w:themeColor="text1"/>
          <w:sz w:val="24"/>
          <w:szCs w:val="24"/>
          <w:lang w:val="en-US"/>
        </w:rPr>
        <w:t>owever</w:t>
      </w:r>
      <w:r w:rsidR="003741B0"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3741B0" w:rsidRPr="00CE02BD">
        <w:rPr>
          <w:rFonts w:ascii="Book Antiqua" w:hAnsi="Book Antiqua"/>
          <w:color w:val="000000" w:themeColor="text1"/>
          <w:sz w:val="24"/>
          <w:szCs w:val="24"/>
          <w:lang w:val="en-US"/>
        </w:rPr>
        <w:t>identifying</w:t>
      </w:r>
      <w:r w:rsidRPr="00CE02BD">
        <w:rPr>
          <w:rFonts w:ascii="Book Antiqua" w:hAnsi="Book Antiqua"/>
          <w:color w:val="000000" w:themeColor="text1"/>
          <w:sz w:val="24"/>
          <w:szCs w:val="24"/>
          <w:lang w:val="en-US"/>
        </w:rPr>
        <w:t xml:space="preserve"> the optimal FCAL concentration </w:t>
      </w:r>
      <w:r w:rsidR="003741B0" w:rsidRPr="00CE02BD">
        <w:rPr>
          <w:rFonts w:ascii="Book Antiqua" w:hAnsi="Book Antiqua"/>
          <w:color w:val="000000" w:themeColor="text1"/>
          <w:sz w:val="24"/>
          <w:szCs w:val="24"/>
          <w:lang w:val="en-US"/>
        </w:rPr>
        <w:t>cut-off values</w:t>
      </w:r>
      <w:r w:rsidRPr="00CE02BD">
        <w:rPr>
          <w:rFonts w:ascii="Book Antiqua" w:hAnsi="Book Antiqua"/>
          <w:color w:val="000000" w:themeColor="text1"/>
          <w:sz w:val="24"/>
          <w:szCs w:val="24"/>
          <w:lang w:val="en-US"/>
        </w:rPr>
        <w:t xml:space="preserve"> best predictive of disease activity is challenging. D’Haens </w:t>
      </w:r>
      <w:r w:rsidR="00967F41" w:rsidRPr="00CE02BD">
        <w:rPr>
          <w:rFonts w:ascii="Book Antiqua" w:hAnsi="Book Antiqua"/>
          <w:i/>
          <w:color w:val="000000" w:themeColor="text1"/>
          <w:sz w:val="24"/>
          <w:szCs w:val="24"/>
          <w:lang w:val="en-US"/>
        </w:rPr>
        <w:t xml:space="preserve">et </w:t>
      </w:r>
      <w:proofErr w:type="gramStart"/>
      <w:r w:rsidR="00967F41" w:rsidRPr="00CE02BD">
        <w:rPr>
          <w:rFonts w:ascii="Book Antiqua" w:hAnsi="Book Antiqua"/>
          <w:i/>
          <w:color w:val="000000" w:themeColor="text1"/>
          <w:sz w:val="24"/>
          <w:szCs w:val="24"/>
          <w:lang w:val="en-US"/>
        </w:rPr>
        <w:t>al</w:t>
      </w:r>
      <w:r w:rsidR="00967F41" w:rsidRPr="00CE02BD">
        <w:rPr>
          <w:rFonts w:ascii="Book Antiqua" w:eastAsia="Times New Roman" w:hAnsi="Book Antiqua" w:cstheme="minorHAnsi"/>
          <w:color w:val="000000"/>
          <w:sz w:val="24"/>
          <w:szCs w:val="24"/>
          <w:vertAlign w:val="superscript"/>
          <w:lang w:val="en-US"/>
        </w:rPr>
        <w:t>[</w:t>
      </w:r>
      <w:proofErr w:type="gramEnd"/>
      <w:r w:rsidR="00967F41" w:rsidRPr="00CE02BD">
        <w:rPr>
          <w:rFonts w:ascii="Book Antiqua" w:eastAsia="Times New Roman" w:hAnsi="Book Antiqua" w:cstheme="minorHAnsi"/>
          <w:color w:val="000000"/>
          <w:sz w:val="24"/>
          <w:szCs w:val="24"/>
          <w:vertAlign w:val="superscript"/>
          <w:lang w:val="en-US"/>
        </w:rPr>
        <w:t>50]</w:t>
      </w:r>
      <w:r w:rsidRPr="00CE02BD">
        <w:rPr>
          <w:rFonts w:ascii="Book Antiqua" w:hAnsi="Book Antiqua"/>
          <w:color w:val="000000" w:themeColor="text1"/>
          <w:sz w:val="24"/>
          <w:szCs w:val="24"/>
          <w:lang w:val="en-US"/>
        </w:rPr>
        <w:t xml:space="preserve"> suggested a fecal calprotectin cut-off value </w:t>
      </w:r>
      <w:r w:rsidR="00DE3927" w:rsidRPr="00CE02BD">
        <w:rPr>
          <w:rFonts w:ascii="Book Antiqua" w:hAnsi="Book Antiqua"/>
          <w:color w:val="000000" w:themeColor="text1"/>
          <w:sz w:val="24"/>
          <w:szCs w:val="24"/>
          <w:lang w:val="en-US"/>
        </w:rPr>
        <w:t xml:space="preserve">of 250 ug/g, as </w:t>
      </w:r>
      <w:r w:rsidRPr="00CE02BD">
        <w:rPr>
          <w:rFonts w:ascii="Book Antiqua" w:hAnsi="Book Antiqua"/>
          <w:color w:val="000000" w:themeColor="text1"/>
          <w:sz w:val="24"/>
          <w:szCs w:val="24"/>
          <w:lang w:val="en-US"/>
        </w:rPr>
        <w:t>levels above this concentration predicted large ulcers in CD (sensitivity 60%, specificity 80%) and active mucosal disease (Mayo score &gt;</w:t>
      </w:r>
      <w:r w:rsidR="00967F41"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0) in UC (sensitivity 71%, specificity 100%). </w:t>
      </w:r>
      <w:r w:rsidR="00953B2E" w:rsidRPr="00CE02BD">
        <w:rPr>
          <w:rFonts w:ascii="Book Antiqua" w:hAnsi="Book Antiqua"/>
          <w:color w:val="000000" w:themeColor="text1"/>
          <w:sz w:val="24"/>
          <w:szCs w:val="24"/>
          <w:lang w:val="en-US"/>
        </w:rPr>
        <w:t xml:space="preserve">A recent study </w:t>
      </w:r>
      <w:r w:rsidRPr="00CE02BD">
        <w:rPr>
          <w:rFonts w:ascii="Book Antiqua" w:hAnsi="Book Antiqua"/>
          <w:color w:val="000000" w:themeColor="text1"/>
          <w:sz w:val="24"/>
          <w:szCs w:val="24"/>
          <w:lang w:val="en-US"/>
        </w:rPr>
        <w:t xml:space="preserve">also </w:t>
      </w:r>
      <w:r w:rsidRPr="00CE02BD">
        <w:rPr>
          <w:rFonts w:ascii="Book Antiqua" w:hAnsi="Book Antiqua"/>
          <w:color w:val="000000" w:themeColor="text1"/>
          <w:sz w:val="24"/>
          <w:szCs w:val="24"/>
          <w:lang w:val="en-US"/>
        </w:rPr>
        <w:lastRenderedPageBreak/>
        <w:t xml:space="preserve">demonstrated that </w:t>
      </w:r>
      <w:r w:rsidR="00953B2E" w:rsidRPr="00CE02BD">
        <w:rPr>
          <w:rFonts w:ascii="Book Antiqua" w:hAnsi="Book Antiqua"/>
          <w:color w:val="000000" w:themeColor="text1"/>
          <w:sz w:val="24"/>
          <w:szCs w:val="24"/>
          <w:lang w:val="en-US"/>
        </w:rPr>
        <w:t xml:space="preserve">during </w:t>
      </w:r>
      <w:r w:rsidRPr="00CE02BD">
        <w:rPr>
          <w:rFonts w:ascii="Book Antiqua" w:hAnsi="Book Antiqua"/>
          <w:color w:val="000000" w:themeColor="text1"/>
          <w:sz w:val="24"/>
          <w:szCs w:val="24"/>
          <w:lang w:val="en-US"/>
        </w:rPr>
        <w:t>the regular monitoring of FCP levels</w:t>
      </w:r>
      <w:r w:rsidR="00694F3B" w:rsidRPr="00CE02BD">
        <w:rPr>
          <w:rFonts w:ascii="Book Antiqua" w:hAnsi="Book Antiqua"/>
          <w:color w:val="000000" w:themeColor="text1"/>
          <w:sz w:val="24"/>
          <w:szCs w:val="24"/>
          <w:lang w:val="en-US"/>
        </w:rPr>
        <w:t>,</w:t>
      </w:r>
      <w:r w:rsidR="00694F3B" w:rsidRPr="00CE02BD">
        <w:rPr>
          <w:rFonts w:ascii="Book Antiqua" w:hAnsi="Book Antiqua"/>
          <w:color w:val="000000" w:themeColor="text1"/>
          <w:sz w:val="24"/>
          <w:szCs w:val="24"/>
        </w:rPr>
        <w:t xml:space="preserve"> </w:t>
      </w:r>
      <w:r w:rsidR="00694F3B" w:rsidRPr="00CE02BD">
        <w:rPr>
          <w:rFonts w:ascii="Book Antiqua" w:hAnsi="Book Antiqua"/>
          <w:color w:val="000000" w:themeColor="text1"/>
          <w:sz w:val="24"/>
          <w:szCs w:val="24"/>
          <w:lang w:val="en-US"/>
        </w:rPr>
        <w:t>two consecutive FCAL measurements of &gt;</w:t>
      </w:r>
      <w:r w:rsidR="00967F41" w:rsidRPr="00CE02BD">
        <w:rPr>
          <w:rFonts w:ascii="Book Antiqua" w:hAnsi="Book Antiqua"/>
          <w:color w:val="000000" w:themeColor="text1"/>
          <w:sz w:val="24"/>
          <w:szCs w:val="24"/>
          <w:lang w:val="en-US"/>
        </w:rPr>
        <w:t xml:space="preserve"> </w:t>
      </w:r>
      <w:r w:rsidR="00694F3B" w:rsidRPr="00CE02BD">
        <w:rPr>
          <w:rFonts w:ascii="Book Antiqua" w:hAnsi="Book Antiqua"/>
          <w:color w:val="000000" w:themeColor="text1"/>
          <w:sz w:val="24"/>
          <w:szCs w:val="24"/>
          <w:lang w:val="en-US"/>
        </w:rPr>
        <w:t>300 ug/g with 1-mo</w:t>
      </w:r>
      <w:r w:rsidR="00730254" w:rsidRPr="00CE02BD">
        <w:rPr>
          <w:rFonts w:ascii="Book Antiqua" w:hAnsi="Book Antiqua"/>
          <w:color w:val="000000" w:themeColor="text1"/>
          <w:sz w:val="24"/>
          <w:szCs w:val="24"/>
          <w:lang w:val="en-US"/>
        </w:rPr>
        <w:t xml:space="preserve"> </w:t>
      </w:r>
      <w:r w:rsidR="00694F3B" w:rsidRPr="00CE02BD">
        <w:rPr>
          <w:rFonts w:ascii="Book Antiqua" w:hAnsi="Book Antiqua"/>
          <w:color w:val="000000" w:themeColor="text1"/>
          <w:sz w:val="24"/>
          <w:szCs w:val="24"/>
          <w:lang w:val="en-US"/>
        </w:rPr>
        <w:t>interval were identified as the best predictor of disease flare (61.5% sensitivity and 100% specificity)</w:t>
      </w:r>
      <w:bookmarkStart w:id="68" w:name="_Ref17841176"/>
      <w:r w:rsidR="000F1138" w:rsidRPr="00CE02BD">
        <w:rPr>
          <w:rFonts w:ascii="Book Antiqua" w:eastAsia="Times New Roman" w:hAnsi="Book Antiqua" w:cstheme="minorHAnsi"/>
          <w:color w:val="000000"/>
          <w:sz w:val="24"/>
          <w:szCs w:val="24"/>
          <w:vertAlign w:val="superscript"/>
          <w:lang w:val="en-US"/>
        </w:rPr>
        <w:t>[</w:t>
      </w:r>
      <w:bookmarkEnd w:id="68"/>
      <w:r w:rsidR="000F1138" w:rsidRPr="00CE02BD">
        <w:rPr>
          <w:rFonts w:ascii="Book Antiqua" w:eastAsia="Times New Roman" w:hAnsi="Book Antiqua" w:cstheme="minorHAnsi"/>
          <w:color w:val="000000"/>
          <w:sz w:val="24"/>
          <w:szCs w:val="24"/>
          <w:vertAlign w:val="superscript"/>
          <w:lang w:val="en-US"/>
        </w:rPr>
        <w:t>51]</w:t>
      </w:r>
      <w:r w:rsidRPr="00CE02BD">
        <w:rPr>
          <w:rFonts w:ascii="Book Antiqua" w:hAnsi="Book Antiqua"/>
          <w:color w:val="000000" w:themeColor="text1"/>
          <w:sz w:val="24"/>
          <w:szCs w:val="24"/>
          <w:lang w:val="en-US"/>
        </w:rPr>
        <w:t>.</w:t>
      </w:r>
      <w:r w:rsidR="00694F3B" w:rsidRPr="00CE02BD">
        <w:rPr>
          <w:rFonts w:ascii="Book Antiqua" w:hAnsi="Book Antiqua"/>
          <w:color w:val="000000" w:themeColor="text1"/>
          <w:sz w:val="24"/>
          <w:szCs w:val="24"/>
          <w:lang w:val="en-US"/>
        </w:rPr>
        <w:t xml:space="preserve"> Furthermore, two recent studies showed that patients had significantly higher FCAL levels as soon as 3 </w:t>
      </w:r>
      <w:r w:rsidR="00583505" w:rsidRPr="00CE02BD">
        <w:rPr>
          <w:rFonts w:ascii="Book Antiqua" w:hAnsi="Book Antiqua"/>
          <w:color w:val="000000" w:themeColor="text1"/>
          <w:sz w:val="24"/>
          <w:szCs w:val="24"/>
          <w:lang w:val="en-US"/>
        </w:rPr>
        <w:t>mo</w:t>
      </w:r>
      <w:r w:rsidR="00694F3B" w:rsidRPr="00CE02BD">
        <w:rPr>
          <w:rFonts w:ascii="Book Antiqua" w:hAnsi="Book Antiqua"/>
          <w:color w:val="000000" w:themeColor="text1"/>
          <w:sz w:val="24"/>
          <w:szCs w:val="24"/>
          <w:lang w:val="en-US"/>
        </w:rPr>
        <w:t xml:space="preserve"> before disease </w:t>
      </w:r>
      <w:proofErr w:type="gramStart"/>
      <w:r w:rsidR="00694F3B" w:rsidRPr="00CE02BD">
        <w:rPr>
          <w:rFonts w:ascii="Book Antiqua" w:hAnsi="Book Antiqua"/>
          <w:color w:val="000000" w:themeColor="text1"/>
          <w:sz w:val="24"/>
          <w:szCs w:val="24"/>
          <w:lang w:val="en-US"/>
        </w:rPr>
        <w:t>flare</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hAnsi="Book Antiqua"/>
          <w:color w:val="000000" w:themeColor="text1"/>
          <w:sz w:val="24"/>
          <w:szCs w:val="24"/>
          <w:vertAlign w:val="superscript"/>
          <w:lang w:val="en-US"/>
        </w:rPr>
        <w:t>51,52</w:t>
      </w:r>
      <w:r w:rsidR="000F1138" w:rsidRPr="00CE02BD">
        <w:rPr>
          <w:rFonts w:ascii="Book Antiqua" w:eastAsia="Times New Roman" w:hAnsi="Book Antiqua" w:cstheme="minorHAnsi"/>
          <w:color w:val="000000"/>
          <w:sz w:val="24"/>
          <w:szCs w:val="24"/>
          <w:vertAlign w:val="superscript"/>
          <w:lang w:val="en-US"/>
        </w:rPr>
        <w:t>]</w:t>
      </w:r>
      <w:r w:rsidR="00694F3B"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363ECF" w:rsidRPr="00CE02BD">
        <w:rPr>
          <w:rFonts w:ascii="Book Antiqua" w:hAnsi="Book Antiqua"/>
          <w:color w:val="000000" w:themeColor="text1"/>
          <w:sz w:val="24"/>
          <w:szCs w:val="24"/>
          <w:lang w:val="en-US"/>
        </w:rPr>
        <w:t xml:space="preserve">Zhulina </w:t>
      </w:r>
      <w:r w:rsidR="00967F41" w:rsidRPr="00CE02BD">
        <w:rPr>
          <w:rFonts w:ascii="Book Antiqua" w:hAnsi="Book Antiqua"/>
          <w:i/>
          <w:color w:val="000000" w:themeColor="text1"/>
          <w:sz w:val="24"/>
          <w:szCs w:val="24"/>
          <w:lang w:val="en-US"/>
        </w:rPr>
        <w:t>et al</w:t>
      </w:r>
      <w:r w:rsidR="00967F41" w:rsidRPr="00CE02BD">
        <w:rPr>
          <w:rFonts w:ascii="Book Antiqua" w:hAnsi="Book Antiqua"/>
          <w:iCs/>
          <w:color w:val="000000" w:themeColor="text1"/>
          <w:sz w:val="24"/>
          <w:szCs w:val="24"/>
          <w:vertAlign w:val="superscript"/>
          <w:lang w:val="en-US"/>
        </w:rPr>
        <w:t>[52]</w:t>
      </w:r>
      <w:r w:rsidR="00363ECF" w:rsidRPr="00CE02BD">
        <w:rPr>
          <w:rFonts w:ascii="Book Antiqua" w:hAnsi="Book Antiqua"/>
          <w:color w:val="000000" w:themeColor="text1"/>
          <w:sz w:val="24"/>
          <w:szCs w:val="24"/>
          <w:lang w:val="en-US"/>
        </w:rPr>
        <w:t xml:space="preserve"> reported that doubling of faecal calprotectin level between two consecutively collected samples 3 </w:t>
      </w:r>
      <w:r w:rsidR="00583505" w:rsidRPr="00CE02BD">
        <w:rPr>
          <w:rFonts w:ascii="Book Antiqua" w:hAnsi="Book Antiqua"/>
          <w:color w:val="000000" w:themeColor="text1"/>
          <w:sz w:val="24"/>
          <w:szCs w:val="24"/>
          <w:lang w:val="en-US"/>
        </w:rPr>
        <w:t>mo</w:t>
      </w:r>
      <w:r w:rsidR="00363ECF" w:rsidRPr="00CE02BD">
        <w:rPr>
          <w:rFonts w:ascii="Book Antiqua" w:hAnsi="Book Antiqua"/>
          <w:color w:val="000000" w:themeColor="text1"/>
          <w:sz w:val="24"/>
          <w:szCs w:val="24"/>
          <w:lang w:val="en-US"/>
        </w:rPr>
        <w:t xml:space="preserve"> apart was associated with a 101% increased risk of relapse (HR</w:t>
      </w:r>
      <w:r w:rsidR="00967F41" w:rsidRPr="00CE02BD">
        <w:rPr>
          <w:rFonts w:ascii="Book Antiqua" w:hAnsi="Book Antiqua"/>
          <w:color w:val="000000" w:themeColor="text1"/>
          <w:sz w:val="24"/>
          <w:szCs w:val="24"/>
          <w:lang w:val="en-US"/>
        </w:rPr>
        <w:t xml:space="preserve"> =</w:t>
      </w:r>
      <w:r w:rsidR="00363ECF" w:rsidRPr="00CE02BD">
        <w:rPr>
          <w:rFonts w:ascii="Book Antiqua" w:hAnsi="Book Antiqua"/>
          <w:color w:val="000000" w:themeColor="text1"/>
          <w:sz w:val="24"/>
          <w:szCs w:val="24"/>
          <w:lang w:val="en-US"/>
        </w:rPr>
        <w:t xml:space="preserve"> 2.01; 95%CI: 1.53-2.65; </w:t>
      </w:r>
      <w:r w:rsidR="00363ECF" w:rsidRPr="00CE02BD">
        <w:rPr>
          <w:rFonts w:ascii="Book Antiqua" w:hAnsi="Book Antiqua"/>
          <w:i/>
          <w:iCs/>
          <w:color w:val="000000" w:themeColor="text1"/>
          <w:sz w:val="24"/>
          <w:szCs w:val="24"/>
          <w:lang w:val="en-US"/>
        </w:rPr>
        <w:t>P</w:t>
      </w:r>
      <w:r w:rsidR="00967F41" w:rsidRPr="00CE02BD">
        <w:rPr>
          <w:rFonts w:ascii="Book Antiqua" w:hAnsi="Book Antiqua"/>
          <w:color w:val="000000" w:themeColor="text1"/>
          <w:sz w:val="24"/>
          <w:szCs w:val="24"/>
          <w:lang w:val="en-US"/>
        </w:rPr>
        <w:t xml:space="preserve"> </w:t>
      </w:r>
      <w:r w:rsidR="00363ECF" w:rsidRPr="00CE02BD">
        <w:rPr>
          <w:rFonts w:ascii="Book Antiqua" w:hAnsi="Book Antiqua"/>
          <w:color w:val="000000" w:themeColor="text1"/>
          <w:sz w:val="24"/>
          <w:szCs w:val="24"/>
          <w:lang w:val="en-US"/>
        </w:rPr>
        <w:t>&lt;</w:t>
      </w:r>
      <w:r w:rsidR="00967F41" w:rsidRPr="00CE02BD">
        <w:rPr>
          <w:rFonts w:ascii="Book Antiqua" w:hAnsi="Book Antiqua"/>
          <w:color w:val="000000" w:themeColor="text1"/>
          <w:sz w:val="24"/>
          <w:szCs w:val="24"/>
          <w:lang w:val="en-US"/>
        </w:rPr>
        <w:t xml:space="preserve"> </w:t>
      </w:r>
      <w:r w:rsidR="00363ECF" w:rsidRPr="00CE02BD">
        <w:rPr>
          <w:rFonts w:ascii="Book Antiqua" w:hAnsi="Book Antiqua"/>
          <w:color w:val="000000" w:themeColor="text1"/>
          <w:sz w:val="24"/>
          <w:szCs w:val="24"/>
          <w:lang w:val="en-US"/>
        </w:rPr>
        <w:t xml:space="preserve">0.001). </w:t>
      </w:r>
      <w:r w:rsidR="006866EA" w:rsidRPr="00CE02BD">
        <w:rPr>
          <w:rFonts w:ascii="Book Antiqua" w:hAnsi="Book Antiqua"/>
          <w:color w:val="000000" w:themeColor="text1"/>
          <w:sz w:val="24"/>
          <w:szCs w:val="24"/>
          <w:lang w:val="en-US"/>
        </w:rPr>
        <w:t xml:space="preserve">A systematic analysis of six studies has shown that increased levels of FCAL on at least two consecutive measurements were associated with a higher risk of relapse within 2–3 </w:t>
      </w:r>
      <w:r w:rsidR="00583505" w:rsidRPr="00CE02BD">
        <w:rPr>
          <w:rFonts w:ascii="Book Antiqua" w:hAnsi="Book Antiqua"/>
          <w:color w:val="000000" w:themeColor="text1"/>
          <w:sz w:val="24"/>
          <w:szCs w:val="24"/>
          <w:lang w:val="en-US"/>
        </w:rPr>
        <w:t>mo</w:t>
      </w:r>
      <w:r w:rsidR="006866EA" w:rsidRPr="00CE02BD">
        <w:rPr>
          <w:rFonts w:ascii="Book Antiqua" w:hAnsi="Book Antiqua"/>
          <w:color w:val="000000" w:themeColor="text1"/>
          <w:sz w:val="24"/>
          <w:szCs w:val="24"/>
          <w:lang w:val="en-US"/>
        </w:rPr>
        <w:t xml:space="preserve"> in asymptomatic </w:t>
      </w:r>
      <w:proofErr w:type="gramStart"/>
      <w:r w:rsidR="006866EA" w:rsidRPr="00CE02BD">
        <w:rPr>
          <w:rFonts w:ascii="Book Antiqua" w:hAnsi="Book Antiqua"/>
          <w:color w:val="000000" w:themeColor="text1"/>
          <w:sz w:val="24"/>
          <w:szCs w:val="24"/>
          <w:lang w:val="en-US"/>
        </w:rPr>
        <w:t>patients</w:t>
      </w:r>
      <w:bookmarkStart w:id="69" w:name="_Ref18421898"/>
      <w:r w:rsidR="000F1138" w:rsidRPr="00CE02BD">
        <w:rPr>
          <w:rFonts w:ascii="Book Antiqua" w:eastAsia="Times New Roman" w:hAnsi="Book Antiqua" w:cstheme="minorHAnsi"/>
          <w:color w:val="000000"/>
          <w:sz w:val="24"/>
          <w:szCs w:val="24"/>
          <w:vertAlign w:val="superscript"/>
          <w:lang w:val="en-US"/>
        </w:rPr>
        <w:t>[</w:t>
      </w:r>
      <w:bookmarkEnd w:id="69"/>
      <w:proofErr w:type="gramEnd"/>
      <w:r w:rsidR="000F1138" w:rsidRPr="00CE02BD">
        <w:rPr>
          <w:rFonts w:ascii="Book Antiqua" w:eastAsia="Times New Roman" w:hAnsi="Book Antiqua" w:cstheme="minorHAnsi"/>
          <w:color w:val="000000"/>
          <w:sz w:val="24"/>
          <w:szCs w:val="24"/>
          <w:vertAlign w:val="superscript"/>
          <w:lang w:val="en-US"/>
        </w:rPr>
        <w:t>53]</w:t>
      </w:r>
      <w:r w:rsidR="006866EA"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In predicting relapse after surgery, evidence suggests that FCAL may be best utilized as </w:t>
      </w:r>
      <w:r w:rsidR="00694F3B" w:rsidRPr="00CE02BD">
        <w:rPr>
          <w:rFonts w:ascii="Book Antiqua" w:hAnsi="Book Antiqua"/>
          <w:color w:val="000000" w:themeColor="text1"/>
          <w:sz w:val="24"/>
          <w:szCs w:val="24"/>
          <w:lang w:val="en-US"/>
        </w:rPr>
        <w:t xml:space="preserve">a </w:t>
      </w:r>
      <w:r w:rsidRPr="00CE02BD">
        <w:rPr>
          <w:rFonts w:ascii="Book Antiqua" w:hAnsi="Book Antiqua"/>
          <w:color w:val="000000" w:themeColor="text1"/>
          <w:sz w:val="24"/>
          <w:szCs w:val="24"/>
          <w:lang w:val="en-US"/>
        </w:rPr>
        <w:t>monitor</w:t>
      </w:r>
      <w:r w:rsidR="00694F3B" w:rsidRPr="00CE02BD">
        <w:rPr>
          <w:rFonts w:ascii="Book Antiqua" w:hAnsi="Book Antiqua"/>
          <w:color w:val="000000" w:themeColor="text1"/>
          <w:sz w:val="24"/>
          <w:szCs w:val="24"/>
          <w:lang w:val="en-US"/>
        </w:rPr>
        <w:t>ing strategy</w:t>
      </w:r>
      <w:r w:rsidRPr="00CE02BD">
        <w:rPr>
          <w:rFonts w:ascii="Book Antiqua" w:hAnsi="Book Antiqua"/>
          <w:color w:val="000000" w:themeColor="text1"/>
          <w:sz w:val="24"/>
          <w:szCs w:val="24"/>
          <w:lang w:val="en-US"/>
        </w:rPr>
        <w:t xml:space="preserve"> for postoperative recurrence, with values &lt;</w:t>
      </w:r>
      <w:r w:rsidR="00967F41"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100 </w:t>
      </w:r>
      <w:r w:rsidRPr="00CE02BD">
        <w:rPr>
          <w:rFonts w:ascii="Book Antiqua" w:hAnsi="Book Antiqua" w:cstheme="minorHAnsi"/>
          <w:color w:val="000000" w:themeColor="text1"/>
          <w:sz w:val="24"/>
          <w:szCs w:val="24"/>
          <w:lang w:val="en-US"/>
        </w:rPr>
        <w:t>µ</w:t>
      </w:r>
      <w:r w:rsidRPr="00CE02BD">
        <w:rPr>
          <w:rFonts w:ascii="Book Antiqua" w:hAnsi="Book Antiqua"/>
          <w:color w:val="000000" w:themeColor="text1"/>
          <w:sz w:val="24"/>
          <w:szCs w:val="24"/>
          <w:lang w:val="en-US"/>
        </w:rPr>
        <w:t xml:space="preserve">g/mg strongly suggesting no recurrent </w:t>
      </w:r>
      <w:proofErr w:type="gramStart"/>
      <w:r w:rsidRPr="00CE02BD">
        <w:rPr>
          <w:rFonts w:ascii="Book Antiqua" w:hAnsi="Book Antiqua"/>
          <w:color w:val="000000" w:themeColor="text1"/>
          <w:sz w:val="24"/>
          <w:szCs w:val="24"/>
          <w:lang w:val="en-US"/>
        </w:rPr>
        <w:t>disease</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54]</w:t>
      </w:r>
      <w:r w:rsidR="00967F41" w:rsidRPr="00CE02BD">
        <w:rPr>
          <w:rFonts w:ascii="Book Antiqua" w:hAnsi="Book Antiqua"/>
          <w:color w:val="000000" w:themeColor="text1"/>
          <w:sz w:val="24"/>
          <w:szCs w:val="24"/>
          <w:lang w:val="en-US"/>
        </w:rPr>
        <w:t xml:space="preserve"> (see Table 2)</w:t>
      </w:r>
      <w:r w:rsidRPr="00CE02BD">
        <w:rPr>
          <w:rFonts w:ascii="Book Antiqua" w:hAnsi="Book Antiqua"/>
          <w:color w:val="000000" w:themeColor="text1"/>
          <w:sz w:val="24"/>
          <w:szCs w:val="24"/>
          <w:lang w:val="en-US"/>
        </w:rPr>
        <w:t xml:space="preserve">. </w:t>
      </w:r>
    </w:p>
    <w:p w14:paraId="4B4478D7" w14:textId="328E488D" w:rsidR="008C1D4A" w:rsidRPr="00CE02BD" w:rsidRDefault="008C1D4A"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Biochemical targets (CRP or FCAL) were not recomme</w:t>
      </w:r>
      <w:r w:rsidR="008D6775" w:rsidRPr="00CE02BD">
        <w:rPr>
          <w:rFonts w:ascii="Book Antiqua" w:hAnsi="Book Antiqua"/>
          <w:color w:val="000000" w:themeColor="text1"/>
          <w:sz w:val="24"/>
          <w:szCs w:val="24"/>
          <w:lang w:val="en-US"/>
        </w:rPr>
        <w:t>nded by STRIDE as primary treat-</w:t>
      </w:r>
      <w:r w:rsidRPr="00CE02BD">
        <w:rPr>
          <w:rFonts w:ascii="Book Antiqua" w:hAnsi="Book Antiqua"/>
          <w:color w:val="000000" w:themeColor="text1"/>
          <w:sz w:val="24"/>
          <w:szCs w:val="24"/>
          <w:lang w:val="en-US"/>
        </w:rPr>
        <w:t>to</w:t>
      </w:r>
      <w:r w:rsidR="008D6775"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target endpoints due to lack of sufficient evidence in support of their use at the time the guidance</w:t>
      </w:r>
      <w:r w:rsidR="00245E3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694F3B" w:rsidRPr="00CE02BD">
        <w:rPr>
          <w:rFonts w:ascii="Book Antiqua" w:hAnsi="Book Antiqua"/>
          <w:color w:val="000000" w:themeColor="text1"/>
          <w:sz w:val="24"/>
          <w:szCs w:val="24"/>
          <w:lang w:val="en-US"/>
        </w:rPr>
        <w:t>However</w:t>
      </w:r>
      <w:r w:rsidRPr="00CE02BD">
        <w:rPr>
          <w:rFonts w:ascii="Book Antiqua" w:hAnsi="Book Antiqua"/>
          <w:color w:val="000000" w:themeColor="text1"/>
          <w:sz w:val="24"/>
          <w:szCs w:val="24"/>
          <w:lang w:val="en-US"/>
        </w:rPr>
        <w:t>, their use is recommended</w:t>
      </w:r>
      <w:r w:rsidR="00245E3E"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in both CD and UC </w:t>
      </w:r>
      <w:r w:rsidR="00245E3E" w:rsidRPr="00CE02BD">
        <w:rPr>
          <w:rFonts w:ascii="Book Antiqua" w:hAnsi="Book Antiqua"/>
          <w:color w:val="000000" w:themeColor="text1"/>
          <w:sz w:val="24"/>
          <w:szCs w:val="24"/>
          <w:lang w:val="en-US"/>
        </w:rPr>
        <w:t xml:space="preserve">as adjunctive measure to monitor disease </w:t>
      </w:r>
      <w:proofErr w:type="gramStart"/>
      <w:r w:rsidR="00694F3B" w:rsidRPr="00CE02BD">
        <w:rPr>
          <w:rFonts w:ascii="Book Antiqua" w:hAnsi="Book Antiqua"/>
          <w:color w:val="000000" w:themeColor="text1"/>
          <w:sz w:val="24"/>
          <w:szCs w:val="24"/>
          <w:lang w:val="en-US"/>
        </w:rPr>
        <w:t>activity</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28]</w:t>
      </w:r>
      <w:r w:rsidR="00245E3E" w:rsidRPr="00CE02BD">
        <w:rPr>
          <w:rFonts w:ascii="Book Antiqua" w:hAnsi="Book Antiqua"/>
          <w:color w:val="000000" w:themeColor="text1"/>
          <w:sz w:val="24"/>
          <w:szCs w:val="24"/>
          <w:lang w:val="en-US"/>
        </w:rPr>
        <w:t xml:space="preserve">. The use of biomarkers </w:t>
      </w:r>
      <w:r w:rsidR="00694F3B" w:rsidRPr="00CE02BD">
        <w:rPr>
          <w:rFonts w:ascii="Book Antiqua" w:hAnsi="Book Antiqua"/>
          <w:color w:val="000000" w:themeColor="text1"/>
          <w:sz w:val="24"/>
          <w:szCs w:val="24"/>
          <w:lang w:val="en-US"/>
        </w:rPr>
        <w:t>for disease monitoring</w:t>
      </w:r>
      <w:r w:rsidR="00245E3E" w:rsidRPr="00CE02BD">
        <w:rPr>
          <w:rFonts w:ascii="Book Antiqua" w:hAnsi="Book Antiqua"/>
          <w:color w:val="000000" w:themeColor="text1"/>
          <w:sz w:val="24"/>
          <w:szCs w:val="24"/>
          <w:lang w:val="en-US"/>
        </w:rPr>
        <w:t xml:space="preserve"> has the advantage of being non-invasive and relatively inexpensive. </w:t>
      </w:r>
      <w:r w:rsidR="00694F3B" w:rsidRPr="00CE02BD">
        <w:rPr>
          <w:rFonts w:ascii="Book Antiqua" w:hAnsi="Book Antiqua"/>
          <w:color w:val="000000" w:themeColor="text1"/>
          <w:sz w:val="24"/>
          <w:szCs w:val="24"/>
          <w:lang w:val="en-US"/>
        </w:rPr>
        <w:t xml:space="preserve">The above results suggest that after identifying the appropriate cut-off levels, the combined measurement of these biomarkers (FCAL and CRP) could very much help disease monitoring and decision making about the optimal timing of endoscopy. </w:t>
      </w:r>
      <w:r w:rsidR="00245E3E" w:rsidRPr="00CE02BD">
        <w:rPr>
          <w:rFonts w:ascii="Book Antiqua" w:hAnsi="Book Antiqua"/>
          <w:color w:val="000000" w:themeColor="text1"/>
          <w:sz w:val="24"/>
          <w:szCs w:val="24"/>
          <w:lang w:val="en-US"/>
        </w:rPr>
        <w:t xml:space="preserve">Significant progress has been made since </w:t>
      </w:r>
      <w:r w:rsidR="00694F3B" w:rsidRPr="00CE02BD">
        <w:rPr>
          <w:rFonts w:ascii="Book Antiqua" w:hAnsi="Book Antiqua"/>
          <w:color w:val="000000" w:themeColor="text1"/>
          <w:sz w:val="24"/>
          <w:szCs w:val="24"/>
          <w:lang w:val="en-US"/>
        </w:rPr>
        <w:t xml:space="preserve">the </w:t>
      </w:r>
      <w:r w:rsidR="00245E3E" w:rsidRPr="00CE02BD">
        <w:rPr>
          <w:rFonts w:ascii="Book Antiqua" w:hAnsi="Book Antiqua"/>
          <w:color w:val="000000" w:themeColor="text1"/>
          <w:sz w:val="24"/>
          <w:szCs w:val="24"/>
          <w:lang w:val="en-US"/>
        </w:rPr>
        <w:t>STRIDE</w:t>
      </w:r>
      <w:r w:rsidR="00694F3B" w:rsidRPr="00CE02BD">
        <w:rPr>
          <w:rFonts w:ascii="Book Antiqua" w:hAnsi="Book Antiqua"/>
          <w:color w:val="000000" w:themeColor="text1"/>
          <w:sz w:val="24"/>
          <w:szCs w:val="24"/>
          <w:lang w:val="en-US"/>
        </w:rPr>
        <w:t xml:space="preserve"> recommendations</w:t>
      </w:r>
      <w:r w:rsidR="00245E3E" w:rsidRPr="00CE02BD">
        <w:rPr>
          <w:rFonts w:ascii="Book Antiqua" w:hAnsi="Book Antiqua"/>
          <w:color w:val="000000" w:themeColor="text1"/>
          <w:sz w:val="24"/>
          <w:szCs w:val="24"/>
          <w:lang w:val="en-US"/>
        </w:rPr>
        <w:t xml:space="preserve"> in this regard.</w:t>
      </w:r>
    </w:p>
    <w:p w14:paraId="4C8DBAC5" w14:textId="419B9252" w:rsidR="00C56E98" w:rsidRPr="00CE02BD" w:rsidRDefault="00135E9B"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 xml:space="preserve">The most compelling evidence for the tailored use of biomarkers in tight disease monitoring </w:t>
      </w:r>
      <w:r w:rsidR="00DE3927" w:rsidRPr="00CE02BD">
        <w:rPr>
          <w:rFonts w:ascii="Book Antiqua" w:hAnsi="Book Antiqua"/>
          <w:color w:val="000000" w:themeColor="text1"/>
          <w:sz w:val="24"/>
          <w:szCs w:val="24"/>
          <w:lang w:val="en-US"/>
        </w:rPr>
        <w:t>derives from the CALM</w:t>
      </w:r>
      <w:r w:rsidR="00D72C01" w:rsidRPr="00CE02BD">
        <w:rPr>
          <w:rFonts w:ascii="Book Antiqua" w:eastAsia="Times New Roman" w:hAnsi="Book Antiqua" w:cstheme="minorHAnsi"/>
          <w:color w:val="000000"/>
          <w:sz w:val="24"/>
          <w:szCs w:val="24"/>
          <w:vertAlign w:val="superscript"/>
          <w:lang w:val="en-US"/>
        </w:rPr>
        <w:t>[</w:t>
      </w:r>
      <w:r w:rsidR="003823C4" w:rsidRPr="00CE02BD">
        <w:rPr>
          <w:rFonts w:ascii="Book Antiqua" w:eastAsia="Times New Roman" w:hAnsi="Book Antiqua" w:cstheme="minorHAnsi"/>
          <w:color w:val="000000"/>
          <w:sz w:val="24"/>
          <w:szCs w:val="24"/>
          <w:vertAlign w:val="superscript"/>
          <w:lang w:val="en-US"/>
        </w:rPr>
        <w:t>13</w:t>
      </w:r>
      <w:r w:rsidR="00D72C01" w:rsidRPr="00CE02BD">
        <w:rPr>
          <w:rFonts w:ascii="Book Antiqua" w:eastAsia="Times New Roman" w:hAnsi="Book Antiqua" w:cstheme="minorHAnsi"/>
          <w:color w:val="000000"/>
          <w:sz w:val="24"/>
          <w:szCs w:val="24"/>
          <w:vertAlign w:val="superscript"/>
          <w:lang w:val="en-US"/>
        </w:rPr>
        <w:t>]</w:t>
      </w:r>
      <w:r w:rsidR="00DE3927" w:rsidRPr="00CE02BD">
        <w:rPr>
          <w:rFonts w:ascii="Book Antiqua" w:hAnsi="Book Antiqua"/>
          <w:color w:val="000000" w:themeColor="text1"/>
          <w:sz w:val="24"/>
          <w:szCs w:val="24"/>
          <w:lang w:val="en-US"/>
        </w:rPr>
        <w:t xml:space="preserve"> </w:t>
      </w:r>
      <w:r w:rsidR="00D72C01" w:rsidRPr="00CE02BD">
        <w:rPr>
          <w:rFonts w:ascii="Book Antiqua" w:hAnsi="Book Antiqua"/>
          <w:color w:val="000000" w:themeColor="text1"/>
          <w:sz w:val="24"/>
          <w:szCs w:val="24"/>
          <w:lang w:val="en-US"/>
        </w:rPr>
        <w:t xml:space="preserve">study, </w:t>
      </w:r>
      <w:r w:rsidR="00C476CE" w:rsidRPr="00CE02BD">
        <w:rPr>
          <w:rFonts w:ascii="Book Antiqua" w:hAnsi="Book Antiqua"/>
          <w:color w:val="000000" w:themeColor="text1"/>
          <w:sz w:val="24"/>
          <w:szCs w:val="24"/>
          <w:lang w:val="en-US"/>
        </w:rPr>
        <w:t>seeking</w:t>
      </w:r>
      <w:r w:rsidR="00DE3927" w:rsidRPr="00CE02BD">
        <w:rPr>
          <w:rFonts w:ascii="Book Antiqua" w:hAnsi="Book Antiqua"/>
          <w:color w:val="000000" w:themeColor="text1"/>
          <w:sz w:val="24"/>
          <w:szCs w:val="24"/>
          <w:lang w:val="en-US"/>
        </w:rPr>
        <w:t xml:space="preserve"> whether it is </w:t>
      </w:r>
      <w:r w:rsidR="00C476CE" w:rsidRPr="00CE02BD">
        <w:rPr>
          <w:rFonts w:ascii="Book Antiqua" w:hAnsi="Book Antiqua"/>
          <w:color w:val="000000" w:themeColor="text1"/>
          <w:sz w:val="24"/>
          <w:szCs w:val="24"/>
          <w:lang w:val="en-US"/>
        </w:rPr>
        <w:t>appropriate</w:t>
      </w:r>
      <w:r w:rsidR="00DE3927" w:rsidRPr="00CE02BD">
        <w:rPr>
          <w:rFonts w:ascii="Book Antiqua" w:hAnsi="Book Antiqua"/>
          <w:color w:val="000000" w:themeColor="text1"/>
          <w:sz w:val="24"/>
          <w:szCs w:val="24"/>
          <w:lang w:val="en-US"/>
        </w:rPr>
        <w:t xml:space="preserve"> </w:t>
      </w:r>
      <w:r w:rsidR="00C56E98" w:rsidRPr="00CE02BD">
        <w:rPr>
          <w:rFonts w:ascii="Book Antiqua" w:hAnsi="Book Antiqua"/>
          <w:color w:val="000000" w:themeColor="text1"/>
          <w:sz w:val="24"/>
          <w:szCs w:val="24"/>
          <w:lang w:val="en-US"/>
        </w:rPr>
        <w:t xml:space="preserve">to </w:t>
      </w:r>
      <w:r w:rsidR="00C476CE" w:rsidRPr="00CE02BD">
        <w:rPr>
          <w:rFonts w:ascii="Book Antiqua" w:hAnsi="Book Antiqua"/>
          <w:color w:val="000000" w:themeColor="text1"/>
          <w:sz w:val="24"/>
          <w:szCs w:val="24"/>
          <w:lang w:val="en-US"/>
        </w:rPr>
        <w:t xml:space="preserve">intensify therapy in patients </w:t>
      </w:r>
      <w:r w:rsidR="00C56E98" w:rsidRPr="00CE02BD">
        <w:rPr>
          <w:rFonts w:ascii="Book Antiqua" w:hAnsi="Book Antiqua"/>
          <w:color w:val="000000" w:themeColor="text1"/>
          <w:sz w:val="24"/>
          <w:szCs w:val="24"/>
          <w:lang w:val="en-US"/>
        </w:rPr>
        <w:t>based on close monitoring of inflammatory biomarkers</w:t>
      </w:r>
      <w:r w:rsidR="00DE3927" w:rsidRPr="00CE02BD">
        <w:rPr>
          <w:rFonts w:ascii="Book Antiqua" w:hAnsi="Book Antiqua"/>
          <w:color w:val="000000" w:themeColor="text1"/>
          <w:sz w:val="24"/>
          <w:szCs w:val="24"/>
          <w:lang w:val="en-US"/>
        </w:rPr>
        <w:t xml:space="preserve"> (CRP and/or FCAL).</w:t>
      </w:r>
      <w:r w:rsidR="00D83A70" w:rsidRPr="00CE02BD">
        <w:rPr>
          <w:rFonts w:ascii="Book Antiqua" w:hAnsi="Book Antiqua"/>
          <w:color w:val="000000" w:themeColor="text1"/>
          <w:sz w:val="24"/>
          <w:szCs w:val="24"/>
          <w:lang w:val="en-US"/>
        </w:rPr>
        <w:t xml:space="preserve"> The CALM study is the first randomized trial to demonstrate that in patients </w:t>
      </w:r>
      <w:r w:rsidR="004661D7" w:rsidRPr="00CE02BD">
        <w:rPr>
          <w:rFonts w:ascii="Book Antiqua" w:hAnsi="Book Antiqua"/>
          <w:color w:val="000000" w:themeColor="text1"/>
          <w:sz w:val="24"/>
          <w:szCs w:val="24"/>
          <w:lang w:val="en-US"/>
        </w:rPr>
        <w:t>with early CD</w:t>
      </w:r>
      <w:r w:rsidR="00D83A70" w:rsidRPr="00CE02BD">
        <w:rPr>
          <w:rFonts w:ascii="Book Antiqua" w:hAnsi="Book Antiqua"/>
          <w:color w:val="000000" w:themeColor="text1"/>
          <w:sz w:val="24"/>
          <w:szCs w:val="24"/>
          <w:lang w:val="en-US"/>
        </w:rPr>
        <w:t>, therap</w:t>
      </w:r>
      <w:r w:rsidR="004661D7" w:rsidRPr="00CE02BD">
        <w:rPr>
          <w:rFonts w:ascii="Book Antiqua" w:hAnsi="Book Antiqua"/>
          <w:color w:val="000000" w:themeColor="text1"/>
          <w:sz w:val="24"/>
          <w:szCs w:val="24"/>
          <w:lang w:val="en-US"/>
        </w:rPr>
        <w:t>y based on biochemical targets</w:t>
      </w:r>
      <w:r w:rsidR="00D83A70" w:rsidRPr="00CE02BD">
        <w:rPr>
          <w:rFonts w:ascii="Book Antiqua" w:hAnsi="Book Antiqua"/>
          <w:color w:val="000000" w:themeColor="text1"/>
          <w:sz w:val="24"/>
          <w:szCs w:val="24"/>
          <w:lang w:val="en-US"/>
        </w:rPr>
        <w:t xml:space="preserve"> in</w:t>
      </w:r>
      <w:r w:rsidR="004661D7" w:rsidRPr="00CE02BD">
        <w:rPr>
          <w:rFonts w:ascii="Book Antiqua" w:hAnsi="Book Antiqua"/>
          <w:color w:val="000000" w:themeColor="text1"/>
          <w:sz w:val="24"/>
          <w:szCs w:val="24"/>
          <w:lang w:val="en-US"/>
        </w:rPr>
        <w:t xml:space="preserve"> </w:t>
      </w:r>
      <w:r w:rsidR="00D83A70" w:rsidRPr="00CE02BD">
        <w:rPr>
          <w:rFonts w:ascii="Book Antiqua" w:hAnsi="Book Antiqua"/>
          <w:color w:val="000000" w:themeColor="text1"/>
          <w:sz w:val="24"/>
          <w:szCs w:val="24"/>
          <w:lang w:val="en-US"/>
        </w:rPr>
        <w:t>addition to clinical targets (tight control</w:t>
      </w:r>
      <w:r w:rsidR="00C476CE" w:rsidRPr="00CE02BD">
        <w:rPr>
          <w:rFonts w:ascii="Book Antiqua" w:hAnsi="Book Antiqua"/>
          <w:color w:val="000000" w:themeColor="text1"/>
          <w:sz w:val="24"/>
          <w:szCs w:val="24"/>
          <w:lang w:val="en-US"/>
        </w:rPr>
        <w:t xml:space="preserve"> arm</w:t>
      </w:r>
      <w:r w:rsidR="00D83A70" w:rsidRPr="00CE02BD">
        <w:rPr>
          <w:rFonts w:ascii="Book Antiqua" w:hAnsi="Book Antiqua"/>
          <w:color w:val="000000" w:themeColor="text1"/>
          <w:sz w:val="24"/>
          <w:szCs w:val="24"/>
          <w:lang w:val="en-US"/>
        </w:rPr>
        <w:t>) is associated with higher endoscopic remission</w:t>
      </w:r>
      <w:r w:rsidR="004661D7" w:rsidRPr="00CE02BD">
        <w:rPr>
          <w:rFonts w:ascii="Book Antiqua" w:hAnsi="Book Antiqua"/>
          <w:color w:val="000000" w:themeColor="text1"/>
          <w:sz w:val="24"/>
          <w:szCs w:val="24"/>
          <w:lang w:val="en-US"/>
        </w:rPr>
        <w:t xml:space="preserve"> </w:t>
      </w:r>
      <w:r w:rsidR="00D83A70" w:rsidRPr="00CE02BD">
        <w:rPr>
          <w:rFonts w:ascii="Book Antiqua" w:hAnsi="Book Antiqua"/>
          <w:color w:val="000000" w:themeColor="text1"/>
          <w:sz w:val="24"/>
          <w:szCs w:val="24"/>
          <w:lang w:val="en-US"/>
        </w:rPr>
        <w:t>at 1 year compared with therapy based on clinical targets alone (clinical management</w:t>
      </w:r>
      <w:r w:rsidR="00C476CE" w:rsidRPr="00CE02BD">
        <w:rPr>
          <w:rFonts w:ascii="Book Antiqua" w:hAnsi="Book Antiqua"/>
          <w:color w:val="000000" w:themeColor="text1"/>
          <w:sz w:val="24"/>
          <w:szCs w:val="24"/>
          <w:lang w:val="en-US"/>
        </w:rPr>
        <w:t xml:space="preserve"> arm</w:t>
      </w:r>
      <w:r w:rsidR="00D83A70" w:rsidRPr="00CE02BD">
        <w:rPr>
          <w:rFonts w:ascii="Book Antiqua" w:hAnsi="Book Antiqua"/>
          <w:color w:val="000000" w:themeColor="text1"/>
          <w:sz w:val="24"/>
          <w:szCs w:val="24"/>
          <w:lang w:val="en-US"/>
        </w:rPr>
        <w:t>)</w:t>
      </w:r>
      <w:r w:rsidR="004661D7" w:rsidRPr="00CE02BD">
        <w:rPr>
          <w:rFonts w:ascii="Book Antiqua" w:hAnsi="Book Antiqua"/>
          <w:color w:val="000000" w:themeColor="text1"/>
          <w:sz w:val="24"/>
          <w:szCs w:val="24"/>
          <w:lang w:val="en-US"/>
        </w:rPr>
        <w:t>.</w:t>
      </w:r>
      <w:r w:rsidR="00C56E98" w:rsidRPr="00CE02BD">
        <w:rPr>
          <w:rFonts w:ascii="Book Antiqua" w:hAnsi="Book Antiqua"/>
          <w:color w:val="000000" w:themeColor="text1"/>
          <w:sz w:val="24"/>
          <w:szCs w:val="24"/>
          <w:lang w:val="en-US"/>
        </w:rPr>
        <w:t xml:space="preserve"> Treatment in both arms was escalated in a stepwise manner from no treatment </w:t>
      </w:r>
      <w:r w:rsidR="00C56E98" w:rsidRPr="00CE02BD">
        <w:rPr>
          <w:rFonts w:ascii="Book Antiqua" w:hAnsi="Book Antiqua"/>
          <w:color w:val="000000" w:themeColor="text1"/>
          <w:sz w:val="24"/>
          <w:szCs w:val="24"/>
          <w:lang w:val="en-US"/>
        </w:rPr>
        <w:lastRenderedPageBreak/>
        <w:t>to adalimumab induction, followed by adalimumab every other week, adalimumab every week, and lastly to both weekly adalimumab and daily azathioprine.</w:t>
      </w:r>
      <w:r w:rsidR="0019405B" w:rsidRPr="00CE02BD">
        <w:rPr>
          <w:rFonts w:ascii="Book Antiqua" w:hAnsi="Book Antiqua"/>
          <w:color w:val="000000" w:themeColor="text1"/>
          <w:sz w:val="24"/>
          <w:szCs w:val="24"/>
          <w:lang w:val="en-US"/>
        </w:rPr>
        <w:t xml:space="preserve"> </w:t>
      </w:r>
      <w:r w:rsidR="009E3091" w:rsidRPr="00CE02BD">
        <w:rPr>
          <w:rFonts w:ascii="Book Antiqua" w:hAnsi="Book Antiqua"/>
          <w:color w:val="000000" w:themeColor="text1"/>
          <w:sz w:val="24"/>
          <w:szCs w:val="24"/>
          <w:lang w:val="en-US"/>
        </w:rPr>
        <w:t>Evaluations were performed at 12, 24</w:t>
      </w:r>
      <w:r w:rsidR="00967F41" w:rsidRPr="00CE02BD">
        <w:rPr>
          <w:rFonts w:ascii="Book Antiqua" w:hAnsi="Book Antiqua"/>
          <w:color w:val="000000" w:themeColor="text1"/>
          <w:sz w:val="24"/>
          <w:szCs w:val="24"/>
          <w:lang w:val="en-US"/>
        </w:rPr>
        <w:t>,</w:t>
      </w:r>
      <w:r w:rsidR="009E3091" w:rsidRPr="00CE02BD">
        <w:rPr>
          <w:rFonts w:ascii="Book Antiqua" w:hAnsi="Book Antiqua"/>
          <w:color w:val="000000" w:themeColor="text1"/>
          <w:sz w:val="24"/>
          <w:szCs w:val="24"/>
          <w:lang w:val="en-US"/>
        </w:rPr>
        <w:t xml:space="preserve"> and 36 </w:t>
      </w:r>
      <w:r w:rsidR="00967F41" w:rsidRPr="00CE02BD">
        <w:rPr>
          <w:rFonts w:ascii="Book Antiqua" w:hAnsi="Book Antiqua"/>
          <w:color w:val="000000" w:themeColor="text1"/>
          <w:sz w:val="24"/>
          <w:szCs w:val="24"/>
          <w:lang w:val="en-US"/>
        </w:rPr>
        <w:t>wk</w:t>
      </w:r>
      <w:r w:rsidR="009E3091" w:rsidRPr="00CE02BD">
        <w:rPr>
          <w:rFonts w:ascii="Book Antiqua" w:hAnsi="Book Antiqua"/>
          <w:color w:val="000000" w:themeColor="text1"/>
          <w:sz w:val="24"/>
          <w:szCs w:val="24"/>
          <w:lang w:val="en-US"/>
        </w:rPr>
        <w:t xml:space="preserve"> and</w:t>
      </w:r>
      <w:r w:rsidR="0019405B" w:rsidRPr="00CE02BD">
        <w:rPr>
          <w:rFonts w:ascii="Book Antiqua" w:hAnsi="Book Antiqua"/>
          <w:color w:val="000000" w:themeColor="text1"/>
          <w:sz w:val="24"/>
          <w:szCs w:val="24"/>
          <w:lang w:val="en-US"/>
        </w:rPr>
        <w:t xml:space="preserve"> escalation was based on meeting </w:t>
      </w:r>
      <w:r w:rsidR="00C476CE" w:rsidRPr="00CE02BD">
        <w:rPr>
          <w:rFonts w:ascii="Book Antiqua" w:hAnsi="Book Antiqua"/>
          <w:color w:val="000000" w:themeColor="text1"/>
          <w:sz w:val="24"/>
          <w:szCs w:val="24"/>
          <w:lang w:val="en-US"/>
        </w:rPr>
        <w:t>one of the following</w:t>
      </w:r>
      <w:r w:rsidR="0019405B" w:rsidRPr="00CE02BD">
        <w:rPr>
          <w:rFonts w:ascii="Book Antiqua" w:hAnsi="Book Antiqua"/>
          <w:color w:val="000000" w:themeColor="text1"/>
          <w:sz w:val="24"/>
          <w:szCs w:val="24"/>
          <w:lang w:val="en-US"/>
        </w:rPr>
        <w:t xml:space="preserve"> failure criteria; tight control group: faecal calprotectin ≥</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250 µg/g, C</w:t>
      </w:r>
      <w:r w:rsidR="005D0860" w:rsidRPr="00CE02BD">
        <w:rPr>
          <w:rFonts w:ascii="Book Antiqua" w:hAnsi="Book Antiqua"/>
          <w:color w:val="000000" w:themeColor="text1"/>
          <w:sz w:val="24"/>
          <w:szCs w:val="24"/>
          <w:lang w:val="en-US"/>
        </w:rPr>
        <w:t>RP</w:t>
      </w:r>
      <w:r w:rsidR="0019405B" w:rsidRPr="00CE02BD">
        <w:rPr>
          <w:rFonts w:ascii="Book Antiqua" w:hAnsi="Book Antiqua"/>
          <w:color w:val="000000" w:themeColor="text1"/>
          <w:sz w:val="24"/>
          <w:szCs w:val="24"/>
          <w:lang w:val="en-US"/>
        </w:rPr>
        <w:t xml:space="preserve"> ≥</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 xml:space="preserve">5mg/L, </w:t>
      </w:r>
      <w:r w:rsidR="00CC30D0" w:rsidRPr="00CE02BD">
        <w:rPr>
          <w:rFonts w:ascii="Book Antiqua" w:hAnsi="Book Antiqua"/>
          <w:color w:val="000000" w:themeColor="text1"/>
          <w:sz w:val="24"/>
          <w:szCs w:val="24"/>
          <w:lang w:val="en-US"/>
        </w:rPr>
        <w:t>CDAI ≥</w:t>
      </w:r>
      <w:r w:rsidR="00967F41" w:rsidRPr="00CE02BD">
        <w:rPr>
          <w:rFonts w:ascii="Book Antiqua" w:hAnsi="Book Antiqua"/>
          <w:color w:val="000000" w:themeColor="text1"/>
          <w:sz w:val="24"/>
          <w:szCs w:val="24"/>
          <w:lang w:val="en-US"/>
        </w:rPr>
        <w:t xml:space="preserve"> </w:t>
      </w:r>
      <w:r w:rsidR="00CC30D0" w:rsidRPr="00CE02BD">
        <w:rPr>
          <w:rFonts w:ascii="Book Antiqua" w:hAnsi="Book Antiqua"/>
          <w:color w:val="000000" w:themeColor="text1"/>
          <w:sz w:val="24"/>
          <w:szCs w:val="24"/>
          <w:lang w:val="en-US"/>
        </w:rPr>
        <w:t>150</w:t>
      </w:r>
      <w:r w:rsidR="0019405B" w:rsidRPr="00CE02BD">
        <w:rPr>
          <w:rFonts w:ascii="Book Antiqua" w:hAnsi="Book Antiqua"/>
          <w:color w:val="000000" w:themeColor="text1"/>
          <w:sz w:val="24"/>
          <w:szCs w:val="24"/>
          <w:lang w:val="en-US"/>
        </w:rPr>
        <w:t xml:space="preserve"> or prednisone use in the previous week; clinical management group: CDAI decrease of &lt;</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100 points compared with baseline or CDAI ≥</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 xml:space="preserve">200, or prednisone use in the previous week. </w:t>
      </w:r>
      <w:r w:rsidR="009E3091" w:rsidRPr="00CE02BD">
        <w:rPr>
          <w:rFonts w:ascii="Book Antiqua" w:hAnsi="Book Antiqua"/>
          <w:color w:val="000000" w:themeColor="text1"/>
          <w:sz w:val="24"/>
          <w:szCs w:val="24"/>
          <w:lang w:val="en-US"/>
        </w:rPr>
        <w:t xml:space="preserve">For the tight control arm, even if patients were symptomatically well, treatment was escalated if biomarkers were raised. </w:t>
      </w:r>
      <w:r w:rsidR="0019405B" w:rsidRPr="00CE02BD">
        <w:rPr>
          <w:rFonts w:ascii="Book Antiqua" w:hAnsi="Book Antiqua"/>
          <w:color w:val="000000" w:themeColor="text1"/>
          <w:sz w:val="24"/>
          <w:szCs w:val="24"/>
          <w:lang w:val="en-US"/>
        </w:rPr>
        <w:t xml:space="preserve">The primary outcome at 48 </w:t>
      </w:r>
      <w:r w:rsidR="00967F41" w:rsidRPr="00CE02BD">
        <w:rPr>
          <w:rFonts w:ascii="Book Antiqua" w:hAnsi="Book Antiqua"/>
          <w:color w:val="000000" w:themeColor="text1"/>
          <w:sz w:val="24"/>
          <w:szCs w:val="24"/>
          <w:lang w:val="en-US"/>
        </w:rPr>
        <w:t>wk</w:t>
      </w:r>
      <w:r w:rsidR="0019405B" w:rsidRPr="00CE02BD">
        <w:rPr>
          <w:rFonts w:ascii="Book Antiqua" w:hAnsi="Book Antiqua"/>
          <w:color w:val="000000" w:themeColor="text1"/>
          <w:sz w:val="24"/>
          <w:szCs w:val="24"/>
          <w:lang w:val="en-US"/>
        </w:rPr>
        <w:t xml:space="preserve"> after randomisation was mucosal healing (CDEIS &lt;</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4 and no deep ulcerations</w:t>
      </w:r>
      <w:r w:rsidR="00CC30D0" w:rsidRPr="00CE02BD">
        <w:rPr>
          <w:rFonts w:ascii="Book Antiqua" w:hAnsi="Book Antiqua"/>
          <w:color w:val="000000" w:themeColor="text1"/>
          <w:sz w:val="24"/>
          <w:szCs w:val="24"/>
          <w:lang w:val="en-US"/>
        </w:rPr>
        <w:t xml:space="preserve">). A significantly higher proportion of patients achieved the primary endpoint (46% </w:t>
      </w:r>
      <w:r w:rsidR="00967F41" w:rsidRPr="00CE02BD">
        <w:rPr>
          <w:rFonts w:ascii="Book Antiqua" w:hAnsi="Book Antiqua"/>
          <w:i/>
          <w:color w:val="000000" w:themeColor="text1"/>
          <w:sz w:val="24"/>
          <w:szCs w:val="24"/>
          <w:lang w:val="en-US"/>
        </w:rPr>
        <w:t>vs</w:t>
      </w:r>
      <w:r w:rsidR="00CC30D0" w:rsidRPr="00CE02BD">
        <w:rPr>
          <w:rFonts w:ascii="Book Antiqua" w:hAnsi="Book Antiqua"/>
          <w:color w:val="000000" w:themeColor="text1"/>
          <w:sz w:val="24"/>
          <w:szCs w:val="24"/>
          <w:lang w:val="en-US"/>
        </w:rPr>
        <w:t xml:space="preserve"> 30%; a</w:t>
      </w:r>
      <w:r w:rsidR="0019405B" w:rsidRPr="00CE02BD">
        <w:rPr>
          <w:rFonts w:ascii="Book Antiqua" w:hAnsi="Book Antiqua"/>
          <w:color w:val="000000" w:themeColor="text1"/>
          <w:sz w:val="24"/>
          <w:szCs w:val="24"/>
          <w:lang w:val="en-US"/>
        </w:rPr>
        <w:t>djusted risk difference 16.1%, 95%CI</w:t>
      </w:r>
      <w:r w:rsidR="00967F41" w:rsidRPr="00CE02BD">
        <w:rPr>
          <w:rFonts w:ascii="Book Antiqua" w:hAnsi="Book Antiqua"/>
          <w:color w:val="000000" w:themeColor="text1"/>
          <w:sz w:val="24"/>
          <w:szCs w:val="24"/>
          <w:lang w:val="en-US"/>
        </w:rPr>
        <w:t>:</w:t>
      </w:r>
      <w:r w:rsidR="0019405B" w:rsidRPr="00CE02BD">
        <w:rPr>
          <w:rFonts w:ascii="Book Antiqua" w:hAnsi="Book Antiqua"/>
          <w:color w:val="000000" w:themeColor="text1"/>
          <w:sz w:val="24"/>
          <w:szCs w:val="24"/>
          <w:lang w:val="en-US"/>
        </w:rPr>
        <w:t xml:space="preserve"> 3.9–28.3; </w:t>
      </w:r>
      <w:r w:rsidR="0019405B" w:rsidRPr="00CE02BD">
        <w:rPr>
          <w:rFonts w:ascii="Book Antiqua" w:hAnsi="Book Antiqua"/>
          <w:i/>
          <w:iCs/>
          <w:color w:val="000000" w:themeColor="text1"/>
          <w:sz w:val="24"/>
          <w:szCs w:val="24"/>
          <w:lang w:val="en-US"/>
        </w:rPr>
        <w:t>P</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w:t>
      </w:r>
      <w:r w:rsidR="00967F41" w:rsidRPr="00CE02BD">
        <w:rPr>
          <w:rFonts w:ascii="Book Antiqua" w:hAnsi="Book Antiqua"/>
          <w:color w:val="000000" w:themeColor="text1"/>
          <w:sz w:val="24"/>
          <w:szCs w:val="24"/>
          <w:lang w:val="en-US"/>
        </w:rPr>
        <w:t xml:space="preserve"> </w:t>
      </w:r>
      <w:r w:rsidR="0019405B" w:rsidRPr="00CE02BD">
        <w:rPr>
          <w:rFonts w:ascii="Book Antiqua" w:hAnsi="Book Antiqua"/>
          <w:color w:val="000000" w:themeColor="text1"/>
          <w:sz w:val="24"/>
          <w:szCs w:val="24"/>
          <w:lang w:val="en-US"/>
        </w:rPr>
        <w:t>0</w:t>
      </w:r>
      <w:r w:rsidR="00CC30D0" w:rsidRPr="00CE02BD">
        <w:rPr>
          <w:rFonts w:ascii="Book Antiqua" w:hAnsi="Book Antiqua"/>
          <w:color w:val="000000" w:themeColor="text1"/>
          <w:sz w:val="24"/>
          <w:szCs w:val="24"/>
          <w:lang w:val="en-US"/>
        </w:rPr>
        <w:t xml:space="preserve">.010) </w:t>
      </w:r>
      <w:r w:rsidR="0019405B" w:rsidRPr="00CE02BD">
        <w:rPr>
          <w:rFonts w:ascii="Book Antiqua" w:hAnsi="Book Antiqua"/>
          <w:color w:val="000000" w:themeColor="text1"/>
          <w:sz w:val="24"/>
          <w:szCs w:val="24"/>
          <w:lang w:val="en-US"/>
        </w:rPr>
        <w:t xml:space="preserve">when </w:t>
      </w:r>
      <w:r w:rsidR="00C476CE" w:rsidRPr="00CE02BD">
        <w:rPr>
          <w:rFonts w:ascii="Book Antiqua" w:hAnsi="Book Antiqua"/>
          <w:color w:val="000000" w:themeColor="text1"/>
          <w:sz w:val="24"/>
          <w:szCs w:val="24"/>
          <w:lang w:val="en-US"/>
        </w:rPr>
        <w:t>applying a tight control strategy</w:t>
      </w:r>
      <w:r w:rsidR="0019405B" w:rsidRPr="00CE02BD">
        <w:rPr>
          <w:rFonts w:ascii="Book Antiqua" w:hAnsi="Book Antiqua"/>
          <w:color w:val="000000" w:themeColor="text1"/>
          <w:sz w:val="24"/>
          <w:szCs w:val="24"/>
          <w:lang w:val="en-US"/>
        </w:rPr>
        <w:t xml:space="preserve">, compared </w:t>
      </w:r>
      <w:r w:rsidR="00C476CE" w:rsidRPr="00CE02BD">
        <w:rPr>
          <w:rFonts w:ascii="Book Antiqua" w:hAnsi="Book Antiqua"/>
          <w:color w:val="000000" w:themeColor="text1"/>
          <w:sz w:val="24"/>
          <w:szCs w:val="24"/>
          <w:lang w:val="en-US"/>
        </w:rPr>
        <w:t>to</w:t>
      </w:r>
      <w:r w:rsidR="0019405B" w:rsidRPr="00CE02BD">
        <w:rPr>
          <w:rFonts w:ascii="Book Antiqua" w:hAnsi="Book Antiqua"/>
          <w:color w:val="000000" w:themeColor="text1"/>
          <w:sz w:val="24"/>
          <w:szCs w:val="24"/>
          <w:lang w:val="en-US"/>
        </w:rPr>
        <w:t xml:space="preserve"> symptom-driven clinical management.</w:t>
      </w:r>
      <w:r w:rsidR="00CC30D0" w:rsidRPr="00CE02BD">
        <w:rPr>
          <w:rFonts w:ascii="Book Antiqua" w:hAnsi="Book Antiqua"/>
          <w:color w:val="000000" w:themeColor="text1"/>
          <w:sz w:val="24"/>
          <w:szCs w:val="24"/>
          <w:lang w:val="en-US"/>
        </w:rPr>
        <w:t xml:space="preserve"> </w:t>
      </w:r>
      <w:r w:rsidR="00C56E98" w:rsidRPr="00CE02BD">
        <w:rPr>
          <w:rFonts w:ascii="Book Antiqua" w:hAnsi="Book Antiqua"/>
          <w:color w:val="000000" w:themeColor="text1"/>
          <w:sz w:val="24"/>
          <w:szCs w:val="24"/>
          <w:lang w:val="en-US"/>
        </w:rPr>
        <w:t xml:space="preserve">In addition, fewer CD-related hospitalizations occurred in the tight control arm (13.2 </w:t>
      </w:r>
      <w:r w:rsidR="00967F41" w:rsidRPr="00CE02BD">
        <w:rPr>
          <w:rFonts w:ascii="Book Antiqua" w:hAnsi="Book Antiqua"/>
          <w:i/>
          <w:color w:val="000000" w:themeColor="text1"/>
          <w:sz w:val="24"/>
          <w:szCs w:val="24"/>
          <w:lang w:val="en-US"/>
        </w:rPr>
        <w:t>vs</w:t>
      </w:r>
      <w:r w:rsidR="00C56E98" w:rsidRPr="00CE02BD">
        <w:rPr>
          <w:rFonts w:ascii="Book Antiqua" w:hAnsi="Book Antiqua"/>
          <w:color w:val="000000" w:themeColor="text1"/>
          <w:sz w:val="24"/>
          <w:szCs w:val="24"/>
          <w:lang w:val="en-US"/>
        </w:rPr>
        <w:t xml:space="preserve"> 28.0 events/100 patient-years; </w:t>
      </w:r>
      <w:r w:rsidR="00C56E98" w:rsidRPr="00CE02BD">
        <w:rPr>
          <w:rFonts w:ascii="Book Antiqua" w:hAnsi="Book Antiqua"/>
          <w:i/>
          <w:iCs/>
          <w:color w:val="000000" w:themeColor="text1"/>
          <w:sz w:val="24"/>
          <w:szCs w:val="24"/>
          <w:lang w:val="en-US"/>
        </w:rPr>
        <w:t>P</w:t>
      </w:r>
      <w:r w:rsidR="00967F41" w:rsidRPr="00CE02BD">
        <w:rPr>
          <w:rFonts w:ascii="Book Antiqua" w:hAnsi="Book Antiqua"/>
          <w:color w:val="000000" w:themeColor="text1"/>
          <w:sz w:val="24"/>
          <w:szCs w:val="24"/>
          <w:lang w:val="en-US"/>
        </w:rPr>
        <w:t xml:space="preserve"> </w:t>
      </w:r>
      <w:r w:rsidR="00C56E98" w:rsidRPr="00CE02BD">
        <w:rPr>
          <w:rFonts w:ascii="Book Antiqua" w:hAnsi="Book Antiqua"/>
          <w:color w:val="000000" w:themeColor="text1"/>
          <w:sz w:val="24"/>
          <w:szCs w:val="24"/>
          <w:lang w:val="en-US"/>
        </w:rPr>
        <w:t>=</w:t>
      </w:r>
      <w:r w:rsidR="00967F41" w:rsidRPr="00CE02BD">
        <w:rPr>
          <w:rFonts w:ascii="Book Antiqua" w:hAnsi="Book Antiqua"/>
          <w:color w:val="000000" w:themeColor="text1"/>
          <w:sz w:val="24"/>
          <w:szCs w:val="24"/>
          <w:lang w:val="en-US"/>
        </w:rPr>
        <w:t xml:space="preserve"> </w:t>
      </w:r>
      <w:r w:rsidR="00C56E98" w:rsidRPr="00CE02BD">
        <w:rPr>
          <w:rFonts w:ascii="Book Antiqua" w:hAnsi="Book Antiqua"/>
          <w:color w:val="000000" w:themeColor="text1"/>
          <w:sz w:val="24"/>
          <w:szCs w:val="24"/>
          <w:lang w:val="en-US"/>
        </w:rPr>
        <w:t>0.021). Subsequent follow-up data</w:t>
      </w:r>
      <w:r w:rsidR="00346A91" w:rsidRPr="00CE02BD">
        <w:rPr>
          <w:rFonts w:ascii="Book Antiqua" w:hAnsi="Book Antiqua"/>
          <w:color w:val="000000" w:themeColor="text1"/>
          <w:sz w:val="24"/>
          <w:szCs w:val="24"/>
          <w:lang w:val="en-US"/>
        </w:rPr>
        <w:t xml:space="preserve"> of the CALM study</w:t>
      </w:r>
      <w:r w:rsidR="00C56E98" w:rsidRPr="00CE02BD">
        <w:rPr>
          <w:rFonts w:ascii="Book Antiqua" w:hAnsi="Book Antiqua"/>
          <w:color w:val="000000" w:themeColor="text1"/>
          <w:sz w:val="24"/>
          <w:szCs w:val="24"/>
          <w:lang w:val="en-US"/>
        </w:rPr>
        <w:t xml:space="preserve"> on 122 patients for 3 additional years revealed that endoscopic remission</w:t>
      </w:r>
      <w:r w:rsidR="00346A91" w:rsidRPr="00CE02BD">
        <w:rPr>
          <w:rFonts w:ascii="Book Antiqua" w:hAnsi="Book Antiqua"/>
          <w:color w:val="000000" w:themeColor="text1"/>
          <w:sz w:val="24"/>
          <w:szCs w:val="24"/>
          <w:lang w:val="en-US"/>
        </w:rPr>
        <w:t xml:space="preserve"> </w:t>
      </w:r>
      <w:r w:rsidR="00967F41" w:rsidRPr="00CE02BD">
        <w:rPr>
          <w:rFonts w:ascii="Book Antiqua" w:hAnsi="Book Antiqua"/>
          <w:color w:val="000000" w:themeColor="text1"/>
          <w:sz w:val="24"/>
          <w:szCs w:val="24"/>
          <w:lang w:val="en-US"/>
        </w:rPr>
        <w:t>[</w:t>
      </w:r>
      <w:r w:rsidR="00C56E98" w:rsidRPr="00CE02BD">
        <w:rPr>
          <w:rFonts w:ascii="Book Antiqua" w:hAnsi="Book Antiqua"/>
          <w:color w:val="000000" w:themeColor="text1"/>
          <w:sz w:val="24"/>
          <w:szCs w:val="24"/>
          <w:lang w:val="en-US"/>
        </w:rPr>
        <w:t>adjusted hazard rat</w:t>
      </w:r>
      <w:r w:rsidR="00346A91" w:rsidRPr="00CE02BD">
        <w:rPr>
          <w:rFonts w:ascii="Book Antiqua" w:hAnsi="Book Antiqua"/>
          <w:color w:val="000000" w:themeColor="text1"/>
          <w:sz w:val="24"/>
          <w:szCs w:val="24"/>
          <w:lang w:val="en-US"/>
        </w:rPr>
        <w:t>io</w:t>
      </w:r>
      <w:r w:rsidR="00397CC0" w:rsidRPr="00CE02BD">
        <w:rPr>
          <w:rFonts w:ascii="Book Antiqua" w:hAnsi="Book Antiqua"/>
          <w:color w:val="000000" w:themeColor="text1"/>
          <w:sz w:val="24"/>
          <w:szCs w:val="24"/>
          <w:lang w:val="en-US"/>
        </w:rPr>
        <w:t xml:space="preserve"> =</w:t>
      </w:r>
      <w:r w:rsidR="00346A91" w:rsidRPr="00CE02BD">
        <w:rPr>
          <w:rFonts w:ascii="Book Antiqua" w:hAnsi="Book Antiqua"/>
          <w:color w:val="000000" w:themeColor="text1"/>
          <w:sz w:val="24"/>
          <w:szCs w:val="24"/>
          <w:lang w:val="en-US"/>
        </w:rPr>
        <w:t xml:space="preserve"> 0.44, 95%CI</w:t>
      </w:r>
      <w:r w:rsidR="00967F41" w:rsidRPr="00CE02BD">
        <w:rPr>
          <w:rFonts w:ascii="Book Antiqua" w:hAnsi="Book Antiqua"/>
          <w:color w:val="000000" w:themeColor="text1"/>
          <w:sz w:val="24"/>
          <w:szCs w:val="24"/>
          <w:lang w:val="en-US"/>
        </w:rPr>
        <w:t>:</w:t>
      </w:r>
      <w:r w:rsidR="00346A91" w:rsidRPr="00CE02BD">
        <w:rPr>
          <w:rFonts w:ascii="Book Antiqua" w:hAnsi="Book Antiqua"/>
          <w:color w:val="000000" w:themeColor="text1"/>
          <w:sz w:val="24"/>
          <w:szCs w:val="24"/>
          <w:lang w:val="en-US"/>
        </w:rPr>
        <w:t xml:space="preserve"> 0.20–0.96</w:t>
      </w:r>
      <w:r w:rsidR="00967F41" w:rsidRPr="00CE02BD">
        <w:rPr>
          <w:rFonts w:ascii="Book Antiqua" w:hAnsi="Book Antiqua"/>
          <w:color w:val="000000" w:themeColor="text1"/>
          <w:sz w:val="24"/>
          <w:szCs w:val="24"/>
          <w:lang w:val="en-US"/>
        </w:rPr>
        <w:t>]</w:t>
      </w:r>
      <w:r w:rsidR="00C56E98" w:rsidRPr="00CE02BD">
        <w:rPr>
          <w:rFonts w:ascii="Book Antiqua" w:hAnsi="Book Antiqua"/>
          <w:color w:val="000000" w:themeColor="text1"/>
          <w:sz w:val="24"/>
          <w:szCs w:val="24"/>
          <w:lang w:val="en-US"/>
        </w:rPr>
        <w:t xml:space="preserve"> and combined endoscopic</w:t>
      </w:r>
      <w:r w:rsidR="00346A91" w:rsidRPr="00CE02BD">
        <w:rPr>
          <w:rFonts w:ascii="Book Antiqua" w:hAnsi="Book Antiqua"/>
          <w:color w:val="000000" w:themeColor="text1"/>
          <w:sz w:val="24"/>
          <w:szCs w:val="24"/>
          <w:lang w:val="en-US"/>
        </w:rPr>
        <w:t xml:space="preserve"> </w:t>
      </w:r>
      <w:r w:rsidR="00C56E98" w:rsidRPr="00CE02BD">
        <w:rPr>
          <w:rFonts w:ascii="Book Antiqua" w:hAnsi="Book Antiqua"/>
          <w:color w:val="000000" w:themeColor="text1"/>
          <w:sz w:val="24"/>
          <w:szCs w:val="24"/>
          <w:lang w:val="en-US"/>
        </w:rPr>
        <w:t>and clinical (deep) remiss</w:t>
      </w:r>
      <w:r w:rsidR="004F1003" w:rsidRPr="00CE02BD">
        <w:rPr>
          <w:rFonts w:ascii="Book Antiqua" w:hAnsi="Book Antiqua"/>
          <w:color w:val="000000" w:themeColor="text1"/>
          <w:sz w:val="24"/>
          <w:szCs w:val="24"/>
          <w:lang w:val="en-US"/>
        </w:rPr>
        <w:t>ion (</w:t>
      </w:r>
      <w:r w:rsidR="00346A91" w:rsidRPr="00CE02BD">
        <w:rPr>
          <w:rFonts w:ascii="Book Antiqua" w:hAnsi="Book Antiqua"/>
          <w:color w:val="000000" w:themeColor="text1"/>
          <w:sz w:val="24"/>
          <w:szCs w:val="24"/>
          <w:lang w:val="en-US"/>
        </w:rPr>
        <w:t>0.25, 95%CI</w:t>
      </w:r>
      <w:r w:rsidR="00967F41" w:rsidRPr="00CE02BD">
        <w:rPr>
          <w:rFonts w:ascii="Book Antiqua" w:hAnsi="Book Antiqua"/>
          <w:color w:val="000000" w:themeColor="text1"/>
          <w:sz w:val="24"/>
          <w:szCs w:val="24"/>
          <w:lang w:val="en-US"/>
        </w:rPr>
        <w:t>:</w:t>
      </w:r>
      <w:r w:rsidR="00346A91" w:rsidRPr="00CE02BD">
        <w:rPr>
          <w:rFonts w:ascii="Book Antiqua" w:hAnsi="Book Antiqua"/>
          <w:color w:val="000000" w:themeColor="text1"/>
          <w:sz w:val="24"/>
          <w:szCs w:val="24"/>
          <w:lang w:val="en-US"/>
        </w:rPr>
        <w:t xml:space="preserve"> 0.09–0.72</w:t>
      </w:r>
      <w:r w:rsidR="00C56E98" w:rsidRPr="00CE02BD">
        <w:rPr>
          <w:rFonts w:ascii="Book Antiqua" w:hAnsi="Book Antiqua"/>
          <w:color w:val="000000" w:themeColor="text1"/>
          <w:sz w:val="24"/>
          <w:szCs w:val="24"/>
          <w:lang w:val="en-US"/>
        </w:rPr>
        <w:t xml:space="preserve">) </w:t>
      </w:r>
      <w:r w:rsidR="00C476CE" w:rsidRPr="00CE02BD">
        <w:rPr>
          <w:rFonts w:ascii="Book Antiqua" w:hAnsi="Book Antiqua"/>
          <w:color w:val="000000" w:themeColor="text1"/>
          <w:sz w:val="24"/>
          <w:szCs w:val="24"/>
          <w:lang w:val="en-US"/>
        </w:rPr>
        <w:t xml:space="preserve">at 1 year </w:t>
      </w:r>
      <w:r w:rsidR="00C56E98" w:rsidRPr="00CE02BD">
        <w:rPr>
          <w:rFonts w:ascii="Book Antiqua" w:hAnsi="Book Antiqua"/>
          <w:color w:val="000000" w:themeColor="text1"/>
          <w:sz w:val="24"/>
          <w:szCs w:val="24"/>
          <w:lang w:val="en-US"/>
        </w:rPr>
        <w:t>were</w:t>
      </w:r>
      <w:r w:rsidR="00346A91" w:rsidRPr="00CE02BD">
        <w:rPr>
          <w:rFonts w:ascii="Book Antiqua" w:hAnsi="Book Antiqua"/>
          <w:color w:val="000000" w:themeColor="text1"/>
          <w:sz w:val="24"/>
          <w:szCs w:val="24"/>
          <w:lang w:val="en-US"/>
        </w:rPr>
        <w:t xml:space="preserve"> </w:t>
      </w:r>
      <w:r w:rsidR="00C56E98" w:rsidRPr="00CE02BD">
        <w:rPr>
          <w:rFonts w:ascii="Book Antiqua" w:hAnsi="Book Antiqua"/>
          <w:color w:val="000000" w:themeColor="text1"/>
          <w:sz w:val="24"/>
          <w:szCs w:val="24"/>
          <w:lang w:val="en-US"/>
        </w:rPr>
        <w:t xml:space="preserve">associated with lower risk of adverse events such as new internal fistula/abscess, stricture, perianal fistula/abscess, </w:t>
      </w:r>
      <w:r w:rsidR="00C476CE" w:rsidRPr="00CE02BD">
        <w:rPr>
          <w:rFonts w:ascii="Book Antiqua" w:hAnsi="Book Antiqua"/>
          <w:color w:val="000000" w:themeColor="text1"/>
          <w:sz w:val="24"/>
          <w:szCs w:val="24"/>
          <w:lang w:val="en-US"/>
        </w:rPr>
        <w:t>hospitalization, or</w:t>
      </w:r>
      <w:r w:rsidR="00346A91" w:rsidRPr="00CE02BD">
        <w:rPr>
          <w:rFonts w:ascii="Book Antiqua" w:hAnsi="Book Antiqua"/>
          <w:color w:val="000000" w:themeColor="text1"/>
          <w:sz w:val="24"/>
          <w:szCs w:val="24"/>
          <w:lang w:val="en-US"/>
        </w:rPr>
        <w:t xml:space="preserve"> surgery</w:t>
      </w:r>
      <w:r w:rsidR="00C476CE" w:rsidRPr="00CE02BD">
        <w:rPr>
          <w:rFonts w:ascii="Book Antiqua" w:hAnsi="Book Antiqua"/>
          <w:color w:val="000000" w:themeColor="text1"/>
          <w:sz w:val="24"/>
          <w:szCs w:val="24"/>
          <w:lang w:val="en-US"/>
        </w:rPr>
        <w:t xml:space="preserve"> in long-term follow-up</w:t>
      </w:r>
      <w:bookmarkStart w:id="70" w:name="_Ref18516262"/>
      <w:r w:rsidR="000F1138" w:rsidRPr="00CE02BD">
        <w:rPr>
          <w:rFonts w:ascii="Book Antiqua" w:eastAsia="Times New Roman" w:hAnsi="Book Antiqua" w:cstheme="minorHAnsi"/>
          <w:color w:val="000000"/>
          <w:sz w:val="24"/>
          <w:szCs w:val="24"/>
          <w:vertAlign w:val="superscript"/>
          <w:lang w:val="en-US"/>
        </w:rPr>
        <w:t>[</w:t>
      </w:r>
      <w:bookmarkEnd w:id="70"/>
      <w:r w:rsidR="000F1138" w:rsidRPr="00CE02BD">
        <w:rPr>
          <w:rFonts w:ascii="Book Antiqua" w:eastAsia="Times New Roman" w:hAnsi="Book Antiqua" w:cstheme="minorHAnsi"/>
          <w:color w:val="000000"/>
          <w:sz w:val="24"/>
          <w:szCs w:val="24"/>
          <w:vertAlign w:val="superscript"/>
          <w:lang w:val="en-US"/>
        </w:rPr>
        <w:t>55]</w:t>
      </w:r>
      <w:r w:rsidR="00346A91" w:rsidRPr="00CE02BD">
        <w:rPr>
          <w:rFonts w:ascii="Book Antiqua" w:hAnsi="Book Antiqua"/>
          <w:color w:val="000000" w:themeColor="text1"/>
          <w:sz w:val="24"/>
          <w:szCs w:val="24"/>
          <w:lang w:val="en-US"/>
        </w:rPr>
        <w:t xml:space="preserve">. These data further </w:t>
      </w:r>
      <w:r w:rsidR="00CC30D0" w:rsidRPr="00CE02BD">
        <w:rPr>
          <w:rFonts w:ascii="Book Antiqua" w:hAnsi="Book Antiqua"/>
          <w:color w:val="000000" w:themeColor="text1"/>
          <w:sz w:val="24"/>
          <w:szCs w:val="24"/>
          <w:lang w:val="en-US"/>
        </w:rPr>
        <w:t>strengthen</w:t>
      </w:r>
      <w:r w:rsidR="00346A91" w:rsidRPr="00CE02BD">
        <w:rPr>
          <w:rFonts w:ascii="Book Antiqua" w:hAnsi="Book Antiqua"/>
          <w:color w:val="000000" w:themeColor="text1"/>
          <w:sz w:val="24"/>
          <w:szCs w:val="24"/>
          <w:lang w:val="en-US"/>
        </w:rPr>
        <w:t xml:space="preserve"> the STRIDE recommendation</w:t>
      </w:r>
      <w:r w:rsidR="00C476CE" w:rsidRPr="00CE02BD">
        <w:rPr>
          <w:rFonts w:ascii="Book Antiqua" w:hAnsi="Book Antiqua"/>
          <w:color w:val="000000" w:themeColor="text1"/>
          <w:sz w:val="24"/>
          <w:szCs w:val="24"/>
          <w:lang w:val="en-US"/>
        </w:rPr>
        <w:t>s for</w:t>
      </w:r>
      <w:r w:rsidR="00346A91" w:rsidRPr="00CE02BD">
        <w:rPr>
          <w:rFonts w:ascii="Book Antiqua" w:hAnsi="Book Antiqua"/>
          <w:color w:val="000000" w:themeColor="text1"/>
          <w:sz w:val="24"/>
          <w:szCs w:val="24"/>
          <w:lang w:val="en-US"/>
        </w:rPr>
        <w:t xml:space="preserve"> </w:t>
      </w:r>
      <w:r w:rsidR="00C476CE" w:rsidRPr="00CE02BD">
        <w:rPr>
          <w:rFonts w:ascii="Book Antiqua" w:hAnsi="Book Antiqua"/>
          <w:color w:val="000000" w:themeColor="text1"/>
          <w:sz w:val="24"/>
          <w:szCs w:val="24"/>
          <w:lang w:val="en-US"/>
        </w:rPr>
        <w:t xml:space="preserve">targeting </w:t>
      </w:r>
      <w:r w:rsidR="00346A91" w:rsidRPr="00CE02BD">
        <w:rPr>
          <w:rFonts w:ascii="Book Antiqua" w:hAnsi="Book Antiqua"/>
          <w:color w:val="000000" w:themeColor="text1"/>
          <w:sz w:val="24"/>
          <w:szCs w:val="24"/>
          <w:lang w:val="en-US"/>
        </w:rPr>
        <w:t xml:space="preserve">combined endoscopic and clinical remission and </w:t>
      </w:r>
      <w:r w:rsidR="001B63DC" w:rsidRPr="00CE02BD">
        <w:rPr>
          <w:rFonts w:ascii="Book Antiqua" w:hAnsi="Book Antiqua"/>
          <w:color w:val="000000" w:themeColor="text1"/>
          <w:sz w:val="24"/>
          <w:szCs w:val="24"/>
          <w:lang w:val="en-US"/>
        </w:rPr>
        <w:t xml:space="preserve">adds the importance of </w:t>
      </w:r>
      <w:r w:rsidR="00346A91" w:rsidRPr="00CE02BD">
        <w:rPr>
          <w:rFonts w:ascii="Book Antiqua" w:hAnsi="Book Antiqua"/>
          <w:color w:val="000000" w:themeColor="text1"/>
          <w:sz w:val="24"/>
          <w:szCs w:val="24"/>
          <w:lang w:val="en-US"/>
        </w:rPr>
        <w:t>the timely assessment and aim</w:t>
      </w:r>
      <w:r w:rsidR="00C476CE" w:rsidRPr="00CE02BD">
        <w:rPr>
          <w:rFonts w:ascii="Book Antiqua" w:hAnsi="Book Antiqua"/>
          <w:color w:val="000000" w:themeColor="text1"/>
          <w:sz w:val="24"/>
          <w:szCs w:val="24"/>
          <w:lang w:val="en-US"/>
        </w:rPr>
        <w:t>ing</w:t>
      </w:r>
      <w:r w:rsidR="00346A91" w:rsidRPr="00CE02BD">
        <w:rPr>
          <w:rFonts w:ascii="Book Antiqua" w:hAnsi="Book Antiqua"/>
          <w:color w:val="000000" w:themeColor="text1"/>
          <w:sz w:val="24"/>
          <w:szCs w:val="24"/>
          <w:lang w:val="en-US"/>
        </w:rPr>
        <w:t xml:space="preserve"> for norma</w:t>
      </w:r>
      <w:r w:rsidR="00C476CE" w:rsidRPr="00CE02BD">
        <w:rPr>
          <w:rFonts w:ascii="Book Antiqua" w:hAnsi="Book Antiqua"/>
          <w:color w:val="000000" w:themeColor="text1"/>
          <w:sz w:val="24"/>
          <w:szCs w:val="24"/>
          <w:lang w:val="en-US"/>
        </w:rPr>
        <w:t>lization of biochemical markers.</w:t>
      </w:r>
    </w:p>
    <w:p w14:paraId="27AE7467" w14:textId="317D313E" w:rsidR="000F663A" w:rsidRPr="00CE02BD" w:rsidRDefault="001B63DC" w:rsidP="00967F41">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 xml:space="preserve">Therapeutic drug monitoring (TDM) is an integral component of tight </w:t>
      </w:r>
      <w:r w:rsidR="009431FA" w:rsidRPr="00CE02BD">
        <w:rPr>
          <w:rFonts w:ascii="Book Antiqua" w:hAnsi="Book Antiqua"/>
          <w:color w:val="000000" w:themeColor="text1"/>
          <w:sz w:val="24"/>
          <w:szCs w:val="24"/>
          <w:lang w:val="en-US"/>
        </w:rPr>
        <w:t>disease monitoring in</w:t>
      </w:r>
      <w:r w:rsidRPr="00CE02BD">
        <w:rPr>
          <w:rFonts w:ascii="Book Antiqua" w:hAnsi="Book Antiqua"/>
          <w:color w:val="000000" w:themeColor="text1"/>
          <w:sz w:val="24"/>
          <w:szCs w:val="24"/>
          <w:lang w:val="en-US"/>
        </w:rPr>
        <w:t xml:space="preserve"> IBD. </w:t>
      </w:r>
      <w:r w:rsidR="009431FA" w:rsidRPr="00CE02BD">
        <w:rPr>
          <w:rFonts w:ascii="Book Antiqua" w:hAnsi="Book Antiqua"/>
          <w:color w:val="000000" w:themeColor="text1"/>
          <w:sz w:val="24"/>
          <w:szCs w:val="24"/>
          <w:lang w:val="en-US"/>
        </w:rPr>
        <w:t>Numerous s</w:t>
      </w:r>
      <w:r w:rsidRPr="00CE02BD">
        <w:rPr>
          <w:rFonts w:ascii="Book Antiqua" w:hAnsi="Book Antiqua"/>
          <w:color w:val="000000" w:themeColor="text1"/>
          <w:sz w:val="24"/>
          <w:szCs w:val="24"/>
          <w:lang w:val="en-US"/>
        </w:rPr>
        <w:t xml:space="preserve">tudies have shown that optimal levels of anti-TNF agents are associated with clinical and </w:t>
      </w:r>
      <w:r w:rsidR="009431FA" w:rsidRPr="00CE02BD">
        <w:rPr>
          <w:rFonts w:ascii="Book Antiqua" w:hAnsi="Book Antiqua"/>
          <w:color w:val="000000" w:themeColor="text1"/>
          <w:sz w:val="24"/>
          <w:szCs w:val="24"/>
          <w:lang w:val="en-US"/>
        </w:rPr>
        <w:t xml:space="preserve">endoscopic remission, and </w:t>
      </w:r>
      <w:r w:rsidRPr="00CE02BD">
        <w:rPr>
          <w:rFonts w:ascii="Book Antiqua" w:hAnsi="Book Antiqua"/>
          <w:color w:val="000000" w:themeColor="text1"/>
          <w:sz w:val="24"/>
          <w:szCs w:val="24"/>
          <w:lang w:val="en-US"/>
        </w:rPr>
        <w:t xml:space="preserve">conversely, low </w:t>
      </w:r>
      <w:r w:rsidR="009431FA" w:rsidRPr="00CE02BD">
        <w:rPr>
          <w:rFonts w:ascii="Book Antiqua" w:hAnsi="Book Antiqua"/>
          <w:color w:val="000000" w:themeColor="text1"/>
          <w:sz w:val="24"/>
          <w:szCs w:val="24"/>
          <w:lang w:val="en-US"/>
        </w:rPr>
        <w:t xml:space="preserve">drug </w:t>
      </w:r>
      <w:r w:rsidRPr="00CE02BD">
        <w:rPr>
          <w:rFonts w:ascii="Book Antiqua" w:hAnsi="Book Antiqua"/>
          <w:color w:val="000000" w:themeColor="text1"/>
          <w:sz w:val="24"/>
          <w:szCs w:val="24"/>
          <w:lang w:val="en-US"/>
        </w:rPr>
        <w:t xml:space="preserve">levels are associated with reduced clinical efficacy, suboptimal control of inflammation, and higher risk of disease </w:t>
      </w:r>
      <w:proofErr w:type="gramStart"/>
      <w:r w:rsidRPr="00CE02BD">
        <w:rPr>
          <w:rFonts w:ascii="Book Antiqua" w:hAnsi="Book Antiqua"/>
          <w:color w:val="000000" w:themeColor="text1"/>
          <w:sz w:val="24"/>
          <w:szCs w:val="24"/>
          <w:lang w:val="en-US"/>
        </w:rPr>
        <w:t>flares</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56-58]</w:t>
      </w:r>
      <w:r w:rsidRPr="00CE02BD">
        <w:rPr>
          <w:rFonts w:ascii="Book Antiqua" w:hAnsi="Book Antiqua"/>
          <w:color w:val="000000" w:themeColor="text1"/>
          <w:sz w:val="24"/>
          <w:szCs w:val="24"/>
          <w:lang w:val="en-US"/>
        </w:rPr>
        <w:t>.</w:t>
      </w:r>
      <w:r w:rsidR="00547437" w:rsidRPr="00CE02BD">
        <w:rPr>
          <w:rFonts w:ascii="Book Antiqua" w:hAnsi="Book Antiqua"/>
          <w:color w:val="000000" w:themeColor="text1"/>
          <w:sz w:val="24"/>
          <w:szCs w:val="24"/>
          <w:vertAlign w:val="superscript"/>
          <w:lang w:val="en-US"/>
        </w:rPr>
        <w:t xml:space="preserve"> </w:t>
      </w:r>
      <w:r w:rsidR="000F663A" w:rsidRPr="00CE02BD">
        <w:rPr>
          <w:rFonts w:ascii="Book Antiqua" w:hAnsi="Book Antiqua"/>
          <w:color w:val="000000" w:themeColor="text1"/>
          <w:sz w:val="24"/>
          <w:szCs w:val="24"/>
          <w:lang w:val="en-US"/>
        </w:rPr>
        <w:t>The most evidence support the role of drug Trough Level (TL) and anti-drug antibody (ADA) evaluations ideally in patients losing response to biologic therapy– i.e. reactive TDM in the case of suspected loss of response (LOR)</w:t>
      </w:r>
      <w:r w:rsidR="000F1138" w:rsidRPr="00CE02BD">
        <w:rPr>
          <w:rFonts w:ascii="Book Antiqua" w:eastAsia="Times New Roman" w:hAnsi="Book Antiqua" w:cstheme="minorHAnsi"/>
          <w:color w:val="000000"/>
          <w:sz w:val="24"/>
          <w:szCs w:val="24"/>
          <w:vertAlign w:val="superscript"/>
          <w:lang w:val="en-US"/>
        </w:rPr>
        <w:t>[59-61]</w:t>
      </w:r>
      <w:r w:rsidR="00CF493F" w:rsidRPr="00CE02BD">
        <w:rPr>
          <w:rFonts w:ascii="Book Antiqua" w:hAnsi="Book Antiqua"/>
          <w:color w:val="000000" w:themeColor="text1"/>
          <w:sz w:val="24"/>
          <w:szCs w:val="24"/>
          <w:lang w:val="en-US"/>
        </w:rPr>
        <w:t>.</w:t>
      </w:r>
      <w:r w:rsidR="003676C9" w:rsidRPr="00CE02BD">
        <w:rPr>
          <w:rFonts w:ascii="Book Antiqua" w:hAnsi="Book Antiqua"/>
          <w:color w:val="000000" w:themeColor="text1"/>
          <w:sz w:val="24"/>
          <w:szCs w:val="24"/>
          <w:vertAlign w:val="superscript"/>
          <w:lang w:val="en-US"/>
        </w:rPr>
        <w:t xml:space="preserve"> </w:t>
      </w:r>
      <w:r w:rsidR="000F663A" w:rsidRPr="00CE02BD">
        <w:rPr>
          <w:rFonts w:ascii="Book Antiqua" w:hAnsi="Book Antiqua"/>
          <w:color w:val="000000" w:themeColor="text1"/>
          <w:sz w:val="24"/>
          <w:szCs w:val="24"/>
          <w:lang w:val="en-US"/>
        </w:rPr>
        <w:t xml:space="preserve">The use of reactive TDM is based on a widely known algorithmic approach, originally developed to assess treatment failure (LOR) </w:t>
      </w:r>
      <w:r w:rsidR="000F663A" w:rsidRPr="00CE02BD">
        <w:rPr>
          <w:rFonts w:ascii="Book Antiqua" w:hAnsi="Book Antiqua"/>
          <w:color w:val="000000" w:themeColor="text1"/>
          <w:sz w:val="24"/>
          <w:szCs w:val="24"/>
          <w:lang w:val="en-US"/>
        </w:rPr>
        <w:lastRenderedPageBreak/>
        <w:t xml:space="preserve">in patients treated with anti-TNF agents (see Table 3). There are currently insufficient data to determine the exact role of TDM in other newer biologics, such as vedolizumab or ustekinumab. </w:t>
      </w:r>
    </w:p>
    <w:p w14:paraId="1A0A6498" w14:textId="7C483443" w:rsidR="001B63DC" w:rsidRPr="00CE02BD" w:rsidRDefault="00531837" w:rsidP="00967F41">
      <w:pPr>
        <w:adjustRightInd w:val="0"/>
        <w:snapToGrid w:val="0"/>
        <w:spacing w:after="0" w:line="360" w:lineRule="auto"/>
        <w:ind w:firstLineChars="100" w:firstLine="240"/>
        <w:jc w:val="both"/>
        <w:rPr>
          <w:rFonts w:ascii="Book Antiqua" w:hAnsi="Book Antiqua"/>
          <w:color w:val="FF0000"/>
          <w:sz w:val="24"/>
          <w:szCs w:val="24"/>
          <w:lang w:val="en-US"/>
        </w:rPr>
      </w:pPr>
      <w:r w:rsidRPr="00CE02BD">
        <w:rPr>
          <w:rFonts w:ascii="Book Antiqua" w:hAnsi="Book Antiqua"/>
          <w:color w:val="000000" w:themeColor="text1"/>
          <w:sz w:val="24"/>
          <w:szCs w:val="24"/>
          <w:lang w:val="en-US"/>
        </w:rPr>
        <w:t xml:space="preserve">Results of clinical trials investigating the benefit of </w:t>
      </w:r>
      <w:r w:rsidR="009431FA" w:rsidRPr="00CE02BD">
        <w:rPr>
          <w:rFonts w:ascii="Book Antiqua" w:hAnsi="Book Antiqua"/>
          <w:color w:val="000000" w:themeColor="text1"/>
          <w:sz w:val="24"/>
          <w:szCs w:val="24"/>
          <w:lang w:val="en-US"/>
        </w:rPr>
        <w:t>proactive/</w:t>
      </w:r>
      <w:r w:rsidRPr="00CE02BD">
        <w:rPr>
          <w:rFonts w:ascii="Book Antiqua" w:hAnsi="Book Antiqua"/>
          <w:color w:val="000000" w:themeColor="text1"/>
          <w:sz w:val="24"/>
          <w:szCs w:val="24"/>
          <w:lang w:val="en-US"/>
        </w:rPr>
        <w:t>routine drug monitoring have been</w:t>
      </w:r>
      <w:r w:rsidR="00620DE2" w:rsidRPr="00CE02BD">
        <w:rPr>
          <w:rFonts w:ascii="Book Antiqua" w:hAnsi="Book Antiqua"/>
          <w:color w:val="000000" w:themeColor="text1"/>
          <w:sz w:val="24"/>
          <w:szCs w:val="24"/>
          <w:lang w:val="en-US"/>
        </w:rPr>
        <w:t xml:space="preserve"> however</w:t>
      </w:r>
      <w:r w:rsidRPr="00CE02BD">
        <w:rPr>
          <w:rFonts w:ascii="Book Antiqua" w:hAnsi="Book Antiqua"/>
          <w:color w:val="000000" w:themeColor="text1"/>
          <w:sz w:val="24"/>
          <w:szCs w:val="24"/>
          <w:lang w:val="en-US"/>
        </w:rPr>
        <w:t xml:space="preserve"> somewhat disappointing.</w:t>
      </w:r>
      <w:r w:rsidR="003676C9" w:rsidRPr="00CE02BD">
        <w:rPr>
          <w:rFonts w:ascii="Book Antiqua" w:hAnsi="Book Antiqua"/>
          <w:color w:val="000000" w:themeColor="text1"/>
          <w:sz w:val="24"/>
          <w:szCs w:val="24"/>
          <w:lang w:val="en-US"/>
        </w:rPr>
        <w:t xml:space="preserve"> In the TAXIT (Trough Level Adapted Infliximab Treatment) trial, no difference in the primary outcomes </w:t>
      </w:r>
      <w:r w:rsidR="00B22F80" w:rsidRPr="00CE02BD">
        <w:rPr>
          <w:rFonts w:ascii="Book Antiqua" w:hAnsi="Book Antiqua"/>
          <w:color w:val="000000" w:themeColor="text1"/>
          <w:sz w:val="24"/>
          <w:szCs w:val="24"/>
          <w:lang w:val="en-US"/>
        </w:rPr>
        <w:t xml:space="preserve">(clinical remission at 1 year) </w:t>
      </w:r>
      <w:r w:rsidR="003676C9" w:rsidRPr="00CE02BD">
        <w:rPr>
          <w:rFonts w:ascii="Book Antiqua" w:hAnsi="Book Antiqua"/>
          <w:color w:val="000000" w:themeColor="text1"/>
          <w:sz w:val="24"/>
          <w:szCs w:val="24"/>
          <w:lang w:val="en-US"/>
        </w:rPr>
        <w:t xml:space="preserve">was observed between patients randomly assigned to a drug-monitoring group in which infliximab dosing was continuously </w:t>
      </w:r>
      <w:r w:rsidR="00B5569E" w:rsidRPr="00CE02BD">
        <w:rPr>
          <w:rFonts w:ascii="Book Antiqua" w:hAnsi="Book Antiqua"/>
          <w:color w:val="000000" w:themeColor="text1"/>
          <w:sz w:val="24"/>
          <w:szCs w:val="24"/>
          <w:lang w:val="en-US"/>
        </w:rPr>
        <w:t>adjusted</w:t>
      </w:r>
      <w:r w:rsidR="009431FA" w:rsidRPr="00CE02BD">
        <w:rPr>
          <w:rFonts w:ascii="Book Antiqua" w:hAnsi="Book Antiqua"/>
          <w:color w:val="000000" w:themeColor="text1"/>
          <w:sz w:val="24"/>
          <w:szCs w:val="24"/>
          <w:lang w:val="en-US"/>
        </w:rPr>
        <w:t>, (</w:t>
      </w:r>
      <w:r w:rsidR="003676C9" w:rsidRPr="00CE02BD">
        <w:rPr>
          <w:rFonts w:ascii="Book Antiqua" w:hAnsi="Book Antiqua"/>
          <w:color w:val="000000" w:themeColor="text1"/>
          <w:sz w:val="24"/>
          <w:szCs w:val="24"/>
          <w:lang w:val="en-US"/>
        </w:rPr>
        <w:t xml:space="preserve">drug levels within </w:t>
      </w:r>
      <w:r w:rsidR="00B5569E" w:rsidRPr="00CE02BD">
        <w:rPr>
          <w:rFonts w:ascii="Book Antiqua" w:hAnsi="Book Antiqua"/>
          <w:color w:val="000000" w:themeColor="text1"/>
          <w:sz w:val="24"/>
          <w:szCs w:val="24"/>
          <w:lang w:val="en-US"/>
        </w:rPr>
        <w:t xml:space="preserve">3–7 </w:t>
      </w:r>
      <w:r w:rsidR="00B5569E" w:rsidRPr="00CE02BD">
        <w:rPr>
          <w:rFonts w:ascii="Book Antiqua" w:hAnsi="Book Antiqua" w:cstheme="minorHAnsi"/>
          <w:color w:val="000000" w:themeColor="text1"/>
          <w:sz w:val="24"/>
          <w:szCs w:val="24"/>
          <w:lang w:val="en-US"/>
        </w:rPr>
        <w:t>µ</w:t>
      </w:r>
      <w:r w:rsidR="003676C9" w:rsidRPr="00CE02BD">
        <w:rPr>
          <w:rFonts w:ascii="Book Antiqua" w:hAnsi="Book Antiqua"/>
          <w:color w:val="000000" w:themeColor="text1"/>
          <w:sz w:val="24"/>
          <w:szCs w:val="24"/>
          <w:lang w:val="en-US"/>
        </w:rPr>
        <w:t>g/mL</w:t>
      </w:r>
      <w:r w:rsidR="009431FA" w:rsidRPr="00CE02BD">
        <w:rPr>
          <w:rFonts w:ascii="Book Antiqua" w:hAnsi="Book Antiqua"/>
          <w:color w:val="000000" w:themeColor="text1"/>
          <w:sz w:val="24"/>
          <w:szCs w:val="24"/>
          <w:lang w:val="en-US"/>
        </w:rPr>
        <w:t>)</w:t>
      </w:r>
      <w:r w:rsidR="003676C9" w:rsidRPr="00CE02BD">
        <w:rPr>
          <w:rFonts w:ascii="Book Antiqua" w:hAnsi="Book Antiqua"/>
          <w:color w:val="000000" w:themeColor="text1"/>
          <w:sz w:val="24"/>
          <w:szCs w:val="24"/>
          <w:lang w:val="en-US"/>
        </w:rPr>
        <w:t>, or to a conventional therapy group, with</w:t>
      </w:r>
      <w:r w:rsidR="00B5569E" w:rsidRPr="00CE02BD">
        <w:rPr>
          <w:rFonts w:ascii="Book Antiqua" w:hAnsi="Book Antiqua"/>
          <w:color w:val="000000" w:themeColor="text1"/>
          <w:sz w:val="24"/>
          <w:szCs w:val="24"/>
          <w:lang w:val="en-US"/>
        </w:rPr>
        <w:t xml:space="preserve"> </w:t>
      </w:r>
      <w:r w:rsidR="003676C9" w:rsidRPr="00CE02BD">
        <w:rPr>
          <w:rFonts w:ascii="Book Antiqua" w:hAnsi="Book Antiqua"/>
          <w:color w:val="000000" w:themeColor="text1"/>
          <w:sz w:val="24"/>
          <w:szCs w:val="24"/>
          <w:lang w:val="en-US"/>
        </w:rPr>
        <w:t xml:space="preserve">infliximab dosing </w:t>
      </w:r>
      <w:r w:rsidR="00B5569E" w:rsidRPr="00CE02BD">
        <w:rPr>
          <w:rFonts w:ascii="Book Antiqua" w:hAnsi="Book Antiqua"/>
          <w:color w:val="000000" w:themeColor="text1"/>
          <w:sz w:val="24"/>
          <w:szCs w:val="24"/>
          <w:lang w:val="en-US"/>
        </w:rPr>
        <w:t xml:space="preserve">based on clinical </w:t>
      </w:r>
      <w:r w:rsidR="009431FA" w:rsidRPr="00CE02BD">
        <w:rPr>
          <w:rFonts w:ascii="Book Antiqua" w:hAnsi="Book Antiqua"/>
          <w:color w:val="000000" w:themeColor="text1"/>
          <w:sz w:val="24"/>
          <w:szCs w:val="24"/>
          <w:lang w:val="en-US"/>
        </w:rPr>
        <w:t>symptoms alone</w:t>
      </w:r>
      <w:r w:rsidR="00B22F80" w:rsidRPr="00CE02BD">
        <w:rPr>
          <w:rFonts w:ascii="Book Antiqua" w:hAnsi="Book Antiqua"/>
          <w:color w:val="000000" w:themeColor="text1"/>
          <w:sz w:val="24"/>
          <w:szCs w:val="24"/>
          <w:lang w:val="en-US"/>
        </w:rPr>
        <w:t xml:space="preserve"> </w:t>
      </w:r>
      <w:r w:rsidR="00620DE2" w:rsidRPr="00CE02BD">
        <w:rPr>
          <w:rFonts w:ascii="Book Antiqua" w:hAnsi="Book Antiqua"/>
          <w:color w:val="000000" w:themeColor="text1"/>
          <w:sz w:val="24"/>
          <w:szCs w:val="24"/>
          <w:lang w:val="en-US"/>
        </w:rPr>
        <w:t xml:space="preserve">(69% </w:t>
      </w:r>
      <w:r w:rsidR="00967F41" w:rsidRPr="00CE02BD">
        <w:rPr>
          <w:rFonts w:ascii="Book Antiqua" w:hAnsi="Book Antiqua"/>
          <w:i/>
          <w:color w:val="000000" w:themeColor="text1"/>
          <w:sz w:val="24"/>
          <w:szCs w:val="24"/>
          <w:lang w:val="en-US"/>
        </w:rPr>
        <w:t>vs</w:t>
      </w:r>
      <w:r w:rsidR="00620DE2" w:rsidRPr="00CE02BD">
        <w:rPr>
          <w:rFonts w:ascii="Book Antiqua" w:hAnsi="Book Antiqua"/>
          <w:color w:val="000000" w:themeColor="text1"/>
          <w:sz w:val="24"/>
          <w:szCs w:val="24"/>
          <w:lang w:val="en-US"/>
        </w:rPr>
        <w:t xml:space="preserve"> 66%; </w:t>
      </w:r>
      <w:r w:rsidR="003F4843" w:rsidRPr="00CE02BD">
        <w:rPr>
          <w:rFonts w:ascii="Book Antiqua" w:hAnsi="Book Antiqua"/>
          <w:i/>
          <w:iCs/>
          <w:color w:val="000000" w:themeColor="text1"/>
          <w:sz w:val="24"/>
          <w:szCs w:val="24"/>
          <w:lang w:val="en-US"/>
        </w:rPr>
        <w:t>P</w:t>
      </w:r>
      <w:r w:rsidR="003F4843" w:rsidRPr="00CE02BD">
        <w:rPr>
          <w:rFonts w:ascii="Book Antiqua" w:hAnsi="Book Antiqua"/>
          <w:color w:val="000000" w:themeColor="text1"/>
          <w:sz w:val="24"/>
          <w:szCs w:val="24"/>
          <w:lang w:val="en-US"/>
        </w:rPr>
        <w:t xml:space="preserve"> </w:t>
      </w:r>
      <w:r w:rsidR="00620DE2" w:rsidRPr="00CE02BD">
        <w:rPr>
          <w:rFonts w:ascii="Book Antiqua" w:hAnsi="Book Antiqua"/>
          <w:color w:val="000000" w:themeColor="text1"/>
          <w:sz w:val="24"/>
          <w:szCs w:val="24"/>
          <w:lang w:val="en-US"/>
        </w:rPr>
        <w:t>=</w:t>
      </w:r>
      <w:r w:rsidR="003F4843" w:rsidRPr="00CE02BD">
        <w:rPr>
          <w:rFonts w:ascii="Book Antiqua" w:hAnsi="Book Antiqua"/>
          <w:color w:val="000000" w:themeColor="text1"/>
          <w:sz w:val="24"/>
          <w:szCs w:val="24"/>
          <w:lang w:val="en-US"/>
        </w:rPr>
        <w:t xml:space="preserve"> </w:t>
      </w:r>
      <w:r w:rsidR="00620DE2" w:rsidRPr="00CE02BD">
        <w:rPr>
          <w:rFonts w:ascii="Book Antiqua" w:hAnsi="Book Antiqua"/>
          <w:color w:val="000000" w:themeColor="text1"/>
          <w:sz w:val="24"/>
          <w:szCs w:val="24"/>
          <w:lang w:val="en-US"/>
        </w:rPr>
        <w:t>0.686)</w:t>
      </w:r>
      <w:r w:rsidR="000F1138" w:rsidRPr="00CE02BD">
        <w:rPr>
          <w:rFonts w:ascii="Book Antiqua" w:eastAsia="Times New Roman" w:hAnsi="Book Antiqua" w:cstheme="minorHAnsi"/>
          <w:color w:val="000000"/>
          <w:sz w:val="24"/>
          <w:szCs w:val="24"/>
          <w:vertAlign w:val="superscript"/>
          <w:lang w:val="en-US"/>
        </w:rPr>
        <w:t>[62]</w:t>
      </w:r>
      <w:r w:rsidR="00620DE2" w:rsidRPr="00CE02BD">
        <w:rPr>
          <w:rFonts w:ascii="Book Antiqua" w:hAnsi="Book Antiqua"/>
          <w:color w:val="000000" w:themeColor="text1"/>
          <w:sz w:val="24"/>
          <w:szCs w:val="24"/>
          <w:lang w:val="en-US"/>
        </w:rPr>
        <w:t xml:space="preserve">. The </w:t>
      </w:r>
      <w:r w:rsidR="00B5569E" w:rsidRPr="00CE02BD">
        <w:rPr>
          <w:rFonts w:ascii="Book Antiqua" w:hAnsi="Book Antiqua"/>
          <w:color w:val="000000" w:themeColor="text1"/>
          <w:sz w:val="24"/>
          <w:szCs w:val="24"/>
          <w:lang w:val="en-US"/>
        </w:rPr>
        <w:t>TAILORIX (</w:t>
      </w:r>
      <w:r w:rsidR="003676C9" w:rsidRPr="00CE02BD">
        <w:rPr>
          <w:rFonts w:ascii="Book Antiqua" w:hAnsi="Book Antiqua"/>
          <w:color w:val="000000" w:themeColor="text1"/>
          <w:sz w:val="24"/>
          <w:szCs w:val="24"/>
          <w:lang w:val="en-US"/>
        </w:rPr>
        <w:t xml:space="preserve">Tailored </w:t>
      </w:r>
      <w:r w:rsidR="00732523" w:rsidRPr="00CE02BD">
        <w:rPr>
          <w:rFonts w:ascii="Book Antiqua" w:hAnsi="Book Antiqua"/>
          <w:color w:val="000000" w:themeColor="text1"/>
          <w:sz w:val="24"/>
          <w:szCs w:val="24"/>
          <w:lang w:val="en-US"/>
        </w:rPr>
        <w:t>treatment with infliximab for ac</w:t>
      </w:r>
      <w:r w:rsidR="00B5569E" w:rsidRPr="00CE02BD">
        <w:rPr>
          <w:rFonts w:ascii="Book Antiqua" w:hAnsi="Book Antiqua"/>
          <w:color w:val="000000" w:themeColor="text1"/>
          <w:sz w:val="24"/>
          <w:szCs w:val="24"/>
          <w:lang w:val="en-US"/>
        </w:rPr>
        <w:t xml:space="preserve">tive CD) </w:t>
      </w:r>
      <w:r w:rsidR="003676C9" w:rsidRPr="00CE02BD">
        <w:rPr>
          <w:rFonts w:ascii="Book Antiqua" w:hAnsi="Book Antiqua"/>
          <w:color w:val="000000" w:themeColor="text1"/>
          <w:sz w:val="24"/>
          <w:szCs w:val="24"/>
          <w:lang w:val="en-US"/>
        </w:rPr>
        <w:t>trial</w:t>
      </w:r>
      <w:r w:rsidR="00B5569E" w:rsidRPr="00CE02BD">
        <w:rPr>
          <w:rFonts w:ascii="Book Antiqua" w:hAnsi="Book Antiqua"/>
          <w:color w:val="000000" w:themeColor="text1"/>
          <w:sz w:val="24"/>
          <w:szCs w:val="24"/>
          <w:lang w:val="en-US"/>
        </w:rPr>
        <w:t xml:space="preserve"> </w:t>
      </w:r>
      <w:r w:rsidR="009431FA" w:rsidRPr="00CE02BD">
        <w:rPr>
          <w:rFonts w:ascii="Book Antiqua" w:hAnsi="Book Antiqua"/>
          <w:color w:val="000000" w:themeColor="text1"/>
          <w:sz w:val="24"/>
          <w:szCs w:val="24"/>
          <w:lang w:val="en-US"/>
        </w:rPr>
        <w:t xml:space="preserve">also </w:t>
      </w:r>
      <w:r w:rsidR="003676C9" w:rsidRPr="00CE02BD">
        <w:rPr>
          <w:rFonts w:ascii="Book Antiqua" w:hAnsi="Book Antiqua"/>
          <w:color w:val="000000" w:themeColor="text1"/>
          <w:sz w:val="24"/>
          <w:szCs w:val="24"/>
          <w:lang w:val="en-US"/>
        </w:rPr>
        <w:t>studi</w:t>
      </w:r>
      <w:r w:rsidR="00F70B97" w:rsidRPr="00CE02BD">
        <w:rPr>
          <w:rFonts w:ascii="Book Antiqua" w:hAnsi="Book Antiqua"/>
          <w:color w:val="000000" w:themeColor="text1"/>
          <w:sz w:val="24"/>
          <w:szCs w:val="24"/>
          <w:lang w:val="en-US"/>
        </w:rPr>
        <w:t xml:space="preserve">ed </w:t>
      </w:r>
      <w:r w:rsidR="00620DE2" w:rsidRPr="00CE02BD">
        <w:rPr>
          <w:rFonts w:ascii="Book Antiqua" w:hAnsi="Book Antiqua"/>
          <w:color w:val="000000" w:themeColor="text1"/>
          <w:sz w:val="24"/>
          <w:szCs w:val="24"/>
          <w:lang w:val="en-US"/>
        </w:rPr>
        <w:t xml:space="preserve">CD </w:t>
      </w:r>
      <w:r w:rsidR="00F70B97" w:rsidRPr="00CE02BD">
        <w:rPr>
          <w:rFonts w:ascii="Book Antiqua" w:hAnsi="Book Antiqua"/>
          <w:color w:val="000000" w:themeColor="text1"/>
          <w:sz w:val="24"/>
          <w:szCs w:val="24"/>
          <w:lang w:val="en-US"/>
        </w:rPr>
        <w:t xml:space="preserve">patients receiving </w:t>
      </w:r>
      <w:r w:rsidR="003676C9" w:rsidRPr="00CE02BD">
        <w:rPr>
          <w:rFonts w:ascii="Book Antiqua" w:hAnsi="Book Antiqua"/>
          <w:color w:val="000000" w:themeColor="text1"/>
          <w:sz w:val="24"/>
          <w:szCs w:val="24"/>
          <w:lang w:val="en-US"/>
        </w:rPr>
        <w:t xml:space="preserve">infliximab </w:t>
      </w:r>
      <w:r w:rsidR="00620DE2" w:rsidRPr="00CE02BD">
        <w:rPr>
          <w:rFonts w:ascii="Book Antiqua" w:hAnsi="Book Antiqua"/>
          <w:color w:val="000000" w:themeColor="text1"/>
          <w:sz w:val="24"/>
          <w:szCs w:val="24"/>
          <w:lang w:val="en-US"/>
        </w:rPr>
        <w:t>and subsequent</w:t>
      </w:r>
      <w:r w:rsidR="003676C9" w:rsidRPr="00CE02BD">
        <w:rPr>
          <w:rFonts w:ascii="Book Antiqua" w:hAnsi="Book Antiqua"/>
          <w:color w:val="000000" w:themeColor="text1"/>
          <w:sz w:val="24"/>
          <w:szCs w:val="24"/>
          <w:lang w:val="en-US"/>
        </w:rPr>
        <w:t xml:space="preserve"> dose-escalation guided by infliximab levels,</w:t>
      </w:r>
      <w:r w:rsidR="00620DE2" w:rsidRPr="00CE02BD">
        <w:rPr>
          <w:rFonts w:ascii="Book Antiqua" w:hAnsi="Book Antiqua"/>
          <w:color w:val="000000" w:themeColor="text1"/>
          <w:sz w:val="24"/>
          <w:szCs w:val="24"/>
          <w:lang w:val="en-US"/>
        </w:rPr>
        <w:t xml:space="preserve"> biomarkers </w:t>
      </w:r>
      <w:r w:rsidR="003676C9" w:rsidRPr="00CE02BD">
        <w:rPr>
          <w:rFonts w:ascii="Book Antiqua" w:hAnsi="Book Antiqua"/>
          <w:color w:val="000000" w:themeColor="text1"/>
          <w:sz w:val="24"/>
          <w:szCs w:val="24"/>
          <w:lang w:val="en-US"/>
        </w:rPr>
        <w:t>and clinical symptoms</w:t>
      </w:r>
      <w:r w:rsidR="00620DE2" w:rsidRPr="00CE02BD">
        <w:rPr>
          <w:rFonts w:ascii="Book Antiqua" w:hAnsi="Book Antiqua"/>
          <w:color w:val="000000" w:themeColor="text1"/>
          <w:sz w:val="24"/>
          <w:szCs w:val="24"/>
          <w:lang w:val="en-US"/>
        </w:rPr>
        <w:t xml:space="preserve"> </w:t>
      </w:r>
      <w:r w:rsidR="00967F41" w:rsidRPr="00CE02BD">
        <w:rPr>
          <w:rFonts w:ascii="Book Antiqua" w:hAnsi="Book Antiqua"/>
          <w:i/>
          <w:color w:val="000000" w:themeColor="text1"/>
          <w:sz w:val="24"/>
          <w:szCs w:val="24"/>
          <w:lang w:val="en-US"/>
        </w:rPr>
        <w:t>vs</w:t>
      </w:r>
      <w:r w:rsidR="00620DE2" w:rsidRPr="00CE02BD">
        <w:rPr>
          <w:rFonts w:ascii="Book Antiqua" w:hAnsi="Book Antiqua"/>
          <w:color w:val="000000" w:themeColor="text1"/>
          <w:sz w:val="24"/>
          <w:szCs w:val="24"/>
          <w:lang w:val="en-US"/>
        </w:rPr>
        <w:t xml:space="preserve"> </w:t>
      </w:r>
      <w:r w:rsidR="003676C9" w:rsidRPr="00CE02BD">
        <w:rPr>
          <w:rFonts w:ascii="Book Antiqua" w:hAnsi="Book Antiqua"/>
          <w:color w:val="000000" w:themeColor="text1"/>
          <w:sz w:val="24"/>
          <w:szCs w:val="24"/>
          <w:lang w:val="en-US"/>
        </w:rPr>
        <w:t>clinical symptoms alone. No</w:t>
      </w:r>
      <w:r w:rsidR="00620DE2" w:rsidRPr="00CE02BD">
        <w:rPr>
          <w:rFonts w:ascii="Book Antiqua" w:hAnsi="Book Antiqua"/>
          <w:color w:val="000000" w:themeColor="text1"/>
          <w:sz w:val="24"/>
          <w:szCs w:val="24"/>
          <w:lang w:val="en-US"/>
        </w:rPr>
        <w:t xml:space="preserve"> </w:t>
      </w:r>
      <w:r w:rsidR="003676C9" w:rsidRPr="00CE02BD">
        <w:rPr>
          <w:rFonts w:ascii="Book Antiqua" w:hAnsi="Book Antiqua"/>
          <w:color w:val="000000" w:themeColor="text1"/>
          <w:sz w:val="24"/>
          <w:szCs w:val="24"/>
          <w:lang w:val="en-US"/>
        </w:rPr>
        <w:t xml:space="preserve">significant difference was observed between the </w:t>
      </w:r>
      <w:r w:rsidR="009431FA" w:rsidRPr="00CE02BD">
        <w:rPr>
          <w:rFonts w:ascii="Book Antiqua" w:hAnsi="Book Antiqua"/>
          <w:color w:val="000000" w:themeColor="text1"/>
          <w:sz w:val="24"/>
          <w:szCs w:val="24"/>
          <w:lang w:val="en-US"/>
        </w:rPr>
        <w:t>patient</w:t>
      </w:r>
      <w:r w:rsidR="00620DE2" w:rsidRPr="00CE02BD">
        <w:rPr>
          <w:rFonts w:ascii="Book Antiqua" w:hAnsi="Book Antiqua"/>
          <w:color w:val="000000" w:themeColor="text1"/>
          <w:sz w:val="24"/>
          <w:szCs w:val="24"/>
          <w:lang w:val="en-US"/>
        </w:rPr>
        <w:t xml:space="preserve"> </w:t>
      </w:r>
      <w:r w:rsidR="003676C9" w:rsidRPr="00CE02BD">
        <w:rPr>
          <w:rFonts w:ascii="Book Antiqua" w:hAnsi="Book Antiqua"/>
          <w:color w:val="000000" w:themeColor="text1"/>
          <w:sz w:val="24"/>
          <w:szCs w:val="24"/>
          <w:lang w:val="en-US"/>
        </w:rPr>
        <w:t>groups for the primary outcome of steroid-free</w:t>
      </w:r>
      <w:r w:rsidR="00620DE2" w:rsidRPr="00CE02BD">
        <w:rPr>
          <w:rFonts w:ascii="Book Antiqua" w:hAnsi="Book Antiqua"/>
          <w:color w:val="000000" w:themeColor="text1"/>
          <w:sz w:val="24"/>
          <w:szCs w:val="24"/>
          <w:lang w:val="en-US"/>
        </w:rPr>
        <w:t xml:space="preserve"> </w:t>
      </w:r>
      <w:r w:rsidR="003676C9" w:rsidRPr="00CE02BD">
        <w:rPr>
          <w:rFonts w:ascii="Book Antiqua" w:hAnsi="Book Antiqua"/>
          <w:color w:val="000000" w:themeColor="text1"/>
          <w:sz w:val="24"/>
          <w:szCs w:val="24"/>
          <w:lang w:val="en-US"/>
        </w:rPr>
        <w:t xml:space="preserve">clinical remission </w:t>
      </w:r>
      <w:r w:rsidR="00620DE2" w:rsidRPr="00CE02BD">
        <w:rPr>
          <w:rFonts w:ascii="Book Antiqua" w:hAnsi="Book Antiqua"/>
          <w:color w:val="000000" w:themeColor="text1"/>
          <w:sz w:val="24"/>
          <w:szCs w:val="24"/>
          <w:lang w:val="en-US"/>
        </w:rPr>
        <w:t xml:space="preserve">at 22 and 54 </w:t>
      </w:r>
      <w:proofErr w:type="gramStart"/>
      <w:r w:rsidR="00967F41" w:rsidRPr="00CE02BD">
        <w:rPr>
          <w:rFonts w:ascii="Book Antiqua" w:hAnsi="Book Antiqua"/>
          <w:color w:val="000000" w:themeColor="text1"/>
          <w:sz w:val="24"/>
          <w:szCs w:val="24"/>
          <w:lang w:val="en-US"/>
        </w:rPr>
        <w:t>wk</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63-65]</w:t>
      </w:r>
      <w:r w:rsidR="00620DE2" w:rsidRPr="00CE02BD">
        <w:rPr>
          <w:rFonts w:ascii="Book Antiqua" w:hAnsi="Book Antiqua"/>
          <w:color w:val="000000" w:themeColor="text1"/>
          <w:sz w:val="24"/>
          <w:szCs w:val="24"/>
          <w:lang w:val="en-US"/>
        </w:rPr>
        <w:t>.</w:t>
      </w:r>
      <w:r w:rsidR="00547437" w:rsidRPr="00CE02BD">
        <w:rPr>
          <w:rFonts w:ascii="Book Antiqua" w:hAnsi="Book Antiqua"/>
          <w:color w:val="000000" w:themeColor="text1"/>
          <w:sz w:val="24"/>
          <w:szCs w:val="24"/>
          <w:lang w:val="en-US"/>
        </w:rPr>
        <w:t xml:space="preserve"> Although other single cohort </w:t>
      </w:r>
      <w:r w:rsidR="000F663A" w:rsidRPr="00CE02BD">
        <w:rPr>
          <w:rFonts w:ascii="Book Antiqua" w:hAnsi="Book Antiqua"/>
          <w:color w:val="000000" w:themeColor="text1"/>
          <w:sz w:val="24"/>
          <w:szCs w:val="24"/>
          <w:lang w:val="en-US"/>
        </w:rPr>
        <w:t xml:space="preserve">or retrospective </w:t>
      </w:r>
      <w:r w:rsidR="00547437" w:rsidRPr="00CE02BD">
        <w:rPr>
          <w:rFonts w:ascii="Book Antiqua" w:hAnsi="Book Antiqua"/>
          <w:color w:val="000000" w:themeColor="text1"/>
          <w:sz w:val="24"/>
          <w:szCs w:val="24"/>
          <w:lang w:val="en-US"/>
        </w:rPr>
        <w:t xml:space="preserve">studies show potential benefits of proactive </w:t>
      </w:r>
      <w:proofErr w:type="gramStart"/>
      <w:r w:rsidR="00547437" w:rsidRPr="00CE02BD">
        <w:rPr>
          <w:rFonts w:ascii="Book Antiqua" w:hAnsi="Book Antiqua"/>
          <w:color w:val="000000" w:themeColor="text1"/>
          <w:sz w:val="24"/>
          <w:szCs w:val="24"/>
          <w:lang w:val="en-US"/>
        </w:rPr>
        <w:t>TDM</w:t>
      </w:r>
      <w:r w:rsidR="00D72C01" w:rsidRPr="00CE02BD">
        <w:rPr>
          <w:rFonts w:ascii="Book Antiqua" w:eastAsia="Times New Roman" w:hAnsi="Book Antiqua" w:cstheme="minorHAnsi"/>
          <w:color w:val="000000"/>
          <w:sz w:val="24"/>
          <w:szCs w:val="24"/>
          <w:vertAlign w:val="superscript"/>
          <w:lang w:val="en-US"/>
        </w:rPr>
        <w:t>[</w:t>
      </w:r>
      <w:proofErr w:type="gramEnd"/>
      <w:r w:rsidR="003823C4" w:rsidRPr="00CE02BD">
        <w:rPr>
          <w:rFonts w:ascii="Book Antiqua" w:eastAsia="Times New Roman" w:hAnsi="Book Antiqua" w:cstheme="minorHAnsi"/>
          <w:color w:val="000000"/>
          <w:sz w:val="24"/>
          <w:szCs w:val="24"/>
          <w:vertAlign w:val="superscript"/>
          <w:lang w:val="en-US"/>
        </w:rPr>
        <w:t>66</w:t>
      </w:r>
      <w:r w:rsidR="00D72C01" w:rsidRPr="00CE02BD">
        <w:rPr>
          <w:rFonts w:ascii="Book Antiqua" w:eastAsia="Times New Roman" w:hAnsi="Book Antiqua" w:cstheme="minorHAnsi"/>
          <w:color w:val="000000"/>
          <w:sz w:val="24"/>
          <w:szCs w:val="24"/>
          <w:vertAlign w:val="superscript"/>
          <w:lang w:val="en-US"/>
        </w:rPr>
        <w:t>]</w:t>
      </w:r>
      <w:r w:rsidR="00547437" w:rsidRPr="00CE02BD">
        <w:rPr>
          <w:rFonts w:ascii="Book Antiqua" w:hAnsi="Book Antiqua"/>
          <w:color w:val="000000" w:themeColor="text1"/>
          <w:sz w:val="24"/>
          <w:szCs w:val="24"/>
          <w:lang w:val="en-US"/>
        </w:rPr>
        <w:t>, based on the above trials</w:t>
      </w:r>
      <w:r w:rsidR="000F663A" w:rsidRPr="00CE02BD">
        <w:rPr>
          <w:rFonts w:ascii="Book Antiqua" w:hAnsi="Book Antiqua"/>
          <w:color w:val="000000" w:themeColor="text1"/>
          <w:sz w:val="24"/>
          <w:szCs w:val="24"/>
          <w:lang w:val="en-US"/>
        </w:rPr>
        <w:t xml:space="preserve"> it is questionable whether </w:t>
      </w:r>
      <w:r w:rsidR="00547437" w:rsidRPr="00CE02BD">
        <w:rPr>
          <w:rFonts w:ascii="Book Antiqua" w:hAnsi="Book Antiqua"/>
          <w:color w:val="000000" w:themeColor="text1"/>
          <w:sz w:val="24"/>
          <w:szCs w:val="24"/>
          <w:lang w:val="en-US"/>
        </w:rPr>
        <w:t>routine</w:t>
      </w:r>
      <w:r w:rsidR="000F663A" w:rsidRPr="00CE02BD">
        <w:rPr>
          <w:rFonts w:ascii="Book Antiqua" w:hAnsi="Book Antiqua"/>
          <w:color w:val="000000" w:themeColor="text1"/>
          <w:sz w:val="24"/>
          <w:szCs w:val="24"/>
          <w:lang w:val="en-US"/>
        </w:rPr>
        <w:t xml:space="preserve"> proactive</w:t>
      </w:r>
      <w:r w:rsidR="00547437" w:rsidRPr="00CE02BD">
        <w:rPr>
          <w:rFonts w:ascii="Book Antiqua" w:hAnsi="Book Antiqua"/>
          <w:color w:val="000000" w:themeColor="text1"/>
          <w:sz w:val="24"/>
          <w:szCs w:val="24"/>
          <w:lang w:val="en-US"/>
        </w:rPr>
        <w:t xml:space="preserve"> monitoring of aTNF </w:t>
      </w:r>
      <w:r w:rsidR="009431FA" w:rsidRPr="00CE02BD">
        <w:rPr>
          <w:rFonts w:ascii="Book Antiqua" w:hAnsi="Book Antiqua"/>
          <w:color w:val="000000" w:themeColor="text1"/>
          <w:sz w:val="24"/>
          <w:szCs w:val="24"/>
          <w:lang w:val="en-US"/>
        </w:rPr>
        <w:t>agents</w:t>
      </w:r>
      <w:r w:rsidR="00547437" w:rsidRPr="00CE02BD">
        <w:rPr>
          <w:rFonts w:ascii="Book Antiqua" w:hAnsi="Book Antiqua"/>
          <w:color w:val="000000" w:themeColor="text1"/>
          <w:sz w:val="24"/>
          <w:szCs w:val="24"/>
          <w:lang w:val="en-US"/>
        </w:rPr>
        <w:t xml:space="preserve"> lead to improving outcomes, </w:t>
      </w:r>
      <w:r w:rsidR="000F663A" w:rsidRPr="00CE02BD">
        <w:rPr>
          <w:rFonts w:ascii="Book Antiqua" w:hAnsi="Book Antiqua"/>
          <w:color w:val="000000" w:themeColor="text1"/>
          <w:sz w:val="24"/>
          <w:szCs w:val="24"/>
          <w:lang w:val="en-US"/>
        </w:rPr>
        <w:t xml:space="preserve">or </w:t>
      </w:r>
      <w:r w:rsidR="00547437" w:rsidRPr="00CE02BD">
        <w:rPr>
          <w:rFonts w:ascii="Book Antiqua" w:hAnsi="Book Antiqua"/>
          <w:color w:val="000000" w:themeColor="text1"/>
          <w:sz w:val="24"/>
          <w:szCs w:val="24"/>
          <w:lang w:val="en-US"/>
        </w:rPr>
        <w:t xml:space="preserve">TDM measurements can be reserved </w:t>
      </w:r>
      <w:r w:rsidR="0044427D" w:rsidRPr="00CE02BD">
        <w:rPr>
          <w:rFonts w:ascii="Book Antiqua" w:hAnsi="Book Antiqua"/>
          <w:color w:val="000000" w:themeColor="text1"/>
          <w:sz w:val="24"/>
          <w:szCs w:val="24"/>
          <w:lang w:val="en-US"/>
        </w:rPr>
        <w:t xml:space="preserve">optimally </w:t>
      </w:r>
      <w:r w:rsidR="00547437" w:rsidRPr="00CE02BD">
        <w:rPr>
          <w:rFonts w:ascii="Book Antiqua" w:hAnsi="Book Antiqua"/>
          <w:color w:val="000000" w:themeColor="text1"/>
          <w:sz w:val="24"/>
          <w:szCs w:val="24"/>
          <w:lang w:val="en-US"/>
        </w:rPr>
        <w:t>for assessment of therapeutic failure.</w:t>
      </w:r>
      <w:r w:rsidR="004E2BA8"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Observational studies also </w:t>
      </w:r>
      <w:r w:rsidR="009431FA" w:rsidRPr="00CE02BD">
        <w:rPr>
          <w:rFonts w:ascii="Book Antiqua" w:hAnsi="Book Antiqua"/>
          <w:color w:val="000000" w:themeColor="text1"/>
          <w:sz w:val="24"/>
          <w:szCs w:val="24"/>
          <w:lang w:val="en-US"/>
        </w:rPr>
        <w:t>show</w:t>
      </w:r>
      <w:r w:rsidRPr="00CE02BD">
        <w:rPr>
          <w:rFonts w:ascii="Book Antiqua" w:hAnsi="Book Antiqua"/>
          <w:color w:val="000000" w:themeColor="text1"/>
          <w:sz w:val="24"/>
          <w:szCs w:val="24"/>
          <w:lang w:val="en-US"/>
        </w:rPr>
        <w:t xml:space="preserve"> that measuring drug and anti-drug antibody levels can guide </w:t>
      </w:r>
      <w:r w:rsidR="009431FA" w:rsidRPr="00CE02BD">
        <w:rPr>
          <w:rFonts w:ascii="Book Antiqua" w:hAnsi="Book Antiqua"/>
          <w:color w:val="000000" w:themeColor="text1"/>
          <w:sz w:val="24"/>
          <w:szCs w:val="24"/>
          <w:lang w:val="en-US"/>
        </w:rPr>
        <w:t xml:space="preserve">decisions </w:t>
      </w:r>
      <w:r w:rsidRPr="00CE02BD">
        <w:rPr>
          <w:rFonts w:ascii="Book Antiqua" w:hAnsi="Book Antiqua"/>
          <w:color w:val="000000" w:themeColor="text1"/>
          <w:sz w:val="24"/>
          <w:szCs w:val="24"/>
          <w:lang w:val="en-US"/>
        </w:rPr>
        <w:t xml:space="preserve">for anti-TNF withdrawal or restart after a drug </w:t>
      </w:r>
      <w:proofErr w:type="gramStart"/>
      <w:r w:rsidRPr="00CE02BD">
        <w:rPr>
          <w:rFonts w:ascii="Book Antiqua" w:hAnsi="Book Antiqua"/>
          <w:color w:val="000000" w:themeColor="text1"/>
          <w:sz w:val="24"/>
          <w:szCs w:val="24"/>
          <w:lang w:val="en-US"/>
        </w:rPr>
        <w:t>holiday</w:t>
      </w:r>
      <w:r w:rsidR="000F1138" w:rsidRPr="00CE02BD">
        <w:rPr>
          <w:rFonts w:ascii="Book Antiqua" w:eastAsia="Times New Roman" w:hAnsi="Book Antiqua" w:cstheme="minorHAnsi"/>
          <w:color w:val="000000"/>
          <w:sz w:val="24"/>
          <w:szCs w:val="24"/>
          <w:vertAlign w:val="superscript"/>
          <w:lang w:val="en-US"/>
        </w:rPr>
        <w:t>[</w:t>
      </w:r>
      <w:proofErr w:type="gramEnd"/>
      <w:r w:rsidR="000F1138" w:rsidRPr="00CE02BD">
        <w:rPr>
          <w:rFonts w:ascii="Book Antiqua" w:eastAsia="Times New Roman" w:hAnsi="Book Antiqua" w:cstheme="minorHAnsi"/>
          <w:color w:val="000000"/>
          <w:sz w:val="24"/>
          <w:szCs w:val="24"/>
          <w:vertAlign w:val="superscript"/>
          <w:lang w:val="en-US"/>
        </w:rPr>
        <w:t>67]</w:t>
      </w:r>
      <w:r w:rsidRPr="00CE02BD">
        <w:rPr>
          <w:rFonts w:ascii="Book Antiqua" w:hAnsi="Book Antiqua"/>
          <w:color w:val="000000" w:themeColor="text1"/>
          <w:sz w:val="24"/>
          <w:szCs w:val="24"/>
          <w:lang w:val="en-US"/>
        </w:rPr>
        <w:t>. Further reviewing the available evidence</w:t>
      </w:r>
      <w:r w:rsidR="009431FA" w:rsidRPr="00CE02BD">
        <w:rPr>
          <w:rFonts w:ascii="Book Antiqua" w:hAnsi="Book Antiqua"/>
          <w:color w:val="000000" w:themeColor="text1"/>
          <w:sz w:val="24"/>
          <w:szCs w:val="24"/>
          <w:lang w:val="en-US"/>
        </w:rPr>
        <w:t xml:space="preserve"> on TDM</w:t>
      </w:r>
      <w:r w:rsidRPr="00CE02BD">
        <w:rPr>
          <w:rFonts w:ascii="Book Antiqua" w:hAnsi="Book Antiqua"/>
          <w:color w:val="000000" w:themeColor="text1"/>
          <w:sz w:val="24"/>
          <w:szCs w:val="24"/>
          <w:lang w:val="en-US"/>
        </w:rPr>
        <w:t xml:space="preserve"> is beyond the scope of this article</w:t>
      </w:r>
      <w:r w:rsidR="003676C9" w:rsidRPr="00CE02BD">
        <w:rPr>
          <w:rFonts w:ascii="Book Antiqua" w:hAnsi="Book Antiqua"/>
          <w:color w:val="000000" w:themeColor="text1"/>
          <w:sz w:val="24"/>
          <w:szCs w:val="24"/>
          <w:lang w:val="en-US"/>
        </w:rPr>
        <w:t>.</w:t>
      </w:r>
    </w:p>
    <w:p w14:paraId="36BA1E31" w14:textId="77777777" w:rsidR="004E2BA8" w:rsidRPr="00CE02BD" w:rsidRDefault="004E2BA8" w:rsidP="000F1138">
      <w:pPr>
        <w:adjustRightInd w:val="0"/>
        <w:snapToGrid w:val="0"/>
        <w:spacing w:after="0" w:line="360" w:lineRule="auto"/>
        <w:jc w:val="both"/>
        <w:rPr>
          <w:rFonts w:ascii="Book Antiqua" w:hAnsi="Book Antiqua"/>
          <w:sz w:val="24"/>
          <w:szCs w:val="24"/>
          <w:lang w:val="en-US"/>
        </w:rPr>
      </w:pPr>
    </w:p>
    <w:p w14:paraId="442D7D2E" w14:textId="2CBE9ECD" w:rsidR="00C34D9D" w:rsidRPr="00CE02BD" w:rsidRDefault="007615A3" w:rsidP="000F1138">
      <w:pPr>
        <w:adjustRightInd w:val="0"/>
        <w:snapToGrid w:val="0"/>
        <w:spacing w:after="0" w:line="360" w:lineRule="auto"/>
        <w:jc w:val="both"/>
        <w:rPr>
          <w:rFonts w:ascii="Book Antiqua" w:hAnsi="Book Antiqua"/>
          <w:b/>
          <w:i/>
          <w:sz w:val="24"/>
          <w:szCs w:val="24"/>
          <w:lang w:val="en-US"/>
        </w:rPr>
      </w:pPr>
      <w:r w:rsidRPr="00CE02BD">
        <w:rPr>
          <w:rFonts w:ascii="Book Antiqua" w:hAnsi="Book Antiqua"/>
          <w:b/>
          <w:i/>
          <w:sz w:val="24"/>
          <w:szCs w:val="24"/>
          <w:lang w:val="en-US"/>
        </w:rPr>
        <w:t>Histologic targets</w:t>
      </w:r>
    </w:p>
    <w:p w14:paraId="20282634" w14:textId="171EFD26" w:rsidR="00C34D9D" w:rsidRPr="00CE02BD" w:rsidRDefault="00C34D9D" w:rsidP="000F1138">
      <w:pPr>
        <w:adjustRightInd w:val="0"/>
        <w:snapToGrid w:val="0"/>
        <w:spacing w:after="0" w:line="360" w:lineRule="auto"/>
        <w:jc w:val="both"/>
        <w:rPr>
          <w:rFonts w:ascii="Book Antiqua" w:hAnsi="Book Antiqua"/>
          <w:color w:val="000000" w:themeColor="text1"/>
          <w:sz w:val="24"/>
          <w:szCs w:val="24"/>
          <w:lang w:val="en-US"/>
        </w:rPr>
      </w:pPr>
      <w:r w:rsidRPr="00CE02BD">
        <w:rPr>
          <w:rFonts w:ascii="Book Antiqua" w:hAnsi="Book Antiqua"/>
          <w:color w:val="000000" w:themeColor="text1"/>
          <w:sz w:val="24"/>
          <w:szCs w:val="24"/>
          <w:lang w:val="en-US"/>
        </w:rPr>
        <w:t xml:space="preserve">Histologic remission, </w:t>
      </w:r>
      <w:r w:rsidR="00E10452" w:rsidRPr="00CE02BD">
        <w:rPr>
          <w:rFonts w:ascii="Book Antiqua" w:hAnsi="Book Antiqua"/>
          <w:color w:val="000000" w:themeColor="text1"/>
          <w:sz w:val="24"/>
          <w:szCs w:val="24"/>
          <w:lang w:val="en-US"/>
        </w:rPr>
        <w:t>which</w:t>
      </w:r>
      <w:r w:rsidRPr="00CE02BD">
        <w:rPr>
          <w:rFonts w:ascii="Book Antiqua" w:hAnsi="Book Antiqua"/>
          <w:color w:val="000000" w:themeColor="text1"/>
          <w:sz w:val="24"/>
          <w:szCs w:val="24"/>
          <w:lang w:val="en-US"/>
        </w:rPr>
        <w:t xml:space="preserve"> </w:t>
      </w:r>
      <w:r w:rsidR="00811A66" w:rsidRPr="00CE02BD">
        <w:rPr>
          <w:rFonts w:ascii="Book Antiqua" w:hAnsi="Book Antiqua"/>
          <w:color w:val="000000" w:themeColor="text1"/>
          <w:sz w:val="24"/>
          <w:szCs w:val="24"/>
          <w:lang w:val="en-US"/>
        </w:rPr>
        <w:t>means</w:t>
      </w:r>
      <w:r w:rsidRPr="00CE02BD">
        <w:rPr>
          <w:rFonts w:ascii="Book Antiqua" w:hAnsi="Book Antiqua"/>
          <w:color w:val="000000" w:themeColor="text1"/>
          <w:sz w:val="24"/>
          <w:szCs w:val="24"/>
          <w:lang w:val="en-US"/>
        </w:rPr>
        <w:t xml:space="preserve"> resolution of inflammation on microscopic</w:t>
      </w:r>
      <w:r w:rsidR="00E10452" w:rsidRPr="00CE02BD">
        <w:rPr>
          <w:rFonts w:ascii="Book Antiqua" w:hAnsi="Book Antiqua"/>
          <w:color w:val="000000" w:themeColor="text1"/>
          <w:sz w:val="24"/>
          <w:szCs w:val="24"/>
          <w:lang w:val="en-US"/>
        </w:rPr>
        <w:t>al/histological</w:t>
      </w:r>
      <w:r w:rsidRPr="00CE02BD">
        <w:rPr>
          <w:rFonts w:ascii="Book Antiqua" w:hAnsi="Book Antiqua"/>
          <w:color w:val="000000" w:themeColor="text1"/>
          <w:sz w:val="24"/>
          <w:szCs w:val="24"/>
          <w:lang w:val="en-US"/>
        </w:rPr>
        <w:t xml:space="preserve"> examination of </w:t>
      </w:r>
      <w:r w:rsidR="00E10452" w:rsidRPr="00CE02BD">
        <w:rPr>
          <w:rFonts w:ascii="Book Antiqua" w:hAnsi="Book Antiqua"/>
          <w:color w:val="000000" w:themeColor="text1"/>
          <w:sz w:val="24"/>
          <w:szCs w:val="24"/>
          <w:lang w:val="en-US"/>
        </w:rPr>
        <w:t xml:space="preserve">the </w:t>
      </w:r>
      <w:r w:rsidRPr="00CE02BD">
        <w:rPr>
          <w:rFonts w:ascii="Book Antiqua" w:hAnsi="Book Antiqua"/>
          <w:color w:val="000000" w:themeColor="text1"/>
          <w:sz w:val="24"/>
          <w:szCs w:val="24"/>
          <w:lang w:val="en-US"/>
        </w:rPr>
        <w:t xml:space="preserve">colonic mucosa, was not recommended as a target by </w:t>
      </w:r>
      <w:r w:rsidR="00E10452" w:rsidRPr="00CE02BD">
        <w:rPr>
          <w:rFonts w:ascii="Book Antiqua" w:hAnsi="Book Antiqua"/>
          <w:color w:val="000000" w:themeColor="text1"/>
          <w:sz w:val="24"/>
          <w:szCs w:val="24"/>
          <w:lang w:val="en-US"/>
        </w:rPr>
        <w:t xml:space="preserve">the </w:t>
      </w:r>
      <w:r w:rsidRPr="00CE02BD">
        <w:rPr>
          <w:rFonts w:ascii="Book Antiqua" w:hAnsi="Book Antiqua"/>
          <w:color w:val="000000" w:themeColor="text1"/>
          <w:sz w:val="24"/>
          <w:szCs w:val="24"/>
          <w:lang w:val="en-US"/>
        </w:rPr>
        <w:t xml:space="preserve">STRIDE </w:t>
      </w:r>
      <w:r w:rsidR="00E10452" w:rsidRPr="00CE02BD">
        <w:rPr>
          <w:rFonts w:ascii="Book Antiqua" w:hAnsi="Book Antiqua"/>
          <w:color w:val="000000" w:themeColor="text1"/>
          <w:sz w:val="24"/>
          <w:szCs w:val="24"/>
          <w:lang w:val="en-US"/>
        </w:rPr>
        <w:t xml:space="preserve">recommendation </w:t>
      </w:r>
      <w:r w:rsidRPr="00CE02BD">
        <w:rPr>
          <w:rFonts w:ascii="Book Antiqua" w:hAnsi="Book Antiqua"/>
          <w:color w:val="000000" w:themeColor="text1"/>
          <w:sz w:val="24"/>
          <w:szCs w:val="24"/>
          <w:lang w:val="en-US"/>
        </w:rPr>
        <w:t xml:space="preserve">due to lack of </w:t>
      </w:r>
      <w:r w:rsidR="00E10452" w:rsidRPr="00CE02BD">
        <w:rPr>
          <w:rFonts w:ascii="Book Antiqua" w:hAnsi="Book Antiqua"/>
          <w:color w:val="000000" w:themeColor="text1"/>
          <w:sz w:val="24"/>
          <w:szCs w:val="24"/>
          <w:lang w:val="en-US"/>
        </w:rPr>
        <w:t>sufficient</w:t>
      </w:r>
      <w:r w:rsidRPr="00CE02BD">
        <w:rPr>
          <w:rFonts w:ascii="Book Antiqua" w:hAnsi="Book Antiqua"/>
          <w:color w:val="000000" w:themeColor="text1"/>
          <w:sz w:val="24"/>
          <w:szCs w:val="24"/>
          <w:lang w:val="en-US"/>
        </w:rPr>
        <w:t xml:space="preserve"> evidence. </w:t>
      </w:r>
      <w:r w:rsidR="006E2C54" w:rsidRPr="00CE02BD">
        <w:rPr>
          <w:rFonts w:ascii="Book Antiqua" w:hAnsi="Book Antiqua"/>
          <w:color w:val="000000" w:themeColor="text1"/>
          <w:sz w:val="24"/>
          <w:szCs w:val="24"/>
          <w:lang w:val="en-US"/>
        </w:rPr>
        <w:t xml:space="preserve">Lately, histological assessment in UC has an emerging role in clinical trials. </w:t>
      </w:r>
      <w:r w:rsidRPr="00CE02BD">
        <w:rPr>
          <w:rFonts w:ascii="Book Antiqua" w:hAnsi="Book Antiqua"/>
          <w:color w:val="000000" w:themeColor="text1"/>
          <w:sz w:val="24"/>
          <w:szCs w:val="24"/>
          <w:lang w:val="en-US"/>
        </w:rPr>
        <w:t xml:space="preserve">Recent studies </w:t>
      </w:r>
      <w:r w:rsidR="00995BD4" w:rsidRPr="00CE02BD">
        <w:rPr>
          <w:rFonts w:ascii="Book Antiqua" w:hAnsi="Book Antiqua"/>
          <w:color w:val="000000" w:themeColor="text1"/>
          <w:sz w:val="24"/>
          <w:szCs w:val="24"/>
          <w:lang w:val="en-US"/>
        </w:rPr>
        <w:t xml:space="preserve">consistently </w:t>
      </w:r>
      <w:r w:rsidRPr="00CE02BD">
        <w:rPr>
          <w:rFonts w:ascii="Book Antiqua" w:hAnsi="Book Antiqua"/>
          <w:color w:val="000000" w:themeColor="text1"/>
          <w:sz w:val="24"/>
          <w:szCs w:val="24"/>
          <w:lang w:val="en-US"/>
        </w:rPr>
        <w:t xml:space="preserve">suggest that achieving histologic </w:t>
      </w:r>
      <w:r w:rsidR="00E10452" w:rsidRPr="00CE02BD">
        <w:rPr>
          <w:rFonts w:ascii="Book Antiqua" w:hAnsi="Book Antiqua"/>
          <w:color w:val="000000" w:themeColor="text1"/>
          <w:sz w:val="24"/>
          <w:szCs w:val="24"/>
          <w:lang w:val="en-US"/>
        </w:rPr>
        <w:t xml:space="preserve">remission may </w:t>
      </w:r>
      <w:r w:rsidR="00995BD4" w:rsidRPr="00CE02BD">
        <w:rPr>
          <w:rFonts w:ascii="Book Antiqua" w:hAnsi="Book Antiqua"/>
          <w:color w:val="000000" w:themeColor="text1"/>
          <w:sz w:val="24"/>
          <w:szCs w:val="24"/>
          <w:lang w:val="en-US"/>
        </w:rPr>
        <w:t>demonstrate better prognostic value</w:t>
      </w:r>
      <w:r w:rsidRPr="00CE02BD">
        <w:rPr>
          <w:rFonts w:ascii="Book Antiqua" w:hAnsi="Book Antiqua"/>
          <w:color w:val="000000" w:themeColor="text1"/>
          <w:sz w:val="24"/>
          <w:szCs w:val="24"/>
          <w:lang w:val="en-US"/>
        </w:rPr>
        <w:t xml:space="preserve"> in long-term outcomes</w:t>
      </w:r>
      <w:r w:rsidR="00995BD4" w:rsidRPr="00CE02BD">
        <w:rPr>
          <w:rFonts w:ascii="Book Antiqua" w:hAnsi="Book Antiqua"/>
          <w:color w:val="000000" w:themeColor="text1"/>
          <w:sz w:val="24"/>
          <w:szCs w:val="24"/>
          <w:lang w:val="en-US"/>
        </w:rPr>
        <w:t xml:space="preserve"> (relapse-free survival, corticosteroid use</w:t>
      </w:r>
      <w:r w:rsidR="003F4843" w:rsidRPr="00CE02BD">
        <w:rPr>
          <w:rFonts w:ascii="Book Antiqua" w:hAnsi="Book Antiqua"/>
          <w:color w:val="000000" w:themeColor="text1"/>
          <w:sz w:val="24"/>
          <w:szCs w:val="24"/>
          <w:lang w:val="en-US"/>
        </w:rPr>
        <w:t>,</w:t>
      </w:r>
      <w:r w:rsidR="00995BD4" w:rsidRPr="00CE02BD">
        <w:rPr>
          <w:rFonts w:ascii="Book Antiqua" w:hAnsi="Book Antiqua"/>
          <w:color w:val="000000" w:themeColor="text1"/>
          <w:sz w:val="24"/>
          <w:szCs w:val="24"/>
          <w:lang w:val="en-US"/>
        </w:rPr>
        <w:t xml:space="preserve"> and hospitalization) than </w:t>
      </w:r>
      <w:proofErr w:type="gramStart"/>
      <w:r w:rsidR="00995BD4" w:rsidRPr="00CE02BD">
        <w:rPr>
          <w:rFonts w:ascii="Book Antiqua" w:hAnsi="Book Antiqua"/>
          <w:color w:val="000000" w:themeColor="text1"/>
          <w:sz w:val="24"/>
          <w:szCs w:val="24"/>
          <w:lang w:val="en-US"/>
        </w:rPr>
        <w:t>endoscopy</w:t>
      </w:r>
      <w:bookmarkStart w:id="71" w:name="_Ref18539379"/>
      <w:r w:rsidR="000F1138" w:rsidRPr="00CE02BD">
        <w:rPr>
          <w:rFonts w:ascii="Book Antiqua" w:hAnsi="Book Antiqua"/>
          <w:sz w:val="24"/>
          <w:szCs w:val="24"/>
          <w:vertAlign w:val="superscript"/>
          <w:lang w:val="en-US"/>
        </w:rPr>
        <w:t>[</w:t>
      </w:r>
      <w:bookmarkEnd w:id="71"/>
      <w:proofErr w:type="gramEnd"/>
      <w:r w:rsidR="000F1138" w:rsidRPr="00CE02BD">
        <w:rPr>
          <w:rFonts w:ascii="Book Antiqua" w:hAnsi="Book Antiqua"/>
          <w:sz w:val="24"/>
          <w:szCs w:val="24"/>
          <w:vertAlign w:val="superscript"/>
          <w:lang w:val="en-US"/>
        </w:rPr>
        <w:t>68,69</w:t>
      </w:r>
      <w:r w:rsidR="000F1138" w:rsidRPr="00CE02BD">
        <w:rPr>
          <w:rFonts w:ascii="Book Antiqua" w:eastAsia="Times New Roman" w:hAnsi="Book Antiqua" w:cstheme="minorHAnsi"/>
          <w:color w:val="000000"/>
          <w:sz w:val="24"/>
          <w:szCs w:val="24"/>
          <w:vertAlign w:val="superscript"/>
          <w:lang w:val="en-US"/>
        </w:rPr>
        <w:t>]</w:t>
      </w:r>
      <w:r w:rsidR="00995BD4"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In a meta-analysis of 15 </w:t>
      </w:r>
      <w:r w:rsidRPr="00CE02BD">
        <w:rPr>
          <w:rFonts w:ascii="Book Antiqua" w:hAnsi="Book Antiqua"/>
          <w:color w:val="000000" w:themeColor="text1"/>
          <w:sz w:val="24"/>
          <w:szCs w:val="24"/>
          <w:lang w:val="en-US"/>
        </w:rPr>
        <w:lastRenderedPageBreak/>
        <w:t>studies, the risk of UC exacerbation was lower with histologic remiss</w:t>
      </w:r>
      <w:r w:rsidR="00E10452" w:rsidRPr="00CE02BD">
        <w:rPr>
          <w:rFonts w:ascii="Book Antiqua" w:hAnsi="Book Antiqua"/>
          <w:color w:val="000000" w:themeColor="text1"/>
          <w:sz w:val="24"/>
          <w:szCs w:val="24"/>
          <w:lang w:val="en-US"/>
        </w:rPr>
        <w:t>ion compared with patients with histological activity</w:t>
      </w:r>
      <w:r w:rsidRPr="00CE02BD">
        <w:rPr>
          <w:rFonts w:ascii="Book Antiqua" w:hAnsi="Book Antiqua"/>
          <w:color w:val="000000" w:themeColor="text1"/>
          <w:sz w:val="24"/>
          <w:szCs w:val="24"/>
          <w:lang w:val="en-US"/>
        </w:rPr>
        <w:t xml:space="preserve"> </w:t>
      </w:r>
      <w:r w:rsidR="00E10452" w:rsidRPr="00CE02BD">
        <w:rPr>
          <w:rFonts w:ascii="Book Antiqua" w:hAnsi="Book Antiqua"/>
          <w:color w:val="000000" w:themeColor="text1"/>
          <w:sz w:val="24"/>
          <w:szCs w:val="24"/>
          <w:lang w:val="en-US"/>
        </w:rPr>
        <w:t>but</w:t>
      </w:r>
      <w:r w:rsidRPr="00CE02BD">
        <w:rPr>
          <w:rFonts w:ascii="Book Antiqua" w:hAnsi="Book Antiqua"/>
          <w:color w:val="000000" w:themeColor="text1"/>
          <w:sz w:val="24"/>
          <w:szCs w:val="24"/>
          <w:lang w:val="en-US"/>
        </w:rPr>
        <w:t xml:space="preserve"> </w:t>
      </w:r>
      <w:r w:rsidR="00E10452" w:rsidRPr="00CE02BD">
        <w:rPr>
          <w:rFonts w:ascii="Book Antiqua" w:hAnsi="Book Antiqua"/>
          <w:color w:val="000000" w:themeColor="text1"/>
          <w:sz w:val="24"/>
          <w:szCs w:val="24"/>
          <w:lang w:val="en-US"/>
        </w:rPr>
        <w:t xml:space="preserve">in </w:t>
      </w:r>
      <w:r w:rsidRPr="00CE02BD">
        <w:rPr>
          <w:rFonts w:ascii="Book Antiqua" w:hAnsi="Book Antiqua"/>
          <w:color w:val="000000" w:themeColor="text1"/>
          <w:sz w:val="24"/>
          <w:szCs w:val="24"/>
          <w:lang w:val="en-US"/>
        </w:rPr>
        <w:t>endoscop</w:t>
      </w:r>
      <w:r w:rsidR="00E10452" w:rsidRPr="00CE02BD">
        <w:rPr>
          <w:rFonts w:ascii="Book Antiqua" w:hAnsi="Book Antiqua"/>
          <w:color w:val="000000" w:themeColor="text1"/>
          <w:sz w:val="24"/>
          <w:szCs w:val="24"/>
          <w:lang w:val="en-US"/>
        </w:rPr>
        <w:t xml:space="preserve">ic and clinical remission </w:t>
      </w:r>
      <w:r w:rsidR="003F4843" w:rsidRPr="00CE02BD">
        <w:rPr>
          <w:rFonts w:ascii="Book Antiqua" w:hAnsi="Book Antiqua"/>
          <w:color w:val="000000" w:themeColor="text1"/>
          <w:sz w:val="24"/>
          <w:szCs w:val="24"/>
          <w:lang w:val="en-US"/>
        </w:rPr>
        <w:t>[</w:t>
      </w:r>
      <w:r w:rsidR="00E10452" w:rsidRPr="00CE02BD">
        <w:rPr>
          <w:rFonts w:ascii="Book Antiqua" w:hAnsi="Book Antiqua"/>
          <w:color w:val="000000" w:themeColor="text1"/>
          <w:sz w:val="24"/>
          <w:szCs w:val="24"/>
          <w:lang w:val="en-US"/>
        </w:rPr>
        <w:t>pooled OR</w:t>
      </w:r>
      <w:r w:rsidR="003F4843" w:rsidRPr="00CE02BD">
        <w:rPr>
          <w:rFonts w:ascii="Book Antiqua" w:hAnsi="Book Antiqua"/>
          <w:color w:val="000000" w:themeColor="text1"/>
          <w:sz w:val="24"/>
          <w:szCs w:val="24"/>
          <w:lang w:val="en-US"/>
        </w:rPr>
        <w:t xml:space="preserve"> =</w:t>
      </w:r>
      <w:r w:rsidRPr="00CE02BD">
        <w:rPr>
          <w:rFonts w:ascii="Book Antiqua" w:hAnsi="Book Antiqua"/>
          <w:color w:val="000000" w:themeColor="text1"/>
          <w:sz w:val="24"/>
          <w:szCs w:val="24"/>
          <w:lang w:val="en-US"/>
        </w:rPr>
        <w:t xml:space="preserve"> 0.81, 95%CI</w:t>
      </w:r>
      <w:r w:rsidR="003F4843"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0.70–0.94</w:t>
      </w:r>
      <w:bookmarkStart w:id="72" w:name="_Ref18540248"/>
      <w:r w:rsidR="003F4843" w:rsidRPr="00CE02BD">
        <w:rPr>
          <w:rFonts w:ascii="Book Antiqua" w:hAnsi="Book Antiqua"/>
          <w:color w:val="000000" w:themeColor="text1"/>
          <w:sz w:val="24"/>
          <w:szCs w:val="24"/>
          <w:lang w:val="en-US"/>
        </w:rPr>
        <w:t>]</w:t>
      </w:r>
      <w:r w:rsidR="000F1138" w:rsidRPr="00CE02BD">
        <w:rPr>
          <w:rFonts w:ascii="Book Antiqua" w:hAnsi="Book Antiqua"/>
          <w:sz w:val="24"/>
          <w:szCs w:val="24"/>
          <w:vertAlign w:val="superscript"/>
          <w:lang w:val="en-US"/>
        </w:rPr>
        <w:t>[</w:t>
      </w:r>
      <w:bookmarkEnd w:id="72"/>
      <w:r w:rsidR="000F1138" w:rsidRPr="00CE02BD">
        <w:rPr>
          <w:rFonts w:ascii="Book Antiqua" w:hAnsi="Book Antiqua"/>
          <w:sz w:val="24"/>
          <w:szCs w:val="24"/>
          <w:vertAlign w:val="superscript"/>
          <w:lang w:val="en-US"/>
        </w:rPr>
        <w:t>70</w:t>
      </w:r>
      <w:r w:rsidR="000F1138" w:rsidRPr="00CE02BD">
        <w:rPr>
          <w:rFonts w:ascii="Book Antiqua" w:eastAsia="Times New Roman" w:hAnsi="Book Antiqua" w:cstheme="minorHAnsi"/>
          <w:color w:val="000000"/>
          <w:sz w:val="24"/>
          <w:szCs w:val="24"/>
          <w:vertAlign w:val="superscript"/>
          <w:lang w:val="en-US"/>
        </w:rPr>
        <w:t>]</w:t>
      </w:r>
      <w:r w:rsidRPr="00CE02BD">
        <w:rPr>
          <w:rFonts w:ascii="Book Antiqua" w:hAnsi="Book Antiqua"/>
          <w:color w:val="000000" w:themeColor="text1"/>
          <w:sz w:val="24"/>
          <w:szCs w:val="24"/>
          <w:lang w:val="en-US"/>
        </w:rPr>
        <w:t xml:space="preserve">. </w:t>
      </w:r>
      <w:r w:rsidR="00F6667E" w:rsidRPr="00CE02BD">
        <w:rPr>
          <w:rFonts w:ascii="Book Antiqua" w:hAnsi="Book Antiqua"/>
          <w:color w:val="000000" w:themeColor="text1"/>
          <w:sz w:val="24"/>
          <w:szCs w:val="24"/>
          <w:lang w:val="en-US"/>
        </w:rPr>
        <w:t>Several histologic scoring systems are available in UC, the Nancy index and the Robarts Histopathology Index (RHI) being properly validated and showing good correlation with endosc</w:t>
      </w:r>
      <w:r w:rsidR="00F330CD" w:rsidRPr="00CE02BD">
        <w:rPr>
          <w:rFonts w:ascii="Book Antiqua" w:hAnsi="Book Antiqua"/>
          <w:color w:val="000000" w:themeColor="text1"/>
          <w:sz w:val="24"/>
          <w:szCs w:val="24"/>
          <w:lang w:val="en-US"/>
        </w:rPr>
        <w:t>opic disease activity and bioma</w:t>
      </w:r>
      <w:r w:rsidR="00F6667E" w:rsidRPr="00CE02BD">
        <w:rPr>
          <w:rFonts w:ascii="Book Antiqua" w:hAnsi="Book Antiqua"/>
          <w:color w:val="000000" w:themeColor="text1"/>
          <w:sz w:val="24"/>
          <w:szCs w:val="24"/>
          <w:lang w:val="en-US"/>
        </w:rPr>
        <w:t>rkers</w:t>
      </w:r>
      <w:r w:rsidR="00811A66" w:rsidRPr="00CE02BD">
        <w:rPr>
          <w:rFonts w:ascii="Book Antiqua" w:hAnsi="Book Antiqua"/>
          <w:color w:val="000000" w:themeColor="text1"/>
          <w:sz w:val="24"/>
          <w:szCs w:val="24"/>
          <w:lang w:val="en-US"/>
        </w:rPr>
        <w:t xml:space="preserve">, however optimal endpoints in histologic healing are yet to be </w:t>
      </w:r>
      <w:proofErr w:type="gramStart"/>
      <w:r w:rsidR="00811A66" w:rsidRPr="00CE02BD">
        <w:rPr>
          <w:rFonts w:ascii="Book Antiqua" w:hAnsi="Book Antiqua"/>
          <w:color w:val="000000" w:themeColor="text1"/>
          <w:sz w:val="24"/>
          <w:szCs w:val="24"/>
          <w:lang w:val="en-US"/>
        </w:rPr>
        <w:t>determined</w:t>
      </w:r>
      <w:r w:rsidR="000F1138" w:rsidRPr="00CE02BD">
        <w:rPr>
          <w:rFonts w:ascii="Book Antiqua" w:hAnsi="Book Antiqua"/>
          <w:sz w:val="24"/>
          <w:szCs w:val="24"/>
          <w:vertAlign w:val="superscript"/>
          <w:lang w:val="en-US"/>
        </w:rPr>
        <w:t>[</w:t>
      </w:r>
      <w:proofErr w:type="gramEnd"/>
      <w:r w:rsidR="000F1138" w:rsidRPr="00CE02BD">
        <w:rPr>
          <w:rFonts w:ascii="Book Antiqua" w:hAnsi="Book Antiqua"/>
          <w:sz w:val="24"/>
          <w:szCs w:val="24"/>
          <w:vertAlign w:val="superscript"/>
          <w:lang w:val="en-US"/>
        </w:rPr>
        <w:t>71</w:t>
      </w:r>
      <w:r w:rsidR="000F1138" w:rsidRPr="00CE02BD">
        <w:rPr>
          <w:rFonts w:ascii="Book Antiqua" w:eastAsia="Times New Roman" w:hAnsi="Book Antiqua" w:cstheme="minorHAnsi"/>
          <w:color w:val="000000"/>
          <w:sz w:val="24"/>
          <w:szCs w:val="24"/>
          <w:vertAlign w:val="superscript"/>
          <w:lang w:val="en-US"/>
        </w:rPr>
        <w:t>]</w:t>
      </w:r>
      <w:r w:rsidR="00F6667E" w:rsidRPr="00CE02BD">
        <w:rPr>
          <w:rFonts w:ascii="Book Antiqua" w:hAnsi="Book Antiqua"/>
          <w:color w:val="000000" w:themeColor="text1"/>
          <w:sz w:val="24"/>
          <w:szCs w:val="24"/>
          <w:lang w:val="en-US"/>
        </w:rPr>
        <w:t xml:space="preserve">. </w:t>
      </w:r>
      <w:r w:rsidR="00E10452" w:rsidRPr="00CE02BD">
        <w:rPr>
          <w:rFonts w:ascii="Book Antiqua" w:hAnsi="Book Antiqua"/>
          <w:color w:val="000000" w:themeColor="text1"/>
          <w:sz w:val="24"/>
          <w:szCs w:val="24"/>
          <w:lang w:val="en-US"/>
        </w:rPr>
        <w:t>In the case of CD, t</w:t>
      </w:r>
      <w:r w:rsidRPr="00CE02BD">
        <w:rPr>
          <w:rFonts w:ascii="Book Antiqua" w:hAnsi="Book Antiqua"/>
          <w:color w:val="000000" w:themeColor="text1"/>
          <w:sz w:val="24"/>
          <w:szCs w:val="24"/>
          <w:lang w:val="en-US"/>
        </w:rPr>
        <w:t xml:space="preserve">here are very few data to support </w:t>
      </w:r>
      <w:r w:rsidR="00E10452" w:rsidRPr="00CE02BD">
        <w:rPr>
          <w:rFonts w:ascii="Book Antiqua" w:hAnsi="Book Antiqua"/>
          <w:color w:val="000000" w:themeColor="text1"/>
          <w:sz w:val="24"/>
          <w:szCs w:val="24"/>
          <w:lang w:val="en-US"/>
        </w:rPr>
        <w:t>histologic remission as a treatment target</w:t>
      </w:r>
      <w:r w:rsidRPr="00CE02BD">
        <w:rPr>
          <w:rFonts w:ascii="Book Antiqua" w:hAnsi="Book Antiqua"/>
          <w:color w:val="000000" w:themeColor="text1"/>
          <w:sz w:val="24"/>
          <w:szCs w:val="24"/>
          <w:lang w:val="en-US"/>
        </w:rPr>
        <w:t>. The lack of a validated histologic scoring system</w:t>
      </w:r>
      <w:r w:rsidR="00E10452" w:rsidRPr="00CE02BD">
        <w:rPr>
          <w:rFonts w:ascii="Book Antiqua" w:hAnsi="Book Antiqua"/>
          <w:color w:val="000000" w:themeColor="text1"/>
          <w:sz w:val="24"/>
          <w:szCs w:val="24"/>
          <w:lang w:val="en-US"/>
        </w:rPr>
        <w:t>s</w:t>
      </w:r>
      <w:r w:rsidRPr="00CE02BD">
        <w:rPr>
          <w:rFonts w:ascii="Book Antiqua" w:hAnsi="Book Antiqua"/>
          <w:color w:val="000000" w:themeColor="text1"/>
          <w:sz w:val="24"/>
          <w:szCs w:val="24"/>
          <w:lang w:val="en-US"/>
        </w:rPr>
        <w:t xml:space="preserve"> to </w:t>
      </w:r>
      <w:r w:rsidR="00E10452" w:rsidRPr="00CE02BD">
        <w:rPr>
          <w:rFonts w:ascii="Book Antiqua" w:hAnsi="Book Antiqua"/>
          <w:color w:val="000000" w:themeColor="text1"/>
          <w:sz w:val="24"/>
          <w:szCs w:val="24"/>
          <w:lang w:val="en-US"/>
        </w:rPr>
        <w:t>identify</w:t>
      </w:r>
      <w:r w:rsidRPr="00CE02BD">
        <w:rPr>
          <w:rFonts w:ascii="Book Antiqua" w:hAnsi="Book Antiqua"/>
          <w:color w:val="000000" w:themeColor="text1"/>
          <w:sz w:val="24"/>
          <w:szCs w:val="24"/>
          <w:lang w:val="en-US"/>
        </w:rPr>
        <w:t xml:space="preserve"> remission and</w:t>
      </w:r>
      <w:r w:rsidR="00E10452" w:rsidRPr="00CE02BD">
        <w:rPr>
          <w:rFonts w:ascii="Book Antiqua" w:hAnsi="Book Antiqua"/>
          <w:color w:val="000000" w:themeColor="text1"/>
          <w:sz w:val="24"/>
          <w:szCs w:val="24"/>
          <w:lang w:val="en-US"/>
        </w:rPr>
        <w:t xml:space="preserve"> the</w:t>
      </w:r>
      <w:r w:rsidRPr="00CE02BD">
        <w:rPr>
          <w:rFonts w:ascii="Book Antiqua" w:hAnsi="Book Antiqua"/>
          <w:color w:val="000000" w:themeColor="text1"/>
          <w:sz w:val="24"/>
          <w:szCs w:val="24"/>
          <w:lang w:val="en-US"/>
        </w:rPr>
        <w:t xml:space="preserve"> risk of </w:t>
      </w:r>
      <w:r w:rsidR="00E10452" w:rsidRPr="00CE02BD">
        <w:rPr>
          <w:rFonts w:ascii="Book Antiqua" w:hAnsi="Book Antiqua"/>
          <w:color w:val="000000" w:themeColor="text1"/>
          <w:sz w:val="24"/>
          <w:szCs w:val="24"/>
          <w:lang w:val="en-US"/>
        </w:rPr>
        <w:t>sampling error due to the manifestation of CD (skip-</w:t>
      </w:r>
      <w:r w:rsidRPr="00CE02BD">
        <w:rPr>
          <w:rFonts w:ascii="Book Antiqua" w:hAnsi="Book Antiqua"/>
          <w:color w:val="000000" w:themeColor="text1"/>
          <w:sz w:val="24"/>
          <w:szCs w:val="24"/>
          <w:lang w:val="en-US"/>
        </w:rPr>
        <w:t>lesions</w:t>
      </w:r>
      <w:r w:rsidR="00E10452" w:rsidRPr="00CE02BD">
        <w:rPr>
          <w:rFonts w:ascii="Book Antiqua" w:hAnsi="Book Antiqua"/>
          <w:color w:val="000000" w:themeColor="text1"/>
          <w:sz w:val="24"/>
          <w:szCs w:val="24"/>
          <w:lang w:val="en-US"/>
        </w:rPr>
        <w:t>) l</w:t>
      </w:r>
      <w:r w:rsidRPr="00CE02BD">
        <w:rPr>
          <w:rFonts w:ascii="Book Antiqua" w:hAnsi="Book Antiqua"/>
          <w:color w:val="000000" w:themeColor="text1"/>
          <w:sz w:val="24"/>
          <w:szCs w:val="24"/>
          <w:lang w:val="en-US"/>
        </w:rPr>
        <w:t xml:space="preserve">imit the applicability of histologic </w:t>
      </w:r>
      <w:r w:rsidR="00E10452" w:rsidRPr="00CE02BD">
        <w:rPr>
          <w:rFonts w:ascii="Book Antiqua" w:hAnsi="Book Antiqua"/>
          <w:color w:val="000000" w:themeColor="text1"/>
          <w:sz w:val="24"/>
          <w:szCs w:val="24"/>
          <w:lang w:val="en-US"/>
        </w:rPr>
        <w:t>assessment</w:t>
      </w:r>
      <w:r w:rsidRPr="00CE02BD">
        <w:rPr>
          <w:rFonts w:ascii="Book Antiqua" w:hAnsi="Book Antiqua"/>
          <w:color w:val="000000" w:themeColor="text1"/>
          <w:sz w:val="24"/>
          <w:szCs w:val="24"/>
          <w:lang w:val="en-US"/>
        </w:rPr>
        <w:t xml:space="preserve">. </w:t>
      </w:r>
    </w:p>
    <w:p w14:paraId="52E27F63" w14:textId="77777777" w:rsidR="00CC30D0" w:rsidRPr="00CE02BD" w:rsidRDefault="00CC30D0" w:rsidP="000F1138">
      <w:pPr>
        <w:adjustRightInd w:val="0"/>
        <w:snapToGrid w:val="0"/>
        <w:spacing w:after="0" w:line="360" w:lineRule="auto"/>
        <w:jc w:val="both"/>
        <w:rPr>
          <w:rFonts w:ascii="Book Antiqua" w:hAnsi="Book Antiqua"/>
          <w:i/>
          <w:sz w:val="24"/>
          <w:szCs w:val="24"/>
          <w:lang w:val="en-US"/>
        </w:rPr>
      </w:pPr>
    </w:p>
    <w:p w14:paraId="720B74F3" w14:textId="59D34012" w:rsidR="007615A3" w:rsidRPr="00CE02BD" w:rsidRDefault="007615A3" w:rsidP="000F1138">
      <w:pPr>
        <w:adjustRightInd w:val="0"/>
        <w:snapToGrid w:val="0"/>
        <w:spacing w:after="0" w:line="360" w:lineRule="auto"/>
        <w:jc w:val="both"/>
        <w:rPr>
          <w:rFonts w:ascii="Book Antiqua" w:hAnsi="Book Antiqua"/>
          <w:b/>
          <w:i/>
          <w:sz w:val="24"/>
          <w:szCs w:val="24"/>
          <w:lang w:val="en-US"/>
        </w:rPr>
      </w:pPr>
      <w:r w:rsidRPr="00CE02BD">
        <w:rPr>
          <w:rFonts w:ascii="Book Antiqua" w:hAnsi="Book Antiqua"/>
          <w:b/>
          <w:i/>
          <w:sz w:val="24"/>
          <w:szCs w:val="24"/>
          <w:lang w:val="en-US"/>
        </w:rPr>
        <w:t>Imaging targets</w:t>
      </w:r>
    </w:p>
    <w:p w14:paraId="3595C3A9" w14:textId="78064DC7" w:rsidR="00E11EA6" w:rsidRPr="00CE02BD" w:rsidRDefault="00AE3A93"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Several study demonstrated that </w:t>
      </w:r>
      <w:r w:rsidR="00045C89" w:rsidRPr="00CE02BD">
        <w:rPr>
          <w:rFonts w:ascii="Book Antiqua" w:hAnsi="Book Antiqua"/>
          <w:sz w:val="24"/>
          <w:szCs w:val="24"/>
          <w:lang w:val="en-US"/>
        </w:rPr>
        <w:t xml:space="preserve">cross-sectional imaging </w:t>
      </w:r>
      <w:r w:rsidRPr="00CE02BD">
        <w:rPr>
          <w:rFonts w:ascii="Book Antiqua" w:hAnsi="Book Antiqua"/>
          <w:sz w:val="24"/>
          <w:szCs w:val="24"/>
          <w:lang w:val="en-US"/>
        </w:rPr>
        <w:t>have superior diagnostic accuracy compared to ileocolonoscopy in</w:t>
      </w:r>
      <w:r w:rsidR="00CE2738" w:rsidRPr="00CE02BD">
        <w:rPr>
          <w:rFonts w:ascii="Book Antiqua" w:hAnsi="Book Antiqua"/>
          <w:sz w:val="24"/>
          <w:szCs w:val="24"/>
          <w:lang w:val="en-US"/>
        </w:rPr>
        <w:t xml:space="preserve"> extensive ileal,</w:t>
      </w:r>
      <w:r w:rsidRPr="00CE02BD">
        <w:rPr>
          <w:rFonts w:ascii="Book Antiqua" w:hAnsi="Book Antiqua"/>
          <w:sz w:val="24"/>
          <w:szCs w:val="24"/>
          <w:lang w:val="en-US"/>
        </w:rPr>
        <w:t xml:space="preserve"> stricturing </w:t>
      </w:r>
      <w:r w:rsidR="00CE2738" w:rsidRPr="00CE02BD">
        <w:rPr>
          <w:rFonts w:ascii="Book Antiqua" w:hAnsi="Book Antiqua"/>
          <w:sz w:val="24"/>
          <w:szCs w:val="24"/>
          <w:lang w:val="en-US"/>
        </w:rPr>
        <w:t>or</w:t>
      </w:r>
      <w:r w:rsidRPr="00CE02BD">
        <w:rPr>
          <w:rFonts w:ascii="Book Antiqua" w:hAnsi="Book Antiqua"/>
          <w:sz w:val="24"/>
          <w:szCs w:val="24"/>
          <w:lang w:val="en-US"/>
        </w:rPr>
        <w:t xml:space="preserve"> penetrating </w:t>
      </w:r>
      <w:r w:rsidR="00995BD4" w:rsidRPr="00CE02BD">
        <w:rPr>
          <w:rFonts w:ascii="Book Antiqua" w:hAnsi="Book Antiqua"/>
          <w:sz w:val="24"/>
          <w:szCs w:val="24"/>
          <w:lang w:val="en-US"/>
        </w:rPr>
        <w:t>CD</w:t>
      </w:r>
      <w:r w:rsidRPr="00CE02BD">
        <w:rPr>
          <w:rFonts w:ascii="Book Antiqua" w:hAnsi="Book Antiqua"/>
          <w:sz w:val="24"/>
          <w:szCs w:val="24"/>
          <w:lang w:val="en-US"/>
        </w:rPr>
        <w:t xml:space="preserve">, and </w:t>
      </w:r>
      <w:r w:rsidR="00995BD4" w:rsidRPr="00CE02BD">
        <w:rPr>
          <w:rFonts w:ascii="Book Antiqua" w:hAnsi="Book Antiqua"/>
          <w:sz w:val="24"/>
          <w:szCs w:val="24"/>
          <w:lang w:val="en-US"/>
        </w:rPr>
        <w:t>have</w:t>
      </w:r>
      <w:r w:rsidRPr="00CE02BD">
        <w:rPr>
          <w:rFonts w:ascii="Book Antiqua" w:hAnsi="Book Antiqua"/>
          <w:sz w:val="24"/>
          <w:szCs w:val="24"/>
          <w:lang w:val="en-US"/>
        </w:rPr>
        <w:t xml:space="preserve"> a higher impact on therapeutic </w:t>
      </w:r>
      <w:r w:rsidR="00F6667E" w:rsidRPr="00CE02BD">
        <w:rPr>
          <w:rFonts w:ascii="Book Antiqua" w:hAnsi="Book Antiqua"/>
          <w:sz w:val="24"/>
          <w:szCs w:val="24"/>
          <w:lang w:val="en-US"/>
        </w:rPr>
        <w:t xml:space="preserve">decisions </w:t>
      </w:r>
      <w:r w:rsidRPr="00CE02BD">
        <w:rPr>
          <w:rFonts w:ascii="Book Antiqua" w:hAnsi="Book Antiqua"/>
          <w:sz w:val="24"/>
          <w:szCs w:val="24"/>
          <w:lang w:val="en-US"/>
        </w:rPr>
        <w:t xml:space="preserve">in </w:t>
      </w:r>
      <w:r w:rsidR="00995BD4" w:rsidRPr="00CE02BD">
        <w:rPr>
          <w:rFonts w:ascii="Book Antiqua" w:hAnsi="Book Antiqua"/>
          <w:sz w:val="24"/>
          <w:szCs w:val="24"/>
          <w:lang w:val="en-US"/>
        </w:rPr>
        <w:t>appropriate patients</w:t>
      </w:r>
      <w:bookmarkStart w:id="73" w:name="_Ref17887039"/>
      <w:r w:rsidR="000F1138" w:rsidRPr="00CE02BD">
        <w:rPr>
          <w:rFonts w:ascii="Book Antiqua" w:hAnsi="Book Antiqua"/>
          <w:sz w:val="24"/>
          <w:szCs w:val="24"/>
          <w:vertAlign w:val="superscript"/>
          <w:lang w:val="en-US"/>
        </w:rPr>
        <w:t>[</w:t>
      </w:r>
      <w:bookmarkEnd w:id="73"/>
      <w:r w:rsidR="000F1138" w:rsidRPr="00CE02BD">
        <w:rPr>
          <w:rFonts w:ascii="Book Antiqua" w:hAnsi="Book Antiqua"/>
          <w:sz w:val="24"/>
          <w:szCs w:val="24"/>
          <w:vertAlign w:val="superscript"/>
          <w:lang w:val="en-US"/>
        </w:rPr>
        <w:t>72</w:t>
      </w:r>
      <w:r w:rsidR="000F1138" w:rsidRPr="00CE02BD">
        <w:rPr>
          <w:rFonts w:ascii="Book Antiqua" w:eastAsia="Times New Roman" w:hAnsi="Book Antiqua" w:cstheme="minorHAnsi"/>
          <w:color w:val="000000"/>
          <w:sz w:val="24"/>
          <w:szCs w:val="24"/>
          <w:vertAlign w:val="superscript"/>
          <w:lang w:val="en-US"/>
        </w:rPr>
        <w:t>]</w:t>
      </w:r>
      <w:r w:rsidRPr="00CE02BD">
        <w:rPr>
          <w:rFonts w:ascii="Book Antiqua" w:hAnsi="Book Antiqua"/>
          <w:sz w:val="24"/>
          <w:szCs w:val="24"/>
          <w:lang w:val="en-US"/>
        </w:rPr>
        <w:t xml:space="preserve">. </w:t>
      </w:r>
      <w:r w:rsidR="00071A56" w:rsidRPr="00CE02BD">
        <w:rPr>
          <w:rFonts w:ascii="Book Antiqua" w:hAnsi="Book Antiqua"/>
          <w:sz w:val="24"/>
          <w:szCs w:val="24"/>
          <w:lang w:val="en-US"/>
        </w:rPr>
        <w:t xml:space="preserve">The STRIDE consensus </w:t>
      </w:r>
      <w:r w:rsidR="007D63C9" w:rsidRPr="00CE02BD">
        <w:rPr>
          <w:rFonts w:ascii="Book Antiqua" w:hAnsi="Book Antiqua"/>
          <w:sz w:val="24"/>
          <w:szCs w:val="24"/>
          <w:lang w:val="en-US"/>
        </w:rPr>
        <w:t>recommended</w:t>
      </w:r>
      <w:r w:rsidR="00071A56" w:rsidRPr="00CE02BD">
        <w:rPr>
          <w:rFonts w:ascii="Book Antiqua" w:hAnsi="Book Antiqua"/>
          <w:sz w:val="24"/>
          <w:szCs w:val="24"/>
          <w:lang w:val="en-US"/>
        </w:rPr>
        <w:t xml:space="preserve"> resolution of lesions in cross-sectional imaging</w:t>
      </w:r>
      <w:r w:rsidR="007D63C9" w:rsidRPr="00CE02BD">
        <w:rPr>
          <w:rFonts w:ascii="Book Antiqua" w:hAnsi="Book Antiqua"/>
          <w:sz w:val="24"/>
          <w:szCs w:val="24"/>
          <w:lang w:val="en-US"/>
        </w:rPr>
        <w:t xml:space="preserve"> as</w:t>
      </w:r>
      <w:r w:rsidR="00071A56" w:rsidRPr="00CE02BD">
        <w:rPr>
          <w:rFonts w:ascii="Book Antiqua" w:hAnsi="Book Antiqua"/>
          <w:sz w:val="24"/>
          <w:szCs w:val="24"/>
          <w:lang w:val="en-US"/>
        </w:rPr>
        <w:t xml:space="preserve"> not a universal target, although imaging </w:t>
      </w:r>
      <w:r w:rsidR="007D63C9" w:rsidRPr="00CE02BD">
        <w:rPr>
          <w:rFonts w:ascii="Book Antiqua" w:hAnsi="Book Antiqua"/>
          <w:sz w:val="24"/>
          <w:szCs w:val="24"/>
          <w:lang w:val="en-US"/>
        </w:rPr>
        <w:t xml:space="preserve">modalities should </w:t>
      </w:r>
      <w:r w:rsidR="00071A56" w:rsidRPr="00CE02BD">
        <w:rPr>
          <w:rFonts w:ascii="Book Antiqua" w:hAnsi="Book Antiqua"/>
          <w:sz w:val="24"/>
          <w:szCs w:val="24"/>
          <w:lang w:val="en-US"/>
        </w:rPr>
        <w:t>have a complem</w:t>
      </w:r>
      <w:r w:rsidR="007D63C9" w:rsidRPr="00CE02BD">
        <w:rPr>
          <w:rFonts w:ascii="Book Antiqua" w:hAnsi="Book Antiqua"/>
          <w:sz w:val="24"/>
          <w:szCs w:val="24"/>
          <w:lang w:val="en-US"/>
        </w:rPr>
        <w:t xml:space="preserve">entary role in patients with CD </w:t>
      </w:r>
      <w:r w:rsidR="00071A56" w:rsidRPr="00CE02BD">
        <w:rPr>
          <w:rFonts w:ascii="Book Antiqua" w:hAnsi="Book Antiqua"/>
          <w:sz w:val="24"/>
          <w:szCs w:val="24"/>
          <w:lang w:val="en-US"/>
        </w:rPr>
        <w:t xml:space="preserve">who </w:t>
      </w:r>
      <w:r w:rsidR="007D63C9" w:rsidRPr="00CE02BD">
        <w:rPr>
          <w:rFonts w:ascii="Book Antiqua" w:hAnsi="Book Antiqua"/>
          <w:sz w:val="24"/>
          <w:szCs w:val="24"/>
          <w:lang w:val="en-US"/>
        </w:rPr>
        <w:t>cannot be</w:t>
      </w:r>
      <w:r w:rsidR="00071A56" w:rsidRPr="00CE02BD">
        <w:rPr>
          <w:rFonts w:ascii="Book Antiqua" w:hAnsi="Book Antiqua"/>
          <w:sz w:val="24"/>
          <w:szCs w:val="24"/>
          <w:lang w:val="en-US"/>
        </w:rPr>
        <w:t xml:space="preserve"> adequately assessed by colonoscopy</w:t>
      </w:r>
      <w:r w:rsidR="007D63C9" w:rsidRPr="00CE02BD">
        <w:rPr>
          <w:rFonts w:ascii="Book Antiqua" w:hAnsi="Book Antiqua"/>
          <w:sz w:val="24"/>
          <w:szCs w:val="24"/>
          <w:lang w:val="en-US"/>
        </w:rPr>
        <w:t>.</w:t>
      </w:r>
      <w:r w:rsidR="00F330CD" w:rsidRPr="00CE02BD">
        <w:rPr>
          <w:rFonts w:ascii="Book Antiqua" w:hAnsi="Book Antiqua"/>
          <w:sz w:val="24"/>
          <w:szCs w:val="24"/>
          <w:lang w:val="en-US"/>
        </w:rPr>
        <w:t xml:space="preserve"> </w:t>
      </w:r>
      <w:r w:rsidRPr="00CE02BD">
        <w:rPr>
          <w:rFonts w:ascii="Book Antiqua" w:hAnsi="Book Antiqua"/>
          <w:sz w:val="24"/>
          <w:szCs w:val="24"/>
          <w:lang w:val="en-US"/>
        </w:rPr>
        <w:t xml:space="preserve">Further </w:t>
      </w:r>
      <w:r w:rsidR="00071A56" w:rsidRPr="00CE02BD">
        <w:rPr>
          <w:rFonts w:ascii="Book Antiqua" w:hAnsi="Book Antiqua"/>
          <w:sz w:val="24"/>
          <w:szCs w:val="24"/>
          <w:lang w:val="en-US"/>
        </w:rPr>
        <w:t xml:space="preserve">data </w:t>
      </w:r>
      <w:r w:rsidRPr="00CE02BD">
        <w:rPr>
          <w:rFonts w:ascii="Book Antiqua" w:hAnsi="Book Antiqua"/>
          <w:sz w:val="24"/>
          <w:szCs w:val="24"/>
          <w:lang w:val="en-US"/>
        </w:rPr>
        <w:t>in CD patients using imaging modalities to target</w:t>
      </w:r>
      <w:r w:rsidR="00071A56" w:rsidRPr="00CE02BD">
        <w:rPr>
          <w:rFonts w:ascii="Book Antiqua" w:hAnsi="Book Antiqua"/>
          <w:sz w:val="24"/>
          <w:szCs w:val="24"/>
          <w:lang w:val="en-US"/>
        </w:rPr>
        <w:t xml:space="preserve"> resolution of inflammation have been reported</w:t>
      </w:r>
      <w:r w:rsidRPr="00CE02BD">
        <w:rPr>
          <w:rFonts w:ascii="Book Antiqua" w:hAnsi="Book Antiqua"/>
          <w:sz w:val="24"/>
          <w:szCs w:val="24"/>
          <w:lang w:val="en-US"/>
        </w:rPr>
        <w:t xml:space="preserve"> since the publication of STRIDE</w:t>
      </w:r>
      <w:r w:rsidR="00071A56" w:rsidRPr="00CE02BD">
        <w:rPr>
          <w:rFonts w:ascii="Book Antiqua" w:hAnsi="Book Antiqua"/>
          <w:sz w:val="24"/>
          <w:szCs w:val="24"/>
          <w:lang w:val="en-US"/>
        </w:rPr>
        <w:t xml:space="preserve">. In a retrospective </w:t>
      </w:r>
      <w:r w:rsidR="00F330CD" w:rsidRPr="00CE02BD">
        <w:rPr>
          <w:rFonts w:ascii="Book Antiqua" w:hAnsi="Book Antiqua"/>
          <w:sz w:val="24"/>
          <w:szCs w:val="24"/>
          <w:lang w:val="en-US"/>
        </w:rPr>
        <w:t xml:space="preserve">analysis, </w:t>
      </w:r>
      <w:r w:rsidR="00071A56" w:rsidRPr="00CE02BD">
        <w:rPr>
          <w:rFonts w:ascii="Book Antiqua" w:hAnsi="Book Antiqua"/>
          <w:sz w:val="24"/>
          <w:szCs w:val="24"/>
          <w:lang w:val="en-US"/>
        </w:rPr>
        <w:t xml:space="preserve">complete resolution of small bowel lesions on CTE or MRE was associated with </w:t>
      </w:r>
      <w:r w:rsidR="00F330CD" w:rsidRPr="00CE02BD">
        <w:rPr>
          <w:rFonts w:ascii="Book Antiqua" w:hAnsi="Book Antiqua"/>
          <w:sz w:val="24"/>
          <w:szCs w:val="24"/>
          <w:lang w:val="en-US"/>
        </w:rPr>
        <w:t xml:space="preserve">a </w:t>
      </w:r>
      <w:r w:rsidR="00071A56" w:rsidRPr="00CE02BD">
        <w:rPr>
          <w:rFonts w:ascii="Book Antiqua" w:hAnsi="Book Antiqua"/>
          <w:sz w:val="24"/>
          <w:szCs w:val="24"/>
          <w:lang w:val="en-US"/>
        </w:rPr>
        <w:t xml:space="preserve">decrease in hospitalization </w:t>
      </w:r>
      <w:r w:rsidR="003F4843" w:rsidRPr="00CE02BD">
        <w:rPr>
          <w:rFonts w:ascii="Book Antiqua" w:hAnsi="Book Antiqua"/>
          <w:sz w:val="24"/>
          <w:szCs w:val="24"/>
          <w:lang w:val="en-US"/>
        </w:rPr>
        <w:t>[</w:t>
      </w:r>
      <w:r w:rsidR="003F4843" w:rsidRPr="00CE02BD">
        <w:rPr>
          <w:rFonts w:ascii="Book Antiqua" w:hAnsi="Book Antiqua" w:cstheme="minorHAnsi"/>
          <w:sz w:val="24"/>
          <w:szCs w:val="24"/>
          <w:lang w:val="en-US"/>
        </w:rPr>
        <w:t>(</w:t>
      </w:r>
      <w:r w:rsidR="00071A56" w:rsidRPr="00CE02BD">
        <w:rPr>
          <w:rFonts w:ascii="Book Antiqua" w:hAnsi="Book Antiqua"/>
          <w:sz w:val="24"/>
          <w:szCs w:val="24"/>
          <w:lang w:val="en-US"/>
        </w:rPr>
        <w:t>HR</w:t>
      </w:r>
      <w:r w:rsidR="003F4843" w:rsidRPr="00CE02BD">
        <w:rPr>
          <w:rFonts w:ascii="Book Antiqua" w:hAnsi="Book Antiqua" w:cstheme="minorHAnsi"/>
          <w:sz w:val="24"/>
          <w:szCs w:val="24"/>
          <w:lang w:val="en-US"/>
        </w:rPr>
        <w:t>)</w:t>
      </w:r>
      <w:r w:rsidR="00071A56" w:rsidRPr="00CE02BD">
        <w:rPr>
          <w:rFonts w:ascii="Book Antiqua" w:hAnsi="Book Antiqua"/>
          <w:sz w:val="24"/>
          <w:szCs w:val="24"/>
          <w:lang w:val="en-US"/>
        </w:rPr>
        <w:t>, 0.28, 95%CI</w:t>
      </w:r>
      <w:r w:rsidR="003F4843" w:rsidRPr="00CE02BD">
        <w:rPr>
          <w:rFonts w:ascii="Book Antiqua" w:hAnsi="Book Antiqua"/>
          <w:sz w:val="24"/>
          <w:szCs w:val="24"/>
          <w:lang w:val="en-US"/>
        </w:rPr>
        <w:t>:</w:t>
      </w:r>
      <w:r w:rsidR="00071A56" w:rsidRPr="00CE02BD">
        <w:rPr>
          <w:rFonts w:ascii="Book Antiqua" w:hAnsi="Book Antiqua"/>
          <w:sz w:val="24"/>
          <w:szCs w:val="24"/>
          <w:lang w:val="en-US"/>
        </w:rPr>
        <w:t xml:space="preserve"> 0.15–0.50</w:t>
      </w:r>
      <w:r w:rsidR="003F4843" w:rsidRPr="00CE02BD">
        <w:rPr>
          <w:rFonts w:ascii="Book Antiqua" w:hAnsi="Book Antiqua"/>
          <w:sz w:val="24"/>
          <w:szCs w:val="24"/>
          <w:lang w:val="en-US"/>
        </w:rPr>
        <w:t>]</w:t>
      </w:r>
      <w:r w:rsidR="00071A56" w:rsidRPr="00CE02BD">
        <w:rPr>
          <w:rFonts w:ascii="Book Antiqua" w:hAnsi="Book Antiqua"/>
          <w:sz w:val="24"/>
          <w:szCs w:val="24"/>
          <w:lang w:val="en-US"/>
        </w:rPr>
        <w:t xml:space="preserve"> and surgery (0.34, 95%CI</w:t>
      </w:r>
      <w:r w:rsidR="003F4843" w:rsidRPr="00CE02BD">
        <w:rPr>
          <w:rFonts w:ascii="Book Antiqua" w:hAnsi="Book Antiqua"/>
          <w:sz w:val="24"/>
          <w:szCs w:val="24"/>
          <w:lang w:val="en-US"/>
        </w:rPr>
        <w:t>:</w:t>
      </w:r>
      <w:r w:rsidR="00071A56" w:rsidRPr="00CE02BD">
        <w:rPr>
          <w:rFonts w:ascii="Book Antiqua" w:hAnsi="Book Antiqua"/>
          <w:sz w:val="24"/>
          <w:szCs w:val="24"/>
          <w:lang w:val="en-US"/>
        </w:rPr>
        <w:t xml:space="preserve"> 0.18–0.63)</w:t>
      </w:r>
      <w:r w:rsidR="00F330CD" w:rsidRPr="00CE02BD">
        <w:rPr>
          <w:rFonts w:ascii="Book Antiqua" w:hAnsi="Book Antiqua"/>
          <w:sz w:val="24"/>
          <w:szCs w:val="24"/>
          <w:lang w:val="en-US"/>
        </w:rPr>
        <w:t xml:space="preserve"> over a median of 9 years observed </w:t>
      </w:r>
      <w:proofErr w:type="gramStart"/>
      <w:r w:rsidR="00F330CD" w:rsidRPr="00CE02BD">
        <w:rPr>
          <w:rFonts w:ascii="Book Antiqua" w:hAnsi="Book Antiqua"/>
          <w:sz w:val="24"/>
          <w:szCs w:val="24"/>
          <w:lang w:val="en-US"/>
        </w:rPr>
        <w:t>period</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73</w:t>
      </w:r>
      <w:r w:rsidR="00583505" w:rsidRPr="00CE02BD">
        <w:rPr>
          <w:rFonts w:ascii="Book Antiqua" w:eastAsia="Times New Roman" w:hAnsi="Book Antiqua" w:cstheme="minorHAnsi"/>
          <w:color w:val="000000"/>
          <w:sz w:val="24"/>
          <w:szCs w:val="24"/>
          <w:vertAlign w:val="superscript"/>
          <w:lang w:val="en-US"/>
        </w:rPr>
        <w:t>]</w:t>
      </w:r>
      <w:r w:rsidR="00071A56" w:rsidRPr="00CE02BD">
        <w:rPr>
          <w:rFonts w:ascii="Book Antiqua" w:hAnsi="Book Antiqua"/>
          <w:sz w:val="24"/>
          <w:szCs w:val="24"/>
          <w:lang w:val="en-US"/>
        </w:rPr>
        <w:t>.</w:t>
      </w:r>
      <w:r w:rsidR="00811A66" w:rsidRPr="00CE02BD">
        <w:rPr>
          <w:rFonts w:ascii="Book Antiqua" w:hAnsi="Book Antiqua"/>
          <w:sz w:val="24"/>
          <w:szCs w:val="24"/>
          <w:lang w:val="en-US"/>
        </w:rPr>
        <w:t xml:space="preserve"> P</w:t>
      </w:r>
      <w:r w:rsidR="00A222A8" w:rsidRPr="00CE02BD">
        <w:rPr>
          <w:rFonts w:ascii="Book Antiqua" w:hAnsi="Book Antiqua"/>
          <w:sz w:val="24"/>
          <w:szCs w:val="24"/>
          <w:lang w:val="en-US"/>
        </w:rPr>
        <w:t>atients with transmural healing on MRE presented lower rates of therapy escalation, hospital admission and surgery at 1 year</w:t>
      </w:r>
      <w:r w:rsidR="00811A66" w:rsidRPr="00CE02BD">
        <w:rPr>
          <w:rFonts w:ascii="Book Antiqua" w:hAnsi="Book Antiqua"/>
          <w:sz w:val="24"/>
          <w:szCs w:val="24"/>
          <w:lang w:val="en-US"/>
        </w:rPr>
        <w:t xml:space="preserve"> in a prospective </w:t>
      </w:r>
      <w:proofErr w:type="gramStart"/>
      <w:r w:rsidR="00811A66" w:rsidRPr="00CE02BD">
        <w:rPr>
          <w:rFonts w:ascii="Book Antiqua" w:hAnsi="Book Antiqua"/>
          <w:sz w:val="24"/>
          <w:szCs w:val="24"/>
          <w:lang w:val="en-US"/>
        </w:rPr>
        <w:t>cohort</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74</w:t>
      </w:r>
      <w:r w:rsidR="00583505" w:rsidRPr="00CE02BD">
        <w:rPr>
          <w:rFonts w:ascii="Book Antiqua" w:eastAsia="Times New Roman" w:hAnsi="Book Antiqua" w:cstheme="minorHAnsi"/>
          <w:color w:val="000000"/>
          <w:sz w:val="24"/>
          <w:szCs w:val="24"/>
          <w:vertAlign w:val="superscript"/>
          <w:lang w:val="en-US"/>
        </w:rPr>
        <w:t>]</w:t>
      </w:r>
      <w:r w:rsidR="00F330CD" w:rsidRPr="00CE02BD">
        <w:rPr>
          <w:rFonts w:ascii="Book Antiqua" w:hAnsi="Book Antiqua"/>
          <w:sz w:val="24"/>
          <w:szCs w:val="24"/>
          <w:lang w:val="en-US"/>
        </w:rPr>
        <w:t>.</w:t>
      </w:r>
      <w:r w:rsidR="00A222A8" w:rsidRPr="00CE02BD">
        <w:rPr>
          <w:rFonts w:ascii="Book Antiqua" w:hAnsi="Book Antiqua"/>
          <w:sz w:val="24"/>
          <w:szCs w:val="24"/>
          <w:lang w:val="en-US"/>
        </w:rPr>
        <w:t xml:space="preserve"> In a retrospective study, fast-track MRI examinations coupled with clinical and biomarker activity assessment had a significant impact on patient management, leading to better patient stratification and earlier optimization of the therapy (medical or surgical)</w:t>
      </w:r>
      <w:r w:rsidR="00583505" w:rsidRPr="00CE02BD">
        <w:rPr>
          <w:rFonts w:ascii="Book Antiqua" w:hAnsi="Book Antiqua"/>
          <w:sz w:val="24"/>
          <w:szCs w:val="24"/>
          <w:vertAlign w:val="superscript"/>
          <w:lang w:val="en-US"/>
        </w:rPr>
        <w:t>[75</w:t>
      </w:r>
      <w:r w:rsidR="00583505" w:rsidRPr="00CE02BD">
        <w:rPr>
          <w:rFonts w:ascii="Book Antiqua" w:eastAsia="Times New Roman" w:hAnsi="Book Antiqua" w:cstheme="minorHAnsi"/>
          <w:color w:val="000000"/>
          <w:sz w:val="24"/>
          <w:szCs w:val="24"/>
          <w:vertAlign w:val="superscript"/>
          <w:lang w:val="en-US"/>
        </w:rPr>
        <w:t>]</w:t>
      </w:r>
      <w:r w:rsidR="00A222A8" w:rsidRPr="00CE02BD">
        <w:rPr>
          <w:rFonts w:ascii="Book Antiqua" w:hAnsi="Book Antiqua"/>
          <w:sz w:val="24"/>
          <w:szCs w:val="24"/>
          <w:lang w:val="en-US"/>
        </w:rPr>
        <w:t>.</w:t>
      </w:r>
      <w:r w:rsidR="00327528" w:rsidRPr="00CE02BD">
        <w:rPr>
          <w:rFonts w:ascii="Book Antiqua" w:hAnsi="Book Antiqua"/>
          <w:sz w:val="24"/>
          <w:szCs w:val="24"/>
          <w:lang w:val="en-US"/>
        </w:rPr>
        <w:t xml:space="preserve"> Abdominal ultrasound (US) is a safe and inexpensive diagnostic modality, and shows comparable overall </w:t>
      </w:r>
      <w:r w:rsidR="009A4933" w:rsidRPr="00CE02BD">
        <w:rPr>
          <w:rFonts w:ascii="Book Antiqua" w:hAnsi="Book Antiqua"/>
          <w:sz w:val="24"/>
          <w:szCs w:val="24"/>
          <w:lang w:val="en-US"/>
        </w:rPr>
        <w:t xml:space="preserve">diagnostic performance </w:t>
      </w:r>
      <w:r w:rsidR="00327528" w:rsidRPr="00CE02BD">
        <w:rPr>
          <w:rFonts w:ascii="Book Antiqua" w:hAnsi="Book Antiqua"/>
          <w:sz w:val="24"/>
          <w:szCs w:val="24"/>
          <w:lang w:val="en-US"/>
        </w:rPr>
        <w:t>to</w:t>
      </w:r>
      <w:r w:rsidR="009A4933" w:rsidRPr="00CE02BD">
        <w:rPr>
          <w:rFonts w:ascii="Book Antiqua" w:hAnsi="Book Antiqua"/>
          <w:sz w:val="24"/>
          <w:szCs w:val="24"/>
          <w:lang w:val="en-US"/>
        </w:rPr>
        <w:t xml:space="preserve"> </w:t>
      </w:r>
      <w:r w:rsidR="00327528" w:rsidRPr="00CE02BD">
        <w:rPr>
          <w:rFonts w:ascii="Book Antiqua" w:hAnsi="Book Antiqua"/>
          <w:sz w:val="24"/>
          <w:szCs w:val="24"/>
          <w:lang w:val="en-US"/>
        </w:rPr>
        <w:t xml:space="preserve">MRI and CT modalities in ileal </w:t>
      </w:r>
      <w:proofErr w:type="gramStart"/>
      <w:r w:rsidR="00327528" w:rsidRPr="00CE02BD">
        <w:rPr>
          <w:rFonts w:ascii="Book Antiqua" w:hAnsi="Book Antiqua"/>
          <w:sz w:val="24"/>
          <w:szCs w:val="24"/>
          <w:lang w:val="en-US"/>
        </w:rPr>
        <w:t>CD</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72</w:t>
      </w:r>
      <w:r w:rsidR="00583505" w:rsidRPr="00CE02BD">
        <w:rPr>
          <w:rFonts w:ascii="Book Antiqua" w:eastAsia="Times New Roman" w:hAnsi="Book Antiqua" w:cstheme="minorHAnsi"/>
          <w:color w:val="000000"/>
          <w:sz w:val="24"/>
          <w:szCs w:val="24"/>
          <w:vertAlign w:val="superscript"/>
          <w:lang w:val="en-US"/>
        </w:rPr>
        <w:t>]</w:t>
      </w:r>
      <w:r w:rsidR="009A4933" w:rsidRPr="00CE02BD">
        <w:rPr>
          <w:rFonts w:ascii="Book Antiqua" w:hAnsi="Book Antiqua"/>
          <w:sz w:val="24"/>
          <w:szCs w:val="24"/>
          <w:lang w:val="en-US"/>
        </w:rPr>
        <w:t>.</w:t>
      </w:r>
      <w:r w:rsidR="008A398F" w:rsidRPr="00CE02BD">
        <w:rPr>
          <w:rFonts w:ascii="Book Antiqua" w:hAnsi="Book Antiqua"/>
          <w:sz w:val="24"/>
          <w:szCs w:val="24"/>
          <w:vertAlign w:val="superscript"/>
          <w:lang w:val="en-US"/>
        </w:rPr>
        <w:t xml:space="preserve"> </w:t>
      </w:r>
      <w:r w:rsidR="008A398F" w:rsidRPr="00CE02BD">
        <w:rPr>
          <w:rFonts w:ascii="Book Antiqua" w:hAnsi="Book Antiqua"/>
          <w:sz w:val="24"/>
          <w:szCs w:val="24"/>
          <w:lang w:val="en-US"/>
        </w:rPr>
        <w:t xml:space="preserve">Recently, several US indices have been developed for assessing disease activity, however further </w:t>
      </w:r>
      <w:r w:rsidR="008A398F" w:rsidRPr="00CE02BD">
        <w:rPr>
          <w:rFonts w:ascii="Book Antiqua" w:hAnsi="Book Antiqua"/>
          <w:sz w:val="24"/>
          <w:szCs w:val="24"/>
          <w:lang w:val="en-US"/>
        </w:rPr>
        <w:lastRenderedPageBreak/>
        <w:t xml:space="preserve">validation of these tools and their impact in disease monitoring need more </w:t>
      </w:r>
      <w:proofErr w:type="gramStart"/>
      <w:r w:rsidR="008A398F" w:rsidRPr="00CE02BD">
        <w:rPr>
          <w:rFonts w:ascii="Book Antiqua" w:hAnsi="Book Antiqua"/>
          <w:sz w:val="24"/>
          <w:szCs w:val="24"/>
          <w:lang w:val="en-US"/>
        </w:rPr>
        <w:t>research</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76</w:t>
      </w:r>
      <w:r w:rsidR="00583505" w:rsidRPr="00CE02BD">
        <w:rPr>
          <w:rFonts w:ascii="Book Antiqua" w:eastAsia="Times New Roman" w:hAnsi="Book Antiqua" w:cstheme="minorHAnsi"/>
          <w:color w:val="000000"/>
          <w:sz w:val="24"/>
          <w:szCs w:val="24"/>
          <w:vertAlign w:val="superscript"/>
          <w:lang w:val="en-US"/>
        </w:rPr>
        <w:t>]</w:t>
      </w:r>
      <w:r w:rsidR="008A398F" w:rsidRPr="00CE02BD">
        <w:rPr>
          <w:rFonts w:ascii="Book Antiqua" w:hAnsi="Book Antiqua"/>
          <w:sz w:val="24"/>
          <w:szCs w:val="24"/>
          <w:lang w:val="en-US"/>
        </w:rPr>
        <w:t>.</w:t>
      </w:r>
      <w:r w:rsidR="004C2AF5" w:rsidRPr="00CE02BD">
        <w:rPr>
          <w:rStyle w:val="aa"/>
          <w:rFonts w:ascii="Book Antiqua" w:hAnsi="Book Antiqua"/>
          <w:sz w:val="24"/>
          <w:szCs w:val="24"/>
          <w:lang w:val="en-US"/>
        </w:rPr>
        <w:t xml:space="preserve"> </w:t>
      </w:r>
    </w:p>
    <w:p w14:paraId="411D4DB1" w14:textId="24E2C38E" w:rsidR="00327528" w:rsidRPr="00CE02BD" w:rsidRDefault="00327528"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Cross-sectional imaging modalities are not recommended by the STRIDE in the evaluation of UC, considering that it is primarily a mucosal disease. However, the MaRIA MRI index or diffusion-weighted MRI modalities studied mainly in patients with CD, have high sensitivity in detecting mucosal lesions, thus could have potential applicability in </w:t>
      </w:r>
      <w:proofErr w:type="gramStart"/>
      <w:r w:rsidRPr="00CE02BD">
        <w:rPr>
          <w:rFonts w:ascii="Book Antiqua" w:hAnsi="Book Antiqua"/>
          <w:sz w:val="24"/>
          <w:szCs w:val="24"/>
          <w:lang w:val="en-US"/>
        </w:rPr>
        <w:t>UC</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77</w:t>
      </w:r>
      <w:r w:rsidR="00583505" w:rsidRPr="00CE02BD">
        <w:rPr>
          <w:rFonts w:ascii="Book Antiqua" w:eastAsia="Times New Roman" w:hAnsi="Book Antiqua" w:cstheme="minorHAnsi"/>
          <w:color w:val="000000"/>
          <w:sz w:val="24"/>
          <w:szCs w:val="24"/>
          <w:vertAlign w:val="superscript"/>
          <w:lang w:val="en-US"/>
        </w:rPr>
        <w:t>]</w:t>
      </w:r>
      <w:r w:rsidRPr="00CE02BD">
        <w:rPr>
          <w:rFonts w:ascii="Book Antiqua" w:hAnsi="Book Antiqua"/>
          <w:sz w:val="24"/>
          <w:szCs w:val="24"/>
          <w:lang w:val="en-US"/>
        </w:rPr>
        <w:t xml:space="preserve">. </w:t>
      </w:r>
      <w:r w:rsidR="00995BD4" w:rsidRPr="00CE02BD">
        <w:rPr>
          <w:rFonts w:ascii="Book Antiqua" w:hAnsi="Book Antiqua"/>
          <w:sz w:val="24"/>
          <w:szCs w:val="24"/>
          <w:lang w:val="en-US"/>
        </w:rPr>
        <w:t xml:space="preserve">The </w:t>
      </w:r>
      <w:r w:rsidRPr="00CE02BD">
        <w:rPr>
          <w:rFonts w:ascii="Book Antiqua" w:hAnsi="Book Antiqua"/>
          <w:sz w:val="24"/>
          <w:szCs w:val="24"/>
          <w:lang w:val="en-US"/>
        </w:rPr>
        <w:t>lack of invasiveness and radiation exposure makes MRI an attractive diagnostic tool, although further investigation is definitely warranted however to demonstrate long-term outcomes in MRI guided therapeutic strategies.</w:t>
      </w:r>
    </w:p>
    <w:p w14:paraId="66589C1D" w14:textId="77777777" w:rsidR="00201EC7" w:rsidRPr="00CE02BD" w:rsidRDefault="00201EC7" w:rsidP="000F1138">
      <w:pPr>
        <w:adjustRightInd w:val="0"/>
        <w:snapToGrid w:val="0"/>
        <w:spacing w:after="0" w:line="360" w:lineRule="auto"/>
        <w:jc w:val="both"/>
        <w:rPr>
          <w:rFonts w:ascii="Book Antiqua" w:hAnsi="Book Antiqua"/>
          <w:b/>
          <w:sz w:val="24"/>
          <w:szCs w:val="24"/>
          <w:lang w:val="en-US"/>
        </w:rPr>
      </w:pPr>
    </w:p>
    <w:p w14:paraId="7FAB9BCF" w14:textId="2C5EC104" w:rsidR="00CF4DDB" w:rsidRPr="00CE02BD" w:rsidRDefault="00CF4DDB"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TREATMENT DE-ESCALATION</w:t>
      </w:r>
    </w:p>
    <w:p w14:paraId="749F0973" w14:textId="5B25F5C9" w:rsidR="00521EEA" w:rsidRPr="00CE02BD" w:rsidRDefault="00521EEA"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As a result of </w:t>
      </w:r>
      <w:r w:rsidR="0092080F" w:rsidRPr="00CE02BD">
        <w:rPr>
          <w:rFonts w:ascii="Book Antiqua" w:hAnsi="Book Antiqua"/>
          <w:sz w:val="24"/>
          <w:szCs w:val="24"/>
          <w:lang w:val="en-US"/>
        </w:rPr>
        <w:t>the changing</w:t>
      </w:r>
      <w:r w:rsidRPr="00CE02BD">
        <w:rPr>
          <w:rFonts w:ascii="Book Antiqua" w:hAnsi="Book Antiqua"/>
          <w:sz w:val="24"/>
          <w:szCs w:val="24"/>
          <w:lang w:val="en-US"/>
        </w:rPr>
        <w:t xml:space="preserve"> treatment paradigms, there has been an exponential increase in </w:t>
      </w:r>
      <w:r w:rsidR="0092080F" w:rsidRPr="00CE02BD">
        <w:rPr>
          <w:rFonts w:ascii="Book Antiqua" w:hAnsi="Book Antiqua"/>
          <w:sz w:val="24"/>
          <w:szCs w:val="24"/>
          <w:lang w:val="en-US"/>
        </w:rPr>
        <w:t>the exposure</w:t>
      </w:r>
      <w:r w:rsidRPr="00CE02BD">
        <w:rPr>
          <w:rFonts w:ascii="Book Antiqua" w:hAnsi="Book Antiqua"/>
          <w:sz w:val="24"/>
          <w:szCs w:val="24"/>
          <w:lang w:val="en-US"/>
        </w:rPr>
        <w:t xml:space="preserve"> to immunosuppressive and biologic</w:t>
      </w:r>
      <w:r w:rsidR="0092080F" w:rsidRPr="00CE02BD">
        <w:rPr>
          <w:rFonts w:ascii="Book Antiqua" w:hAnsi="Book Antiqua"/>
          <w:sz w:val="24"/>
          <w:szCs w:val="24"/>
          <w:lang w:val="en-US"/>
        </w:rPr>
        <w:t xml:space="preserve"> agents</w:t>
      </w:r>
      <w:r w:rsidRPr="00CE02BD">
        <w:rPr>
          <w:rFonts w:ascii="Book Antiqua" w:hAnsi="Book Antiqua"/>
          <w:sz w:val="24"/>
          <w:szCs w:val="24"/>
          <w:lang w:val="en-US"/>
        </w:rPr>
        <w:t xml:space="preserve">. </w:t>
      </w:r>
      <w:r w:rsidR="00612665" w:rsidRPr="00CE02BD">
        <w:rPr>
          <w:rFonts w:ascii="Book Antiqua" w:hAnsi="Book Antiqua"/>
          <w:sz w:val="24"/>
          <w:szCs w:val="24"/>
          <w:lang w:val="en-US"/>
        </w:rPr>
        <w:t>S</w:t>
      </w:r>
      <w:r w:rsidRPr="00CE02BD">
        <w:rPr>
          <w:rFonts w:ascii="Book Antiqua" w:hAnsi="Book Antiqua"/>
          <w:sz w:val="24"/>
          <w:szCs w:val="24"/>
          <w:lang w:val="en-US"/>
        </w:rPr>
        <w:t xml:space="preserve">everal long-term trials have shown that discontinuation of therapy is associated with high relapse rates, suggesting that cessation of </w:t>
      </w:r>
      <w:r w:rsidR="0092080F" w:rsidRPr="00CE02BD">
        <w:rPr>
          <w:rFonts w:ascii="Book Antiqua" w:hAnsi="Book Antiqua"/>
          <w:sz w:val="24"/>
          <w:szCs w:val="24"/>
          <w:lang w:val="en-US"/>
        </w:rPr>
        <w:t>biologics</w:t>
      </w:r>
      <w:r w:rsidRPr="00CE02BD">
        <w:rPr>
          <w:rFonts w:ascii="Book Antiqua" w:hAnsi="Book Antiqua"/>
          <w:sz w:val="24"/>
          <w:szCs w:val="24"/>
          <w:lang w:val="en-US"/>
        </w:rPr>
        <w:t xml:space="preserve"> can be </w:t>
      </w:r>
      <w:r w:rsidR="00F34D7D" w:rsidRPr="00CE02BD">
        <w:rPr>
          <w:rFonts w:ascii="Book Antiqua" w:hAnsi="Book Antiqua"/>
          <w:sz w:val="24"/>
          <w:szCs w:val="24"/>
          <w:lang w:val="en-US"/>
        </w:rPr>
        <w:t>considered only in selected patients</w:t>
      </w:r>
      <w:r w:rsidR="00612665" w:rsidRPr="00CE02BD">
        <w:rPr>
          <w:rFonts w:ascii="Book Antiqua" w:hAnsi="Book Antiqua"/>
          <w:sz w:val="24"/>
          <w:szCs w:val="24"/>
          <w:lang w:val="en-US"/>
        </w:rPr>
        <w:t>. It is important to recognize that</w:t>
      </w:r>
      <w:r w:rsidR="00F34D7D" w:rsidRPr="00CE02BD">
        <w:rPr>
          <w:rFonts w:ascii="Book Antiqua" w:hAnsi="Book Antiqua"/>
          <w:sz w:val="24"/>
          <w:szCs w:val="24"/>
          <w:lang w:val="en-US"/>
        </w:rPr>
        <w:t xml:space="preserve"> tight control management strategies could also help identifying those patients through proper disease monitoring strategies </w:t>
      </w:r>
      <w:r w:rsidR="00612665" w:rsidRPr="00CE02BD">
        <w:rPr>
          <w:rFonts w:ascii="Book Antiqua" w:hAnsi="Book Antiqua"/>
          <w:sz w:val="24"/>
          <w:szCs w:val="24"/>
          <w:lang w:val="en-US"/>
        </w:rPr>
        <w:t>and not only promote therapy escalation but de-escalation as well.</w:t>
      </w:r>
      <w:r w:rsidRPr="00CE02BD">
        <w:rPr>
          <w:rFonts w:ascii="Book Antiqua" w:hAnsi="Book Antiqua"/>
          <w:sz w:val="24"/>
          <w:szCs w:val="24"/>
          <w:lang w:val="en-US"/>
        </w:rPr>
        <w:t xml:space="preserve"> The </w:t>
      </w:r>
      <w:r w:rsidR="00612665" w:rsidRPr="00CE02BD">
        <w:rPr>
          <w:rFonts w:ascii="Book Antiqua" w:hAnsi="Book Antiqua"/>
          <w:sz w:val="24"/>
          <w:szCs w:val="24"/>
          <w:lang w:val="en-US"/>
        </w:rPr>
        <w:t>STORI (</w:t>
      </w:r>
      <w:r w:rsidRPr="00CE02BD">
        <w:rPr>
          <w:rFonts w:ascii="Book Antiqua" w:hAnsi="Book Antiqua"/>
          <w:sz w:val="24"/>
          <w:szCs w:val="24"/>
          <w:lang w:val="en-US"/>
        </w:rPr>
        <w:t>infliximab diSconTinuation in C</w:t>
      </w:r>
      <w:r w:rsidR="00732523" w:rsidRPr="00CE02BD">
        <w:rPr>
          <w:rFonts w:ascii="Book Antiqua" w:hAnsi="Book Antiqua"/>
          <w:sz w:val="24"/>
          <w:szCs w:val="24"/>
          <w:lang w:val="en-US"/>
        </w:rPr>
        <w:t>D</w:t>
      </w:r>
      <w:r w:rsidRPr="00CE02BD">
        <w:rPr>
          <w:rFonts w:ascii="Book Antiqua" w:hAnsi="Book Antiqua"/>
          <w:sz w:val="24"/>
          <w:szCs w:val="24"/>
          <w:lang w:val="en-US"/>
        </w:rPr>
        <w:t xml:space="preserve"> patients in stable Remission on combined therapy with </w:t>
      </w:r>
      <w:r w:rsidR="00612665" w:rsidRPr="00CE02BD">
        <w:rPr>
          <w:rFonts w:ascii="Book Antiqua" w:hAnsi="Book Antiqua"/>
          <w:sz w:val="24"/>
          <w:szCs w:val="24"/>
          <w:lang w:val="en-US"/>
        </w:rPr>
        <w:t xml:space="preserve">Immunosuppressors) </w:t>
      </w:r>
      <w:r w:rsidRPr="00CE02BD">
        <w:rPr>
          <w:rFonts w:ascii="Book Antiqua" w:hAnsi="Book Antiqua"/>
          <w:sz w:val="24"/>
          <w:szCs w:val="24"/>
          <w:lang w:val="en-US"/>
        </w:rPr>
        <w:t xml:space="preserve">trial </w:t>
      </w:r>
      <w:r w:rsidR="00F34D7D" w:rsidRPr="00CE02BD">
        <w:rPr>
          <w:rFonts w:ascii="Book Antiqua" w:hAnsi="Book Antiqua"/>
          <w:sz w:val="24"/>
          <w:szCs w:val="24"/>
          <w:lang w:val="en-US"/>
        </w:rPr>
        <w:t>showed that</w:t>
      </w:r>
      <w:r w:rsidR="00612665" w:rsidRPr="00CE02BD">
        <w:rPr>
          <w:rFonts w:ascii="Book Antiqua" w:hAnsi="Book Antiqua"/>
          <w:sz w:val="24"/>
          <w:szCs w:val="24"/>
          <w:lang w:val="en-US"/>
        </w:rPr>
        <w:t xml:space="preserve"> t</w:t>
      </w:r>
      <w:r w:rsidRPr="00CE02BD">
        <w:rPr>
          <w:rFonts w:ascii="Book Antiqua" w:hAnsi="Book Antiqua"/>
          <w:sz w:val="24"/>
          <w:szCs w:val="24"/>
          <w:lang w:val="en-US"/>
        </w:rPr>
        <w:t xml:space="preserve">he relapse rate within a 1 year </w:t>
      </w:r>
      <w:r w:rsidR="00612665" w:rsidRPr="00CE02BD">
        <w:rPr>
          <w:rFonts w:ascii="Book Antiqua" w:hAnsi="Book Antiqua"/>
          <w:sz w:val="24"/>
          <w:szCs w:val="24"/>
          <w:lang w:val="en-US"/>
        </w:rPr>
        <w:t xml:space="preserve">of discontinuation </w:t>
      </w:r>
      <w:r w:rsidRPr="00CE02BD">
        <w:rPr>
          <w:rFonts w:ascii="Book Antiqua" w:hAnsi="Book Antiqua"/>
          <w:sz w:val="24"/>
          <w:szCs w:val="24"/>
          <w:lang w:val="en-US"/>
        </w:rPr>
        <w:t>was approximately 50%</w:t>
      </w:r>
      <w:r w:rsidR="00612665" w:rsidRPr="00CE02BD">
        <w:rPr>
          <w:rFonts w:ascii="Book Antiqua" w:hAnsi="Book Antiqua"/>
          <w:sz w:val="24"/>
          <w:szCs w:val="24"/>
          <w:lang w:val="en-US"/>
        </w:rPr>
        <w:t>,</w:t>
      </w:r>
      <w:r w:rsidRPr="00CE02BD">
        <w:rPr>
          <w:rFonts w:ascii="Book Antiqua" w:hAnsi="Book Antiqua"/>
          <w:sz w:val="24"/>
          <w:szCs w:val="24"/>
          <w:lang w:val="en-US"/>
        </w:rPr>
        <w:t xml:space="preserve"> however, patients having ≤ 2 risk factors, including male gender, elevated leukocytes, an elevated CRP level, elevated FC level, and decreased hemoglobin showed only a 15% risk of relapse</w:t>
      </w:r>
      <w:r w:rsidR="00583505" w:rsidRPr="00CE02BD">
        <w:rPr>
          <w:rFonts w:ascii="Book Antiqua" w:hAnsi="Book Antiqua"/>
          <w:sz w:val="24"/>
          <w:szCs w:val="24"/>
          <w:vertAlign w:val="superscript"/>
          <w:lang w:val="en-US"/>
        </w:rPr>
        <w:t>[78]</w:t>
      </w:r>
      <w:r w:rsidRPr="00CE02BD">
        <w:rPr>
          <w:rFonts w:ascii="Book Antiqua" w:hAnsi="Book Antiqua"/>
          <w:sz w:val="24"/>
          <w:szCs w:val="24"/>
          <w:lang w:val="en-US"/>
        </w:rPr>
        <w:t xml:space="preserve">. </w:t>
      </w:r>
      <w:r w:rsidR="0092080F" w:rsidRPr="00CE02BD">
        <w:rPr>
          <w:rFonts w:ascii="Book Antiqua" w:hAnsi="Book Antiqua"/>
          <w:sz w:val="24"/>
          <w:szCs w:val="24"/>
          <w:lang w:val="en-US"/>
        </w:rPr>
        <w:t>S</w:t>
      </w:r>
      <w:r w:rsidRPr="00CE02BD">
        <w:rPr>
          <w:rFonts w:ascii="Book Antiqua" w:hAnsi="Book Antiqua"/>
          <w:sz w:val="24"/>
          <w:szCs w:val="24"/>
          <w:lang w:val="en-US"/>
        </w:rPr>
        <w:t>afety signals were not different between patient groups in the CALM</w:t>
      </w:r>
      <w:r w:rsidR="00CF4DDB" w:rsidRPr="00CE02BD">
        <w:rPr>
          <w:rFonts w:ascii="Book Antiqua" w:hAnsi="Book Antiqua"/>
          <w:sz w:val="24"/>
          <w:szCs w:val="24"/>
          <w:vertAlign w:val="superscript"/>
          <w:lang w:val="en-US"/>
        </w:rPr>
        <w:t>[</w:t>
      </w:r>
      <w:r w:rsidR="003823C4" w:rsidRPr="00CE02BD">
        <w:rPr>
          <w:rFonts w:ascii="Book Antiqua" w:hAnsi="Book Antiqua"/>
          <w:sz w:val="24"/>
          <w:szCs w:val="24"/>
          <w:vertAlign w:val="superscript"/>
          <w:lang w:val="en-US"/>
        </w:rPr>
        <w:t>13</w:t>
      </w:r>
      <w:r w:rsidR="009245EE" w:rsidRPr="00CE02BD">
        <w:rPr>
          <w:rFonts w:ascii="Book Antiqua" w:hAnsi="Book Antiqua"/>
          <w:sz w:val="24"/>
          <w:szCs w:val="24"/>
          <w:vertAlign w:val="superscript"/>
          <w:lang w:val="en-US"/>
        </w:rPr>
        <w:t>]</w:t>
      </w:r>
      <w:r w:rsidRPr="00CE02BD">
        <w:rPr>
          <w:rFonts w:ascii="Book Antiqua" w:hAnsi="Book Antiqua"/>
          <w:sz w:val="24"/>
          <w:szCs w:val="24"/>
          <w:lang w:val="en-US"/>
        </w:rPr>
        <w:t xml:space="preserve"> study despite a higher exposure to </w:t>
      </w:r>
      <w:r w:rsidR="0092080F" w:rsidRPr="00CE02BD">
        <w:rPr>
          <w:rFonts w:ascii="Book Antiqua" w:hAnsi="Book Antiqua"/>
          <w:sz w:val="24"/>
          <w:szCs w:val="24"/>
          <w:lang w:val="en-US"/>
        </w:rPr>
        <w:t>combined immunosuppres</w:t>
      </w:r>
      <w:r w:rsidR="00F34D7D" w:rsidRPr="00CE02BD">
        <w:rPr>
          <w:rFonts w:ascii="Book Antiqua" w:hAnsi="Book Antiqua"/>
          <w:sz w:val="24"/>
          <w:szCs w:val="24"/>
          <w:lang w:val="en-US"/>
        </w:rPr>
        <w:t>sion in the tight control arm, n</w:t>
      </w:r>
      <w:r w:rsidR="0092080F" w:rsidRPr="00CE02BD">
        <w:rPr>
          <w:rFonts w:ascii="Book Antiqua" w:hAnsi="Book Antiqua"/>
          <w:sz w:val="24"/>
          <w:szCs w:val="24"/>
          <w:lang w:val="en-US"/>
        </w:rPr>
        <w:t xml:space="preserve">evertheless, safety concerns regarding combined immunosuppression and the huge increase in drug related costs makes it necessary to develop </w:t>
      </w:r>
      <w:r w:rsidR="0092080F" w:rsidRPr="00CE02BD">
        <w:rPr>
          <w:rFonts w:ascii="Book Antiqua" w:hAnsi="Book Antiqua"/>
          <w:color w:val="000000" w:themeColor="text1"/>
          <w:sz w:val="24"/>
          <w:szCs w:val="24"/>
          <w:lang w:val="en-US"/>
        </w:rPr>
        <w:t xml:space="preserve">appropriate de-escalation strategies for selected patients, </w:t>
      </w:r>
      <w:r w:rsidR="00F34D7D" w:rsidRPr="00CE02BD">
        <w:rPr>
          <w:rFonts w:ascii="Book Antiqua" w:hAnsi="Book Antiqua"/>
          <w:color w:val="000000" w:themeColor="text1"/>
          <w:sz w:val="24"/>
          <w:szCs w:val="24"/>
          <w:lang w:val="en-US"/>
        </w:rPr>
        <w:t xml:space="preserve">and </w:t>
      </w:r>
      <w:r w:rsidR="0092080F" w:rsidRPr="00CE02BD">
        <w:rPr>
          <w:rFonts w:ascii="Book Antiqua" w:hAnsi="Book Antiqua"/>
          <w:color w:val="000000" w:themeColor="text1"/>
          <w:sz w:val="24"/>
          <w:szCs w:val="24"/>
          <w:lang w:val="en-US"/>
        </w:rPr>
        <w:t>determine the exact role of biomarkers and endoscopy</w:t>
      </w:r>
      <w:r w:rsidR="00F34D7D" w:rsidRPr="00CE02BD">
        <w:rPr>
          <w:rFonts w:ascii="Book Antiqua" w:hAnsi="Book Antiqua"/>
          <w:color w:val="000000" w:themeColor="text1"/>
          <w:sz w:val="24"/>
          <w:szCs w:val="24"/>
          <w:lang w:val="en-US"/>
        </w:rPr>
        <w:t xml:space="preserve"> in this area as well</w:t>
      </w:r>
      <w:r w:rsidR="0092080F" w:rsidRPr="00CE02BD">
        <w:rPr>
          <w:rFonts w:ascii="Book Antiqua" w:hAnsi="Book Antiqua"/>
          <w:color w:val="000000" w:themeColor="text1"/>
          <w:sz w:val="24"/>
          <w:szCs w:val="24"/>
          <w:lang w:val="en-US"/>
        </w:rPr>
        <w:t>.</w:t>
      </w:r>
    </w:p>
    <w:p w14:paraId="7069E830" w14:textId="77777777" w:rsidR="00201EC7" w:rsidRPr="00CE02BD" w:rsidRDefault="00201EC7" w:rsidP="000F1138">
      <w:pPr>
        <w:adjustRightInd w:val="0"/>
        <w:snapToGrid w:val="0"/>
        <w:spacing w:after="0" w:line="360" w:lineRule="auto"/>
        <w:jc w:val="both"/>
        <w:rPr>
          <w:rFonts w:ascii="Book Antiqua" w:hAnsi="Book Antiqua"/>
          <w:sz w:val="24"/>
          <w:szCs w:val="24"/>
          <w:lang w:val="en-US"/>
        </w:rPr>
      </w:pPr>
    </w:p>
    <w:p w14:paraId="5F37F03C" w14:textId="4A1F89EC" w:rsidR="00CF4DDB" w:rsidRPr="00CE02BD" w:rsidRDefault="00CF4DDB"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lastRenderedPageBreak/>
        <w:t xml:space="preserve">REAL-WORD EXPERIENCE WITH TREAT-TO-TARGET STRATEGIES </w:t>
      </w:r>
    </w:p>
    <w:p w14:paraId="21A6818E" w14:textId="36FB09E9" w:rsidR="00C34D9D" w:rsidRPr="00CE02BD" w:rsidRDefault="00967408"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Although the tre</w:t>
      </w:r>
      <w:r w:rsidR="008D6775" w:rsidRPr="00CE02BD">
        <w:rPr>
          <w:rFonts w:ascii="Book Antiqua" w:hAnsi="Book Antiqua"/>
          <w:sz w:val="24"/>
          <w:szCs w:val="24"/>
          <w:lang w:val="en-US"/>
        </w:rPr>
        <w:t>at-to-</w:t>
      </w:r>
      <w:r w:rsidRPr="00CE02BD">
        <w:rPr>
          <w:rFonts w:ascii="Book Antiqua" w:hAnsi="Book Antiqua"/>
          <w:sz w:val="24"/>
          <w:szCs w:val="24"/>
          <w:lang w:val="en-US"/>
        </w:rPr>
        <w:t xml:space="preserve">target and tight control strategies seem to achieve improved long-term outcomes in CD and UC, certain </w:t>
      </w:r>
      <w:r w:rsidR="00C34D9D" w:rsidRPr="00CE02BD">
        <w:rPr>
          <w:rFonts w:ascii="Book Antiqua" w:hAnsi="Book Antiqua"/>
          <w:sz w:val="24"/>
          <w:szCs w:val="24"/>
          <w:lang w:val="en-US"/>
        </w:rPr>
        <w:t xml:space="preserve">factors can limit </w:t>
      </w:r>
      <w:r w:rsidRPr="00CE02BD">
        <w:rPr>
          <w:rFonts w:ascii="Book Antiqua" w:hAnsi="Book Antiqua"/>
          <w:sz w:val="24"/>
          <w:szCs w:val="24"/>
          <w:lang w:val="en-US"/>
        </w:rPr>
        <w:t xml:space="preserve">the </w:t>
      </w:r>
      <w:r w:rsidR="00C34D9D" w:rsidRPr="00CE02BD">
        <w:rPr>
          <w:rFonts w:ascii="Book Antiqua" w:hAnsi="Book Antiqua"/>
          <w:sz w:val="24"/>
          <w:szCs w:val="24"/>
          <w:lang w:val="en-US"/>
        </w:rPr>
        <w:t xml:space="preserve">applicability and acceptance </w:t>
      </w:r>
      <w:r w:rsidRPr="00CE02BD">
        <w:rPr>
          <w:rFonts w:ascii="Book Antiqua" w:hAnsi="Book Antiqua"/>
          <w:sz w:val="24"/>
          <w:szCs w:val="24"/>
          <w:lang w:val="en-US"/>
        </w:rPr>
        <w:t xml:space="preserve">of these new paradigms </w:t>
      </w:r>
      <w:r w:rsidR="00C34D9D" w:rsidRPr="00CE02BD">
        <w:rPr>
          <w:rFonts w:ascii="Book Antiqua" w:hAnsi="Book Antiqua"/>
          <w:sz w:val="24"/>
          <w:szCs w:val="24"/>
          <w:lang w:val="en-US"/>
        </w:rPr>
        <w:t>in clinical practice</w:t>
      </w:r>
      <w:r w:rsidRPr="00CE02BD">
        <w:rPr>
          <w:rFonts w:ascii="Book Antiqua" w:hAnsi="Book Antiqua"/>
          <w:sz w:val="24"/>
          <w:szCs w:val="24"/>
          <w:lang w:val="en-US"/>
        </w:rPr>
        <w:t xml:space="preserve">. </w:t>
      </w:r>
      <w:r w:rsidR="00A04B65" w:rsidRPr="00CE02BD">
        <w:rPr>
          <w:rFonts w:ascii="Book Antiqua" w:hAnsi="Book Antiqua"/>
          <w:sz w:val="24"/>
          <w:szCs w:val="24"/>
          <w:lang w:val="en-US"/>
        </w:rPr>
        <w:t>Although there are reports of these new strategies to be properly translated in clinical practice in several IBD centers, some studies propose</w:t>
      </w:r>
      <w:r w:rsidR="000A047C" w:rsidRPr="00CE02BD">
        <w:rPr>
          <w:rFonts w:ascii="Book Antiqua" w:hAnsi="Book Antiqua"/>
          <w:sz w:val="24"/>
          <w:szCs w:val="24"/>
          <w:lang w:val="en-US"/>
        </w:rPr>
        <w:t xml:space="preserve"> significant gaps</w:t>
      </w:r>
      <w:r w:rsidR="008D6775" w:rsidRPr="00CE02BD">
        <w:rPr>
          <w:rFonts w:ascii="Book Antiqua" w:hAnsi="Book Antiqua"/>
          <w:sz w:val="24"/>
          <w:szCs w:val="24"/>
          <w:lang w:val="en-US"/>
        </w:rPr>
        <w:t xml:space="preserve"> in the implementation of treat-to-</w:t>
      </w:r>
      <w:r w:rsidR="000A047C" w:rsidRPr="00CE02BD">
        <w:rPr>
          <w:rFonts w:ascii="Book Antiqua" w:hAnsi="Book Antiqua"/>
          <w:sz w:val="24"/>
          <w:szCs w:val="24"/>
          <w:lang w:val="en-US"/>
        </w:rPr>
        <w:t xml:space="preserve">target </w:t>
      </w:r>
      <w:proofErr w:type="gramStart"/>
      <w:r w:rsidR="000A047C" w:rsidRPr="00CE02BD">
        <w:rPr>
          <w:rFonts w:ascii="Book Antiqua" w:hAnsi="Book Antiqua"/>
          <w:sz w:val="24"/>
          <w:szCs w:val="24"/>
          <w:lang w:val="en-US"/>
        </w:rPr>
        <w:t>strategies</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79,80]</w:t>
      </w:r>
      <w:r w:rsidR="000A047C" w:rsidRPr="00CE02BD">
        <w:rPr>
          <w:rFonts w:ascii="Book Antiqua" w:hAnsi="Book Antiqua"/>
          <w:sz w:val="24"/>
          <w:szCs w:val="24"/>
          <w:lang w:val="en-US"/>
        </w:rPr>
        <w:t>.</w:t>
      </w:r>
      <w:r w:rsidR="00A04B65" w:rsidRPr="00CE02BD">
        <w:rPr>
          <w:rFonts w:ascii="Book Antiqua" w:hAnsi="Book Antiqua"/>
          <w:sz w:val="24"/>
          <w:szCs w:val="24"/>
          <w:vertAlign w:val="superscript"/>
          <w:lang w:val="en-US"/>
        </w:rPr>
        <w:t xml:space="preserve"> </w:t>
      </w:r>
      <w:r w:rsidR="00A54696" w:rsidRPr="00CE02BD">
        <w:rPr>
          <w:rFonts w:ascii="Book Antiqua" w:hAnsi="Book Antiqua"/>
          <w:sz w:val="24"/>
          <w:szCs w:val="24"/>
          <w:lang w:val="en-US"/>
        </w:rPr>
        <w:t>The overall increase in doctor-patient visits, laboratory testing</w:t>
      </w:r>
      <w:r w:rsidR="003F4843" w:rsidRPr="00CE02BD">
        <w:rPr>
          <w:rFonts w:ascii="Book Antiqua" w:hAnsi="Book Antiqua"/>
          <w:sz w:val="24"/>
          <w:szCs w:val="24"/>
          <w:lang w:val="en-US"/>
        </w:rPr>
        <w:t>,</w:t>
      </w:r>
      <w:r w:rsidR="00A54696" w:rsidRPr="00CE02BD">
        <w:rPr>
          <w:rFonts w:ascii="Book Antiqua" w:hAnsi="Book Antiqua"/>
          <w:sz w:val="24"/>
          <w:szCs w:val="24"/>
          <w:lang w:val="en-US"/>
        </w:rPr>
        <w:t xml:space="preserve"> and endoscopies could be ‘burdensome’ for both patients and physicians and could poten</w:t>
      </w:r>
      <w:r w:rsidR="008D6775" w:rsidRPr="00CE02BD">
        <w:rPr>
          <w:rFonts w:ascii="Book Antiqua" w:hAnsi="Book Antiqua"/>
          <w:sz w:val="24"/>
          <w:szCs w:val="24"/>
          <w:lang w:val="en-US"/>
        </w:rPr>
        <w:t>tially slow the uptake of treat-to-</w:t>
      </w:r>
      <w:r w:rsidR="00A54696" w:rsidRPr="00CE02BD">
        <w:rPr>
          <w:rFonts w:ascii="Book Antiqua" w:hAnsi="Book Antiqua"/>
          <w:sz w:val="24"/>
          <w:szCs w:val="24"/>
          <w:lang w:val="en-US"/>
        </w:rPr>
        <w:t xml:space="preserve">target strategies, especially in community gastroenterology services. </w:t>
      </w:r>
      <w:r w:rsidR="00A04B65" w:rsidRPr="00CE02BD">
        <w:rPr>
          <w:rFonts w:ascii="Book Antiqua" w:hAnsi="Book Antiqua"/>
          <w:sz w:val="24"/>
          <w:szCs w:val="24"/>
          <w:lang w:val="en-US"/>
        </w:rPr>
        <w:t xml:space="preserve">In contrast to </w:t>
      </w:r>
      <w:r w:rsidR="00A54696" w:rsidRPr="00CE02BD">
        <w:rPr>
          <w:rFonts w:ascii="Book Antiqua" w:hAnsi="Book Antiqua"/>
          <w:sz w:val="24"/>
          <w:szCs w:val="24"/>
          <w:lang w:val="en-US"/>
        </w:rPr>
        <w:t>the STRIDE recommendations</w:t>
      </w:r>
      <w:r w:rsidR="00A04B65" w:rsidRPr="00CE02BD">
        <w:rPr>
          <w:rFonts w:ascii="Book Antiqua" w:hAnsi="Book Antiqua"/>
          <w:sz w:val="24"/>
          <w:szCs w:val="24"/>
          <w:lang w:val="en-US"/>
        </w:rPr>
        <w:t>, which advocate for endoscopic</w:t>
      </w:r>
      <w:r w:rsidR="00A54696" w:rsidRPr="00CE02BD">
        <w:rPr>
          <w:rFonts w:ascii="Book Antiqua" w:hAnsi="Book Antiqua"/>
          <w:sz w:val="24"/>
          <w:szCs w:val="24"/>
          <w:lang w:val="en-US"/>
        </w:rPr>
        <w:t xml:space="preserve"> </w:t>
      </w:r>
      <w:r w:rsidR="00A04B65" w:rsidRPr="00CE02BD">
        <w:rPr>
          <w:rFonts w:ascii="Book Antiqua" w:hAnsi="Book Antiqua"/>
          <w:sz w:val="24"/>
          <w:szCs w:val="24"/>
          <w:lang w:val="en-US"/>
        </w:rPr>
        <w:t xml:space="preserve">evaluation </w:t>
      </w:r>
      <w:r w:rsidR="00A54696" w:rsidRPr="00CE02BD">
        <w:rPr>
          <w:rFonts w:ascii="Book Antiqua" w:hAnsi="Book Antiqua"/>
          <w:sz w:val="24"/>
          <w:szCs w:val="24"/>
          <w:lang w:val="en-US"/>
        </w:rPr>
        <w:t xml:space="preserve">after 3 </w:t>
      </w:r>
      <w:r w:rsidR="00583505" w:rsidRPr="00CE02BD">
        <w:rPr>
          <w:rFonts w:ascii="Book Antiqua" w:hAnsi="Book Antiqua"/>
          <w:sz w:val="24"/>
          <w:szCs w:val="24"/>
          <w:lang w:val="en-US"/>
        </w:rPr>
        <w:t>mo</w:t>
      </w:r>
      <w:r w:rsidR="00A04B65" w:rsidRPr="00CE02BD">
        <w:rPr>
          <w:rFonts w:ascii="Book Antiqua" w:hAnsi="Book Antiqua"/>
          <w:sz w:val="24"/>
          <w:szCs w:val="24"/>
          <w:lang w:val="en-US"/>
        </w:rPr>
        <w:t xml:space="preserve"> </w:t>
      </w:r>
      <w:r w:rsidR="00A54696" w:rsidRPr="00CE02BD">
        <w:rPr>
          <w:rFonts w:ascii="Book Antiqua" w:hAnsi="Book Antiqua"/>
          <w:sz w:val="24"/>
          <w:szCs w:val="24"/>
          <w:lang w:val="en-US"/>
        </w:rPr>
        <w:t xml:space="preserve">of therapy start in </w:t>
      </w:r>
      <w:r w:rsidR="00A04B65" w:rsidRPr="00CE02BD">
        <w:rPr>
          <w:rFonts w:ascii="Book Antiqua" w:hAnsi="Book Antiqua"/>
          <w:sz w:val="24"/>
          <w:szCs w:val="24"/>
          <w:lang w:val="en-US"/>
        </w:rPr>
        <w:t>active UC, endoscopy was</w:t>
      </w:r>
      <w:r w:rsidR="00A54696" w:rsidRPr="00CE02BD">
        <w:rPr>
          <w:rFonts w:ascii="Book Antiqua" w:hAnsi="Book Antiqua"/>
          <w:sz w:val="24"/>
          <w:szCs w:val="24"/>
          <w:lang w:val="en-US"/>
        </w:rPr>
        <w:t xml:space="preserve"> </w:t>
      </w:r>
      <w:r w:rsidR="00A04B65" w:rsidRPr="00CE02BD">
        <w:rPr>
          <w:rFonts w:ascii="Book Antiqua" w:hAnsi="Book Antiqua"/>
          <w:sz w:val="24"/>
          <w:szCs w:val="24"/>
          <w:lang w:val="en-US"/>
        </w:rPr>
        <w:t>performed in only</w:t>
      </w:r>
      <w:r w:rsidR="00A54696" w:rsidRPr="00CE02BD">
        <w:rPr>
          <w:rFonts w:ascii="Book Antiqua" w:hAnsi="Book Antiqua"/>
          <w:sz w:val="24"/>
          <w:szCs w:val="24"/>
          <w:lang w:val="en-US"/>
        </w:rPr>
        <w:t xml:space="preserve"> 47% of such patients within 3 </w:t>
      </w:r>
      <w:r w:rsidR="00583505" w:rsidRPr="00CE02BD">
        <w:rPr>
          <w:rFonts w:ascii="Book Antiqua" w:hAnsi="Book Antiqua"/>
          <w:sz w:val="24"/>
          <w:szCs w:val="24"/>
          <w:lang w:val="en-US"/>
        </w:rPr>
        <w:t>mo</w:t>
      </w:r>
      <w:r w:rsidR="00A54696" w:rsidRPr="00CE02BD">
        <w:rPr>
          <w:rFonts w:ascii="Book Antiqua" w:hAnsi="Book Antiqua"/>
          <w:sz w:val="24"/>
          <w:szCs w:val="24"/>
          <w:lang w:val="en-US"/>
        </w:rPr>
        <w:t xml:space="preserve">, and in 68% within 6 </w:t>
      </w:r>
      <w:r w:rsidR="00583505" w:rsidRPr="00CE02BD">
        <w:rPr>
          <w:rFonts w:ascii="Book Antiqua" w:hAnsi="Book Antiqua"/>
          <w:sz w:val="24"/>
          <w:szCs w:val="24"/>
          <w:lang w:val="en-US"/>
        </w:rPr>
        <w:t>mo</w:t>
      </w:r>
      <w:r w:rsidR="00A54696" w:rsidRPr="00CE02BD">
        <w:rPr>
          <w:rFonts w:ascii="Book Antiqua" w:hAnsi="Book Antiqua"/>
          <w:sz w:val="24"/>
          <w:szCs w:val="24"/>
          <w:lang w:val="en-US"/>
        </w:rPr>
        <w:t xml:space="preserve"> in </w:t>
      </w:r>
      <w:r w:rsidR="00A70354" w:rsidRPr="00CE02BD">
        <w:rPr>
          <w:rFonts w:ascii="Book Antiqua" w:hAnsi="Book Antiqua"/>
          <w:sz w:val="24"/>
          <w:szCs w:val="24"/>
          <w:lang w:val="en-US"/>
        </w:rPr>
        <w:t>a</w:t>
      </w:r>
      <w:r w:rsidR="00FF32D0" w:rsidRPr="00CE02BD">
        <w:rPr>
          <w:rFonts w:ascii="Book Antiqua" w:hAnsi="Book Antiqua"/>
          <w:sz w:val="24"/>
          <w:szCs w:val="24"/>
          <w:lang w:val="en-US"/>
        </w:rPr>
        <w:t xml:space="preserve"> recent</w:t>
      </w:r>
      <w:r w:rsidR="00A70354" w:rsidRPr="00CE02BD">
        <w:rPr>
          <w:rFonts w:ascii="Book Antiqua" w:hAnsi="Book Antiqua"/>
          <w:sz w:val="24"/>
          <w:szCs w:val="24"/>
          <w:lang w:val="en-US"/>
        </w:rPr>
        <w:t xml:space="preserve"> Australian multicenter study of IBD outpatient </w:t>
      </w:r>
      <w:proofErr w:type="gramStart"/>
      <w:r w:rsidR="00A70354" w:rsidRPr="00CE02BD">
        <w:rPr>
          <w:rFonts w:ascii="Book Antiqua" w:hAnsi="Book Antiqua"/>
          <w:sz w:val="24"/>
          <w:szCs w:val="24"/>
          <w:lang w:val="en-US"/>
        </w:rPr>
        <w:t>services</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80]</w:t>
      </w:r>
      <w:r w:rsidR="00A70354" w:rsidRPr="00CE02BD">
        <w:rPr>
          <w:rFonts w:ascii="Book Antiqua" w:hAnsi="Book Antiqua"/>
          <w:sz w:val="24"/>
          <w:szCs w:val="24"/>
          <w:lang w:val="en-US"/>
        </w:rPr>
        <w:t>.</w:t>
      </w:r>
      <w:r w:rsidR="00286746" w:rsidRPr="00CE02BD">
        <w:rPr>
          <w:rFonts w:ascii="Book Antiqua" w:hAnsi="Book Antiqua"/>
          <w:sz w:val="24"/>
          <w:szCs w:val="24"/>
          <w:vertAlign w:val="superscript"/>
          <w:lang w:val="en-US"/>
        </w:rPr>
        <w:t xml:space="preserve"> </w:t>
      </w:r>
      <w:r w:rsidR="00286746" w:rsidRPr="00CE02BD">
        <w:rPr>
          <w:rFonts w:ascii="Book Antiqua" w:hAnsi="Book Antiqua"/>
          <w:sz w:val="24"/>
          <w:szCs w:val="24"/>
          <w:lang w:val="en-US"/>
        </w:rPr>
        <w:t>In the same study, a clinician survey was performed showing that</w:t>
      </w:r>
      <w:r w:rsidR="00FF32D0" w:rsidRPr="00CE02BD">
        <w:rPr>
          <w:rFonts w:ascii="Book Antiqua" w:hAnsi="Book Antiqua"/>
          <w:sz w:val="24"/>
          <w:szCs w:val="24"/>
          <w:lang w:val="en-US"/>
        </w:rPr>
        <w:t xml:space="preserve"> 80% of respondents had heard of the ‘</w:t>
      </w:r>
      <w:r w:rsidR="008D6775" w:rsidRPr="00CE02BD">
        <w:rPr>
          <w:rFonts w:ascii="Book Antiqua" w:hAnsi="Book Antiqua"/>
          <w:sz w:val="24"/>
          <w:szCs w:val="24"/>
          <w:lang w:val="en-US"/>
        </w:rPr>
        <w:t>treat-to-</w:t>
      </w:r>
      <w:r w:rsidR="00FF32D0" w:rsidRPr="00CE02BD">
        <w:rPr>
          <w:rFonts w:ascii="Book Antiqua" w:hAnsi="Book Antiqua"/>
          <w:sz w:val="24"/>
          <w:szCs w:val="24"/>
          <w:lang w:val="en-US"/>
        </w:rPr>
        <w:t>target’ concept, 61% were familiar with the recommendations, but only 64% considered it relevant to local clinical practice.</w:t>
      </w:r>
    </w:p>
    <w:p w14:paraId="52545D4F" w14:textId="59F1A018" w:rsidR="00265E48" w:rsidRPr="00CE02BD" w:rsidRDefault="008A7FAF"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It is important for individual IBD centers to assess and measure local therapeutic strategies and processes, </w:t>
      </w:r>
      <w:r w:rsidR="008C279E" w:rsidRPr="00CE02BD">
        <w:rPr>
          <w:rFonts w:ascii="Book Antiqua" w:hAnsi="Book Antiqua"/>
          <w:sz w:val="24"/>
          <w:szCs w:val="24"/>
          <w:lang w:val="en-US"/>
        </w:rPr>
        <w:t xml:space="preserve">and evaluate </w:t>
      </w:r>
      <w:r w:rsidRPr="00CE02BD">
        <w:rPr>
          <w:rFonts w:ascii="Book Antiqua" w:hAnsi="Book Antiqua"/>
          <w:sz w:val="24"/>
          <w:szCs w:val="24"/>
          <w:lang w:val="en-US"/>
        </w:rPr>
        <w:t>whether they are in concordance with current</w:t>
      </w:r>
      <w:r w:rsidR="008C279E" w:rsidRPr="00CE02BD">
        <w:rPr>
          <w:rFonts w:ascii="Book Antiqua" w:hAnsi="Book Antiqua"/>
          <w:sz w:val="24"/>
          <w:szCs w:val="24"/>
          <w:lang w:val="en-US"/>
        </w:rPr>
        <w:t xml:space="preserve"> </w:t>
      </w:r>
      <w:r w:rsidRPr="00CE02BD">
        <w:rPr>
          <w:rFonts w:ascii="Book Antiqua" w:hAnsi="Book Antiqua"/>
          <w:sz w:val="24"/>
          <w:szCs w:val="24"/>
          <w:lang w:val="en-US"/>
        </w:rPr>
        <w:t xml:space="preserve">expert recommendations and consensus Quality of Care </w:t>
      </w:r>
      <w:proofErr w:type="gramStart"/>
      <w:r w:rsidRPr="00CE02BD">
        <w:rPr>
          <w:rFonts w:ascii="Book Antiqua" w:hAnsi="Book Antiqua"/>
          <w:sz w:val="24"/>
          <w:szCs w:val="24"/>
          <w:lang w:val="en-US"/>
        </w:rPr>
        <w:t>standards</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81,82]</w:t>
      </w:r>
      <w:r w:rsidR="00B01B18" w:rsidRPr="00CE02BD">
        <w:rPr>
          <w:rFonts w:ascii="Book Antiqua" w:hAnsi="Book Antiqua"/>
          <w:sz w:val="24"/>
          <w:szCs w:val="24"/>
          <w:lang w:val="en-US"/>
        </w:rPr>
        <w:t>.</w:t>
      </w:r>
      <w:r w:rsidR="00B32AEA" w:rsidRPr="00CE02BD">
        <w:rPr>
          <w:rFonts w:ascii="Book Antiqua" w:hAnsi="Book Antiqua"/>
          <w:sz w:val="24"/>
          <w:szCs w:val="24"/>
          <w:vertAlign w:val="superscript"/>
          <w:lang w:val="en-US"/>
        </w:rPr>
        <w:t xml:space="preserve"> </w:t>
      </w:r>
      <w:r w:rsidR="008C279E" w:rsidRPr="00CE02BD">
        <w:rPr>
          <w:rFonts w:ascii="Book Antiqua" w:hAnsi="Book Antiqua"/>
          <w:sz w:val="24"/>
          <w:szCs w:val="24"/>
          <w:lang w:val="en-US"/>
        </w:rPr>
        <w:t xml:space="preserve">A study by Reinglas </w:t>
      </w:r>
      <w:r w:rsidR="00967F41" w:rsidRPr="00CE02BD">
        <w:rPr>
          <w:rFonts w:ascii="Book Antiqua" w:hAnsi="Book Antiqua"/>
          <w:i/>
          <w:sz w:val="24"/>
          <w:szCs w:val="24"/>
          <w:lang w:val="en-US"/>
        </w:rPr>
        <w:t xml:space="preserve">et </w:t>
      </w:r>
      <w:proofErr w:type="gramStart"/>
      <w:r w:rsidR="00967F41" w:rsidRPr="00CE02BD">
        <w:rPr>
          <w:rFonts w:ascii="Book Antiqua" w:hAnsi="Book Antiqua"/>
          <w:i/>
          <w:sz w:val="24"/>
          <w:szCs w:val="24"/>
          <w:lang w:val="en-US"/>
        </w:rPr>
        <w:t>al</w:t>
      </w:r>
      <w:r w:rsidR="003F4843" w:rsidRPr="00CE02BD">
        <w:rPr>
          <w:rFonts w:ascii="Book Antiqua" w:hAnsi="Book Antiqua"/>
          <w:sz w:val="24"/>
          <w:szCs w:val="24"/>
          <w:vertAlign w:val="superscript"/>
          <w:lang w:val="en-US"/>
        </w:rPr>
        <w:t>[</w:t>
      </w:r>
      <w:proofErr w:type="gramEnd"/>
      <w:r w:rsidR="003F4843" w:rsidRPr="00CE02BD">
        <w:rPr>
          <w:rFonts w:ascii="Book Antiqua" w:hAnsi="Book Antiqua"/>
          <w:sz w:val="24"/>
          <w:szCs w:val="24"/>
          <w:vertAlign w:val="superscript"/>
          <w:lang w:val="en-US"/>
        </w:rPr>
        <w:t>83]</w:t>
      </w:r>
      <w:r w:rsidR="008C279E" w:rsidRPr="00CE02BD">
        <w:rPr>
          <w:rFonts w:ascii="Book Antiqua" w:hAnsi="Book Antiqua"/>
          <w:sz w:val="24"/>
          <w:szCs w:val="24"/>
          <w:lang w:val="en-US"/>
        </w:rPr>
        <w:t xml:space="preserve"> is one of the few reporting a detailed assessment of </w:t>
      </w:r>
      <w:r w:rsidR="00807079" w:rsidRPr="00CE02BD">
        <w:rPr>
          <w:rFonts w:ascii="Book Antiqua" w:hAnsi="Book Antiqua"/>
          <w:sz w:val="24"/>
          <w:szCs w:val="24"/>
          <w:lang w:val="en-US"/>
        </w:rPr>
        <w:t xml:space="preserve">patient </w:t>
      </w:r>
      <w:r w:rsidR="00B01B18" w:rsidRPr="00CE02BD">
        <w:rPr>
          <w:rFonts w:ascii="Book Antiqua" w:hAnsi="Book Antiqua"/>
          <w:sz w:val="24"/>
          <w:szCs w:val="24"/>
          <w:lang w:val="en-US"/>
        </w:rPr>
        <w:t>evaluation</w:t>
      </w:r>
      <w:r w:rsidR="00807079" w:rsidRPr="00CE02BD">
        <w:rPr>
          <w:rFonts w:ascii="Book Antiqua" w:hAnsi="Book Antiqua"/>
          <w:sz w:val="24"/>
          <w:szCs w:val="24"/>
          <w:lang w:val="en-US"/>
        </w:rPr>
        <w:t xml:space="preserve"> strategies, disease monitoring, treatment decisions, disease-related outcomes</w:t>
      </w:r>
      <w:r w:rsidR="00F04691" w:rsidRPr="00CE02BD">
        <w:rPr>
          <w:rFonts w:ascii="Book Antiqua" w:hAnsi="Book Antiqua"/>
          <w:sz w:val="24"/>
          <w:szCs w:val="24"/>
          <w:lang w:val="en-US"/>
        </w:rPr>
        <w:t xml:space="preserve"> </w:t>
      </w:r>
      <w:r w:rsidR="00B01B18" w:rsidRPr="00CE02BD">
        <w:rPr>
          <w:rFonts w:ascii="Book Antiqua" w:hAnsi="Book Antiqua"/>
          <w:sz w:val="24"/>
          <w:szCs w:val="24"/>
          <w:lang w:val="en-US"/>
        </w:rPr>
        <w:t>from a tertiary care IBD center</w:t>
      </w:r>
      <w:r w:rsidR="00265E48" w:rsidRPr="00CE02BD">
        <w:rPr>
          <w:rFonts w:ascii="Book Antiqua" w:hAnsi="Book Antiqua"/>
          <w:sz w:val="24"/>
          <w:szCs w:val="24"/>
          <w:lang w:val="en-US"/>
        </w:rPr>
        <w:t xml:space="preserve"> in </w:t>
      </w:r>
      <w:r w:rsidR="00F04691" w:rsidRPr="00CE02BD">
        <w:rPr>
          <w:rFonts w:ascii="Book Antiqua" w:hAnsi="Book Antiqua"/>
          <w:sz w:val="24"/>
          <w:szCs w:val="24"/>
          <w:lang w:val="en-US"/>
        </w:rPr>
        <w:t>Canada</w:t>
      </w:r>
      <w:r w:rsidR="00B01B18" w:rsidRPr="00CE02BD">
        <w:rPr>
          <w:rFonts w:ascii="Book Antiqua" w:hAnsi="Book Antiqua"/>
          <w:sz w:val="24"/>
          <w:szCs w:val="24"/>
          <w:lang w:val="en-US"/>
        </w:rPr>
        <w:t>.</w:t>
      </w:r>
      <w:r w:rsidR="00B32AEA" w:rsidRPr="00CE02BD">
        <w:rPr>
          <w:rFonts w:ascii="Book Antiqua" w:hAnsi="Book Antiqua"/>
          <w:sz w:val="24"/>
          <w:szCs w:val="24"/>
          <w:lang w:val="en-US"/>
        </w:rPr>
        <w:t xml:space="preserve"> Results </w:t>
      </w:r>
      <w:r w:rsidR="00265E48" w:rsidRPr="00CE02BD">
        <w:rPr>
          <w:rFonts w:ascii="Book Antiqua" w:hAnsi="Book Antiqua"/>
          <w:sz w:val="24"/>
          <w:szCs w:val="24"/>
          <w:lang w:val="en-US"/>
        </w:rPr>
        <w:t xml:space="preserve">confirmed the application of </w:t>
      </w:r>
      <w:r w:rsidR="00DA2824" w:rsidRPr="00CE02BD">
        <w:rPr>
          <w:rFonts w:ascii="Book Antiqua" w:hAnsi="Book Antiqua"/>
          <w:sz w:val="24"/>
          <w:szCs w:val="24"/>
          <w:lang w:val="en-US"/>
        </w:rPr>
        <w:t>objective patient re-evaluation and moni</w:t>
      </w:r>
      <w:r w:rsidR="00265E48" w:rsidRPr="00CE02BD">
        <w:rPr>
          <w:rFonts w:ascii="Book Antiqua" w:hAnsi="Book Antiqua"/>
          <w:sz w:val="24"/>
          <w:szCs w:val="24"/>
          <w:lang w:val="en-US"/>
        </w:rPr>
        <w:t>toring</w:t>
      </w:r>
      <w:r w:rsidR="00171A09" w:rsidRPr="00CE02BD">
        <w:rPr>
          <w:rFonts w:ascii="Book Antiqua" w:hAnsi="Book Antiqua"/>
          <w:sz w:val="24"/>
          <w:szCs w:val="24"/>
          <w:lang w:val="en-US"/>
        </w:rPr>
        <w:t xml:space="preserve"> (ileocolonoscopy or colonoscopy was performed in 79% of all IBD patients within the past 2 years from a chosen time point)</w:t>
      </w:r>
      <w:r w:rsidR="00265E48" w:rsidRPr="00CE02BD">
        <w:rPr>
          <w:rFonts w:ascii="Book Antiqua" w:hAnsi="Book Antiqua"/>
          <w:sz w:val="24"/>
          <w:szCs w:val="24"/>
          <w:lang w:val="en-US"/>
        </w:rPr>
        <w:t>, timely access to diagnostic procedures and accelerated treat</w:t>
      </w:r>
      <w:r w:rsidR="00DA2824" w:rsidRPr="00CE02BD">
        <w:rPr>
          <w:rFonts w:ascii="Book Antiqua" w:hAnsi="Book Antiqua"/>
          <w:sz w:val="24"/>
          <w:szCs w:val="24"/>
          <w:lang w:val="en-US"/>
        </w:rPr>
        <w:t>ment pathways.</w:t>
      </w:r>
      <w:r w:rsidR="00171A09" w:rsidRPr="00CE02BD">
        <w:rPr>
          <w:rFonts w:ascii="Book Antiqua" w:hAnsi="Book Antiqua"/>
          <w:sz w:val="24"/>
          <w:szCs w:val="24"/>
          <w:lang w:val="en-US"/>
        </w:rPr>
        <w:t xml:space="preserve"> Another example for the application of tight </w:t>
      </w:r>
      <w:r w:rsidR="00304C56" w:rsidRPr="00CE02BD">
        <w:rPr>
          <w:rFonts w:ascii="Book Antiqua" w:hAnsi="Book Antiqua"/>
          <w:sz w:val="24"/>
          <w:szCs w:val="24"/>
          <w:lang w:val="en-US"/>
        </w:rPr>
        <w:t>control</w:t>
      </w:r>
      <w:r w:rsidR="00171A09" w:rsidRPr="00CE02BD">
        <w:rPr>
          <w:rFonts w:ascii="Book Antiqua" w:hAnsi="Book Antiqua"/>
          <w:sz w:val="24"/>
          <w:szCs w:val="24"/>
          <w:lang w:val="en-US"/>
        </w:rPr>
        <w:t xml:space="preserve"> strategies is from Hungary, where a </w:t>
      </w:r>
      <w:r w:rsidR="00304C56" w:rsidRPr="00CE02BD">
        <w:rPr>
          <w:rFonts w:ascii="Book Antiqua" w:hAnsi="Book Antiqua"/>
          <w:sz w:val="24"/>
          <w:szCs w:val="24"/>
          <w:lang w:val="en-US"/>
        </w:rPr>
        <w:t xml:space="preserve">harmonized </w:t>
      </w:r>
      <w:r w:rsidR="00171A09" w:rsidRPr="00CE02BD">
        <w:rPr>
          <w:rFonts w:ascii="Book Antiqua" w:hAnsi="Book Antiqua"/>
          <w:sz w:val="24"/>
          <w:szCs w:val="24"/>
          <w:lang w:val="en-US"/>
        </w:rPr>
        <w:t xml:space="preserve">monitoring strategy is mandatory </w:t>
      </w:r>
      <w:r w:rsidR="00304C56" w:rsidRPr="00CE02BD">
        <w:rPr>
          <w:rFonts w:ascii="Book Antiqua" w:hAnsi="Book Antiqua"/>
          <w:sz w:val="24"/>
          <w:szCs w:val="24"/>
          <w:lang w:val="en-US"/>
        </w:rPr>
        <w:t xml:space="preserve">with serial clinical (CDAI and pMayo scores) and laboratory (CBC and CRP) assessments </w:t>
      </w:r>
      <w:r w:rsidR="00553C6A" w:rsidRPr="00CE02BD">
        <w:rPr>
          <w:rFonts w:ascii="Book Antiqua" w:hAnsi="Book Antiqua"/>
          <w:sz w:val="24"/>
          <w:szCs w:val="24"/>
          <w:lang w:val="en-US"/>
        </w:rPr>
        <w:t xml:space="preserve">reported </w:t>
      </w:r>
      <w:r w:rsidR="00304C56" w:rsidRPr="00CE02BD">
        <w:rPr>
          <w:rFonts w:ascii="Book Antiqua" w:hAnsi="Book Antiqua"/>
          <w:sz w:val="24"/>
          <w:szCs w:val="24"/>
          <w:lang w:val="en-US"/>
        </w:rPr>
        <w:t xml:space="preserve">every 3 </w:t>
      </w:r>
      <w:r w:rsidR="00583505" w:rsidRPr="00CE02BD">
        <w:rPr>
          <w:rFonts w:ascii="Book Antiqua" w:hAnsi="Book Antiqua"/>
          <w:sz w:val="24"/>
          <w:szCs w:val="24"/>
          <w:lang w:val="en-US"/>
        </w:rPr>
        <w:t>mo</w:t>
      </w:r>
      <w:r w:rsidR="00304C56" w:rsidRPr="00CE02BD">
        <w:rPr>
          <w:rFonts w:ascii="Book Antiqua" w:hAnsi="Book Antiqua"/>
          <w:sz w:val="24"/>
          <w:szCs w:val="24"/>
          <w:lang w:val="en-US"/>
        </w:rPr>
        <w:t xml:space="preserve"> </w:t>
      </w:r>
      <w:r w:rsidR="00171A09" w:rsidRPr="00CE02BD">
        <w:rPr>
          <w:rFonts w:ascii="Book Antiqua" w:hAnsi="Book Antiqua"/>
          <w:sz w:val="24"/>
          <w:szCs w:val="24"/>
          <w:lang w:val="en-US"/>
        </w:rPr>
        <w:t>as requested by</w:t>
      </w:r>
      <w:r w:rsidR="00304C56" w:rsidRPr="00CE02BD">
        <w:rPr>
          <w:rFonts w:ascii="Book Antiqua" w:hAnsi="Book Antiqua"/>
          <w:sz w:val="24"/>
          <w:szCs w:val="24"/>
          <w:lang w:val="en-US"/>
        </w:rPr>
        <w:t xml:space="preserve"> </w:t>
      </w:r>
      <w:r w:rsidR="00171A09" w:rsidRPr="00CE02BD">
        <w:rPr>
          <w:rFonts w:ascii="Book Antiqua" w:hAnsi="Book Antiqua"/>
          <w:sz w:val="24"/>
          <w:szCs w:val="24"/>
          <w:lang w:val="en-US"/>
        </w:rPr>
        <w:t>the Hungarian National Health Fund</w:t>
      </w:r>
      <w:r w:rsidR="00304C56" w:rsidRPr="00CE02BD">
        <w:rPr>
          <w:rFonts w:ascii="Book Antiqua" w:hAnsi="Book Antiqua"/>
          <w:sz w:val="24"/>
          <w:szCs w:val="24"/>
          <w:lang w:val="en-US"/>
        </w:rPr>
        <w:t xml:space="preserve"> for patients receiving biologic </w:t>
      </w:r>
      <w:proofErr w:type="gramStart"/>
      <w:r w:rsidR="00304C56" w:rsidRPr="00CE02BD">
        <w:rPr>
          <w:rFonts w:ascii="Book Antiqua" w:hAnsi="Book Antiqua"/>
          <w:sz w:val="24"/>
          <w:szCs w:val="24"/>
          <w:lang w:val="en-US"/>
        </w:rPr>
        <w:t>therapies</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84]</w:t>
      </w:r>
      <w:r w:rsidR="00304C56" w:rsidRPr="00CE02BD">
        <w:rPr>
          <w:rFonts w:ascii="Book Antiqua" w:hAnsi="Book Antiqua"/>
          <w:sz w:val="24"/>
          <w:szCs w:val="24"/>
          <w:lang w:val="en-US"/>
        </w:rPr>
        <w:t>.</w:t>
      </w:r>
    </w:p>
    <w:p w14:paraId="669FD03D" w14:textId="1DD4D9B7" w:rsidR="009C2DB2" w:rsidRPr="00CE02BD" w:rsidRDefault="00B819D0"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lastRenderedPageBreak/>
        <w:t xml:space="preserve">A </w:t>
      </w:r>
      <w:r w:rsidR="009C2DB2" w:rsidRPr="00CE02BD">
        <w:rPr>
          <w:rFonts w:ascii="Book Antiqua" w:hAnsi="Book Antiqua"/>
          <w:sz w:val="24"/>
          <w:szCs w:val="24"/>
          <w:lang w:val="en-US"/>
        </w:rPr>
        <w:t>properly working platform for rapid patient access (in case of flare</w:t>
      </w:r>
      <w:r w:rsidRPr="00CE02BD">
        <w:rPr>
          <w:rFonts w:ascii="Book Antiqua" w:hAnsi="Book Antiqua"/>
          <w:sz w:val="24"/>
          <w:szCs w:val="24"/>
          <w:lang w:val="en-US"/>
        </w:rPr>
        <w:t xml:space="preserve"> or other IBD related emergency situations</w:t>
      </w:r>
      <w:r w:rsidR="009C2DB2" w:rsidRPr="00CE02BD">
        <w:rPr>
          <w:rFonts w:ascii="Book Antiqua" w:hAnsi="Book Antiqua"/>
          <w:sz w:val="24"/>
          <w:szCs w:val="24"/>
          <w:lang w:val="en-US"/>
        </w:rPr>
        <w:t xml:space="preserve">) </w:t>
      </w:r>
      <w:r w:rsidRPr="00CE02BD">
        <w:rPr>
          <w:rFonts w:ascii="Book Antiqua" w:hAnsi="Book Antiqua"/>
          <w:sz w:val="24"/>
          <w:szCs w:val="24"/>
          <w:lang w:val="en-US"/>
        </w:rPr>
        <w:t xml:space="preserve">is </w:t>
      </w:r>
      <w:r w:rsidR="009C2DB2" w:rsidRPr="00CE02BD">
        <w:rPr>
          <w:rFonts w:ascii="Book Antiqua" w:hAnsi="Book Antiqua"/>
          <w:sz w:val="24"/>
          <w:szCs w:val="24"/>
          <w:lang w:val="en-US"/>
        </w:rPr>
        <w:t>equally important in the framework of ‘tight control’</w:t>
      </w:r>
      <w:r w:rsidR="00983CA4" w:rsidRPr="00CE02BD">
        <w:rPr>
          <w:rFonts w:ascii="Book Antiqua" w:hAnsi="Book Antiqua"/>
          <w:sz w:val="24"/>
          <w:szCs w:val="24"/>
          <w:lang w:val="en-US"/>
        </w:rPr>
        <w:t xml:space="preserve"> management. </w:t>
      </w:r>
      <w:r w:rsidR="008B5D8E" w:rsidRPr="00CE02BD">
        <w:rPr>
          <w:rFonts w:ascii="Book Antiqua" w:hAnsi="Book Antiqua"/>
          <w:sz w:val="24"/>
          <w:szCs w:val="24"/>
          <w:lang w:val="en-US"/>
        </w:rPr>
        <w:t xml:space="preserve">A special emphasis on providing rapid patient access could potentially help avoiding undesirable outcomes such as steroid dependency, frequent Emergency Department (ED) visits or emergency hospitalizations/surgeries. Several data show that </w:t>
      </w:r>
      <w:r w:rsidR="009E3091" w:rsidRPr="00CE02BD">
        <w:rPr>
          <w:rFonts w:ascii="Book Antiqua" w:hAnsi="Book Antiqua"/>
          <w:sz w:val="24"/>
          <w:szCs w:val="24"/>
          <w:lang w:val="en-US"/>
        </w:rPr>
        <w:t xml:space="preserve">inadequate </w:t>
      </w:r>
      <w:r w:rsidR="008B5D8E" w:rsidRPr="00CE02BD">
        <w:rPr>
          <w:rFonts w:ascii="Book Antiqua" w:hAnsi="Book Antiqua"/>
          <w:sz w:val="24"/>
          <w:szCs w:val="24"/>
          <w:lang w:val="en-US"/>
        </w:rPr>
        <w:t xml:space="preserve">‘patient access’ to treating physician or healthcare services </w:t>
      </w:r>
      <w:r w:rsidR="009E3091" w:rsidRPr="00CE02BD">
        <w:rPr>
          <w:rFonts w:ascii="Book Antiqua" w:hAnsi="Book Antiqua"/>
          <w:sz w:val="24"/>
          <w:szCs w:val="24"/>
          <w:lang w:val="en-US"/>
        </w:rPr>
        <w:t xml:space="preserve">is </w:t>
      </w:r>
      <w:r w:rsidR="008B5D8E" w:rsidRPr="00CE02BD">
        <w:rPr>
          <w:rFonts w:ascii="Book Antiqua" w:hAnsi="Book Antiqua"/>
          <w:sz w:val="24"/>
          <w:szCs w:val="24"/>
          <w:lang w:val="en-US"/>
        </w:rPr>
        <w:t xml:space="preserve">frequently </w:t>
      </w:r>
      <w:r w:rsidR="009E3091" w:rsidRPr="00CE02BD">
        <w:rPr>
          <w:rFonts w:ascii="Book Antiqua" w:hAnsi="Book Antiqua"/>
          <w:sz w:val="24"/>
          <w:szCs w:val="24"/>
          <w:lang w:val="en-US"/>
        </w:rPr>
        <w:t>a source of</w:t>
      </w:r>
      <w:r w:rsidR="008B5D8E" w:rsidRPr="00CE02BD">
        <w:rPr>
          <w:rFonts w:ascii="Book Antiqua" w:hAnsi="Book Antiqua"/>
          <w:sz w:val="24"/>
          <w:szCs w:val="24"/>
          <w:lang w:val="en-US"/>
        </w:rPr>
        <w:t xml:space="preserve"> </w:t>
      </w:r>
      <w:r w:rsidR="009E3091" w:rsidRPr="00CE02BD">
        <w:rPr>
          <w:rFonts w:ascii="Book Antiqua" w:hAnsi="Book Antiqua"/>
          <w:sz w:val="24"/>
          <w:szCs w:val="24"/>
          <w:lang w:val="en-US"/>
        </w:rPr>
        <w:t>dis</w:t>
      </w:r>
      <w:r w:rsidR="008B5D8E" w:rsidRPr="00CE02BD">
        <w:rPr>
          <w:rFonts w:ascii="Book Antiqua" w:hAnsi="Book Antiqua"/>
          <w:sz w:val="24"/>
          <w:szCs w:val="24"/>
          <w:lang w:val="en-US"/>
        </w:rPr>
        <w:t xml:space="preserve">satisfaction </w:t>
      </w:r>
      <w:r w:rsidR="009E3091" w:rsidRPr="00CE02BD">
        <w:rPr>
          <w:rFonts w:ascii="Book Antiqua" w:hAnsi="Book Antiqua"/>
          <w:sz w:val="24"/>
          <w:szCs w:val="24"/>
          <w:lang w:val="en-US"/>
        </w:rPr>
        <w:t xml:space="preserve">among </w:t>
      </w:r>
      <w:proofErr w:type="gramStart"/>
      <w:r w:rsidR="009E3091" w:rsidRPr="00CE02BD">
        <w:rPr>
          <w:rFonts w:ascii="Book Antiqua" w:hAnsi="Book Antiqua"/>
          <w:sz w:val="24"/>
          <w:szCs w:val="24"/>
          <w:lang w:val="en-US"/>
        </w:rPr>
        <w:t>patients</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85]</w:t>
      </w:r>
      <w:r w:rsidR="008B5D8E" w:rsidRPr="00CE02BD">
        <w:rPr>
          <w:rFonts w:ascii="Book Antiqua" w:hAnsi="Book Antiqua"/>
          <w:sz w:val="24"/>
          <w:szCs w:val="24"/>
          <w:lang w:val="en-US"/>
        </w:rPr>
        <w:t>.</w:t>
      </w:r>
      <w:r w:rsidR="009E3091" w:rsidRPr="00CE02BD">
        <w:rPr>
          <w:rFonts w:ascii="Book Antiqua" w:hAnsi="Book Antiqua"/>
          <w:sz w:val="24"/>
          <w:szCs w:val="24"/>
          <w:vertAlign w:val="superscript"/>
          <w:lang w:val="en-US"/>
        </w:rPr>
        <w:t xml:space="preserve"> </w:t>
      </w:r>
      <w:r w:rsidR="00983CA4" w:rsidRPr="00CE02BD">
        <w:rPr>
          <w:rFonts w:ascii="Book Antiqua" w:hAnsi="Book Antiqua"/>
          <w:sz w:val="24"/>
          <w:szCs w:val="24"/>
          <w:lang w:val="en-US"/>
        </w:rPr>
        <w:t>Our group performed a detailed analysis of patient access, diagnostic procedures, resource utilization</w:t>
      </w:r>
      <w:r w:rsidR="003F4843" w:rsidRPr="00CE02BD">
        <w:rPr>
          <w:rFonts w:ascii="Book Antiqua" w:hAnsi="Book Antiqua"/>
          <w:sz w:val="24"/>
          <w:szCs w:val="24"/>
          <w:lang w:val="en-US"/>
        </w:rPr>
        <w:t>,</w:t>
      </w:r>
      <w:r w:rsidR="00983CA4" w:rsidRPr="00CE02BD">
        <w:rPr>
          <w:rFonts w:ascii="Book Antiqua" w:hAnsi="Book Antiqua"/>
          <w:sz w:val="24"/>
          <w:szCs w:val="24"/>
          <w:lang w:val="en-US"/>
        </w:rPr>
        <w:t xml:space="preserve"> and outcome parameters after the implementation of a new Rapid Access Clinic</w:t>
      </w:r>
      <w:r w:rsidR="00397CC0" w:rsidRPr="00CE02BD">
        <w:rPr>
          <w:rFonts w:ascii="Book Antiqua" w:hAnsi="Book Antiqua"/>
          <w:sz w:val="24"/>
          <w:szCs w:val="24"/>
          <w:lang w:val="en-US"/>
        </w:rPr>
        <w:t xml:space="preserve"> </w:t>
      </w:r>
      <w:r w:rsidR="00983CA4" w:rsidRPr="00CE02BD">
        <w:rPr>
          <w:rFonts w:ascii="Book Antiqua" w:hAnsi="Book Antiqua"/>
          <w:sz w:val="24"/>
          <w:szCs w:val="24"/>
          <w:lang w:val="en-US"/>
        </w:rPr>
        <w:t xml:space="preserve">service at the McGill University Health Centre tertiary care IBD center. </w:t>
      </w:r>
      <w:r w:rsidR="00020467" w:rsidRPr="00CE02BD">
        <w:rPr>
          <w:rFonts w:ascii="Book Antiqua" w:hAnsi="Book Antiqua"/>
          <w:sz w:val="24"/>
          <w:szCs w:val="24"/>
          <w:lang w:val="en-US"/>
        </w:rPr>
        <w:t>Patients presenting with flare had a fast-track clinical and biomarker evaluation (CRP and FCAL measured in 91% and 73%) within a median of 2 d. Patient evaluations by an IBD specialist instead of the ED services led to a more optimal re</w:t>
      </w:r>
      <w:r w:rsidR="00CF1949" w:rsidRPr="00CE02BD">
        <w:rPr>
          <w:rFonts w:ascii="Book Antiqua" w:hAnsi="Book Antiqua"/>
          <w:sz w:val="24"/>
          <w:szCs w:val="24"/>
          <w:lang w:val="en-US"/>
        </w:rPr>
        <w:t>source utilization (fewer cross-</w:t>
      </w:r>
      <w:r w:rsidR="00020467" w:rsidRPr="00CE02BD">
        <w:rPr>
          <w:rFonts w:ascii="Book Antiqua" w:hAnsi="Book Antiqua"/>
          <w:sz w:val="24"/>
          <w:szCs w:val="24"/>
          <w:lang w:val="en-US"/>
        </w:rPr>
        <w:t>sectional imaging and fewer hospitalizations) in the majority of cases</w:t>
      </w:r>
      <w:r w:rsidR="00583505" w:rsidRPr="00CE02BD">
        <w:rPr>
          <w:rFonts w:ascii="Book Antiqua" w:hAnsi="Book Antiqua"/>
          <w:sz w:val="24"/>
          <w:szCs w:val="24"/>
          <w:vertAlign w:val="superscript"/>
          <w:lang w:val="en-US"/>
        </w:rPr>
        <w:t>[86]</w:t>
      </w:r>
      <w:r w:rsidR="00020467" w:rsidRPr="00CE02BD">
        <w:rPr>
          <w:rFonts w:ascii="Book Antiqua" w:hAnsi="Book Antiqua"/>
          <w:sz w:val="24"/>
          <w:szCs w:val="24"/>
          <w:lang w:val="en-US"/>
        </w:rPr>
        <w:t>.</w:t>
      </w:r>
    </w:p>
    <w:p w14:paraId="2DBA8A9C" w14:textId="28B5E8B1" w:rsidR="00B819D0" w:rsidRPr="00CE02BD" w:rsidRDefault="00F86CA5"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Targeting MH as treatment endpoint and the tight control strategies may result in </w:t>
      </w:r>
      <w:r w:rsidR="008B5EC4" w:rsidRPr="00CE02BD">
        <w:rPr>
          <w:rFonts w:ascii="Book Antiqua" w:hAnsi="Book Antiqua"/>
          <w:sz w:val="24"/>
          <w:szCs w:val="24"/>
          <w:lang w:val="en-US"/>
        </w:rPr>
        <w:t xml:space="preserve">a potential </w:t>
      </w:r>
      <w:r w:rsidRPr="00CE02BD">
        <w:rPr>
          <w:rFonts w:ascii="Book Antiqua" w:hAnsi="Book Antiqua"/>
          <w:sz w:val="24"/>
          <w:szCs w:val="24"/>
          <w:lang w:val="en-US"/>
        </w:rPr>
        <w:t xml:space="preserve">increase in healthcare costs because of the more frequent use of diagnostic procedures and services and </w:t>
      </w:r>
      <w:r w:rsidR="00D92D7A" w:rsidRPr="00CE02BD">
        <w:rPr>
          <w:rFonts w:ascii="Book Antiqua" w:hAnsi="Book Antiqua"/>
          <w:sz w:val="24"/>
          <w:szCs w:val="24"/>
          <w:lang w:val="en-US"/>
        </w:rPr>
        <w:t>more importantly the increased rate of</w:t>
      </w:r>
      <w:r w:rsidRPr="00CE02BD">
        <w:rPr>
          <w:rFonts w:ascii="Book Antiqua" w:hAnsi="Book Antiqua"/>
          <w:sz w:val="24"/>
          <w:szCs w:val="24"/>
          <w:lang w:val="en-US"/>
        </w:rPr>
        <w:t xml:space="preserve"> therapy escalations</w:t>
      </w:r>
      <w:r w:rsidR="00D92D7A" w:rsidRPr="00CE02BD">
        <w:rPr>
          <w:rFonts w:ascii="Book Antiqua" w:hAnsi="Book Antiqua"/>
          <w:sz w:val="24"/>
          <w:szCs w:val="24"/>
          <w:lang w:val="en-US"/>
        </w:rPr>
        <w:t xml:space="preserve"> (dose intensification of biologics)</w:t>
      </w:r>
      <w:r w:rsidRPr="00CE02BD">
        <w:rPr>
          <w:rFonts w:ascii="Book Antiqua" w:hAnsi="Book Antiqua"/>
          <w:sz w:val="24"/>
          <w:szCs w:val="24"/>
          <w:lang w:val="en-US"/>
        </w:rPr>
        <w:t xml:space="preserve">. Whether these additional costs could be balanced by the reduction of other healthcare expenditures associated with the long-term remission </w:t>
      </w:r>
      <w:r w:rsidR="00EF0919" w:rsidRPr="00CE02BD">
        <w:rPr>
          <w:rFonts w:ascii="Book Antiqua" w:hAnsi="Book Antiqua"/>
          <w:sz w:val="24"/>
          <w:szCs w:val="24"/>
          <w:lang w:val="en-US"/>
        </w:rPr>
        <w:t>could</w:t>
      </w:r>
      <w:r w:rsidR="007C4FC6" w:rsidRPr="00CE02BD">
        <w:rPr>
          <w:rFonts w:ascii="Book Antiqua" w:hAnsi="Book Antiqua"/>
          <w:sz w:val="24"/>
          <w:szCs w:val="24"/>
          <w:lang w:val="en-US"/>
        </w:rPr>
        <w:t xml:space="preserve"> also have major </w:t>
      </w:r>
      <w:r w:rsidR="00EF0919" w:rsidRPr="00CE02BD">
        <w:rPr>
          <w:rFonts w:ascii="Book Antiqua" w:hAnsi="Book Antiqua"/>
          <w:sz w:val="24"/>
          <w:szCs w:val="24"/>
          <w:lang w:val="en-US"/>
        </w:rPr>
        <w:t>influence on</w:t>
      </w:r>
      <w:r w:rsidR="007C4FC6" w:rsidRPr="00CE02BD">
        <w:rPr>
          <w:rFonts w:ascii="Book Antiqua" w:hAnsi="Book Antiqua"/>
          <w:sz w:val="24"/>
          <w:szCs w:val="24"/>
          <w:lang w:val="en-US"/>
        </w:rPr>
        <w:t xml:space="preserve"> </w:t>
      </w:r>
      <w:r w:rsidRPr="00CE02BD">
        <w:rPr>
          <w:rFonts w:ascii="Book Antiqua" w:hAnsi="Book Antiqua"/>
          <w:sz w:val="24"/>
          <w:szCs w:val="24"/>
          <w:lang w:val="en-US"/>
        </w:rPr>
        <w:t>the</w:t>
      </w:r>
      <w:r w:rsidR="007C4FC6" w:rsidRPr="00CE02BD">
        <w:rPr>
          <w:rFonts w:ascii="Book Antiqua" w:hAnsi="Book Antiqua"/>
          <w:sz w:val="24"/>
          <w:szCs w:val="24"/>
          <w:lang w:val="en-US"/>
        </w:rPr>
        <w:t xml:space="preserve"> real-world application</w:t>
      </w:r>
      <w:r w:rsidR="00907BAA" w:rsidRPr="00CE02BD">
        <w:rPr>
          <w:rFonts w:ascii="Book Antiqua" w:hAnsi="Book Antiqua"/>
          <w:sz w:val="24"/>
          <w:szCs w:val="24"/>
          <w:lang w:val="en-US"/>
        </w:rPr>
        <w:t xml:space="preserve"> of the treat-to-</w:t>
      </w:r>
      <w:r w:rsidRPr="00CE02BD">
        <w:rPr>
          <w:rFonts w:ascii="Book Antiqua" w:hAnsi="Book Antiqua"/>
          <w:sz w:val="24"/>
          <w:szCs w:val="24"/>
          <w:lang w:val="en-US"/>
        </w:rPr>
        <w:t>target strategies</w:t>
      </w:r>
      <w:r w:rsidR="007C4FC6" w:rsidRPr="00CE02BD">
        <w:rPr>
          <w:rFonts w:ascii="Book Antiqua" w:hAnsi="Book Antiqua"/>
          <w:sz w:val="24"/>
          <w:szCs w:val="24"/>
          <w:lang w:val="en-US"/>
        </w:rPr>
        <w:t>.</w:t>
      </w:r>
      <w:r w:rsidRPr="00CE02BD">
        <w:rPr>
          <w:rFonts w:ascii="Book Antiqua" w:hAnsi="Book Antiqua"/>
          <w:sz w:val="24"/>
          <w:szCs w:val="24"/>
          <w:lang w:val="en-US"/>
        </w:rPr>
        <w:t xml:space="preserve"> </w:t>
      </w:r>
      <w:r w:rsidR="00197131" w:rsidRPr="00CE02BD">
        <w:rPr>
          <w:rFonts w:ascii="Book Antiqua" w:hAnsi="Book Antiqua"/>
          <w:sz w:val="24"/>
          <w:szCs w:val="24"/>
          <w:lang w:val="en-US"/>
        </w:rPr>
        <w:t xml:space="preserve">A decision analysis model performed by Ananthakrishnan </w:t>
      </w:r>
      <w:r w:rsidR="00967F41" w:rsidRPr="00CE02BD">
        <w:rPr>
          <w:rFonts w:ascii="Book Antiqua" w:hAnsi="Book Antiqua"/>
          <w:i/>
          <w:sz w:val="24"/>
          <w:szCs w:val="24"/>
          <w:lang w:val="en-US"/>
        </w:rPr>
        <w:t>et al</w:t>
      </w:r>
      <w:r w:rsidR="003F4843" w:rsidRPr="00CE02BD">
        <w:rPr>
          <w:rFonts w:ascii="Book Antiqua" w:hAnsi="Book Antiqua"/>
          <w:sz w:val="24"/>
          <w:szCs w:val="24"/>
          <w:vertAlign w:val="superscript"/>
          <w:lang w:val="en-US"/>
        </w:rPr>
        <w:t>[87]</w:t>
      </w:r>
      <w:r w:rsidR="00197131" w:rsidRPr="00CE02BD">
        <w:rPr>
          <w:rFonts w:ascii="Book Antiqua" w:hAnsi="Book Antiqua"/>
          <w:sz w:val="24"/>
          <w:szCs w:val="24"/>
          <w:lang w:val="en-US"/>
        </w:rPr>
        <w:t xml:space="preserve"> using existing clinical trial data</w:t>
      </w:r>
      <w:r w:rsidR="00E92F85" w:rsidRPr="00CE02BD">
        <w:rPr>
          <w:rFonts w:ascii="Book Antiqua" w:hAnsi="Book Antiqua"/>
          <w:sz w:val="24"/>
          <w:szCs w:val="24"/>
          <w:lang w:val="en-US"/>
        </w:rPr>
        <w:t xml:space="preserve"> demonstrated that targeting MH </w:t>
      </w:r>
      <w:r w:rsidR="00815696" w:rsidRPr="00CE02BD">
        <w:rPr>
          <w:rFonts w:ascii="Book Antiqua" w:hAnsi="Book Antiqua"/>
          <w:sz w:val="24"/>
          <w:szCs w:val="24"/>
          <w:lang w:val="en-US"/>
        </w:rPr>
        <w:t>was more</w:t>
      </w:r>
      <w:r w:rsidR="00197131" w:rsidRPr="00CE02BD">
        <w:rPr>
          <w:rFonts w:ascii="Book Antiqua" w:hAnsi="Book Antiqua"/>
          <w:sz w:val="24"/>
          <w:szCs w:val="24"/>
          <w:lang w:val="en-US"/>
        </w:rPr>
        <w:t xml:space="preserve"> </w:t>
      </w:r>
      <w:r w:rsidR="00815696" w:rsidRPr="00CE02BD">
        <w:rPr>
          <w:rFonts w:ascii="Book Antiqua" w:hAnsi="Book Antiqua"/>
          <w:sz w:val="24"/>
          <w:szCs w:val="24"/>
          <w:lang w:val="en-US"/>
        </w:rPr>
        <w:t>effective at</w:t>
      </w:r>
      <w:r w:rsidR="00FC500C" w:rsidRPr="00CE02BD">
        <w:rPr>
          <w:rFonts w:ascii="Book Antiqua" w:hAnsi="Book Antiqua"/>
          <w:sz w:val="24"/>
          <w:szCs w:val="24"/>
          <w:lang w:val="en-US"/>
        </w:rPr>
        <w:t xml:space="preserve"> a 2 year endpoint </w:t>
      </w:r>
      <w:r w:rsidR="00815696" w:rsidRPr="00CE02BD">
        <w:rPr>
          <w:rFonts w:ascii="Book Antiqua" w:hAnsi="Book Antiqua"/>
          <w:sz w:val="24"/>
          <w:szCs w:val="24"/>
          <w:lang w:val="en-US"/>
        </w:rPr>
        <w:t xml:space="preserve">(QALY 0.71) compared to </w:t>
      </w:r>
      <w:r w:rsidR="00E92F85" w:rsidRPr="00CE02BD">
        <w:rPr>
          <w:rFonts w:ascii="Book Antiqua" w:hAnsi="Book Antiqua"/>
          <w:sz w:val="24"/>
          <w:szCs w:val="24"/>
          <w:lang w:val="en-US"/>
        </w:rPr>
        <w:t>convention clinical management strategies</w:t>
      </w:r>
      <w:r w:rsidR="00815696" w:rsidRPr="00CE02BD">
        <w:rPr>
          <w:rFonts w:ascii="Book Antiqua" w:hAnsi="Book Antiqua"/>
          <w:sz w:val="24"/>
          <w:szCs w:val="24"/>
          <w:lang w:val="en-US"/>
        </w:rPr>
        <w:t xml:space="preserve"> (QALY 0.69) </w:t>
      </w:r>
      <w:r w:rsidR="00197131" w:rsidRPr="00CE02BD">
        <w:rPr>
          <w:rFonts w:ascii="Book Antiqua" w:hAnsi="Book Antiqua"/>
          <w:sz w:val="24"/>
          <w:szCs w:val="24"/>
          <w:lang w:val="en-US"/>
        </w:rPr>
        <w:t>with</w:t>
      </w:r>
      <w:r w:rsidR="00815696" w:rsidRPr="00CE02BD">
        <w:rPr>
          <w:rFonts w:ascii="Book Antiqua" w:hAnsi="Book Antiqua"/>
          <w:sz w:val="24"/>
          <w:szCs w:val="24"/>
          <w:lang w:val="en-US"/>
        </w:rPr>
        <w:t xml:space="preserve"> </w:t>
      </w:r>
      <w:r w:rsidR="00E92F85" w:rsidRPr="00CE02BD">
        <w:rPr>
          <w:rFonts w:ascii="Book Antiqua" w:hAnsi="Book Antiqua"/>
          <w:sz w:val="24"/>
          <w:szCs w:val="24"/>
          <w:lang w:val="en-US"/>
        </w:rPr>
        <w:t xml:space="preserve">an </w:t>
      </w:r>
      <w:r w:rsidR="00E140C3" w:rsidRPr="00CE02BD">
        <w:rPr>
          <w:rFonts w:ascii="Book Antiqua" w:hAnsi="Book Antiqua"/>
          <w:sz w:val="24"/>
          <w:szCs w:val="24"/>
          <w:lang w:val="en-US"/>
        </w:rPr>
        <w:t>incremental cost-effectiveness ratio (</w:t>
      </w:r>
      <w:r w:rsidR="00E92F85" w:rsidRPr="00CE02BD">
        <w:rPr>
          <w:rFonts w:ascii="Book Antiqua" w:hAnsi="Book Antiqua"/>
          <w:sz w:val="24"/>
          <w:szCs w:val="24"/>
          <w:lang w:val="en-US"/>
        </w:rPr>
        <w:t>ICER</w:t>
      </w:r>
      <w:r w:rsidR="00E140C3" w:rsidRPr="00CE02BD">
        <w:rPr>
          <w:rFonts w:ascii="Book Antiqua" w:hAnsi="Book Antiqua"/>
          <w:sz w:val="24"/>
          <w:szCs w:val="24"/>
          <w:lang w:val="en-US"/>
        </w:rPr>
        <w:t>)</w:t>
      </w:r>
      <w:r w:rsidR="00E92F85" w:rsidRPr="00CE02BD">
        <w:rPr>
          <w:rFonts w:ascii="Book Antiqua" w:hAnsi="Book Antiqua"/>
          <w:sz w:val="24"/>
          <w:szCs w:val="24"/>
          <w:lang w:val="en-US"/>
        </w:rPr>
        <w:t xml:space="preserve"> of $</w:t>
      </w:r>
      <w:r w:rsidR="003F4843" w:rsidRPr="00CE02BD">
        <w:rPr>
          <w:rFonts w:ascii="Book Antiqua" w:hAnsi="Book Antiqua"/>
          <w:sz w:val="24"/>
          <w:szCs w:val="24"/>
          <w:lang w:val="en-US"/>
        </w:rPr>
        <w:t xml:space="preserve"> </w:t>
      </w:r>
      <w:r w:rsidR="00E92F85" w:rsidRPr="00CE02BD">
        <w:rPr>
          <w:rFonts w:ascii="Book Antiqua" w:hAnsi="Book Antiqua"/>
          <w:sz w:val="24"/>
          <w:szCs w:val="24"/>
          <w:lang w:val="en-US"/>
        </w:rPr>
        <w:t xml:space="preserve">47,278/QALY gained. </w:t>
      </w:r>
      <w:r w:rsidR="00D92D7A" w:rsidRPr="00CE02BD">
        <w:rPr>
          <w:rFonts w:ascii="Book Antiqua" w:hAnsi="Book Antiqua"/>
          <w:sz w:val="24"/>
          <w:szCs w:val="24"/>
          <w:lang w:val="en-US"/>
        </w:rPr>
        <w:t xml:space="preserve">A similar cost-effectiveness analysis of the CALM trial was also performed. </w:t>
      </w:r>
      <w:r w:rsidR="00FC500C" w:rsidRPr="00CE02BD">
        <w:rPr>
          <w:rFonts w:ascii="Book Antiqua" w:hAnsi="Book Antiqua"/>
          <w:sz w:val="24"/>
          <w:szCs w:val="24"/>
          <w:lang w:val="en-US"/>
        </w:rPr>
        <w:t xml:space="preserve">At 48 </w:t>
      </w:r>
      <w:r w:rsidR="00967F41" w:rsidRPr="00CE02BD">
        <w:rPr>
          <w:rFonts w:ascii="Book Antiqua" w:hAnsi="Book Antiqua"/>
          <w:sz w:val="24"/>
          <w:szCs w:val="24"/>
          <w:lang w:val="en-US"/>
        </w:rPr>
        <w:t>wk</w:t>
      </w:r>
      <w:r w:rsidR="00FC500C" w:rsidRPr="00CE02BD">
        <w:rPr>
          <w:rFonts w:ascii="Book Antiqua" w:hAnsi="Book Antiqua"/>
          <w:sz w:val="24"/>
          <w:szCs w:val="24"/>
          <w:lang w:val="en-US"/>
        </w:rPr>
        <w:t>, the tight control arm produced a total of £</w:t>
      </w:r>
      <w:r w:rsidR="003F4843" w:rsidRPr="00CE02BD">
        <w:rPr>
          <w:rFonts w:ascii="Book Antiqua" w:hAnsi="Book Antiqua"/>
          <w:sz w:val="24"/>
          <w:szCs w:val="24"/>
          <w:lang w:val="en-US"/>
        </w:rPr>
        <w:t xml:space="preserve"> </w:t>
      </w:r>
      <w:r w:rsidR="00FC500C" w:rsidRPr="00CE02BD">
        <w:rPr>
          <w:rFonts w:ascii="Book Antiqua" w:hAnsi="Book Antiqua"/>
          <w:sz w:val="24"/>
          <w:szCs w:val="24"/>
          <w:lang w:val="en-US"/>
        </w:rPr>
        <w:t>13296 in direct medical costs and a QALY of 0.684, while the same results were £</w:t>
      </w:r>
      <w:r w:rsidR="003F4843" w:rsidRPr="00CE02BD">
        <w:rPr>
          <w:rFonts w:ascii="Book Antiqua" w:hAnsi="Book Antiqua"/>
          <w:sz w:val="24"/>
          <w:szCs w:val="24"/>
          <w:lang w:val="en-US"/>
        </w:rPr>
        <w:t xml:space="preserve"> </w:t>
      </w:r>
      <w:r w:rsidR="00FC500C" w:rsidRPr="00CE02BD">
        <w:rPr>
          <w:rFonts w:ascii="Book Antiqua" w:hAnsi="Book Antiqua"/>
          <w:sz w:val="24"/>
          <w:szCs w:val="24"/>
          <w:lang w:val="en-US"/>
        </w:rPr>
        <w:t>12627 and 0.652 for the clinical management arm. The difference in costs (£</w:t>
      </w:r>
      <w:r w:rsidR="003F4843" w:rsidRPr="00CE02BD">
        <w:rPr>
          <w:rFonts w:ascii="Book Antiqua" w:hAnsi="Book Antiqua"/>
          <w:sz w:val="24"/>
          <w:szCs w:val="24"/>
          <w:lang w:val="en-US"/>
        </w:rPr>
        <w:t xml:space="preserve"> </w:t>
      </w:r>
      <w:r w:rsidR="00FC500C" w:rsidRPr="00CE02BD">
        <w:rPr>
          <w:rFonts w:ascii="Book Antiqua" w:hAnsi="Book Antiqua"/>
          <w:sz w:val="24"/>
          <w:szCs w:val="24"/>
          <w:lang w:val="en-US"/>
        </w:rPr>
        <w:t>669) divided by the difference in QALY (0.032) produced an ICER of £</w:t>
      </w:r>
      <w:r w:rsidR="003F4843" w:rsidRPr="00CE02BD">
        <w:rPr>
          <w:rFonts w:ascii="Book Antiqua" w:hAnsi="Book Antiqua"/>
          <w:sz w:val="24"/>
          <w:szCs w:val="24"/>
          <w:lang w:val="en-US"/>
        </w:rPr>
        <w:t xml:space="preserve"> </w:t>
      </w:r>
      <w:r w:rsidR="00FC500C" w:rsidRPr="00CE02BD">
        <w:rPr>
          <w:rFonts w:ascii="Book Antiqua" w:hAnsi="Book Antiqua"/>
          <w:sz w:val="24"/>
          <w:szCs w:val="24"/>
          <w:lang w:val="en-US"/>
        </w:rPr>
        <w:t xml:space="preserve">20913 per QALY gained </w:t>
      </w:r>
      <w:r w:rsidR="00815696" w:rsidRPr="00CE02BD">
        <w:rPr>
          <w:rFonts w:ascii="Book Antiqua" w:hAnsi="Book Antiqua"/>
          <w:sz w:val="24"/>
          <w:szCs w:val="24"/>
          <w:lang w:val="en-US"/>
        </w:rPr>
        <w:t>which is</w:t>
      </w:r>
      <w:r w:rsidR="00197131" w:rsidRPr="00CE02BD">
        <w:rPr>
          <w:rFonts w:ascii="Book Antiqua" w:hAnsi="Book Antiqua"/>
          <w:sz w:val="24"/>
          <w:szCs w:val="24"/>
          <w:lang w:val="en-US"/>
        </w:rPr>
        <w:t xml:space="preserve"> </w:t>
      </w:r>
      <w:r w:rsidR="00815696" w:rsidRPr="00CE02BD">
        <w:rPr>
          <w:rFonts w:ascii="Book Antiqua" w:hAnsi="Book Antiqua"/>
          <w:sz w:val="24"/>
          <w:szCs w:val="24"/>
          <w:lang w:val="en-US"/>
        </w:rPr>
        <w:t xml:space="preserve">within the acceptable </w:t>
      </w:r>
      <w:r w:rsidR="00FC500C" w:rsidRPr="00CE02BD">
        <w:rPr>
          <w:rFonts w:ascii="Book Antiqua" w:hAnsi="Book Antiqua"/>
          <w:sz w:val="24"/>
          <w:szCs w:val="24"/>
          <w:lang w:val="en-US"/>
        </w:rPr>
        <w:t>range that is considered cost-effective</w:t>
      </w:r>
      <w:r w:rsidR="00815696" w:rsidRPr="00CE02BD">
        <w:rPr>
          <w:rFonts w:ascii="Book Antiqua" w:hAnsi="Book Antiqua"/>
          <w:sz w:val="24"/>
          <w:szCs w:val="24"/>
          <w:lang w:val="en-US"/>
        </w:rPr>
        <w:t xml:space="preserve"> </w:t>
      </w:r>
      <w:r w:rsidR="00FC500C" w:rsidRPr="00CE02BD">
        <w:rPr>
          <w:rFonts w:ascii="Book Antiqua" w:hAnsi="Book Antiqua"/>
          <w:sz w:val="24"/>
          <w:szCs w:val="24"/>
          <w:lang w:val="en-US"/>
        </w:rPr>
        <w:t>(</w:t>
      </w:r>
      <w:r w:rsidR="00815696" w:rsidRPr="00CE02BD">
        <w:rPr>
          <w:rFonts w:ascii="Book Antiqua" w:hAnsi="Book Antiqua"/>
          <w:sz w:val="24"/>
          <w:szCs w:val="24"/>
          <w:lang w:val="en-US"/>
        </w:rPr>
        <w:t>$</w:t>
      </w:r>
      <w:r w:rsidR="003F4843" w:rsidRPr="00CE02BD">
        <w:rPr>
          <w:rFonts w:ascii="Book Antiqua" w:hAnsi="Book Antiqua"/>
          <w:sz w:val="24"/>
          <w:szCs w:val="24"/>
          <w:lang w:val="en-US"/>
        </w:rPr>
        <w:t xml:space="preserve"> </w:t>
      </w:r>
      <w:r w:rsidR="00815696" w:rsidRPr="00CE02BD">
        <w:rPr>
          <w:rFonts w:ascii="Book Antiqua" w:hAnsi="Book Antiqua"/>
          <w:sz w:val="24"/>
          <w:szCs w:val="24"/>
          <w:lang w:val="en-US"/>
        </w:rPr>
        <w:t>50–100000/QALY</w:t>
      </w:r>
      <w:r w:rsidR="00FC500C" w:rsidRPr="00CE02BD">
        <w:rPr>
          <w:rFonts w:ascii="Book Antiqua" w:hAnsi="Book Antiqua"/>
          <w:sz w:val="24"/>
          <w:szCs w:val="24"/>
          <w:lang w:val="en-US"/>
        </w:rPr>
        <w:t xml:space="preserve"> gained</w:t>
      </w:r>
      <w:proofErr w:type="gramStart"/>
      <w:r w:rsidR="00FC500C" w:rsidRPr="00CE02BD">
        <w:rPr>
          <w:rFonts w:ascii="Book Antiqua" w:hAnsi="Book Antiqua"/>
          <w:sz w:val="24"/>
          <w:szCs w:val="24"/>
          <w:lang w:val="en-US"/>
        </w:rPr>
        <w:t>)</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88,89]</w:t>
      </w:r>
      <w:r w:rsidR="00FC500C" w:rsidRPr="00CE02BD">
        <w:rPr>
          <w:rFonts w:ascii="Book Antiqua" w:hAnsi="Book Antiqua"/>
          <w:sz w:val="24"/>
          <w:szCs w:val="24"/>
          <w:lang w:val="en-US"/>
        </w:rPr>
        <w:t>.</w:t>
      </w:r>
      <w:r w:rsidR="00435238" w:rsidRPr="00CE02BD">
        <w:rPr>
          <w:rFonts w:ascii="Book Antiqua" w:hAnsi="Book Antiqua"/>
          <w:sz w:val="24"/>
          <w:szCs w:val="24"/>
          <w:vertAlign w:val="superscript"/>
          <w:lang w:val="en-US"/>
        </w:rPr>
        <w:t xml:space="preserve"> </w:t>
      </w:r>
      <w:r w:rsidR="00435238" w:rsidRPr="00CE02BD">
        <w:rPr>
          <w:rFonts w:ascii="Book Antiqua" w:hAnsi="Book Antiqua"/>
          <w:sz w:val="24"/>
          <w:szCs w:val="24"/>
          <w:lang w:val="en-US"/>
        </w:rPr>
        <w:t xml:space="preserve">Further investigations are however needed to determine </w:t>
      </w:r>
      <w:r w:rsidR="00723D6F" w:rsidRPr="00CE02BD">
        <w:rPr>
          <w:rFonts w:ascii="Book Antiqua" w:hAnsi="Book Antiqua"/>
          <w:sz w:val="24"/>
          <w:szCs w:val="24"/>
          <w:lang w:val="en-US"/>
        </w:rPr>
        <w:t xml:space="preserve">the </w:t>
      </w:r>
      <w:r w:rsidR="00435238" w:rsidRPr="00CE02BD">
        <w:rPr>
          <w:rFonts w:ascii="Book Antiqua" w:hAnsi="Book Antiqua"/>
          <w:sz w:val="24"/>
          <w:szCs w:val="24"/>
          <w:lang w:val="en-US"/>
        </w:rPr>
        <w:t>cost-</w:t>
      </w:r>
      <w:r w:rsidR="00435238" w:rsidRPr="00CE02BD">
        <w:rPr>
          <w:rFonts w:ascii="Book Antiqua" w:hAnsi="Book Antiqua"/>
          <w:sz w:val="24"/>
          <w:szCs w:val="24"/>
          <w:lang w:val="en-US"/>
        </w:rPr>
        <w:lastRenderedPageBreak/>
        <w:t xml:space="preserve">effectiveness </w:t>
      </w:r>
      <w:r w:rsidR="00907BAA" w:rsidRPr="00CE02BD">
        <w:rPr>
          <w:rFonts w:ascii="Book Antiqua" w:hAnsi="Book Antiqua"/>
          <w:sz w:val="24"/>
          <w:szCs w:val="24"/>
          <w:lang w:val="en-US"/>
        </w:rPr>
        <w:t>of treat-to-</w:t>
      </w:r>
      <w:r w:rsidR="00723D6F" w:rsidRPr="00CE02BD">
        <w:rPr>
          <w:rFonts w:ascii="Book Antiqua" w:hAnsi="Book Antiqua"/>
          <w:sz w:val="24"/>
          <w:szCs w:val="24"/>
          <w:lang w:val="en-US"/>
        </w:rPr>
        <w:t xml:space="preserve">target strategies </w:t>
      </w:r>
      <w:r w:rsidR="00435238" w:rsidRPr="00CE02BD">
        <w:rPr>
          <w:rFonts w:ascii="Book Antiqua" w:hAnsi="Book Antiqua"/>
          <w:sz w:val="24"/>
          <w:szCs w:val="24"/>
          <w:lang w:val="en-US"/>
        </w:rPr>
        <w:t>in reduci</w:t>
      </w:r>
      <w:r w:rsidR="0067525A" w:rsidRPr="00CE02BD">
        <w:rPr>
          <w:rFonts w:ascii="Book Antiqua" w:hAnsi="Book Antiqua"/>
          <w:sz w:val="24"/>
          <w:szCs w:val="24"/>
          <w:lang w:val="en-US"/>
        </w:rPr>
        <w:t>ng disease progression, taking into account proper de-escalation strategies as well.</w:t>
      </w:r>
    </w:p>
    <w:p w14:paraId="5764CC08" w14:textId="77777777" w:rsidR="007C2BE3" w:rsidRPr="00CE02BD" w:rsidRDefault="007C2BE3" w:rsidP="000F1138">
      <w:pPr>
        <w:adjustRightInd w:val="0"/>
        <w:snapToGrid w:val="0"/>
        <w:spacing w:after="0" w:line="360" w:lineRule="auto"/>
        <w:jc w:val="both"/>
        <w:rPr>
          <w:rFonts w:ascii="Book Antiqua" w:hAnsi="Book Antiqua"/>
          <w:sz w:val="24"/>
          <w:szCs w:val="24"/>
          <w:lang w:val="en-US"/>
        </w:rPr>
      </w:pPr>
    </w:p>
    <w:p w14:paraId="627A0A13" w14:textId="6F58C6F4" w:rsidR="00CF4DDB" w:rsidRPr="00CE02BD" w:rsidRDefault="00CF4DDB"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FUTURE PERSPECTIVES AND UNANSWERED QUESTIONS–EXPERT OPINION</w:t>
      </w:r>
    </w:p>
    <w:p w14:paraId="665BB1D7" w14:textId="3B79A21D" w:rsidR="00517C96" w:rsidRPr="00CE02BD" w:rsidRDefault="00050968"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In recent years, there has been a critical change in the treatment paradigms</w:t>
      </w:r>
      <w:r w:rsidR="00502802" w:rsidRPr="00CE02BD">
        <w:rPr>
          <w:rFonts w:ascii="Book Antiqua" w:hAnsi="Book Antiqua"/>
          <w:sz w:val="24"/>
          <w:szCs w:val="24"/>
          <w:lang w:val="en-US"/>
        </w:rPr>
        <w:t xml:space="preserve"> w</w:t>
      </w:r>
      <w:r w:rsidR="00455781" w:rsidRPr="00CE02BD">
        <w:rPr>
          <w:rFonts w:ascii="Book Antiqua" w:hAnsi="Book Antiqua"/>
          <w:sz w:val="24"/>
          <w:szCs w:val="24"/>
          <w:lang w:val="en-US"/>
        </w:rPr>
        <w:t xml:space="preserve">ith the arrival of biologic agents. </w:t>
      </w:r>
      <w:r w:rsidR="00760591" w:rsidRPr="00CE02BD">
        <w:rPr>
          <w:rFonts w:ascii="Book Antiqua" w:hAnsi="Book Antiqua"/>
          <w:sz w:val="24"/>
          <w:szCs w:val="24"/>
          <w:lang w:val="en-US"/>
        </w:rPr>
        <w:t>Many</w:t>
      </w:r>
      <w:r w:rsidR="00455781" w:rsidRPr="00CE02BD">
        <w:rPr>
          <w:rFonts w:ascii="Book Antiqua" w:hAnsi="Book Antiqua"/>
          <w:sz w:val="24"/>
          <w:szCs w:val="24"/>
          <w:lang w:val="en-US"/>
        </w:rPr>
        <w:t xml:space="preserve"> studies showed that the introduction of highly effective treatments</w:t>
      </w:r>
      <w:r w:rsidR="00760591" w:rsidRPr="00CE02BD">
        <w:rPr>
          <w:rFonts w:ascii="Book Antiqua" w:hAnsi="Book Antiqua"/>
          <w:sz w:val="24"/>
          <w:szCs w:val="24"/>
          <w:lang w:val="en-US"/>
        </w:rPr>
        <w:t xml:space="preserve"> in selected patients</w:t>
      </w:r>
      <w:r w:rsidR="00455781" w:rsidRPr="00CE02BD">
        <w:rPr>
          <w:rFonts w:ascii="Book Antiqua" w:hAnsi="Book Antiqua"/>
          <w:sz w:val="24"/>
          <w:szCs w:val="24"/>
          <w:lang w:val="en-US"/>
        </w:rPr>
        <w:t xml:space="preserve"> early in the disease course is </w:t>
      </w:r>
      <w:r w:rsidR="00502802" w:rsidRPr="00CE02BD">
        <w:rPr>
          <w:rFonts w:ascii="Book Antiqua" w:hAnsi="Book Antiqua"/>
          <w:sz w:val="24"/>
          <w:szCs w:val="24"/>
          <w:lang w:val="en-US"/>
        </w:rPr>
        <w:t>crucial in achieving deep remission and avoiding disease complications</w:t>
      </w:r>
      <w:r w:rsidR="00760591" w:rsidRPr="00CE02BD">
        <w:rPr>
          <w:rFonts w:ascii="Book Antiqua" w:hAnsi="Book Antiqua"/>
          <w:sz w:val="24"/>
          <w:szCs w:val="24"/>
          <w:lang w:val="en-US"/>
        </w:rPr>
        <w:t>. An</w:t>
      </w:r>
      <w:r w:rsidR="00455781" w:rsidRPr="00CE02BD">
        <w:rPr>
          <w:rFonts w:ascii="Book Antiqua" w:hAnsi="Book Antiqua"/>
          <w:sz w:val="24"/>
          <w:szCs w:val="24"/>
          <w:lang w:val="en-US"/>
        </w:rPr>
        <w:t xml:space="preserve"> important limitation to the </w:t>
      </w:r>
      <w:r w:rsidR="00364BA4" w:rsidRPr="00CE02BD">
        <w:rPr>
          <w:rFonts w:ascii="Book Antiqua" w:hAnsi="Book Antiqua"/>
          <w:sz w:val="24"/>
          <w:szCs w:val="24"/>
          <w:lang w:val="en-US"/>
        </w:rPr>
        <w:t xml:space="preserve">landmark clinical </w:t>
      </w:r>
      <w:r w:rsidR="00455781" w:rsidRPr="00CE02BD">
        <w:rPr>
          <w:rFonts w:ascii="Book Antiqua" w:hAnsi="Book Antiqua"/>
          <w:sz w:val="24"/>
          <w:szCs w:val="24"/>
          <w:lang w:val="en-US"/>
        </w:rPr>
        <w:t>trials</w:t>
      </w:r>
      <w:r w:rsidR="00760591" w:rsidRPr="00CE02BD">
        <w:rPr>
          <w:rFonts w:ascii="Book Antiqua" w:hAnsi="Book Antiqua"/>
          <w:sz w:val="24"/>
          <w:szCs w:val="24"/>
          <w:lang w:val="en-US"/>
        </w:rPr>
        <w:t xml:space="preserve"> evaluating the early use of biologics and immunosuppressives is</w:t>
      </w:r>
      <w:r w:rsidR="00455781" w:rsidRPr="00CE02BD">
        <w:rPr>
          <w:rFonts w:ascii="Book Antiqua" w:hAnsi="Book Antiqua"/>
          <w:sz w:val="24"/>
          <w:szCs w:val="24"/>
          <w:lang w:val="en-US"/>
        </w:rPr>
        <w:t xml:space="preserve"> that they only measured clinical outcomes as primary endpoints and endoscopic data are </w:t>
      </w:r>
      <w:r w:rsidR="00364BA4" w:rsidRPr="00CE02BD">
        <w:rPr>
          <w:rFonts w:ascii="Book Antiqua" w:hAnsi="Book Antiqua"/>
          <w:sz w:val="24"/>
          <w:szCs w:val="24"/>
          <w:lang w:val="en-US"/>
        </w:rPr>
        <w:t>usually available in a subgroup of patients, except for the CALM study</w:t>
      </w:r>
      <w:r w:rsidR="00455781" w:rsidRPr="00CE02BD">
        <w:rPr>
          <w:rFonts w:ascii="Book Antiqua" w:hAnsi="Book Antiqua"/>
          <w:sz w:val="24"/>
          <w:szCs w:val="24"/>
          <w:lang w:val="en-US"/>
        </w:rPr>
        <w:t xml:space="preserve">. </w:t>
      </w:r>
      <w:r w:rsidR="00760591" w:rsidRPr="00CE02BD">
        <w:rPr>
          <w:rFonts w:ascii="Book Antiqua" w:hAnsi="Book Antiqua"/>
          <w:sz w:val="24"/>
          <w:szCs w:val="24"/>
          <w:lang w:val="en-US"/>
        </w:rPr>
        <w:t xml:space="preserve">In this regard, the </w:t>
      </w:r>
      <w:proofErr w:type="gramStart"/>
      <w:r w:rsidR="00760591" w:rsidRPr="00CE02BD">
        <w:rPr>
          <w:rFonts w:ascii="Book Antiqua" w:hAnsi="Book Antiqua"/>
          <w:sz w:val="24"/>
          <w:szCs w:val="24"/>
          <w:lang w:val="en-US"/>
        </w:rPr>
        <w:t>CURE</w:t>
      </w:r>
      <w:r w:rsidR="00CF4DDB" w:rsidRPr="00CE02BD">
        <w:rPr>
          <w:rFonts w:ascii="Book Antiqua" w:hAnsi="Book Antiqua"/>
          <w:sz w:val="24"/>
          <w:szCs w:val="24"/>
          <w:vertAlign w:val="superscript"/>
          <w:lang w:val="en-US"/>
        </w:rPr>
        <w:t>[</w:t>
      </w:r>
      <w:proofErr w:type="gramEnd"/>
      <w:r w:rsidR="003823C4" w:rsidRPr="00CE02BD">
        <w:rPr>
          <w:rFonts w:ascii="Book Antiqua" w:hAnsi="Book Antiqua"/>
          <w:sz w:val="24"/>
          <w:szCs w:val="24"/>
          <w:vertAlign w:val="superscript"/>
          <w:lang w:val="en-US"/>
        </w:rPr>
        <w:t>90</w:t>
      </w:r>
      <w:r w:rsidR="00CF4DDB" w:rsidRPr="00CE02BD">
        <w:rPr>
          <w:rFonts w:ascii="Book Antiqua" w:hAnsi="Book Antiqua"/>
          <w:sz w:val="24"/>
          <w:szCs w:val="24"/>
          <w:vertAlign w:val="superscript"/>
          <w:lang w:val="en-US"/>
        </w:rPr>
        <w:t>]</w:t>
      </w:r>
      <w:r w:rsidR="00760591" w:rsidRPr="00CE02BD">
        <w:rPr>
          <w:rFonts w:ascii="Book Antiqua" w:hAnsi="Book Antiqua"/>
          <w:sz w:val="24"/>
          <w:szCs w:val="24"/>
          <w:lang w:val="en-US"/>
        </w:rPr>
        <w:t xml:space="preserve"> </w:t>
      </w:r>
      <w:r w:rsidR="00CF4DDB" w:rsidRPr="00CE02BD">
        <w:rPr>
          <w:rFonts w:ascii="Book Antiqua" w:hAnsi="Book Antiqua"/>
          <w:sz w:val="24"/>
          <w:szCs w:val="24"/>
          <w:lang w:val="en-US"/>
        </w:rPr>
        <w:t xml:space="preserve">study </w:t>
      </w:r>
      <w:r w:rsidR="00760591" w:rsidRPr="00CE02BD">
        <w:rPr>
          <w:rFonts w:ascii="Book Antiqua" w:hAnsi="Book Antiqua"/>
          <w:sz w:val="24"/>
          <w:szCs w:val="24"/>
          <w:lang w:val="en-US"/>
        </w:rPr>
        <w:t xml:space="preserve">is currently underway and is evaluating the impact of early adalimumab therapy on the disease course in CD, including mucosal healing. Personalization of the therapeutic strategy by proper </w:t>
      </w:r>
      <w:r w:rsidR="00831D31" w:rsidRPr="00CE02BD">
        <w:rPr>
          <w:rFonts w:ascii="Book Antiqua" w:hAnsi="Book Antiqua"/>
          <w:sz w:val="24"/>
          <w:szCs w:val="24"/>
          <w:lang w:val="en-US"/>
        </w:rPr>
        <w:t xml:space="preserve">early </w:t>
      </w:r>
      <w:r w:rsidR="00760591" w:rsidRPr="00CE02BD">
        <w:rPr>
          <w:rFonts w:ascii="Book Antiqua" w:hAnsi="Book Antiqua"/>
          <w:sz w:val="24"/>
          <w:szCs w:val="24"/>
          <w:lang w:val="en-US"/>
        </w:rPr>
        <w:t xml:space="preserve">patient stratification have an increasingly important role in selecting patients who </w:t>
      </w:r>
      <w:r w:rsidR="00831D31" w:rsidRPr="00CE02BD">
        <w:rPr>
          <w:rFonts w:ascii="Book Antiqua" w:hAnsi="Book Antiqua"/>
          <w:sz w:val="24"/>
          <w:szCs w:val="24"/>
          <w:lang w:val="en-US"/>
        </w:rPr>
        <w:t xml:space="preserve">benefit from early aggressive therapy. </w:t>
      </w:r>
    </w:p>
    <w:p w14:paraId="67D49B0E" w14:textId="1B68AF94" w:rsidR="00CA3343" w:rsidRPr="00CE02BD" w:rsidRDefault="00831D31"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The other pillar of achieving sustained deep remission is a </w:t>
      </w:r>
      <w:r w:rsidR="00364BA4" w:rsidRPr="00CE02BD">
        <w:rPr>
          <w:rFonts w:ascii="Book Antiqua" w:hAnsi="Book Antiqua"/>
          <w:sz w:val="24"/>
          <w:szCs w:val="24"/>
          <w:lang w:val="en-US"/>
        </w:rPr>
        <w:t>stringent</w:t>
      </w:r>
      <w:r w:rsidRPr="00CE02BD">
        <w:rPr>
          <w:rFonts w:ascii="Book Antiqua" w:hAnsi="Book Antiqua"/>
          <w:sz w:val="24"/>
          <w:szCs w:val="24"/>
          <w:lang w:val="en-US"/>
        </w:rPr>
        <w:t xml:space="preserve"> patient follow-up and timely re-evaluation. The current focus on objective parameters as treatment targets </w:t>
      </w:r>
      <w:r w:rsidR="00050968" w:rsidRPr="00CE02BD">
        <w:rPr>
          <w:rFonts w:ascii="Book Antiqua" w:hAnsi="Book Antiqua"/>
          <w:sz w:val="24"/>
          <w:szCs w:val="24"/>
          <w:lang w:val="en-US"/>
        </w:rPr>
        <w:t>is a</w:t>
      </w:r>
      <w:r w:rsidR="00F6248E" w:rsidRPr="00CE02BD">
        <w:rPr>
          <w:rFonts w:ascii="Book Antiqua" w:hAnsi="Book Antiqua"/>
          <w:sz w:val="24"/>
          <w:szCs w:val="24"/>
          <w:lang w:val="en-US"/>
        </w:rPr>
        <w:t>n important</w:t>
      </w:r>
      <w:r w:rsidR="00050968" w:rsidRPr="00CE02BD">
        <w:rPr>
          <w:rFonts w:ascii="Book Antiqua" w:hAnsi="Book Antiqua"/>
          <w:sz w:val="24"/>
          <w:szCs w:val="24"/>
          <w:lang w:val="en-US"/>
        </w:rPr>
        <w:t xml:space="preserve"> </w:t>
      </w:r>
      <w:r w:rsidR="00364BA4" w:rsidRPr="00CE02BD">
        <w:rPr>
          <w:rFonts w:ascii="Book Antiqua" w:hAnsi="Book Antiqua"/>
          <w:sz w:val="24"/>
          <w:szCs w:val="24"/>
          <w:lang w:val="en-US"/>
        </w:rPr>
        <w:t xml:space="preserve">step </w:t>
      </w:r>
      <w:r w:rsidRPr="00CE02BD">
        <w:rPr>
          <w:rFonts w:ascii="Book Antiqua" w:hAnsi="Book Antiqua"/>
          <w:sz w:val="24"/>
          <w:szCs w:val="24"/>
          <w:lang w:val="en-US"/>
        </w:rPr>
        <w:t>toward</w:t>
      </w:r>
      <w:r w:rsidR="00364BA4" w:rsidRPr="00CE02BD">
        <w:rPr>
          <w:rFonts w:ascii="Book Antiqua" w:hAnsi="Book Antiqua"/>
          <w:sz w:val="24"/>
          <w:szCs w:val="24"/>
          <w:lang w:val="en-US"/>
        </w:rPr>
        <w:t>s</w:t>
      </w:r>
      <w:r w:rsidRPr="00CE02BD">
        <w:rPr>
          <w:rFonts w:ascii="Book Antiqua" w:hAnsi="Book Antiqua"/>
          <w:sz w:val="24"/>
          <w:szCs w:val="24"/>
          <w:lang w:val="en-US"/>
        </w:rPr>
        <w:t xml:space="preserve"> that direction</w:t>
      </w:r>
      <w:r w:rsidR="00AC19AB" w:rsidRPr="00CE02BD">
        <w:rPr>
          <w:rFonts w:ascii="Book Antiqua" w:hAnsi="Book Antiqua"/>
          <w:sz w:val="24"/>
          <w:szCs w:val="24"/>
          <w:lang w:val="en-US"/>
        </w:rPr>
        <w:t>, as proposed by the STRIDE guidance</w:t>
      </w:r>
      <w:r w:rsidRPr="00CE02BD">
        <w:rPr>
          <w:rFonts w:ascii="Book Antiqua" w:hAnsi="Book Antiqua"/>
          <w:sz w:val="24"/>
          <w:szCs w:val="24"/>
          <w:lang w:val="en-US"/>
        </w:rPr>
        <w:t>.</w:t>
      </w:r>
      <w:r w:rsidR="00AC19AB" w:rsidRPr="00CE02BD">
        <w:rPr>
          <w:rFonts w:ascii="Book Antiqua" w:hAnsi="Book Antiqua"/>
          <w:sz w:val="24"/>
          <w:szCs w:val="24"/>
          <w:lang w:val="en-US"/>
        </w:rPr>
        <w:t xml:space="preserve"> </w:t>
      </w:r>
      <w:r w:rsidR="00050968" w:rsidRPr="00CE02BD">
        <w:rPr>
          <w:rFonts w:ascii="Book Antiqua" w:hAnsi="Book Antiqua"/>
          <w:sz w:val="24"/>
          <w:szCs w:val="24"/>
          <w:lang w:val="en-US"/>
        </w:rPr>
        <w:t xml:space="preserve">Since the </w:t>
      </w:r>
      <w:r w:rsidR="00AF1CAC" w:rsidRPr="00CE02BD">
        <w:rPr>
          <w:rFonts w:ascii="Book Antiqua" w:hAnsi="Book Antiqua"/>
          <w:sz w:val="24"/>
          <w:szCs w:val="24"/>
          <w:lang w:val="en-US"/>
        </w:rPr>
        <w:t>STRIDE</w:t>
      </w:r>
      <w:r w:rsidR="00364BA4" w:rsidRPr="00CE02BD">
        <w:rPr>
          <w:rFonts w:ascii="Book Antiqua" w:hAnsi="Book Antiqua"/>
          <w:sz w:val="24"/>
          <w:szCs w:val="24"/>
          <w:lang w:val="en-US"/>
        </w:rPr>
        <w:t xml:space="preserve"> recommendations </w:t>
      </w:r>
      <w:r w:rsidR="00A64431" w:rsidRPr="00CE02BD">
        <w:rPr>
          <w:rFonts w:ascii="Book Antiqua" w:hAnsi="Book Antiqua"/>
          <w:sz w:val="24"/>
          <w:szCs w:val="24"/>
          <w:lang w:val="en-US"/>
        </w:rPr>
        <w:t>have been</w:t>
      </w:r>
      <w:r w:rsidR="00364BA4" w:rsidRPr="00CE02BD">
        <w:rPr>
          <w:rFonts w:ascii="Book Antiqua" w:hAnsi="Book Antiqua"/>
          <w:sz w:val="24"/>
          <w:szCs w:val="24"/>
          <w:lang w:val="en-US"/>
        </w:rPr>
        <w:t xml:space="preserve"> published</w:t>
      </w:r>
      <w:r w:rsidR="00050968" w:rsidRPr="00CE02BD">
        <w:rPr>
          <w:rFonts w:ascii="Book Antiqua" w:hAnsi="Book Antiqua"/>
          <w:sz w:val="24"/>
          <w:szCs w:val="24"/>
          <w:lang w:val="en-US"/>
        </w:rPr>
        <w:t xml:space="preserve">, </w:t>
      </w:r>
      <w:r w:rsidR="00364BA4" w:rsidRPr="00CE02BD">
        <w:rPr>
          <w:rFonts w:ascii="Book Antiqua" w:hAnsi="Book Antiqua"/>
          <w:sz w:val="24"/>
          <w:szCs w:val="24"/>
          <w:lang w:val="en-US"/>
        </w:rPr>
        <w:t xml:space="preserve">an increasing amount of </w:t>
      </w:r>
      <w:r w:rsidR="00517C96" w:rsidRPr="00CE02BD">
        <w:rPr>
          <w:rFonts w:ascii="Book Antiqua" w:hAnsi="Book Antiqua"/>
          <w:sz w:val="24"/>
          <w:szCs w:val="24"/>
          <w:lang w:val="en-US"/>
        </w:rPr>
        <w:t>clinical data emerged</w:t>
      </w:r>
      <w:r w:rsidR="00050968" w:rsidRPr="00CE02BD">
        <w:rPr>
          <w:rFonts w:ascii="Book Antiqua" w:hAnsi="Book Antiqua"/>
          <w:sz w:val="24"/>
          <w:szCs w:val="24"/>
          <w:lang w:val="en-US"/>
        </w:rPr>
        <w:t xml:space="preserve"> on the </w:t>
      </w:r>
      <w:r w:rsidR="00517C96" w:rsidRPr="00CE02BD">
        <w:rPr>
          <w:rFonts w:ascii="Book Antiqua" w:hAnsi="Book Antiqua"/>
          <w:sz w:val="24"/>
          <w:szCs w:val="24"/>
          <w:lang w:val="en-US"/>
        </w:rPr>
        <w:t>use of various targets and subsequent long-term outcomes, thus the re-evaluation</w:t>
      </w:r>
      <w:r w:rsidR="00956D84" w:rsidRPr="00CE02BD">
        <w:rPr>
          <w:rFonts w:ascii="Book Antiqua" w:hAnsi="Book Antiqua"/>
          <w:sz w:val="24"/>
          <w:szCs w:val="24"/>
          <w:lang w:val="en-US"/>
        </w:rPr>
        <w:t xml:space="preserve"> </w:t>
      </w:r>
      <w:r w:rsidR="00364BA4" w:rsidRPr="00CE02BD">
        <w:rPr>
          <w:rFonts w:ascii="Book Antiqua" w:hAnsi="Book Antiqua"/>
          <w:sz w:val="24"/>
          <w:szCs w:val="24"/>
          <w:lang w:val="en-US"/>
        </w:rPr>
        <w:t>of the recommendations and targets (</w:t>
      </w:r>
      <w:r w:rsidR="00364BA4" w:rsidRPr="00CE02BD">
        <w:rPr>
          <w:rFonts w:ascii="Book Antiqua" w:hAnsi="Book Antiqua"/>
          <w:i/>
          <w:iCs/>
          <w:sz w:val="24"/>
          <w:szCs w:val="24"/>
          <w:lang w:val="en-US"/>
        </w:rPr>
        <w:t>e.g.</w:t>
      </w:r>
      <w:r w:rsidR="00364BA4" w:rsidRPr="00CE02BD">
        <w:rPr>
          <w:rFonts w:ascii="Book Antiqua" w:hAnsi="Book Antiqua"/>
          <w:sz w:val="24"/>
          <w:szCs w:val="24"/>
          <w:lang w:val="en-US"/>
        </w:rPr>
        <w:t xml:space="preserve"> the role of biomarkers) is </w:t>
      </w:r>
      <w:r w:rsidR="00517C96" w:rsidRPr="00CE02BD">
        <w:rPr>
          <w:rFonts w:ascii="Book Antiqua" w:hAnsi="Book Antiqua"/>
          <w:sz w:val="24"/>
          <w:szCs w:val="24"/>
          <w:lang w:val="en-US"/>
        </w:rPr>
        <w:t xml:space="preserve">warranted. </w:t>
      </w:r>
    </w:p>
    <w:p w14:paraId="66C2744C" w14:textId="00FA47A0" w:rsidR="00517C96" w:rsidRPr="00CE02BD" w:rsidRDefault="00FE0F0C"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color w:val="000000" w:themeColor="text1"/>
          <w:sz w:val="24"/>
          <w:szCs w:val="24"/>
          <w:lang w:val="en-US"/>
        </w:rPr>
        <w:t xml:space="preserve">Recent long-term follow-up data of the CALM study show that endoscopic and deep remission at 1 year prevents disease progression in early </w:t>
      </w:r>
      <w:r w:rsidR="00CF4DDB" w:rsidRPr="00CE02BD">
        <w:rPr>
          <w:rFonts w:ascii="Book Antiqua" w:hAnsi="Book Antiqua"/>
          <w:color w:val="000000" w:themeColor="text1"/>
          <w:sz w:val="24"/>
          <w:szCs w:val="24"/>
          <w:lang w:val="en-US"/>
        </w:rPr>
        <w:t>CD</w:t>
      </w:r>
      <w:r w:rsidR="00CF4DDB" w:rsidRPr="00CE02BD">
        <w:rPr>
          <w:rFonts w:ascii="Book Antiqua" w:hAnsi="Book Antiqua"/>
          <w:sz w:val="24"/>
          <w:szCs w:val="24"/>
          <w:vertAlign w:val="superscript"/>
          <w:lang w:val="en-US"/>
        </w:rPr>
        <w:t>[</w:t>
      </w:r>
      <w:r w:rsidR="003823C4" w:rsidRPr="00CE02BD">
        <w:rPr>
          <w:rFonts w:ascii="Book Antiqua" w:hAnsi="Book Antiqua"/>
          <w:color w:val="000000" w:themeColor="text1"/>
          <w:sz w:val="24"/>
          <w:szCs w:val="24"/>
          <w:vertAlign w:val="superscript"/>
          <w:lang w:val="en-US"/>
        </w:rPr>
        <w:t>55</w:t>
      </w:r>
      <w:r w:rsidR="00CF4DDB" w:rsidRPr="00CE02BD">
        <w:rPr>
          <w:rFonts w:ascii="Book Antiqua" w:hAnsi="Book Antiqua"/>
          <w:sz w:val="24"/>
          <w:szCs w:val="24"/>
          <w:vertAlign w:val="superscript"/>
          <w:lang w:val="en-US"/>
        </w:rPr>
        <w:t>]</w:t>
      </w:r>
      <w:r w:rsidRPr="00CE02BD">
        <w:rPr>
          <w:rFonts w:ascii="Book Antiqua" w:hAnsi="Book Antiqua"/>
          <w:color w:val="000000" w:themeColor="text1"/>
          <w:sz w:val="24"/>
          <w:szCs w:val="24"/>
          <w:lang w:val="en-US"/>
        </w:rPr>
        <w:t xml:space="preserve">, however further clinical trials are needed to </w:t>
      </w:r>
      <w:r w:rsidRPr="00CE02BD">
        <w:rPr>
          <w:rFonts w:ascii="Book Antiqua" w:hAnsi="Book Antiqua"/>
          <w:sz w:val="24"/>
          <w:szCs w:val="24"/>
          <w:lang w:val="en-US"/>
        </w:rPr>
        <w:t xml:space="preserve">demonstrate </w:t>
      </w:r>
      <w:r w:rsidR="00A86C8C" w:rsidRPr="00CE02BD">
        <w:rPr>
          <w:rFonts w:ascii="Book Antiqua" w:hAnsi="Book Antiqua"/>
          <w:sz w:val="24"/>
          <w:szCs w:val="24"/>
          <w:lang w:val="en-US"/>
        </w:rPr>
        <w:t xml:space="preserve">the </w:t>
      </w:r>
      <w:r w:rsidR="00C95941" w:rsidRPr="00CE02BD">
        <w:rPr>
          <w:rFonts w:ascii="Book Antiqua" w:hAnsi="Book Antiqua"/>
          <w:sz w:val="24"/>
          <w:szCs w:val="24"/>
          <w:lang w:val="en-US"/>
        </w:rPr>
        <w:t>long</w:t>
      </w:r>
      <w:r w:rsidRPr="00CE02BD">
        <w:rPr>
          <w:rFonts w:ascii="Book Antiqua" w:hAnsi="Book Antiqua"/>
          <w:sz w:val="24"/>
          <w:szCs w:val="24"/>
          <w:lang w:val="en-US"/>
        </w:rPr>
        <w:t>-</w:t>
      </w:r>
      <w:r w:rsidR="00C95941" w:rsidRPr="00CE02BD">
        <w:rPr>
          <w:rFonts w:ascii="Book Antiqua" w:hAnsi="Book Antiqua"/>
          <w:sz w:val="24"/>
          <w:szCs w:val="24"/>
          <w:lang w:val="en-US"/>
        </w:rPr>
        <w:t xml:space="preserve">term </w:t>
      </w:r>
      <w:r w:rsidR="00A86C8C" w:rsidRPr="00CE02BD">
        <w:rPr>
          <w:rFonts w:ascii="Book Antiqua" w:hAnsi="Book Antiqua"/>
          <w:sz w:val="24"/>
          <w:szCs w:val="24"/>
          <w:lang w:val="en-US"/>
        </w:rPr>
        <w:t xml:space="preserve">superiority of </w:t>
      </w:r>
      <w:r w:rsidRPr="00CE02BD">
        <w:rPr>
          <w:rFonts w:ascii="Book Antiqua" w:hAnsi="Book Antiqua"/>
          <w:sz w:val="24"/>
          <w:szCs w:val="24"/>
          <w:lang w:val="en-US"/>
        </w:rPr>
        <w:t xml:space="preserve">treating to </w:t>
      </w:r>
      <w:r w:rsidR="00A86C8C" w:rsidRPr="00CE02BD">
        <w:rPr>
          <w:rFonts w:ascii="Book Antiqua" w:hAnsi="Book Antiqua"/>
          <w:sz w:val="24"/>
          <w:szCs w:val="24"/>
          <w:lang w:val="en-US"/>
        </w:rPr>
        <w:t>endoscopic remission.</w:t>
      </w:r>
      <w:r w:rsidR="00987E74" w:rsidRPr="00CE02BD">
        <w:rPr>
          <w:rFonts w:ascii="Book Antiqua" w:hAnsi="Book Antiqua"/>
          <w:sz w:val="24"/>
          <w:szCs w:val="24"/>
          <w:lang w:val="en-US"/>
        </w:rPr>
        <w:t xml:space="preserve"> The REACT2 </w:t>
      </w:r>
      <w:r w:rsidRPr="00CE02BD">
        <w:rPr>
          <w:rFonts w:ascii="Book Antiqua" w:hAnsi="Book Antiqua"/>
          <w:sz w:val="24"/>
          <w:szCs w:val="24"/>
          <w:lang w:val="en-US"/>
        </w:rPr>
        <w:t xml:space="preserve">trial </w:t>
      </w:r>
      <w:r w:rsidR="00987E74" w:rsidRPr="00CE02BD">
        <w:rPr>
          <w:rFonts w:ascii="Book Antiqua" w:hAnsi="Book Antiqua"/>
          <w:sz w:val="24"/>
          <w:szCs w:val="24"/>
          <w:lang w:val="en-US"/>
        </w:rPr>
        <w:t>(Enhanced Algorithm for Crohn’s Treatment Incorporating Early Combination Therapy</w:t>
      </w:r>
      <w:r w:rsidRPr="00CE02BD">
        <w:rPr>
          <w:rFonts w:ascii="Book Antiqua" w:hAnsi="Book Antiqua"/>
          <w:sz w:val="24"/>
          <w:szCs w:val="24"/>
          <w:lang w:val="en-US"/>
        </w:rPr>
        <w:t xml:space="preserve"> trial</w:t>
      </w:r>
      <w:r w:rsidR="00987E74" w:rsidRPr="00CE02BD">
        <w:rPr>
          <w:rFonts w:ascii="Book Antiqua" w:hAnsi="Book Antiqua"/>
          <w:sz w:val="24"/>
          <w:szCs w:val="24"/>
          <w:lang w:val="en-US"/>
        </w:rPr>
        <w:t xml:space="preserve">) </w:t>
      </w:r>
      <w:r w:rsidRPr="00CE02BD">
        <w:rPr>
          <w:rFonts w:ascii="Book Antiqua" w:hAnsi="Book Antiqua"/>
          <w:sz w:val="24"/>
          <w:szCs w:val="24"/>
          <w:lang w:val="en-US"/>
        </w:rPr>
        <w:t>assesses the exact role of endoscopy in the tight control concept by comparing</w:t>
      </w:r>
      <w:r w:rsidR="00987E74" w:rsidRPr="00CE02BD">
        <w:rPr>
          <w:rFonts w:ascii="Book Antiqua" w:hAnsi="Book Antiqua"/>
          <w:sz w:val="24"/>
          <w:szCs w:val="24"/>
          <w:lang w:val="en-US"/>
        </w:rPr>
        <w:t xml:space="preserve"> an </w:t>
      </w:r>
      <w:r w:rsidR="00643A0C" w:rsidRPr="00CE02BD">
        <w:rPr>
          <w:rFonts w:ascii="Book Antiqua" w:hAnsi="Book Antiqua"/>
          <w:sz w:val="24"/>
          <w:szCs w:val="24"/>
          <w:lang w:val="en-US"/>
        </w:rPr>
        <w:t xml:space="preserve">enhanced </w:t>
      </w:r>
      <w:r w:rsidR="00907BAA" w:rsidRPr="00CE02BD">
        <w:rPr>
          <w:rFonts w:ascii="Book Antiqua" w:hAnsi="Book Antiqua"/>
          <w:sz w:val="24"/>
          <w:szCs w:val="24"/>
          <w:lang w:val="en-US"/>
        </w:rPr>
        <w:t>treat-to-</w:t>
      </w:r>
      <w:r w:rsidR="00643A0C" w:rsidRPr="00CE02BD">
        <w:rPr>
          <w:rFonts w:ascii="Book Antiqua" w:hAnsi="Book Antiqua"/>
          <w:sz w:val="24"/>
          <w:szCs w:val="24"/>
          <w:lang w:val="en-US"/>
        </w:rPr>
        <w:t xml:space="preserve">target strategy featuring early use </w:t>
      </w:r>
      <w:r w:rsidRPr="00CE02BD">
        <w:rPr>
          <w:rFonts w:ascii="Book Antiqua" w:hAnsi="Book Antiqua"/>
          <w:sz w:val="24"/>
          <w:szCs w:val="24"/>
          <w:lang w:val="en-US"/>
        </w:rPr>
        <w:t xml:space="preserve">and rapid escalation </w:t>
      </w:r>
      <w:r w:rsidR="00643A0C" w:rsidRPr="00CE02BD">
        <w:rPr>
          <w:rFonts w:ascii="Book Antiqua" w:hAnsi="Book Antiqua"/>
          <w:sz w:val="24"/>
          <w:szCs w:val="24"/>
          <w:lang w:val="en-US"/>
        </w:rPr>
        <w:t xml:space="preserve">of combined </w:t>
      </w:r>
      <w:r w:rsidR="00643A0C" w:rsidRPr="00CE02BD">
        <w:rPr>
          <w:rFonts w:ascii="Book Antiqua" w:hAnsi="Book Antiqua"/>
          <w:sz w:val="24"/>
          <w:szCs w:val="24"/>
          <w:lang w:val="en-US"/>
        </w:rPr>
        <w:lastRenderedPageBreak/>
        <w:t xml:space="preserve">antimetabolite/adalimumab therapy based on timely </w:t>
      </w:r>
      <w:r w:rsidR="00987E74" w:rsidRPr="00CE02BD">
        <w:rPr>
          <w:rFonts w:ascii="Book Antiqua" w:hAnsi="Book Antiqua"/>
          <w:sz w:val="24"/>
          <w:szCs w:val="24"/>
          <w:lang w:val="en-US"/>
        </w:rPr>
        <w:t>endoscopic</w:t>
      </w:r>
      <w:r w:rsidR="00643A0C" w:rsidRPr="00CE02BD">
        <w:rPr>
          <w:rFonts w:ascii="Book Antiqua" w:hAnsi="Book Antiqua"/>
          <w:sz w:val="24"/>
          <w:szCs w:val="24"/>
          <w:lang w:val="en-US"/>
        </w:rPr>
        <w:t xml:space="preserve"> evaluations </w:t>
      </w:r>
      <w:r w:rsidR="00987E74" w:rsidRPr="00CE02BD">
        <w:rPr>
          <w:rFonts w:ascii="Book Antiqua" w:hAnsi="Book Antiqua"/>
          <w:sz w:val="24"/>
          <w:szCs w:val="24"/>
          <w:lang w:val="en-US"/>
        </w:rPr>
        <w:t xml:space="preserve">with </w:t>
      </w:r>
      <w:r w:rsidR="00643A0C" w:rsidRPr="00CE02BD">
        <w:rPr>
          <w:rFonts w:ascii="Book Antiqua" w:hAnsi="Book Antiqua"/>
          <w:sz w:val="24"/>
          <w:szCs w:val="24"/>
          <w:lang w:val="en-US"/>
        </w:rPr>
        <w:t>a</w:t>
      </w:r>
      <w:r w:rsidR="00987E74" w:rsidRPr="00CE02BD">
        <w:rPr>
          <w:rFonts w:ascii="Book Antiqua" w:hAnsi="Book Antiqua"/>
          <w:sz w:val="24"/>
          <w:szCs w:val="24"/>
          <w:lang w:val="en-US"/>
        </w:rPr>
        <w:t xml:space="preserve"> traditional </w:t>
      </w:r>
      <w:r w:rsidR="00643A0C" w:rsidRPr="00CE02BD">
        <w:rPr>
          <w:rFonts w:ascii="Book Antiqua" w:hAnsi="Book Antiqua"/>
          <w:sz w:val="24"/>
          <w:szCs w:val="24"/>
          <w:lang w:val="en-US"/>
        </w:rPr>
        <w:t>s</w:t>
      </w:r>
      <w:r w:rsidRPr="00CE02BD">
        <w:rPr>
          <w:rFonts w:ascii="Book Antiqua" w:hAnsi="Book Antiqua"/>
          <w:sz w:val="24"/>
          <w:szCs w:val="24"/>
          <w:lang w:val="en-US"/>
        </w:rPr>
        <w:t xml:space="preserve">tep-care algorithm with symptom driven </w:t>
      </w:r>
      <w:r w:rsidR="00643A0C" w:rsidRPr="00CE02BD">
        <w:rPr>
          <w:rFonts w:ascii="Book Antiqua" w:hAnsi="Book Antiqua"/>
          <w:sz w:val="24"/>
          <w:szCs w:val="24"/>
          <w:lang w:val="en-US"/>
        </w:rPr>
        <w:t xml:space="preserve">treatment escalation </w:t>
      </w:r>
      <w:r w:rsidR="00987E74" w:rsidRPr="00CE02BD">
        <w:rPr>
          <w:rFonts w:ascii="Book Antiqua" w:hAnsi="Book Antiqua"/>
          <w:sz w:val="24"/>
          <w:szCs w:val="24"/>
          <w:lang w:val="en-US"/>
        </w:rPr>
        <w:t>(ClinicalTrials.gov: NCT01698307)</w:t>
      </w:r>
      <w:r w:rsidR="00583505" w:rsidRPr="00CE02BD">
        <w:rPr>
          <w:rFonts w:ascii="Book Antiqua" w:hAnsi="Book Antiqua"/>
          <w:sz w:val="24"/>
          <w:szCs w:val="24"/>
          <w:vertAlign w:val="superscript"/>
          <w:lang w:val="en-US"/>
        </w:rPr>
        <w:t>[91]</w:t>
      </w:r>
      <w:r w:rsidR="00987E74" w:rsidRPr="00CE02BD">
        <w:rPr>
          <w:rFonts w:ascii="Book Antiqua" w:hAnsi="Book Antiqua"/>
          <w:sz w:val="24"/>
          <w:szCs w:val="24"/>
          <w:lang w:val="en-US"/>
        </w:rPr>
        <w:t xml:space="preserve">. </w:t>
      </w:r>
      <w:r w:rsidR="00A86C8C" w:rsidRPr="00CE02BD">
        <w:rPr>
          <w:rFonts w:ascii="Book Antiqua" w:hAnsi="Book Antiqua"/>
          <w:sz w:val="24"/>
          <w:szCs w:val="24"/>
          <w:lang w:val="en-US"/>
        </w:rPr>
        <w:t xml:space="preserve">In addition, a unified definition of endoscopic response/remission tailored </w:t>
      </w:r>
      <w:r w:rsidR="00F6248E" w:rsidRPr="00CE02BD">
        <w:rPr>
          <w:rFonts w:ascii="Book Antiqua" w:hAnsi="Book Antiqua"/>
          <w:sz w:val="24"/>
          <w:szCs w:val="24"/>
          <w:lang w:val="en-US"/>
        </w:rPr>
        <w:t xml:space="preserve">to the </w:t>
      </w:r>
      <w:r w:rsidR="00643A0C" w:rsidRPr="00CE02BD">
        <w:rPr>
          <w:rFonts w:ascii="Book Antiqua" w:hAnsi="Book Antiqua"/>
          <w:sz w:val="24"/>
          <w:szCs w:val="24"/>
          <w:lang w:val="en-US"/>
        </w:rPr>
        <w:t xml:space="preserve">everyday clinical practice </w:t>
      </w:r>
      <w:r w:rsidR="00A86C8C" w:rsidRPr="00CE02BD">
        <w:rPr>
          <w:rFonts w:ascii="Book Antiqua" w:hAnsi="Book Antiqua"/>
          <w:sz w:val="24"/>
          <w:szCs w:val="24"/>
          <w:lang w:val="en-US"/>
        </w:rPr>
        <w:t xml:space="preserve">is </w:t>
      </w:r>
      <w:r w:rsidR="00F6248E" w:rsidRPr="00CE02BD">
        <w:rPr>
          <w:rFonts w:ascii="Book Antiqua" w:hAnsi="Book Antiqua"/>
          <w:sz w:val="24"/>
          <w:szCs w:val="24"/>
          <w:lang w:val="en-US"/>
        </w:rPr>
        <w:t>missing</w:t>
      </w:r>
      <w:r w:rsidR="00A86C8C" w:rsidRPr="00CE02BD">
        <w:rPr>
          <w:rFonts w:ascii="Book Antiqua" w:hAnsi="Book Antiqua"/>
          <w:sz w:val="24"/>
          <w:szCs w:val="24"/>
          <w:lang w:val="en-US"/>
        </w:rPr>
        <w:t>, especially in CD.</w:t>
      </w:r>
    </w:p>
    <w:p w14:paraId="5615553F" w14:textId="1A53AD6A" w:rsidR="00CA3343" w:rsidRPr="00CE02BD" w:rsidRDefault="00F6248E"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The </w:t>
      </w:r>
      <w:r w:rsidR="00C95941" w:rsidRPr="00CE02BD">
        <w:rPr>
          <w:rFonts w:ascii="Book Antiqua" w:hAnsi="Book Antiqua"/>
          <w:sz w:val="24"/>
          <w:szCs w:val="24"/>
          <w:lang w:val="en-US"/>
        </w:rPr>
        <w:t xml:space="preserve">evidence </w:t>
      </w:r>
      <w:r w:rsidR="00CA3343" w:rsidRPr="00CE02BD">
        <w:rPr>
          <w:rFonts w:ascii="Book Antiqua" w:hAnsi="Book Antiqua"/>
          <w:sz w:val="24"/>
          <w:szCs w:val="24"/>
          <w:lang w:val="en-US"/>
        </w:rPr>
        <w:t xml:space="preserve">is </w:t>
      </w:r>
      <w:r w:rsidRPr="00CE02BD">
        <w:rPr>
          <w:rFonts w:ascii="Book Antiqua" w:hAnsi="Book Antiqua"/>
          <w:sz w:val="24"/>
          <w:szCs w:val="24"/>
          <w:lang w:val="en-US"/>
        </w:rPr>
        <w:t xml:space="preserve">clearly </w:t>
      </w:r>
      <w:r w:rsidR="00CA3343" w:rsidRPr="00CE02BD">
        <w:rPr>
          <w:rFonts w:ascii="Book Antiqua" w:hAnsi="Book Antiqua"/>
          <w:sz w:val="24"/>
          <w:szCs w:val="24"/>
          <w:lang w:val="en-US"/>
        </w:rPr>
        <w:t xml:space="preserve">increasing </w:t>
      </w:r>
      <w:r w:rsidRPr="00CE02BD">
        <w:rPr>
          <w:rFonts w:ascii="Book Antiqua" w:hAnsi="Book Antiqua"/>
          <w:sz w:val="24"/>
          <w:szCs w:val="24"/>
          <w:lang w:val="en-US"/>
        </w:rPr>
        <w:t xml:space="preserve">on the </w:t>
      </w:r>
      <w:r w:rsidR="00CA3343" w:rsidRPr="00CE02BD">
        <w:rPr>
          <w:rFonts w:ascii="Book Antiqua" w:hAnsi="Book Antiqua"/>
          <w:sz w:val="24"/>
          <w:szCs w:val="24"/>
          <w:lang w:val="en-US"/>
        </w:rPr>
        <w:t>role of biomarkers, supported by the positive results of the CALM study</w:t>
      </w:r>
      <w:r w:rsidR="00AA0F75" w:rsidRPr="00CE02BD">
        <w:rPr>
          <w:rFonts w:ascii="Book Antiqua" w:hAnsi="Book Antiqua"/>
          <w:sz w:val="24"/>
          <w:szCs w:val="24"/>
          <w:lang w:val="en-US"/>
        </w:rPr>
        <w:t xml:space="preserve">. </w:t>
      </w:r>
      <w:r w:rsidR="00C95941" w:rsidRPr="00CE02BD">
        <w:rPr>
          <w:rFonts w:ascii="Book Antiqua" w:hAnsi="Book Antiqua"/>
          <w:sz w:val="24"/>
          <w:szCs w:val="24"/>
          <w:lang w:val="en-US"/>
        </w:rPr>
        <w:t>Biomarkers emerge as treatment targets as they</w:t>
      </w:r>
      <w:r w:rsidR="00AA0F75" w:rsidRPr="00CE02BD">
        <w:rPr>
          <w:rFonts w:ascii="Book Antiqua" w:hAnsi="Book Antiqua"/>
          <w:sz w:val="24"/>
          <w:szCs w:val="24"/>
          <w:lang w:val="en-US"/>
        </w:rPr>
        <w:t xml:space="preserve"> can guide treatment escalations, leading to superior endoscopic and clinical outcomes, which is the foundation of the tight control concept</w:t>
      </w:r>
      <w:r w:rsidR="00CA3343" w:rsidRPr="00CE02BD">
        <w:rPr>
          <w:rFonts w:ascii="Book Antiqua" w:hAnsi="Book Antiqua"/>
          <w:sz w:val="24"/>
          <w:szCs w:val="24"/>
          <w:lang w:val="en-US"/>
        </w:rPr>
        <w:t>.</w:t>
      </w:r>
      <w:r w:rsidR="00AA0F75" w:rsidRPr="00CE02BD">
        <w:rPr>
          <w:rFonts w:ascii="Book Antiqua" w:hAnsi="Book Antiqua"/>
          <w:sz w:val="24"/>
          <w:szCs w:val="24"/>
          <w:lang w:val="en-US"/>
        </w:rPr>
        <w:t xml:space="preserve"> </w:t>
      </w:r>
      <w:r w:rsidRPr="00CE02BD">
        <w:rPr>
          <w:rFonts w:ascii="Book Antiqua" w:hAnsi="Book Antiqua"/>
          <w:sz w:val="24"/>
          <w:szCs w:val="24"/>
          <w:lang w:val="en-US"/>
        </w:rPr>
        <w:t>However, m</w:t>
      </w:r>
      <w:r w:rsidR="006E1597" w:rsidRPr="00CE02BD">
        <w:rPr>
          <w:rFonts w:ascii="Book Antiqua" w:hAnsi="Book Antiqua"/>
          <w:sz w:val="24"/>
          <w:szCs w:val="24"/>
          <w:lang w:val="en-US"/>
        </w:rPr>
        <w:t xml:space="preserve">ore evidence is needed to determine the optimal role </w:t>
      </w:r>
      <w:r w:rsidRPr="00CE02BD">
        <w:rPr>
          <w:rFonts w:ascii="Book Antiqua" w:hAnsi="Book Antiqua"/>
          <w:sz w:val="24"/>
          <w:szCs w:val="24"/>
          <w:lang w:val="en-US"/>
        </w:rPr>
        <w:t xml:space="preserve">and cut-offs </w:t>
      </w:r>
      <w:r w:rsidR="006E1597" w:rsidRPr="00CE02BD">
        <w:rPr>
          <w:rFonts w:ascii="Book Antiqua" w:hAnsi="Book Antiqua"/>
          <w:sz w:val="24"/>
          <w:szCs w:val="24"/>
          <w:lang w:val="en-US"/>
        </w:rPr>
        <w:t>of biomarker</w:t>
      </w:r>
      <w:r w:rsidRPr="00CE02BD">
        <w:rPr>
          <w:rFonts w:ascii="Book Antiqua" w:hAnsi="Book Antiqua"/>
          <w:sz w:val="24"/>
          <w:szCs w:val="24"/>
          <w:lang w:val="en-US"/>
        </w:rPr>
        <w:t xml:space="preserve">s in </w:t>
      </w:r>
      <w:r w:rsidR="006E1597" w:rsidRPr="00CE02BD">
        <w:rPr>
          <w:rFonts w:ascii="Book Antiqua" w:hAnsi="Book Antiqua"/>
          <w:sz w:val="24"/>
          <w:szCs w:val="24"/>
          <w:lang w:val="en-US"/>
        </w:rPr>
        <w:t xml:space="preserve">monitoring disease control. </w:t>
      </w:r>
      <w:r w:rsidRPr="00CE02BD">
        <w:rPr>
          <w:rFonts w:ascii="Book Antiqua" w:hAnsi="Book Antiqua"/>
          <w:sz w:val="24"/>
          <w:szCs w:val="24"/>
          <w:lang w:val="en-US"/>
        </w:rPr>
        <w:t xml:space="preserve">Using directly the </w:t>
      </w:r>
      <w:r w:rsidR="006E1597" w:rsidRPr="00CE02BD">
        <w:rPr>
          <w:rFonts w:ascii="Book Antiqua" w:hAnsi="Book Antiqua"/>
          <w:sz w:val="24"/>
          <w:szCs w:val="24"/>
          <w:lang w:val="en-US"/>
        </w:rPr>
        <w:t xml:space="preserve">‘therapeutic failure’ </w:t>
      </w:r>
      <w:r w:rsidRPr="00CE02BD">
        <w:rPr>
          <w:rFonts w:ascii="Book Antiqua" w:hAnsi="Book Antiqua"/>
          <w:sz w:val="24"/>
          <w:szCs w:val="24"/>
          <w:lang w:val="en-US"/>
        </w:rPr>
        <w:t>from</w:t>
      </w:r>
      <w:r w:rsidR="006E1597" w:rsidRPr="00CE02BD">
        <w:rPr>
          <w:rFonts w:ascii="Book Antiqua" w:hAnsi="Book Antiqua"/>
          <w:sz w:val="24"/>
          <w:szCs w:val="24"/>
          <w:lang w:val="en-US"/>
        </w:rPr>
        <w:t xml:space="preserve"> the CALM study</w:t>
      </w:r>
      <w:r w:rsidRPr="00CE02BD">
        <w:rPr>
          <w:rFonts w:ascii="Book Antiqua" w:hAnsi="Book Antiqua"/>
          <w:sz w:val="24"/>
          <w:szCs w:val="24"/>
          <w:lang w:val="en-US"/>
        </w:rPr>
        <w:t xml:space="preserve"> solely based on biomarker positivityto</w:t>
      </w:r>
      <w:r w:rsidR="006E1597" w:rsidRPr="00CE02BD">
        <w:rPr>
          <w:rFonts w:ascii="Book Antiqua" w:hAnsi="Book Antiqua"/>
          <w:sz w:val="24"/>
          <w:szCs w:val="24"/>
          <w:lang w:val="en-US"/>
        </w:rPr>
        <w:t xml:space="preserve"> prompt therapy escalation in certain cases would potentially be overly stringent in everyday clinical practice, leading to frequent overtreatment</w:t>
      </w:r>
      <w:r w:rsidR="003C42B7" w:rsidRPr="00CE02BD">
        <w:rPr>
          <w:rFonts w:ascii="Book Antiqua" w:hAnsi="Book Antiqua"/>
          <w:sz w:val="24"/>
          <w:szCs w:val="24"/>
          <w:lang w:val="en-US"/>
        </w:rPr>
        <w:t>. L</w:t>
      </w:r>
      <w:r w:rsidRPr="00CE02BD">
        <w:rPr>
          <w:rFonts w:ascii="Book Antiqua" w:hAnsi="Book Antiqua"/>
          <w:sz w:val="24"/>
          <w:szCs w:val="24"/>
          <w:lang w:val="en-US"/>
        </w:rPr>
        <w:t>ong term cost-efficacy has to be established</w:t>
      </w:r>
      <w:r w:rsidR="003C42B7" w:rsidRPr="00CE02BD">
        <w:rPr>
          <w:rFonts w:ascii="Book Antiqua" w:hAnsi="Book Antiqua"/>
          <w:sz w:val="24"/>
          <w:szCs w:val="24"/>
          <w:lang w:val="en-US"/>
        </w:rPr>
        <w:t xml:space="preserve"> as well</w:t>
      </w:r>
      <w:r w:rsidR="006E1597" w:rsidRPr="00CE02BD">
        <w:rPr>
          <w:rFonts w:ascii="Book Antiqua" w:hAnsi="Book Antiqua"/>
          <w:sz w:val="24"/>
          <w:szCs w:val="24"/>
          <w:lang w:val="en-US"/>
        </w:rPr>
        <w:t>.</w:t>
      </w:r>
      <w:r w:rsidR="00F41A13" w:rsidRPr="00CE02BD">
        <w:rPr>
          <w:rFonts w:ascii="Book Antiqua" w:hAnsi="Book Antiqua"/>
          <w:sz w:val="24"/>
          <w:szCs w:val="24"/>
          <w:lang w:val="en-US"/>
        </w:rPr>
        <w:t xml:space="preserve"> </w:t>
      </w:r>
      <w:r w:rsidRPr="00CE02BD">
        <w:rPr>
          <w:rFonts w:ascii="Book Antiqua" w:hAnsi="Book Antiqua"/>
          <w:sz w:val="24"/>
          <w:szCs w:val="24"/>
          <w:lang w:val="en-US"/>
        </w:rPr>
        <w:t xml:space="preserve">Further data is needed to evaluate the </w:t>
      </w:r>
      <w:r w:rsidR="00F41A13" w:rsidRPr="00CE02BD">
        <w:rPr>
          <w:rFonts w:ascii="Book Antiqua" w:hAnsi="Book Antiqua"/>
          <w:sz w:val="24"/>
          <w:szCs w:val="24"/>
          <w:lang w:val="en-US"/>
        </w:rPr>
        <w:t xml:space="preserve">role of </w:t>
      </w:r>
      <w:r w:rsidRPr="00CE02BD">
        <w:rPr>
          <w:rFonts w:ascii="Book Antiqua" w:hAnsi="Book Antiqua"/>
          <w:sz w:val="24"/>
          <w:szCs w:val="24"/>
          <w:lang w:val="en-US"/>
        </w:rPr>
        <w:t xml:space="preserve">different </w:t>
      </w:r>
      <w:r w:rsidR="00F41A13" w:rsidRPr="00CE02BD">
        <w:rPr>
          <w:rFonts w:ascii="Book Antiqua" w:hAnsi="Book Antiqua"/>
          <w:sz w:val="24"/>
          <w:szCs w:val="24"/>
          <w:lang w:val="en-US"/>
        </w:rPr>
        <w:t>biomarkers</w:t>
      </w:r>
      <w:r w:rsidRPr="00CE02BD">
        <w:rPr>
          <w:rFonts w:ascii="Book Antiqua" w:hAnsi="Book Antiqua"/>
          <w:sz w:val="24"/>
          <w:szCs w:val="24"/>
          <w:lang w:val="en-US"/>
        </w:rPr>
        <w:t xml:space="preserve">, especially </w:t>
      </w:r>
      <w:r w:rsidR="00F41A13" w:rsidRPr="00CE02BD">
        <w:rPr>
          <w:rFonts w:ascii="Book Antiqua" w:hAnsi="Book Antiqua"/>
          <w:sz w:val="24"/>
          <w:szCs w:val="24"/>
          <w:lang w:val="en-US"/>
        </w:rPr>
        <w:t>use</w:t>
      </w:r>
      <w:r w:rsidRPr="00CE02BD">
        <w:rPr>
          <w:rFonts w:ascii="Book Antiqua" w:hAnsi="Book Antiqua"/>
          <w:sz w:val="24"/>
          <w:szCs w:val="24"/>
          <w:lang w:val="en-US"/>
        </w:rPr>
        <w:t>d as</w:t>
      </w:r>
      <w:r w:rsidR="00F41A13" w:rsidRPr="00CE02BD">
        <w:rPr>
          <w:rFonts w:ascii="Book Antiqua" w:hAnsi="Book Antiqua"/>
          <w:sz w:val="24"/>
          <w:szCs w:val="24"/>
          <w:lang w:val="en-US"/>
        </w:rPr>
        <w:t xml:space="preserve"> composite (biomarker and endoscopic) ‘treatment failure’ criteria.</w:t>
      </w:r>
      <w:r w:rsidRPr="00CE02BD">
        <w:rPr>
          <w:rFonts w:ascii="Book Antiqua" w:hAnsi="Book Antiqua"/>
          <w:sz w:val="24"/>
          <w:szCs w:val="24"/>
          <w:lang w:val="en-US"/>
        </w:rPr>
        <w:t xml:space="preserve"> </w:t>
      </w:r>
    </w:p>
    <w:p w14:paraId="4CF476BA" w14:textId="49AADA76" w:rsidR="00517C96" w:rsidRPr="00CE02BD" w:rsidRDefault="00DA0E7D"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Other elements of </w:t>
      </w:r>
      <w:r w:rsidR="00907BAA" w:rsidRPr="00CE02BD">
        <w:rPr>
          <w:rFonts w:ascii="Book Antiqua" w:hAnsi="Book Antiqua"/>
          <w:sz w:val="24"/>
          <w:szCs w:val="24"/>
          <w:lang w:val="en-US"/>
        </w:rPr>
        <w:t>the treat-to-</w:t>
      </w:r>
      <w:r w:rsidRPr="00CE02BD">
        <w:rPr>
          <w:rFonts w:ascii="Book Antiqua" w:hAnsi="Book Antiqua"/>
          <w:sz w:val="24"/>
          <w:szCs w:val="24"/>
          <w:lang w:val="en-US"/>
        </w:rPr>
        <w:t>targ</w:t>
      </w:r>
      <w:r w:rsidR="00AA0F75" w:rsidRPr="00CE02BD">
        <w:rPr>
          <w:rFonts w:ascii="Book Antiqua" w:hAnsi="Book Antiqua"/>
          <w:sz w:val="24"/>
          <w:szCs w:val="24"/>
          <w:lang w:val="en-US"/>
        </w:rPr>
        <w:t xml:space="preserve">et and tight control strategies, such as the adequate </w:t>
      </w:r>
      <w:r w:rsidR="00F41A13" w:rsidRPr="00CE02BD">
        <w:rPr>
          <w:rFonts w:ascii="Book Antiqua" w:hAnsi="Book Antiqua"/>
          <w:sz w:val="24"/>
          <w:szCs w:val="24"/>
          <w:lang w:val="en-US"/>
        </w:rPr>
        <w:t>intervals</w:t>
      </w:r>
      <w:r w:rsidR="00AA0F75" w:rsidRPr="00CE02BD">
        <w:rPr>
          <w:rFonts w:ascii="Book Antiqua" w:hAnsi="Book Antiqua"/>
          <w:sz w:val="24"/>
          <w:szCs w:val="24"/>
          <w:lang w:val="en-US"/>
        </w:rPr>
        <w:t xml:space="preserve"> of patient monitoring </w:t>
      </w:r>
      <w:r w:rsidRPr="00CE02BD">
        <w:rPr>
          <w:rFonts w:ascii="Book Antiqua" w:hAnsi="Book Antiqua"/>
          <w:sz w:val="24"/>
          <w:szCs w:val="24"/>
          <w:lang w:val="en-US"/>
        </w:rPr>
        <w:t xml:space="preserve">also need clarification. </w:t>
      </w:r>
      <w:r w:rsidR="00CA3343" w:rsidRPr="00CE02BD">
        <w:rPr>
          <w:rFonts w:ascii="Book Antiqua" w:hAnsi="Book Antiqua"/>
          <w:sz w:val="24"/>
          <w:szCs w:val="24"/>
          <w:lang w:val="en-US"/>
        </w:rPr>
        <w:t xml:space="preserve">Although the STRIDE specifies recommendations for timing of clinical </w:t>
      </w:r>
      <w:r w:rsidR="00AA0F75" w:rsidRPr="00CE02BD">
        <w:rPr>
          <w:rFonts w:ascii="Book Antiqua" w:hAnsi="Book Antiqua"/>
          <w:sz w:val="24"/>
          <w:szCs w:val="24"/>
          <w:lang w:val="en-US"/>
        </w:rPr>
        <w:t xml:space="preserve">and endoscopic evaluations, data on </w:t>
      </w:r>
      <w:r w:rsidR="006D2DAB" w:rsidRPr="00CE02BD">
        <w:rPr>
          <w:rFonts w:ascii="Book Antiqua" w:hAnsi="Book Antiqua"/>
          <w:sz w:val="24"/>
          <w:szCs w:val="24"/>
          <w:lang w:val="en-US"/>
        </w:rPr>
        <w:t xml:space="preserve">optimal </w:t>
      </w:r>
      <w:r w:rsidR="00AA0F75" w:rsidRPr="00CE02BD">
        <w:rPr>
          <w:rFonts w:ascii="Book Antiqua" w:hAnsi="Book Antiqua"/>
          <w:sz w:val="24"/>
          <w:szCs w:val="24"/>
          <w:lang w:val="en-US"/>
        </w:rPr>
        <w:t xml:space="preserve">biomarker follow-up intervals are </w:t>
      </w:r>
      <w:r w:rsidR="006D2DAB" w:rsidRPr="00CE02BD">
        <w:rPr>
          <w:rFonts w:ascii="Book Antiqua" w:hAnsi="Book Antiqua"/>
          <w:sz w:val="24"/>
          <w:szCs w:val="24"/>
          <w:lang w:val="en-US"/>
        </w:rPr>
        <w:t>partly conflicitve</w:t>
      </w:r>
      <w:r w:rsidR="00AA0F75" w:rsidRPr="00CE02BD">
        <w:rPr>
          <w:rFonts w:ascii="Book Antiqua" w:hAnsi="Book Antiqua"/>
          <w:sz w:val="24"/>
          <w:szCs w:val="24"/>
          <w:lang w:val="en-US"/>
        </w:rPr>
        <w:t xml:space="preserve">. </w:t>
      </w:r>
      <w:r w:rsidR="00502802" w:rsidRPr="00CE02BD">
        <w:rPr>
          <w:rFonts w:ascii="Book Antiqua" w:hAnsi="Book Antiqua"/>
          <w:sz w:val="24"/>
          <w:szCs w:val="24"/>
          <w:lang w:val="en-US"/>
        </w:rPr>
        <w:t>Moreover, patients in different clinical scenarios–active disease</w:t>
      </w:r>
      <w:r w:rsidR="00C95941" w:rsidRPr="00CE02BD">
        <w:rPr>
          <w:rFonts w:ascii="Book Antiqua" w:hAnsi="Book Antiqua"/>
          <w:sz w:val="24"/>
          <w:szCs w:val="24"/>
          <w:lang w:val="en-US"/>
        </w:rPr>
        <w:t>,</w:t>
      </w:r>
      <w:r w:rsidR="00C059F3" w:rsidRPr="00CE02BD">
        <w:rPr>
          <w:rFonts w:ascii="Book Antiqua" w:hAnsi="Book Antiqua"/>
          <w:sz w:val="24"/>
          <w:szCs w:val="24"/>
          <w:lang w:val="en-US"/>
        </w:rPr>
        <w:t xml:space="preserve"> </w:t>
      </w:r>
      <w:r w:rsidR="00D57B13" w:rsidRPr="00CE02BD">
        <w:rPr>
          <w:rFonts w:ascii="Book Antiqua" w:hAnsi="Book Antiqua"/>
          <w:sz w:val="24"/>
          <w:szCs w:val="24"/>
          <w:lang w:val="en-US"/>
        </w:rPr>
        <w:t xml:space="preserve">clinical </w:t>
      </w:r>
      <w:r w:rsidR="00C059F3" w:rsidRPr="00CE02BD">
        <w:rPr>
          <w:rFonts w:ascii="Book Antiqua" w:hAnsi="Book Antiqua"/>
          <w:sz w:val="24"/>
          <w:szCs w:val="24"/>
          <w:lang w:val="en-US"/>
        </w:rPr>
        <w:t xml:space="preserve">remission </w:t>
      </w:r>
      <w:r w:rsidR="00C95941" w:rsidRPr="00CE02BD">
        <w:rPr>
          <w:rFonts w:ascii="Book Antiqua" w:hAnsi="Book Antiqua"/>
          <w:sz w:val="24"/>
          <w:szCs w:val="24"/>
          <w:lang w:val="en-US"/>
        </w:rPr>
        <w:t>or at relapse</w:t>
      </w:r>
      <w:r w:rsidR="006D2DAB" w:rsidRPr="00CE02BD">
        <w:rPr>
          <w:rFonts w:ascii="Book Antiqua" w:hAnsi="Book Antiqua"/>
          <w:sz w:val="24"/>
          <w:szCs w:val="24"/>
          <w:lang w:val="en-US"/>
        </w:rPr>
        <w:t>, mild(er) or complex complicated disease</w:t>
      </w:r>
      <w:r w:rsidR="001C13ED" w:rsidRPr="00CE02BD">
        <w:rPr>
          <w:rFonts w:ascii="Book Antiqua" w:hAnsi="Book Antiqua"/>
          <w:sz w:val="24"/>
          <w:szCs w:val="24"/>
          <w:lang w:val="en-US"/>
        </w:rPr>
        <w:t xml:space="preserve">– </w:t>
      </w:r>
      <w:r w:rsidR="00C95941" w:rsidRPr="00CE02BD">
        <w:rPr>
          <w:rFonts w:ascii="Book Antiqua" w:hAnsi="Book Antiqua"/>
          <w:sz w:val="24"/>
          <w:szCs w:val="24"/>
          <w:lang w:val="en-US"/>
        </w:rPr>
        <w:t>may</w:t>
      </w:r>
      <w:r w:rsidR="001C13ED" w:rsidRPr="00CE02BD">
        <w:rPr>
          <w:rFonts w:ascii="Book Antiqua" w:hAnsi="Book Antiqua"/>
          <w:sz w:val="24"/>
          <w:szCs w:val="24"/>
          <w:lang w:val="en-US"/>
        </w:rPr>
        <w:t xml:space="preserve"> require different disease monitoring</w:t>
      </w:r>
      <w:r w:rsidR="006D2DAB" w:rsidRPr="00CE02BD">
        <w:rPr>
          <w:rFonts w:ascii="Book Antiqua" w:hAnsi="Book Antiqua"/>
          <w:sz w:val="24"/>
          <w:szCs w:val="24"/>
          <w:lang w:val="en-US"/>
        </w:rPr>
        <w:t xml:space="preserve"> strategy and intervals</w:t>
      </w:r>
      <w:r w:rsidR="001C13ED" w:rsidRPr="00CE02BD">
        <w:rPr>
          <w:rFonts w:ascii="Book Antiqua" w:hAnsi="Book Antiqua"/>
          <w:sz w:val="24"/>
          <w:szCs w:val="24"/>
          <w:lang w:val="en-US"/>
        </w:rPr>
        <w:t xml:space="preserve">. </w:t>
      </w:r>
      <w:r w:rsidR="00AD7106" w:rsidRPr="00CE02BD">
        <w:rPr>
          <w:rFonts w:ascii="Book Antiqua" w:hAnsi="Book Antiqua"/>
          <w:sz w:val="24"/>
          <w:szCs w:val="24"/>
          <w:lang w:val="en-US"/>
        </w:rPr>
        <w:t xml:space="preserve">Biomarker evaluations were performed every 12 </w:t>
      </w:r>
      <w:r w:rsidR="00967F41" w:rsidRPr="00CE02BD">
        <w:rPr>
          <w:rFonts w:ascii="Book Antiqua" w:hAnsi="Book Antiqua"/>
          <w:sz w:val="24"/>
          <w:szCs w:val="24"/>
          <w:lang w:val="en-US"/>
        </w:rPr>
        <w:t>wk</w:t>
      </w:r>
      <w:r w:rsidR="00AD7106" w:rsidRPr="00CE02BD">
        <w:rPr>
          <w:rFonts w:ascii="Book Antiqua" w:hAnsi="Book Antiqua"/>
          <w:sz w:val="24"/>
          <w:szCs w:val="24"/>
          <w:lang w:val="en-US"/>
        </w:rPr>
        <w:t xml:space="preserve"> in the CALM, </w:t>
      </w:r>
      <w:r w:rsidR="001C13ED" w:rsidRPr="00CE02BD">
        <w:rPr>
          <w:rFonts w:ascii="Book Antiqua" w:hAnsi="Book Antiqua"/>
          <w:sz w:val="24"/>
          <w:szCs w:val="24"/>
          <w:lang w:val="en-US"/>
        </w:rPr>
        <w:t xml:space="preserve">and other </w:t>
      </w:r>
      <w:r w:rsidR="00D26F9B" w:rsidRPr="00CE02BD">
        <w:rPr>
          <w:rFonts w:ascii="Book Antiqua" w:hAnsi="Book Antiqua"/>
          <w:sz w:val="24"/>
          <w:szCs w:val="24"/>
          <w:lang w:val="en-US"/>
        </w:rPr>
        <w:t xml:space="preserve">studies reported </w:t>
      </w:r>
      <w:r w:rsidR="006D2DAB" w:rsidRPr="00CE02BD">
        <w:rPr>
          <w:rFonts w:ascii="Book Antiqua" w:hAnsi="Book Antiqua"/>
          <w:sz w:val="24"/>
          <w:szCs w:val="24"/>
          <w:lang w:val="en-US"/>
        </w:rPr>
        <w:t xml:space="preserve">that </w:t>
      </w:r>
      <w:r w:rsidR="00D26F9B" w:rsidRPr="00CE02BD">
        <w:rPr>
          <w:rFonts w:ascii="Book Antiqua" w:hAnsi="Book Antiqua"/>
          <w:sz w:val="24"/>
          <w:szCs w:val="24"/>
          <w:lang w:val="en-US"/>
        </w:rPr>
        <w:t xml:space="preserve">FCAL </w:t>
      </w:r>
      <w:r w:rsidR="006D2DAB" w:rsidRPr="00CE02BD">
        <w:rPr>
          <w:rFonts w:ascii="Book Antiqua" w:hAnsi="Book Antiqua"/>
          <w:sz w:val="24"/>
          <w:szCs w:val="24"/>
          <w:lang w:val="en-US"/>
        </w:rPr>
        <w:t xml:space="preserve">may predicte clinical flare </w:t>
      </w:r>
      <w:r w:rsidR="00D26F9B" w:rsidRPr="00CE02BD">
        <w:rPr>
          <w:rFonts w:ascii="Book Antiqua" w:hAnsi="Book Antiqua"/>
          <w:color w:val="000000" w:themeColor="text1"/>
          <w:sz w:val="24"/>
          <w:szCs w:val="24"/>
          <w:lang w:val="en-US"/>
        </w:rPr>
        <w:t xml:space="preserve">as soon as </w:t>
      </w:r>
      <w:r w:rsidR="0028494D" w:rsidRPr="00CE02BD">
        <w:rPr>
          <w:rFonts w:ascii="Book Antiqua" w:hAnsi="Book Antiqua"/>
          <w:color w:val="000000" w:themeColor="text1"/>
          <w:sz w:val="24"/>
          <w:szCs w:val="24"/>
          <w:lang w:val="en-US"/>
        </w:rPr>
        <w:t xml:space="preserve">approximately </w:t>
      </w:r>
      <w:r w:rsidR="00D26F9B" w:rsidRPr="00CE02BD">
        <w:rPr>
          <w:rFonts w:ascii="Book Antiqua" w:hAnsi="Book Antiqua"/>
          <w:color w:val="000000" w:themeColor="text1"/>
          <w:sz w:val="24"/>
          <w:szCs w:val="24"/>
          <w:lang w:val="en-US"/>
        </w:rPr>
        <w:t xml:space="preserve">3 </w:t>
      </w:r>
      <w:r w:rsidR="00583505" w:rsidRPr="00CE02BD">
        <w:rPr>
          <w:rFonts w:ascii="Book Antiqua" w:hAnsi="Book Antiqua"/>
          <w:color w:val="000000" w:themeColor="text1"/>
          <w:sz w:val="24"/>
          <w:szCs w:val="24"/>
          <w:lang w:val="en-US"/>
        </w:rPr>
        <w:t>mo</w:t>
      </w:r>
      <w:r w:rsidR="00D26F9B" w:rsidRPr="00CE02BD">
        <w:rPr>
          <w:rFonts w:ascii="Book Antiqua" w:hAnsi="Book Antiqua"/>
          <w:color w:val="000000" w:themeColor="text1"/>
          <w:sz w:val="24"/>
          <w:szCs w:val="24"/>
          <w:lang w:val="en-US"/>
        </w:rPr>
        <w:t xml:space="preserve"> before </w:t>
      </w:r>
      <w:r w:rsidR="006D2DAB" w:rsidRPr="00CE02BD">
        <w:rPr>
          <w:rFonts w:ascii="Book Antiqua" w:hAnsi="Book Antiqua"/>
          <w:color w:val="000000" w:themeColor="text1"/>
          <w:sz w:val="24"/>
          <w:szCs w:val="24"/>
          <w:lang w:val="en-US"/>
        </w:rPr>
        <w:t>symptomps occur</w:t>
      </w:r>
      <w:r w:rsidR="00D26F9B" w:rsidRPr="00CE02BD">
        <w:rPr>
          <w:rFonts w:ascii="Book Antiqua" w:hAnsi="Book Antiqua"/>
          <w:color w:val="000000" w:themeColor="text1"/>
          <w:sz w:val="24"/>
          <w:szCs w:val="24"/>
          <w:lang w:val="en-US"/>
        </w:rPr>
        <w:t xml:space="preserve">. These data may suggest an optimal interval of </w:t>
      </w:r>
      <w:r w:rsidR="0028494D" w:rsidRPr="00CE02BD">
        <w:rPr>
          <w:rFonts w:ascii="Book Antiqua" w:hAnsi="Book Antiqua"/>
          <w:color w:val="000000" w:themeColor="text1"/>
          <w:sz w:val="24"/>
          <w:szCs w:val="24"/>
          <w:lang w:val="en-US"/>
        </w:rPr>
        <w:t xml:space="preserve">approximately </w:t>
      </w:r>
      <w:r w:rsidR="00D26F9B" w:rsidRPr="00CE02BD">
        <w:rPr>
          <w:rFonts w:ascii="Book Antiqua" w:hAnsi="Book Antiqua"/>
          <w:color w:val="000000" w:themeColor="text1"/>
          <w:sz w:val="24"/>
          <w:szCs w:val="24"/>
          <w:lang w:val="en-US"/>
        </w:rPr>
        <w:t xml:space="preserve">3 </w:t>
      </w:r>
      <w:r w:rsidR="00583505" w:rsidRPr="00CE02BD">
        <w:rPr>
          <w:rFonts w:ascii="Book Antiqua" w:hAnsi="Book Antiqua"/>
          <w:color w:val="000000" w:themeColor="text1"/>
          <w:sz w:val="24"/>
          <w:szCs w:val="24"/>
          <w:lang w:val="en-US"/>
        </w:rPr>
        <w:t>mo</w:t>
      </w:r>
      <w:r w:rsidR="00D26F9B" w:rsidRPr="00CE02BD">
        <w:rPr>
          <w:rFonts w:ascii="Book Antiqua" w:hAnsi="Book Antiqua"/>
          <w:color w:val="000000" w:themeColor="text1"/>
          <w:sz w:val="24"/>
          <w:szCs w:val="24"/>
          <w:lang w:val="en-US"/>
        </w:rPr>
        <w:t xml:space="preserve"> for biomarker monitoring in patients with clinically controlled disease, however d</w:t>
      </w:r>
      <w:r w:rsidR="001C13ED" w:rsidRPr="00CE02BD">
        <w:rPr>
          <w:rFonts w:ascii="Book Antiqua" w:hAnsi="Book Antiqua"/>
          <w:sz w:val="24"/>
          <w:szCs w:val="24"/>
          <w:lang w:val="en-US"/>
        </w:rPr>
        <w:t xml:space="preserve">etailed </w:t>
      </w:r>
      <w:r w:rsidR="00517C96" w:rsidRPr="00CE02BD">
        <w:rPr>
          <w:rFonts w:ascii="Book Antiqua" w:hAnsi="Book Antiqua"/>
          <w:sz w:val="24"/>
          <w:szCs w:val="24"/>
          <w:lang w:val="en-US"/>
        </w:rPr>
        <w:t>recommendation</w:t>
      </w:r>
      <w:r w:rsidR="001C13ED" w:rsidRPr="00CE02BD">
        <w:rPr>
          <w:rFonts w:ascii="Book Antiqua" w:hAnsi="Book Antiqua"/>
          <w:sz w:val="24"/>
          <w:szCs w:val="24"/>
          <w:lang w:val="en-US"/>
        </w:rPr>
        <w:t>s</w:t>
      </w:r>
      <w:r w:rsidR="00517C96" w:rsidRPr="00CE02BD">
        <w:rPr>
          <w:rFonts w:ascii="Book Antiqua" w:hAnsi="Book Antiqua"/>
          <w:sz w:val="24"/>
          <w:szCs w:val="24"/>
          <w:lang w:val="en-US"/>
        </w:rPr>
        <w:t xml:space="preserve"> fo</w:t>
      </w:r>
      <w:r w:rsidRPr="00CE02BD">
        <w:rPr>
          <w:rFonts w:ascii="Book Antiqua" w:hAnsi="Book Antiqua"/>
          <w:sz w:val="24"/>
          <w:szCs w:val="24"/>
          <w:lang w:val="en-US"/>
        </w:rPr>
        <w:t xml:space="preserve">r patient </w:t>
      </w:r>
      <w:r w:rsidR="00CA3343" w:rsidRPr="00CE02BD">
        <w:rPr>
          <w:rFonts w:ascii="Book Antiqua" w:hAnsi="Book Antiqua"/>
          <w:sz w:val="24"/>
          <w:szCs w:val="24"/>
          <w:lang w:val="en-US"/>
        </w:rPr>
        <w:t>monitoring</w:t>
      </w:r>
      <w:r w:rsidRPr="00CE02BD">
        <w:rPr>
          <w:rFonts w:ascii="Book Antiqua" w:hAnsi="Book Antiqua"/>
          <w:sz w:val="24"/>
          <w:szCs w:val="24"/>
          <w:lang w:val="en-US"/>
        </w:rPr>
        <w:t xml:space="preserve"> intervals– </w:t>
      </w:r>
      <w:r w:rsidR="00AA0F75" w:rsidRPr="00CE02BD">
        <w:rPr>
          <w:rFonts w:ascii="Book Antiqua" w:hAnsi="Book Antiqua"/>
          <w:sz w:val="24"/>
          <w:szCs w:val="24"/>
          <w:lang w:val="en-US"/>
        </w:rPr>
        <w:t xml:space="preserve">including </w:t>
      </w:r>
      <w:r w:rsidR="00517C96" w:rsidRPr="00CE02BD">
        <w:rPr>
          <w:rFonts w:ascii="Book Antiqua" w:hAnsi="Book Antiqua"/>
          <w:sz w:val="24"/>
          <w:szCs w:val="24"/>
          <w:lang w:val="en-US"/>
        </w:rPr>
        <w:t>clinical, biochemical</w:t>
      </w:r>
      <w:r w:rsidRPr="00CE02BD">
        <w:rPr>
          <w:rFonts w:ascii="Book Antiqua" w:hAnsi="Book Antiqua"/>
          <w:sz w:val="24"/>
          <w:szCs w:val="24"/>
          <w:lang w:val="en-US"/>
        </w:rPr>
        <w:t xml:space="preserve"> and endoscopic </w:t>
      </w:r>
      <w:r w:rsidR="00AA0F75" w:rsidRPr="00CE02BD">
        <w:rPr>
          <w:rFonts w:ascii="Book Antiqua" w:hAnsi="Book Antiqua"/>
          <w:sz w:val="24"/>
          <w:szCs w:val="24"/>
          <w:lang w:val="en-US"/>
        </w:rPr>
        <w:t xml:space="preserve">evaluation </w:t>
      </w:r>
      <w:r w:rsidRPr="00CE02BD">
        <w:rPr>
          <w:rFonts w:ascii="Book Antiqua" w:hAnsi="Book Antiqua"/>
          <w:sz w:val="24"/>
          <w:szCs w:val="24"/>
          <w:lang w:val="en-US"/>
        </w:rPr>
        <w:t>as well– i</w:t>
      </w:r>
      <w:r w:rsidR="00517C96" w:rsidRPr="00CE02BD">
        <w:rPr>
          <w:rFonts w:ascii="Book Antiqua" w:hAnsi="Book Antiqua"/>
          <w:sz w:val="24"/>
          <w:szCs w:val="24"/>
          <w:lang w:val="en-US"/>
        </w:rPr>
        <w:t xml:space="preserve">s </w:t>
      </w:r>
      <w:r w:rsidR="006D2DAB" w:rsidRPr="00CE02BD">
        <w:rPr>
          <w:rFonts w:ascii="Book Antiqua" w:hAnsi="Book Antiqua"/>
          <w:sz w:val="24"/>
          <w:szCs w:val="24"/>
          <w:lang w:val="en-US"/>
        </w:rPr>
        <w:t xml:space="preserve">urgently </w:t>
      </w:r>
      <w:r w:rsidR="003C42B7" w:rsidRPr="00CE02BD">
        <w:rPr>
          <w:rFonts w:ascii="Book Antiqua" w:hAnsi="Book Antiqua"/>
          <w:sz w:val="24"/>
          <w:szCs w:val="24"/>
          <w:lang w:val="en-US"/>
        </w:rPr>
        <w:t>needed</w:t>
      </w:r>
      <w:r w:rsidR="003F4843" w:rsidRPr="00CE02BD">
        <w:rPr>
          <w:rFonts w:ascii="Book Antiqua" w:hAnsi="Book Antiqua"/>
          <w:sz w:val="24"/>
          <w:szCs w:val="24"/>
          <w:lang w:val="en-US"/>
        </w:rPr>
        <w:t xml:space="preserve"> (see Table 2)</w:t>
      </w:r>
      <w:r w:rsidR="00AD7106" w:rsidRPr="00CE02BD">
        <w:rPr>
          <w:rFonts w:ascii="Book Antiqua" w:hAnsi="Book Antiqua"/>
          <w:sz w:val="24"/>
          <w:szCs w:val="24"/>
          <w:lang w:val="en-US"/>
        </w:rPr>
        <w:t xml:space="preserve">. </w:t>
      </w:r>
    </w:p>
    <w:p w14:paraId="783FBF8C" w14:textId="5CC74614" w:rsidR="00F72D58" w:rsidRPr="00CE02BD" w:rsidRDefault="006866EA" w:rsidP="003F4843">
      <w:pPr>
        <w:adjustRightInd w:val="0"/>
        <w:snapToGrid w:val="0"/>
        <w:spacing w:after="0" w:line="360" w:lineRule="auto"/>
        <w:ind w:firstLineChars="100" w:firstLine="240"/>
        <w:jc w:val="both"/>
        <w:rPr>
          <w:rFonts w:ascii="Book Antiqua" w:hAnsi="Book Antiqua"/>
          <w:sz w:val="24"/>
          <w:szCs w:val="24"/>
          <w:lang w:val="en-US"/>
        </w:rPr>
      </w:pPr>
      <w:r w:rsidRPr="00CE02BD">
        <w:rPr>
          <w:rFonts w:ascii="Book Antiqua" w:hAnsi="Book Antiqua"/>
          <w:sz w:val="24"/>
          <w:szCs w:val="24"/>
          <w:lang w:val="en-US"/>
        </w:rPr>
        <w:t xml:space="preserve">Although </w:t>
      </w:r>
      <w:r w:rsidR="00DB1E4B" w:rsidRPr="00CE02BD">
        <w:rPr>
          <w:rFonts w:ascii="Book Antiqua" w:hAnsi="Book Antiqua"/>
          <w:sz w:val="24"/>
          <w:szCs w:val="24"/>
          <w:lang w:val="en-US"/>
        </w:rPr>
        <w:t xml:space="preserve">there has </w:t>
      </w:r>
      <w:r w:rsidR="001801AD" w:rsidRPr="00CE02BD">
        <w:rPr>
          <w:rFonts w:ascii="Book Antiqua" w:hAnsi="Book Antiqua"/>
          <w:sz w:val="24"/>
          <w:szCs w:val="24"/>
          <w:lang w:val="en-US"/>
        </w:rPr>
        <w:t>been a significant</w:t>
      </w:r>
      <w:r w:rsidR="00DB1E4B" w:rsidRPr="00CE02BD">
        <w:rPr>
          <w:rFonts w:ascii="Book Antiqua" w:hAnsi="Book Antiqua"/>
          <w:sz w:val="24"/>
          <w:szCs w:val="24"/>
          <w:lang w:val="en-US"/>
        </w:rPr>
        <w:t xml:space="preserve"> increase</w:t>
      </w:r>
      <w:r w:rsidR="006D2DAB" w:rsidRPr="00CE02BD">
        <w:rPr>
          <w:rFonts w:ascii="Book Antiqua" w:hAnsi="Book Antiqua"/>
          <w:sz w:val="24"/>
          <w:szCs w:val="24"/>
          <w:lang w:val="en-US"/>
        </w:rPr>
        <w:t xml:space="preserve"> and earlier</w:t>
      </w:r>
      <w:r w:rsidR="00DB1E4B" w:rsidRPr="00CE02BD">
        <w:rPr>
          <w:rFonts w:ascii="Book Antiqua" w:hAnsi="Book Antiqua"/>
          <w:sz w:val="24"/>
          <w:szCs w:val="24"/>
          <w:lang w:val="en-US"/>
        </w:rPr>
        <w:t xml:space="preserve"> exposure to immunosuppressive and biologic agents in IBD</w:t>
      </w:r>
      <w:r w:rsidR="001801AD" w:rsidRPr="00CE02BD">
        <w:rPr>
          <w:rFonts w:ascii="Book Antiqua" w:hAnsi="Book Antiqua"/>
          <w:sz w:val="24"/>
          <w:szCs w:val="24"/>
          <w:lang w:val="en-US"/>
        </w:rPr>
        <w:t xml:space="preserve"> recently</w:t>
      </w:r>
      <w:r w:rsidR="00DB1E4B" w:rsidRPr="00CE02BD">
        <w:rPr>
          <w:rFonts w:ascii="Book Antiqua" w:hAnsi="Book Antiqua"/>
          <w:sz w:val="24"/>
          <w:szCs w:val="24"/>
          <w:lang w:val="en-US"/>
        </w:rPr>
        <w:t xml:space="preserve">, population-based data on </w:t>
      </w:r>
      <w:r w:rsidR="00DB1E4B" w:rsidRPr="00CE02BD">
        <w:rPr>
          <w:rFonts w:ascii="Book Antiqua" w:hAnsi="Book Antiqua"/>
          <w:sz w:val="24"/>
          <w:szCs w:val="24"/>
          <w:lang w:val="en-US"/>
        </w:rPr>
        <w:lastRenderedPageBreak/>
        <w:t>long-term outcomes show somewhat controversial results</w:t>
      </w:r>
      <w:r w:rsidR="00C95941" w:rsidRPr="00CE02BD">
        <w:rPr>
          <w:rFonts w:ascii="Book Antiqua" w:hAnsi="Book Antiqua"/>
          <w:sz w:val="24"/>
          <w:szCs w:val="24"/>
          <w:lang w:val="en-US"/>
        </w:rPr>
        <w:t xml:space="preserve"> and promt caution when translating clinical trial results into clinical practice</w:t>
      </w:r>
      <w:r w:rsidR="00DB1E4B" w:rsidRPr="00CE02BD">
        <w:rPr>
          <w:rFonts w:ascii="Book Antiqua" w:hAnsi="Book Antiqua"/>
          <w:sz w:val="24"/>
          <w:szCs w:val="24"/>
          <w:lang w:val="en-US"/>
        </w:rPr>
        <w:t>. The Epi-</w:t>
      </w:r>
      <w:proofErr w:type="gramStart"/>
      <w:r w:rsidR="00DB1E4B" w:rsidRPr="00CE02BD">
        <w:rPr>
          <w:rFonts w:ascii="Book Antiqua" w:hAnsi="Book Antiqua"/>
          <w:sz w:val="24"/>
          <w:szCs w:val="24"/>
          <w:lang w:val="en-US"/>
        </w:rPr>
        <w:t>IBD</w:t>
      </w:r>
      <w:r w:rsidR="00CF4DDB" w:rsidRPr="00CE02BD">
        <w:rPr>
          <w:rFonts w:ascii="Book Antiqua" w:hAnsi="Book Antiqua"/>
          <w:sz w:val="24"/>
          <w:szCs w:val="24"/>
          <w:vertAlign w:val="superscript"/>
          <w:lang w:val="en-US"/>
        </w:rPr>
        <w:t>[</w:t>
      </w:r>
      <w:proofErr w:type="gramEnd"/>
      <w:r w:rsidR="003823C4" w:rsidRPr="00CE02BD">
        <w:rPr>
          <w:rFonts w:ascii="Book Antiqua" w:hAnsi="Book Antiqua"/>
          <w:sz w:val="24"/>
          <w:szCs w:val="24"/>
          <w:vertAlign w:val="superscript"/>
          <w:lang w:val="en-US"/>
        </w:rPr>
        <w:t>5</w:t>
      </w:r>
      <w:r w:rsidR="00CF4DDB" w:rsidRPr="00CE02BD">
        <w:rPr>
          <w:rFonts w:ascii="Book Antiqua" w:hAnsi="Book Antiqua"/>
          <w:sz w:val="24"/>
          <w:szCs w:val="24"/>
          <w:vertAlign w:val="superscript"/>
          <w:lang w:val="en-US"/>
        </w:rPr>
        <w:t>]</w:t>
      </w:r>
      <w:r w:rsidR="00DB1E4B" w:rsidRPr="00CE02BD">
        <w:rPr>
          <w:rFonts w:ascii="Book Antiqua" w:hAnsi="Book Antiqua"/>
          <w:sz w:val="24"/>
          <w:szCs w:val="24"/>
          <w:lang w:val="en-US"/>
        </w:rPr>
        <w:t xml:space="preserve"> cohort is a prospective population-based inception cohort of unselected CD patients from 29 European centres.</w:t>
      </w:r>
      <w:r w:rsidR="001801AD" w:rsidRPr="00CE02BD">
        <w:rPr>
          <w:rFonts w:ascii="Book Antiqua" w:hAnsi="Book Antiqua"/>
          <w:sz w:val="24"/>
          <w:szCs w:val="24"/>
          <w:lang w:val="en-US"/>
        </w:rPr>
        <w:t xml:space="preserve"> Although significant geographic differences were observed in medication </w:t>
      </w:r>
      <w:r w:rsidR="00C95941" w:rsidRPr="00CE02BD">
        <w:rPr>
          <w:rFonts w:ascii="Book Antiqua" w:hAnsi="Book Antiqua"/>
          <w:sz w:val="24"/>
          <w:szCs w:val="24"/>
          <w:lang w:val="en-US"/>
        </w:rPr>
        <w:t xml:space="preserve">timing and </w:t>
      </w:r>
      <w:r w:rsidR="001801AD" w:rsidRPr="00CE02BD">
        <w:rPr>
          <w:rFonts w:ascii="Book Antiqua" w:hAnsi="Book Antiqua"/>
          <w:sz w:val="24"/>
          <w:szCs w:val="24"/>
          <w:lang w:val="en-US"/>
        </w:rPr>
        <w:t xml:space="preserve">exposures (in Western Europe 33% of patients received biological therapy and 66% immunomodulators; in Eastern Europe 14% and 54%, respectively, </w:t>
      </w:r>
      <w:r w:rsidR="001801AD" w:rsidRPr="00CE02BD">
        <w:rPr>
          <w:rFonts w:ascii="Book Antiqua" w:hAnsi="Book Antiqua"/>
          <w:i/>
          <w:iCs/>
          <w:sz w:val="24"/>
          <w:szCs w:val="24"/>
          <w:lang w:val="en-US"/>
        </w:rPr>
        <w:t>P</w:t>
      </w:r>
      <w:r w:rsidR="003F4843" w:rsidRPr="00CE02BD">
        <w:rPr>
          <w:rFonts w:ascii="Book Antiqua" w:hAnsi="Book Antiqua"/>
          <w:sz w:val="24"/>
          <w:szCs w:val="24"/>
          <w:lang w:val="en-US"/>
        </w:rPr>
        <w:t xml:space="preserve"> </w:t>
      </w:r>
      <w:r w:rsidR="001801AD" w:rsidRPr="00CE02BD">
        <w:rPr>
          <w:rFonts w:ascii="Book Antiqua" w:hAnsi="Book Antiqua"/>
          <w:sz w:val="24"/>
          <w:szCs w:val="24"/>
          <w:lang w:val="en-US"/>
        </w:rPr>
        <w:t>&lt;</w:t>
      </w:r>
      <w:r w:rsidR="003F4843" w:rsidRPr="00CE02BD">
        <w:rPr>
          <w:rFonts w:ascii="Book Antiqua" w:hAnsi="Book Antiqua"/>
          <w:sz w:val="24"/>
          <w:szCs w:val="24"/>
          <w:lang w:val="en-US"/>
        </w:rPr>
        <w:t xml:space="preserve"> </w:t>
      </w:r>
      <w:r w:rsidR="001801AD" w:rsidRPr="00CE02BD">
        <w:rPr>
          <w:rFonts w:ascii="Book Antiqua" w:hAnsi="Book Antiqua"/>
          <w:sz w:val="24"/>
          <w:szCs w:val="24"/>
          <w:lang w:val="en-US"/>
        </w:rPr>
        <w:t>0.01)</w:t>
      </w:r>
      <w:r w:rsidR="00DB1E4B" w:rsidRPr="00CE02BD">
        <w:rPr>
          <w:rFonts w:ascii="Book Antiqua" w:hAnsi="Book Antiqua"/>
          <w:sz w:val="24"/>
          <w:szCs w:val="24"/>
          <w:lang w:val="en-US"/>
        </w:rPr>
        <w:t>, the course of disease</w:t>
      </w:r>
      <w:r w:rsidR="003F4843" w:rsidRPr="00CE02BD">
        <w:rPr>
          <w:rFonts w:ascii="Book Antiqua" w:hAnsi="Book Antiqua"/>
          <w:sz w:val="24"/>
          <w:szCs w:val="24"/>
          <w:lang w:val="en-US"/>
        </w:rPr>
        <w:t>-</w:t>
      </w:r>
      <w:r w:rsidR="00DB1E4B" w:rsidRPr="00CE02BD">
        <w:rPr>
          <w:rFonts w:ascii="Book Antiqua" w:hAnsi="Book Antiqua"/>
          <w:sz w:val="24"/>
          <w:szCs w:val="24"/>
          <w:lang w:val="en-US"/>
        </w:rPr>
        <w:t xml:space="preserve">including rates of patients undergoing surgery, developing stricturing or penetrating disease </w:t>
      </w:r>
      <w:r w:rsidR="00F41A13" w:rsidRPr="00CE02BD">
        <w:rPr>
          <w:rFonts w:ascii="Book Antiqua" w:hAnsi="Book Antiqua"/>
          <w:sz w:val="24"/>
          <w:szCs w:val="24"/>
          <w:lang w:val="en-US"/>
        </w:rPr>
        <w:t>phenotype or being hospitaliz</w:t>
      </w:r>
      <w:r w:rsidR="00DB1E4B" w:rsidRPr="00CE02BD">
        <w:rPr>
          <w:rFonts w:ascii="Book Antiqua" w:hAnsi="Book Antiqua"/>
          <w:sz w:val="24"/>
          <w:szCs w:val="24"/>
          <w:lang w:val="en-US"/>
        </w:rPr>
        <w:t>ed</w:t>
      </w:r>
      <w:r w:rsidR="003F4843" w:rsidRPr="00CE02BD">
        <w:rPr>
          <w:rFonts w:ascii="Book Antiqua" w:hAnsi="Book Antiqua"/>
          <w:sz w:val="24"/>
          <w:szCs w:val="24"/>
          <w:lang w:val="en-US"/>
        </w:rPr>
        <w:t xml:space="preserve">- </w:t>
      </w:r>
      <w:r w:rsidR="00DB1E4B" w:rsidRPr="00CE02BD">
        <w:rPr>
          <w:rFonts w:ascii="Book Antiqua" w:hAnsi="Book Antiqua"/>
          <w:sz w:val="24"/>
          <w:szCs w:val="24"/>
          <w:lang w:val="en-US"/>
        </w:rPr>
        <w:t xml:space="preserve">did not differ between </w:t>
      </w:r>
      <w:r w:rsidR="001801AD" w:rsidRPr="00CE02BD">
        <w:rPr>
          <w:rFonts w:ascii="Book Antiqua" w:hAnsi="Book Antiqua"/>
          <w:sz w:val="24"/>
          <w:szCs w:val="24"/>
          <w:lang w:val="en-US"/>
        </w:rPr>
        <w:t>in Western and Eastern Europe</w:t>
      </w:r>
      <w:r w:rsidR="00DB1E4B" w:rsidRPr="00CE02BD">
        <w:rPr>
          <w:rFonts w:ascii="Book Antiqua" w:hAnsi="Book Antiqua"/>
          <w:sz w:val="24"/>
          <w:szCs w:val="24"/>
          <w:lang w:val="en-US"/>
        </w:rPr>
        <w:t>.</w:t>
      </w:r>
      <w:r w:rsidR="001801AD" w:rsidRPr="00CE02BD">
        <w:rPr>
          <w:rFonts w:ascii="Book Antiqua" w:hAnsi="Book Antiqua"/>
          <w:sz w:val="24"/>
          <w:szCs w:val="24"/>
          <w:lang w:val="en-US"/>
        </w:rPr>
        <w:t xml:space="preserve"> Similar results are being reported from two </w:t>
      </w:r>
      <w:r w:rsidR="00BB098C" w:rsidRPr="00CE02BD">
        <w:rPr>
          <w:rFonts w:ascii="Book Antiqua" w:hAnsi="Book Antiqua"/>
          <w:sz w:val="24"/>
          <w:szCs w:val="24"/>
          <w:lang w:val="en-US"/>
        </w:rPr>
        <w:t xml:space="preserve">very recent </w:t>
      </w:r>
      <w:r w:rsidR="001801AD" w:rsidRPr="00CE02BD">
        <w:rPr>
          <w:rFonts w:ascii="Book Antiqua" w:hAnsi="Book Antiqua"/>
          <w:sz w:val="24"/>
          <w:szCs w:val="24"/>
          <w:lang w:val="en-US"/>
        </w:rPr>
        <w:t xml:space="preserve">administrative database analyses from Canada. </w:t>
      </w:r>
      <w:r w:rsidR="00A757FB" w:rsidRPr="00CE02BD">
        <w:rPr>
          <w:rFonts w:ascii="Book Antiqua" w:hAnsi="Book Antiqua"/>
          <w:sz w:val="24"/>
          <w:szCs w:val="24"/>
          <w:lang w:val="en-US"/>
        </w:rPr>
        <w:t xml:space="preserve">Data from Murthy </w:t>
      </w:r>
      <w:r w:rsidR="00967F41" w:rsidRPr="00CE02BD">
        <w:rPr>
          <w:rFonts w:ascii="Book Antiqua" w:hAnsi="Book Antiqua"/>
          <w:i/>
          <w:sz w:val="24"/>
          <w:szCs w:val="24"/>
          <w:lang w:val="en-US"/>
        </w:rPr>
        <w:t xml:space="preserve">et </w:t>
      </w:r>
      <w:proofErr w:type="gramStart"/>
      <w:r w:rsidR="00967F41" w:rsidRPr="00CE02BD">
        <w:rPr>
          <w:rFonts w:ascii="Book Antiqua" w:hAnsi="Book Antiqua"/>
          <w:i/>
          <w:sz w:val="24"/>
          <w:szCs w:val="24"/>
          <w:lang w:val="en-US"/>
        </w:rPr>
        <w:t>al</w:t>
      </w:r>
      <w:r w:rsidR="003F4843" w:rsidRPr="00CE02BD">
        <w:rPr>
          <w:rFonts w:ascii="Book Antiqua" w:hAnsi="Book Antiqua"/>
          <w:sz w:val="24"/>
          <w:szCs w:val="24"/>
          <w:vertAlign w:val="superscript"/>
          <w:lang w:val="en-US"/>
        </w:rPr>
        <w:t>[</w:t>
      </w:r>
      <w:proofErr w:type="gramEnd"/>
      <w:r w:rsidR="003F4843" w:rsidRPr="00CE02BD">
        <w:rPr>
          <w:rFonts w:ascii="Book Antiqua" w:hAnsi="Book Antiqua"/>
          <w:sz w:val="24"/>
          <w:szCs w:val="24"/>
          <w:vertAlign w:val="superscript"/>
          <w:lang w:val="en-US"/>
        </w:rPr>
        <w:t>92]</w:t>
      </w:r>
      <w:r w:rsidR="00A757FB" w:rsidRPr="00CE02BD">
        <w:rPr>
          <w:rFonts w:ascii="Book Antiqua" w:hAnsi="Book Antiqua"/>
          <w:sz w:val="24"/>
          <w:szCs w:val="24"/>
          <w:lang w:val="en-US"/>
        </w:rPr>
        <w:t xml:space="preserve"> showed that </w:t>
      </w:r>
      <w:r w:rsidR="00BB098C" w:rsidRPr="00CE02BD">
        <w:rPr>
          <w:rFonts w:ascii="Book Antiqua" w:hAnsi="Book Antiqua"/>
          <w:sz w:val="24"/>
          <w:szCs w:val="24"/>
          <w:lang w:val="en-US"/>
        </w:rPr>
        <w:t xml:space="preserve">the introduction of </w:t>
      </w:r>
      <w:r w:rsidR="00A757FB" w:rsidRPr="00CE02BD">
        <w:rPr>
          <w:rFonts w:ascii="Book Antiqua" w:hAnsi="Book Antiqua"/>
          <w:sz w:val="24"/>
          <w:szCs w:val="24"/>
          <w:lang w:val="en-US"/>
        </w:rPr>
        <w:t xml:space="preserve">anti-TNF therapy failed to modify the trend of </w:t>
      </w:r>
      <w:r w:rsidR="00BB098C" w:rsidRPr="00CE02BD">
        <w:rPr>
          <w:rFonts w:ascii="Book Antiqua" w:hAnsi="Book Antiqua"/>
          <w:sz w:val="24"/>
          <w:szCs w:val="24"/>
          <w:lang w:val="en-US"/>
        </w:rPr>
        <w:t>IBD</w:t>
      </w:r>
      <w:r w:rsidR="00A757FB" w:rsidRPr="00CE02BD">
        <w:rPr>
          <w:rFonts w:ascii="Book Antiqua" w:hAnsi="Book Antiqua"/>
          <w:sz w:val="24"/>
          <w:szCs w:val="24"/>
          <w:lang w:val="en-US"/>
        </w:rPr>
        <w:t xml:space="preserve">-related hospitalizations </w:t>
      </w:r>
      <w:r w:rsidR="00BB098C" w:rsidRPr="00CE02BD">
        <w:rPr>
          <w:rFonts w:ascii="Book Antiqua" w:hAnsi="Book Antiqua"/>
          <w:sz w:val="24"/>
          <w:szCs w:val="24"/>
          <w:lang w:val="en-US"/>
        </w:rPr>
        <w:t>and surgeries in both CD and UC between 1995 and 2012</w:t>
      </w:r>
      <w:r w:rsidR="00A757FB" w:rsidRPr="00CE02BD">
        <w:rPr>
          <w:rFonts w:ascii="Book Antiqua" w:hAnsi="Book Antiqua"/>
          <w:sz w:val="24"/>
          <w:szCs w:val="24"/>
          <w:lang w:val="en-US"/>
        </w:rPr>
        <w:t xml:space="preserve">. </w:t>
      </w:r>
      <w:r w:rsidR="00C95941" w:rsidRPr="00CE02BD">
        <w:rPr>
          <w:rFonts w:ascii="Book Antiqua" w:hAnsi="Book Antiqua"/>
          <w:sz w:val="24"/>
          <w:szCs w:val="24"/>
          <w:lang w:val="en-US"/>
        </w:rPr>
        <w:t>This suggest</w:t>
      </w:r>
      <w:r w:rsidR="006D2DAB" w:rsidRPr="00CE02BD">
        <w:rPr>
          <w:rFonts w:ascii="Book Antiqua" w:hAnsi="Book Antiqua"/>
          <w:sz w:val="24"/>
          <w:szCs w:val="24"/>
          <w:lang w:val="en-US"/>
        </w:rPr>
        <w:t>s</w:t>
      </w:r>
      <w:r w:rsidR="00C95941" w:rsidRPr="00CE02BD">
        <w:rPr>
          <w:rFonts w:ascii="Book Antiqua" w:hAnsi="Book Antiqua"/>
          <w:sz w:val="24"/>
          <w:szCs w:val="24"/>
          <w:lang w:val="en-US"/>
        </w:rPr>
        <w:t xml:space="preserve"> that disease monitoring in real life practice is suboptimal and in </w:t>
      </w:r>
      <w:r w:rsidR="00E00AD4" w:rsidRPr="00CE02BD">
        <w:rPr>
          <w:rFonts w:ascii="Book Antiqua" w:hAnsi="Book Antiqua"/>
          <w:sz w:val="24"/>
          <w:szCs w:val="24"/>
          <w:lang w:val="en-US"/>
        </w:rPr>
        <w:t>the future</w:t>
      </w:r>
      <w:r w:rsidR="006D2DAB" w:rsidRPr="00CE02BD">
        <w:rPr>
          <w:rFonts w:ascii="Book Antiqua" w:hAnsi="Book Antiqua"/>
          <w:sz w:val="24"/>
          <w:szCs w:val="24"/>
          <w:lang w:val="en-US"/>
        </w:rPr>
        <w:t>,</w:t>
      </w:r>
      <w:r w:rsidR="00E00AD4" w:rsidRPr="00CE02BD">
        <w:rPr>
          <w:rFonts w:ascii="Book Antiqua" w:hAnsi="Book Antiqua"/>
          <w:sz w:val="24"/>
          <w:szCs w:val="24"/>
          <w:lang w:val="en-US"/>
        </w:rPr>
        <w:t xml:space="preserve"> </w:t>
      </w:r>
      <w:r w:rsidR="006D2DAB" w:rsidRPr="00CE02BD">
        <w:rPr>
          <w:rFonts w:ascii="Book Antiqua" w:hAnsi="Book Antiqua"/>
          <w:sz w:val="24"/>
          <w:szCs w:val="24"/>
          <w:lang w:val="en-US"/>
        </w:rPr>
        <w:t xml:space="preserve">using </w:t>
      </w:r>
      <w:r w:rsidR="00E00AD4" w:rsidRPr="00CE02BD">
        <w:rPr>
          <w:rFonts w:ascii="Book Antiqua" w:hAnsi="Book Antiqua"/>
          <w:sz w:val="24"/>
          <w:szCs w:val="24"/>
          <w:lang w:val="en-US"/>
        </w:rPr>
        <w:t>new</w:t>
      </w:r>
      <w:r w:rsidR="006D2DAB" w:rsidRPr="00CE02BD">
        <w:rPr>
          <w:rFonts w:ascii="Book Antiqua" w:hAnsi="Book Antiqua"/>
          <w:sz w:val="24"/>
          <w:szCs w:val="24"/>
          <w:lang w:val="en-US"/>
        </w:rPr>
        <w:t>,</w:t>
      </w:r>
      <w:r w:rsidR="00E00AD4" w:rsidRPr="00CE02BD">
        <w:rPr>
          <w:rFonts w:ascii="Book Antiqua" w:hAnsi="Book Antiqua"/>
          <w:sz w:val="24"/>
          <w:szCs w:val="24"/>
          <w:lang w:val="en-US"/>
        </w:rPr>
        <w:t xml:space="preserve"> algorithm-based therapeutic strategies </w:t>
      </w:r>
      <w:r w:rsidR="006D2DAB" w:rsidRPr="00CE02BD">
        <w:rPr>
          <w:rFonts w:ascii="Book Antiqua" w:hAnsi="Book Antiqua"/>
          <w:sz w:val="24"/>
          <w:szCs w:val="24"/>
          <w:lang w:val="en-US"/>
        </w:rPr>
        <w:t xml:space="preserve">as standard of care </w:t>
      </w:r>
      <w:r w:rsidR="00C95941" w:rsidRPr="00CE02BD">
        <w:rPr>
          <w:rFonts w:ascii="Book Antiqua" w:hAnsi="Book Antiqua"/>
          <w:sz w:val="24"/>
          <w:szCs w:val="24"/>
          <w:lang w:val="en-US"/>
        </w:rPr>
        <w:t xml:space="preserve">may translate into </w:t>
      </w:r>
      <w:r w:rsidR="006D2DAB" w:rsidRPr="00CE02BD">
        <w:rPr>
          <w:rFonts w:ascii="Book Antiqua" w:hAnsi="Book Antiqua"/>
          <w:sz w:val="24"/>
          <w:szCs w:val="24"/>
          <w:lang w:val="en-US"/>
        </w:rPr>
        <w:t xml:space="preserve">improved </w:t>
      </w:r>
      <w:r w:rsidR="00F41A13" w:rsidRPr="00CE02BD">
        <w:rPr>
          <w:rFonts w:ascii="Book Antiqua" w:hAnsi="Book Antiqua"/>
          <w:sz w:val="24"/>
          <w:szCs w:val="24"/>
          <w:lang w:val="en-US"/>
        </w:rPr>
        <w:t xml:space="preserve">outcomes as observed </w:t>
      </w:r>
      <w:r w:rsidR="00E00AD4" w:rsidRPr="00CE02BD">
        <w:rPr>
          <w:rFonts w:ascii="Book Antiqua" w:hAnsi="Book Antiqua"/>
          <w:sz w:val="24"/>
          <w:szCs w:val="24"/>
          <w:lang w:val="en-US"/>
        </w:rPr>
        <w:t xml:space="preserve">in </w:t>
      </w:r>
      <w:r w:rsidR="00F41A13" w:rsidRPr="00CE02BD">
        <w:rPr>
          <w:rFonts w:ascii="Book Antiqua" w:hAnsi="Book Antiqua"/>
          <w:sz w:val="24"/>
          <w:szCs w:val="24"/>
          <w:lang w:val="en-US"/>
        </w:rPr>
        <w:t xml:space="preserve">pivotal </w:t>
      </w:r>
      <w:r w:rsidR="008520CF" w:rsidRPr="00CE02BD">
        <w:rPr>
          <w:rFonts w:ascii="Book Antiqua" w:hAnsi="Book Antiqua"/>
          <w:sz w:val="24"/>
          <w:szCs w:val="24"/>
          <w:lang w:val="en-US"/>
        </w:rPr>
        <w:t xml:space="preserve">clinical </w:t>
      </w:r>
      <w:proofErr w:type="gramStart"/>
      <w:r w:rsidR="008520CF" w:rsidRPr="00CE02BD">
        <w:rPr>
          <w:rFonts w:ascii="Book Antiqua" w:hAnsi="Book Antiqua"/>
          <w:sz w:val="24"/>
          <w:szCs w:val="24"/>
          <w:lang w:val="en-US"/>
        </w:rPr>
        <w:t>trials</w:t>
      </w:r>
      <w:r w:rsidR="00583505" w:rsidRPr="00CE02BD">
        <w:rPr>
          <w:rFonts w:ascii="Book Antiqua" w:hAnsi="Book Antiqua"/>
          <w:sz w:val="24"/>
          <w:szCs w:val="24"/>
          <w:vertAlign w:val="superscript"/>
          <w:lang w:val="en-US"/>
        </w:rPr>
        <w:t>[</w:t>
      </w:r>
      <w:proofErr w:type="gramEnd"/>
      <w:r w:rsidR="00583505" w:rsidRPr="00CE02BD">
        <w:rPr>
          <w:rFonts w:ascii="Book Antiqua" w:hAnsi="Book Antiqua"/>
          <w:sz w:val="24"/>
          <w:szCs w:val="24"/>
          <w:vertAlign w:val="superscript"/>
          <w:lang w:val="en-US"/>
        </w:rPr>
        <w:t>12,28]</w:t>
      </w:r>
      <w:r w:rsidR="00E00AD4" w:rsidRPr="00CE02BD">
        <w:rPr>
          <w:rFonts w:ascii="Book Antiqua" w:hAnsi="Book Antiqua"/>
          <w:sz w:val="24"/>
          <w:szCs w:val="24"/>
          <w:lang w:val="en-US"/>
        </w:rPr>
        <w:t>.</w:t>
      </w:r>
    </w:p>
    <w:p w14:paraId="6932E46E" w14:textId="77777777" w:rsidR="00564939" w:rsidRPr="00CE02BD" w:rsidRDefault="00564939" w:rsidP="000F1138">
      <w:pPr>
        <w:adjustRightInd w:val="0"/>
        <w:snapToGrid w:val="0"/>
        <w:spacing w:after="0" w:line="360" w:lineRule="auto"/>
        <w:jc w:val="both"/>
        <w:rPr>
          <w:rFonts w:ascii="Book Antiqua" w:hAnsi="Book Antiqua"/>
          <w:sz w:val="24"/>
          <w:szCs w:val="24"/>
          <w:lang w:val="en-US"/>
        </w:rPr>
      </w:pPr>
    </w:p>
    <w:p w14:paraId="51CF7BDB" w14:textId="63D850D8" w:rsidR="009245EE" w:rsidRPr="00CE02BD" w:rsidRDefault="009245EE"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t>CONCLUSION</w:t>
      </w:r>
    </w:p>
    <w:p w14:paraId="4B61441A" w14:textId="7CA257AA" w:rsidR="00C22CC8" w:rsidRPr="00CE02BD" w:rsidRDefault="00AF1CAC"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 xml:space="preserve">Data favoring </w:t>
      </w:r>
      <w:r w:rsidR="00907BAA" w:rsidRPr="00CE02BD">
        <w:rPr>
          <w:rFonts w:ascii="Book Antiqua" w:hAnsi="Book Antiqua"/>
          <w:sz w:val="24"/>
          <w:szCs w:val="24"/>
          <w:lang w:val="en-US"/>
        </w:rPr>
        <w:t>the treat-to-</w:t>
      </w:r>
      <w:r w:rsidRPr="00CE02BD">
        <w:rPr>
          <w:rFonts w:ascii="Book Antiqua" w:hAnsi="Book Antiqua"/>
          <w:sz w:val="24"/>
          <w:szCs w:val="24"/>
          <w:lang w:val="en-US"/>
        </w:rPr>
        <w:t xml:space="preserve">target strategies and tight patient control still continue to accumulate and results from ongoing trials will further clarify its long-term implications. Early and effective treatment with </w:t>
      </w:r>
      <w:r w:rsidR="006D2DAB" w:rsidRPr="00CE02BD">
        <w:rPr>
          <w:rFonts w:ascii="Book Antiqua" w:hAnsi="Book Antiqua"/>
          <w:sz w:val="24"/>
          <w:szCs w:val="24"/>
          <w:lang w:val="en-US"/>
        </w:rPr>
        <w:t xml:space="preserve">optimal </w:t>
      </w:r>
      <w:r w:rsidRPr="00CE02BD">
        <w:rPr>
          <w:rFonts w:ascii="Book Antiqua" w:hAnsi="Book Antiqua"/>
          <w:sz w:val="24"/>
          <w:szCs w:val="24"/>
          <w:lang w:val="en-US"/>
        </w:rPr>
        <w:t>patient stratification</w:t>
      </w:r>
      <w:r w:rsidR="006D2DAB" w:rsidRPr="00CE02BD">
        <w:rPr>
          <w:rFonts w:ascii="Book Antiqua" w:hAnsi="Book Antiqua"/>
          <w:sz w:val="24"/>
          <w:szCs w:val="24"/>
          <w:lang w:val="en-US"/>
        </w:rPr>
        <w:t xml:space="preserve"> and monitoring</w:t>
      </w:r>
      <w:r w:rsidR="00907BAA" w:rsidRPr="00CE02BD">
        <w:rPr>
          <w:rFonts w:ascii="Book Antiqua" w:hAnsi="Book Antiqua"/>
          <w:sz w:val="24"/>
          <w:szCs w:val="24"/>
          <w:lang w:val="en-US"/>
        </w:rPr>
        <w:t xml:space="preserve"> using treat-to-</w:t>
      </w:r>
      <w:r w:rsidRPr="00CE02BD">
        <w:rPr>
          <w:rFonts w:ascii="Book Antiqua" w:hAnsi="Book Antiqua"/>
          <w:sz w:val="24"/>
          <w:szCs w:val="24"/>
          <w:lang w:val="en-US"/>
        </w:rPr>
        <w:t xml:space="preserve">target and tight control concepts </w:t>
      </w:r>
      <w:r w:rsidR="006D2DAB" w:rsidRPr="00CE02BD">
        <w:rPr>
          <w:rFonts w:ascii="Book Antiqua" w:hAnsi="Book Antiqua"/>
          <w:sz w:val="24"/>
          <w:szCs w:val="24"/>
          <w:lang w:val="en-US"/>
        </w:rPr>
        <w:t>is emerging as superior</w:t>
      </w:r>
      <w:r w:rsidRPr="00CE02BD">
        <w:rPr>
          <w:rFonts w:ascii="Book Antiqua" w:hAnsi="Book Antiqua"/>
          <w:sz w:val="24"/>
          <w:szCs w:val="24"/>
          <w:lang w:val="en-US"/>
        </w:rPr>
        <w:t xml:space="preserve"> therapeutic strategy. </w:t>
      </w:r>
      <w:r w:rsidR="008520CF" w:rsidRPr="00CE02BD">
        <w:rPr>
          <w:rFonts w:ascii="Book Antiqua" w:hAnsi="Book Antiqua"/>
          <w:color w:val="000000" w:themeColor="text1"/>
          <w:sz w:val="24"/>
          <w:szCs w:val="24"/>
          <w:lang w:val="en-US"/>
        </w:rPr>
        <w:t xml:space="preserve">The use of biologic agents should be optimized with timely monitoring, appropriate treatment escalation and de-escalation strategies are both warranted in selected patients. </w:t>
      </w:r>
      <w:r w:rsidR="008520CF" w:rsidRPr="00CE02BD">
        <w:rPr>
          <w:rFonts w:ascii="Book Antiqua" w:hAnsi="Book Antiqua"/>
          <w:sz w:val="24"/>
          <w:szCs w:val="24"/>
          <w:lang w:val="en-US"/>
        </w:rPr>
        <w:t xml:space="preserve">Finally, improving patient-physician communication and patient access to IBD specific healthcare services to receive proper evaluation in urgent IBD related situations is vital in the framework of tight control management. </w:t>
      </w:r>
      <w:r w:rsidR="00AC19AB" w:rsidRPr="00CE02BD">
        <w:rPr>
          <w:rFonts w:ascii="Book Antiqua" w:hAnsi="Book Antiqua"/>
          <w:sz w:val="24"/>
          <w:szCs w:val="24"/>
          <w:lang w:val="en-US"/>
        </w:rPr>
        <w:t>These approaches however require further validation with more precise definition of therapeutic targets (endoscopic, biomarker) in prospective studies of newly diagnosed patients with assessment of long-term outcomes.</w:t>
      </w:r>
    </w:p>
    <w:p w14:paraId="7EA7A4C5" w14:textId="77777777" w:rsidR="00B91C62" w:rsidRPr="00CE02BD" w:rsidRDefault="00B91C62"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br w:type="page"/>
      </w:r>
    </w:p>
    <w:p w14:paraId="5A2596DD" w14:textId="7B0A15DB" w:rsidR="00B91C62" w:rsidRPr="00CE02BD" w:rsidRDefault="00C22CC8"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lastRenderedPageBreak/>
        <w:t>REFERENCES</w:t>
      </w:r>
    </w:p>
    <w:p w14:paraId="47650878"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 </w:t>
      </w:r>
      <w:r w:rsidRPr="00CE02BD">
        <w:rPr>
          <w:rFonts w:ascii="Book Antiqua" w:eastAsia="宋体" w:hAnsi="Book Antiqua" w:cs="宋体"/>
          <w:b/>
          <w:bCs/>
          <w:sz w:val="24"/>
          <w:szCs w:val="24"/>
          <w:lang w:val="en-US" w:eastAsia="zh-CN"/>
        </w:rPr>
        <w:t>Ng SC</w:t>
      </w:r>
      <w:r w:rsidRPr="00CE02BD">
        <w:rPr>
          <w:rFonts w:ascii="Book Antiqua" w:eastAsia="宋体" w:hAnsi="Book Antiqua" w:cs="宋体"/>
          <w:sz w:val="24"/>
          <w:szCs w:val="24"/>
          <w:lang w:val="en-US" w:eastAsia="zh-CN"/>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CE02BD">
        <w:rPr>
          <w:rFonts w:ascii="Book Antiqua" w:eastAsia="宋体" w:hAnsi="Book Antiqua" w:cs="宋体"/>
          <w:i/>
          <w:iCs/>
          <w:sz w:val="24"/>
          <w:szCs w:val="24"/>
          <w:lang w:val="en-US" w:eastAsia="zh-CN"/>
        </w:rPr>
        <w:t>Lancet</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390</w:t>
      </w:r>
      <w:r w:rsidRPr="00CE02BD">
        <w:rPr>
          <w:rFonts w:ascii="Book Antiqua" w:eastAsia="宋体" w:hAnsi="Book Antiqua" w:cs="宋体"/>
          <w:sz w:val="24"/>
          <w:szCs w:val="24"/>
          <w:lang w:val="en-US" w:eastAsia="zh-CN"/>
        </w:rPr>
        <w:t>: 2769-2778 [PMID: 29050646 DOI: 10.1016/S0140-6736(17)32448-0]</w:t>
      </w:r>
    </w:p>
    <w:p w14:paraId="0A02B22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 </w:t>
      </w:r>
      <w:r w:rsidRPr="00CE02BD">
        <w:rPr>
          <w:rFonts w:ascii="Book Antiqua" w:eastAsia="宋体" w:hAnsi="Book Antiqua" w:cs="宋体"/>
          <w:b/>
          <w:bCs/>
          <w:sz w:val="24"/>
          <w:szCs w:val="24"/>
          <w:lang w:val="en-US" w:eastAsia="zh-CN"/>
        </w:rPr>
        <w:t>Peyrin-Biroulet L</w:t>
      </w:r>
      <w:r w:rsidRPr="00CE02BD">
        <w:rPr>
          <w:rFonts w:ascii="Book Antiqua" w:eastAsia="宋体" w:hAnsi="Book Antiqua" w:cs="宋体"/>
          <w:sz w:val="24"/>
          <w:szCs w:val="24"/>
          <w:lang w:val="en-US" w:eastAsia="zh-CN"/>
        </w:rPr>
        <w:t xml:space="preserve">, Loftus EV Jr, Colombel JF, Sandborn WJ. Long-term complications, extraintestinal manifestations, and mortality in adult Crohn's disease in population-based cohorts.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2011; </w:t>
      </w:r>
      <w:r w:rsidRPr="00CE02BD">
        <w:rPr>
          <w:rFonts w:ascii="Book Antiqua" w:eastAsia="宋体" w:hAnsi="Book Antiqua" w:cs="宋体"/>
          <w:b/>
          <w:bCs/>
          <w:sz w:val="24"/>
          <w:szCs w:val="24"/>
          <w:lang w:val="en-US" w:eastAsia="zh-CN"/>
        </w:rPr>
        <w:t>17</w:t>
      </w:r>
      <w:r w:rsidRPr="00CE02BD">
        <w:rPr>
          <w:rFonts w:ascii="Book Antiqua" w:eastAsia="宋体" w:hAnsi="Book Antiqua" w:cs="宋体"/>
          <w:sz w:val="24"/>
          <w:szCs w:val="24"/>
          <w:lang w:val="en-US" w:eastAsia="zh-CN"/>
        </w:rPr>
        <w:t>: 471-478 [PMID: 20725943 DOI: 10.1002/ibd.21417]</w:t>
      </w:r>
    </w:p>
    <w:p w14:paraId="2479808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 </w:t>
      </w:r>
      <w:r w:rsidRPr="00CE02BD">
        <w:rPr>
          <w:rFonts w:ascii="Book Antiqua" w:eastAsia="宋体" w:hAnsi="Book Antiqua" w:cs="宋体"/>
          <w:b/>
          <w:bCs/>
          <w:sz w:val="24"/>
          <w:szCs w:val="24"/>
          <w:lang w:val="en-US" w:eastAsia="zh-CN"/>
        </w:rPr>
        <w:t>Torres J</w:t>
      </w:r>
      <w:r w:rsidRPr="00CE02BD">
        <w:rPr>
          <w:rFonts w:ascii="Book Antiqua" w:eastAsia="宋体" w:hAnsi="Book Antiqua" w:cs="宋体"/>
          <w:sz w:val="24"/>
          <w:szCs w:val="24"/>
          <w:lang w:val="en-US" w:eastAsia="zh-CN"/>
        </w:rPr>
        <w:t xml:space="preserve">, Billioud V, Sachar DB, Peyrin-Biroulet L, Colombel JF. Ulcerative colitis as a progressive disease: the forgotten evidence.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18</w:t>
      </w:r>
      <w:r w:rsidRPr="00CE02BD">
        <w:rPr>
          <w:rFonts w:ascii="Book Antiqua" w:eastAsia="宋体" w:hAnsi="Book Antiqua" w:cs="宋体"/>
          <w:sz w:val="24"/>
          <w:szCs w:val="24"/>
          <w:lang w:val="en-US" w:eastAsia="zh-CN"/>
        </w:rPr>
        <w:t>: 1356-1363 [PMID: 22162423 DOI: 10.1002/ibd.22839]</w:t>
      </w:r>
    </w:p>
    <w:p w14:paraId="64436B6A"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 </w:t>
      </w:r>
      <w:r w:rsidRPr="00CE02BD">
        <w:rPr>
          <w:rFonts w:ascii="Book Antiqua" w:eastAsia="宋体" w:hAnsi="Book Antiqua" w:cs="宋体"/>
          <w:b/>
          <w:bCs/>
          <w:sz w:val="24"/>
          <w:szCs w:val="24"/>
          <w:lang w:val="en-US" w:eastAsia="zh-CN"/>
        </w:rPr>
        <w:t>Bouguen G</w:t>
      </w:r>
      <w:r w:rsidRPr="00CE02BD">
        <w:rPr>
          <w:rFonts w:ascii="Book Antiqua" w:eastAsia="宋体" w:hAnsi="Book Antiqua" w:cs="宋体"/>
          <w:sz w:val="24"/>
          <w:szCs w:val="24"/>
          <w:lang w:val="en-US" w:eastAsia="zh-CN"/>
        </w:rPr>
        <w:t xml:space="preserve">, Peyrin-Biroulet L. Surgery for adult Crohn's disease: what is the actual risk?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2011; </w:t>
      </w:r>
      <w:r w:rsidRPr="00CE02BD">
        <w:rPr>
          <w:rFonts w:ascii="Book Antiqua" w:eastAsia="宋体" w:hAnsi="Book Antiqua" w:cs="宋体"/>
          <w:b/>
          <w:bCs/>
          <w:sz w:val="24"/>
          <w:szCs w:val="24"/>
          <w:lang w:val="en-US" w:eastAsia="zh-CN"/>
        </w:rPr>
        <w:t>60</w:t>
      </w:r>
      <w:r w:rsidRPr="00CE02BD">
        <w:rPr>
          <w:rFonts w:ascii="Book Antiqua" w:eastAsia="宋体" w:hAnsi="Book Antiqua" w:cs="宋体"/>
          <w:sz w:val="24"/>
          <w:szCs w:val="24"/>
          <w:lang w:val="en-US" w:eastAsia="zh-CN"/>
        </w:rPr>
        <w:t>: 1178-1181 [PMID: 21610273 DOI: 10.1136/gut.2010.234617]</w:t>
      </w:r>
    </w:p>
    <w:p w14:paraId="097CB533" w14:textId="3F2919E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 </w:t>
      </w:r>
      <w:r w:rsidRPr="00CE02BD">
        <w:rPr>
          <w:rFonts w:ascii="Book Antiqua" w:eastAsia="宋体" w:hAnsi="Book Antiqua" w:cs="宋体"/>
          <w:b/>
          <w:bCs/>
          <w:sz w:val="24"/>
          <w:szCs w:val="24"/>
          <w:lang w:val="en-US" w:eastAsia="zh-CN"/>
        </w:rPr>
        <w:t>Burisch J</w:t>
      </w:r>
      <w:r w:rsidRPr="00CE02BD">
        <w:rPr>
          <w:rFonts w:ascii="Book Antiqua" w:eastAsia="宋体" w:hAnsi="Book Antiqua" w:cs="宋体"/>
          <w:sz w:val="24"/>
          <w:szCs w:val="24"/>
          <w:lang w:val="en-US" w:eastAsia="zh-CN"/>
        </w:rPr>
        <w:t xml:space="preserve">, Kiudelis G, Kupcinskas L, Kievit HAL, Andersen KW, Andersen V, Salupere R, Pedersen N, Kjeldsen J, D'Incà R, Valpiani D, Schwartz D, Odes S, Olsen J, Nielsen KR, Vegh Z, Lakatos PL, Toca A, Turcan S, Katsanos KH, Christodoulou DK, Fumery M, Gower-Rousseau C, Chetcuti Zammit S,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2018</w:t>
      </w:r>
      <w:r w:rsidR="00112A85" w:rsidRPr="00CE02BD">
        <w:rPr>
          <w:rFonts w:ascii="Book Antiqua" w:eastAsia="宋体" w:hAnsi="Book Antiqua" w:cs="宋体"/>
          <w:sz w:val="24"/>
          <w:szCs w:val="24"/>
          <w:lang w:val="en-US" w:eastAsia="zh-CN"/>
        </w:rPr>
        <w:t>;</w:t>
      </w:r>
      <w:r w:rsidRPr="00CE02BD">
        <w:rPr>
          <w:rFonts w:ascii="Book Antiqua" w:eastAsia="宋体" w:hAnsi="Book Antiqua" w:cs="宋体"/>
          <w:sz w:val="24"/>
          <w:szCs w:val="24"/>
          <w:lang w:val="en-US" w:eastAsia="zh-CN"/>
        </w:rPr>
        <w:t xml:space="preserve"> [PMID: 29363534 DOI: 10.1136/gutjnl-2017-315568]</w:t>
      </w:r>
    </w:p>
    <w:p w14:paraId="10402A64"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 </w:t>
      </w:r>
      <w:r w:rsidRPr="00CE02BD">
        <w:rPr>
          <w:rFonts w:ascii="Book Antiqua" w:eastAsia="宋体" w:hAnsi="Book Antiqua" w:cs="宋体"/>
          <w:b/>
          <w:bCs/>
          <w:sz w:val="24"/>
          <w:szCs w:val="24"/>
          <w:lang w:val="en-US" w:eastAsia="zh-CN"/>
        </w:rPr>
        <w:t>Peyrin-Biroulet L</w:t>
      </w:r>
      <w:r w:rsidRPr="00CE02BD">
        <w:rPr>
          <w:rFonts w:ascii="Book Antiqua" w:eastAsia="宋体" w:hAnsi="Book Antiqua" w:cs="宋体"/>
          <w:sz w:val="24"/>
          <w:szCs w:val="24"/>
          <w:lang w:val="en-US" w:eastAsia="zh-CN"/>
        </w:rPr>
        <w:t xml:space="preserve">,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61</w:t>
      </w:r>
      <w:r w:rsidRPr="00CE02BD">
        <w:rPr>
          <w:rFonts w:ascii="Book Antiqua" w:eastAsia="宋体" w:hAnsi="Book Antiqua" w:cs="宋体"/>
          <w:sz w:val="24"/>
          <w:szCs w:val="24"/>
          <w:lang w:val="en-US" w:eastAsia="zh-CN"/>
        </w:rPr>
        <w:t>: 241-247 [PMID: 21646246 DOI: 10.1136/gutjnl-2011-300049]</w:t>
      </w:r>
    </w:p>
    <w:p w14:paraId="08A6EF0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7 </w:t>
      </w:r>
      <w:r w:rsidRPr="00CE02BD">
        <w:rPr>
          <w:rFonts w:ascii="Book Antiqua" w:eastAsia="宋体" w:hAnsi="Book Antiqua" w:cs="宋体"/>
          <w:b/>
          <w:bCs/>
          <w:sz w:val="24"/>
          <w:szCs w:val="24"/>
          <w:lang w:val="en-US" w:eastAsia="zh-CN"/>
        </w:rPr>
        <w:t>Pariente B</w:t>
      </w:r>
      <w:r w:rsidRPr="00CE02BD">
        <w:rPr>
          <w:rFonts w:ascii="Book Antiqua" w:eastAsia="宋体" w:hAnsi="Book Antiqua" w:cs="宋体"/>
          <w:sz w:val="24"/>
          <w:szCs w:val="24"/>
          <w:lang w:val="en-US" w:eastAsia="zh-CN"/>
        </w:rPr>
        <w:t xml:space="preserve">, Mary JY, Danese S, Chowers Y, De Cruz P, D'Haens G, Loftus EV Jr, Louis E, Panés J, Schölmerich J, Schreiber S, Vecchi M, Branche J, Bruining D, Fiorino G, Herzog M, Kamm MA, Klein A, Lewin M, Meunier P, Ordas I, Strauch U, Tontini GE, Zagdanski AM, Bonifacio C, Rimola J, Nachury M, Leroy C, Sandborn W, Colombel JF, Cosnes J. Development of the Lémann index to assess digestive tract damage in patients with Crohn's disease.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148</w:t>
      </w:r>
      <w:r w:rsidRPr="00CE02BD">
        <w:rPr>
          <w:rFonts w:ascii="Book Antiqua" w:eastAsia="宋体" w:hAnsi="Book Antiqua" w:cs="宋体"/>
          <w:sz w:val="24"/>
          <w:szCs w:val="24"/>
          <w:lang w:val="en-US" w:eastAsia="zh-CN"/>
        </w:rPr>
        <w:t>: 52-63.e3 [PMID: 25241327 DOI: 10.1053/j.gastro.2014.09.015]</w:t>
      </w:r>
    </w:p>
    <w:p w14:paraId="072CE24C"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 </w:t>
      </w:r>
      <w:r w:rsidRPr="00CE02BD">
        <w:rPr>
          <w:rFonts w:ascii="Book Antiqua" w:eastAsia="宋体" w:hAnsi="Book Antiqua" w:cs="宋体"/>
          <w:b/>
          <w:bCs/>
          <w:sz w:val="24"/>
          <w:szCs w:val="24"/>
          <w:lang w:val="en-US" w:eastAsia="zh-CN"/>
        </w:rPr>
        <w:t>Solberg IC</w:t>
      </w:r>
      <w:r w:rsidRPr="00CE02BD">
        <w:rPr>
          <w:rFonts w:ascii="Book Antiqua" w:eastAsia="宋体" w:hAnsi="Book Antiqua" w:cs="宋体"/>
          <w:sz w:val="24"/>
          <w:szCs w:val="24"/>
          <w:lang w:val="en-US" w:eastAsia="zh-CN"/>
        </w:rPr>
        <w:t xml:space="preserve">, Vatn MH, Høie O, Stray N, Sauar J, Jahnsen J, Moum B, Lygren I; IBSEN Study Group. Clinical course in Crohn's disease: results of a Norwegian population-based ten-year follow-up study.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2007; </w:t>
      </w:r>
      <w:r w:rsidRPr="00CE02BD">
        <w:rPr>
          <w:rFonts w:ascii="Book Antiqua" w:eastAsia="宋体" w:hAnsi="Book Antiqua" w:cs="宋体"/>
          <w:b/>
          <w:bCs/>
          <w:sz w:val="24"/>
          <w:szCs w:val="24"/>
          <w:lang w:val="en-US" w:eastAsia="zh-CN"/>
        </w:rPr>
        <w:t>5</w:t>
      </w:r>
      <w:r w:rsidRPr="00CE02BD">
        <w:rPr>
          <w:rFonts w:ascii="Book Antiqua" w:eastAsia="宋体" w:hAnsi="Book Antiqua" w:cs="宋体"/>
          <w:sz w:val="24"/>
          <w:szCs w:val="24"/>
          <w:lang w:val="en-US" w:eastAsia="zh-CN"/>
        </w:rPr>
        <w:t>: 1430-1438 [PMID: 18054751 DOI: 10.1016/j.cgh.2007.09.002]</w:t>
      </w:r>
    </w:p>
    <w:p w14:paraId="5FF22FA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 </w:t>
      </w:r>
      <w:r w:rsidRPr="00CE02BD">
        <w:rPr>
          <w:rFonts w:ascii="Book Antiqua" w:eastAsia="宋体" w:hAnsi="Book Antiqua" w:cs="宋体"/>
          <w:b/>
          <w:bCs/>
          <w:sz w:val="24"/>
          <w:szCs w:val="24"/>
          <w:lang w:val="en-US" w:eastAsia="zh-CN"/>
        </w:rPr>
        <w:t>Solberg IC</w:t>
      </w:r>
      <w:r w:rsidRPr="00CE02BD">
        <w:rPr>
          <w:rFonts w:ascii="Book Antiqua" w:eastAsia="宋体" w:hAnsi="Book Antiqua" w:cs="宋体"/>
          <w:sz w:val="24"/>
          <w:szCs w:val="24"/>
          <w:lang w:val="en-US" w:eastAsia="zh-CN"/>
        </w:rPr>
        <w:t xml:space="preserve">, Lygren I, Jahnsen J, Aadland E, Høie O, Cvancarova M, Bernklev T, Henriksen M, Sauar J, Vatn MH, Moum B; IBSEN Study Group. Clinical course during the first 10 years of ulcerative colitis: results from a population-based inception cohort (IBSEN Study). </w:t>
      </w:r>
      <w:r w:rsidRPr="00CE02BD">
        <w:rPr>
          <w:rFonts w:ascii="Book Antiqua" w:eastAsia="宋体" w:hAnsi="Book Antiqua" w:cs="宋体"/>
          <w:i/>
          <w:iCs/>
          <w:sz w:val="24"/>
          <w:szCs w:val="24"/>
          <w:lang w:val="en-US" w:eastAsia="zh-CN"/>
        </w:rPr>
        <w:t>Scand J Gastroenterol</w:t>
      </w:r>
      <w:r w:rsidRPr="00CE02BD">
        <w:rPr>
          <w:rFonts w:ascii="Book Antiqua" w:eastAsia="宋体" w:hAnsi="Book Antiqua" w:cs="宋体"/>
          <w:sz w:val="24"/>
          <w:szCs w:val="24"/>
          <w:lang w:val="en-US" w:eastAsia="zh-CN"/>
        </w:rPr>
        <w:t xml:space="preserve"> 2009; </w:t>
      </w:r>
      <w:r w:rsidRPr="00CE02BD">
        <w:rPr>
          <w:rFonts w:ascii="Book Antiqua" w:eastAsia="宋体" w:hAnsi="Book Antiqua" w:cs="宋体"/>
          <w:b/>
          <w:bCs/>
          <w:sz w:val="24"/>
          <w:szCs w:val="24"/>
          <w:lang w:val="en-US" w:eastAsia="zh-CN"/>
        </w:rPr>
        <w:t>44</w:t>
      </w:r>
      <w:r w:rsidRPr="00CE02BD">
        <w:rPr>
          <w:rFonts w:ascii="Book Antiqua" w:eastAsia="宋体" w:hAnsi="Book Antiqua" w:cs="宋体"/>
          <w:sz w:val="24"/>
          <w:szCs w:val="24"/>
          <w:lang w:val="en-US" w:eastAsia="zh-CN"/>
        </w:rPr>
        <w:t>: 431-440 [PMID: 19101844 DOI: 10.1080/00365520802600961]</w:t>
      </w:r>
    </w:p>
    <w:p w14:paraId="691B4D1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10 </w:t>
      </w:r>
      <w:r w:rsidRPr="00CE02BD">
        <w:rPr>
          <w:rFonts w:ascii="Book Antiqua" w:eastAsia="宋体" w:hAnsi="Book Antiqua" w:cs="宋体"/>
          <w:b/>
          <w:bCs/>
          <w:sz w:val="24"/>
          <w:szCs w:val="24"/>
          <w:lang w:val="en-US" w:eastAsia="zh-CN"/>
        </w:rPr>
        <w:t>D'Haens G</w:t>
      </w:r>
      <w:r w:rsidRPr="00CE02BD">
        <w:rPr>
          <w:rFonts w:ascii="Book Antiqua" w:eastAsia="宋体" w:hAnsi="Book Antiqua" w:cs="宋体"/>
          <w:sz w:val="24"/>
          <w:szCs w:val="24"/>
          <w:lang w:val="en-US" w:eastAsia="zh-CN"/>
        </w:rPr>
        <w:t xml:space="preserve">, Baert F, van Assche G, Caenepeel P, Vergauwe P, Tuynman H, De Vos M, van Deventer S, Stitt L, Donner A, Vermeire S, Van De Mierop FJ, Coche JR, van der Woude J, Ochsenkühn T, van Bodegraven AA, Van Hootegem PP, Lambrecht GL, Mana F, Rutgeerts P, Feagan BG, Hommes D; Belgian Inflammatory Bowel Disease Research Group; North-Holland Gut Club. Early combined immunosuppression or conventional management in patients with newly diagnosed Crohn's disease: an open randomised trial. </w:t>
      </w:r>
      <w:r w:rsidRPr="00CE02BD">
        <w:rPr>
          <w:rFonts w:ascii="Book Antiqua" w:eastAsia="宋体" w:hAnsi="Book Antiqua" w:cs="宋体"/>
          <w:i/>
          <w:iCs/>
          <w:sz w:val="24"/>
          <w:szCs w:val="24"/>
          <w:lang w:val="en-US" w:eastAsia="zh-CN"/>
        </w:rPr>
        <w:t>Lancet</w:t>
      </w:r>
      <w:r w:rsidRPr="00CE02BD">
        <w:rPr>
          <w:rFonts w:ascii="Book Antiqua" w:eastAsia="宋体" w:hAnsi="Book Antiqua" w:cs="宋体"/>
          <w:sz w:val="24"/>
          <w:szCs w:val="24"/>
          <w:lang w:val="en-US" w:eastAsia="zh-CN"/>
        </w:rPr>
        <w:t xml:space="preserve"> 2008; </w:t>
      </w:r>
      <w:r w:rsidRPr="00CE02BD">
        <w:rPr>
          <w:rFonts w:ascii="Book Antiqua" w:eastAsia="宋体" w:hAnsi="Book Antiqua" w:cs="宋体"/>
          <w:b/>
          <w:bCs/>
          <w:sz w:val="24"/>
          <w:szCs w:val="24"/>
          <w:lang w:val="en-US" w:eastAsia="zh-CN"/>
        </w:rPr>
        <w:t>371</w:t>
      </w:r>
      <w:r w:rsidRPr="00CE02BD">
        <w:rPr>
          <w:rFonts w:ascii="Book Antiqua" w:eastAsia="宋体" w:hAnsi="Book Antiqua" w:cs="宋体"/>
          <w:sz w:val="24"/>
          <w:szCs w:val="24"/>
          <w:lang w:val="en-US" w:eastAsia="zh-CN"/>
        </w:rPr>
        <w:t>: 660-667 [PMID: 18295023 DOI: 10.1016/S0140-6736(08)60304-9]</w:t>
      </w:r>
    </w:p>
    <w:p w14:paraId="576A793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11 </w:t>
      </w:r>
      <w:r w:rsidRPr="00CE02BD">
        <w:rPr>
          <w:rFonts w:ascii="Book Antiqua" w:eastAsia="宋体" w:hAnsi="Book Antiqua" w:cs="宋体"/>
          <w:b/>
          <w:bCs/>
          <w:sz w:val="24"/>
          <w:szCs w:val="24"/>
          <w:lang w:val="en-US" w:eastAsia="zh-CN"/>
        </w:rPr>
        <w:t>Colombel JF</w:t>
      </w:r>
      <w:r w:rsidRPr="00CE02BD">
        <w:rPr>
          <w:rFonts w:ascii="Book Antiqua" w:eastAsia="宋体" w:hAnsi="Book Antiqua" w:cs="宋体"/>
          <w:sz w:val="24"/>
          <w:szCs w:val="24"/>
          <w:lang w:val="en-US" w:eastAsia="zh-CN"/>
        </w:rPr>
        <w:t xml:space="preserve">, Sandborn WJ, Reinisch W, Mantzaris GJ, Kornbluth A, Rachmilewitz D, Lichtiger S, D'Haens G, Diamond RH, Broussard DL, Tang KL, van der Woude CJ, Rutgeerts P; SONIC Study Group. Infliximab, azathioprine, or combination therapy for Crohn's disease. </w:t>
      </w:r>
      <w:r w:rsidRPr="00CE02BD">
        <w:rPr>
          <w:rFonts w:ascii="Book Antiqua" w:eastAsia="宋体" w:hAnsi="Book Antiqua" w:cs="宋体"/>
          <w:i/>
          <w:iCs/>
          <w:sz w:val="24"/>
          <w:szCs w:val="24"/>
          <w:lang w:val="en-US" w:eastAsia="zh-CN"/>
        </w:rPr>
        <w:t>N Engl J Med</w:t>
      </w:r>
      <w:r w:rsidRPr="00CE02BD">
        <w:rPr>
          <w:rFonts w:ascii="Book Antiqua" w:eastAsia="宋体" w:hAnsi="Book Antiqua" w:cs="宋体"/>
          <w:sz w:val="24"/>
          <w:szCs w:val="24"/>
          <w:lang w:val="en-US" w:eastAsia="zh-CN"/>
        </w:rPr>
        <w:t xml:space="preserve"> 2010; </w:t>
      </w:r>
      <w:r w:rsidRPr="00CE02BD">
        <w:rPr>
          <w:rFonts w:ascii="Book Antiqua" w:eastAsia="宋体" w:hAnsi="Book Antiqua" w:cs="宋体"/>
          <w:b/>
          <w:bCs/>
          <w:sz w:val="24"/>
          <w:szCs w:val="24"/>
          <w:lang w:val="en-US" w:eastAsia="zh-CN"/>
        </w:rPr>
        <w:t>362</w:t>
      </w:r>
      <w:r w:rsidRPr="00CE02BD">
        <w:rPr>
          <w:rFonts w:ascii="Book Antiqua" w:eastAsia="宋体" w:hAnsi="Book Antiqua" w:cs="宋体"/>
          <w:sz w:val="24"/>
          <w:szCs w:val="24"/>
          <w:lang w:val="en-US" w:eastAsia="zh-CN"/>
        </w:rPr>
        <w:t>: 1383-1395 [PMID: 20393175 DOI: 10.1056/NEJMoa0904492]</w:t>
      </w:r>
    </w:p>
    <w:p w14:paraId="2AB96D2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12 </w:t>
      </w:r>
      <w:r w:rsidRPr="00CE02BD">
        <w:rPr>
          <w:rFonts w:ascii="Book Antiqua" w:eastAsia="宋体" w:hAnsi="Book Antiqua" w:cs="宋体"/>
          <w:b/>
          <w:bCs/>
          <w:sz w:val="24"/>
          <w:szCs w:val="24"/>
          <w:lang w:val="en-US" w:eastAsia="zh-CN"/>
        </w:rPr>
        <w:t>Khanna R</w:t>
      </w:r>
      <w:r w:rsidRPr="00CE02BD">
        <w:rPr>
          <w:rFonts w:ascii="Book Antiqua" w:eastAsia="宋体" w:hAnsi="Book Antiqua" w:cs="宋体"/>
          <w:sz w:val="24"/>
          <w:szCs w:val="24"/>
          <w:lang w:val="en-US" w:eastAsia="zh-CN"/>
        </w:rPr>
        <w:t xml:space="preserve">, Bressler B, Levesque BG, Zou G, Stitt LW, Greenberg GR, Panaccione R, Bitton A, Paré P, Vermeire S, D'Haens G, MacIntosh D, Sandborn WJ, Donner A, </w:t>
      </w:r>
      <w:r w:rsidRPr="00CE02BD">
        <w:rPr>
          <w:rFonts w:ascii="Book Antiqua" w:eastAsia="宋体" w:hAnsi="Book Antiqua" w:cs="宋体"/>
          <w:sz w:val="24"/>
          <w:szCs w:val="24"/>
          <w:lang w:val="en-US" w:eastAsia="zh-CN"/>
        </w:rPr>
        <w:lastRenderedPageBreak/>
        <w:t xml:space="preserve">Vandervoort MK, Morris JC, Feagan BG; REACT Study Investigators. Early combined immunosuppression for the management of Crohn's disease (REACT): a cluster randomised controlled trial. </w:t>
      </w:r>
      <w:r w:rsidRPr="00CE02BD">
        <w:rPr>
          <w:rFonts w:ascii="Book Antiqua" w:eastAsia="宋体" w:hAnsi="Book Antiqua" w:cs="宋体"/>
          <w:i/>
          <w:iCs/>
          <w:sz w:val="24"/>
          <w:szCs w:val="24"/>
          <w:lang w:val="en-US" w:eastAsia="zh-CN"/>
        </w:rPr>
        <w:t>Lancet</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386</w:t>
      </w:r>
      <w:r w:rsidRPr="00CE02BD">
        <w:rPr>
          <w:rFonts w:ascii="Book Antiqua" w:eastAsia="宋体" w:hAnsi="Book Antiqua" w:cs="宋体"/>
          <w:sz w:val="24"/>
          <w:szCs w:val="24"/>
          <w:lang w:val="en-US" w:eastAsia="zh-CN"/>
        </w:rPr>
        <w:t>: 1825-1834 [PMID: 26342731 DOI: 10.1016/S0140-6736(15)00068-9]</w:t>
      </w:r>
    </w:p>
    <w:p w14:paraId="269E3FA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13 </w:t>
      </w:r>
      <w:r w:rsidRPr="00CE02BD">
        <w:rPr>
          <w:rFonts w:ascii="Book Antiqua" w:eastAsia="宋体" w:hAnsi="Book Antiqua" w:cs="宋体"/>
          <w:b/>
          <w:bCs/>
          <w:sz w:val="24"/>
          <w:szCs w:val="24"/>
          <w:lang w:val="en-US" w:eastAsia="zh-CN"/>
        </w:rPr>
        <w:t>Colombel JF</w:t>
      </w:r>
      <w:r w:rsidRPr="00CE02BD">
        <w:rPr>
          <w:rFonts w:ascii="Book Antiqua" w:eastAsia="宋体" w:hAnsi="Book Antiqua" w:cs="宋体"/>
          <w:sz w:val="24"/>
          <w:szCs w:val="24"/>
          <w:lang w:val="en-US" w:eastAsia="zh-CN"/>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CE02BD">
        <w:rPr>
          <w:rFonts w:ascii="Book Antiqua" w:eastAsia="宋体" w:hAnsi="Book Antiqua" w:cs="宋体"/>
          <w:i/>
          <w:iCs/>
          <w:sz w:val="24"/>
          <w:szCs w:val="24"/>
          <w:lang w:val="en-US" w:eastAsia="zh-CN"/>
        </w:rPr>
        <w:t>Lancet</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390</w:t>
      </w:r>
      <w:r w:rsidRPr="00CE02BD">
        <w:rPr>
          <w:rFonts w:ascii="Book Antiqua" w:eastAsia="宋体" w:hAnsi="Book Antiqua" w:cs="宋体"/>
          <w:sz w:val="24"/>
          <w:szCs w:val="24"/>
          <w:lang w:val="en-US" w:eastAsia="zh-CN"/>
        </w:rPr>
        <w:t>: 2779-2789 [PMID: 29096949 DOI: 10.1016/S0140-6736(17)32641-7]</w:t>
      </w:r>
    </w:p>
    <w:p w14:paraId="1FFC9727"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14 </w:t>
      </w:r>
      <w:r w:rsidRPr="00CE02BD">
        <w:rPr>
          <w:rFonts w:ascii="Book Antiqua" w:eastAsia="宋体" w:hAnsi="Book Antiqua" w:cs="宋体"/>
          <w:b/>
          <w:bCs/>
          <w:sz w:val="24"/>
          <w:szCs w:val="24"/>
          <w:lang w:val="en-US" w:eastAsia="zh-CN"/>
        </w:rPr>
        <w:t>Beaugerie L</w:t>
      </w:r>
      <w:r w:rsidRPr="00CE02BD">
        <w:rPr>
          <w:rFonts w:ascii="Book Antiqua" w:eastAsia="宋体" w:hAnsi="Book Antiqua" w:cs="宋体"/>
          <w:sz w:val="24"/>
          <w:szCs w:val="24"/>
          <w:lang w:val="en-US" w:eastAsia="zh-CN"/>
        </w:rPr>
        <w:t xml:space="preserve">, Seksik P, Nion-Larmurier I, Gendre JP, Cosnes J. Predictors of Crohn's disease.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2006; </w:t>
      </w:r>
      <w:r w:rsidRPr="00CE02BD">
        <w:rPr>
          <w:rFonts w:ascii="Book Antiqua" w:eastAsia="宋体" w:hAnsi="Book Antiqua" w:cs="宋体"/>
          <w:b/>
          <w:bCs/>
          <w:sz w:val="24"/>
          <w:szCs w:val="24"/>
          <w:lang w:val="en-US" w:eastAsia="zh-CN"/>
        </w:rPr>
        <w:t>130</w:t>
      </w:r>
      <w:r w:rsidRPr="00CE02BD">
        <w:rPr>
          <w:rFonts w:ascii="Book Antiqua" w:eastAsia="宋体" w:hAnsi="Book Antiqua" w:cs="宋体"/>
          <w:sz w:val="24"/>
          <w:szCs w:val="24"/>
          <w:lang w:val="en-US" w:eastAsia="zh-CN"/>
        </w:rPr>
        <w:t>: 650-656 [PMID: 16530505 DOI: 10.1053/j.gastro.2005.12.019]</w:t>
      </w:r>
    </w:p>
    <w:p w14:paraId="383F707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15 </w:t>
      </w:r>
      <w:r w:rsidRPr="00CE02BD">
        <w:rPr>
          <w:rFonts w:ascii="Book Antiqua" w:eastAsia="宋体" w:hAnsi="Book Antiqua" w:cs="宋体"/>
          <w:b/>
          <w:bCs/>
          <w:sz w:val="24"/>
          <w:szCs w:val="24"/>
          <w:lang w:val="en-US" w:eastAsia="zh-CN"/>
        </w:rPr>
        <w:t>Lakatos PL</w:t>
      </w:r>
      <w:r w:rsidRPr="00CE02BD">
        <w:rPr>
          <w:rFonts w:ascii="Book Antiqua" w:eastAsia="宋体" w:hAnsi="Book Antiqua" w:cs="宋体"/>
          <w:sz w:val="24"/>
          <w:szCs w:val="24"/>
          <w:lang w:val="en-US" w:eastAsia="zh-CN"/>
        </w:rPr>
        <w:t xml:space="preserve">, Czegledi Z, Szamosi T, Banai J, David G, Zsigmond F, Pandur T, Erdelyi Z, Gemela O, Papp J, Lakatos L. Perianal disease, small bowel disease, smoking, prior steroid or early azathioprine/biological therapy are predictors of disease behavior change in patients with Crohn's disease. </w:t>
      </w:r>
      <w:r w:rsidRPr="00CE02BD">
        <w:rPr>
          <w:rFonts w:ascii="Book Antiqua" w:eastAsia="宋体" w:hAnsi="Book Antiqua" w:cs="宋体"/>
          <w:i/>
          <w:iCs/>
          <w:sz w:val="24"/>
          <w:szCs w:val="24"/>
          <w:lang w:val="en-US" w:eastAsia="zh-CN"/>
        </w:rPr>
        <w:t>World J Gastroenterol</w:t>
      </w:r>
      <w:r w:rsidRPr="00CE02BD">
        <w:rPr>
          <w:rFonts w:ascii="Book Antiqua" w:eastAsia="宋体" w:hAnsi="Book Antiqua" w:cs="宋体"/>
          <w:sz w:val="24"/>
          <w:szCs w:val="24"/>
          <w:lang w:val="en-US" w:eastAsia="zh-CN"/>
        </w:rPr>
        <w:t xml:space="preserve"> 2009; </w:t>
      </w:r>
      <w:r w:rsidRPr="00CE02BD">
        <w:rPr>
          <w:rFonts w:ascii="Book Antiqua" w:eastAsia="宋体" w:hAnsi="Book Antiqua" w:cs="宋体"/>
          <w:b/>
          <w:bCs/>
          <w:sz w:val="24"/>
          <w:szCs w:val="24"/>
          <w:lang w:val="en-US" w:eastAsia="zh-CN"/>
        </w:rPr>
        <w:t>15</w:t>
      </w:r>
      <w:r w:rsidRPr="00CE02BD">
        <w:rPr>
          <w:rFonts w:ascii="Book Antiqua" w:eastAsia="宋体" w:hAnsi="Book Antiqua" w:cs="宋体"/>
          <w:sz w:val="24"/>
          <w:szCs w:val="24"/>
          <w:lang w:val="en-US" w:eastAsia="zh-CN"/>
        </w:rPr>
        <w:t>: 3504-3510 [PMID: 19630105 DOI: 10.3748/wjg.15.3504]</w:t>
      </w:r>
    </w:p>
    <w:p w14:paraId="74CA28A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16 </w:t>
      </w:r>
      <w:r w:rsidRPr="00CE02BD">
        <w:rPr>
          <w:rFonts w:ascii="Book Antiqua" w:eastAsia="宋体" w:hAnsi="Book Antiqua" w:cs="宋体"/>
          <w:b/>
          <w:bCs/>
          <w:sz w:val="24"/>
          <w:szCs w:val="24"/>
          <w:lang w:val="en-US" w:eastAsia="zh-CN"/>
        </w:rPr>
        <w:t>Solberg IC</w:t>
      </w:r>
      <w:r w:rsidRPr="00CE02BD">
        <w:rPr>
          <w:rFonts w:ascii="Book Antiqua" w:eastAsia="宋体" w:hAnsi="Book Antiqua" w:cs="宋体"/>
          <w:sz w:val="24"/>
          <w:szCs w:val="24"/>
          <w:lang w:val="en-US" w:eastAsia="zh-CN"/>
        </w:rPr>
        <w:t xml:space="preserve">, Høivik ML, Cvancarova M, Moum B; IBSEN Study Group. Risk matrix model for prediction of colectomy in a population-based study of ulcerative colitis patients (the IBSEN study). </w:t>
      </w:r>
      <w:r w:rsidRPr="00CE02BD">
        <w:rPr>
          <w:rFonts w:ascii="Book Antiqua" w:eastAsia="宋体" w:hAnsi="Book Antiqua" w:cs="宋体"/>
          <w:i/>
          <w:iCs/>
          <w:sz w:val="24"/>
          <w:szCs w:val="24"/>
          <w:lang w:val="en-US" w:eastAsia="zh-CN"/>
        </w:rPr>
        <w:t>Scand J Gastroenterol</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50</w:t>
      </w:r>
      <w:r w:rsidRPr="00CE02BD">
        <w:rPr>
          <w:rFonts w:ascii="Book Antiqua" w:eastAsia="宋体" w:hAnsi="Book Antiqua" w:cs="宋体"/>
          <w:sz w:val="24"/>
          <w:szCs w:val="24"/>
          <w:lang w:val="en-US" w:eastAsia="zh-CN"/>
        </w:rPr>
        <w:t>: 1456-1462 [PMID: 26139389 DOI: 10.3109/00365521.2015.1064991]</w:t>
      </w:r>
    </w:p>
    <w:p w14:paraId="0A87251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17 </w:t>
      </w:r>
      <w:r w:rsidRPr="00CE02BD">
        <w:rPr>
          <w:rFonts w:ascii="Book Antiqua" w:eastAsia="宋体" w:hAnsi="Book Antiqua" w:cs="宋体"/>
          <w:b/>
          <w:bCs/>
          <w:sz w:val="24"/>
          <w:szCs w:val="24"/>
          <w:lang w:val="en-US" w:eastAsia="zh-CN"/>
        </w:rPr>
        <w:t>Solberg IC</w:t>
      </w:r>
      <w:r w:rsidRPr="00CE02BD">
        <w:rPr>
          <w:rFonts w:ascii="Book Antiqua" w:eastAsia="宋体" w:hAnsi="Book Antiqua" w:cs="宋体"/>
          <w:sz w:val="24"/>
          <w:szCs w:val="24"/>
          <w:lang w:val="en-US" w:eastAsia="zh-CN"/>
        </w:rPr>
        <w:t xml:space="preserve">, Cvancarova M, Vatn MH, Moum B; IBSEN Study Group. Risk matrix for prediction of advanced disease in a population-based study of patients with Crohn's Disease (the IBSEN Study).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20</w:t>
      </w:r>
      <w:r w:rsidRPr="00CE02BD">
        <w:rPr>
          <w:rFonts w:ascii="Book Antiqua" w:eastAsia="宋体" w:hAnsi="Book Antiqua" w:cs="宋体"/>
          <w:sz w:val="24"/>
          <w:szCs w:val="24"/>
          <w:lang w:val="en-US" w:eastAsia="zh-CN"/>
        </w:rPr>
        <w:t>: 60-68 [PMID: 24280875 DOI: 10.1097/01.MIB.0000436956.78220.67]</w:t>
      </w:r>
    </w:p>
    <w:p w14:paraId="7DA72F62"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18 </w:t>
      </w:r>
      <w:r w:rsidRPr="00CE02BD">
        <w:rPr>
          <w:rFonts w:ascii="Book Antiqua" w:eastAsia="宋体" w:hAnsi="Book Antiqua" w:cs="宋体"/>
          <w:b/>
          <w:bCs/>
          <w:sz w:val="24"/>
          <w:szCs w:val="24"/>
          <w:lang w:val="en-US" w:eastAsia="zh-CN"/>
        </w:rPr>
        <w:t>Guizzetti L</w:t>
      </w:r>
      <w:r w:rsidRPr="00CE02BD">
        <w:rPr>
          <w:rFonts w:ascii="Book Antiqua" w:eastAsia="宋体" w:hAnsi="Book Antiqua" w:cs="宋体"/>
          <w:sz w:val="24"/>
          <w:szCs w:val="24"/>
          <w:lang w:val="en-US" w:eastAsia="zh-CN"/>
        </w:rPr>
        <w:t xml:space="preserve">, Zou G, Khanna R, Dulai PS, Sandborn WJ, Jairath V, Feagan BG. Development of Clinical Prediction Models for Surgery and Complications in Crohn's Disease.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12</w:t>
      </w:r>
      <w:r w:rsidRPr="00CE02BD">
        <w:rPr>
          <w:rFonts w:ascii="Book Antiqua" w:eastAsia="宋体" w:hAnsi="Book Antiqua" w:cs="宋体"/>
          <w:sz w:val="24"/>
          <w:szCs w:val="24"/>
          <w:lang w:val="en-US" w:eastAsia="zh-CN"/>
        </w:rPr>
        <w:t>: 167-177 [PMID: 29028958 DOI: 10.1093/ecco-jcc/jjx130]</w:t>
      </w:r>
    </w:p>
    <w:p w14:paraId="11D1B3B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19 </w:t>
      </w:r>
      <w:r w:rsidRPr="00CE02BD">
        <w:rPr>
          <w:rFonts w:ascii="Book Antiqua" w:eastAsia="宋体" w:hAnsi="Book Antiqua" w:cs="宋体"/>
          <w:b/>
          <w:bCs/>
          <w:sz w:val="24"/>
          <w:szCs w:val="24"/>
          <w:lang w:val="en-US" w:eastAsia="zh-CN"/>
        </w:rPr>
        <w:t>Allen PB</w:t>
      </w:r>
      <w:r w:rsidRPr="00CE02BD">
        <w:rPr>
          <w:rFonts w:ascii="Book Antiqua" w:eastAsia="宋体" w:hAnsi="Book Antiqua" w:cs="宋体"/>
          <w:sz w:val="24"/>
          <w:szCs w:val="24"/>
          <w:lang w:val="en-US" w:eastAsia="zh-CN"/>
        </w:rPr>
        <w:t xml:space="preserve">, Peyrin-Biroulet L. Moving towards disease modification in inflammatory bowel disease therapy. </w:t>
      </w:r>
      <w:r w:rsidRPr="00CE02BD">
        <w:rPr>
          <w:rFonts w:ascii="Book Antiqua" w:eastAsia="宋体" w:hAnsi="Book Antiqua" w:cs="宋体"/>
          <w:i/>
          <w:iCs/>
          <w:sz w:val="24"/>
          <w:szCs w:val="24"/>
          <w:lang w:val="en-US" w:eastAsia="zh-CN"/>
        </w:rPr>
        <w:t>Curr Opin Gastroenterol</w:t>
      </w:r>
      <w:r w:rsidRPr="00CE02BD">
        <w:rPr>
          <w:rFonts w:ascii="Book Antiqua" w:eastAsia="宋体" w:hAnsi="Book Antiqua" w:cs="宋体"/>
          <w:sz w:val="24"/>
          <w:szCs w:val="24"/>
          <w:lang w:val="en-US" w:eastAsia="zh-CN"/>
        </w:rPr>
        <w:t xml:space="preserve"> 2013; </w:t>
      </w:r>
      <w:r w:rsidRPr="00CE02BD">
        <w:rPr>
          <w:rFonts w:ascii="Book Antiqua" w:eastAsia="宋体" w:hAnsi="Book Antiqua" w:cs="宋体"/>
          <w:b/>
          <w:bCs/>
          <w:sz w:val="24"/>
          <w:szCs w:val="24"/>
          <w:lang w:val="en-US" w:eastAsia="zh-CN"/>
        </w:rPr>
        <w:t>29</w:t>
      </w:r>
      <w:r w:rsidRPr="00CE02BD">
        <w:rPr>
          <w:rFonts w:ascii="Book Antiqua" w:eastAsia="宋体" w:hAnsi="Book Antiqua" w:cs="宋体"/>
          <w:sz w:val="24"/>
          <w:szCs w:val="24"/>
          <w:lang w:val="en-US" w:eastAsia="zh-CN"/>
        </w:rPr>
        <w:t>: 397-404 [PMID: 23695427 DOI: 10.1097/MOG.0b013e3283622914]</w:t>
      </w:r>
    </w:p>
    <w:p w14:paraId="34E964A7"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20 </w:t>
      </w:r>
      <w:r w:rsidRPr="00CE02BD">
        <w:rPr>
          <w:rFonts w:ascii="Book Antiqua" w:eastAsia="宋体" w:hAnsi="Book Antiqua" w:cs="宋体"/>
          <w:b/>
          <w:bCs/>
          <w:sz w:val="24"/>
          <w:szCs w:val="24"/>
          <w:lang w:val="en-US" w:eastAsia="zh-CN"/>
        </w:rPr>
        <w:t>Sandborn WJ</w:t>
      </w:r>
      <w:r w:rsidRPr="00CE02BD">
        <w:rPr>
          <w:rFonts w:ascii="Book Antiqua" w:eastAsia="宋体" w:hAnsi="Book Antiqua" w:cs="宋体"/>
          <w:sz w:val="24"/>
          <w:szCs w:val="24"/>
          <w:lang w:val="en-US" w:eastAsia="zh-CN"/>
        </w:rPr>
        <w:t xml:space="preserve">, Hanauer S, Van Assche G, Panés J, Wilson S, Petersson J, Panaccione R. Treating beyond symptoms with a view to improving patient outcomes in inflammatory bowel diseases.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8</w:t>
      </w:r>
      <w:r w:rsidRPr="00CE02BD">
        <w:rPr>
          <w:rFonts w:ascii="Book Antiqua" w:eastAsia="宋体" w:hAnsi="Book Antiqua" w:cs="宋体"/>
          <w:sz w:val="24"/>
          <w:szCs w:val="24"/>
          <w:lang w:val="en-US" w:eastAsia="zh-CN"/>
        </w:rPr>
        <w:t>: 927-935 [PMID: 24713173 DOI: 10.1016/j.crohns.2014.02.021]</w:t>
      </w:r>
    </w:p>
    <w:p w14:paraId="78C73255"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21 </w:t>
      </w:r>
      <w:r w:rsidRPr="00CE02BD">
        <w:rPr>
          <w:rFonts w:ascii="Book Antiqua" w:eastAsia="宋体" w:hAnsi="Book Antiqua" w:cs="宋体"/>
          <w:b/>
          <w:bCs/>
          <w:sz w:val="24"/>
          <w:szCs w:val="24"/>
          <w:lang w:val="en-US" w:eastAsia="zh-CN"/>
        </w:rPr>
        <w:t>Magro F</w:t>
      </w:r>
      <w:r w:rsidRPr="00CE02BD">
        <w:rPr>
          <w:rFonts w:ascii="Book Antiqua" w:eastAsia="宋体" w:hAnsi="Book Antiqua" w:cs="宋体"/>
          <w:sz w:val="24"/>
          <w:szCs w:val="24"/>
          <w:lang w:val="en-US" w:eastAsia="zh-CN"/>
        </w:rPr>
        <w:t xml:space="preserve">, Rodrigues A, Vieira AI, Portela F, Cremers I, Cotter J, Correia L, Duarte MA, Tavares ML, Lago P, Ministro P, Peixe P, Lopes S, Garcia EB. Review of the disease course among adult ulcerative colitis population-based longitudinal cohorts.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18</w:t>
      </w:r>
      <w:r w:rsidRPr="00CE02BD">
        <w:rPr>
          <w:rFonts w:ascii="Book Antiqua" w:eastAsia="宋体" w:hAnsi="Book Antiqua" w:cs="宋体"/>
          <w:sz w:val="24"/>
          <w:szCs w:val="24"/>
          <w:lang w:val="en-US" w:eastAsia="zh-CN"/>
        </w:rPr>
        <w:t>: 573-583 [PMID: 21793126 DOI: 10.1002/ibd.21815]</w:t>
      </w:r>
    </w:p>
    <w:p w14:paraId="0CE2D4A7"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22 </w:t>
      </w:r>
      <w:r w:rsidRPr="00CE02BD">
        <w:rPr>
          <w:rFonts w:ascii="Book Antiqua" w:eastAsia="宋体" w:hAnsi="Book Antiqua" w:cs="宋体"/>
          <w:b/>
          <w:bCs/>
          <w:sz w:val="24"/>
          <w:szCs w:val="24"/>
          <w:lang w:val="en-US" w:eastAsia="zh-CN"/>
        </w:rPr>
        <w:t>Peyrin-Biroulet L</w:t>
      </w:r>
      <w:r w:rsidRPr="00CE02BD">
        <w:rPr>
          <w:rFonts w:ascii="Book Antiqua" w:eastAsia="宋体" w:hAnsi="Book Antiqua" w:cs="宋体"/>
          <w:sz w:val="24"/>
          <w:szCs w:val="24"/>
          <w:lang w:val="en-US" w:eastAsia="zh-CN"/>
        </w:rPr>
        <w:t xml:space="preserve">, Reinisch W, Colombel JF, Mantzaris GJ, Kornbluth A, Diamond R, Rutgeerts P, Tang LK, Cornillie FJ, Sandborn WJ. Clinical disease activity, C-reactive protein normalisation and mucosal healing in Crohn's disease in the SONIC trial.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63</w:t>
      </w:r>
      <w:r w:rsidRPr="00CE02BD">
        <w:rPr>
          <w:rFonts w:ascii="Book Antiqua" w:eastAsia="宋体" w:hAnsi="Book Antiqua" w:cs="宋体"/>
          <w:sz w:val="24"/>
          <w:szCs w:val="24"/>
          <w:lang w:val="en-US" w:eastAsia="zh-CN"/>
        </w:rPr>
        <w:t>: 88-95 [PMID: 23974954 DOI: 10.1136/gutjnl-2013-304984]</w:t>
      </w:r>
    </w:p>
    <w:p w14:paraId="7504C23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23 </w:t>
      </w:r>
      <w:r w:rsidRPr="00CE02BD">
        <w:rPr>
          <w:rFonts w:ascii="Book Antiqua" w:eastAsia="宋体" w:hAnsi="Book Antiqua" w:cs="宋体"/>
          <w:b/>
          <w:bCs/>
          <w:sz w:val="24"/>
          <w:szCs w:val="24"/>
          <w:lang w:val="en-US" w:eastAsia="zh-CN"/>
        </w:rPr>
        <w:t>Jharap B</w:t>
      </w:r>
      <w:r w:rsidRPr="00CE02BD">
        <w:rPr>
          <w:rFonts w:ascii="Book Antiqua" w:eastAsia="宋体" w:hAnsi="Book Antiqua" w:cs="宋体"/>
          <w:sz w:val="24"/>
          <w:szCs w:val="24"/>
          <w:lang w:val="en-US" w:eastAsia="zh-CN"/>
        </w:rPr>
        <w:t xml:space="preserve">, Sandborn WJ, Reinisch W, D'Haens G, Robinson AM, Wang W, Huang B, Lazar A, Thakkar RB, Colombel JF. Randomised clinical study: discrepancies between patient-reported outcomes and endoscopic appearance in moderate to severe ulcerative colitis.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42</w:t>
      </w:r>
      <w:r w:rsidRPr="00CE02BD">
        <w:rPr>
          <w:rFonts w:ascii="Book Antiqua" w:eastAsia="宋体" w:hAnsi="Book Antiqua" w:cs="宋体"/>
          <w:sz w:val="24"/>
          <w:szCs w:val="24"/>
          <w:lang w:val="en-US" w:eastAsia="zh-CN"/>
        </w:rPr>
        <w:t>: 1082-1092 [PMID: 26381802 DOI: 10.1111/apt.13387]</w:t>
      </w:r>
    </w:p>
    <w:p w14:paraId="529A9C21" w14:textId="5326D91B"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24 </w:t>
      </w:r>
      <w:r w:rsidRPr="00CE02BD">
        <w:rPr>
          <w:rFonts w:ascii="Book Antiqua" w:eastAsia="宋体" w:hAnsi="Book Antiqua" w:cs="宋体"/>
          <w:b/>
          <w:bCs/>
          <w:sz w:val="24"/>
          <w:szCs w:val="24"/>
          <w:lang w:val="en-US" w:eastAsia="zh-CN"/>
        </w:rPr>
        <w:t>Baert F</w:t>
      </w:r>
      <w:r w:rsidRPr="00CE02BD">
        <w:rPr>
          <w:rFonts w:ascii="Book Antiqua" w:eastAsia="宋体" w:hAnsi="Book Antiqua" w:cs="宋体"/>
          <w:sz w:val="24"/>
          <w:szCs w:val="24"/>
          <w:lang w:val="en-US" w:eastAsia="zh-CN"/>
        </w:rPr>
        <w:t xml:space="preserve">, Moortgat L, Van Assche G, Caenepeel P, Vergauwe P, De Vos M, Stokkers P, Hommes D, Rutgeerts P, Vermeire S, D'Haens G; Belgian Inflammatory Bowel Disease Research Group; North-Holland Gut Club. Mucosal healing predicts sustained clinical remission in patients with early-stage Crohn's disease.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2010; </w:t>
      </w:r>
      <w:r w:rsidRPr="00CE02BD">
        <w:rPr>
          <w:rFonts w:ascii="Book Antiqua" w:eastAsia="宋体" w:hAnsi="Book Antiqua" w:cs="宋体"/>
          <w:b/>
          <w:bCs/>
          <w:sz w:val="24"/>
          <w:szCs w:val="24"/>
          <w:lang w:val="en-US" w:eastAsia="zh-CN"/>
        </w:rPr>
        <w:t>138</w:t>
      </w:r>
      <w:r w:rsidRPr="00CE02BD">
        <w:rPr>
          <w:rFonts w:ascii="Book Antiqua" w:eastAsia="宋体" w:hAnsi="Book Antiqua" w:cs="宋体"/>
          <w:sz w:val="24"/>
          <w:szCs w:val="24"/>
          <w:lang w:val="en-US" w:eastAsia="zh-CN"/>
        </w:rPr>
        <w:t>: 463-</w:t>
      </w:r>
      <w:r w:rsidR="00112A85" w:rsidRPr="00CE02BD">
        <w:rPr>
          <w:rFonts w:ascii="Book Antiqua" w:eastAsia="宋体" w:hAnsi="Book Antiqua" w:cs="宋体"/>
          <w:sz w:val="24"/>
          <w:szCs w:val="24"/>
          <w:lang w:val="en-US" w:eastAsia="zh-CN"/>
        </w:rPr>
        <w:t>46</w:t>
      </w:r>
      <w:r w:rsidRPr="00CE02BD">
        <w:rPr>
          <w:rFonts w:ascii="Book Antiqua" w:eastAsia="宋体" w:hAnsi="Book Antiqua" w:cs="宋体"/>
          <w:sz w:val="24"/>
          <w:szCs w:val="24"/>
          <w:lang w:val="en-US" w:eastAsia="zh-CN"/>
        </w:rPr>
        <w:t>8 [PMID: 19818785 DOI: 10.1053/j.gastro.2009.09.056]</w:t>
      </w:r>
    </w:p>
    <w:p w14:paraId="10647F0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25 </w:t>
      </w:r>
      <w:r w:rsidRPr="00CE02BD">
        <w:rPr>
          <w:rFonts w:ascii="Book Antiqua" w:eastAsia="宋体" w:hAnsi="Book Antiqua" w:cs="宋体"/>
          <w:b/>
          <w:bCs/>
          <w:sz w:val="24"/>
          <w:szCs w:val="24"/>
          <w:lang w:val="en-US" w:eastAsia="zh-CN"/>
        </w:rPr>
        <w:t>Colombel JF</w:t>
      </w:r>
      <w:r w:rsidRPr="00CE02BD">
        <w:rPr>
          <w:rFonts w:ascii="Book Antiqua" w:eastAsia="宋体" w:hAnsi="Book Antiqua" w:cs="宋体"/>
          <w:sz w:val="24"/>
          <w:szCs w:val="24"/>
          <w:lang w:val="en-US" w:eastAsia="zh-CN"/>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2011; </w:t>
      </w:r>
      <w:r w:rsidRPr="00CE02BD">
        <w:rPr>
          <w:rFonts w:ascii="Book Antiqua" w:eastAsia="宋体" w:hAnsi="Book Antiqua" w:cs="宋体"/>
          <w:b/>
          <w:bCs/>
          <w:sz w:val="24"/>
          <w:szCs w:val="24"/>
          <w:lang w:val="en-US" w:eastAsia="zh-CN"/>
        </w:rPr>
        <w:t>141</w:t>
      </w:r>
      <w:r w:rsidRPr="00CE02BD">
        <w:rPr>
          <w:rFonts w:ascii="Book Antiqua" w:eastAsia="宋体" w:hAnsi="Book Antiqua" w:cs="宋体"/>
          <w:sz w:val="24"/>
          <w:szCs w:val="24"/>
          <w:lang w:val="en-US" w:eastAsia="zh-CN"/>
        </w:rPr>
        <w:t>: 1194-1201 [PMID: 21723220 DOI: 10.1053/j.gastro.2011.06.054]</w:t>
      </w:r>
    </w:p>
    <w:p w14:paraId="7A69C545"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26 </w:t>
      </w:r>
      <w:r w:rsidRPr="00CE02BD">
        <w:rPr>
          <w:rFonts w:ascii="Book Antiqua" w:eastAsia="宋体" w:hAnsi="Book Antiqua" w:cs="宋体"/>
          <w:b/>
          <w:bCs/>
          <w:sz w:val="24"/>
          <w:szCs w:val="24"/>
          <w:lang w:val="en-US" w:eastAsia="zh-CN"/>
        </w:rPr>
        <w:t>Colombel JF</w:t>
      </w:r>
      <w:r w:rsidRPr="00CE02BD">
        <w:rPr>
          <w:rFonts w:ascii="Book Antiqua" w:eastAsia="宋体" w:hAnsi="Book Antiqua" w:cs="宋体"/>
          <w:sz w:val="24"/>
          <w:szCs w:val="24"/>
          <w:lang w:val="en-US" w:eastAsia="zh-CN"/>
        </w:rPr>
        <w:t xml:space="preserve">, Rutgeerts PJ, Sandborn WJ, Yang M, Camez A, Pollack PF, Thakkar RB, Robinson AM, Chen N, Mulani PM, Chao J. Adalimumab induces deep remission in patients with Crohn's disease.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12</w:t>
      </w:r>
      <w:r w:rsidRPr="00CE02BD">
        <w:rPr>
          <w:rFonts w:ascii="Book Antiqua" w:eastAsia="宋体" w:hAnsi="Book Antiqua" w:cs="宋体"/>
          <w:sz w:val="24"/>
          <w:szCs w:val="24"/>
          <w:lang w:val="en-US" w:eastAsia="zh-CN"/>
        </w:rPr>
        <w:t>: 414-22.e5 [PMID: 23856361 DOI: 10.1016/j.cgh.2013.06.019]</w:t>
      </w:r>
    </w:p>
    <w:p w14:paraId="46C1DBD5"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27 </w:t>
      </w:r>
      <w:r w:rsidRPr="00CE02BD">
        <w:rPr>
          <w:rFonts w:ascii="Book Antiqua" w:eastAsia="宋体" w:hAnsi="Book Antiqua" w:cs="宋体"/>
          <w:b/>
          <w:bCs/>
          <w:sz w:val="24"/>
          <w:szCs w:val="24"/>
          <w:lang w:val="en-US" w:eastAsia="zh-CN"/>
        </w:rPr>
        <w:t>Frøslie KF</w:t>
      </w:r>
      <w:r w:rsidRPr="00CE02BD">
        <w:rPr>
          <w:rFonts w:ascii="Book Antiqua" w:eastAsia="宋体" w:hAnsi="Book Antiqua" w:cs="宋体"/>
          <w:sz w:val="24"/>
          <w:szCs w:val="24"/>
          <w:lang w:val="en-US" w:eastAsia="zh-CN"/>
        </w:rPr>
        <w:t xml:space="preserve">, Jahnsen J, Moum BA, Vatn MH; IBSEN Group. Mucosal healing in inflammatory bowel disease: results from a Norwegian population-based cohort.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2007; </w:t>
      </w:r>
      <w:r w:rsidRPr="00CE02BD">
        <w:rPr>
          <w:rFonts w:ascii="Book Antiqua" w:eastAsia="宋体" w:hAnsi="Book Antiqua" w:cs="宋体"/>
          <w:b/>
          <w:bCs/>
          <w:sz w:val="24"/>
          <w:szCs w:val="24"/>
          <w:lang w:val="en-US" w:eastAsia="zh-CN"/>
        </w:rPr>
        <w:t>133</w:t>
      </w:r>
      <w:r w:rsidRPr="00CE02BD">
        <w:rPr>
          <w:rFonts w:ascii="Book Antiqua" w:eastAsia="宋体" w:hAnsi="Book Antiqua" w:cs="宋体"/>
          <w:sz w:val="24"/>
          <w:szCs w:val="24"/>
          <w:lang w:val="en-US" w:eastAsia="zh-CN"/>
        </w:rPr>
        <w:t>: 412-422 [PMID: 17681162 DOI: 10.1053/j.gastro.2007.05.051]</w:t>
      </w:r>
    </w:p>
    <w:p w14:paraId="161B464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28 </w:t>
      </w:r>
      <w:r w:rsidRPr="00CE02BD">
        <w:rPr>
          <w:rFonts w:ascii="Book Antiqua" w:eastAsia="宋体" w:hAnsi="Book Antiqua" w:cs="宋体"/>
          <w:b/>
          <w:bCs/>
          <w:sz w:val="24"/>
          <w:szCs w:val="24"/>
          <w:lang w:val="en-US" w:eastAsia="zh-CN"/>
        </w:rPr>
        <w:t>Peyrin-Biroulet L</w:t>
      </w:r>
      <w:r w:rsidRPr="00CE02BD">
        <w:rPr>
          <w:rFonts w:ascii="Book Antiqua" w:eastAsia="宋体" w:hAnsi="Book Antiqua" w:cs="宋体"/>
          <w:sz w:val="24"/>
          <w:szCs w:val="24"/>
          <w:lang w:val="en-US"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CE02BD">
        <w:rPr>
          <w:rFonts w:ascii="Book Antiqua" w:eastAsia="宋体" w:hAnsi="Book Antiqua" w:cs="宋体"/>
          <w:i/>
          <w:iCs/>
          <w:sz w:val="24"/>
          <w:szCs w:val="24"/>
          <w:lang w:val="en-US" w:eastAsia="zh-CN"/>
        </w:rPr>
        <w:t>Am J Gastroenterol</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110</w:t>
      </w:r>
      <w:r w:rsidRPr="00CE02BD">
        <w:rPr>
          <w:rFonts w:ascii="Book Antiqua" w:eastAsia="宋体" w:hAnsi="Book Antiqua" w:cs="宋体"/>
          <w:sz w:val="24"/>
          <w:szCs w:val="24"/>
          <w:lang w:val="en-US" w:eastAsia="zh-CN"/>
        </w:rPr>
        <w:t>: 1324-1338 [PMID: 26303131 DOI: 10.1038/ajg.2015.233]</w:t>
      </w:r>
    </w:p>
    <w:p w14:paraId="2F641212"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29 </w:t>
      </w:r>
      <w:r w:rsidRPr="00CE02BD">
        <w:rPr>
          <w:rFonts w:ascii="Book Antiqua" w:eastAsia="宋体" w:hAnsi="Book Antiqua" w:cs="宋体"/>
          <w:b/>
          <w:bCs/>
          <w:sz w:val="24"/>
          <w:szCs w:val="24"/>
          <w:lang w:val="en-US" w:eastAsia="zh-CN"/>
        </w:rPr>
        <w:t>Best WR</w:t>
      </w:r>
      <w:r w:rsidRPr="00CE02BD">
        <w:rPr>
          <w:rFonts w:ascii="Book Antiqua" w:eastAsia="宋体" w:hAnsi="Book Antiqua" w:cs="宋体"/>
          <w:sz w:val="24"/>
          <w:szCs w:val="24"/>
          <w:lang w:val="en-US" w:eastAsia="zh-CN"/>
        </w:rPr>
        <w:t xml:space="preserve">, Becktel JM, Singleton JW. Rederived values of the eight coefficients of the Crohn's Disease Activity Index (CDAI).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1979; </w:t>
      </w:r>
      <w:r w:rsidRPr="00CE02BD">
        <w:rPr>
          <w:rFonts w:ascii="Book Antiqua" w:eastAsia="宋体" w:hAnsi="Book Antiqua" w:cs="宋体"/>
          <w:b/>
          <w:bCs/>
          <w:sz w:val="24"/>
          <w:szCs w:val="24"/>
          <w:lang w:val="en-US" w:eastAsia="zh-CN"/>
        </w:rPr>
        <w:t>77</w:t>
      </w:r>
      <w:r w:rsidRPr="00CE02BD">
        <w:rPr>
          <w:rFonts w:ascii="Book Antiqua" w:eastAsia="宋体" w:hAnsi="Book Antiqua" w:cs="宋体"/>
          <w:sz w:val="24"/>
          <w:szCs w:val="24"/>
          <w:lang w:val="en-US" w:eastAsia="zh-CN"/>
        </w:rPr>
        <w:t>: 843-846 [PMID: 467941 DOI: 10.1016/0016-5085(79)90384-6]</w:t>
      </w:r>
    </w:p>
    <w:p w14:paraId="2D16152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30 </w:t>
      </w:r>
      <w:r w:rsidRPr="00CE02BD">
        <w:rPr>
          <w:rFonts w:ascii="Book Antiqua" w:eastAsia="宋体" w:hAnsi="Book Antiqua" w:cs="宋体"/>
          <w:b/>
          <w:bCs/>
          <w:sz w:val="24"/>
          <w:szCs w:val="24"/>
          <w:lang w:val="en-US" w:eastAsia="zh-CN"/>
        </w:rPr>
        <w:t>Harvey RF</w:t>
      </w:r>
      <w:r w:rsidRPr="00CE02BD">
        <w:rPr>
          <w:rFonts w:ascii="Book Antiqua" w:eastAsia="宋体" w:hAnsi="Book Antiqua" w:cs="宋体"/>
          <w:sz w:val="24"/>
          <w:szCs w:val="24"/>
          <w:lang w:val="en-US" w:eastAsia="zh-CN"/>
        </w:rPr>
        <w:t xml:space="preserve">, Bradshaw JM. A simple index of Crohn's-disease activity. </w:t>
      </w:r>
      <w:r w:rsidRPr="00CE02BD">
        <w:rPr>
          <w:rFonts w:ascii="Book Antiqua" w:eastAsia="宋体" w:hAnsi="Book Antiqua" w:cs="宋体"/>
          <w:i/>
          <w:iCs/>
          <w:sz w:val="24"/>
          <w:szCs w:val="24"/>
          <w:lang w:val="en-US" w:eastAsia="zh-CN"/>
        </w:rPr>
        <w:t>Lancet</w:t>
      </w:r>
      <w:r w:rsidRPr="00CE02BD">
        <w:rPr>
          <w:rFonts w:ascii="Book Antiqua" w:eastAsia="宋体" w:hAnsi="Book Antiqua" w:cs="宋体"/>
          <w:sz w:val="24"/>
          <w:szCs w:val="24"/>
          <w:lang w:val="en-US" w:eastAsia="zh-CN"/>
        </w:rPr>
        <w:t xml:space="preserve"> 1980; </w:t>
      </w:r>
      <w:r w:rsidRPr="00CE02BD">
        <w:rPr>
          <w:rFonts w:ascii="Book Antiqua" w:eastAsia="宋体" w:hAnsi="Book Antiqua" w:cs="宋体"/>
          <w:b/>
          <w:bCs/>
          <w:sz w:val="24"/>
          <w:szCs w:val="24"/>
          <w:lang w:val="en-US" w:eastAsia="zh-CN"/>
        </w:rPr>
        <w:t>1</w:t>
      </w:r>
      <w:r w:rsidRPr="00CE02BD">
        <w:rPr>
          <w:rFonts w:ascii="Book Antiqua" w:eastAsia="宋体" w:hAnsi="Book Antiqua" w:cs="宋体"/>
          <w:sz w:val="24"/>
          <w:szCs w:val="24"/>
          <w:lang w:val="en-US" w:eastAsia="zh-CN"/>
        </w:rPr>
        <w:t>: 514 [PMID: 6102236 DOI: 10.1016/s0140-6736(80)92767-1]</w:t>
      </w:r>
    </w:p>
    <w:p w14:paraId="43375AF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31 </w:t>
      </w:r>
      <w:r w:rsidRPr="00CE02BD">
        <w:rPr>
          <w:rFonts w:ascii="Book Antiqua" w:eastAsia="宋体" w:hAnsi="Book Antiqua" w:cs="宋体"/>
          <w:b/>
          <w:bCs/>
          <w:sz w:val="24"/>
          <w:szCs w:val="24"/>
          <w:lang w:val="en-US" w:eastAsia="zh-CN"/>
        </w:rPr>
        <w:t>Walmsley RS</w:t>
      </w:r>
      <w:r w:rsidRPr="00CE02BD">
        <w:rPr>
          <w:rFonts w:ascii="Book Antiqua" w:eastAsia="宋体" w:hAnsi="Book Antiqua" w:cs="宋体"/>
          <w:sz w:val="24"/>
          <w:szCs w:val="24"/>
          <w:lang w:val="en-US" w:eastAsia="zh-CN"/>
        </w:rPr>
        <w:t xml:space="preserve">, Ayres RC, Pounder RE, Allan RN. A simple clinical colitis activity index.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1998; </w:t>
      </w:r>
      <w:r w:rsidRPr="00CE02BD">
        <w:rPr>
          <w:rFonts w:ascii="Book Antiqua" w:eastAsia="宋体" w:hAnsi="Book Antiqua" w:cs="宋体"/>
          <w:b/>
          <w:bCs/>
          <w:sz w:val="24"/>
          <w:szCs w:val="24"/>
          <w:lang w:val="en-US" w:eastAsia="zh-CN"/>
        </w:rPr>
        <w:t>43</w:t>
      </w:r>
      <w:r w:rsidRPr="00CE02BD">
        <w:rPr>
          <w:rFonts w:ascii="Book Antiqua" w:eastAsia="宋体" w:hAnsi="Book Antiqua" w:cs="宋体"/>
          <w:sz w:val="24"/>
          <w:szCs w:val="24"/>
          <w:lang w:val="en-US" w:eastAsia="zh-CN"/>
        </w:rPr>
        <w:t>: 29-32 [PMID: 9771402 DOI: 10.1136/gut.43.1.29]</w:t>
      </w:r>
    </w:p>
    <w:p w14:paraId="3DAA1DC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32 </w:t>
      </w:r>
      <w:r w:rsidRPr="00CE02BD">
        <w:rPr>
          <w:rFonts w:ascii="Book Antiqua" w:eastAsia="宋体" w:hAnsi="Book Antiqua" w:cs="宋体"/>
          <w:b/>
          <w:bCs/>
          <w:sz w:val="24"/>
          <w:szCs w:val="24"/>
          <w:lang w:val="en-US" w:eastAsia="zh-CN"/>
        </w:rPr>
        <w:t>Rutgeerts P</w:t>
      </w:r>
      <w:r w:rsidRPr="00CE02BD">
        <w:rPr>
          <w:rFonts w:ascii="Book Antiqua" w:eastAsia="宋体" w:hAnsi="Book Antiqua" w:cs="宋体"/>
          <w:sz w:val="24"/>
          <w:szCs w:val="24"/>
          <w:lang w:val="en-US" w:eastAsia="zh-CN"/>
        </w:rPr>
        <w:t xml:space="preserve">, Sandborn WJ, Feagan BG, Reinisch W, Olson A, Johanns J, Travers S, Rachmilewitz D, Hanauer SB, Lichtenstein GR, de Villiers WJ, Present D, Sands BE, Colombel JF. Infliximab for induction and maintenance therapy for ulcerative colitis. </w:t>
      </w:r>
      <w:r w:rsidRPr="00CE02BD">
        <w:rPr>
          <w:rFonts w:ascii="Book Antiqua" w:eastAsia="宋体" w:hAnsi="Book Antiqua" w:cs="宋体"/>
          <w:i/>
          <w:iCs/>
          <w:sz w:val="24"/>
          <w:szCs w:val="24"/>
          <w:lang w:val="en-US" w:eastAsia="zh-CN"/>
        </w:rPr>
        <w:t>N Engl J Med</w:t>
      </w:r>
      <w:r w:rsidRPr="00CE02BD">
        <w:rPr>
          <w:rFonts w:ascii="Book Antiqua" w:eastAsia="宋体" w:hAnsi="Book Antiqua" w:cs="宋体"/>
          <w:sz w:val="24"/>
          <w:szCs w:val="24"/>
          <w:lang w:val="en-US" w:eastAsia="zh-CN"/>
        </w:rPr>
        <w:t xml:space="preserve"> 2005; </w:t>
      </w:r>
      <w:r w:rsidRPr="00CE02BD">
        <w:rPr>
          <w:rFonts w:ascii="Book Antiqua" w:eastAsia="宋体" w:hAnsi="Book Antiqua" w:cs="宋体"/>
          <w:b/>
          <w:bCs/>
          <w:sz w:val="24"/>
          <w:szCs w:val="24"/>
          <w:lang w:val="en-US" w:eastAsia="zh-CN"/>
        </w:rPr>
        <w:t>353</w:t>
      </w:r>
      <w:r w:rsidRPr="00CE02BD">
        <w:rPr>
          <w:rFonts w:ascii="Book Antiqua" w:eastAsia="宋体" w:hAnsi="Book Antiqua" w:cs="宋体"/>
          <w:sz w:val="24"/>
          <w:szCs w:val="24"/>
          <w:lang w:val="en-US" w:eastAsia="zh-CN"/>
        </w:rPr>
        <w:t>: 2462-2476 [PMID: 16339095 DOI: 10.1056/NEJMoa050516]</w:t>
      </w:r>
    </w:p>
    <w:p w14:paraId="4245704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33 </w:t>
      </w:r>
      <w:r w:rsidRPr="00CE02BD">
        <w:rPr>
          <w:rFonts w:ascii="Book Antiqua" w:eastAsia="宋体" w:hAnsi="Book Antiqua" w:cs="宋体"/>
          <w:b/>
          <w:bCs/>
          <w:sz w:val="24"/>
          <w:szCs w:val="24"/>
          <w:lang w:val="en-US" w:eastAsia="zh-CN"/>
        </w:rPr>
        <w:t>FDA Guidance for Industry</w:t>
      </w:r>
      <w:r w:rsidRPr="00CE02BD">
        <w:rPr>
          <w:rFonts w:ascii="Book Antiqua" w:eastAsia="宋体" w:hAnsi="Book Antiqua" w:cs="宋体"/>
          <w:sz w:val="24"/>
          <w:szCs w:val="24"/>
          <w:lang w:val="en-US" w:eastAsia="zh-CN"/>
        </w:rPr>
        <w:t>. Patient-Reported Outcome Measures: Use in Medical Product Development to Support Labeling Claims. Available from: http://www.fda.gov/downloads/Drugs/Guidances/UCM193282.pdf Cited 27 August 2019.</w:t>
      </w:r>
    </w:p>
    <w:p w14:paraId="7CF024F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34 </w:t>
      </w:r>
      <w:r w:rsidRPr="00CE02BD">
        <w:rPr>
          <w:rFonts w:ascii="Book Antiqua" w:eastAsia="宋体" w:hAnsi="Book Antiqua" w:cs="宋体"/>
          <w:b/>
          <w:bCs/>
          <w:sz w:val="24"/>
          <w:szCs w:val="24"/>
          <w:lang w:val="en-US" w:eastAsia="zh-CN"/>
        </w:rPr>
        <w:t>de Jong MJ</w:t>
      </w:r>
      <w:r w:rsidRPr="00CE02BD">
        <w:rPr>
          <w:rFonts w:ascii="Book Antiqua" w:eastAsia="宋体" w:hAnsi="Book Antiqua" w:cs="宋体"/>
          <w:sz w:val="24"/>
          <w:szCs w:val="24"/>
          <w:lang w:val="en-US" w:eastAsia="zh-CN"/>
        </w:rPr>
        <w:t xml:space="preserve">, Roosen D, Degens JHRJ, van den Heuvel TRA, Romberg-Camps M, Hameeteman W, Bodelier AGL, Romanko I, Lukas M, Winkens B, Markus T, Masclee AAM, van Tubergen A, Jonkers DMAE, Pierik MJ. Development and Validation of a Patient-reported Score to Screen for Mucosal Inflammation in Inflammatory Bowel Disease.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13</w:t>
      </w:r>
      <w:r w:rsidRPr="00CE02BD">
        <w:rPr>
          <w:rFonts w:ascii="Book Antiqua" w:eastAsia="宋体" w:hAnsi="Book Antiqua" w:cs="宋体"/>
          <w:sz w:val="24"/>
          <w:szCs w:val="24"/>
          <w:lang w:val="en-US" w:eastAsia="zh-CN"/>
        </w:rPr>
        <w:t>: 555-563 [PMID: 30476099 DOI: 10.1093/ecco-jcc/jjy196]</w:t>
      </w:r>
    </w:p>
    <w:p w14:paraId="23C7BA4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35 </w:t>
      </w:r>
      <w:r w:rsidRPr="00CE02BD">
        <w:rPr>
          <w:rFonts w:ascii="Book Antiqua" w:eastAsia="宋体" w:hAnsi="Book Antiqua" w:cs="宋体"/>
          <w:b/>
          <w:bCs/>
          <w:sz w:val="24"/>
          <w:szCs w:val="24"/>
          <w:lang w:val="en-US" w:eastAsia="zh-CN"/>
        </w:rPr>
        <w:t>Higgins PDR</w:t>
      </w:r>
      <w:r w:rsidRPr="00CE02BD">
        <w:rPr>
          <w:rFonts w:ascii="Book Antiqua" w:eastAsia="宋体" w:hAnsi="Book Antiqua" w:cs="宋体"/>
          <w:sz w:val="24"/>
          <w:szCs w:val="24"/>
          <w:lang w:val="en-US" w:eastAsia="zh-CN"/>
        </w:rPr>
        <w:t xml:space="preserve">, Harding G, Leidy NK, DeBusk K, Patrick DL, Viswanathan HN, Fitzgerald K, Donelson SM, Cyrille M, Ortmeier BG, Wilson H, Revicki DA, Globe G. Development and validation of the Crohn's disease patient-reported outcomes signs and symptoms (CD-PRO/SS) diary. </w:t>
      </w:r>
      <w:r w:rsidRPr="00CE02BD">
        <w:rPr>
          <w:rFonts w:ascii="Book Antiqua" w:eastAsia="宋体" w:hAnsi="Book Antiqua" w:cs="宋体"/>
          <w:i/>
          <w:iCs/>
          <w:sz w:val="24"/>
          <w:szCs w:val="24"/>
          <w:lang w:val="en-US" w:eastAsia="zh-CN"/>
        </w:rPr>
        <w:t>J Patient Rep Outcomes</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2</w:t>
      </w:r>
      <w:r w:rsidRPr="00CE02BD">
        <w:rPr>
          <w:rFonts w:ascii="Book Antiqua" w:eastAsia="宋体" w:hAnsi="Book Antiqua" w:cs="宋体"/>
          <w:sz w:val="24"/>
          <w:szCs w:val="24"/>
          <w:lang w:val="en-US" w:eastAsia="zh-CN"/>
        </w:rPr>
        <w:t>: 24 [PMID: 29770803 DOI: 10.1186/s41687-018-0044-7]</w:t>
      </w:r>
    </w:p>
    <w:p w14:paraId="4043056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36 </w:t>
      </w:r>
      <w:r w:rsidRPr="00CE02BD">
        <w:rPr>
          <w:rFonts w:ascii="Book Antiqua" w:eastAsia="宋体" w:hAnsi="Book Antiqua" w:cs="宋体"/>
          <w:b/>
          <w:bCs/>
          <w:sz w:val="24"/>
          <w:szCs w:val="24"/>
          <w:lang w:val="en-US" w:eastAsia="zh-CN"/>
        </w:rPr>
        <w:t>Higgins PDR</w:t>
      </w:r>
      <w:r w:rsidRPr="00CE02BD">
        <w:rPr>
          <w:rFonts w:ascii="Book Antiqua" w:eastAsia="宋体" w:hAnsi="Book Antiqua" w:cs="宋体"/>
          <w:sz w:val="24"/>
          <w:szCs w:val="24"/>
          <w:lang w:val="en-US" w:eastAsia="zh-CN"/>
        </w:rPr>
        <w:t xml:space="preserve">, Harding G, Revicki DA, Globe G, Patrick DL, Fitzgerald K, Viswanathan H, Donelson SM, Ortmeier BG, Chen WH, Leidy NK, DeBusk K. Development and validation of the Ulcerative Colitis patient-reported outcomes signs and symptoms (UC-pro/SS) diary. </w:t>
      </w:r>
      <w:r w:rsidRPr="00CE02BD">
        <w:rPr>
          <w:rFonts w:ascii="Book Antiqua" w:eastAsia="宋体" w:hAnsi="Book Antiqua" w:cs="宋体"/>
          <w:i/>
          <w:iCs/>
          <w:sz w:val="24"/>
          <w:szCs w:val="24"/>
          <w:lang w:val="en-US" w:eastAsia="zh-CN"/>
        </w:rPr>
        <w:t>J Patient Rep Outcomes</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2</w:t>
      </w:r>
      <w:r w:rsidRPr="00CE02BD">
        <w:rPr>
          <w:rFonts w:ascii="Book Antiqua" w:eastAsia="宋体" w:hAnsi="Book Antiqua" w:cs="宋体"/>
          <w:sz w:val="24"/>
          <w:szCs w:val="24"/>
          <w:lang w:val="en-US" w:eastAsia="zh-CN"/>
        </w:rPr>
        <w:t>: 26 [PMID: 29888745 DOI: 10.1186/s41687-018-0049-2]</w:t>
      </w:r>
    </w:p>
    <w:p w14:paraId="6632E355"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37 </w:t>
      </w:r>
      <w:r w:rsidRPr="00CE02BD">
        <w:rPr>
          <w:rFonts w:ascii="Book Antiqua" w:eastAsia="宋体" w:hAnsi="Book Antiqua" w:cs="宋体"/>
          <w:b/>
          <w:bCs/>
          <w:sz w:val="24"/>
          <w:szCs w:val="24"/>
          <w:lang w:val="en-US" w:eastAsia="zh-CN"/>
        </w:rPr>
        <w:t>Gower-Rousseau C</w:t>
      </w:r>
      <w:r w:rsidRPr="00CE02BD">
        <w:rPr>
          <w:rFonts w:ascii="Book Antiqua" w:eastAsia="宋体" w:hAnsi="Book Antiqua" w:cs="宋体"/>
          <w:sz w:val="24"/>
          <w:szCs w:val="24"/>
          <w:lang w:val="en-US" w:eastAsia="zh-CN"/>
        </w:rPr>
        <w:t xml:space="preserve">, Sarter H, Savoye G, Tavernier N, Fumery M, Sandborn WJ, Feagan BG, Duhamel A, Guillon-Dellac N, Colombel JF, Peyrin-Biroulet L; International Programme to Develop New Indexes for Crohn's Disease (IPNIC) group; International Programme to Develop New Indexes for Crohn's Disease (IPNIC) group. Validation of the Inflammatory Bowel Disease Disability Index in a population-based cohort.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66</w:t>
      </w:r>
      <w:r w:rsidRPr="00CE02BD">
        <w:rPr>
          <w:rFonts w:ascii="Book Antiqua" w:eastAsia="宋体" w:hAnsi="Book Antiqua" w:cs="宋体"/>
          <w:sz w:val="24"/>
          <w:szCs w:val="24"/>
          <w:lang w:val="en-US" w:eastAsia="zh-CN"/>
        </w:rPr>
        <w:t>: 588-596 [PMID: 26646934 DOI: 10.1136/gutjnl-2015-310151]</w:t>
      </w:r>
    </w:p>
    <w:p w14:paraId="49482672"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38 </w:t>
      </w:r>
      <w:r w:rsidRPr="00CE02BD">
        <w:rPr>
          <w:rFonts w:ascii="Book Antiqua" w:eastAsia="宋体" w:hAnsi="Book Antiqua" w:cs="宋体"/>
          <w:b/>
          <w:bCs/>
          <w:sz w:val="24"/>
          <w:szCs w:val="24"/>
          <w:lang w:val="en-US" w:eastAsia="zh-CN"/>
        </w:rPr>
        <w:t>Shah SC</w:t>
      </w:r>
      <w:r w:rsidRPr="00CE02BD">
        <w:rPr>
          <w:rFonts w:ascii="Book Antiqua" w:eastAsia="宋体" w:hAnsi="Book Antiqua" w:cs="宋体"/>
          <w:sz w:val="24"/>
          <w:szCs w:val="24"/>
          <w:lang w:val="en-US" w:eastAsia="zh-CN"/>
        </w:rPr>
        <w:t xml:space="preserve">, Colombel JF, Sands BE, Narula N. Systematic review with meta-analysis: mucosal healing is associated with improved long-term outcomes in Crohn's disease.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43</w:t>
      </w:r>
      <w:r w:rsidRPr="00CE02BD">
        <w:rPr>
          <w:rFonts w:ascii="Book Antiqua" w:eastAsia="宋体" w:hAnsi="Book Antiqua" w:cs="宋体"/>
          <w:sz w:val="24"/>
          <w:szCs w:val="24"/>
          <w:lang w:val="en-US" w:eastAsia="zh-CN"/>
        </w:rPr>
        <w:t>: 317-333 [PMID: 26607562 DOI: 10.1111/apt.13475]</w:t>
      </w:r>
    </w:p>
    <w:p w14:paraId="6FF7B2D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39 </w:t>
      </w:r>
      <w:r w:rsidRPr="00CE02BD">
        <w:rPr>
          <w:rFonts w:ascii="Book Antiqua" w:eastAsia="宋体" w:hAnsi="Book Antiqua" w:cs="宋体"/>
          <w:b/>
          <w:bCs/>
          <w:sz w:val="24"/>
          <w:szCs w:val="24"/>
          <w:lang w:val="en-US" w:eastAsia="zh-CN"/>
        </w:rPr>
        <w:t>Shah SC</w:t>
      </w:r>
      <w:r w:rsidRPr="00CE02BD">
        <w:rPr>
          <w:rFonts w:ascii="Book Antiqua" w:eastAsia="宋体" w:hAnsi="Book Antiqua" w:cs="宋体"/>
          <w:sz w:val="24"/>
          <w:szCs w:val="24"/>
          <w:lang w:val="en-US" w:eastAsia="zh-CN"/>
        </w:rPr>
        <w:t xml:space="preserve">, Colombel JF, Sands BE, Narula N. Mucosal Healing Is Associated </w:t>
      </w:r>
      <w:proofErr w:type="gramStart"/>
      <w:r w:rsidRPr="00CE02BD">
        <w:rPr>
          <w:rFonts w:ascii="Book Antiqua" w:eastAsia="宋体" w:hAnsi="Book Antiqua" w:cs="宋体"/>
          <w:sz w:val="24"/>
          <w:szCs w:val="24"/>
          <w:lang w:val="en-US" w:eastAsia="zh-CN"/>
        </w:rPr>
        <w:t>With Improved Long-term Outcomes of Patients With</w:t>
      </w:r>
      <w:proofErr w:type="gramEnd"/>
      <w:r w:rsidRPr="00CE02BD">
        <w:rPr>
          <w:rFonts w:ascii="Book Antiqua" w:eastAsia="宋体" w:hAnsi="Book Antiqua" w:cs="宋体"/>
          <w:sz w:val="24"/>
          <w:szCs w:val="24"/>
          <w:lang w:val="en-US" w:eastAsia="zh-CN"/>
        </w:rPr>
        <w:t xml:space="preserve"> Ulcerative Colitis: A Systematic Review and Meta-analysis.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14</w:t>
      </w:r>
      <w:r w:rsidRPr="00CE02BD">
        <w:rPr>
          <w:rFonts w:ascii="Book Antiqua" w:eastAsia="宋体" w:hAnsi="Book Antiqua" w:cs="宋体"/>
          <w:sz w:val="24"/>
          <w:szCs w:val="24"/>
          <w:lang w:val="en-US" w:eastAsia="zh-CN"/>
        </w:rPr>
        <w:t>: 1245-1255.e8 [PMID: 26829025 DOI: 10.1016/j.cgh.2016.01.015]</w:t>
      </w:r>
    </w:p>
    <w:p w14:paraId="0C94AA44"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40 </w:t>
      </w:r>
      <w:r w:rsidRPr="00CE02BD">
        <w:rPr>
          <w:rFonts w:ascii="Book Antiqua" w:eastAsia="宋体" w:hAnsi="Book Antiqua" w:cs="宋体"/>
          <w:b/>
          <w:bCs/>
          <w:sz w:val="24"/>
          <w:szCs w:val="24"/>
          <w:lang w:val="en-US" w:eastAsia="zh-CN"/>
        </w:rPr>
        <w:t>Bouguen G</w:t>
      </w:r>
      <w:r w:rsidRPr="00CE02BD">
        <w:rPr>
          <w:rFonts w:ascii="Book Antiqua" w:eastAsia="宋体" w:hAnsi="Book Antiqua" w:cs="宋体"/>
          <w:sz w:val="24"/>
          <w:szCs w:val="24"/>
          <w:lang w:val="en-US" w:eastAsia="zh-CN"/>
        </w:rPr>
        <w:t xml:space="preserve">, Levesque BG, Pola S, Evans E, Sandborn WJ. Endoscopic assessment and treating to target increase the likelihood of mucosal healing in patients with Crohn's disease.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12</w:t>
      </w:r>
      <w:r w:rsidRPr="00CE02BD">
        <w:rPr>
          <w:rFonts w:ascii="Book Antiqua" w:eastAsia="宋体" w:hAnsi="Book Antiqua" w:cs="宋体"/>
          <w:sz w:val="24"/>
          <w:szCs w:val="24"/>
          <w:lang w:val="en-US" w:eastAsia="zh-CN"/>
        </w:rPr>
        <w:t>: 978-985 [PMID: 24246770 DOI: 10.1016/j.cgh.2013.11.005]</w:t>
      </w:r>
    </w:p>
    <w:p w14:paraId="3E54A32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41 </w:t>
      </w:r>
      <w:r w:rsidRPr="00CE02BD">
        <w:rPr>
          <w:rFonts w:ascii="Book Antiqua" w:eastAsia="宋体" w:hAnsi="Book Antiqua" w:cs="宋体"/>
          <w:b/>
          <w:bCs/>
          <w:sz w:val="24"/>
          <w:szCs w:val="24"/>
          <w:lang w:val="en-US" w:eastAsia="zh-CN"/>
        </w:rPr>
        <w:t>Ferrante M</w:t>
      </w:r>
      <w:r w:rsidRPr="00CE02BD">
        <w:rPr>
          <w:rFonts w:ascii="Book Antiqua" w:eastAsia="宋体" w:hAnsi="Book Antiqua" w:cs="宋体"/>
          <w:sz w:val="24"/>
          <w:szCs w:val="24"/>
          <w:lang w:val="en-US" w:eastAsia="zh-CN"/>
        </w:rPr>
        <w:t xml:space="preserve">, Colombel JF, Sandborn WJ, Reinisch W, Mantzaris GJ, Kornbluth A, Rachmilewitz D, Lichtiger S, D'Haens GR, van der Woude CJ, Danese S, Diamond RH, Oortwijn AF, Tang KL, Miller M, Cornillie F, Rutgeerts PJ; International Organization for the Study of Inflammatory Bowel Diseases. Validation of endoscopic activity scores in patients with Crohn's disease based on a post hoc analysis of data from SONIC.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2013; </w:t>
      </w:r>
      <w:r w:rsidRPr="00CE02BD">
        <w:rPr>
          <w:rFonts w:ascii="Book Antiqua" w:eastAsia="宋体" w:hAnsi="Book Antiqua" w:cs="宋体"/>
          <w:b/>
          <w:bCs/>
          <w:sz w:val="24"/>
          <w:szCs w:val="24"/>
          <w:lang w:val="en-US" w:eastAsia="zh-CN"/>
        </w:rPr>
        <w:t>145</w:t>
      </w:r>
      <w:r w:rsidRPr="00CE02BD">
        <w:rPr>
          <w:rFonts w:ascii="Book Antiqua" w:eastAsia="宋体" w:hAnsi="Book Antiqua" w:cs="宋体"/>
          <w:sz w:val="24"/>
          <w:szCs w:val="24"/>
          <w:lang w:val="en-US" w:eastAsia="zh-CN"/>
        </w:rPr>
        <w:t>: 978-986.e5 [PMID: 23954314 DOI: 10.1053/j.gastro.2013.08.010]</w:t>
      </w:r>
    </w:p>
    <w:p w14:paraId="5005098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42 </w:t>
      </w:r>
      <w:r w:rsidRPr="00CE02BD">
        <w:rPr>
          <w:rFonts w:ascii="Book Antiqua" w:eastAsia="宋体" w:hAnsi="Book Antiqua" w:cs="宋体"/>
          <w:b/>
          <w:bCs/>
          <w:sz w:val="24"/>
          <w:szCs w:val="24"/>
          <w:lang w:val="en-US" w:eastAsia="zh-CN"/>
        </w:rPr>
        <w:t>Vuitton L</w:t>
      </w:r>
      <w:r w:rsidRPr="00CE02BD">
        <w:rPr>
          <w:rFonts w:ascii="Book Antiqua" w:eastAsia="宋体" w:hAnsi="Book Antiqua" w:cs="宋体"/>
          <w:sz w:val="24"/>
          <w:szCs w:val="24"/>
          <w:lang w:val="en-US" w:eastAsia="zh-CN"/>
        </w:rPr>
        <w:t xml:space="preserve">, Marteau P, Sandborn WJ, Levesque BG, Feagan B, Vermeire S, Danese S, D'Haens G, Lowenberg M, Khanna R, Fiorino G, Travis S, Mary JY, Peyrin-Biroulet L. IOIBD technical review on endoscopic indices for Crohn's disease clinical trials.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65</w:t>
      </w:r>
      <w:r w:rsidRPr="00CE02BD">
        <w:rPr>
          <w:rFonts w:ascii="Book Antiqua" w:eastAsia="宋体" w:hAnsi="Book Antiqua" w:cs="宋体"/>
          <w:sz w:val="24"/>
          <w:szCs w:val="24"/>
          <w:lang w:val="en-US" w:eastAsia="zh-CN"/>
        </w:rPr>
        <w:t>: 1447-1455 [PMID: 26353983 DOI: 10.1136/gutjnl-2015-309903]</w:t>
      </w:r>
    </w:p>
    <w:p w14:paraId="6C4C715D"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43 </w:t>
      </w:r>
      <w:r w:rsidRPr="00CE02BD">
        <w:rPr>
          <w:rFonts w:ascii="Book Antiqua" w:eastAsia="宋体" w:hAnsi="Book Antiqua" w:cs="宋体"/>
          <w:b/>
          <w:bCs/>
          <w:sz w:val="24"/>
          <w:szCs w:val="24"/>
          <w:lang w:val="en-US" w:eastAsia="zh-CN"/>
        </w:rPr>
        <w:t>Barreiro-de Acosta M</w:t>
      </w:r>
      <w:r w:rsidRPr="00CE02BD">
        <w:rPr>
          <w:rFonts w:ascii="Book Antiqua" w:eastAsia="宋体" w:hAnsi="Book Antiqua" w:cs="宋体"/>
          <w:sz w:val="24"/>
          <w:szCs w:val="24"/>
          <w:lang w:val="en-US" w:eastAsia="zh-CN"/>
        </w:rPr>
        <w:t xml:space="preserve">, Vallejo N, de la Iglesia D, Uribarri L, Bastón I, Ferreiro-Iglesias R, Lorenzo A, Domínguez-Muñoz JE. Evaluation of the Risk of Relapse in Ulcerative Colitis According to the Degree of Mucosal Healing (Mayo 0 vs 1): A Longitudinal Cohort Study.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10</w:t>
      </w:r>
      <w:r w:rsidRPr="00CE02BD">
        <w:rPr>
          <w:rFonts w:ascii="Book Antiqua" w:eastAsia="宋体" w:hAnsi="Book Antiqua" w:cs="宋体"/>
          <w:sz w:val="24"/>
          <w:szCs w:val="24"/>
          <w:lang w:val="en-US" w:eastAsia="zh-CN"/>
        </w:rPr>
        <w:t>: 13-19 [PMID: 26351390 DOI: 10.1093/ecco-jcc/jjv158]</w:t>
      </w:r>
    </w:p>
    <w:p w14:paraId="4BA5E263"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44 </w:t>
      </w:r>
      <w:r w:rsidRPr="00CE02BD">
        <w:rPr>
          <w:rFonts w:ascii="Book Antiqua" w:eastAsia="宋体" w:hAnsi="Book Antiqua" w:cs="宋体"/>
          <w:b/>
          <w:bCs/>
          <w:sz w:val="24"/>
          <w:szCs w:val="24"/>
          <w:lang w:val="en-US" w:eastAsia="zh-CN"/>
        </w:rPr>
        <w:t>Boal Carvalho P</w:t>
      </w:r>
      <w:r w:rsidRPr="00CE02BD">
        <w:rPr>
          <w:rFonts w:ascii="Book Antiqua" w:eastAsia="宋体" w:hAnsi="Book Antiqua" w:cs="宋体"/>
          <w:sz w:val="24"/>
          <w:szCs w:val="24"/>
          <w:lang w:val="en-US" w:eastAsia="zh-CN"/>
        </w:rPr>
        <w:t xml:space="preserve">, Dias de Castro F, Rosa B, Moreira MJ, Cotter J. Mucosal Healing in Ulcerative Colitis--When Zero is Better.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10</w:t>
      </w:r>
      <w:r w:rsidRPr="00CE02BD">
        <w:rPr>
          <w:rFonts w:ascii="Book Antiqua" w:eastAsia="宋体" w:hAnsi="Book Antiqua" w:cs="宋体"/>
          <w:sz w:val="24"/>
          <w:szCs w:val="24"/>
          <w:lang w:val="en-US" w:eastAsia="zh-CN"/>
        </w:rPr>
        <w:t>: 20-25 [PMID: 26438714 DOI: 10.1093/ecco-jcc/jjv180]</w:t>
      </w:r>
    </w:p>
    <w:p w14:paraId="35EAD57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45 </w:t>
      </w:r>
      <w:r w:rsidRPr="00CE02BD">
        <w:rPr>
          <w:rFonts w:ascii="Book Antiqua" w:eastAsia="宋体" w:hAnsi="Book Antiqua" w:cs="宋体"/>
          <w:b/>
          <w:bCs/>
          <w:sz w:val="24"/>
          <w:szCs w:val="24"/>
          <w:lang w:val="en-US" w:eastAsia="zh-CN"/>
        </w:rPr>
        <w:t>Lobatón T</w:t>
      </w:r>
      <w:r w:rsidRPr="00CE02BD">
        <w:rPr>
          <w:rFonts w:ascii="Book Antiqua" w:eastAsia="宋体" w:hAnsi="Book Antiqua" w:cs="宋体"/>
          <w:sz w:val="24"/>
          <w:szCs w:val="24"/>
          <w:lang w:val="en-US" w:eastAsia="zh-CN"/>
        </w:rPr>
        <w:t xml:space="preserve">, Bessissow T, De Hertogh G, Lemmens B, Maedler C, Van Assche G, Vermeire S, Bisschops R, Rutgeerts P, Bitton A, Afif W, Marcus V, Ferrante M. The Modified Mayo Endoscopic Score (MMES): A New Index for the Assessment of Extension and Severity of Endoscopic Activity in Ulcerative Colitis Patients.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9</w:t>
      </w:r>
      <w:r w:rsidRPr="00CE02BD">
        <w:rPr>
          <w:rFonts w:ascii="Book Antiqua" w:eastAsia="宋体" w:hAnsi="Book Antiqua" w:cs="宋体"/>
          <w:sz w:val="24"/>
          <w:szCs w:val="24"/>
          <w:lang w:val="en-US" w:eastAsia="zh-CN"/>
        </w:rPr>
        <w:t>: 846-852 [PMID: 26116558 DOI: 10.1093/ecco-jcc/jjv111]</w:t>
      </w:r>
    </w:p>
    <w:p w14:paraId="0D0D215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46 </w:t>
      </w:r>
      <w:r w:rsidRPr="00CE02BD">
        <w:rPr>
          <w:rFonts w:ascii="Book Antiqua" w:eastAsia="宋体" w:hAnsi="Book Antiqua" w:cs="宋体"/>
          <w:b/>
          <w:bCs/>
          <w:sz w:val="24"/>
          <w:szCs w:val="24"/>
          <w:lang w:val="en-US" w:eastAsia="zh-CN"/>
        </w:rPr>
        <w:t>Ikeya K</w:t>
      </w:r>
      <w:r w:rsidRPr="00CE02BD">
        <w:rPr>
          <w:rFonts w:ascii="Book Antiqua" w:eastAsia="宋体" w:hAnsi="Book Antiqua" w:cs="宋体"/>
          <w:sz w:val="24"/>
          <w:szCs w:val="24"/>
          <w:lang w:val="en-US" w:eastAsia="zh-CN"/>
        </w:rPr>
        <w:t xml:space="preserve">, Hanai H, Sugimoto K, Osawa S, Kawasaki S, Iida T, Maruyama Y, Watanabe F. The Ulcerative Colitis Endoscopic Index of Severity More Accurately </w:t>
      </w:r>
      <w:r w:rsidRPr="00CE02BD">
        <w:rPr>
          <w:rFonts w:ascii="Book Antiqua" w:eastAsia="宋体" w:hAnsi="Book Antiqua" w:cs="宋体"/>
          <w:sz w:val="24"/>
          <w:szCs w:val="24"/>
          <w:lang w:val="en-US" w:eastAsia="zh-CN"/>
        </w:rPr>
        <w:lastRenderedPageBreak/>
        <w:t xml:space="preserve">Reflects Clinical Outcomes and Long-term Prognosis than the Mayo Endoscopic Score.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10</w:t>
      </w:r>
      <w:r w:rsidRPr="00CE02BD">
        <w:rPr>
          <w:rFonts w:ascii="Book Antiqua" w:eastAsia="宋体" w:hAnsi="Book Antiqua" w:cs="宋体"/>
          <w:sz w:val="24"/>
          <w:szCs w:val="24"/>
          <w:lang w:val="en-US" w:eastAsia="zh-CN"/>
        </w:rPr>
        <w:t>: 286-295 [PMID: 26581895 DOI: 10.1093/ecco-jcc/jjv210]</w:t>
      </w:r>
    </w:p>
    <w:p w14:paraId="4BC49C8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47 </w:t>
      </w:r>
      <w:r w:rsidRPr="00CE02BD">
        <w:rPr>
          <w:rFonts w:ascii="Book Antiqua" w:eastAsia="宋体" w:hAnsi="Book Antiqua" w:cs="宋体"/>
          <w:b/>
          <w:bCs/>
          <w:sz w:val="24"/>
          <w:szCs w:val="24"/>
          <w:lang w:val="en-US" w:eastAsia="zh-CN"/>
        </w:rPr>
        <w:t>Vuitton L</w:t>
      </w:r>
      <w:r w:rsidRPr="00CE02BD">
        <w:rPr>
          <w:rFonts w:ascii="Book Antiqua" w:eastAsia="宋体" w:hAnsi="Book Antiqua" w:cs="宋体"/>
          <w:sz w:val="24"/>
          <w:szCs w:val="24"/>
          <w:lang w:val="en-US" w:eastAsia="zh-CN"/>
        </w:rPr>
        <w:t xml:space="preserve">, Peyrin-Biroulet L, Colombel JF, Pariente B, Pineton de Chambrun G, Walsh AJ, Panes J, Travis SP, Mary JY, Marteau P. Defining endoscopic response and remission in ulcerative colitis clinical trials: an international consensus.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45</w:t>
      </w:r>
      <w:r w:rsidRPr="00CE02BD">
        <w:rPr>
          <w:rFonts w:ascii="Book Antiqua" w:eastAsia="宋体" w:hAnsi="Book Antiqua" w:cs="宋体"/>
          <w:sz w:val="24"/>
          <w:szCs w:val="24"/>
          <w:lang w:val="en-US" w:eastAsia="zh-CN"/>
        </w:rPr>
        <w:t>: 801-813 [PMID: 28112419 DOI: 10.1111/apt.13948]</w:t>
      </w:r>
    </w:p>
    <w:p w14:paraId="50B6FC41"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48 </w:t>
      </w:r>
      <w:r w:rsidRPr="00CE02BD">
        <w:rPr>
          <w:rFonts w:ascii="Book Antiqua" w:eastAsia="宋体" w:hAnsi="Book Antiqua" w:cs="宋体"/>
          <w:b/>
          <w:bCs/>
          <w:sz w:val="24"/>
          <w:szCs w:val="24"/>
          <w:lang w:val="en-US" w:eastAsia="zh-CN"/>
        </w:rPr>
        <w:t>Solem CA</w:t>
      </w:r>
      <w:r w:rsidRPr="00CE02BD">
        <w:rPr>
          <w:rFonts w:ascii="Book Antiqua" w:eastAsia="宋体" w:hAnsi="Book Antiqua" w:cs="宋体"/>
          <w:sz w:val="24"/>
          <w:szCs w:val="24"/>
          <w:lang w:val="en-US" w:eastAsia="zh-CN"/>
        </w:rPr>
        <w:t xml:space="preserve">, Loftus EV Jr, Tremaine WJ, Harmsen WS, Zinsmeister AR, Sandborn WJ. Correlation of C-reactive protein with clinical, endoscopic, histologic, and radiographic activity in inflammatory bowel disease.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2005; </w:t>
      </w:r>
      <w:r w:rsidRPr="00CE02BD">
        <w:rPr>
          <w:rFonts w:ascii="Book Antiqua" w:eastAsia="宋体" w:hAnsi="Book Antiqua" w:cs="宋体"/>
          <w:b/>
          <w:bCs/>
          <w:sz w:val="24"/>
          <w:szCs w:val="24"/>
          <w:lang w:val="en-US" w:eastAsia="zh-CN"/>
        </w:rPr>
        <w:t>11</w:t>
      </w:r>
      <w:r w:rsidRPr="00CE02BD">
        <w:rPr>
          <w:rFonts w:ascii="Book Antiqua" w:eastAsia="宋体" w:hAnsi="Book Antiqua" w:cs="宋体"/>
          <w:sz w:val="24"/>
          <w:szCs w:val="24"/>
          <w:lang w:val="en-US" w:eastAsia="zh-CN"/>
        </w:rPr>
        <w:t>: 707-712 [PMID: 16043984 DOI: 10.1097/01.mib.0000173271.18319.53]</w:t>
      </w:r>
    </w:p>
    <w:p w14:paraId="16F82F72" w14:textId="7775D560"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49 </w:t>
      </w:r>
      <w:r w:rsidRPr="00CE02BD">
        <w:rPr>
          <w:rFonts w:ascii="Book Antiqua" w:eastAsia="宋体" w:hAnsi="Book Antiqua" w:cs="宋体"/>
          <w:b/>
          <w:bCs/>
          <w:sz w:val="24"/>
          <w:szCs w:val="24"/>
          <w:lang w:val="en-US" w:eastAsia="zh-CN"/>
        </w:rPr>
        <w:t>Mosli MH</w:t>
      </w:r>
      <w:r w:rsidRPr="00CE02BD">
        <w:rPr>
          <w:rFonts w:ascii="Book Antiqua" w:eastAsia="宋体" w:hAnsi="Book Antiqua" w:cs="宋体"/>
          <w:sz w:val="24"/>
          <w:szCs w:val="24"/>
          <w:lang w:val="en-US" w:eastAsia="zh-CN"/>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sidRPr="00CE02BD">
        <w:rPr>
          <w:rFonts w:ascii="Book Antiqua" w:eastAsia="宋体" w:hAnsi="Book Antiqua" w:cs="宋体"/>
          <w:i/>
          <w:iCs/>
          <w:sz w:val="24"/>
          <w:szCs w:val="24"/>
          <w:lang w:val="en-US" w:eastAsia="zh-CN"/>
        </w:rPr>
        <w:t>Am J Gastroenterol</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110</w:t>
      </w:r>
      <w:r w:rsidRPr="00CE02BD">
        <w:rPr>
          <w:rFonts w:ascii="Book Antiqua" w:eastAsia="宋体" w:hAnsi="Book Antiqua" w:cs="宋体"/>
          <w:sz w:val="24"/>
          <w:szCs w:val="24"/>
          <w:lang w:val="en-US" w:eastAsia="zh-CN"/>
        </w:rPr>
        <w:t>: 802-</w:t>
      </w:r>
      <w:r w:rsidR="00302005" w:rsidRPr="00CE02BD">
        <w:rPr>
          <w:rFonts w:ascii="Book Antiqua" w:eastAsia="宋体" w:hAnsi="Book Antiqua" w:cs="宋体"/>
          <w:sz w:val="24"/>
          <w:szCs w:val="24"/>
          <w:lang w:val="en-US" w:eastAsia="zh-CN"/>
        </w:rPr>
        <w:t>8</w:t>
      </w:r>
      <w:r w:rsidRPr="00CE02BD">
        <w:rPr>
          <w:rFonts w:ascii="Book Antiqua" w:eastAsia="宋体" w:hAnsi="Book Antiqua" w:cs="宋体"/>
          <w:sz w:val="24"/>
          <w:szCs w:val="24"/>
          <w:lang w:val="en-US" w:eastAsia="zh-CN"/>
        </w:rPr>
        <w:t>19 [PMID: 25964225 DOI: 10.1038/ajg.2015.120]</w:t>
      </w:r>
    </w:p>
    <w:p w14:paraId="4A40D61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50 </w:t>
      </w:r>
      <w:r w:rsidRPr="00CE02BD">
        <w:rPr>
          <w:rFonts w:ascii="Book Antiqua" w:eastAsia="宋体" w:hAnsi="Book Antiqua" w:cs="宋体"/>
          <w:b/>
          <w:bCs/>
          <w:sz w:val="24"/>
          <w:szCs w:val="24"/>
          <w:lang w:val="en-US" w:eastAsia="zh-CN"/>
        </w:rPr>
        <w:t>D'Haens G</w:t>
      </w:r>
      <w:r w:rsidRPr="00CE02BD">
        <w:rPr>
          <w:rFonts w:ascii="Book Antiqua" w:eastAsia="宋体" w:hAnsi="Book Antiqua" w:cs="宋体"/>
          <w:sz w:val="24"/>
          <w:szCs w:val="24"/>
          <w:lang w:val="en-US" w:eastAsia="zh-CN"/>
        </w:rPr>
        <w:t xml:space="preserve">, Ferrante M, Vermeire S, Baert F, Noman M, Moortgat L, Geens P, Iwens D, Aerden I, Van Assche G, Van Olmen G, Rutgeerts P. Fecal calprotectin is a surrogate marker for endoscopic lesions in inflammatory bowel disease.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18</w:t>
      </w:r>
      <w:r w:rsidRPr="00CE02BD">
        <w:rPr>
          <w:rFonts w:ascii="Book Antiqua" w:eastAsia="宋体" w:hAnsi="Book Antiqua" w:cs="宋体"/>
          <w:sz w:val="24"/>
          <w:szCs w:val="24"/>
          <w:lang w:val="en-US" w:eastAsia="zh-CN"/>
        </w:rPr>
        <w:t>: 2218-2224 [PMID: 22344983 DOI: 10.1002/ibd.22917]</w:t>
      </w:r>
    </w:p>
    <w:p w14:paraId="3463357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51 </w:t>
      </w:r>
      <w:r w:rsidRPr="00CE02BD">
        <w:rPr>
          <w:rFonts w:ascii="Book Antiqua" w:eastAsia="宋体" w:hAnsi="Book Antiqua" w:cs="宋体"/>
          <w:b/>
          <w:bCs/>
          <w:sz w:val="24"/>
          <w:szCs w:val="24"/>
          <w:lang w:val="en-US" w:eastAsia="zh-CN"/>
        </w:rPr>
        <w:t>De Vos M</w:t>
      </w:r>
      <w:r w:rsidRPr="00CE02BD">
        <w:rPr>
          <w:rFonts w:ascii="Book Antiqua" w:eastAsia="宋体" w:hAnsi="Book Antiqua" w:cs="宋体"/>
          <w:sz w:val="24"/>
          <w:szCs w:val="24"/>
          <w:lang w:val="en-US" w:eastAsia="zh-CN"/>
        </w:rPr>
        <w:t>, Louis EJ, Jahnsen J, Vandervoort JG, Noman M, Dewit O, D</w:t>
      </w:r>
      <w:r w:rsidRPr="00CE02BD">
        <w:rPr>
          <w:rFonts w:ascii="Times New Roman" w:eastAsia="宋体" w:hAnsi="Times New Roman" w:cs="Times New Roman"/>
          <w:sz w:val="24"/>
          <w:szCs w:val="24"/>
          <w:lang w:val="en-US" w:eastAsia="zh-CN"/>
        </w:rPr>
        <w:t>ʼ</w:t>
      </w:r>
      <w:r w:rsidRPr="00CE02BD">
        <w:rPr>
          <w:rFonts w:ascii="Book Antiqua" w:eastAsia="宋体" w:hAnsi="Book Antiqua" w:cs="宋体"/>
          <w:sz w:val="24"/>
          <w:szCs w:val="24"/>
          <w:lang w:val="en-US" w:eastAsia="zh-CN"/>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2013; </w:t>
      </w:r>
      <w:r w:rsidRPr="00CE02BD">
        <w:rPr>
          <w:rFonts w:ascii="Book Antiqua" w:eastAsia="宋体" w:hAnsi="Book Antiqua" w:cs="宋体"/>
          <w:b/>
          <w:bCs/>
          <w:sz w:val="24"/>
          <w:szCs w:val="24"/>
          <w:lang w:val="en-US" w:eastAsia="zh-CN"/>
        </w:rPr>
        <w:t>19</w:t>
      </w:r>
      <w:r w:rsidRPr="00CE02BD">
        <w:rPr>
          <w:rFonts w:ascii="Book Antiqua" w:eastAsia="宋体" w:hAnsi="Book Antiqua" w:cs="宋体"/>
          <w:sz w:val="24"/>
          <w:szCs w:val="24"/>
          <w:lang w:val="en-US" w:eastAsia="zh-CN"/>
        </w:rPr>
        <w:t>: 2111-2117 [PMID: 23883959 DOI: 10.1097/MIB.0b013e31829b2a37]</w:t>
      </w:r>
    </w:p>
    <w:p w14:paraId="5D06AD4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52 </w:t>
      </w:r>
      <w:r w:rsidRPr="00CE02BD">
        <w:rPr>
          <w:rFonts w:ascii="Book Antiqua" w:eastAsia="宋体" w:hAnsi="Book Antiqua" w:cs="宋体"/>
          <w:b/>
          <w:bCs/>
          <w:sz w:val="24"/>
          <w:szCs w:val="24"/>
          <w:lang w:val="en-US" w:eastAsia="zh-CN"/>
        </w:rPr>
        <w:t>Zhulina Y</w:t>
      </w:r>
      <w:r w:rsidRPr="00CE02BD">
        <w:rPr>
          <w:rFonts w:ascii="Book Antiqua" w:eastAsia="宋体" w:hAnsi="Book Antiqua" w:cs="宋体"/>
          <w:sz w:val="24"/>
          <w:szCs w:val="24"/>
          <w:lang w:val="en-US" w:eastAsia="zh-CN"/>
        </w:rPr>
        <w:t xml:space="preserve">, Cao Y, Amcoff K, Carlson M, Tysk C, Halfvarson J. The prognostic significance of faecal calprotectin in patients with inactive inflammatory bowel </w:t>
      </w:r>
      <w:r w:rsidRPr="00CE02BD">
        <w:rPr>
          <w:rFonts w:ascii="Book Antiqua" w:eastAsia="宋体" w:hAnsi="Book Antiqua" w:cs="宋体"/>
          <w:sz w:val="24"/>
          <w:szCs w:val="24"/>
          <w:lang w:val="en-US" w:eastAsia="zh-CN"/>
        </w:rPr>
        <w:lastRenderedPageBreak/>
        <w:t xml:space="preserve">disease.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44</w:t>
      </w:r>
      <w:r w:rsidRPr="00CE02BD">
        <w:rPr>
          <w:rFonts w:ascii="Book Antiqua" w:eastAsia="宋体" w:hAnsi="Book Antiqua" w:cs="宋体"/>
          <w:sz w:val="24"/>
          <w:szCs w:val="24"/>
          <w:lang w:val="en-US" w:eastAsia="zh-CN"/>
        </w:rPr>
        <w:t>: 495-504 [PMID: 27402063 DOI: 10.1111/apt.13731]</w:t>
      </w:r>
    </w:p>
    <w:p w14:paraId="6433877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53 </w:t>
      </w:r>
      <w:r w:rsidRPr="00CE02BD">
        <w:rPr>
          <w:rFonts w:ascii="Book Antiqua" w:eastAsia="宋体" w:hAnsi="Book Antiqua" w:cs="宋体"/>
          <w:b/>
          <w:bCs/>
          <w:sz w:val="24"/>
          <w:szCs w:val="24"/>
          <w:lang w:val="en-US" w:eastAsia="zh-CN"/>
        </w:rPr>
        <w:t>Heida A</w:t>
      </w:r>
      <w:r w:rsidRPr="00CE02BD">
        <w:rPr>
          <w:rFonts w:ascii="Book Antiqua" w:eastAsia="宋体" w:hAnsi="Book Antiqua" w:cs="宋体"/>
          <w:sz w:val="24"/>
          <w:szCs w:val="24"/>
          <w:lang w:val="en-US" w:eastAsia="zh-CN"/>
        </w:rPr>
        <w:t xml:space="preserve">, Park KT, van Rheenen PF. Clinical Utility of Fecal Calprotectin Monitoring in Asymptomatic Patients with Inflammatory Bowel Disease: A Systematic Review and Practical Guide.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23</w:t>
      </w:r>
      <w:r w:rsidRPr="00CE02BD">
        <w:rPr>
          <w:rFonts w:ascii="Book Antiqua" w:eastAsia="宋体" w:hAnsi="Book Antiqua" w:cs="宋体"/>
          <w:sz w:val="24"/>
          <w:szCs w:val="24"/>
          <w:lang w:val="en-US" w:eastAsia="zh-CN"/>
        </w:rPr>
        <w:t>: 894-902 [PMID: 28511198 DOI: 10.1097/MIB.0000000000001082]</w:t>
      </w:r>
    </w:p>
    <w:p w14:paraId="27DFC86D"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54 </w:t>
      </w:r>
      <w:r w:rsidRPr="00CE02BD">
        <w:rPr>
          <w:rFonts w:ascii="Book Antiqua" w:eastAsia="宋体" w:hAnsi="Book Antiqua" w:cs="宋体"/>
          <w:b/>
          <w:bCs/>
          <w:sz w:val="24"/>
          <w:szCs w:val="24"/>
          <w:lang w:val="en-US" w:eastAsia="zh-CN"/>
        </w:rPr>
        <w:t>Wright EK</w:t>
      </w:r>
      <w:r w:rsidRPr="00CE02BD">
        <w:rPr>
          <w:rFonts w:ascii="Book Antiqua" w:eastAsia="宋体" w:hAnsi="Book Antiqua" w:cs="宋体"/>
          <w:sz w:val="24"/>
          <w:szCs w:val="24"/>
          <w:lang w:val="en-US" w:eastAsia="zh-CN"/>
        </w:rPr>
        <w:t xml:space="preserve">,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148</w:t>
      </w:r>
      <w:r w:rsidRPr="00CE02BD">
        <w:rPr>
          <w:rFonts w:ascii="Book Antiqua" w:eastAsia="宋体" w:hAnsi="Book Antiqua" w:cs="宋体"/>
          <w:sz w:val="24"/>
          <w:szCs w:val="24"/>
          <w:lang w:val="en-US" w:eastAsia="zh-CN"/>
        </w:rPr>
        <w:t>: 938-947.e1 [PMID: 25620670 DOI: 10.1053/j.gastro.2015.01.026]</w:t>
      </w:r>
    </w:p>
    <w:p w14:paraId="4F18D749" w14:textId="099D971D"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55 </w:t>
      </w:r>
      <w:r w:rsidRPr="00CE02BD">
        <w:rPr>
          <w:rFonts w:ascii="Book Antiqua" w:eastAsia="宋体" w:hAnsi="Book Antiqua" w:cs="宋体"/>
          <w:b/>
          <w:bCs/>
          <w:sz w:val="24"/>
          <w:szCs w:val="24"/>
          <w:lang w:val="en-US" w:eastAsia="zh-CN"/>
        </w:rPr>
        <w:t>Ungaro RC</w:t>
      </w:r>
      <w:r w:rsidRPr="00CE02BD">
        <w:rPr>
          <w:rFonts w:ascii="Book Antiqua" w:eastAsia="宋体" w:hAnsi="Book Antiqua" w:cs="宋体"/>
          <w:sz w:val="24"/>
          <w:szCs w:val="24"/>
          <w:lang w:val="en-US" w:eastAsia="zh-CN"/>
        </w:rPr>
        <w:t xml:space="preserve">, Yzet C, Bossuyt P, Baert FJ, Vanasek T, D'Haens GR, Joustra VW, Panaccione R, Novacek G, Armuzzi A, Golovchenko O, Olga P, Goldis A, Travis SP, Hebuterne X, Ferrante M, Rogler G, Fumery M, Danese S, Rydzewska G, Pariente B, Hertervig E, Stanciu C, Grimaud J, Diculescu M, Peyrin-Biroulet L, Laharie D, Wright JP, Gomollon F, Gubonina I, Schreiber S, Motoya S, Hellström PM, Halfvarson J, Colombel JF. Sa1812 Endoscopic and deep remission at 1 year prevents disease progression in early Crohn’s disease: long-term data from CALM. </w:t>
      </w:r>
      <w:r w:rsidRPr="00CE02BD">
        <w:rPr>
          <w:rFonts w:ascii="Book Antiqua" w:eastAsia="宋体" w:hAnsi="Book Antiqua" w:cs="宋体"/>
          <w:i/>
          <w:iCs/>
          <w:sz w:val="24"/>
          <w:szCs w:val="24"/>
          <w:lang w:val="en-US" w:eastAsia="zh-CN"/>
        </w:rPr>
        <w:t>Gastroenterology</w:t>
      </w:r>
      <w:r w:rsidR="00D36553" w:rsidRPr="00CE02BD">
        <w:rPr>
          <w:rFonts w:ascii="Book Antiqua" w:eastAsia="宋体" w:hAnsi="Book Antiqua" w:cs="宋体"/>
          <w:sz w:val="24"/>
          <w:szCs w:val="24"/>
          <w:lang w:val="en-US" w:eastAsia="zh-CN"/>
        </w:rPr>
        <w:t xml:space="preserve"> </w:t>
      </w:r>
      <w:r w:rsidRPr="00CE02BD">
        <w:rPr>
          <w:rFonts w:ascii="Book Antiqua" w:eastAsia="宋体" w:hAnsi="Book Antiqua" w:cs="宋体"/>
          <w:sz w:val="24"/>
          <w:szCs w:val="24"/>
          <w:lang w:val="en-US" w:eastAsia="zh-CN"/>
        </w:rPr>
        <w:t xml:space="preserve">2019; </w:t>
      </w:r>
      <w:r w:rsidRPr="00CE02BD">
        <w:rPr>
          <w:rFonts w:ascii="Book Antiqua" w:eastAsia="宋体" w:hAnsi="Book Antiqua" w:cs="宋体"/>
          <w:b/>
          <w:bCs/>
          <w:sz w:val="24"/>
          <w:szCs w:val="24"/>
          <w:lang w:val="en-US" w:eastAsia="zh-CN"/>
        </w:rPr>
        <w:t>6</w:t>
      </w:r>
      <w:r w:rsidR="00D36553" w:rsidRPr="00CE02BD">
        <w:rPr>
          <w:rFonts w:ascii="Book Antiqua" w:eastAsia="宋体" w:hAnsi="Book Antiqua" w:cs="宋体"/>
          <w:b/>
          <w:bCs/>
          <w:sz w:val="24"/>
          <w:szCs w:val="24"/>
          <w:lang w:val="en-US" w:eastAsia="zh-CN"/>
        </w:rPr>
        <w:t xml:space="preserve"> Suppl</w:t>
      </w:r>
      <w:r w:rsidR="001910B9" w:rsidRPr="00CE02BD">
        <w:rPr>
          <w:rFonts w:ascii="Book Antiqua" w:eastAsia="宋体" w:hAnsi="Book Antiqua" w:cs="宋体"/>
          <w:b/>
          <w:bCs/>
          <w:sz w:val="24"/>
          <w:szCs w:val="24"/>
          <w:lang w:val="en-US" w:eastAsia="zh-CN"/>
        </w:rPr>
        <w:t xml:space="preserve"> 1</w:t>
      </w:r>
      <w:r w:rsidR="00D36553" w:rsidRPr="00CE02BD">
        <w:rPr>
          <w:rFonts w:ascii="Book Antiqua" w:eastAsia="宋体" w:hAnsi="Book Antiqua" w:cs="宋体"/>
          <w:sz w:val="24"/>
          <w:szCs w:val="24"/>
          <w:lang w:val="en-US" w:eastAsia="zh-CN"/>
        </w:rPr>
        <w:t>:</w:t>
      </w:r>
      <w:r w:rsidRPr="00CE02BD">
        <w:rPr>
          <w:rFonts w:ascii="Book Antiqua" w:eastAsia="宋体" w:hAnsi="Book Antiqua" w:cs="宋体"/>
          <w:sz w:val="24"/>
          <w:szCs w:val="24"/>
          <w:lang w:val="en-US" w:eastAsia="zh-CN"/>
        </w:rPr>
        <w:t xml:space="preserve"> S411</w:t>
      </w:r>
      <w:r w:rsidR="004600DA" w:rsidRPr="00CE02BD">
        <w:rPr>
          <w:rFonts w:ascii="Book Antiqua" w:eastAsia="宋体" w:hAnsi="Book Antiqua" w:cs="宋体"/>
          <w:sz w:val="24"/>
          <w:szCs w:val="24"/>
          <w:lang w:val="en-US" w:eastAsia="zh-CN"/>
        </w:rPr>
        <w:t xml:space="preserve"> </w:t>
      </w:r>
      <w:r w:rsidRPr="00CE02BD">
        <w:rPr>
          <w:rFonts w:ascii="Book Antiqua" w:eastAsia="宋体" w:hAnsi="Book Antiqua" w:cs="宋体"/>
          <w:sz w:val="24"/>
          <w:szCs w:val="24"/>
          <w:lang w:val="en-US" w:eastAsia="zh-CN"/>
        </w:rPr>
        <w:t>[DOI: 10.1016/S0016-5085(19)37879-5]</w:t>
      </w:r>
    </w:p>
    <w:p w14:paraId="0707F59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56 </w:t>
      </w:r>
      <w:r w:rsidRPr="00CE02BD">
        <w:rPr>
          <w:rFonts w:ascii="Book Antiqua" w:eastAsia="宋体" w:hAnsi="Book Antiqua" w:cs="宋体"/>
          <w:b/>
          <w:bCs/>
          <w:sz w:val="24"/>
          <w:szCs w:val="24"/>
          <w:lang w:val="en-US" w:eastAsia="zh-CN"/>
        </w:rPr>
        <w:t>Cornillie F</w:t>
      </w:r>
      <w:r w:rsidRPr="00CE02BD">
        <w:rPr>
          <w:rFonts w:ascii="Book Antiqua" w:eastAsia="宋体" w:hAnsi="Book Antiqua" w:cs="宋体"/>
          <w:sz w:val="24"/>
          <w:szCs w:val="24"/>
          <w:lang w:val="en-US" w:eastAsia="zh-CN"/>
        </w:rPr>
        <w:t xml:space="preserve">, Hanauer SB, Diamond RH, Wang J, Tang KL, Xu Z, Rutgeerts P, Vermeire S. Postinduction serum infliximab trough level and decrease of C-reactive protein level are associated with durable sustained response to infliximab: a retrospective analysis of the ACCENT I trial.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63</w:t>
      </w:r>
      <w:r w:rsidRPr="00CE02BD">
        <w:rPr>
          <w:rFonts w:ascii="Book Antiqua" w:eastAsia="宋体" w:hAnsi="Book Antiqua" w:cs="宋体"/>
          <w:sz w:val="24"/>
          <w:szCs w:val="24"/>
          <w:lang w:val="en-US" w:eastAsia="zh-CN"/>
        </w:rPr>
        <w:t>: 1721-1727 [PMID: 24474383 DOI: 10.1136/gutjnl-2012-304094]</w:t>
      </w:r>
    </w:p>
    <w:p w14:paraId="57669007"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57 </w:t>
      </w:r>
      <w:r w:rsidRPr="00CE02BD">
        <w:rPr>
          <w:rFonts w:ascii="Book Antiqua" w:eastAsia="宋体" w:hAnsi="Book Antiqua" w:cs="宋体"/>
          <w:b/>
          <w:bCs/>
          <w:sz w:val="24"/>
          <w:szCs w:val="24"/>
          <w:lang w:val="en-US" w:eastAsia="zh-CN"/>
        </w:rPr>
        <w:t>Bortlik M</w:t>
      </w:r>
      <w:r w:rsidRPr="00CE02BD">
        <w:rPr>
          <w:rFonts w:ascii="Book Antiqua" w:eastAsia="宋体" w:hAnsi="Book Antiqua" w:cs="宋体"/>
          <w:sz w:val="24"/>
          <w:szCs w:val="24"/>
          <w:lang w:val="en-US" w:eastAsia="zh-CN"/>
        </w:rPr>
        <w:t xml:space="preserve">, Duricova D, Malickova K, Machkova N, Bouzkova E, Hrdlicka L, Komarek A, Lukas M. Infliximab trough levels may predict sustained response to infliximab in patients with Crohn's disease.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2013; </w:t>
      </w:r>
      <w:r w:rsidRPr="00CE02BD">
        <w:rPr>
          <w:rFonts w:ascii="Book Antiqua" w:eastAsia="宋体" w:hAnsi="Book Antiqua" w:cs="宋体"/>
          <w:b/>
          <w:bCs/>
          <w:sz w:val="24"/>
          <w:szCs w:val="24"/>
          <w:lang w:val="en-US" w:eastAsia="zh-CN"/>
        </w:rPr>
        <w:t>7</w:t>
      </w:r>
      <w:r w:rsidRPr="00CE02BD">
        <w:rPr>
          <w:rFonts w:ascii="Book Antiqua" w:eastAsia="宋体" w:hAnsi="Book Antiqua" w:cs="宋体"/>
          <w:sz w:val="24"/>
          <w:szCs w:val="24"/>
          <w:lang w:val="en-US" w:eastAsia="zh-CN"/>
        </w:rPr>
        <w:t>: 736-743 [PMID: 23200919 DOI: 10.1016/j.crohns.2012.10.019]</w:t>
      </w:r>
    </w:p>
    <w:p w14:paraId="14B05063"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58 </w:t>
      </w:r>
      <w:r w:rsidRPr="00CE02BD">
        <w:rPr>
          <w:rFonts w:ascii="Book Antiqua" w:eastAsia="宋体" w:hAnsi="Book Antiqua" w:cs="宋体"/>
          <w:b/>
          <w:bCs/>
          <w:sz w:val="24"/>
          <w:szCs w:val="24"/>
          <w:lang w:val="en-US" w:eastAsia="zh-CN"/>
        </w:rPr>
        <w:t>Mazor Y</w:t>
      </w:r>
      <w:r w:rsidRPr="00CE02BD">
        <w:rPr>
          <w:rFonts w:ascii="Book Antiqua" w:eastAsia="宋体" w:hAnsi="Book Antiqua" w:cs="宋体"/>
          <w:sz w:val="24"/>
          <w:szCs w:val="24"/>
          <w:lang w:val="en-US" w:eastAsia="zh-CN"/>
        </w:rPr>
        <w:t xml:space="preserve">, Almog R, Kopylov U, Ben Hur D, Blatt A, Dahan A, Waterman M, Ben-Horin S, Chowers Y. Adalimumab drug and antibody levels as predictors of clinical and laboratory response in patients with Crohn's disease.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40</w:t>
      </w:r>
      <w:r w:rsidRPr="00CE02BD">
        <w:rPr>
          <w:rFonts w:ascii="Book Antiqua" w:eastAsia="宋体" w:hAnsi="Book Antiqua" w:cs="宋体"/>
          <w:sz w:val="24"/>
          <w:szCs w:val="24"/>
          <w:lang w:val="en-US" w:eastAsia="zh-CN"/>
        </w:rPr>
        <w:t>: 620-628 [PMID: 25039584 DOI: 10.1111/apt.12869]</w:t>
      </w:r>
    </w:p>
    <w:p w14:paraId="4B08926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59 </w:t>
      </w:r>
      <w:r w:rsidRPr="00CE02BD">
        <w:rPr>
          <w:rFonts w:ascii="Book Antiqua" w:eastAsia="宋体" w:hAnsi="Book Antiqua" w:cs="宋体"/>
          <w:b/>
          <w:bCs/>
          <w:sz w:val="24"/>
          <w:szCs w:val="24"/>
          <w:lang w:val="en-US" w:eastAsia="zh-CN"/>
        </w:rPr>
        <w:t>Afif W</w:t>
      </w:r>
      <w:r w:rsidRPr="00CE02BD">
        <w:rPr>
          <w:rFonts w:ascii="Book Antiqua" w:eastAsia="宋体" w:hAnsi="Book Antiqua" w:cs="宋体"/>
          <w:sz w:val="24"/>
          <w:szCs w:val="24"/>
          <w:lang w:val="en-US" w:eastAsia="zh-CN"/>
        </w:rPr>
        <w:t xml:space="preserve">, Loftus EV Jr, Faubion WA, Kane SV, Bruining DH, Hanson KA, Sandborn WJ. Clinical utility of measuring infliximab and human anti-chimeric antibody concentrations in patients with inflammatory bowel disease. </w:t>
      </w:r>
      <w:r w:rsidRPr="00CE02BD">
        <w:rPr>
          <w:rFonts w:ascii="Book Antiqua" w:eastAsia="宋体" w:hAnsi="Book Antiqua" w:cs="宋体"/>
          <w:i/>
          <w:iCs/>
          <w:sz w:val="24"/>
          <w:szCs w:val="24"/>
          <w:lang w:val="en-US" w:eastAsia="zh-CN"/>
        </w:rPr>
        <w:t>Am J Gastroenterol</w:t>
      </w:r>
      <w:r w:rsidRPr="00CE02BD">
        <w:rPr>
          <w:rFonts w:ascii="Book Antiqua" w:eastAsia="宋体" w:hAnsi="Book Antiqua" w:cs="宋体"/>
          <w:sz w:val="24"/>
          <w:szCs w:val="24"/>
          <w:lang w:val="en-US" w:eastAsia="zh-CN"/>
        </w:rPr>
        <w:t xml:space="preserve"> 2010; </w:t>
      </w:r>
      <w:r w:rsidRPr="00CE02BD">
        <w:rPr>
          <w:rFonts w:ascii="Book Antiqua" w:eastAsia="宋体" w:hAnsi="Book Antiqua" w:cs="宋体"/>
          <w:b/>
          <w:bCs/>
          <w:sz w:val="24"/>
          <w:szCs w:val="24"/>
          <w:lang w:val="en-US" w:eastAsia="zh-CN"/>
        </w:rPr>
        <w:t>105</w:t>
      </w:r>
      <w:r w:rsidRPr="00CE02BD">
        <w:rPr>
          <w:rFonts w:ascii="Book Antiqua" w:eastAsia="宋体" w:hAnsi="Book Antiqua" w:cs="宋体"/>
          <w:sz w:val="24"/>
          <w:szCs w:val="24"/>
          <w:lang w:val="en-US" w:eastAsia="zh-CN"/>
        </w:rPr>
        <w:t>: 1133-1139 [PMID: 20145610 DOI: 10.1038/ajg.2010.9]</w:t>
      </w:r>
    </w:p>
    <w:p w14:paraId="22E521E2"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60 </w:t>
      </w:r>
      <w:r w:rsidRPr="00CE02BD">
        <w:rPr>
          <w:rFonts w:ascii="Book Antiqua" w:eastAsia="宋体" w:hAnsi="Book Antiqua" w:cs="宋体"/>
          <w:b/>
          <w:bCs/>
          <w:sz w:val="24"/>
          <w:szCs w:val="24"/>
          <w:lang w:val="en-US" w:eastAsia="zh-CN"/>
        </w:rPr>
        <w:t>Roblin X</w:t>
      </w:r>
      <w:r w:rsidRPr="00CE02BD">
        <w:rPr>
          <w:rFonts w:ascii="Book Antiqua" w:eastAsia="宋体" w:hAnsi="Book Antiqua" w:cs="宋体"/>
          <w:sz w:val="24"/>
          <w:szCs w:val="24"/>
          <w:lang w:val="en-US" w:eastAsia="zh-CN"/>
        </w:rPr>
        <w:t xml:space="preserve">, Rinaudo M, Del Tedesco E, Phelip JM, Genin C, Peyrin-Biroulet L, Paul S. Development of an algorithm incorporating pharmacokinetics of adalimumab in inflammatory bowel diseases. </w:t>
      </w:r>
      <w:r w:rsidRPr="00CE02BD">
        <w:rPr>
          <w:rFonts w:ascii="Book Antiqua" w:eastAsia="宋体" w:hAnsi="Book Antiqua" w:cs="宋体"/>
          <w:i/>
          <w:iCs/>
          <w:sz w:val="24"/>
          <w:szCs w:val="24"/>
          <w:lang w:val="en-US" w:eastAsia="zh-CN"/>
        </w:rPr>
        <w:t>Am J Gastroenterol</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109</w:t>
      </w:r>
      <w:r w:rsidRPr="00CE02BD">
        <w:rPr>
          <w:rFonts w:ascii="Book Antiqua" w:eastAsia="宋体" w:hAnsi="Book Antiqua" w:cs="宋体"/>
          <w:sz w:val="24"/>
          <w:szCs w:val="24"/>
          <w:lang w:val="en-US" w:eastAsia="zh-CN"/>
        </w:rPr>
        <w:t>: 1250-1256 [PMID: 24913041 DOI: 10.1038/ajg.2014.146]</w:t>
      </w:r>
    </w:p>
    <w:p w14:paraId="4B5191E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61 </w:t>
      </w:r>
      <w:r w:rsidRPr="00CE02BD">
        <w:rPr>
          <w:rFonts w:ascii="Book Antiqua" w:eastAsia="宋体" w:hAnsi="Book Antiqua" w:cs="宋体"/>
          <w:b/>
          <w:bCs/>
          <w:sz w:val="24"/>
          <w:szCs w:val="24"/>
          <w:lang w:val="en-US" w:eastAsia="zh-CN"/>
        </w:rPr>
        <w:t>Papamichael K</w:t>
      </w:r>
      <w:r w:rsidRPr="00CE02BD">
        <w:rPr>
          <w:rFonts w:ascii="Book Antiqua" w:eastAsia="宋体" w:hAnsi="Book Antiqua" w:cs="宋体"/>
          <w:sz w:val="24"/>
          <w:szCs w:val="24"/>
          <w:lang w:val="en-US" w:eastAsia="zh-CN"/>
        </w:rPr>
        <w:t xml:space="preserve">, Cheifetz AS. Use of anti-TNF drug levels to optimise patient management. </w:t>
      </w:r>
      <w:r w:rsidRPr="00CE02BD">
        <w:rPr>
          <w:rFonts w:ascii="Book Antiqua" w:eastAsia="宋体" w:hAnsi="Book Antiqua" w:cs="宋体"/>
          <w:i/>
          <w:iCs/>
          <w:sz w:val="24"/>
          <w:szCs w:val="24"/>
          <w:lang w:val="en-US" w:eastAsia="zh-CN"/>
        </w:rPr>
        <w:t>Frontline Gastroenterol</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7</w:t>
      </w:r>
      <w:r w:rsidRPr="00CE02BD">
        <w:rPr>
          <w:rFonts w:ascii="Book Antiqua" w:eastAsia="宋体" w:hAnsi="Book Antiqua" w:cs="宋体"/>
          <w:sz w:val="24"/>
          <w:szCs w:val="24"/>
          <w:lang w:val="en-US" w:eastAsia="zh-CN"/>
        </w:rPr>
        <w:t>: 289-300 [PMID: 28839870 DOI: 10.1136/flgastro-2016-100685]</w:t>
      </w:r>
    </w:p>
    <w:p w14:paraId="13560FC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62 </w:t>
      </w:r>
      <w:r w:rsidRPr="00CE02BD">
        <w:rPr>
          <w:rFonts w:ascii="Book Antiqua" w:eastAsia="宋体" w:hAnsi="Book Antiqua" w:cs="宋体"/>
          <w:b/>
          <w:bCs/>
          <w:sz w:val="24"/>
          <w:szCs w:val="24"/>
          <w:lang w:val="en-US" w:eastAsia="zh-CN"/>
        </w:rPr>
        <w:t>Vande Casteele N</w:t>
      </w:r>
      <w:r w:rsidRPr="00CE02BD">
        <w:rPr>
          <w:rFonts w:ascii="Book Antiqua" w:eastAsia="宋体" w:hAnsi="Book Antiqua" w:cs="宋体"/>
          <w:sz w:val="24"/>
          <w:szCs w:val="24"/>
          <w:lang w:val="en-US" w:eastAsia="zh-CN"/>
        </w:rPr>
        <w:t xml:space="preserve">, Ferrante M, Van Assche G, Ballet V, Compernolle G, Van Steen K, Simoens S, Rutgeerts P, Gils A, Vermeire S. Trough concentrations of infliximab guide dosing for patients with inflammatory bowel disease.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148</w:t>
      </w:r>
      <w:r w:rsidRPr="00CE02BD">
        <w:rPr>
          <w:rFonts w:ascii="Book Antiqua" w:eastAsia="宋体" w:hAnsi="Book Antiqua" w:cs="宋体"/>
          <w:sz w:val="24"/>
          <w:szCs w:val="24"/>
          <w:lang w:val="en-US" w:eastAsia="zh-CN"/>
        </w:rPr>
        <w:t>: 1320-9.e3 [PMID: 25724455 DOI: 10.1053/j.gastro.2015.02.031]</w:t>
      </w:r>
    </w:p>
    <w:p w14:paraId="67A6F644"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63 </w:t>
      </w:r>
      <w:r w:rsidRPr="00CE02BD">
        <w:rPr>
          <w:rFonts w:ascii="Book Antiqua" w:eastAsia="宋体" w:hAnsi="Book Antiqua" w:cs="宋体"/>
          <w:b/>
          <w:bCs/>
          <w:sz w:val="24"/>
          <w:szCs w:val="24"/>
          <w:lang w:val="en-US" w:eastAsia="zh-CN"/>
        </w:rPr>
        <w:t>D'Haens G</w:t>
      </w:r>
      <w:r w:rsidRPr="00CE02BD">
        <w:rPr>
          <w:rFonts w:ascii="Book Antiqua" w:eastAsia="宋体" w:hAnsi="Book Antiqua" w:cs="宋体"/>
          <w:sz w:val="24"/>
          <w:szCs w:val="24"/>
          <w:lang w:val="en-US" w:eastAsia="zh-CN"/>
        </w:rPr>
        <w:t xml:space="preserve">, Vermeire S, Lambrecht G, Baert F, Bossuyt P, Pariente B, Buisson A, Bouhnik Y, Filippi J, Vander Woude J, Van Hootegem P, Moreau J, Louis E, Franchimont D, De Vos M, Mana F, Peyrin-Biroulet L, Brixi H, Allez M, Caenepeel P, Aubourg A, Oldenburg B, Pierik M, Gils A, Chevret S, Laharie D; GETAID. Increasing Infliximab Dose Based on Symptoms, Biomarkers, and Serum Drug Concentrations Does Not Increase Clinical, Endoscopic, and Corticosteroid-Free Remission in Patients With Active Luminal Crohn's Disease.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154</w:t>
      </w:r>
      <w:r w:rsidRPr="00CE02BD">
        <w:rPr>
          <w:rFonts w:ascii="Book Antiqua" w:eastAsia="宋体" w:hAnsi="Book Antiqua" w:cs="宋体"/>
          <w:sz w:val="24"/>
          <w:szCs w:val="24"/>
          <w:lang w:val="en-US" w:eastAsia="zh-CN"/>
        </w:rPr>
        <w:t>: 1343-1351.e1 [PMID: 29317275 DOI: 10.1053/j.gastro.2018.01.004]</w:t>
      </w:r>
    </w:p>
    <w:p w14:paraId="0B426D6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64 </w:t>
      </w:r>
      <w:r w:rsidRPr="00CE02BD">
        <w:rPr>
          <w:rFonts w:ascii="Book Antiqua" w:eastAsia="宋体" w:hAnsi="Book Antiqua" w:cs="宋体"/>
          <w:b/>
          <w:bCs/>
          <w:sz w:val="24"/>
          <w:szCs w:val="24"/>
          <w:lang w:val="en-US" w:eastAsia="zh-CN"/>
        </w:rPr>
        <w:t>Papamichael K</w:t>
      </w:r>
      <w:r w:rsidRPr="00CE02BD">
        <w:rPr>
          <w:rFonts w:ascii="Book Antiqua" w:eastAsia="宋体" w:hAnsi="Book Antiqua" w:cs="宋体"/>
          <w:sz w:val="24"/>
          <w:szCs w:val="24"/>
          <w:lang w:val="en-US" w:eastAsia="zh-CN"/>
        </w:rPr>
        <w:t xml:space="preserve">, Juncadella A, Wong D, Rakowsky S, Sattler LA, Campbell JP, Vaughn BP, Cheifetz AS. Proactive Therapeutic Drug Monitoring of Adalimumab Is Associated With Better Long-term Outcomes Compared With Standard of Care in </w:t>
      </w:r>
      <w:r w:rsidRPr="00CE02BD">
        <w:rPr>
          <w:rFonts w:ascii="Book Antiqua" w:eastAsia="宋体" w:hAnsi="Book Antiqua" w:cs="宋体"/>
          <w:sz w:val="24"/>
          <w:szCs w:val="24"/>
          <w:lang w:val="en-US" w:eastAsia="zh-CN"/>
        </w:rPr>
        <w:lastRenderedPageBreak/>
        <w:t xml:space="preserve">Patients With Inflammatory Bowel Disease.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13</w:t>
      </w:r>
      <w:r w:rsidRPr="00CE02BD">
        <w:rPr>
          <w:rFonts w:ascii="Book Antiqua" w:eastAsia="宋体" w:hAnsi="Book Antiqua" w:cs="宋体"/>
          <w:sz w:val="24"/>
          <w:szCs w:val="24"/>
          <w:lang w:val="en-US" w:eastAsia="zh-CN"/>
        </w:rPr>
        <w:t>: 976-981 [PMID: 30689771 DOI: 10.1093/ecco-jcc/jjz018]</w:t>
      </w:r>
    </w:p>
    <w:p w14:paraId="0E6C45C4"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65 </w:t>
      </w:r>
      <w:r w:rsidRPr="00CE02BD">
        <w:rPr>
          <w:rFonts w:ascii="Book Antiqua" w:eastAsia="宋体" w:hAnsi="Book Antiqua" w:cs="宋体"/>
          <w:b/>
          <w:bCs/>
          <w:sz w:val="24"/>
          <w:szCs w:val="24"/>
          <w:lang w:val="en-US" w:eastAsia="zh-CN"/>
        </w:rPr>
        <w:t>Papamichael K</w:t>
      </w:r>
      <w:r w:rsidRPr="00CE02BD">
        <w:rPr>
          <w:rFonts w:ascii="Book Antiqua" w:eastAsia="宋体" w:hAnsi="Book Antiqua" w:cs="宋体"/>
          <w:sz w:val="24"/>
          <w:szCs w:val="24"/>
          <w:lang w:val="en-US" w:eastAsia="zh-CN"/>
        </w:rPr>
        <w:t xml:space="preserve">, Chachu KA, Vajravelu RK, Vaughn BP, Ni J, Osterman MT, Cheifetz AS. Improved Long-term Outcomes of Patients With Inflammatory Bowel Disease Receiving Proactive Compared With Reactive Monitoring of Serum Concentrations of Infliximab.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15</w:t>
      </w:r>
      <w:r w:rsidRPr="00CE02BD">
        <w:rPr>
          <w:rFonts w:ascii="Book Antiqua" w:eastAsia="宋体" w:hAnsi="Book Antiqua" w:cs="宋体"/>
          <w:sz w:val="24"/>
          <w:szCs w:val="24"/>
          <w:lang w:val="en-US" w:eastAsia="zh-CN"/>
        </w:rPr>
        <w:t>: 1580-1588.e3 [PMID: 28365486 DOI: 10.1016/j.cgh.2017.03.031]</w:t>
      </w:r>
    </w:p>
    <w:p w14:paraId="6ABD23E7" w14:textId="16DE44B1"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66 </w:t>
      </w:r>
      <w:r w:rsidRPr="00CE02BD">
        <w:rPr>
          <w:rFonts w:ascii="Book Antiqua" w:eastAsia="宋体" w:hAnsi="Book Antiqua" w:cs="宋体"/>
          <w:b/>
          <w:bCs/>
          <w:sz w:val="24"/>
          <w:szCs w:val="24"/>
          <w:lang w:val="en-US" w:eastAsia="zh-CN"/>
        </w:rPr>
        <w:t>Fernandes SR,</w:t>
      </w:r>
      <w:r w:rsidRPr="00CE02BD">
        <w:rPr>
          <w:rFonts w:ascii="Book Antiqua" w:eastAsia="宋体" w:hAnsi="Book Antiqua" w:cs="宋体"/>
          <w:sz w:val="24"/>
          <w:szCs w:val="24"/>
          <w:lang w:val="en-US" w:eastAsia="zh-CN"/>
        </w:rPr>
        <w:t xml:space="preserve"> Bernardo S, Simões C, Correia L, Santos PM, Gonçalves AR, Valente A, Baldaia C, Tato Marinho R. DOP59 Proactive infliximab drug monitoring is superior to conventional management in inflammatory bowel disease.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13</w:t>
      </w:r>
      <w:r w:rsidR="00F1323F" w:rsidRPr="00CE02BD">
        <w:rPr>
          <w:rFonts w:ascii="Book Antiqua" w:eastAsia="宋体" w:hAnsi="Book Antiqua" w:cs="宋体"/>
          <w:sz w:val="24"/>
          <w:szCs w:val="24"/>
          <w:lang w:val="en-US" w:eastAsia="zh-CN"/>
        </w:rPr>
        <w:t xml:space="preserve"> Suppl 1:</w:t>
      </w:r>
      <w:r w:rsidRPr="00CE02BD">
        <w:rPr>
          <w:rFonts w:ascii="Book Antiqua" w:eastAsia="宋体" w:hAnsi="Book Antiqua" w:cs="宋体"/>
          <w:sz w:val="24"/>
          <w:szCs w:val="24"/>
          <w:lang w:val="en-US" w:eastAsia="zh-CN"/>
        </w:rPr>
        <w:t xml:space="preserve"> S064–S065 [DOI: 10.1093/ecco-jcc/jjy222.093]</w:t>
      </w:r>
    </w:p>
    <w:p w14:paraId="75173B7E"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67 </w:t>
      </w:r>
      <w:r w:rsidRPr="00CE02BD">
        <w:rPr>
          <w:rFonts w:ascii="Book Antiqua" w:eastAsia="宋体" w:hAnsi="Book Antiqua" w:cs="宋体"/>
          <w:b/>
          <w:bCs/>
          <w:sz w:val="24"/>
          <w:szCs w:val="24"/>
          <w:lang w:val="en-US" w:eastAsia="zh-CN"/>
        </w:rPr>
        <w:t>Papamichael K</w:t>
      </w:r>
      <w:r w:rsidRPr="00CE02BD">
        <w:rPr>
          <w:rFonts w:ascii="Book Antiqua" w:eastAsia="宋体" w:hAnsi="Book Antiqua" w:cs="宋体"/>
          <w:sz w:val="24"/>
          <w:szCs w:val="24"/>
          <w:lang w:val="en-US" w:eastAsia="zh-CN"/>
        </w:rPr>
        <w:t xml:space="preserve">, Vande Casteele N, Gils A, Tops S, Hauenstein S, Singh S, Princen F, Van Assche G, Rutgeerts P, Vermeire S, Ferrante M. Long-term outcome of patients with Crohn's disease who discontinued infliximab therapy upon clinical remission.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13</w:t>
      </w:r>
      <w:r w:rsidRPr="00CE02BD">
        <w:rPr>
          <w:rFonts w:ascii="Book Antiqua" w:eastAsia="宋体" w:hAnsi="Book Antiqua" w:cs="宋体"/>
          <w:sz w:val="24"/>
          <w:szCs w:val="24"/>
          <w:lang w:val="en-US" w:eastAsia="zh-CN"/>
        </w:rPr>
        <w:t>: 1103-1110 [PMID: 25478919 DOI: 10.1016/j.cgh.2014.11.026]</w:t>
      </w:r>
    </w:p>
    <w:p w14:paraId="1752442A"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68 </w:t>
      </w:r>
      <w:r w:rsidRPr="00CE02BD">
        <w:rPr>
          <w:rFonts w:ascii="Book Antiqua" w:eastAsia="宋体" w:hAnsi="Book Antiqua" w:cs="宋体"/>
          <w:b/>
          <w:bCs/>
          <w:sz w:val="24"/>
          <w:szCs w:val="24"/>
          <w:lang w:val="en-US" w:eastAsia="zh-CN"/>
        </w:rPr>
        <w:t>Bryant RV</w:t>
      </w:r>
      <w:r w:rsidRPr="00CE02BD">
        <w:rPr>
          <w:rFonts w:ascii="Book Antiqua" w:eastAsia="宋体" w:hAnsi="Book Antiqua" w:cs="宋体"/>
          <w:sz w:val="24"/>
          <w:szCs w:val="24"/>
          <w:lang w:val="en-US" w:eastAsia="zh-CN"/>
        </w:rPr>
        <w:t>, Burger DC, Delo J, Walsh AJ, Thomas S, von Herbay A, Buchel OC, White L, Brain O, Keshav S, Warren BF, Travis SP. Beyond endoscopic mucosal healing in UC: histological remission better predicts corticosteroid use and hospitalisation over 6</w:t>
      </w:r>
      <w:r w:rsidRPr="00CE02BD">
        <w:rPr>
          <w:rFonts w:ascii="Times New Roman" w:eastAsia="宋体" w:hAnsi="Times New Roman" w:cs="Times New Roman"/>
          <w:sz w:val="24"/>
          <w:szCs w:val="24"/>
          <w:lang w:val="en-US" w:eastAsia="zh-CN"/>
        </w:rPr>
        <w:t> </w:t>
      </w:r>
      <w:r w:rsidRPr="00CE02BD">
        <w:rPr>
          <w:rFonts w:ascii="Book Antiqua" w:eastAsia="宋体" w:hAnsi="Book Antiqua" w:cs="宋体"/>
          <w:sz w:val="24"/>
          <w:szCs w:val="24"/>
          <w:lang w:val="en-US" w:eastAsia="zh-CN"/>
        </w:rPr>
        <w:t xml:space="preserve">years of follow-up.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65</w:t>
      </w:r>
      <w:r w:rsidRPr="00CE02BD">
        <w:rPr>
          <w:rFonts w:ascii="Book Antiqua" w:eastAsia="宋体" w:hAnsi="Book Antiqua" w:cs="宋体"/>
          <w:sz w:val="24"/>
          <w:szCs w:val="24"/>
          <w:lang w:val="en-US" w:eastAsia="zh-CN"/>
        </w:rPr>
        <w:t>: 408-414 [PMID: 25986946 DOI: 10.1136/gutjnl-2015-309598]</w:t>
      </w:r>
    </w:p>
    <w:p w14:paraId="4A0DCE9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69 </w:t>
      </w:r>
      <w:r w:rsidRPr="00CE02BD">
        <w:rPr>
          <w:rFonts w:ascii="Book Antiqua" w:eastAsia="宋体" w:hAnsi="Book Antiqua" w:cs="宋体"/>
          <w:b/>
          <w:bCs/>
          <w:sz w:val="24"/>
          <w:szCs w:val="24"/>
          <w:lang w:val="en-US" w:eastAsia="zh-CN"/>
        </w:rPr>
        <w:t>Christensen B</w:t>
      </w:r>
      <w:r w:rsidRPr="00CE02BD">
        <w:rPr>
          <w:rFonts w:ascii="Book Antiqua" w:eastAsia="宋体" w:hAnsi="Book Antiqua" w:cs="宋体"/>
          <w:sz w:val="24"/>
          <w:szCs w:val="24"/>
          <w:lang w:val="en-US" w:eastAsia="zh-CN"/>
        </w:rPr>
        <w:t xml:space="preserve">, Hanauer SB, Erlich J, Kassim O, Gibson PR, Turner JR, Hart J, Rubin DT. Histologic Normalization Occurs in Ulcerative Colitis and Is Associated With Improved Clinical Outcomes. </w:t>
      </w:r>
      <w:r w:rsidRPr="00CE02BD">
        <w:rPr>
          <w:rFonts w:ascii="Book Antiqua" w:eastAsia="宋体" w:hAnsi="Book Antiqua" w:cs="宋体"/>
          <w:i/>
          <w:iCs/>
          <w:sz w:val="24"/>
          <w:szCs w:val="24"/>
          <w:lang w:val="en-US" w:eastAsia="zh-CN"/>
        </w:rPr>
        <w:t>Clin Gastroenterol Hepatol</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15</w:t>
      </w:r>
      <w:r w:rsidRPr="00CE02BD">
        <w:rPr>
          <w:rFonts w:ascii="Book Antiqua" w:eastAsia="宋体" w:hAnsi="Book Antiqua" w:cs="宋体"/>
          <w:sz w:val="24"/>
          <w:szCs w:val="24"/>
          <w:lang w:val="en-US" w:eastAsia="zh-CN"/>
        </w:rPr>
        <w:t>: 1557-1564.e1 [PMID: 28238954 DOI: 10.1016/j.cgh.2017.02.016]</w:t>
      </w:r>
    </w:p>
    <w:p w14:paraId="0EBBF7DD"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70 </w:t>
      </w:r>
      <w:r w:rsidRPr="00CE02BD">
        <w:rPr>
          <w:rFonts w:ascii="Book Antiqua" w:eastAsia="宋体" w:hAnsi="Book Antiqua" w:cs="宋体"/>
          <w:b/>
          <w:bCs/>
          <w:sz w:val="24"/>
          <w:szCs w:val="24"/>
          <w:lang w:val="en-US" w:eastAsia="zh-CN"/>
        </w:rPr>
        <w:t>Park S</w:t>
      </w:r>
      <w:r w:rsidRPr="00CE02BD">
        <w:rPr>
          <w:rFonts w:ascii="Book Antiqua" w:eastAsia="宋体" w:hAnsi="Book Antiqua" w:cs="宋体"/>
          <w:sz w:val="24"/>
          <w:szCs w:val="24"/>
          <w:lang w:val="en-US" w:eastAsia="zh-CN"/>
        </w:rPr>
        <w:t xml:space="preserve">, Abdi T, Gentry M, Laine L. Histological Disease Activity as a Predictor of Clinical Relapse </w:t>
      </w:r>
      <w:proofErr w:type="gramStart"/>
      <w:r w:rsidRPr="00CE02BD">
        <w:rPr>
          <w:rFonts w:ascii="Book Antiqua" w:eastAsia="宋体" w:hAnsi="Book Antiqua" w:cs="宋体"/>
          <w:sz w:val="24"/>
          <w:szCs w:val="24"/>
          <w:lang w:val="en-US" w:eastAsia="zh-CN"/>
        </w:rPr>
        <w:t>Among</w:t>
      </w:r>
      <w:proofErr w:type="gramEnd"/>
      <w:r w:rsidRPr="00CE02BD">
        <w:rPr>
          <w:rFonts w:ascii="Book Antiqua" w:eastAsia="宋体" w:hAnsi="Book Antiqua" w:cs="宋体"/>
          <w:sz w:val="24"/>
          <w:szCs w:val="24"/>
          <w:lang w:val="en-US" w:eastAsia="zh-CN"/>
        </w:rPr>
        <w:t xml:space="preserve"> Patients With Ulcerative Colitis: Systematic Review and Meta-Analysis. </w:t>
      </w:r>
      <w:r w:rsidRPr="00CE02BD">
        <w:rPr>
          <w:rFonts w:ascii="Book Antiqua" w:eastAsia="宋体" w:hAnsi="Book Antiqua" w:cs="宋体"/>
          <w:i/>
          <w:iCs/>
          <w:sz w:val="24"/>
          <w:szCs w:val="24"/>
          <w:lang w:val="en-US" w:eastAsia="zh-CN"/>
        </w:rPr>
        <w:t>Am J Gastroenterol</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111</w:t>
      </w:r>
      <w:r w:rsidRPr="00CE02BD">
        <w:rPr>
          <w:rFonts w:ascii="Book Antiqua" w:eastAsia="宋体" w:hAnsi="Book Antiqua" w:cs="宋体"/>
          <w:sz w:val="24"/>
          <w:szCs w:val="24"/>
          <w:lang w:val="en-US" w:eastAsia="zh-CN"/>
        </w:rPr>
        <w:t>: 1692-1701 [PMID: 27725645 DOI: 10.1038/ajg.2016.418]</w:t>
      </w:r>
    </w:p>
    <w:p w14:paraId="5C208DC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71 </w:t>
      </w:r>
      <w:r w:rsidRPr="00CE02BD">
        <w:rPr>
          <w:rFonts w:ascii="Book Antiqua" w:eastAsia="宋体" w:hAnsi="Book Antiqua" w:cs="宋体"/>
          <w:b/>
          <w:bCs/>
          <w:sz w:val="24"/>
          <w:szCs w:val="24"/>
          <w:lang w:val="en-US" w:eastAsia="zh-CN"/>
        </w:rPr>
        <w:t>Magro F</w:t>
      </w:r>
      <w:r w:rsidRPr="00CE02BD">
        <w:rPr>
          <w:rFonts w:ascii="Book Antiqua" w:eastAsia="宋体" w:hAnsi="Book Antiqua" w:cs="宋体"/>
          <w:sz w:val="24"/>
          <w:szCs w:val="24"/>
          <w:lang w:val="en-US" w:eastAsia="zh-CN"/>
        </w:rPr>
        <w:t xml:space="preserve">, Lopes J, Borralho P, Lopes S, Coelho R, Cotter J, Castro FD, Sousa HT, Salgado M, Andrade P, Vieira AI, Figueiredo P, Caldeira P, Sousa A, Duarte MA, </w:t>
      </w:r>
      <w:r w:rsidRPr="00CE02BD">
        <w:rPr>
          <w:rFonts w:ascii="Book Antiqua" w:eastAsia="宋体" w:hAnsi="Book Antiqua" w:cs="宋体"/>
          <w:sz w:val="24"/>
          <w:szCs w:val="24"/>
          <w:lang w:val="en-US" w:eastAsia="zh-CN"/>
        </w:rPr>
        <w:lastRenderedPageBreak/>
        <w:t xml:space="preserve">Ávila F, Silva J, Moleiro J, Mendes S, Giestas S, Ministro P, Sousa P, Gonçalves R, Gonçalves B, Oliveira A, Rosa I, Rodrigues M, Chagas C, Dias CC, Afonso J, Geboes K, Carneiro F; Portuguese IBD Study Group (GEDII). Comparison of different histological indexes in the assessment of UC activity and their accuracy regarding endoscopic outcomes and faecal calprotectin levels.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68</w:t>
      </w:r>
      <w:r w:rsidRPr="00CE02BD">
        <w:rPr>
          <w:rFonts w:ascii="Book Antiqua" w:eastAsia="宋体" w:hAnsi="Book Antiqua" w:cs="宋体"/>
          <w:sz w:val="24"/>
          <w:szCs w:val="24"/>
          <w:lang w:val="en-US" w:eastAsia="zh-CN"/>
        </w:rPr>
        <w:t>: 594-603 [PMID: 29437913 DOI: 10.1136/gutjnl-2017-315545]</w:t>
      </w:r>
    </w:p>
    <w:p w14:paraId="67ED24B3"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72 </w:t>
      </w:r>
      <w:r w:rsidRPr="00CE02BD">
        <w:rPr>
          <w:rFonts w:ascii="Book Antiqua" w:eastAsia="宋体" w:hAnsi="Book Antiqua" w:cs="宋体"/>
          <w:b/>
          <w:bCs/>
          <w:sz w:val="24"/>
          <w:szCs w:val="24"/>
          <w:lang w:val="en-US" w:eastAsia="zh-CN"/>
        </w:rPr>
        <w:t>Panés J</w:t>
      </w:r>
      <w:r w:rsidRPr="00CE02BD">
        <w:rPr>
          <w:rFonts w:ascii="Book Antiqua" w:eastAsia="宋体" w:hAnsi="Book Antiqua" w:cs="宋体"/>
          <w:sz w:val="24"/>
          <w:szCs w:val="24"/>
          <w:lang w:val="en-US" w:eastAsia="zh-CN"/>
        </w:rPr>
        <w:t xml:space="preserve">, Bouzas R, Chaparro M, García-Sánchez V, Gisbert JP, Martínez de Guereñu B, Mendoza JL, Paredes JM, Quiroga S, Ripollés T, Rimola J. Systematic review: the use of ultrasonography, computed tomography and magnetic resonance imaging for the diagnosis, assessment of activity and abdominal complications of Crohn's disease.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2011; </w:t>
      </w:r>
      <w:r w:rsidRPr="00CE02BD">
        <w:rPr>
          <w:rFonts w:ascii="Book Antiqua" w:eastAsia="宋体" w:hAnsi="Book Antiqua" w:cs="宋体"/>
          <w:b/>
          <w:bCs/>
          <w:sz w:val="24"/>
          <w:szCs w:val="24"/>
          <w:lang w:val="en-US" w:eastAsia="zh-CN"/>
        </w:rPr>
        <w:t>34</w:t>
      </w:r>
      <w:r w:rsidRPr="00CE02BD">
        <w:rPr>
          <w:rFonts w:ascii="Book Antiqua" w:eastAsia="宋体" w:hAnsi="Book Antiqua" w:cs="宋体"/>
          <w:sz w:val="24"/>
          <w:szCs w:val="24"/>
          <w:lang w:val="en-US" w:eastAsia="zh-CN"/>
        </w:rPr>
        <w:t>: 125-145 [PMID: 21615440 DOI: 10.1111/j.1365-2036.2011.04710.x]</w:t>
      </w:r>
    </w:p>
    <w:p w14:paraId="0FA5D374"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73 </w:t>
      </w:r>
      <w:r w:rsidRPr="00CE02BD">
        <w:rPr>
          <w:rFonts w:ascii="Book Antiqua" w:eastAsia="宋体" w:hAnsi="Book Antiqua" w:cs="宋体"/>
          <w:b/>
          <w:bCs/>
          <w:sz w:val="24"/>
          <w:szCs w:val="24"/>
          <w:lang w:val="en-US" w:eastAsia="zh-CN"/>
        </w:rPr>
        <w:t>Deepak P</w:t>
      </w:r>
      <w:r w:rsidRPr="00CE02BD">
        <w:rPr>
          <w:rFonts w:ascii="Book Antiqua" w:eastAsia="宋体" w:hAnsi="Book Antiqua" w:cs="宋体"/>
          <w:sz w:val="24"/>
          <w:szCs w:val="24"/>
          <w:lang w:val="en-US" w:eastAsia="zh-CN"/>
        </w:rPr>
        <w:t xml:space="preserve">, Fletcher JG, Fidler JL, Barlow JM, Sheedy SP, Kolbe AB, Harmsen WS, Loftus EV, Hansel SL, Becker BD, Bruining DH. Radiological Response Is Associated With Better Long-Term Outcomes and Is a Potential Treatment Target in Patients With Small Bowel Crohn's Disease. </w:t>
      </w:r>
      <w:r w:rsidRPr="00CE02BD">
        <w:rPr>
          <w:rFonts w:ascii="Book Antiqua" w:eastAsia="宋体" w:hAnsi="Book Antiqua" w:cs="宋体"/>
          <w:i/>
          <w:iCs/>
          <w:sz w:val="24"/>
          <w:szCs w:val="24"/>
          <w:lang w:val="en-US" w:eastAsia="zh-CN"/>
        </w:rPr>
        <w:t>Am J Gastroenterol</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111</w:t>
      </w:r>
      <w:r w:rsidRPr="00CE02BD">
        <w:rPr>
          <w:rFonts w:ascii="Book Antiqua" w:eastAsia="宋体" w:hAnsi="Book Antiqua" w:cs="宋体"/>
          <w:sz w:val="24"/>
          <w:szCs w:val="24"/>
          <w:lang w:val="en-US" w:eastAsia="zh-CN"/>
        </w:rPr>
        <w:t>: 997-1006 [PMID: 27166131 DOI: 10.1038/ajg.2016.177]</w:t>
      </w:r>
    </w:p>
    <w:p w14:paraId="67ADB63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74 </w:t>
      </w:r>
      <w:r w:rsidRPr="00CE02BD">
        <w:rPr>
          <w:rFonts w:ascii="Book Antiqua" w:eastAsia="宋体" w:hAnsi="Book Antiqua" w:cs="宋体"/>
          <w:b/>
          <w:bCs/>
          <w:sz w:val="24"/>
          <w:szCs w:val="24"/>
          <w:lang w:val="en-US" w:eastAsia="zh-CN"/>
        </w:rPr>
        <w:t>Fernandes SR</w:t>
      </w:r>
      <w:r w:rsidRPr="00CE02BD">
        <w:rPr>
          <w:rFonts w:ascii="Book Antiqua" w:eastAsia="宋体" w:hAnsi="Book Antiqua" w:cs="宋体"/>
          <w:sz w:val="24"/>
          <w:szCs w:val="24"/>
          <w:lang w:val="en-US" w:eastAsia="zh-CN"/>
        </w:rPr>
        <w:t xml:space="preserve">, Rodrigues RV, Bernardo S, Cortez-Pinto J, Rosa I, da Silva JP, Gonçalves AR, Valente A, Baldaia C, Santos PM, Correia L, Venâncio J, Campos P, Pereira AD, Velosa J. Transmural Healing Is Associated with Improved Long-term Outcomes of Patients with Crohn's Disease.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23</w:t>
      </w:r>
      <w:r w:rsidRPr="00CE02BD">
        <w:rPr>
          <w:rFonts w:ascii="Book Antiqua" w:eastAsia="宋体" w:hAnsi="Book Antiqua" w:cs="宋体"/>
          <w:sz w:val="24"/>
          <w:szCs w:val="24"/>
          <w:lang w:val="en-US" w:eastAsia="zh-CN"/>
        </w:rPr>
        <w:t>: 1403-1409 [PMID: 28498158 DOI: 10.1097/MIB.0000000000001143]</w:t>
      </w:r>
    </w:p>
    <w:p w14:paraId="0E357611"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75 </w:t>
      </w:r>
      <w:r w:rsidRPr="00CE02BD">
        <w:rPr>
          <w:rFonts w:ascii="Book Antiqua" w:eastAsia="宋体" w:hAnsi="Book Antiqua" w:cs="宋体"/>
          <w:b/>
          <w:bCs/>
          <w:sz w:val="24"/>
          <w:szCs w:val="24"/>
          <w:lang w:val="en-US" w:eastAsia="zh-CN"/>
        </w:rPr>
        <w:t>Ilias A</w:t>
      </w:r>
      <w:r w:rsidRPr="00CE02BD">
        <w:rPr>
          <w:rFonts w:ascii="Book Antiqua" w:eastAsia="宋体" w:hAnsi="Book Antiqua" w:cs="宋体"/>
          <w:sz w:val="24"/>
          <w:szCs w:val="24"/>
          <w:lang w:val="en-US" w:eastAsia="zh-CN"/>
        </w:rPr>
        <w:t xml:space="preserve">, Lovasz BD, Gonczi L, Kurti Z, Vegh Z, Sumegi LD, Golovics PA, Rudas G, Lakatos PL. Optimizing Patient Management in Crohn's Disease in a Tertiary Referral Center: the Impact of Fast-Track MRI on Patient Management and Outcomes. </w:t>
      </w:r>
      <w:r w:rsidRPr="00CE02BD">
        <w:rPr>
          <w:rFonts w:ascii="Book Antiqua" w:eastAsia="宋体" w:hAnsi="Book Antiqua" w:cs="宋体"/>
          <w:i/>
          <w:iCs/>
          <w:sz w:val="24"/>
          <w:szCs w:val="24"/>
          <w:lang w:val="en-US" w:eastAsia="zh-CN"/>
        </w:rPr>
        <w:t>J Gastrointestin Liver Dis</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27</w:t>
      </w:r>
      <w:r w:rsidRPr="00CE02BD">
        <w:rPr>
          <w:rFonts w:ascii="Book Antiqua" w:eastAsia="宋体" w:hAnsi="Book Antiqua" w:cs="宋体"/>
          <w:sz w:val="24"/>
          <w:szCs w:val="24"/>
          <w:lang w:val="en-US" w:eastAsia="zh-CN"/>
        </w:rPr>
        <w:t>: 391-397 [PMID: 30574621 DOI: 10.15403/jgld.2014.1121.274.ocm]</w:t>
      </w:r>
    </w:p>
    <w:p w14:paraId="33FF223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76 </w:t>
      </w:r>
      <w:r w:rsidRPr="00CE02BD">
        <w:rPr>
          <w:rFonts w:ascii="Book Antiqua" w:eastAsia="宋体" w:hAnsi="Book Antiqua" w:cs="宋体"/>
          <w:b/>
          <w:bCs/>
          <w:sz w:val="24"/>
          <w:szCs w:val="24"/>
          <w:lang w:val="en-US" w:eastAsia="zh-CN"/>
        </w:rPr>
        <w:t>Bots S</w:t>
      </w:r>
      <w:r w:rsidRPr="00CE02BD">
        <w:rPr>
          <w:rFonts w:ascii="Book Antiqua" w:eastAsia="宋体" w:hAnsi="Book Antiqua" w:cs="宋体"/>
          <w:sz w:val="24"/>
          <w:szCs w:val="24"/>
          <w:lang w:val="en-US" w:eastAsia="zh-CN"/>
        </w:rPr>
        <w:t xml:space="preserve">, Nylund K, Löwenberg M, Gecse K, Gilja OH, D'Haens G. Ultrasound for Assessing Disease Activity in IBD Patients: A Systematic Review of Activity Scores.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12</w:t>
      </w:r>
      <w:r w:rsidRPr="00CE02BD">
        <w:rPr>
          <w:rFonts w:ascii="Book Antiqua" w:eastAsia="宋体" w:hAnsi="Book Antiqua" w:cs="宋体"/>
          <w:sz w:val="24"/>
          <w:szCs w:val="24"/>
          <w:lang w:val="en-US" w:eastAsia="zh-CN"/>
        </w:rPr>
        <w:t>: 920-929 [PMID: 29684200 DOI: 10.1093/ecco-jcc/jjy048]</w:t>
      </w:r>
    </w:p>
    <w:p w14:paraId="5DD0B973"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77 </w:t>
      </w:r>
      <w:r w:rsidRPr="00CE02BD">
        <w:rPr>
          <w:rFonts w:ascii="Book Antiqua" w:eastAsia="宋体" w:hAnsi="Book Antiqua" w:cs="宋体"/>
          <w:b/>
          <w:bCs/>
          <w:sz w:val="24"/>
          <w:szCs w:val="24"/>
          <w:lang w:val="en-US" w:eastAsia="zh-CN"/>
        </w:rPr>
        <w:t>Laurent V</w:t>
      </w:r>
      <w:r w:rsidRPr="00CE02BD">
        <w:rPr>
          <w:rFonts w:ascii="Book Antiqua" w:eastAsia="宋体" w:hAnsi="Book Antiqua" w:cs="宋体"/>
          <w:sz w:val="24"/>
          <w:szCs w:val="24"/>
          <w:lang w:val="en-US" w:eastAsia="zh-CN"/>
        </w:rPr>
        <w:t xml:space="preserve">, Naudé S, Vuitton L, Zallot C, Baumann C, Girard-Gavanier M, Peyrin-Biroulet L. Accuracy of Diffusion-weighted Magnetic Resonance Colonography in Assessing Mucosal Healing and the Treatment Response in Patients with Ulcerative Colitis.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11</w:t>
      </w:r>
      <w:r w:rsidRPr="00CE02BD">
        <w:rPr>
          <w:rFonts w:ascii="Book Antiqua" w:eastAsia="宋体" w:hAnsi="Book Antiqua" w:cs="宋体"/>
          <w:sz w:val="24"/>
          <w:szCs w:val="24"/>
          <w:lang w:val="en-US" w:eastAsia="zh-CN"/>
        </w:rPr>
        <w:t>: 716-723 [PMID: 27932450 DOI: 10.1093/ecco-jcc/jjw211]</w:t>
      </w:r>
    </w:p>
    <w:p w14:paraId="2B675B54" w14:textId="5D6FB800"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78 </w:t>
      </w:r>
      <w:r w:rsidRPr="00CE02BD">
        <w:rPr>
          <w:rFonts w:ascii="Book Antiqua" w:eastAsia="宋体" w:hAnsi="Book Antiqua" w:cs="宋体"/>
          <w:b/>
          <w:bCs/>
          <w:sz w:val="24"/>
          <w:szCs w:val="24"/>
          <w:lang w:val="en-US" w:eastAsia="zh-CN"/>
        </w:rPr>
        <w:t>Louis E</w:t>
      </w:r>
      <w:r w:rsidRPr="00CE02BD">
        <w:rPr>
          <w:rFonts w:ascii="Book Antiqua" w:eastAsia="宋体" w:hAnsi="Book Antiqua" w:cs="宋体"/>
          <w:sz w:val="24"/>
          <w:szCs w:val="24"/>
          <w:lang w:val="en-US" w:eastAsia="zh-CN"/>
        </w:rPr>
        <w:t xml:space="preserve">, Mary JY, Vernier-Massouille G, Grimaud JC, Bouhnik Y, Laharie D, Dupas JL, Pillant H, Picon L, Veyrac M, Flamant M, Savoye G, Jian R, Devos M, Porcher R, Paintaud G, Piver E, Colombel JF, Lemann M; Groupe D'etudes Thérapeutiques Des Affections Inflammatoires Digestives. Maintenance of remission among patients with Crohn's disease on antimetabolite therapy after infliximab therapy is stopped. </w:t>
      </w:r>
      <w:r w:rsidRPr="00CE02BD">
        <w:rPr>
          <w:rFonts w:ascii="Book Antiqua" w:eastAsia="宋体" w:hAnsi="Book Antiqua" w:cs="宋体"/>
          <w:i/>
          <w:iCs/>
          <w:sz w:val="24"/>
          <w:szCs w:val="24"/>
          <w:lang w:val="en-US" w:eastAsia="zh-CN"/>
        </w:rPr>
        <w:t>Gastroenterology</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142</w:t>
      </w:r>
      <w:r w:rsidRPr="00CE02BD">
        <w:rPr>
          <w:rFonts w:ascii="Book Antiqua" w:eastAsia="宋体" w:hAnsi="Book Antiqua" w:cs="宋体"/>
          <w:sz w:val="24"/>
          <w:szCs w:val="24"/>
          <w:lang w:val="en-US" w:eastAsia="zh-CN"/>
        </w:rPr>
        <w:t>: 63-70.e5 [PMID: 21945953 DOI: 10.1053/j.gastro.2011.09.034]</w:t>
      </w:r>
    </w:p>
    <w:p w14:paraId="3727643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79 </w:t>
      </w:r>
      <w:r w:rsidRPr="00CE02BD">
        <w:rPr>
          <w:rFonts w:ascii="Book Antiqua" w:eastAsia="宋体" w:hAnsi="Book Antiqua" w:cs="宋体"/>
          <w:b/>
          <w:bCs/>
          <w:sz w:val="24"/>
          <w:szCs w:val="24"/>
          <w:lang w:val="en-US" w:eastAsia="zh-CN"/>
        </w:rPr>
        <w:t>Bryant RV</w:t>
      </w:r>
      <w:r w:rsidRPr="00CE02BD">
        <w:rPr>
          <w:rFonts w:ascii="Book Antiqua" w:eastAsia="宋体" w:hAnsi="Book Antiqua" w:cs="宋体"/>
          <w:sz w:val="24"/>
          <w:szCs w:val="24"/>
          <w:lang w:val="en-US" w:eastAsia="zh-CN"/>
        </w:rPr>
        <w:t xml:space="preserve">, Costello SP, Schoeman S, Sathananthan D, Knight E, Lau SY, Schoeman MN, Mountifield R, Tee D, Travis SPL, Andrews JM. Limited uptake of ulcerative colitis "treat-to-target" recommendations in real-world practice. </w:t>
      </w:r>
      <w:r w:rsidRPr="00CE02BD">
        <w:rPr>
          <w:rFonts w:ascii="Book Antiqua" w:eastAsia="宋体" w:hAnsi="Book Antiqua" w:cs="宋体"/>
          <w:i/>
          <w:iCs/>
          <w:sz w:val="24"/>
          <w:szCs w:val="24"/>
          <w:lang w:val="en-US" w:eastAsia="zh-CN"/>
        </w:rPr>
        <w:t>J Gastroenterol Hepatol</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33</w:t>
      </w:r>
      <w:r w:rsidRPr="00CE02BD">
        <w:rPr>
          <w:rFonts w:ascii="Book Antiqua" w:eastAsia="宋体" w:hAnsi="Book Antiqua" w:cs="宋体"/>
          <w:sz w:val="24"/>
          <w:szCs w:val="24"/>
          <w:lang w:val="en-US" w:eastAsia="zh-CN"/>
        </w:rPr>
        <w:t>: 599-607 [PMID: 28806471 DOI: 10.1111/jgh.13923]</w:t>
      </w:r>
    </w:p>
    <w:p w14:paraId="7D3D068B"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80 </w:t>
      </w:r>
      <w:r w:rsidRPr="00CE02BD">
        <w:rPr>
          <w:rFonts w:ascii="Book Antiqua" w:eastAsia="宋体" w:hAnsi="Book Antiqua" w:cs="宋体"/>
          <w:b/>
          <w:bCs/>
          <w:sz w:val="24"/>
          <w:szCs w:val="24"/>
          <w:lang w:val="en-US" w:eastAsia="zh-CN"/>
        </w:rPr>
        <w:t>Römkens TE</w:t>
      </w:r>
      <w:r w:rsidRPr="00CE02BD">
        <w:rPr>
          <w:rFonts w:ascii="Book Antiqua" w:eastAsia="宋体" w:hAnsi="Book Antiqua" w:cs="宋体"/>
          <w:sz w:val="24"/>
          <w:szCs w:val="24"/>
          <w:lang w:val="en-US" w:eastAsia="zh-CN"/>
        </w:rPr>
        <w:t xml:space="preserve">, Gijsbers K, Kievit W, Hoentjen F, Drenth JP. Treatment Targets in Inflammatory Bowel Disease: Current Status in Daily Practice. </w:t>
      </w:r>
      <w:r w:rsidRPr="00CE02BD">
        <w:rPr>
          <w:rFonts w:ascii="Book Antiqua" w:eastAsia="宋体" w:hAnsi="Book Antiqua" w:cs="宋体"/>
          <w:i/>
          <w:iCs/>
          <w:sz w:val="24"/>
          <w:szCs w:val="24"/>
          <w:lang w:val="en-US" w:eastAsia="zh-CN"/>
        </w:rPr>
        <w:t>J Gastrointestin Liver Dis</w:t>
      </w:r>
      <w:r w:rsidRPr="00CE02BD">
        <w:rPr>
          <w:rFonts w:ascii="Book Antiqua" w:eastAsia="宋体" w:hAnsi="Book Antiqua" w:cs="宋体"/>
          <w:sz w:val="24"/>
          <w:szCs w:val="24"/>
          <w:lang w:val="en-US" w:eastAsia="zh-CN"/>
        </w:rPr>
        <w:t xml:space="preserve"> 2016; </w:t>
      </w:r>
      <w:r w:rsidRPr="00CE02BD">
        <w:rPr>
          <w:rFonts w:ascii="Book Antiqua" w:eastAsia="宋体" w:hAnsi="Book Antiqua" w:cs="宋体"/>
          <w:b/>
          <w:bCs/>
          <w:sz w:val="24"/>
          <w:szCs w:val="24"/>
          <w:lang w:val="en-US" w:eastAsia="zh-CN"/>
        </w:rPr>
        <w:t>25</w:t>
      </w:r>
      <w:r w:rsidRPr="00CE02BD">
        <w:rPr>
          <w:rFonts w:ascii="Book Antiqua" w:eastAsia="宋体" w:hAnsi="Book Antiqua" w:cs="宋体"/>
          <w:sz w:val="24"/>
          <w:szCs w:val="24"/>
          <w:lang w:val="en-US" w:eastAsia="zh-CN"/>
        </w:rPr>
        <w:t>: 465-471 [PMID: 27981302 DOI: 10.15403/jgld.2014.1121.254.ken]</w:t>
      </w:r>
    </w:p>
    <w:p w14:paraId="2930FDE8"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81 </w:t>
      </w:r>
      <w:r w:rsidRPr="00CE02BD">
        <w:rPr>
          <w:rFonts w:ascii="Book Antiqua" w:eastAsia="宋体" w:hAnsi="Book Antiqua" w:cs="宋体"/>
          <w:b/>
          <w:bCs/>
          <w:sz w:val="24"/>
          <w:szCs w:val="24"/>
          <w:lang w:val="en-US" w:eastAsia="zh-CN"/>
        </w:rPr>
        <w:t>Bitton A</w:t>
      </w:r>
      <w:r w:rsidRPr="00CE02BD">
        <w:rPr>
          <w:rFonts w:ascii="Book Antiqua" w:eastAsia="宋体" w:hAnsi="Book Antiqua" w:cs="宋体"/>
          <w:sz w:val="24"/>
          <w:szCs w:val="24"/>
          <w:lang w:val="en-US" w:eastAsia="zh-CN"/>
        </w:rPr>
        <w:t xml:space="preserve">, Vutcovici M, Lytvyak E, Kachan N, Bressler B, Jones J, Lakatos PL, Sewitch M, El-Matary W, Melmed G, Nguyen G; QI consensus group; Promoting Access and Care through Centers of Excellence-PACE program). Selection of Quality Indicators in IBD: Integrating Physician and Patient Perspectives.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25</w:t>
      </w:r>
      <w:r w:rsidRPr="00CE02BD">
        <w:rPr>
          <w:rFonts w:ascii="Book Antiqua" w:eastAsia="宋体" w:hAnsi="Book Antiqua" w:cs="宋体"/>
          <w:sz w:val="24"/>
          <w:szCs w:val="24"/>
          <w:lang w:val="en-US" w:eastAsia="zh-CN"/>
        </w:rPr>
        <w:t>: 403-409 [PMID: 30169582 DOI: 10.1093/ibd/izy259]</w:t>
      </w:r>
    </w:p>
    <w:p w14:paraId="5789670D"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82 </w:t>
      </w:r>
      <w:r w:rsidRPr="00CE02BD">
        <w:rPr>
          <w:rFonts w:ascii="Book Antiqua" w:eastAsia="宋体" w:hAnsi="Book Antiqua" w:cs="宋体"/>
          <w:b/>
          <w:bCs/>
          <w:sz w:val="24"/>
          <w:szCs w:val="24"/>
          <w:lang w:val="en-US" w:eastAsia="zh-CN"/>
        </w:rPr>
        <w:t>Fiorino G</w:t>
      </w:r>
      <w:r w:rsidRPr="00CE02BD">
        <w:rPr>
          <w:rFonts w:ascii="Book Antiqua" w:eastAsia="宋体" w:hAnsi="Book Antiqua" w:cs="宋体"/>
          <w:sz w:val="24"/>
          <w:szCs w:val="24"/>
          <w:lang w:val="en-US" w:eastAsia="zh-CN"/>
        </w:rPr>
        <w:t xml:space="preserve">, Allocca M, Chaparro M, Coenen S, Fidalgo C, Younge L, Gisbert JP. 'Quality of Care' Standards in Inflammatory Bowel Disease: A Systematic Review.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13</w:t>
      </w:r>
      <w:r w:rsidRPr="00CE02BD">
        <w:rPr>
          <w:rFonts w:ascii="Book Antiqua" w:eastAsia="宋体" w:hAnsi="Book Antiqua" w:cs="宋体"/>
          <w:sz w:val="24"/>
          <w:szCs w:val="24"/>
          <w:lang w:val="en-US" w:eastAsia="zh-CN"/>
        </w:rPr>
        <w:t>: 127-137 [PMID: 30423033 DOI: 10.1093/ecco-jcc/jjy140]</w:t>
      </w:r>
    </w:p>
    <w:p w14:paraId="4D433949"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83 </w:t>
      </w:r>
      <w:r w:rsidRPr="00CE02BD">
        <w:rPr>
          <w:rFonts w:ascii="Book Antiqua" w:eastAsia="宋体" w:hAnsi="Book Antiqua" w:cs="宋体"/>
          <w:b/>
          <w:bCs/>
          <w:sz w:val="24"/>
          <w:szCs w:val="24"/>
          <w:lang w:val="en-US" w:eastAsia="zh-CN"/>
        </w:rPr>
        <w:t>Reinglas J</w:t>
      </w:r>
      <w:r w:rsidRPr="00CE02BD">
        <w:rPr>
          <w:rFonts w:ascii="Book Antiqua" w:eastAsia="宋体" w:hAnsi="Book Antiqua" w:cs="宋体"/>
          <w:sz w:val="24"/>
          <w:szCs w:val="24"/>
          <w:lang w:val="en-US" w:eastAsia="zh-CN"/>
        </w:rPr>
        <w:t xml:space="preserve">, Restellini S, Gonczi L, Kurti Z, Verdon C, Nene S, Kohen R, Afif W, Bessissow T, Wild G, Seidman E, Bitton A, Lakatos PL. Harmonization of quality of care in an IBD center impacts disease outcomes: Importance of structure, process </w:t>
      </w:r>
      <w:r w:rsidRPr="00CE02BD">
        <w:rPr>
          <w:rFonts w:ascii="Book Antiqua" w:eastAsia="宋体" w:hAnsi="Book Antiqua" w:cs="宋体"/>
          <w:sz w:val="24"/>
          <w:szCs w:val="24"/>
          <w:lang w:val="en-US" w:eastAsia="zh-CN"/>
        </w:rPr>
        <w:lastRenderedPageBreak/>
        <w:t xml:space="preserve">indicators and rapid access clinic. </w:t>
      </w:r>
      <w:r w:rsidRPr="00CE02BD">
        <w:rPr>
          <w:rFonts w:ascii="Book Antiqua" w:eastAsia="宋体" w:hAnsi="Book Antiqua" w:cs="宋体"/>
          <w:i/>
          <w:iCs/>
          <w:sz w:val="24"/>
          <w:szCs w:val="24"/>
          <w:lang w:val="en-US" w:eastAsia="zh-CN"/>
        </w:rPr>
        <w:t>Dig Liver Dis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51</w:t>
      </w:r>
      <w:r w:rsidRPr="00CE02BD">
        <w:rPr>
          <w:rFonts w:ascii="Book Antiqua" w:eastAsia="宋体" w:hAnsi="Book Antiqua" w:cs="宋体"/>
          <w:sz w:val="24"/>
          <w:szCs w:val="24"/>
          <w:lang w:val="en-US" w:eastAsia="zh-CN"/>
        </w:rPr>
        <w:t>: 340-345 [PMID: 30591367 DOI: 10.1016/j.dld.2018.11.013]</w:t>
      </w:r>
    </w:p>
    <w:p w14:paraId="26F97E03"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84 </w:t>
      </w:r>
      <w:r w:rsidRPr="00CE02BD">
        <w:rPr>
          <w:rFonts w:ascii="Book Antiqua" w:eastAsia="宋体" w:hAnsi="Book Antiqua" w:cs="宋体"/>
          <w:b/>
          <w:bCs/>
          <w:sz w:val="24"/>
          <w:szCs w:val="24"/>
          <w:lang w:val="en-US" w:eastAsia="zh-CN"/>
        </w:rPr>
        <w:t>Gonczi L</w:t>
      </w:r>
      <w:r w:rsidRPr="00CE02BD">
        <w:rPr>
          <w:rFonts w:ascii="Book Antiqua" w:eastAsia="宋体" w:hAnsi="Book Antiqua" w:cs="宋体"/>
          <w:sz w:val="24"/>
          <w:szCs w:val="24"/>
          <w:lang w:val="en-US" w:eastAsia="zh-CN"/>
        </w:rPr>
        <w:t xml:space="preserve">, Gecse KB, Vegh Z, Kurti Z, Rutka M, Farkas K, Golovics PA, Lovasz BD, Banai J, Bene L, Gasztonyi B, Kristof T, Lakatos L, Miheller P, Nagy F, Palatka K, Papp M, Patai A, Salamon A, Szamosi T, Szepes Z, Toth GT, Vincze A, Szalay B, Molnar T, Lakatos PL. Long-term Efficacy, Safety, and Immunogenicity of Biosimilar Infliximab After One Year in a Prospective Nationwide Cohort.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2017; </w:t>
      </w:r>
      <w:r w:rsidRPr="00CE02BD">
        <w:rPr>
          <w:rFonts w:ascii="Book Antiqua" w:eastAsia="宋体" w:hAnsi="Book Antiqua" w:cs="宋体"/>
          <w:b/>
          <w:bCs/>
          <w:sz w:val="24"/>
          <w:szCs w:val="24"/>
          <w:lang w:val="en-US" w:eastAsia="zh-CN"/>
        </w:rPr>
        <w:t>23</w:t>
      </w:r>
      <w:r w:rsidRPr="00CE02BD">
        <w:rPr>
          <w:rFonts w:ascii="Book Antiqua" w:eastAsia="宋体" w:hAnsi="Book Antiqua" w:cs="宋体"/>
          <w:sz w:val="24"/>
          <w:szCs w:val="24"/>
          <w:lang w:val="en-US" w:eastAsia="zh-CN"/>
        </w:rPr>
        <w:t>: 1908-1915 [PMID: 28922253 DOI: 10.1097/MIB.0000000000001237]</w:t>
      </w:r>
    </w:p>
    <w:p w14:paraId="4C64006C"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85 </w:t>
      </w:r>
      <w:r w:rsidRPr="00CE02BD">
        <w:rPr>
          <w:rFonts w:ascii="Book Antiqua" w:eastAsia="宋体" w:hAnsi="Book Antiqua" w:cs="宋体"/>
          <w:b/>
          <w:bCs/>
          <w:sz w:val="24"/>
          <w:szCs w:val="24"/>
          <w:lang w:val="en-US" w:eastAsia="zh-CN"/>
        </w:rPr>
        <w:t>Gonczi L</w:t>
      </w:r>
      <w:r w:rsidRPr="00CE02BD">
        <w:rPr>
          <w:rFonts w:ascii="Book Antiqua" w:eastAsia="宋体" w:hAnsi="Book Antiqua" w:cs="宋体"/>
          <w:sz w:val="24"/>
          <w:szCs w:val="24"/>
          <w:lang w:val="en-US" w:eastAsia="zh-CN"/>
        </w:rPr>
        <w:t xml:space="preserve">, Kurti Z, Verdon C, Reinglas J, Kohen R, Morin I, Chavez K, Bessissow T, Afif W, Wild G, Seidman E, Bitton A, Lakatos PL. Perceived Quality of Care is Associated with Disease Activity, Quality of Life, Work Productivity, and Gender, but not Disease Phenotype: A Prospective Study in a High-volume IBD Centre.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13</w:t>
      </w:r>
      <w:r w:rsidRPr="00CE02BD">
        <w:rPr>
          <w:rFonts w:ascii="Book Antiqua" w:eastAsia="宋体" w:hAnsi="Book Antiqua" w:cs="宋体"/>
          <w:sz w:val="24"/>
          <w:szCs w:val="24"/>
          <w:lang w:val="en-US" w:eastAsia="zh-CN"/>
        </w:rPr>
        <w:t>: 1138-1147 [PMID: 30793162 DOI: 10.1093/ecco-jcc/jjz035]</w:t>
      </w:r>
    </w:p>
    <w:p w14:paraId="33710614" w14:textId="1B6B9DA0"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86 </w:t>
      </w:r>
      <w:r w:rsidRPr="00CE02BD">
        <w:rPr>
          <w:rFonts w:ascii="Book Antiqua" w:eastAsia="宋体" w:hAnsi="Book Antiqua" w:cs="宋体"/>
          <w:b/>
          <w:bCs/>
          <w:sz w:val="24"/>
          <w:szCs w:val="24"/>
          <w:lang w:val="en-US" w:eastAsia="zh-CN"/>
        </w:rPr>
        <w:t>Reinglas J,</w:t>
      </w:r>
      <w:r w:rsidRPr="00CE02BD">
        <w:rPr>
          <w:rFonts w:ascii="Book Antiqua" w:eastAsia="宋体" w:hAnsi="Book Antiqua" w:cs="宋体"/>
          <w:sz w:val="24"/>
          <w:szCs w:val="24"/>
          <w:lang w:val="en-US" w:eastAsia="zh-CN"/>
        </w:rPr>
        <w:t xml:space="preserve"> Nene S, Gonczi L, </w:t>
      </w:r>
      <w:r w:rsidR="00DE1744" w:rsidRPr="00CE02BD">
        <w:rPr>
          <w:rFonts w:ascii="Book Antiqua" w:eastAsia="宋体" w:hAnsi="Book Antiqua" w:cs="宋体"/>
          <w:sz w:val="24"/>
          <w:szCs w:val="24"/>
          <w:lang w:val="en-US" w:eastAsia="zh-CN"/>
        </w:rPr>
        <w:t xml:space="preserve">Kurti Z, Restellini S, Kohen R, Afif W, Bessissow T, Wild G, Seidman E, Bitton A, Lakatos P. </w:t>
      </w:r>
      <w:r w:rsidRPr="00CE02BD">
        <w:rPr>
          <w:rFonts w:ascii="Book Antiqua" w:eastAsia="宋体" w:hAnsi="Book Antiqua" w:cs="宋体"/>
          <w:sz w:val="24"/>
          <w:szCs w:val="24"/>
          <w:lang w:val="en-US" w:eastAsia="zh-CN"/>
        </w:rPr>
        <w:t xml:space="preserve">P452 Impact of implementing a rapid access clinic in a high-volume inflammatory bowel disease centre: accessibility, resource utilisation and outcomes. </w:t>
      </w:r>
      <w:r w:rsidR="00A94B0C"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13</w:t>
      </w:r>
      <w:r w:rsidR="00811EB6" w:rsidRPr="00CE02BD">
        <w:rPr>
          <w:rFonts w:ascii="Book Antiqua" w:eastAsia="宋体" w:hAnsi="Book Antiqua" w:cs="宋体"/>
          <w:sz w:val="24"/>
          <w:szCs w:val="24"/>
          <w:lang w:val="en-US" w:eastAsia="zh-CN"/>
        </w:rPr>
        <w:t xml:space="preserve"> </w:t>
      </w:r>
      <w:r w:rsidRPr="00CE02BD">
        <w:rPr>
          <w:rFonts w:ascii="Book Antiqua" w:eastAsia="宋体" w:hAnsi="Book Antiqua" w:cs="宋体"/>
          <w:sz w:val="24"/>
          <w:szCs w:val="24"/>
          <w:lang w:val="en-US" w:eastAsia="zh-CN"/>
        </w:rPr>
        <w:t>Suppl1:</w:t>
      </w:r>
      <w:r w:rsidR="00811EB6" w:rsidRPr="00CE02BD">
        <w:rPr>
          <w:rFonts w:ascii="Book Antiqua" w:eastAsia="宋体" w:hAnsi="Book Antiqua" w:cs="宋体"/>
          <w:sz w:val="24"/>
          <w:szCs w:val="24"/>
          <w:lang w:val="en-US" w:eastAsia="zh-CN"/>
        </w:rPr>
        <w:t xml:space="preserve"> </w:t>
      </w:r>
      <w:r w:rsidRPr="00CE02BD">
        <w:rPr>
          <w:rFonts w:ascii="Book Antiqua" w:eastAsia="宋体" w:hAnsi="Book Antiqua" w:cs="宋体"/>
          <w:sz w:val="24"/>
          <w:szCs w:val="24"/>
          <w:lang w:val="en-US" w:eastAsia="zh-CN"/>
        </w:rPr>
        <w:t>S337-S337 [DOI: 10.1093/ecco-jcc/jjy222.576]</w:t>
      </w:r>
    </w:p>
    <w:p w14:paraId="1202F4C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87 </w:t>
      </w:r>
      <w:r w:rsidRPr="00CE02BD">
        <w:rPr>
          <w:rFonts w:ascii="Book Antiqua" w:eastAsia="宋体" w:hAnsi="Book Antiqua" w:cs="宋体"/>
          <w:b/>
          <w:bCs/>
          <w:sz w:val="24"/>
          <w:szCs w:val="24"/>
          <w:lang w:val="en-US" w:eastAsia="zh-CN"/>
        </w:rPr>
        <w:t>Ananthakrishnan AN</w:t>
      </w:r>
      <w:r w:rsidRPr="00CE02BD">
        <w:rPr>
          <w:rFonts w:ascii="Book Antiqua" w:eastAsia="宋体" w:hAnsi="Book Antiqua" w:cs="宋体"/>
          <w:sz w:val="24"/>
          <w:szCs w:val="24"/>
          <w:lang w:val="en-US" w:eastAsia="zh-CN"/>
        </w:rPr>
        <w:t xml:space="preserve">, Korzenik JR, Hur C. Can mucosal healing be a cost-effective endpoint for biologic therapy in Crohn's disease? A decision analysis.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2013; </w:t>
      </w:r>
      <w:r w:rsidRPr="00CE02BD">
        <w:rPr>
          <w:rFonts w:ascii="Book Antiqua" w:eastAsia="宋体" w:hAnsi="Book Antiqua" w:cs="宋体"/>
          <w:b/>
          <w:bCs/>
          <w:sz w:val="24"/>
          <w:szCs w:val="24"/>
          <w:lang w:val="en-US" w:eastAsia="zh-CN"/>
        </w:rPr>
        <w:t>19</w:t>
      </w:r>
      <w:r w:rsidRPr="00CE02BD">
        <w:rPr>
          <w:rFonts w:ascii="Book Antiqua" w:eastAsia="宋体" w:hAnsi="Book Antiqua" w:cs="宋体"/>
          <w:sz w:val="24"/>
          <w:szCs w:val="24"/>
          <w:lang w:val="en-US" w:eastAsia="zh-CN"/>
        </w:rPr>
        <w:t>: 37-44 [PMID: 22416019 DOI: 10.1002/ibd.22951]</w:t>
      </w:r>
    </w:p>
    <w:p w14:paraId="1674282B" w14:textId="5C4406C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88 </w:t>
      </w:r>
      <w:r w:rsidR="00A94B0C" w:rsidRPr="00CE02BD">
        <w:rPr>
          <w:rFonts w:ascii="Book Antiqua" w:eastAsia="宋体" w:hAnsi="Book Antiqua" w:cs="宋体"/>
          <w:b/>
          <w:bCs/>
          <w:sz w:val="24"/>
          <w:szCs w:val="24"/>
          <w:lang w:val="en-US" w:eastAsia="zh-CN"/>
        </w:rPr>
        <w:t>P</w:t>
      </w:r>
      <w:r w:rsidRPr="00CE02BD">
        <w:rPr>
          <w:rFonts w:ascii="Book Antiqua" w:eastAsia="宋体" w:hAnsi="Book Antiqua" w:cs="宋体"/>
          <w:b/>
          <w:bCs/>
          <w:sz w:val="24"/>
          <w:szCs w:val="24"/>
          <w:lang w:val="en-US" w:eastAsia="zh-CN"/>
        </w:rPr>
        <w:t>anaccione R</w:t>
      </w:r>
      <w:r w:rsidRPr="00CE02BD">
        <w:rPr>
          <w:rFonts w:ascii="Book Antiqua" w:eastAsia="宋体" w:hAnsi="Book Antiqua" w:cs="宋体"/>
          <w:sz w:val="24"/>
          <w:szCs w:val="24"/>
          <w:lang w:val="en-US" w:eastAsia="zh-CN"/>
        </w:rPr>
        <w:t xml:space="preserve">, Colombel JF, Bossuyt P, </w:t>
      </w:r>
      <w:r w:rsidR="00A94B0C" w:rsidRPr="00CE02BD">
        <w:rPr>
          <w:rFonts w:ascii="Book Antiqua" w:eastAsia="宋体" w:hAnsi="Book Antiqua" w:cs="宋体"/>
          <w:sz w:val="24"/>
          <w:szCs w:val="24"/>
          <w:lang w:val="en-US" w:eastAsia="zh-CN"/>
        </w:rPr>
        <w:t>Baert F, Vanasek T, Danalioglu A, Novacek G, Armuzzi A, Reinisch W, Johnson S, Buessing M, Neimark E, Petersson J, M Robinson A, Thakkar RB, Lee WJ, Skup M, D’Haens G.</w:t>
      </w:r>
      <w:r w:rsidRPr="00CE02BD">
        <w:rPr>
          <w:rFonts w:ascii="Book Antiqua" w:eastAsia="宋体" w:hAnsi="Book Antiqua" w:cs="宋体"/>
          <w:sz w:val="24"/>
          <w:szCs w:val="24"/>
          <w:lang w:val="en-US" w:eastAsia="zh-CN"/>
        </w:rPr>
        <w:t xml:space="preserve"> DOP065 Long-term costeffectiveness of tight control for Crohn’s disease with adalimumab-based treatment: economic evaluation beyond 48 wk of CALM trial.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2018; </w:t>
      </w:r>
      <w:r w:rsidRPr="00CE02BD">
        <w:rPr>
          <w:rFonts w:ascii="Book Antiqua" w:eastAsia="宋体" w:hAnsi="Book Antiqua" w:cs="宋体"/>
          <w:b/>
          <w:bCs/>
          <w:sz w:val="24"/>
          <w:szCs w:val="24"/>
          <w:lang w:val="en-US" w:eastAsia="zh-CN"/>
        </w:rPr>
        <w:t>12</w:t>
      </w:r>
      <w:r w:rsidRPr="00CE02BD">
        <w:rPr>
          <w:rFonts w:ascii="Book Antiqua" w:eastAsia="宋体" w:hAnsi="Book Antiqua" w:cs="宋体"/>
          <w:sz w:val="24"/>
          <w:szCs w:val="24"/>
          <w:lang w:val="en-US" w:eastAsia="zh-CN"/>
        </w:rPr>
        <w:t xml:space="preserve"> </w:t>
      </w:r>
      <w:r w:rsidR="00285B0D" w:rsidRPr="00CE02BD">
        <w:rPr>
          <w:rFonts w:ascii="Book Antiqua" w:eastAsia="宋体" w:hAnsi="Book Antiqua" w:cs="宋体"/>
          <w:sz w:val="24"/>
          <w:szCs w:val="24"/>
          <w:lang w:val="en-US" w:eastAsia="zh-CN"/>
        </w:rPr>
        <w:t>S</w:t>
      </w:r>
      <w:r w:rsidRPr="00CE02BD">
        <w:rPr>
          <w:rFonts w:ascii="Book Antiqua" w:eastAsia="宋体" w:hAnsi="Book Antiqua" w:cs="宋体"/>
          <w:sz w:val="24"/>
          <w:szCs w:val="24"/>
          <w:lang w:val="en-US" w:eastAsia="zh-CN"/>
        </w:rPr>
        <w:t>uppl</w:t>
      </w:r>
      <w:r w:rsidR="00285B0D" w:rsidRPr="00CE02BD">
        <w:rPr>
          <w:rFonts w:ascii="Book Antiqua" w:eastAsia="宋体" w:hAnsi="Book Antiqua" w:cs="宋体"/>
          <w:sz w:val="24"/>
          <w:szCs w:val="24"/>
          <w:lang w:val="en-US" w:eastAsia="zh-CN"/>
        </w:rPr>
        <w:t xml:space="preserve"> </w:t>
      </w:r>
      <w:r w:rsidRPr="00CE02BD">
        <w:rPr>
          <w:rFonts w:ascii="Book Antiqua" w:eastAsia="宋体" w:hAnsi="Book Antiqua" w:cs="宋体"/>
          <w:sz w:val="24"/>
          <w:szCs w:val="24"/>
          <w:lang w:val="en-US" w:eastAsia="zh-CN"/>
        </w:rPr>
        <w:t>1</w:t>
      </w:r>
      <w:r w:rsidR="00285B0D" w:rsidRPr="00CE02BD">
        <w:rPr>
          <w:rFonts w:ascii="Book Antiqua" w:eastAsia="宋体" w:hAnsi="Book Antiqua" w:cs="宋体"/>
          <w:sz w:val="24"/>
          <w:szCs w:val="24"/>
          <w:lang w:val="en-US" w:eastAsia="zh-CN"/>
        </w:rPr>
        <w:t>:</w:t>
      </w:r>
      <w:r w:rsidRPr="00CE02BD">
        <w:rPr>
          <w:rFonts w:ascii="Book Antiqua" w:eastAsia="宋体" w:hAnsi="Book Antiqua" w:cs="宋体"/>
          <w:sz w:val="24"/>
          <w:szCs w:val="24"/>
          <w:lang w:val="en-US" w:eastAsia="zh-CN"/>
        </w:rPr>
        <w:t xml:space="preserve"> S074–S075 [DOI: 10.1093/ecco-jcc/jjx180.102]</w:t>
      </w:r>
    </w:p>
    <w:p w14:paraId="0135B8DD"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89 </w:t>
      </w:r>
      <w:r w:rsidRPr="00CE02BD">
        <w:rPr>
          <w:rFonts w:ascii="Book Antiqua" w:eastAsia="宋体" w:hAnsi="Book Antiqua" w:cs="宋体"/>
          <w:b/>
          <w:bCs/>
          <w:sz w:val="24"/>
          <w:szCs w:val="24"/>
          <w:lang w:val="en-US" w:eastAsia="zh-CN"/>
        </w:rPr>
        <w:t>Hirth RA</w:t>
      </w:r>
      <w:r w:rsidRPr="00CE02BD">
        <w:rPr>
          <w:rFonts w:ascii="Book Antiqua" w:eastAsia="宋体" w:hAnsi="Book Antiqua" w:cs="宋体"/>
          <w:sz w:val="24"/>
          <w:szCs w:val="24"/>
          <w:lang w:val="en-US" w:eastAsia="zh-CN"/>
        </w:rPr>
        <w:t xml:space="preserve">, Chernew ME, Miller E, Fendrick AM, Weissert WG. Willingness to pay for a quality-adjusted life year: in search of a standard. </w:t>
      </w:r>
      <w:r w:rsidRPr="00CE02BD">
        <w:rPr>
          <w:rFonts w:ascii="Book Antiqua" w:eastAsia="宋体" w:hAnsi="Book Antiqua" w:cs="宋体"/>
          <w:i/>
          <w:iCs/>
          <w:sz w:val="24"/>
          <w:szCs w:val="24"/>
          <w:lang w:val="en-US" w:eastAsia="zh-CN"/>
        </w:rPr>
        <w:t>Med Decis Making</w:t>
      </w:r>
      <w:r w:rsidRPr="00CE02BD">
        <w:rPr>
          <w:rFonts w:ascii="Book Antiqua" w:eastAsia="宋体" w:hAnsi="Book Antiqua" w:cs="宋体"/>
          <w:sz w:val="24"/>
          <w:szCs w:val="24"/>
          <w:lang w:val="en-US" w:eastAsia="zh-CN"/>
        </w:rPr>
        <w:t xml:space="preserve"> 2000; </w:t>
      </w:r>
      <w:r w:rsidRPr="00CE02BD">
        <w:rPr>
          <w:rFonts w:ascii="Book Antiqua" w:eastAsia="宋体" w:hAnsi="Book Antiqua" w:cs="宋体"/>
          <w:b/>
          <w:bCs/>
          <w:sz w:val="24"/>
          <w:szCs w:val="24"/>
          <w:lang w:val="en-US" w:eastAsia="zh-CN"/>
        </w:rPr>
        <w:t>20</w:t>
      </w:r>
      <w:r w:rsidRPr="00CE02BD">
        <w:rPr>
          <w:rFonts w:ascii="Book Antiqua" w:eastAsia="宋体" w:hAnsi="Book Antiqua" w:cs="宋体"/>
          <w:sz w:val="24"/>
          <w:szCs w:val="24"/>
          <w:lang w:val="en-US" w:eastAsia="zh-CN"/>
        </w:rPr>
        <w:t>: 332-342 [PMID: 10929856 DOI: 10.1177/0272989X0002000310]</w:t>
      </w:r>
    </w:p>
    <w:p w14:paraId="0501B574" w14:textId="4422716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90 Changing the coUrse of cRohn's Disease </w:t>
      </w:r>
      <w:proofErr w:type="gramStart"/>
      <w:r w:rsidRPr="00CE02BD">
        <w:rPr>
          <w:rFonts w:ascii="Book Antiqua" w:eastAsia="宋体" w:hAnsi="Book Antiqua" w:cs="宋体"/>
          <w:sz w:val="24"/>
          <w:szCs w:val="24"/>
          <w:lang w:val="en-US" w:eastAsia="zh-CN"/>
        </w:rPr>
        <w:t>With</w:t>
      </w:r>
      <w:proofErr w:type="gramEnd"/>
      <w:r w:rsidRPr="00CE02BD">
        <w:rPr>
          <w:rFonts w:ascii="Book Antiqua" w:eastAsia="宋体" w:hAnsi="Book Antiqua" w:cs="宋体"/>
          <w:sz w:val="24"/>
          <w:szCs w:val="24"/>
          <w:lang w:val="en-US" w:eastAsia="zh-CN"/>
        </w:rPr>
        <w:t xml:space="preserve"> an Early Use of Adalimumab (CURE). </w:t>
      </w:r>
      <w:r w:rsidR="001573CE" w:rsidRPr="00CE02BD">
        <w:rPr>
          <w:rFonts w:ascii="Book Antiqua" w:eastAsia="宋体" w:hAnsi="Book Antiqua" w:cs="宋体"/>
          <w:sz w:val="24"/>
          <w:szCs w:val="24"/>
          <w:lang w:val="en-US" w:eastAsia="zh-CN"/>
        </w:rPr>
        <w:t xml:space="preserve">Cited: 7 September 2019 </w:t>
      </w:r>
      <w:r w:rsidRPr="00CE02BD">
        <w:rPr>
          <w:rFonts w:ascii="Book Antiqua" w:eastAsia="宋体" w:hAnsi="Book Antiqua" w:cs="宋体"/>
          <w:sz w:val="24"/>
          <w:szCs w:val="24"/>
          <w:lang w:val="en-US" w:eastAsia="zh-CN"/>
        </w:rPr>
        <w:t xml:space="preserve">ClinicalTrials.gov Identifier: NCT03306446 Available from: </w:t>
      </w:r>
      <w:hyperlink r:id="rId10" w:history="1">
        <w:r w:rsidR="001573CE" w:rsidRPr="00CE02BD">
          <w:rPr>
            <w:rStyle w:val="a8"/>
            <w:rFonts w:ascii="Book Antiqua" w:eastAsia="宋体" w:hAnsi="Book Antiqua" w:cs="宋体"/>
            <w:sz w:val="24"/>
            <w:szCs w:val="24"/>
            <w:lang w:val="en-US" w:eastAsia="zh-CN"/>
          </w:rPr>
          <w:t>https://clinicaltrials.gov/ct2/show/record/NCT03306446</w:t>
        </w:r>
      </w:hyperlink>
      <w:r w:rsidR="001573CE" w:rsidRPr="00CE02BD">
        <w:rPr>
          <w:rFonts w:ascii="Book Antiqua" w:eastAsia="宋体" w:hAnsi="Book Antiqua" w:cs="宋体"/>
          <w:sz w:val="24"/>
          <w:szCs w:val="24"/>
          <w:lang w:val="en-US" w:eastAsia="zh-CN"/>
        </w:rPr>
        <w:t xml:space="preserve"> </w:t>
      </w:r>
    </w:p>
    <w:p w14:paraId="2D9ADB57" w14:textId="5DA4EB06"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91 Enhanced Algorithm for Crohn's Treatment Incorporating Early Combination Therapy (REACT2). </w:t>
      </w:r>
      <w:r w:rsidR="001573CE" w:rsidRPr="00CE02BD">
        <w:rPr>
          <w:rFonts w:ascii="Book Antiqua" w:eastAsia="宋体" w:hAnsi="Book Antiqua" w:cs="宋体"/>
          <w:sz w:val="24"/>
          <w:szCs w:val="24"/>
          <w:lang w:val="en-US" w:eastAsia="zh-CN"/>
        </w:rPr>
        <w:t xml:space="preserve">Cited: 7 September 2019 </w:t>
      </w:r>
      <w:r w:rsidRPr="00CE02BD">
        <w:rPr>
          <w:rFonts w:ascii="Book Antiqua" w:eastAsia="宋体" w:hAnsi="Book Antiqua" w:cs="宋体"/>
          <w:sz w:val="24"/>
          <w:szCs w:val="24"/>
          <w:lang w:val="en-US" w:eastAsia="zh-CN"/>
        </w:rPr>
        <w:t xml:space="preserve">ClinicalTrials.gov Identifier: NCT01698307. Available from: </w:t>
      </w:r>
      <w:hyperlink r:id="rId11" w:history="1">
        <w:r w:rsidR="001573CE" w:rsidRPr="00CE02BD">
          <w:rPr>
            <w:rStyle w:val="a8"/>
            <w:rFonts w:ascii="Book Antiqua" w:eastAsia="宋体" w:hAnsi="Book Antiqua" w:cs="宋体"/>
            <w:sz w:val="24"/>
            <w:szCs w:val="24"/>
            <w:lang w:val="en-US" w:eastAsia="zh-CN"/>
          </w:rPr>
          <w:t>https://clinicaltrials.gov/ct2/show/NCT01698307</w:t>
        </w:r>
      </w:hyperlink>
      <w:r w:rsidR="001573CE" w:rsidRPr="00CE02BD">
        <w:rPr>
          <w:rFonts w:ascii="Book Antiqua" w:eastAsia="宋体" w:hAnsi="Book Antiqua" w:cs="宋体"/>
          <w:sz w:val="24"/>
          <w:szCs w:val="24"/>
          <w:lang w:val="en-US" w:eastAsia="zh-CN"/>
        </w:rPr>
        <w:t xml:space="preserve"> </w:t>
      </w:r>
      <w:r w:rsidRPr="00CE02BD">
        <w:rPr>
          <w:rFonts w:ascii="Book Antiqua" w:eastAsia="宋体" w:hAnsi="Book Antiqua" w:cs="宋体"/>
          <w:sz w:val="24"/>
          <w:szCs w:val="24"/>
          <w:lang w:val="en-US" w:eastAsia="zh-CN"/>
        </w:rPr>
        <w:t xml:space="preserve"> </w:t>
      </w:r>
    </w:p>
    <w:p w14:paraId="28DD606C" w14:textId="7BE13C9F"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92 </w:t>
      </w:r>
      <w:r w:rsidRPr="00CE02BD">
        <w:rPr>
          <w:rFonts w:ascii="Book Antiqua" w:eastAsia="宋体" w:hAnsi="Book Antiqua" w:cs="宋体"/>
          <w:b/>
          <w:bCs/>
          <w:sz w:val="24"/>
          <w:szCs w:val="24"/>
          <w:lang w:val="en-US" w:eastAsia="zh-CN"/>
        </w:rPr>
        <w:t>Murthy SK</w:t>
      </w:r>
      <w:r w:rsidRPr="00CE02BD">
        <w:rPr>
          <w:rFonts w:ascii="Book Antiqua" w:eastAsia="宋体" w:hAnsi="Book Antiqua" w:cs="宋体"/>
          <w:sz w:val="24"/>
          <w:szCs w:val="24"/>
          <w:lang w:val="en-US" w:eastAsia="zh-CN"/>
        </w:rPr>
        <w:t xml:space="preserve">, Begum J, Benchimol EI, Bernstein CN, Kaplan GG, McCurdy JD, Singh H, Targownik L, Taljaard M. Introduction of anti-TNF therapy has not yielded expected declines in hospitalisation and intestinal resection rates in inflammatory bowel diseases: a population-based interrupted time series study. </w:t>
      </w:r>
      <w:r w:rsidRPr="00CE02BD">
        <w:rPr>
          <w:rFonts w:ascii="Book Antiqua" w:eastAsia="宋体" w:hAnsi="Book Antiqua" w:cs="宋体"/>
          <w:i/>
          <w:iCs/>
          <w:sz w:val="24"/>
          <w:szCs w:val="24"/>
          <w:lang w:val="en-US" w:eastAsia="zh-CN"/>
        </w:rPr>
        <w:t>Gut</w:t>
      </w:r>
      <w:r w:rsidRPr="00CE02BD">
        <w:rPr>
          <w:rFonts w:ascii="Book Antiqua" w:eastAsia="宋体" w:hAnsi="Book Antiqua" w:cs="宋体"/>
          <w:sz w:val="24"/>
          <w:szCs w:val="24"/>
          <w:lang w:val="en-US" w:eastAsia="zh-CN"/>
        </w:rPr>
        <w:t xml:space="preserve"> 2019; [PMID: 31196874 DOI: 10.1136/gutjnl-2019-318440]</w:t>
      </w:r>
    </w:p>
    <w:p w14:paraId="4FC8D22F"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93 </w:t>
      </w:r>
      <w:r w:rsidRPr="00CE02BD">
        <w:rPr>
          <w:rFonts w:ascii="Book Antiqua" w:eastAsia="宋体" w:hAnsi="Book Antiqua" w:cs="宋体"/>
          <w:b/>
          <w:bCs/>
          <w:sz w:val="24"/>
          <w:szCs w:val="24"/>
          <w:lang w:val="en-US" w:eastAsia="zh-CN"/>
        </w:rPr>
        <w:t>Lasson A</w:t>
      </w:r>
      <w:r w:rsidRPr="00CE02BD">
        <w:rPr>
          <w:rFonts w:ascii="Book Antiqua" w:eastAsia="宋体" w:hAnsi="Book Antiqua" w:cs="宋体"/>
          <w:sz w:val="24"/>
          <w:szCs w:val="24"/>
          <w:lang w:val="en-US" w:eastAsia="zh-CN"/>
        </w:rPr>
        <w:t xml:space="preserve">, Öhman L, Stotzer PO, Isaksson S, Überbacher O, Ung KA, Strid H. Pharmacological intervention based on fecal calprotectin levels in patients with ulcerative colitis at high risk of a relapse: A prospective, randomized, controlled study. </w:t>
      </w:r>
      <w:r w:rsidRPr="00CE02BD">
        <w:rPr>
          <w:rFonts w:ascii="Book Antiqua" w:eastAsia="宋体" w:hAnsi="Book Antiqua" w:cs="宋体"/>
          <w:i/>
          <w:iCs/>
          <w:sz w:val="24"/>
          <w:szCs w:val="24"/>
          <w:lang w:val="en-US" w:eastAsia="zh-CN"/>
        </w:rPr>
        <w:t>United European Gastroenterol J</w:t>
      </w:r>
      <w:r w:rsidRPr="00CE02BD">
        <w:rPr>
          <w:rFonts w:ascii="Book Antiqua" w:eastAsia="宋体" w:hAnsi="Book Antiqua" w:cs="宋体"/>
          <w:sz w:val="24"/>
          <w:szCs w:val="24"/>
          <w:lang w:val="en-US" w:eastAsia="zh-CN"/>
        </w:rPr>
        <w:t xml:space="preserve"> 2015; </w:t>
      </w:r>
      <w:r w:rsidRPr="00CE02BD">
        <w:rPr>
          <w:rFonts w:ascii="Book Antiqua" w:eastAsia="宋体" w:hAnsi="Book Antiqua" w:cs="宋体"/>
          <w:b/>
          <w:bCs/>
          <w:sz w:val="24"/>
          <w:szCs w:val="24"/>
          <w:lang w:val="en-US" w:eastAsia="zh-CN"/>
        </w:rPr>
        <w:t>3</w:t>
      </w:r>
      <w:r w:rsidRPr="00CE02BD">
        <w:rPr>
          <w:rFonts w:ascii="Book Antiqua" w:eastAsia="宋体" w:hAnsi="Book Antiqua" w:cs="宋体"/>
          <w:sz w:val="24"/>
          <w:szCs w:val="24"/>
          <w:lang w:val="en-US" w:eastAsia="zh-CN"/>
        </w:rPr>
        <w:t>: 72-79 [PMID: 25653861 DOI: 10.1177/2050640614560785]</w:t>
      </w:r>
    </w:p>
    <w:p w14:paraId="66342715"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94 </w:t>
      </w:r>
      <w:r w:rsidRPr="00CE02BD">
        <w:rPr>
          <w:rFonts w:ascii="Book Antiqua" w:eastAsia="宋体" w:hAnsi="Book Antiqua" w:cs="宋体"/>
          <w:b/>
          <w:bCs/>
          <w:sz w:val="24"/>
          <w:szCs w:val="24"/>
          <w:lang w:val="en-US" w:eastAsia="zh-CN"/>
        </w:rPr>
        <w:t>Sollelis E</w:t>
      </w:r>
      <w:r w:rsidRPr="00CE02BD">
        <w:rPr>
          <w:rFonts w:ascii="Book Antiqua" w:eastAsia="宋体" w:hAnsi="Book Antiqua" w:cs="宋体"/>
          <w:sz w:val="24"/>
          <w:szCs w:val="24"/>
          <w:lang w:val="en-US" w:eastAsia="zh-CN"/>
        </w:rPr>
        <w:t xml:space="preserve">, Quinard RM, Bouguen G, Goutte M, Goutorbe F, Bouvier D, Pereira B, Bommelaer G, Buisson A. Combined evaluation of biomarkers as predictor of maintained remission in Crohn's disease. </w:t>
      </w:r>
      <w:r w:rsidRPr="00CE02BD">
        <w:rPr>
          <w:rFonts w:ascii="Book Antiqua" w:eastAsia="宋体" w:hAnsi="Book Antiqua" w:cs="宋体"/>
          <w:i/>
          <w:iCs/>
          <w:sz w:val="24"/>
          <w:szCs w:val="24"/>
          <w:lang w:val="en-US" w:eastAsia="zh-CN"/>
        </w:rPr>
        <w:t>World J Gastroenterol</w:t>
      </w:r>
      <w:r w:rsidRPr="00CE02BD">
        <w:rPr>
          <w:rFonts w:ascii="Book Antiqua" w:eastAsia="宋体" w:hAnsi="Book Antiqua" w:cs="宋体"/>
          <w:sz w:val="24"/>
          <w:szCs w:val="24"/>
          <w:lang w:val="en-US" w:eastAsia="zh-CN"/>
        </w:rPr>
        <w:t xml:space="preserve"> 2019; </w:t>
      </w:r>
      <w:r w:rsidRPr="00CE02BD">
        <w:rPr>
          <w:rFonts w:ascii="Book Antiqua" w:eastAsia="宋体" w:hAnsi="Book Antiqua" w:cs="宋体"/>
          <w:b/>
          <w:bCs/>
          <w:sz w:val="24"/>
          <w:szCs w:val="24"/>
          <w:lang w:val="en-US" w:eastAsia="zh-CN"/>
        </w:rPr>
        <w:t>25</w:t>
      </w:r>
      <w:r w:rsidRPr="00CE02BD">
        <w:rPr>
          <w:rFonts w:ascii="Book Antiqua" w:eastAsia="宋体" w:hAnsi="Book Antiqua" w:cs="宋体"/>
          <w:sz w:val="24"/>
          <w:szCs w:val="24"/>
          <w:lang w:val="en-US" w:eastAsia="zh-CN"/>
        </w:rPr>
        <w:t>: 2354-2364 [PMID: 31148906 DOI: 10.3748/wjg.v25.i19.2354]</w:t>
      </w:r>
    </w:p>
    <w:p w14:paraId="79CC363A"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95 </w:t>
      </w:r>
      <w:r w:rsidRPr="00CE02BD">
        <w:rPr>
          <w:rFonts w:ascii="Book Antiqua" w:eastAsia="宋体" w:hAnsi="Book Antiqua" w:cs="宋体"/>
          <w:b/>
          <w:bCs/>
          <w:sz w:val="24"/>
          <w:szCs w:val="24"/>
          <w:lang w:val="en-US" w:eastAsia="zh-CN"/>
        </w:rPr>
        <w:t>Reinisch W</w:t>
      </w:r>
      <w:r w:rsidRPr="00CE02BD">
        <w:rPr>
          <w:rFonts w:ascii="Book Antiqua" w:eastAsia="宋体" w:hAnsi="Book Antiqua" w:cs="宋体"/>
          <w:sz w:val="24"/>
          <w:szCs w:val="24"/>
          <w:lang w:val="en-US" w:eastAsia="zh-CN"/>
        </w:rPr>
        <w:t xml:space="preserve">, Wang Y, Oddens BJ, Link R. C-reactive protein, an indicator for maintained response or remission to infliximab in patients with Crohn's disease: a post-hoc analysis from ACCENT I.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35</w:t>
      </w:r>
      <w:r w:rsidRPr="00CE02BD">
        <w:rPr>
          <w:rFonts w:ascii="Book Antiqua" w:eastAsia="宋体" w:hAnsi="Book Antiqua" w:cs="宋体"/>
          <w:sz w:val="24"/>
          <w:szCs w:val="24"/>
          <w:lang w:val="en-US" w:eastAsia="zh-CN"/>
        </w:rPr>
        <w:t>: 568-576 [PMID: 22251435 DOI: 10.1111/j.1365-2036.2011.04987.x]</w:t>
      </w:r>
    </w:p>
    <w:p w14:paraId="2A495AF7"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96 </w:t>
      </w:r>
      <w:r w:rsidRPr="00CE02BD">
        <w:rPr>
          <w:rFonts w:ascii="Book Antiqua" w:eastAsia="宋体" w:hAnsi="Book Antiqua" w:cs="宋体"/>
          <w:b/>
          <w:bCs/>
          <w:sz w:val="24"/>
          <w:szCs w:val="24"/>
          <w:lang w:val="en-US" w:eastAsia="zh-CN"/>
        </w:rPr>
        <w:t>Kiss LS</w:t>
      </w:r>
      <w:r w:rsidRPr="00CE02BD">
        <w:rPr>
          <w:rFonts w:ascii="Book Antiqua" w:eastAsia="宋体" w:hAnsi="Book Antiqua" w:cs="宋体"/>
          <w:sz w:val="24"/>
          <w:szCs w:val="24"/>
          <w:lang w:val="en-US" w:eastAsia="zh-CN"/>
        </w:rPr>
        <w:t xml:space="preserve">, Szamosi T, Molnar T, Miheller P, Lakatos L, Vincze A, Palatka K, Barta Z, Gasztonyi B, Salamon A, Horvath G, Tóth GT, Farkas K, Banai J, 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CE02BD">
        <w:rPr>
          <w:rFonts w:ascii="Book Antiqua" w:eastAsia="宋体" w:hAnsi="Book Antiqua" w:cs="宋体"/>
          <w:i/>
          <w:iCs/>
          <w:sz w:val="24"/>
          <w:szCs w:val="24"/>
          <w:lang w:val="en-US" w:eastAsia="zh-CN"/>
        </w:rPr>
        <w:t>Aliment Pharmacol Ther</w:t>
      </w:r>
      <w:r w:rsidRPr="00CE02BD">
        <w:rPr>
          <w:rFonts w:ascii="Book Antiqua" w:eastAsia="宋体" w:hAnsi="Book Antiqua" w:cs="宋体"/>
          <w:sz w:val="24"/>
          <w:szCs w:val="24"/>
          <w:lang w:val="en-US" w:eastAsia="zh-CN"/>
        </w:rPr>
        <w:t xml:space="preserve"> 2011; </w:t>
      </w:r>
      <w:r w:rsidRPr="00CE02BD">
        <w:rPr>
          <w:rFonts w:ascii="Book Antiqua" w:eastAsia="宋体" w:hAnsi="Book Antiqua" w:cs="宋体"/>
          <w:b/>
          <w:bCs/>
          <w:sz w:val="24"/>
          <w:szCs w:val="24"/>
          <w:lang w:val="en-US" w:eastAsia="zh-CN"/>
        </w:rPr>
        <w:t>34</w:t>
      </w:r>
      <w:r w:rsidRPr="00CE02BD">
        <w:rPr>
          <w:rFonts w:ascii="Book Antiqua" w:eastAsia="宋体" w:hAnsi="Book Antiqua" w:cs="宋体"/>
          <w:sz w:val="24"/>
          <w:szCs w:val="24"/>
          <w:lang w:val="en-US" w:eastAsia="zh-CN"/>
        </w:rPr>
        <w:t>: 911-922 [PMID: 21883326 DOI: 10.1111/j.1365-2036.2011.04827.x]</w:t>
      </w:r>
    </w:p>
    <w:p w14:paraId="5B336E00"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lastRenderedPageBreak/>
        <w:t xml:space="preserve">97 </w:t>
      </w:r>
      <w:r w:rsidRPr="00CE02BD">
        <w:rPr>
          <w:rFonts w:ascii="Book Antiqua" w:eastAsia="宋体" w:hAnsi="Book Antiqua" w:cs="宋体"/>
          <w:b/>
          <w:bCs/>
          <w:sz w:val="24"/>
          <w:szCs w:val="24"/>
          <w:lang w:val="en-US" w:eastAsia="zh-CN"/>
        </w:rPr>
        <w:t>Molander P</w:t>
      </w:r>
      <w:r w:rsidRPr="00CE02BD">
        <w:rPr>
          <w:rFonts w:ascii="Book Antiqua" w:eastAsia="宋体" w:hAnsi="Book Antiqua" w:cs="宋体"/>
          <w:sz w:val="24"/>
          <w:szCs w:val="24"/>
          <w:lang w:val="en-US" w:eastAsia="zh-CN"/>
        </w:rPr>
        <w:t xml:space="preserve">, af Björkesten CG, Mustonen H, Haapamäki J, Vauhkonen M, Kolho KL, Färkkilä M, Sipponen T. Fecal calprotectin concentration predicts outcome in inflammatory bowel disease after induction therapy with TNFα blocking agents.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18</w:t>
      </w:r>
      <w:r w:rsidRPr="00CE02BD">
        <w:rPr>
          <w:rFonts w:ascii="Book Antiqua" w:eastAsia="宋体" w:hAnsi="Book Antiqua" w:cs="宋体"/>
          <w:sz w:val="24"/>
          <w:szCs w:val="24"/>
          <w:lang w:val="en-US" w:eastAsia="zh-CN"/>
        </w:rPr>
        <w:t>: 2011-2017 [PMID: 22223566 DOI: 10.1002/ibd.22863]</w:t>
      </w:r>
    </w:p>
    <w:p w14:paraId="5F0FDFA6"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98 </w:t>
      </w:r>
      <w:r w:rsidRPr="00CE02BD">
        <w:rPr>
          <w:rFonts w:ascii="Book Antiqua" w:eastAsia="宋体" w:hAnsi="Book Antiqua" w:cs="宋体"/>
          <w:b/>
          <w:bCs/>
          <w:sz w:val="24"/>
          <w:szCs w:val="24"/>
          <w:lang w:val="en-US" w:eastAsia="zh-CN"/>
        </w:rPr>
        <w:t>Sipponen T</w:t>
      </w:r>
      <w:r w:rsidRPr="00CE02BD">
        <w:rPr>
          <w:rFonts w:ascii="Book Antiqua" w:eastAsia="宋体" w:hAnsi="Book Antiqua" w:cs="宋体"/>
          <w:sz w:val="24"/>
          <w:szCs w:val="24"/>
          <w:lang w:val="en-US" w:eastAsia="zh-CN"/>
        </w:rPr>
        <w:t xml:space="preserve">, Björkesten CG, Färkkilä M, Nuutinen H, Savilahti E, Kolho KL. Faecal calprotectin and lactoferrin are reliable surrogate markers of endoscopic response during Crohn's disease treatment. </w:t>
      </w:r>
      <w:r w:rsidRPr="00CE02BD">
        <w:rPr>
          <w:rFonts w:ascii="Book Antiqua" w:eastAsia="宋体" w:hAnsi="Book Antiqua" w:cs="宋体"/>
          <w:i/>
          <w:iCs/>
          <w:sz w:val="24"/>
          <w:szCs w:val="24"/>
          <w:lang w:val="en-US" w:eastAsia="zh-CN"/>
        </w:rPr>
        <w:t>Scand J Gastroenterol</w:t>
      </w:r>
      <w:r w:rsidRPr="00CE02BD">
        <w:rPr>
          <w:rFonts w:ascii="Book Antiqua" w:eastAsia="宋体" w:hAnsi="Book Antiqua" w:cs="宋体"/>
          <w:sz w:val="24"/>
          <w:szCs w:val="24"/>
          <w:lang w:val="en-US" w:eastAsia="zh-CN"/>
        </w:rPr>
        <w:t xml:space="preserve"> 2010; </w:t>
      </w:r>
      <w:r w:rsidRPr="00CE02BD">
        <w:rPr>
          <w:rFonts w:ascii="Book Antiqua" w:eastAsia="宋体" w:hAnsi="Book Antiqua" w:cs="宋体"/>
          <w:b/>
          <w:bCs/>
          <w:sz w:val="24"/>
          <w:szCs w:val="24"/>
          <w:lang w:val="en-US" w:eastAsia="zh-CN"/>
        </w:rPr>
        <w:t>45</w:t>
      </w:r>
      <w:r w:rsidRPr="00CE02BD">
        <w:rPr>
          <w:rFonts w:ascii="Book Antiqua" w:eastAsia="宋体" w:hAnsi="Book Antiqua" w:cs="宋体"/>
          <w:sz w:val="24"/>
          <w:szCs w:val="24"/>
          <w:lang w:val="en-US" w:eastAsia="zh-CN"/>
        </w:rPr>
        <w:t>: 325-331 [PMID: 20034360 DOI: 10.3109/00365520903483650]</w:t>
      </w:r>
    </w:p>
    <w:p w14:paraId="7F03C17C"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99 </w:t>
      </w:r>
      <w:r w:rsidRPr="00CE02BD">
        <w:rPr>
          <w:rFonts w:ascii="Book Antiqua" w:eastAsia="宋体" w:hAnsi="Book Antiqua" w:cs="宋体"/>
          <w:b/>
          <w:bCs/>
          <w:sz w:val="24"/>
          <w:szCs w:val="24"/>
          <w:lang w:val="en-US" w:eastAsia="zh-CN"/>
        </w:rPr>
        <w:t>Consigny Y</w:t>
      </w:r>
      <w:r w:rsidRPr="00CE02BD">
        <w:rPr>
          <w:rFonts w:ascii="Book Antiqua" w:eastAsia="宋体" w:hAnsi="Book Antiqua" w:cs="宋体"/>
          <w:sz w:val="24"/>
          <w:szCs w:val="24"/>
          <w:lang w:val="en-US" w:eastAsia="zh-CN"/>
        </w:rPr>
        <w:t xml:space="preserve">, Modigliani R, Colombel JF, Dupas JL, Lémann M, Mary JY; Groupe d'Etudes Thérapeutiques des Affections Inflammatoires Digestives (GETAID). A simple biological score for predicting low risk of short-term relapse in Crohn's disease.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2006; </w:t>
      </w:r>
      <w:r w:rsidRPr="00CE02BD">
        <w:rPr>
          <w:rFonts w:ascii="Book Antiqua" w:eastAsia="宋体" w:hAnsi="Book Antiqua" w:cs="宋体"/>
          <w:b/>
          <w:bCs/>
          <w:sz w:val="24"/>
          <w:szCs w:val="24"/>
          <w:lang w:val="en-US" w:eastAsia="zh-CN"/>
        </w:rPr>
        <w:t>12</w:t>
      </w:r>
      <w:r w:rsidRPr="00CE02BD">
        <w:rPr>
          <w:rFonts w:ascii="Book Antiqua" w:eastAsia="宋体" w:hAnsi="Book Antiqua" w:cs="宋体"/>
          <w:sz w:val="24"/>
          <w:szCs w:val="24"/>
          <w:lang w:val="en-US" w:eastAsia="zh-CN"/>
        </w:rPr>
        <w:t>: 551-557 [PMID: 16804391 DOI: 10.1097/01.ibd.0000225334.60990.5b]</w:t>
      </w:r>
    </w:p>
    <w:p w14:paraId="4E22BE9D" w14:textId="77777777" w:rsidR="00F00A3C"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100 </w:t>
      </w:r>
      <w:r w:rsidRPr="00CE02BD">
        <w:rPr>
          <w:rFonts w:ascii="Book Antiqua" w:eastAsia="宋体" w:hAnsi="Book Antiqua" w:cs="宋体"/>
          <w:b/>
          <w:bCs/>
          <w:sz w:val="24"/>
          <w:szCs w:val="24"/>
          <w:lang w:val="en-US" w:eastAsia="zh-CN"/>
        </w:rPr>
        <w:t>De Vos M</w:t>
      </w:r>
      <w:r w:rsidRPr="00CE02BD">
        <w:rPr>
          <w:rFonts w:ascii="Book Antiqua" w:eastAsia="宋体" w:hAnsi="Book Antiqua" w:cs="宋体"/>
          <w:sz w:val="24"/>
          <w:szCs w:val="24"/>
          <w:lang w:val="en-US" w:eastAsia="zh-CN"/>
        </w:rPr>
        <w:t xml:space="preserve">, Dewit O, D'Haens G, Baert F, Fontaine F, Vermeire S, Franchimont D, Moreels T, Staessen D, Terriere L, Vander Cruyssen B, Louis E; behalf of BIRD. Fast and sharp decrease in calprotectin predicts remission by infliximab in anti-TNF naïve patients with ulcerative colitis. </w:t>
      </w:r>
      <w:r w:rsidRPr="00CE02BD">
        <w:rPr>
          <w:rFonts w:ascii="Book Antiqua" w:eastAsia="宋体" w:hAnsi="Book Antiqua" w:cs="宋体"/>
          <w:i/>
          <w:iCs/>
          <w:sz w:val="24"/>
          <w:szCs w:val="24"/>
          <w:lang w:val="en-US" w:eastAsia="zh-CN"/>
        </w:rPr>
        <w:t>J Crohns Colitis</w:t>
      </w:r>
      <w:r w:rsidRPr="00CE02BD">
        <w:rPr>
          <w:rFonts w:ascii="Book Antiqua" w:eastAsia="宋体" w:hAnsi="Book Antiqua" w:cs="宋体"/>
          <w:sz w:val="24"/>
          <w:szCs w:val="24"/>
          <w:lang w:val="en-US" w:eastAsia="zh-CN"/>
        </w:rPr>
        <w:t xml:space="preserve"> 2012; </w:t>
      </w:r>
      <w:r w:rsidRPr="00CE02BD">
        <w:rPr>
          <w:rFonts w:ascii="Book Antiqua" w:eastAsia="宋体" w:hAnsi="Book Antiqua" w:cs="宋体"/>
          <w:b/>
          <w:bCs/>
          <w:sz w:val="24"/>
          <w:szCs w:val="24"/>
          <w:lang w:val="en-US" w:eastAsia="zh-CN"/>
        </w:rPr>
        <w:t>6</w:t>
      </w:r>
      <w:r w:rsidRPr="00CE02BD">
        <w:rPr>
          <w:rFonts w:ascii="Book Antiqua" w:eastAsia="宋体" w:hAnsi="Book Antiqua" w:cs="宋体"/>
          <w:sz w:val="24"/>
          <w:szCs w:val="24"/>
          <w:lang w:val="en-US" w:eastAsia="zh-CN"/>
        </w:rPr>
        <w:t>: 557-562 [PMID: 22398050 DOI: 10.1016/j.crohns.2011.11.002]</w:t>
      </w:r>
    </w:p>
    <w:p w14:paraId="73329E9B" w14:textId="628C1771" w:rsidR="004622D3" w:rsidRPr="00CE02BD" w:rsidRDefault="00F00A3C" w:rsidP="00F00A3C">
      <w:pPr>
        <w:adjustRightInd w:val="0"/>
        <w:snapToGrid w:val="0"/>
        <w:spacing w:after="0" w:line="360" w:lineRule="auto"/>
        <w:jc w:val="both"/>
        <w:rPr>
          <w:rFonts w:ascii="Book Antiqua" w:eastAsia="宋体" w:hAnsi="Book Antiqua" w:cs="宋体"/>
          <w:sz w:val="24"/>
          <w:szCs w:val="24"/>
          <w:lang w:val="en-US" w:eastAsia="zh-CN"/>
        </w:rPr>
      </w:pPr>
      <w:r w:rsidRPr="00CE02BD">
        <w:rPr>
          <w:rFonts w:ascii="Book Antiqua" w:eastAsia="宋体" w:hAnsi="Book Antiqua" w:cs="宋体"/>
          <w:sz w:val="24"/>
          <w:szCs w:val="24"/>
          <w:lang w:val="en-US" w:eastAsia="zh-CN"/>
        </w:rPr>
        <w:t xml:space="preserve">101 </w:t>
      </w:r>
      <w:r w:rsidRPr="00CE02BD">
        <w:rPr>
          <w:rFonts w:ascii="Book Antiqua" w:eastAsia="宋体" w:hAnsi="Book Antiqua" w:cs="宋体"/>
          <w:b/>
          <w:bCs/>
          <w:sz w:val="24"/>
          <w:szCs w:val="24"/>
          <w:lang w:val="en-US" w:eastAsia="zh-CN"/>
        </w:rPr>
        <w:t>Jauregui-Amezaga A</w:t>
      </w:r>
      <w:r w:rsidRPr="00CE02BD">
        <w:rPr>
          <w:rFonts w:ascii="Book Antiqua" w:eastAsia="宋体" w:hAnsi="Book Antiqua" w:cs="宋体"/>
          <w:sz w:val="24"/>
          <w:szCs w:val="24"/>
          <w:lang w:val="en-US" w:eastAsia="zh-CN"/>
        </w:rPr>
        <w:t xml:space="preserve">, López-Cerón M, Aceituno M, Jimeno M, Rodríguez de Miguel C, Pinó-Donnay S, Zabalza M, Sans M, Ricart E, Ordás I, González-Suárez B, Cuatrecasas M, Llach J, Panés J, Pellise M. Accuracy of advanced endoscopy and fecal calprotectin for prediction of relapse in ulcerative colitis: a prospective study. </w:t>
      </w:r>
      <w:r w:rsidRPr="00CE02BD">
        <w:rPr>
          <w:rFonts w:ascii="Book Antiqua" w:eastAsia="宋体" w:hAnsi="Book Antiqua" w:cs="宋体"/>
          <w:i/>
          <w:iCs/>
          <w:sz w:val="24"/>
          <w:szCs w:val="24"/>
          <w:lang w:val="en-US" w:eastAsia="zh-CN"/>
        </w:rPr>
        <w:t>Inflamm Bowel Dis</w:t>
      </w:r>
      <w:r w:rsidRPr="00CE02BD">
        <w:rPr>
          <w:rFonts w:ascii="Book Antiqua" w:eastAsia="宋体" w:hAnsi="Book Antiqua" w:cs="宋体"/>
          <w:sz w:val="24"/>
          <w:szCs w:val="24"/>
          <w:lang w:val="en-US" w:eastAsia="zh-CN"/>
        </w:rPr>
        <w:t xml:space="preserve"> 2014; </w:t>
      </w:r>
      <w:r w:rsidRPr="00CE02BD">
        <w:rPr>
          <w:rFonts w:ascii="Book Antiqua" w:eastAsia="宋体" w:hAnsi="Book Antiqua" w:cs="宋体"/>
          <w:b/>
          <w:bCs/>
          <w:sz w:val="24"/>
          <w:szCs w:val="24"/>
          <w:lang w:val="en-US" w:eastAsia="zh-CN"/>
        </w:rPr>
        <w:t>20</w:t>
      </w:r>
      <w:r w:rsidRPr="00CE02BD">
        <w:rPr>
          <w:rFonts w:ascii="Book Antiqua" w:eastAsia="宋体" w:hAnsi="Book Antiqua" w:cs="宋体"/>
          <w:sz w:val="24"/>
          <w:szCs w:val="24"/>
          <w:lang w:val="en-US" w:eastAsia="zh-CN"/>
        </w:rPr>
        <w:t>: 1187-1193 [PMID: 24874457 DOI: 10.1097/MIB.0000000000000069]</w:t>
      </w:r>
    </w:p>
    <w:p w14:paraId="03048795" w14:textId="73D1419B" w:rsidR="00193521" w:rsidRPr="00CE02BD" w:rsidRDefault="00193521" w:rsidP="00193521">
      <w:pPr>
        <w:wordWrap w:val="0"/>
        <w:snapToGrid w:val="0"/>
        <w:spacing w:after="0" w:line="360" w:lineRule="auto"/>
        <w:jc w:val="right"/>
        <w:rPr>
          <w:rFonts w:ascii="Book Antiqua" w:eastAsia="宋体" w:hAnsi="Book Antiqua" w:cs="Times New Roman"/>
          <w:b/>
          <w:bCs/>
          <w:sz w:val="24"/>
          <w:szCs w:val="24"/>
          <w:lang w:val="en-US" w:eastAsia="zh-CN"/>
        </w:rPr>
      </w:pPr>
      <w:bookmarkStart w:id="74" w:name="OLE_LINK148"/>
      <w:bookmarkStart w:id="75" w:name="OLE_LINK320"/>
      <w:bookmarkStart w:id="76" w:name="OLE_LINK387"/>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bookmarkStart w:id="173" w:name="OLE_LINK386"/>
      <w:bookmarkStart w:id="174" w:name="OLE_LINK33"/>
      <w:bookmarkStart w:id="175" w:name="OLE_LINK34"/>
      <w:bookmarkStart w:id="176" w:name="OLE_LINK599"/>
      <w:bookmarkStart w:id="177" w:name="OLE_LINK87"/>
      <w:r w:rsidRPr="00CE02BD">
        <w:rPr>
          <w:rFonts w:ascii="Book Antiqua" w:eastAsia="宋体" w:hAnsi="Book Antiqua" w:cs="Times New Roman"/>
          <w:b/>
          <w:bCs/>
          <w:sz w:val="24"/>
          <w:szCs w:val="24"/>
          <w:lang w:val="en-US" w:eastAsia="zh-CN"/>
        </w:rPr>
        <w:t xml:space="preserve">P-Reviewer: </w:t>
      </w:r>
      <w:r w:rsidRPr="00CE02BD">
        <w:rPr>
          <w:rFonts w:ascii="Book Antiqua" w:eastAsia="宋体" w:hAnsi="Book Antiqua" w:cs="Times New Roman"/>
          <w:bCs/>
          <w:sz w:val="24"/>
          <w:szCs w:val="24"/>
          <w:lang w:val="en-US" w:eastAsia="zh-CN"/>
        </w:rPr>
        <w:t>Sipos F,</w:t>
      </w:r>
      <w:r w:rsidR="00A54560" w:rsidRPr="00CE02BD">
        <w:rPr>
          <w:rFonts w:ascii="Book Antiqua" w:eastAsia="宋体" w:hAnsi="Book Antiqua" w:cs="Times New Roman"/>
          <w:bCs/>
          <w:sz w:val="24"/>
          <w:szCs w:val="24"/>
          <w:lang w:val="en-US" w:eastAsia="zh-CN"/>
        </w:rPr>
        <w:t xml:space="preserve"> Triantafyllou K, Tsuchiya K, Wenzl HH</w:t>
      </w:r>
    </w:p>
    <w:p w14:paraId="5FD20EEE" w14:textId="43B895D9" w:rsidR="00193521" w:rsidRPr="00CE02BD" w:rsidRDefault="00193521" w:rsidP="00CE02BD">
      <w:pPr>
        <w:wordWrap w:val="0"/>
        <w:snapToGrid w:val="0"/>
        <w:spacing w:after="0" w:line="360" w:lineRule="auto"/>
        <w:jc w:val="right"/>
        <w:rPr>
          <w:rFonts w:ascii="Book Antiqua" w:eastAsia="宋体" w:hAnsi="Book Antiqua" w:cs="Times New Roman"/>
          <w:sz w:val="24"/>
          <w:szCs w:val="24"/>
          <w:lang w:val="en-US" w:eastAsia="zh-CN"/>
        </w:rPr>
      </w:pPr>
      <w:r w:rsidRPr="00CE02BD">
        <w:rPr>
          <w:rFonts w:ascii="Book Antiqua" w:eastAsia="宋体" w:hAnsi="Book Antiqua" w:cs="Times New Roman"/>
          <w:b/>
          <w:bCs/>
          <w:sz w:val="24"/>
          <w:szCs w:val="24"/>
          <w:lang w:val="en-US" w:eastAsia="zh-CN"/>
        </w:rPr>
        <w:t>S-Editor:</w:t>
      </w:r>
      <w:r w:rsidRPr="00CE02BD">
        <w:rPr>
          <w:rFonts w:ascii="Book Antiqua" w:eastAsia="宋体" w:hAnsi="Book Antiqua" w:cs="Times New Roman"/>
          <w:sz w:val="24"/>
          <w:szCs w:val="24"/>
          <w:lang w:val="en-US" w:eastAsia="zh-CN"/>
        </w:rPr>
        <w:t xml:space="preserve"> Tang JZ </w:t>
      </w:r>
      <w:r w:rsidRPr="00CE02BD">
        <w:rPr>
          <w:rFonts w:ascii="Book Antiqua" w:eastAsia="宋体" w:hAnsi="Book Antiqua" w:cs="Times New Roman"/>
          <w:b/>
          <w:bCs/>
          <w:sz w:val="24"/>
          <w:szCs w:val="24"/>
          <w:lang w:val="en-US" w:eastAsia="zh-CN"/>
        </w:rPr>
        <w:t>L-Editor:</w:t>
      </w:r>
      <w:r w:rsidRPr="00CE02BD">
        <w:rPr>
          <w:rFonts w:ascii="Book Antiqua" w:eastAsia="宋体" w:hAnsi="Book Antiqua" w:cs="Times New Roman"/>
          <w:sz w:val="24"/>
          <w:szCs w:val="24"/>
          <w:lang w:val="en-US" w:eastAsia="zh-CN"/>
        </w:rPr>
        <w:t xml:space="preserve"> </w:t>
      </w:r>
      <w:r w:rsidR="00CE02BD">
        <w:rPr>
          <w:rFonts w:ascii="Book Antiqua" w:eastAsia="宋体" w:hAnsi="Book Antiqua" w:cs="Times New Roman" w:hint="eastAsia"/>
          <w:sz w:val="24"/>
          <w:szCs w:val="24"/>
          <w:lang w:val="en-US" w:eastAsia="zh-CN"/>
        </w:rPr>
        <w:t xml:space="preserve">A </w:t>
      </w:r>
      <w:r w:rsidRPr="00CE02BD">
        <w:rPr>
          <w:rFonts w:ascii="Book Antiqua" w:eastAsia="宋体" w:hAnsi="Book Antiqua" w:cs="Times New Roman"/>
          <w:b/>
          <w:bCs/>
          <w:sz w:val="24"/>
          <w:szCs w:val="24"/>
          <w:lang w:val="en-US" w:eastAsia="zh-CN"/>
        </w:rPr>
        <w:t>E-Editor:</w:t>
      </w:r>
      <w:r w:rsidR="00CE02BD">
        <w:rPr>
          <w:rFonts w:ascii="Book Antiqua" w:eastAsia="宋体" w:hAnsi="Book Antiqua" w:cs="Times New Roman" w:hint="eastAsia"/>
          <w:b/>
          <w:bCs/>
          <w:sz w:val="24"/>
          <w:szCs w:val="24"/>
          <w:lang w:val="en-US" w:eastAsia="zh-CN"/>
        </w:rPr>
        <w:t xml:space="preserve"> </w:t>
      </w:r>
      <w:r w:rsidR="00CE02BD" w:rsidRPr="00CE02BD">
        <w:rPr>
          <w:rFonts w:ascii="Book Antiqua" w:eastAsia="宋体" w:hAnsi="Book Antiqua" w:cs="Times New Roman" w:hint="eastAsia"/>
          <w:bCs/>
          <w:sz w:val="24"/>
          <w:szCs w:val="24"/>
          <w:lang w:val="en-US" w:eastAsia="zh-CN"/>
        </w:rPr>
        <w:t>Ma YJ</w:t>
      </w:r>
    </w:p>
    <w:p w14:paraId="1893BC53" w14:textId="77777777" w:rsidR="00193521" w:rsidRPr="00CE02BD" w:rsidRDefault="00193521" w:rsidP="00193521">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78" w:name="OLE_LINK880"/>
      <w:bookmarkStart w:id="179" w:name="OLE_LINK88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E02BD">
        <w:rPr>
          <w:rFonts w:ascii="Book Antiqua" w:eastAsia="宋体" w:hAnsi="Book Antiqua" w:cs="Helvetica"/>
          <w:b/>
          <w:sz w:val="24"/>
          <w:szCs w:val="24"/>
          <w:lang w:val="en-US" w:eastAsia="zh-CN"/>
        </w:rPr>
        <w:t xml:space="preserve">Specialty type: </w:t>
      </w:r>
      <w:r w:rsidRPr="00CE02BD">
        <w:rPr>
          <w:rFonts w:ascii="Book Antiqua" w:eastAsia="宋体" w:hAnsi="Book Antiqua" w:cs="Helvetica"/>
          <w:sz w:val="24"/>
          <w:szCs w:val="24"/>
          <w:lang w:val="en-US" w:eastAsia="zh-CN"/>
        </w:rPr>
        <w:t>Gastroenterology and hepatology</w:t>
      </w:r>
    </w:p>
    <w:p w14:paraId="76AC69EE" w14:textId="0A67AF54" w:rsidR="00193521" w:rsidRPr="00CE02BD" w:rsidRDefault="00193521" w:rsidP="00193521">
      <w:pPr>
        <w:shd w:val="clear" w:color="auto" w:fill="FFFFFF"/>
        <w:snapToGrid w:val="0"/>
        <w:spacing w:after="0" w:line="360" w:lineRule="auto"/>
        <w:jc w:val="both"/>
        <w:rPr>
          <w:rFonts w:ascii="Book Antiqua" w:eastAsia="宋体" w:hAnsi="Book Antiqua" w:cs="Helvetica"/>
          <w:b/>
          <w:sz w:val="24"/>
          <w:szCs w:val="24"/>
          <w:lang w:val="en-US" w:eastAsia="zh-CN"/>
        </w:rPr>
      </w:pPr>
      <w:r w:rsidRPr="00CE02BD">
        <w:rPr>
          <w:rFonts w:ascii="Book Antiqua" w:eastAsia="宋体" w:hAnsi="Book Antiqua" w:cs="Helvetica"/>
          <w:b/>
          <w:sz w:val="24"/>
          <w:szCs w:val="24"/>
          <w:lang w:val="en-US" w:eastAsia="zh-CN"/>
        </w:rPr>
        <w:t xml:space="preserve">Country of origin: </w:t>
      </w:r>
      <w:r w:rsidR="00A54560" w:rsidRPr="00CE02BD">
        <w:rPr>
          <w:rFonts w:ascii="Book Antiqua" w:eastAsia="宋体" w:hAnsi="Book Antiqua" w:cs="Helvetica"/>
          <w:sz w:val="24"/>
          <w:szCs w:val="24"/>
          <w:lang w:val="en-US" w:eastAsia="zh-CN"/>
        </w:rPr>
        <w:t>Canada</w:t>
      </w:r>
    </w:p>
    <w:p w14:paraId="4F68CEFD" w14:textId="77777777" w:rsidR="00193521" w:rsidRPr="00CE02BD" w:rsidRDefault="00193521" w:rsidP="00193521">
      <w:pPr>
        <w:shd w:val="clear" w:color="auto" w:fill="FFFFFF"/>
        <w:snapToGrid w:val="0"/>
        <w:spacing w:after="0" w:line="360" w:lineRule="auto"/>
        <w:jc w:val="both"/>
        <w:rPr>
          <w:rFonts w:ascii="Book Antiqua" w:eastAsia="宋体" w:hAnsi="Book Antiqua" w:cs="Helvetica"/>
          <w:b/>
          <w:sz w:val="24"/>
          <w:szCs w:val="24"/>
          <w:lang w:val="en-US" w:eastAsia="zh-CN"/>
        </w:rPr>
      </w:pPr>
      <w:r w:rsidRPr="00CE02BD">
        <w:rPr>
          <w:rFonts w:ascii="Book Antiqua" w:eastAsia="宋体" w:hAnsi="Book Antiqua" w:cs="Helvetica"/>
          <w:b/>
          <w:sz w:val="24"/>
          <w:szCs w:val="24"/>
          <w:lang w:val="en-US" w:eastAsia="zh-CN"/>
        </w:rPr>
        <w:t>Peer-review report classification</w:t>
      </w:r>
    </w:p>
    <w:p w14:paraId="02D99FBF" w14:textId="77777777" w:rsidR="00193521" w:rsidRPr="00CE02BD"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CE02BD">
        <w:rPr>
          <w:rFonts w:ascii="Book Antiqua" w:eastAsia="宋体" w:hAnsi="Book Antiqua" w:cs="Helvetica"/>
          <w:sz w:val="24"/>
          <w:szCs w:val="24"/>
          <w:lang w:val="en-US" w:eastAsia="zh-CN"/>
        </w:rPr>
        <w:t>Grade A (Excellent): 0</w:t>
      </w:r>
    </w:p>
    <w:p w14:paraId="71D22213" w14:textId="156FA075" w:rsidR="00193521" w:rsidRPr="00CE02BD"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CE02BD">
        <w:rPr>
          <w:rFonts w:ascii="Book Antiqua" w:eastAsia="宋体" w:hAnsi="Book Antiqua" w:cs="Helvetica"/>
          <w:sz w:val="24"/>
          <w:szCs w:val="24"/>
          <w:lang w:val="en-US" w:eastAsia="zh-CN"/>
        </w:rPr>
        <w:t>Grade B (Very good): B</w:t>
      </w:r>
      <w:r w:rsidR="00A54560" w:rsidRPr="00CE02BD">
        <w:rPr>
          <w:rFonts w:ascii="Book Antiqua" w:eastAsia="宋体" w:hAnsi="Book Antiqua" w:cs="Helvetica"/>
          <w:sz w:val="24"/>
          <w:szCs w:val="24"/>
          <w:lang w:val="en-US" w:eastAsia="zh-CN"/>
        </w:rPr>
        <w:t>, B, B</w:t>
      </w:r>
    </w:p>
    <w:p w14:paraId="25721BE2" w14:textId="60D61523" w:rsidR="00193521" w:rsidRPr="00CE02BD"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CE02BD">
        <w:rPr>
          <w:rFonts w:ascii="Book Antiqua" w:eastAsia="宋体" w:hAnsi="Book Antiqua" w:cs="Helvetica"/>
          <w:sz w:val="24"/>
          <w:szCs w:val="24"/>
          <w:lang w:val="en-US" w:eastAsia="zh-CN"/>
        </w:rPr>
        <w:lastRenderedPageBreak/>
        <w:t>Grade C (Good): C</w:t>
      </w:r>
    </w:p>
    <w:p w14:paraId="25A46394" w14:textId="77777777" w:rsidR="00193521" w:rsidRPr="00CE02BD" w:rsidRDefault="00193521" w:rsidP="00193521">
      <w:pPr>
        <w:shd w:val="clear" w:color="auto" w:fill="FFFFFF"/>
        <w:snapToGrid w:val="0"/>
        <w:spacing w:after="0" w:line="360" w:lineRule="auto"/>
        <w:jc w:val="both"/>
        <w:rPr>
          <w:rFonts w:ascii="Book Antiqua" w:eastAsia="宋体" w:hAnsi="Book Antiqua" w:cs="Helvetica"/>
          <w:sz w:val="24"/>
          <w:szCs w:val="24"/>
          <w:lang w:val="en-US" w:eastAsia="zh-CN"/>
        </w:rPr>
      </w:pPr>
      <w:r w:rsidRPr="00CE02BD">
        <w:rPr>
          <w:rFonts w:ascii="Book Antiqua" w:eastAsia="宋体" w:hAnsi="Book Antiqua" w:cs="Helvetica"/>
          <w:sz w:val="24"/>
          <w:szCs w:val="24"/>
          <w:lang w:val="en-US" w:eastAsia="zh-CN"/>
        </w:rPr>
        <w:t>Grade D (Fair): 0</w:t>
      </w:r>
    </w:p>
    <w:p w14:paraId="2E8CDA44" w14:textId="77777777" w:rsidR="00193521" w:rsidRPr="00CE02BD" w:rsidRDefault="00193521" w:rsidP="00193521">
      <w:pPr>
        <w:snapToGrid w:val="0"/>
        <w:spacing w:after="0" w:line="360" w:lineRule="auto"/>
        <w:jc w:val="both"/>
        <w:rPr>
          <w:rFonts w:ascii="Book Antiqua" w:eastAsia="宋体" w:hAnsi="Book Antiqua" w:cs="Times New Roman"/>
          <w:b/>
          <w:iCs/>
          <w:sz w:val="24"/>
          <w:szCs w:val="24"/>
          <w:lang w:val="en-US" w:eastAsia="zh-CN"/>
        </w:rPr>
      </w:pPr>
      <w:r w:rsidRPr="00CE02BD">
        <w:rPr>
          <w:rFonts w:ascii="Book Antiqua" w:eastAsia="宋体" w:hAnsi="Book Antiqua" w:cs="Helvetica"/>
          <w:sz w:val="24"/>
          <w:szCs w:val="24"/>
          <w:lang w:val="en-US" w:eastAsia="zh-CN"/>
        </w:rPr>
        <w:t>Grade E (Poor): 0</w:t>
      </w:r>
      <w:bookmarkEnd w:id="173"/>
      <w:bookmarkEnd w:id="178"/>
      <w:bookmarkEnd w:id="179"/>
    </w:p>
    <w:bookmarkEnd w:id="174"/>
    <w:bookmarkEnd w:id="175"/>
    <w:bookmarkEnd w:id="176"/>
    <w:bookmarkEnd w:id="177"/>
    <w:p w14:paraId="293C378B" w14:textId="77777777" w:rsidR="00193521" w:rsidRPr="00CE02BD" w:rsidRDefault="00193521" w:rsidP="00F00A3C">
      <w:pPr>
        <w:adjustRightInd w:val="0"/>
        <w:snapToGrid w:val="0"/>
        <w:spacing w:after="0" w:line="360" w:lineRule="auto"/>
        <w:jc w:val="both"/>
        <w:rPr>
          <w:rFonts w:ascii="Book Antiqua" w:hAnsi="Book Antiqua" w:cstheme="minorHAnsi"/>
          <w:b/>
          <w:sz w:val="24"/>
          <w:szCs w:val="24"/>
        </w:rPr>
      </w:pPr>
    </w:p>
    <w:p w14:paraId="77FB8ED3" w14:textId="22FBF370" w:rsidR="00D8024B" w:rsidRPr="00CE02BD" w:rsidRDefault="00D8024B">
      <w:pPr>
        <w:rPr>
          <w:rFonts w:ascii="Book Antiqua" w:hAnsi="Book Antiqua" w:cstheme="minorHAnsi"/>
          <w:b/>
          <w:sz w:val="24"/>
          <w:szCs w:val="24"/>
        </w:rPr>
      </w:pPr>
      <w:r w:rsidRPr="00CE02BD">
        <w:rPr>
          <w:rFonts w:ascii="Book Antiqua" w:hAnsi="Book Antiqua" w:cstheme="minorHAnsi"/>
          <w:b/>
          <w:sz w:val="24"/>
          <w:szCs w:val="24"/>
        </w:rPr>
        <w:br w:type="page"/>
      </w:r>
      <w:bookmarkStart w:id="180" w:name="_GoBack"/>
      <w:bookmarkEnd w:id="180"/>
    </w:p>
    <w:p w14:paraId="1C5E32BF" w14:textId="0F5A0189" w:rsidR="00B91C62" w:rsidRPr="00CE02BD" w:rsidRDefault="00B91C62" w:rsidP="000F1138">
      <w:pPr>
        <w:adjustRightInd w:val="0"/>
        <w:snapToGrid w:val="0"/>
        <w:spacing w:after="0" w:line="360" w:lineRule="auto"/>
        <w:jc w:val="both"/>
        <w:rPr>
          <w:rFonts w:ascii="Book Antiqua" w:hAnsi="Book Antiqua"/>
          <w:b/>
          <w:bCs/>
          <w:sz w:val="24"/>
          <w:szCs w:val="24"/>
          <w:lang w:val="en-US"/>
        </w:rPr>
      </w:pPr>
      <w:r w:rsidRPr="00CE02BD">
        <w:rPr>
          <w:rFonts w:ascii="Book Antiqua" w:hAnsi="Book Antiqua"/>
          <w:b/>
          <w:bCs/>
          <w:sz w:val="24"/>
          <w:szCs w:val="24"/>
          <w:lang w:val="en-US"/>
        </w:rPr>
        <w:lastRenderedPageBreak/>
        <w:t xml:space="preserve">Table 1 Selected studies supporting the use of clinical, biochemical, endoscopic, histological and combined targets since the publication of </w:t>
      </w:r>
      <w:r w:rsidR="000E27AB" w:rsidRPr="00CE02BD">
        <w:rPr>
          <w:rFonts w:ascii="Book Antiqua" w:hAnsi="Book Antiqua"/>
          <w:b/>
          <w:bCs/>
          <w:sz w:val="24"/>
          <w:szCs w:val="24"/>
          <w:lang w:val="en-US"/>
        </w:rPr>
        <w:t>selecting therapeutic t</w:t>
      </w:r>
      <w:r w:rsidRPr="00CE02BD">
        <w:rPr>
          <w:rFonts w:ascii="Book Antiqua" w:hAnsi="Book Antiqua"/>
          <w:b/>
          <w:bCs/>
          <w:sz w:val="24"/>
          <w:szCs w:val="24"/>
          <w:lang w:val="en-US"/>
        </w:rPr>
        <w:t xml:space="preserve">argets in </w:t>
      </w:r>
      <w:r w:rsidR="000E27AB" w:rsidRPr="00CE02BD">
        <w:rPr>
          <w:rFonts w:ascii="Book Antiqua" w:hAnsi="Book Antiqua"/>
          <w:b/>
          <w:bCs/>
          <w:sz w:val="24"/>
          <w:szCs w:val="24"/>
          <w:lang w:val="en-US"/>
        </w:rPr>
        <w:t>inflammatory bowel d</w:t>
      </w:r>
      <w:r w:rsidRPr="00CE02BD">
        <w:rPr>
          <w:rFonts w:ascii="Book Antiqua" w:hAnsi="Book Antiqua"/>
          <w:b/>
          <w:bCs/>
          <w:sz w:val="24"/>
          <w:szCs w:val="24"/>
          <w:lang w:val="en-US"/>
        </w:rPr>
        <w:t>isease consensus</w:t>
      </w:r>
      <w:r w:rsidRPr="00CE02BD" w:rsidDel="000C1ECD">
        <w:rPr>
          <w:rFonts w:ascii="Book Antiqua" w:hAnsi="Book Antiqua"/>
          <w:b/>
          <w:bCs/>
          <w:sz w:val="24"/>
          <w:szCs w:val="24"/>
          <w:lang w:val="en-US"/>
        </w:rPr>
        <w:t xml:space="preserve"> </w:t>
      </w:r>
    </w:p>
    <w:tbl>
      <w:tblPr>
        <w:tblStyle w:val="Tblzategyszer22"/>
        <w:tblW w:w="0" w:type="auto"/>
        <w:tblBorders>
          <w:top w:val="single" w:sz="4" w:space="0" w:color="auto"/>
          <w:bottom w:val="single" w:sz="4" w:space="0" w:color="auto"/>
        </w:tblBorders>
        <w:tblLook w:val="04A0" w:firstRow="1" w:lastRow="0" w:firstColumn="1" w:lastColumn="0" w:noHBand="0" w:noVBand="1"/>
      </w:tblPr>
      <w:tblGrid>
        <w:gridCol w:w="1243"/>
        <w:gridCol w:w="1492"/>
        <w:gridCol w:w="1324"/>
        <w:gridCol w:w="1354"/>
        <w:gridCol w:w="1630"/>
        <w:gridCol w:w="2245"/>
      </w:tblGrid>
      <w:tr w:rsidR="00B91C62" w:rsidRPr="00CE02BD" w14:paraId="0ECFF659" w14:textId="77777777" w:rsidTr="001B73A3">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64CD7E22" w14:textId="77777777" w:rsidR="00B91C62" w:rsidRPr="00CE02BD" w:rsidRDefault="00B91C62" w:rsidP="000F1138">
            <w:pPr>
              <w:adjustRightInd w:val="0"/>
              <w:snapToGrid w:val="0"/>
              <w:spacing w:line="360" w:lineRule="auto"/>
              <w:jc w:val="both"/>
              <w:rPr>
                <w:rFonts w:ascii="Book Antiqua" w:hAnsi="Book Antiqua"/>
                <w:sz w:val="24"/>
                <w:szCs w:val="24"/>
                <w:lang w:val="en-US"/>
              </w:rPr>
            </w:pPr>
            <w:r w:rsidRPr="00CE02BD">
              <w:rPr>
                <w:rFonts w:ascii="Book Antiqua" w:hAnsi="Book Antiqua"/>
                <w:sz w:val="24"/>
                <w:szCs w:val="24"/>
                <w:lang w:val="en-US"/>
              </w:rPr>
              <w:t>Study</w:t>
            </w:r>
          </w:p>
        </w:tc>
        <w:tc>
          <w:tcPr>
            <w:tcW w:w="0" w:type="dxa"/>
            <w:tcBorders>
              <w:top w:val="single" w:sz="4" w:space="0" w:color="auto"/>
              <w:bottom w:val="single" w:sz="4" w:space="0" w:color="auto"/>
            </w:tcBorders>
          </w:tcPr>
          <w:p w14:paraId="3A6CD9C2" w14:textId="77777777" w:rsidR="00B91C62" w:rsidRPr="00CE02BD"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Study type</w:t>
            </w:r>
          </w:p>
        </w:tc>
        <w:tc>
          <w:tcPr>
            <w:tcW w:w="0" w:type="dxa"/>
            <w:tcBorders>
              <w:top w:val="single" w:sz="4" w:space="0" w:color="auto"/>
              <w:bottom w:val="single" w:sz="4" w:space="0" w:color="auto"/>
            </w:tcBorders>
          </w:tcPr>
          <w:p w14:paraId="7CEAC788" w14:textId="3CBCCE59" w:rsidR="00B91C62" w:rsidRPr="00CE02BD"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Treatment targets evaluated</w:t>
            </w:r>
          </w:p>
        </w:tc>
        <w:tc>
          <w:tcPr>
            <w:tcW w:w="0" w:type="dxa"/>
            <w:tcBorders>
              <w:top w:val="single" w:sz="4" w:space="0" w:color="auto"/>
              <w:bottom w:val="single" w:sz="4" w:space="0" w:color="auto"/>
            </w:tcBorders>
          </w:tcPr>
          <w:p w14:paraId="55F5A75D" w14:textId="77777777" w:rsidR="00B91C62" w:rsidRPr="00CE02BD"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Patient population</w:t>
            </w:r>
          </w:p>
        </w:tc>
        <w:tc>
          <w:tcPr>
            <w:tcW w:w="0" w:type="dxa"/>
            <w:tcBorders>
              <w:top w:val="single" w:sz="4" w:space="0" w:color="auto"/>
              <w:bottom w:val="single" w:sz="4" w:space="0" w:color="auto"/>
            </w:tcBorders>
          </w:tcPr>
          <w:p w14:paraId="4C227779" w14:textId="77777777" w:rsidR="00B91C62" w:rsidRPr="00CE02BD"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Compared patient groups</w:t>
            </w:r>
          </w:p>
        </w:tc>
        <w:tc>
          <w:tcPr>
            <w:tcW w:w="0" w:type="dxa"/>
            <w:tcBorders>
              <w:top w:val="single" w:sz="4" w:space="0" w:color="auto"/>
              <w:bottom w:val="single" w:sz="4" w:space="0" w:color="auto"/>
            </w:tcBorders>
          </w:tcPr>
          <w:p w14:paraId="614E2AE1" w14:textId="77777777" w:rsidR="00B91C62" w:rsidRPr="00CE02BD" w:rsidRDefault="00B91C62" w:rsidP="00912F1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Outcomes</w:t>
            </w:r>
          </w:p>
        </w:tc>
      </w:tr>
      <w:tr w:rsidR="00B91C62" w:rsidRPr="00CE02BD" w14:paraId="09774E6C"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14:paraId="5B2A6A6E" w14:textId="60400B48"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t xml:space="preserve">Colombel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13</w:t>
            </w:r>
            <w:r w:rsidRPr="00CE02BD">
              <w:rPr>
                <w:rFonts w:ascii="Book Antiqua" w:hAnsi="Book Antiqua"/>
                <w:b w:val="0"/>
                <w:bCs w:val="0"/>
                <w:sz w:val="24"/>
                <w:szCs w:val="24"/>
                <w:vertAlign w:val="superscript"/>
                <w:lang w:val="en-US"/>
              </w:rPr>
              <w:sym w:font="Symbol" w:char="F05D"/>
            </w:r>
            <w:r w:rsidRPr="00CE02BD">
              <w:rPr>
                <w:rFonts w:ascii="Book Antiqua" w:hAnsi="Book Antiqua"/>
                <w:b w:val="0"/>
                <w:bCs w:val="0"/>
                <w:sz w:val="24"/>
                <w:szCs w:val="24"/>
                <w:vertAlign w:val="superscript"/>
                <w:lang w:val="en-US"/>
              </w:rPr>
              <w:t xml:space="preserve"> </w:t>
            </w:r>
            <w:r w:rsidRPr="00CE02BD">
              <w:rPr>
                <w:rFonts w:ascii="Book Antiqua" w:hAnsi="Book Antiqua"/>
                <w:b w:val="0"/>
                <w:bCs w:val="0"/>
                <w:sz w:val="24"/>
                <w:szCs w:val="24"/>
                <w:lang w:val="en-US"/>
              </w:rPr>
              <w:t>(CALM)</w:t>
            </w:r>
          </w:p>
        </w:tc>
        <w:tc>
          <w:tcPr>
            <w:tcW w:w="1134" w:type="dxa"/>
            <w:tcBorders>
              <w:top w:val="single" w:sz="4" w:space="0" w:color="auto"/>
              <w:bottom w:val="none" w:sz="0" w:space="0" w:color="auto"/>
            </w:tcBorders>
          </w:tcPr>
          <w:p w14:paraId="0541DD59"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r</w:t>
            </w:r>
            <w:r w:rsidRPr="00CE02BD">
              <w:rPr>
                <w:rFonts w:ascii="Book Antiqua" w:hAnsi="Book Antiqua"/>
                <w:sz w:val="24"/>
                <w:szCs w:val="24"/>
                <w:lang w:val="en-US"/>
              </w:rPr>
              <w:t>andomized clinical trial</w:t>
            </w:r>
          </w:p>
        </w:tc>
        <w:tc>
          <w:tcPr>
            <w:tcW w:w="1134" w:type="dxa"/>
            <w:tcBorders>
              <w:top w:val="single" w:sz="4" w:space="0" w:color="auto"/>
              <w:bottom w:val="none" w:sz="0" w:space="0" w:color="auto"/>
            </w:tcBorders>
          </w:tcPr>
          <w:p w14:paraId="4AD55B93"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Combined clinical and biomarker</w:t>
            </w:r>
          </w:p>
        </w:tc>
        <w:tc>
          <w:tcPr>
            <w:tcW w:w="1304" w:type="dxa"/>
            <w:tcBorders>
              <w:top w:val="single" w:sz="4" w:space="0" w:color="auto"/>
              <w:bottom w:val="none" w:sz="0" w:space="0" w:color="auto"/>
            </w:tcBorders>
          </w:tcPr>
          <w:p w14:paraId="7626F1BD" w14:textId="799CDB74"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CD– 244 patients</w:t>
            </w:r>
          </w:p>
        </w:tc>
        <w:tc>
          <w:tcPr>
            <w:tcW w:w="1757" w:type="dxa"/>
            <w:tcBorders>
              <w:top w:val="single" w:sz="4" w:space="0" w:color="auto"/>
              <w:bottom w:val="none" w:sz="0" w:space="0" w:color="auto"/>
            </w:tcBorders>
          </w:tcPr>
          <w:p w14:paraId="4F14C99C" w14:textId="31BC659F"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i</w:t>
            </w:r>
            <w:r w:rsidRPr="00CE02BD">
              <w:rPr>
                <w:rFonts w:ascii="Book Antiqua" w:hAnsi="Book Antiqua"/>
                <w:sz w:val="24"/>
                <w:szCs w:val="24"/>
                <w:lang w:val="en-US"/>
              </w:rPr>
              <w:t xml:space="preserve">ncremental therapy escalation based on ‘tight control’ with biomarker (CRP and FCAL) and clinical assessment every 12 </w:t>
            </w:r>
            <w:r w:rsidR="00967F41" w:rsidRPr="00CE02BD">
              <w:rPr>
                <w:rFonts w:ascii="Book Antiqua" w:hAnsi="Book Antiqua"/>
                <w:sz w:val="24"/>
                <w:szCs w:val="24"/>
                <w:lang w:val="en-US"/>
              </w:rPr>
              <w:t>wk</w:t>
            </w:r>
            <w:r w:rsidRPr="00CE02BD">
              <w:rPr>
                <w:rFonts w:ascii="Book Antiqua" w:hAnsi="Book Antiqua"/>
                <w:sz w:val="24"/>
                <w:szCs w:val="24"/>
                <w:lang w:val="en-US"/>
              </w:rPr>
              <w:t xml:space="preserve">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‘clinical management’ with only clinical assessment</w:t>
            </w:r>
          </w:p>
        </w:tc>
        <w:tc>
          <w:tcPr>
            <w:tcW w:w="2721" w:type="dxa"/>
            <w:tcBorders>
              <w:top w:val="single" w:sz="4" w:space="0" w:color="auto"/>
              <w:bottom w:val="none" w:sz="0" w:space="0" w:color="auto"/>
            </w:tcBorders>
          </w:tcPr>
          <w:p w14:paraId="6B873984" w14:textId="0432D3AC"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o</w:t>
            </w:r>
            <w:r w:rsidRPr="00CE02BD">
              <w:rPr>
                <w:rFonts w:ascii="Book Antiqua" w:hAnsi="Book Antiqua"/>
                <w:sz w:val="24"/>
                <w:szCs w:val="24"/>
                <w:lang w:val="en-US"/>
              </w:rPr>
              <w:t xml:space="preserve">utcomes at 48 </w:t>
            </w:r>
            <w:r w:rsidR="00967F41" w:rsidRPr="00CE02BD">
              <w:rPr>
                <w:rFonts w:ascii="Book Antiqua" w:hAnsi="Book Antiqua"/>
                <w:sz w:val="24"/>
                <w:szCs w:val="24"/>
                <w:lang w:val="en-US"/>
              </w:rPr>
              <w:t>wk</w:t>
            </w:r>
            <w:r w:rsidRPr="00CE02BD">
              <w:rPr>
                <w:rFonts w:ascii="Book Antiqua" w:hAnsi="Book Antiqua"/>
                <w:sz w:val="24"/>
                <w:szCs w:val="24"/>
                <w:lang w:val="en-US"/>
              </w:rPr>
              <w:t>:</w:t>
            </w:r>
          </w:p>
          <w:p w14:paraId="3DB6609C" w14:textId="52288064" w:rsidR="00B91C62" w:rsidRPr="00CE02BD" w:rsidRDefault="00912F1E"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M</w:t>
            </w:r>
            <w:r w:rsidR="00B91C62" w:rsidRPr="00CE02BD">
              <w:rPr>
                <w:rFonts w:ascii="Book Antiqua" w:hAnsi="Book Antiqua"/>
                <w:sz w:val="24"/>
                <w:szCs w:val="24"/>
                <w:lang w:val="en-US"/>
              </w:rPr>
              <w:t>ucosal healing (CDEIS &lt;</w:t>
            </w:r>
            <w:r w:rsidRPr="00CE02BD">
              <w:rPr>
                <w:rFonts w:ascii="Book Antiqua" w:hAnsi="Book Antiqua"/>
                <w:sz w:val="24"/>
                <w:szCs w:val="24"/>
                <w:lang w:val="en-US"/>
              </w:rPr>
              <w:t xml:space="preserve"> </w:t>
            </w:r>
            <w:r w:rsidR="00B91C62" w:rsidRPr="00CE02BD">
              <w:rPr>
                <w:rFonts w:ascii="Book Antiqua" w:hAnsi="Book Antiqua"/>
                <w:sz w:val="24"/>
                <w:szCs w:val="24"/>
                <w:lang w:val="en-US"/>
              </w:rPr>
              <w:t xml:space="preserve">4 and no deep ulcerations), 45.9% </w:t>
            </w:r>
            <w:r w:rsidR="00967F41" w:rsidRPr="00CE02BD">
              <w:rPr>
                <w:rFonts w:ascii="Book Antiqua" w:hAnsi="Book Antiqua"/>
                <w:i/>
                <w:sz w:val="24"/>
                <w:szCs w:val="24"/>
                <w:lang w:val="en-US"/>
              </w:rPr>
              <w:t>vs</w:t>
            </w:r>
            <w:r w:rsidR="00B91C62" w:rsidRPr="00CE02BD">
              <w:rPr>
                <w:rFonts w:ascii="Book Antiqua" w:hAnsi="Book Antiqua"/>
                <w:sz w:val="24"/>
                <w:szCs w:val="24"/>
                <w:lang w:val="en-US"/>
              </w:rPr>
              <w:t xml:space="preserve"> 30.3%; </w:t>
            </w:r>
            <w:r w:rsidRPr="00CE02BD">
              <w:rPr>
                <w:rFonts w:ascii="Book Antiqua" w:hAnsi="Book Antiqua"/>
                <w:i/>
                <w:iCs/>
                <w:sz w:val="24"/>
                <w:szCs w:val="24"/>
                <w:lang w:val="en-US"/>
              </w:rPr>
              <w:t>P</w:t>
            </w:r>
            <w:r w:rsidRPr="00CE02BD">
              <w:rPr>
                <w:rFonts w:ascii="Book Antiqua" w:hAnsi="Book Antiqua"/>
                <w:sz w:val="24"/>
                <w:szCs w:val="24"/>
                <w:lang w:val="en-US"/>
              </w:rPr>
              <w:t xml:space="preserve"> </w:t>
            </w:r>
            <w:r w:rsidR="00B91C62" w:rsidRPr="00CE02BD">
              <w:rPr>
                <w:rFonts w:ascii="Book Antiqua" w:hAnsi="Book Antiqua"/>
                <w:sz w:val="24"/>
                <w:szCs w:val="24"/>
                <w:lang w:val="en-US"/>
              </w:rPr>
              <w:t>=</w:t>
            </w:r>
            <w:r w:rsidRPr="00CE02BD">
              <w:rPr>
                <w:rFonts w:ascii="Book Antiqua" w:hAnsi="Book Antiqua"/>
                <w:sz w:val="24"/>
                <w:szCs w:val="24"/>
                <w:lang w:val="en-US"/>
              </w:rPr>
              <w:t xml:space="preserve"> </w:t>
            </w:r>
            <w:r w:rsidR="00B91C62" w:rsidRPr="00CE02BD">
              <w:rPr>
                <w:rFonts w:ascii="Book Antiqua" w:hAnsi="Book Antiqua"/>
                <w:sz w:val="24"/>
                <w:szCs w:val="24"/>
                <w:lang w:val="en-US"/>
              </w:rPr>
              <w:t>0.010</w:t>
            </w:r>
          </w:p>
          <w:p w14:paraId="18A50AA1" w14:textId="315636D6" w:rsidR="00B91C62" w:rsidRPr="00CE02BD" w:rsidRDefault="00B91C62"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steroid free remission, 59.8%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39.3%;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0.001</w:t>
            </w:r>
          </w:p>
          <w:p w14:paraId="0E9580AF" w14:textId="01EA23D2" w:rsidR="00B91C62" w:rsidRPr="00CE02BD" w:rsidRDefault="00B91C62"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deep remission (CDAI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150, CDEIS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 xml:space="preserve">4 and no deep ulcers), 36.9%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23.0%;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0.014</w:t>
            </w:r>
          </w:p>
          <w:p w14:paraId="187663E9" w14:textId="03A92753" w:rsidR="00B91C62" w:rsidRPr="00CE02BD" w:rsidRDefault="00B91C62" w:rsidP="00912F1E">
            <w:pPr>
              <w:numPr>
                <w:ilvl w:val="0"/>
                <w:numId w:val="3"/>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biological remission (FCAL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250 μg/g, CRP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5 mg/L, and CDEIS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4),</w:t>
            </w:r>
          </w:p>
          <w:p w14:paraId="10E3AD2D" w14:textId="56FD8CBE"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29.5%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15.6;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0.006</w:t>
            </w:r>
          </w:p>
        </w:tc>
      </w:tr>
      <w:tr w:rsidR="00B91C62" w:rsidRPr="00CE02BD" w14:paraId="78C39861"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41084C1E" w14:textId="1083987A" w:rsidR="00B91C62" w:rsidRPr="00CE02BD" w:rsidRDefault="004600DA"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t>Ungaro</w:t>
            </w:r>
            <w:r w:rsidR="00B91C62" w:rsidRPr="00CE02BD">
              <w:rPr>
                <w:rFonts w:ascii="Book Antiqua" w:hAnsi="Book Antiqua"/>
                <w:b w:val="0"/>
                <w:bCs w:val="0"/>
                <w:sz w:val="24"/>
                <w:szCs w:val="24"/>
                <w:lang w:val="en-US"/>
              </w:rPr>
              <w:t xml:space="preserve"> </w:t>
            </w:r>
            <w:r w:rsidR="00967F41" w:rsidRPr="00CE02BD">
              <w:rPr>
                <w:rFonts w:ascii="Book Antiqua" w:hAnsi="Book Antiqua"/>
                <w:b w:val="0"/>
                <w:bCs w:val="0"/>
                <w:i/>
                <w:sz w:val="24"/>
                <w:szCs w:val="24"/>
                <w:lang w:val="en-US"/>
              </w:rPr>
              <w:t>et al</w:t>
            </w:r>
            <w:r w:rsidR="00B91C62" w:rsidRPr="00CE02BD">
              <w:rPr>
                <w:rFonts w:ascii="Book Antiqua" w:hAnsi="Book Antiqua"/>
                <w:b w:val="0"/>
                <w:bCs w:val="0"/>
                <w:sz w:val="24"/>
                <w:szCs w:val="24"/>
                <w:vertAlign w:val="superscript"/>
                <w:lang w:val="en-US"/>
              </w:rPr>
              <w:sym w:font="Symbol" w:char="F05B"/>
            </w:r>
            <w:r w:rsidR="00B91C62" w:rsidRPr="00CE02BD">
              <w:rPr>
                <w:rFonts w:ascii="Book Antiqua" w:hAnsi="Book Antiqua"/>
                <w:b w:val="0"/>
                <w:bCs w:val="0"/>
                <w:sz w:val="24"/>
                <w:szCs w:val="24"/>
                <w:vertAlign w:val="superscript"/>
                <w:lang w:val="en-US"/>
              </w:rPr>
              <w:t>55</w:t>
            </w:r>
            <w:r w:rsidR="00B91C62" w:rsidRPr="00CE02BD">
              <w:rPr>
                <w:rFonts w:ascii="Book Antiqua" w:hAnsi="Book Antiqua"/>
                <w:b w:val="0"/>
                <w:bCs w:val="0"/>
                <w:sz w:val="24"/>
                <w:szCs w:val="24"/>
                <w:vertAlign w:val="superscript"/>
                <w:lang w:val="en-US"/>
              </w:rPr>
              <w:sym w:font="Symbol" w:char="F05D"/>
            </w:r>
            <w:r w:rsidR="00B91C62" w:rsidRPr="00CE02BD">
              <w:rPr>
                <w:rFonts w:ascii="Book Antiqua" w:hAnsi="Book Antiqua"/>
                <w:b w:val="0"/>
                <w:bCs w:val="0"/>
                <w:sz w:val="24"/>
                <w:szCs w:val="24"/>
                <w:lang w:val="en-US"/>
              </w:rPr>
              <w:t xml:space="preserve"> </w:t>
            </w:r>
            <w:r w:rsidR="00B91C62" w:rsidRPr="00CE02BD">
              <w:rPr>
                <w:rFonts w:ascii="Book Antiqua" w:hAnsi="Book Antiqua"/>
                <w:b w:val="0"/>
                <w:bCs w:val="0"/>
                <w:sz w:val="24"/>
                <w:szCs w:val="24"/>
                <w:lang w:val="en-US"/>
              </w:rPr>
              <w:lastRenderedPageBreak/>
              <w:t>(CALM – long term extension)</w:t>
            </w:r>
          </w:p>
        </w:tc>
        <w:tc>
          <w:tcPr>
            <w:tcW w:w="1134" w:type="dxa"/>
          </w:tcPr>
          <w:p w14:paraId="765CEE4A"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lastRenderedPageBreak/>
              <w:t>r</w:t>
            </w:r>
            <w:r w:rsidRPr="00CE02BD">
              <w:rPr>
                <w:rFonts w:ascii="Book Antiqua" w:hAnsi="Book Antiqua"/>
                <w:sz w:val="24"/>
                <w:szCs w:val="24"/>
                <w:lang w:val="en-US"/>
              </w:rPr>
              <w:t xml:space="preserve">andomized clinical </w:t>
            </w:r>
            <w:r w:rsidRPr="00CE02BD">
              <w:rPr>
                <w:rFonts w:ascii="Book Antiqua" w:hAnsi="Book Antiqua"/>
                <w:sz w:val="24"/>
                <w:szCs w:val="24"/>
                <w:lang w:val="en-US"/>
              </w:rPr>
              <w:lastRenderedPageBreak/>
              <w:t>trial</w:t>
            </w:r>
          </w:p>
        </w:tc>
        <w:tc>
          <w:tcPr>
            <w:tcW w:w="1134" w:type="dxa"/>
          </w:tcPr>
          <w:p w14:paraId="662E9374"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lastRenderedPageBreak/>
              <w:t>Endoscopy</w:t>
            </w:r>
          </w:p>
        </w:tc>
        <w:tc>
          <w:tcPr>
            <w:tcW w:w="1304" w:type="dxa"/>
          </w:tcPr>
          <w:p w14:paraId="23DBABAC"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CD – 122 patients</w:t>
            </w:r>
          </w:p>
        </w:tc>
        <w:tc>
          <w:tcPr>
            <w:tcW w:w="1757" w:type="dxa"/>
          </w:tcPr>
          <w:p w14:paraId="3D55B9DB" w14:textId="467A89E4" w:rsidR="00B91C62" w:rsidRPr="00CE02BD" w:rsidRDefault="00912F1E"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E</w:t>
            </w:r>
            <w:r w:rsidR="00B91C62" w:rsidRPr="00CE02BD">
              <w:rPr>
                <w:rFonts w:ascii="Book Antiqua" w:hAnsi="Book Antiqua"/>
                <w:sz w:val="24"/>
                <w:szCs w:val="24"/>
                <w:lang w:val="en-US"/>
              </w:rPr>
              <w:t xml:space="preserve">ndoscopic remission </w:t>
            </w:r>
            <w:r w:rsidR="00B91C62" w:rsidRPr="00CE02BD">
              <w:rPr>
                <w:rFonts w:ascii="Book Antiqua" w:hAnsi="Book Antiqua"/>
                <w:sz w:val="24"/>
                <w:szCs w:val="24"/>
                <w:lang w:val="en-US"/>
              </w:rPr>
              <w:lastRenderedPageBreak/>
              <w:t>(CDEIS &lt;</w:t>
            </w:r>
            <w:r w:rsidRPr="00CE02BD">
              <w:rPr>
                <w:rFonts w:ascii="Book Antiqua" w:hAnsi="Book Antiqua"/>
                <w:sz w:val="24"/>
                <w:szCs w:val="24"/>
                <w:lang w:val="en-US"/>
              </w:rPr>
              <w:t xml:space="preserve"> </w:t>
            </w:r>
            <w:r w:rsidR="00B91C62" w:rsidRPr="00CE02BD">
              <w:rPr>
                <w:rFonts w:ascii="Book Antiqua" w:hAnsi="Book Antiqua"/>
                <w:sz w:val="24"/>
                <w:szCs w:val="24"/>
                <w:lang w:val="en-US"/>
              </w:rPr>
              <w:t xml:space="preserve">4 and no deep ulcerations) at 1 yr </w:t>
            </w:r>
            <w:r w:rsidR="00967F41" w:rsidRPr="00CE02BD">
              <w:rPr>
                <w:rFonts w:ascii="Book Antiqua" w:hAnsi="Book Antiqua"/>
                <w:i/>
                <w:sz w:val="24"/>
                <w:szCs w:val="24"/>
                <w:lang w:val="en-US"/>
              </w:rPr>
              <w:t>vs</w:t>
            </w:r>
            <w:r w:rsidR="00B91C62" w:rsidRPr="00CE02BD">
              <w:rPr>
                <w:rFonts w:ascii="Book Antiqua" w:hAnsi="Book Antiqua"/>
                <w:sz w:val="24"/>
                <w:szCs w:val="24"/>
                <w:lang w:val="en-US"/>
              </w:rPr>
              <w:t xml:space="preserve"> NOT</w:t>
            </w:r>
          </w:p>
          <w:p w14:paraId="1CC7CE44"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p w14:paraId="3840DA06" w14:textId="78BD8758"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d</w:t>
            </w:r>
            <w:r w:rsidRPr="00CE02BD">
              <w:rPr>
                <w:rFonts w:ascii="Book Antiqua" w:hAnsi="Book Antiqua"/>
                <w:sz w:val="24"/>
                <w:szCs w:val="24"/>
                <w:lang w:val="en-US"/>
              </w:rPr>
              <w:t>eep remission (CDAI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150, CDEIS &lt;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 xml:space="preserve">4 and no deep ulcers) at 1 yr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NOT</w:t>
            </w:r>
          </w:p>
        </w:tc>
        <w:tc>
          <w:tcPr>
            <w:tcW w:w="2721" w:type="dxa"/>
          </w:tcPr>
          <w:p w14:paraId="2AF8F16C" w14:textId="36A30FAE"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lastRenderedPageBreak/>
              <w:t xml:space="preserve">composite of major adverse </w:t>
            </w:r>
            <w:r w:rsidRPr="00CE02BD">
              <w:rPr>
                <w:rFonts w:ascii="Book Antiqua" w:hAnsi="Book Antiqua"/>
                <w:sz w:val="24"/>
                <w:szCs w:val="24"/>
                <w:lang w:val="en-US"/>
              </w:rPr>
              <w:lastRenderedPageBreak/>
              <w:t xml:space="preserve">outcomes reflecting CD progression: </w:t>
            </w:r>
            <w:r w:rsidR="00912F1E" w:rsidRPr="00CE02BD">
              <w:rPr>
                <w:rFonts w:ascii="Book Antiqua" w:hAnsi="Book Antiqua"/>
                <w:sz w:val="24"/>
                <w:szCs w:val="24"/>
                <w:lang w:val="en-US"/>
              </w:rPr>
              <w:t>N</w:t>
            </w:r>
            <w:r w:rsidRPr="00CE02BD">
              <w:rPr>
                <w:rFonts w:ascii="Book Antiqua" w:hAnsi="Book Antiqua"/>
                <w:sz w:val="24"/>
                <w:szCs w:val="24"/>
                <w:lang w:val="en-US"/>
              </w:rPr>
              <w:t>ew internal fistula/abscess,</w:t>
            </w:r>
          </w:p>
          <w:p w14:paraId="2B527C86" w14:textId="31266299"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stricture, perianal fistula/abscess, CD hospitalization, or CD surgery (median 3 yr follow-up after end of CALM):</w:t>
            </w:r>
          </w:p>
          <w:p w14:paraId="167FF4AD"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p w14:paraId="45DA5C13" w14:textId="764D61FB" w:rsidR="00B91C62" w:rsidRPr="00CE02BD" w:rsidRDefault="00B91C62" w:rsidP="00912F1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aHR</w:t>
            </w:r>
            <w:r w:rsidR="00912F1E" w:rsidRPr="00CE02BD">
              <w:rPr>
                <w:rFonts w:ascii="Book Antiqua" w:hAnsi="Book Antiqua"/>
                <w:sz w:val="24"/>
                <w:szCs w:val="24"/>
                <w:lang w:val="en-US"/>
              </w:rPr>
              <w:t xml:space="preserve"> =</w:t>
            </w:r>
            <w:r w:rsidRPr="00CE02BD">
              <w:rPr>
                <w:rFonts w:ascii="Book Antiqua" w:hAnsi="Book Antiqua"/>
                <w:sz w:val="24"/>
                <w:szCs w:val="24"/>
                <w:lang w:val="en-US"/>
              </w:rPr>
              <w:t xml:space="preserve"> 0.44, 95%CI</w:t>
            </w:r>
            <w:r w:rsidR="00912F1E" w:rsidRPr="00CE02BD">
              <w:rPr>
                <w:rFonts w:ascii="Book Antiqua" w:hAnsi="Book Antiqua"/>
                <w:sz w:val="24"/>
                <w:szCs w:val="24"/>
                <w:lang w:val="en-US"/>
              </w:rPr>
              <w:t>:</w:t>
            </w:r>
            <w:r w:rsidRPr="00CE02BD">
              <w:rPr>
                <w:rFonts w:ascii="Book Antiqua" w:hAnsi="Book Antiqua"/>
                <w:sz w:val="24"/>
                <w:szCs w:val="24"/>
                <w:lang w:val="en-US"/>
              </w:rPr>
              <w:t xml:space="preserve"> 0.20-0.96,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0.038</w:t>
            </w:r>
          </w:p>
          <w:p w14:paraId="650B2CD3" w14:textId="5FB27629" w:rsidR="00B91C62" w:rsidRPr="00CE02BD" w:rsidRDefault="00B91C62" w:rsidP="00912F1E">
            <w:pPr>
              <w:adjustRightInd w:val="0"/>
              <w:snapToGri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aHR</w:t>
            </w:r>
            <w:r w:rsidR="00912F1E" w:rsidRPr="00CE02BD">
              <w:rPr>
                <w:rFonts w:ascii="Book Antiqua" w:hAnsi="Book Antiqua"/>
                <w:sz w:val="24"/>
                <w:szCs w:val="24"/>
                <w:lang w:val="en-US"/>
              </w:rPr>
              <w:t xml:space="preserve"> =</w:t>
            </w:r>
            <w:r w:rsidRPr="00CE02BD">
              <w:rPr>
                <w:rFonts w:ascii="Book Antiqua" w:hAnsi="Book Antiqua"/>
                <w:sz w:val="24"/>
                <w:szCs w:val="24"/>
                <w:lang w:val="en-US"/>
              </w:rPr>
              <w:t xml:space="preserve"> 0.25, 95%CI</w:t>
            </w:r>
            <w:r w:rsidR="00912F1E" w:rsidRPr="00CE02BD">
              <w:rPr>
                <w:rFonts w:ascii="Book Antiqua" w:hAnsi="Book Antiqua"/>
                <w:sz w:val="24"/>
                <w:szCs w:val="24"/>
                <w:lang w:val="en-US"/>
              </w:rPr>
              <w:t>:</w:t>
            </w:r>
            <w:r w:rsidRPr="00CE02BD">
              <w:rPr>
                <w:rFonts w:ascii="Book Antiqua" w:hAnsi="Book Antiqua"/>
                <w:sz w:val="24"/>
                <w:szCs w:val="24"/>
                <w:lang w:val="en-US"/>
              </w:rPr>
              <w:t xml:space="preserve"> 0.09-0.72,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0.01</w:t>
            </w:r>
          </w:p>
        </w:tc>
      </w:tr>
      <w:tr w:rsidR="00B91C62" w:rsidRPr="00CE02BD" w14:paraId="4551117D"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02B9B981" w14:textId="41191279"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lastRenderedPageBreak/>
              <w:t xml:space="preserve">Shah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38</w:t>
            </w:r>
            <w:r w:rsidRPr="00CE02BD">
              <w:rPr>
                <w:rFonts w:ascii="Book Antiqua" w:hAnsi="Book Antiqua"/>
                <w:b w:val="0"/>
                <w:bCs w:val="0"/>
                <w:sz w:val="24"/>
                <w:szCs w:val="24"/>
                <w:vertAlign w:val="superscript"/>
                <w:lang w:val="en-US"/>
              </w:rPr>
              <w:sym w:font="Symbol" w:char="F05D"/>
            </w:r>
            <w:r w:rsidRPr="00CE02BD">
              <w:rPr>
                <w:rFonts w:ascii="Book Antiqua" w:hAnsi="Book Antiqua"/>
                <w:b w:val="0"/>
                <w:bCs w:val="0"/>
                <w:sz w:val="24"/>
                <w:szCs w:val="24"/>
                <w:lang w:val="en-US"/>
              </w:rPr>
              <w:t xml:space="preserve"> </w:t>
            </w:r>
          </w:p>
        </w:tc>
        <w:tc>
          <w:tcPr>
            <w:tcW w:w="1134" w:type="dxa"/>
            <w:tcBorders>
              <w:top w:val="none" w:sz="0" w:space="0" w:color="auto"/>
              <w:bottom w:val="none" w:sz="0" w:space="0" w:color="auto"/>
            </w:tcBorders>
          </w:tcPr>
          <w:p w14:paraId="2A0E2B82"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Meta-analysis</w:t>
            </w:r>
          </w:p>
        </w:tc>
        <w:tc>
          <w:tcPr>
            <w:tcW w:w="1134" w:type="dxa"/>
            <w:tcBorders>
              <w:top w:val="none" w:sz="0" w:space="0" w:color="auto"/>
              <w:bottom w:val="none" w:sz="0" w:space="0" w:color="auto"/>
            </w:tcBorders>
          </w:tcPr>
          <w:p w14:paraId="7CA7E30E"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Endoscopy</w:t>
            </w:r>
          </w:p>
        </w:tc>
        <w:tc>
          <w:tcPr>
            <w:tcW w:w="1304" w:type="dxa"/>
            <w:tcBorders>
              <w:top w:val="none" w:sz="0" w:space="0" w:color="auto"/>
              <w:bottom w:val="none" w:sz="0" w:space="0" w:color="auto"/>
            </w:tcBorders>
          </w:tcPr>
          <w:p w14:paraId="4FBE9635" w14:textId="1A0DFA0F"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CD – 673 patients (12 studies included)</w:t>
            </w:r>
          </w:p>
        </w:tc>
        <w:tc>
          <w:tcPr>
            <w:tcW w:w="1757" w:type="dxa"/>
            <w:tcBorders>
              <w:top w:val="none" w:sz="0" w:space="0" w:color="auto"/>
              <w:bottom w:val="none" w:sz="0" w:space="0" w:color="auto"/>
            </w:tcBorders>
          </w:tcPr>
          <w:p w14:paraId="5D954E7C" w14:textId="39FAC353"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a</w:t>
            </w:r>
            <w:r w:rsidRPr="00CE02BD">
              <w:rPr>
                <w:rFonts w:ascii="Book Antiqua" w:hAnsi="Book Antiqua"/>
                <w:sz w:val="24"/>
                <w:szCs w:val="24"/>
                <w:lang w:val="en-US"/>
              </w:rPr>
              <w:t xml:space="preserve">chieving MH at first endoscopic assessment after therapy initiation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NOT</w:t>
            </w:r>
          </w:p>
        </w:tc>
        <w:tc>
          <w:tcPr>
            <w:tcW w:w="2721" w:type="dxa"/>
            <w:tcBorders>
              <w:top w:val="none" w:sz="0" w:space="0" w:color="auto"/>
              <w:bottom w:val="none" w:sz="0" w:space="0" w:color="auto"/>
            </w:tcBorders>
          </w:tcPr>
          <w:p w14:paraId="43F0E614" w14:textId="708B8E1C"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o</w:t>
            </w:r>
            <w:r w:rsidRPr="00CE02BD">
              <w:rPr>
                <w:rFonts w:ascii="Book Antiqua" w:hAnsi="Book Antiqua"/>
                <w:sz w:val="24"/>
                <w:szCs w:val="24"/>
                <w:lang w:val="en-US"/>
              </w:rPr>
              <w:t>utcomes reported at ≥</w:t>
            </w:r>
            <w:r w:rsidR="00912F1E" w:rsidRPr="00CE02BD">
              <w:rPr>
                <w:rFonts w:ascii="Book Antiqua" w:hAnsi="Book Antiqua"/>
                <w:sz w:val="24"/>
                <w:szCs w:val="24"/>
                <w:lang w:val="en-US"/>
              </w:rPr>
              <w:t xml:space="preserve"> </w:t>
            </w:r>
            <w:r w:rsidRPr="00CE02BD">
              <w:rPr>
                <w:rFonts w:ascii="Book Antiqua" w:hAnsi="Book Antiqua"/>
                <w:sz w:val="24"/>
                <w:szCs w:val="24"/>
                <w:lang w:val="en-US"/>
              </w:rPr>
              <w:t xml:space="preserve">50 </w:t>
            </w:r>
            <w:r w:rsidR="00967F41" w:rsidRPr="00CE02BD">
              <w:rPr>
                <w:rFonts w:ascii="Book Antiqua" w:hAnsi="Book Antiqua"/>
                <w:sz w:val="24"/>
                <w:szCs w:val="24"/>
                <w:lang w:val="en-US"/>
              </w:rPr>
              <w:t>wk</w:t>
            </w:r>
            <w:r w:rsidRPr="00CE02BD">
              <w:rPr>
                <w:rFonts w:ascii="Book Antiqua" w:hAnsi="Book Antiqua"/>
                <w:sz w:val="24"/>
                <w:szCs w:val="24"/>
                <w:lang w:val="en-US"/>
              </w:rPr>
              <w:t>:</w:t>
            </w:r>
          </w:p>
          <w:p w14:paraId="0BB770D9" w14:textId="769356C8" w:rsidR="00B91C62" w:rsidRPr="00CE02BD" w:rsidRDefault="00B91C62" w:rsidP="00912F1E">
            <w:pPr>
              <w:numPr>
                <w:ilvl w:val="0"/>
                <w:numId w:val="2"/>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olor w:val="000000" w:themeColor="text1"/>
                <w:sz w:val="24"/>
                <w:szCs w:val="24"/>
                <w:lang w:val="en-US"/>
              </w:rPr>
              <w:t>clinical remission [OR] 2.80, 95%CI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1.91</w:t>
            </w:r>
            <w:r w:rsidR="00354926"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4.10</w:t>
            </w:r>
          </w:p>
          <w:p w14:paraId="1770F7AC" w14:textId="7AC26526" w:rsidR="00B91C62" w:rsidRPr="00CE02BD" w:rsidRDefault="00B91C62" w:rsidP="00912F1E">
            <w:pPr>
              <w:numPr>
                <w:ilvl w:val="0"/>
                <w:numId w:val="2"/>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olor w:val="000000" w:themeColor="text1"/>
                <w:sz w:val="24"/>
                <w:szCs w:val="24"/>
                <w:lang w:val="en-US"/>
              </w:rPr>
              <w:t>maintenance of mucosal healing [OR] 14.30, 95%CI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5.57</w:t>
            </w:r>
            <w:r w:rsidR="00354926"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36.74</w:t>
            </w:r>
          </w:p>
          <w:p w14:paraId="63DA35DB" w14:textId="28585073" w:rsidR="00B91C62" w:rsidRPr="00CE02BD" w:rsidRDefault="00B91C62" w:rsidP="00912F1E">
            <w:pPr>
              <w:numPr>
                <w:ilvl w:val="0"/>
                <w:numId w:val="2"/>
              </w:numPr>
              <w:adjustRightInd w:val="0"/>
              <w:snapToGrid w:val="0"/>
              <w:spacing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lastRenderedPageBreak/>
              <w:t xml:space="preserve">resective </w:t>
            </w:r>
            <w:r w:rsidRPr="00CE02BD">
              <w:rPr>
                <w:rFonts w:ascii="Book Antiqua" w:hAnsi="Book Antiqua"/>
                <w:color w:val="000000" w:themeColor="text1"/>
                <w:sz w:val="24"/>
                <w:szCs w:val="24"/>
                <w:lang w:val="en-US"/>
              </w:rPr>
              <w:t>surgery [OR] 2.22, 95%CI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0.86</w:t>
            </w:r>
            <w:r w:rsidR="00354926"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5.69</w:t>
            </w:r>
          </w:p>
        </w:tc>
      </w:tr>
      <w:tr w:rsidR="00B91C62" w:rsidRPr="00CE02BD" w14:paraId="0A4D0C04"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5218B6B6" w14:textId="18941838"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lastRenderedPageBreak/>
              <w:t xml:space="preserve">Shah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39</w:t>
            </w:r>
            <w:r w:rsidRPr="00CE02BD">
              <w:rPr>
                <w:rFonts w:ascii="Book Antiqua" w:hAnsi="Book Antiqua"/>
                <w:b w:val="0"/>
                <w:bCs w:val="0"/>
                <w:sz w:val="24"/>
                <w:szCs w:val="24"/>
                <w:vertAlign w:val="superscript"/>
                <w:lang w:val="en-US"/>
              </w:rPr>
              <w:sym w:font="Symbol" w:char="F05D"/>
            </w:r>
            <w:r w:rsidRPr="00CE02BD">
              <w:rPr>
                <w:rFonts w:ascii="Book Antiqua" w:hAnsi="Book Antiqua"/>
                <w:b w:val="0"/>
                <w:bCs w:val="0"/>
                <w:sz w:val="24"/>
                <w:szCs w:val="24"/>
                <w:lang w:val="en-US"/>
              </w:rPr>
              <w:t xml:space="preserve"> </w:t>
            </w:r>
          </w:p>
        </w:tc>
        <w:tc>
          <w:tcPr>
            <w:tcW w:w="1134" w:type="dxa"/>
          </w:tcPr>
          <w:p w14:paraId="192636D7"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Meta-analysis</w:t>
            </w:r>
          </w:p>
        </w:tc>
        <w:tc>
          <w:tcPr>
            <w:tcW w:w="1134" w:type="dxa"/>
          </w:tcPr>
          <w:p w14:paraId="6A129DF6"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Endoscopy</w:t>
            </w:r>
          </w:p>
        </w:tc>
        <w:tc>
          <w:tcPr>
            <w:tcW w:w="1304" w:type="dxa"/>
          </w:tcPr>
          <w:p w14:paraId="6742C79F"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UC – 2073 patients (13 studies included)</w:t>
            </w:r>
          </w:p>
        </w:tc>
        <w:tc>
          <w:tcPr>
            <w:tcW w:w="1757" w:type="dxa"/>
          </w:tcPr>
          <w:p w14:paraId="07F11620" w14:textId="5611F27B" w:rsidR="00B91C62" w:rsidRPr="00CE02BD" w:rsidRDefault="00912F1E"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A</w:t>
            </w:r>
            <w:r w:rsidR="00B91C62" w:rsidRPr="00CE02BD">
              <w:rPr>
                <w:rFonts w:ascii="Book Antiqua" w:hAnsi="Book Antiqua"/>
                <w:sz w:val="24"/>
                <w:szCs w:val="24"/>
                <w:lang w:val="en-US"/>
              </w:rPr>
              <w:t xml:space="preserve">chieving MH at first endoscopic assessment after therapy initiation </w:t>
            </w:r>
            <w:r w:rsidR="00967F41" w:rsidRPr="00CE02BD">
              <w:rPr>
                <w:rFonts w:ascii="Book Antiqua" w:hAnsi="Book Antiqua"/>
                <w:i/>
                <w:sz w:val="24"/>
                <w:szCs w:val="24"/>
                <w:lang w:val="en-US"/>
              </w:rPr>
              <w:t>vs</w:t>
            </w:r>
            <w:r w:rsidR="00B91C62" w:rsidRPr="00CE02BD">
              <w:rPr>
                <w:rFonts w:ascii="Book Antiqua" w:hAnsi="Book Antiqua"/>
                <w:sz w:val="24"/>
                <w:szCs w:val="24"/>
                <w:lang w:val="en-US"/>
              </w:rPr>
              <w:t xml:space="preserve"> NOT</w:t>
            </w:r>
          </w:p>
        </w:tc>
        <w:tc>
          <w:tcPr>
            <w:tcW w:w="2721" w:type="dxa"/>
          </w:tcPr>
          <w:p w14:paraId="46EA8AAA" w14:textId="5F3CA8FF"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outcomes reported at ≥</w:t>
            </w:r>
            <w:r w:rsidR="00912F1E" w:rsidRPr="00CE02BD">
              <w:rPr>
                <w:rFonts w:ascii="Book Antiqua" w:hAnsi="Book Antiqua"/>
                <w:sz w:val="24"/>
                <w:szCs w:val="24"/>
                <w:lang w:val="en-US"/>
              </w:rPr>
              <w:t xml:space="preserve"> </w:t>
            </w:r>
            <w:r w:rsidRPr="00CE02BD">
              <w:rPr>
                <w:rFonts w:ascii="Book Antiqua" w:hAnsi="Book Antiqua"/>
                <w:sz w:val="24"/>
                <w:szCs w:val="24"/>
                <w:lang w:val="en-US"/>
              </w:rPr>
              <w:t xml:space="preserve">50 </w:t>
            </w:r>
            <w:r w:rsidR="00967F41" w:rsidRPr="00CE02BD">
              <w:rPr>
                <w:rFonts w:ascii="Book Antiqua" w:hAnsi="Book Antiqua"/>
                <w:sz w:val="24"/>
                <w:szCs w:val="24"/>
                <w:lang w:val="en-US"/>
              </w:rPr>
              <w:t>wk</w:t>
            </w:r>
            <w:r w:rsidRPr="00CE02BD">
              <w:rPr>
                <w:rFonts w:ascii="Book Antiqua" w:hAnsi="Book Antiqua"/>
                <w:sz w:val="24"/>
                <w:szCs w:val="24"/>
                <w:lang w:val="en-US"/>
              </w:rPr>
              <w:t>:</w:t>
            </w:r>
          </w:p>
          <w:p w14:paraId="2ED668B6" w14:textId="540AC71A" w:rsidR="00B91C62" w:rsidRPr="00CE02BD"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olor w:val="000000" w:themeColor="text1"/>
                <w:sz w:val="24"/>
                <w:szCs w:val="24"/>
                <w:lang w:val="en-US"/>
              </w:rPr>
              <w:t>clinical remission [OR] 4.50, 95%CI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2.12-9.52</w:t>
            </w:r>
          </w:p>
          <w:p w14:paraId="727BD67F" w14:textId="282D65BE" w:rsidR="00B91C62" w:rsidRPr="00CE02BD"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olor w:val="000000" w:themeColor="text1"/>
                <w:sz w:val="24"/>
                <w:szCs w:val="24"/>
                <w:lang w:val="en-US"/>
              </w:rPr>
              <w:t>avoiding colectomy [OR] 4.15, 95%CI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2.53-6.81</w:t>
            </w:r>
          </w:p>
          <w:p w14:paraId="13E0B1D0" w14:textId="67D43C3A" w:rsidR="00B91C62" w:rsidRPr="00CE02BD"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olor w:val="000000" w:themeColor="text1"/>
                <w:sz w:val="24"/>
                <w:szCs w:val="24"/>
                <w:lang w:val="en-US"/>
              </w:rPr>
              <w:t>maintenance of mucosal healing [OR] 8.40, 95%CI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3.13-22.53</w:t>
            </w:r>
          </w:p>
          <w:p w14:paraId="2E122CCA" w14:textId="63FFDDDF" w:rsidR="00B91C62" w:rsidRPr="00CE02BD"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long-term corticosteroid-free clinical remission </w:t>
            </w:r>
            <w:r w:rsidRPr="00CE02BD">
              <w:rPr>
                <w:rFonts w:ascii="Book Antiqua" w:hAnsi="Book Antiqua"/>
                <w:color w:val="000000" w:themeColor="text1"/>
                <w:sz w:val="24"/>
                <w:szCs w:val="24"/>
                <w:lang w:val="en-US"/>
              </w:rPr>
              <w:t xml:space="preserve">[OR] </w:t>
            </w:r>
            <w:r w:rsidRPr="00CE02BD">
              <w:rPr>
                <w:rFonts w:ascii="Book Antiqua" w:hAnsi="Book Antiqua"/>
                <w:sz w:val="24"/>
                <w:szCs w:val="24"/>
                <w:lang w:val="en-US"/>
              </w:rPr>
              <w:t>9.70, 95%CI</w:t>
            </w:r>
            <w:r w:rsidR="00912F1E" w:rsidRPr="00CE02BD">
              <w:rPr>
                <w:rFonts w:ascii="Book Antiqua" w:hAnsi="Book Antiqua"/>
                <w:sz w:val="24"/>
                <w:szCs w:val="24"/>
                <w:lang w:val="en-US"/>
              </w:rPr>
              <w:t>:</w:t>
            </w:r>
            <w:r w:rsidRPr="00CE02BD">
              <w:rPr>
                <w:rFonts w:ascii="Book Antiqua" w:hAnsi="Book Antiqua"/>
                <w:sz w:val="24"/>
                <w:szCs w:val="24"/>
                <w:lang w:val="en-US"/>
              </w:rPr>
              <w:t xml:space="preserve"> 0.94-99.67</w:t>
            </w:r>
          </w:p>
        </w:tc>
      </w:tr>
      <w:tr w:rsidR="00B91C62" w:rsidRPr="00CE02BD" w14:paraId="60D0DA9E"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14:paraId="48D2A5A2" w14:textId="1FAB6107"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t xml:space="preserve">Park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70</w:t>
            </w:r>
            <w:r w:rsidRPr="00CE02BD">
              <w:rPr>
                <w:rFonts w:ascii="Book Antiqua" w:hAnsi="Book Antiqua"/>
                <w:b w:val="0"/>
                <w:bCs w:val="0"/>
                <w:sz w:val="24"/>
                <w:szCs w:val="24"/>
                <w:vertAlign w:val="superscript"/>
                <w:lang w:val="en-US"/>
              </w:rPr>
              <w:sym w:font="Symbol" w:char="F05D"/>
            </w:r>
            <w:r w:rsidRPr="00CE02BD">
              <w:rPr>
                <w:rFonts w:ascii="Book Antiqua" w:hAnsi="Book Antiqua"/>
                <w:b w:val="0"/>
                <w:bCs w:val="0"/>
                <w:sz w:val="24"/>
                <w:szCs w:val="24"/>
                <w:lang w:val="en-US"/>
              </w:rPr>
              <w:t xml:space="preserve"> </w:t>
            </w:r>
          </w:p>
        </w:tc>
        <w:tc>
          <w:tcPr>
            <w:tcW w:w="1134" w:type="dxa"/>
            <w:tcBorders>
              <w:top w:val="none" w:sz="0" w:space="0" w:color="auto"/>
              <w:bottom w:val="none" w:sz="0" w:space="0" w:color="auto"/>
            </w:tcBorders>
          </w:tcPr>
          <w:p w14:paraId="542909D2"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Meta-analysis</w:t>
            </w:r>
          </w:p>
        </w:tc>
        <w:tc>
          <w:tcPr>
            <w:tcW w:w="1134" w:type="dxa"/>
            <w:tcBorders>
              <w:top w:val="none" w:sz="0" w:space="0" w:color="auto"/>
              <w:bottom w:val="none" w:sz="0" w:space="0" w:color="auto"/>
            </w:tcBorders>
          </w:tcPr>
          <w:p w14:paraId="456AB28D"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Histology</w:t>
            </w:r>
          </w:p>
        </w:tc>
        <w:tc>
          <w:tcPr>
            <w:tcW w:w="1304" w:type="dxa"/>
            <w:tcBorders>
              <w:top w:val="none" w:sz="0" w:space="0" w:color="auto"/>
              <w:bottom w:val="none" w:sz="0" w:space="0" w:color="auto"/>
            </w:tcBorders>
          </w:tcPr>
          <w:p w14:paraId="2950AF54"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UC – 13 studies included</w:t>
            </w:r>
          </w:p>
        </w:tc>
        <w:tc>
          <w:tcPr>
            <w:tcW w:w="1757" w:type="dxa"/>
            <w:tcBorders>
              <w:top w:val="none" w:sz="0" w:space="0" w:color="auto"/>
              <w:bottom w:val="none" w:sz="0" w:space="0" w:color="auto"/>
            </w:tcBorders>
          </w:tcPr>
          <w:p w14:paraId="4AA1A175" w14:textId="19FE3122" w:rsidR="00B91C62" w:rsidRPr="00CE02BD" w:rsidRDefault="00B91C62" w:rsidP="00830C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h</w:t>
            </w:r>
            <w:r w:rsidRPr="00CE02BD">
              <w:rPr>
                <w:rFonts w:ascii="Book Antiqua" w:hAnsi="Book Antiqua"/>
                <w:sz w:val="24"/>
                <w:szCs w:val="24"/>
                <w:lang w:val="en-US"/>
              </w:rPr>
              <w:t xml:space="preserve">istological remission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 histological remission at baseline</w:t>
            </w:r>
          </w:p>
          <w:p w14:paraId="35BBE0B1" w14:textId="76791A83"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h</w:t>
            </w:r>
            <w:r w:rsidRPr="00CE02BD">
              <w:rPr>
                <w:rFonts w:ascii="Book Antiqua" w:hAnsi="Book Antiqua"/>
                <w:sz w:val="24"/>
                <w:szCs w:val="24"/>
                <w:lang w:val="en-US"/>
              </w:rPr>
              <w:t xml:space="preserve">istological remission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 </w:t>
            </w:r>
            <w:r w:rsidRPr="00CE02BD">
              <w:rPr>
                <w:rFonts w:ascii="Book Antiqua" w:hAnsi="Book Antiqua"/>
                <w:sz w:val="24"/>
                <w:szCs w:val="24"/>
                <w:lang w:val="en-US"/>
              </w:rPr>
              <w:lastRenderedPageBreak/>
              <w:t>histological remission at baseline among patients in combined clinical and endoscopic remission</w:t>
            </w:r>
          </w:p>
        </w:tc>
        <w:tc>
          <w:tcPr>
            <w:tcW w:w="2721" w:type="dxa"/>
            <w:tcBorders>
              <w:top w:val="none" w:sz="0" w:space="0" w:color="auto"/>
              <w:bottom w:val="none" w:sz="0" w:space="0" w:color="auto"/>
            </w:tcBorders>
          </w:tcPr>
          <w:p w14:paraId="03A7C251" w14:textId="72FF1642"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lastRenderedPageBreak/>
              <w:t xml:space="preserve">outcomes up to 12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follow-up:</w:t>
            </w:r>
          </w:p>
          <w:p w14:paraId="55D65300"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63E1322E" w14:textId="47AFAA10" w:rsidR="00B91C62" w:rsidRPr="00CE02BD" w:rsidRDefault="00B91C62" w:rsidP="00830C3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c</w:t>
            </w:r>
            <w:r w:rsidRPr="00CE02BD">
              <w:rPr>
                <w:rFonts w:ascii="Book Antiqua" w:hAnsi="Book Antiqua"/>
                <w:sz w:val="24"/>
                <w:szCs w:val="24"/>
                <w:lang w:val="en-US"/>
              </w:rPr>
              <w:t xml:space="preserve">linical relapse/ exacerbation </w:t>
            </w:r>
            <w:r w:rsidRPr="00CE02BD">
              <w:rPr>
                <w:rFonts w:ascii="Book Antiqua" w:hAnsi="Book Antiqua"/>
                <w:color w:val="000000" w:themeColor="text1"/>
                <w:sz w:val="24"/>
                <w:szCs w:val="24"/>
                <w:lang w:val="en-US"/>
              </w:rPr>
              <w:t>[RR]</w:t>
            </w:r>
            <w:r w:rsidR="00397CC0" w:rsidRPr="00CE02BD">
              <w:rPr>
                <w:rFonts w:ascii="Book Antiqua" w:hAnsi="Book Antiqua"/>
                <w:color w:val="000000" w:themeColor="text1"/>
                <w:sz w:val="24"/>
                <w:szCs w:val="24"/>
                <w:lang w:val="en-US"/>
              </w:rPr>
              <w:t xml:space="preserve"> </w:t>
            </w:r>
            <w:r w:rsidRPr="00CE02BD">
              <w:rPr>
                <w:rFonts w:ascii="Book Antiqua" w:hAnsi="Book Antiqua"/>
                <w:sz w:val="24"/>
                <w:szCs w:val="24"/>
                <w:lang w:val="en-US"/>
              </w:rPr>
              <w:t>0.48, 95%CI</w:t>
            </w:r>
            <w:r w:rsidR="00912F1E" w:rsidRPr="00CE02BD">
              <w:rPr>
                <w:rFonts w:ascii="Book Antiqua" w:hAnsi="Book Antiqua"/>
                <w:sz w:val="24"/>
                <w:szCs w:val="24"/>
                <w:lang w:val="en-US"/>
              </w:rPr>
              <w:t>:</w:t>
            </w:r>
            <w:r w:rsidRPr="00CE02BD">
              <w:rPr>
                <w:rFonts w:ascii="Book Antiqua" w:hAnsi="Book Antiqua"/>
                <w:sz w:val="24"/>
                <w:szCs w:val="24"/>
                <w:lang w:val="en-US"/>
              </w:rPr>
              <w:t xml:space="preserve"> 0.39–0.60</w:t>
            </w:r>
          </w:p>
          <w:p w14:paraId="514F0DCA" w14:textId="6176385F" w:rsidR="00B91C62" w:rsidRPr="00CE02BD" w:rsidRDefault="00B91C62" w:rsidP="00912F1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c</w:t>
            </w:r>
            <w:r w:rsidRPr="00CE02BD">
              <w:rPr>
                <w:rFonts w:ascii="Book Antiqua" w:hAnsi="Book Antiqua"/>
                <w:sz w:val="24"/>
                <w:szCs w:val="24"/>
                <w:lang w:val="en-US"/>
              </w:rPr>
              <w:t xml:space="preserve">linical relapse/ exacerbation </w:t>
            </w:r>
            <w:r w:rsidRPr="00CE02BD">
              <w:rPr>
                <w:rFonts w:ascii="Book Antiqua" w:hAnsi="Book Antiqua"/>
                <w:color w:val="000000" w:themeColor="text1"/>
                <w:sz w:val="24"/>
                <w:szCs w:val="24"/>
                <w:lang w:val="en-US"/>
              </w:rPr>
              <w:t>[RR]</w:t>
            </w:r>
            <w:r w:rsidR="00912F1E" w:rsidRPr="00CE02BD">
              <w:rPr>
                <w:rFonts w:ascii="Book Antiqua" w:hAnsi="Book Antiqua"/>
                <w:color w:val="000000" w:themeColor="text1"/>
                <w:sz w:val="24"/>
                <w:szCs w:val="24"/>
                <w:lang w:val="en-US"/>
              </w:rPr>
              <w:t xml:space="preserve"> </w:t>
            </w:r>
            <w:r w:rsidRPr="00CE02BD">
              <w:rPr>
                <w:rFonts w:ascii="Book Antiqua" w:hAnsi="Book Antiqua"/>
                <w:sz w:val="24"/>
                <w:szCs w:val="24"/>
                <w:lang w:val="en-US"/>
              </w:rPr>
              <w:lastRenderedPageBreak/>
              <w:t>0.81, 95%CI</w:t>
            </w:r>
            <w:r w:rsidR="00912F1E" w:rsidRPr="00CE02BD">
              <w:rPr>
                <w:rFonts w:ascii="Book Antiqua" w:hAnsi="Book Antiqua"/>
                <w:sz w:val="24"/>
                <w:szCs w:val="24"/>
                <w:lang w:val="en-US"/>
              </w:rPr>
              <w:t>:</w:t>
            </w:r>
            <w:r w:rsidRPr="00CE02BD">
              <w:rPr>
                <w:rFonts w:ascii="Book Antiqua" w:hAnsi="Book Antiqua"/>
                <w:sz w:val="24"/>
                <w:szCs w:val="24"/>
                <w:lang w:val="en-US"/>
              </w:rPr>
              <w:t xml:space="preserve"> 0.70–0.94</w:t>
            </w:r>
          </w:p>
        </w:tc>
      </w:tr>
      <w:tr w:rsidR="00B91C62" w:rsidRPr="00CE02BD" w14:paraId="7E3E78DC"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475FD03E" w14:textId="413C0680"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lastRenderedPageBreak/>
              <w:t xml:space="preserve">Bryant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68</w:t>
            </w:r>
            <w:r w:rsidRPr="00CE02BD">
              <w:rPr>
                <w:rFonts w:ascii="Book Antiqua" w:hAnsi="Book Antiqua"/>
                <w:b w:val="0"/>
                <w:bCs w:val="0"/>
                <w:sz w:val="24"/>
                <w:szCs w:val="24"/>
                <w:vertAlign w:val="superscript"/>
                <w:lang w:val="en-US"/>
              </w:rPr>
              <w:sym w:font="Symbol" w:char="F05D"/>
            </w:r>
            <w:r w:rsidRPr="00CE02BD">
              <w:rPr>
                <w:rFonts w:ascii="Book Antiqua" w:hAnsi="Book Antiqua"/>
                <w:b w:val="0"/>
                <w:bCs w:val="0"/>
                <w:sz w:val="24"/>
                <w:szCs w:val="24"/>
                <w:lang w:val="en-US"/>
              </w:rPr>
              <w:t xml:space="preserve"> </w:t>
            </w:r>
          </w:p>
        </w:tc>
        <w:tc>
          <w:tcPr>
            <w:tcW w:w="1134" w:type="dxa"/>
          </w:tcPr>
          <w:p w14:paraId="41C4A321"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p</w:t>
            </w:r>
            <w:r w:rsidRPr="00CE02BD">
              <w:rPr>
                <w:rFonts w:ascii="Book Antiqua" w:hAnsi="Book Antiqua"/>
                <w:sz w:val="24"/>
                <w:szCs w:val="24"/>
                <w:lang w:val="en-US"/>
              </w:rPr>
              <w:t>rospective</w:t>
            </w:r>
          </w:p>
        </w:tc>
        <w:tc>
          <w:tcPr>
            <w:tcW w:w="1134" w:type="dxa"/>
          </w:tcPr>
          <w:p w14:paraId="2FB30334"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Histology</w:t>
            </w:r>
          </w:p>
        </w:tc>
        <w:tc>
          <w:tcPr>
            <w:tcW w:w="1304" w:type="dxa"/>
          </w:tcPr>
          <w:p w14:paraId="018EB00C"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UC – 91 patients</w:t>
            </w:r>
          </w:p>
        </w:tc>
        <w:tc>
          <w:tcPr>
            <w:tcW w:w="1757" w:type="dxa"/>
          </w:tcPr>
          <w:p w14:paraId="5A045AC7" w14:textId="12309866" w:rsidR="00B91C62" w:rsidRPr="00CE02BD" w:rsidRDefault="00912F1E"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H</w:t>
            </w:r>
            <w:r w:rsidR="00B91C62" w:rsidRPr="00CE02BD">
              <w:rPr>
                <w:rFonts w:ascii="Book Antiqua" w:hAnsi="Book Antiqua"/>
                <w:sz w:val="24"/>
                <w:szCs w:val="24"/>
                <w:lang w:val="en-US"/>
              </w:rPr>
              <w:t xml:space="preserve">istological remission </w:t>
            </w:r>
            <w:r w:rsidR="00967F41" w:rsidRPr="00CE02BD">
              <w:rPr>
                <w:rFonts w:ascii="Book Antiqua" w:hAnsi="Book Antiqua"/>
                <w:i/>
                <w:sz w:val="24"/>
                <w:szCs w:val="24"/>
                <w:lang w:val="en-US"/>
              </w:rPr>
              <w:t>vs</w:t>
            </w:r>
            <w:r w:rsidR="00B91C62" w:rsidRPr="00CE02BD">
              <w:rPr>
                <w:rFonts w:ascii="Book Antiqua" w:hAnsi="Book Antiqua"/>
                <w:sz w:val="24"/>
                <w:szCs w:val="24"/>
                <w:lang w:val="en-US"/>
              </w:rPr>
              <w:t xml:space="preserve"> NO histological remission at baseline</w:t>
            </w:r>
          </w:p>
        </w:tc>
        <w:tc>
          <w:tcPr>
            <w:tcW w:w="2721" w:type="dxa"/>
          </w:tcPr>
          <w:p w14:paraId="741B7AC1" w14:textId="4FD5F86B"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o</w:t>
            </w:r>
            <w:r w:rsidRPr="00CE02BD">
              <w:rPr>
                <w:rFonts w:ascii="Book Antiqua" w:hAnsi="Book Antiqua"/>
                <w:sz w:val="24"/>
                <w:szCs w:val="24"/>
                <w:lang w:val="en-US"/>
              </w:rPr>
              <w:t>utcomes reported over a median 72</w:t>
            </w:r>
            <w:r w:rsidR="0028494D" w:rsidRPr="00CE02BD">
              <w:rPr>
                <w:rFonts w:ascii="Times New Roman" w:hAnsi="Times New Roman" w:cs="Times New Roman"/>
                <w:sz w:val="24"/>
                <w:szCs w:val="24"/>
                <w:lang w:val="en-US"/>
              </w:rPr>
              <w:t xml:space="preserve">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follow-up:</w:t>
            </w:r>
          </w:p>
          <w:p w14:paraId="5D412A15" w14:textId="7F472E63" w:rsidR="00B91C62" w:rsidRPr="00CE02BD"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corticosteroid use</w:t>
            </w:r>
            <w:r w:rsidRPr="00CE02BD">
              <w:rPr>
                <w:rFonts w:ascii="Book Antiqua" w:hAnsi="Book Antiqua"/>
                <w:sz w:val="24"/>
                <w:szCs w:val="24"/>
              </w:rPr>
              <w:t xml:space="preserve"> </w:t>
            </w:r>
            <w:r w:rsidRPr="00CE02BD">
              <w:rPr>
                <w:rFonts w:ascii="Book Antiqua" w:hAnsi="Book Antiqua"/>
                <w:color w:val="000000" w:themeColor="text1"/>
                <w:sz w:val="24"/>
                <w:szCs w:val="24"/>
                <w:lang w:val="en-US"/>
              </w:rPr>
              <w:t>[HR]</w:t>
            </w:r>
            <w:r w:rsidR="00912F1E" w:rsidRPr="00CE02BD">
              <w:rPr>
                <w:rFonts w:ascii="Book Antiqua" w:hAnsi="Book Antiqua"/>
                <w:color w:val="000000" w:themeColor="text1"/>
                <w:sz w:val="24"/>
                <w:szCs w:val="24"/>
                <w:lang w:val="en-US"/>
              </w:rPr>
              <w:t xml:space="preserve"> </w:t>
            </w:r>
            <w:r w:rsidRPr="00CE02BD">
              <w:rPr>
                <w:rFonts w:ascii="Book Antiqua" w:hAnsi="Book Antiqua"/>
                <w:sz w:val="24"/>
                <w:szCs w:val="24"/>
                <w:lang w:val="en-US"/>
              </w:rPr>
              <w:t xml:space="preserve">0.42, </w:t>
            </w:r>
            <w:r w:rsidRPr="00CE02BD">
              <w:rPr>
                <w:rFonts w:ascii="Book Antiqua" w:hAnsi="Book Antiqua"/>
                <w:color w:val="000000" w:themeColor="text1"/>
                <w:sz w:val="24"/>
                <w:szCs w:val="24"/>
                <w:lang w:val="en-US"/>
              </w:rPr>
              <w:t>95%CI</w:t>
            </w:r>
            <w:r w:rsidR="00912F1E" w:rsidRPr="00CE02BD">
              <w:rPr>
                <w:rFonts w:ascii="Book Antiqua" w:hAnsi="Book Antiqua"/>
                <w:color w:val="000000" w:themeColor="text1"/>
                <w:sz w:val="24"/>
                <w:szCs w:val="24"/>
                <w:lang w:val="en-US" w:eastAsia="zh-CN"/>
              </w:rPr>
              <w:t>:</w:t>
            </w:r>
            <w:r w:rsidRPr="00CE02BD">
              <w:rPr>
                <w:rFonts w:ascii="Book Antiqua" w:hAnsi="Book Antiqua"/>
                <w:sz w:val="24"/>
                <w:szCs w:val="24"/>
                <w:lang w:val="en-US"/>
              </w:rPr>
              <w:t xml:space="preserve"> 0.2-0.9;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0.02</w:t>
            </w:r>
          </w:p>
          <w:p w14:paraId="27F85E18" w14:textId="68EDDBEB" w:rsidR="00B91C62" w:rsidRPr="00CE02BD" w:rsidRDefault="00B91C62" w:rsidP="00912F1E">
            <w:pPr>
              <w:numPr>
                <w:ilvl w:val="0"/>
                <w:numId w:val="2"/>
              </w:numPr>
              <w:adjustRightInd w:val="0"/>
              <w:snapToGrid w:val="0"/>
              <w:spacing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acute severe colitis requiring hospitalization </w:t>
            </w:r>
            <w:r w:rsidRPr="00CE02BD">
              <w:rPr>
                <w:rFonts w:ascii="Book Antiqua" w:hAnsi="Book Antiqua"/>
                <w:color w:val="000000" w:themeColor="text1"/>
                <w:sz w:val="24"/>
                <w:szCs w:val="24"/>
                <w:lang w:val="en-US"/>
              </w:rPr>
              <w:t>[HR]</w:t>
            </w:r>
            <w:r w:rsidR="00397CC0" w:rsidRPr="00CE02BD">
              <w:rPr>
                <w:rFonts w:ascii="Book Antiqua" w:hAnsi="Book Antiqua"/>
                <w:color w:val="000000" w:themeColor="text1"/>
                <w:sz w:val="24"/>
                <w:szCs w:val="24"/>
                <w:lang w:val="en-US"/>
              </w:rPr>
              <w:t xml:space="preserve"> </w:t>
            </w:r>
            <w:r w:rsidRPr="00CE02BD">
              <w:rPr>
                <w:rFonts w:ascii="Book Antiqua" w:hAnsi="Book Antiqua"/>
                <w:sz w:val="24"/>
                <w:szCs w:val="24"/>
                <w:lang w:val="en-US"/>
              </w:rPr>
              <w:t xml:space="preserve">0.21, </w:t>
            </w:r>
            <w:r w:rsidRPr="00CE02BD">
              <w:rPr>
                <w:rFonts w:ascii="Book Antiqua" w:hAnsi="Book Antiqua"/>
                <w:color w:val="000000" w:themeColor="text1"/>
                <w:sz w:val="24"/>
                <w:szCs w:val="24"/>
                <w:lang w:val="en-US"/>
              </w:rPr>
              <w:t>95%CI</w:t>
            </w:r>
            <w:r w:rsidR="00912F1E" w:rsidRPr="00CE02BD">
              <w:rPr>
                <w:rFonts w:ascii="Book Antiqua" w:hAnsi="Book Antiqua"/>
                <w:color w:val="000000" w:themeColor="text1"/>
                <w:sz w:val="24"/>
                <w:szCs w:val="24"/>
                <w:lang w:val="en-US"/>
              </w:rPr>
              <w:t>:</w:t>
            </w:r>
            <w:r w:rsidRPr="00CE02BD">
              <w:rPr>
                <w:rFonts w:ascii="Book Antiqua" w:hAnsi="Book Antiqua"/>
                <w:sz w:val="24"/>
                <w:szCs w:val="24"/>
                <w:lang w:val="en-US"/>
              </w:rPr>
              <w:t xml:space="preserve"> 0.1-0.7; </w:t>
            </w:r>
            <w:r w:rsidR="00912F1E" w:rsidRPr="00CE02BD">
              <w:rPr>
                <w:rFonts w:ascii="Book Antiqua" w:hAnsi="Book Antiqua"/>
                <w:i/>
                <w:iCs/>
                <w:sz w:val="24"/>
                <w:szCs w:val="24"/>
                <w:lang w:val="en-US"/>
              </w:rPr>
              <w:t>P</w:t>
            </w:r>
            <w:r w:rsidR="00912F1E" w:rsidRPr="00CE02BD">
              <w:rPr>
                <w:rFonts w:ascii="Book Antiqua" w:hAnsi="Book Antiqua"/>
                <w:sz w:val="24"/>
                <w:szCs w:val="24"/>
                <w:lang w:val="en-US"/>
              </w:rPr>
              <w:t xml:space="preserve"> </w:t>
            </w:r>
            <w:r w:rsidRPr="00CE02BD">
              <w:rPr>
                <w:rFonts w:ascii="Book Antiqua" w:hAnsi="Book Antiqua"/>
                <w:sz w:val="24"/>
                <w:szCs w:val="24"/>
                <w:lang w:val="en-US"/>
              </w:rPr>
              <w: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0.02</w:t>
            </w:r>
          </w:p>
        </w:tc>
      </w:tr>
      <w:tr w:rsidR="00B91C62" w:rsidRPr="00CE02BD" w14:paraId="58898A66"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3DAF8E54" w14:textId="385C0636"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t xml:space="preserve">Lasson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93</w:t>
            </w:r>
            <w:r w:rsidRPr="00CE02BD">
              <w:rPr>
                <w:rFonts w:ascii="Book Antiqua" w:hAnsi="Book Antiqua"/>
                <w:b w:val="0"/>
                <w:bCs w:val="0"/>
                <w:sz w:val="24"/>
                <w:szCs w:val="24"/>
                <w:vertAlign w:val="superscript"/>
                <w:lang w:val="en-US"/>
              </w:rPr>
              <w:sym w:font="Symbol" w:char="F05D"/>
            </w:r>
          </w:p>
        </w:tc>
        <w:tc>
          <w:tcPr>
            <w:tcW w:w="0" w:type="dxa"/>
            <w:tcBorders>
              <w:top w:val="none" w:sz="0" w:space="0" w:color="auto"/>
              <w:bottom w:val="none" w:sz="0" w:space="0" w:color="auto"/>
            </w:tcBorders>
          </w:tcPr>
          <w:p w14:paraId="12F3F07B" w14:textId="77516485"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p</w:t>
            </w:r>
            <w:r w:rsidRPr="00CE02BD">
              <w:rPr>
                <w:rFonts w:ascii="Book Antiqua" w:hAnsi="Book Antiqua"/>
                <w:sz w:val="24"/>
                <w:szCs w:val="24"/>
                <w:lang w:val="en-US"/>
              </w:rPr>
              <w:t xml:space="preserve">rospective, </w:t>
            </w:r>
            <w:r w:rsidRPr="00CE02BD">
              <w:rPr>
                <w:rFonts w:ascii="Book Antiqua" w:hAnsi="Book Antiqua"/>
                <w:caps/>
                <w:sz w:val="24"/>
                <w:szCs w:val="24"/>
                <w:lang w:val="en-US"/>
              </w:rPr>
              <w:t>r</w:t>
            </w:r>
            <w:r w:rsidRPr="00CE02BD">
              <w:rPr>
                <w:rFonts w:ascii="Book Antiqua" w:hAnsi="Book Antiqua"/>
                <w:sz w:val="24"/>
                <w:szCs w:val="24"/>
                <w:lang w:val="en-US"/>
              </w:rPr>
              <w:t>andomized</w:t>
            </w:r>
          </w:p>
        </w:tc>
        <w:tc>
          <w:tcPr>
            <w:tcW w:w="0" w:type="dxa"/>
            <w:tcBorders>
              <w:top w:val="none" w:sz="0" w:space="0" w:color="auto"/>
              <w:bottom w:val="none" w:sz="0" w:space="0" w:color="auto"/>
            </w:tcBorders>
          </w:tcPr>
          <w:p w14:paraId="335D487F"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Biomarker</w:t>
            </w:r>
          </w:p>
        </w:tc>
        <w:tc>
          <w:tcPr>
            <w:tcW w:w="0" w:type="dxa"/>
            <w:tcBorders>
              <w:top w:val="none" w:sz="0" w:space="0" w:color="auto"/>
              <w:bottom w:val="none" w:sz="0" w:space="0" w:color="auto"/>
            </w:tcBorders>
          </w:tcPr>
          <w:p w14:paraId="1CB2F140"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UC – 91 patients</w:t>
            </w:r>
          </w:p>
        </w:tc>
        <w:tc>
          <w:tcPr>
            <w:tcW w:w="0" w:type="dxa"/>
            <w:tcBorders>
              <w:top w:val="none" w:sz="0" w:space="0" w:color="auto"/>
              <w:bottom w:val="none" w:sz="0" w:space="0" w:color="auto"/>
            </w:tcBorders>
          </w:tcPr>
          <w:p w14:paraId="17DDF82C" w14:textId="576488C9"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m</w:t>
            </w:r>
            <w:r w:rsidRPr="00CE02BD">
              <w:rPr>
                <w:rFonts w:ascii="Book Antiqua" w:hAnsi="Book Antiqua"/>
                <w:sz w:val="24"/>
                <w:szCs w:val="24"/>
                <w:lang w:val="en-US"/>
              </w:rPr>
              <w:t>onthly FCAL measurement: dose-escalation of 5-ASA in patients with FCAL</w:t>
            </w:r>
            <w:r w:rsidR="00354926" w:rsidRPr="00CE02BD">
              <w:rPr>
                <w:rFonts w:ascii="Book Antiqua" w:hAnsi="Book Antiqua"/>
                <w:sz w:val="24"/>
                <w:szCs w:val="24"/>
                <w:lang w:val="en-US"/>
              </w:rPr>
              <w:t xml:space="preserve"> </w:t>
            </w:r>
            <w:r w:rsidRPr="00CE02BD">
              <w:rPr>
                <w:rFonts w:ascii="Book Antiqua" w:hAnsi="Book Antiqua"/>
                <w:sz w:val="24"/>
                <w:szCs w:val="24"/>
                <w:lang w:val="en-US"/>
              </w:rPr>
              <w:t>&gt;</w:t>
            </w:r>
            <w:r w:rsidR="00354926" w:rsidRPr="00CE02BD">
              <w:rPr>
                <w:rFonts w:ascii="Book Antiqua" w:hAnsi="Book Antiqua"/>
                <w:sz w:val="24"/>
                <w:szCs w:val="24"/>
                <w:lang w:val="en-US"/>
              </w:rPr>
              <w:t xml:space="preserve"> </w:t>
            </w:r>
            <w:r w:rsidRPr="00CE02BD">
              <w:rPr>
                <w:rFonts w:ascii="Book Antiqua" w:hAnsi="Book Antiqua"/>
                <w:sz w:val="24"/>
                <w:szCs w:val="24"/>
                <w:lang w:val="en-US"/>
              </w:rPr>
              <w:t xml:space="preserve">300 μg/g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 </w:t>
            </w:r>
            <w:r w:rsidRPr="00CE02BD">
              <w:rPr>
                <w:rFonts w:ascii="Book Antiqua" w:hAnsi="Book Antiqua"/>
                <w:sz w:val="24"/>
                <w:szCs w:val="24"/>
                <w:lang w:val="en-US"/>
              </w:rPr>
              <w:lastRenderedPageBreak/>
              <w:t>intervention</w:t>
            </w:r>
          </w:p>
        </w:tc>
        <w:tc>
          <w:tcPr>
            <w:tcW w:w="0" w:type="dxa"/>
            <w:tcBorders>
              <w:top w:val="none" w:sz="0" w:space="0" w:color="auto"/>
              <w:bottom w:val="none" w:sz="0" w:space="0" w:color="auto"/>
            </w:tcBorders>
          </w:tcPr>
          <w:p w14:paraId="3986743F" w14:textId="70FC9566"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lastRenderedPageBreak/>
              <w:t xml:space="preserve">18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follow-up:</w:t>
            </w:r>
          </w:p>
          <w:p w14:paraId="76265A91"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386D6A08" w14:textId="081AB305"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f</w:t>
            </w:r>
            <w:r w:rsidRPr="00CE02BD">
              <w:rPr>
                <w:rFonts w:ascii="Book Antiqua" w:hAnsi="Book Antiqua"/>
                <w:sz w:val="24"/>
                <w:szCs w:val="24"/>
                <w:lang w:val="en-US"/>
              </w:rPr>
              <w:t xml:space="preserve">ewer clinical relapses observed in intervention group, 28.6%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57.1%; </w:t>
            </w:r>
            <w:r w:rsidR="00912F1E" w:rsidRPr="00CE02BD">
              <w:rPr>
                <w:rFonts w:ascii="Book Antiqua" w:hAnsi="Book Antiqua"/>
                <w:i/>
                <w:iCs/>
                <w:sz w:val="24"/>
                <w:szCs w:val="24"/>
                <w:lang w:val="en-US"/>
              </w:rPr>
              <w:t>P</w:t>
            </w:r>
            <w:r w:rsidR="00912F1E" w:rsidRPr="00CE02BD">
              <w:rPr>
                <w:rFonts w:ascii="Book Antiqua" w:hAnsi="Book Antiqua" w:cs="Times New Roman"/>
                <w:sz w:val="24"/>
                <w:szCs w:val="24"/>
                <w:lang w:val="en-US"/>
              </w:rPr>
              <w:t xml:space="preserve"> </w:t>
            </w:r>
            <w:r w:rsidRPr="00CE02BD">
              <w:rPr>
                <w:rFonts w:ascii="Book Antiqua" w:hAnsi="Book Antiqua"/>
                <w:sz w:val="24"/>
                <w:szCs w:val="24"/>
                <w:lang w:val="en-US"/>
              </w:rPr>
              <w:t>&lt;</w:t>
            </w:r>
            <w:r w:rsidRPr="00CE02BD">
              <w:rPr>
                <w:rFonts w:ascii="Times New Roman" w:hAnsi="Times New Roman" w:cs="Times New Roman"/>
                <w:sz w:val="24"/>
                <w:szCs w:val="24"/>
                <w:lang w:val="en-US"/>
              </w:rPr>
              <w:t> </w:t>
            </w:r>
            <w:r w:rsidRPr="00CE02BD">
              <w:rPr>
                <w:rFonts w:ascii="Book Antiqua" w:hAnsi="Book Antiqua"/>
                <w:sz w:val="24"/>
                <w:szCs w:val="24"/>
                <w:lang w:val="en-US"/>
              </w:rPr>
              <w:t>0.05</w:t>
            </w:r>
          </w:p>
        </w:tc>
      </w:tr>
      <w:tr w:rsidR="00B91C62" w:rsidRPr="00CE02BD" w14:paraId="2BA04A06" w14:textId="77777777" w:rsidTr="001B73A3">
        <w:trPr>
          <w:trHeight w:val="1020"/>
        </w:trPr>
        <w:tc>
          <w:tcPr>
            <w:cnfStyle w:val="001000000000" w:firstRow="0" w:lastRow="0" w:firstColumn="1" w:lastColumn="0" w:oddVBand="0" w:evenVBand="0" w:oddHBand="0" w:evenHBand="0" w:firstRowFirstColumn="0" w:firstRowLastColumn="0" w:lastRowFirstColumn="0" w:lastRowLastColumn="0"/>
            <w:tcW w:w="1134" w:type="dxa"/>
          </w:tcPr>
          <w:p w14:paraId="2F8F4E90" w14:textId="36A1EF06"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lastRenderedPageBreak/>
              <w:t xml:space="preserve">Zhulina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52</w:t>
            </w:r>
            <w:r w:rsidRPr="00CE02BD">
              <w:rPr>
                <w:rFonts w:ascii="Book Antiqua" w:hAnsi="Book Antiqua"/>
                <w:b w:val="0"/>
                <w:bCs w:val="0"/>
                <w:sz w:val="24"/>
                <w:szCs w:val="24"/>
                <w:vertAlign w:val="superscript"/>
                <w:lang w:val="en-US"/>
              </w:rPr>
              <w:sym w:font="Symbol" w:char="F05D"/>
            </w:r>
            <w:r w:rsidRPr="00CE02BD">
              <w:rPr>
                <w:rFonts w:ascii="Book Antiqua" w:hAnsi="Book Antiqua"/>
                <w:b w:val="0"/>
                <w:bCs w:val="0"/>
                <w:sz w:val="24"/>
                <w:szCs w:val="24"/>
                <w:lang w:val="en-US"/>
              </w:rPr>
              <w:t xml:space="preserve"> </w:t>
            </w:r>
          </w:p>
        </w:tc>
        <w:tc>
          <w:tcPr>
            <w:tcW w:w="1134" w:type="dxa"/>
          </w:tcPr>
          <w:p w14:paraId="27C5A62F" w14:textId="088A4478"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p</w:t>
            </w:r>
            <w:r w:rsidRPr="00CE02BD">
              <w:rPr>
                <w:rFonts w:ascii="Book Antiqua" w:hAnsi="Book Antiqua"/>
                <w:sz w:val="24"/>
                <w:szCs w:val="24"/>
                <w:lang w:val="en-US"/>
              </w:rPr>
              <w:t>rospective</w:t>
            </w:r>
          </w:p>
        </w:tc>
        <w:tc>
          <w:tcPr>
            <w:tcW w:w="1134" w:type="dxa"/>
          </w:tcPr>
          <w:p w14:paraId="64851191"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Biomarker</w:t>
            </w:r>
          </w:p>
        </w:tc>
        <w:tc>
          <w:tcPr>
            <w:tcW w:w="1304" w:type="dxa"/>
          </w:tcPr>
          <w:p w14:paraId="5FFFE63A"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CD – 49 patients;</w:t>
            </w:r>
          </w:p>
          <w:p w14:paraId="77303741"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UC – 55 patients</w:t>
            </w:r>
          </w:p>
        </w:tc>
        <w:tc>
          <w:tcPr>
            <w:tcW w:w="1757" w:type="dxa"/>
          </w:tcPr>
          <w:p w14:paraId="0FC49FF1" w14:textId="3B7176B4"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f</w:t>
            </w:r>
            <w:r w:rsidRPr="00CE02BD">
              <w:rPr>
                <w:rFonts w:ascii="Book Antiqua" w:hAnsi="Book Antiqua"/>
                <w:sz w:val="24"/>
                <w:szCs w:val="24"/>
                <w:lang w:val="en-US"/>
              </w:rPr>
              <w:t xml:space="preserve">irst clinical relapse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 relapse in patients with clinical remission at baseline</w:t>
            </w:r>
          </w:p>
        </w:tc>
        <w:tc>
          <w:tcPr>
            <w:tcW w:w="2721" w:type="dxa"/>
          </w:tcPr>
          <w:p w14:paraId="0538A69D" w14:textId="07C403FC"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2 yr of follow-up:</w:t>
            </w:r>
          </w:p>
          <w:p w14:paraId="695C8224" w14:textId="77777777"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p w14:paraId="1CF98642" w14:textId="48EA7E0E" w:rsidR="00B91C62" w:rsidRPr="00CE02BD" w:rsidRDefault="00B91C62" w:rsidP="00912F1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d</w:t>
            </w:r>
            <w:r w:rsidRPr="00CE02BD">
              <w:rPr>
                <w:rFonts w:ascii="Book Antiqua" w:hAnsi="Book Antiqua"/>
                <w:sz w:val="24"/>
                <w:szCs w:val="24"/>
                <w:lang w:val="en-US"/>
              </w:rPr>
              <w:t xml:space="preserve">oubling of faecal calprotectin level between two consecutively samples 3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apart predicted relapse </w:t>
            </w:r>
            <w:r w:rsidRPr="00CE02BD">
              <w:rPr>
                <w:rFonts w:ascii="Book Antiqua" w:hAnsi="Book Antiqua"/>
                <w:color w:val="000000" w:themeColor="text1"/>
                <w:sz w:val="24"/>
                <w:szCs w:val="24"/>
                <w:lang w:val="en-US"/>
              </w:rPr>
              <w:t>[HR]</w:t>
            </w:r>
            <w:r w:rsidR="00912F1E" w:rsidRPr="00CE02BD">
              <w:rPr>
                <w:rFonts w:ascii="Book Antiqua" w:hAnsi="Book Antiqua"/>
                <w:color w:val="000000" w:themeColor="text1"/>
                <w:sz w:val="24"/>
                <w:szCs w:val="24"/>
                <w:lang w:val="en-US"/>
              </w:rPr>
              <w:t xml:space="preserve"> </w:t>
            </w:r>
            <w:r w:rsidRPr="00CE02BD">
              <w:rPr>
                <w:rFonts w:ascii="Book Antiqua" w:hAnsi="Book Antiqua"/>
                <w:sz w:val="24"/>
                <w:szCs w:val="24"/>
                <w:lang w:val="en-US"/>
              </w:rPr>
              <w:t xml:space="preserve">2.01, </w:t>
            </w:r>
            <w:r w:rsidRPr="00CE02BD">
              <w:rPr>
                <w:rFonts w:ascii="Book Antiqua" w:hAnsi="Book Antiqua"/>
                <w:color w:val="000000" w:themeColor="text1"/>
                <w:sz w:val="24"/>
                <w:szCs w:val="24"/>
                <w:lang w:val="en-US"/>
              </w:rPr>
              <w:t>95%CI</w:t>
            </w:r>
            <w:r w:rsidR="00912F1E" w:rsidRPr="00CE02BD">
              <w:rPr>
                <w:rFonts w:ascii="Book Antiqua" w:hAnsi="Book Antiqua"/>
                <w:color w:val="000000" w:themeColor="text1"/>
                <w:sz w:val="24"/>
                <w:szCs w:val="24"/>
                <w:lang w:val="en-US"/>
              </w:rPr>
              <w:t>:</w:t>
            </w:r>
            <w:r w:rsidRPr="00CE02BD">
              <w:rPr>
                <w:rFonts w:ascii="Book Antiqua" w:hAnsi="Book Antiqua"/>
                <w:sz w:val="24"/>
                <w:szCs w:val="24"/>
                <w:lang w:val="en-US"/>
              </w:rPr>
              <w:t xml:space="preserve"> 1.53-2.65</w:t>
            </w:r>
          </w:p>
        </w:tc>
      </w:tr>
      <w:tr w:rsidR="00B91C62" w:rsidRPr="00CE02BD" w14:paraId="659047FD" w14:textId="77777777" w:rsidTr="001B73A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3F449CED" w14:textId="3C1004E7" w:rsidR="00B91C62" w:rsidRPr="00CE02BD" w:rsidRDefault="00B91C62" w:rsidP="000F1138">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t xml:space="preserve">Sollelis </w:t>
            </w:r>
            <w:r w:rsidR="00967F41" w:rsidRPr="00CE02BD">
              <w:rPr>
                <w:rFonts w:ascii="Book Antiqua" w:hAnsi="Book Antiqua"/>
                <w:b w:val="0"/>
                <w:bCs w:val="0"/>
                <w:i/>
                <w:sz w:val="24"/>
                <w:szCs w:val="24"/>
                <w:lang w:val="en-US"/>
              </w:rPr>
              <w:t>et al</w:t>
            </w:r>
            <w:r w:rsidRPr="00CE02BD">
              <w:rPr>
                <w:rFonts w:ascii="Book Antiqua" w:hAnsi="Book Antiqua"/>
                <w:b w:val="0"/>
                <w:bCs w:val="0"/>
                <w:sz w:val="24"/>
                <w:szCs w:val="24"/>
                <w:vertAlign w:val="superscript"/>
                <w:lang w:val="en-US"/>
              </w:rPr>
              <w:sym w:font="Symbol" w:char="F05B"/>
            </w:r>
            <w:r w:rsidRPr="00CE02BD">
              <w:rPr>
                <w:rFonts w:ascii="Book Antiqua" w:hAnsi="Book Antiqua"/>
                <w:b w:val="0"/>
                <w:bCs w:val="0"/>
                <w:sz w:val="24"/>
                <w:szCs w:val="24"/>
                <w:vertAlign w:val="superscript"/>
                <w:lang w:val="en-US"/>
              </w:rPr>
              <w:t>94</w:t>
            </w:r>
            <w:r w:rsidRPr="00CE02BD">
              <w:rPr>
                <w:rFonts w:ascii="Book Antiqua" w:hAnsi="Book Antiqua"/>
                <w:b w:val="0"/>
                <w:bCs w:val="0"/>
                <w:sz w:val="24"/>
                <w:szCs w:val="24"/>
                <w:vertAlign w:val="superscript"/>
                <w:lang w:val="en-US"/>
              </w:rPr>
              <w:sym w:font="Symbol" w:char="F05D"/>
            </w:r>
          </w:p>
        </w:tc>
        <w:tc>
          <w:tcPr>
            <w:tcW w:w="0" w:type="dxa"/>
            <w:tcBorders>
              <w:top w:val="none" w:sz="0" w:space="0" w:color="auto"/>
              <w:bottom w:val="none" w:sz="0" w:space="0" w:color="auto"/>
            </w:tcBorders>
          </w:tcPr>
          <w:p w14:paraId="4644F448" w14:textId="0AE39955"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p</w:t>
            </w:r>
            <w:r w:rsidRPr="00CE02BD">
              <w:rPr>
                <w:rFonts w:ascii="Book Antiqua" w:hAnsi="Book Antiqua"/>
                <w:sz w:val="24"/>
                <w:szCs w:val="24"/>
                <w:lang w:val="en-US"/>
              </w:rPr>
              <w:t>rospective</w:t>
            </w:r>
          </w:p>
        </w:tc>
        <w:tc>
          <w:tcPr>
            <w:tcW w:w="0" w:type="dxa"/>
            <w:tcBorders>
              <w:top w:val="none" w:sz="0" w:space="0" w:color="auto"/>
              <w:bottom w:val="none" w:sz="0" w:space="0" w:color="auto"/>
            </w:tcBorders>
          </w:tcPr>
          <w:p w14:paraId="5E5C533C"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Combined clinical and biomarker</w:t>
            </w:r>
          </w:p>
        </w:tc>
        <w:tc>
          <w:tcPr>
            <w:tcW w:w="0" w:type="dxa"/>
            <w:tcBorders>
              <w:top w:val="none" w:sz="0" w:space="0" w:color="auto"/>
              <w:bottom w:val="none" w:sz="0" w:space="0" w:color="auto"/>
            </w:tcBorders>
          </w:tcPr>
          <w:p w14:paraId="16F1FFEA"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CD – 40 patients</w:t>
            </w:r>
          </w:p>
        </w:tc>
        <w:tc>
          <w:tcPr>
            <w:tcW w:w="0" w:type="dxa"/>
            <w:tcBorders>
              <w:top w:val="none" w:sz="0" w:space="0" w:color="auto"/>
              <w:bottom w:val="none" w:sz="0" w:space="0" w:color="auto"/>
            </w:tcBorders>
          </w:tcPr>
          <w:p w14:paraId="5CF362B0" w14:textId="07F5360D"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c</w:t>
            </w:r>
            <w:r w:rsidRPr="00CE02BD">
              <w:rPr>
                <w:rFonts w:ascii="Book Antiqua" w:hAnsi="Book Antiqua"/>
                <w:sz w:val="24"/>
                <w:szCs w:val="24"/>
                <w:lang w:val="en-US"/>
              </w:rPr>
              <w:t xml:space="preserve">linical and biomarker remission at 12 </w:t>
            </w:r>
            <w:r w:rsidR="00967F41" w:rsidRPr="00CE02BD">
              <w:rPr>
                <w:rFonts w:ascii="Book Antiqua" w:hAnsi="Book Antiqua"/>
                <w:sz w:val="24"/>
                <w:szCs w:val="24"/>
                <w:lang w:val="en-US"/>
              </w:rPr>
              <w:t>wk</w:t>
            </w:r>
            <w:r w:rsidRPr="00CE02BD">
              <w:rPr>
                <w:rFonts w:ascii="Book Antiqua" w:hAnsi="Book Antiqua"/>
                <w:sz w:val="24"/>
                <w:szCs w:val="24"/>
                <w:lang w:val="en-US"/>
              </w:rPr>
              <w:t xml:space="preserve"> (CDAI &lt; 150 and CRP ≤ 2.9 mg/L and FCAL</w:t>
            </w:r>
            <w:r w:rsidR="00912F1E" w:rsidRPr="00CE02BD">
              <w:rPr>
                <w:rFonts w:ascii="Book Antiqua" w:hAnsi="Book Antiqua"/>
                <w:sz w:val="24"/>
                <w:szCs w:val="24"/>
                <w:lang w:val="en-US"/>
              </w:rPr>
              <w:t xml:space="preserve"> </w:t>
            </w:r>
            <w:r w:rsidRPr="00CE02BD">
              <w:rPr>
                <w:rFonts w:ascii="Book Antiqua" w:hAnsi="Book Antiqua"/>
                <w:sz w:val="24"/>
                <w:szCs w:val="24"/>
                <w:lang w:val="en-US"/>
              </w:rPr>
              <w:t>&lt;</w:t>
            </w:r>
            <w:r w:rsidR="00912F1E" w:rsidRPr="00CE02BD">
              <w:rPr>
                <w:rFonts w:ascii="Book Antiqua" w:hAnsi="Book Antiqua"/>
                <w:sz w:val="24"/>
                <w:szCs w:val="24"/>
                <w:lang w:val="en-US"/>
              </w:rPr>
              <w:t xml:space="preserve"> </w:t>
            </w:r>
            <w:r w:rsidRPr="00CE02BD">
              <w:rPr>
                <w:rFonts w:ascii="Book Antiqua" w:hAnsi="Book Antiqua"/>
                <w:sz w:val="24"/>
                <w:szCs w:val="24"/>
                <w:lang w:val="en-US"/>
              </w:rPr>
              <w:t>300</w:t>
            </w:r>
            <w:r w:rsidRPr="00CE02BD">
              <w:rPr>
                <w:rFonts w:ascii="Book Antiqua" w:hAnsi="Book Antiqua"/>
                <w:sz w:val="24"/>
                <w:szCs w:val="24"/>
              </w:rPr>
              <w:t xml:space="preserve"> </w:t>
            </w:r>
            <w:r w:rsidRPr="00CE02BD">
              <w:rPr>
                <w:rFonts w:ascii="Book Antiqua" w:hAnsi="Book Antiqua"/>
                <w:sz w:val="24"/>
                <w:szCs w:val="24"/>
                <w:lang w:val="en-US"/>
              </w:rPr>
              <w:t xml:space="preserve">μg/g) </w:t>
            </w:r>
            <w:r w:rsidR="00967F41" w:rsidRPr="00CE02BD">
              <w:rPr>
                <w:rFonts w:ascii="Book Antiqua" w:hAnsi="Book Antiqua"/>
                <w:i/>
                <w:sz w:val="24"/>
                <w:szCs w:val="24"/>
                <w:lang w:val="en-US"/>
              </w:rPr>
              <w:t>vs</w:t>
            </w:r>
            <w:r w:rsidRPr="00CE02BD">
              <w:rPr>
                <w:rFonts w:ascii="Book Antiqua" w:hAnsi="Book Antiqua"/>
                <w:sz w:val="24"/>
                <w:szCs w:val="24"/>
                <w:lang w:val="en-US"/>
              </w:rPr>
              <w:t xml:space="preserve"> NOT</w:t>
            </w:r>
          </w:p>
        </w:tc>
        <w:tc>
          <w:tcPr>
            <w:tcW w:w="0" w:type="dxa"/>
            <w:tcBorders>
              <w:top w:val="none" w:sz="0" w:space="0" w:color="auto"/>
              <w:bottom w:val="none" w:sz="0" w:space="0" w:color="auto"/>
            </w:tcBorders>
          </w:tcPr>
          <w:p w14:paraId="001DDA00" w14:textId="0D019456"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caps/>
                <w:sz w:val="24"/>
                <w:szCs w:val="24"/>
                <w:lang w:val="en-US"/>
              </w:rPr>
              <w:t>p</w:t>
            </w:r>
            <w:r w:rsidRPr="00CE02BD">
              <w:rPr>
                <w:rFonts w:ascii="Book Antiqua" w:hAnsi="Book Antiqua"/>
                <w:sz w:val="24"/>
                <w:szCs w:val="24"/>
                <w:lang w:val="en-US"/>
              </w:rPr>
              <w:t xml:space="preserve">redictive power for corticosteroid-free clinical remission at 52 </w:t>
            </w:r>
            <w:r w:rsidR="00967F41" w:rsidRPr="00CE02BD">
              <w:rPr>
                <w:rFonts w:ascii="Book Antiqua" w:hAnsi="Book Antiqua"/>
                <w:sz w:val="24"/>
                <w:szCs w:val="24"/>
                <w:lang w:val="en-US"/>
              </w:rPr>
              <w:t>wk</w:t>
            </w:r>
            <w:r w:rsidRPr="00CE02BD">
              <w:rPr>
                <w:rFonts w:ascii="Book Antiqua" w:hAnsi="Book Antiqua"/>
                <w:sz w:val="24"/>
                <w:szCs w:val="24"/>
                <w:lang w:val="en-US"/>
              </w:rPr>
              <w:t>:</w:t>
            </w:r>
          </w:p>
          <w:p w14:paraId="1440E03C"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17E7140D" w14:textId="587DFF5C"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sensitivity = 69.2% (42.0-87.4) specificity = 100.0% (84.9-100.0) PPV = 100.0% (100.0-100.0)</w:t>
            </w:r>
          </w:p>
          <w:p w14:paraId="16F8E5B0" w14:textId="77777777" w:rsidR="00B91C62" w:rsidRPr="00CE02BD" w:rsidRDefault="00B91C62" w:rsidP="00912F1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NPV = 87.1% (75.3-98.9)</w:t>
            </w:r>
          </w:p>
        </w:tc>
      </w:tr>
    </w:tbl>
    <w:p w14:paraId="4554C666" w14:textId="4E34638C" w:rsidR="00C111F0" w:rsidRPr="00CE02BD" w:rsidRDefault="00B91C62"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CD</w:t>
      </w:r>
      <w:r w:rsidR="00912F1E" w:rsidRPr="00CE02BD">
        <w:rPr>
          <w:rFonts w:ascii="Book Antiqua" w:hAnsi="Book Antiqua"/>
          <w:sz w:val="24"/>
          <w:szCs w:val="24"/>
          <w:lang w:val="en-US"/>
        </w:rPr>
        <w:t>:</w:t>
      </w:r>
      <w:r w:rsidRPr="00CE02BD">
        <w:rPr>
          <w:rFonts w:ascii="Book Antiqua" w:hAnsi="Book Antiqua"/>
          <w:sz w:val="24"/>
          <w:szCs w:val="24"/>
          <w:lang w:val="en-US"/>
        </w:rPr>
        <w:t xml:space="preserve"> Crohn’s disease; UC</w:t>
      </w:r>
      <w:r w:rsidR="00912F1E" w:rsidRPr="00CE02BD">
        <w:rPr>
          <w:rFonts w:ascii="Book Antiqua" w:hAnsi="Book Antiqua"/>
          <w:sz w:val="24"/>
          <w:szCs w:val="24"/>
          <w:lang w:val="en-US"/>
        </w:rPr>
        <w:t>:</w:t>
      </w:r>
      <w:r w:rsidRPr="00CE02BD">
        <w:rPr>
          <w:rFonts w:ascii="Book Antiqua" w:hAnsi="Book Antiqua"/>
          <w:sz w:val="24"/>
          <w:szCs w:val="24"/>
          <w:lang w:val="en-US"/>
        </w:rPr>
        <w:t xml:space="preserve"> </w:t>
      </w:r>
      <w:r w:rsidR="00912F1E" w:rsidRPr="00CE02BD">
        <w:rPr>
          <w:rFonts w:ascii="Book Antiqua" w:hAnsi="Book Antiqua"/>
          <w:sz w:val="24"/>
          <w:szCs w:val="24"/>
          <w:lang w:val="en-US"/>
        </w:rPr>
        <w:t>U</w:t>
      </w:r>
      <w:r w:rsidRPr="00CE02BD">
        <w:rPr>
          <w:rFonts w:ascii="Book Antiqua" w:hAnsi="Book Antiqua"/>
          <w:sz w:val="24"/>
          <w:szCs w:val="24"/>
          <w:lang w:val="en-US"/>
        </w:rPr>
        <w:t>lverative colitis; CRP</w:t>
      </w:r>
      <w:r w:rsidR="00912F1E" w:rsidRPr="00CE02BD">
        <w:rPr>
          <w:rFonts w:ascii="Book Antiqua" w:hAnsi="Book Antiqua"/>
          <w:sz w:val="24"/>
          <w:szCs w:val="24"/>
          <w:lang w:val="en-US"/>
        </w:rPr>
        <w:t>:</w:t>
      </w:r>
      <w:r w:rsidRPr="00CE02BD">
        <w:rPr>
          <w:rFonts w:ascii="Book Antiqua" w:hAnsi="Book Antiqua"/>
          <w:sz w:val="24"/>
          <w:szCs w:val="24"/>
          <w:lang w:val="en-US"/>
        </w:rPr>
        <w:t xml:space="preserve"> C-reactive protein; FCAL</w:t>
      </w:r>
      <w:r w:rsidR="00912F1E" w:rsidRPr="00CE02BD">
        <w:rPr>
          <w:rFonts w:ascii="Book Antiqua" w:hAnsi="Book Antiqua"/>
          <w:sz w:val="24"/>
          <w:szCs w:val="24"/>
          <w:lang w:val="en-US"/>
        </w:rPr>
        <w:t>:</w:t>
      </w:r>
      <w:r w:rsidRPr="00CE02BD">
        <w:rPr>
          <w:rFonts w:ascii="Book Antiqua" w:hAnsi="Book Antiqua"/>
          <w:sz w:val="24"/>
          <w:szCs w:val="24"/>
          <w:lang w:val="en-US"/>
        </w:rPr>
        <w:t xml:space="preserve"> </w:t>
      </w:r>
      <w:r w:rsidR="00912F1E" w:rsidRPr="00CE02BD">
        <w:rPr>
          <w:rFonts w:ascii="Book Antiqua" w:hAnsi="Book Antiqua"/>
          <w:sz w:val="24"/>
          <w:szCs w:val="24"/>
          <w:lang w:val="en-US"/>
        </w:rPr>
        <w:t>F</w:t>
      </w:r>
      <w:r w:rsidRPr="00CE02BD">
        <w:rPr>
          <w:rFonts w:ascii="Book Antiqua" w:hAnsi="Book Antiqua"/>
          <w:sz w:val="24"/>
          <w:szCs w:val="24"/>
          <w:lang w:val="en-US"/>
        </w:rPr>
        <w:t>ecal calprotectin; CDAI</w:t>
      </w:r>
      <w:r w:rsidR="00912F1E" w:rsidRPr="00CE02BD">
        <w:rPr>
          <w:rFonts w:ascii="Book Antiqua" w:hAnsi="Book Antiqua"/>
          <w:sz w:val="24"/>
          <w:szCs w:val="24"/>
          <w:lang w:val="en-US"/>
        </w:rPr>
        <w:t>:</w:t>
      </w:r>
      <w:r w:rsidRPr="00CE02BD">
        <w:rPr>
          <w:rFonts w:ascii="Book Antiqua" w:hAnsi="Book Antiqua"/>
          <w:sz w:val="24"/>
          <w:szCs w:val="24"/>
          <w:lang w:val="en-US"/>
        </w:rPr>
        <w:t xml:space="preserve"> </w:t>
      </w:r>
      <w:r w:rsidRPr="00CE02BD">
        <w:rPr>
          <w:rFonts w:ascii="Book Antiqua" w:hAnsi="Book Antiqua"/>
          <w:color w:val="000000" w:themeColor="text1"/>
          <w:sz w:val="24"/>
          <w:szCs w:val="24"/>
          <w:lang w:val="en-US"/>
        </w:rPr>
        <w:t>Crohn’s Disease Activity Index</w:t>
      </w:r>
      <w:r w:rsidRPr="00CE02BD">
        <w:rPr>
          <w:rFonts w:ascii="Book Antiqua" w:hAnsi="Book Antiqua"/>
          <w:sz w:val="24"/>
          <w:szCs w:val="24"/>
          <w:lang w:val="en-US"/>
        </w:rPr>
        <w:t>; CDEIS</w:t>
      </w:r>
      <w:r w:rsidR="00912F1E" w:rsidRPr="00CE02BD">
        <w:rPr>
          <w:rFonts w:ascii="Book Antiqua" w:hAnsi="Book Antiqua"/>
          <w:sz w:val="24"/>
          <w:szCs w:val="24"/>
          <w:lang w:val="en-US"/>
        </w:rPr>
        <w:t>:</w:t>
      </w:r>
      <w:r w:rsidRPr="00CE02BD">
        <w:rPr>
          <w:rFonts w:ascii="Book Antiqua" w:hAnsi="Book Antiqua"/>
          <w:sz w:val="24"/>
          <w:szCs w:val="24"/>
          <w:lang w:val="en-US"/>
        </w:rPr>
        <w:t xml:space="preserve"> </w:t>
      </w:r>
      <w:r w:rsidRPr="00CE02BD">
        <w:rPr>
          <w:rFonts w:ascii="Book Antiqua" w:hAnsi="Book Antiqua"/>
          <w:color w:val="000000" w:themeColor="text1"/>
          <w:sz w:val="24"/>
          <w:szCs w:val="24"/>
          <w:lang w:val="en-US"/>
        </w:rPr>
        <w:t xml:space="preserve">Crohn’s </w:t>
      </w:r>
      <w:r w:rsidRPr="00CE02BD">
        <w:rPr>
          <w:rFonts w:ascii="Book Antiqua" w:hAnsi="Book Antiqua"/>
          <w:caps/>
          <w:color w:val="000000" w:themeColor="text1"/>
          <w:sz w:val="24"/>
          <w:szCs w:val="24"/>
          <w:lang w:val="en-US"/>
        </w:rPr>
        <w:t>d</w:t>
      </w:r>
      <w:r w:rsidRPr="00CE02BD">
        <w:rPr>
          <w:rFonts w:ascii="Book Antiqua" w:hAnsi="Book Antiqua"/>
          <w:color w:val="000000" w:themeColor="text1"/>
          <w:sz w:val="24"/>
          <w:szCs w:val="24"/>
          <w:lang w:val="en-US"/>
        </w:rPr>
        <w:t>isease Endoscopic Index of Severity</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5-ASA</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5-aminosalicylic acid; RR</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12F1E" w:rsidRPr="00CE02BD">
        <w:rPr>
          <w:rFonts w:ascii="Book Antiqua" w:hAnsi="Book Antiqua"/>
          <w:color w:val="000000" w:themeColor="text1"/>
          <w:sz w:val="24"/>
          <w:szCs w:val="24"/>
          <w:lang w:val="en-US"/>
        </w:rPr>
        <w:t>R</w:t>
      </w:r>
      <w:r w:rsidRPr="00CE02BD">
        <w:rPr>
          <w:rFonts w:ascii="Book Antiqua" w:hAnsi="Book Antiqua"/>
          <w:color w:val="000000" w:themeColor="text1"/>
          <w:sz w:val="24"/>
          <w:szCs w:val="24"/>
          <w:lang w:val="en-US"/>
        </w:rPr>
        <w:t>elative risk; HR</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12F1E" w:rsidRPr="00CE02BD">
        <w:rPr>
          <w:rFonts w:ascii="Book Antiqua" w:hAnsi="Book Antiqua"/>
          <w:color w:val="000000" w:themeColor="text1"/>
          <w:sz w:val="24"/>
          <w:szCs w:val="24"/>
          <w:lang w:val="en-US"/>
        </w:rPr>
        <w:t>H</w:t>
      </w:r>
      <w:r w:rsidRPr="00CE02BD">
        <w:rPr>
          <w:rFonts w:ascii="Book Antiqua" w:hAnsi="Book Antiqua"/>
          <w:color w:val="000000" w:themeColor="text1"/>
          <w:sz w:val="24"/>
          <w:szCs w:val="24"/>
          <w:lang w:val="en-US"/>
        </w:rPr>
        <w:t>azard ratio; OR</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12F1E" w:rsidRPr="00CE02BD">
        <w:rPr>
          <w:rFonts w:ascii="Book Antiqua" w:hAnsi="Book Antiqua"/>
          <w:color w:val="000000" w:themeColor="text1"/>
          <w:sz w:val="24"/>
          <w:szCs w:val="24"/>
          <w:lang w:val="en-US"/>
        </w:rPr>
        <w:t>O</w:t>
      </w:r>
      <w:r w:rsidRPr="00CE02BD">
        <w:rPr>
          <w:rFonts w:ascii="Book Antiqua" w:hAnsi="Book Antiqua"/>
          <w:color w:val="000000" w:themeColor="text1"/>
          <w:sz w:val="24"/>
          <w:szCs w:val="24"/>
          <w:lang w:val="en-US"/>
        </w:rPr>
        <w:t>dds ratio; CI</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12F1E" w:rsidRPr="00CE02BD">
        <w:rPr>
          <w:rFonts w:ascii="Book Antiqua" w:hAnsi="Book Antiqua"/>
          <w:color w:val="000000" w:themeColor="text1"/>
          <w:sz w:val="24"/>
          <w:szCs w:val="24"/>
          <w:lang w:val="en-US"/>
        </w:rPr>
        <w:t>C</w:t>
      </w:r>
      <w:r w:rsidRPr="00CE02BD">
        <w:rPr>
          <w:rFonts w:ascii="Book Antiqua" w:hAnsi="Book Antiqua"/>
          <w:color w:val="000000" w:themeColor="text1"/>
          <w:sz w:val="24"/>
          <w:szCs w:val="24"/>
          <w:lang w:val="en-US"/>
        </w:rPr>
        <w:t>onfidence interval; NPV</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12F1E" w:rsidRPr="00CE02BD">
        <w:rPr>
          <w:rFonts w:ascii="Book Antiqua" w:hAnsi="Book Antiqua"/>
          <w:color w:val="000000" w:themeColor="text1"/>
          <w:sz w:val="24"/>
          <w:szCs w:val="24"/>
          <w:lang w:val="en-US"/>
        </w:rPr>
        <w:t>N</w:t>
      </w:r>
      <w:r w:rsidRPr="00CE02BD">
        <w:rPr>
          <w:rFonts w:ascii="Book Antiqua" w:hAnsi="Book Antiqua"/>
          <w:color w:val="000000" w:themeColor="text1"/>
          <w:sz w:val="24"/>
          <w:szCs w:val="24"/>
          <w:lang w:val="en-US"/>
        </w:rPr>
        <w:t>egative predictive value; PPV</w:t>
      </w:r>
      <w:r w:rsidR="00912F1E" w:rsidRPr="00CE02BD">
        <w:rPr>
          <w:rFonts w:ascii="Book Antiqua" w:hAnsi="Book Antiqua"/>
          <w:color w:val="000000" w:themeColor="text1"/>
          <w:sz w:val="24"/>
          <w:szCs w:val="24"/>
          <w:lang w:val="en-US"/>
        </w:rPr>
        <w:t>:</w:t>
      </w:r>
      <w:r w:rsidRPr="00CE02BD">
        <w:rPr>
          <w:rFonts w:ascii="Book Antiqua" w:hAnsi="Book Antiqua"/>
          <w:color w:val="000000" w:themeColor="text1"/>
          <w:sz w:val="24"/>
          <w:szCs w:val="24"/>
          <w:lang w:val="en-US"/>
        </w:rPr>
        <w:t xml:space="preserve"> </w:t>
      </w:r>
      <w:r w:rsidR="00912F1E" w:rsidRPr="00CE02BD">
        <w:rPr>
          <w:rFonts w:ascii="Book Antiqua" w:hAnsi="Book Antiqua"/>
          <w:color w:val="000000" w:themeColor="text1"/>
          <w:sz w:val="24"/>
          <w:szCs w:val="24"/>
          <w:lang w:val="en-US"/>
        </w:rPr>
        <w:t>P</w:t>
      </w:r>
      <w:r w:rsidRPr="00CE02BD">
        <w:rPr>
          <w:rFonts w:ascii="Book Antiqua" w:hAnsi="Book Antiqua"/>
          <w:color w:val="000000" w:themeColor="text1"/>
          <w:sz w:val="24"/>
          <w:szCs w:val="24"/>
          <w:lang w:val="en-US"/>
        </w:rPr>
        <w:t>ositive predictive value</w:t>
      </w:r>
      <w:r w:rsidR="00D06FB7" w:rsidRPr="00CE02BD">
        <w:rPr>
          <w:rFonts w:ascii="Book Antiqua" w:hAnsi="Book Antiqua"/>
          <w:sz w:val="24"/>
          <w:szCs w:val="24"/>
          <w:lang w:val="en-US"/>
        </w:rPr>
        <w:t>;</w:t>
      </w:r>
      <w:r w:rsidR="00B02A29" w:rsidRPr="00CE02BD">
        <w:rPr>
          <w:rFonts w:ascii="Book Antiqua" w:hAnsi="Book Antiqua"/>
          <w:sz w:val="24"/>
          <w:szCs w:val="24"/>
          <w:lang w:val="en-US"/>
        </w:rPr>
        <w:t xml:space="preserve"> aHR: </w:t>
      </w:r>
      <w:r w:rsidR="00B02A29" w:rsidRPr="00CE02BD">
        <w:rPr>
          <w:rFonts w:ascii="Book Antiqua" w:hAnsi="Book Antiqua"/>
          <w:color w:val="000000" w:themeColor="text1"/>
          <w:sz w:val="24"/>
          <w:szCs w:val="24"/>
          <w:lang w:val="en-US"/>
        </w:rPr>
        <w:t>Adjusted hazard ratio.</w:t>
      </w:r>
    </w:p>
    <w:p w14:paraId="78AD0B52" w14:textId="77777777" w:rsidR="00C111F0" w:rsidRPr="00CE02BD" w:rsidRDefault="00C111F0">
      <w:pPr>
        <w:rPr>
          <w:rFonts w:ascii="Book Antiqua" w:hAnsi="Book Antiqua"/>
          <w:sz w:val="24"/>
          <w:szCs w:val="24"/>
          <w:lang w:val="en-US"/>
        </w:rPr>
      </w:pPr>
      <w:r w:rsidRPr="00CE02BD">
        <w:rPr>
          <w:rFonts w:ascii="Book Antiqua" w:hAnsi="Book Antiqua"/>
          <w:sz w:val="24"/>
          <w:szCs w:val="24"/>
          <w:lang w:val="en-US"/>
        </w:rPr>
        <w:lastRenderedPageBreak/>
        <w:br w:type="page"/>
      </w:r>
    </w:p>
    <w:p w14:paraId="035D025F" w14:textId="20F9F35D" w:rsidR="00B91C62" w:rsidRPr="00CE02BD" w:rsidRDefault="00B91C62" w:rsidP="000F1138">
      <w:pPr>
        <w:adjustRightInd w:val="0"/>
        <w:snapToGrid w:val="0"/>
        <w:spacing w:after="0" w:line="360" w:lineRule="auto"/>
        <w:jc w:val="both"/>
        <w:rPr>
          <w:rFonts w:ascii="Book Antiqua" w:hAnsi="Book Antiqua"/>
          <w:b/>
          <w:bCs/>
          <w:sz w:val="24"/>
          <w:szCs w:val="24"/>
          <w:lang w:val="en-US"/>
        </w:rPr>
      </w:pPr>
      <w:r w:rsidRPr="00CE02BD">
        <w:rPr>
          <w:rFonts w:ascii="Book Antiqua" w:hAnsi="Book Antiqua"/>
          <w:b/>
          <w:bCs/>
          <w:sz w:val="24"/>
          <w:szCs w:val="24"/>
          <w:lang w:val="en-US"/>
        </w:rPr>
        <w:lastRenderedPageBreak/>
        <w:t>Table 2 Intervals of clinical, biomarker</w:t>
      </w:r>
      <w:r w:rsidR="003E227F" w:rsidRPr="00CE02BD">
        <w:rPr>
          <w:rFonts w:ascii="Book Antiqua" w:hAnsi="Book Antiqua"/>
          <w:b/>
          <w:bCs/>
          <w:sz w:val="24"/>
          <w:szCs w:val="24"/>
          <w:lang w:val="en-US"/>
        </w:rPr>
        <w:t>,</w:t>
      </w:r>
      <w:r w:rsidRPr="00CE02BD">
        <w:rPr>
          <w:rFonts w:ascii="Book Antiqua" w:hAnsi="Book Antiqua"/>
          <w:b/>
          <w:bCs/>
          <w:sz w:val="24"/>
          <w:szCs w:val="24"/>
          <w:lang w:val="en-US"/>
        </w:rPr>
        <w:t xml:space="preserve"> and endoscopic assessment in the treat-to-target and tight control framework</w:t>
      </w:r>
    </w:p>
    <w:tbl>
      <w:tblPr>
        <w:tblStyle w:val="Tblzategyszer211"/>
        <w:tblW w:w="0" w:type="auto"/>
        <w:tblBorders>
          <w:top w:val="single" w:sz="4" w:space="0" w:color="auto"/>
          <w:bottom w:val="single" w:sz="4" w:space="0" w:color="auto"/>
        </w:tblBorders>
        <w:tblLook w:val="04A0" w:firstRow="1" w:lastRow="0" w:firstColumn="1" w:lastColumn="0" w:noHBand="0" w:noVBand="1"/>
      </w:tblPr>
      <w:tblGrid>
        <w:gridCol w:w="2835"/>
        <w:gridCol w:w="2835"/>
        <w:gridCol w:w="2835"/>
      </w:tblGrid>
      <w:tr w:rsidR="00B91C62" w:rsidRPr="00CE02BD" w14:paraId="4D6DCDCC" w14:textId="77777777" w:rsidTr="00D83B31">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vAlign w:val="center"/>
          </w:tcPr>
          <w:p w14:paraId="2230BA8C" w14:textId="1456CC30" w:rsidR="00B91C62" w:rsidRPr="00CE02BD" w:rsidRDefault="00B91C62" w:rsidP="000F1138">
            <w:pPr>
              <w:adjustRightInd w:val="0"/>
              <w:snapToGrid w:val="0"/>
              <w:spacing w:line="360" w:lineRule="auto"/>
              <w:jc w:val="both"/>
              <w:rPr>
                <w:rFonts w:ascii="Book Antiqua" w:hAnsi="Book Antiqua"/>
                <w:bCs w:val="0"/>
                <w:i/>
                <w:sz w:val="24"/>
                <w:szCs w:val="24"/>
                <w:lang w:val="en-US"/>
              </w:rPr>
            </w:pPr>
          </w:p>
        </w:tc>
        <w:tc>
          <w:tcPr>
            <w:tcW w:w="2835" w:type="dxa"/>
            <w:tcBorders>
              <w:top w:val="single" w:sz="4" w:space="0" w:color="auto"/>
              <w:bottom w:val="single" w:sz="4" w:space="0" w:color="auto"/>
            </w:tcBorders>
            <w:vAlign w:val="center"/>
          </w:tcPr>
          <w:p w14:paraId="1316375C" w14:textId="5EDB2CF7" w:rsidR="00B91C62" w:rsidRPr="00CE02BD" w:rsidRDefault="00B91C62" w:rsidP="001B73A3">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Active disease/at flare</w:t>
            </w:r>
          </w:p>
        </w:tc>
        <w:tc>
          <w:tcPr>
            <w:tcW w:w="2835" w:type="dxa"/>
            <w:tcBorders>
              <w:top w:val="single" w:sz="4" w:space="0" w:color="auto"/>
              <w:bottom w:val="single" w:sz="4" w:space="0" w:color="auto"/>
            </w:tcBorders>
            <w:vAlign w:val="center"/>
          </w:tcPr>
          <w:p w14:paraId="5656725A" w14:textId="77777777" w:rsidR="00B91C62" w:rsidRPr="00CE02BD" w:rsidRDefault="00B91C62" w:rsidP="00C111F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Clinical remission</w:t>
            </w:r>
          </w:p>
        </w:tc>
      </w:tr>
      <w:tr w:rsidR="001B73A3" w:rsidRPr="00CE02BD" w14:paraId="7DABE887" w14:textId="77777777" w:rsidTr="0046689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none" w:sz="0" w:space="0" w:color="auto"/>
            </w:tcBorders>
            <w:vAlign w:val="center"/>
          </w:tcPr>
          <w:p w14:paraId="6EB2112F" w14:textId="60E400D6" w:rsidR="001B73A3" w:rsidRPr="00CE02BD" w:rsidRDefault="001B73A3" w:rsidP="000F1138">
            <w:pPr>
              <w:adjustRightInd w:val="0"/>
              <w:snapToGrid w:val="0"/>
              <w:spacing w:line="360" w:lineRule="auto"/>
              <w:jc w:val="both"/>
              <w:rPr>
                <w:rFonts w:ascii="Book Antiqua" w:hAnsi="Book Antiqua"/>
                <w:bCs w:val="0"/>
                <w:iCs/>
                <w:sz w:val="24"/>
                <w:szCs w:val="24"/>
                <w:lang w:val="en-US"/>
              </w:rPr>
            </w:pPr>
            <w:r w:rsidRPr="00CE02BD">
              <w:rPr>
                <w:rFonts w:ascii="Book Antiqua" w:hAnsi="Book Antiqua"/>
                <w:bCs w:val="0"/>
                <w:iCs/>
                <w:sz w:val="24"/>
                <w:szCs w:val="24"/>
                <w:lang w:val="en-US"/>
              </w:rPr>
              <w:t>Crohn’s disease</w:t>
            </w:r>
          </w:p>
        </w:tc>
        <w:tc>
          <w:tcPr>
            <w:tcW w:w="2835" w:type="dxa"/>
            <w:tcBorders>
              <w:top w:val="single" w:sz="4" w:space="0" w:color="auto"/>
              <w:bottom w:val="none" w:sz="0" w:space="0" w:color="auto"/>
            </w:tcBorders>
            <w:vAlign w:val="center"/>
          </w:tcPr>
          <w:p w14:paraId="404A361B" w14:textId="77777777" w:rsidR="001B73A3" w:rsidRPr="00CE02BD"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835" w:type="dxa"/>
            <w:tcBorders>
              <w:top w:val="single" w:sz="4" w:space="0" w:color="auto"/>
              <w:bottom w:val="none" w:sz="0" w:space="0" w:color="auto"/>
            </w:tcBorders>
            <w:vAlign w:val="center"/>
          </w:tcPr>
          <w:p w14:paraId="7A0A715D" w14:textId="77777777" w:rsidR="001B73A3" w:rsidRPr="00CE02BD"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B91C62" w:rsidRPr="00CE02BD" w14:paraId="348000F7"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87CE28E" w14:textId="77777777" w:rsidR="00B91C62" w:rsidRPr="00CE02BD" w:rsidRDefault="00B91C62" w:rsidP="000F1138">
            <w:pPr>
              <w:adjustRightInd w:val="0"/>
              <w:snapToGrid w:val="0"/>
              <w:spacing w:line="360" w:lineRule="auto"/>
              <w:jc w:val="both"/>
              <w:rPr>
                <w:rFonts w:ascii="Book Antiqua" w:hAnsi="Book Antiqua"/>
                <w:b w:val="0"/>
                <w:sz w:val="24"/>
                <w:szCs w:val="24"/>
                <w:lang w:val="en-US"/>
              </w:rPr>
            </w:pPr>
            <w:r w:rsidRPr="00CE02BD">
              <w:rPr>
                <w:rFonts w:ascii="Book Antiqua" w:hAnsi="Book Antiqua"/>
                <w:b w:val="0"/>
                <w:sz w:val="24"/>
                <w:szCs w:val="24"/>
                <w:lang w:val="en-US"/>
              </w:rPr>
              <w:t>Clinical evaluation</w:t>
            </w:r>
          </w:p>
          <w:p w14:paraId="3A0C1417" w14:textId="77777777" w:rsidR="00B91C62" w:rsidRPr="00CE02BD" w:rsidRDefault="00B91C62" w:rsidP="000F1138">
            <w:pPr>
              <w:adjustRightInd w:val="0"/>
              <w:snapToGrid w:val="0"/>
              <w:spacing w:line="360" w:lineRule="auto"/>
              <w:jc w:val="both"/>
              <w:rPr>
                <w:rFonts w:ascii="Book Antiqua" w:hAnsi="Book Antiqua"/>
                <w:b w:val="0"/>
                <w:sz w:val="24"/>
                <w:szCs w:val="24"/>
                <w:lang w:val="en-US"/>
              </w:rPr>
            </w:pPr>
            <w:r w:rsidRPr="00CE02BD">
              <w:rPr>
                <w:rFonts w:ascii="Book Antiqua" w:hAnsi="Book Antiqua"/>
                <w:b w:val="0"/>
                <w:sz w:val="24"/>
                <w:szCs w:val="24"/>
                <w:lang w:val="en-US"/>
              </w:rPr>
              <w:t>(PRO, CDAI, HBI indices)</w:t>
            </w:r>
          </w:p>
        </w:tc>
        <w:tc>
          <w:tcPr>
            <w:tcW w:w="2835" w:type="dxa"/>
            <w:vAlign w:val="center"/>
          </w:tcPr>
          <w:p w14:paraId="7C6B7A2A" w14:textId="137A0D54"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3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w:t>
            </w:r>
            <w:r w:rsidRPr="00CE02BD">
              <w:rPr>
                <w:rFonts w:ascii="Book Antiqua" w:hAnsi="Book Antiqua" w:cstheme="minorHAnsi"/>
                <w:sz w:val="24"/>
                <w:szCs w:val="24"/>
                <w:lang w:val="en-US"/>
              </w:rPr>
              <w:t>[</w:t>
            </w:r>
            <w:r w:rsidRPr="00CE02BD">
              <w:rPr>
                <w:rFonts w:ascii="Book Antiqua" w:hAnsi="Book Antiqua"/>
                <w:sz w:val="24"/>
                <w:szCs w:val="24"/>
                <w:lang w:val="en-US"/>
              </w:rPr>
              <w:t>STRIDE and CALM protocol</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28,13</w:t>
            </w:r>
            <w:r w:rsidRPr="00CE02BD">
              <w:rPr>
                <w:rFonts w:ascii="Book Antiqua" w:hAnsi="Book Antiqua"/>
                <w:sz w:val="24"/>
                <w:szCs w:val="24"/>
                <w:vertAlign w:val="superscript"/>
                <w:lang w:val="en-US"/>
              </w:rPr>
              <w:sym w:font="Symbol" w:char="F05D"/>
            </w:r>
          </w:p>
        </w:tc>
        <w:tc>
          <w:tcPr>
            <w:tcW w:w="2835" w:type="dxa"/>
            <w:vAlign w:val="center"/>
          </w:tcPr>
          <w:p w14:paraId="423A85DC" w14:textId="4DDF195C"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6-12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w:t>
            </w:r>
            <w:r w:rsidRPr="00CE02BD">
              <w:rPr>
                <w:rFonts w:ascii="Book Antiqua" w:hAnsi="Book Antiqua" w:cstheme="minorHAnsi"/>
                <w:sz w:val="24"/>
                <w:szCs w:val="24"/>
                <w:lang w:val="en-US"/>
              </w:rPr>
              <w:t>[</w:t>
            </w:r>
            <w:r w:rsidRPr="00CE02BD">
              <w:rPr>
                <w:rFonts w:ascii="Book Antiqua" w:hAnsi="Book Antiqua"/>
                <w:sz w:val="24"/>
                <w:szCs w:val="24"/>
                <w:lang w:val="en-US"/>
              </w:rPr>
              <w:t>STRIDE</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28</w:t>
            </w:r>
            <w:r w:rsidRPr="00CE02BD">
              <w:rPr>
                <w:rFonts w:ascii="Book Antiqua" w:hAnsi="Book Antiqua"/>
                <w:sz w:val="24"/>
                <w:szCs w:val="24"/>
                <w:vertAlign w:val="superscript"/>
                <w:lang w:val="en-US"/>
              </w:rPr>
              <w:sym w:font="Symbol" w:char="F05D"/>
            </w:r>
          </w:p>
          <w:p w14:paraId="5A2E1247" w14:textId="02DCB21F"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3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w:t>
            </w:r>
            <w:r w:rsidRPr="00CE02BD">
              <w:rPr>
                <w:rFonts w:ascii="Book Antiqua" w:hAnsi="Book Antiqua" w:cstheme="minorHAnsi"/>
                <w:sz w:val="24"/>
                <w:szCs w:val="24"/>
                <w:lang w:val="en-US"/>
              </w:rPr>
              <w:t>[</w:t>
            </w:r>
            <w:r w:rsidRPr="00CE02BD">
              <w:rPr>
                <w:rFonts w:ascii="Book Antiqua" w:hAnsi="Book Antiqua"/>
                <w:sz w:val="24"/>
                <w:szCs w:val="24"/>
                <w:lang w:val="en-US"/>
              </w:rPr>
              <w:t>CALM protocol</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13</w:t>
            </w:r>
            <w:r w:rsidRPr="00CE02BD">
              <w:rPr>
                <w:rFonts w:ascii="Book Antiqua" w:hAnsi="Book Antiqua"/>
                <w:sz w:val="24"/>
                <w:szCs w:val="24"/>
                <w:vertAlign w:val="superscript"/>
                <w:lang w:val="en-US"/>
              </w:rPr>
              <w:sym w:font="Symbol" w:char="F05D"/>
            </w:r>
          </w:p>
        </w:tc>
      </w:tr>
      <w:tr w:rsidR="00B91C62" w:rsidRPr="00CE02BD" w14:paraId="177A9952" w14:textId="77777777" w:rsidTr="001B73A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2DB1CF09" w14:textId="77777777" w:rsidR="00B91C62" w:rsidRPr="00CE02BD" w:rsidRDefault="00B91C62" w:rsidP="000F1138">
            <w:pPr>
              <w:adjustRightInd w:val="0"/>
              <w:snapToGrid w:val="0"/>
              <w:spacing w:line="360" w:lineRule="auto"/>
              <w:jc w:val="both"/>
              <w:rPr>
                <w:rFonts w:ascii="Book Antiqua" w:hAnsi="Book Antiqua"/>
                <w:b w:val="0"/>
                <w:sz w:val="24"/>
                <w:szCs w:val="24"/>
                <w:lang w:val="en-US"/>
              </w:rPr>
            </w:pPr>
            <w:r w:rsidRPr="00CE02BD">
              <w:rPr>
                <w:rFonts w:ascii="Book Antiqua" w:hAnsi="Book Antiqua"/>
                <w:b w:val="0"/>
                <w:sz w:val="24"/>
                <w:szCs w:val="24"/>
                <w:lang w:val="en-US"/>
              </w:rPr>
              <w:t>Endoscopic evaluation</w:t>
            </w:r>
          </w:p>
        </w:tc>
        <w:tc>
          <w:tcPr>
            <w:tcW w:w="2835" w:type="dxa"/>
            <w:tcBorders>
              <w:top w:val="none" w:sz="0" w:space="0" w:color="auto"/>
              <w:bottom w:val="none" w:sz="0" w:space="0" w:color="auto"/>
            </w:tcBorders>
            <w:vAlign w:val="center"/>
          </w:tcPr>
          <w:p w14:paraId="196054CE" w14:textId="4C5E047D" w:rsidR="00B91C62" w:rsidRPr="00CE02BD" w:rsidRDefault="00B91C62"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6-9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after therapy initiation </w:t>
            </w:r>
            <w:r w:rsidRPr="00CE02BD">
              <w:rPr>
                <w:rFonts w:ascii="Book Antiqua" w:hAnsi="Book Antiqua" w:cstheme="minorHAnsi"/>
                <w:sz w:val="24"/>
                <w:szCs w:val="24"/>
                <w:lang w:val="en-US"/>
              </w:rPr>
              <w:t>[</w:t>
            </w:r>
            <w:r w:rsidRPr="00CE02BD">
              <w:rPr>
                <w:rFonts w:ascii="Book Antiqua" w:hAnsi="Book Antiqua"/>
                <w:sz w:val="24"/>
                <w:szCs w:val="24"/>
                <w:lang w:val="en-US"/>
              </w:rPr>
              <w:t>STRIDE</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28</w:t>
            </w:r>
            <w:r w:rsidRPr="00CE02BD">
              <w:rPr>
                <w:rFonts w:ascii="Book Antiqua" w:hAnsi="Book Antiqua"/>
                <w:sz w:val="24"/>
                <w:szCs w:val="24"/>
                <w:vertAlign w:val="superscript"/>
                <w:lang w:val="en-US"/>
              </w:rPr>
              <w:sym w:font="Symbol" w:char="F05D"/>
            </w:r>
          </w:p>
        </w:tc>
        <w:tc>
          <w:tcPr>
            <w:tcW w:w="2835" w:type="dxa"/>
            <w:tcBorders>
              <w:top w:val="none" w:sz="0" w:space="0" w:color="auto"/>
              <w:bottom w:val="none" w:sz="0" w:space="0" w:color="auto"/>
            </w:tcBorders>
            <w:vAlign w:val="center"/>
          </w:tcPr>
          <w:p w14:paraId="1FA20FB8" w14:textId="77777777" w:rsidR="00B91C62" w:rsidRPr="00CE02BD" w:rsidRDefault="00B91C62"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Based on screening recommendations in deep remission</w:t>
            </w:r>
          </w:p>
          <w:p w14:paraId="240CBB4F" w14:textId="579D6A2F" w:rsidR="00B91C62" w:rsidRPr="00CE02BD" w:rsidRDefault="00B91C62" w:rsidP="00FD779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Prompted by clinical symptoms or (consecutive) biomarker positivity – FCAL</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52,53</w:t>
            </w:r>
            <w:r w:rsidRPr="00CE02BD">
              <w:rPr>
                <w:rFonts w:ascii="Book Antiqua" w:hAnsi="Book Antiqua"/>
                <w:sz w:val="24"/>
                <w:szCs w:val="24"/>
                <w:vertAlign w:val="superscript"/>
                <w:lang w:val="en-US"/>
              </w:rPr>
              <w:sym w:font="Symbol" w:char="F05D"/>
            </w:r>
          </w:p>
        </w:tc>
      </w:tr>
      <w:tr w:rsidR="00B91C62" w:rsidRPr="00CE02BD" w14:paraId="0FE2DF9A"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558AD8A" w14:textId="77777777" w:rsidR="00B91C62" w:rsidRPr="00CE02BD" w:rsidRDefault="00B91C62" w:rsidP="000F1138">
            <w:pPr>
              <w:adjustRightInd w:val="0"/>
              <w:snapToGrid w:val="0"/>
              <w:spacing w:line="360" w:lineRule="auto"/>
              <w:jc w:val="both"/>
              <w:rPr>
                <w:rFonts w:ascii="Book Antiqua" w:hAnsi="Book Antiqua"/>
                <w:b w:val="0"/>
                <w:sz w:val="24"/>
                <w:szCs w:val="24"/>
                <w:lang w:val="en-US"/>
              </w:rPr>
            </w:pPr>
            <w:r w:rsidRPr="00CE02BD">
              <w:rPr>
                <w:rFonts w:ascii="Book Antiqua" w:hAnsi="Book Antiqua"/>
                <w:b w:val="0"/>
                <w:sz w:val="24"/>
                <w:szCs w:val="24"/>
                <w:lang w:val="en-US"/>
              </w:rPr>
              <w:t>Biomarker evaluation</w:t>
            </w:r>
          </w:p>
          <w:p w14:paraId="46065D4D" w14:textId="77777777" w:rsidR="00B91C62" w:rsidRPr="00CE02BD" w:rsidRDefault="00B91C62" w:rsidP="000F1138">
            <w:pPr>
              <w:adjustRightInd w:val="0"/>
              <w:snapToGrid w:val="0"/>
              <w:spacing w:line="360" w:lineRule="auto"/>
              <w:jc w:val="both"/>
              <w:rPr>
                <w:rFonts w:ascii="Book Antiqua" w:hAnsi="Book Antiqua"/>
                <w:b w:val="0"/>
                <w:sz w:val="24"/>
                <w:szCs w:val="24"/>
                <w:lang w:val="en-US"/>
              </w:rPr>
            </w:pPr>
            <w:r w:rsidRPr="00CE02BD">
              <w:rPr>
                <w:rFonts w:ascii="Book Antiqua" w:hAnsi="Book Antiqua"/>
                <w:b w:val="0"/>
                <w:sz w:val="24"/>
                <w:szCs w:val="24"/>
                <w:lang w:val="en-US"/>
              </w:rPr>
              <w:t>(CRP and FCAL)</w:t>
            </w:r>
          </w:p>
        </w:tc>
        <w:tc>
          <w:tcPr>
            <w:tcW w:w="2835" w:type="dxa"/>
            <w:vAlign w:val="center"/>
          </w:tcPr>
          <w:p w14:paraId="7D362876" w14:textId="651298BD"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lang w:val="en-US"/>
              </w:rPr>
            </w:pPr>
            <w:r w:rsidRPr="00CE02BD">
              <w:rPr>
                <w:rFonts w:ascii="Book Antiqua" w:hAnsi="Book Antiqua"/>
                <w:sz w:val="24"/>
                <w:szCs w:val="24"/>
                <w:lang w:val="en-US"/>
              </w:rPr>
              <w:t xml:space="preserve">3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(FCAL</w:t>
            </w:r>
            <w:r w:rsidR="00E34B41" w:rsidRPr="00CE02BD">
              <w:rPr>
                <w:rFonts w:ascii="Book Antiqua" w:hAnsi="Book Antiqua"/>
                <w:sz w:val="24"/>
                <w:szCs w:val="24"/>
                <w:lang w:val="en-US"/>
              </w:rPr>
              <w:t xml:space="preserve"> </w:t>
            </w:r>
            <w:r w:rsidRPr="00CE02BD">
              <w:rPr>
                <w:rFonts w:ascii="Book Antiqua" w:hAnsi="Book Antiqua"/>
                <w:sz w:val="24"/>
                <w:szCs w:val="24"/>
                <w:lang w:val="en-US"/>
              </w:rPr>
              <w:t>+</w:t>
            </w:r>
            <w:r w:rsidR="00E34B41" w:rsidRPr="00CE02BD">
              <w:rPr>
                <w:rFonts w:ascii="Book Antiqua" w:hAnsi="Book Antiqua"/>
                <w:sz w:val="24"/>
                <w:szCs w:val="24"/>
                <w:lang w:val="en-US"/>
              </w:rPr>
              <w:t xml:space="preserve"> </w:t>
            </w:r>
            <w:r w:rsidRPr="00CE02BD">
              <w:rPr>
                <w:rFonts w:ascii="Book Antiqua" w:hAnsi="Book Antiqua"/>
                <w:sz w:val="24"/>
                <w:szCs w:val="24"/>
                <w:lang w:val="en-US"/>
              </w:rPr>
              <w:t xml:space="preserve">CRP) </w:t>
            </w:r>
            <w:r w:rsidRPr="00CE02BD">
              <w:rPr>
                <w:rFonts w:ascii="Book Antiqua" w:hAnsi="Book Antiqua" w:cstheme="minorHAnsi"/>
                <w:sz w:val="24"/>
                <w:szCs w:val="24"/>
                <w:lang w:val="en-US"/>
              </w:rPr>
              <w:t>[</w:t>
            </w:r>
            <w:r w:rsidRPr="00CE02BD">
              <w:rPr>
                <w:rFonts w:ascii="Book Antiqua" w:hAnsi="Book Antiqua"/>
                <w:sz w:val="24"/>
                <w:szCs w:val="24"/>
                <w:lang w:val="en-US"/>
              </w:rPr>
              <w:t>CALM protocol</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13,94</w:t>
            </w:r>
            <w:r w:rsidRPr="00CE02BD">
              <w:rPr>
                <w:rFonts w:ascii="Book Antiqua" w:hAnsi="Book Antiqua"/>
                <w:sz w:val="24"/>
                <w:szCs w:val="24"/>
                <w:vertAlign w:val="superscript"/>
                <w:lang w:val="en-US"/>
              </w:rPr>
              <w:sym w:font="Symbol" w:char="F05D"/>
            </w:r>
          </w:p>
          <w:p w14:paraId="21BB40BD" w14:textId="6DCB9876" w:rsidR="00B91C62" w:rsidRPr="00CE02BD" w:rsidRDefault="0028494D"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Approximately </w:t>
            </w:r>
            <w:r w:rsidR="00B91C62" w:rsidRPr="00CE02BD">
              <w:rPr>
                <w:rFonts w:ascii="Book Antiqua" w:hAnsi="Book Antiqua"/>
                <w:sz w:val="24"/>
                <w:szCs w:val="24"/>
                <w:lang w:val="en-US"/>
              </w:rPr>
              <w:t xml:space="preserve">12-14 </w:t>
            </w:r>
            <w:r w:rsidR="00967F41" w:rsidRPr="00CE02BD">
              <w:rPr>
                <w:rFonts w:ascii="Book Antiqua" w:hAnsi="Book Antiqua"/>
                <w:sz w:val="24"/>
                <w:szCs w:val="24"/>
                <w:lang w:val="en-US"/>
              </w:rPr>
              <w:t>wk</w:t>
            </w:r>
            <w:r w:rsidR="00B91C62" w:rsidRPr="00CE02BD">
              <w:rPr>
                <w:rFonts w:ascii="Book Antiqua" w:hAnsi="Book Antiqua"/>
                <w:sz w:val="24"/>
                <w:szCs w:val="24"/>
                <w:lang w:val="en-US"/>
              </w:rPr>
              <w:t xml:space="preserve"> after therapy initiation (CRP)</w:t>
            </w:r>
            <w:r w:rsidR="00B91C62" w:rsidRPr="00CE02BD">
              <w:rPr>
                <w:rFonts w:ascii="Book Antiqua" w:hAnsi="Book Antiqua"/>
                <w:sz w:val="24"/>
                <w:szCs w:val="24"/>
                <w:vertAlign w:val="superscript"/>
                <w:lang w:val="en-US"/>
              </w:rPr>
              <w:sym w:font="Symbol" w:char="F05B"/>
            </w:r>
            <w:r w:rsidR="00B91C62" w:rsidRPr="00CE02BD">
              <w:rPr>
                <w:rFonts w:ascii="Book Antiqua" w:hAnsi="Book Antiqua"/>
                <w:sz w:val="24"/>
                <w:szCs w:val="24"/>
                <w:vertAlign w:val="superscript"/>
                <w:lang w:val="en-US"/>
              </w:rPr>
              <w:t>95,96</w:t>
            </w:r>
            <w:r w:rsidR="00B91C62" w:rsidRPr="00CE02BD">
              <w:rPr>
                <w:rFonts w:ascii="Book Antiqua" w:hAnsi="Book Antiqua"/>
                <w:sz w:val="24"/>
                <w:szCs w:val="24"/>
                <w:vertAlign w:val="superscript"/>
                <w:lang w:val="en-US"/>
              </w:rPr>
              <w:sym w:font="Symbol" w:char="F05D"/>
            </w:r>
          </w:p>
          <w:p w14:paraId="27AF4E88" w14:textId="4B8F241D" w:rsidR="00B91C62" w:rsidRPr="00CE02BD" w:rsidRDefault="0028494D"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Approximately </w:t>
            </w:r>
            <w:r w:rsidR="00B91C62" w:rsidRPr="00CE02BD">
              <w:rPr>
                <w:rFonts w:ascii="Book Antiqua" w:hAnsi="Book Antiqua"/>
                <w:sz w:val="24"/>
                <w:szCs w:val="24"/>
                <w:lang w:val="en-US"/>
              </w:rPr>
              <w:t xml:space="preserve">14 </w:t>
            </w:r>
            <w:r w:rsidR="00967F41" w:rsidRPr="00CE02BD">
              <w:rPr>
                <w:rFonts w:ascii="Book Antiqua" w:hAnsi="Book Antiqua"/>
                <w:sz w:val="24"/>
                <w:szCs w:val="24"/>
                <w:lang w:val="en-US"/>
              </w:rPr>
              <w:t>wk</w:t>
            </w:r>
            <w:r w:rsidR="00B91C62" w:rsidRPr="00CE02BD">
              <w:rPr>
                <w:rFonts w:ascii="Book Antiqua" w:hAnsi="Book Antiqua"/>
                <w:sz w:val="24"/>
                <w:szCs w:val="24"/>
                <w:lang w:val="en-US"/>
              </w:rPr>
              <w:t xml:space="preserve"> after therapy initiation (FCAL)</w:t>
            </w:r>
            <w:r w:rsidR="00B91C62" w:rsidRPr="00CE02BD">
              <w:rPr>
                <w:rFonts w:ascii="Book Antiqua" w:hAnsi="Book Antiqua"/>
                <w:sz w:val="24"/>
                <w:szCs w:val="24"/>
                <w:vertAlign w:val="superscript"/>
                <w:lang w:val="en-US"/>
              </w:rPr>
              <w:sym w:font="Symbol" w:char="F05B"/>
            </w:r>
            <w:r w:rsidR="00B91C62" w:rsidRPr="00CE02BD">
              <w:rPr>
                <w:rFonts w:ascii="Book Antiqua" w:hAnsi="Book Antiqua"/>
                <w:sz w:val="24"/>
                <w:szCs w:val="24"/>
                <w:vertAlign w:val="superscript"/>
                <w:lang w:val="en-US"/>
              </w:rPr>
              <w:t>94,97,98</w:t>
            </w:r>
            <w:r w:rsidR="00B91C62" w:rsidRPr="00CE02BD">
              <w:rPr>
                <w:rFonts w:ascii="Book Antiqua" w:hAnsi="Book Antiqua"/>
                <w:sz w:val="24"/>
                <w:szCs w:val="24"/>
                <w:vertAlign w:val="superscript"/>
                <w:lang w:val="en-US"/>
              </w:rPr>
              <w:sym w:font="Symbol" w:char="F05D"/>
            </w:r>
          </w:p>
        </w:tc>
        <w:tc>
          <w:tcPr>
            <w:tcW w:w="2835" w:type="dxa"/>
            <w:vAlign w:val="center"/>
          </w:tcPr>
          <w:p w14:paraId="0B646FE8" w14:textId="15FAD6D1"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lang w:val="en-US"/>
              </w:rPr>
            </w:pPr>
            <w:r w:rsidRPr="00CE02BD">
              <w:rPr>
                <w:rFonts w:ascii="Book Antiqua" w:hAnsi="Book Antiqua"/>
                <w:sz w:val="24"/>
                <w:szCs w:val="24"/>
                <w:lang w:val="en-US"/>
              </w:rPr>
              <w:t xml:space="preserve">3 </w:t>
            </w:r>
            <w:r w:rsidR="00583505" w:rsidRPr="00CE02BD">
              <w:rPr>
                <w:rFonts w:ascii="Book Antiqua" w:hAnsi="Book Antiqua"/>
                <w:sz w:val="24"/>
                <w:szCs w:val="24"/>
                <w:lang w:val="en-US"/>
              </w:rPr>
              <w:t>mo</w:t>
            </w:r>
            <w:r w:rsidRPr="00CE02BD">
              <w:rPr>
                <w:rFonts w:ascii="Book Antiqua" w:hAnsi="Book Antiqua"/>
                <w:sz w:val="24"/>
                <w:szCs w:val="24"/>
                <w:lang w:val="en-US"/>
              </w:rPr>
              <w:t xml:space="preserve"> (FCAL</w:t>
            </w:r>
            <w:r w:rsidR="00E34B41" w:rsidRPr="00CE02BD">
              <w:rPr>
                <w:rFonts w:ascii="Book Antiqua" w:hAnsi="Book Antiqua"/>
                <w:sz w:val="24"/>
                <w:szCs w:val="24"/>
                <w:lang w:val="en-US"/>
              </w:rPr>
              <w:t xml:space="preserve"> </w:t>
            </w:r>
            <w:r w:rsidRPr="00CE02BD">
              <w:rPr>
                <w:rFonts w:ascii="Book Antiqua" w:hAnsi="Book Antiqua"/>
                <w:sz w:val="24"/>
                <w:szCs w:val="24"/>
                <w:lang w:val="en-US"/>
              </w:rPr>
              <w:t>+</w:t>
            </w:r>
            <w:r w:rsidR="00E34B41" w:rsidRPr="00CE02BD">
              <w:rPr>
                <w:rFonts w:ascii="Book Antiqua" w:hAnsi="Book Antiqua"/>
                <w:sz w:val="24"/>
                <w:szCs w:val="24"/>
                <w:lang w:val="en-US"/>
              </w:rPr>
              <w:t xml:space="preserve"> </w:t>
            </w:r>
            <w:r w:rsidRPr="00CE02BD">
              <w:rPr>
                <w:rFonts w:ascii="Book Antiqua" w:hAnsi="Book Antiqua"/>
                <w:sz w:val="24"/>
                <w:szCs w:val="24"/>
                <w:lang w:val="en-US"/>
              </w:rPr>
              <w:t xml:space="preserve">CRP) </w:t>
            </w:r>
            <w:r w:rsidRPr="00CE02BD">
              <w:rPr>
                <w:rFonts w:ascii="Book Antiqua" w:hAnsi="Book Antiqua" w:cstheme="minorHAnsi"/>
                <w:sz w:val="24"/>
                <w:szCs w:val="24"/>
                <w:lang w:val="en-US"/>
              </w:rPr>
              <w:t>[</w:t>
            </w:r>
            <w:r w:rsidRPr="00CE02BD">
              <w:rPr>
                <w:rFonts w:ascii="Book Antiqua" w:hAnsi="Book Antiqua"/>
                <w:sz w:val="24"/>
                <w:szCs w:val="24"/>
                <w:lang w:val="en-US"/>
              </w:rPr>
              <w:t>CALM protocol</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13</w:t>
            </w:r>
            <w:r w:rsidRPr="00CE02BD">
              <w:rPr>
                <w:rFonts w:ascii="Book Antiqua" w:hAnsi="Book Antiqua"/>
                <w:sz w:val="24"/>
                <w:szCs w:val="24"/>
                <w:vertAlign w:val="superscript"/>
                <w:lang w:val="en-US"/>
              </w:rPr>
              <w:sym w:font="Symbol" w:char="F05D"/>
            </w:r>
          </w:p>
          <w:p w14:paraId="2725C91C" w14:textId="67A9FE9D"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vertAlign w:val="superscript"/>
                <w:lang w:val="en-US"/>
              </w:rPr>
            </w:pPr>
            <w:r w:rsidRPr="00CE02BD">
              <w:rPr>
                <w:rFonts w:ascii="Book Antiqua" w:hAnsi="Book Antiqua" w:cstheme="minorHAnsi"/>
                <w:sz w:val="24"/>
                <w:szCs w:val="24"/>
                <w:lang w:val="en-US"/>
              </w:rPr>
              <w:t xml:space="preserve">(2)-3 </w:t>
            </w:r>
            <w:r w:rsidR="00583505" w:rsidRPr="00CE02BD">
              <w:rPr>
                <w:rFonts w:ascii="Book Antiqua" w:hAnsi="Book Antiqua" w:cstheme="minorHAnsi"/>
                <w:sz w:val="24"/>
                <w:szCs w:val="24"/>
                <w:lang w:val="en-US"/>
              </w:rPr>
              <w:t>mo</w:t>
            </w:r>
            <w:r w:rsidRPr="00CE02BD">
              <w:rPr>
                <w:rFonts w:ascii="Book Antiqua" w:hAnsi="Book Antiqua" w:cstheme="minorHAnsi"/>
                <w:sz w:val="24"/>
                <w:szCs w:val="24"/>
                <w:lang w:val="en-US"/>
              </w:rPr>
              <w:t xml:space="preserve"> (FCAL)</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52,53</w:t>
            </w:r>
            <w:r w:rsidRPr="00CE02BD">
              <w:rPr>
                <w:rFonts w:ascii="Book Antiqua" w:hAnsi="Book Antiqua"/>
                <w:sz w:val="24"/>
                <w:szCs w:val="24"/>
                <w:vertAlign w:val="superscript"/>
                <w:lang w:val="en-US"/>
              </w:rPr>
              <w:sym w:font="Symbol" w:char="F05D"/>
            </w:r>
          </w:p>
          <w:p w14:paraId="6FA108FE" w14:textId="7B38D41E" w:rsidR="00B91C62" w:rsidRPr="00CE02BD" w:rsidRDefault="00B91C62"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sz w:val="24"/>
                <w:szCs w:val="24"/>
                <w:lang w:val="en-US"/>
              </w:rPr>
            </w:pPr>
            <w:r w:rsidRPr="00CE02BD">
              <w:rPr>
                <w:rFonts w:ascii="Book Antiqua" w:hAnsi="Book Antiqua"/>
                <w:noProof/>
                <w:sz w:val="24"/>
                <w:szCs w:val="24"/>
                <w:lang w:val="en-US"/>
              </w:rPr>
              <w:t xml:space="preserve">3 </w:t>
            </w:r>
            <w:r w:rsidR="00583505" w:rsidRPr="00CE02BD">
              <w:rPr>
                <w:rFonts w:ascii="Book Antiqua" w:hAnsi="Book Antiqua"/>
                <w:noProof/>
                <w:sz w:val="24"/>
                <w:szCs w:val="24"/>
                <w:lang w:val="en-US"/>
              </w:rPr>
              <w:t>mo</w:t>
            </w:r>
            <w:r w:rsidRPr="00CE02BD">
              <w:rPr>
                <w:rFonts w:ascii="Book Antiqua" w:hAnsi="Book Antiqua"/>
                <w:noProof/>
                <w:sz w:val="24"/>
                <w:szCs w:val="24"/>
                <w:lang w:val="en-US"/>
              </w:rPr>
              <w:t xml:space="preserve"> (CRP</w:t>
            </w:r>
            <w:r w:rsidR="00442001" w:rsidRPr="00CE02BD">
              <w:rPr>
                <w:rFonts w:ascii="Book Antiqua" w:hAnsi="Book Antiqua"/>
                <w:noProof/>
                <w:sz w:val="24"/>
                <w:szCs w:val="24"/>
                <w:vertAlign w:val="superscript"/>
                <w:lang w:val="en-US"/>
              </w:rPr>
              <w:t>1</w:t>
            </w:r>
            <w:r w:rsidRPr="00CE02BD">
              <w:rPr>
                <w:rFonts w:ascii="Book Antiqua" w:hAnsi="Book Antiqua"/>
                <w:noProof/>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noProof/>
                <w:sz w:val="24"/>
                <w:szCs w:val="24"/>
                <w:vertAlign w:val="superscript"/>
                <w:lang w:val="en-US"/>
              </w:rPr>
              <w:t>99</w:t>
            </w:r>
            <w:r w:rsidRPr="00CE02BD">
              <w:rPr>
                <w:rFonts w:ascii="Book Antiqua" w:hAnsi="Book Antiqua"/>
                <w:sz w:val="24"/>
                <w:szCs w:val="24"/>
                <w:vertAlign w:val="superscript"/>
                <w:lang w:val="en-US"/>
              </w:rPr>
              <w:sym w:font="Symbol" w:char="F05D"/>
            </w:r>
          </w:p>
        </w:tc>
      </w:tr>
      <w:tr w:rsidR="001B73A3" w:rsidRPr="00CE02BD" w14:paraId="4CDFA98C" w14:textId="77777777" w:rsidTr="0046689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72765C5D" w14:textId="1663BC74" w:rsidR="001B73A3" w:rsidRPr="00CE02BD" w:rsidRDefault="001B73A3" w:rsidP="000F1138">
            <w:pPr>
              <w:adjustRightInd w:val="0"/>
              <w:snapToGrid w:val="0"/>
              <w:spacing w:line="360" w:lineRule="auto"/>
              <w:jc w:val="both"/>
              <w:rPr>
                <w:rFonts w:ascii="Book Antiqua" w:hAnsi="Book Antiqua"/>
                <w:bCs w:val="0"/>
                <w:iCs/>
                <w:sz w:val="24"/>
                <w:szCs w:val="24"/>
                <w:lang w:val="en-US"/>
              </w:rPr>
            </w:pPr>
            <w:r w:rsidRPr="00CE02BD">
              <w:rPr>
                <w:rFonts w:ascii="Book Antiqua" w:hAnsi="Book Antiqua"/>
                <w:bCs w:val="0"/>
                <w:iCs/>
                <w:sz w:val="24"/>
                <w:szCs w:val="24"/>
                <w:lang w:val="en-US"/>
              </w:rPr>
              <w:t>Ulcerative colitis</w:t>
            </w:r>
          </w:p>
        </w:tc>
        <w:tc>
          <w:tcPr>
            <w:tcW w:w="2835" w:type="dxa"/>
            <w:tcBorders>
              <w:top w:val="none" w:sz="0" w:space="0" w:color="auto"/>
              <w:bottom w:val="none" w:sz="0" w:space="0" w:color="auto"/>
            </w:tcBorders>
            <w:vAlign w:val="center"/>
          </w:tcPr>
          <w:p w14:paraId="41C262BB" w14:textId="77777777" w:rsidR="001B73A3" w:rsidRPr="00CE02BD"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835" w:type="dxa"/>
            <w:tcBorders>
              <w:top w:val="none" w:sz="0" w:space="0" w:color="auto"/>
              <w:bottom w:val="none" w:sz="0" w:space="0" w:color="auto"/>
            </w:tcBorders>
            <w:vAlign w:val="center"/>
          </w:tcPr>
          <w:p w14:paraId="59527F04" w14:textId="77777777" w:rsidR="001B73A3" w:rsidRPr="00CE02BD"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1B73A3" w:rsidRPr="00CE02BD" w14:paraId="75B65143"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5C0BE2B" w14:textId="77777777" w:rsidR="001B73A3" w:rsidRPr="00CE02BD" w:rsidRDefault="001B73A3" w:rsidP="001B73A3">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t>Clinical evaluation</w:t>
            </w:r>
          </w:p>
          <w:p w14:paraId="37D7AE78" w14:textId="2E4C6B76" w:rsidR="001B73A3" w:rsidRPr="00CE02BD" w:rsidRDefault="001B73A3" w:rsidP="001B73A3">
            <w:pPr>
              <w:adjustRightInd w:val="0"/>
              <w:snapToGrid w:val="0"/>
              <w:spacing w:line="360" w:lineRule="auto"/>
              <w:jc w:val="both"/>
              <w:rPr>
                <w:rFonts w:ascii="Book Antiqua" w:hAnsi="Book Antiqua"/>
                <w:b w:val="0"/>
                <w:bCs w:val="0"/>
                <w:i/>
                <w:sz w:val="24"/>
                <w:szCs w:val="24"/>
                <w:lang w:val="en-US"/>
              </w:rPr>
            </w:pPr>
            <w:r w:rsidRPr="00CE02BD">
              <w:rPr>
                <w:rFonts w:ascii="Book Antiqua" w:hAnsi="Book Antiqua"/>
                <w:b w:val="0"/>
                <w:bCs w:val="0"/>
                <w:sz w:val="24"/>
                <w:szCs w:val="24"/>
                <w:lang w:val="en-US"/>
              </w:rPr>
              <w:t>(PRO, CDAI, HBI indices)</w:t>
            </w:r>
          </w:p>
        </w:tc>
        <w:tc>
          <w:tcPr>
            <w:tcW w:w="2835" w:type="dxa"/>
            <w:vAlign w:val="center"/>
          </w:tcPr>
          <w:p w14:paraId="684D158C" w14:textId="5E38CE40" w:rsidR="001B73A3" w:rsidRPr="00CE02BD" w:rsidRDefault="001B73A3" w:rsidP="00C111F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3 mo </w:t>
            </w:r>
            <w:r w:rsidRPr="00CE02BD">
              <w:rPr>
                <w:rFonts w:ascii="Book Antiqua" w:hAnsi="Book Antiqua" w:cstheme="minorHAnsi"/>
                <w:sz w:val="24"/>
                <w:szCs w:val="24"/>
                <w:lang w:val="en-US"/>
              </w:rPr>
              <w:t>[</w:t>
            </w:r>
            <w:r w:rsidRPr="00CE02BD">
              <w:rPr>
                <w:rFonts w:ascii="Book Antiqua" w:hAnsi="Book Antiqua"/>
                <w:sz w:val="24"/>
                <w:szCs w:val="24"/>
                <w:lang w:val="en-US"/>
              </w:rPr>
              <w:t>STRIDE</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28</w:t>
            </w:r>
            <w:r w:rsidRPr="00CE02BD">
              <w:rPr>
                <w:rFonts w:ascii="Book Antiqua" w:hAnsi="Book Antiqua"/>
                <w:sz w:val="24"/>
                <w:szCs w:val="24"/>
                <w:vertAlign w:val="superscript"/>
                <w:lang w:val="en-US"/>
              </w:rPr>
              <w:sym w:font="Symbol" w:char="F05D"/>
            </w:r>
          </w:p>
        </w:tc>
        <w:tc>
          <w:tcPr>
            <w:tcW w:w="2835" w:type="dxa"/>
            <w:vAlign w:val="center"/>
          </w:tcPr>
          <w:p w14:paraId="70408189" w14:textId="3BA582F3" w:rsidR="001B73A3" w:rsidRPr="00CE02BD" w:rsidRDefault="001B73A3" w:rsidP="00FD7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6-12 mo </w:t>
            </w:r>
            <w:r w:rsidRPr="00CE02BD">
              <w:rPr>
                <w:rFonts w:ascii="Book Antiqua" w:hAnsi="Book Antiqua" w:cstheme="minorHAnsi"/>
                <w:sz w:val="24"/>
                <w:szCs w:val="24"/>
                <w:lang w:val="en-US"/>
              </w:rPr>
              <w:t>[</w:t>
            </w:r>
            <w:r w:rsidRPr="00CE02BD">
              <w:rPr>
                <w:rFonts w:ascii="Book Antiqua" w:hAnsi="Book Antiqua"/>
                <w:sz w:val="24"/>
                <w:szCs w:val="24"/>
                <w:lang w:val="en-US"/>
              </w:rPr>
              <w:t>STRIDE</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28</w:t>
            </w:r>
            <w:r w:rsidRPr="00CE02BD">
              <w:rPr>
                <w:rFonts w:ascii="Book Antiqua" w:hAnsi="Book Antiqua"/>
                <w:sz w:val="24"/>
                <w:szCs w:val="24"/>
                <w:vertAlign w:val="superscript"/>
                <w:lang w:val="en-US"/>
              </w:rPr>
              <w:sym w:font="Symbol" w:char="F05D"/>
            </w:r>
          </w:p>
        </w:tc>
      </w:tr>
      <w:tr w:rsidR="001B73A3" w:rsidRPr="00CE02BD" w14:paraId="5A7BC054" w14:textId="77777777" w:rsidTr="00FD779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2F88F4B3" w14:textId="0201B945" w:rsidR="001B73A3" w:rsidRPr="00CE02BD" w:rsidRDefault="001B73A3" w:rsidP="000F1138">
            <w:pPr>
              <w:adjustRightInd w:val="0"/>
              <w:snapToGrid w:val="0"/>
              <w:spacing w:line="360" w:lineRule="auto"/>
              <w:jc w:val="both"/>
              <w:rPr>
                <w:rFonts w:ascii="Book Antiqua" w:hAnsi="Book Antiqua"/>
                <w:b w:val="0"/>
                <w:bCs w:val="0"/>
                <w:i/>
                <w:sz w:val="24"/>
                <w:szCs w:val="24"/>
                <w:lang w:val="en-US"/>
              </w:rPr>
            </w:pPr>
            <w:r w:rsidRPr="00CE02BD">
              <w:rPr>
                <w:rFonts w:ascii="Book Antiqua" w:hAnsi="Book Antiqua"/>
                <w:b w:val="0"/>
                <w:bCs w:val="0"/>
                <w:sz w:val="24"/>
                <w:szCs w:val="24"/>
                <w:lang w:val="en-US"/>
              </w:rPr>
              <w:t>Endoscopic evaluation</w:t>
            </w:r>
          </w:p>
        </w:tc>
        <w:tc>
          <w:tcPr>
            <w:tcW w:w="2835" w:type="dxa"/>
            <w:tcBorders>
              <w:top w:val="none" w:sz="0" w:space="0" w:color="auto"/>
              <w:bottom w:val="none" w:sz="0" w:space="0" w:color="auto"/>
            </w:tcBorders>
            <w:vAlign w:val="center"/>
          </w:tcPr>
          <w:p w14:paraId="3420493A" w14:textId="06C8AF27" w:rsidR="001B73A3" w:rsidRPr="00CE02BD" w:rsidRDefault="001B73A3" w:rsidP="00C111F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3-6 mo after therapy initiation </w:t>
            </w:r>
            <w:r w:rsidRPr="00CE02BD">
              <w:rPr>
                <w:rFonts w:ascii="Book Antiqua" w:hAnsi="Book Antiqua" w:cstheme="minorHAnsi"/>
                <w:sz w:val="24"/>
                <w:szCs w:val="24"/>
                <w:lang w:val="en-US"/>
              </w:rPr>
              <w:t>[</w:t>
            </w:r>
            <w:r w:rsidRPr="00CE02BD">
              <w:rPr>
                <w:rFonts w:ascii="Book Antiqua" w:hAnsi="Book Antiqua"/>
                <w:sz w:val="24"/>
                <w:szCs w:val="24"/>
                <w:lang w:val="en-US"/>
              </w:rPr>
              <w:t>STRIDE</w:t>
            </w:r>
            <w:r w:rsidRPr="00CE02BD">
              <w:rPr>
                <w:rFonts w:ascii="Book Antiqua" w:hAnsi="Book Antiqua" w:cstheme="minorHAnsi"/>
                <w:sz w:val="24"/>
                <w:szCs w:val="24"/>
                <w:lang w:val="en-US"/>
              </w:rPr>
              <w:t>]</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28</w:t>
            </w:r>
            <w:r w:rsidRPr="00CE02BD">
              <w:rPr>
                <w:rFonts w:ascii="Book Antiqua" w:hAnsi="Book Antiqua"/>
                <w:sz w:val="24"/>
                <w:szCs w:val="24"/>
                <w:vertAlign w:val="superscript"/>
                <w:lang w:val="en-US"/>
              </w:rPr>
              <w:sym w:font="Symbol" w:char="F05D"/>
            </w:r>
          </w:p>
        </w:tc>
        <w:tc>
          <w:tcPr>
            <w:tcW w:w="2835" w:type="dxa"/>
            <w:tcBorders>
              <w:top w:val="none" w:sz="0" w:space="0" w:color="auto"/>
              <w:bottom w:val="none" w:sz="0" w:space="0" w:color="auto"/>
            </w:tcBorders>
            <w:vAlign w:val="center"/>
          </w:tcPr>
          <w:p w14:paraId="042D77F1" w14:textId="77777777" w:rsidR="001B73A3" w:rsidRPr="00CE02BD" w:rsidRDefault="001B73A3" w:rsidP="001B73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Based on screening recommendations in deep remission</w:t>
            </w:r>
          </w:p>
          <w:p w14:paraId="55A5F383" w14:textId="7DD0504D" w:rsidR="001B73A3" w:rsidRPr="00CE02BD" w:rsidRDefault="001B73A3" w:rsidP="00FD7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Prompted by clinical symptoms or </w:t>
            </w:r>
            <w:r w:rsidRPr="00CE02BD">
              <w:rPr>
                <w:rFonts w:ascii="Book Antiqua" w:hAnsi="Book Antiqua"/>
                <w:sz w:val="24"/>
                <w:szCs w:val="24"/>
                <w:lang w:val="en-US"/>
              </w:rPr>
              <w:lastRenderedPageBreak/>
              <w:t>(consecutive) biomarker positivity - FCAL</w:t>
            </w:r>
            <w:r w:rsidRPr="00CE02BD">
              <w:rPr>
                <w:rFonts w:ascii="Book Antiqua" w:hAnsi="Book Antiqua"/>
                <w:sz w:val="24"/>
                <w:szCs w:val="24"/>
                <w:vertAlign w:val="superscript"/>
                <w:lang w:val="en-US"/>
              </w:rPr>
              <w:sym w:font="Symbol" w:char="F05B"/>
            </w:r>
            <w:r w:rsidRPr="00CE02BD">
              <w:rPr>
                <w:rFonts w:ascii="Book Antiqua" w:hAnsi="Book Antiqua" w:cstheme="minorHAnsi"/>
                <w:sz w:val="24"/>
                <w:szCs w:val="24"/>
                <w:vertAlign w:val="superscript"/>
                <w:lang w:val="en-US"/>
              </w:rPr>
              <w:t>52,53</w:t>
            </w:r>
            <w:r w:rsidRPr="00CE02BD">
              <w:rPr>
                <w:rFonts w:ascii="Book Antiqua" w:hAnsi="Book Antiqua"/>
                <w:sz w:val="24"/>
                <w:szCs w:val="24"/>
                <w:vertAlign w:val="superscript"/>
                <w:lang w:val="en-US"/>
              </w:rPr>
              <w:sym w:font="Symbol" w:char="F05D"/>
            </w:r>
          </w:p>
        </w:tc>
      </w:tr>
      <w:tr w:rsidR="001B73A3" w:rsidRPr="00CE02BD" w14:paraId="18CFA1A7" w14:textId="77777777" w:rsidTr="001B73A3">
        <w:trPr>
          <w:trHeight w:val="7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2CB7608" w14:textId="77777777" w:rsidR="001B73A3" w:rsidRPr="00CE02BD" w:rsidRDefault="001B73A3" w:rsidP="001B73A3">
            <w:pPr>
              <w:adjustRightInd w:val="0"/>
              <w:snapToGrid w:val="0"/>
              <w:spacing w:line="360" w:lineRule="auto"/>
              <w:jc w:val="both"/>
              <w:rPr>
                <w:rFonts w:ascii="Book Antiqua" w:hAnsi="Book Antiqua"/>
                <w:b w:val="0"/>
                <w:bCs w:val="0"/>
                <w:sz w:val="24"/>
                <w:szCs w:val="24"/>
                <w:lang w:val="en-US"/>
              </w:rPr>
            </w:pPr>
            <w:r w:rsidRPr="00CE02BD">
              <w:rPr>
                <w:rFonts w:ascii="Book Antiqua" w:hAnsi="Book Antiqua"/>
                <w:b w:val="0"/>
                <w:bCs w:val="0"/>
                <w:sz w:val="24"/>
                <w:szCs w:val="24"/>
                <w:lang w:val="en-US"/>
              </w:rPr>
              <w:lastRenderedPageBreak/>
              <w:t>Biomarker evaluation</w:t>
            </w:r>
          </w:p>
          <w:p w14:paraId="160822B4" w14:textId="627BFE4D" w:rsidR="001B73A3" w:rsidRPr="00CE02BD" w:rsidRDefault="001B73A3" w:rsidP="001B73A3">
            <w:pPr>
              <w:adjustRightInd w:val="0"/>
              <w:snapToGrid w:val="0"/>
              <w:spacing w:line="360" w:lineRule="auto"/>
              <w:jc w:val="both"/>
              <w:rPr>
                <w:rFonts w:ascii="Book Antiqua" w:hAnsi="Book Antiqua"/>
                <w:sz w:val="24"/>
                <w:szCs w:val="24"/>
                <w:lang w:val="en-US"/>
              </w:rPr>
            </w:pPr>
            <w:r w:rsidRPr="00CE02BD">
              <w:rPr>
                <w:rFonts w:ascii="Book Antiqua" w:hAnsi="Book Antiqua"/>
                <w:b w:val="0"/>
                <w:bCs w:val="0"/>
                <w:sz w:val="24"/>
                <w:szCs w:val="24"/>
                <w:lang w:val="en-US"/>
              </w:rPr>
              <w:t>(CRP and FCAL)</w:t>
            </w:r>
          </w:p>
        </w:tc>
        <w:tc>
          <w:tcPr>
            <w:tcW w:w="2835" w:type="dxa"/>
            <w:vAlign w:val="center"/>
          </w:tcPr>
          <w:p w14:paraId="512807EA" w14:textId="37B0BF8B" w:rsidR="001B73A3" w:rsidRPr="00CE02BD" w:rsidRDefault="0028494D" w:rsidP="001B73A3">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 xml:space="preserve">Approximately </w:t>
            </w:r>
            <w:r w:rsidR="001B73A3" w:rsidRPr="00CE02BD">
              <w:rPr>
                <w:rFonts w:ascii="Book Antiqua" w:hAnsi="Book Antiqua"/>
                <w:sz w:val="24"/>
                <w:szCs w:val="24"/>
                <w:lang w:val="en-US"/>
              </w:rPr>
              <w:t>10 wk after therapy initiation (FCAL)</w:t>
            </w:r>
            <w:r w:rsidR="001B73A3" w:rsidRPr="00CE02BD">
              <w:rPr>
                <w:rFonts w:ascii="Book Antiqua" w:hAnsi="Book Antiqua"/>
                <w:sz w:val="24"/>
                <w:szCs w:val="24"/>
                <w:vertAlign w:val="superscript"/>
                <w:lang w:val="en-US"/>
              </w:rPr>
              <w:sym w:font="Symbol" w:char="F05B"/>
            </w:r>
            <w:r w:rsidR="001B73A3" w:rsidRPr="00CE02BD">
              <w:rPr>
                <w:rFonts w:ascii="Book Antiqua" w:hAnsi="Book Antiqua"/>
                <w:sz w:val="24"/>
                <w:szCs w:val="24"/>
                <w:vertAlign w:val="superscript"/>
                <w:lang w:val="en-US"/>
              </w:rPr>
              <w:t>100</w:t>
            </w:r>
            <w:r w:rsidR="001B73A3" w:rsidRPr="00CE02BD">
              <w:rPr>
                <w:rFonts w:ascii="Book Antiqua" w:hAnsi="Book Antiqua"/>
                <w:sz w:val="24"/>
                <w:szCs w:val="24"/>
                <w:vertAlign w:val="superscript"/>
                <w:lang w:val="en-US"/>
              </w:rPr>
              <w:sym w:font="Symbol" w:char="F05D"/>
            </w:r>
          </w:p>
        </w:tc>
        <w:tc>
          <w:tcPr>
            <w:tcW w:w="2835" w:type="dxa"/>
            <w:vAlign w:val="center"/>
          </w:tcPr>
          <w:p w14:paraId="66B82D31" w14:textId="293B6633" w:rsidR="001B73A3" w:rsidRPr="00CE02BD" w:rsidRDefault="001B73A3" w:rsidP="001B73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E02BD">
              <w:rPr>
                <w:rFonts w:ascii="Book Antiqua" w:hAnsi="Book Antiqua"/>
                <w:sz w:val="24"/>
                <w:szCs w:val="24"/>
                <w:lang w:val="en-US"/>
              </w:rPr>
              <w:t>(2)-3 mo</w:t>
            </w:r>
            <w:r w:rsidRPr="00CE02BD">
              <w:rPr>
                <w:rFonts w:ascii="Book Antiqua" w:hAnsi="Book Antiqua"/>
                <w:sz w:val="24"/>
                <w:szCs w:val="24"/>
                <w:vertAlign w:val="superscript"/>
                <w:lang w:val="en-US"/>
              </w:rPr>
              <w:sym w:font="Symbol" w:char="F05B"/>
            </w:r>
            <w:r w:rsidRPr="00CE02BD">
              <w:rPr>
                <w:rFonts w:ascii="Book Antiqua" w:hAnsi="Book Antiqua"/>
                <w:sz w:val="24"/>
                <w:szCs w:val="24"/>
                <w:vertAlign w:val="superscript"/>
                <w:lang w:val="en-US"/>
              </w:rPr>
              <w:t>51-53,101</w:t>
            </w:r>
            <w:r w:rsidRPr="00CE02BD">
              <w:rPr>
                <w:rFonts w:ascii="Book Antiqua" w:hAnsi="Book Antiqua"/>
                <w:sz w:val="24"/>
                <w:szCs w:val="24"/>
                <w:vertAlign w:val="superscript"/>
                <w:lang w:val="en-US"/>
              </w:rPr>
              <w:sym w:font="Symbol" w:char="F05D"/>
            </w:r>
          </w:p>
          <w:p w14:paraId="07C48283" w14:textId="77777777" w:rsidR="001B73A3" w:rsidRPr="00CE02BD" w:rsidRDefault="001B73A3" w:rsidP="001B73A3">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bl>
    <w:p w14:paraId="4DBF8360" w14:textId="17ED9932" w:rsidR="00B91C62" w:rsidRPr="00CE02BD" w:rsidRDefault="00442001" w:rsidP="000F1138">
      <w:pPr>
        <w:adjustRightInd w:val="0"/>
        <w:snapToGrid w:val="0"/>
        <w:spacing w:after="0" w:line="360" w:lineRule="auto"/>
        <w:jc w:val="both"/>
        <w:rPr>
          <w:rFonts w:ascii="Book Antiqua" w:hAnsi="Book Antiqua"/>
          <w:sz w:val="24"/>
          <w:szCs w:val="24"/>
          <w:lang w:val="en-US" w:eastAsia="zh-CN"/>
        </w:rPr>
      </w:pPr>
      <w:r w:rsidRPr="00CE02BD">
        <w:rPr>
          <w:rFonts w:ascii="Book Antiqua" w:hAnsi="Book Antiqua"/>
          <w:sz w:val="24"/>
          <w:szCs w:val="24"/>
          <w:vertAlign w:val="superscript"/>
          <w:lang w:val="en-US"/>
        </w:rPr>
        <w:t>1</w:t>
      </w:r>
      <w:r w:rsidR="001B73A3" w:rsidRPr="00CE02BD">
        <w:rPr>
          <w:rFonts w:ascii="Book Antiqua" w:hAnsi="Book Antiqua"/>
          <w:caps/>
          <w:sz w:val="24"/>
          <w:szCs w:val="24"/>
          <w:lang w:val="en-US"/>
        </w:rPr>
        <w:t>u</w:t>
      </w:r>
      <w:r w:rsidR="001B73A3" w:rsidRPr="00CE02BD">
        <w:rPr>
          <w:rFonts w:ascii="Book Antiqua" w:hAnsi="Book Antiqua"/>
          <w:sz w:val="24"/>
          <w:szCs w:val="24"/>
          <w:lang w:val="en-US"/>
        </w:rPr>
        <w:t xml:space="preserve">sing </w:t>
      </w:r>
      <w:r w:rsidR="005D0860" w:rsidRPr="00CE02BD">
        <w:rPr>
          <w:rFonts w:ascii="Book Antiqua" w:hAnsi="Book Antiqua"/>
          <w:sz w:val="24"/>
          <w:szCs w:val="24"/>
          <w:lang w:val="en-US"/>
        </w:rPr>
        <w:t>C-reactive protein</w:t>
      </w:r>
      <w:r w:rsidR="001B73A3" w:rsidRPr="00CE02BD">
        <w:rPr>
          <w:rFonts w:ascii="Book Antiqua" w:hAnsi="Book Antiqua"/>
          <w:sz w:val="24"/>
          <w:szCs w:val="24"/>
          <w:lang w:val="en-US"/>
        </w:rPr>
        <w:t xml:space="preserve"> alone has only moderate predictive value in identifying relapse in patients with clinical remission</w:t>
      </w:r>
      <w:r w:rsidRPr="00CE02BD">
        <w:rPr>
          <w:rFonts w:ascii="Book Antiqua" w:hAnsi="Book Antiqua"/>
          <w:sz w:val="24"/>
          <w:szCs w:val="24"/>
          <w:lang w:val="en-US" w:eastAsia="zh-CN"/>
        </w:rPr>
        <w:t xml:space="preserve">. </w:t>
      </w:r>
      <w:r w:rsidR="00B91C62" w:rsidRPr="00CE02BD">
        <w:rPr>
          <w:rFonts w:ascii="Book Antiqua" w:hAnsi="Book Antiqua"/>
          <w:sz w:val="24"/>
          <w:szCs w:val="24"/>
          <w:lang w:val="en-US"/>
        </w:rPr>
        <w:t>PRO</w:t>
      </w:r>
      <w:r w:rsidRPr="00CE02BD">
        <w:rPr>
          <w:rFonts w:ascii="Book Antiqua" w:hAnsi="Book Antiqua"/>
          <w:sz w:val="24"/>
          <w:szCs w:val="24"/>
          <w:lang w:val="en-US"/>
        </w:rPr>
        <w:t>:</w:t>
      </w:r>
      <w:r w:rsidR="00B91C62" w:rsidRPr="00CE02BD">
        <w:rPr>
          <w:rFonts w:ascii="Book Antiqua" w:hAnsi="Book Antiqua"/>
          <w:sz w:val="24"/>
          <w:szCs w:val="24"/>
          <w:lang w:val="en-US"/>
        </w:rPr>
        <w:t xml:space="preserve"> </w:t>
      </w:r>
      <w:r w:rsidRPr="00CE02BD">
        <w:rPr>
          <w:rFonts w:ascii="Book Antiqua" w:hAnsi="Book Antiqua"/>
          <w:sz w:val="24"/>
          <w:szCs w:val="24"/>
          <w:lang w:val="en-US"/>
        </w:rPr>
        <w:t>P</w:t>
      </w:r>
      <w:r w:rsidR="00B91C62" w:rsidRPr="00CE02BD">
        <w:rPr>
          <w:rFonts w:ascii="Book Antiqua" w:hAnsi="Book Antiqua"/>
          <w:sz w:val="24"/>
          <w:szCs w:val="24"/>
          <w:lang w:val="en-US"/>
        </w:rPr>
        <w:t>atient reported outcome; CDAI</w:t>
      </w:r>
      <w:r w:rsidRPr="00CE02BD">
        <w:rPr>
          <w:rFonts w:ascii="Book Antiqua" w:hAnsi="Book Antiqua"/>
          <w:sz w:val="24"/>
          <w:szCs w:val="24"/>
          <w:lang w:val="en-US"/>
        </w:rPr>
        <w:t>:</w:t>
      </w:r>
      <w:r w:rsidR="00B91C62" w:rsidRPr="00CE02BD">
        <w:rPr>
          <w:rFonts w:ascii="Book Antiqua" w:hAnsi="Book Antiqua"/>
          <w:sz w:val="24"/>
          <w:szCs w:val="24"/>
          <w:lang w:val="en-US"/>
        </w:rPr>
        <w:t xml:space="preserve"> </w:t>
      </w:r>
      <w:r w:rsidR="00B91C62" w:rsidRPr="00CE02BD">
        <w:rPr>
          <w:rFonts w:ascii="Book Antiqua" w:hAnsi="Book Antiqua"/>
          <w:color w:val="000000" w:themeColor="text1"/>
          <w:sz w:val="24"/>
          <w:szCs w:val="24"/>
          <w:lang w:val="en-US"/>
        </w:rPr>
        <w:t>Crohn’s Disease Activity Index; HBI</w:t>
      </w:r>
      <w:r w:rsidRPr="00CE02BD">
        <w:rPr>
          <w:rFonts w:ascii="Book Antiqua" w:hAnsi="Book Antiqua"/>
          <w:color w:val="000000" w:themeColor="text1"/>
          <w:sz w:val="24"/>
          <w:szCs w:val="24"/>
          <w:lang w:val="en-US"/>
        </w:rPr>
        <w:t>:</w:t>
      </w:r>
      <w:r w:rsidR="00B91C62" w:rsidRPr="00CE02BD">
        <w:rPr>
          <w:rFonts w:ascii="Book Antiqua" w:hAnsi="Book Antiqua"/>
          <w:color w:val="000000" w:themeColor="text1"/>
          <w:sz w:val="24"/>
          <w:szCs w:val="24"/>
          <w:lang w:val="en-US"/>
        </w:rPr>
        <w:t xml:space="preserve"> Harvey Bradshaw Index; </w:t>
      </w:r>
      <w:r w:rsidR="00B91C62" w:rsidRPr="00CE02BD">
        <w:rPr>
          <w:rFonts w:ascii="Book Antiqua" w:hAnsi="Book Antiqua"/>
          <w:sz w:val="24"/>
          <w:szCs w:val="24"/>
          <w:lang w:val="en-US"/>
        </w:rPr>
        <w:t>CRP</w:t>
      </w:r>
      <w:r w:rsidRPr="00CE02BD">
        <w:rPr>
          <w:rFonts w:ascii="Book Antiqua" w:hAnsi="Book Antiqua"/>
          <w:sz w:val="24"/>
          <w:szCs w:val="24"/>
          <w:lang w:val="en-US"/>
        </w:rPr>
        <w:t>:</w:t>
      </w:r>
      <w:r w:rsidR="00B91C62" w:rsidRPr="00CE02BD">
        <w:rPr>
          <w:rFonts w:ascii="Book Antiqua" w:hAnsi="Book Antiqua"/>
          <w:sz w:val="24"/>
          <w:szCs w:val="24"/>
          <w:lang w:val="en-US"/>
        </w:rPr>
        <w:t xml:space="preserve"> C-reactive protein; FCAL</w:t>
      </w:r>
      <w:r w:rsidRPr="00CE02BD">
        <w:rPr>
          <w:rFonts w:ascii="Book Antiqua" w:hAnsi="Book Antiqua"/>
          <w:sz w:val="24"/>
          <w:szCs w:val="24"/>
          <w:lang w:val="en-US"/>
        </w:rPr>
        <w:t>:</w:t>
      </w:r>
      <w:r w:rsidR="00B91C62" w:rsidRPr="00CE02BD">
        <w:rPr>
          <w:rFonts w:ascii="Book Antiqua" w:hAnsi="Book Antiqua"/>
          <w:sz w:val="24"/>
          <w:szCs w:val="24"/>
          <w:lang w:val="en-US"/>
        </w:rPr>
        <w:t xml:space="preserve"> </w:t>
      </w:r>
      <w:r w:rsidRPr="00CE02BD">
        <w:rPr>
          <w:rFonts w:ascii="Book Antiqua" w:hAnsi="Book Antiqua"/>
          <w:sz w:val="24"/>
          <w:szCs w:val="24"/>
          <w:lang w:val="en-US"/>
        </w:rPr>
        <w:t>F</w:t>
      </w:r>
      <w:r w:rsidR="00B91C62" w:rsidRPr="00CE02BD">
        <w:rPr>
          <w:rFonts w:ascii="Book Antiqua" w:hAnsi="Book Antiqua"/>
          <w:sz w:val="24"/>
          <w:szCs w:val="24"/>
          <w:lang w:val="en-US"/>
        </w:rPr>
        <w:t>ecal calprotectin</w:t>
      </w:r>
      <w:r w:rsidR="000E27AB" w:rsidRPr="00CE02BD">
        <w:rPr>
          <w:rFonts w:ascii="Book Antiqua" w:hAnsi="Book Antiqua"/>
          <w:sz w:val="24"/>
          <w:szCs w:val="24"/>
          <w:lang w:val="en-US"/>
        </w:rPr>
        <w:t>; STRIDE:</w:t>
      </w:r>
      <w:r w:rsidR="00FF50AF" w:rsidRPr="00CE02BD">
        <w:rPr>
          <w:rFonts w:ascii="Book Antiqua" w:hAnsi="Book Antiqua"/>
          <w:sz w:val="24"/>
          <w:szCs w:val="24"/>
          <w:lang w:val="en-US"/>
        </w:rPr>
        <w:t xml:space="preserve"> Selecting therapeutic targets in inflammatory bowel disease.</w:t>
      </w:r>
    </w:p>
    <w:p w14:paraId="13DE6031" w14:textId="6D2B7AF9" w:rsidR="00B91C62" w:rsidRPr="00CE02BD" w:rsidRDefault="00B91C62" w:rsidP="000F1138">
      <w:pPr>
        <w:adjustRightInd w:val="0"/>
        <w:snapToGrid w:val="0"/>
        <w:spacing w:after="0" w:line="360" w:lineRule="auto"/>
        <w:jc w:val="both"/>
        <w:rPr>
          <w:rFonts w:ascii="Book Antiqua" w:hAnsi="Book Antiqua"/>
          <w:b/>
          <w:sz w:val="24"/>
          <w:szCs w:val="24"/>
          <w:lang w:val="en-US"/>
        </w:rPr>
      </w:pPr>
      <w:r w:rsidRPr="00CE02BD">
        <w:rPr>
          <w:rFonts w:ascii="Book Antiqua" w:hAnsi="Book Antiqua"/>
          <w:b/>
          <w:sz w:val="24"/>
          <w:szCs w:val="24"/>
          <w:lang w:val="en-US"/>
        </w:rPr>
        <w:br w:type="page"/>
      </w:r>
    </w:p>
    <w:p w14:paraId="75483228" w14:textId="659D3A3C" w:rsidR="00B91C62" w:rsidRPr="00CE02BD" w:rsidRDefault="00B91C62" w:rsidP="000F1138">
      <w:pPr>
        <w:adjustRightInd w:val="0"/>
        <w:snapToGrid w:val="0"/>
        <w:spacing w:after="0" w:line="360" w:lineRule="auto"/>
        <w:jc w:val="both"/>
        <w:rPr>
          <w:rFonts w:ascii="Book Antiqua" w:hAnsi="Book Antiqua"/>
          <w:b/>
          <w:bCs/>
          <w:sz w:val="24"/>
          <w:szCs w:val="24"/>
          <w:vertAlign w:val="superscript"/>
          <w:lang w:val="en-US"/>
        </w:rPr>
      </w:pPr>
      <w:r w:rsidRPr="00CE02BD">
        <w:rPr>
          <w:rFonts w:ascii="Book Antiqua" w:hAnsi="Book Antiqua"/>
          <w:b/>
          <w:bCs/>
          <w:sz w:val="24"/>
          <w:szCs w:val="24"/>
          <w:lang w:val="en-US"/>
        </w:rPr>
        <w:lastRenderedPageBreak/>
        <w:t>Table 3</w:t>
      </w:r>
      <w:r w:rsidR="00354926" w:rsidRPr="00CE02BD">
        <w:rPr>
          <w:rFonts w:ascii="Book Antiqua" w:hAnsi="Book Antiqua"/>
          <w:b/>
          <w:bCs/>
          <w:sz w:val="24"/>
          <w:szCs w:val="24"/>
          <w:lang w:val="en-US"/>
        </w:rPr>
        <w:t xml:space="preserve"> Therapeutic drug monitoring</w:t>
      </w:r>
      <w:r w:rsidRPr="00CE02BD">
        <w:rPr>
          <w:rFonts w:ascii="Book Antiqua" w:hAnsi="Book Antiqua"/>
          <w:b/>
          <w:bCs/>
          <w:sz w:val="24"/>
          <w:szCs w:val="24"/>
          <w:lang w:val="en-US"/>
        </w:rPr>
        <w:t>-based algorithm for handling patients with treatment failure on biologic therapy</w:t>
      </w:r>
      <w:r w:rsidRPr="00CE02BD">
        <w:rPr>
          <w:rFonts w:ascii="Book Antiqua" w:hAnsi="Book Antiqua"/>
          <w:b/>
          <w:bCs/>
          <w:sz w:val="24"/>
          <w:szCs w:val="24"/>
          <w:vertAlign w:val="superscript"/>
          <w:lang w:val="en-US"/>
        </w:rPr>
        <w:sym w:font="Symbol" w:char="F05B"/>
      </w:r>
      <w:r w:rsidRPr="00CE02BD">
        <w:rPr>
          <w:rFonts w:ascii="Book Antiqua" w:hAnsi="Book Antiqua"/>
          <w:b/>
          <w:bCs/>
          <w:sz w:val="24"/>
          <w:szCs w:val="24"/>
          <w:vertAlign w:val="superscript"/>
          <w:lang w:val="en-US"/>
        </w:rPr>
        <w:t>59</w:t>
      </w:r>
      <w:r w:rsidR="00577342" w:rsidRPr="00CE02BD">
        <w:rPr>
          <w:rFonts w:ascii="Book Antiqua" w:hAnsi="Book Antiqua"/>
          <w:b/>
          <w:bCs/>
          <w:sz w:val="24"/>
          <w:szCs w:val="24"/>
          <w:vertAlign w:val="superscript"/>
          <w:lang w:val="en-US"/>
        </w:rPr>
        <w:t>-</w:t>
      </w:r>
      <w:r w:rsidRPr="00CE02BD">
        <w:rPr>
          <w:rFonts w:ascii="Book Antiqua" w:hAnsi="Book Antiqua"/>
          <w:b/>
          <w:bCs/>
          <w:sz w:val="24"/>
          <w:szCs w:val="24"/>
          <w:vertAlign w:val="superscript"/>
          <w:lang w:val="en-US"/>
        </w:rPr>
        <w:t>61</w:t>
      </w:r>
      <w:r w:rsidR="002E77AD" w:rsidRPr="00CE02BD">
        <w:rPr>
          <w:rFonts w:ascii="Book Antiqua" w:hAnsi="Book Antiqua"/>
          <w:b/>
          <w:bCs/>
          <w:sz w:val="24"/>
          <w:szCs w:val="24"/>
          <w:vertAlign w:val="superscript"/>
          <w:lang w:val="en-US"/>
        </w:rPr>
        <w:t>]</w:t>
      </w:r>
    </w:p>
    <w:tbl>
      <w:tblPr>
        <w:tblStyle w:val="Tblzategyszer211"/>
        <w:tblW w:w="9983" w:type="dxa"/>
        <w:tblLook w:val="04A0" w:firstRow="1" w:lastRow="0" w:firstColumn="1" w:lastColumn="0" w:noHBand="0" w:noVBand="1"/>
      </w:tblPr>
      <w:tblGrid>
        <w:gridCol w:w="1765"/>
        <w:gridCol w:w="4193"/>
        <w:gridCol w:w="4025"/>
      </w:tblGrid>
      <w:tr w:rsidR="00B91C62" w:rsidRPr="00CE02BD" w14:paraId="1395E353" w14:textId="77777777" w:rsidTr="00EE296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6DB923A3" w14:textId="77777777" w:rsidR="00B91C62" w:rsidRPr="00CE02BD" w:rsidRDefault="00B91C62" w:rsidP="000F1138">
            <w:pPr>
              <w:adjustRightInd w:val="0"/>
              <w:snapToGrid w:val="0"/>
              <w:spacing w:line="360" w:lineRule="auto"/>
              <w:jc w:val="both"/>
              <w:rPr>
                <w:rFonts w:ascii="Book Antiqua" w:eastAsiaTheme="minorHAnsi" w:hAnsi="Book Antiqua"/>
                <w:b w:val="0"/>
                <w:sz w:val="24"/>
                <w:szCs w:val="24"/>
                <w:lang w:val="fr-FR"/>
              </w:rPr>
            </w:pPr>
          </w:p>
        </w:tc>
        <w:tc>
          <w:tcPr>
            <w:tcW w:w="4193" w:type="dxa"/>
            <w:vAlign w:val="center"/>
          </w:tcPr>
          <w:p w14:paraId="72990ED6" w14:textId="77777777" w:rsidR="00B91C62" w:rsidRPr="00CE02BD" w:rsidRDefault="00B91C62" w:rsidP="000F11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sz w:val="24"/>
                <w:szCs w:val="24"/>
              </w:rPr>
            </w:pPr>
            <w:r w:rsidRPr="00CE02BD">
              <w:rPr>
                <w:rFonts w:ascii="Book Antiqua" w:eastAsiaTheme="minorHAnsi" w:hAnsi="Book Antiqua"/>
                <w:sz w:val="24"/>
                <w:szCs w:val="24"/>
              </w:rPr>
              <w:t>Detectable anti-drug antibodies</w:t>
            </w:r>
          </w:p>
        </w:tc>
        <w:tc>
          <w:tcPr>
            <w:tcW w:w="4025" w:type="dxa"/>
            <w:vAlign w:val="center"/>
          </w:tcPr>
          <w:p w14:paraId="74DB13DC" w14:textId="77777777" w:rsidR="00B91C62" w:rsidRPr="00CE02BD" w:rsidRDefault="00B91C62" w:rsidP="000F113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sz w:val="24"/>
                <w:szCs w:val="24"/>
              </w:rPr>
            </w:pPr>
            <w:r w:rsidRPr="00CE02BD">
              <w:rPr>
                <w:rFonts w:ascii="Book Antiqua" w:eastAsiaTheme="minorHAnsi" w:hAnsi="Book Antiqua"/>
                <w:sz w:val="24"/>
                <w:szCs w:val="24"/>
              </w:rPr>
              <w:t>Undetectable anti-drug sntibodies</w:t>
            </w:r>
          </w:p>
        </w:tc>
      </w:tr>
      <w:tr w:rsidR="00B91C62" w:rsidRPr="00CE02BD" w14:paraId="4DEC0F9E" w14:textId="77777777" w:rsidTr="0011492E">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783E9920" w14:textId="77777777" w:rsidR="00B91C62" w:rsidRPr="00CE02BD" w:rsidRDefault="00B91C62" w:rsidP="000F1138">
            <w:pPr>
              <w:adjustRightInd w:val="0"/>
              <w:snapToGrid w:val="0"/>
              <w:spacing w:line="360" w:lineRule="auto"/>
              <w:jc w:val="both"/>
              <w:rPr>
                <w:rFonts w:ascii="Book Antiqua" w:eastAsiaTheme="minorHAnsi" w:hAnsi="Book Antiqua"/>
                <w:b w:val="0"/>
                <w:sz w:val="24"/>
                <w:szCs w:val="24"/>
              </w:rPr>
            </w:pPr>
            <w:r w:rsidRPr="00CE02BD">
              <w:rPr>
                <w:rFonts w:ascii="Book Antiqua" w:eastAsiaTheme="minorHAnsi" w:hAnsi="Book Antiqua"/>
                <w:b w:val="0"/>
                <w:sz w:val="24"/>
                <w:szCs w:val="24"/>
              </w:rPr>
              <w:t>Sub-therapeutic anti-TNF drug levels</w:t>
            </w:r>
          </w:p>
        </w:tc>
        <w:tc>
          <w:tcPr>
            <w:tcW w:w="4193" w:type="dxa"/>
            <w:vAlign w:val="center"/>
          </w:tcPr>
          <w:p w14:paraId="1043538B" w14:textId="77777777" w:rsidR="00B91C62" w:rsidRPr="00CE02BD"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p>
          <w:p w14:paraId="01E8BE56" w14:textId="77777777" w:rsidR="00B91C62" w:rsidRPr="00CE02BD"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r w:rsidRPr="00CE02BD">
              <w:rPr>
                <w:rFonts w:ascii="Book Antiqua" w:eastAsiaTheme="minorHAnsi" w:hAnsi="Book Antiqua"/>
                <w:sz w:val="24"/>
                <w:szCs w:val="24"/>
              </w:rPr>
              <w:t>Change to different TNF-inhibitor.</w:t>
            </w:r>
          </w:p>
          <w:p w14:paraId="539045EC" w14:textId="77777777" w:rsidR="00B91C62" w:rsidRPr="00CE02BD"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p>
        </w:tc>
        <w:tc>
          <w:tcPr>
            <w:tcW w:w="4025" w:type="dxa"/>
            <w:vAlign w:val="center"/>
          </w:tcPr>
          <w:p w14:paraId="45F7C923" w14:textId="77777777" w:rsidR="00B91C62" w:rsidRPr="00CE02BD" w:rsidRDefault="00B91C62" w:rsidP="000F113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sz w:val="24"/>
                <w:szCs w:val="24"/>
              </w:rPr>
            </w:pPr>
            <w:r w:rsidRPr="00CE02BD">
              <w:rPr>
                <w:rFonts w:ascii="Book Antiqua" w:eastAsiaTheme="minorHAnsi" w:hAnsi="Book Antiqua"/>
                <w:sz w:val="24"/>
                <w:szCs w:val="24"/>
              </w:rPr>
              <w:t>Intensify the treatment regimen of the currently used TNF-inhibitor.</w:t>
            </w:r>
          </w:p>
        </w:tc>
      </w:tr>
      <w:tr w:rsidR="00B91C62" w:rsidRPr="00CE02BD" w14:paraId="24CE52DC" w14:textId="77777777" w:rsidTr="00EE296A">
        <w:trPr>
          <w:trHeight w:val="1734"/>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741FFA4F" w14:textId="77777777" w:rsidR="00B91C62" w:rsidRPr="00CE02BD" w:rsidRDefault="00B91C62" w:rsidP="000F1138">
            <w:pPr>
              <w:adjustRightInd w:val="0"/>
              <w:snapToGrid w:val="0"/>
              <w:spacing w:line="360" w:lineRule="auto"/>
              <w:jc w:val="both"/>
              <w:rPr>
                <w:rFonts w:ascii="Book Antiqua" w:eastAsiaTheme="minorHAnsi" w:hAnsi="Book Antiqua"/>
                <w:b w:val="0"/>
                <w:sz w:val="24"/>
                <w:szCs w:val="24"/>
              </w:rPr>
            </w:pPr>
            <w:r w:rsidRPr="00CE02BD">
              <w:rPr>
                <w:rFonts w:ascii="Book Antiqua" w:eastAsiaTheme="minorHAnsi" w:hAnsi="Book Antiqua"/>
                <w:b w:val="0"/>
                <w:sz w:val="24"/>
                <w:szCs w:val="24"/>
              </w:rPr>
              <w:t>Therapeutic anti-TNF drug levels</w:t>
            </w:r>
          </w:p>
        </w:tc>
        <w:tc>
          <w:tcPr>
            <w:tcW w:w="4193" w:type="dxa"/>
            <w:vAlign w:val="center"/>
          </w:tcPr>
          <w:p w14:paraId="5F2566E8" w14:textId="49480D75" w:rsidR="00B91C62" w:rsidRPr="00CE02BD" w:rsidRDefault="005E7358"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noProof/>
                <w:sz w:val="24"/>
                <w:szCs w:val="24"/>
              </w:rPr>
            </w:pPr>
            <w:r w:rsidRPr="00CE02BD">
              <w:rPr>
                <w:rFonts w:ascii="Book Antiqua" w:eastAsiaTheme="minorHAnsi" w:hAnsi="Book Antiqua"/>
                <w:noProof/>
                <w:sz w:val="24"/>
                <w:szCs w:val="24"/>
              </w:rPr>
              <w:t xml:space="preserve"> </w:t>
            </w:r>
            <w:r w:rsidR="00B91C62" w:rsidRPr="00CE02BD">
              <w:rPr>
                <w:rFonts w:ascii="Book Antiqua" w:eastAsiaTheme="minorHAnsi" w:hAnsi="Book Antiqua"/>
                <w:noProof/>
                <w:sz w:val="24"/>
                <w:szCs w:val="24"/>
              </w:rPr>
              <w:t xml:space="preserve">(Repeat assessments of anti-TNF drug and anti-drug antibodies over time) </w:t>
            </w:r>
          </w:p>
          <w:p w14:paraId="38E9BE54" w14:textId="77777777" w:rsidR="00B91C62" w:rsidRPr="00CE02BD" w:rsidRDefault="00B91C62"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noProof/>
                <w:sz w:val="24"/>
                <w:szCs w:val="24"/>
              </w:rPr>
            </w:pPr>
          </w:p>
          <w:p w14:paraId="7432F17A" w14:textId="612CFF59" w:rsidR="00B91C62" w:rsidRPr="00CE02BD" w:rsidRDefault="00B91C62"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noProof/>
                <w:sz w:val="24"/>
                <w:szCs w:val="24"/>
              </w:rPr>
            </w:pPr>
            <w:r w:rsidRPr="00CE02BD">
              <w:rPr>
                <w:rFonts w:ascii="Book Antiqua" w:eastAsiaTheme="minorHAnsi" w:hAnsi="Book Antiqua"/>
                <w:sz w:val="24"/>
                <w:szCs w:val="24"/>
              </w:rPr>
              <w:t>Switch to another biological agent with a different mechanism of action.</w:t>
            </w:r>
          </w:p>
        </w:tc>
        <w:tc>
          <w:tcPr>
            <w:tcW w:w="4025" w:type="dxa"/>
            <w:vAlign w:val="center"/>
          </w:tcPr>
          <w:p w14:paraId="30E38E14" w14:textId="77777777" w:rsidR="00B91C62" w:rsidRPr="00CE02BD" w:rsidRDefault="00B91C62" w:rsidP="000F113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sz w:val="24"/>
                <w:szCs w:val="24"/>
              </w:rPr>
            </w:pPr>
            <w:r w:rsidRPr="00CE02BD">
              <w:rPr>
                <w:rFonts w:ascii="Book Antiqua" w:eastAsiaTheme="minorHAnsi" w:hAnsi="Book Antiqua"/>
                <w:sz w:val="24"/>
                <w:szCs w:val="24"/>
              </w:rPr>
              <w:t>Switch to another biological agent with a different mechanism of action.</w:t>
            </w:r>
          </w:p>
        </w:tc>
      </w:tr>
    </w:tbl>
    <w:p w14:paraId="3B133D7C" w14:textId="18451DE1" w:rsidR="008520CF" w:rsidRPr="005E26AF" w:rsidRDefault="00B91C62" w:rsidP="000F1138">
      <w:pPr>
        <w:adjustRightInd w:val="0"/>
        <w:snapToGrid w:val="0"/>
        <w:spacing w:after="0" w:line="360" w:lineRule="auto"/>
        <w:jc w:val="both"/>
        <w:rPr>
          <w:rFonts w:ascii="Book Antiqua" w:hAnsi="Book Antiqua"/>
          <w:sz w:val="24"/>
          <w:szCs w:val="24"/>
          <w:lang w:val="en-US"/>
        </w:rPr>
      </w:pPr>
      <w:r w:rsidRPr="00CE02BD">
        <w:rPr>
          <w:rFonts w:ascii="Book Antiqua" w:hAnsi="Book Antiqua"/>
          <w:sz w:val="24"/>
          <w:szCs w:val="24"/>
          <w:lang w:val="en-US"/>
        </w:rPr>
        <w:t>TNF</w:t>
      </w:r>
      <w:r w:rsidR="005E7358" w:rsidRPr="00CE02BD">
        <w:rPr>
          <w:rFonts w:ascii="Book Antiqua" w:hAnsi="Book Antiqua"/>
          <w:sz w:val="24"/>
          <w:szCs w:val="24"/>
          <w:lang w:val="en-US"/>
        </w:rPr>
        <w:t>:</w:t>
      </w:r>
      <w:r w:rsidRPr="00CE02BD">
        <w:rPr>
          <w:rFonts w:ascii="Book Antiqua" w:hAnsi="Book Antiqua"/>
          <w:sz w:val="24"/>
          <w:szCs w:val="24"/>
          <w:lang w:val="en-US"/>
        </w:rPr>
        <w:t xml:space="preserve"> </w:t>
      </w:r>
      <w:r w:rsidR="005E7358" w:rsidRPr="00CE02BD">
        <w:rPr>
          <w:rFonts w:ascii="Book Antiqua" w:hAnsi="Book Antiqua"/>
          <w:sz w:val="24"/>
          <w:szCs w:val="24"/>
          <w:lang w:val="en-US"/>
        </w:rPr>
        <w:t>T</w:t>
      </w:r>
      <w:r w:rsidRPr="00CE02BD">
        <w:rPr>
          <w:rFonts w:ascii="Book Antiqua" w:hAnsi="Book Antiqua"/>
          <w:sz w:val="24"/>
          <w:szCs w:val="24"/>
          <w:lang w:val="en-US"/>
        </w:rPr>
        <w:t>umor necrosis factor</w:t>
      </w:r>
      <w:r w:rsidR="005E7358" w:rsidRPr="00CE02BD">
        <w:rPr>
          <w:rFonts w:ascii="Book Antiqua" w:hAnsi="Book Antiqua"/>
          <w:sz w:val="24"/>
          <w:szCs w:val="24"/>
          <w:lang w:val="en-US"/>
        </w:rPr>
        <w:t>.</w:t>
      </w:r>
    </w:p>
    <w:sectPr w:rsidR="008520CF" w:rsidRPr="005E26A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86A4" w14:textId="77777777" w:rsidR="00A63CA7" w:rsidRDefault="00A63CA7" w:rsidP="00110C2E">
      <w:pPr>
        <w:spacing w:after="0" w:line="240" w:lineRule="auto"/>
      </w:pPr>
      <w:r>
        <w:separator/>
      </w:r>
    </w:p>
  </w:endnote>
  <w:endnote w:type="continuationSeparator" w:id="0">
    <w:p w14:paraId="36C8BD42" w14:textId="77777777" w:rsidR="00A63CA7" w:rsidRDefault="00A63CA7" w:rsidP="0011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C688" w14:textId="77777777" w:rsidR="00A63CA7" w:rsidRDefault="00A63CA7" w:rsidP="00110C2E">
      <w:pPr>
        <w:spacing w:after="0" w:line="240" w:lineRule="auto"/>
      </w:pPr>
      <w:r>
        <w:separator/>
      </w:r>
    </w:p>
  </w:footnote>
  <w:footnote w:type="continuationSeparator" w:id="0">
    <w:p w14:paraId="5B16E31B" w14:textId="77777777" w:rsidR="00A63CA7" w:rsidRDefault="00A63CA7" w:rsidP="0011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A5E"/>
    <w:multiLevelType w:val="hybridMultilevel"/>
    <w:tmpl w:val="7C289838"/>
    <w:lvl w:ilvl="0" w:tplc="069E219A">
      <w:numFmt w:val="bullet"/>
      <w:lvlText w:val="-"/>
      <w:lvlJc w:val="left"/>
      <w:pPr>
        <w:ind w:left="1068" w:hanging="360"/>
      </w:pPr>
      <w:rPr>
        <w:rFonts w:ascii="Calibri" w:eastAsiaTheme="minorHAnsi" w:hAnsi="Calibri" w:cs="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9D641E6"/>
    <w:multiLevelType w:val="hybridMultilevel"/>
    <w:tmpl w:val="C2AE484A"/>
    <w:lvl w:ilvl="0" w:tplc="13946D1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2B78E8"/>
    <w:multiLevelType w:val="hybridMultilevel"/>
    <w:tmpl w:val="743698FA"/>
    <w:lvl w:ilvl="0" w:tplc="B61601E2">
      <w:start w:val="6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BFE3EFD"/>
    <w:multiLevelType w:val="hybridMultilevel"/>
    <w:tmpl w:val="24183446"/>
    <w:lvl w:ilvl="0" w:tplc="46A223D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0371D6B"/>
    <w:multiLevelType w:val="hybridMultilevel"/>
    <w:tmpl w:val="74B822DE"/>
    <w:lvl w:ilvl="0" w:tplc="AA88B5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CB25E84"/>
    <w:multiLevelType w:val="hybridMultilevel"/>
    <w:tmpl w:val="EBB28C6C"/>
    <w:lvl w:ilvl="0" w:tplc="C04CAEC2">
      <w:start w:val="2"/>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79D77DD0"/>
    <w:multiLevelType w:val="hybridMultilevel"/>
    <w:tmpl w:val="2E6A212C"/>
    <w:lvl w:ilvl="0" w:tplc="F1EEBC8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CB"/>
    <w:rsid w:val="00010B2B"/>
    <w:rsid w:val="00017EFA"/>
    <w:rsid w:val="00020467"/>
    <w:rsid w:val="0002525B"/>
    <w:rsid w:val="0003314C"/>
    <w:rsid w:val="00045C89"/>
    <w:rsid w:val="00050968"/>
    <w:rsid w:val="00061C46"/>
    <w:rsid w:val="00071A56"/>
    <w:rsid w:val="000763AB"/>
    <w:rsid w:val="0007790F"/>
    <w:rsid w:val="000878F3"/>
    <w:rsid w:val="00090EC5"/>
    <w:rsid w:val="000A047C"/>
    <w:rsid w:val="000B54E0"/>
    <w:rsid w:val="000C1ECD"/>
    <w:rsid w:val="000D0A43"/>
    <w:rsid w:val="000E071E"/>
    <w:rsid w:val="000E27AB"/>
    <w:rsid w:val="000E53E6"/>
    <w:rsid w:val="000E584F"/>
    <w:rsid w:val="000F1138"/>
    <w:rsid w:val="000F2FA8"/>
    <w:rsid w:val="000F5892"/>
    <w:rsid w:val="000F663A"/>
    <w:rsid w:val="00110C2E"/>
    <w:rsid w:val="00112A85"/>
    <w:rsid w:val="00113126"/>
    <w:rsid w:val="0011492E"/>
    <w:rsid w:val="00115624"/>
    <w:rsid w:val="00116187"/>
    <w:rsid w:val="001201A4"/>
    <w:rsid w:val="0012483F"/>
    <w:rsid w:val="0013084C"/>
    <w:rsid w:val="00130DED"/>
    <w:rsid w:val="00131E96"/>
    <w:rsid w:val="00131FD3"/>
    <w:rsid w:val="00135E9B"/>
    <w:rsid w:val="00137CC3"/>
    <w:rsid w:val="00141E0C"/>
    <w:rsid w:val="001424BC"/>
    <w:rsid w:val="001428DE"/>
    <w:rsid w:val="001559BA"/>
    <w:rsid w:val="001573CE"/>
    <w:rsid w:val="00157B98"/>
    <w:rsid w:val="00162875"/>
    <w:rsid w:val="00164122"/>
    <w:rsid w:val="001647F7"/>
    <w:rsid w:val="001669AA"/>
    <w:rsid w:val="00170CE1"/>
    <w:rsid w:val="00171A09"/>
    <w:rsid w:val="00177DAD"/>
    <w:rsid w:val="001801AD"/>
    <w:rsid w:val="00184CC8"/>
    <w:rsid w:val="00190B6D"/>
    <w:rsid w:val="001910B9"/>
    <w:rsid w:val="00193521"/>
    <w:rsid w:val="0019383E"/>
    <w:rsid w:val="0019405B"/>
    <w:rsid w:val="00197131"/>
    <w:rsid w:val="001A3BEC"/>
    <w:rsid w:val="001A6818"/>
    <w:rsid w:val="001A7FBD"/>
    <w:rsid w:val="001B3CB7"/>
    <w:rsid w:val="001B616D"/>
    <w:rsid w:val="001B63DC"/>
    <w:rsid w:val="001B73A3"/>
    <w:rsid w:val="001C13ED"/>
    <w:rsid w:val="001C605B"/>
    <w:rsid w:val="001D6F82"/>
    <w:rsid w:val="001E05E7"/>
    <w:rsid w:val="001E0E2C"/>
    <w:rsid w:val="001E1B7F"/>
    <w:rsid w:val="001E6DA6"/>
    <w:rsid w:val="001F4D8B"/>
    <w:rsid w:val="002005E3"/>
    <w:rsid w:val="00201EC7"/>
    <w:rsid w:val="0020595D"/>
    <w:rsid w:val="00206ACB"/>
    <w:rsid w:val="00207278"/>
    <w:rsid w:val="00207D36"/>
    <w:rsid w:val="002117CC"/>
    <w:rsid w:val="00214AA8"/>
    <w:rsid w:val="00216274"/>
    <w:rsid w:val="00217AE7"/>
    <w:rsid w:val="00224699"/>
    <w:rsid w:val="00230363"/>
    <w:rsid w:val="00245E3E"/>
    <w:rsid w:val="00260545"/>
    <w:rsid w:val="002658D4"/>
    <w:rsid w:val="00265E48"/>
    <w:rsid w:val="00274772"/>
    <w:rsid w:val="002755D0"/>
    <w:rsid w:val="00275D95"/>
    <w:rsid w:val="00277CAC"/>
    <w:rsid w:val="002842A1"/>
    <w:rsid w:val="0028494D"/>
    <w:rsid w:val="00285B0D"/>
    <w:rsid w:val="00286746"/>
    <w:rsid w:val="0028757C"/>
    <w:rsid w:val="0029703A"/>
    <w:rsid w:val="002A3188"/>
    <w:rsid w:val="002A3F5B"/>
    <w:rsid w:val="002A4917"/>
    <w:rsid w:val="002B21C9"/>
    <w:rsid w:val="002B2DE6"/>
    <w:rsid w:val="002B5FFC"/>
    <w:rsid w:val="002B70AB"/>
    <w:rsid w:val="002B7EBE"/>
    <w:rsid w:val="002C6D2B"/>
    <w:rsid w:val="002D41C6"/>
    <w:rsid w:val="002E77AD"/>
    <w:rsid w:val="002F13B4"/>
    <w:rsid w:val="002F2DE2"/>
    <w:rsid w:val="0030134B"/>
    <w:rsid w:val="00301A0A"/>
    <w:rsid w:val="00302005"/>
    <w:rsid w:val="00304C56"/>
    <w:rsid w:val="00307A30"/>
    <w:rsid w:val="00307D3C"/>
    <w:rsid w:val="003111D5"/>
    <w:rsid w:val="00324295"/>
    <w:rsid w:val="00327528"/>
    <w:rsid w:val="0032788C"/>
    <w:rsid w:val="00331A1B"/>
    <w:rsid w:val="00343BE7"/>
    <w:rsid w:val="00345D65"/>
    <w:rsid w:val="00346A91"/>
    <w:rsid w:val="0034703F"/>
    <w:rsid w:val="00354926"/>
    <w:rsid w:val="003636C4"/>
    <w:rsid w:val="00363ECF"/>
    <w:rsid w:val="00364BA4"/>
    <w:rsid w:val="00367349"/>
    <w:rsid w:val="003676C9"/>
    <w:rsid w:val="003741B0"/>
    <w:rsid w:val="003762B9"/>
    <w:rsid w:val="00382172"/>
    <w:rsid w:val="003823C4"/>
    <w:rsid w:val="00384538"/>
    <w:rsid w:val="00386607"/>
    <w:rsid w:val="00387B54"/>
    <w:rsid w:val="00392538"/>
    <w:rsid w:val="00392D85"/>
    <w:rsid w:val="00397CC0"/>
    <w:rsid w:val="003A3CBF"/>
    <w:rsid w:val="003A7B7D"/>
    <w:rsid w:val="003B2F12"/>
    <w:rsid w:val="003C30D1"/>
    <w:rsid w:val="003C42B7"/>
    <w:rsid w:val="003C75C5"/>
    <w:rsid w:val="003D23C4"/>
    <w:rsid w:val="003E227F"/>
    <w:rsid w:val="003E2FDB"/>
    <w:rsid w:val="003E65C0"/>
    <w:rsid w:val="003E695D"/>
    <w:rsid w:val="003F0888"/>
    <w:rsid w:val="003F4843"/>
    <w:rsid w:val="003F6D0A"/>
    <w:rsid w:val="00407D43"/>
    <w:rsid w:val="00413629"/>
    <w:rsid w:val="00420FBC"/>
    <w:rsid w:val="00425287"/>
    <w:rsid w:val="00435238"/>
    <w:rsid w:val="00440789"/>
    <w:rsid w:val="004414A0"/>
    <w:rsid w:val="00442001"/>
    <w:rsid w:val="0044427D"/>
    <w:rsid w:val="004458F4"/>
    <w:rsid w:val="004506D2"/>
    <w:rsid w:val="00452AE3"/>
    <w:rsid w:val="00455781"/>
    <w:rsid w:val="004558DC"/>
    <w:rsid w:val="004600DA"/>
    <w:rsid w:val="004622D3"/>
    <w:rsid w:val="00462AA2"/>
    <w:rsid w:val="0046493E"/>
    <w:rsid w:val="004661D7"/>
    <w:rsid w:val="00466892"/>
    <w:rsid w:val="00475976"/>
    <w:rsid w:val="004808BB"/>
    <w:rsid w:val="00483997"/>
    <w:rsid w:val="0048791F"/>
    <w:rsid w:val="004A19C5"/>
    <w:rsid w:val="004A30E9"/>
    <w:rsid w:val="004A4D0F"/>
    <w:rsid w:val="004B417E"/>
    <w:rsid w:val="004C231C"/>
    <w:rsid w:val="004C2AF5"/>
    <w:rsid w:val="004E2BA8"/>
    <w:rsid w:val="004E347A"/>
    <w:rsid w:val="004E4346"/>
    <w:rsid w:val="004F1003"/>
    <w:rsid w:val="004F1B81"/>
    <w:rsid w:val="005014A7"/>
    <w:rsid w:val="00502802"/>
    <w:rsid w:val="00517C96"/>
    <w:rsid w:val="00520921"/>
    <w:rsid w:val="00521EEA"/>
    <w:rsid w:val="005311C1"/>
    <w:rsid w:val="00531837"/>
    <w:rsid w:val="00535FCC"/>
    <w:rsid w:val="00545542"/>
    <w:rsid w:val="00547437"/>
    <w:rsid w:val="00553C6A"/>
    <w:rsid w:val="00554E3C"/>
    <w:rsid w:val="00556924"/>
    <w:rsid w:val="00564939"/>
    <w:rsid w:val="00566440"/>
    <w:rsid w:val="005716AB"/>
    <w:rsid w:val="0057256D"/>
    <w:rsid w:val="00577342"/>
    <w:rsid w:val="00580CED"/>
    <w:rsid w:val="00581343"/>
    <w:rsid w:val="00583505"/>
    <w:rsid w:val="005852C9"/>
    <w:rsid w:val="00586786"/>
    <w:rsid w:val="00591190"/>
    <w:rsid w:val="00591913"/>
    <w:rsid w:val="00591A1F"/>
    <w:rsid w:val="0059265B"/>
    <w:rsid w:val="005B06A0"/>
    <w:rsid w:val="005B248F"/>
    <w:rsid w:val="005B5F14"/>
    <w:rsid w:val="005C0C23"/>
    <w:rsid w:val="005C5B25"/>
    <w:rsid w:val="005D0860"/>
    <w:rsid w:val="005E196E"/>
    <w:rsid w:val="005E26AF"/>
    <w:rsid w:val="005E7358"/>
    <w:rsid w:val="005F46E8"/>
    <w:rsid w:val="005F623A"/>
    <w:rsid w:val="00612665"/>
    <w:rsid w:val="00613CED"/>
    <w:rsid w:val="00614ACE"/>
    <w:rsid w:val="006170B5"/>
    <w:rsid w:val="00620DE2"/>
    <w:rsid w:val="006317F4"/>
    <w:rsid w:val="00632BF0"/>
    <w:rsid w:val="00643A0C"/>
    <w:rsid w:val="00643C43"/>
    <w:rsid w:val="00656CF7"/>
    <w:rsid w:val="0067525A"/>
    <w:rsid w:val="006866EA"/>
    <w:rsid w:val="00692B93"/>
    <w:rsid w:val="00694F3B"/>
    <w:rsid w:val="00695990"/>
    <w:rsid w:val="006B1DFF"/>
    <w:rsid w:val="006D063F"/>
    <w:rsid w:val="006D2DAB"/>
    <w:rsid w:val="006D666D"/>
    <w:rsid w:val="006D68B0"/>
    <w:rsid w:val="006E1597"/>
    <w:rsid w:val="006E2C54"/>
    <w:rsid w:val="006E2FF9"/>
    <w:rsid w:val="006E3210"/>
    <w:rsid w:val="007061EC"/>
    <w:rsid w:val="0070655B"/>
    <w:rsid w:val="00723D6F"/>
    <w:rsid w:val="00727452"/>
    <w:rsid w:val="0072758E"/>
    <w:rsid w:val="00730254"/>
    <w:rsid w:val="00732523"/>
    <w:rsid w:val="00733E20"/>
    <w:rsid w:val="00745467"/>
    <w:rsid w:val="00745D8B"/>
    <w:rsid w:val="00752EDA"/>
    <w:rsid w:val="0075775E"/>
    <w:rsid w:val="00760591"/>
    <w:rsid w:val="00760909"/>
    <w:rsid w:val="007615A3"/>
    <w:rsid w:val="00772F70"/>
    <w:rsid w:val="007750F0"/>
    <w:rsid w:val="00780AE7"/>
    <w:rsid w:val="007818B1"/>
    <w:rsid w:val="00782546"/>
    <w:rsid w:val="007A14B6"/>
    <w:rsid w:val="007A2C7C"/>
    <w:rsid w:val="007A5725"/>
    <w:rsid w:val="007A7056"/>
    <w:rsid w:val="007B5FA5"/>
    <w:rsid w:val="007C2BE3"/>
    <w:rsid w:val="007C4FC6"/>
    <w:rsid w:val="007D0A6A"/>
    <w:rsid w:val="007D2B43"/>
    <w:rsid w:val="007D63C9"/>
    <w:rsid w:val="007E19A4"/>
    <w:rsid w:val="007E4F22"/>
    <w:rsid w:val="007E5409"/>
    <w:rsid w:val="007F0F00"/>
    <w:rsid w:val="0080452F"/>
    <w:rsid w:val="00807079"/>
    <w:rsid w:val="00811A66"/>
    <w:rsid w:val="00811EB6"/>
    <w:rsid w:val="00815696"/>
    <w:rsid w:val="0081662B"/>
    <w:rsid w:val="00825EAD"/>
    <w:rsid w:val="00826A36"/>
    <w:rsid w:val="00830C38"/>
    <w:rsid w:val="00831D31"/>
    <w:rsid w:val="0083350D"/>
    <w:rsid w:val="008336E8"/>
    <w:rsid w:val="008367E4"/>
    <w:rsid w:val="00844FA4"/>
    <w:rsid w:val="00851610"/>
    <w:rsid w:val="008520CF"/>
    <w:rsid w:val="008524D0"/>
    <w:rsid w:val="00852770"/>
    <w:rsid w:val="00862034"/>
    <w:rsid w:val="0086325B"/>
    <w:rsid w:val="0086744B"/>
    <w:rsid w:val="008722E3"/>
    <w:rsid w:val="0087765D"/>
    <w:rsid w:val="00885E00"/>
    <w:rsid w:val="00886A73"/>
    <w:rsid w:val="008949E4"/>
    <w:rsid w:val="0089645B"/>
    <w:rsid w:val="008A0675"/>
    <w:rsid w:val="008A16A8"/>
    <w:rsid w:val="008A398F"/>
    <w:rsid w:val="008A7FAF"/>
    <w:rsid w:val="008B1343"/>
    <w:rsid w:val="008B422F"/>
    <w:rsid w:val="008B5D8E"/>
    <w:rsid w:val="008B5EC4"/>
    <w:rsid w:val="008C0F58"/>
    <w:rsid w:val="008C1D4A"/>
    <w:rsid w:val="008C279E"/>
    <w:rsid w:val="008C38F7"/>
    <w:rsid w:val="008C7A95"/>
    <w:rsid w:val="008D3B30"/>
    <w:rsid w:val="008D459C"/>
    <w:rsid w:val="008D6775"/>
    <w:rsid w:val="008E0A51"/>
    <w:rsid w:val="008F6AF3"/>
    <w:rsid w:val="00900CAD"/>
    <w:rsid w:val="00906DA5"/>
    <w:rsid w:val="00907BAA"/>
    <w:rsid w:val="00912F1E"/>
    <w:rsid w:val="0091402F"/>
    <w:rsid w:val="0091493A"/>
    <w:rsid w:val="0092080F"/>
    <w:rsid w:val="0092122F"/>
    <w:rsid w:val="009245EE"/>
    <w:rsid w:val="00932CEA"/>
    <w:rsid w:val="00940BA3"/>
    <w:rsid w:val="009411E5"/>
    <w:rsid w:val="009431FA"/>
    <w:rsid w:val="00944BB4"/>
    <w:rsid w:val="00946E53"/>
    <w:rsid w:val="0095116A"/>
    <w:rsid w:val="00953B2E"/>
    <w:rsid w:val="00954BC4"/>
    <w:rsid w:val="00956D84"/>
    <w:rsid w:val="00963F88"/>
    <w:rsid w:val="00967408"/>
    <w:rsid w:val="00967765"/>
    <w:rsid w:val="00967F41"/>
    <w:rsid w:val="00970072"/>
    <w:rsid w:val="00970AF0"/>
    <w:rsid w:val="00974CCB"/>
    <w:rsid w:val="00983CA4"/>
    <w:rsid w:val="009853CF"/>
    <w:rsid w:val="00987E74"/>
    <w:rsid w:val="00995BD4"/>
    <w:rsid w:val="0099696A"/>
    <w:rsid w:val="009A0BBE"/>
    <w:rsid w:val="009A18F7"/>
    <w:rsid w:val="009A4933"/>
    <w:rsid w:val="009A6057"/>
    <w:rsid w:val="009B40ED"/>
    <w:rsid w:val="009C2DB2"/>
    <w:rsid w:val="009C3F90"/>
    <w:rsid w:val="009C6373"/>
    <w:rsid w:val="009C6AB8"/>
    <w:rsid w:val="009D3D02"/>
    <w:rsid w:val="009E3091"/>
    <w:rsid w:val="009E37F5"/>
    <w:rsid w:val="009E3B99"/>
    <w:rsid w:val="009F27E6"/>
    <w:rsid w:val="009F2D24"/>
    <w:rsid w:val="009F342E"/>
    <w:rsid w:val="009F4838"/>
    <w:rsid w:val="00A0346A"/>
    <w:rsid w:val="00A04B65"/>
    <w:rsid w:val="00A222A8"/>
    <w:rsid w:val="00A2454D"/>
    <w:rsid w:val="00A26A85"/>
    <w:rsid w:val="00A30D47"/>
    <w:rsid w:val="00A35762"/>
    <w:rsid w:val="00A358DC"/>
    <w:rsid w:val="00A449E7"/>
    <w:rsid w:val="00A4647C"/>
    <w:rsid w:val="00A526FB"/>
    <w:rsid w:val="00A54560"/>
    <w:rsid w:val="00A54696"/>
    <w:rsid w:val="00A624DC"/>
    <w:rsid w:val="00A63CA7"/>
    <w:rsid w:val="00A64431"/>
    <w:rsid w:val="00A65E81"/>
    <w:rsid w:val="00A664A6"/>
    <w:rsid w:val="00A67253"/>
    <w:rsid w:val="00A67CBA"/>
    <w:rsid w:val="00A70354"/>
    <w:rsid w:val="00A71660"/>
    <w:rsid w:val="00A757FB"/>
    <w:rsid w:val="00A86C8C"/>
    <w:rsid w:val="00A94B0C"/>
    <w:rsid w:val="00AA0F75"/>
    <w:rsid w:val="00AA5A86"/>
    <w:rsid w:val="00AA5B90"/>
    <w:rsid w:val="00AB2513"/>
    <w:rsid w:val="00AB461A"/>
    <w:rsid w:val="00AB4718"/>
    <w:rsid w:val="00AC19AB"/>
    <w:rsid w:val="00AC1E42"/>
    <w:rsid w:val="00AC222F"/>
    <w:rsid w:val="00AD7106"/>
    <w:rsid w:val="00AE0FD8"/>
    <w:rsid w:val="00AE0FEB"/>
    <w:rsid w:val="00AE3A93"/>
    <w:rsid w:val="00AF1C4E"/>
    <w:rsid w:val="00AF1CAC"/>
    <w:rsid w:val="00AF6A80"/>
    <w:rsid w:val="00B01B18"/>
    <w:rsid w:val="00B02396"/>
    <w:rsid w:val="00B02A29"/>
    <w:rsid w:val="00B0653C"/>
    <w:rsid w:val="00B2045F"/>
    <w:rsid w:val="00B22F80"/>
    <w:rsid w:val="00B32AEA"/>
    <w:rsid w:val="00B336C3"/>
    <w:rsid w:val="00B5569E"/>
    <w:rsid w:val="00B55FFE"/>
    <w:rsid w:val="00B571BA"/>
    <w:rsid w:val="00B67CBC"/>
    <w:rsid w:val="00B71F7A"/>
    <w:rsid w:val="00B809A1"/>
    <w:rsid w:val="00B819D0"/>
    <w:rsid w:val="00B84489"/>
    <w:rsid w:val="00B86766"/>
    <w:rsid w:val="00B87856"/>
    <w:rsid w:val="00B91987"/>
    <w:rsid w:val="00B91C62"/>
    <w:rsid w:val="00B9694F"/>
    <w:rsid w:val="00BA0528"/>
    <w:rsid w:val="00BA148D"/>
    <w:rsid w:val="00BB098C"/>
    <w:rsid w:val="00BC4205"/>
    <w:rsid w:val="00BD4E85"/>
    <w:rsid w:val="00BD5AE9"/>
    <w:rsid w:val="00BE43F1"/>
    <w:rsid w:val="00BE5955"/>
    <w:rsid w:val="00BE6261"/>
    <w:rsid w:val="00BF34D2"/>
    <w:rsid w:val="00C00DA0"/>
    <w:rsid w:val="00C00DCB"/>
    <w:rsid w:val="00C04B16"/>
    <w:rsid w:val="00C059F3"/>
    <w:rsid w:val="00C111F0"/>
    <w:rsid w:val="00C16734"/>
    <w:rsid w:val="00C221DD"/>
    <w:rsid w:val="00C22CC8"/>
    <w:rsid w:val="00C23607"/>
    <w:rsid w:val="00C34D9D"/>
    <w:rsid w:val="00C459E7"/>
    <w:rsid w:val="00C476CE"/>
    <w:rsid w:val="00C555F6"/>
    <w:rsid w:val="00C56E98"/>
    <w:rsid w:val="00C616C8"/>
    <w:rsid w:val="00C62C2C"/>
    <w:rsid w:val="00C66389"/>
    <w:rsid w:val="00C70E37"/>
    <w:rsid w:val="00C71428"/>
    <w:rsid w:val="00C7157B"/>
    <w:rsid w:val="00C74CE2"/>
    <w:rsid w:val="00C87D1F"/>
    <w:rsid w:val="00C941AE"/>
    <w:rsid w:val="00C95941"/>
    <w:rsid w:val="00C97F90"/>
    <w:rsid w:val="00CA1E7E"/>
    <w:rsid w:val="00CA3343"/>
    <w:rsid w:val="00CB5BE6"/>
    <w:rsid w:val="00CC30D0"/>
    <w:rsid w:val="00CC5307"/>
    <w:rsid w:val="00CC6145"/>
    <w:rsid w:val="00CD15CA"/>
    <w:rsid w:val="00CD6DF7"/>
    <w:rsid w:val="00CE02BD"/>
    <w:rsid w:val="00CE2738"/>
    <w:rsid w:val="00CE5F5B"/>
    <w:rsid w:val="00CF1949"/>
    <w:rsid w:val="00CF4139"/>
    <w:rsid w:val="00CF493F"/>
    <w:rsid w:val="00CF4DDB"/>
    <w:rsid w:val="00CF7E77"/>
    <w:rsid w:val="00D01222"/>
    <w:rsid w:val="00D05F9A"/>
    <w:rsid w:val="00D06FB7"/>
    <w:rsid w:val="00D176A2"/>
    <w:rsid w:val="00D205FA"/>
    <w:rsid w:val="00D20DE2"/>
    <w:rsid w:val="00D216F5"/>
    <w:rsid w:val="00D22C4C"/>
    <w:rsid w:val="00D24C02"/>
    <w:rsid w:val="00D26F9B"/>
    <w:rsid w:val="00D3181F"/>
    <w:rsid w:val="00D36553"/>
    <w:rsid w:val="00D374B3"/>
    <w:rsid w:val="00D41D59"/>
    <w:rsid w:val="00D43297"/>
    <w:rsid w:val="00D46248"/>
    <w:rsid w:val="00D46398"/>
    <w:rsid w:val="00D5025E"/>
    <w:rsid w:val="00D547C5"/>
    <w:rsid w:val="00D56A70"/>
    <w:rsid w:val="00D57B13"/>
    <w:rsid w:val="00D61E2F"/>
    <w:rsid w:val="00D66EBF"/>
    <w:rsid w:val="00D72C01"/>
    <w:rsid w:val="00D8024B"/>
    <w:rsid w:val="00D83A70"/>
    <w:rsid w:val="00D83B31"/>
    <w:rsid w:val="00D92D7A"/>
    <w:rsid w:val="00D95166"/>
    <w:rsid w:val="00DA0E7D"/>
    <w:rsid w:val="00DA24C0"/>
    <w:rsid w:val="00DA2824"/>
    <w:rsid w:val="00DA5F81"/>
    <w:rsid w:val="00DA6A2C"/>
    <w:rsid w:val="00DA6DD8"/>
    <w:rsid w:val="00DB1E4B"/>
    <w:rsid w:val="00DB39AA"/>
    <w:rsid w:val="00DB5DBD"/>
    <w:rsid w:val="00DC4DF7"/>
    <w:rsid w:val="00DD4861"/>
    <w:rsid w:val="00DD540C"/>
    <w:rsid w:val="00DD65A9"/>
    <w:rsid w:val="00DE1744"/>
    <w:rsid w:val="00DE3927"/>
    <w:rsid w:val="00DE7D80"/>
    <w:rsid w:val="00DF3EA7"/>
    <w:rsid w:val="00E00AD4"/>
    <w:rsid w:val="00E10452"/>
    <w:rsid w:val="00E11EA6"/>
    <w:rsid w:val="00E140C3"/>
    <w:rsid w:val="00E16EA7"/>
    <w:rsid w:val="00E225AC"/>
    <w:rsid w:val="00E2342B"/>
    <w:rsid w:val="00E33D98"/>
    <w:rsid w:val="00E34106"/>
    <w:rsid w:val="00E34B41"/>
    <w:rsid w:val="00E35FE2"/>
    <w:rsid w:val="00E3675E"/>
    <w:rsid w:val="00E4533A"/>
    <w:rsid w:val="00E5012D"/>
    <w:rsid w:val="00E51B2F"/>
    <w:rsid w:val="00E630FB"/>
    <w:rsid w:val="00E65251"/>
    <w:rsid w:val="00E75F06"/>
    <w:rsid w:val="00E92F85"/>
    <w:rsid w:val="00EB61EB"/>
    <w:rsid w:val="00ED0610"/>
    <w:rsid w:val="00EE296A"/>
    <w:rsid w:val="00EE2DC7"/>
    <w:rsid w:val="00EE3DB7"/>
    <w:rsid w:val="00EE43E4"/>
    <w:rsid w:val="00EF0919"/>
    <w:rsid w:val="00F00A3C"/>
    <w:rsid w:val="00F04691"/>
    <w:rsid w:val="00F057DA"/>
    <w:rsid w:val="00F1323F"/>
    <w:rsid w:val="00F149B8"/>
    <w:rsid w:val="00F15E31"/>
    <w:rsid w:val="00F16E2D"/>
    <w:rsid w:val="00F27B48"/>
    <w:rsid w:val="00F30E53"/>
    <w:rsid w:val="00F330CD"/>
    <w:rsid w:val="00F34D7D"/>
    <w:rsid w:val="00F354B0"/>
    <w:rsid w:val="00F37E04"/>
    <w:rsid w:val="00F4030D"/>
    <w:rsid w:val="00F41A13"/>
    <w:rsid w:val="00F42429"/>
    <w:rsid w:val="00F45069"/>
    <w:rsid w:val="00F466ED"/>
    <w:rsid w:val="00F46AE6"/>
    <w:rsid w:val="00F60D11"/>
    <w:rsid w:val="00F6154F"/>
    <w:rsid w:val="00F6248E"/>
    <w:rsid w:val="00F6667E"/>
    <w:rsid w:val="00F70B97"/>
    <w:rsid w:val="00F72D58"/>
    <w:rsid w:val="00F86CA5"/>
    <w:rsid w:val="00F95752"/>
    <w:rsid w:val="00F960FE"/>
    <w:rsid w:val="00F9728C"/>
    <w:rsid w:val="00FA5D34"/>
    <w:rsid w:val="00FB2F9D"/>
    <w:rsid w:val="00FB358A"/>
    <w:rsid w:val="00FC0AD3"/>
    <w:rsid w:val="00FC3813"/>
    <w:rsid w:val="00FC500C"/>
    <w:rsid w:val="00FD53CC"/>
    <w:rsid w:val="00FD7795"/>
    <w:rsid w:val="00FE0F0C"/>
    <w:rsid w:val="00FF0B2F"/>
    <w:rsid w:val="00FF32D0"/>
    <w:rsid w:val="00FF50AF"/>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D6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8A06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Char"/>
    <w:uiPriority w:val="9"/>
    <w:qFormat/>
    <w:rsid w:val="008A067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CB"/>
    <w:pPr>
      <w:ind w:left="720"/>
      <w:contextualSpacing/>
    </w:pPr>
  </w:style>
  <w:style w:type="character" w:styleId="a4">
    <w:name w:val="annotation reference"/>
    <w:basedOn w:val="a0"/>
    <w:uiPriority w:val="99"/>
    <w:semiHidden/>
    <w:unhideWhenUsed/>
    <w:rsid w:val="00535FCC"/>
    <w:rPr>
      <w:sz w:val="16"/>
      <w:szCs w:val="16"/>
    </w:rPr>
  </w:style>
  <w:style w:type="paragraph" w:styleId="a5">
    <w:name w:val="annotation text"/>
    <w:basedOn w:val="a"/>
    <w:link w:val="Char"/>
    <w:uiPriority w:val="99"/>
    <w:unhideWhenUsed/>
    <w:rsid w:val="00535FCC"/>
    <w:pPr>
      <w:spacing w:line="240" w:lineRule="auto"/>
    </w:pPr>
    <w:rPr>
      <w:sz w:val="20"/>
      <w:szCs w:val="20"/>
    </w:rPr>
  </w:style>
  <w:style w:type="character" w:customStyle="1" w:styleId="Char">
    <w:name w:val="批注文字 Char"/>
    <w:basedOn w:val="a0"/>
    <w:link w:val="a5"/>
    <w:uiPriority w:val="99"/>
    <w:rsid w:val="00535FCC"/>
    <w:rPr>
      <w:sz w:val="20"/>
      <w:szCs w:val="20"/>
    </w:rPr>
  </w:style>
  <w:style w:type="paragraph" w:styleId="a6">
    <w:name w:val="annotation subject"/>
    <w:basedOn w:val="a5"/>
    <w:next w:val="a5"/>
    <w:link w:val="Char0"/>
    <w:uiPriority w:val="99"/>
    <w:semiHidden/>
    <w:unhideWhenUsed/>
    <w:rsid w:val="00535FCC"/>
    <w:rPr>
      <w:b/>
      <w:bCs/>
    </w:rPr>
  </w:style>
  <w:style w:type="character" w:customStyle="1" w:styleId="Char0">
    <w:name w:val="批注主题 Char"/>
    <w:basedOn w:val="Char"/>
    <w:link w:val="a6"/>
    <w:uiPriority w:val="99"/>
    <w:semiHidden/>
    <w:rsid w:val="00535FCC"/>
    <w:rPr>
      <w:b/>
      <w:bCs/>
      <w:sz w:val="20"/>
      <w:szCs w:val="20"/>
    </w:rPr>
  </w:style>
  <w:style w:type="paragraph" w:styleId="a7">
    <w:name w:val="Balloon Text"/>
    <w:basedOn w:val="a"/>
    <w:link w:val="Char1"/>
    <w:uiPriority w:val="99"/>
    <w:semiHidden/>
    <w:unhideWhenUsed/>
    <w:rsid w:val="00535FC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535FCC"/>
    <w:rPr>
      <w:rFonts w:ascii="Tahoma" w:hAnsi="Tahoma" w:cs="Tahoma"/>
      <w:sz w:val="16"/>
      <w:szCs w:val="16"/>
    </w:rPr>
  </w:style>
  <w:style w:type="paragraph" w:customStyle="1" w:styleId="Cm1">
    <w:name w:val="Cím1"/>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a8">
    <w:name w:val="Hyperlink"/>
    <w:basedOn w:val="a0"/>
    <w:unhideWhenUsed/>
    <w:rsid w:val="00535FCC"/>
    <w:rPr>
      <w:color w:val="0000FF"/>
      <w:u w:val="single"/>
    </w:rPr>
  </w:style>
  <w:style w:type="paragraph" w:customStyle="1" w:styleId="desc">
    <w:name w:val="desc"/>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tails">
    <w:name w:val="details"/>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rnl">
    <w:name w:val="jrnl"/>
    <w:basedOn w:val="a0"/>
    <w:rsid w:val="00535FCC"/>
  </w:style>
  <w:style w:type="paragraph" w:styleId="a9">
    <w:name w:val="endnote text"/>
    <w:basedOn w:val="a"/>
    <w:link w:val="Char2"/>
    <w:uiPriority w:val="99"/>
    <w:unhideWhenUsed/>
    <w:rsid w:val="00110C2E"/>
    <w:pPr>
      <w:spacing w:after="0" w:line="240" w:lineRule="auto"/>
    </w:pPr>
    <w:rPr>
      <w:sz w:val="20"/>
      <w:szCs w:val="20"/>
    </w:rPr>
  </w:style>
  <w:style w:type="character" w:customStyle="1" w:styleId="Char2">
    <w:name w:val="尾注文本 Char"/>
    <w:basedOn w:val="a0"/>
    <w:link w:val="a9"/>
    <w:uiPriority w:val="99"/>
    <w:rsid w:val="00110C2E"/>
    <w:rPr>
      <w:sz w:val="20"/>
      <w:szCs w:val="20"/>
    </w:rPr>
  </w:style>
  <w:style w:type="character" w:styleId="aa">
    <w:name w:val="endnote reference"/>
    <w:basedOn w:val="a0"/>
    <w:uiPriority w:val="99"/>
    <w:semiHidden/>
    <w:unhideWhenUsed/>
    <w:rsid w:val="00110C2E"/>
    <w:rPr>
      <w:vertAlign w:val="superscript"/>
    </w:rPr>
  </w:style>
  <w:style w:type="table" w:styleId="ab">
    <w:name w:val="Table Grid"/>
    <w:basedOn w:val="a1"/>
    <w:uiPriority w:val="39"/>
    <w:rsid w:val="00BB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egyszer21">
    <w:name w:val="Táblázat (egyszerű) 21"/>
    <w:basedOn w:val="a1"/>
    <w:uiPriority w:val="42"/>
    <w:rsid w:val="009B40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2">
    <w:name w:val="Cím2"/>
    <w:basedOn w:val="a"/>
    <w:rsid w:val="008A0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Char">
    <w:name w:val="标题 3 Char"/>
    <w:basedOn w:val="a0"/>
    <w:link w:val="3"/>
    <w:uiPriority w:val="9"/>
    <w:rsid w:val="008A0675"/>
    <w:rPr>
      <w:rFonts w:ascii="Times New Roman" w:eastAsia="Times New Roman" w:hAnsi="Times New Roman" w:cs="Times New Roman"/>
      <w:b/>
      <w:bCs/>
      <w:sz w:val="27"/>
      <w:szCs w:val="27"/>
      <w:lang w:val="en-US"/>
    </w:rPr>
  </w:style>
  <w:style w:type="character" w:customStyle="1" w:styleId="4Char">
    <w:name w:val="标题 4 Char"/>
    <w:basedOn w:val="a0"/>
    <w:link w:val="4"/>
    <w:uiPriority w:val="9"/>
    <w:rsid w:val="008A0675"/>
    <w:rPr>
      <w:rFonts w:ascii="Times New Roman" w:eastAsia="Times New Roman" w:hAnsi="Times New Roman" w:cs="Times New Roman"/>
      <w:b/>
      <w:bCs/>
      <w:sz w:val="24"/>
      <w:szCs w:val="24"/>
      <w:lang w:val="en-US"/>
    </w:rPr>
  </w:style>
  <w:style w:type="paragraph" w:styleId="ac">
    <w:name w:val="Normal (Web)"/>
    <w:basedOn w:val="a"/>
    <w:uiPriority w:val="99"/>
    <w:semiHidden/>
    <w:unhideWhenUsed/>
    <w:rsid w:val="008A0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8A0675"/>
  </w:style>
  <w:style w:type="paragraph" w:styleId="ad">
    <w:name w:val="Revision"/>
    <w:hidden/>
    <w:uiPriority w:val="99"/>
    <w:semiHidden/>
    <w:rsid w:val="003C42B7"/>
    <w:pPr>
      <w:spacing w:after="0" w:line="240" w:lineRule="auto"/>
    </w:pPr>
  </w:style>
  <w:style w:type="table" w:customStyle="1" w:styleId="PlainTable2">
    <w:name w:val="Plain Table 2"/>
    <w:basedOn w:val="a1"/>
    <w:uiPriority w:val="42"/>
    <w:rsid w:val="000763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rsid w:val="001D6F82"/>
    <w:rPr>
      <w:rFonts w:asciiTheme="majorHAnsi" w:eastAsiaTheme="majorEastAsia" w:hAnsiTheme="majorHAnsi" w:cstheme="majorBidi"/>
      <w:color w:val="2E74B5" w:themeColor="accent1" w:themeShade="BF"/>
      <w:sz w:val="32"/>
      <w:szCs w:val="32"/>
    </w:rPr>
  </w:style>
  <w:style w:type="paragraph" w:customStyle="1" w:styleId="p1">
    <w:name w:val="p1"/>
    <w:basedOn w:val="a"/>
    <w:rsid w:val="001669AA"/>
    <w:pPr>
      <w:spacing w:after="0" w:line="240" w:lineRule="auto"/>
    </w:pPr>
    <w:rPr>
      <w:rFonts w:ascii="Helvetica" w:hAnsi="Helvetica" w:cs="Times New Roman"/>
      <w:sz w:val="18"/>
      <w:szCs w:val="18"/>
      <w:lang w:val="en-US" w:eastAsia="zh-CN"/>
    </w:rPr>
  </w:style>
  <w:style w:type="paragraph" w:customStyle="1" w:styleId="10">
    <w:name w:val="正文1"/>
    <w:uiPriority w:val="99"/>
    <w:rsid w:val="001669AA"/>
    <w:pPr>
      <w:spacing w:after="0" w:line="276" w:lineRule="auto"/>
    </w:pPr>
    <w:rPr>
      <w:rFonts w:ascii="Arial" w:eastAsia="宋体" w:hAnsi="Arial" w:cs="Arial"/>
      <w:color w:val="000000"/>
      <w:szCs w:val="20"/>
      <w:lang w:val="pl-PL" w:eastAsia="pl-PL"/>
    </w:rPr>
  </w:style>
  <w:style w:type="character" w:styleId="ae">
    <w:name w:val="Strong"/>
    <w:basedOn w:val="a0"/>
    <w:uiPriority w:val="22"/>
    <w:qFormat/>
    <w:rsid w:val="001669AA"/>
    <w:rPr>
      <w:b/>
      <w:bCs/>
    </w:rPr>
  </w:style>
  <w:style w:type="table" w:customStyle="1" w:styleId="Rcsostblzat1">
    <w:name w:val="Rácsos táblázat1"/>
    <w:basedOn w:val="a1"/>
    <w:next w:val="ab"/>
    <w:uiPriority w:val="39"/>
    <w:rsid w:val="00C22CC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egyszer211">
    <w:name w:val="Táblázat (egyszerű) 211"/>
    <w:basedOn w:val="a1"/>
    <w:uiPriority w:val="42"/>
    <w:rsid w:val="00B91C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blzategyszer22">
    <w:name w:val="Táblázat (egyszerű) 22"/>
    <w:basedOn w:val="a1"/>
    <w:next w:val="PlainTable2"/>
    <w:uiPriority w:val="42"/>
    <w:rsid w:val="00B91C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header"/>
    <w:basedOn w:val="a"/>
    <w:link w:val="Char3"/>
    <w:uiPriority w:val="99"/>
    <w:unhideWhenUsed/>
    <w:rsid w:val="005E26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5E26AF"/>
    <w:rPr>
      <w:sz w:val="18"/>
      <w:szCs w:val="18"/>
    </w:rPr>
  </w:style>
  <w:style w:type="paragraph" w:styleId="af0">
    <w:name w:val="footer"/>
    <w:basedOn w:val="a"/>
    <w:link w:val="Char4"/>
    <w:uiPriority w:val="99"/>
    <w:unhideWhenUsed/>
    <w:rsid w:val="005E26AF"/>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5E26AF"/>
    <w:rPr>
      <w:sz w:val="18"/>
      <w:szCs w:val="18"/>
    </w:rPr>
  </w:style>
  <w:style w:type="character" w:customStyle="1" w:styleId="UnresolvedMention">
    <w:name w:val="Unresolved Mention"/>
    <w:basedOn w:val="a0"/>
    <w:uiPriority w:val="99"/>
    <w:semiHidden/>
    <w:unhideWhenUsed/>
    <w:rsid w:val="001573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D6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8A06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Char"/>
    <w:uiPriority w:val="9"/>
    <w:qFormat/>
    <w:rsid w:val="008A067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CB"/>
    <w:pPr>
      <w:ind w:left="720"/>
      <w:contextualSpacing/>
    </w:pPr>
  </w:style>
  <w:style w:type="character" w:styleId="a4">
    <w:name w:val="annotation reference"/>
    <w:basedOn w:val="a0"/>
    <w:uiPriority w:val="99"/>
    <w:semiHidden/>
    <w:unhideWhenUsed/>
    <w:rsid w:val="00535FCC"/>
    <w:rPr>
      <w:sz w:val="16"/>
      <w:szCs w:val="16"/>
    </w:rPr>
  </w:style>
  <w:style w:type="paragraph" w:styleId="a5">
    <w:name w:val="annotation text"/>
    <w:basedOn w:val="a"/>
    <w:link w:val="Char"/>
    <w:uiPriority w:val="99"/>
    <w:unhideWhenUsed/>
    <w:rsid w:val="00535FCC"/>
    <w:pPr>
      <w:spacing w:line="240" w:lineRule="auto"/>
    </w:pPr>
    <w:rPr>
      <w:sz w:val="20"/>
      <w:szCs w:val="20"/>
    </w:rPr>
  </w:style>
  <w:style w:type="character" w:customStyle="1" w:styleId="Char">
    <w:name w:val="批注文字 Char"/>
    <w:basedOn w:val="a0"/>
    <w:link w:val="a5"/>
    <w:uiPriority w:val="99"/>
    <w:rsid w:val="00535FCC"/>
    <w:rPr>
      <w:sz w:val="20"/>
      <w:szCs w:val="20"/>
    </w:rPr>
  </w:style>
  <w:style w:type="paragraph" w:styleId="a6">
    <w:name w:val="annotation subject"/>
    <w:basedOn w:val="a5"/>
    <w:next w:val="a5"/>
    <w:link w:val="Char0"/>
    <w:uiPriority w:val="99"/>
    <w:semiHidden/>
    <w:unhideWhenUsed/>
    <w:rsid w:val="00535FCC"/>
    <w:rPr>
      <w:b/>
      <w:bCs/>
    </w:rPr>
  </w:style>
  <w:style w:type="character" w:customStyle="1" w:styleId="Char0">
    <w:name w:val="批注主题 Char"/>
    <w:basedOn w:val="Char"/>
    <w:link w:val="a6"/>
    <w:uiPriority w:val="99"/>
    <w:semiHidden/>
    <w:rsid w:val="00535FCC"/>
    <w:rPr>
      <w:b/>
      <w:bCs/>
      <w:sz w:val="20"/>
      <w:szCs w:val="20"/>
    </w:rPr>
  </w:style>
  <w:style w:type="paragraph" w:styleId="a7">
    <w:name w:val="Balloon Text"/>
    <w:basedOn w:val="a"/>
    <w:link w:val="Char1"/>
    <w:uiPriority w:val="99"/>
    <w:semiHidden/>
    <w:unhideWhenUsed/>
    <w:rsid w:val="00535FC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535FCC"/>
    <w:rPr>
      <w:rFonts w:ascii="Tahoma" w:hAnsi="Tahoma" w:cs="Tahoma"/>
      <w:sz w:val="16"/>
      <w:szCs w:val="16"/>
    </w:rPr>
  </w:style>
  <w:style w:type="paragraph" w:customStyle="1" w:styleId="Cm1">
    <w:name w:val="Cím1"/>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a8">
    <w:name w:val="Hyperlink"/>
    <w:basedOn w:val="a0"/>
    <w:unhideWhenUsed/>
    <w:rsid w:val="00535FCC"/>
    <w:rPr>
      <w:color w:val="0000FF"/>
      <w:u w:val="single"/>
    </w:rPr>
  </w:style>
  <w:style w:type="paragraph" w:customStyle="1" w:styleId="desc">
    <w:name w:val="desc"/>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tails">
    <w:name w:val="details"/>
    <w:basedOn w:val="a"/>
    <w:rsid w:val="00535F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rnl">
    <w:name w:val="jrnl"/>
    <w:basedOn w:val="a0"/>
    <w:rsid w:val="00535FCC"/>
  </w:style>
  <w:style w:type="paragraph" w:styleId="a9">
    <w:name w:val="endnote text"/>
    <w:basedOn w:val="a"/>
    <w:link w:val="Char2"/>
    <w:uiPriority w:val="99"/>
    <w:unhideWhenUsed/>
    <w:rsid w:val="00110C2E"/>
    <w:pPr>
      <w:spacing w:after="0" w:line="240" w:lineRule="auto"/>
    </w:pPr>
    <w:rPr>
      <w:sz w:val="20"/>
      <w:szCs w:val="20"/>
    </w:rPr>
  </w:style>
  <w:style w:type="character" w:customStyle="1" w:styleId="Char2">
    <w:name w:val="尾注文本 Char"/>
    <w:basedOn w:val="a0"/>
    <w:link w:val="a9"/>
    <w:uiPriority w:val="99"/>
    <w:rsid w:val="00110C2E"/>
    <w:rPr>
      <w:sz w:val="20"/>
      <w:szCs w:val="20"/>
    </w:rPr>
  </w:style>
  <w:style w:type="character" w:styleId="aa">
    <w:name w:val="endnote reference"/>
    <w:basedOn w:val="a0"/>
    <w:uiPriority w:val="99"/>
    <w:semiHidden/>
    <w:unhideWhenUsed/>
    <w:rsid w:val="00110C2E"/>
    <w:rPr>
      <w:vertAlign w:val="superscript"/>
    </w:rPr>
  </w:style>
  <w:style w:type="table" w:styleId="ab">
    <w:name w:val="Table Grid"/>
    <w:basedOn w:val="a1"/>
    <w:uiPriority w:val="39"/>
    <w:rsid w:val="00BB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egyszer21">
    <w:name w:val="Táblázat (egyszerű) 21"/>
    <w:basedOn w:val="a1"/>
    <w:uiPriority w:val="42"/>
    <w:rsid w:val="009B40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2">
    <w:name w:val="Cím2"/>
    <w:basedOn w:val="a"/>
    <w:rsid w:val="008A0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Char">
    <w:name w:val="标题 3 Char"/>
    <w:basedOn w:val="a0"/>
    <w:link w:val="3"/>
    <w:uiPriority w:val="9"/>
    <w:rsid w:val="008A0675"/>
    <w:rPr>
      <w:rFonts w:ascii="Times New Roman" w:eastAsia="Times New Roman" w:hAnsi="Times New Roman" w:cs="Times New Roman"/>
      <w:b/>
      <w:bCs/>
      <w:sz w:val="27"/>
      <w:szCs w:val="27"/>
      <w:lang w:val="en-US"/>
    </w:rPr>
  </w:style>
  <w:style w:type="character" w:customStyle="1" w:styleId="4Char">
    <w:name w:val="标题 4 Char"/>
    <w:basedOn w:val="a0"/>
    <w:link w:val="4"/>
    <w:uiPriority w:val="9"/>
    <w:rsid w:val="008A0675"/>
    <w:rPr>
      <w:rFonts w:ascii="Times New Roman" w:eastAsia="Times New Roman" w:hAnsi="Times New Roman" w:cs="Times New Roman"/>
      <w:b/>
      <w:bCs/>
      <w:sz w:val="24"/>
      <w:szCs w:val="24"/>
      <w:lang w:val="en-US"/>
    </w:rPr>
  </w:style>
  <w:style w:type="paragraph" w:styleId="ac">
    <w:name w:val="Normal (Web)"/>
    <w:basedOn w:val="a"/>
    <w:uiPriority w:val="99"/>
    <w:semiHidden/>
    <w:unhideWhenUsed/>
    <w:rsid w:val="008A0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8A0675"/>
  </w:style>
  <w:style w:type="paragraph" w:styleId="ad">
    <w:name w:val="Revision"/>
    <w:hidden/>
    <w:uiPriority w:val="99"/>
    <w:semiHidden/>
    <w:rsid w:val="003C42B7"/>
    <w:pPr>
      <w:spacing w:after="0" w:line="240" w:lineRule="auto"/>
    </w:pPr>
  </w:style>
  <w:style w:type="table" w:customStyle="1" w:styleId="PlainTable2">
    <w:name w:val="Plain Table 2"/>
    <w:basedOn w:val="a1"/>
    <w:uiPriority w:val="42"/>
    <w:rsid w:val="000763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rsid w:val="001D6F82"/>
    <w:rPr>
      <w:rFonts w:asciiTheme="majorHAnsi" w:eastAsiaTheme="majorEastAsia" w:hAnsiTheme="majorHAnsi" w:cstheme="majorBidi"/>
      <w:color w:val="2E74B5" w:themeColor="accent1" w:themeShade="BF"/>
      <w:sz w:val="32"/>
      <w:szCs w:val="32"/>
    </w:rPr>
  </w:style>
  <w:style w:type="paragraph" w:customStyle="1" w:styleId="p1">
    <w:name w:val="p1"/>
    <w:basedOn w:val="a"/>
    <w:rsid w:val="001669AA"/>
    <w:pPr>
      <w:spacing w:after="0" w:line="240" w:lineRule="auto"/>
    </w:pPr>
    <w:rPr>
      <w:rFonts w:ascii="Helvetica" w:hAnsi="Helvetica" w:cs="Times New Roman"/>
      <w:sz w:val="18"/>
      <w:szCs w:val="18"/>
      <w:lang w:val="en-US" w:eastAsia="zh-CN"/>
    </w:rPr>
  </w:style>
  <w:style w:type="paragraph" w:customStyle="1" w:styleId="10">
    <w:name w:val="正文1"/>
    <w:uiPriority w:val="99"/>
    <w:rsid w:val="001669AA"/>
    <w:pPr>
      <w:spacing w:after="0" w:line="276" w:lineRule="auto"/>
    </w:pPr>
    <w:rPr>
      <w:rFonts w:ascii="Arial" w:eastAsia="宋体" w:hAnsi="Arial" w:cs="Arial"/>
      <w:color w:val="000000"/>
      <w:szCs w:val="20"/>
      <w:lang w:val="pl-PL" w:eastAsia="pl-PL"/>
    </w:rPr>
  </w:style>
  <w:style w:type="character" w:styleId="ae">
    <w:name w:val="Strong"/>
    <w:basedOn w:val="a0"/>
    <w:uiPriority w:val="22"/>
    <w:qFormat/>
    <w:rsid w:val="001669AA"/>
    <w:rPr>
      <w:b/>
      <w:bCs/>
    </w:rPr>
  </w:style>
  <w:style w:type="table" w:customStyle="1" w:styleId="Rcsostblzat1">
    <w:name w:val="Rácsos táblázat1"/>
    <w:basedOn w:val="a1"/>
    <w:next w:val="ab"/>
    <w:uiPriority w:val="39"/>
    <w:rsid w:val="00C22CC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egyszer211">
    <w:name w:val="Táblázat (egyszerű) 211"/>
    <w:basedOn w:val="a1"/>
    <w:uiPriority w:val="42"/>
    <w:rsid w:val="00B91C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blzategyszer22">
    <w:name w:val="Táblázat (egyszerű) 22"/>
    <w:basedOn w:val="a1"/>
    <w:next w:val="PlainTable2"/>
    <w:uiPriority w:val="42"/>
    <w:rsid w:val="00B91C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header"/>
    <w:basedOn w:val="a"/>
    <w:link w:val="Char3"/>
    <w:uiPriority w:val="99"/>
    <w:unhideWhenUsed/>
    <w:rsid w:val="005E26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5E26AF"/>
    <w:rPr>
      <w:sz w:val="18"/>
      <w:szCs w:val="18"/>
    </w:rPr>
  </w:style>
  <w:style w:type="paragraph" w:styleId="af0">
    <w:name w:val="footer"/>
    <w:basedOn w:val="a"/>
    <w:link w:val="Char4"/>
    <w:uiPriority w:val="99"/>
    <w:unhideWhenUsed/>
    <w:rsid w:val="005E26AF"/>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5E26AF"/>
    <w:rPr>
      <w:sz w:val="18"/>
      <w:szCs w:val="18"/>
    </w:rPr>
  </w:style>
  <w:style w:type="character" w:customStyle="1" w:styleId="UnresolvedMention">
    <w:name w:val="Unresolved Mention"/>
    <w:basedOn w:val="a0"/>
    <w:uiPriority w:val="99"/>
    <w:semiHidden/>
    <w:unhideWhenUsed/>
    <w:rsid w:val="0015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5">
      <w:bodyDiv w:val="1"/>
      <w:marLeft w:val="0"/>
      <w:marRight w:val="0"/>
      <w:marTop w:val="0"/>
      <w:marBottom w:val="0"/>
      <w:divBdr>
        <w:top w:val="none" w:sz="0" w:space="0" w:color="auto"/>
        <w:left w:val="none" w:sz="0" w:space="0" w:color="auto"/>
        <w:bottom w:val="none" w:sz="0" w:space="0" w:color="auto"/>
        <w:right w:val="none" w:sz="0" w:space="0" w:color="auto"/>
      </w:divBdr>
      <w:divsChild>
        <w:div w:id="1666595010">
          <w:marLeft w:val="0"/>
          <w:marRight w:val="0"/>
          <w:marTop w:val="34"/>
          <w:marBottom w:val="34"/>
          <w:divBdr>
            <w:top w:val="none" w:sz="0" w:space="0" w:color="auto"/>
            <w:left w:val="none" w:sz="0" w:space="0" w:color="auto"/>
            <w:bottom w:val="none" w:sz="0" w:space="0" w:color="auto"/>
            <w:right w:val="none" w:sz="0" w:space="0" w:color="auto"/>
          </w:divBdr>
        </w:div>
      </w:divsChild>
    </w:div>
    <w:div w:id="67119249">
      <w:bodyDiv w:val="1"/>
      <w:marLeft w:val="0"/>
      <w:marRight w:val="0"/>
      <w:marTop w:val="0"/>
      <w:marBottom w:val="0"/>
      <w:divBdr>
        <w:top w:val="none" w:sz="0" w:space="0" w:color="auto"/>
        <w:left w:val="none" w:sz="0" w:space="0" w:color="auto"/>
        <w:bottom w:val="none" w:sz="0" w:space="0" w:color="auto"/>
        <w:right w:val="none" w:sz="0" w:space="0" w:color="auto"/>
      </w:divBdr>
      <w:divsChild>
        <w:div w:id="1454253352">
          <w:marLeft w:val="0"/>
          <w:marRight w:val="0"/>
          <w:marTop w:val="34"/>
          <w:marBottom w:val="34"/>
          <w:divBdr>
            <w:top w:val="none" w:sz="0" w:space="0" w:color="auto"/>
            <w:left w:val="none" w:sz="0" w:space="0" w:color="auto"/>
            <w:bottom w:val="none" w:sz="0" w:space="0" w:color="auto"/>
            <w:right w:val="none" w:sz="0" w:space="0" w:color="auto"/>
          </w:divBdr>
        </w:div>
        <w:div w:id="2132355222">
          <w:marLeft w:val="0"/>
          <w:marRight w:val="0"/>
          <w:marTop w:val="0"/>
          <w:marBottom w:val="0"/>
          <w:divBdr>
            <w:top w:val="none" w:sz="0" w:space="0" w:color="auto"/>
            <w:left w:val="none" w:sz="0" w:space="0" w:color="auto"/>
            <w:bottom w:val="none" w:sz="0" w:space="0" w:color="auto"/>
            <w:right w:val="none" w:sz="0" w:space="0" w:color="auto"/>
          </w:divBdr>
        </w:div>
      </w:divsChild>
    </w:div>
    <w:div w:id="72316671">
      <w:bodyDiv w:val="1"/>
      <w:marLeft w:val="0"/>
      <w:marRight w:val="0"/>
      <w:marTop w:val="0"/>
      <w:marBottom w:val="0"/>
      <w:divBdr>
        <w:top w:val="none" w:sz="0" w:space="0" w:color="auto"/>
        <w:left w:val="none" w:sz="0" w:space="0" w:color="auto"/>
        <w:bottom w:val="none" w:sz="0" w:space="0" w:color="auto"/>
        <w:right w:val="none" w:sz="0" w:space="0" w:color="auto"/>
      </w:divBdr>
      <w:divsChild>
        <w:div w:id="11076411">
          <w:marLeft w:val="0"/>
          <w:marRight w:val="0"/>
          <w:marTop w:val="34"/>
          <w:marBottom w:val="34"/>
          <w:divBdr>
            <w:top w:val="none" w:sz="0" w:space="0" w:color="auto"/>
            <w:left w:val="none" w:sz="0" w:space="0" w:color="auto"/>
            <w:bottom w:val="none" w:sz="0" w:space="0" w:color="auto"/>
            <w:right w:val="none" w:sz="0" w:space="0" w:color="auto"/>
          </w:divBdr>
        </w:div>
      </w:divsChild>
    </w:div>
    <w:div w:id="90199000">
      <w:bodyDiv w:val="1"/>
      <w:marLeft w:val="0"/>
      <w:marRight w:val="0"/>
      <w:marTop w:val="0"/>
      <w:marBottom w:val="0"/>
      <w:divBdr>
        <w:top w:val="none" w:sz="0" w:space="0" w:color="auto"/>
        <w:left w:val="none" w:sz="0" w:space="0" w:color="auto"/>
        <w:bottom w:val="none" w:sz="0" w:space="0" w:color="auto"/>
        <w:right w:val="none" w:sz="0" w:space="0" w:color="auto"/>
      </w:divBdr>
      <w:divsChild>
        <w:div w:id="318773099">
          <w:marLeft w:val="420"/>
          <w:marRight w:val="0"/>
          <w:marTop w:val="0"/>
          <w:marBottom w:val="0"/>
          <w:divBdr>
            <w:top w:val="none" w:sz="0" w:space="0" w:color="auto"/>
            <w:left w:val="none" w:sz="0" w:space="0" w:color="auto"/>
            <w:bottom w:val="none" w:sz="0" w:space="0" w:color="auto"/>
            <w:right w:val="none" w:sz="0" w:space="0" w:color="auto"/>
          </w:divBdr>
          <w:divsChild>
            <w:div w:id="9080746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1752028">
      <w:bodyDiv w:val="1"/>
      <w:marLeft w:val="0"/>
      <w:marRight w:val="0"/>
      <w:marTop w:val="0"/>
      <w:marBottom w:val="0"/>
      <w:divBdr>
        <w:top w:val="none" w:sz="0" w:space="0" w:color="auto"/>
        <w:left w:val="none" w:sz="0" w:space="0" w:color="auto"/>
        <w:bottom w:val="none" w:sz="0" w:space="0" w:color="auto"/>
        <w:right w:val="none" w:sz="0" w:space="0" w:color="auto"/>
      </w:divBdr>
    </w:div>
    <w:div w:id="104346095">
      <w:bodyDiv w:val="1"/>
      <w:marLeft w:val="0"/>
      <w:marRight w:val="0"/>
      <w:marTop w:val="0"/>
      <w:marBottom w:val="0"/>
      <w:divBdr>
        <w:top w:val="none" w:sz="0" w:space="0" w:color="auto"/>
        <w:left w:val="none" w:sz="0" w:space="0" w:color="auto"/>
        <w:bottom w:val="none" w:sz="0" w:space="0" w:color="auto"/>
        <w:right w:val="none" w:sz="0" w:space="0" w:color="auto"/>
      </w:divBdr>
      <w:divsChild>
        <w:div w:id="967322887">
          <w:marLeft w:val="0"/>
          <w:marRight w:val="0"/>
          <w:marTop w:val="34"/>
          <w:marBottom w:val="34"/>
          <w:divBdr>
            <w:top w:val="none" w:sz="0" w:space="0" w:color="auto"/>
            <w:left w:val="none" w:sz="0" w:space="0" w:color="auto"/>
            <w:bottom w:val="none" w:sz="0" w:space="0" w:color="auto"/>
            <w:right w:val="none" w:sz="0" w:space="0" w:color="auto"/>
          </w:divBdr>
        </w:div>
      </w:divsChild>
    </w:div>
    <w:div w:id="129522699">
      <w:bodyDiv w:val="1"/>
      <w:marLeft w:val="0"/>
      <w:marRight w:val="0"/>
      <w:marTop w:val="0"/>
      <w:marBottom w:val="0"/>
      <w:divBdr>
        <w:top w:val="none" w:sz="0" w:space="0" w:color="auto"/>
        <w:left w:val="none" w:sz="0" w:space="0" w:color="auto"/>
        <w:bottom w:val="none" w:sz="0" w:space="0" w:color="auto"/>
        <w:right w:val="none" w:sz="0" w:space="0" w:color="auto"/>
      </w:divBdr>
      <w:divsChild>
        <w:div w:id="1775440543">
          <w:marLeft w:val="0"/>
          <w:marRight w:val="0"/>
          <w:marTop w:val="34"/>
          <w:marBottom w:val="34"/>
          <w:divBdr>
            <w:top w:val="none" w:sz="0" w:space="0" w:color="auto"/>
            <w:left w:val="none" w:sz="0" w:space="0" w:color="auto"/>
            <w:bottom w:val="none" w:sz="0" w:space="0" w:color="auto"/>
            <w:right w:val="none" w:sz="0" w:space="0" w:color="auto"/>
          </w:divBdr>
        </w:div>
        <w:div w:id="1700081831">
          <w:marLeft w:val="0"/>
          <w:marRight w:val="0"/>
          <w:marTop w:val="0"/>
          <w:marBottom w:val="0"/>
          <w:divBdr>
            <w:top w:val="none" w:sz="0" w:space="0" w:color="auto"/>
            <w:left w:val="none" w:sz="0" w:space="0" w:color="auto"/>
            <w:bottom w:val="none" w:sz="0" w:space="0" w:color="auto"/>
            <w:right w:val="none" w:sz="0" w:space="0" w:color="auto"/>
          </w:divBdr>
        </w:div>
      </w:divsChild>
    </w:div>
    <w:div w:id="136463141">
      <w:bodyDiv w:val="1"/>
      <w:marLeft w:val="0"/>
      <w:marRight w:val="0"/>
      <w:marTop w:val="0"/>
      <w:marBottom w:val="0"/>
      <w:divBdr>
        <w:top w:val="none" w:sz="0" w:space="0" w:color="auto"/>
        <w:left w:val="none" w:sz="0" w:space="0" w:color="auto"/>
        <w:bottom w:val="none" w:sz="0" w:space="0" w:color="auto"/>
        <w:right w:val="none" w:sz="0" w:space="0" w:color="auto"/>
      </w:divBdr>
    </w:div>
    <w:div w:id="177475489">
      <w:bodyDiv w:val="1"/>
      <w:marLeft w:val="0"/>
      <w:marRight w:val="0"/>
      <w:marTop w:val="0"/>
      <w:marBottom w:val="0"/>
      <w:divBdr>
        <w:top w:val="none" w:sz="0" w:space="0" w:color="auto"/>
        <w:left w:val="none" w:sz="0" w:space="0" w:color="auto"/>
        <w:bottom w:val="none" w:sz="0" w:space="0" w:color="auto"/>
        <w:right w:val="none" w:sz="0" w:space="0" w:color="auto"/>
      </w:divBdr>
      <w:divsChild>
        <w:div w:id="1310743357">
          <w:marLeft w:val="0"/>
          <w:marRight w:val="0"/>
          <w:marTop w:val="34"/>
          <w:marBottom w:val="34"/>
          <w:divBdr>
            <w:top w:val="none" w:sz="0" w:space="0" w:color="auto"/>
            <w:left w:val="none" w:sz="0" w:space="0" w:color="auto"/>
            <w:bottom w:val="none" w:sz="0" w:space="0" w:color="auto"/>
            <w:right w:val="none" w:sz="0" w:space="0" w:color="auto"/>
          </w:divBdr>
        </w:div>
        <w:div w:id="1433672589">
          <w:marLeft w:val="0"/>
          <w:marRight w:val="0"/>
          <w:marTop w:val="0"/>
          <w:marBottom w:val="0"/>
          <w:divBdr>
            <w:top w:val="none" w:sz="0" w:space="0" w:color="auto"/>
            <w:left w:val="none" w:sz="0" w:space="0" w:color="auto"/>
            <w:bottom w:val="none" w:sz="0" w:space="0" w:color="auto"/>
            <w:right w:val="none" w:sz="0" w:space="0" w:color="auto"/>
          </w:divBdr>
        </w:div>
      </w:divsChild>
    </w:div>
    <w:div w:id="213320231">
      <w:bodyDiv w:val="1"/>
      <w:marLeft w:val="0"/>
      <w:marRight w:val="0"/>
      <w:marTop w:val="0"/>
      <w:marBottom w:val="0"/>
      <w:divBdr>
        <w:top w:val="none" w:sz="0" w:space="0" w:color="auto"/>
        <w:left w:val="none" w:sz="0" w:space="0" w:color="auto"/>
        <w:bottom w:val="none" w:sz="0" w:space="0" w:color="auto"/>
        <w:right w:val="none" w:sz="0" w:space="0" w:color="auto"/>
      </w:divBdr>
    </w:div>
    <w:div w:id="223874433">
      <w:bodyDiv w:val="1"/>
      <w:marLeft w:val="0"/>
      <w:marRight w:val="0"/>
      <w:marTop w:val="0"/>
      <w:marBottom w:val="0"/>
      <w:divBdr>
        <w:top w:val="none" w:sz="0" w:space="0" w:color="auto"/>
        <w:left w:val="none" w:sz="0" w:space="0" w:color="auto"/>
        <w:bottom w:val="none" w:sz="0" w:space="0" w:color="auto"/>
        <w:right w:val="none" w:sz="0" w:space="0" w:color="auto"/>
      </w:divBdr>
    </w:div>
    <w:div w:id="269162529">
      <w:bodyDiv w:val="1"/>
      <w:marLeft w:val="0"/>
      <w:marRight w:val="0"/>
      <w:marTop w:val="0"/>
      <w:marBottom w:val="0"/>
      <w:divBdr>
        <w:top w:val="none" w:sz="0" w:space="0" w:color="auto"/>
        <w:left w:val="none" w:sz="0" w:space="0" w:color="auto"/>
        <w:bottom w:val="none" w:sz="0" w:space="0" w:color="auto"/>
        <w:right w:val="none" w:sz="0" w:space="0" w:color="auto"/>
      </w:divBdr>
      <w:divsChild>
        <w:div w:id="1452476123">
          <w:marLeft w:val="0"/>
          <w:marRight w:val="0"/>
          <w:marTop w:val="34"/>
          <w:marBottom w:val="34"/>
          <w:divBdr>
            <w:top w:val="none" w:sz="0" w:space="0" w:color="auto"/>
            <w:left w:val="none" w:sz="0" w:space="0" w:color="auto"/>
            <w:bottom w:val="none" w:sz="0" w:space="0" w:color="auto"/>
            <w:right w:val="none" w:sz="0" w:space="0" w:color="auto"/>
          </w:divBdr>
        </w:div>
        <w:div w:id="2017338588">
          <w:marLeft w:val="0"/>
          <w:marRight w:val="0"/>
          <w:marTop w:val="0"/>
          <w:marBottom w:val="0"/>
          <w:divBdr>
            <w:top w:val="none" w:sz="0" w:space="0" w:color="auto"/>
            <w:left w:val="none" w:sz="0" w:space="0" w:color="auto"/>
            <w:bottom w:val="none" w:sz="0" w:space="0" w:color="auto"/>
            <w:right w:val="none" w:sz="0" w:space="0" w:color="auto"/>
          </w:divBdr>
        </w:div>
      </w:divsChild>
    </w:div>
    <w:div w:id="290478178">
      <w:bodyDiv w:val="1"/>
      <w:marLeft w:val="0"/>
      <w:marRight w:val="0"/>
      <w:marTop w:val="0"/>
      <w:marBottom w:val="0"/>
      <w:divBdr>
        <w:top w:val="none" w:sz="0" w:space="0" w:color="auto"/>
        <w:left w:val="none" w:sz="0" w:space="0" w:color="auto"/>
        <w:bottom w:val="none" w:sz="0" w:space="0" w:color="auto"/>
        <w:right w:val="none" w:sz="0" w:space="0" w:color="auto"/>
      </w:divBdr>
      <w:divsChild>
        <w:div w:id="857423456">
          <w:marLeft w:val="0"/>
          <w:marRight w:val="0"/>
          <w:marTop w:val="34"/>
          <w:marBottom w:val="34"/>
          <w:divBdr>
            <w:top w:val="none" w:sz="0" w:space="0" w:color="auto"/>
            <w:left w:val="none" w:sz="0" w:space="0" w:color="auto"/>
            <w:bottom w:val="none" w:sz="0" w:space="0" w:color="auto"/>
            <w:right w:val="none" w:sz="0" w:space="0" w:color="auto"/>
          </w:divBdr>
        </w:div>
      </w:divsChild>
    </w:div>
    <w:div w:id="300381188">
      <w:bodyDiv w:val="1"/>
      <w:marLeft w:val="0"/>
      <w:marRight w:val="0"/>
      <w:marTop w:val="0"/>
      <w:marBottom w:val="0"/>
      <w:divBdr>
        <w:top w:val="none" w:sz="0" w:space="0" w:color="auto"/>
        <w:left w:val="none" w:sz="0" w:space="0" w:color="auto"/>
        <w:bottom w:val="none" w:sz="0" w:space="0" w:color="auto"/>
        <w:right w:val="none" w:sz="0" w:space="0" w:color="auto"/>
      </w:divBdr>
      <w:divsChild>
        <w:div w:id="526719299">
          <w:marLeft w:val="0"/>
          <w:marRight w:val="0"/>
          <w:marTop w:val="34"/>
          <w:marBottom w:val="34"/>
          <w:divBdr>
            <w:top w:val="none" w:sz="0" w:space="0" w:color="auto"/>
            <w:left w:val="none" w:sz="0" w:space="0" w:color="auto"/>
            <w:bottom w:val="none" w:sz="0" w:space="0" w:color="auto"/>
            <w:right w:val="none" w:sz="0" w:space="0" w:color="auto"/>
          </w:divBdr>
        </w:div>
        <w:div w:id="594018985">
          <w:marLeft w:val="0"/>
          <w:marRight w:val="0"/>
          <w:marTop w:val="0"/>
          <w:marBottom w:val="0"/>
          <w:divBdr>
            <w:top w:val="none" w:sz="0" w:space="0" w:color="auto"/>
            <w:left w:val="none" w:sz="0" w:space="0" w:color="auto"/>
            <w:bottom w:val="none" w:sz="0" w:space="0" w:color="auto"/>
            <w:right w:val="none" w:sz="0" w:space="0" w:color="auto"/>
          </w:divBdr>
        </w:div>
      </w:divsChild>
    </w:div>
    <w:div w:id="309869234">
      <w:bodyDiv w:val="1"/>
      <w:marLeft w:val="0"/>
      <w:marRight w:val="0"/>
      <w:marTop w:val="0"/>
      <w:marBottom w:val="0"/>
      <w:divBdr>
        <w:top w:val="none" w:sz="0" w:space="0" w:color="auto"/>
        <w:left w:val="none" w:sz="0" w:space="0" w:color="auto"/>
        <w:bottom w:val="none" w:sz="0" w:space="0" w:color="auto"/>
        <w:right w:val="none" w:sz="0" w:space="0" w:color="auto"/>
      </w:divBdr>
      <w:divsChild>
        <w:div w:id="212623237">
          <w:marLeft w:val="0"/>
          <w:marRight w:val="0"/>
          <w:marTop w:val="0"/>
          <w:marBottom w:val="0"/>
          <w:divBdr>
            <w:top w:val="none" w:sz="0" w:space="0" w:color="auto"/>
            <w:left w:val="none" w:sz="0" w:space="0" w:color="auto"/>
            <w:bottom w:val="none" w:sz="0" w:space="0" w:color="auto"/>
            <w:right w:val="none" w:sz="0" w:space="0" w:color="auto"/>
          </w:divBdr>
          <w:divsChild>
            <w:div w:id="1240485190">
              <w:marLeft w:val="0"/>
              <w:marRight w:val="0"/>
              <w:marTop w:val="0"/>
              <w:marBottom w:val="0"/>
              <w:divBdr>
                <w:top w:val="none" w:sz="0" w:space="0" w:color="auto"/>
                <w:left w:val="none" w:sz="0" w:space="0" w:color="auto"/>
                <w:bottom w:val="none" w:sz="0" w:space="0" w:color="auto"/>
                <w:right w:val="none" w:sz="0" w:space="0" w:color="auto"/>
              </w:divBdr>
              <w:divsChild>
                <w:div w:id="1638416771">
                  <w:marLeft w:val="0"/>
                  <w:marRight w:val="0"/>
                  <w:marTop w:val="150"/>
                  <w:marBottom w:val="150"/>
                  <w:divBdr>
                    <w:top w:val="single" w:sz="6" w:space="0" w:color="8BA0BC"/>
                    <w:left w:val="single" w:sz="6" w:space="0" w:color="8BA0BC"/>
                    <w:bottom w:val="single" w:sz="6" w:space="9" w:color="8BA0BC"/>
                    <w:right w:val="single" w:sz="6" w:space="0" w:color="8BA0BC"/>
                  </w:divBdr>
                  <w:divsChild>
                    <w:div w:id="1532452972">
                      <w:marLeft w:val="0"/>
                      <w:marRight w:val="0"/>
                      <w:marTop w:val="0"/>
                      <w:marBottom w:val="0"/>
                      <w:divBdr>
                        <w:top w:val="none" w:sz="0" w:space="0" w:color="auto"/>
                        <w:left w:val="none" w:sz="0" w:space="0" w:color="auto"/>
                        <w:bottom w:val="none" w:sz="0" w:space="0" w:color="auto"/>
                        <w:right w:val="none" w:sz="0" w:space="0" w:color="auto"/>
                      </w:divBdr>
                      <w:divsChild>
                        <w:div w:id="14580220">
                          <w:marLeft w:val="0"/>
                          <w:marRight w:val="0"/>
                          <w:marTop w:val="0"/>
                          <w:marBottom w:val="0"/>
                          <w:divBdr>
                            <w:top w:val="none" w:sz="0" w:space="0" w:color="auto"/>
                            <w:left w:val="none" w:sz="0" w:space="0" w:color="auto"/>
                            <w:bottom w:val="none" w:sz="0" w:space="0" w:color="auto"/>
                            <w:right w:val="none" w:sz="0" w:space="0" w:color="auto"/>
                          </w:divBdr>
                          <w:divsChild>
                            <w:div w:id="1900167116">
                              <w:marLeft w:val="0"/>
                              <w:marRight w:val="0"/>
                              <w:marTop w:val="0"/>
                              <w:marBottom w:val="0"/>
                              <w:divBdr>
                                <w:top w:val="none" w:sz="0" w:space="0" w:color="auto"/>
                                <w:left w:val="none" w:sz="0" w:space="0" w:color="auto"/>
                                <w:bottom w:val="none" w:sz="0" w:space="0" w:color="auto"/>
                                <w:right w:val="none" w:sz="0" w:space="0" w:color="auto"/>
                              </w:divBdr>
                              <w:divsChild>
                                <w:div w:id="569316053">
                                  <w:marLeft w:val="0"/>
                                  <w:marRight w:val="0"/>
                                  <w:marTop w:val="0"/>
                                  <w:marBottom w:val="0"/>
                                  <w:divBdr>
                                    <w:top w:val="none" w:sz="0" w:space="0" w:color="auto"/>
                                    <w:left w:val="none" w:sz="0" w:space="0" w:color="auto"/>
                                    <w:bottom w:val="none" w:sz="0" w:space="0" w:color="auto"/>
                                    <w:right w:val="none" w:sz="0" w:space="0" w:color="auto"/>
                                  </w:divBdr>
                                  <w:divsChild>
                                    <w:div w:id="1183125099">
                                      <w:marLeft w:val="0"/>
                                      <w:marRight w:val="0"/>
                                      <w:marTop w:val="0"/>
                                      <w:marBottom w:val="0"/>
                                      <w:divBdr>
                                        <w:top w:val="none" w:sz="0" w:space="0" w:color="auto"/>
                                        <w:left w:val="none" w:sz="0" w:space="0" w:color="auto"/>
                                        <w:bottom w:val="none" w:sz="0" w:space="0" w:color="auto"/>
                                        <w:right w:val="none" w:sz="0" w:space="0" w:color="auto"/>
                                      </w:divBdr>
                                      <w:divsChild>
                                        <w:div w:id="9487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957643">
      <w:bodyDiv w:val="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34"/>
          <w:marBottom w:val="34"/>
          <w:divBdr>
            <w:top w:val="none" w:sz="0" w:space="0" w:color="auto"/>
            <w:left w:val="none" w:sz="0" w:space="0" w:color="auto"/>
            <w:bottom w:val="none" w:sz="0" w:space="0" w:color="auto"/>
            <w:right w:val="none" w:sz="0" w:space="0" w:color="auto"/>
          </w:divBdr>
        </w:div>
      </w:divsChild>
    </w:div>
    <w:div w:id="324675216">
      <w:bodyDiv w:val="1"/>
      <w:marLeft w:val="0"/>
      <w:marRight w:val="0"/>
      <w:marTop w:val="0"/>
      <w:marBottom w:val="0"/>
      <w:divBdr>
        <w:top w:val="none" w:sz="0" w:space="0" w:color="auto"/>
        <w:left w:val="none" w:sz="0" w:space="0" w:color="auto"/>
        <w:bottom w:val="none" w:sz="0" w:space="0" w:color="auto"/>
        <w:right w:val="none" w:sz="0" w:space="0" w:color="auto"/>
      </w:divBdr>
      <w:divsChild>
        <w:div w:id="2018384394">
          <w:marLeft w:val="0"/>
          <w:marRight w:val="0"/>
          <w:marTop w:val="34"/>
          <w:marBottom w:val="34"/>
          <w:divBdr>
            <w:top w:val="none" w:sz="0" w:space="0" w:color="auto"/>
            <w:left w:val="none" w:sz="0" w:space="0" w:color="auto"/>
            <w:bottom w:val="none" w:sz="0" w:space="0" w:color="auto"/>
            <w:right w:val="none" w:sz="0" w:space="0" w:color="auto"/>
          </w:divBdr>
        </w:div>
      </w:divsChild>
    </w:div>
    <w:div w:id="331447021">
      <w:bodyDiv w:val="1"/>
      <w:marLeft w:val="0"/>
      <w:marRight w:val="0"/>
      <w:marTop w:val="0"/>
      <w:marBottom w:val="0"/>
      <w:divBdr>
        <w:top w:val="none" w:sz="0" w:space="0" w:color="auto"/>
        <w:left w:val="none" w:sz="0" w:space="0" w:color="auto"/>
        <w:bottom w:val="none" w:sz="0" w:space="0" w:color="auto"/>
        <w:right w:val="none" w:sz="0" w:space="0" w:color="auto"/>
      </w:divBdr>
    </w:div>
    <w:div w:id="338044180">
      <w:bodyDiv w:val="1"/>
      <w:marLeft w:val="0"/>
      <w:marRight w:val="0"/>
      <w:marTop w:val="0"/>
      <w:marBottom w:val="0"/>
      <w:divBdr>
        <w:top w:val="none" w:sz="0" w:space="0" w:color="auto"/>
        <w:left w:val="none" w:sz="0" w:space="0" w:color="auto"/>
        <w:bottom w:val="none" w:sz="0" w:space="0" w:color="auto"/>
        <w:right w:val="none" w:sz="0" w:space="0" w:color="auto"/>
      </w:divBdr>
    </w:div>
    <w:div w:id="348994830">
      <w:bodyDiv w:val="1"/>
      <w:marLeft w:val="0"/>
      <w:marRight w:val="0"/>
      <w:marTop w:val="0"/>
      <w:marBottom w:val="0"/>
      <w:divBdr>
        <w:top w:val="none" w:sz="0" w:space="0" w:color="auto"/>
        <w:left w:val="none" w:sz="0" w:space="0" w:color="auto"/>
        <w:bottom w:val="none" w:sz="0" w:space="0" w:color="auto"/>
        <w:right w:val="none" w:sz="0" w:space="0" w:color="auto"/>
      </w:divBdr>
      <w:divsChild>
        <w:div w:id="370228782">
          <w:marLeft w:val="0"/>
          <w:marRight w:val="0"/>
          <w:marTop w:val="34"/>
          <w:marBottom w:val="34"/>
          <w:divBdr>
            <w:top w:val="none" w:sz="0" w:space="0" w:color="auto"/>
            <w:left w:val="none" w:sz="0" w:space="0" w:color="auto"/>
            <w:bottom w:val="none" w:sz="0" w:space="0" w:color="auto"/>
            <w:right w:val="none" w:sz="0" w:space="0" w:color="auto"/>
          </w:divBdr>
        </w:div>
        <w:div w:id="48379491">
          <w:marLeft w:val="0"/>
          <w:marRight w:val="0"/>
          <w:marTop w:val="0"/>
          <w:marBottom w:val="0"/>
          <w:divBdr>
            <w:top w:val="none" w:sz="0" w:space="0" w:color="auto"/>
            <w:left w:val="none" w:sz="0" w:space="0" w:color="auto"/>
            <w:bottom w:val="none" w:sz="0" w:space="0" w:color="auto"/>
            <w:right w:val="none" w:sz="0" w:space="0" w:color="auto"/>
          </w:divBdr>
        </w:div>
      </w:divsChild>
    </w:div>
    <w:div w:id="37342662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58">
          <w:marLeft w:val="0"/>
          <w:marRight w:val="0"/>
          <w:marTop w:val="34"/>
          <w:marBottom w:val="34"/>
          <w:divBdr>
            <w:top w:val="none" w:sz="0" w:space="0" w:color="auto"/>
            <w:left w:val="none" w:sz="0" w:space="0" w:color="auto"/>
            <w:bottom w:val="none" w:sz="0" w:space="0" w:color="auto"/>
            <w:right w:val="none" w:sz="0" w:space="0" w:color="auto"/>
          </w:divBdr>
        </w:div>
        <w:div w:id="361785999">
          <w:marLeft w:val="0"/>
          <w:marRight w:val="0"/>
          <w:marTop w:val="0"/>
          <w:marBottom w:val="0"/>
          <w:divBdr>
            <w:top w:val="none" w:sz="0" w:space="0" w:color="auto"/>
            <w:left w:val="none" w:sz="0" w:space="0" w:color="auto"/>
            <w:bottom w:val="none" w:sz="0" w:space="0" w:color="auto"/>
            <w:right w:val="none" w:sz="0" w:space="0" w:color="auto"/>
          </w:divBdr>
        </w:div>
      </w:divsChild>
    </w:div>
    <w:div w:id="376394380">
      <w:bodyDiv w:val="1"/>
      <w:marLeft w:val="0"/>
      <w:marRight w:val="0"/>
      <w:marTop w:val="0"/>
      <w:marBottom w:val="0"/>
      <w:divBdr>
        <w:top w:val="none" w:sz="0" w:space="0" w:color="auto"/>
        <w:left w:val="none" w:sz="0" w:space="0" w:color="auto"/>
        <w:bottom w:val="none" w:sz="0" w:space="0" w:color="auto"/>
        <w:right w:val="none" w:sz="0" w:space="0" w:color="auto"/>
      </w:divBdr>
      <w:divsChild>
        <w:div w:id="1114787142">
          <w:marLeft w:val="0"/>
          <w:marRight w:val="0"/>
          <w:marTop w:val="34"/>
          <w:marBottom w:val="34"/>
          <w:divBdr>
            <w:top w:val="none" w:sz="0" w:space="0" w:color="auto"/>
            <w:left w:val="none" w:sz="0" w:space="0" w:color="auto"/>
            <w:bottom w:val="none" w:sz="0" w:space="0" w:color="auto"/>
            <w:right w:val="none" w:sz="0" w:space="0" w:color="auto"/>
          </w:divBdr>
        </w:div>
        <w:div w:id="654534197">
          <w:marLeft w:val="0"/>
          <w:marRight w:val="0"/>
          <w:marTop w:val="0"/>
          <w:marBottom w:val="0"/>
          <w:divBdr>
            <w:top w:val="none" w:sz="0" w:space="0" w:color="auto"/>
            <w:left w:val="none" w:sz="0" w:space="0" w:color="auto"/>
            <w:bottom w:val="none" w:sz="0" w:space="0" w:color="auto"/>
            <w:right w:val="none" w:sz="0" w:space="0" w:color="auto"/>
          </w:divBdr>
        </w:div>
      </w:divsChild>
    </w:div>
    <w:div w:id="381951358">
      <w:bodyDiv w:val="1"/>
      <w:marLeft w:val="0"/>
      <w:marRight w:val="0"/>
      <w:marTop w:val="0"/>
      <w:marBottom w:val="0"/>
      <w:divBdr>
        <w:top w:val="none" w:sz="0" w:space="0" w:color="auto"/>
        <w:left w:val="none" w:sz="0" w:space="0" w:color="auto"/>
        <w:bottom w:val="none" w:sz="0" w:space="0" w:color="auto"/>
        <w:right w:val="none" w:sz="0" w:space="0" w:color="auto"/>
      </w:divBdr>
      <w:divsChild>
        <w:div w:id="589970944">
          <w:marLeft w:val="547"/>
          <w:marRight w:val="0"/>
          <w:marTop w:val="240"/>
          <w:marBottom w:val="0"/>
          <w:divBdr>
            <w:top w:val="none" w:sz="0" w:space="0" w:color="auto"/>
            <w:left w:val="none" w:sz="0" w:space="0" w:color="auto"/>
            <w:bottom w:val="none" w:sz="0" w:space="0" w:color="auto"/>
            <w:right w:val="none" w:sz="0" w:space="0" w:color="auto"/>
          </w:divBdr>
        </w:div>
      </w:divsChild>
    </w:div>
    <w:div w:id="385448624">
      <w:bodyDiv w:val="1"/>
      <w:marLeft w:val="0"/>
      <w:marRight w:val="0"/>
      <w:marTop w:val="0"/>
      <w:marBottom w:val="0"/>
      <w:divBdr>
        <w:top w:val="none" w:sz="0" w:space="0" w:color="auto"/>
        <w:left w:val="none" w:sz="0" w:space="0" w:color="auto"/>
        <w:bottom w:val="none" w:sz="0" w:space="0" w:color="auto"/>
        <w:right w:val="none" w:sz="0" w:space="0" w:color="auto"/>
      </w:divBdr>
      <w:divsChild>
        <w:div w:id="189340108">
          <w:marLeft w:val="0"/>
          <w:marRight w:val="0"/>
          <w:marTop w:val="34"/>
          <w:marBottom w:val="34"/>
          <w:divBdr>
            <w:top w:val="none" w:sz="0" w:space="0" w:color="auto"/>
            <w:left w:val="none" w:sz="0" w:space="0" w:color="auto"/>
            <w:bottom w:val="none" w:sz="0" w:space="0" w:color="auto"/>
            <w:right w:val="none" w:sz="0" w:space="0" w:color="auto"/>
          </w:divBdr>
        </w:div>
        <w:div w:id="914893814">
          <w:marLeft w:val="0"/>
          <w:marRight w:val="0"/>
          <w:marTop w:val="0"/>
          <w:marBottom w:val="0"/>
          <w:divBdr>
            <w:top w:val="none" w:sz="0" w:space="0" w:color="auto"/>
            <w:left w:val="none" w:sz="0" w:space="0" w:color="auto"/>
            <w:bottom w:val="none" w:sz="0" w:space="0" w:color="auto"/>
            <w:right w:val="none" w:sz="0" w:space="0" w:color="auto"/>
          </w:divBdr>
        </w:div>
      </w:divsChild>
    </w:div>
    <w:div w:id="394743486">
      <w:bodyDiv w:val="1"/>
      <w:marLeft w:val="0"/>
      <w:marRight w:val="0"/>
      <w:marTop w:val="0"/>
      <w:marBottom w:val="0"/>
      <w:divBdr>
        <w:top w:val="none" w:sz="0" w:space="0" w:color="auto"/>
        <w:left w:val="none" w:sz="0" w:space="0" w:color="auto"/>
        <w:bottom w:val="none" w:sz="0" w:space="0" w:color="auto"/>
        <w:right w:val="none" w:sz="0" w:space="0" w:color="auto"/>
      </w:divBdr>
      <w:divsChild>
        <w:div w:id="301543998">
          <w:marLeft w:val="0"/>
          <w:marRight w:val="0"/>
          <w:marTop w:val="34"/>
          <w:marBottom w:val="34"/>
          <w:divBdr>
            <w:top w:val="none" w:sz="0" w:space="0" w:color="auto"/>
            <w:left w:val="none" w:sz="0" w:space="0" w:color="auto"/>
            <w:bottom w:val="none" w:sz="0" w:space="0" w:color="auto"/>
            <w:right w:val="none" w:sz="0" w:space="0" w:color="auto"/>
          </w:divBdr>
        </w:div>
      </w:divsChild>
    </w:div>
    <w:div w:id="420152047">
      <w:bodyDiv w:val="1"/>
      <w:marLeft w:val="0"/>
      <w:marRight w:val="0"/>
      <w:marTop w:val="0"/>
      <w:marBottom w:val="0"/>
      <w:divBdr>
        <w:top w:val="none" w:sz="0" w:space="0" w:color="auto"/>
        <w:left w:val="none" w:sz="0" w:space="0" w:color="auto"/>
        <w:bottom w:val="none" w:sz="0" w:space="0" w:color="auto"/>
        <w:right w:val="none" w:sz="0" w:space="0" w:color="auto"/>
      </w:divBdr>
      <w:divsChild>
        <w:div w:id="1994984012">
          <w:marLeft w:val="0"/>
          <w:marRight w:val="0"/>
          <w:marTop w:val="34"/>
          <w:marBottom w:val="34"/>
          <w:divBdr>
            <w:top w:val="none" w:sz="0" w:space="0" w:color="auto"/>
            <w:left w:val="none" w:sz="0" w:space="0" w:color="auto"/>
            <w:bottom w:val="none" w:sz="0" w:space="0" w:color="auto"/>
            <w:right w:val="none" w:sz="0" w:space="0" w:color="auto"/>
          </w:divBdr>
        </w:div>
      </w:divsChild>
    </w:div>
    <w:div w:id="429131421">
      <w:bodyDiv w:val="1"/>
      <w:marLeft w:val="0"/>
      <w:marRight w:val="0"/>
      <w:marTop w:val="0"/>
      <w:marBottom w:val="0"/>
      <w:divBdr>
        <w:top w:val="none" w:sz="0" w:space="0" w:color="auto"/>
        <w:left w:val="none" w:sz="0" w:space="0" w:color="auto"/>
        <w:bottom w:val="none" w:sz="0" w:space="0" w:color="auto"/>
        <w:right w:val="none" w:sz="0" w:space="0" w:color="auto"/>
      </w:divBdr>
      <w:divsChild>
        <w:div w:id="1017538955">
          <w:marLeft w:val="0"/>
          <w:marRight w:val="0"/>
          <w:marTop w:val="34"/>
          <w:marBottom w:val="34"/>
          <w:divBdr>
            <w:top w:val="none" w:sz="0" w:space="0" w:color="auto"/>
            <w:left w:val="none" w:sz="0" w:space="0" w:color="auto"/>
            <w:bottom w:val="none" w:sz="0" w:space="0" w:color="auto"/>
            <w:right w:val="none" w:sz="0" w:space="0" w:color="auto"/>
          </w:divBdr>
        </w:div>
        <w:div w:id="449865085">
          <w:marLeft w:val="0"/>
          <w:marRight w:val="0"/>
          <w:marTop w:val="0"/>
          <w:marBottom w:val="0"/>
          <w:divBdr>
            <w:top w:val="none" w:sz="0" w:space="0" w:color="auto"/>
            <w:left w:val="none" w:sz="0" w:space="0" w:color="auto"/>
            <w:bottom w:val="none" w:sz="0" w:space="0" w:color="auto"/>
            <w:right w:val="none" w:sz="0" w:space="0" w:color="auto"/>
          </w:divBdr>
        </w:div>
      </w:divsChild>
    </w:div>
    <w:div w:id="457724899">
      <w:bodyDiv w:val="1"/>
      <w:marLeft w:val="0"/>
      <w:marRight w:val="0"/>
      <w:marTop w:val="0"/>
      <w:marBottom w:val="0"/>
      <w:divBdr>
        <w:top w:val="none" w:sz="0" w:space="0" w:color="auto"/>
        <w:left w:val="none" w:sz="0" w:space="0" w:color="auto"/>
        <w:bottom w:val="none" w:sz="0" w:space="0" w:color="auto"/>
        <w:right w:val="none" w:sz="0" w:space="0" w:color="auto"/>
      </w:divBdr>
    </w:div>
    <w:div w:id="470174988">
      <w:bodyDiv w:val="1"/>
      <w:marLeft w:val="0"/>
      <w:marRight w:val="0"/>
      <w:marTop w:val="0"/>
      <w:marBottom w:val="0"/>
      <w:divBdr>
        <w:top w:val="none" w:sz="0" w:space="0" w:color="auto"/>
        <w:left w:val="none" w:sz="0" w:space="0" w:color="auto"/>
        <w:bottom w:val="none" w:sz="0" w:space="0" w:color="auto"/>
        <w:right w:val="none" w:sz="0" w:space="0" w:color="auto"/>
      </w:divBdr>
      <w:divsChild>
        <w:div w:id="665327410">
          <w:marLeft w:val="0"/>
          <w:marRight w:val="0"/>
          <w:marTop w:val="34"/>
          <w:marBottom w:val="34"/>
          <w:divBdr>
            <w:top w:val="none" w:sz="0" w:space="0" w:color="auto"/>
            <w:left w:val="none" w:sz="0" w:space="0" w:color="auto"/>
            <w:bottom w:val="none" w:sz="0" w:space="0" w:color="auto"/>
            <w:right w:val="none" w:sz="0" w:space="0" w:color="auto"/>
          </w:divBdr>
        </w:div>
        <w:div w:id="1939214071">
          <w:marLeft w:val="0"/>
          <w:marRight w:val="0"/>
          <w:marTop w:val="0"/>
          <w:marBottom w:val="0"/>
          <w:divBdr>
            <w:top w:val="none" w:sz="0" w:space="0" w:color="auto"/>
            <w:left w:val="none" w:sz="0" w:space="0" w:color="auto"/>
            <w:bottom w:val="none" w:sz="0" w:space="0" w:color="auto"/>
            <w:right w:val="none" w:sz="0" w:space="0" w:color="auto"/>
          </w:divBdr>
        </w:div>
      </w:divsChild>
    </w:div>
    <w:div w:id="493645688">
      <w:bodyDiv w:val="1"/>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34"/>
          <w:marBottom w:val="34"/>
          <w:divBdr>
            <w:top w:val="none" w:sz="0" w:space="0" w:color="auto"/>
            <w:left w:val="none" w:sz="0" w:space="0" w:color="auto"/>
            <w:bottom w:val="none" w:sz="0" w:space="0" w:color="auto"/>
            <w:right w:val="none" w:sz="0" w:space="0" w:color="auto"/>
          </w:divBdr>
        </w:div>
        <w:div w:id="957181377">
          <w:marLeft w:val="0"/>
          <w:marRight w:val="0"/>
          <w:marTop w:val="0"/>
          <w:marBottom w:val="0"/>
          <w:divBdr>
            <w:top w:val="none" w:sz="0" w:space="0" w:color="auto"/>
            <w:left w:val="none" w:sz="0" w:space="0" w:color="auto"/>
            <w:bottom w:val="none" w:sz="0" w:space="0" w:color="auto"/>
            <w:right w:val="none" w:sz="0" w:space="0" w:color="auto"/>
          </w:divBdr>
        </w:div>
      </w:divsChild>
    </w:div>
    <w:div w:id="497503354">
      <w:bodyDiv w:val="1"/>
      <w:marLeft w:val="0"/>
      <w:marRight w:val="0"/>
      <w:marTop w:val="0"/>
      <w:marBottom w:val="0"/>
      <w:divBdr>
        <w:top w:val="none" w:sz="0" w:space="0" w:color="auto"/>
        <w:left w:val="none" w:sz="0" w:space="0" w:color="auto"/>
        <w:bottom w:val="none" w:sz="0" w:space="0" w:color="auto"/>
        <w:right w:val="none" w:sz="0" w:space="0" w:color="auto"/>
      </w:divBdr>
      <w:divsChild>
        <w:div w:id="642539921">
          <w:marLeft w:val="0"/>
          <w:marRight w:val="0"/>
          <w:marTop w:val="34"/>
          <w:marBottom w:val="34"/>
          <w:divBdr>
            <w:top w:val="none" w:sz="0" w:space="0" w:color="auto"/>
            <w:left w:val="none" w:sz="0" w:space="0" w:color="auto"/>
            <w:bottom w:val="none" w:sz="0" w:space="0" w:color="auto"/>
            <w:right w:val="none" w:sz="0" w:space="0" w:color="auto"/>
          </w:divBdr>
        </w:div>
        <w:div w:id="702902190">
          <w:marLeft w:val="0"/>
          <w:marRight w:val="0"/>
          <w:marTop w:val="0"/>
          <w:marBottom w:val="0"/>
          <w:divBdr>
            <w:top w:val="none" w:sz="0" w:space="0" w:color="auto"/>
            <w:left w:val="none" w:sz="0" w:space="0" w:color="auto"/>
            <w:bottom w:val="none" w:sz="0" w:space="0" w:color="auto"/>
            <w:right w:val="none" w:sz="0" w:space="0" w:color="auto"/>
          </w:divBdr>
        </w:div>
      </w:divsChild>
    </w:div>
    <w:div w:id="524173552">
      <w:bodyDiv w:val="1"/>
      <w:marLeft w:val="0"/>
      <w:marRight w:val="0"/>
      <w:marTop w:val="0"/>
      <w:marBottom w:val="0"/>
      <w:divBdr>
        <w:top w:val="none" w:sz="0" w:space="0" w:color="auto"/>
        <w:left w:val="none" w:sz="0" w:space="0" w:color="auto"/>
        <w:bottom w:val="none" w:sz="0" w:space="0" w:color="auto"/>
        <w:right w:val="none" w:sz="0" w:space="0" w:color="auto"/>
      </w:divBdr>
      <w:divsChild>
        <w:div w:id="478764980">
          <w:marLeft w:val="0"/>
          <w:marRight w:val="0"/>
          <w:marTop w:val="34"/>
          <w:marBottom w:val="34"/>
          <w:divBdr>
            <w:top w:val="none" w:sz="0" w:space="0" w:color="auto"/>
            <w:left w:val="none" w:sz="0" w:space="0" w:color="auto"/>
            <w:bottom w:val="none" w:sz="0" w:space="0" w:color="auto"/>
            <w:right w:val="none" w:sz="0" w:space="0" w:color="auto"/>
          </w:divBdr>
        </w:div>
      </w:divsChild>
    </w:div>
    <w:div w:id="557320436">
      <w:bodyDiv w:val="1"/>
      <w:marLeft w:val="0"/>
      <w:marRight w:val="0"/>
      <w:marTop w:val="0"/>
      <w:marBottom w:val="0"/>
      <w:divBdr>
        <w:top w:val="none" w:sz="0" w:space="0" w:color="auto"/>
        <w:left w:val="none" w:sz="0" w:space="0" w:color="auto"/>
        <w:bottom w:val="none" w:sz="0" w:space="0" w:color="auto"/>
        <w:right w:val="none" w:sz="0" w:space="0" w:color="auto"/>
      </w:divBdr>
      <w:divsChild>
        <w:div w:id="137386949">
          <w:marLeft w:val="0"/>
          <w:marRight w:val="0"/>
          <w:marTop w:val="34"/>
          <w:marBottom w:val="34"/>
          <w:divBdr>
            <w:top w:val="none" w:sz="0" w:space="0" w:color="auto"/>
            <w:left w:val="none" w:sz="0" w:space="0" w:color="auto"/>
            <w:bottom w:val="none" w:sz="0" w:space="0" w:color="auto"/>
            <w:right w:val="none" w:sz="0" w:space="0" w:color="auto"/>
          </w:divBdr>
        </w:div>
        <w:div w:id="1072309001">
          <w:marLeft w:val="0"/>
          <w:marRight w:val="0"/>
          <w:marTop w:val="0"/>
          <w:marBottom w:val="0"/>
          <w:divBdr>
            <w:top w:val="none" w:sz="0" w:space="0" w:color="auto"/>
            <w:left w:val="none" w:sz="0" w:space="0" w:color="auto"/>
            <w:bottom w:val="none" w:sz="0" w:space="0" w:color="auto"/>
            <w:right w:val="none" w:sz="0" w:space="0" w:color="auto"/>
          </w:divBdr>
        </w:div>
      </w:divsChild>
    </w:div>
    <w:div w:id="569266985">
      <w:bodyDiv w:val="1"/>
      <w:marLeft w:val="0"/>
      <w:marRight w:val="0"/>
      <w:marTop w:val="0"/>
      <w:marBottom w:val="0"/>
      <w:divBdr>
        <w:top w:val="none" w:sz="0" w:space="0" w:color="auto"/>
        <w:left w:val="none" w:sz="0" w:space="0" w:color="auto"/>
        <w:bottom w:val="none" w:sz="0" w:space="0" w:color="auto"/>
        <w:right w:val="none" w:sz="0" w:space="0" w:color="auto"/>
      </w:divBdr>
      <w:divsChild>
        <w:div w:id="1231117268">
          <w:marLeft w:val="0"/>
          <w:marRight w:val="0"/>
          <w:marTop w:val="34"/>
          <w:marBottom w:val="34"/>
          <w:divBdr>
            <w:top w:val="none" w:sz="0" w:space="0" w:color="auto"/>
            <w:left w:val="none" w:sz="0" w:space="0" w:color="auto"/>
            <w:bottom w:val="none" w:sz="0" w:space="0" w:color="auto"/>
            <w:right w:val="none" w:sz="0" w:space="0" w:color="auto"/>
          </w:divBdr>
        </w:div>
        <w:div w:id="110981552">
          <w:marLeft w:val="0"/>
          <w:marRight w:val="0"/>
          <w:marTop w:val="0"/>
          <w:marBottom w:val="0"/>
          <w:divBdr>
            <w:top w:val="none" w:sz="0" w:space="0" w:color="auto"/>
            <w:left w:val="none" w:sz="0" w:space="0" w:color="auto"/>
            <w:bottom w:val="none" w:sz="0" w:space="0" w:color="auto"/>
            <w:right w:val="none" w:sz="0" w:space="0" w:color="auto"/>
          </w:divBdr>
        </w:div>
      </w:divsChild>
    </w:div>
    <w:div w:id="578756362">
      <w:bodyDiv w:val="1"/>
      <w:marLeft w:val="0"/>
      <w:marRight w:val="0"/>
      <w:marTop w:val="0"/>
      <w:marBottom w:val="0"/>
      <w:divBdr>
        <w:top w:val="none" w:sz="0" w:space="0" w:color="auto"/>
        <w:left w:val="none" w:sz="0" w:space="0" w:color="auto"/>
        <w:bottom w:val="none" w:sz="0" w:space="0" w:color="auto"/>
        <w:right w:val="none" w:sz="0" w:space="0" w:color="auto"/>
      </w:divBdr>
      <w:divsChild>
        <w:div w:id="987705784">
          <w:marLeft w:val="0"/>
          <w:marRight w:val="0"/>
          <w:marTop w:val="34"/>
          <w:marBottom w:val="34"/>
          <w:divBdr>
            <w:top w:val="none" w:sz="0" w:space="0" w:color="auto"/>
            <w:left w:val="none" w:sz="0" w:space="0" w:color="auto"/>
            <w:bottom w:val="none" w:sz="0" w:space="0" w:color="auto"/>
            <w:right w:val="none" w:sz="0" w:space="0" w:color="auto"/>
          </w:divBdr>
        </w:div>
        <w:div w:id="160052282">
          <w:marLeft w:val="0"/>
          <w:marRight w:val="0"/>
          <w:marTop w:val="0"/>
          <w:marBottom w:val="0"/>
          <w:divBdr>
            <w:top w:val="none" w:sz="0" w:space="0" w:color="auto"/>
            <w:left w:val="none" w:sz="0" w:space="0" w:color="auto"/>
            <w:bottom w:val="none" w:sz="0" w:space="0" w:color="auto"/>
            <w:right w:val="none" w:sz="0" w:space="0" w:color="auto"/>
          </w:divBdr>
        </w:div>
      </w:divsChild>
    </w:div>
    <w:div w:id="615449859">
      <w:bodyDiv w:val="1"/>
      <w:marLeft w:val="0"/>
      <w:marRight w:val="0"/>
      <w:marTop w:val="0"/>
      <w:marBottom w:val="0"/>
      <w:divBdr>
        <w:top w:val="none" w:sz="0" w:space="0" w:color="auto"/>
        <w:left w:val="none" w:sz="0" w:space="0" w:color="auto"/>
        <w:bottom w:val="none" w:sz="0" w:space="0" w:color="auto"/>
        <w:right w:val="none" w:sz="0" w:space="0" w:color="auto"/>
      </w:divBdr>
      <w:divsChild>
        <w:div w:id="1633319760">
          <w:marLeft w:val="0"/>
          <w:marRight w:val="0"/>
          <w:marTop w:val="34"/>
          <w:marBottom w:val="34"/>
          <w:divBdr>
            <w:top w:val="none" w:sz="0" w:space="0" w:color="auto"/>
            <w:left w:val="none" w:sz="0" w:space="0" w:color="auto"/>
            <w:bottom w:val="none" w:sz="0" w:space="0" w:color="auto"/>
            <w:right w:val="none" w:sz="0" w:space="0" w:color="auto"/>
          </w:divBdr>
        </w:div>
        <w:div w:id="1201623136">
          <w:marLeft w:val="0"/>
          <w:marRight w:val="0"/>
          <w:marTop w:val="0"/>
          <w:marBottom w:val="0"/>
          <w:divBdr>
            <w:top w:val="none" w:sz="0" w:space="0" w:color="auto"/>
            <w:left w:val="none" w:sz="0" w:space="0" w:color="auto"/>
            <w:bottom w:val="none" w:sz="0" w:space="0" w:color="auto"/>
            <w:right w:val="none" w:sz="0" w:space="0" w:color="auto"/>
          </w:divBdr>
        </w:div>
      </w:divsChild>
    </w:div>
    <w:div w:id="632098279">
      <w:bodyDiv w:val="1"/>
      <w:marLeft w:val="0"/>
      <w:marRight w:val="0"/>
      <w:marTop w:val="0"/>
      <w:marBottom w:val="0"/>
      <w:divBdr>
        <w:top w:val="none" w:sz="0" w:space="0" w:color="auto"/>
        <w:left w:val="none" w:sz="0" w:space="0" w:color="auto"/>
        <w:bottom w:val="none" w:sz="0" w:space="0" w:color="auto"/>
        <w:right w:val="none" w:sz="0" w:space="0" w:color="auto"/>
      </w:divBdr>
      <w:divsChild>
        <w:div w:id="391081750">
          <w:marLeft w:val="0"/>
          <w:marRight w:val="0"/>
          <w:marTop w:val="34"/>
          <w:marBottom w:val="34"/>
          <w:divBdr>
            <w:top w:val="none" w:sz="0" w:space="0" w:color="auto"/>
            <w:left w:val="none" w:sz="0" w:space="0" w:color="auto"/>
            <w:bottom w:val="none" w:sz="0" w:space="0" w:color="auto"/>
            <w:right w:val="none" w:sz="0" w:space="0" w:color="auto"/>
          </w:divBdr>
        </w:div>
        <w:div w:id="1501505069">
          <w:marLeft w:val="0"/>
          <w:marRight w:val="0"/>
          <w:marTop w:val="0"/>
          <w:marBottom w:val="0"/>
          <w:divBdr>
            <w:top w:val="none" w:sz="0" w:space="0" w:color="auto"/>
            <w:left w:val="none" w:sz="0" w:space="0" w:color="auto"/>
            <w:bottom w:val="none" w:sz="0" w:space="0" w:color="auto"/>
            <w:right w:val="none" w:sz="0" w:space="0" w:color="auto"/>
          </w:divBdr>
        </w:div>
      </w:divsChild>
    </w:div>
    <w:div w:id="653947457">
      <w:bodyDiv w:val="1"/>
      <w:marLeft w:val="0"/>
      <w:marRight w:val="0"/>
      <w:marTop w:val="0"/>
      <w:marBottom w:val="0"/>
      <w:divBdr>
        <w:top w:val="none" w:sz="0" w:space="0" w:color="auto"/>
        <w:left w:val="none" w:sz="0" w:space="0" w:color="auto"/>
        <w:bottom w:val="none" w:sz="0" w:space="0" w:color="auto"/>
        <w:right w:val="none" w:sz="0" w:space="0" w:color="auto"/>
      </w:divBdr>
      <w:divsChild>
        <w:div w:id="1455363265">
          <w:marLeft w:val="0"/>
          <w:marRight w:val="0"/>
          <w:marTop w:val="34"/>
          <w:marBottom w:val="34"/>
          <w:divBdr>
            <w:top w:val="none" w:sz="0" w:space="0" w:color="auto"/>
            <w:left w:val="none" w:sz="0" w:space="0" w:color="auto"/>
            <w:bottom w:val="none" w:sz="0" w:space="0" w:color="auto"/>
            <w:right w:val="none" w:sz="0" w:space="0" w:color="auto"/>
          </w:divBdr>
        </w:div>
        <w:div w:id="1174346004">
          <w:marLeft w:val="0"/>
          <w:marRight w:val="0"/>
          <w:marTop w:val="0"/>
          <w:marBottom w:val="0"/>
          <w:divBdr>
            <w:top w:val="none" w:sz="0" w:space="0" w:color="auto"/>
            <w:left w:val="none" w:sz="0" w:space="0" w:color="auto"/>
            <w:bottom w:val="none" w:sz="0" w:space="0" w:color="auto"/>
            <w:right w:val="none" w:sz="0" w:space="0" w:color="auto"/>
          </w:divBdr>
        </w:div>
      </w:divsChild>
    </w:div>
    <w:div w:id="659694989">
      <w:bodyDiv w:val="1"/>
      <w:marLeft w:val="0"/>
      <w:marRight w:val="0"/>
      <w:marTop w:val="0"/>
      <w:marBottom w:val="0"/>
      <w:divBdr>
        <w:top w:val="none" w:sz="0" w:space="0" w:color="auto"/>
        <w:left w:val="none" w:sz="0" w:space="0" w:color="auto"/>
        <w:bottom w:val="none" w:sz="0" w:space="0" w:color="auto"/>
        <w:right w:val="none" w:sz="0" w:space="0" w:color="auto"/>
      </w:divBdr>
      <w:divsChild>
        <w:div w:id="1691566594">
          <w:marLeft w:val="0"/>
          <w:marRight w:val="0"/>
          <w:marTop w:val="34"/>
          <w:marBottom w:val="34"/>
          <w:divBdr>
            <w:top w:val="none" w:sz="0" w:space="0" w:color="auto"/>
            <w:left w:val="none" w:sz="0" w:space="0" w:color="auto"/>
            <w:bottom w:val="none" w:sz="0" w:space="0" w:color="auto"/>
            <w:right w:val="none" w:sz="0" w:space="0" w:color="auto"/>
          </w:divBdr>
        </w:div>
        <w:div w:id="1475175549">
          <w:marLeft w:val="0"/>
          <w:marRight w:val="0"/>
          <w:marTop w:val="0"/>
          <w:marBottom w:val="0"/>
          <w:divBdr>
            <w:top w:val="none" w:sz="0" w:space="0" w:color="auto"/>
            <w:left w:val="none" w:sz="0" w:space="0" w:color="auto"/>
            <w:bottom w:val="none" w:sz="0" w:space="0" w:color="auto"/>
            <w:right w:val="none" w:sz="0" w:space="0" w:color="auto"/>
          </w:divBdr>
        </w:div>
      </w:divsChild>
    </w:div>
    <w:div w:id="669715193">
      <w:bodyDiv w:val="1"/>
      <w:marLeft w:val="0"/>
      <w:marRight w:val="0"/>
      <w:marTop w:val="0"/>
      <w:marBottom w:val="0"/>
      <w:divBdr>
        <w:top w:val="none" w:sz="0" w:space="0" w:color="auto"/>
        <w:left w:val="none" w:sz="0" w:space="0" w:color="auto"/>
        <w:bottom w:val="none" w:sz="0" w:space="0" w:color="auto"/>
        <w:right w:val="none" w:sz="0" w:space="0" w:color="auto"/>
      </w:divBdr>
      <w:divsChild>
        <w:div w:id="1403603528">
          <w:marLeft w:val="0"/>
          <w:marRight w:val="0"/>
          <w:marTop w:val="34"/>
          <w:marBottom w:val="34"/>
          <w:divBdr>
            <w:top w:val="none" w:sz="0" w:space="0" w:color="auto"/>
            <w:left w:val="none" w:sz="0" w:space="0" w:color="auto"/>
            <w:bottom w:val="none" w:sz="0" w:space="0" w:color="auto"/>
            <w:right w:val="none" w:sz="0" w:space="0" w:color="auto"/>
          </w:divBdr>
        </w:div>
        <w:div w:id="1119109963">
          <w:marLeft w:val="0"/>
          <w:marRight w:val="0"/>
          <w:marTop w:val="0"/>
          <w:marBottom w:val="0"/>
          <w:divBdr>
            <w:top w:val="none" w:sz="0" w:space="0" w:color="auto"/>
            <w:left w:val="none" w:sz="0" w:space="0" w:color="auto"/>
            <w:bottom w:val="none" w:sz="0" w:space="0" w:color="auto"/>
            <w:right w:val="none" w:sz="0" w:space="0" w:color="auto"/>
          </w:divBdr>
        </w:div>
      </w:divsChild>
    </w:div>
    <w:div w:id="688799760">
      <w:bodyDiv w:val="1"/>
      <w:marLeft w:val="0"/>
      <w:marRight w:val="0"/>
      <w:marTop w:val="0"/>
      <w:marBottom w:val="0"/>
      <w:divBdr>
        <w:top w:val="none" w:sz="0" w:space="0" w:color="auto"/>
        <w:left w:val="none" w:sz="0" w:space="0" w:color="auto"/>
        <w:bottom w:val="none" w:sz="0" w:space="0" w:color="auto"/>
        <w:right w:val="none" w:sz="0" w:space="0" w:color="auto"/>
      </w:divBdr>
      <w:divsChild>
        <w:div w:id="2121795920">
          <w:marLeft w:val="0"/>
          <w:marRight w:val="0"/>
          <w:marTop w:val="34"/>
          <w:marBottom w:val="34"/>
          <w:divBdr>
            <w:top w:val="none" w:sz="0" w:space="0" w:color="auto"/>
            <w:left w:val="none" w:sz="0" w:space="0" w:color="auto"/>
            <w:bottom w:val="none" w:sz="0" w:space="0" w:color="auto"/>
            <w:right w:val="none" w:sz="0" w:space="0" w:color="auto"/>
          </w:divBdr>
        </w:div>
        <w:div w:id="1272321867">
          <w:marLeft w:val="0"/>
          <w:marRight w:val="0"/>
          <w:marTop w:val="0"/>
          <w:marBottom w:val="0"/>
          <w:divBdr>
            <w:top w:val="none" w:sz="0" w:space="0" w:color="auto"/>
            <w:left w:val="none" w:sz="0" w:space="0" w:color="auto"/>
            <w:bottom w:val="none" w:sz="0" w:space="0" w:color="auto"/>
            <w:right w:val="none" w:sz="0" w:space="0" w:color="auto"/>
          </w:divBdr>
        </w:div>
      </w:divsChild>
    </w:div>
    <w:div w:id="698163796">
      <w:bodyDiv w:val="1"/>
      <w:marLeft w:val="0"/>
      <w:marRight w:val="0"/>
      <w:marTop w:val="0"/>
      <w:marBottom w:val="0"/>
      <w:divBdr>
        <w:top w:val="none" w:sz="0" w:space="0" w:color="auto"/>
        <w:left w:val="none" w:sz="0" w:space="0" w:color="auto"/>
        <w:bottom w:val="none" w:sz="0" w:space="0" w:color="auto"/>
        <w:right w:val="none" w:sz="0" w:space="0" w:color="auto"/>
      </w:divBdr>
      <w:divsChild>
        <w:div w:id="248277502">
          <w:marLeft w:val="0"/>
          <w:marRight w:val="0"/>
          <w:marTop w:val="34"/>
          <w:marBottom w:val="34"/>
          <w:divBdr>
            <w:top w:val="none" w:sz="0" w:space="0" w:color="auto"/>
            <w:left w:val="none" w:sz="0" w:space="0" w:color="auto"/>
            <w:bottom w:val="none" w:sz="0" w:space="0" w:color="auto"/>
            <w:right w:val="none" w:sz="0" w:space="0" w:color="auto"/>
          </w:divBdr>
        </w:div>
        <w:div w:id="1508331186">
          <w:marLeft w:val="0"/>
          <w:marRight w:val="0"/>
          <w:marTop w:val="0"/>
          <w:marBottom w:val="0"/>
          <w:divBdr>
            <w:top w:val="none" w:sz="0" w:space="0" w:color="auto"/>
            <w:left w:val="none" w:sz="0" w:space="0" w:color="auto"/>
            <w:bottom w:val="none" w:sz="0" w:space="0" w:color="auto"/>
            <w:right w:val="none" w:sz="0" w:space="0" w:color="auto"/>
          </w:divBdr>
        </w:div>
      </w:divsChild>
    </w:div>
    <w:div w:id="716389605">
      <w:bodyDiv w:val="1"/>
      <w:marLeft w:val="0"/>
      <w:marRight w:val="0"/>
      <w:marTop w:val="0"/>
      <w:marBottom w:val="0"/>
      <w:divBdr>
        <w:top w:val="none" w:sz="0" w:space="0" w:color="auto"/>
        <w:left w:val="none" w:sz="0" w:space="0" w:color="auto"/>
        <w:bottom w:val="none" w:sz="0" w:space="0" w:color="auto"/>
        <w:right w:val="none" w:sz="0" w:space="0" w:color="auto"/>
      </w:divBdr>
      <w:divsChild>
        <w:div w:id="65035521">
          <w:marLeft w:val="0"/>
          <w:marRight w:val="0"/>
          <w:marTop w:val="34"/>
          <w:marBottom w:val="34"/>
          <w:divBdr>
            <w:top w:val="none" w:sz="0" w:space="0" w:color="auto"/>
            <w:left w:val="none" w:sz="0" w:space="0" w:color="auto"/>
            <w:bottom w:val="none" w:sz="0" w:space="0" w:color="auto"/>
            <w:right w:val="none" w:sz="0" w:space="0" w:color="auto"/>
          </w:divBdr>
        </w:div>
        <w:div w:id="126045797">
          <w:marLeft w:val="0"/>
          <w:marRight w:val="0"/>
          <w:marTop w:val="0"/>
          <w:marBottom w:val="0"/>
          <w:divBdr>
            <w:top w:val="none" w:sz="0" w:space="0" w:color="auto"/>
            <w:left w:val="none" w:sz="0" w:space="0" w:color="auto"/>
            <w:bottom w:val="none" w:sz="0" w:space="0" w:color="auto"/>
            <w:right w:val="none" w:sz="0" w:space="0" w:color="auto"/>
          </w:divBdr>
        </w:div>
      </w:divsChild>
    </w:div>
    <w:div w:id="721633733">
      <w:bodyDiv w:val="1"/>
      <w:marLeft w:val="0"/>
      <w:marRight w:val="0"/>
      <w:marTop w:val="0"/>
      <w:marBottom w:val="0"/>
      <w:divBdr>
        <w:top w:val="none" w:sz="0" w:space="0" w:color="auto"/>
        <w:left w:val="none" w:sz="0" w:space="0" w:color="auto"/>
        <w:bottom w:val="none" w:sz="0" w:space="0" w:color="auto"/>
        <w:right w:val="none" w:sz="0" w:space="0" w:color="auto"/>
      </w:divBdr>
      <w:divsChild>
        <w:div w:id="2083217389">
          <w:marLeft w:val="0"/>
          <w:marRight w:val="0"/>
          <w:marTop w:val="34"/>
          <w:marBottom w:val="34"/>
          <w:divBdr>
            <w:top w:val="none" w:sz="0" w:space="0" w:color="auto"/>
            <w:left w:val="none" w:sz="0" w:space="0" w:color="auto"/>
            <w:bottom w:val="none" w:sz="0" w:space="0" w:color="auto"/>
            <w:right w:val="none" w:sz="0" w:space="0" w:color="auto"/>
          </w:divBdr>
        </w:div>
        <w:div w:id="618416124">
          <w:marLeft w:val="0"/>
          <w:marRight w:val="0"/>
          <w:marTop w:val="0"/>
          <w:marBottom w:val="0"/>
          <w:divBdr>
            <w:top w:val="none" w:sz="0" w:space="0" w:color="auto"/>
            <w:left w:val="none" w:sz="0" w:space="0" w:color="auto"/>
            <w:bottom w:val="none" w:sz="0" w:space="0" w:color="auto"/>
            <w:right w:val="none" w:sz="0" w:space="0" w:color="auto"/>
          </w:divBdr>
        </w:div>
      </w:divsChild>
    </w:div>
    <w:div w:id="725106758">
      <w:bodyDiv w:val="1"/>
      <w:marLeft w:val="0"/>
      <w:marRight w:val="0"/>
      <w:marTop w:val="0"/>
      <w:marBottom w:val="0"/>
      <w:divBdr>
        <w:top w:val="none" w:sz="0" w:space="0" w:color="auto"/>
        <w:left w:val="none" w:sz="0" w:space="0" w:color="auto"/>
        <w:bottom w:val="none" w:sz="0" w:space="0" w:color="auto"/>
        <w:right w:val="none" w:sz="0" w:space="0" w:color="auto"/>
      </w:divBdr>
      <w:divsChild>
        <w:div w:id="1336541974">
          <w:marLeft w:val="0"/>
          <w:marRight w:val="0"/>
          <w:marTop w:val="34"/>
          <w:marBottom w:val="34"/>
          <w:divBdr>
            <w:top w:val="none" w:sz="0" w:space="0" w:color="auto"/>
            <w:left w:val="none" w:sz="0" w:space="0" w:color="auto"/>
            <w:bottom w:val="none" w:sz="0" w:space="0" w:color="auto"/>
            <w:right w:val="none" w:sz="0" w:space="0" w:color="auto"/>
          </w:divBdr>
        </w:div>
        <w:div w:id="1611665447">
          <w:marLeft w:val="0"/>
          <w:marRight w:val="0"/>
          <w:marTop w:val="0"/>
          <w:marBottom w:val="0"/>
          <w:divBdr>
            <w:top w:val="none" w:sz="0" w:space="0" w:color="auto"/>
            <w:left w:val="none" w:sz="0" w:space="0" w:color="auto"/>
            <w:bottom w:val="none" w:sz="0" w:space="0" w:color="auto"/>
            <w:right w:val="none" w:sz="0" w:space="0" w:color="auto"/>
          </w:divBdr>
        </w:div>
      </w:divsChild>
    </w:div>
    <w:div w:id="739403497">
      <w:bodyDiv w:val="1"/>
      <w:marLeft w:val="0"/>
      <w:marRight w:val="0"/>
      <w:marTop w:val="0"/>
      <w:marBottom w:val="0"/>
      <w:divBdr>
        <w:top w:val="none" w:sz="0" w:space="0" w:color="auto"/>
        <w:left w:val="none" w:sz="0" w:space="0" w:color="auto"/>
        <w:bottom w:val="none" w:sz="0" w:space="0" w:color="auto"/>
        <w:right w:val="none" w:sz="0" w:space="0" w:color="auto"/>
      </w:divBdr>
      <w:divsChild>
        <w:div w:id="165631878">
          <w:marLeft w:val="0"/>
          <w:marRight w:val="0"/>
          <w:marTop w:val="34"/>
          <w:marBottom w:val="34"/>
          <w:divBdr>
            <w:top w:val="none" w:sz="0" w:space="0" w:color="auto"/>
            <w:left w:val="none" w:sz="0" w:space="0" w:color="auto"/>
            <w:bottom w:val="none" w:sz="0" w:space="0" w:color="auto"/>
            <w:right w:val="none" w:sz="0" w:space="0" w:color="auto"/>
          </w:divBdr>
        </w:div>
        <w:div w:id="1076778081">
          <w:marLeft w:val="0"/>
          <w:marRight w:val="0"/>
          <w:marTop w:val="0"/>
          <w:marBottom w:val="0"/>
          <w:divBdr>
            <w:top w:val="none" w:sz="0" w:space="0" w:color="auto"/>
            <w:left w:val="none" w:sz="0" w:space="0" w:color="auto"/>
            <w:bottom w:val="none" w:sz="0" w:space="0" w:color="auto"/>
            <w:right w:val="none" w:sz="0" w:space="0" w:color="auto"/>
          </w:divBdr>
        </w:div>
      </w:divsChild>
    </w:div>
    <w:div w:id="740178005">
      <w:bodyDiv w:val="1"/>
      <w:marLeft w:val="0"/>
      <w:marRight w:val="0"/>
      <w:marTop w:val="0"/>
      <w:marBottom w:val="0"/>
      <w:divBdr>
        <w:top w:val="none" w:sz="0" w:space="0" w:color="auto"/>
        <w:left w:val="none" w:sz="0" w:space="0" w:color="auto"/>
        <w:bottom w:val="none" w:sz="0" w:space="0" w:color="auto"/>
        <w:right w:val="none" w:sz="0" w:space="0" w:color="auto"/>
      </w:divBdr>
      <w:divsChild>
        <w:div w:id="1310524152">
          <w:marLeft w:val="0"/>
          <w:marRight w:val="0"/>
          <w:marTop w:val="34"/>
          <w:marBottom w:val="34"/>
          <w:divBdr>
            <w:top w:val="none" w:sz="0" w:space="0" w:color="auto"/>
            <w:left w:val="none" w:sz="0" w:space="0" w:color="auto"/>
            <w:bottom w:val="none" w:sz="0" w:space="0" w:color="auto"/>
            <w:right w:val="none" w:sz="0" w:space="0" w:color="auto"/>
          </w:divBdr>
        </w:div>
        <w:div w:id="1865828148">
          <w:marLeft w:val="0"/>
          <w:marRight w:val="0"/>
          <w:marTop w:val="0"/>
          <w:marBottom w:val="0"/>
          <w:divBdr>
            <w:top w:val="none" w:sz="0" w:space="0" w:color="auto"/>
            <w:left w:val="none" w:sz="0" w:space="0" w:color="auto"/>
            <w:bottom w:val="none" w:sz="0" w:space="0" w:color="auto"/>
            <w:right w:val="none" w:sz="0" w:space="0" w:color="auto"/>
          </w:divBdr>
        </w:div>
      </w:divsChild>
    </w:div>
    <w:div w:id="760302084">
      <w:bodyDiv w:val="1"/>
      <w:marLeft w:val="0"/>
      <w:marRight w:val="0"/>
      <w:marTop w:val="0"/>
      <w:marBottom w:val="0"/>
      <w:divBdr>
        <w:top w:val="none" w:sz="0" w:space="0" w:color="auto"/>
        <w:left w:val="none" w:sz="0" w:space="0" w:color="auto"/>
        <w:bottom w:val="none" w:sz="0" w:space="0" w:color="auto"/>
        <w:right w:val="none" w:sz="0" w:space="0" w:color="auto"/>
      </w:divBdr>
    </w:div>
    <w:div w:id="810749826">
      <w:bodyDiv w:val="1"/>
      <w:marLeft w:val="0"/>
      <w:marRight w:val="0"/>
      <w:marTop w:val="0"/>
      <w:marBottom w:val="0"/>
      <w:divBdr>
        <w:top w:val="none" w:sz="0" w:space="0" w:color="auto"/>
        <w:left w:val="none" w:sz="0" w:space="0" w:color="auto"/>
        <w:bottom w:val="none" w:sz="0" w:space="0" w:color="auto"/>
        <w:right w:val="none" w:sz="0" w:space="0" w:color="auto"/>
      </w:divBdr>
      <w:divsChild>
        <w:div w:id="1168668012">
          <w:marLeft w:val="0"/>
          <w:marRight w:val="0"/>
          <w:marTop w:val="34"/>
          <w:marBottom w:val="34"/>
          <w:divBdr>
            <w:top w:val="none" w:sz="0" w:space="0" w:color="auto"/>
            <w:left w:val="none" w:sz="0" w:space="0" w:color="auto"/>
            <w:bottom w:val="none" w:sz="0" w:space="0" w:color="auto"/>
            <w:right w:val="none" w:sz="0" w:space="0" w:color="auto"/>
          </w:divBdr>
        </w:div>
        <w:div w:id="1426538585">
          <w:marLeft w:val="0"/>
          <w:marRight w:val="0"/>
          <w:marTop w:val="0"/>
          <w:marBottom w:val="0"/>
          <w:divBdr>
            <w:top w:val="none" w:sz="0" w:space="0" w:color="auto"/>
            <w:left w:val="none" w:sz="0" w:space="0" w:color="auto"/>
            <w:bottom w:val="none" w:sz="0" w:space="0" w:color="auto"/>
            <w:right w:val="none" w:sz="0" w:space="0" w:color="auto"/>
          </w:divBdr>
        </w:div>
      </w:divsChild>
    </w:div>
    <w:div w:id="816186448">
      <w:bodyDiv w:val="1"/>
      <w:marLeft w:val="0"/>
      <w:marRight w:val="0"/>
      <w:marTop w:val="0"/>
      <w:marBottom w:val="0"/>
      <w:divBdr>
        <w:top w:val="none" w:sz="0" w:space="0" w:color="auto"/>
        <w:left w:val="none" w:sz="0" w:space="0" w:color="auto"/>
        <w:bottom w:val="none" w:sz="0" w:space="0" w:color="auto"/>
        <w:right w:val="none" w:sz="0" w:space="0" w:color="auto"/>
      </w:divBdr>
    </w:div>
    <w:div w:id="820777745">
      <w:bodyDiv w:val="1"/>
      <w:marLeft w:val="0"/>
      <w:marRight w:val="0"/>
      <w:marTop w:val="0"/>
      <w:marBottom w:val="0"/>
      <w:divBdr>
        <w:top w:val="none" w:sz="0" w:space="0" w:color="auto"/>
        <w:left w:val="none" w:sz="0" w:space="0" w:color="auto"/>
        <w:bottom w:val="none" w:sz="0" w:space="0" w:color="auto"/>
        <w:right w:val="none" w:sz="0" w:space="0" w:color="auto"/>
      </w:divBdr>
    </w:div>
    <w:div w:id="83672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2731">
          <w:marLeft w:val="0"/>
          <w:marRight w:val="0"/>
          <w:marTop w:val="34"/>
          <w:marBottom w:val="34"/>
          <w:divBdr>
            <w:top w:val="none" w:sz="0" w:space="0" w:color="auto"/>
            <w:left w:val="none" w:sz="0" w:space="0" w:color="auto"/>
            <w:bottom w:val="none" w:sz="0" w:space="0" w:color="auto"/>
            <w:right w:val="none" w:sz="0" w:space="0" w:color="auto"/>
          </w:divBdr>
        </w:div>
        <w:div w:id="1324817972">
          <w:marLeft w:val="0"/>
          <w:marRight w:val="0"/>
          <w:marTop w:val="0"/>
          <w:marBottom w:val="0"/>
          <w:divBdr>
            <w:top w:val="none" w:sz="0" w:space="0" w:color="auto"/>
            <w:left w:val="none" w:sz="0" w:space="0" w:color="auto"/>
            <w:bottom w:val="none" w:sz="0" w:space="0" w:color="auto"/>
            <w:right w:val="none" w:sz="0" w:space="0" w:color="auto"/>
          </w:divBdr>
        </w:div>
      </w:divsChild>
    </w:div>
    <w:div w:id="839463285">
      <w:bodyDiv w:val="1"/>
      <w:marLeft w:val="0"/>
      <w:marRight w:val="0"/>
      <w:marTop w:val="0"/>
      <w:marBottom w:val="0"/>
      <w:divBdr>
        <w:top w:val="none" w:sz="0" w:space="0" w:color="auto"/>
        <w:left w:val="none" w:sz="0" w:space="0" w:color="auto"/>
        <w:bottom w:val="none" w:sz="0" w:space="0" w:color="auto"/>
        <w:right w:val="none" w:sz="0" w:space="0" w:color="auto"/>
      </w:divBdr>
    </w:div>
    <w:div w:id="839781367">
      <w:bodyDiv w:val="1"/>
      <w:marLeft w:val="0"/>
      <w:marRight w:val="0"/>
      <w:marTop w:val="0"/>
      <w:marBottom w:val="0"/>
      <w:divBdr>
        <w:top w:val="none" w:sz="0" w:space="0" w:color="auto"/>
        <w:left w:val="none" w:sz="0" w:space="0" w:color="auto"/>
        <w:bottom w:val="none" w:sz="0" w:space="0" w:color="auto"/>
        <w:right w:val="none" w:sz="0" w:space="0" w:color="auto"/>
      </w:divBdr>
      <w:divsChild>
        <w:div w:id="511724390">
          <w:marLeft w:val="0"/>
          <w:marRight w:val="0"/>
          <w:marTop w:val="34"/>
          <w:marBottom w:val="34"/>
          <w:divBdr>
            <w:top w:val="none" w:sz="0" w:space="0" w:color="auto"/>
            <w:left w:val="none" w:sz="0" w:space="0" w:color="auto"/>
            <w:bottom w:val="none" w:sz="0" w:space="0" w:color="auto"/>
            <w:right w:val="none" w:sz="0" w:space="0" w:color="auto"/>
          </w:divBdr>
        </w:div>
      </w:divsChild>
    </w:div>
    <w:div w:id="864249012">
      <w:bodyDiv w:val="1"/>
      <w:marLeft w:val="0"/>
      <w:marRight w:val="0"/>
      <w:marTop w:val="0"/>
      <w:marBottom w:val="0"/>
      <w:divBdr>
        <w:top w:val="none" w:sz="0" w:space="0" w:color="auto"/>
        <w:left w:val="none" w:sz="0" w:space="0" w:color="auto"/>
        <w:bottom w:val="none" w:sz="0" w:space="0" w:color="auto"/>
        <w:right w:val="none" w:sz="0" w:space="0" w:color="auto"/>
      </w:divBdr>
      <w:divsChild>
        <w:div w:id="354615896">
          <w:marLeft w:val="0"/>
          <w:marRight w:val="0"/>
          <w:marTop w:val="34"/>
          <w:marBottom w:val="34"/>
          <w:divBdr>
            <w:top w:val="none" w:sz="0" w:space="0" w:color="auto"/>
            <w:left w:val="none" w:sz="0" w:space="0" w:color="auto"/>
            <w:bottom w:val="none" w:sz="0" w:space="0" w:color="auto"/>
            <w:right w:val="none" w:sz="0" w:space="0" w:color="auto"/>
          </w:divBdr>
        </w:div>
        <w:div w:id="2038505812">
          <w:marLeft w:val="0"/>
          <w:marRight w:val="0"/>
          <w:marTop w:val="0"/>
          <w:marBottom w:val="0"/>
          <w:divBdr>
            <w:top w:val="none" w:sz="0" w:space="0" w:color="auto"/>
            <w:left w:val="none" w:sz="0" w:space="0" w:color="auto"/>
            <w:bottom w:val="none" w:sz="0" w:space="0" w:color="auto"/>
            <w:right w:val="none" w:sz="0" w:space="0" w:color="auto"/>
          </w:divBdr>
        </w:div>
      </w:divsChild>
    </w:div>
    <w:div w:id="8776668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900">
          <w:marLeft w:val="0"/>
          <w:marRight w:val="0"/>
          <w:marTop w:val="34"/>
          <w:marBottom w:val="34"/>
          <w:divBdr>
            <w:top w:val="none" w:sz="0" w:space="0" w:color="auto"/>
            <w:left w:val="none" w:sz="0" w:space="0" w:color="auto"/>
            <w:bottom w:val="none" w:sz="0" w:space="0" w:color="auto"/>
            <w:right w:val="none" w:sz="0" w:space="0" w:color="auto"/>
          </w:divBdr>
        </w:div>
      </w:divsChild>
    </w:div>
    <w:div w:id="898175253">
      <w:bodyDiv w:val="1"/>
      <w:marLeft w:val="0"/>
      <w:marRight w:val="0"/>
      <w:marTop w:val="0"/>
      <w:marBottom w:val="0"/>
      <w:divBdr>
        <w:top w:val="none" w:sz="0" w:space="0" w:color="auto"/>
        <w:left w:val="none" w:sz="0" w:space="0" w:color="auto"/>
        <w:bottom w:val="none" w:sz="0" w:space="0" w:color="auto"/>
        <w:right w:val="none" w:sz="0" w:space="0" w:color="auto"/>
      </w:divBdr>
      <w:divsChild>
        <w:div w:id="1046218906">
          <w:marLeft w:val="0"/>
          <w:marRight w:val="0"/>
          <w:marTop w:val="34"/>
          <w:marBottom w:val="34"/>
          <w:divBdr>
            <w:top w:val="none" w:sz="0" w:space="0" w:color="auto"/>
            <w:left w:val="none" w:sz="0" w:space="0" w:color="auto"/>
            <w:bottom w:val="none" w:sz="0" w:space="0" w:color="auto"/>
            <w:right w:val="none" w:sz="0" w:space="0" w:color="auto"/>
          </w:divBdr>
        </w:div>
        <w:div w:id="174812986">
          <w:marLeft w:val="0"/>
          <w:marRight w:val="0"/>
          <w:marTop w:val="0"/>
          <w:marBottom w:val="0"/>
          <w:divBdr>
            <w:top w:val="none" w:sz="0" w:space="0" w:color="auto"/>
            <w:left w:val="none" w:sz="0" w:space="0" w:color="auto"/>
            <w:bottom w:val="none" w:sz="0" w:space="0" w:color="auto"/>
            <w:right w:val="none" w:sz="0" w:space="0" w:color="auto"/>
          </w:divBdr>
        </w:div>
      </w:divsChild>
    </w:div>
    <w:div w:id="916205153">
      <w:bodyDiv w:val="1"/>
      <w:marLeft w:val="0"/>
      <w:marRight w:val="0"/>
      <w:marTop w:val="0"/>
      <w:marBottom w:val="0"/>
      <w:divBdr>
        <w:top w:val="none" w:sz="0" w:space="0" w:color="auto"/>
        <w:left w:val="none" w:sz="0" w:space="0" w:color="auto"/>
        <w:bottom w:val="none" w:sz="0" w:space="0" w:color="auto"/>
        <w:right w:val="none" w:sz="0" w:space="0" w:color="auto"/>
      </w:divBdr>
      <w:divsChild>
        <w:div w:id="1292905784">
          <w:marLeft w:val="0"/>
          <w:marRight w:val="0"/>
          <w:marTop w:val="34"/>
          <w:marBottom w:val="34"/>
          <w:divBdr>
            <w:top w:val="none" w:sz="0" w:space="0" w:color="auto"/>
            <w:left w:val="none" w:sz="0" w:space="0" w:color="auto"/>
            <w:bottom w:val="none" w:sz="0" w:space="0" w:color="auto"/>
            <w:right w:val="none" w:sz="0" w:space="0" w:color="auto"/>
          </w:divBdr>
        </w:div>
        <w:div w:id="1273632447">
          <w:marLeft w:val="0"/>
          <w:marRight w:val="0"/>
          <w:marTop w:val="0"/>
          <w:marBottom w:val="0"/>
          <w:divBdr>
            <w:top w:val="none" w:sz="0" w:space="0" w:color="auto"/>
            <w:left w:val="none" w:sz="0" w:space="0" w:color="auto"/>
            <w:bottom w:val="none" w:sz="0" w:space="0" w:color="auto"/>
            <w:right w:val="none" w:sz="0" w:space="0" w:color="auto"/>
          </w:divBdr>
        </w:div>
      </w:divsChild>
    </w:div>
    <w:div w:id="917204449">
      <w:bodyDiv w:val="1"/>
      <w:marLeft w:val="0"/>
      <w:marRight w:val="0"/>
      <w:marTop w:val="0"/>
      <w:marBottom w:val="0"/>
      <w:divBdr>
        <w:top w:val="none" w:sz="0" w:space="0" w:color="auto"/>
        <w:left w:val="none" w:sz="0" w:space="0" w:color="auto"/>
        <w:bottom w:val="none" w:sz="0" w:space="0" w:color="auto"/>
        <w:right w:val="none" w:sz="0" w:space="0" w:color="auto"/>
      </w:divBdr>
      <w:divsChild>
        <w:div w:id="563025355">
          <w:marLeft w:val="0"/>
          <w:marRight w:val="0"/>
          <w:marTop w:val="34"/>
          <w:marBottom w:val="34"/>
          <w:divBdr>
            <w:top w:val="none" w:sz="0" w:space="0" w:color="auto"/>
            <w:left w:val="none" w:sz="0" w:space="0" w:color="auto"/>
            <w:bottom w:val="none" w:sz="0" w:space="0" w:color="auto"/>
            <w:right w:val="none" w:sz="0" w:space="0" w:color="auto"/>
          </w:divBdr>
        </w:div>
        <w:div w:id="134033503">
          <w:marLeft w:val="0"/>
          <w:marRight w:val="0"/>
          <w:marTop w:val="0"/>
          <w:marBottom w:val="0"/>
          <w:divBdr>
            <w:top w:val="none" w:sz="0" w:space="0" w:color="auto"/>
            <w:left w:val="none" w:sz="0" w:space="0" w:color="auto"/>
            <w:bottom w:val="none" w:sz="0" w:space="0" w:color="auto"/>
            <w:right w:val="none" w:sz="0" w:space="0" w:color="auto"/>
          </w:divBdr>
        </w:div>
      </w:divsChild>
    </w:div>
    <w:div w:id="953635923">
      <w:bodyDiv w:val="1"/>
      <w:marLeft w:val="0"/>
      <w:marRight w:val="0"/>
      <w:marTop w:val="0"/>
      <w:marBottom w:val="0"/>
      <w:divBdr>
        <w:top w:val="none" w:sz="0" w:space="0" w:color="auto"/>
        <w:left w:val="none" w:sz="0" w:space="0" w:color="auto"/>
        <w:bottom w:val="none" w:sz="0" w:space="0" w:color="auto"/>
        <w:right w:val="none" w:sz="0" w:space="0" w:color="auto"/>
      </w:divBdr>
      <w:divsChild>
        <w:div w:id="872618018">
          <w:marLeft w:val="0"/>
          <w:marRight w:val="0"/>
          <w:marTop w:val="34"/>
          <w:marBottom w:val="34"/>
          <w:divBdr>
            <w:top w:val="none" w:sz="0" w:space="0" w:color="auto"/>
            <w:left w:val="none" w:sz="0" w:space="0" w:color="auto"/>
            <w:bottom w:val="none" w:sz="0" w:space="0" w:color="auto"/>
            <w:right w:val="none" w:sz="0" w:space="0" w:color="auto"/>
          </w:divBdr>
        </w:div>
        <w:div w:id="1708943532">
          <w:marLeft w:val="0"/>
          <w:marRight w:val="0"/>
          <w:marTop w:val="0"/>
          <w:marBottom w:val="0"/>
          <w:divBdr>
            <w:top w:val="none" w:sz="0" w:space="0" w:color="auto"/>
            <w:left w:val="none" w:sz="0" w:space="0" w:color="auto"/>
            <w:bottom w:val="none" w:sz="0" w:space="0" w:color="auto"/>
            <w:right w:val="none" w:sz="0" w:space="0" w:color="auto"/>
          </w:divBdr>
        </w:div>
      </w:divsChild>
    </w:div>
    <w:div w:id="964506262">
      <w:bodyDiv w:val="1"/>
      <w:marLeft w:val="0"/>
      <w:marRight w:val="0"/>
      <w:marTop w:val="0"/>
      <w:marBottom w:val="0"/>
      <w:divBdr>
        <w:top w:val="none" w:sz="0" w:space="0" w:color="auto"/>
        <w:left w:val="none" w:sz="0" w:space="0" w:color="auto"/>
        <w:bottom w:val="none" w:sz="0" w:space="0" w:color="auto"/>
        <w:right w:val="none" w:sz="0" w:space="0" w:color="auto"/>
      </w:divBdr>
      <w:divsChild>
        <w:div w:id="1443110025">
          <w:marLeft w:val="0"/>
          <w:marRight w:val="0"/>
          <w:marTop w:val="34"/>
          <w:marBottom w:val="34"/>
          <w:divBdr>
            <w:top w:val="none" w:sz="0" w:space="0" w:color="auto"/>
            <w:left w:val="none" w:sz="0" w:space="0" w:color="auto"/>
            <w:bottom w:val="none" w:sz="0" w:space="0" w:color="auto"/>
            <w:right w:val="none" w:sz="0" w:space="0" w:color="auto"/>
          </w:divBdr>
        </w:div>
        <w:div w:id="1463771494">
          <w:marLeft w:val="0"/>
          <w:marRight w:val="0"/>
          <w:marTop w:val="0"/>
          <w:marBottom w:val="0"/>
          <w:divBdr>
            <w:top w:val="none" w:sz="0" w:space="0" w:color="auto"/>
            <w:left w:val="none" w:sz="0" w:space="0" w:color="auto"/>
            <w:bottom w:val="none" w:sz="0" w:space="0" w:color="auto"/>
            <w:right w:val="none" w:sz="0" w:space="0" w:color="auto"/>
          </w:divBdr>
        </w:div>
      </w:divsChild>
    </w:div>
    <w:div w:id="980382541">
      <w:bodyDiv w:val="1"/>
      <w:marLeft w:val="0"/>
      <w:marRight w:val="0"/>
      <w:marTop w:val="0"/>
      <w:marBottom w:val="0"/>
      <w:divBdr>
        <w:top w:val="none" w:sz="0" w:space="0" w:color="auto"/>
        <w:left w:val="none" w:sz="0" w:space="0" w:color="auto"/>
        <w:bottom w:val="none" w:sz="0" w:space="0" w:color="auto"/>
        <w:right w:val="none" w:sz="0" w:space="0" w:color="auto"/>
      </w:divBdr>
      <w:divsChild>
        <w:div w:id="1918902886">
          <w:marLeft w:val="0"/>
          <w:marRight w:val="0"/>
          <w:marTop w:val="34"/>
          <w:marBottom w:val="34"/>
          <w:divBdr>
            <w:top w:val="none" w:sz="0" w:space="0" w:color="auto"/>
            <w:left w:val="none" w:sz="0" w:space="0" w:color="auto"/>
            <w:bottom w:val="none" w:sz="0" w:space="0" w:color="auto"/>
            <w:right w:val="none" w:sz="0" w:space="0" w:color="auto"/>
          </w:divBdr>
        </w:div>
        <w:div w:id="1066607146">
          <w:marLeft w:val="0"/>
          <w:marRight w:val="0"/>
          <w:marTop w:val="0"/>
          <w:marBottom w:val="0"/>
          <w:divBdr>
            <w:top w:val="none" w:sz="0" w:space="0" w:color="auto"/>
            <w:left w:val="none" w:sz="0" w:space="0" w:color="auto"/>
            <w:bottom w:val="none" w:sz="0" w:space="0" w:color="auto"/>
            <w:right w:val="none" w:sz="0" w:space="0" w:color="auto"/>
          </w:divBdr>
        </w:div>
      </w:divsChild>
    </w:div>
    <w:div w:id="1015884112">
      <w:bodyDiv w:val="1"/>
      <w:marLeft w:val="0"/>
      <w:marRight w:val="0"/>
      <w:marTop w:val="0"/>
      <w:marBottom w:val="0"/>
      <w:divBdr>
        <w:top w:val="none" w:sz="0" w:space="0" w:color="auto"/>
        <w:left w:val="none" w:sz="0" w:space="0" w:color="auto"/>
        <w:bottom w:val="none" w:sz="0" w:space="0" w:color="auto"/>
        <w:right w:val="none" w:sz="0" w:space="0" w:color="auto"/>
      </w:divBdr>
      <w:divsChild>
        <w:div w:id="570579463">
          <w:marLeft w:val="0"/>
          <w:marRight w:val="0"/>
          <w:marTop w:val="34"/>
          <w:marBottom w:val="34"/>
          <w:divBdr>
            <w:top w:val="none" w:sz="0" w:space="0" w:color="auto"/>
            <w:left w:val="none" w:sz="0" w:space="0" w:color="auto"/>
            <w:bottom w:val="none" w:sz="0" w:space="0" w:color="auto"/>
            <w:right w:val="none" w:sz="0" w:space="0" w:color="auto"/>
          </w:divBdr>
        </w:div>
        <w:div w:id="1585721549">
          <w:marLeft w:val="0"/>
          <w:marRight w:val="0"/>
          <w:marTop w:val="0"/>
          <w:marBottom w:val="0"/>
          <w:divBdr>
            <w:top w:val="none" w:sz="0" w:space="0" w:color="auto"/>
            <w:left w:val="none" w:sz="0" w:space="0" w:color="auto"/>
            <w:bottom w:val="none" w:sz="0" w:space="0" w:color="auto"/>
            <w:right w:val="none" w:sz="0" w:space="0" w:color="auto"/>
          </w:divBdr>
        </w:div>
      </w:divsChild>
    </w:div>
    <w:div w:id="1125151622">
      <w:bodyDiv w:val="1"/>
      <w:marLeft w:val="0"/>
      <w:marRight w:val="0"/>
      <w:marTop w:val="0"/>
      <w:marBottom w:val="0"/>
      <w:divBdr>
        <w:top w:val="none" w:sz="0" w:space="0" w:color="auto"/>
        <w:left w:val="none" w:sz="0" w:space="0" w:color="auto"/>
        <w:bottom w:val="none" w:sz="0" w:space="0" w:color="auto"/>
        <w:right w:val="none" w:sz="0" w:space="0" w:color="auto"/>
      </w:divBdr>
      <w:divsChild>
        <w:div w:id="1978954338">
          <w:marLeft w:val="0"/>
          <w:marRight w:val="0"/>
          <w:marTop w:val="34"/>
          <w:marBottom w:val="34"/>
          <w:divBdr>
            <w:top w:val="none" w:sz="0" w:space="0" w:color="auto"/>
            <w:left w:val="none" w:sz="0" w:space="0" w:color="auto"/>
            <w:bottom w:val="none" w:sz="0" w:space="0" w:color="auto"/>
            <w:right w:val="none" w:sz="0" w:space="0" w:color="auto"/>
          </w:divBdr>
        </w:div>
        <w:div w:id="878588593">
          <w:marLeft w:val="0"/>
          <w:marRight w:val="0"/>
          <w:marTop w:val="0"/>
          <w:marBottom w:val="0"/>
          <w:divBdr>
            <w:top w:val="none" w:sz="0" w:space="0" w:color="auto"/>
            <w:left w:val="none" w:sz="0" w:space="0" w:color="auto"/>
            <w:bottom w:val="none" w:sz="0" w:space="0" w:color="auto"/>
            <w:right w:val="none" w:sz="0" w:space="0" w:color="auto"/>
          </w:divBdr>
        </w:div>
      </w:divsChild>
    </w:div>
    <w:div w:id="1127890342">
      <w:bodyDiv w:val="1"/>
      <w:marLeft w:val="0"/>
      <w:marRight w:val="0"/>
      <w:marTop w:val="0"/>
      <w:marBottom w:val="0"/>
      <w:divBdr>
        <w:top w:val="none" w:sz="0" w:space="0" w:color="auto"/>
        <w:left w:val="none" w:sz="0" w:space="0" w:color="auto"/>
        <w:bottom w:val="none" w:sz="0" w:space="0" w:color="auto"/>
        <w:right w:val="none" w:sz="0" w:space="0" w:color="auto"/>
      </w:divBdr>
      <w:divsChild>
        <w:div w:id="148133587">
          <w:marLeft w:val="0"/>
          <w:marRight w:val="0"/>
          <w:marTop w:val="34"/>
          <w:marBottom w:val="34"/>
          <w:divBdr>
            <w:top w:val="none" w:sz="0" w:space="0" w:color="auto"/>
            <w:left w:val="none" w:sz="0" w:space="0" w:color="auto"/>
            <w:bottom w:val="none" w:sz="0" w:space="0" w:color="auto"/>
            <w:right w:val="none" w:sz="0" w:space="0" w:color="auto"/>
          </w:divBdr>
        </w:div>
        <w:div w:id="181290204">
          <w:marLeft w:val="0"/>
          <w:marRight w:val="0"/>
          <w:marTop w:val="0"/>
          <w:marBottom w:val="0"/>
          <w:divBdr>
            <w:top w:val="none" w:sz="0" w:space="0" w:color="auto"/>
            <w:left w:val="none" w:sz="0" w:space="0" w:color="auto"/>
            <w:bottom w:val="none" w:sz="0" w:space="0" w:color="auto"/>
            <w:right w:val="none" w:sz="0" w:space="0" w:color="auto"/>
          </w:divBdr>
        </w:div>
      </w:divsChild>
    </w:div>
    <w:div w:id="1131944186">
      <w:bodyDiv w:val="1"/>
      <w:marLeft w:val="0"/>
      <w:marRight w:val="0"/>
      <w:marTop w:val="0"/>
      <w:marBottom w:val="0"/>
      <w:divBdr>
        <w:top w:val="none" w:sz="0" w:space="0" w:color="auto"/>
        <w:left w:val="none" w:sz="0" w:space="0" w:color="auto"/>
        <w:bottom w:val="none" w:sz="0" w:space="0" w:color="auto"/>
        <w:right w:val="none" w:sz="0" w:space="0" w:color="auto"/>
      </w:divBdr>
      <w:divsChild>
        <w:div w:id="1097092907">
          <w:marLeft w:val="0"/>
          <w:marRight w:val="0"/>
          <w:marTop w:val="34"/>
          <w:marBottom w:val="34"/>
          <w:divBdr>
            <w:top w:val="none" w:sz="0" w:space="0" w:color="auto"/>
            <w:left w:val="none" w:sz="0" w:space="0" w:color="auto"/>
            <w:bottom w:val="none" w:sz="0" w:space="0" w:color="auto"/>
            <w:right w:val="none" w:sz="0" w:space="0" w:color="auto"/>
          </w:divBdr>
        </w:div>
        <w:div w:id="1291128875">
          <w:marLeft w:val="0"/>
          <w:marRight w:val="0"/>
          <w:marTop w:val="0"/>
          <w:marBottom w:val="0"/>
          <w:divBdr>
            <w:top w:val="none" w:sz="0" w:space="0" w:color="auto"/>
            <w:left w:val="none" w:sz="0" w:space="0" w:color="auto"/>
            <w:bottom w:val="none" w:sz="0" w:space="0" w:color="auto"/>
            <w:right w:val="none" w:sz="0" w:space="0" w:color="auto"/>
          </w:divBdr>
        </w:div>
      </w:divsChild>
    </w:div>
    <w:div w:id="1141583593">
      <w:bodyDiv w:val="1"/>
      <w:marLeft w:val="0"/>
      <w:marRight w:val="0"/>
      <w:marTop w:val="0"/>
      <w:marBottom w:val="0"/>
      <w:divBdr>
        <w:top w:val="none" w:sz="0" w:space="0" w:color="auto"/>
        <w:left w:val="none" w:sz="0" w:space="0" w:color="auto"/>
        <w:bottom w:val="none" w:sz="0" w:space="0" w:color="auto"/>
        <w:right w:val="none" w:sz="0" w:space="0" w:color="auto"/>
      </w:divBdr>
      <w:divsChild>
        <w:div w:id="642589743">
          <w:marLeft w:val="0"/>
          <w:marRight w:val="0"/>
          <w:marTop w:val="34"/>
          <w:marBottom w:val="34"/>
          <w:divBdr>
            <w:top w:val="none" w:sz="0" w:space="0" w:color="auto"/>
            <w:left w:val="none" w:sz="0" w:space="0" w:color="auto"/>
            <w:bottom w:val="none" w:sz="0" w:space="0" w:color="auto"/>
            <w:right w:val="none" w:sz="0" w:space="0" w:color="auto"/>
          </w:divBdr>
        </w:div>
        <w:div w:id="708261126">
          <w:marLeft w:val="0"/>
          <w:marRight w:val="0"/>
          <w:marTop w:val="0"/>
          <w:marBottom w:val="0"/>
          <w:divBdr>
            <w:top w:val="none" w:sz="0" w:space="0" w:color="auto"/>
            <w:left w:val="none" w:sz="0" w:space="0" w:color="auto"/>
            <w:bottom w:val="none" w:sz="0" w:space="0" w:color="auto"/>
            <w:right w:val="none" w:sz="0" w:space="0" w:color="auto"/>
          </w:divBdr>
        </w:div>
      </w:divsChild>
    </w:div>
    <w:div w:id="11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675568893">
          <w:marLeft w:val="0"/>
          <w:marRight w:val="0"/>
          <w:marTop w:val="34"/>
          <w:marBottom w:val="34"/>
          <w:divBdr>
            <w:top w:val="none" w:sz="0" w:space="0" w:color="auto"/>
            <w:left w:val="none" w:sz="0" w:space="0" w:color="auto"/>
            <w:bottom w:val="none" w:sz="0" w:space="0" w:color="auto"/>
            <w:right w:val="none" w:sz="0" w:space="0" w:color="auto"/>
          </w:divBdr>
        </w:div>
        <w:div w:id="1497912795">
          <w:marLeft w:val="0"/>
          <w:marRight w:val="0"/>
          <w:marTop w:val="0"/>
          <w:marBottom w:val="0"/>
          <w:divBdr>
            <w:top w:val="none" w:sz="0" w:space="0" w:color="auto"/>
            <w:left w:val="none" w:sz="0" w:space="0" w:color="auto"/>
            <w:bottom w:val="none" w:sz="0" w:space="0" w:color="auto"/>
            <w:right w:val="none" w:sz="0" w:space="0" w:color="auto"/>
          </w:divBdr>
        </w:div>
      </w:divsChild>
    </w:div>
    <w:div w:id="1208109113">
      <w:bodyDiv w:val="1"/>
      <w:marLeft w:val="0"/>
      <w:marRight w:val="0"/>
      <w:marTop w:val="0"/>
      <w:marBottom w:val="0"/>
      <w:divBdr>
        <w:top w:val="none" w:sz="0" w:space="0" w:color="auto"/>
        <w:left w:val="none" w:sz="0" w:space="0" w:color="auto"/>
        <w:bottom w:val="none" w:sz="0" w:space="0" w:color="auto"/>
        <w:right w:val="none" w:sz="0" w:space="0" w:color="auto"/>
      </w:divBdr>
      <w:divsChild>
        <w:div w:id="1574000294">
          <w:marLeft w:val="0"/>
          <w:marRight w:val="0"/>
          <w:marTop w:val="34"/>
          <w:marBottom w:val="34"/>
          <w:divBdr>
            <w:top w:val="none" w:sz="0" w:space="0" w:color="auto"/>
            <w:left w:val="none" w:sz="0" w:space="0" w:color="auto"/>
            <w:bottom w:val="none" w:sz="0" w:space="0" w:color="auto"/>
            <w:right w:val="none" w:sz="0" w:space="0" w:color="auto"/>
          </w:divBdr>
        </w:div>
        <w:div w:id="1115635164">
          <w:marLeft w:val="0"/>
          <w:marRight w:val="0"/>
          <w:marTop w:val="0"/>
          <w:marBottom w:val="0"/>
          <w:divBdr>
            <w:top w:val="none" w:sz="0" w:space="0" w:color="auto"/>
            <w:left w:val="none" w:sz="0" w:space="0" w:color="auto"/>
            <w:bottom w:val="none" w:sz="0" w:space="0" w:color="auto"/>
            <w:right w:val="none" w:sz="0" w:space="0" w:color="auto"/>
          </w:divBdr>
        </w:div>
      </w:divsChild>
    </w:div>
    <w:div w:id="1212115786">
      <w:bodyDiv w:val="1"/>
      <w:marLeft w:val="0"/>
      <w:marRight w:val="0"/>
      <w:marTop w:val="0"/>
      <w:marBottom w:val="0"/>
      <w:divBdr>
        <w:top w:val="none" w:sz="0" w:space="0" w:color="auto"/>
        <w:left w:val="none" w:sz="0" w:space="0" w:color="auto"/>
        <w:bottom w:val="none" w:sz="0" w:space="0" w:color="auto"/>
        <w:right w:val="none" w:sz="0" w:space="0" w:color="auto"/>
      </w:divBdr>
      <w:divsChild>
        <w:div w:id="716316513">
          <w:marLeft w:val="0"/>
          <w:marRight w:val="0"/>
          <w:marTop w:val="34"/>
          <w:marBottom w:val="34"/>
          <w:divBdr>
            <w:top w:val="none" w:sz="0" w:space="0" w:color="auto"/>
            <w:left w:val="none" w:sz="0" w:space="0" w:color="auto"/>
            <w:bottom w:val="none" w:sz="0" w:space="0" w:color="auto"/>
            <w:right w:val="none" w:sz="0" w:space="0" w:color="auto"/>
          </w:divBdr>
        </w:div>
        <w:div w:id="1350833469">
          <w:marLeft w:val="0"/>
          <w:marRight w:val="0"/>
          <w:marTop w:val="0"/>
          <w:marBottom w:val="0"/>
          <w:divBdr>
            <w:top w:val="none" w:sz="0" w:space="0" w:color="auto"/>
            <w:left w:val="none" w:sz="0" w:space="0" w:color="auto"/>
            <w:bottom w:val="none" w:sz="0" w:space="0" w:color="auto"/>
            <w:right w:val="none" w:sz="0" w:space="0" w:color="auto"/>
          </w:divBdr>
        </w:div>
      </w:divsChild>
    </w:div>
    <w:div w:id="1221742891">
      <w:bodyDiv w:val="1"/>
      <w:marLeft w:val="0"/>
      <w:marRight w:val="0"/>
      <w:marTop w:val="0"/>
      <w:marBottom w:val="0"/>
      <w:divBdr>
        <w:top w:val="none" w:sz="0" w:space="0" w:color="auto"/>
        <w:left w:val="none" w:sz="0" w:space="0" w:color="auto"/>
        <w:bottom w:val="none" w:sz="0" w:space="0" w:color="auto"/>
        <w:right w:val="none" w:sz="0" w:space="0" w:color="auto"/>
      </w:divBdr>
    </w:div>
    <w:div w:id="1245067353">
      <w:bodyDiv w:val="1"/>
      <w:marLeft w:val="0"/>
      <w:marRight w:val="0"/>
      <w:marTop w:val="0"/>
      <w:marBottom w:val="0"/>
      <w:divBdr>
        <w:top w:val="none" w:sz="0" w:space="0" w:color="auto"/>
        <w:left w:val="none" w:sz="0" w:space="0" w:color="auto"/>
        <w:bottom w:val="none" w:sz="0" w:space="0" w:color="auto"/>
        <w:right w:val="none" w:sz="0" w:space="0" w:color="auto"/>
      </w:divBdr>
      <w:divsChild>
        <w:div w:id="1505705527">
          <w:marLeft w:val="0"/>
          <w:marRight w:val="0"/>
          <w:marTop w:val="34"/>
          <w:marBottom w:val="34"/>
          <w:divBdr>
            <w:top w:val="none" w:sz="0" w:space="0" w:color="auto"/>
            <w:left w:val="none" w:sz="0" w:space="0" w:color="auto"/>
            <w:bottom w:val="none" w:sz="0" w:space="0" w:color="auto"/>
            <w:right w:val="none" w:sz="0" w:space="0" w:color="auto"/>
          </w:divBdr>
        </w:div>
        <w:div w:id="1500930026">
          <w:marLeft w:val="0"/>
          <w:marRight w:val="0"/>
          <w:marTop w:val="0"/>
          <w:marBottom w:val="0"/>
          <w:divBdr>
            <w:top w:val="none" w:sz="0" w:space="0" w:color="auto"/>
            <w:left w:val="none" w:sz="0" w:space="0" w:color="auto"/>
            <w:bottom w:val="none" w:sz="0" w:space="0" w:color="auto"/>
            <w:right w:val="none" w:sz="0" w:space="0" w:color="auto"/>
          </w:divBdr>
        </w:div>
      </w:divsChild>
    </w:div>
    <w:div w:id="1262909536">
      <w:bodyDiv w:val="1"/>
      <w:marLeft w:val="0"/>
      <w:marRight w:val="0"/>
      <w:marTop w:val="0"/>
      <w:marBottom w:val="0"/>
      <w:divBdr>
        <w:top w:val="none" w:sz="0" w:space="0" w:color="auto"/>
        <w:left w:val="none" w:sz="0" w:space="0" w:color="auto"/>
        <w:bottom w:val="none" w:sz="0" w:space="0" w:color="auto"/>
        <w:right w:val="none" w:sz="0" w:space="0" w:color="auto"/>
      </w:divBdr>
      <w:divsChild>
        <w:div w:id="1910114167">
          <w:marLeft w:val="0"/>
          <w:marRight w:val="0"/>
          <w:marTop w:val="34"/>
          <w:marBottom w:val="34"/>
          <w:divBdr>
            <w:top w:val="none" w:sz="0" w:space="0" w:color="auto"/>
            <w:left w:val="none" w:sz="0" w:space="0" w:color="auto"/>
            <w:bottom w:val="none" w:sz="0" w:space="0" w:color="auto"/>
            <w:right w:val="none" w:sz="0" w:space="0" w:color="auto"/>
          </w:divBdr>
        </w:div>
        <w:div w:id="1926769642">
          <w:marLeft w:val="0"/>
          <w:marRight w:val="0"/>
          <w:marTop w:val="0"/>
          <w:marBottom w:val="0"/>
          <w:divBdr>
            <w:top w:val="none" w:sz="0" w:space="0" w:color="auto"/>
            <w:left w:val="none" w:sz="0" w:space="0" w:color="auto"/>
            <w:bottom w:val="none" w:sz="0" w:space="0" w:color="auto"/>
            <w:right w:val="none" w:sz="0" w:space="0" w:color="auto"/>
          </w:divBdr>
        </w:div>
      </w:divsChild>
    </w:div>
    <w:div w:id="1275214253">
      <w:bodyDiv w:val="1"/>
      <w:marLeft w:val="0"/>
      <w:marRight w:val="0"/>
      <w:marTop w:val="0"/>
      <w:marBottom w:val="0"/>
      <w:divBdr>
        <w:top w:val="none" w:sz="0" w:space="0" w:color="auto"/>
        <w:left w:val="none" w:sz="0" w:space="0" w:color="auto"/>
        <w:bottom w:val="none" w:sz="0" w:space="0" w:color="auto"/>
        <w:right w:val="none" w:sz="0" w:space="0" w:color="auto"/>
      </w:divBdr>
      <w:divsChild>
        <w:div w:id="1511019503">
          <w:marLeft w:val="0"/>
          <w:marRight w:val="0"/>
          <w:marTop w:val="34"/>
          <w:marBottom w:val="34"/>
          <w:divBdr>
            <w:top w:val="none" w:sz="0" w:space="0" w:color="auto"/>
            <w:left w:val="none" w:sz="0" w:space="0" w:color="auto"/>
            <w:bottom w:val="none" w:sz="0" w:space="0" w:color="auto"/>
            <w:right w:val="none" w:sz="0" w:space="0" w:color="auto"/>
          </w:divBdr>
        </w:div>
        <w:div w:id="477696130">
          <w:marLeft w:val="0"/>
          <w:marRight w:val="0"/>
          <w:marTop w:val="0"/>
          <w:marBottom w:val="0"/>
          <w:divBdr>
            <w:top w:val="none" w:sz="0" w:space="0" w:color="auto"/>
            <w:left w:val="none" w:sz="0" w:space="0" w:color="auto"/>
            <w:bottom w:val="none" w:sz="0" w:space="0" w:color="auto"/>
            <w:right w:val="none" w:sz="0" w:space="0" w:color="auto"/>
          </w:divBdr>
        </w:div>
      </w:divsChild>
    </w:div>
    <w:div w:id="1277982512">
      <w:bodyDiv w:val="1"/>
      <w:marLeft w:val="0"/>
      <w:marRight w:val="0"/>
      <w:marTop w:val="0"/>
      <w:marBottom w:val="0"/>
      <w:divBdr>
        <w:top w:val="none" w:sz="0" w:space="0" w:color="auto"/>
        <w:left w:val="none" w:sz="0" w:space="0" w:color="auto"/>
        <w:bottom w:val="none" w:sz="0" w:space="0" w:color="auto"/>
        <w:right w:val="none" w:sz="0" w:space="0" w:color="auto"/>
      </w:divBdr>
      <w:divsChild>
        <w:div w:id="79720261">
          <w:marLeft w:val="0"/>
          <w:marRight w:val="0"/>
          <w:marTop w:val="34"/>
          <w:marBottom w:val="34"/>
          <w:divBdr>
            <w:top w:val="none" w:sz="0" w:space="0" w:color="auto"/>
            <w:left w:val="none" w:sz="0" w:space="0" w:color="auto"/>
            <w:bottom w:val="none" w:sz="0" w:space="0" w:color="auto"/>
            <w:right w:val="none" w:sz="0" w:space="0" w:color="auto"/>
          </w:divBdr>
        </w:div>
        <w:div w:id="1607619188">
          <w:marLeft w:val="0"/>
          <w:marRight w:val="0"/>
          <w:marTop w:val="0"/>
          <w:marBottom w:val="0"/>
          <w:divBdr>
            <w:top w:val="none" w:sz="0" w:space="0" w:color="auto"/>
            <w:left w:val="none" w:sz="0" w:space="0" w:color="auto"/>
            <w:bottom w:val="none" w:sz="0" w:space="0" w:color="auto"/>
            <w:right w:val="none" w:sz="0" w:space="0" w:color="auto"/>
          </w:divBdr>
        </w:div>
      </w:divsChild>
    </w:div>
    <w:div w:id="1278950914">
      <w:bodyDiv w:val="1"/>
      <w:marLeft w:val="0"/>
      <w:marRight w:val="0"/>
      <w:marTop w:val="0"/>
      <w:marBottom w:val="0"/>
      <w:divBdr>
        <w:top w:val="none" w:sz="0" w:space="0" w:color="auto"/>
        <w:left w:val="none" w:sz="0" w:space="0" w:color="auto"/>
        <w:bottom w:val="none" w:sz="0" w:space="0" w:color="auto"/>
        <w:right w:val="none" w:sz="0" w:space="0" w:color="auto"/>
      </w:divBdr>
      <w:divsChild>
        <w:div w:id="1552422592">
          <w:marLeft w:val="0"/>
          <w:marRight w:val="0"/>
          <w:marTop w:val="34"/>
          <w:marBottom w:val="34"/>
          <w:divBdr>
            <w:top w:val="none" w:sz="0" w:space="0" w:color="auto"/>
            <w:left w:val="none" w:sz="0" w:space="0" w:color="auto"/>
            <w:bottom w:val="none" w:sz="0" w:space="0" w:color="auto"/>
            <w:right w:val="none" w:sz="0" w:space="0" w:color="auto"/>
          </w:divBdr>
        </w:div>
        <w:div w:id="1064837141">
          <w:marLeft w:val="0"/>
          <w:marRight w:val="0"/>
          <w:marTop w:val="0"/>
          <w:marBottom w:val="0"/>
          <w:divBdr>
            <w:top w:val="none" w:sz="0" w:space="0" w:color="auto"/>
            <w:left w:val="none" w:sz="0" w:space="0" w:color="auto"/>
            <w:bottom w:val="none" w:sz="0" w:space="0" w:color="auto"/>
            <w:right w:val="none" w:sz="0" w:space="0" w:color="auto"/>
          </w:divBdr>
        </w:div>
      </w:divsChild>
    </w:div>
    <w:div w:id="1281062774">
      <w:bodyDiv w:val="1"/>
      <w:marLeft w:val="0"/>
      <w:marRight w:val="0"/>
      <w:marTop w:val="0"/>
      <w:marBottom w:val="0"/>
      <w:divBdr>
        <w:top w:val="none" w:sz="0" w:space="0" w:color="auto"/>
        <w:left w:val="none" w:sz="0" w:space="0" w:color="auto"/>
        <w:bottom w:val="none" w:sz="0" w:space="0" w:color="auto"/>
        <w:right w:val="none" w:sz="0" w:space="0" w:color="auto"/>
      </w:divBdr>
      <w:divsChild>
        <w:div w:id="170875642">
          <w:marLeft w:val="0"/>
          <w:marRight w:val="0"/>
          <w:marTop w:val="34"/>
          <w:marBottom w:val="34"/>
          <w:divBdr>
            <w:top w:val="none" w:sz="0" w:space="0" w:color="auto"/>
            <w:left w:val="none" w:sz="0" w:space="0" w:color="auto"/>
            <w:bottom w:val="none" w:sz="0" w:space="0" w:color="auto"/>
            <w:right w:val="none" w:sz="0" w:space="0" w:color="auto"/>
          </w:divBdr>
        </w:div>
      </w:divsChild>
    </w:div>
    <w:div w:id="1283489783">
      <w:bodyDiv w:val="1"/>
      <w:marLeft w:val="0"/>
      <w:marRight w:val="0"/>
      <w:marTop w:val="0"/>
      <w:marBottom w:val="0"/>
      <w:divBdr>
        <w:top w:val="none" w:sz="0" w:space="0" w:color="auto"/>
        <w:left w:val="none" w:sz="0" w:space="0" w:color="auto"/>
        <w:bottom w:val="none" w:sz="0" w:space="0" w:color="auto"/>
        <w:right w:val="none" w:sz="0" w:space="0" w:color="auto"/>
      </w:divBdr>
      <w:divsChild>
        <w:div w:id="22633871">
          <w:marLeft w:val="0"/>
          <w:marRight w:val="0"/>
          <w:marTop w:val="120"/>
          <w:marBottom w:val="0"/>
          <w:divBdr>
            <w:top w:val="none" w:sz="0" w:space="0" w:color="auto"/>
            <w:left w:val="none" w:sz="0" w:space="0" w:color="auto"/>
            <w:bottom w:val="none" w:sz="0" w:space="0" w:color="auto"/>
            <w:right w:val="none" w:sz="0" w:space="0" w:color="auto"/>
          </w:divBdr>
        </w:div>
        <w:div w:id="1744982417">
          <w:marLeft w:val="0"/>
          <w:marRight w:val="0"/>
          <w:marTop w:val="120"/>
          <w:marBottom w:val="0"/>
          <w:divBdr>
            <w:top w:val="none" w:sz="0" w:space="0" w:color="auto"/>
            <w:left w:val="none" w:sz="0" w:space="0" w:color="auto"/>
            <w:bottom w:val="none" w:sz="0" w:space="0" w:color="auto"/>
            <w:right w:val="none" w:sz="0" w:space="0" w:color="auto"/>
          </w:divBdr>
        </w:div>
      </w:divsChild>
    </w:div>
    <w:div w:id="1293832085">
      <w:bodyDiv w:val="1"/>
      <w:marLeft w:val="0"/>
      <w:marRight w:val="0"/>
      <w:marTop w:val="0"/>
      <w:marBottom w:val="0"/>
      <w:divBdr>
        <w:top w:val="none" w:sz="0" w:space="0" w:color="auto"/>
        <w:left w:val="none" w:sz="0" w:space="0" w:color="auto"/>
        <w:bottom w:val="none" w:sz="0" w:space="0" w:color="auto"/>
        <w:right w:val="none" w:sz="0" w:space="0" w:color="auto"/>
      </w:divBdr>
      <w:divsChild>
        <w:div w:id="1166282154">
          <w:marLeft w:val="0"/>
          <w:marRight w:val="0"/>
          <w:marTop w:val="34"/>
          <w:marBottom w:val="34"/>
          <w:divBdr>
            <w:top w:val="none" w:sz="0" w:space="0" w:color="auto"/>
            <w:left w:val="none" w:sz="0" w:space="0" w:color="auto"/>
            <w:bottom w:val="none" w:sz="0" w:space="0" w:color="auto"/>
            <w:right w:val="none" w:sz="0" w:space="0" w:color="auto"/>
          </w:divBdr>
        </w:div>
      </w:divsChild>
    </w:div>
    <w:div w:id="1349865798">
      <w:bodyDiv w:val="1"/>
      <w:marLeft w:val="0"/>
      <w:marRight w:val="0"/>
      <w:marTop w:val="0"/>
      <w:marBottom w:val="0"/>
      <w:divBdr>
        <w:top w:val="none" w:sz="0" w:space="0" w:color="auto"/>
        <w:left w:val="none" w:sz="0" w:space="0" w:color="auto"/>
        <w:bottom w:val="none" w:sz="0" w:space="0" w:color="auto"/>
        <w:right w:val="none" w:sz="0" w:space="0" w:color="auto"/>
      </w:divBdr>
      <w:divsChild>
        <w:div w:id="2016227068">
          <w:marLeft w:val="0"/>
          <w:marRight w:val="0"/>
          <w:marTop w:val="34"/>
          <w:marBottom w:val="34"/>
          <w:divBdr>
            <w:top w:val="none" w:sz="0" w:space="0" w:color="auto"/>
            <w:left w:val="none" w:sz="0" w:space="0" w:color="auto"/>
            <w:bottom w:val="none" w:sz="0" w:space="0" w:color="auto"/>
            <w:right w:val="none" w:sz="0" w:space="0" w:color="auto"/>
          </w:divBdr>
        </w:div>
        <w:div w:id="202452136">
          <w:marLeft w:val="0"/>
          <w:marRight w:val="0"/>
          <w:marTop w:val="0"/>
          <w:marBottom w:val="0"/>
          <w:divBdr>
            <w:top w:val="none" w:sz="0" w:space="0" w:color="auto"/>
            <w:left w:val="none" w:sz="0" w:space="0" w:color="auto"/>
            <w:bottom w:val="none" w:sz="0" w:space="0" w:color="auto"/>
            <w:right w:val="none" w:sz="0" w:space="0" w:color="auto"/>
          </w:divBdr>
        </w:div>
      </w:divsChild>
    </w:div>
    <w:div w:id="1361125394">
      <w:bodyDiv w:val="1"/>
      <w:marLeft w:val="0"/>
      <w:marRight w:val="0"/>
      <w:marTop w:val="0"/>
      <w:marBottom w:val="0"/>
      <w:divBdr>
        <w:top w:val="none" w:sz="0" w:space="0" w:color="auto"/>
        <w:left w:val="none" w:sz="0" w:space="0" w:color="auto"/>
        <w:bottom w:val="none" w:sz="0" w:space="0" w:color="auto"/>
        <w:right w:val="none" w:sz="0" w:space="0" w:color="auto"/>
      </w:divBdr>
      <w:divsChild>
        <w:div w:id="2074111941">
          <w:marLeft w:val="0"/>
          <w:marRight w:val="0"/>
          <w:marTop w:val="34"/>
          <w:marBottom w:val="34"/>
          <w:divBdr>
            <w:top w:val="none" w:sz="0" w:space="0" w:color="auto"/>
            <w:left w:val="none" w:sz="0" w:space="0" w:color="auto"/>
            <w:bottom w:val="none" w:sz="0" w:space="0" w:color="auto"/>
            <w:right w:val="none" w:sz="0" w:space="0" w:color="auto"/>
          </w:divBdr>
        </w:div>
        <w:div w:id="1956784823">
          <w:marLeft w:val="0"/>
          <w:marRight w:val="0"/>
          <w:marTop w:val="0"/>
          <w:marBottom w:val="0"/>
          <w:divBdr>
            <w:top w:val="none" w:sz="0" w:space="0" w:color="auto"/>
            <w:left w:val="none" w:sz="0" w:space="0" w:color="auto"/>
            <w:bottom w:val="none" w:sz="0" w:space="0" w:color="auto"/>
            <w:right w:val="none" w:sz="0" w:space="0" w:color="auto"/>
          </w:divBdr>
        </w:div>
      </w:divsChild>
    </w:div>
    <w:div w:id="1365133436">
      <w:bodyDiv w:val="1"/>
      <w:marLeft w:val="0"/>
      <w:marRight w:val="0"/>
      <w:marTop w:val="0"/>
      <w:marBottom w:val="0"/>
      <w:divBdr>
        <w:top w:val="none" w:sz="0" w:space="0" w:color="auto"/>
        <w:left w:val="none" w:sz="0" w:space="0" w:color="auto"/>
        <w:bottom w:val="none" w:sz="0" w:space="0" w:color="auto"/>
        <w:right w:val="none" w:sz="0" w:space="0" w:color="auto"/>
      </w:divBdr>
      <w:divsChild>
        <w:div w:id="2078743722">
          <w:marLeft w:val="0"/>
          <w:marRight w:val="0"/>
          <w:marTop w:val="34"/>
          <w:marBottom w:val="34"/>
          <w:divBdr>
            <w:top w:val="none" w:sz="0" w:space="0" w:color="auto"/>
            <w:left w:val="none" w:sz="0" w:space="0" w:color="auto"/>
            <w:bottom w:val="none" w:sz="0" w:space="0" w:color="auto"/>
            <w:right w:val="none" w:sz="0" w:space="0" w:color="auto"/>
          </w:divBdr>
        </w:div>
        <w:div w:id="1230581021">
          <w:marLeft w:val="0"/>
          <w:marRight w:val="0"/>
          <w:marTop w:val="0"/>
          <w:marBottom w:val="0"/>
          <w:divBdr>
            <w:top w:val="none" w:sz="0" w:space="0" w:color="auto"/>
            <w:left w:val="none" w:sz="0" w:space="0" w:color="auto"/>
            <w:bottom w:val="none" w:sz="0" w:space="0" w:color="auto"/>
            <w:right w:val="none" w:sz="0" w:space="0" w:color="auto"/>
          </w:divBdr>
        </w:div>
      </w:divsChild>
    </w:div>
    <w:div w:id="1381516602">
      <w:bodyDiv w:val="1"/>
      <w:marLeft w:val="0"/>
      <w:marRight w:val="0"/>
      <w:marTop w:val="0"/>
      <w:marBottom w:val="0"/>
      <w:divBdr>
        <w:top w:val="none" w:sz="0" w:space="0" w:color="auto"/>
        <w:left w:val="none" w:sz="0" w:space="0" w:color="auto"/>
        <w:bottom w:val="none" w:sz="0" w:space="0" w:color="auto"/>
        <w:right w:val="none" w:sz="0" w:space="0" w:color="auto"/>
      </w:divBdr>
    </w:div>
    <w:div w:id="1404569605">
      <w:bodyDiv w:val="1"/>
      <w:marLeft w:val="0"/>
      <w:marRight w:val="0"/>
      <w:marTop w:val="0"/>
      <w:marBottom w:val="0"/>
      <w:divBdr>
        <w:top w:val="none" w:sz="0" w:space="0" w:color="auto"/>
        <w:left w:val="none" w:sz="0" w:space="0" w:color="auto"/>
        <w:bottom w:val="none" w:sz="0" w:space="0" w:color="auto"/>
        <w:right w:val="none" w:sz="0" w:space="0" w:color="auto"/>
      </w:divBdr>
      <w:divsChild>
        <w:div w:id="713039332">
          <w:marLeft w:val="0"/>
          <w:marRight w:val="0"/>
          <w:marTop w:val="34"/>
          <w:marBottom w:val="34"/>
          <w:divBdr>
            <w:top w:val="none" w:sz="0" w:space="0" w:color="auto"/>
            <w:left w:val="none" w:sz="0" w:space="0" w:color="auto"/>
            <w:bottom w:val="none" w:sz="0" w:space="0" w:color="auto"/>
            <w:right w:val="none" w:sz="0" w:space="0" w:color="auto"/>
          </w:divBdr>
        </w:div>
        <w:div w:id="1417481422">
          <w:marLeft w:val="0"/>
          <w:marRight w:val="0"/>
          <w:marTop w:val="0"/>
          <w:marBottom w:val="0"/>
          <w:divBdr>
            <w:top w:val="none" w:sz="0" w:space="0" w:color="auto"/>
            <w:left w:val="none" w:sz="0" w:space="0" w:color="auto"/>
            <w:bottom w:val="none" w:sz="0" w:space="0" w:color="auto"/>
            <w:right w:val="none" w:sz="0" w:space="0" w:color="auto"/>
          </w:divBdr>
        </w:div>
      </w:divsChild>
    </w:div>
    <w:div w:id="140942494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32">
          <w:marLeft w:val="0"/>
          <w:marRight w:val="0"/>
          <w:marTop w:val="34"/>
          <w:marBottom w:val="34"/>
          <w:divBdr>
            <w:top w:val="none" w:sz="0" w:space="0" w:color="auto"/>
            <w:left w:val="none" w:sz="0" w:space="0" w:color="auto"/>
            <w:bottom w:val="none" w:sz="0" w:space="0" w:color="auto"/>
            <w:right w:val="none" w:sz="0" w:space="0" w:color="auto"/>
          </w:divBdr>
        </w:div>
        <w:div w:id="240607671">
          <w:marLeft w:val="0"/>
          <w:marRight w:val="0"/>
          <w:marTop w:val="0"/>
          <w:marBottom w:val="0"/>
          <w:divBdr>
            <w:top w:val="none" w:sz="0" w:space="0" w:color="auto"/>
            <w:left w:val="none" w:sz="0" w:space="0" w:color="auto"/>
            <w:bottom w:val="none" w:sz="0" w:space="0" w:color="auto"/>
            <w:right w:val="none" w:sz="0" w:space="0" w:color="auto"/>
          </w:divBdr>
        </w:div>
      </w:divsChild>
    </w:div>
    <w:div w:id="1410423461">
      <w:bodyDiv w:val="1"/>
      <w:marLeft w:val="0"/>
      <w:marRight w:val="0"/>
      <w:marTop w:val="0"/>
      <w:marBottom w:val="0"/>
      <w:divBdr>
        <w:top w:val="none" w:sz="0" w:space="0" w:color="auto"/>
        <w:left w:val="none" w:sz="0" w:space="0" w:color="auto"/>
        <w:bottom w:val="none" w:sz="0" w:space="0" w:color="auto"/>
        <w:right w:val="none" w:sz="0" w:space="0" w:color="auto"/>
      </w:divBdr>
    </w:div>
    <w:div w:id="1411737222">
      <w:bodyDiv w:val="1"/>
      <w:marLeft w:val="0"/>
      <w:marRight w:val="0"/>
      <w:marTop w:val="0"/>
      <w:marBottom w:val="0"/>
      <w:divBdr>
        <w:top w:val="none" w:sz="0" w:space="0" w:color="auto"/>
        <w:left w:val="none" w:sz="0" w:space="0" w:color="auto"/>
        <w:bottom w:val="none" w:sz="0" w:space="0" w:color="auto"/>
        <w:right w:val="none" w:sz="0" w:space="0" w:color="auto"/>
      </w:divBdr>
      <w:divsChild>
        <w:div w:id="745613888">
          <w:marLeft w:val="0"/>
          <w:marRight w:val="0"/>
          <w:marTop w:val="34"/>
          <w:marBottom w:val="34"/>
          <w:divBdr>
            <w:top w:val="none" w:sz="0" w:space="0" w:color="auto"/>
            <w:left w:val="none" w:sz="0" w:space="0" w:color="auto"/>
            <w:bottom w:val="none" w:sz="0" w:space="0" w:color="auto"/>
            <w:right w:val="none" w:sz="0" w:space="0" w:color="auto"/>
          </w:divBdr>
        </w:div>
        <w:div w:id="1674380250">
          <w:marLeft w:val="0"/>
          <w:marRight w:val="0"/>
          <w:marTop w:val="0"/>
          <w:marBottom w:val="0"/>
          <w:divBdr>
            <w:top w:val="none" w:sz="0" w:space="0" w:color="auto"/>
            <w:left w:val="none" w:sz="0" w:space="0" w:color="auto"/>
            <w:bottom w:val="none" w:sz="0" w:space="0" w:color="auto"/>
            <w:right w:val="none" w:sz="0" w:space="0" w:color="auto"/>
          </w:divBdr>
        </w:div>
      </w:divsChild>
    </w:div>
    <w:div w:id="1423061452">
      <w:bodyDiv w:val="1"/>
      <w:marLeft w:val="0"/>
      <w:marRight w:val="0"/>
      <w:marTop w:val="0"/>
      <w:marBottom w:val="0"/>
      <w:divBdr>
        <w:top w:val="none" w:sz="0" w:space="0" w:color="auto"/>
        <w:left w:val="none" w:sz="0" w:space="0" w:color="auto"/>
        <w:bottom w:val="none" w:sz="0" w:space="0" w:color="auto"/>
        <w:right w:val="none" w:sz="0" w:space="0" w:color="auto"/>
      </w:divBdr>
      <w:divsChild>
        <w:div w:id="589971954">
          <w:marLeft w:val="0"/>
          <w:marRight w:val="0"/>
          <w:marTop w:val="34"/>
          <w:marBottom w:val="34"/>
          <w:divBdr>
            <w:top w:val="none" w:sz="0" w:space="0" w:color="auto"/>
            <w:left w:val="none" w:sz="0" w:space="0" w:color="auto"/>
            <w:bottom w:val="none" w:sz="0" w:space="0" w:color="auto"/>
            <w:right w:val="none" w:sz="0" w:space="0" w:color="auto"/>
          </w:divBdr>
        </w:div>
        <w:div w:id="2110808390">
          <w:marLeft w:val="0"/>
          <w:marRight w:val="0"/>
          <w:marTop w:val="0"/>
          <w:marBottom w:val="0"/>
          <w:divBdr>
            <w:top w:val="none" w:sz="0" w:space="0" w:color="auto"/>
            <w:left w:val="none" w:sz="0" w:space="0" w:color="auto"/>
            <w:bottom w:val="none" w:sz="0" w:space="0" w:color="auto"/>
            <w:right w:val="none" w:sz="0" w:space="0" w:color="auto"/>
          </w:divBdr>
        </w:div>
      </w:divsChild>
    </w:div>
    <w:div w:id="1453552044">
      <w:bodyDiv w:val="1"/>
      <w:marLeft w:val="0"/>
      <w:marRight w:val="0"/>
      <w:marTop w:val="0"/>
      <w:marBottom w:val="0"/>
      <w:divBdr>
        <w:top w:val="none" w:sz="0" w:space="0" w:color="auto"/>
        <w:left w:val="none" w:sz="0" w:space="0" w:color="auto"/>
        <w:bottom w:val="none" w:sz="0" w:space="0" w:color="auto"/>
        <w:right w:val="none" w:sz="0" w:space="0" w:color="auto"/>
      </w:divBdr>
      <w:divsChild>
        <w:div w:id="649090287">
          <w:marLeft w:val="0"/>
          <w:marRight w:val="0"/>
          <w:marTop w:val="34"/>
          <w:marBottom w:val="34"/>
          <w:divBdr>
            <w:top w:val="none" w:sz="0" w:space="0" w:color="auto"/>
            <w:left w:val="none" w:sz="0" w:space="0" w:color="auto"/>
            <w:bottom w:val="none" w:sz="0" w:space="0" w:color="auto"/>
            <w:right w:val="none" w:sz="0" w:space="0" w:color="auto"/>
          </w:divBdr>
        </w:div>
        <w:div w:id="16859116">
          <w:marLeft w:val="0"/>
          <w:marRight w:val="0"/>
          <w:marTop w:val="0"/>
          <w:marBottom w:val="0"/>
          <w:divBdr>
            <w:top w:val="none" w:sz="0" w:space="0" w:color="auto"/>
            <w:left w:val="none" w:sz="0" w:space="0" w:color="auto"/>
            <w:bottom w:val="none" w:sz="0" w:space="0" w:color="auto"/>
            <w:right w:val="none" w:sz="0" w:space="0" w:color="auto"/>
          </w:divBdr>
        </w:div>
      </w:divsChild>
    </w:div>
    <w:div w:id="1460340230">
      <w:bodyDiv w:val="1"/>
      <w:marLeft w:val="0"/>
      <w:marRight w:val="0"/>
      <w:marTop w:val="0"/>
      <w:marBottom w:val="0"/>
      <w:divBdr>
        <w:top w:val="none" w:sz="0" w:space="0" w:color="auto"/>
        <w:left w:val="none" w:sz="0" w:space="0" w:color="auto"/>
        <w:bottom w:val="none" w:sz="0" w:space="0" w:color="auto"/>
        <w:right w:val="none" w:sz="0" w:space="0" w:color="auto"/>
      </w:divBdr>
    </w:div>
    <w:div w:id="1483348035">
      <w:bodyDiv w:val="1"/>
      <w:marLeft w:val="0"/>
      <w:marRight w:val="0"/>
      <w:marTop w:val="0"/>
      <w:marBottom w:val="0"/>
      <w:divBdr>
        <w:top w:val="none" w:sz="0" w:space="0" w:color="auto"/>
        <w:left w:val="none" w:sz="0" w:space="0" w:color="auto"/>
        <w:bottom w:val="none" w:sz="0" w:space="0" w:color="auto"/>
        <w:right w:val="none" w:sz="0" w:space="0" w:color="auto"/>
      </w:divBdr>
    </w:div>
    <w:div w:id="1486893526">
      <w:bodyDiv w:val="1"/>
      <w:marLeft w:val="0"/>
      <w:marRight w:val="0"/>
      <w:marTop w:val="0"/>
      <w:marBottom w:val="0"/>
      <w:divBdr>
        <w:top w:val="none" w:sz="0" w:space="0" w:color="auto"/>
        <w:left w:val="none" w:sz="0" w:space="0" w:color="auto"/>
        <w:bottom w:val="none" w:sz="0" w:space="0" w:color="auto"/>
        <w:right w:val="none" w:sz="0" w:space="0" w:color="auto"/>
      </w:divBdr>
      <w:divsChild>
        <w:div w:id="676880373">
          <w:marLeft w:val="0"/>
          <w:marRight w:val="0"/>
          <w:marTop w:val="34"/>
          <w:marBottom w:val="34"/>
          <w:divBdr>
            <w:top w:val="none" w:sz="0" w:space="0" w:color="auto"/>
            <w:left w:val="none" w:sz="0" w:space="0" w:color="auto"/>
            <w:bottom w:val="none" w:sz="0" w:space="0" w:color="auto"/>
            <w:right w:val="none" w:sz="0" w:space="0" w:color="auto"/>
          </w:divBdr>
        </w:div>
      </w:divsChild>
    </w:div>
    <w:div w:id="1488207261">
      <w:bodyDiv w:val="1"/>
      <w:marLeft w:val="0"/>
      <w:marRight w:val="0"/>
      <w:marTop w:val="0"/>
      <w:marBottom w:val="0"/>
      <w:divBdr>
        <w:top w:val="none" w:sz="0" w:space="0" w:color="auto"/>
        <w:left w:val="none" w:sz="0" w:space="0" w:color="auto"/>
        <w:bottom w:val="none" w:sz="0" w:space="0" w:color="auto"/>
        <w:right w:val="none" w:sz="0" w:space="0" w:color="auto"/>
      </w:divBdr>
    </w:div>
    <w:div w:id="1509054128">
      <w:bodyDiv w:val="1"/>
      <w:marLeft w:val="0"/>
      <w:marRight w:val="0"/>
      <w:marTop w:val="0"/>
      <w:marBottom w:val="0"/>
      <w:divBdr>
        <w:top w:val="none" w:sz="0" w:space="0" w:color="auto"/>
        <w:left w:val="none" w:sz="0" w:space="0" w:color="auto"/>
        <w:bottom w:val="none" w:sz="0" w:space="0" w:color="auto"/>
        <w:right w:val="none" w:sz="0" w:space="0" w:color="auto"/>
      </w:divBdr>
      <w:divsChild>
        <w:div w:id="1531727498">
          <w:marLeft w:val="0"/>
          <w:marRight w:val="0"/>
          <w:marTop w:val="34"/>
          <w:marBottom w:val="34"/>
          <w:divBdr>
            <w:top w:val="none" w:sz="0" w:space="0" w:color="auto"/>
            <w:left w:val="none" w:sz="0" w:space="0" w:color="auto"/>
            <w:bottom w:val="none" w:sz="0" w:space="0" w:color="auto"/>
            <w:right w:val="none" w:sz="0" w:space="0" w:color="auto"/>
          </w:divBdr>
        </w:div>
        <w:div w:id="363869016">
          <w:marLeft w:val="0"/>
          <w:marRight w:val="0"/>
          <w:marTop w:val="0"/>
          <w:marBottom w:val="0"/>
          <w:divBdr>
            <w:top w:val="none" w:sz="0" w:space="0" w:color="auto"/>
            <w:left w:val="none" w:sz="0" w:space="0" w:color="auto"/>
            <w:bottom w:val="none" w:sz="0" w:space="0" w:color="auto"/>
            <w:right w:val="none" w:sz="0" w:space="0" w:color="auto"/>
          </w:divBdr>
        </w:div>
      </w:divsChild>
    </w:div>
    <w:div w:id="1509907143">
      <w:bodyDiv w:val="1"/>
      <w:marLeft w:val="0"/>
      <w:marRight w:val="0"/>
      <w:marTop w:val="0"/>
      <w:marBottom w:val="0"/>
      <w:divBdr>
        <w:top w:val="none" w:sz="0" w:space="0" w:color="auto"/>
        <w:left w:val="none" w:sz="0" w:space="0" w:color="auto"/>
        <w:bottom w:val="none" w:sz="0" w:space="0" w:color="auto"/>
        <w:right w:val="none" w:sz="0" w:space="0" w:color="auto"/>
      </w:divBdr>
    </w:div>
    <w:div w:id="1524439380">
      <w:bodyDiv w:val="1"/>
      <w:marLeft w:val="0"/>
      <w:marRight w:val="0"/>
      <w:marTop w:val="0"/>
      <w:marBottom w:val="0"/>
      <w:divBdr>
        <w:top w:val="none" w:sz="0" w:space="0" w:color="auto"/>
        <w:left w:val="none" w:sz="0" w:space="0" w:color="auto"/>
        <w:bottom w:val="none" w:sz="0" w:space="0" w:color="auto"/>
        <w:right w:val="none" w:sz="0" w:space="0" w:color="auto"/>
      </w:divBdr>
      <w:divsChild>
        <w:div w:id="976765475">
          <w:marLeft w:val="0"/>
          <w:marRight w:val="0"/>
          <w:marTop w:val="34"/>
          <w:marBottom w:val="34"/>
          <w:divBdr>
            <w:top w:val="none" w:sz="0" w:space="0" w:color="auto"/>
            <w:left w:val="none" w:sz="0" w:space="0" w:color="auto"/>
            <w:bottom w:val="none" w:sz="0" w:space="0" w:color="auto"/>
            <w:right w:val="none" w:sz="0" w:space="0" w:color="auto"/>
          </w:divBdr>
        </w:div>
      </w:divsChild>
    </w:div>
    <w:div w:id="1538662982">
      <w:bodyDiv w:val="1"/>
      <w:marLeft w:val="0"/>
      <w:marRight w:val="0"/>
      <w:marTop w:val="0"/>
      <w:marBottom w:val="0"/>
      <w:divBdr>
        <w:top w:val="none" w:sz="0" w:space="0" w:color="auto"/>
        <w:left w:val="none" w:sz="0" w:space="0" w:color="auto"/>
        <w:bottom w:val="none" w:sz="0" w:space="0" w:color="auto"/>
        <w:right w:val="none" w:sz="0" w:space="0" w:color="auto"/>
      </w:divBdr>
      <w:divsChild>
        <w:div w:id="749276687">
          <w:marLeft w:val="0"/>
          <w:marRight w:val="0"/>
          <w:marTop w:val="34"/>
          <w:marBottom w:val="34"/>
          <w:divBdr>
            <w:top w:val="none" w:sz="0" w:space="0" w:color="auto"/>
            <w:left w:val="none" w:sz="0" w:space="0" w:color="auto"/>
            <w:bottom w:val="none" w:sz="0" w:space="0" w:color="auto"/>
            <w:right w:val="none" w:sz="0" w:space="0" w:color="auto"/>
          </w:divBdr>
        </w:div>
        <w:div w:id="1517233981">
          <w:marLeft w:val="0"/>
          <w:marRight w:val="0"/>
          <w:marTop w:val="0"/>
          <w:marBottom w:val="0"/>
          <w:divBdr>
            <w:top w:val="none" w:sz="0" w:space="0" w:color="auto"/>
            <w:left w:val="none" w:sz="0" w:space="0" w:color="auto"/>
            <w:bottom w:val="none" w:sz="0" w:space="0" w:color="auto"/>
            <w:right w:val="none" w:sz="0" w:space="0" w:color="auto"/>
          </w:divBdr>
        </w:div>
      </w:divsChild>
    </w:div>
    <w:div w:id="1549491122">
      <w:bodyDiv w:val="1"/>
      <w:marLeft w:val="0"/>
      <w:marRight w:val="0"/>
      <w:marTop w:val="0"/>
      <w:marBottom w:val="0"/>
      <w:divBdr>
        <w:top w:val="none" w:sz="0" w:space="0" w:color="auto"/>
        <w:left w:val="none" w:sz="0" w:space="0" w:color="auto"/>
        <w:bottom w:val="none" w:sz="0" w:space="0" w:color="auto"/>
        <w:right w:val="none" w:sz="0" w:space="0" w:color="auto"/>
      </w:divBdr>
      <w:divsChild>
        <w:div w:id="975372787">
          <w:marLeft w:val="0"/>
          <w:marRight w:val="0"/>
          <w:marTop w:val="120"/>
          <w:marBottom w:val="0"/>
          <w:divBdr>
            <w:top w:val="none" w:sz="0" w:space="0" w:color="auto"/>
            <w:left w:val="none" w:sz="0" w:space="0" w:color="auto"/>
            <w:bottom w:val="none" w:sz="0" w:space="0" w:color="auto"/>
            <w:right w:val="none" w:sz="0" w:space="0" w:color="auto"/>
          </w:divBdr>
        </w:div>
        <w:div w:id="1527597163">
          <w:marLeft w:val="0"/>
          <w:marRight w:val="0"/>
          <w:marTop w:val="120"/>
          <w:marBottom w:val="0"/>
          <w:divBdr>
            <w:top w:val="none" w:sz="0" w:space="0" w:color="auto"/>
            <w:left w:val="none" w:sz="0" w:space="0" w:color="auto"/>
            <w:bottom w:val="none" w:sz="0" w:space="0" w:color="auto"/>
            <w:right w:val="none" w:sz="0" w:space="0" w:color="auto"/>
          </w:divBdr>
        </w:div>
      </w:divsChild>
    </w:div>
    <w:div w:id="1605503605">
      <w:bodyDiv w:val="1"/>
      <w:marLeft w:val="0"/>
      <w:marRight w:val="0"/>
      <w:marTop w:val="0"/>
      <w:marBottom w:val="0"/>
      <w:divBdr>
        <w:top w:val="none" w:sz="0" w:space="0" w:color="auto"/>
        <w:left w:val="none" w:sz="0" w:space="0" w:color="auto"/>
        <w:bottom w:val="none" w:sz="0" w:space="0" w:color="auto"/>
        <w:right w:val="none" w:sz="0" w:space="0" w:color="auto"/>
      </w:divBdr>
      <w:divsChild>
        <w:div w:id="2114550792">
          <w:marLeft w:val="0"/>
          <w:marRight w:val="0"/>
          <w:marTop w:val="34"/>
          <w:marBottom w:val="34"/>
          <w:divBdr>
            <w:top w:val="none" w:sz="0" w:space="0" w:color="auto"/>
            <w:left w:val="none" w:sz="0" w:space="0" w:color="auto"/>
            <w:bottom w:val="none" w:sz="0" w:space="0" w:color="auto"/>
            <w:right w:val="none" w:sz="0" w:space="0" w:color="auto"/>
          </w:divBdr>
        </w:div>
      </w:divsChild>
    </w:div>
    <w:div w:id="1614632982">
      <w:bodyDiv w:val="1"/>
      <w:marLeft w:val="0"/>
      <w:marRight w:val="0"/>
      <w:marTop w:val="0"/>
      <w:marBottom w:val="0"/>
      <w:divBdr>
        <w:top w:val="none" w:sz="0" w:space="0" w:color="auto"/>
        <w:left w:val="none" w:sz="0" w:space="0" w:color="auto"/>
        <w:bottom w:val="none" w:sz="0" w:space="0" w:color="auto"/>
        <w:right w:val="none" w:sz="0" w:space="0" w:color="auto"/>
      </w:divBdr>
      <w:divsChild>
        <w:div w:id="515776677">
          <w:marLeft w:val="0"/>
          <w:marRight w:val="0"/>
          <w:marTop w:val="34"/>
          <w:marBottom w:val="34"/>
          <w:divBdr>
            <w:top w:val="none" w:sz="0" w:space="0" w:color="auto"/>
            <w:left w:val="none" w:sz="0" w:space="0" w:color="auto"/>
            <w:bottom w:val="none" w:sz="0" w:space="0" w:color="auto"/>
            <w:right w:val="none" w:sz="0" w:space="0" w:color="auto"/>
          </w:divBdr>
        </w:div>
        <w:div w:id="1771855848">
          <w:marLeft w:val="0"/>
          <w:marRight w:val="0"/>
          <w:marTop w:val="0"/>
          <w:marBottom w:val="0"/>
          <w:divBdr>
            <w:top w:val="none" w:sz="0" w:space="0" w:color="auto"/>
            <w:left w:val="none" w:sz="0" w:space="0" w:color="auto"/>
            <w:bottom w:val="none" w:sz="0" w:space="0" w:color="auto"/>
            <w:right w:val="none" w:sz="0" w:space="0" w:color="auto"/>
          </w:divBdr>
        </w:div>
      </w:divsChild>
    </w:div>
    <w:div w:id="1622297508">
      <w:bodyDiv w:val="1"/>
      <w:marLeft w:val="0"/>
      <w:marRight w:val="0"/>
      <w:marTop w:val="0"/>
      <w:marBottom w:val="0"/>
      <w:divBdr>
        <w:top w:val="none" w:sz="0" w:space="0" w:color="auto"/>
        <w:left w:val="none" w:sz="0" w:space="0" w:color="auto"/>
        <w:bottom w:val="none" w:sz="0" w:space="0" w:color="auto"/>
        <w:right w:val="none" w:sz="0" w:space="0" w:color="auto"/>
      </w:divBdr>
    </w:div>
    <w:div w:id="1647776028">
      <w:bodyDiv w:val="1"/>
      <w:marLeft w:val="0"/>
      <w:marRight w:val="0"/>
      <w:marTop w:val="0"/>
      <w:marBottom w:val="0"/>
      <w:divBdr>
        <w:top w:val="none" w:sz="0" w:space="0" w:color="auto"/>
        <w:left w:val="none" w:sz="0" w:space="0" w:color="auto"/>
        <w:bottom w:val="none" w:sz="0" w:space="0" w:color="auto"/>
        <w:right w:val="none" w:sz="0" w:space="0" w:color="auto"/>
      </w:divBdr>
      <w:divsChild>
        <w:div w:id="608583346">
          <w:marLeft w:val="0"/>
          <w:marRight w:val="0"/>
          <w:marTop w:val="34"/>
          <w:marBottom w:val="34"/>
          <w:divBdr>
            <w:top w:val="none" w:sz="0" w:space="0" w:color="auto"/>
            <w:left w:val="none" w:sz="0" w:space="0" w:color="auto"/>
            <w:bottom w:val="none" w:sz="0" w:space="0" w:color="auto"/>
            <w:right w:val="none" w:sz="0" w:space="0" w:color="auto"/>
          </w:divBdr>
        </w:div>
        <w:div w:id="1617449539">
          <w:marLeft w:val="0"/>
          <w:marRight w:val="0"/>
          <w:marTop w:val="0"/>
          <w:marBottom w:val="0"/>
          <w:divBdr>
            <w:top w:val="none" w:sz="0" w:space="0" w:color="auto"/>
            <w:left w:val="none" w:sz="0" w:space="0" w:color="auto"/>
            <w:bottom w:val="none" w:sz="0" w:space="0" w:color="auto"/>
            <w:right w:val="none" w:sz="0" w:space="0" w:color="auto"/>
          </w:divBdr>
        </w:div>
      </w:divsChild>
    </w:div>
    <w:div w:id="1662585691">
      <w:bodyDiv w:val="1"/>
      <w:marLeft w:val="0"/>
      <w:marRight w:val="0"/>
      <w:marTop w:val="0"/>
      <w:marBottom w:val="0"/>
      <w:divBdr>
        <w:top w:val="none" w:sz="0" w:space="0" w:color="auto"/>
        <w:left w:val="none" w:sz="0" w:space="0" w:color="auto"/>
        <w:bottom w:val="none" w:sz="0" w:space="0" w:color="auto"/>
        <w:right w:val="none" w:sz="0" w:space="0" w:color="auto"/>
      </w:divBdr>
    </w:div>
    <w:div w:id="1666129351">
      <w:bodyDiv w:val="1"/>
      <w:marLeft w:val="0"/>
      <w:marRight w:val="0"/>
      <w:marTop w:val="0"/>
      <w:marBottom w:val="0"/>
      <w:divBdr>
        <w:top w:val="none" w:sz="0" w:space="0" w:color="auto"/>
        <w:left w:val="none" w:sz="0" w:space="0" w:color="auto"/>
        <w:bottom w:val="none" w:sz="0" w:space="0" w:color="auto"/>
        <w:right w:val="none" w:sz="0" w:space="0" w:color="auto"/>
      </w:divBdr>
    </w:div>
    <w:div w:id="1703170383">
      <w:bodyDiv w:val="1"/>
      <w:marLeft w:val="0"/>
      <w:marRight w:val="0"/>
      <w:marTop w:val="0"/>
      <w:marBottom w:val="0"/>
      <w:divBdr>
        <w:top w:val="none" w:sz="0" w:space="0" w:color="auto"/>
        <w:left w:val="none" w:sz="0" w:space="0" w:color="auto"/>
        <w:bottom w:val="none" w:sz="0" w:space="0" w:color="auto"/>
        <w:right w:val="none" w:sz="0" w:space="0" w:color="auto"/>
      </w:divBdr>
      <w:divsChild>
        <w:div w:id="1542133470">
          <w:marLeft w:val="0"/>
          <w:marRight w:val="0"/>
          <w:marTop w:val="34"/>
          <w:marBottom w:val="34"/>
          <w:divBdr>
            <w:top w:val="none" w:sz="0" w:space="0" w:color="auto"/>
            <w:left w:val="none" w:sz="0" w:space="0" w:color="auto"/>
            <w:bottom w:val="none" w:sz="0" w:space="0" w:color="auto"/>
            <w:right w:val="none" w:sz="0" w:space="0" w:color="auto"/>
          </w:divBdr>
        </w:div>
        <w:div w:id="1442841813">
          <w:marLeft w:val="0"/>
          <w:marRight w:val="0"/>
          <w:marTop w:val="0"/>
          <w:marBottom w:val="0"/>
          <w:divBdr>
            <w:top w:val="none" w:sz="0" w:space="0" w:color="auto"/>
            <w:left w:val="none" w:sz="0" w:space="0" w:color="auto"/>
            <w:bottom w:val="none" w:sz="0" w:space="0" w:color="auto"/>
            <w:right w:val="none" w:sz="0" w:space="0" w:color="auto"/>
          </w:divBdr>
        </w:div>
      </w:divsChild>
    </w:div>
    <w:div w:id="1772775897">
      <w:bodyDiv w:val="1"/>
      <w:marLeft w:val="0"/>
      <w:marRight w:val="0"/>
      <w:marTop w:val="0"/>
      <w:marBottom w:val="0"/>
      <w:divBdr>
        <w:top w:val="none" w:sz="0" w:space="0" w:color="auto"/>
        <w:left w:val="none" w:sz="0" w:space="0" w:color="auto"/>
        <w:bottom w:val="none" w:sz="0" w:space="0" w:color="auto"/>
        <w:right w:val="none" w:sz="0" w:space="0" w:color="auto"/>
      </w:divBdr>
      <w:divsChild>
        <w:div w:id="2017343429">
          <w:marLeft w:val="0"/>
          <w:marRight w:val="0"/>
          <w:marTop w:val="34"/>
          <w:marBottom w:val="34"/>
          <w:divBdr>
            <w:top w:val="none" w:sz="0" w:space="0" w:color="auto"/>
            <w:left w:val="none" w:sz="0" w:space="0" w:color="auto"/>
            <w:bottom w:val="none" w:sz="0" w:space="0" w:color="auto"/>
            <w:right w:val="none" w:sz="0" w:space="0" w:color="auto"/>
          </w:divBdr>
        </w:div>
        <w:div w:id="351953089">
          <w:marLeft w:val="0"/>
          <w:marRight w:val="0"/>
          <w:marTop w:val="0"/>
          <w:marBottom w:val="0"/>
          <w:divBdr>
            <w:top w:val="none" w:sz="0" w:space="0" w:color="auto"/>
            <w:left w:val="none" w:sz="0" w:space="0" w:color="auto"/>
            <w:bottom w:val="none" w:sz="0" w:space="0" w:color="auto"/>
            <w:right w:val="none" w:sz="0" w:space="0" w:color="auto"/>
          </w:divBdr>
        </w:div>
      </w:divsChild>
    </w:div>
    <w:div w:id="1780757613">
      <w:bodyDiv w:val="1"/>
      <w:marLeft w:val="0"/>
      <w:marRight w:val="0"/>
      <w:marTop w:val="0"/>
      <w:marBottom w:val="0"/>
      <w:divBdr>
        <w:top w:val="none" w:sz="0" w:space="0" w:color="auto"/>
        <w:left w:val="none" w:sz="0" w:space="0" w:color="auto"/>
        <w:bottom w:val="none" w:sz="0" w:space="0" w:color="auto"/>
        <w:right w:val="none" w:sz="0" w:space="0" w:color="auto"/>
      </w:divBdr>
      <w:divsChild>
        <w:div w:id="11807688">
          <w:marLeft w:val="0"/>
          <w:marRight w:val="0"/>
          <w:marTop w:val="34"/>
          <w:marBottom w:val="34"/>
          <w:divBdr>
            <w:top w:val="none" w:sz="0" w:space="0" w:color="auto"/>
            <w:left w:val="none" w:sz="0" w:space="0" w:color="auto"/>
            <w:bottom w:val="none" w:sz="0" w:space="0" w:color="auto"/>
            <w:right w:val="none" w:sz="0" w:space="0" w:color="auto"/>
          </w:divBdr>
        </w:div>
        <w:div w:id="679548078">
          <w:marLeft w:val="0"/>
          <w:marRight w:val="0"/>
          <w:marTop w:val="0"/>
          <w:marBottom w:val="0"/>
          <w:divBdr>
            <w:top w:val="none" w:sz="0" w:space="0" w:color="auto"/>
            <w:left w:val="none" w:sz="0" w:space="0" w:color="auto"/>
            <w:bottom w:val="none" w:sz="0" w:space="0" w:color="auto"/>
            <w:right w:val="none" w:sz="0" w:space="0" w:color="auto"/>
          </w:divBdr>
        </w:div>
      </w:divsChild>
    </w:div>
    <w:div w:id="1799714014">
      <w:bodyDiv w:val="1"/>
      <w:marLeft w:val="0"/>
      <w:marRight w:val="0"/>
      <w:marTop w:val="0"/>
      <w:marBottom w:val="0"/>
      <w:divBdr>
        <w:top w:val="none" w:sz="0" w:space="0" w:color="auto"/>
        <w:left w:val="none" w:sz="0" w:space="0" w:color="auto"/>
        <w:bottom w:val="none" w:sz="0" w:space="0" w:color="auto"/>
        <w:right w:val="none" w:sz="0" w:space="0" w:color="auto"/>
      </w:divBdr>
    </w:div>
    <w:div w:id="1810703657">
      <w:bodyDiv w:val="1"/>
      <w:marLeft w:val="0"/>
      <w:marRight w:val="0"/>
      <w:marTop w:val="0"/>
      <w:marBottom w:val="0"/>
      <w:divBdr>
        <w:top w:val="none" w:sz="0" w:space="0" w:color="auto"/>
        <w:left w:val="none" w:sz="0" w:space="0" w:color="auto"/>
        <w:bottom w:val="none" w:sz="0" w:space="0" w:color="auto"/>
        <w:right w:val="none" w:sz="0" w:space="0" w:color="auto"/>
      </w:divBdr>
      <w:divsChild>
        <w:div w:id="422800076">
          <w:marLeft w:val="0"/>
          <w:marRight w:val="0"/>
          <w:marTop w:val="34"/>
          <w:marBottom w:val="34"/>
          <w:divBdr>
            <w:top w:val="none" w:sz="0" w:space="0" w:color="auto"/>
            <w:left w:val="none" w:sz="0" w:space="0" w:color="auto"/>
            <w:bottom w:val="none" w:sz="0" w:space="0" w:color="auto"/>
            <w:right w:val="none" w:sz="0" w:space="0" w:color="auto"/>
          </w:divBdr>
        </w:div>
        <w:div w:id="1120419423">
          <w:marLeft w:val="0"/>
          <w:marRight w:val="0"/>
          <w:marTop w:val="0"/>
          <w:marBottom w:val="0"/>
          <w:divBdr>
            <w:top w:val="none" w:sz="0" w:space="0" w:color="auto"/>
            <w:left w:val="none" w:sz="0" w:space="0" w:color="auto"/>
            <w:bottom w:val="none" w:sz="0" w:space="0" w:color="auto"/>
            <w:right w:val="none" w:sz="0" w:space="0" w:color="auto"/>
          </w:divBdr>
        </w:div>
      </w:divsChild>
    </w:div>
    <w:div w:id="1823086309">
      <w:bodyDiv w:val="1"/>
      <w:marLeft w:val="0"/>
      <w:marRight w:val="0"/>
      <w:marTop w:val="0"/>
      <w:marBottom w:val="0"/>
      <w:divBdr>
        <w:top w:val="none" w:sz="0" w:space="0" w:color="auto"/>
        <w:left w:val="none" w:sz="0" w:space="0" w:color="auto"/>
        <w:bottom w:val="none" w:sz="0" w:space="0" w:color="auto"/>
        <w:right w:val="none" w:sz="0" w:space="0" w:color="auto"/>
      </w:divBdr>
      <w:divsChild>
        <w:div w:id="1979189004">
          <w:marLeft w:val="0"/>
          <w:marRight w:val="0"/>
          <w:marTop w:val="34"/>
          <w:marBottom w:val="34"/>
          <w:divBdr>
            <w:top w:val="none" w:sz="0" w:space="0" w:color="auto"/>
            <w:left w:val="none" w:sz="0" w:space="0" w:color="auto"/>
            <w:bottom w:val="none" w:sz="0" w:space="0" w:color="auto"/>
            <w:right w:val="none" w:sz="0" w:space="0" w:color="auto"/>
          </w:divBdr>
        </w:div>
        <w:div w:id="1512522653">
          <w:marLeft w:val="0"/>
          <w:marRight w:val="0"/>
          <w:marTop w:val="0"/>
          <w:marBottom w:val="0"/>
          <w:divBdr>
            <w:top w:val="none" w:sz="0" w:space="0" w:color="auto"/>
            <w:left w:val="none" w:sz="0" w:space="0" w:color="auto"/>
            <w:bottom w:val="none" w:sz="0" w:space="0" w:color="auto"/>
            <w:right w:val="none" w:sz="0" w:space="0" w:color="auto"/>
          </w:divBdr>
        </w:div>
      </w:divsChild>
    </w:div>
    <w:div w:id="1830364679">
      <w:bodyDiv w:val="1"/>
      <w:marLeft w:val="0"/>
      <w:marRight w:val="0"/>
      <w:marTop w:val="0"/>
      <w:marBottom w:val="0"/>
      <w:divBdr>
        <w:top w:val="none" w:sz="0" w:space="0" w:color="auto"/>
        <w:left w:val="none" w:sz="0" w:space="0" w:color="auto"/>
        <w:bottom w:val="none" w:sz="0" w:space="0" w:color="auto"/>
        <w:right w:val="none" w:sz="0" w:space="0" w:color="auto"/>
      </w:divBdr>
      <w:divsChild>
        <w:div w:id="1460608394">
          <w:marLeft w:val="0"/>
          <w:marRight w:val="0"/>
          <w:marTop w:val="34"/>
          <w:marBottom w:val="34"/>
          <w:divBdr>
            <w:top w:val="none" w:sz="0" w:space="0" w:color="auto"/>
            <w:left w:val="none" w:sz="0" w:space="0" w:color="auto"/>
            <w:bottom w:val="none" w:sz="0" w:space="0" w:color="auto"/>
            <w:right w:val="none" w:sz="0" w:space="0" w:color="auto"/>
          </w:divBdr>
        </w:div>
        <w:div w:id="1475760830">
          <w:marLeft w:val="0"/>
          <w:marRight w:val="0"/>
          <w:marTop w:val="0"/>
          <w:marBottom w:val="0"/>
          <w:divBdr>
            <w:top w:val="none" w:sz="0" w:space="0" w:color="auto"/>
            <w:left w:val="none" w:sz="0" w:space="0" w:color="auto"/>
            <w:bottom w:val="none" w:sz="0" w:space="0" w:color="auto"/>
            <w:right w:val="none" w:sz="0" w:space="0" w:color="auto"/>
          </w:divBdr>
        </w:div>
      </w:divsChild>
    </w:div>
    <w:div w:id="1835604303">
      <w:bodyDiv w:val="1"/>
      <w:marLeft w:val="0"/>
      <w:marRight w:val="0"/>
      <w:marTop w:val="0"/>
      <w:marBottom w:val="0"/>
      <w:divBdr>
        <w:top w:val="none" w:sz="0" w:space="0" w:color="auto"/>
        <w:left w:val="none" w:sz="0" w:space="0" w:color="auto"/>
        <w:bottom w:val="none" w:sz="0" w:space="0" w:color="auto"/>
        <w:right w:val="none" w:sz="0" w:space="0" w:color="auto"/>
      </w:divBdr>
      <w:divsChild>
        <w:div w:id="1911771511">
          <w:marLeft w:val="0"/>
          <w:marRight w:val="0"/>
          <w:marTop w:val="34"/>
          <w:marBottom w:val="34"/>
          <w:divBdr>
            <w:top w:val="none" w:sz="0" w:space="0" w:color="auto"/>
            <w:left w:val="none" w:sz="0" w:space="0" w:color="auto"/>
            <w:bottom w:val="none" w:sz="0" w:space="0" w:color="auto"/>
            <w:right w:val="none" w:sz="0" w:space="0" w:color="auto"/>
          </w:divBdr>
        </w:div>
        <w:div w:id="1733579321">
          <w:marLeft w:val="0"/>
          <w:marRight w:val="0"/>
          <w:marTop w:val="0"/>
          <w:marBottom w:val="0"/>
          <w:divBdr>
            <w:top w:val="none" w:sz="0" w:space="0" w:color="auto"/>
            <w:left w:val="none" w:sz="0" w:space="0" w:color="auto"/>
            <w:bottom w:val="none" w:sz="0" w:space="0" w:color="auto"/>
            <w:right w:val="none" w:sz="0" w:space="0" w:color="auto"/>
          </w:divBdr>
        </w:div>
      </w:divsChild>
    </w:div>
    <w:div w:id="1837304851">
      <w:bodyDiv w:val="1"/>
      <w:marLeft w:val="0"/>
      <w:marRight w:val="0"/>
      <w:marTop w:val="0"/>
      <w:marBottom w:val="0"/>
      <w:divBdr>
        <w:top w:val="none" w:sz="0" w:space="0" w:color="auto"/>
        <w:left w:val="none" w:sz="0" w:space="0" w:color="auto"/>
        <w:bottom w:val="none" w:sz="0" w:space="0" w:color="auto"/>
        <w:right w:val="none" w:sz="0" w:space="0" w:color="auto"/>
      </w:divBdr>
      <w:divsChild>
        <w:div w:id="556625917">
          <w:marLeft w:val="0"/>
          <w:marRight w:val="0"/>
          <w:marTop w:val="34"/>
          <w:marBottom w:val="34"/>
          <w:divBdr>
            <w:top w:val="none" w:sz="0" w:space="0" w:color="auto"/>
            <w:left w:val="none" w:sz="0" w:space="0" w:color="auto"/>
            <w:bottom w:val="none" w:sz="0" w:space="0" w:color="auto"/>
            <w:right w:val="none" w:sz="0" w:space="0" w:color="auto"/>
          </w:divBdr>
        </w:div>
        <w:div w:id="1731266153">
          <w:marLeft w:val="0"/>
          <w:marRight w:val="0"/>
          <w:marTop w:val="0"/>
          <w:marBottom w:val="0"/>
          <w:divBdr>
            <w:top w:val="none" w:sz="0" w:space="0" w:color="auto"/>
            <w:left w:val="none" w:sz="0" w:space="0" w:color="auto"/>
            <w:bottom w:val="none" w:sz="0" w:space="0" w:color="auto"/>
            <w:right w:val="none" w:sz="0" w:space="0" w:color="auto"/>
          </w:divBdr>
        </w:div>
      </w:divsChild>
    </w:div>
    <w:div w:id="1837529303">
      <w:bodyDiv w:val="1"/>
      <w:marLeft w:val="0"/>
      <w:marRight w:val="0"/>
      <w:marTop w:val="0"/>
      <w:marBottom w:val="0"/>
      <w:divBdr>
        <w:top w:val="none" w:sz="0" w:space="0" w:color="auto"/>
        <w:left w:val="none" w:sz="0" w:space="0" w:color="auto"/>
        <w:bottom w:val="none" w:sz="0" w:space="0" w:color="auto"/>
        <w:right w:val="none" w:sz="0" w:space="0" w:color="auto"/>
      </w:divBdr>
      <w:divsChild>
        <w:div w:id="1926258975">
          <w:marLeft w:val="0"/>
          <w:marRight w:val="0"/>
          <w:marTop w:val="34"/>
          <w:marBottom w:val="34"/>
          <w:divBdr>
            <w:top w:val="none" w:sz="0" w:space="0" w:color="auto"/>
            <w:left w:val="none" w:sz="0" w:space="0" w:color="auto"/>
            <w:bottom w:val="none" w:sz="0" w:space="0" w:color="auto"/>
            <w:right w:val="none" w:sz="0" w:space="0" w:color="auto"/>
          </w:divBdr>
        </w:div>
        <w:div w:id="2045327440">
          <w:marLeft w:val="0"/>
          <w:marRight w:val="0"/>
          <w:marTop w:val="0"/>
          <w:marBottom w:val="0"/>
          <w:divBdr>
            <w:top w:val="none" w:sz="0" w:space="0" w:color="auto"/>
            <w:left w:val="none" w:sz="0" w:space="0" w:color="auto"/>
            <w:bottom w:val="none" w:sz="0" w:space="0" w:color="auto"/>
            <w:right w:val="none" w:sz="0" w:space="0" w:color="auto"/>
          </w:divBdr>
        </w:div>
      </w:divsChild>
    </w:div>
    <w:div w:id="1838039757">
      <w:bodyDiv w:val="1"/>
      <w:marLeft w:val="0"/>
      <w:marRight w:val="0"/>
      <w:marTop w:val="0"/>
      <w:marBottom w:val="0"/>
      <w:divBdr>
        <w:top w:val="none" w:sz="0" w:space="0" w:color="auto"/>
        <w:left w:val="none" w:sz="0" w:space="0" w:color="auto"/>
        <w:bottom w:val="none" w:sz="0" w:space="0" w:color="auto"/>
        <w:right w:val="none" w:sz="0" w:space="0" w:color="auto"/>
      </w:divBdr>
      <w:divsChild>
        <w:div w:id="1248004337">
          <w:marLeft w:val="0"/>
          <w:marRight w:val="0"/>
          <w:marTop w:val="34"/>
          <w:marBottom w:val="34"/>
          <w:divBdr>
            <w:top w:val="none" w:sz="0" w:space="0" w:color="auto"/>
            <w:left w:val="none" w:sz="0" w:space="0" w:color="auto"/>
            <w:bottom w:val="none" w:sz="0" w:space="0" w:color="auto"/>
            <w:right w:val="none" w:sz="0" w:space="0" w:color="auto"/>
          </w:divBdr>
        </w:div>
        <w:div w:id="37709580">
          <w:marLeft w:val="0"/>
          <w:marRight w:val="0"/>
          <w:marTop w:val="0"/>
          <w:marBottom w:val="0"/>
          <w:divBdr>
            <w:top w:val="none" w:sz="0" w:space="0" w:color="auto"/>
            <w:left w:val="none" w:sz="0" w:space="0" w:color="auto"/>
            <w:bottom w:val="none" w:sz="0" w:space="0" w:color="auto"/>
            <w:right w:val="none" w:sz="0" w:space="0" w:color="auto"/>
          </w:divBdr>
        </w:div>
      </w:divsChild>
    </w:div>
    <w:div w:id="1861161288">
      <w:bodyDiv w:val="1"/>
      <w:marLeft w:val="0"/>
      <w:marRight w:val="0"/>
      <w:marTop w:val="0"/>
      <w:marBottom w:val="0"/>
      <w:divBdr>
        <w:top w:val="none" w:sz="0" w:space="0" w:color="auto"/>
        <w:left w:val="none" w:sz="0" w:space="0" w:color="auto"/>
        <w:bottom w:val="none" w:sz="0" w:space="0" w:color="auto"/>
        <w:right w:val="none" w:sz="0" w:space="0" w:color="auto"/>
      </w:divBdr>
      <w:divsChild>
        <w:div w:id="1855880486">
          <w:marLeft w:val="0"/>
          <w:marRight w:val="0"/>
          <w:marTop w:val="34"/>
          <w:marBottom w:val="34"/>
          <w:divBdr>
            <w:top w:val="none" w:sz="0" w:space="0" w:color="auto"/>
            <w:left w:val="none" w:sz="0" w:space="0" w:color="auto"/>
            <w:bottom w:val="none" w:sz="0" w:space="0" w:color="auto"/>
            <w:right w:val="none" w:sz="0" w:space="0" w:color="auto"/>
          </w:divBdr>
        </w:div>
        <w:div w:id="1310479846">
          <w:marLeft w:val="0"/>
          <w:marRight w:val="0"/>
          <w:marTop w:val="0"/>
          <w:marBottom w:val="0"/>
          <w:divBdr>
            <w:top w:val="none" w:sz="0" w:space="0" w:color="auto"/>
            <w:left w:val="none" w:sz="0" w:space="0" w:color="auto"/>
            <w:bottom w:val="none" w:sz="0" w:space="0" w:color="auto"/>
            <w:right w:val="none" w:sz="0" w:space="0" w:color="auto"/>
          </w:divBdr>
        </w:div>
      </w:divsChild>
    </w:div>
    <w:div w:id="1892033158">
      <w:bodyDiv w:val="1"/>
      <w:marLeft w:val="0"/>
      <w:marRight w:val="0"/>
      <w:marTop w:val="0"/>
      <w:marBottom w:val="0"/>
      <w:divBdr>
        <w:top w:val="none" w:sz="0" w:space="0" w:color="auto"/>
        <w:left w:val="none" w:sz="0" w:space="0" w:color="auto"/>
        <w:bottom w:val="none" w:sz="0" w:space="0" w:color="auto"/>
        <w:right w:val="none" w:sz="0" w:space="0" w:color="auto"/>
      </w:divBdr>
      <w:divsChild>
        <w:div w:id="1321740053">
          <w:marLeft w:val="0"/>
          <w:marRight w:val="0"/>
          <w:marTop w:val="34"/>
          <w:marBottom w:val="34"/>
          <w:divBdr>
            <w:top w:val="none" w:sz="0" w:space="0" w:color="auto"/>
            <w:left w:val="none" w:sz="0" w:space="0" w:color="auto"/>
            <w:bottom w:val="none" w:sz="0" w:space="0" w:color="auto"/>
            <w:right w:val="none" w:sz="0" w:space="0" w:color="auto"/>
          </w:divBdr>
        </w:div>
      </w:divsChild>
    </w:div>
    <w:div w:id="1895696547">
      <w:bodyDiv w:val="1"/>
      <w:marLeft w:val="0"/>
      <w:marRight w:val="0"/>
      <w:marTop w:val="0"/>
      <w:marBottom w:val="0"/>
      <w:divBdr>
        <w:top w:val="none" w:sz="0" w:space="0" w:color="auto"/>
        <w:left w:val="none" w:sz="0" w:space="0" w:color="auto"/>
        <w:bottom w:val="none" w:sz="0" w:space="0" w:color="auto"/>
        <w:right w:val="none" w:sz="0" w:space="0" w:color="auto"/>
      </w:divBdr>
      <w:divsChild>
        <w:div w:id="291713132">
          <w:marLeft w:val="0"/>
          <w:marRight w:val="0"/>
          <w:marTop w:val="34"/>
          <w:marBottom w:val="34"/>
          <w:divBdr>
            <w:top w:val="none" w:sz="0" w:space="0" w:color="auto"/>
            <w:left w:val="none" w:sz="0" w:space="0" w:color="auto"/>
            <w:bottom w:val="none" w:sz="0" w:space="0" w:color="auto"/>
            <w:right w:val="none" w:sz="0" w:space="0" w:color="auto"/>
          </w:divBdr>
        </w:div>
        <w:div w:id="618725659">
          <w:marLeft w:val="0"/>
          <w:marRight w:val="0"/>
          <w:marTop w:val="0"/>
          <w:marBottom w:val="0"/>
          <w:divBdr>
            <w:top w:val="none" w:sz="0" w:space="0" w:color="auto"/>
            <w:left w:val="none" w:sz="0" w:space="0" w:color="auto"/>
            <w:bottom w:val="none" w:sz="0" w:space="0" w:color="auto"/>
            <w:right w:val="none" w:sz="0" w:space="0" w:color="auto"/>
          </w:divBdr>
        </w:div>
      </w:divsChild>
    </w:div>
    <w:div w:id="1896505747">
      <w:bodyDiv w:val="1"/>
      <w:marLeft w:val="0"/>
      <w:marRight w:val="0"/>
      <w:marTop w:val="0"/>
      <w:marBottom w:val="0"/>
      <w:divBdr>
        <w:top w:val="none" w:sz="0" w:space="0" w:color="auto"/>
        <w:left w:val="none" w:sz="0" w:space="0" w:color="auto"/>
        <w:bottom w:val="none" w:sz="0" w:space="0" w:color="auto"/>
        <w:right w:val="none" w:sz="0" w:space="0" w:color="auto"/>
      </w:divBdr>
    </w:div>
    <w:div w:id="1904757068">
      <w:bodyDiv w:val="1"/>
      <w:marLeft w:val="0"/>
      <w:marRight w:val="0"/>
      <w:marTop w:val="0"/>
      <w:marBottom w:val="0"/>
      <w:divBdr>
        <w:top w:val="none" w:sz="0" w:space="0" w:color="auto"/>
        <w:left w:val="none" w:sz="0" w:space="0" w:color="auto"/>
        <w:bottom w:val="none" w:sz="0" w:space="0" w:color="auto"/>
        <w:right w:val="none" w:sz="0" w:space="0" w:color="auto"/>
      </w:divBdr>
      <w:divsChild>
        <w:div w:id="2132555125">
          <w:marLeft w:val="0"/>
          <w:marRight w:val="0"/>
          <w:marTop w:val="34"/>
          <w:marBottom w:val="34"/>
          <w:divBdr>
            <w:top w:val="none" w:sz="0" w:space="0" w:color="auto"/>
            <w:left w:val="none" w:sz="0" w:space="0" w:color="auto"/>
            <w:bottom w:val="none" w:sz="0" w:space="0" w:color="auto"/>
            <w:right w:val="none" w:sz="0" w:space="0" w:color="auto"/>
          </w:divBdr>
        </w:div>
        <w:div w:id="1601834668">
          <w:marLeft w:val="0"/>
          <w:marRight w:val="0"/>
          <w:marTop w:val="0"/>
          <w:marBottom w:val="0"/>
          <w:divBdr>
            <w:top w:val="none" w:sz="0" w:space="0" w:color="auto"/>
            <w:left w:val="none" w:sz="0" w:space="0" w:color="auto"/>
            <w:bottom w:val="none" w:sz="0" w:space="0" w:color="auto"/>
            <w:right w:val="none" w:sz="0" w:space="0" w:color="auto"/>
          </w:divBdr>
        </w:div>
      </w:divsChild>
    </w:div>
    <w:div w:id="1910536286">
      <w:bodyDiv w:val="1"/>
      <w:marLeft w:val="0"/>
      <w:marRight w:val="0"/>
      <w:marTop w:val="0"/>
      <w:marBottom w:val="0"/>
      <w:divBdr>
        <w:top w:val="none" w:sz="0" w:space="0" w:color="auto"/>
        <w:left w:val="none" w:sz="0" w:space="0" w:color="auto"/>
        <w:bottom w:val="none" w:sz="0" w:space="0" w:color="auto"/>
        <w:right w:val="none" w:sz="0" w:space="0" w:color="auto"/>
      </w:divBdr>
      <w:divsChild>
        <w:div w:id="577597330">
          <w:marLeft w:val="0"/>
          <w:marRight w:val="0"/>
          <w:marTop w:val="34"/>
          <w:marBottom w:val="34"/>
          <w:divBdr>
            <w:top w:val="none" w:sz="0" w:space="0" w:color="auto"/>
            <w:left w:val="none" w:sz="0" w:space="0" w:color="auto"/>
            <w:bottom w:val="none" w:sz="0" w:space="0" w:color="auto"/>
            <w:right w:val="none" w:sz="0" w:space="0" w:color="auto"/>
          </w:divBdr>
        </w:div>
        <w:div w:id="1424230397">
          <w:marLeft w:val="0"/>
          <w:marRight w:val="0"/>
          <w:marTop w:val="0"/>
          <w:marBottom w:val="0"/>
          <w:divBdr>
            <w:top w:val="none" w:sz="0" w:space="0" w:color="auto"/>
            <w:left w:val="none" w:sz="0" w:space="0" w:color="auto"/>
            <w:bottom w:val="none" w:sz="0" w:space="0" w:color="auto"/>
            <w:right w:val="none" w:sz="0" w:space="0" w:color="auto"/>
          </w:divBdr>
        </w:div>
      </w:divsChild>
    </w:div>
    <w:div w:id="1919434876">
      <w:bodyDiv w:val="1"/>
      <w:marLeft w:val="0"/>
      <w:marRight w:val="0"/>
      <w:marTop w:val="0"/>
      <w:marBottom w:val="0"/>
      <w:divBdr>
        <w:top w:val="none" w:sz="0" w:space="0" w:color="auto"/>
        <w:left w:val="none" w:sz="0" w:space="0" w:color="auto"/>
        <w:bottom w:val="none" w:sz="0" w:space="0" w:color="auto"/>
        <w:right w:val="none" w:sz="0" w:space="0" w:color="auto"/>
      </w:divBdr>
      <w:divsChild>
        <w:div w:id="1370496174">
          <w:marLeft w:val="0"/>
          <w:marRight w:val="0"/>
          <w:marTop w:val="34"/>
          <w:marBottom w:val="34"/>
          <w:divBdr>
            <w:top w:val="none" w:sz="0" w:space="0" w:color="auto"/>
            <w:left w:val="none" w:sz="0" w:space="0" w:color="auto"/>
            <w:bottom w:val="none" w:sz="0" w:space="0" w:color="auto"/>
            <w:right w:val="none" w:sz="0" w:space="0" w:color="auto"/>
          </w:divBdr>
        </w:div>
        <w:div w:id="1544169114">
          <w:marLeft w:val="0"/>
          <w:marRight w:val="0"/>
          <w:marTop w:val="0"/>
          <w:marBottom w:val="0"/>
          <w:divBdr>
            <w:top w:val="none" w:sz="0" w:space="0" w:color="auto"/>
            <w:left w:val="none" w:sz="0" w:space="0" w:color="auto"/>
            <w:bottom w:val="none" w:sz="0" w:space="0" w:color="auto"/>
            <w:right w:val="none" w:sz="0" w:space="0" w:color="auto"/>
          </w:divBdr>
        </w:div>
      </w:divsChild>
    </w:div>
    <w:div w:id="1931502013">
      <w:bodyDiv w:val="1"/>
      <w:marLeft w:val="0"/>
      <w:marRight w:val="0"/>
      <w:marTop w:val="0"/>
      <w:marBottom w:val="0"/>
      <w:divBdr>
        <w:top w:val="none" w:sz="0" w:space="0" w:color="auto"/>
        <w:left w:val="none" w:sz="0" w:space="0" w:color="auto"/>
        <w:bottom w:val="none" w:sz="0" w:space="0" w:color="auto"/>
        <w:right w:val="none" w:sz="0" w:space="0" w:color="auto"/>
      </w:divBdr>
      <w:divsChild>
        <w:div w:id="581178540">
          <w:marLeft w:val="0"/>
          <w:marRight w:val="0"/>
          <w:marTop w:val="34"/>
          <w:marBottom w:val="34"/>
          <w:divBdr>
            <w:top w:val="none" w:sz="0" w:space="0" w:color="auto"/>
            <w:left w:val="none" w:sz="0" w:space="0" w:color="auto"/>
            <w:bottom w:val="none" w:sz="0" w:space="0" w:color="auto"/>
            <w:right w:val="none" w:sz="0" w:space="0" w:color="auto"/>
          </w:divBdr>
        </w:div>
        <w:div w:id="622149793">
          <w:marLeft w:val="0"/>
          <w:marRight w:val="0"/>
          <w:marTop w:val="0"/>
          <w:marBottom w:val="0"/>
          <w:divBdr>
            <w:top w:val="none" w:sz="0" w:space="0" w:color="auto"/>
            <w:left w:val="none" w:sz="0" w:space="0" w:color="auto"/>
            <w:bottom w:val="none" w:sz="0" w:space="0" w:color="auto"/>
            <w:right w:val="none" w:sz="0" w:space="0" w:color="auto"/>
          </w:divBdr>
        </w:div>
      </w:divsChild>
    </w:div>
    <w:div w:id="1933967901">
      <w:bodyDiv w:val="1"/>
      <w:marLeft w:val="0"/>
      <w:marRight w:val="0"/>
      <w:marTop w:val="0"/>
      <w:marBottom w:val="0"/>
      <w:divBdr>
        <w:top w:val="none" w:sz="0" w:space="0" w:color="auto"/>
        <w:left w:val="none" w:sz="0" w:space="0" w:color="auto"/>
        <w:bottom w:val="none" w:sz="0" w:space="0" w:color="auto"/>
        <w:right w:val="none" w:sz="0" w:space="0" w:color="auto"/>
      </w:divBdr>
      <w:divsChild>
        <w:div w:id="999505083">
          <w:marLeft w:val="0"/>
          <w:marRight w:val="0"/>
          <w:marTop w:val="34"/>
          <w:marBottom w:val="34"/>
          <w:divBdr>
            <w:top w:val="none" w:sz="0" w:space="0" w:color="auto"/>
            <w:left w:val="none" w:sz="0" w:space="0" w:color="auto"/>
            <w:bottom w:val="none" w:sz="0" w:space="0" w:color="auto"/>
            <w:right w:val="none" w:sz="0" w:space="0" w:color="auto"/>
          </w:divBdr>
        </w:div>
      </w:divsChild>
    </w:div>
    <w:div w:id="1972518465">
      <w:bodyDiv w:val="1"/>
      <w:marLeft w:val="0"/>
      <w:marRight w:val="0"/>
      <w:marTop w:val="0"/>
      <w:marBottom w:val="0"/>
      <w:divBdr>
        <w:top w:val="none" w:sz="0" w:space="0" w:color="auto"/>
        <w:left w:val="none" w:sz="0" w:space="0" w:color="auto"/>
        <w:bottom w:val="none" w:sz="0" w:space="0" w:color="auto"/>
        <w:right w:val="none" w:sz="0" w:space="0" w:color="auto"/>
      </w:divBdr>
      <w:divsChild>
        <w:div w:id="1069500777">
          <w:marLeft w:val="0"/>
          <w:marRight w:val="0"/>
          <w:marTop w:val="34"/>
          <w:marBottom w:val="34"/>
          <w:divBdr>
            <w:top w:val="none" w:sz="0" w:space="0" w:color="auto"/>
            <w:left w:val="none" w:sz="0" w:space="0" w:color="auto"/>
            <w:bottom w:val="none" w:sz="0" w:space="0" w:color="auto"/>
            <w:right w:val="none" w:sz="0" w:space="0" w:color="auto"/>
          </w:divBdr>
        </w:div>
        <w:div w:id="1890800692">
          <w:marLeft w:val="0"/>
          <w:marRight w:val="0"/>
          <w:marTop w:val="0"/>
          <w:marBottom w:val="0"/>
          <w:divBdr>
            <w:top w:val="none" w:sz="0" w:space="0" w:color="auto"/>
            <w:left w:val="none" w:sz="0" w:space="0" w:color="auto"/>
            <w:bottom w:val="none" w:sz="0" w:space="0" w:color="auto"/>
            <w:right w:val="none" w:sz="0" w:space="0" w:color="auto"/>
          </w:divBdr>
        </w:div>
      </w:divsChild>
    </w:div>
    <w:div w:id="1981304696">
      <w:bodyDiv w:val="1"/>
      <w:marLeft w:val="0"/>
      <w:marRight w:val="0"/>
      <w:marTop w:val="0"/>
      <w:marBottom w:val="0"/>
      <w:divBdr>
        <w:top w:val="none" w:sz="0" w:space="0" w:color="auto"/>
        <w:left w:val="none" w:sz="0" w:space="0" w:color="auto"/>
        <w:bottom w:val="none" w:sz="0" w:space="0" w:color="auto"/>
        <w:right w:val="none" w:sz="0" w:space="0" w:color="auto"/>
      </w:divBdr>
      <w:divsChild>
        <w:div w:id="1251037404">
          <w:marLeft w:val="0"/>
          <w:marRight w:val="0"/>
          <w:marTop w:val="34"/>
          <w:marBottom w:val="34"/>
          <w:divBdr>
            <w:top w:val="none" w:sz="0" w:space="0" w:color="auto"/>
            <w:left w:val="none" w:sz="0" w:space="0" w:color="auto"/>
            <w:bottom w:val="none" w:sz="0" w:space="0" w:color="auto"/>
            <w:right w:val="none" w:sz="0" w:space="0" w:color="auto"/>
          </w:divBdr>
        </w:div>
        <w:div w:id="885679688">
          <w:marLeft w:val="0"/>
          <w:marRight w:val="0"/>
          <w:marTop w:val="0"/>
          <w:marBottom w:val="0"/>
          <w:divBdr>
            <w:top w:val="none" w:sz="0" w:space="0" w:color="auto"/>
            <w:left w:val="none" w:sz="0" w:space="0" w:color="auto"/>
            <w:bottom w:val="none" w:sz="0" w:space="0" w:color="auto"/>
            <w:right w:val="none" w:sz="0" w:space="0" w:color="auto"/>
          </w:divBdr>
        </w:div>
      </w:divsChild>
    </w:div>
    <w:div w:id="2005742471">
      <w:bodyDiv w:val="1"/>
      <w:marLeft w:val="0"/>
      <w:marRight w:val="0"/>
      <w:marTop w:val="0"/>
      <w:marBottom w:val="0"/>
      <w:divBdr>
        <w:top w:val="none" w:sz="0" w:space="0" w:color="auto"/>
        <w:left w:val="none" w:sz="0" w:space="0" w:color="auto"/>
        <w:bottom w:val="none" w:sz="0" w:space="0" w:color="auto"/>
        <w:right w:val="none" w:sz="0" w:space="0" w:color="auto"/>
      </w:divBdr>
      <w:divsChild>
        <w:div w:id="1659767868">
          <w:marLeft w:val="0"/>
          <w:marRight w:val="0"/>
          <w:marTop w:val="34"/>
          <w:marBottom w:val="34"/>
          <w:divBdr>
            <w:top w:val="none" w:sz="0" w:space="0" w:color="auto"/>
            <w:left w:val="none" w:sz="0" w:space="0" w:color="auto"/>
            <w:bottom w:val="none" w:sz="0" w:space="0" w:color="auto"/>
            <w:right w:val="none" w:sz="0" w:space="0" w:color="auto"/>
          </w:divBdr>
        </w:div>
      </w:divsChild>
    </w:div>
    <w:div w:id="2015915692">
      <w:bodyDiv w:val="1"/>
      <w:marLeft w:val="0"/>
      <w:marRight w:val="0"/>
      <w:marTop w:val="0"/>
      <w:marBottom w:val="0"/>
      <w:divBdr>
        <w:top w:val="none" w:sz="0" w:space="0" w:color="auto"/>
        <w:left w:val="none" w:sz="0" w:space="0" w:color="auto"/>
        <w:bottom w:val="none" w:sz="0" w:space="0" w:color="auto"/>
        <w:right w:val="none" w:sz="0" w:space="0" w:color="auto"/>
      </w:divBdr>
      <w:divsChild>
        <w:div w:id="1984701813">
          <w:marLeft w:val="0"/>
          <w:marRight w:val="0"/>
          <w:marTop w:val="34"/>
          <w:marBottom w:val="34"/>
          <w:divBdr>
            <w:top w:val="none" w:sz="0" w:space="0" w:color="auto"/>
            <w:left w:val="none" w:sz="0" w:space="0" w:color="auto"/>
            <w:bottom w:val="none" w:sz="0" w:space="0" w:color="auto"/>
            <w:right w:val="none" w:sz="0" w:space="0" w:color="auto"/>
          </w:divBdr>
        </w:div>
        <w:div w:id="510336485">
          <w:marLeft w:val="0"/>
          <w:marRight w:val="0"/>
          <w:marTop w:val="0"/>
          <w:marBottom w:val="0"/>
          <w:divBdr>
            <w:top w:val="none" w:sz="0" w:space="0" w:color="auto"/>
            <w:left w:val="none" w:sz="0" w:space="0" w:color="auto"/>
            <w:bottom w:val="none" w:sz="0" w:space="0" w:color="auto"/>
            <w:right w:val="none" w:sz="0" w:space="0" w:color="auto"/>
          </w:divBdr>
        </w:div>
      </w:divsChild>
    </w:div>
    <w:div w:id="2018920913">
      <w:bodyDiv w:val="1"/>
      <w:marLeft w:val="0"/>
      <w:marRight w:val="0"/>
      <w:marTop w:val="0"/>
      <w:marBottom w:val="0"/>
      <w:divBdr>
        <w:top w:val="none" w:sz="0" w:space="0" w:color="auto"/>
        <w:left w:val="none" w:sz="0" w:space="0" w:color="auto"/>
        <w:bottom w:val="none" w:sz="0" w:space="0" w:color="auto"/>
        <w:right w:val="none" w:sz="0" w:space="0" w:color="auto"/>
      </w:divBdr>
      <w:divsChild>
        <w:div w:id="1131241623">
          <w:marLeft w:val="0"/>
          <w:marRight w:val="0"/>
          <w:marTop w:val="34"/>
          <w:marBottom w:val="34"/>
          <w:divBdr>
            <w:top w:val="none" w:sz="0" w:space="0" w:color="auto"/>
            <w:left w:val="none" w:sz="0" w:space="0" w:color="auto"/>
            <w:bottom w:val="none" w:sz="0" w:space="0" w:color="auto"/>
            <w:right w:val="none" w:sz="0" w:space="0" w:color="auto"/>
          </w:divBdr>
        </w:div>
        <w:div w:id="564493601">
          <w:marLeft w:val="0"/>
          <w:marRight w:val="0"/>
          <w:marTop w:val="0"/>
          <w:marBottom w:val="0"/>
          <w:divBdr>
            <w:top w:val="none" w:sz="0" w:space="0" w:color="auto"/>
            <w:left w:val="none" w:sz="0" w:space="0" w:color="auto"/>
            <w:bottom w:val="none" w:sz="0" w:space="0" w:color="auto"/>
            <w:right w:val="none" w:sz="0" w:space="0" w:color="auto"/>
          </w:divBdr>
        </w:div>
      </w:divsChild>
    </w:div>
    <w:div w:id="2030175180">
      <w:bodyDiv w:val="1"/>
      <w:marLeft w:val="0"/>
      <w:marRight w:val="0"/>
      <w:marTop w:val="0"/>
      <w:marBottom w:val="0"/>
      <w:divBdr>
        <w:top w:val="none" w:sz="0" w:space="0" w:color="auto"/>
        <w:left w:val="none" w:sz="0" w:space="0" w:color="auto"/>
        <w:bottom w:val="none" w:sz="0" w:space="0" w:color="auto"/>
        <w:right w:val="none" w:sz="0" w:space="0" w:color="auto"/>
      </w:divBdr>
      <w:divsChild>
        <w:div w:id="1546798094">
          <w:marLeft w:val="0"/>
          <w:marRight w:val="0"/>
          <w:marTop w:val="34"/>
          <w:marBottom w:val="34"/>
          <w:divBdr>
            <w:top w:val="none" w:sz="0" w:space="0" w:color="auto"/>
            <w:left w:val="none" w:sz="0" w:space="0" w:color="auto"/>
            <w:bottom w:val="none" w:sz="0" w:space="0" w:color="auto"/>
            <w:right w:val="none" w:sz="0" w:space="0" w:color="auto"/>
          </w:divBdr>
        </w:div>
      </w:divsChild>
    </w:div>
    <w:div w:id="2030177698">
      <w:bodyDiv w:val="1"/>
      <w:marLeft w:val="0"/>
      <w:marRight w:val="0"/>
      <w:marTop w:val="0"/>
      <w:marBottom w:val="0"/>
      <w:divBdr>
        <w:top w:val="none" w:sz="0" w:space="0" w:color="auto"/>
        <w:left w:val="none" w:sz="0" w:space="0" w:color="auto"/>
        <w:bottom w:val="none" w:sz="0" w:space="0" w:color="auto"/>
        <w:right w:val="none" w:sz="0" w:space="0" w:color="auto"/>
      </w:divBdr>
      <w:divsChild>
        <w:div w:id="1843232176">
          <w:marLeft w:val="0"/>
          <w:marRight w:val="0"/>
          <w:marTop w:val="34"/>
          <w:marBottom w:val="34"/>
          <w:divBdr>
            <w:top w:val="none" w:sz="0" w:space="0" w:color="auto"/>
            <w:left w:val="none" w:sz="0" w:space="0" w:color="auto"/>
            <w:bottom w:val="none" w:sz="0" w:space="0" w:color="auto"/>
            <w:right w:val="none" w:sz="0" w:space="0" w:color="auto"/>
          </w:divBdr>
        </w:div>
        <w:div w:id="2036466911">
          <w:marLeft w:val="0"/>
          <w:marRight w:val="0"/>
          <w:marTop w:val="0"/>
          <w:marBottom w:val="0"/>
          <w:divBdr>
            <w:top w:val="none" w:sz="0" w:space="0" w:color="auto"/>
            <w:left w:val="none" w:sz="0" w:space="0" w:color="auto"/>
            <w:bottom w:val="none" w:sz="0" w:space="0" w:color="auto"/>
            <w:right w:val="none" w:sz="0" w:space="0" w:color="auto"/>
          </w:divBdr>
        </w:div>
      </w:divsChild>
    </w:div>
    <w:div w:id="2043509614">
      <w:bodyDiv w:val="1"/>
      <w:marLeft w:val="0"/>
      <w:marRight w:val="0"/>
      <w:marTop w:val="0"/>
      <w:marBottom w:val="0"/>
      <w:divBdr>
        <w:top w:val="none" w:sz="0" w:space="0" w:color="auto"/>
        <w:left w:val="none" w:sz="0" w:space="0" w:color="auto"/>
        <w:bottom w:val="none" w:sz="0" w:space="0" w:color="auto"/>
        <w:right w:val="none" w:sz="0" w:space="0" w:color="auto"/>
      </w:divBdr>
      <w:divsChild>
        <w:div w:id="389622093">
          <w:marLeft w:val="0"/>
          <w:marRight w:val="0"/>
          <w:marTop w:val="34"/>
          <w:marBottom w:val="34"/>
          <w:divBdr>
            <w:top w:val="none" w:sz="0" w:space="0" w:color="auto"/>
            <w:left w:val="none" w:sz="0" w:space="0" w:color="auto"/>
            <w:bottom w:val="none" w:sz="0" w:space="0" w:color="auto"/>
            <w:right w:val="none" w:sz="0" w:space="0" w:color="auto"/>
          </w:divBdr>
        </w:div>
      </w:divsChild>
    </w:div>
    <w:div w:id="2052194404">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7">
          <w:marLeft w:val="0"/>
          <w:marRight w:val="0"/>
          <w:marTop w:val="34"/>
          <w:marBottom w:val="34"/>
          <w:divBdr>
            <w:top w:val="none" w:sz="0" w:space="0" w:color="auto"/>
            <w:left w:val="none" w:sz="0" w:space="0" w:color="auto"/>
            <w:bottom w:val="none" w:sz="0" w:space="0" w:color="auto"/>
            <w:right w:val="none" w:sz="0" w:space="0" w:color="auto"/>
          </w:divBdr>
        </w:div>
        <w:div w:id="2112313000">
          <w:marLeft w:val="0"/>
          <w:marRight w:val="0"/>
          <w:marTop w:val="0"/>
          <w:marBottom w:val="0"/>
          <w:divBdr>
            <w:top w:val="none" w:sz="0" w:space="0" w:color="auto"/>
            <w:left w:val="none" w:sz="0" w:space="0" w:color="auto"/>
            <w:bottom w:val="none" w:sz="0" w:space="0" w:color="auto"/>
            <w:right w:val="none" w:sz="0" w:space="0" w:color="auto"/>
          </w:divBdr>
        </w:div>
      </w:divsChild>
    </w:div>
    <w:div w:id="2053846285">
      <w:bodyDiv w:val="1"/>
      <w:marLeft w:val="0"/>
      <w:marRight w:val="0"/>
      <w:marTop w:val="0"/>
      <w:marBottom w:val="0"/>
      <w:divBdr>
        <w:top w:val="none" w:sz="0" w:space="0" w:color="auto"/>
        <w:left w:val="none" w:sz="0" w:space="0" w:color="auto"/>
        <w:bottom w:val="none" w:sz="0" w:space="0" w:color="auto"/>
        <w:right w:val="none" w:sz="0" w:space="0" w:color="auto"/>
      </w:divBdr>
      <w:divsChild>
        <w:div w:id="1599603818">
          <w:marLeft w:val="0"/>
          <w:marRight w:val="0"/>
          <w:marTop w:val="34"/>
          <w:marBottom w:val="34"/>
          <w:divBdr>
            <w:top w:val="none" w:sz="0" w:space="0" w:color="auto"/>
            <w:left w:val="none" w:sz="0" w:space="0" w:color="auto"/>
            <w:bottom w:val="none" w:sz="0" w:space="0" w:color="auto"/>
            <w:right w:val="none" w:sz="0" w:space="0" w:color="auto"/>
          </w:divBdr>
        </w:div>
        <w:div w:id="1393847410">
          <w:marLeft w:val="0"/>
          <w:marRight w:val="0"/>
          <w:marTop w:val="0"/>
          <w:marBottom w:val="0"/>
          <w:divBdr>
            <w:top w:val="none" w:sz="0" w:space="0" w:color="auto"/>
            <w:left w:val="none" w:sz="0" w:space="0" w:color="auto"/>
            <w:bottom w:val="none" w:sz="0" w:space="0" w:color="auto"/>
            <w:right w:val="none" w:sz="0" w:space="0" w:color="auto"/>
          </w:divBdr>
        </w:div>
      </w:divsChild>
    </w:div>
    <w:div w:id="2055158955">
      <w:bodyDiv w:val="1"/>
      <w:marLeft w:val="0"/>
      <w:marRight w:val="0"/>
      <w:marTop w:val="0"/>
      <w:marBottom w:val="0"/>
      <w:divBdr>
        <w:top w:val="none" w:sz="0" w:space="0" w:color="auto"/>
        <w:left w:val="none" w:sz="0" w:space="0" w:color="auto"/>
        <w:bottom w:val="none" w:sz="0" w:space="0" w:color="auto"/>
        <w:right w:val="none" w:sz="0" w:space="0" w:color="auto"/>
      </w:divBdr>
      <w:divsChild>
        <w:div w:id="640883112">
          <w:marLeft w:val="0"/>
          <w:marRight w:val="0"/>
          <w:marTop w:val="34"/>
          <w:marBottom w:val="34"/>
          <w:divBdr>
            <w:top w:val="none" w:sz="0" w:space="0" w:color="auto"/>
            <w:left w:val="none" w:sz="0" w:space="0" w:color="auto"/>
            <w:bottom w:val="none" w:sz="0" w:space="0" w:color="auto"/>
            <w:right w:val="none" w:sz="0" w:space="0" w:color="auto"/>
          </w:divBdr>
        </w:div>
        <w:div w:id="1575045335">
          <w:marLeft w:val="0"/>
          <w:marRight w:val="0"/>
          <w:marTop w:val="0"/>
          <w:marBottom w:val="0"/>
          <w:divBdr>
            <w:top w:val="none" w:sz="0" w:space="0" w:color="auto"/>
            <w:left w:val="none" w:sz="0" w:space="0" w:color="auto"/>
            <w:bottom w:val="none" w:sz="0" w:space="0" w:color="auto"/>
            <w:right w:val="none" w:sz="0" w:space="0" w:color="auto"/>
          </w:divBdr>
        </w:div>
      </w:divsChild>
    </w:div>
    <w:div w:id="2082942806">
      <w:bodyDiv w:val="1"/>
      <w:marLeft w:val="0"/>
      <w:marRight w:val="0"/>
      <w:marTop w:val="0"/>
      <w:marBottom w:val="0"/>
      <w:divBdr>
        <w:top w:val="none" w:sz="0" w:space="0" w:color="auto"/>
        <w:left w:val="none" w:sz="0" w:space="0" w:color="auto"/>
        <w:bottom w:val="none" w:sz="0" w:space="0" w:color="auto"/>
        <w:right w:val="none" w:sz="0" w:space="0" w:color="auto"/>
      </w:divBdr>
      <w:divsChild>
        <w:div w:id="1347706626">
          <w:marLeft w:val="0"/>
          <w:marRight w:val="0"/>
          <w:marTop w:val="34"/>
          <w:marBottom w:val="34"/>
          <w:divBdr>
            <w:top w:val="none" w:sz="0" w:space="0" w:color="auto"/>
            <w:left w:val="none" w:sz="0" w:space="0" w:color="auto"/>
            <w:bottom w:val="none" w:sz="0" w:space="0" w:color="auto"/>
            <w:right w:val="none" w:sz="0" w:space="0" w:color="auto"/>
          </w:divBdr>
        </w:div>
      </w:divsChild>
    </w:div>
    <w:div w:id="2090534804">
      <w:bodyDiv w:val="1"/>
      <w:marLeft w:val="0"/>
      <w:marRight w:val="0"/>
      <w:marTop w:val="0"/>
      <w:marBottom w:val="0"/>
      <w:divBdr>
        <w:top w:val="none" w:sz="0" w:space="0" w:color="auto"/>
        <w:left w:val="none" w:sz="0" w:space="0" w:color="auto"/>
        <w:bottom w:val="none" w:sz="0" w:space="0" w:color="auto"/>
        <w:right w:val="none" w:sz="0" w:space="0" w:color="auto"/>
      </w:divBdr>
      <w:divsChild>
        <w:div w:id="774978964">
          <w:marLeft w:val="0"/>
          <w:marRight w:val="0"/>
          <w:marTop w:val="34"/>
          <w:marBottom w:val="34"/>
          <w:divBdr>
            <w:top w:val="none" w:sz="0" w:space="0" w:color="auto"/>
            <w:left w:val="none" w:sz="0" w:space="0" w:color="auto"/>
            <w:bottom w:val="none" w:sz="0" w:space="0" w:color="auto"/>
            <w:right w:val="none" w:sz="0" w:space="0" w:color="auto"/>
          </w:divBdr>
        </w:div>
      </w:divsChild>
    </w:div>
    <w:div w:id="2100592169">
      <w:bodyDiv w:val="1"/>
      <w:marLeft w:val="0"/>
      <w:marRight w:val="0"/>
      <w:marTop w:val="0"/>
      <w:marBottom w:val="0"/>
      <w:divBdr>
        <w:top w:val="none" w:sz="0" w:space="0" w:color="auto"/>
        <w:left w:val="none" w:sz="0" w:space="0" w:color="auto"/>
        <w:bottom w:val="none" w:sz="0" w:space="0" w:color="auto"/>
        <w:right w:val="none" w:sz="0" w:space="0" w:color="auto"/>
      </w:divBdr>
      <w:divsChild>
        <w:div w:id="499271238">
          <w:marLeft w:val="0"/>
          <w:marRight w:val="0"/>
          <w:marTop w:val="34"/>
          <w:marBottom w:val="34"/>
          <w:divBdr>
            <w:top w:val="none" w:sz="0" w:space="0" w:color="auto"/>
            <w:left w:val="none" w:sz="0" w:space="0" w:color="auto"/>
            <w:bottom w:val="none" w:sz="0" w:space="0" w:color="auto"/>
            <w:right w:val="none" w:sz="0" w:space="0" w:color="auto"/>
          </w:divBdr>
        </w:div>
        <w:div w:id="402141681">
          <w:marLeft w:val="0"/>
          <w:marRight w:val="0"/>
          <w:marTop w:val="0"/>
          <w:marBottom w:val="0"/>
          <w:divBdr>
            <w:top w:val="none" w:sz="0" w:space="0" w:color="auto"/>
            <w:left w:val="none" w:sz="0" w:space="0" w:color="auto"/>
            <w:bottom w:val="none" w:sz="0" w:space="0" w:color="auto"/>
            <w:right w:val="none" w:sz="0" w:space="0" w:color="auto"/>
          </w:divBdr>
        </w:div>
      </w:divsChild>
    </w:div>
    <w:div w:id="2111772261">
      <w:bodyDiv w:val="1"/>
      <w:marLeft w:val="0"/>
      <w:marRight w:val="0"/>
      <w:marTop w:val="0"/>
      <w:marBottom w:val="0"/>
      <w:divBdr>
        <w:top w:val="none" w:sz="0" w:space="0" w:color="auto"/>
        <w:left w:val="none" w:sz="0" w:space="0" w:color="auto"/>
        <w:bottom w:val="none" w:sz="0" w:space="0" w:color="auto"/>
        <w:right w:val="none" w:sz="0" w:space="0" w:color="auto"/>
      </w:divBdr>
      <w:divsChild>
        <w:div w:id="1476139660">
          <w:marLeft w:val="0"/>
          <w:marRight w:val="0"/>
          <w:marTop w:val="34"/>
          <w:marBottom w:val="34"/>
          <w:divBdr>
            <w:top w:val="none" w:sz="0" w:space="0" w:color="auto"/>
            <w:left w:val="none" w:sz="0" w:space="0" w:color="auto"/>
            <w:bottom w:val="none" w:sz="0" w:space="0" w:color="auto"/>
            <w:right w:val="none" w:sz="0" w:space="0" w:color="auto"/>
          </w:divBdr>
        </w:div>
        <w:div w:id="103043454">
          <w:marLeft w:val="0"/>
          <w:marRight w:val="0"/>
          <w:marTop w:val="0"/>
          <w:marBottom w:val="0"/>
          <w:divBdr>
            <w:top w:val="none" w:sz="0" w:space="0" w:color="auto"/>
            <w:left w:val="none" w:sz="0" w:space="0" w:color="auto"/>
            <w:bottom w:val="none" w:sz="0" w:space="0" w:color="auto"/>
            <w:right w:val="none" w:sz="0" w:space="0" w:color="auto"/>
          </w:divBdr>
        </w:div>
      </w:divsChild>
    </w:div>
    <w:div w:id="2138791817">
      <w:bodyDiv w:val="1"/>
      <w:marLeft w:val="0"/>
      <w:marRight w:val="0"/>
      <w:marTop w:val="0"/>
      <w:marBottom w:val="0"/>
      <w:divBdr>
        <w:top w:val="none" w:sz="0" w:space="0" w:color="auto"/>
        <w:left w:val="none" w:sz="0" w:space="0" w:color="auto"/>
        <w:bottom w:val="none" w:sz="0" w:space="0" w:color="auto"/>
        <w:right w:val="none" w:sz="0" w:space="0" w:color="auto"/>
      </w:divBdr>
      <w:divsChild>
        <w:div w:id="1548182291">
          <w:marLeft w:val="0"/>
          <w:marRight w:val="0"/>
          <w:marTop w:val="34"/>
          <w:marBottom w:val="34"/>
          <w:divBdr>
            <w:top w:val="none" w:sz="0" w:space="0" w:color="auto"/>
            <w:left w:val="none" w:sz="0" w:space="0" w:color="auto"/>
            <w:bottom w:val="none" w:sz="0" w:space="0" w:color="auto"/>
            <w:right w:val="none" w:sz="0" w:space="0" w:color="auto"/>
          </w:divBdr>
        </w:div>
        <w:div w:id="2006740723">
          <w:marLeft w:val="0"/>
          <w:marRight w:val="0"/>
          <w:marTop w:val="0"/>
          <w:marBottom w:val="0"/>
          <w:divBdr>
            <w:top w:val="none" w:sz="0" w:space="0" w:color="auto"/>
            <w:left w:val="none" w:sz="0" w:space="0" w:color="auto"/>
            <w:bottom w:val="none" w:sz="0" w:space="0" w:color="auto"/>
            <w:right w:val="none" w:sz="0" w:space="0" w:color="auto"/>
          </w:divBdr>
        </w:div>
      </w:divsChild>
    </w:div>
    <w:div w:id="2144034718">
      <w:bodyDiv w:val="1"/>
      <w:marLeft w:val="0"/>
      <w:marRight w:val="0"/>
      <w:marTop w:val="0"/>
      <w:marBottom w:val="0"/>
      <w:divBdr>
        <w:top w:val="none" w:sz="0" w:space="0" w:color="auto"/>
        <w:left w:val="none" w:sz="0" w:space="0" w:color="auto"/>
        <w:bottom w:val="none" w:sz="0" w:space="0" w:color="auto"/>
        <w:right w:val="none" w:sz="0" w:space="0" w:color="auto"/>
      </w:divBdr>
      <w:divsChild>
        <w:div w:id="706030614">
          <w:marLeft w:val="0"/>
          <w:marRight w:val="0"/>
          <w:marTop w:val="34"/>
          <w:marBottom w:val="34"/>
          <w:divBdr>
            <w:top w:val="none" w:sz="0" w:space="0" w:color="auto"/>
            <w:left w:val="none" w:sz="0" w:space="0" w:color="auto"/>
            <w:bottom w:val="none" w:sz="0" w:space="0" w:color="auto"/>
            <w:right w:val="none" w:sz="0" w:space="0" w:color="auto"/>
          </w:divBdr>
        </w:div>
        <w:div w:id="1473789292">
          <w:marLeft w:val="0"/>
          <w:marRight w:val="0"/>
          <w:marTop w:val="0"/>
          <w:marBottom w:val="0"/>
          <w:divBdr>
            <w:top w:val="none" w:sz="0" w:space="0" w:color="auto"/>
            <w:left w:val="none" w:sz="0" w:space="0" w:color="auto"/>
            <w:bottom w:val="none" w:sz="0" w:space="0" w:color="auto"/>
            <w:right w:val="none" w:sz="0" w:space="0" w:color="auto"/>
          </w:divBdr>
        </w:div>
      </w:divsChild>
    </w:div>
    <w:div w:id="2146896544">
      <w:bodyDiv w:val="1"/>
      <w:marLeft w:val="0"/>
      <w:marRight w:val="0"/>
      <w:marTop w:val="0"/>
      <w:marBottom w:val="0"/>
      <w:divBdr>
        <w:top w:val="none" w:sz="0" w:space="0" w:color="auto"/>
        <w:left w:val="none" w:sz="0" w:space="0" w:color="auto"/>
        <w:bottom w:val="none" w:sz="0" w:space="0" w:color="auto"/>
        <w:right w:val="none" w:sz="0" w:space="0" w:color="auto"/>
      </w:divBdr>
      <w:divsChild>
        <w:div w:id="24673938">
          <w:marLeft w:val="0"/>
          <w:marRight w:val="0"/>
          <w:marTop w:val="34"/>
          <w:marBottom w:val="34"/>
          <w:divBdr>
            <w:top w:val="none" w:sz="0" w:space="0" w:color="auto"/>
            <w:left w:val="none" w:sz="0" w:space="0" w:color="auto"/>
            <w:bottom w:val="none" w:sz="0" w:space="0" w:color="auto"/>
            <w:right w:val="none" w:sz="0" w:space="0" w:color="auto"/>
          </w:divBdr>
        </w:div>
        <w:div w:id="146114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1698307" TargetMode="External"/><Relationship Id="rId5" Type="http://schemas.openxmlformats.org/officeDocument/2006/relationships/settings" Target="settings.xml"/><Relationship Id="rId10" Type="http://schemas.openxmlformats.org/officeDocument/2006/relationships/hyperlink" Target="https://clinicaltrials.gov/ct2/show/record/NCT03306446"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CE3A-BCE4-485E-9379-09539DD7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13653</Words>
  <Characters>77828</Characters>
  <Application>Microsoft Office Word</Application>
  <DocSecurity>0</DocSecurity>
  <Lines>648</Lines>
  <Paragraphs>182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Lóránt</dc:creator>
  <cp:lastModifiedBy>8613716430021</cp:lastModifiedBy>
  <cp:revision>82</cp:revision>
  <dcterms:created xsi:type="dcterms:W3CDTF">2019-10-29T16:33:00Z</dcterms:created>
  <dcterms:modified xsi:type="dcterms:W3CDTF">2019-11-05T07:40:00Z</dcterms:modified>
</cp:coreProperties>
</file>