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D5E7B" w:rsidRPr="00604CB7" w:rsidRDefault="003D5E7B" w:rsidP="003D5E7B">
      <w:pPr>
        <w:spacing w:line="360" w:lineRule="auto"/>
        <w:jc w:val="both"/>
        <w:rPr>
          <w:rFonts w:ascii="Book Antiqua" w:eastAsia="宋体" w:hAnsi="Book Antiqua" w:cs="Arial"/>
          <w:b/>
          <w:bCs/>
          <w:i/>
          <w:lang w:val="en-US" w:eastAsia="zh-CN"/>
        </w:rPr>
      </w:pPr>
      <w:r w:rsidRPr="00604CB7">
        <w:rPr>
          <w:rFonts w:ascii="Book Antiqua" w:eastAsia="宋体" w:hAnsi="Book Antiqua" w:cs="Arial"/>
          <w:b/>
          <w:bCs/>
          <w:lang w:val="en-US" w:eastAsia="zh-CN"/>
        </w:rPr>
        <w:t xml:space="preserve">Name of Journal: </w:t>
      </w:r>
      <w:r w:rsidRPr="00604CB7">
        <w:rPr>
          <w:rFonts w:ascii="Book Antiqua" w:eastAsia="宋体" w:hAnsi="Book Antiqua" w:cs="Arial"/>
          <w:bCs/>
          <w:i/>
          <w:lang w:val="en-US" w:eastAsia="zh-CN"/>
        </w:rPr>
        <w:t xml:space="preserve">World Journal of </w:t>
      </w:r>
      <w:r w:rsidRPr="00604CB7">
        <w:rPr>
          <w:rFonts w:ascii="Book Antiqua" w:hAnsi="Book Antiqua"/>
          <w:i/>
          <w:iCs/>
          <w:color w:val="000000"/>
          <w:lang w:val="en-US"/>
        </w:rPr>
        <w:t>Gastroenterology</w:t>
      </w:r>
    </w:p>
    <w:p w:rsidR="003D5E7B" w:rsidRPr="00604CB7" w:rsidRDefault="003D5E7B" w:rsidP="003D5E7B">
      <w:pPr>
        <w:spacing w:line="360" w:lineRule="auto"/>
        <w:jc w:val="both"/>
        <w:rPr>
          <w:rFonts w:ascii="Book Antiqua" w:eastAsia="宋体" w:hAnsi="Book Antiqua" w:cs="Arial"/>
          <w:b/>
          <w:bCs/>
          <w:lang w:val="en-US" w:eastAsia="zh-CN"/>
        </w:rPr>
      </w:pPr>
      <w:r w:rsidRPr="00604CB7">
        <w:rPr>
          <w:rFonts w:ascii="Book Antiqua" w:eastAsia="宋体" w:hAnsi="Book Antiqua" w:cs="Arial"/>
          <w:b/>
          <w:bCs/>
          <w:lang w:val="en-US" w:eastAsia="zh-CN"/>
        </w:rPr>
        <w:t xml:space="preserve">Manuscript NO: </w:t>
      </w:r>
      <w:r w:rsidRPr="00604CB7">
        <w:rPr>
          <w:rFonts w:ascii="Book Antiqua" w:eastAsia="宋体" w:hAnsi="Book Antiqua" w:cs="Arial"/>
          <w:bCs/>
          <w:lang w:val="en-US" w:eastAsia="zh-CN"/>
        </w:rPr>
        <w:t>54734</w:t>
      </w:r>
    </w:p>
    <w:p w:rsidR="003D5E7B" w:rsidRPr="00604CB7" w:rsidRDefault="003D5E7B" w:rsidP="003D5E7B">
      <w:pPr>
        <w:spacing w:line="360" w:lineRule="auto"/>
        <w:jc w:val="both"/>
        <w:rPr>
          <w:rFonts w:ascii="Book Antiqua" w:eastAsia="宋体" w:hAnsi="Book Antiqua" w:cs="Arial"/>
          <w:b/>
          <w:bCs/>
          <w:lang w:val="en-US" w:eastAsia="zh-CN"/>
        </w:rPr>
      </w:pPr>
      <w:bookmarkStart w:id="0" w:name="OLE_LINK4"/>
      <w:r w:rsidRPr="00604CB7">
        <w:rPr>
          <w:rFonts w:ascii="Book Antiqua" w:eastAsia="宋体" w:hAnsi="Book Antiqua"/>
          <w:b/>
          <w:color w:val="000000"/>
          <w:shd w:val="clear" w:color="auto" w:fill="FFFFFF"/>
          <w:lang w:val="en-US" w:eastAsia="en-US"/>
        </w:rPr>
        <w:t>Manuscript Type</w:t>
      </w:r>
      <w:bookmarkEnd w:id="0"/>
      <w:r w:rsidRPr="00604CB7">
        <w:rPr>
          <w:rFonts w:ascii="Book Antiqua" w:eastAsia="宋体" w:hAnsi="Book Antiqua" w:cs="Arial"/>
          <w:b/>
          <w:bCs/>
          <w:lang w:val="en-US" w:eastAsia="zh-CN"/>
        </w:rPr>
        <w:t xml:space="preserve">: </w:t>
      </w:r>
      <w:r w:rsidRPr="00604CB7">
        <w:rPr>
          <w:rFonts w:ascii="Book Antiqua" w:eastAsia="宋体" w:hAnsi="Book Antiqua" w:cs="Arial"/>
          <w:bCs/>
          <w:lang w:val="en-US" w:eastAsia="zh-CN"/>
        </w:rPr>
        <w:t>MINIREVIEWS</w:t>
      </w:r>
    </w:p>
    <w:p w:rsidR="000B52DD" w:rsidRPr="00604CB7" w:rsidRDefault="000B52DD" w:rsidP="00173527">
      <w:pPr>
        <w:snapToGrid w:val="0"/>
        <w:spacing w:line="360" w:lineRule="auto"/>
        <w:jc w:val="both"/>
        <w:rPr>
          <w:rFonts w:ascii="Book Antiqua" w:hAnsi="Book Antiqua"/>
          <w:b/>
          <w:bCs/>
          <w:color w:val="000000"/>
          <w:lang w:val="en-US"/>
        </w:rPr>
      </w:pPr>
    </w:p>
    <w:p w:rsidR="000B52DD" w:rsidRPr="00604CB7" w:rsidRDefault="003D5E7B" w:rsidP="00173527">
      <w:pPr>
        <w:snapToGrid w:val="0"/>
        <w:spacing w:line="360" w:lineRule="auto"/>
        <w:jc w:val="both"/>
        <w:rPr>
          <w:rFonts w:ascii="Book Antiqua" w:hAnsi="Book Antiqua"/>
          <w:b/>
          <w:color w:val="000000"/>
          <w:lang w:val="en-US"/>
        </w:rPr>
      </w:pPr>
      <w:bookmarkStart w:id="1" w:name="OLE_LINK12"/>
      <w:r w:rsidRPr="00604CB7">
        <w:rPr>
          <w:rFonts w:ascii="Book Antiqua" w:hAnsi="Book Antiqua"/>
          <w:b/>
          <w:bCs/>
          <w:lang w:val="en-US"/>
        </w:rPr>
        <w:t xml:space="preserve">Spontaneous </w:t>
      </w:r>
      <w:r w:rsidRPr="00604CB7">
        <w:rPr>
          <w:rFonts w:ascii="Book Antiqua" w:hAnsi="Book Antiqua"/>
          <w:b/>
          <w:bCs/>
          <w:color w:val="000000"/>
          <w:lang w:val="en-US"/>
        </w:rPr>
        <w:t>porto-systemic shunts in liver cirrhosis: Clinical and therapeutical aspects</w:t>
      </w:r>
    </w:p>
    <w:bookmarkEnd w:id="1"/>
    <w:p w:rsidR="000B52DD" w:rsidRPr="00604CB7" w:rsidRDefault="000B52DD" w:rsidP="00173527">
      <w:pPr>
        <w:snapToGrid w:val="0"/>
        <w:spacing w:line="360" w:lineRule="auto"/>
        <w:jc w:val="both"/>
        <w:rPr>
          <w:rFonts w:ascii="Book Antiqua" w:hAnsi="Book Antiqua"/>
          <w:b/>
          <w:color w:val="000000"/>
          <w:lang w:val="en-US"/>
        </w:rPr>
      </w:pPr>
    </w:p>
    <w:p w:rsidR="000B52DD" w:rsidRPr="00604CB7" w:rsidRDefault="000B52DD" w:rsidP="00173527">
      <w:pPr>
        <w:snapToGrid w:val="0"/>
        <w:spacing w:line="360" w:lineRule="auto"/>
        <w:jc w:val="both"/>
        <w:rPr>
          <w:rFonts w:ascii="Book Antiqua" w:hAnsi="Book Antiqua"/>
          <w:b/>
          <w:color w:val="000000"/>
          <w:lang w:val="en-US"/>
        </w:rPr>
      </w:pPr>
      <w:r w:rsidRPr="00604CB7">
        <w:rPr>
          <w:rFonts w:ascii="Book Antiqua" w:hAnsi="Book Antiqua"/>
          <w:color w:val="000000"/>
          <w:lang w:val="en-US"/>
        </w:rPr>
        <w:t xml:space="preserve">Nardelli S </w:t>
      </w:r>
      <w:r w:rsidRPr="00604CB7">
        <w:rPr>
          <w:rFonts w:ascii="Book Antiqua" w:hAnsi="Book Antiqua"/>
          <w:i/>
          <w:iCs/>
          <w:color w:val="000000"/>
          <w:lang w:val="en-US"/>
        </w:rPr>
        <w:t>et al</w:t>
      </w:r>
      <w:r w:rsidRPr="00604CB7">
        <w:rPr>
          <w:rFonts w:ascii="Book Antiqua" w:hAnsi="Book Antiqua"/>
          <w:color w:val="000000"/>
          <w:lang w:val="en-US"/>
        </w:rPr>
        <w:t xml:space="preserve">. </w:t>
      </w:r>
      <w:r w:rsidR="00FE41D8">
        <w:rPr>
          <w:rFonts w:ascii="Book Antiqua" w:hAnsi="Book Antiqua"/>
          <w:color w:val="000000"/>
          <w:lang w:val="en-GB"/>
        </w:rPr>
        <w:t>SPSS</w:t>
      </w:r>
      <w:r w:rsidRPr="00604CB7">
        <w:rPr>
          <w:rFonts w:ascii="Book Antiqua" w:hAnsi="Book Antiqua"/>
          <w:color w:val="000000"/>
          <w:lang w:val="en-GB"/>
        </w:rPr>
        <w:t xml:space="preserve"> in patients with cirrhosis</w:t>
      </w:r>
    </w:p>
    <w:p w:rsidR="000B52DD" w:rsidRPr="00604CB7" w:rsidRDefault="000B52DD" w:rsidP="00173527">
      <w:pPr>
        <w:snapToGrid w:val="0"/>
        <w:spacing w:line="360" w:lineRule="auto"/>
        <w:jc w:val="both"/>
        <w:rPr>
          <w:rFonts w:ascii="Book Antiqua" w:hAnsi="Book Antiqua"/>
          <w:b/>
          <w:color w:val="000000"/>
          <w:lang w:val="en-US"/>
        </w:rPr>
      </w:pPr>
    </w:p>
    <w:p w:rsidR="000B52DD" w:rsidRPr="00604CB7" w:rsidRDefault="000B52DD" w:rsidP="00173527">
      <w:pPr>
        <w:snapToGrid w:val="0"/>
        <w:spacing w:line="360" w:lineRule="auto"/>
        <w:jc w:val="both"/>
        <w:rPr>
          <w:rFonts w:ascii="Book Antiqua" w:hAnsi="Book Antiqua"/>
          <w:b/>
          <w:color w:val="000000"/>
        </w:rPr>
      </w:pPr>
      <w:r w:rsidRPr="00604CB7">
        <w:rPr>
          <w:rFonts w:ascii="Book Antiqua" w:hAnsi="Book Antiqua"/>
          <w:bCs/>
          <w:color w:val="000000"/>
          <w:shd w:val="clear" w:color="auto" w:fill="FFFFFF"/>
        </w:rPr>
        <w:t>Silvia Nardelli, Oliviero Riggio, Stefania Gioia, Marta Puzzono, Giuseppe Pelle</w:t>
      </w:r>
      <w:r w:rsidR="007B442B" w:rsidRPr="00604CB7">
        <w:rPr>
          <w:rFonts w:ascii="Book Antiqua" w:hAnsi="Book Antiqua"/>
          <w:bCs/>
          <w:color w:val="000000"/>
          <w:shd w:val="clear" w:color="auto" w:fill="FFFFFF"/>
        </w:rPr>
        <w:t>,</w:t>
      </w:r>
      <w:r w:rsidRPr="00604CB7">
        <w:rPr>
          <w:rFonts w:ascii="Book Antiqua" w:hAnsi="Book Antiqua"/>
          <w:bCs/>
          <w:color w:val="000000"/>
          <w:shd w:val="clear" w:color="auto" w:fill="FFFFFF"/>
        </w:rPr>
        <w:t xml:space="preserve"> Lorenzo Ridola</w:t>
      </w:r>
    </w:p>
    <w:p w:rsidR="000B52DD" w:rsidRPr="00604CB7" w:rsidRDefault="000B52DD" w:rsidP="00173527">
      <w:pPr>
        <w:snapToGrid w:val="0"/>
        <w:spacing w:line="360" w:lineRule="auto"/>
        <w:jc w:val="both"/>
        <w:rPr>
          <w:rFonts w:ascii="Book Antiqua" w:hAnsi="Book Antiqua"/>
          <w:b/>
          <w:color w:val="000000"/>
        </w:rPr>
      </w:pPr>
    </w:p>
    <w:p w:rsidR="000B52DD" w:rsidRPr="00604CB7" w:rsidRDefault="000B52DD" w:rsidP="00173527">
      <w:pPr>
        <w:snapToGrid w:val="0"/>
        <w:spacing w:line="360" w:lineRule="auto"/>
        <w:jc w:val="both"/>
        <w:rPr>
          <w:rFonts w:ascii="Book Antiqua" w:hAnsi="Book Antiqua"/>
          <w:bCs/>
          <w:color w:val="000000"/>
        </w:rPr>
      </w:pPr>
      <w:r w:rsidRPr="00604CB7">
        <w:rPr>
          <w:rFonts w:ascii="Book Antiqua" w:hAnsi="Book Antiqua"/>
          <w:b/>
          <w:bCs/>
          <w:color w:val="000000"/>
        </w:rPr>
        <w:t xml:space="preserve">Silvia Nardelli, </w:t>
      </w:r>
      <w:r w:rsidRPr="00604CB7">
        <w:rPr>
          <w:rFonts w:ascii="Book Antiqua" w:hAnsi="Book Antiqua"/>
          <w:b/>
          <w:bCs/>
          <w:color w:val="000000"/>
          <w:shd w:val="clear" w:color="auto" w:fill="FFFFFF"/>
        </w:rPr>
        <w:t xml:space="preserve">Oliviero Riggio, Stefania Gioia, </w:t>
      </w:r>
      <w:r w:rsidRPr="00604CB7">
        <w:rPr>
          <w:rFonts w:ascii="Book Antiqua" w:hAnsi="Book Antiqua"/>
          <w:b/>
          <w:bCs/>
          <w:color w:val="000000"/>
        </w:rPr>
        <w:t>Marta Puzzono</w:t>
      </w:r>
      <w:r w:rsidR="003D5E7B" w:rsidRPr="00604CB7">
        <w:rPr>
          <w:rFonts w:ascii="Book Antiqua" w:hAnsi="Book Antiqua"/>
          <w:b/>
          <w:bCs/>
          <w:color w:val="000000"/>
          <w:shd w:val="clear" w:color="auto" w:fill="FFFFFF"/>
        </w:rPr>
        <w:t>,</w:t>
      </w:r>
      <w:r w:rsidRPr="00604CB7">
        <w:rPr>
          <w:rFonts w:ascii="Book Antiqua" w:hAnsi="Book Antiqua"/>
          <w:b/>
          <w:bCs/>
          <w:color w:val="000000"/>
          <w:shd w:val="clear" w:color="auto" w:fill="FFFFFF"/>
        </w:rPr>
        <w:t xml:space="preserve"> Lorenzo Ridola</w:t>
      </w:r>
      <w:r w:rsidRPr="00604CB7">
        <w:rPr>
          <w:rFonts w:ascii="Book Antiqua" w:hAnsi="Book Antiqua"/>
          <w:b/>
          <w:bCs/>
          <w:color w:val="000000"/>
        </w:rPr>
        <w:t xml:space="preserve">, </w:t>
      </w:r>
      <w:r w:rsidRPr="00604CB7">
        <w:rPr>
          <w:rFonts w:ascii="Book Antiqua" w:hAnsi="Book Antiqua"/>
          <w:bCs/>
          <w:color w:val="000000"/>
        </w:rPr>
        <w:t xml:space="preserve">Department of Translational and Precision Medicine, </w:t>
      </w:r>
      <w:bookmarkStart w:id="2" w:name="OLE_LINK2"/>
      <w:bookmarkStart w:id="3" w:name="OLE_LINK1"/>
      <w:r w:rsidRPr="00604CB7">
        <w:rPr>
          <w:rFonts w:ascii="Book Antiqua" w:hAnsi="Book Antiqua"/>
          <w:bCs/>
          <w:color w:val="000000"/>
        </w:rPr>
        <w:t>“Sapienza” University of Rome</w:t>
      </w:r>
      <w:bookmarkEnd w:id="2"/>
      <w:bookmarkEnd w:id="3"/>
      <w:r w:rsidRPr="00604CB7">
        <w:rPr>
          <w:rFonts w:ascii="Book Antiqua" w:hAnsi="Book Antiqua"/>
          <w:bCs/>
          <w:color w:val="000000"/>
        </w:rPr>
        <w:t>, Rome 00185, Italy</w:t>
      </w:r>
    </w:p>
    <w:p w:rsidR="003D5E7B" w:rsidRPr="00604CB7" w:rsidRDefault="003D5E7B" w:rsidP="00173527">
      <w:pPr>
        <w:snapToGrid w:val="0"/>
        <w:spacing w:line="360" w:lineRule="auto"/>
        <w:jc w:val="both"/>
        <w:rPr>
          <w:rFonts w:ascii="Book Antiqua" w:hAnsi="Book Antiqua"/>
          <w:b/>
          <w:bCs/>
          <w:color w:val="000000"/>
        </w:rPr>
      </w:pPr>
    </w:p>
    <w:p w:rsidR="000B52DD" w:rsidRPr="00604CB7" w:rsidRDefault="000B52DD" w:rsidP="00173527">
      <w:pPr>
        <w:snapToGrid w:val="0"/>
        <w:spacing w:line="360" w:lineRule="auto"/>
        <w:jc w:val="both"/>
        <w:rPr>
          <w:rFonts w:ascii="Book Antiqua" w:hAnsi="Book Antiqua"/>
          <w:color w:val="000000"/>
        </w:rPr>
      </w:pPr>
      <w:r w:rsidRPr="00604CB7">
        <w:rPr>
          <w:rFonts w:ascii="Book Antiqua" w:hAnsi="Book Antiqua"/>
          <w:b/>
          <w:bCs/>
          <w:color w:val="000000"/>
        </w:rPr>
        <w:t xml:space="preserve">Giuseppe Pelle, </w:t>
      </w:r>
      <w:r w:rsidRPr="00604CB7">
        <w:rPr>
          <w:rFonts w:ascii="Book Antiqua" w:hAnsi="Book Antiqua"/>
          <w:color w:val="000000"/>
        </w:rPr>
        <w:t>Department of Interventional Radiology, Santa Maria Goretti Hospital, Latina 04100, Italy</w:t>
      </w:r>
    </w:p>
    <w:p w:rsidR="000B52DD" w:rsidRPr="00604CB7" w:rsidRDefault="000B52DD" w:rsidP="00173527">
      <w:pPr>
        <w:snapToGrid w:val="0"/>
        <w:spacing w:line="360" w:lineRule="auto"/>
        <w:jc w:val="both"/>
        <w:rPr>
          <w:rFonts w:ascii="Book Antiqua" w:hAnsi="Book Antiqua"/>
          <w:color w:val="000000"/>
        </w:rPr>
      </w:pPr>
    </w:p>
    <w:p w:rsidR="000B52DD" w:rsidRPr="00604CB7" w:rsidRDefault="000B52DD" w:rsidP="00173527">
      <w:pPr>
        <w:snapToGrid w:val="0"/>
        <w:spacing w:line="360" w:lineRule="auto"/>
        <w:jc w:val="both"/>
        <w:rPr>
          <w:rFonts w:ascii="Book Antiqua" w:hAnsi="Book Antiqua"/>
          <w:b/>
          <w:color w:val="000000"/>
          <w:lang w:val="en-US"/>
        </w:rPr>
      </w:pPr>
      <w:bookmarkStart w:id="4" w:name="_Hlk13494459"/>
      <w:r w:rsidRPr="00604CB7">
        <w:rPr>
          <w:rFonts w:ascii="Book Antiqua" w:hAnsi="Book Antiqua"/>
          <w:b/>
          <w:bCs/>
          <w:color w:val="000000"/>
          <w:lang w:val="en-US"/>
        </w:rPr>
        <w:t>Author contributions</w:t>
      </w:r>
      <w:r w:rsidRPr="00604CB7">
        <w:rPr>
          <w:rFonts w:ascii="Book Antiqua" w:hAnsi="Book Antiqua"/>
          <w:bCs/>
          <w:color w:val="000000"/>
          <w:lang w:val="en-US"/>
        </w:rPr>
        <w:t>:</w:t>
      </w:r>
      <w:bookmarkEnd w:id="4"/>
      <w:r w:rsidRPr="00604CB7">
        <w:rPr>
          <w:rFonts w:ascii="Book Antiqua" w:hAnsi="Book Antiqua"/>
          <w:color w:val="000000"/>
          <w:lang w:val="en-US"/>
        </w:rPr>
        <w:t xml:space="preserve"> Nardelli S and Ridola L drafted the article; Nardelli S, Riggio O and Ridola L contributed to critical revision of the article for important intellectual content; Nardelli S, Puzzono M and Gioia S contributed to conception and design; Pelle G contributed to shunts figures</w:t>
      </w:r>
      <w:r w:rsidR="003D5E7B" w:rsidRPr="00604CB7">
        <w:rPr>
          <w:rFonts w:ascii="Book Antiqua" w:hAnsi="Book Antiqua"/>
          <w:color w:val="000000"/>
          <w:lang w:val="en-US"/>
        </w:rPr>
        <w:t>;</w:t>
      </w:r>
      <w:r w:rsidRPr="00604CB7">
        <w:rPr>
          <w:rFonts w:ascii="Book Antiqua" w:hAnsi="Book Antiqua"/>
          <w:color w:val="000000"/>
          <w:lang w:val="en-US"/>
        </w:rPr>
        <w:t xml:space="preserve"> Riggio O and Ridola L contributed to final approval of the article.</w:t>
      </w:r>
    </w:p>
    <w:p w:rsidR="000B52DD" w:rsidRPr="00604CB7" w:rsidRDefault="000B52DD" w:rsidP="00173527">
      <w:pPr>
        <w:snapToGrid w:val="0"/>
        <w:spacing w:line="360" w:lineRule="auto"/>
        <w:jc w:val="both"/>
        <w:rPr>
          <w:rFonts w:ascii="Book Antiqua" w:hAnsi="Book Antiqua"/>
          <w:b/>
          <w:color w:val="000000"/>
          <w:lang w:val="en-US"/>
        </w:rPr>
      </w:pPr>
    </w:p>
    <w:p w:rsidR="000B52DD" w:rsidRPr="00604CB7" w:rsidRDefault="000B52DD" w:rsidP="00173527">
      <w:pPr>
        <w:snapToGrid w:val="0"/>
        <w:spacing w:line="360" w:lineRule="auto"/>
        <w:jc w:val="both"/>
        <w:rPr>
          <w:rFonts w:ascii="Book Antiqua" w:hAnsi="Book Antiqua"/>
        </w:rPr>
      </w:pPr>
      <w:bookmarkStart w:id="5" w:name="OLE_LINK10"/>
      <w:bookmarkStart w:id="6" w:name="OLE_LINK11"/>
      <w:bookmarkStart w:id="7" w:name="_Hlk13492531"/>
      <w:bookmarkStart w:id="8" w:name="OLE_LINK900"/>
      <w:r w:rsidRPr="00604CB7">
        <w:rPr>
          <w:rFonts w:ascii="Book Antiqua" w:hAnsi="Book Antiqua"/>
          <w:b/>
          <w:lang w:val="en-US"/>
        </w:rPr>
        <w:t>Corresponding author:</w:t>
      </w:r>
      <w:bookmarkEnd w:id="5"/>
      <w:bookmarkEnd w:id="6"/>
      <w:bookmarkEnd w:id="7"/>
      <w:bookmarkEnd w:id="8"/>
      <w:r w:rsidRPr="00604CB7">
        <w:rPr>
          <w:rFonts w:ascii="Book Antiqua" w:hAnsi="Book Antiqua"/>
          <w:b/>
          <w:color w:val="000000"/>
          <w:lang w:val="en-US"/>
        </w:rPr>
        <w:t xml:space="preserve"> </w:t>
      </w:r>
      <w:r w:rsidRPr="00604CB7">
        <w:rPr>
          <w:rFonts w:ascii="Book Antiqua" w:hAnsi="Book Antiqua"/>
          <w:b/>
          <w:bCs/>
          <w:color w:val="000000"/>
          <w:lang w:val="en-US"/>
        </w:rPr>
        <w:t>Lorenzo Ridola,</w:t>
      </w:r>
      <w:r w:rsidRPr="00604CB7">
        <w:rPr>
          <w:rFonts w:ascii="Book Antiqua" w:hAnsi="Book Antiqua"/>
          <w:color w:val="000000"/>
          <w:lang w:val="en-US"/>
        </w:rPr>
        <w:t xml:space="preserve"> </w:t>
      </w:r>
      <w:r w:rsidRPr="00604CB7">
        <w:rPr>
          <w:rFonts w:ascii="Book Antiqua" w:hAnsi="Book Antiqua"/>
          <w:b/>
          <w:bCs/>
          <w:color w:val="000000"/>
          <w:lang w:val="en-US"/>
        </w:rPr>
        <w:t>MD, PhD, Doctor,</w:t>
      </w:r>
      <w:r w:rsidRPr="00604CB7">
        <w:rPr>
          <w:rFonts w:ascii="Book Antiqua" w:hAnsi="Book Antiqua"/>
          <w:color w:val="000000"/>
          <w:lang w:val="en-US"/>
        </w:rPr>
        <w:t xml:space="preserve"> </w:t>
      </w:r>
      <w:bookmarkStart w:id="9" w:name="OLE_LINK22"/>
      <w:r w:rsidRPr="00604CB7">
        <w:rPr>
          <w:rFonts w:ascii="Book Antiqua" w:hAnsi="Book Antiqua"/>
          <w:bCs/>
          <w:color w:val="000000"/>
          <w:lang w:val="en-US"/>
        </w:rPr>
        <w:t>Department of Translational and Precision Medicine</w:t>
      </w:r>
      <w:bookmarkEnd w:id="9"/>
      <w:r w:rsidRPr="00604CB7">
        <w:rPr>
          <w:rFonts w:ascii="Book Antiqua" w:hAnsi="Book Antiqua"/>
          <w:bCs/>
          <w:color w:val="000000"/>
          <w:lang w:val="en-US"/>
        </w:rPr>
        <w:t xml:space="preserve">, </w:t>
      </w:r>
      <w:bookmarkStart w:id="10" w:name="OLE_LINK23"/>
      <w:bookmarkStart w:id="11" w:name="OLE_LINK24"/>
      <w:r w:rsidRPr="00604CB7">
        <w:rPr>
          <w:rFonts w:ascii="Book Antiqua" w:hAnsi="Book Antiqua"/>
          <w:bCs/>
          <w:color w:val="000000"/>
          <w:lang w:val="en-US"/>
        </w:rPr>
        <w:t>“Sapienza” University of Rome</w:t>
      </w:r>
      <w:bookmarkEnd w:id="10"/>
      <w:bookmarkEnd w:id="11"/>
      <w:r w:rsidRPr="00604CB7">
        <w:rPr>
          <w:rFonts w:ascii="Book Antiqua" w:hAnsi="Book Antiqua"/>
          <w:bCs/>
          <w:color w:val="000000"/>
          <w:lang w:val="en-US"/>
        </w:rPr>
        <w:t xml:space="preserve">, </w:t>
      </w:r>
      <w:bookmarkStart w:id="12" w:name="OLE_LINK25"/>
      <w:bookmarkStart w:id="13" w:name="OLE_LINK26"/>
      <w:r w:rsidRPr="00604CB7">
        <w:rPr>
          <w:rFonts w:ascii="Book Antiqua" w:hAnsi="Book Antiqua"/>
          <w:bCs/>
          <w:color w:val="000000"/>
          <w:lang w:val="en-US"/>
        </w:rPr>
        <w:t>viale dell’Università 37</w:t>
      </w:r>
      <w:bookmarkEnd w:id="12"/>
      <w:bookmarkEnd w:id="13"/>
      <w:r w:rsidRPr="00604CB7">
        <w:rPr>
          <w:rFonts w:ascii="Book Antiqua" w:hAnsi="Book Antiqua"/>
          <w:bCs/>
          <w:color w:val="000000"/>
          <w:lang w:val="en-US"/>
        </w:rPr>
        <w:t xml:space="preserve">, Rome 00185, Italy. </w:t>
      </w:r>
      <w:hyperlink r:id="rId8" w:history="1">
        <w:r w:rsidRPr="00604CB7">
          <w:rPr>
            <w:rStyle w:val="a5"/>
            <w:rFonts w:ascii="Book Antiqua" w:hAnsi="Book Antiqua"/>
            <w:color w:val="000000"/>
            <w:u w:val="none"/>
            <w:lang w:val="it-IT"/>
          </w:rPr>
          <w:t>lorenzo.ridola@uniroma1.it</w:t>
        </w:r>
      </w:hyperlink>
    </w:p>
    <w:p w:rsidR="000B52DD" w:rsidRPr="00604CB7" w:rsidRDefault="000B52DD" w:rsidP="00173527">
      <w:pPr>
        <w:snapToGrid w:val="0"/>
        <w:spacing w:line="360" w:lineRule="auto"/>
        <w:jc w:val="both"/>
        <w:rPr>
          <w:rFonts w:ascii="Book Antiqua" w:hAnsi="Book Antiqua"/>
        </w:rPr>
      </w:pPr>
    </w:p>
    <w:p w:rsidR="001720A5" w:rsidRPr="001720A5" w:rsidRDefault="001720A5" w:rsidP="001720A5">
      <w:pPr>
        <w:snapToGrid w:val="0"/>
        <w:spacing w:line="360" w:lineRule="auto"/>
        <w:jc w:val="both"/>
        <w:rPr>
          <w:rFonts w:ascii="Book Antiqua" w:eastAsia="宋体" w:hAnsi="Book Antiqua"/>
          <w:b/>
          <w:lang w:val="en-GB" w:eastAsia="en-US"/>
        </w:rPr>
      </w:pPr>
      <w:bookmarkStart w:id="14" w:name="_Hlk28872415"/>
      <w:r w:rsidRPr="001720A5">
        <w:rPr>
          <w:rFonts w:ascii="Book Antiqua" w:eastAsia="宋体" w:hAnsi="Book Antiqua"/>
          <w:b/>
          <w:lang w:val="en-GB" w:eastAsia="en-US"/>
        </w:rPr>
        <w:t>Received:</w:t>
      </w:r>
      <w:r w:rsidRPr="001720A5">
        <w:rPr>
          <w:rFonts w:ascii="Book Antiqua" w:eastAsia="宋体" w:hAnsi="Book Antiqua" w:hint="eastAsia"/>
          <w:b/>
          <w:lang w:val="en-GB" w:eastAsia="zh-CN"/>
        </w:rPr>
        <w:t xml:space="preserve"> </w:t>
      </w:r>
      <w:r w:rsidR="00437995" w:rsidRPr="001720A5">
        <w:rPr>
          <w:rFonts w:ascii="Book Antiqua" w:eastAsia="宋体" w:hAnsi="Book Antiqua"/>
          <w:kern w:val="2"/>
          <w:lang w:val="en-US" w:eastAsia="zh-CN"/>
        </w:rPr>
        <w:t>February</w:t>
      </w:r>
      <w:r w:rsidR="00437995" w:rsidRPr="001720A5">
        <w:rPr>
          <w:rFonts w:ascii="Book Antiqua" w:eastAsia="宋体" w:hAnsi="Book Antiqua" w:hint="eastAsia"/>
          <w:kern w:val="2"/>
          <w:lang w:val="en-US" w:eastAsia="zh-CN"/>
        </w:rPr>
        <w:t xml:space="preserve"> </w:t>
      </w:r>
      <w:r w:rsidR="00437995">
        <w:rPr>
          <w:rFonts w:ascii="Book Antiqua" w:hAnsi="Book Antiqua"/>
          <w:kern w:val="2"/>
          <w:lang w:val="en-GB" w:eastAsia="zh-CN"/>
        </w:rPr>
        <w:t>15</w:t>
      </w:r>
      <w:r w:rsidRPr="001720A5">
        <w:rPr>
          <w:rFonts w:ascii="Book Antiqua" w:eastAsia="宋体" w:hAnsi="Book Antiqua"/>
          <w:lang w:val="en-GB" w:eastAsia="zh-CN"/>
        </w:rPr>
        <w:t>, 20</w:t>
      </w:r>
      <w:r w:rsidR="00437995">
        <w:rPr>
          <w:rFonts w:ascii="Book Antiqua" w:eastAsia="宋体" w:hAnsi="Book Antiqua"/>
          <w:lang w:val="en-GB" w:eastAsia="zh-CN"/>
        </w:rPr>
        <w:t>20</w:t>
      </w:r>
    </w:p>
    <w:p w:rsidR="001720A5" w:rsidRPr="001720A5" w:rsidRDefault="001720A5" w:rsidP="001720A5">
      <w:pPr>
        <w:snapToGrid w:val="0"/>
        <w:spacing w:line="360" w:lineRule="auto"/>
        <w:jc w:val="both"/>
        <w:rPr>
          <w:rFonts w:ascii="Book Antiqua" w:eastAsia="宋体" w:hAnsi="Book Antiqua"/>
          <w:b/>
          <w:lang w:val="en-GB" w:eastAsia="en-US"/>
        </w:rPr>
      </w:pPr>
      <w:r w:rsidRPr="001720A5">
        <w:rPr>
          <w:rFonts w:ascii="Book Antiqua" w:eastAsia="宋体" w:hAnsi="Book Antiqua"/>
          <w:b/>
          <w:lang w:val="en-GB" w:eastAsia="en-US"/>
        </w:rPr>
        <w:t>Revised:</w:t>
      </w:r>
      <w:r w:rsidRPr="001720A5">
        <w:rPr>
          <w:rFonts w:ascii="Book Antiqua" w:eastAsia="宋体" w:hAnsi="Book Antiqua" w:hint="eastAsia"/>
          <w:lang w:val="en-GB" w:eastAsia="zh-CN"/>
        </w:rPr>
        <w:t xml:space="preserve"> </w:t>
      </w:r>
      <w:r w:rsidR="00437995">
        <w:rPr>
          <w:rFonts w:ascii="Book Antiqua" w:eastAsia="宋体" w:hAnsi="Book Antiqua"/>
          <w:kern w:val="2"/>
          <w:lang w:val="en-US" w:eastAsia="zh-CN"/>
        </w:rPr>
        <w:t>March</w:t>
      </w:r>
      <w:r w:rsidRPr="001720A5">
        <w:rPr>
          <w:rFonts w:ascii="Book Antiqua" w:eastAsia="宋体" w:hAnsi="Book Antiqua" w:hint="eastAsia"/>
          <w:kern w:val="2"/>
          <w:lang w:val="en-US" w:eastAsia="zh-CN"/>
        </w:rPr>
        <w:t xml:space="preserve"> </w:t>
      </w:r>
      <w:r w:rsidR="00437995">
        <w:rPr>
          <w:rFonts w:ascii="Book Antiqua" w:hAnsi="Book Antiqua"/>
          <w:kern w:val="2"/>
          <w:lang w:val="en-GB" w:eastAsia="zh-CN"/>
        </w:rPr>
        <w:t>21</w:t>
      </w:r>
      <w:r w:rsidRPr="001720A5">
        <w:rPr>
          <w:rFonts w:ascii="Book Antiqua" w:eastAsia="宋体" w:hAnsi="Book Antiqua"/>
          <w:lang w:val="en-GB" w:eastAsia="zh-CN"/>
        </w:rPr>
        <w:t>, 2020</w:t>
      </w:r>
    </w:p>
    <w:p w:rsidR="001720A5" w:rsidRPr="001720A5" w:rsidRDefault="001720A5" w:rsidP="001720A5">
      <w:pPr>
        <w:snapToGrid w:val="0"/>
        <w:spacing w:line="360" w:lineRule="auto"/>
        <w:jc w:val="both"/>
        <w:rPr>
          <w:rFonts w:ascii="Book Antiqua" w:eastAsia="宋体" w:hAnsi="Book Antiqua"/>
          <w:b/>
          <w:lang w:val="en-GB" w:eastAsia="en-US"/>
        </w:rPr>
      </w:pPr>
      <w:r w:rsidRPr="001720A5">
        <w:rPr>
          <w:rFonts w:ascii="Book Antiqua" w:eastAsia="宋体" w:hAnsi="Book Antiqua"/>
          <w:b/>
          <w:lang w:val="en-GB" w:eastAsia="en-US"/>
        </w:rPr>
        <w:t>Accepted:</w:t>
      </w:r>
      <w:r w:rsidR="00AA5EDD" w:rsidRPr="00AA5EDD">
        <w:t xml:space="preserve"> </w:t>
      </w:r>
      <w:r w:rsidR="00AA5EDD" w:rsidRPr="00AA5EDD">
        <w:rPr>
          <w:rFonts w:ascii="Book Antiqua" w:eastAsia="宋体" w:hAnsi="Book Antiqua"/>
          <w:bCs/>
          <w:lang w:val="en-GB" w:eastAsia="en-US"/>
        </w:rPr>
        <w:t>March 27, 2020</w:t>
      </w:r>
      <w:r w:rsidRPr="00AA5EDD">
        <w:rPr>
          <w:rFonts w:ascii="Calibri" w:eastAsia="宋体" w:hAnsi="Calibri"/>
          <w:bCs/>
          <w:lang w:val="el-GR" w:eastAsia="en-US"/>
        </w:rPr>
        <w:t xml:space="preserve"> </w:t>
      </w:r>
    </w:p>
    <w:p w:rsidR="001720A5" w:rsidRPr="00604CB7" w:rsidRDefault="001720A5" w:rsidP="001720A5">
      <w:pPr>
        <w:snapToGrid w:val="0"/>
        <w:spacing w:line="360" w:lineRule="auto"/>
        <w:jc w:val="both"/>
        <w:rPr>
          <w:rFonts w:ascii="Book Antiqua" w:eastAsia="宋体" w:hAnsi="Book Antiqua" w:hint="eastAsia"/>
          <w:b/>
          <w:lang w:val="en-GB" w:eastAsia="zh-CN"/>
        </w:rPr>
      </w:pPr>
      <w:r w:rsidRPr="001720A5">
        <w:rPr>
          <w:rFonts w:ascii="Book Antiqua" w:eastAsia="宋体" w:hAnsi="Book Antiqua"/>
          <w:b/>
          <w:lang w:val="en-GB" w:eastAsia="en-US"/>
        </w:rPr>
        <w:t>Published online:</w:t>
      </w:r>
      <w:r w:rsidR="007837D4">
        <w:rPr>
          <w:rFonts w:ascii="Book Antiqua" w:eastAsia="宋体" w:hAnsi="Book Antiqua" w:hint="eastAsia"/>
          <w:b/>
          <w:lang w:val="en-GB" w:eastAsia="zh-CN"/>
        </w:rPr>
        <w:t xml:space="preserve"> </w:t>
      </w:r>
      <w:r w:rsidR="007837D4" w:rsidRPr="007837D4">
        <w:rPr>
          <w:rFonts w:ascii="Book Antiqua" w:eastAsia="宋体" w:hAnsi="Book Antiqua" w:hint="eastAsia"/>
          <w:lang w:val="en-GB" w:eastAsia="zh-CN"/>
        </w:rPr>
        <w:t>April 21, 2020</w:t>
      </w:r>
    </w:p>
    <w:p w:rsidR="000B52DD" w:rsidRPr="00604CB7" w:rsidRDefault="001720A5" w:rsidP="00173527">
      <w:pPr>
        <w:snapToGrid w:val="0"/>
        <w:spacing w:line="360" w:lineRule="auto"/>
        <w:jc w:val="both"/>
        <w:rPr>
          <w:rFonts w:ascii="Book Antiqua" w:eastAsia="宋体" w:hAnsi="Book Antiqua"/>
          <w:b/>
          <w:lang w:val="en-GB" w:eastAsia="zh-CN"/>
        </w:rPr>
      </w:pPr>
      <w:r w:rsidRPr="00604CB7">
        <w:rPr>
          <w:rFonts w:ascii="Book Antiqua" w:eastAsia="宋体" w:hAnsi="Book Antiqua"/>
          <w:b/>
          <w:lang w:val="en-GB" w:eastAsia="en-US"/>
        </w:rPr>
        <w:br w:type="page"/>
      </w:r>
      <w:bookmarkEnd w:id="14"/>
      <w:r w:rsidR="000B52DD" w:rsidRPr="00604CB7">
        <w:rPr>
          <w:rFonts w:ascii="Book Antiqua" w:hAnsi="Book Antiqua"/>
          <w:b/>
          <w:color w:val="222222"/>
          <w:lang w:val="en-US"/>
        </w:rPr>
        <w:lastRenderedPageBreak/>
        <w:t xml:space="preserve">Abstract </w:t>
      </w:r>
    </w:p>
    <w:p w:rsidR="000B52DD" w:rsidRPr="00604CB7" w:rsidRDefault="000B52DD" w:rsidP="00173527">
      <w:pPr>
        <w:pStyle w:val="Reference"/>
        <w:numPr>
          <w:ilvl w:val="0"/>
          <w:numId w:val="0"/>
        </w:numPr>
        <w:snapToGrid w:val="0"/>
        <w:spacing w:line="360" w:lineRule="auto"/>
        <w:rPr>
          <w:rFonts w:ascii="Book Antiqua" w:eastAsia="Times New Roman" w:hAnsi="Book Antiqua" w:cs="Times New Roman"/>
          <w:color w:val="000000"/>
          <w:lang w:val="en-US"/>
        </w:rPr>
      </w:pPr>
      <w:r w:rsidRPr="00604CB7">
        <w:rPr>
          <w:rFonts w:ascii="Book Antiqua" w:eastAsia="Times New Roman" w:hAnsi="Book Antiqua" w:cs="Times New Roman"/>
          <w:color w:val="000000"/>
          <w:lang w:val="en-US"/>
        </w:rPr>
        <w:t xml:space="preserve">Spontaneous porto-systemic shunts (SPSS) are frequent in liver cirrhosis and their prevalence increases as liver function deteriorates, probably as a consequence of worsening portal hypertension, but without achieving an effective protection against cirrhosis' complications. Several types of SPSS have been described in the literature, each one associated with different clinical manifestations. In particular, recurrent or persistent hepatic encephalopathy is more frequent in patients with splenorenal shunt, while the presence of gastric varices and consequently the incidence of variceal bleeding is more common in gastrorenal shunt. In the advanced stage, the presence of large SPSS can lead to the so called “portosystemic shunt syndrome”, characterized by a progressive deterioration of hepatic function, hepatic encephalopathy and, sometimes, portal vein thrombosis. The detection of SPSS in patients with liver cirrhosis is recommended in order to prevent or treat recurrent </w:t>
      </w:r>
      <w:r w:rsidR="001720A5" w:rsidRPr="00604CB7">
        <w:rPr>
          <w:rFonts w:ascii="Book Antiqua" w:eastAsia="Times New Roman" w:hAnsi="Book Antiqua" w:cs="Times New Roman"/>
          <w:color w:val="000000"/>
          <w:lang w:val="en-US"/>
        </w:rPr>
        <w:t xml:space="preserve">hepatic encephalopathy </w:t>
      </w:r>
      <w:r w:rsidRPr="00604CB7">
        <w:rPr>
          <w:rFonts w:ascii="Book Antiqua" w:eastAsia="Times New Roman" w:hAnsi="Book Antiqua" w:cs="Times New Roman"/>
          <w:color w:val="000000"/>
          <w:lang w:val="en-US"/>
        </w:rPr>
        <w:t xml:space="preserve">or variceal bleeding. </w:t>
      </w:r>
    </w:p>
    <w:p w:rsidR="000B52DD" w:rsidRPr="00604CB7" w:rsidRDefault="000B52DD" w:rsidP="00173527">
      <w:pPr>
        <w:pStyle w:val="Reference"/>
        <w:numPr>
          <w:ilvl w:val="0"/>
          <w:numId w:val="0"/>
        </w:numPr>
        <w:snapToGrid w:val="0"/>
        <w:spacing w:line="360" w:lineRule="auto"/>
        <w:rPr>
          <w:rFonts w:ascii="Book Antiqua" w:eastAsia="Times New Roman" w:hAnsi="Book Antiqua" w:cs="Times New Roman"/>
          <w:color w:val="000000"/>
          <w:lang w:val="en-US"/>
        </w:rPr>
      </w:pPr>
    </w:p>
    <w:p w:rsidR="000B52DD" w:rsidRPr="00604CB7" w:rsidRDefault="000B52DD" w:rsidP="00173527">
      <w:pPr>
        <w:pStyle w:val="Reference"/>
        <w:numPr>
          <w:ilvl w:val="0"/>
          <w:numId w:val="0"/>
        </w:numPr>
        <w:snapToGrid w:val="0"/>
        <w:spacing w:line="360" w:lineRule="auto"/>
        <w:rPr>
          <w:rFonts w:ascii="Book Antiqua" w:eastAsia="Times New Roman" w:hAnsi="Book Antiqua" w:cs="Times New Roman"/>
          <w:color w:val="000000"/>
          <w:lang w:val="en-US"/>
        </w:rPr>
      </w:pPr>
      <w:r w:rsidRPr="00604CB7">
        <w:rPr>
          <w:rFonts w:ascii="Book Antiqua" w:eastAsia="Times New Roman" w:hAnsi="Book Antiqua" w:cs="Times New Roman"/>
          <w:b/>
          <w:lang w:val="en-US"/>
        </w:rPr>
        <w:t xml:space="preserve">Key words: </w:t>
      </w:r>
      <w:r w:rsidR="001720A5" w:rsidRPr="00604CB7">
        <w:rPr>
          <w:rFonts w:ascii="Book Antiqua" w:eastAsia="Times New Roman" w:hAnsi="Book Antiqua" w:cs="Times New Roman"/>
          <w:lang w:val="en-US"/>
        </w:rPr>
        <w:t>Porto</w:t>
      </w:r>
      <w:r w:rsidRPr="00604CB7">
        <w:rPr>
          <w:rFonts w:ascii="Book Antiqua" w:eastAsia="Times New Roman" w:hAnsi="Book Antiqua" w:cs="Times New Roman"/>
          <w:lang w:val="en-US"/>
        </w:rPr>
        <w:t>-systemic shunts</w:t>
      </w:r>
      <w:r w:rsidR="001720A5" w:rsidRPr="00604CB7">
        <w:rPr>
          <w:rFonts w:ascii="Book Antiqua" w:eastAsia="Times New Roman" w:hAnsi="Book Antiqua" w:cs="Times New Roman"/>
          <w:lang w:val="en-US"/>
        </w:rPr>
        <w:t>;</w:t>
      </w:r>
      <w:r w:rsidRPr="00604CB7">
        <w:rPr>
          <w:rFonts w:ascii="Book Antiqua" w:eastAsia="Times New Roman" w:hAnsi="Book Antiqua" w:cs="Times New Roman"/>
          <w:lang w:val="en-US"/>
        </w:rPr>
        <w:t xml:space="preserve"> </w:t>
      </w:r>
      <w:r w:rsidR="001720A5" w:rsidRPr="00604CB7">
        <w:rPr>
          <w:rFonts w:ascii="Book Antiqua" w:eastAsia="Times New Roman" w:hAnsi="Book Antiqua" w:cs="Times New Roman"/>
          <w:lang w:val="en-US"/>
        </w:rPr>
        <w:t xml:space="preserve">Liver </w:t>
      </w:r>
      <w:r w:rsidRPr="00604CB7">
        <w:rPr>
          <w:rFonts w:ascii="Book Antiqua" w:eastAsia="Times New Roman" w:hAnsi="Book Antiqua" w:cs="Times New Roman"/>
          <w:lang w:val="en-US"/>
        </w:rPr>
        <w:t>cirrhosis</w:t>
      </w:r>
      <w:r w:rsidR="001720A5" w:rsidRPr="00604CB7">
        <w:rPr>
          <w:rFonts w:ascii="Book Antiqua" w:eastAsia="Times New Roman" w:hAnsi="Book Antiqua" w:cs="Times New Roman"/>
          <w:lang w:val="en-US"/>
        </w:rPr>
        <w:t>;</w:t>
      </w:r>
      <w:r w:rsidRPr="00604CB7">
        <w:rPr>
          <w:rFonts w:ascii="Book Antiqua" w:eastAsia="Times New Roman" w:hAnsi="Book Antiqua" w:cs="Times New Roman"/>
          <w:lang w:val="en-US"/>
        </w:rPr>
        <w:t xml:space="preserve"> </w:t>
      </w:r>
      <w:r w:rsidR="001720A5" w:rsidRPr="00604CB7">
        <w:rPr>
          <w:rFonts w:ascii="Book Antiqua" w:eastAsia="Times New Roman" w:hAnsi="Book Antiqua" w:cs="Times New Roman"/>
          <w:lang w:val="en-US"/>
        </w:rPr>
        <w:t xml:space="preserve">Variceal </w:t>
      </w:r>
      <w:r w:rsidRPr="00604CB7">
        <w:rPr>
          <w:rFonts w:ascii="Book Antiqua" w:eastAsia="Times New Roman" w:hAnsi="Book Antiqua" w:cs="Times New Roman"/>
          <w:lang w:val="en-US"/>
        </w:rPr>
        <w:t>bleeding</w:t>
      </w:r>
      <w:r w:rsidR="001720A5" w:rsidRPr="00604CB7">
        <w:rPr>
          <w:rFonts w:ascii="Book Antiqua" w:eastAsia="Times New Roman" w:hAnsi="Book Antiqua" w:cs="Times New Roman"/>
          <w:lang w:val="en-US"/>
        </w:rPr>
        <w:t>;</w:t>
      </w:r>
      <w:r w:rsidRPr="00604CB7">
        <w:rPr>
          <w:rFonts w:ascii="Book Antiqua" w:eastAsia="Times New Roman" w:hAnsi="Book Antiqua" w:cs="Times New Roman"/>
          <w:lang w:val="en-US"/>
        </w:rPr>
        <w:t xml:space="preserve"> </w:t>
      </w:r>
      <w:r w:rsidR="001720A5" w:rsidRPr="00604CB7">
        <w:rPr>
          <w:rFonts w:ascii="Book Antiqua" w:eastAsia="Times New Roman" w:hAnsi="Book Antiqua" w:cs="Times New Roman"/>
          <w:lang w:val="en-US"/>
        </w:rPr>
        <w:t xml:space="preserve">Hepatic </w:t>
      </w:r>
      <w:r w:rsidRPr="00604CB7">
        <w:rPr>
          <w:rFonts w:ascii="Book Antiqua" w:eastAsia="Times New Roman" w:hAnsi="Book Antiqua" w:cs="Times New Roman"/>
          <w:lang w:val="en-US"/>
        </w:rPr>
        <w:t>encephalopathy</w:t>
      </w:r>
      <w:r w:rsidR="001720A5" w:rsidRPr="00604CB7">
        <w:rPr>
          <w:rFonts w:ascii="Book Antiqua" w:eastAsia="Times New Roman" w:hAnsi="Book Antiqua" w:cs="Times New Roman"/>
          <w:lang w:val="en-US"/>
        </w:rPr>
        <w:t>;</w:t>
      </w:r>
      <w:r w:rsidRPr="00604CB7">
        <w:rPr>
          <w:rFonts w:ascii="Book Antiqua" w:eastAsia="Times New Roman" w:hAnsi="Book Antiqua" w:cs="Times New Roman"/>
          <w:lang w:val="en-US"/>
        </w:rPr>
        <w:t xml:space="preserve"> </w:t>
      </w:r>
      <w:r w:rsidR="001720A5" w:rsidRPr="00604CB7">
        <w:rPr>
          <w:rFonts w:ascii="Book Antiqua" w:eastAsia="Times New Roman" w:hAnsi="Book Antiqua" w:cs="Times New Roman"/>
          <w:lang w:val="en-US"/>
        </w:rPr>
        <w:t xml:space="preserve">Portal </w:t>
      </w:r>
      <w:r w:rsidRPr="00604CB7">
        <w:rPr>
          <w:rFonts w:ascii="Book Antiqua" w:eastAsia="Times New Roman" w:hAnsi="Book Antiqua" w:cs="Times New Roman"/>
          <w:lang w:val="en-US"/>
        </w:rPr>
        <w:t>vein thrombosis</w:t>
      </w:r>
      <w:r w:rsidR="001720A5" w:rsidRPr="00604CB7">
        <w:rPr>
          <w:rFonts w:ascii="Book Antiqua" w:eastAsia="Times New Roman" w:hAnsi="Book Antiqua" w:cs="Times New Roman"/>
          <w:lang w:val="en-US"/>
        </w:rPr>
        <w:t>;</w:t>
      </w:r>
      <w:r w:rsidRPr="00604CB7">
        <w:rPr>
          <w:rFonts w:ascii="Book Antiqua" w:eastAsia="Times New Roman" w:hAnsi="Book Antiqua" w:cs="Times New Roman"/>
          <w:lang w:val="en-US"/>
        </w:rPr>
        <w:t xml:space="preserve"> </w:t>
      </w:r>
      <w:r w:rsidR="001720A5" w:rsidRPr="00604CB7">
        <w:rPr>
          <w:rFonts w:ascii="Book Antiqua" w:eastAsia="Times New Roman" w:hAnsi="Book Antiqua" w:cs="Times New Roman"/>
          <w:lang w:val="en-US"/>
        </w:rPr>
        <w:t>Porto</w:t>
      </w:r>
      <w:r w:rsidRPr="00604CB7">
        <w:rPr>
          <w:rFonts w:ascii="Book Antiqua" w:eastAsia="Times New Roman" w:hAnsi="Book Antiqua" w:cs="Times New Roman"/>
          <w:lang w:val="en-US"/>
        </w:rPr>
        <w:t>-systemic shunt syndrome</w:t>
      </w:r>
    </w:p>
    <w:p w:rsidR="000B52DD" w:rsidRPr="00604CB7" w:rsidRDefault="000B52DD" w:rsidP="00173527">
      <w:pPr>
        <w:pStyle w:val="Reference"/>
        <w:numPr>
          <w:ilvl w:val="0"/>
          <w:numId w:val="0"/>
        </w:numPr>
        <w:snapToGrid w:val="0"/>
        <w:spacing w:line="360" w:lineRule="auto"/>
        <w:rPr>
          <w:rFonts w:ascii="Book Antiqua" w:eastAsia="Times New Roman" w:hAnsi="Book Antiqua" w:cs="Times New Roman"/>
          <w:color w:val="000000"/>
          <w:lang w:val="en-US"/>
        </w:rPr>
      </w:pPr>
    </w:p>
    <w:p w:rsidR="007837D4" w:rsidRDefault="007837D4" w:rsidP="007837D4">
      <w:pPr>
        <w:snapToGrid w:val="0"/>
        <w:spacing w:line="360" w:lineRule="auto"/>
        <w:rPr>
          <w:rFonts w:ascii="Book Antiqua" w:eastAsia="宋体" w:hAnsi="Book Antiqua" w:cs="Arial" w:hint="eastAsia"/>
          <w:bCs/>
          <w:lang w:eastAsia="zh-CN"/>
        </w:rPr>
      </w:pPr>
      <w:r w:rsidRPr="007837D4">
        <w:rPr>
          <w:rFonts w:ascii="Book Antiqua" w:hAnsi="Book Antiqua" w:hint="eastAsia"/>
          <w:b/>
          <w:bCs/>
          <w:color w:val="000000"/>
          <w:shd w:val="clear" w:color="auto" w:fill="FFFFFF"/>
          <w:lang w:eastAsia="zh-CN"/>
        </w:rPr>
        <w:t xml:space="preserve">Citation: </w:t>
      </w:r>
      <w:r w:rsidRPr="00604CB7">
        <w:rPr>
          <w:rFonts w:ascii="Book Antiqua" w:hAnsi="Book Antiqua"/>
          <w:bCs/>
          <w:color w:val="000000"/>
          <w:shd w:val="clear" w:color="auto" w:fill="FFFFFF"/>
        </w:rPr>
        <w:t>Nardelli S, Riggio O, Gioia S, Puzzono M, Pelle G, Ridola L</w:t>
      </w:r>
      <w:r w:rsidRPr="00604CB7">
        <w:rPr>
          <w:rFonts w:ascii="Book Antiqua" w:hAnsi="Book Antiqua" w:hint="eastAsia"/>
          <w:bCs/>
          <w:color w:val="000000"/>
        </w:rPr>
        <w:t>.</w:t>
      </w:r>
      <w:r w:rsidRPr="00604CB7">
        <w:rPr>
          <w:rFonts w:ascii="Book Antiqua" w:hAnsi="Book Antiqua"/>
        </w:rPr>
        <w:t xml:space="preserve"> Spontaneous </w:t>
      </w:r>
      <w:r w:rsidRPr="00604CB7">
        <w:rPr>
          <w:rFonts w:ascii="Book Antiqua" w:hAnsi="Book Antiqua"/>
          <w:color w:val="000000"/>
        </w:rPr>
        <w:t>porto-systemic shunts in liver cirrhosis: Clinical and therapeutical aspects</w:t>
      </w:r>
      <w:r w:rsidRPr="00604CB7">
        <w:rPr>
          <w:rFonts w:ascii="Book Antiqua" w:hAnsi="Book Antiqua" w:hint="eastAsia"/>
          <w:color w:val="000000"/>
        </w:rPr>
        <w:t>.</w:t>
      </w:r>
      <w:r w:rsidRPr="00604CB7">
        <w:rPr>
          <w:rFonts w:ascii="Book Antiqua" w:hAnsi="Book Antiqua"/>
          <w:color w:val="000000"/>
        </w:rPr>
        <w:t xml:space="preserve"> </w:t>
      </w:r>
      <w:r w:rsidRPr="007B442B">
        <w:rPr>
          <w:rFonts w:ascii="Book Antiqua" w:eastAsia="宋体" w:hAnsi="Book Antiqua" w:cs="Arial"/>
          <w:bCs/>
          <w:i/>
          <w:iCs/>
          <w:lang w:eastAsia="en-US"/>
        </w:rPr>
        <w:t xml:space="preserve">World J Gastroenterol </w:t>
      </w:r>
      <w:r w:rsidRPr="00F27BE5">
        <w:rPr>
          <w:rFonts w:ascii="Book Antiqua" w:eastAsia="宋体" w:hAnsi="Book Antiqua" w:cs="Arial"/>
          <w:bCs/>
          <w:lang w:eastAsia="en-US"/>
        </w:rPr>
        <w:t>2020; 26(1</w:t>
      </w:r>
      <w:r>
        <w:rPr>
          <w:rFonts w:ascii="Book Antiqua" w:eastAsia="宋体" w:hAnsi="Book Antiqua" w:cs="Arial" w:hint="eastAsia"/>
          <w:bCs/>
        </w:rPr>
        <w:t>5</w:t>
      </w:r>
      <w:r w:rsidRPr="00F27BE5">
        <w:rPr>
          <w:rFonts w:ascii="Book Antiqua" w:eastAsia="宋体" w:hAnsi="Book Antiqua" w:cs="Arial"/>
          <w:bCs/>
          <w:lang w:eastAsia="en-US"/>
        </w:rPr>
        <w:t xml:space="preserve">): </w:t>
      </w:r>
      <w:r>
        <w:rPr>
          <w:rFonts w:ascii="Book Antiqua" w:eastAsia="宋体" w:hAnsi="Book Antiqua" w:cs="Arial" w:hint="eastAsia"/>
          <w:bCs/>
        </w:rPr>
        <w:t>1726</w:t>
      </w:r>
      <w:r w:rsidRPr="00F27BE5">
        <w:rPr>
          <w:rFonts w:ascii="Book Antiqua" w:eastAsia="宋体" w:hAnsi="Book Antiqua" w:cs="Arial"/>
          <w:bCs/>
          <w:lang w:eastAsia="en-US"/>
        </w:rPr>
        <w:t>-</w:t>
      </w:r>
      <w:r>
        <w:rPr>
          <w:rFonts w:ascii="Book Antiqua" w:eastAsia="宋体" w:hAnsi="Book Antiqua" w:cs="Arial" w:hint="eastAsia"/>
          <w:bCs/>
        </w:rPr>
        <w:t>1732</w:t>
      </w:r>
      <w:r w:rsidRPr="00F27BE5">
        <w:rPr>
          <w:rFonts w:ascii="Book Antiqua" w:eastAsia="宋体" w:hAnsi="Book Antiqua" w:cs="Arial"/>
          <w:bCs/>
          <w:lang w:eastAsia="en-US"/>
        </w:rPr>
        <w:t xml:space="preserve">  </w:t>
      </w:r>
    </w:p>
    <w:p w:rsidR="007837D4" w:rsidRDefault="007837D4" w:rsidP="007837D4">
      <w:pPr>
        <w:snapToGrid w:val="0"/>
        <w:spacing w:line="360" w:lineRule="auto"/>
        <w:rPr>
          <w:rFonts w:ascii="Book Antiqua" w:eastAsia="宋体" w:hAnsi="Book Antiqua" w:cs="Arial" w:hint="eastAsia"/>
          <w:bCs/>
          <w:lang w:eastAsia="zh-CN"/>
        </w:rPr>
      </w:pPr>
      <w:r w:rsidRPr="007837D4">
        <w:rPr>
          <w:rFonts w:ascii="Book Antiqua" w:eastAsia="宋体" w:hAnsi="Book Antiqua" w:cs="Arial"/>
          <w:b/>
          <w:bCs/>
          <w:lang w:eastAsia="en-US"/>
        </w:rPr>
        <w:t>URL:</w:t>
      </w:r>
      <w:r w:rsidRPr="00F27BE5">
        <w:rPr>
          <w:rFonts w:ascii="Book Antiqua" w:eastAsia="宋体" w:hAnsi="Book Antiqua" w:cs="Arial"/>
          <w:bCs/>
          <w:lang w:eastAsia="en-US"/>
        </w:rPr>
        <w:t xml:space="preserve"> https://www.wjgnet.com/1007-9327/full/v26/i1</w:t>
      </w:r>
      <w:r>
        <w:rPr>
          <w:rFonts w:ascii="Book Antiqua" w:eastAsia="宋体" w:hAnsi="Book Antiqua" w:cs="Arial" w:hint="eastAsia"/>
          <w:bCs/>
        </w:rPr>
        <w:t>5</w:t>
      </w:r>
      <w:r w:rsidRPr="00F27BE5">
        <w:rPr>
          <w:rFonts w:ascii="Book Antiqua" w:eastAsia="宋体" w:hAnsi="Book Antiqua" w:cs="Arial"/>
          <w:bCs/>
          <w:lang w:eastAsia="en-US"/>
        </w:rPr>
        <w:t>/</w:t>
      </w:r>
      <w:r>
        <w:rPr>
          <w:rFonts w:ascii="Book Antiqua" w:eastAsia="宋体" w:hAnsi="Book Antiqua" w:cs="Arial" w:hint="eastAsia"/>
          <w:bCs/>
        </w:rPr>
        <w:t>1726</w:t>
      </w:r>
      <w:r w:rsidRPr="00F27BE5">
        <w:rPr>
          <w:rFonts w:ascii="Book Antiqua" w:eastAsia="宋体" w:hAnsi="Book Antiqua" w:cs="Arial"/>
          <w:bCs/>
          <w:lang w:eastAsia="en-US"/>
        </w:rPr>
        <w:t xml:space="preserve">.htm  </w:t>
      </w:r>
    </w:p>
    <w:p w:rsidR="007837D4" w:rsidRDefault="007837D4" w:rsidP="007837D4">
      <w:pPr>
        <w:snapToGrid w:val="0"/>
        <w:spacing w:line="360" w:lineRule="auto"/>
        <w:rPr>
          <w:rFonts w:ascii="Book Antiqua" w:eastAsia="宋体" w:hAnsi="Book Antiqua" w:cs="Arial"/>
          <w:bCs/>
        </w:rPr>
      </w:pPr>
      <w:r w:rsidRPr="007837D4">
        <w:rPr>
          <w:rFonts w:ascii="Book Antiqua" w:eastAsia="宋体" w:hAnsi="Book Antiqua" w:cs="Arial"/>
          <w:b/>
          <w:bCs/>
          <w:lang w:eastAsia="en-US"/>
        </w:rPr>
        <w:t xml:space="preserve">DOI: </w:t>
      </w:r>
      <w:hyperlink r:id="rId9" w:history="1">
        <w:r w:rsidRPr="003E27BB">
          <w:rPr>
            <w:rStyle w:val="a5"/>
            <w:rFonts w:ascii="Book Antiqua" w:eastAsia="宋体" w:hAnsi="Book Antiqua" w:cs="Arial"/>
            <w:bCs/>
            <w:lang w:eastAsia="en-US"/>
          </w:rPr>
          <w:t>https://dx.doi.org/10.3748/wjg.v26.i1</w:t>
        </w:r>
        <w:r w:rsidRPr="003E27BB">
          <w:rPr>
            <w:rStyle w:val="a5"/>
            <w:rFonts w:ascii="Book Antiqua" w:eastAsia="宋体" w:hAnsi="Book Antiqua" w:cs="Arial" w:hint="eastAsia"/>
            <w:bCs/>
          </w:rPr>
          <w:t>5</w:t>
        </w:r>
        <w:r w:rsidRPr="003E27BB">
          <w:rPr>
            <w:rStyle w:val="a5"/>
            <w:rFonts w:ascii="Book Antiqua" w:eastAsia="宋体" w:hAnsi="Book Antiqua" w:cs="Arial"/>
            <w:bCs/>
            <w:lang w:eastAsia="en-US"/>
          </w:rPr>
          <w:t>.</w:t>
        </w:r>
        <w:r w:rsidRPr="003E27BB">
          <w:rPr>
            <w:rStyle w:val="a5"/>
            <w:rFonts w:ascii="Book Antiqua" w:eastAsia="宋体" w:hAnsi="Book Antiqua" w:cs="Arial" w:hint="eastAsia"/>
            <w:bCs/>
          </w:rPr>
          <w:t>1726</w:t>
        </w:r>
      </w:hyperlink>
    </w:p>
    <w:p w:rsidR="007B442B" w:rsidRPr="00604CB7" w:rsidRDefault="007B442B" w:rsidP="00173527">
      <w:pPr>
        <w:pStyle w:val="Reference"/>
        <w:numPr>
          <w:ilvl w:val="0"/>
          <w:numId w:val="0"/>
        </w:numPr>
        <w:snapToGrid w:val="0"/>
        <w:spacing w:line="360" w:lineRule="auto"/>
        <w:rPr>
          <w:rFonts w:ascii="Book Antiqua" w:eastAsia="Times New Roman" w:hAnsi="Book Antiqua" w:cs="Times New Roman"/>
          <w:color w:val="000000"/>
          <w:lang w:val="en-US"/>
        </w:rPr>
      </w:pPr>
    </w:p>
    <w:p w:rsidR="000B52DD" w:rsidRPr="00604CB7" w:rsidRDefault="000B52DD" w:rsidP="00173527">
      <w:pPr>
        <w:pStyle w:val="Reference"/>
        <w:numPr>
          <w:ilvl w:val="0"/>
          <w:numId w:val="0"/>
        </w:numPr>
        <w:snapToGrid w:val="0"/>
        <w:spacing w:line="360" w:lineRule="auto"/>
        <w:rPr>
          <w:rFonts w:ascii="Book Antiqua" w:eastAsia="Times New Roman" w:hAnsi="Book Antiqua" w:cs="Times New Roman"/>
          <w:color w:val="000000"/>
          <w:lang w:val="en-US"/>
        </w:rPr>
      </w:pPr>
      <w:r w:rsidRPr="00604CB7">
        <w:rPr>
          <w:rFonts w:ascii="Book Antiqua" w:eastAsia="Times New Roman" w:hAnsi="Book Antiqua" w:cs="Times New Roman"/>
          <w:b/>
          <w:lang w:val="en-US"/>
        </w:rPr>
        <w:t xml:space="preserve">Core tip: </w:t>
      </w:r>
      <w:r w:rsidRPr="00604CB7">
        <w:rPr>
          <w:rFonts w:ascii="Book Antiqua" w:eastAsia="Times New Roman" w:hAnsi="Book Antiqua" w:cs="Times New Roman"/>
          <w:lang w:val="en-US"/>
        </w:rPr>
        <w:t>Liver cirrhosis is characterized by a progressive increase in portal hypertension and the consequent formation of porto-systemic shunts, that act as “release valves” to reduce the portal pressure, but also act as bypasses to normal liver flow. As the shunt becomes large enough, the complications appear including hepatic encephalopathy, variceal bleeding, portal vein thrombosis and the deterioration of liver function.</w:t>
      </w:r>
    </w:p>
    <w:p w:rsidR="000B52DD" w:rsidRPr="00604CB7" w:rsidRDefault="000B52DD" w:rsidP="00173527">
      <w:pPr>
        <w:pStyle w:val="Reference"/>
        <w:numPr>
          <w:ilvl w:val="0"/>
          <w:numId w:val="0"/>
        </w:numPr>
        <w:snapToGrid w:val="0"/>
        <w:spacing w:line="360" w:lineRule="auto"/>
        <w:rPr>
          <w:rFonts w:ascii="Book Antiqua" w:eastAsia="Times New Roman" w:hAnsi="Book Antiqua" w:cs="Times New Roman"/>
          <w:color w:val="000000"/>
          <w:lang w:val="en-US"/>
        </w:rPr>
      </w:pPr>
    </w:p>
    <w:p w:rsidR="007B442B" w:rsidRPr="00604CB7" w:rsidRDefault="007B442B" w:rsidP="007B442B">
      <w:pPr>
        <w:adjustRightInd w:val="0"/>
        <w:snapToGrid w:val="0"/>
        <w:spacing w:line="360" w:lineRule="auto"/>
        <w:rPr>
          <w:rFonts w:ascii="Book Antiqua" w:eastAsia="宋体" w:hAnsi="Book Antiqua" w:cs="Calibri"/>
          <w:b/>
          <w:u w:val="single"/>
          <w:lang w:val="en-US" w:eastAsia="en-US"/>
        </w:rPr>
      </w:pPr>
      <w:r w:rsidRPr="00604CB7">
        <w:rPr>
          <w:rFonts w:ascii="Book Antiqua" w:eastAsia="Times New Roman" w:hAnsi="Book Antiqua"/>
          <w:b/>
          <w:color w:val="000000"/>
          <w:lang w:val="en-US"/>
        </w:rPr>
        <w:br w:type="page"/>
      </w:r>
      <w:bookmarkStart w:id="15" w:name="_Hlk27562550"/>
      <w:r w:rsidRPr="00604CB7">
        <w:rPr>
          <w:rFonts w:ascii="Book Antiqua" w:eastAsia="宋体" w:hAnsi="Book Antiqua" w:cs="Calibri"/>
          <w:b/>
          <w:u w:val="single"/>
          <w:lang w:val="en-US" w:eastAsia="en-US"/>
        </w:rPr>
        <w:lastRenderedPageBreak/>
        <w:t>INTRODUCTION</w:t>
      </w:r>
    </w:p>
    <w:bookmarkEnd w:id="15"/>
    <w:p w:rsidR="00E66A09" w:rsidRPr="00604CB7" w:rsidRDefault="000B52DD" w:rsidP="00FE3325">
      <w:pPr>
        <w:pStyle w:val="Reference"/>
        <w:numPr>
          <w:ilvl w:val="0"/>
          <w:numId w:val="0"/>
        </w:numPr>
        <w:snapToGrid w:val="0"/>
        <w:spacing w:line="360" w:lineRule="auto"/>
        <w:rPr>
          <w:rFonts w:ascii="Book Antiqua" w:hAnsi="Book Antiqua"/>
        </w:rPr>
      </w:pPr>
      <w:r w:rsidRPr="00604CB7">
        <w:rPr>
          <w:rFonts w:ascii="Book Antiqua" w:eastAsia="Giovanni-Book" w:hAnsi="Book Antiqua" w:cs="Giovanni-Book"/>
          <w:lang w:val="en-US"/>
        </w:rPr>
        <w:t>Portal hypertension is caused by an increase in resistance to portal outflow and by a growth in splanchnic blood flow</w:t>
      </w:r>
      <w:r w:rsidRPr="00604CB7">
        <w:rPr>
          <w:rFonts w:ascii="Book Antiqua" w:eastAsia="Giovanni-Book" w:hAnsi="Book Antiqua" w:cs="Giovanni-Book"/>
          <w:vertAlign w:val="superscript"/>
          <w:lang w:val="en-US"/>
        </w:rPr>
        <w:t>[1</w:t>
      </w:r>
      <w:r w:rsidR="007B442B" w:rsidRPr="00604CB7">
        <w:rPr>
          <w:rFonts w:ascii="Book Antiqua" w:eastAsia="Giovanni-Book" w:hAnsi="Book Antiqua" w:cs="Giovanni-Book"/>
          <w:vertAlign w:val="superscript"/>
          <w:lang w:val="en-US"/>
        </w:rPr>
        <w:t>,</w:t>
      </w:r>
      <w:r w:rsidRPr="00604CB7">
        <w:rPr>
          <w:rFonts w:ascii="Book Antiqua" w:eastAsia="Giovanni-Book" w:hAnsi="Book Antiqua" w:cs="Giovanni-Book"/>
          <w:vertAlign w:val="superscript"/>
          <w:lang w:val="en-US"/>
        </w:rPr>
        <w:t>2]</w:t>
      </w:r>
      <w:r w:rsidRPr="00604CB7">
        <w:rPr>
          <w:rFonts w:ascii="Book Antiqua" w:eastAsia="Giovanni-Book" w:hAnsi="Book Antiqua" w:cs="Giovanni-Book"/>
          <w:lang w:val="en-US"/>
        </w:rPr>
        <w:t xml:space="preserve">. Regional alterations in vasoreactivity (vasodilation and vasoconstriction), sinusoidal remodeling and capillarization, angiogenesis, venous thrombosis and vascular distortion, all play a certain role in the pathophysiology of portal hypertension and expansion of the collateral circulation. </w:t>
      </w:r>
      <w:r w:rsidRPr="00604CB7">
        <w:rPr>
          <w:rFonts w:ascii="Book Antiqua" w:hAnsi="Book Antiqua"/>
          <w:lang w:val="en-US"/>
        </w:rPr>
        <w:t>Patients with liver cirrhosis frequently develop a vast variety of spontaneous portal-systemic shunts (SPSS) as a complication of long-standing portal hypertension</w:t>
      </w:r>
      <w:r w:rsidRPr="00604CB7">
        <w:rPr>
          <w:rFonts w:ascii="Book Antiqua" w:eastAsia="Giovanni-Book" w:hAnsi="Book Antiqua" w:cs="Giovanni-Book"/>
          <w:vertAlign w:val="superscript"/>
          <w:lang w:val="en-US"/>
        </w:rPr>
        <w:t>[3]</w:t>
      </w:r>
      <w:r w:rsidRPr="00604CB7">
        <w:rPr>
          <w:rFonts w:ascii="Book Antiqua" w:hAnsi="Book Antiqua"/>
          <w:lang w:val="en-US"/>
        </w:rPr>
        <w:t xml:space="preserve">. SPSS are communications between the portal </w:t>
      </w:r>
      <w:r w:rsidR="00BA0825">
        <w:rPr>
          <w:rFonts w:ascii="Book Antiqua" w:hAnsi="Book Antiqua"/>
          <w:lang w:val="en-US"/>
        </w:rPr>
        <w:t>vein</w:t>
      </w:r>
      <w:r w:rsidRPr="00604CB7">
        <w:rPr>
          <w:rFonts w:ascii="Book Antiqua" w:hAnsi="Book Antiqua"/>
          <w:lang w:val="en-US"/>
        </w:rPr>
        <w:t xml:space="preserve"> and the systemic circulation than can open when portal pressure increases for the presence of liver cirrhosis</w:t>
      </w:r>
      <w:r w:rsidRPr="00604CB7">
        <w:rPr>
          <w:rFonts w:ascii="Book Antiqua" w:eastAsia="Giovanni-Book" w:hAnsi="Book Antiqua" w:cs="Giovanni-Book"/>
          <w:vertAlign w:val="superscript"/>
          <w:lang w:val="en-US"/>
        </w:rPr>
        <w:t>[4]</w:t>
      </w:r>
      <w:r w:rsidRPr="00604CB7">
        <w:rPr>
          <w:rFonts w:ascii="Book Antiqua" w:hAnsi="Book Antiqua"/>
          <w:lang w:val="en-US"/>
        </w:rPr>
        <w:t>. These SPSS act as “release valves” to reduce the portal pressure, but also act as bypasses to normal liver flow. Frequently, SPSS represent an insufficient compensatory mechanism, not allowing for an adequate reduction of portal pressure, but decreasing hepatic portal-venous perfusion</w:t>
      </w:r>
      <w:r w:rsidRPr="00604CB7">
        <w:rPr>
          <w:rFonts w:ascii="Book Antiqua" w:eastAsia="Giovanni-Book" w:hAnsi="Book Antiqua" w:cs="Giovanni-Book"/>
          <w:vertAlign w:val="superscript"/>
          <w:lang w:val="en-US"/>
        </w:rPr>
        <w:t>[3-5]</w:t>
      </w:r>
      <w:r w:rsidRPr="00604CB7">
        <w:rPr>
          <w:rFonts w:ascii="Book Antiqua" w:hAnsi="Book Antiqua"/>
          <w:lang w:val="en-US"/>
        </w:rPr>
        <w:t>. Numerous spontaneous portosystemic shunts have been described and named as shown in Table 1. SPSSs can be classified into left-sided and right-sided (central) shunts depending on their localization to the left or to the right of the spleno-porto-mesenteric confluence</w:t>
      </w:r>
      <w:r w:rsidRPr="00604CB7">
        <w:rPr>
          <w:rFonts w:ascii="Book Antiqua" w:eastAsia="Giovanni-Book" w:hAnsi="Book Antiqua" w:cs="Giovanni-Book"/>
          <w:vertAlign w:val="superscript"/>
          <w:lang w:val="en-US"/>
        </w:rPr>
        <w:t>[5]</w:t>
      </w:r>
      <w:r w:rsidRPr="00604CB7">
        <w:rPr>
          <w:rFonts w:ascii="Book Antiqua" w:hAnsi="Book Antiqua"/>
          <w:lang w:val="en-US"/>
        </w:rPr>
        <w:t xml:space="preserve">. The most frequent right-side shunt is </w:t>
      </w:r>
      <w:r w:rsidR="00BA0825">
        <w:rPr>
          <w:rFonts w:ascii="Book Antiqua" w:hAnsi="Book Antiqua"/>
          <w:lang w:val="en-US"/>
        </w:rPr>
        <w:t>paraumbilical shunt</w:t>
      </w:r>
      <w:r w:rsidRPr="00604CB7">
        <w:rPr>
          <w:rFonts w:ascii="Book Antiqua" w:hAnsi="Book Antiqua"/>
          <w:i/>
          <w:lang w:val="en-US"/>
        </w:rPr>
        <w:t xml:space="preserve"> </w:t>
      </w:r>
      <w:r w:rsidRPr="00604CB7">
        <w:rPr>
          <w:rFonts w:ascii="Book Antiqua" w:hAnsi="Book Antiqua"/>
          <w:lang w:val="en-US"/>
        </w:rPr>
        <w:t>(Figure 1), while the most common left-sided shunts are gastrorenal shunt and splenorenal shunt. The gastrorenal shunt occurs in 80</w:t>
      </w:r>
      <w:r w:rsidR="007B442B" w:rsidRPr="00604CB7">
        <w:rPr>
          <w:rFonts w:ascii="Book Antiqua" w:hAnsi="Book Antiqua"/>
          <w:lang w:val="en-US"/>
        </w:rPr>
        <w:t>%</w:t>
      </w:r>
      <w:r w:rsidRPr="00604CB7">
        <w:rPr>
          <w:rFonts w:ascii="Book Antiqua" w:hAnsi="Book Antiqua"/>
          <w:lang w:val="en-US"/>
        </w:rPr>
        <w:t>-85% of cirrhotic patients with gastric varices and it is a communication between left gastric vein and left renal vein (Figure 2)</w:t>
      </w:r>
      <w:r w:rsidRPr="00604CB7">
        <w:rPr>
          <w:rFonts w:ascii="Book Antiqua" w:eastAsia="Giovanni-Book" w:hAnsi="Book Antiqua" w:cs="Giovanni-Book"/>
          <w:vertAlign w:val="superscript"/>
          <w:lang w:val="en-US"/>
        </w:rPr>
        <w:t>[6]</w:t>
      </w:r>
      <w:r w:rsidRPr="00604CB7">
        <w:rPr>
          <w:rFonts w:ascii="Book Antiqua" w:hAnsi="Book Antiqua"/>
          <w:lang w:val="en-US"/>
        </w:rPr>
        <w:t xml:space="preserve">. </w:t>
      </w:r>
      <w:r w:rsidR="00486D76" w:rsidRPr="00604CB7">
        <w:rPr>
          <w:rFonts w:ascii="Book Antiqua" w:hAnsi="Book Antiqua"/>
          <w:lang w:val="en-US"/>
        </w:rPr>
        <w:t xml:space="preserve">Less frequently, gastric varices could be sustained by a </w:t>
      </w:r>
      <w:r w:rsidR="007B442B" w:rsidRPr="00604CB7">
        <w:rPr>
          <w:rFonts w:ascii="Book Antiqua" w:hAnsi="Book Antiqua"/>
          <w:lang w:val="en-US"/>
        </w:rPr>
        <w:t xml:space="preserve">gastrorenal </w:t>
      </w:r>
      <w:r w:rsidR="00486D76" w:rsidRPr="00604CB7">
        <w:rPr>
          <w:rFonts w:ascii="Book Antiqua" w:hAnsi="Book Antiqua"/>
          <w:lang w:val="en-US"/>
        </w:rPr>
        <w:t xml:space="preserve">shunt. </w:t>
      </w:r>
      <w:r w:rsidRPr="00604CB7">
        <w:rPr>
          <w:rFonts w:ascii="Book Antiqua" w:hAnsi="Book Antiqua"/>
          <w:lang w:val="en-US"/>
        </w:rPr>
        <w:t xml:space="preserve">The splenorenal shunt consists in a direct communication between the splenic vein and the left renal vein (Figure 3) without passing through the submucosa of the gastrointestinal tract; in </w:t>
      </w:r>
      <w:r w:rsidR="00FE3325" w:rsidRPr="00604CB7">
        <w:rPr>
          <w:rFonts w:ascii="Book Antiqua" w:hAnsi="Book Antiqua"/>
          <w:lang w:val="en-US"/>
        </w:rPr>
        <w:t>fact,</w:t>
      </w:r>
      <w:r w:rsidRPr="00604CB7">
        <w:rPr>
          <w:rFonts w:ascii="Book Antiqua" w:hAnsi="Book Antiqua"/>
          <w:lang w:val="en-US"/>
        </w:rPr>
        <w:t xml:space="preserve"> it is not associated to gastric varices nor to bleeding risk. Gastric variceal bleeding is the most frequent complication of gastrorenal shunt</w:t>
      </w:r>
      <w:r w:rsidRPr="00604CB7">
        <w:rPr>
          <w:rFonts w:ascii="Book Antiqua" w:eastAsia="Giovanni-Book" w:hAnsi="Book Antiqua" w:cs="Giovanni-Book"/>
          <w:vertAlign w:val="superscript"/>
          <w:lang w:val="en-US"/>
        </w:rPr>
        <w:t>[5-7]</w:t>
      </w:r>
      <w:r w:rsidRPr="00604CB7">
        <w:rPr>
          <w:rFonts w:ascii="Book Antiqua" w:hAnsi="Book Antiqua"/>
          <w:lang w:val="en-US"/>
        </w:rPr>
        <w:t xml:space="preserve">, while hepatic encephalopathy and portal vein thrombosis, are frequently associated to splenorenal shunt. </w:t>
      </w:r>
      <w:r w:rsidR="00D8423A" w:rsidRPr="00604CB7">
        <w:rPr>
          <w:rFonts w:ascii="Book Antiqua" w:hAnsi="Book Antiqua"/>
          <w:lang w:val="en-US"/>
        </w:rPr>
        <w:t>Moreover, SPSSs could be classified in large or small size according to its maximum diameter, with a cut-off of 8 mm; this value was chosen since it was the smallest size of a symptomatic shunt embolized reported in the literature</w:t>
      </w:r>
      <w:r w:rsidRPr="00604CB7">
        <w:rPr>
          <w:rFonts w:ascii="Book Antiqua" w:eastAsia="Giovanni-Book" w:hAnsi="Book Antiqua" w:cs="Giovanni-Book"/>
          <w:vertAlign w:val="superscript"/>
          <w:lang w:val="en-US"/>
        </w:rPr>
        <w:t>[8</w:t>
      </w:r>
      <w:r w:rsidR="00477DE0">
        <w:rPr>
          <w:rFonts w:ascii="Book Antiqua" w:eastAsia="Giovanni-Book" w:hAnsi="Book Antiqua" w:cs="Giovanni-Book"/>
          <w:vertAlign w:val="superscript"/>
          <w:lang w:val="en-US"/>
        </w:rPr>
        <w:t>,</w:t>
      </w:r>
      <w:r w:rsidRPr="00604CB7">
        <w:rPr>
          <w:rFonts w:ascii="Book Antiqua" w:eastAsia="Giovanni-Book" w:hAnsi="Book Antiqua" w:cs="Giovanni-Book"/>
          <w:vertAlign w:val="superscript"/>
          <w:lang w:val="en-US"/>
        </w:rPr>
        <w:t>9]</w:t>
      </w:r>
      <w:r w:rsidRPr="00604CB7">
        <w:rPr>
          <w:rFonts w:ascii="Book Antiqua" w:hAnsi="Book Antiqua"/>
          <w:lang w:val="en-US"/>
        </w:rPr>
        <w:t>. A recent multicenter retrospective study</w:t>
      </w:r>
      <w:r w:rsidRPr="00604CB7">
        <w:rPr>
          <w:rFonts w:ascii="Book Antiqua" w:eastAsia="Giovanni-Book" w:hAnsi="Book Antiqua" w:cs="Giovanni-Book"/>
          <w:vertAlign w:val="superscript"/>
          <w:lang w:val="en-US"/>
        </w:rPr>
        <w:t>[8]</w:t>
      </w:r>
      <w:r w:rsidR="00BA0825">
        <w:rPr>
          <w:rFonts w:ascii="Book Antiqua" w:hAnsi="Book Antiqua"/>
          <w:lang w:val="en-US"/>
        </w:rPr>
        <w:t xml:space="preserve"> </w:t>
      </w:r>
      <w:r w:rsidRPr="00604CB7">
        <w:rPr>
          <w:rFonts w:ascii="Book Antiqua" w:hAnsi="Book Antiqua"/>
          <w:lang w:val="en-US"/>
        </w:rPr>
        <w:t>shown that</w:t>
      </w:r>
      <w:r w:rsidR="00BA0825">
        <w:rPr>
          <w:rFonts w:ascii="Book Antiqua" w:hAnsi="Book Antiqua"/>
          <w:lang w:val="en-US"/>
        </w:rPr>
        <w:t xml:space="preserve"> </w:t>
      </w:r>
      <w:r w:rsidRPr="00604CB7">
        <w:rPr>
          <w:rFonts w:ascii="Book Antiqua" w:hAnsi="Book Antiqua"/>
          <w:lang w:val="en-US"/>
        </w:rPr>
        <w:t xml:space="preserve">the prevalence of SPSS </w:t>
      </w:r>
      <w:r w:rsidR="00BA0825">
        <w:rPr>
          <w:rFonts w:ascii="Book Antiqua" w:hAnsi="Book Antiqua"/>
          <w:lang w:val="en-US"/>
        </w:rPr>
        <w:t xml:space="preserve">in patients with liver cirrhosis </w:t>
      </w:r>
      <w:r w:rsidRPr="00604CB7">
        <w:rPr>
          <w:rFonts w:ascii="Book Antiqua" w:hAnsi="Book Antiqua"/>
          <w:lang w:val="en-US"/>
        </w:rPr>
        <w:t xml:space="preserve">increases as liver function deteriorates. The search for SPSSs allows to identify patients with a higher risk of worse outcomes, </w:t>
      </w:r>
      <w:r w:rsidR="00BA0825">
        <w:rPr>
          <w:rFonts w:ascii="Book Antiqua" w:hAnsi="Book Antiqua"/>
          <w:lang w:val="en-US"/>
        </w:rPr>
        <w:t>that</w:t>
      </w:r>
      <w:r w:rsidRPr="00604CB7">
        <w:rPr>
          <w:rFonts w:ascii="Book Antiqua" w:hAnsi="Book Antiqua"/>
          <w:lang w:val="en-US"/>
        </w:rPr>
        <w:t xml:space="preserve"> would benefit from a more intensive </w:t>
      </w:r>
      <w:r w:rsidR="00BA0825">
        <w:rPr>
          <w:rFonts w:ascii="Book Antiqua" w:hAnsi="Book Antiqua"/>
          <w:lang w:val="en-US"/>
        </w:rPr>
        <w:t>care</w:t>
      </w:r>
      <w:r w:rsidRPr="00604CB7">
        <w:rPr>
          <w:rFonts w:ascii="Book Antiqua" w:eastAsia="Giovanni-Book" w:hAnsi="Book Antiqua" w:cs="Giovanni-Book"/>
          <w:vertAlign w:val="superscript"/>
          <w:lang w:val="en-US"/>
        </w:rPr>
        <w:t>[8]</w:t>
      </w:r>
      <w:r w:rsidRPr="00604CB7">
        <w:rPr>
          <w:rFonts w:ascii="Book Antiqua" w:hAnsi="Book Antiqua"/>
          <w:lang w:val="en-US"/>
        </w:rPr>
        <w:t xml:space="preserve">. </w:t>
      </w:r>
      <w:r w:rsidR="00D8423A" w:rsidRPr="00604CB7">
        <w:rPr>
          <w:rFonts w:ascii="Book Antiqua" w:hAnsi="Book Antiqua"/>
          <w:lang w:val="en-US"/>
        </w:rPr>
        <w:t xml:space="preserve">Until now, </w:t>
      </w:r>
      <w:r w:rsidR="00FE3325" w:rsidRPr="00604CB7">
        <w:rPr>
          <w:rFonts w:ascii="Book Antiqua" w:hAnsi="Book Antiqua"/>
          <w:lang w:val="en-US"/>
        </w:rPr>
        <w:t>computed tomography (</w:t>
      </w:r>
      <w:r w:rsidR="00D8423A" w:rsidRPr="00604CB7">
        <w:rPr>
          <w:rFonts w:ascii="Book Antiqua" w:hAnsi="Book Antiqua"/>
          <w:lang w:val="en-US"/>
        </w:rPr>
        <w:t>CT</w:t>
      </w:r>
      <w:r w:rsidR="00FE3325" w:rsidRPr="00604CB7">
        <w:rPr>
          <w:rFonts w:ascii="Book Antiqua" w:hAnsi="Book Antiqua"/>
          <w:lang w:val="en-US"/>
        </w:rPr>
        <w:t>)</w:t>
      </w:r>
      <w:r w:rsidR="00D8423A" w:rsidRPr="00604CB7">
        <w:rPr>
          <w:rFonts w:ascii="Book Antiqua" w:hAnsi="Book Antiqua"/>
          <w:lang w:val="en-US"/>
        </w:rPr>
        <w:t xml:space="preserve"> scan </w:t>
      </w:r>
      <w:r w:rsidR="00E66A09" w:rsidRPr="00604CB7">
        <w:rPr>
          <w:rFonts w:ascii="Book Antiqua" w:hAnsi="Book Antiqua"/>
          <w:lang w:val="en-US"/>
        </w:rPr>
        <w:t>represents</w:t>
      </w:r>
      <w:r w:rsidR="00D8423A" w:rsidRPr="00604CB7">
        <w:rPr>
          <w:rFonts w:ascii="Book Antiqua" w:hAnsi="Book Antiqua"/>
          <w:lang w:val="en-US"/>
        </w:rPr>
        <w:t xml:space="preserve"> the gold standard to detect </w:t>
      </w:r>
      <w:r w:rsidR="00D8423A" w:rsidRPr="00604CB7">
        <w:rPr>
          <w:rFonts w:ascii="Book Antiqua" w:hAnsi="Book Antiqua"/>
          <w:lang w:val="en-US"/>
        </w:rPr>
        <w:lastRenderedPageBreak/>
        <w:t xml:space="preserve">SPSSs </w:t>
      </w:r>
      <w:r w:rsidR="00D8423A" w:rsidRPr="00604CB7">
        <w:rPr>
          <w:rFonts w:ascii="Book Antiqua" w:hAnsi="Book Antiqua"/>
        </w:rPr>
        <w:t xml:space="preserve">because it allows </w:t>
      </w:r>
      <w:r w:rsidR="00E66A09" w:rsidRPr="00604CB7">
        <w:rPr>
          <w:rFonts w:ascii="Book Antiqua" w:hAnsi="Book Antiqua"/>
          <w:lang w:val="en"/>
        </w:rPr>
        <w:t xml:space="preserve">to trace the origin, course and outlet of the shunt with a reconstruction in 3D. </w:t>
      </w:r>
      <w:r w:rsidR="00FE3325" w:rsidRPr="00604CB7">
        <w:rPr>
          <w:rFonts w:ascii="Book Antiqua" w:hAnsi="Book Antiqua"/>
          <w:lang w:val="en"/>
        </w:rPr>
        <w:t>Also,</w:t>
      </w:r>
      <w:r w:rsidR="00E66A09" w:rsidRPr="00604CB7">
        <w:rPr>
          <w:rFonts w:ascii="Book Antiqua" w:hAnsi="Book Antiqua"/>
          <w:lang w:val="en"/>
        </w:rPr>
        <w:t xml:space="preserve"> nuclear magnetic resonance imaging </w:t>
      </w:r>
      <w:r w:rsidR="00D606C2" w:rsidRPr="00604CB7">
        <w:rPr>
          <w:rFonts w:ascii="Book Antiqua" w:hAnsi="Book Antiqua"/>
          <w:lang w:val="en"/>
        </w:rPr>
        <w:t xml:space="preserve">(MRI) </w:t>
      </w:r>
      <w:r w:rsidR="00E66A09" w:rsidRPr="00604CB7">
        <w:rPr>
          <w:rFonts w:ascii="Book Antiqua" w:hAnsi="Book Antiqua"/>
          <w:lang w:val="en"/>
        </w:rPr>
        <w:t>can also provide the same information when interpreted by expert radiologists.</w:t>
      </w:r>
      <w:r w:rsidR="00E66A09" w:rsidRPr="00604CB7">
        <w:rPr>
          <w:rFonts w:ascii="Book Antiqua" w:hAnsi="Book Antiqua" w:cs="Courier New"/>
          <w:color w:val="222222"/>
          <w:lang w:val="en"/>
        </w:rPr>
        <w:t xml:space="preserve"> </w:t>
      </w:r>
      <w:r w:rsidR="00E66A09" w:rsidRPr="00604CB7">
        <w:rPr>
          <w:rFonts w:ascii="Book Antiqua" w:hAnsi="Book Antiqua"/>
          <w:lang w:val="en"/>
        </w:rPr>
        <w:t xml:space="preserve">The ultrasound examination, on the other hand, is not very specific and sensitive for the detection of SPSSs. </w:t>
      </w:r>
      <w:r w:rsidR="00D606C2" w:rsidRPr="00604CB7">
        <w:rPr>
          <w:rFonts w:ascii="Book Antiqua" w:hAnsi="Book Antiqua"/>
          <w:color w:val="222222"/>
        </w:rPr>
        <w:t xml:space="preserve">For this reason, all cirrhotic patients should undergo at least once a year to CT or MRI scan for </w:t>
      </w:r>
      <w:r w:rsidR="007848BE" w:rsidRPr="00604CB7">
        <w:rPr>
          <w:rFonts w:ascii="Book Antiqua" w:hAnsi="Book Antiqua"/>
          <w:color w:val="222222"/>
        </w:rPr>
        <w:t xml:space="preserve">a </w:t>
      </w:r>
      <w:r w:rsidR="00D606C2" w:rsidRPr="00604CB7">
        <w:rPr>
          <w:rFonts w:ascii="Book Antiqua" w:hAnsi="Book Antiqua"/>
          <w:color w:val="222222"/>
        </w:rPr>
        <w:t>better identification of the shunts.</w:t>
      </w:r>
    </w:p>
    <w:p w:rsidR="000B52DD" w:rsidRPr="00604CB7" w:rsidRDefault="000B52DD" w:rsidP="00173527">
      <w:pPr>
        <w:snapToGrid w:val="0"/>
        <w:spacing w:line="360" w:lineRule="auto"/>
        <w:jc w:val="both"/>
        <w:rPr>
          <w:rFonts w:ascii="Book Antiqua" w:hAnsi="Book Antiqua"/>
          <w:b/>
          <w:i/>
          <w:lang w:val="en-US"/>
        </w:rPr>
      </w:pPr>
    </w:p>
    <w:p w:rsidR="000B52DD" w:rsidRPr="00477DE0" w:rsidRDefault="00477DE0" w:rsidP="00173527">
      <w:pPr>
        <w:snapToGrid w:val="0"/>
        <w:spacing w:line="360" w:lineRule="auto"/>
        <w:jc w:val="both"/>
        <w:rPr>
          <w:rFonts w:ascii="Book Antiqua" w:hAnsi="Book Antiqua"/>
          <w:iCs/>
          <w:u w:val="single"/>
          <w:lang w:val="en-US"/>
        </w:rPr>
      </w:pPr>
      <w:r w:rsidRPr="00477DE0">
        <w:rPr>
          <w:rFonts w:ascii="Book Antiqua" w:hAnsi="Book Antiqua"/>
          <w:b/>
          <w:iCs/>
          <w:u w:val="single"/>
          <w:lang w:val="en-US"/>
        </w:rPr>
        <w:t>SPSS AND HEPATIC ENCEPHALOPATHY</w:t>
      </w:r>
    </w:p>
    <w:p w:rsidR="000B52DD" w:rsidRPr="00604CB7" w:rsidRDefault="000B52DD" w:rsidP="00173527">
      <w:pPr>
        <w:snapToGrid w:val="0"/>
        <w:spacing w:line="360" w:lineRule="auto"/>
        <w:jc w:val="both"/>
        <w:rPr>
          <w:rFonts w:ascii="Book Antiqua" w:hAnsi="Book Antiqua"/>
          <w:lang w:val="en-US"/>
        </w:rPr>
      </w:pPr>
      <w:r w:rsidRPr="00604CB7">
        <w:rPr>
          <w:rFonts w:ascii="Book Antiqua" w:hAnsi="Book Antiqua"/>
          <w:lang w:val="en-US"/>
        </w:rPr>
        <w:t xml:space="preserve">Hepatic encephalopathy (HE) is a neuropsychiatric syndrome that frequently occurs in patients with cirrhosis and refers to potentially </w:t>
      </w:r>
      <w:r w:rsidRPr="00604CB7">
        <w:rPr>
          <w:rFonts w:ascii="Book Antiqua" w:hAnsi="Book Antiqua" w:cs="Arial"/>
          <w:color w:val="000000"/>
          <w:shd w:val="clear" w:color="auto" w:fill="FFFFFF"/>
          <w:lang w:val="en-US"/>
        </w:rPr>
        <w:t xml:space="preserve">reversible neurological </w:t>
      </w:r>
      <w:r w:rsidR="00BA0825">
        <w:rPr>
          <w:rFonts w:ascii="Book Antiqua" w:hAnsi="Book Antiqua" w:cs="Arial"/>
          <w:color w:val="000000"/>
          <w:shd w:val="clear" w:color="auto" w:fill="FFFFFF"/>
          <w:lang w:val="en-US"/>
        </w:rPr>
        <w:t>alterarations</w:t>
      </w:r>
      <w:r w:rsidR="00BA0825" w:rsidRPr="00604CB7">
        <w:rPr>
          <w:rFonts w:ascii="Book Antiqua" w:hAnsi="Book Antiqua" w:cs="Arial"/>
          <w:color w:val="000000"/>
          <w:shd w:val="clear" w:color="auto" w:fill="FFFFFF"/>
          <w:lang w:val="en-US"/>
        </w:rPr>
        <w:t xml:space="preserve"> </w:t>
      </w:r>
      <w:r w:rsidRPr="00604CB7">
        <w:rPr>
          <w:rFonts w:ascii="Book Antiqua" w:hAnsi="Book Antiqua"/>
          <w:lang w:val="en-US"/>
        </w:rPr>
        <w:t>related to an accumulation of toxins due to hepatocellular dysfunction and portosystemic shunting</w:t>
      </w:r>
      <w:r w:rsidRPr="00604CB7">
        <w:rPr>
          <w:rFonts w:ascii="Book Antiqua" w:hAnsi="Book Antiqua"/>
          <w:vertAlign w:val="superscript"/>
          <w:lang w:val="en-US"/>
        </w:rPr>
        <w:t>[4,10-12]</w:t>
      </w:r>
      <w:r w:rsidRPr="00604CB7">
        <w:rPr>
          <w:rFonts w:ascii="Book Antiqua" w:hAnsi="Book Antiqua"/>
          <w:lang w:val="en-US"/>
        </w:rPr>
        <w:t>. According to the recent guidelines</w:t>
      </w:r>
      <w:r w:rsidRPr="00604CB7">
        <w:rPr>
          <w:rFonts w:ascii="Book Antiqua" w:hAnsi="Book Antiqua"/>
          <w:vertAlign w:val="superscript"/>
          <w:lang w:val="en-US"/>
        </w:rPr>
        <w:t>[13]</w:t>
      </w:r>
      <w:r w:rsidRPr="00604CB7">
        <w:rPr>
          <w:rFonts w:ascii="Book Antiqua" w:hAnsi="Book Antiqua"/>
          <w:lang w:val="en-US"/>
        </w:rPr>
        <w:t xml:space="preserve">, HE could be subdivided into: </w:t>
      </w:r>
      <w:r w:rsidRPr="00604CB7">
        <w:rPr>
          <w:rFonts w:ascii="Book Antiqua" w:hAnsi="Book Antiqua"/>
          <w:bCs/>
          <w:iCs/>
          <w:lang w:val="en-US"/>
        </w:rPr>
        <w:t>episodic</w:t>
      </w:r>
      <w:r w:rsidR="00937F25" w:rsidRPr="00604CB7">
        <w:rPr>
          <w:rFonts w:ascii="Book Antiqua" w:hAnsi="Book Antiqua"/>
          <w:bCs/>
          <w:iCs/>
          <w:lang w:val="en-US"/>
        </w:rPr>
        <w:t xml:space="preserve">, </w:t>
      </w:r>
      <w:r w:rsidRPr="00604CB7">
        <w:rPr>
          <w:rFonts w:ascii="Book Antiqua" w:hAnsi="Book Antiqua"/>
          <w:bCs/>
          <w:iCs/>
          <w:lang w:val="en-US"/>
        </w:rPr>
        <w:t xml:space="preserve">recurrent </w:t>
      </w:r>
      <w:r w:rsidR="00937F25" w:rsidRPr="00604CB7">
        <w:rPr>
          <w:rFonts w:ascii="Book Antiqua" w:hAnsi="Book Antiqua"/>
          <w:bCs/>
          <w:iCs/>
          <w:lang w:val="en-US"/>
        </w:rPr>
        <w:t xml:space="preserve">or persistent </w:t>
      </w:r>
      <w:r w:rsidRPr="00604CB7">
        <w:rPr>
          <w:rFonts w:ascii="Book Antiqua" w:hAnsi="Book Antiqua"/>
          <w:bCs/>
          <w:iCs/>
          <w:lang w:val="en-US"/>
        </w:rPr>
        <w:t>HE. While in some patients HE is related to a precipitating</w:t>
      </w:r>
      <w:r w:rsidRPr="00604CB7">
        <w:rPr>
          <w:rFonts w:ascii="Book Antiqua" w:hAnsi="Book Antiqua"/>
          <w:lang w:val="en-US"/>
        </w:rPr>
        <w:t xml:space="preserve"> event, other patients have chronic HE, refractory to the conventional medical therapy, with </w:t>
      </w:r>
      <w:r w:rsidRPr="00604CB7">
        <w:rPr>
          <w:rFonts w:ascii="Book Antiqua" w:hAnsi="Book Antiqua" w:cs="AGaramond-Regular"/>
          <w:lang w:val="en-US"/>
        </w:rPr>
        <w:t>a relatively mild hepatocellular disease</w:t>
      </w:r>
      <w:r w:rsidR="00937F25" w:rsidRPr="00604CB7">
        <w:rPr>
          <w:rFonts w:ascii="Book Antiqua" w:hAnsi="Book Antiqua" w:cs="AGaramond-Regular"/>
          <w:lang w:val="en-US"/>
        </w:rPr>
        <w:t xml:space="preserve"> that </w:t>
      </w:r>
      <w:r w:rsidRPr="00604CB7">
        <w:rPr>
          <w:rFonts w:ascii="Book Antiqua" w:hAnsi="Book Antiqua" w:cs="AGaramond-Regular"/>
          <w:lang w:val="en-US"/>
        </w:rPr>
        <w:t xml:space="preserve">contrasts with the severity of the neurological impairment. </w:t>
      </w:r>
      <w:r w:rsidRPr="00604CB7">
        <w:rPr>
          <w:rFonts w:ascii="Book Antiqua" w:hAnsi="Book Antiqua" w:cs="AGaramond-Regular"/>
          <w:color w:val="231F20"/>
          <w:lang w:val="en-US"/>
        </w:rPr>
        <w:t>I</w:t>
      </w:r>
      <w:r w:rsidRPr="00604CB7">
        <w:rPr>
          <w:rFonts w:ascii="Book Antiqua" w:hAnsi="Book Antiqua"/>
          <w:lang w:val="en-US"/>
        </w:rPr>
        <w:t>n these patients the chronicity of HE may be sustained by presence of unrecognized spontaneous porto-systemic shunts (SPSS)</w:t>
      </w:r>
      <w:r w:rsidRPr="00604CB7">
        <w:rPr>
          <w:rFonts w:ascii="Book Antiqua" w:hAnsi="Book Antiqua"/>
          <w:vertAlign w:val="superscript"/>
          <w:lang w:val="en-US"/>
        </w:rPr>
        <w:t>[10-12]</w:t>
      </w:r>
      <w:r w:rsidRPr="00604CB7">
        <w:rPr>
          <w:rFonts w:ascii="Book Antiqua" w:hAnsi="Book Antiqua"/>
          <w:lang w:val="en-US"/>
        </w:rPr>
        <w:t xml:space="preserve">, </w:t>
      </w:r>
      <w:r w:rsidR="007E79DE" w:rsidRPr="00604CB7">
        <w:rPr>
          <w:rFonts w:ascii="Book Antiqua" w:hAnsi="Book Antiqua"/>
          <w:lang w:val="en-US"/>
        </w:rPr>
        <w:t>which</w:t>
      </w:r>
      <w:r w:rsidRPr="00604CB7">
        <w:rPr>
          <w:rFonts w:ascii="Book Antiqua" w:hAnsi="Book Antiqua"/>
          <w:lang w:val="en-US"/>
        </w:rPr>
        <w:t xml:space="preserve"> are often large enough to divert a major proportion of the portal blood flow. The presence of the shunt increases the bioavailability of </w:t>
      </w:r>
      <w:r w:rsidR="00BA0825">
        <w:rPr>
          <w:rFonts w:ascii="Book Antiqua" w:hAnsi="Book Antiqua"/>
          <w:lang w:val="en-US"/>
        </w:rPr>
        <w:t>intestinal ammonia</w:t>
      </w:r>
      <w:r w:rsidRPr="00604CB7">
        <w:rPr>
          <w:rFonts w:ascii="Book Antiqua" w:hAnsi="Book Antiqua"/>
          <w:lang w:val="en-US"/>
        </w:rPr>
        <w:t>, increasing the risk of hepatic encephalopathy. Several clinical and pathophysiologic observations suggest the importance of portal-systemic shunts in the development of HE</w:t>
      </w:r>
      <w:r w:rsidR="007C57E5" w:rsidRPr="00604CB7">
        <w:rPr>
          <w:rFonts w:ascii="Book Antiqua" w:hAnsi="Book Antiqua"/>
          <w:lang w:val="en-US"/>
        </w:rPr>
        <w:t xml:space="preserve">; in particular our </w:t>
      </w:r>
      <w:r w:rsidRPr="00604CB7">
        <w:rPr>
          <w:rFonts w:ascii="Book Antiqua" w:hAnsi="Book Antiqua"/>
          <w:lang w:val="en-US"/>
        </w:rPr>
        <w:t>group demonstrated the presence of SPSSs in 71% of cirrhotic patients with chronic HE, refractory to the standard medical treatment</w:t>
      </w:r>
      <w:r w:rsidRPr="00604CB7">
        <w:rPr>
          <w:rFonts w:ascii="Book Antiqua" w:hAnsi="Book Antiqua"/>
          <w:vertAlign w:val="superscript"/>
          <w:lang w:val="en-US"/>
        </w:rPr>
        <w:t>[12]</w:t>
      </w:r>
      <w:r w:rsidRPr="00604CB7">
        <w:rPr>
          <w:rFonts w:ascii="Book Antiqua" w:hAnsi="Book Antiqua"/>
          <w:lang w:val="en-US"/>
        </w:rPr>
        <w:t xml:space="preserve">. In the retrospective cohort of </w:t>
      </w:r>
      <w:r w:rsidR="00B71BBB" w:rsidRPr="00604CB7">
        <w:rPr>
          <w:rFonts w:ascii="Book Antiqua" w:hAnsi="Book Antiqua"/>
          <w:lang w:val="en-US"/>
        </w:rPr>
        <w:t>Simón-Talero</w:t>
      </w:r>
      <w:r w:rsidRPr="00604CB7">
        <w:rPr>
          <w:rFonts w:ascii="Book Antiqua" w:hAnsi="Book Antiqua"/>
          <w:lang w:val="en-US"/>
        </w:rPr>
        <w:t xml:space="preserve"> </w:t>
      </w:r>
      <w:r w:rsidRPr="00604CB7">
        <w:rPr>
          <w:rFonts w:ascii="Book Antiqua" w:hAnsi="Book Antiqua"/>
          <w:i/>
          <w:iCs/>
          <w:lang w:val="en-US"/>
        </w:rPr>
        <w:t>et al</w:t>
      </w:r>
      <w:r w:rsidRPr="00604CB7">
        <w:rPr>
          <w:rFonts w:ascii="Book Antiqua" w:hAnsi="Book Antiqua"/>
          <w:vertAlign w:val="superscript"/>
          <w:lang w:val="en-US"/>
        </w:rPr>
        <w:t>[8]</w:t>
      </w:r>
      <w:r w:rsidRPr="00604CB7">
        <w:rPr>
          <w:rFonts w:ascii="Book Antiqua" w:hAnsi="Book Antiqua"/>
          <w:lang w:val="en-US"/>
        </w:rPr>
        <w:t xml:space="preserve"> episodic HE was reported in 48% of patients with large SPSS, 34% of patients with small SPSS and 20% of patients without SPSS (</w:t>
      </w:r>
      <w:r w:rsidR="00B71BBB" w:rsidRPr="00604CB7">
        <w:rPr>
          <w:rFonts w:ascii="Book Antiqua" w:hAnsi="Book Antiqua"/>
          <w:i/>
          <w:iCs/>
          <w:lang w:val="en-US"/>
        </w:rPr>
        <w:t xml:space="preserve">P </w:t>
      </w:r>
      <w:r w:rsidRPr="00604CB7">
        <w:rPr>
          <w:rFonts w:ascii="Book Antiqua" w:hAnsi="Book Antiqua"/>
          <w:lang w:val="en-US"/>
        </w:rPr>
        <w:t>&lt;</w:t>
      </w:r>
      <w:r w:rsidR="00B71BBB" w:rsidRPr="00604CB7">
        <w:rPr>
          <w:rFonts w:ascii="Book Antiqua" w:hAnsi="Book Antiqua"/>
          <w:lang w:val="en-US"/>
        </w:rPr>
        <w:t xml:space="preserve"> </w:t>
      </w:r>
      <w:r w:rsidRPr="00604CB7">
        <w:rPr>
          <w:rFonts w:ascii="Book Antiqua" w:hAnsi="Book Antiqua"/>
          <w:lang w:val="en-US"/>
        </w:rPr>
        <w:t>0.001). Recurrent or persistent HE was reported in 52% of patients with large SPSS, 44% of patients with small SPSS and 37% of patients without SPSS (</w:t>
      </w:r>
      <w:r w:rsidR="00D510FF" w:rsidRPr="00D510FF">
        <w:rPr>
          <w:rFonts w:ascii="Book Antiqua" w:hAnsi="Book Antiqua"/>
          <w:i/>
          <w:iCs/>
          <w:lang w:val="en-US"/>
        </w:rPr>
        <w:t>P</w:t>
      </w:r>
      <w:r w:rsidRPr="00604CB7">
        <w:rPr>
          <w:rFonts w:ascii="Book Antiqua" w:hAnsi="Book Antiqua"/>
          <w:lang w:val="en-US"/>
        </w:rPr>
        <w:t xml:space="preserve"> </w:t>
      </w:r>
      <w:r w:rsidR="00D510FF">
        <w:rPr>
          <w:rFonts w:ascii="Book Antiqua" w:hAnsi="Book Antiqua" w:hint="eastAsia"/>
          <w:lang w:val="en-US" w:eastAsia="zh-CN"/>
        </w:rPr>
        <w:t>=</w:t>
      </w:r>
      <w:r w:rsidR="00D510FF">
        <w:rPr>
          <w:rFonts w:ascii="Book Antiqua" w:hAnsi="Book Antiqua"/>
          <w:lang w:val="en-US"/>
        </w:rPr>
        <w:t xml:space="preserve"> </w:t>
      </w:r>
      <w:r w:rsidRPr="00604CB7">
        <w:rPr>
          <w:rFonts w:ascii="Book Antiqua" w:hAnsi="Book Antiqua"/>
          <w:lang w:val="en-US"/>
        </w:rPr>
        <w:t>0.007). When patients were stratified by MELD score, SPSS were significantly associated to HE independently of liver function.</w:t>
      </w:r>
    </w:p>
    <w:p w:rsidR="008D2A71" w:rsidRPr="00604CB7" w:rsidRDefault="000B52DD" w:rsidP="00173527">
      <w:pPr>
        <w:snapToGrid w:val="0"/>
        <w:spacing w:line="360" w:lineRule="auto"/>
        <w:jc w:val="both"/>
        <w:rPr>
          <w:rFonts w:ascii="Book Antiqua" w:hAnsi="Book Antiqua"/>
          <w:lang w:val="en-US"/>
        </w:rPr>
      </w:pPr>
      <w:r w:rsidRPr="00604CB7">
        <w:rPr>
          <w:rFonts w:ascii="Book Antiqua" w:hAnsi="Book Antiqua"/>
          <w:lang w:val="en-US"/>
        </w:rPr>
        <w:t>Another particular neurological alteration is the so called ‘‘cirrhosis-related Parkinsonism’’, characterized by extrapyramidal and cerebellar symptoms at precise neurological examination</w:t>
      </w:r>
      <w:r w:rsidRPr="00604CB7">
        <w:rPr>
          <w:rFonts w:ascii="Book Antiqua" w:hAnsi="Book Antiqua"/>
          <w:vertAlign w:val="superscript"/>
          <w:lang w:val="en-US"/>
        </w:rPr>
        <w:t>[14]</w:t>
      </w:r>
      <w:r w:rsidRPr="00604CB7">
        <w:rPr>
          <w:rFonts w:ascii="Book Antiqua" w:hAnsi="Book Antiqua"/>
          <w:lang w:val="en-US"/>
        </w:rPr>
        <w:t xml:space="preserve">. Some patients develop a progressive hypokinetic-rigid syndrome with progressive ataxia, dystonia, choreoathetosis or spastic paraparesis with or without </w:t>
      </w:r>
      <w:r w:rsidRPr="00604CB7">
        <w:rPr>
          <w:rFonts w:ascii="Book Antiqua" w:hAnsi="Book Antiqua"/>
          <w:lang w:val="en-US"/>
        </w:rPr>
        <w:lastRenderedPageBreak/>
        <w:t xml:space="preserve">cognitive dysfunction. This chronic progressive form of HE is usually refractory to standard medical treatment and is frequently associated to the presence of SPSSs. Philips </w:t>
      </w:r>
      <w:r w:rsidR="00B71BBB" w:rsidRPr="00604CB7">
        <w:rPr>
          <w:rFonts w:ascii="Book Antiqua" w:hAnsi="Book Antiqua"/>
          <w:i/>
          <w:iCs/>
          <w:lang w:val="en-US"/>
        </w:rPr>
        <w:t>et al</w:t>
      </w:r>
      <w:r w:rsidRPr="00604CB7">
        <w:rPr>
          <w:rFonts w:ascii="Book Antiqua" w:hAnsi="Book Antiqua"/>
          <w:vertAlign w:val="superscript"/>
          <w:lang w:val="en-US"/>
        </w:rPr>
        <w:t xml:space="preserve">[15] </w:t>
      </w:r>
      <w:r w:rsidRPr="00604CB7">
        <w:rPr>
          <w:rFonts w:ascii="Book Antiqua" w:hAnsi="Book Antiqua"/>
          <w:lang w:val="en-US"/>
        </w:rPr>
        <w:t>demonstrated that in five of seven patients with hepatic Parkinsonism, the embolization of the shunt significantly improved neurological symptoms.</w:t>
      </w:r>
      <w:r w:rsidR="008D2A71" w:rsidRPr="00604CB7">
        <w:rPr>
          <w:rFonts w:ascii="Book Antiqua" w:hAnsi="Book Antiqua"/>
          <w:lang w:val="en-US"/>
        </w:rPr>
        <w:t xml:space="preserve"> A large shunt may cause HE even in the absence of </w:t>
      </w:r>
      <w:r w:rsidR="00BA0825">
        <w:rPr>
          <w:rFonts w:ascii="Book Antiqua" w:hAnsi="Book Antiqua"/>
          <w:lang w:val="en-US"/>
        </w:rPr>
        <w:t>liver cirrhosis</w:t>
      </w:r>
      <w:r w:rsidR="008D2A71" w:rsidRPr="00604CB7">
        <w:rPr>
          <w:rFonts w:ascii="Book Antiqua" w:hAnsi="Book Antiqua"/>
          <w:lang w:val="en-US"/>
        </w:rPr>
        <w:t>; this type of encephalopathy is classified as type B HE</w:t>
      </w:r>
      <w:r w:rsidR="00991128" w:rsidRPr="00604CB7">
        <w:rPr>
          <w:rFonts w:ascii="Book Antiqua" w:hAnsi="Book Antiqua"/>
          <w:vertAlign w:val="superscript"/>
          <w:lang w:val="en-US"/>
        </w:rPr>
        <w:t>[</w:t>
      </w:r>
      <w:r w:rsidR="00BA0825">
        <w:rPr>
          <w:rFonts w:ascii="Book Antiqua" w:hAnsi="Book Antiqua"/>
          <w:vertAlign w:val="superscript"/>
          <w:lang w:val="en-US"/>
        </w:rPr>
        <w:t>10-</w:t>
      </w:r>
      <w:r w:rsidR="00991128" w:rsidRPr="00604CB7">
        <w:rPr>
          <w:rFonts w:ascii="Book Antiqua" w:hAnsi="Book Antiqua"/>
          <w:vertAlign w:val="superscript"/>
          <w:lang w:val="en-US"/>
        </w:rPr>
        <w:t>13]</w:t>
      </w:r>
      <w:r w:rsidR="008D2A71" w:rsidRPr="00604CB7">
        <w:rPr>
          <w:rFonts w:ascii="Book Antiqua" w:hAnsi="Book Antiqua"/>
          <w:lang w:val="en-US"/>
        </w:rPr>
        <w:t xml:space="preserve">. </w:t>
      </w:r>
    </w:p>
    <w:p w:rsidR="000B52DD" w:rsidRPr="00604CB7" w:rsidRDefault="000B52DD" w:rsidP="00173527">
      <w:pPr>
        <w:snapToGrid w:val="0"/>
        <w:spacing w:line="360" w:lineRule="auto"/>
        <w:jc w:val="both"/>
        <w:rPr>
          <w:rFonts w:ascii="Book Antiqua" w:hAnsi="Book Antiqua"/>
          <w:b/>
          <w:i/>
          <w:lang w:val="en-US"/>
        </w:rPr>
      </w:pPr>
    </w:p>
    <w:p w:rsidR="000B52DD" w:rsidRPr="00477DE0" w:rsidRDefault="00477DE0" w:rsidP="00173527">
      <w:pPr>
        <w:snapToGrid w:val="0"/>
        <w:spacing w:line="360" w:lineRule="auto"/>
        <w:jc w:val="both"/>
        <w:rPr>
          <w:rFonts w:ascii="Book Antiqua" w:hAnsi="Book Antiqua"/>
          <w:iCs/>
          <w:u w:val="single"/>
          <w:lang w:val="en-US"/>
        </w:rPr>
      </w:pPr>
      <w:r w:rsidRPr="00477DE0">
        <w:rPr>
          <w:rFonts w:ascii="Book Antiqua" w:hAnsi="Book Antiqua"/>
          <w:b/>
          <w:iCs/>
          <w:u w:val="single"/>
          <w:lang w:val="en-US"/>
        </w:rPr>
        <w:t>SPSS AND ESOPHAGO-GASTRIC VARICES</w:t>
      </w:r>
    </w:p>
    <w:p w:rsidR="00770658" w:rsidRPr="00604CB7" w:rsidRDefault="000B52DD" w:rsidP="00173527">
      <w:pPr>
        <w:snapToGrid w:val="0"/>
        <w:spacing w:line="360" w:lineRule="auto"/>
        <w:jc w:val="both"/>
        <w:rPr>
          <w:rFonts w:ascii="Book Antiqua" w:hAnsi="Book Antiqua"/>
        </w:rPr>
      </w:pPr>
      <w:r w:rsidRPr="00604CB7">
        <w:rPr>
          <w:rFonts w:ascii="Book Antiqua" w:hAnsi="Book Antiqua"/>
          <w:lang w:val="en-US"/>
        </w:rPr>
        <w:t>The clinical importance of the shunts remains of great interest, as there is a discrepancy regarding the protective effect of SPSS from oesophageal variceal bleeding and the development of hepatic encephalopathy in cirrhotic patients</w:t>
      </w:r>
      <w:r w:rsidRPr="00604CB7">
        <w:rPr>
          <w:rFonts w:ascii="Book Antiqua" w:hAnsi="Book Antiqua"/>
          <w:vertAlign w:val="superscript"/>
          <w:lang w:val="en-US"/>
        </w:rPr>
        <w:t>[16-18]</w:t>
      </w:r>
      <w:r w:rsidRPr="00604CB7">
        <w:rPr>
          <w:rFonts w:ascii="Book Antiqua" w:hAnsi="Book Antiqua"/>
          <w:lang w:val="en-US"/>
        </w:rPr>
        <w:t>. Many cirrhotic patients continue to maintain an elevated portal pressure and suffer from EGV hemorrhage even in the presence of a SPSS. Compared to esophageal varices, gastric varices are more often found in patients with gastrorenal shunt, as already described</w:t>
      </w:r>
      <w:r w:rsidRPr="00604CB7">
        <w:rPr>
          <w:rFonts w:ascii="Book Antiqua" w:hAnsi="Book Antiqua"/>
          <w:vertAlign w:val="superscript"/>
          <w:lang w:val="en-US"/>
        </w:rPr>
        <w:t>[6</w:t>
      </w:r>
      <w:r w:rsidR="00477DE0">
        <w:rPr>
          <w:rFonts w:ascii="Book Antiqua" w:hAnsi="Book Antiqua"/>
          <w:vertAlign w:val="superscript"/>
          <w:lang w:val="en-US"/>
        </w:rPr>
        <w:t>,</w:t>
      </w:r>
      <w:r w:rsidRPr="00604CB7">
        <w:rPr>
          <w:rFonts w:ascii="Book Antiqua" w:hAnsi="Book Antiqua"/>
          <w:vertAlign w:val="superscript"/>
          <w:lang w:val="en-US"/>
        </w:rPr>
        <w:t>7]</w:t>
      </w:r>
      <w:r w:rsidRPr="00604CB7">
        <w:rPr>
          <w:rFonts w:ascii="Book Antiqua" w:hAnsi="Book Antiqua"/>
          <w:lang w:val="en-US"/>
        </w:rPr>
        <w:t xml:space="preserve">. With regards to the relation between SPSS and esophagogastric varices, the case-control study performed by Riggio </w:t>
      </w:r>
      <w:r w:rsidR="00B71BBB" w:rsidRPr="00604CB7">
        <w:rPr>
          <w:rFonts w:ascii="Book Antiqua" w:hAnsi="Book Antiqua"/>
          <w:i/>
          <w:iCs/>
          <w:lang w:val="en-US"/>
        </w:rPr>
        <w:t>et al</w:t>
      </w:r>
      <w:r w:rsidRPr="00604CB7">
        <w:rPr>
          <w:rFonts w:ascii="Book Antiqua" w:hAnsi="Book Antiqua"/>
          <w:vertAlign w:val="superscript"/>
          <w:lang w:val="en-US"/>
        </w:rPr>
        <w:t>[12]</w:t>
      </w:r>
      <w:r w:rsidRPr="00604CB7">
        <w:rPr>
          <w:rFonts w:ascii="Book Antiqua" w:hAnsi="Book Antiqua"/>
          <w:lang w:val="en-US"/>
        </w:rPr>
        <w:t xml:space="preserve"> found that patients with chronic HE and large SPSS had less esophageal varices and portal-hypertensive gastropathy than patients without SPSS, suggesting that SPSS could have a protective role on gastrointestinal bleeding. Nevertheless, in former studies</w:t>
      </w:r>
      <w:r w:rsidRPr="00604CB7">
        <w:rPr>
          <w:rFonts w:ascii="Book Antiqua" w:hAnsi="Book Antiqua"/>
          <w:vertAlign w:val="superscript"/>
          <w:lang w:val="en-US"/>
        </w:rPr>
        <w:t>[5,16</w:t>
      </w:r>
      <w:r w:rsidR="00477DE0">
        <w:rPr>
          <w:rFonts w:ascii="Book Antiqua" w:hAnsi="Book Antiqua"/>
          <w:vertAlign w:val="superscript"/>
          <w:lang w:val="en-US"/>
        </w:rPr>
        <w:t>,</w:t>
      </w:r>
      <w:r w:rsidRPr="00604CB7">
        <w:rPr>
          <w:rFonts w:ascii="Book Antiqua" w:hAnsi="Book Antiqua"/>
          <w:vertAlign w:val="superscript"/>
          <w:lang w:val="en-US"/>
        </w:rPr>
        <w:t>17]</w:t>
      </w:r>
      <w:r w:rsidRPr="00604CB7">
        <w:rPr>
          <w:rFonts w:ascii="Book Antiqua" w:hAnsi="Book Antiqua"/>
          <w:lang w:val="en-US"/>
        </w:rPr>
        <w:t xml:space="preserve">, presence of SPSS was not associated with lower risk of bleeding as compared to controls. Berzigotti </w:t>
      </w:r>
      <w:r w:rsidR="00B71BBB" w:rsidRPr="00604CB7">
        <w:rPr>
          <w:rFonts w:ascii="Book Antiqua" w:hAnsi="Book Antiqua"/>
          <w:i/>
          <w:iCs/>
          <w:lang w:val="en-US"/>
        </w:rPr>
        <w:t>et al</w:t>
      </w:r>
      <w:r w:rsidRPr="00604CB7">
        <w:rPr>
          <w:rFonts w:ascii="Book Antiqua" w:hAnsi="Book Antiqua"/>
          <w:vertAlign w:val="superscript"/>
          <w:lang w:val="en-US"/>
        </w:rPr>
        <w:t>[18]</w:t>
      </w:r>
      <w:r w:rsidRPr="00604CB7">
        <w:rPr>
          <w:rFonts w:ascii="Book Antiqua" w:hAnsi="Book Antiqua"/>
          <w:lang w:val="en-US"/>
        </w:rPr>
        <w:t xml:space="preserve"> evaluated the relationship between SPSS detected by ultrasound and the presence of esophageal varices, concluding that the development of new SPSS was associated with a higher rate of varices formation and growth. In the study conducted by </w:t>
      </w:r>
      <w:r w:rsidR="00477DE0" w:rsidRPr="00477DE0">
        <w:rPr>
          <w:rFonts w:ascii="Book Antiqua" w:hAnsi="Book Antiqua"/>
          <w:lang w:val="en-US"/>
        </w:rPr>
        <w:t>Simón-Talero</w:t>
      </w:r>
      <w:r w:rsidRPr="00604CB7">
        <w:rPr>
          <w:rFonts w:ascii="Book Antiqua" w:hAnsi="Book Antiqua"/>
          <w:lang w:val="en-US"/>
        </w:rPr>
        <w:t xml:space="preserve"> </w:t>
      </w:r>
      <w:r w:rsidR="00B71BBB" w:rsidRPr="00604CB7">
        <w:rPr>
          <w:rFonts w:ascii="Book Antiqua" w:hAnsi="Book Antiqua"/>
          <w:i/>
          <w:iCs/>
          <w:lang w:val="en-US"/>
        </w:rPr>
        <w:t>et al</w:t>
      </w:r>
      <w:r w:rsidRPr="00604CB7">
        <w:rPr>
          <w:rFonts w:ascii="Book Antiqua" w:hAnsi="Book Antiqua"/>
          <w:vertAlign w:val="superscript"/>
          <w:lang w:val="en-US"/>
        </w:rPr>
        <w:t>[8]</w:t>
      </w:r>
      <w:r w:rsidRPr="00604CB7">
        <w:rPr>
          <w:rFonts w:ascii="Book Antiqua" w:hAnsi="Book Antiqua"/>
          <w:lang w:val="en-US"/>
        </w:rPr>
        <w:t xml:space="preserve">, SPSS were associated with more gastroesophageal varices and GI bleeding only in patients with SPSS but preserved liver function (MELD 6-9 or Child-Pugh A), who showed higher HVPG values and more clinical significant portal hypertension (CSPH). In addition, the presence of SPSS in patients with CSPH was associated to higher rate of complications compared to patients without SPSS with CSPH. Thus, the finding of SPSS in patients with good liver function probably identifies a subgroup of patients with more advanced portal hypertension, who are more likely to develop complications and might have a worse prognosis. </w:t>
      </w:r>
      <w:r w:rsidR="00770658" w:rsidRPr="00604CB7">
        <w:rPr>
          <w:rFonts w:ascii="Book Antiqua" w:hAnsi="Book Antiqua"/>
          <w:lang w:val="en-US"/>
        </w:rPr>
        <w:t xml:space="preserve">The main limitation of the MELD score is the lack of </w:t>
      </w:r>
      <w:r w:rsidR="00477DE0" w:rsidRPr="00604CB7">
        <w:rPr>
          <w:rFonts w:ascii="Book Antiqua" w:hAnsi="Book Antiqua"/>
          <w:lang w:val="en-US"/>
        </w:rPr>
        <w:t>information</w:t>
      </w:r>
      <w:r w:rsidR="00770658" w:rsidRPr="00604CB7">
        <w:rPr>
          <w:rFonts w:ascii="Book Antiqua" w:hAnsi="Book Antiqua"/>
          <w:lang w:val="en-US"/>
        </w:rPr>
        <w:t xml:space="preserve"> about portal hypertension’s complications, thus a </w:t>
      </w:r>
      <w:r w:rsidR="00770658" w:rsidRPr="00604CB7">
        <w:rPr>
          <w:rFonts w:ascii="Book Antiqua" w:hAnsi="Book Antiqua"/>
          <w:lang w:val="en-US"/>
        </w:rPr>
        <w:lastRenderedPageBreak/>
        <w:t xml:space="preserve">new score taking into account MELD and the presence of SPSSs could have a better prognostic value compared to MELD alone. </w:t>
      </w:r>
    </w:p>
    <w:p w:rsidR="000B52DD" w:rsidRPr="00604CB7" w:rsidRDefault="000B52DD" w:rsidP="00173527">
      <w:pPr>
        <w:snapToGrid w:val="0"/>
        <w:spacing w:line="360" w:lineRule="auto"/>
        <w:jc w:val="both"/>
        <w:rPr>
          <w:rFonts w:ascii="Book Antiqua" w:hAnsi="Book Antiqua"/>
          <w:b/>
          <w:i/>
          <w:lang w:val="en-US"/>
        </w:rPr>
      </w:pPr>
    </w:p>
    <w:p w:rsidR="000B52DD" w:rsidRPr="00477DE0" w:rsidRDefault="00477DE0" w:rsidP="00173527">
      <w:pPr>
        <w:snapToGrid w:val="0"/>
        <w:spacing w:line="360" w:lineRule="auto"/>
        <w:jc w:val="both"/>
        <w:rPr>
          <w:rFonts w:ascii="Book Antiqua" w:hAnsi="Book Antiqua"/>
          <w:iCs/>
          <w:u w:val="single"/>
          <w:lang w:val="en-US"/>
        </w:rPr>
      </w:pPr>
      <w:r w:rsidRPr="00477DE0">
        <w:rPr>
          <w:rFonts w:ascii="Book Antiqua" w:hAnsi="Book Antiqua"/>
          <w:b/>
          <w:iCs/>
          <w:u w:val="single"/>
          <w:lang w:val="en-US"/>
        </w:rPr>
        <w:t xml:space="preserve">SPSS AND PORTAL VEIN THROMBOSIS </w:t>
      </w:r>
    </w:p>
    <w:p w:rsidR="000B52DD" w:rsidRPr="00604CB7" w:rsidRDefault="000B52DD" w:rsidP="00173527">
      <w:pPr>
        <w:snapToGrid w:val="0"/>
        <w:spacing w:line="360" w:lineRule="auto"/>
        <w:jc w:val="both"/>
        <w:rPr>
          <w:rFonts w:ascii="Book Antiqua" w:hAnsi="Book Antiqua"/>
          <w:b/>
          <w:i/>
          <w:lang w:val="en-US"/>
        </w:rPr>
      </w:pPr>
      <w:r w:rsidRPr="00604CB7">
        <w:rPr>
          <w:rFonts w:ascii="Book Antiqua" w:hAnsi="Book Antiqua"/>
          <w:lang w:val="en-US"/>
        </w:rPr>
        <w:t>With the progression of portal hypertension, SPSS grow and shunt more portal blood into the systemic circulation. Very ‘‘large’’ portosystemic shunts (with or without varices) can take over the splanchnic (splenic and mesenteric) outflow and compete with the liver (hepatic sinusoids) as the natural outflow of the portal vein; in other words, the liver disease, portal hypertension and portosystemic shunt become an enclosed vicious cycle</w:t>
      </w:r>
      <w:r w:rsidRPr="00604CB7">
        <w:rPr>
          <w:rFonts w:ascii="Book Antiqua" w:hAnsi="Book Antiqua"/>
          <w:vertAlign w:val="superscript"/>
          <w:lang w:val="en-US"/>
        </w:rPr>
        <w:t>[19].</w:t>
      </w:r>
      <w:r w:rsidRPr="00604CB7">
        <w:rPr>
          <w:rFonts w:ascii="Book Antiqua" w:hAnsi="Book Antiqua"/>
          <w:lang w:val="en-US"/>
        </w:rPr>
        <w:t xml:space="preserve"> Once the cycle is complete, the portal vein becomes diminutive and flow within it becomes hepatofugal; the portal vein may even thrombose in the end-stage, resulting in the portosystemic shunt becoming the only outflow of the splanchnic (splenic and mesenteric) circulation. Portal vein diminution with or without thrombosis occurs with left-sided portosystemic shunts and not recannulated paraumbilical veins (right-sided or intrahepatic shunt). In splenic shunts (such as splenorenal and gastrorenal shunts), there is dilation of the splenic vein and diminution of the portal vein. Hypersplenism is also a feature of this syndrome composed of splenomegaly, thrombocytopenia, and in severe cases pancytopenia. As the shunting progresses, the liver atrophies, the portal vein thromboses, and both hepatic synthetic function and encephalopathy become debilitating and intractable</w:t>
      </w:r>
      <w:r w:rsidRPr="00604CB7">
        <w:rPr>
          <w:rFonts w:ascii="Book Antiqua" w:hAnsi="Book Antiqua"/>
          <w:vertAlign w:val="superscript"/>
          <w:lang w:val="en-US"/>
        </w:rPr>
        <w:t>[20]</w:t>
      </w:r>
      <w:r w:rsidRPr="00604CB7">
        <w:rPr>
          <w:rFonts w:ascii="Book Antiqua" w:hAnsi="Book Antiqua"/>
          <w:lang w:val="en-US"/>
        </w:rPr>
        <w:t>.</w:t>
      </w:r>
    </w:p>
    <w:p w:rsidR="000B52DD" w:rsidRPr="00604CB7" w:rsidRDefault="000B52DD" w:rsidP="00173527">
      <w:pPr>
        <w:snapToGrid w:val="0"/>
        <w:spacing w:line="360" w:lineRule="auto"/>
        <w:jc w:val="both"/>
        <w:rPr>
          <w:rFonts w:ascii="Book Antiqua" w:hAnsi="Book Antiqua"/>
          <w:b/>
          <w:i/>
          <w:lang w:val="en-US"/>
        </w:rPr>
      </w:pPr>
    </w:p>
    <w:p w:rsidR="000B52DD" w:rsidRPr="00477DE0" w:rsidRDefault="00477DE0" w:rsidP="00173527">
      <w:pPr>
        <w:snapToGrid w:val="0"/>
        <w:spacing w:line="360" w:lineRule="auto"/>
        <w:jc w:val="both"/>
        <w:rPr>
          <w:rFonts w:ascii="Book Antiqua" w:hAnsi="Book Antiqua"/>
          <w:iCs/>
          <w:u w:val="single"/>
          <w:lang w:val="en-US"/>
        </w:rPr>
      </w:pPr>
      <w:r w:rsidRPr="00477DE0">
        <w:rPr>
          <w:rFonts w:ascii="Book Antiqua" w:hAnsi="Book Antiqua"/>
          <w:b/>
          <w:iCs/>
          <w:u w:val="single"/>
          <w:lang w:val="en-US"/>
        </w:rPr>
        <w:t xml:space="preserve">PORTOSYSTEMIC SHUNT SYNDROME </w:t>
      </w:r>
    </w:p>
    <w:p w:rsidR="000B52DD" w:rsidRPr="00604CB7" w:rsidRDefault="000B52DD" w:rsidP="00173527">
      <w:pPr>
        <w:snapToGrid w:val="0"/>
        <w:spacing w:line="360" w:lineRule="auto"/>
        <w:jc w:val="both"/>
        <w:rPr>
          <w:rFonts w:ascii="Book Antiqua" w:hAnsi="Book Antiqua" w:cs="Arial"/>
          <w:b/>
          <w:i/>
          <w:color w:val="222222"/>
          <w:shd w:val="clear" w:color="auto" w:fill="FFFFFF"/>
          <w:lang w:val="en-US"/>
        </w:rPr>
      </w:pPr>
      <w:r w:rsidRPr="00604CB7">
        <w:rPr>
          <w:rFonts w:ascii="Book Antiqua" w:hAnsi="Book Antiqua"/>
          <w:lang w:val="en-US"/>
        </w:rPr>
        <w:t xml:space="preserve">The term “portosystemic shunt syndrome” (PSS) was coined by Kumamoto </w:t>
      </w:r>
      <w:r w:rsidR="00B71BBB" w:rsidRPr="00604CB7">
        <w:rPr>
          <w:rFonts w:ascii="Book Antiqua" w:hAnsi="Book Antiqua"/>
          <w:i/>
          <w:iCs/>
          <w:lang w:val="en-US"/>
        </w:rPr>
        <w:t>et a</w:t>
      </w:r>
      <w:r w:rsidR="00477DE0" w:rsidRPr="00477DE0">
        <w:rPr>
          <w:rFonts w:ascii="Book Antiqua" w:hAnsi="Book Antiqua"/>
          <w:i/>
          <w:iCs/>
          <w:lang w:val="en-US"/>
        </w:rPr>
        <w:t>l</w:t>
      </w:r>
      <w:r w:rsidRPr="00604CB7">
        <w:rPr>
          <w:rFonts w:ascii="Book Antiqua" w:hAnsi="Book Antiqua"/>
          <w:vertAlign w:val="superscript"/>
          <w:lang w:val="en-US"/>
        </w:rPr>
        <w:t xml:space="preserve">[21] </w:t>
      </w:r>
      <w:r w:rsidRPr="00604CB7">
        <w:rPr>
          <w:rFonts w:ascii="Book Antiqua" w:hAnsi="Book Antiqua"/>
          <w:lang w:val="en-US"/>
        </w:rPr>
        <w:t xml:space="preserve">to describe the gradual deterioration of hepatic function over five years in cirrhotic patients with SPSS. Subsequently, Saad </w:t>
      </w:r>
      <w:r w:rsidR="00B71BBB" w:rsidRPr="00604CB7">
        <w:rPr>
          <w:rFonts w:ascii="Book Antiqua" w:hAnsi="Book Antiqua"/>
          <w:i/>
          <w:iCs/>
          <w:lang w:val="en-US"/>
        </w:rPr>
        <w:t>et al</w:t>
      </w:r>
      <w:r w:rsidR="00B71BBB" w:rsidRPr="00604CB7">
        <w:rPr>
          <w:rFonts w:ascii="Book Antiqua" w:hAnsi="Book Antiqua"/>
          <w:vertAlign w:val="superscript"/>
          <w:lang w:val="en-US"/>
        </w:rPr>
        <w:t>[20]</w:t>
      </w:r>
      <w:r w:rsidRPr="00604CB7">
        <w:rPr>
          <w:rFonts w:ascii="Book Antiqua" w:hAnsi="Book Antiqua"/>
          <w:lang w:val="en-US"/>
        </w:rPr>
        <w:t xml:space="preserve"> elaborated on this term further by describing a complete syndrome with specific clinical manifestations. In the Saad classification, three stages were described. In the </w:t>
      </w:r>
      <w:r w:rsidRPr="00477DE0">
        <w:rPr>
          <w:rFonts w:ascii="Book Antiqua" w:hAnsi="Book Antiqua"/>
          <w:iCs/>
          <w:lang w:val="en-US"/>
        </w:rPr>
        <w:t>early stage (</w:t>
      </w:r>
      <w:r w:rsidRPr="00604CB7">
        <w:rPr>
          <w:rFonts w:ascii="Book Antiqua" w:hAnsi="Book Antiqua"/>
          <w:lang w:val="en-US"/>
        </w:rPr>
        <w:t>A), the patient is asymptomatic with well-preserved hepatic function and large SPSS. In th</w:t>
      </w:r>
      <w:r w:rsidRPr="00477DE0">
        <w:rPr>
          <w:rFonts w:ascii="Book Antiqua" w:hAnsi="Book Antiqua"/>
          <w:i/>
          <w:iCs/>
          <w:lang w:val="en-US"/>
        </w:rPr>
        <w:t>e late stage (</w:t>
      </w:r>
      <w:r w:rsidRPr="00604CB7">
        <w:rPr>
          <w:rFonts w:ascii="Book Antiqua" w:hAnsi="Book Antiqua"/>
          <w:lang w:val="en-US"/>
        </w:rPr>
        <w:t>B), the patient is symptomatic with recurrent/persistent HE and fairly-preserved hepatic function. The</w:t>
      </w:r>
      <w:r w:rsidRPr="00477DE0">
        <w:rPr>
          <w:rFonts w:ascii="Book Antiqua" w:hAnsi="Book Antiqua"/>
          <w:iCs/>
          <w:lang w:val="en-US"/>
        </w:rPr>
        <w:t xml:space="preserve"> terminal/end stage </w:t>
      </w:r>
      <w:r w:rsidRPr="00604CB7">
        <w:rPr>
          <w:rFonts w:ascii="Book Antiqua" w:hAnsi="Book Antiqua"/>
          <w:lang w:val="en-US"/>
        </w:rPr>
        <w:t>(C) is characterized by hepatic failure and HE, ascites and jaundice. Thrombocytopenia is also frequently observed in patients with PSS.</w:t>
      </w:r>
    </w:p>
    <w:p w:rsidR="000B52DD" w:rsidRPr="00604CB7" w:rsidRDefault="000B52DD" w:rsidP="00173527">
      <w:pPr>
        <w:snapToGrid w:val="0"/>
        <w:spacing w:line="360" w:lineRule="auto"/>
        <w:jc w:val="both"/>
        <w:rPr>
          <w:rFonts w:ascii="Book Antiqua" w:hAnsi="Book Antiqua" w:cs="Arial"/>
          <w:b/>
          <w:i/>
          <w:color w:val="222222"/>
          <w:shd w:val="clear" w:color="auto" w:fill="FFFFFF"/>
          <w:lang w:val="en-US"/>
        </w:rPr>
      </w:pPr>
    </w:p>
    <w:p w:rsidR="000B52DD" w:rsidRPr="00477DE0" w:rsidRDefault="00477DE0" w:rsidP="00173527">
      <w:pPr>
        <w:snapToGrid w:val="0"/>
        <w:spacing w:line="360" w:lineRule="auto"/>
        <w:jc w:val="both"/>
        <w:rPr>
          <w:rFonts w:ascii="Book Antiqua" w:hAnsi="Book Antiqua"/>
          <w:iCs/>
          <w:color w:val="000000"/>
          <w:u w:val="single"/>
          <w:lang w:val="en-US"/>
        </w:rPr>
      </w:pPr>
      <w:r w:rsidRPr="00477DE0">
        <w:rPr>
          <w:rFonts w:ascii="Book Antiqua" w:hAnsi="Book Antiqua" w:cs="Arial"/>
          <w:b/>
          <w:iCs/>
          <w:color w:val="222222"/>
          <w:u w:val="single"/>
          <w:shd w:val="clear" w:color="auto" w:fill="FFFFFF"/>
          <w:lang w:val="en-US"/>
        </w:rPr>
        <w:lastRenderedPageBreak/>
        <w:t>PORTOSYSTEMIC SHUNTS OCCLUSION</w:t>
      </w:r>
    </w:p>
    <w:p w:rsidR="000B52DD" w:rsidRPr="00604CB7" w:rsidRDefault="000B52DD" w:rsidP="00173527">
      <w:pPr>
        <w:snapToGrid w:val="0"/>
        <w:spacing w:line="360" w:lineRule="auto"/>
        <w:jc w:val="both"/>
        <w:rPr>
          <w:rFonts w:ascii="Book Antiqua" w:hAnsi="Book Antiqua"/>
          <w:lang w:val="en-US"/>
        </w:rPr>
      </w:pPr>
      <w:r w:rsidRPr="00604CB7">
        <w:rPr>
          <w:rFonts w:ascii="Book Antiqua" w:hAnsi="Book Antiqua"/>
          <w:color w:val="000000"/>
          <w:lang w:val="en-US"/>
        </w:rPr>
        <w:t xml:space="preserve">The treatment of portosystemic shunt syndrome has become important </w:t>
      </w:r>
      <w:r w:rsidR="00FA7DCD">
        <w:rPr>
          <w:rFonts w:ascii="Book Antiqua" w:hAnsi="Book Antiqua"/>
          <w:color w:val="000000"/>
          <w:lang w:val="en-US"/>
        </w:rPr>
        <w:t>and several i</w:t>
      </w:r>
      <w:r w:rsidRPr="00604CB7">
        <w:rPr>
          <w:rFonts w:ascii="Book Antiqua" w:hAnsi="Book Antiqua"/>
          <w:color w:val="000000"/>
          <w:lang w:val="en-US"/>
        </w:rPr>
        <w:t>nterventional radiology procedures have become leading treatments for portal hypertension because of the extensive range of indications</w:t>
      </w:r>
      <w:r w:rsidRPr="00604CB7">
        <w:rPr>
          <w:rFonts w:ascii="Book Antiqua" w:hAnsi="Book Antiqua"/>
          <w:color w:val="000000"/>
          <w:vertAlign w:val="superscript"/>
          <w:lang w:val="en-US"/>
        </w:rPr>
        <w:t>[15]</w:t>
      </w:r>
      <w:r w:rsidRPr="00604CB7">
        <w:rPr>
          <w:rFonts w:ascii="Book Antiqua" w:hAnsi="Book Antiqua"/>
          <w:color w:val="000000"/>
          <w:lang w:val="en-US"/>
        </w:rPr>
        <w:t>.</w:t>
      </w:r>
      <w:r w:rsidRPr="00604CB7">
        <w:rPr>
          <w:rFonts w:ascii="Book Antiqua" w:hAnsi="Book Antiqua"/>
          <w:lang w:val="en-US"/>
        </w:rPr>
        <w:t xml:space="preserve"> </w:t>
      </w:r>
      <w:r w:rsidR="00FA7DCD" w:rsidRPr="00604CB7">
        <w:rPr>
          <w:rFonts w:ascii="Book Antiqua" w:hAnsi="Book Antiqua"/>
          <w:lang w:val="en-US"/>
        </w:rPr>
        <w:t>The main indications are: bleeding from gastric varices sustained by a gastrorenal shunt; recurrent HE due to the presence of a SPSS.</w:t>
      </w:r>
      <w:r w:rsidR="00FA7DCD">
        <w:rPr>
          <w:rFonts w:ascii="Book Antiqua" w:hAnsi="Book Antiqua"/>
          <w:lang w:val="en-US"/>
        </w:rPr>
        <w:t xml:space="preserve"> </w:t>
      </w:r>
      <w:r w:rsidRPr="00604CB7">
        <w:rPr>
          <w:rFonts w:ascii="Book Antiqua" w:hAnsi="Book Antiqua"/>
          <w:lang w:val="en-US"/>
        </w:rPr>
        <w:t xml:space="preserve">With balloon-occluded retrograde transvenous obliteration (BRTO), a balloon catheter (with a diameter similar to the shunt’s size) is placed retrogradely in the gastrorenal shunt avoiding reflux into the inferior vena cava so that a sclerosant can be injected into the gastric varices for thrombus formation while the blood flow is cut off. </w:t>
      </w:r>
      <w:r w:rsidR="009D220D" w:rsidRPr="00604CB7">
        <w:rPr>
          <w:rFonts w:ascii="Book Antiqua" w:hAnsi="Book Antiqua"/>
          <w:lang w:val="en-US"/>
        </w:rPr>
        <w:t>Moreover</w:t>
      </w:r>
      <w:r w:rsidRPr="00604CB7">
        <w:rPr>
          <w:rFonts w:ascii="Book Antiqua" w:hAnsi="Book Antiqua"/>
          <w:lang w:val="en-US"/>
        </w:rPr>
        <w:t>, BRTO should be avoided when the contrast agent flows from the shunt into the portal vein under balloon-occluded retrograde venography, because there is a risk of portal thrombosis due to sclerosing agent migrated into the portal vein</w:t>
      </w:r>
      <w:r w:rsidRPr="00604CB7">
        <w:rPr>
          <w:rFonts w:ascii="Book Antiqua" w:hAnsi="Book Antiqua"/>
          <w:vertAlign w:val="superscript"/>
          <w:lang w:val="en-US"/>
        </w:rPr>
        <w:t>[15]</w:t>
      </w:r>
      <w:r w:rsidRPr="00604CB7">
        <w:rPr>
          <w:rFonts w:ascii="Book Antiqua" w:hAnsi="Book Antiqua"/>
          <w:lang w:val="en-US"/>
        </w:rPr>
        <w:t xml:space="preserve">. BRTO has been shown to be very effective in treating gastric varices and refractory </w:t>
      </w:r>
      <w:r w:rsidR="00FA7DCD">
        <w:rPr>
          <w:rFonts w:ascii="Book Antiqua" w:hAnsi="Book Antiqua"/>
          <w:lang w:val="en-US"/>
        </w:rPr>
        <w:t>HE</w:t>
      </w:r>
      <w:r w:rsidRPr="00604CB7">
        <w:rPr>
          <w:rFonts w:ascii="Book Antiqua" w:hAnsi="Book Antiqua"/>
          <w:lang w:val="en-US"/>
        </w:rPr>
        <w:t xml:space="preserve"> associated with </w:t>
      </w:r>
      <w:r w:rsidR="00FA7DCD">
        <w:rPr>
          <w:rFonts w:ascii="Book Antiqua" w:hAnsi="Book Antiqua"/>
          <w:lang w:val="en-US"/>
        </w:rPr>
        <w:t>SPSS</w:t>
      </w:r>
      <w:r w:rsidRPr="00604CB7">
        <w:rPr>
          <w:rFonts w:ascii="Book Antiqua" w:hAnsi="Book Antiqua"/>
          <w:lang w:val="en-US"/>
        </w:rPr>
        <w:t xml:space="preserve"> with low rebleeding rates (0</w:t>
      </w:r>
      <w:r w:rsidR="00477DE0">
        <w:rPr>
          <w:rFonts w:ascii="Book Antiqua" w:hAnsi="Book Antiqua"/>
          <w:lang w:val="en-US"/>
        </w:rPr>
        <w:t>%</w:t>
      </w:r>
      <w:r w:rsidRPr="00604CB7">
        <w:rPr>
          <w:rFonts w:ascii="Book Antiqua" w:hAnsi="Book Antiqua"/>
          <w:lang w:val="en-US"/>
        </w:rPr>
        <w:t>–9%)</w:t>
      </w:r>
      <w:r w:rsidRPr="00604CB7">
        <w:rPr>
          <w:rFonts w:ascii="Book Antiqua" w:hAnsi="Book Antiqua"/>
          <w:vertAlign w:val="superscript"/>
          <w:lang w:val="en-US"/>
        </w:rPr>
        <w:t>[22</w:t>
      </w:r>
      <w:r w:rsidR="00477DE0">
        <w:rPr>
          <w:rFonts w:ascii="Book Antiqua" w:hAnsi="Book Antiqua"/>
          <w:vertAlign w:val="superscript"/>
          <w:lang w:val="en-US"/>
        </w:rPr>
        <w:t>,</w:t>
      </w:r>
      <w:r w:rsidRPr="00604CB7">
        <w:rPr>
          <w:rFonts w:ascii="Book Antiqua" w:hAnsi="Book Antiqua"/>
          <w:vertAlign w:val="superscript"/>
          <w:lang w:val="en-US"/>
        </w:rPr>
        <w:t>23]</w:t>
      </w:r>
      <w:r w:rsidRPr="00604CB7">
        <w:rPr>
          <w:rFonts w:ascii="Book Antiqua" w:hAnsi="Book Antiqua"/>
          <w:lang w:val="en-US"/>
        </w:rPr>
        <w:t>.</w:t>
      </w:r>
    </w:p>
    <w:p w:rsidR="00897DEF" w:rsidRPr="00604CB7" w:rsidRDefault="000B52DD" w:rsidP="00477DE0">
      <w:pPr>
        <w:snapToGrid w:val="0"/>
        <w:spacing w:line="360" w:lineRule="auto"/>
        <w:ind w:firstLineChars="100" w:firstLine="240"/>
        <w:jc w:val="both"/>
        <w:rPr>
          <w:rFonts w:ascii="Book Antiqua" w:hAnsi="Book Antiqua"/>
          <w:lang w:val="en-US"/>
        </w:rPr>
      </w:pPr>
      <w:r w:rsidRPr="00604CB7">
        <w:rPr>
          <w:rFonts w:ascii="Book Antiqua" w:hAnsi="Book Antiqua"/>
          <w:lang w:val="en-US"/>
        </w:rPr>
        <w:t xml:space="preserve">Recently, new techniques such as plug assisted retrograde transvenous obliteration (PARTO) or coil assisted retrograde transvenous obliteration (CARTO) have been developed. In PARTO, a vascular plug is used as a substitute for the balloon </w:t>
      </w:r>
      <w:r w:rsidR="00FA7DCD">
        <w:rPr>
          <w:rFonts w:ascii="Book Antiqua" w:hAnsi="Book Antiqua"/>
          <w:lang w:val="en-US"/>
        </w:rPr>
        <w:t xml:space="preserve">and the </w:t>
      </w:r>
      <w:r w:rsidRPr="00604CB7">
        <w:rPr>
          <w:rFonts w:ascii="Book Antiqua" w:hAnsi="Book Antiqua"/>
          <w:lang w:val="en-US"/>
        </w:rPr>
        <w:t xml:space="preserve">procedure time </w:t>
      </w:r>
      <w:r w:rsidR="00FA7DCD">
        <w:rPr>
          <w:rFonts w:ascii="Book Antiqua" w:hAnsi="Book Antiqua"/>
          <w:lang w:val="en-US"/>
        </w:rPr>
        <w:t>is reduced</w:t>
      </w:r>
      <w:r w:rsidRPr="00604CB7">
        <w:rPr>
          <w:rFonts w:ascii="Book Antiqua" w:hAnsi="Book Antiqua"/>
          <w:vertAlign w:val="superscript"/>
          <w:lang w:val="en-US"/>
        </w:rPr>
        <w:t>[24]</w:t>
      </w:r>
      <w:r w:rsidRPr="00604CB7">
        <w:rPr>
          <w:rFonts w:ascii="Book Antiqua" w:hAnsi="Book Antiqua"/>
          <w:lang w:val="en-US"/>
        </w:rPr>
        <w:t>. In CARTO, large-sized coils are used instead of the plug</w:t>
      </w:r>
      <w:r w:rsidRPr="00604CB7">
        <w:rPr>
          <w:rFonts w:ascii="Book Antiqua" w:hAnsi="Book Antiqua"/>
          <w:vertAlign w:val="superscript"/>
          <w:lang w:val="en-US"/>
        </w:rPr>
        <w:t>[25]</w:t>
      </w:r>
      <w:r w:rsidRPr="00604CB7">
        <w:rPr>
          <w:rFonts w:ascii="Book Antiqua" w:hAnsi="Book Antiqua"/>
          <w:lang w:val="en-US"/>
        </w:rPr>
        <w:t>.</w:t>
      </w:r>
      <w:r w:rsidR="00897DEF" w:rsidRPr="00604CB7">
        <w:rPr>
          <w:rFonts w:ascii="Book Antiqua" w:hAnsi="Book Antiqua"/>
          <w:lang w:val="en-US"/>
        </w:rPr>
        <w:t xml:space="preserve"> </w:t>
      </w:r>
    </w:p>
    <w:p w:rsidR="000B52DD" w:rsidRPr="00604CB7" w:rsidRDefault="000B52DD" w:rsidP="00477DE0">
      <w:pPr>
        <w:snapToGrid w:val="0"/>
        <w:spacing w:line="360" w:lineRule="auto"/>
        <w:ind w:firstLineChars="100" w:firstLine="240"/>
        <w:jc w:val="both"/>
        <w:rPr>
          <w:rFonts w:ascii="Book Antiqua" w:hAnsi="Book Antiqua"/>
          <w:b/>
          <w:i/>
          <w:shd w:val="clear" w:color="auto" w:fill="FFFF00"/>
          <w:lang w:val="en-US"/>
        </w:rPr>
      </w:pPr>
      <w:r w:rsidRPr="00604CB7">
        <w:rPr>
          <w:rFonts w:ascii="Book Antiqua" w:hAnsi="Book Antiqua"/>
          <w:lang w:val="en-US"/>
        </w:rPr>
        <w:t>Different studies demonstrated that shunt-related hepatic encephalopathy due to the increased shunt blood flow can be dramatically improved by closing the shunts</w:t>
      </w:r>
      <w:r w:rsidRPr="00604CB7">
        <w:rPr>
          <w:rFonts w:ascii="Book Antiqua" w:hAnsi="Book Antiqua"/>
          <w:vertAlign w:val="superscript"/>
          <w:lang w:val="en-US"/>
        </w:rPr>
        <w:t>[15,26-2</w:t>
      </w:r>
      <w:r w:rsidR="009D220D" w:rsidRPr="00604CB7">
        <w:rPr>
          <w:rFonts w:ascii="Book Antiqua" w:hAnsi="Book Antiqua"/>
          <w:vertAlign w:val="superscript"/>
          <w:lang w:val="en-US"/>
        </w:rPr>
        <w:t>9</w:t>
      </w:r>
      <w:r w:rsidRPr="00604CB7">
        <w:rPr>
          <w:rFonts w:ascii="Book Antiqua" w:hAnsi="Book Antiqua"/>
          <w:vertAlign w:val="superscript"/>
          <w:lang w:val="en-US"/>
        </w:rPr>
        <w:t>]</w:t>
      </w:r>
      <w:r w:rsidRPr="00604CB7">
        <w:rPr>
          <w:rFonts w:ascii="Book Antiqua" w:hAnsi="Book Antiqua"/>
          <w:lang w:val="en-US"/>
        </w:rPr>
        <w:t xml:space="preserve">. </w:t>
      </w:r>
      <w:r w:rsidR="009D220D" w:rsidRPr="00604CB7">
        <w:rPr>
          <w:rFonts w:ascii="Book Antiqua" w:hAnsi="Book Antiqua"/>
          <w:lang w:val="en-US"/>
        </w:rPr>
        <w:t xml:space="preserve">In some patients, with isolated oesophageal varices or type 1 gastro-oesophageal varices (GOV1), Transjugular Intrahepatic Porto-Systemic Shunt (TIPS) should be used to decompress the portal venous system, and avoids variceal bleeding. However, in presence of type 2 gastro-oesophageal varices (GOV2) or Isolated gastric varices (IGV), TIPS could not be efficient to reduce the bleeding risk and in these patients additional embolization of the shunt should be considered. </w:t>
      </w:r>
      <w:r w:rsidRPr="00604CB7">
        <w:rPr>
          <w:rFonts w:ascii="Book Antiqua" w:hAnsi="Book Antiqua"/>
          <w:lang w:val="en-US"/>
        </w:rPr>
        <w:t xml:space="preserve">Regarding gastric variceal bleeding, Gimm </w:t>
      </w:r>
      <w:r w:rsidR="00B71BBB" w:rsidRPr="00604CB7">
        <w:rPr>
          <w:rFonts w:ascii="Book Antiqua" w:hAnsi="Book Antiqua"/>
          <w:i/>
          <w:iCs/>
          <w:lang w:val="en-US"/>
        </w:rPr>
        <w:t>et al</w:t>
      </w:r>
      <w:r w:rsidRPr="00604CB7">
        <w:rPr>
          <w:rFonts w:ascii="Book Antiqua" w:hAnsi="Book Antiqua"/>
          <w:vertAlign w:val="superscript"/>
          <w:lang w:val="en-US"/>
        </w:rPr>
        <w:t>[2</w:t>
      </w:r>
      <w:r w:rsidR="009D220D" w:rsidRPr="00604CB7">
        <w:rPr>
          <w:rFonts w:ascii="Book Antiqua" w:hAnsi="Book Antiqua"/>
          <w:vertAlign w:val="superscript"/>
          <w:lang w:val="en-US"/>
        </w:rPr>
        <w:t>8</w:t>
      </w:r>
      <w:r w:rsidRPr="00604CB7">
        <w:rPr>
          <w:rFonts w:ascii="Book Antiqua" w:hAnsi="Book Antiqua"/>
          <w:vertAlign w:val="superscript"/>
          <w:lang w:val="en-US"/>
        </w:rPr>
        <w:t>]</w:t>
      </w:r>
      <w:r w:rsidRPr="00604CB7">
        <w:rPr>
          <w:rFonts w:ascii="Book Antiqua" w:hAnsi="Book Antiqua"/>
          <w:lang w:val="en-US"/>
        </w:rPr>
        <w:t xml:space="preserve"> demonstrated that BRTO provides better bleeding control, rebleeding-free survival and overall survival compared with transjugular intrahepatic porto-systemic shunt (TIPS).</w:t>
      </w:r>
    </w:p>
    <w:p w:rsidR="00477DE0" w:rsidRDefault="00477DE0" w:rsidP="00173527">
      <w:pPr>
        <w:snapToGrid w:val="0"/>
        <w:spacing w:line="360" w:lineRule="auto"/>
        <w:jc w:val="both"/>
        <w:rPr>
          <w:rFonts w:ascii="Book Antiqua" w:hAnsi="Book Antiqua"/>
          <w:b/>
          <w:i/>
          <w:lang w:val="en-US"/>
        </w:rPr>
      </w:pPr>
    </w:p>
    <w:p w:rsidR="000B52DD" w:rsidRPr="00477DE0" w:rsidRDefault="00477DE0" w:rsidP="00173527">
      <w:pPr>
        <w:snapToGrid w:val="0"/>
        <w:spacing w:line="360" w:lineRule="auto"/>
        <w:jc w:val="both"/>
        <w:rPr>
          <w:rFonts w:ascii="Book Antiqua" w:eastAsia="Calibri" w:hAnsi="Book Antiqua" w:cs="Calibri"/>
          <w:iCs/>
          <w:u w:val="single"/>
          <w:lang w:val="en-US"/>
        </w:rPr>
      </w:pPr>
      <w:r w:rsidRPr="00477DE0">
        <w:rPr>
          <w:rFonts w:ascii="Book Antiqua" w:hAnsi="Book Antiqua"/>
          <w:b/>
          <w:iCs/>
          <w:u w:val="single"/>
          <w:lang w:val="en-US"/>
        </w:rPr>
        <w:t xml:space="preserve">SPSS AND LIVER TRANSPLANTATION </w:t>
      </w:r>
    </w:p>
    <w:p w:rsidR="000B52DD" w:rsidRPr="00604CB7" w:rsidRDefault="000B52DD" w:rsidP="00173527">
      <w:pPr>
        <w:snapToGrid w:val="0"/>
        <w:spacing w:line="360" w:lineRule="auto"/>
        <w:jc w:val="both"/>
        <w:rPr>
          <w:rFonts w:ascii="Book Antiqua" w:hAnsi="Book Antiqua"/>
          <w:b/>
          <w:i/>
          <w:lang w:val="en-US"/>
        </w:rPr>
      </w:pPr>
      <w:r w:rsidRPr="00604CB7">
        <w:rPr>
          <w:rFonts w:ascii="Book Antiqua" w:eastAsia="Calibri" w:hAnsi="Book Antiqua" w:cs="Calibri"/>
          <w:lang w:val="en-US"/>
        </w:rPr>
        <w:t xml:space="preserve">Spontaneous portosystemic shunts have been associated with worse clinical outcomes in the pre liver </w:t>
      </w:r>
      <w:r w:rsidRPr="00604CB7">
        <w:rPr>
          <w:rFonts w:ascii="Book Antiqua" w:eastAsia="Calibri" w:hAnsi="Book Antiqua" w:cs="Calibri"/>
        </w:rPr>
        <w:t xml:space="preserve">transplantation (LT) setting, but little is known about the potential impact of </w:t>
      </w:r>
      <w:r w:rsidRPr="00604CB7">
        <w:rPr>
          <w:rFonts w:ascii="Book Antiqua" w:eastAsia="Calibri" w:hAnsi="Book Antiqua" w:cs="Calibri"/>
        </w:rPr>
        <w:lastRenderedPageBreak/>
        <w:t>SPSSs in post LT patients</w:t>
      </w:r>
      <w:r w:rsidRPr="00604CB7">
        <w:rPr>
          <w:rFonts w:ascii="Book Antiqua" w:eastAsia="Calibri" w:hAnsi="Book Antiqua" w:cs="Calibri"/>
          <w:vertAlign w:val="superscript"/>
          <w:lang w:val="en-US"/>
        </w:rPr>
        <w:t>[30]</w:t>
      </w:r>
      <w:r w:rsidRPr="00604CB7">
        <w:rPr>
          <w:rFonts w:ascii="Book Antiqua" w:eastAsia="Calibri" w:hAnsi="Book Antiqua" w:cs="Calibri"/>
        </w:rPr>
        <w:t>. In a recent retrospective study</w:t>
      </w:r>
      <w:r w:rsidRPr="00604CB7">
        <w:rPr>
          <w:rFonts w:ascii="Book Antiqua" w:eastAsia="Calibri" w:hAnsi="Book Antiqua" w:cs="Calibri"/>
          <w:vertAlign w:val="superscript"/>
          <w:lang w:val="en-US"/>
        </w:rPr>
        <w:t>[31]</w:t>
      </w:r>
      <w:r w:rsidRPr="00604CB7">
        <w:rPr>
          <w:rFonts w:ascii="Book Antiqua" w:eastAsia="Calibri" w:hAnsi="Book Antiqua" w:cs="Calibri"/>
        </w:rPr>
        <w:t>, after comparing 326 patients without, small or large SPSSs, no statistical difference was found for overall patient survival and graft survival.</w:t>
      </w:r>
    </w:p>
    <w:p w:rsidR="00477DE0" w:rsidRDefault="00477DE0" w:rsidP="00173527">
      <w:pPr>
        <w:snapToGrid w:val="0"/>
        <w:spacing w:line="360" w:lineRule="auto"/>
        <w:jc w:val="both"/>
        <w:rPr>
          <w:rFonts w:ascii="Book Antiqua" w:hAnsi="Book Antiqua"/>
          <w:b/>
          <w:i/>
          <w:lang w:val="en-US"/>
        </w:rPr>
      </w:pPr>
    </w:p>
    <w:p w:rsidR="000B52DD" w:rsidRPr="00477DE0" w:rsidRDefault="00477DE0" w:rsidP="00173527">
      <w:pPr>
        <w:snapToGrid w:val="0"/>
        <w:spacing w:line="360" w:lineRule="auto"/>
        <w:jc w:val="both"/>
        <w:rPr>
          <w:rFonts w:ascii="Book Antiqua" w:hAnsi="Book Antiqua"/>
          <w:iCs/>
          <w:u w:val="single"/>
          <w:lang w:val="en-US"/>
        </w:rPr>
      </w:pPr>
      <w:r w:rsidRPr="00477DE0">
        <w:rPr>
          <w:rFonts w:ascii="Book Antiqua" w:hAnsi="Book Antiqua"/>
          <w:b/>
          <w:iCs/>
          <w:u w:val="single"/>
          <w:lang w:val="en-US"/>
        </w:rPr>
        <w:t>CONCLUSION</w:t>
      </w:r>
    </w:p>
    <w:p w:rsidR="000B52DD" w:rsidRPr="00604CB7" w:rsidRDefault="000B52DD" w:rsidP="00173527">
      <w:pPr>
        <w:snapToGrid w:val="0"/>
        <w:spacing w:line="360" w:lineRule="auto"/>
        <w:jc w:val="both"/>
        <w:rPr>
          <w:rFonts w:ascii="Book Antiqua" w:hAnsi="Book Antiqua"/>
          <w:b/>
          <w:i/>
          <w:lang w:val="en-US"/>
        </w:rPr>
      </w:pPr>
      <w:r w:rsidRPr="00604CB7">
        <w:rPr>
          <w:rFonts w:ascii="Book Antiqua" w:hAnsi="Book Antiqua"/>
          <w:lang w:val="en-US"/>
        </w:rPr>
        <w:t>In summary, all cirrhotic patients should be studied with radiological imaging in order to detect the presence of porto-systemic shunt. In several cases, patients with large SPSS had a more impaired liver function and more frequent complications of portal hypertension</w:t>
      </w:r>
      <w:r w:rsidR="00F24630" w:rsidRPr="00604CB7">
        <w:rPr>
          <w:rFonts w:ascii="Book Antiqua" w:eastAsia="Calibri" w:hAnsi="Book Antiqua" w:cs="Calibri"/>
          <w:vertAlign w:val="superscript"/>
          <w:lang w:val="en-US"/>
        </w:rPr>
        <w:t>[32]</w:t>
      </w:r>
      <w:r w:rsidRPr="00604CB7">
        <w:rPr>
          <w:rFonts w:ascii="Book Antiqua" w:hAnsi="Book Antiqua"/>
          <w:lang w:val="en-US"/>
        </w:rPr>
        <w:t xml:space="preserve"> so these patients would probably benefit from a closer surveillance and more intensive therapy. Moreover, the identification of SPSS became crucial in selected cases, in which the embolization of large SPSS may be associated with improved survival and liver function, as well as preventing the recurrence of HE or variceal bleeding.</w:t>
      </w:r>
    </w:p>
    <w:p w:rsidR="000B52DD" w:rsidRPr="00604CB7" w:rsidRDefault="000B52DD" w:rsidP="00173527">
      <w:pPr>
        <w:snapToGrid w:val="0"/>
        <w:spacing w:line="360" w:lineRule="auto"/>
        <w:jc w:val="both"/>
        <w:rPr>
          <w:rFonts w:ascii="Book Antiqua" w:hAnsi="Book Antiqua"/>
          <w:b/>
          <w:i/>
          <w:lang w:val="en-US"/>
        </w:rPr>
      </w:pPr>
    </w:p>
    <w:p w:rsidR="00604CB7" w:rsidRPr="00604CB7" w:rsidRDefault="00604CB7" w:rsidP="00604CB7">
      <w:pPr>
        <w:widowControl w:val="0"/>
        <w:spacing w:line="360" w:lineRule="auto"/>
        <w:jc w:val="both"/>
        <w:rPr>
          <w:rFonts w:ascii="Book Antiqua" w:hAnsi="Book Antiqua"/>
          <w:b/>
          <w:bCs/>
          <w:kern w:val="2"/>
          <w:lang w:val="en-US" w:eastAsia="zh-CN"/>
        </w:rPr>
      </w:pPr>
      <w:r w:rsidRPr="00604CB7">
        <w:rPr>
          <w:rFonts w:ascii="Book Antiqua" w:hAnsi="Book Antiqua"/>
          <w:b/>
          <w:bCs/>
          <w:kern w:val="2"/>
          <w:lang w:val="en-US" w:eastAsia="zh-CN"/>
        </w:rPr>
        <w:t>REFERENCES</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1 </w:t>
      </w:r>
      <w:r w:rsidRPr="00604CB7">
        <w:rPr>
          <w:rFonts w:ascii="Book Antiqua" w:hAnsi="Book Antiqua"/>
          <w:b/>
          <w:kern w:val="2"/>
          <w:lang w:val="en-US" w:eastAsia="zh-CN"/>
        </w:rPr>
        <w:t>Blei AT</w:t>
      </w:r>
      <w:r w:rsidRPr="00604CB7">
        <w:rPr>
          <w:rFonts w:ascii="Book Antiqua" w:hAnsi="Book Antiqua"/>
          <w:kern w:val="2"/>
          <w:lang w:val="en-US" w:eastAsia="zh-CN"/>
        </w:rPr>
        <w:t xml:space="preserve">. Portal hypertension and its complications. </w:t>
      </w:r>
      <w:r w:rsidRPr="00604CB7">
        <w:rPr>
          <w:rFonts w:ascii="Book Antiqua" w:hAnsi="Book Antiqua"/>
          <w:i/>
          <w:kern w:val="2"/>
          <w:lang w:val="en-US" w:eastAsia="zh-CN"/>
        </w:rPr>
        <w:t>Curr Opin Gastroenterol</w:t>
      </w:r>
      <w:r w:rsidRPr="00604CB7">
        <w:rPr>
          <w:rFonts w:ascii="Book Antiqua" w:hAnsi="Book Antiqua"/>
          <w:kern w:val="2"/>
          <w:lang w:val="en-US" w:eastAsia="zh-CN"/>
        </w:rPr>
        <w:t xml:space="preserve"> 2007; </w:t>
      </w:r>
      <w:r w:rsidRPr="00604CB7">
        <w:rPr>
          <w:rFonts w:ascii="Book Antiqua" w:hAnsi="Book Antiqua"/>
          <w:b/>
          <w:kern w:val="2"/>
          <w:lang w:val="en-US" w:eastAsia="zh-CN"/>
        </w:rPr>
        <w:t>23</w:t>
      </w:r>
      <w:r w:rsidRPr="00604CB7">
        <w:rPr>
          <w:rFonts w:ascii="Book Antiqua" w:hAnsi="Book Antiqua"/>
          <w:kern w:val="2"/>
          <w:lang w:val="en-US" w:eastAsia="zh-CN"/>
        </w:rPr>
        <w:t>: 275-282 [PMID: 17414843 DOI: 10.1097/MOG.0b013e3280b0841f]</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2 </w:t>
      </w:r>
      <w:r w:rsidRPr="00604CB7">
        <w:rPr>
          <w:rFonts w:ascii="Book Antiqua" w:hAnsi="Book Antiqua"/>
          <w:b/>
          <w:kern w:val="2"/>
          <w:lang w:val="en-US" w:eastAsia="zh-CN"/>
        </w:rPr>
        <w:t>Fernandez M</w:t>
      </w:r>
      <w:r w:rsidRPr="00604CB7">
        <w:rPr>
          <w:rFonts w:ascii="Book Antiqua" w:hAnsi="Book Antiqua"/>
          <w:kern w:val="2"/>
          <w:lang w:val="en-US" w:eastAsia="zh-CN"/>
        </w:rPr>
        <w:t xml:space="preserve">, Mejias M, Garcia-Pras E, Mendez R, Garcia-Pagan JC, Bosch J. Reversal of portal hypertension and hyperdynamic splanchnic circulation by combined vascular endothelial growth factor and platelet-derived growth factor blockade in rats. </w:t>
      </w:r>
      <w:r w:rsidRPr="00604CB7">
        <w:rPr>
          <w:rFonts w:ascii="Book Antiqua" w:hAnsi="Book Antiqua"/>
          <w:i/>
          <w:kern w:val="2"/>
          <w:lang w:val="en-US" w:eastAsia="zh-CN"/>
        </w:rPr>
        <w:t>Hepatology</w:t>
      </w:r>
      <w:r w:rsidRPr="00604CB7">
        <w:rPr>
          <w:rFonts w:ascii="Book Antiqua" w:hAnsi="Book Antiqua"/>
          <w:kern w:val="2"/>
          <w:lang w:val="en-US" w:eastAsia="zh-CN"/>
        </w:rPr>
        <w:t xml:space="preserve"> 2007; </w:t>
      </w:r>
      <w:r w:rsidRPr="00604CB7">
        <w:rPr>
          <w:rFonts w:ascii="Book Antiqua" w:hAnsi="Book Antiqua"/>
          <w:b/>
          <w:kern w:val="2"/>
          <w:lang w:val="en-US" w:eastAsia="zh-CN"/>
        </w:rPr>
        <w:t>46</w:t>
      </w:r>
      <w:r w:rsidRPr="00604CB7">
        <w:rPr>
          <w:rFonts w:ascii="Book Antiqua" w:hAnsi="Book Antiqua"/>
          <w:kern w:val="2"/>
          <w:lang w:val="en-US" w:eastAsia="zh-CN"/>
        </w:rPr>
        <w:t>: 1208-1217 [PMID: 17654489 DOI: 10.1002/hep.21785]</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3 </w:t>
      </w:r>
      <w:r w:rsidRPr="00604CB7">
        <w:rPr>
          <w:rFonts w:ascii="Book Antiqua" w:hAnsi="Book Antiqua"/>
          <w:b/>
          <w:kern w:val="2"/>
          <w:lang w:val="en-US" w:eastAsia="zh-CN"/>
        </w:rPr>
        <w:t>de Franchis R</w:t>
      </w:r>
      <w:r w:rsidRPr="00604CB7">
        <w:rPr>
          <w:rFonts w:ascii="Book Antiqua" w:hAnsi="Book Antiqua"/>
          <w:kern w:val="2"/>
          <w:lang w:val="en-US" w:eastAsia="zh-CN"/>
        </w:rPr>
        <w:t xml:space="preserve">; Baveno VI Faculty. Expanding consensus in portal hypertension: Report of the Baveno VI Consensus Workshop: Stratifying risk and individualizing care for portal hypertension. </w:t>
      </w:r>
      <w:r w:rsidRPr="00604CB7">
        <w:rPr>
          <w:rFonts w:ascii="Book Antiqua" w:hAnsi="Book Antiqua"/>
          <w:i/>
          <w:kern w:val="2"/>
          <w:lang w:val="en-US" w:eastAsia="zh-CN"/>
        </w:rPr>
        <w:t>J Hepatol</w:t>
      </w:r>
      <w:r w:rsidRPr="00604CB7">
        <w:rPr>
          <w:rFonts w:ascii="Book Antiqua" w:hAnsi="Book Antiqua"/>
          <w:kern w:val="2"/>
          <w:lang w:val="en-US" w:eastAsia="zh-CN"/>
        </w:rPr>
        <w:t xml:space="preserve"> 2015; </w:t>
      </w:r>
      <w:r w:rsidRPr="00604CB7">
        <w:rPr>
          <w:rFonts w:ascii="Book Antiqua" w:hAnsi="Book Antiqua"/>
          <w:b/>
          <w:kern w:val="2"/>
          <w:lang w:val="en-US" w:eastAsia="zh-CN"/>
        </w:rPr>
        <w:t>63</w:t>
      </w:r>
      <w:r w:rsidRPr="00604CB7">
        <w:rPr>
          <w:rFonts w:ascii="Book Antiqua" w:hAnsi="Book Antiqua"/>
          <w:kern w:val="2"/>
          <w:lang w:val="en-US" w:eastAsia="zh-CN"/>
        </w:rPr>
        <w:t>: 743-752 [PMID: 26047908 DOI: 10.1016/j.jhep.2015.05.022]</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4 </w:t>
      </w:r>
      <w:r w:rsidRPr="00604CB7">
        <w:rPr>
          <w:rFonts w:ascii="Book Antiqua" w:hAnsi="Book Antiqua"/>
          <w:b/>
          <w:kern w:val="2"/>
          <w:lang w:val="en-US" w:eastAsia="zh-CN"/>
        </w:rPr>
        <w:t>Ohnishi K</w:t>
      </w:r>
      <w:r w:rsidRPr="00604CB7">
        <w:rPr>
          <w:rFonts w:ascii="Book Antiqua" w:hAnsi="Book Antiqua"/>
          <w:kern w:val="2"/>
          <w:lang w:val="en-US" w:eastAsia="zh-CN"/>
        </w:rPr>
        <w:t xml:space="preserve">, Sato S, Saito M, Terabayashi H, Nakayama T, Saito M, Chin N, Iida S, Nomura F, Okuda K. Clinical and portal hemodynamic features in cirrhotic patients having a large spontaneous splenorenal and/or gastrorenal shunt. </w:t>
      </w:r>
      <w:r w:rsidRPr="00604CB7">
        <w:rPr>
          <w:rFonts w:ascii="Book Antiqua" w:hAnsi="Book Antiqua"/>
          <w:i/>
          <w:kern w:val="2"/>
          <w:lang w:val="en-US" w:eastAsia="zh-CN"/>
        </w:rPr>
        <w:t>Am J Gastroenterol</w:t>
      </w:r>
      <w:r w:rsidRPr="00604CB7">
        <w:rPr>
          <w:rFonts w:ascii="Book Antiqua" w:hAnsi="Book Antiqua"/>
          <w:kern w:val="2"/>
          <w:lang w:val="en-US" w:eastAsia="zh-CN"/>
        </w:rPr>
        <w:t xml:space="preserve"> 1986; </w:t>
      </w:r>
      <w:r w:rsidRPr="00604CB7">
        <w:rPr>
          <w:rFonts w:ascii="Book Antiqua" w:hAnsi="Book Antiqua"/>
          <w:b/>
          <w:kern w:val="2"/>
          <w:lang w:val="en-US" w:eastAsia="zh-CN"/>
        </w:rPr>
        <w:t>81</w:t>
      </w:r>
      <w:r w:rsidRPr="00604CB7">
        <w:rPr>
          <w:rFonts w:ascii="Book Antiqua" w:hAnsi="Book Antiqua"/>
          <w:kern w:val="2"/>
          <w:lang w:val="en-US" w:eastAsia="zh-CN"/>
        </w:rPr>
        <w:t>: 450-455 [PMID: 3518409]</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5 </w:t>
      </w:r>
      <w:r w:rsidRPr="00604CB7">
        <w:rPr>
          <w:rFonts w:ascii="Book Antiqua" w:hAnsi="Book Antiqua"/>
          <w:b/>
          <w:kern w:val="2"/>
          <w:lang w:val="en-US" w:eastAsia="zh-CN"/>
        </w:rPr>
        <w:t>Saad WE</w:t>
      </w:r>
      <w:r w:rsidRPr="00604CB7">
        <w:rPr>
          <w:rFonts w:ascii="Book Antiqua" w:hAnsi="Book Antiqua"/>
          <w:kern w:val="2"/>
          <w:lang w:val="en-US" w:eastAsia="zh-CN"/>
        </w:rPr>
        <w:t xml:space="preserve">. Vascular anatomy and the morphologic and hemodynamic classifications of gastric varices and spontaneous portosystemic shunts relevant to the BRTO procedure. </w:t>
      </w:r>
      <w:r w:rsidRPr="00604CB7">
        <w:rPr>
          <w:rFonts w:ascii="Book Antiqua" w:hAnsi="Book Antiqua"/>
          <w:i/>
          <w:kern w:val="2"/>
          <w:lang w:val="en-US" w:eastAsia="zh-CN"/>
        </w:rPr>
        <w:t>Tech Vasc Interv Radiol</w:t>
      </w:r>
      <w:r w:rsidRPr="00604CB7">
        <w:rPr>
          <w:rFonts w:ascii="Book Antiqua" w:hAnsi="Book Antiqua"/>
          <w:kern w:val="2"/>
          <w:lang w:val="en-US" w:eastAsia="zh-CN"/>
        </w:rPr>
        <w:t xml:space="preserve"> 2013; </w:t>
      </w:r>
      <w:r w:rsidRPr="00604CB7">
        <w:rPr>
          <w:rFonts w:ascii="Book Antiqua" w:hAnsi="Book Antiqua"/>
          <w:b/>
          <w:kern w:val="2"/>
          <w:lang w:val="en-US" w:eastAsia="zh-CN"/>
        </w:rPr>
        <w:t>16</w:t>
      </w:r>
      <w:r w:rsidRPr="00604CB7">
        <w:rPr>
          <w:rFonts w:ascii="Book Antiqua" w:hAnsi="Book Antiqua"/>
          <w:kern w:val="2"/>
          <w:lang w:val="en-US" w:eastAsia="zh-CN"/>
        </w:rPr>
        <w:t>: 60-100 [PMID: 23830670 DOI: 10.1053/j.tvir.2013.02.002]</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6 </w:t>
      </w:r>
      <w:r w:rsidRPr="00604CB7">
        <w:rPr>
          <w:rFonts w:ascii="Book Antiqua" w:hAnsi="Book Antiqua"/>
          <w:b/>
          <w:kern w:val="2"/>
          <w:lang w:val="en-US" w:eastAsia="zh-CN"/>
        </w:rPr>
        <w:t>Al-Osaimi AM</w:t>
      </w:r>
      <w:r w:rsidRPr="00604CB7">
        <w:rPr>
          <w:rFonts w:ascii="Book Antiqua" w:hAnsi="Book Antiqua"/>
          <w:kern w:val="2"/>
          <w:lang w:val="en-US" w:eastAsia="zh-CN"/>
        </w:rPr>
        <w:t xml:space="preserve">, Caldwell SH. Medical and endoscopic management of gastric varices. </w:t>
      </w:r>
      <w:r w:rsidRPr="00604CB7">
        <w:rPr>
          <w:rFonts w:ascii="Book Antiqua" w:hAnsi="Book Antiqua"/>
          <w:i/>
          <w:kern w:val="2"/>
          <w:lang w:val="en-US" w:eastAsia="zh-CN"/>
        </w:rPr>
        <w:t>Semin Intervent Radiol</w:t>
      </w:r>
      <w:r w:rsidRPr="00604CB7">
        <w:rPr>
          <w:rFonts w:ascii="Book Antiqua" w:hAnsi="Book Antiqua"/>
          <w:kern w:val="2"/>
          <w:lang w:val="en-US" w:eastAsia="zh-CN"/>
        </w:rPr>
        <w:t xml:space="preserve"> 2011; </w:t>
      </w:r>
      <w:r w:rsidRPr="00604CB7">
        <w:rPr>
          <w:rFonts w:ascii="Book Antiqua" w:hAnsi="Book Antiqua"/>
          <w:b/>
          <w:kern w:val="2"/>
          <w:lang w:val="en-US" w:eastAsia="zh-CN"/>
        </w:rPr>
        <w:t>28</w:t>
      </w:r>
      <w:r w:rsidRPr="00604CB7">
        <w:rPr>
          <w:rFonts w:ascii="Book Antiqua" w:hAnsi="Book Antiqua"/>
          <w:kern w:val="2"/>
          <w:lang w:val="en-US" w:eastAsia="zh-CN"/>
        </w:rPr>
        <w:t>: 273-282 [PMID: 22942544 DOI: 10.1055/s-0031-1284453]</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lastRenderedPageBreak/>
        <w:t xml:space="preserve">7 </w:t>
      </w:r>
      <w:r w:rsidRPr="00604CB7">
        <w:rPr>
          <w:rFonts w:ascii="Book Antiqua" w:hAnsi="Book Antiqua"/>
          <w:b/>
          <w:kern w:val="2"/>
          <w:lang w:val="en-US" w:eastAsia="zh-CN"/>
        </w:rPr>
        <w:t>Maruyama H</w:t>
      </w:r>
      <w:r w:rsidRPr="00604CB7">
        <w:rPr>
          <w:rFonts w:ascii="Book Antiqua" w:hAnsi="Book Antiqua"/>
          <w:kern w:val="2"/>
          <w:lang w:val="en-US" w:eastAsia="zh-CN"/>
        </w:rPr>
        <w:t xml:space="preserve">, Okugawa H, Yoshizumi H, Kobayashi S, Yokosuka O. Hemodynamic features of gastrorenal shunt: a Doppler study in cirrhotic patients with gastric fundal varices. </w:t>
      </w:r>
      <w:r w:rsidRPr="00604CB7">
        <w:rPr>
          <w:rFonts w:ascii="Book Antiqua" w:hAnsi="Book Antiqua"/>
          <w:i/>
          <w:kern w:val="2"/>
          <w:lang w:val="en-US" w:eastAsia="zh-CN"/>
        </w:rPr>
        <w:t>Acad Radiol</w:t>
      </w:r>
      <w:r w:rsidRPr="00604CB7">
        <w:rPr>
          <w:rFonts w:ascii="Book Antiqua" w:hAnsi="Book Antiqua"/>
          <w:kern w:val="2"/>
          <w:lang w:val="en-US" w:eastAsia="zh-CN"/>
        </w:rPr>
        <w:t xml:space="preserve"> 2008; </w:t>
      </w:r>
      <w:r w:rsidRPr="00604CB7">
        <w:rPr>
          <w:rFonts w:ascii="Book Antiqua" w:hAnsi="Book Antiqua"/>
          <w:b/>
          <w:kern w:val="2"/>
          <w:lang w:val="en-US" w:eastAsia="zh-CN"/>
        </w:rPr>
        <w:t>15</w:t>
      </w:r>
      <w:r w:rsidRPr="00604CB7">
        <w:rPr>
          <w:rFonts w:ascii="Book Antiqua" w:hAnsi="Book Antiqua"/>
          <w:kern w:val="2"/>
          <w:lang w:val="en-US" w:eastAsia="zh-CN"/>
        </w:rPr>
        <w:t>: 1148-1154 [PMID: 18692756 DOI: 10.1016/j.acra.2008.03.008]</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8 </w:t>
      </w:r>
      <w:bookmarkStart w:id="16" w:name="_Hlk35459890"/>
      <w:r w:rsidRPr="00604CB7">
        <w:rPr>
          <w:rFonts w:ascii="Book Antiqua" w:hAnsi="Book Antiqua"/>
          <w:b/>
          <w:kern w:val="2"/>
          <w:lang w:val="en-US" w:eastAsia="zh-CN"/>
        </w:rPr>
        <w:t>Simón-Talero</w:t>
      </w:r>
      <w:bookmarkEnd w:id="16"/>
      <w:r w:rsidRPr="00604CB7">
        <w:rPr>
          <w:rFonts w:ascii="Book Antiqua" w:hAnsi="Book Antiqua"/>
          <w:b/>
          <w:kern w:val="2"/>
          <w:lang w:val="en-US" w:eastAsia="zh-CN"/>
        </w:rPr>
        <w:t xml:space="preserve"> M</w:t>
      </w:r>
      <w:r w:rsidRPr="00604CB7">
        <w:rPr>
          <w:rFonts w:ascii="Book Antiqua" w:hAnsi="Book Antiqua"/>
          <w:kern w:val="2"/>
          <w:lang w:val="en-US" w:eastAsia="zh-CN"/>
        </w:rPr>
        <w:t xml:space="preserve">, Roccarina D, Martínez J, Lampichler K, Baiges A, Low G, Llop E, Praktiknjo M, Maurer MH, Zipprich A, Triolo M, Vangrinsven G, Garcia-Martinez R, Dam A, Majumdar A, Picón C, Toth D, Darnell A, Abraldes JG, Lopez M, Kukuk G, Krag A, Bañares R, Laleman W, La Mura V, Ripoll C, Berzigotti A, Trebicka J, Calleja JL, Tandon P, Hernandez-Gea V, Reiberger T, Albillos A, Tsochatzis EA, Augustin S, Genescà J; Baveno VI-SPSS group from the Baveno Cooperation. Association Between Portosystemic Shunts and Increased Complications and Mortality in Patients With Cirrhosis. </w:t>
      </w:r>
      <w:r w:rsidRPr="00604CB7">
        <w:rPr>
          <w:rFonts w:ascii="Book Antiqua" w:hAnsi="Book Antiqua"/>
          <w:i/>
          <w:kern w:val="2"/>
          <w:lang w:val="en-US" w:eastAsia="zh-CN"/>
        </w:rPr>
        <w:t>Gastroenterology</w:t>
      </w:r>
      <w:r w:rsidRPr="00604CB7">
        <w:rPr>
          <w:rFonts w:ascii="Book Antiqua" w:hAnsi="Book Antiqua"/>
          <w:kern w:val="2"/>
          <w:lang w:val="en-US" w:eastAsia="zh-CN"/>
        </w:rPr>
        <w:t xml:space="preserve"> 2018; </w:t>
      </w:r>
      <w:r w:rsidRPr="00604CB7">
        <w:rPr>
          <w:rFonts w:ascii="Book Antiqua" w:hAnsi="Book Antiqua"/>
          <w:b/>
          <w:kern w:val="2"/>
          <w:lang w:val="en-US" w:eastAsia="zh-CN"/>
        </w:rPr>
        <w:t>154</w:t>
      </w:r>
      <w:r w:rsidRPr="00604CB7">
        <w:rPr>
          <w:rFonts w:ascii="Book Antiqua" w:hAnsi="Book Antiqua"/>
          <w:kern w:val="2"/>
          <w:lang w:val="en-US" w:eastAsia="zh-CN"/>
        </w:rPr>
        <w:t>: 1694-1705.e4 [PMID: 29360462 DOI: 10.1053/j.gastro.2018.01.028]</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9 </w:t>
      </w:r>
      <w:r w:rsidRPr="00604CB7">
        <w:rPr>
          <w:rFonts w:ascii="Book Antiqua" w:hAnsi="Book Antiqua"/>
          <w:b/>
          <w:kern w:val="2"/>
          <w:lang w:val="en-US" w:eastAsia="zh-CN"/>
        </w:rPr>
        <w:t>Sakurabayashi S</w:t>
      </w:r>
      <w:r w:rsidRPr="00604CB7">
        <w:rPr>
          <w:rFonts w:ascii="Book Antiqua" w:hAnsi="Book Antiqua"/>
          <w:kern w:val="2"/>
          <w:lang w:val="en-US" w:eastAsia="zh-CN"/>
        </w:rPr>
        <w:t xml:space="preserve">, Sezai S, Yamamoto Y, Hirano M, Oka H. Embolization of portal-systemic shunts in cirrhotic patients with chronic recurrent hepatic encephalopathy. </w:t>
      </w:r>
      <w:r w:rsidRPr="00604CB7">
        <w:rPr>
          <w:rFonts w:ascii="Book Antiqua" w:hAnsi="Book Antiqua"/>
          <w:i/>
          <w:kern w:val="2"/>
          <w:lang w:val="en-US" w:eastAsia="zh-CN"/>
        </w:rPr>
        <w:t>Cardiovasc Intervent Radiol</w:t>
      </w:r>
      <w:r w:rsidRPr="00604CB7">
        <w:rPr>
          <w:rFonts w:ascii="Book Antiqua" w:hAnsi="Book Antiqua"/>
          <w:kern w:val="2"/>
          <w:lang w:val="en-US" w:eastAsia="zh-CN"/>
        </w:rPr>
        <w:t xml:space="preserve"> 1997; </w:t>
      </w:r>
      <w:r w:rsidRPr="00604CB7">
        <w:rPr>
          <w:rFonts w:ascii="Book Antiqua" w:hAnsi="Book Antiqua"/>
          <w:b/>
          <w:kern w:val="2"/>
          <w:lang w:val="en-US" w:eastAsia="zh-CN"/>
        </w:rPr>
        <w:t>20</w:t>
      </w:r>
      <w:r w:rsidRPr="00604CB7">
        <w:rPr>
          <w:rFonts w:ascii="Book Antiqua" w:hAnsi="Book Antiqua"/>
          <w:kern w:val="2"/>
          <w:lang w:val="en-US" w:eastAsia="zh-CN"/>
        </w:rPr>
        <w:t>: 120-124 [PMID: 9030502 DOI: 10.1007/s002709900118]</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10 </w:t>
      </w:r>
      <w:r w:rsidRPr="00604CB7">
        <w:rPr>
          <w:rFonts w:ascii="Book Antiqua" w:hAnsi="Book Antiqua"/>
          <w:b/>
          <w:kern w:val="2"/>
          <w:lang w:val="en-US" w:eastAsia="zh-CN"/>
        </w:rPr>
        <w:t>Nardelli S</w:t>
      </w:r>
      <w:r w:rsidRPr="00604CB7">
        <w:rPr>
          <w:rFonts w:ascii="Book Antiqua" w:hAnsi="Book Antiqua"/>
          <w:kern w:val="2"/>
          <w:lang w:val="en-US" w:eastAsia="zh-CN"/>
        </w:rPr>
        <w:t xml:space="preserve">, Gioia S, Ridola L, Riggio O. Radiological Intervention for Shunt Related Encephalopathy. </w:t>
      </w:r>
      <w:r w:rsidRPr="00604CB7">
        <w:rPr>
          <w:rFonts w:ascii="Book Antiqua" w:hAnsi="Book Antiqua"/>
          <w:i/>
          <w:kern w:val="2"/>
          <w:lang w:val="en-US" w:eastAsia="zh-CN"/>
        </w:rPr>
        <w:t>J Clin Exp Hepatol</w:t>
      </w:r>
      <w:r w:rsidRPr="00604CB7">
        <w:rPr>
          <w:rFonts w:ascii="Book Antiqua" w:hAnsi="Book Antiqua"/>
          <w:kern w:val="2"/>
          <w:lang w:val="en-US" w:eastAsia="zh-CN"/>
        </w:rPr>
        <w:t xml:space="preserve"> 2018; </w:t>
      </w:r>
      <w:r w:rsidRPr="00604CB7">
        <w:rPr>
          <w:rFonts w:ascii="Book Antiqua" w:hAnsi="Book Antiqua"/>
          <w:b/>
          <w:kern w:val="2"/>
          <w:lang w:val="en-US" w:eastAsia="zh-CN"/>
        </w:rPr>
        <w:t>8</w:t>
      </w:r>
      <w:r w:rsidRPr="00604CB7">
        <w:rPr>
          <w:rFonts w:ascii="Book Antiqua" w:hAnsi="Book Antiqua"/>
          <w:kern w:val="2"/>
          <w:lang w:val="en-US" w:eastAsia="zh-CN"/>
        </w:rPr>
        <w:t>: 452-459 [PMID: 30564003 DOI: 10.1016/j.jceh.2018.04.008]</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11 </w:t>
      </w:r>
      <w:r w:rsidRPr="00604CB7">
        <w:rPr>
          <w:rFonts w:ascii="Book Antiqua" w:hAnsi="Book Antiqua"/>
          <w:b/>
          <w:kern w:val="2"/>
          <w:lang w:val="en-US" w:eastAsia="zh-CN"/>
        </w:rPr>
        <w:t>Shawcross DL</w:t>
      </w:r>
      <w:r w:rsidRPr="00604CB7">
        <w:rPr>
          <w:rFonts w:ascii="Book Antiqua" w:hAnsi="Book Antiqua"/>
          <w:kern w:val="2"/>
          <w:lang w:val="en-US" w:eastAsia="zh-CN"/>
        </w:rPr>
        <w:t xml:space="preserve">, Olde Damink SW, Butterworth RF, Jalan R. Ammonia and hepatic encephalopathy: the more things change, the more they remain the same. </w:t>
      </w:r>
      <w:r w:rsidRPr="00604CB7">
        <w:rPr>
          <w:rFonts w:ascii="Book Antiqua" w:hAnsi="Book Antiqua"/>
          <w:i/>
          <w:kern w:val="2"/>
          <w:lang w:val="en-US" w:eastAsia="zh-CN"/>
        </w:rPr>
        <w:t>Metab Brain Dis</w:t>
      </w:r>
      <w:r w:rsidRPr="00604CB7">
        <w:rPr>
          <w:rFonts w:ascii="Book Antiqua" w:hAnsi="Book Antiqua"/>
          <w:kern w:val="2"/>
          <w:lang w:val="en-US" w:eastAsia="zh-CN"/>
        </w:rPr>
        <w:t xml:space="preserve"> 2005; </w:t>
      </w:r>
      <w:r w:rsidRPr="00604CB7">
        <w:rPr>
          <w:rFonts w:ascii="Book Antiqua" w:hAnsi="Book Antiqua"/>
          <w:b/>
          <w:kern w:val="2"/>
          <w:lang w:val="en-US" w:eastAsia="zh-CN"/>
        </w:rPr>
        <w:t>20</w:t>
      </w:r>
      <w:r w:rsidRPr="00604CB7">
        <w:rPr>
          <w:rFonts w:ascii="Book Antiqua" w:hAnsi="Book Antiqua"/>
          <w:kern w:val="2"/>
          <w:lang w:val="en-US" w:eastAsia="zh-CN"/>
        </w:rPr>
        <w:t>: 169-179 [PMID: 16167195 DOI: 10.1007/s11011-005-7205-0]</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12 </w:t>
      </w:r>
      <w:r w:rsidRPr="00604CB7">
        <w:rPr>
          <w:rFonts w:ascii="Book Antiqua" w:hAnsi="Book Antiqua"/>
          <w:b/>
          <w:kern w:val="2"/>
          <w:lang w:val="en-US" w:eastAsia="zh-CN"/>
        </w:rPr>
        <w:t>Riggio O</w:t>
      </w:r>
      <w:r w:rsidRPr="00604CB7">
        <w:rPr>
          <w:rFonts w:ascii="Book Antiqua" w:hAnsi="Book Antiqua"/>
          <w:kern w:val="2"/>
          <w:lang w:val="en-US" w:eastAsia="zh-CN"/>
        </w:rPr>
        <w:t xml:space="preserve">, Efrati C, Catalano C, Pediconi F, Mecarelli O, Accornero N, Nicolao F, Angeloni S, Masini A, Ridola L, Attili AF, Merli M. High prevalence of spontaneous portal-systemic shunts in persistent hepatic encephalopathy: a case-control study. </w:t>
      </w:r>
      <w:r w:rsidRPr="00604CB7">
        <w:rPr>
          <w:rFonts w:ascii="Book Antiqua" w:hAnsi="Book Antiqua"/>
          <w:i/>
          <w:kern w:val="2"/>
          <w:lang w:val="en-US" w:eastAsia="zh-CN"/>
        </w:rPr>
        <w:t>Hepatology</w:t>
      </w:r>
      <w:r w:rsidRPr="00604CB7">
        <w:rPr>
          <w:rFonts w:ascii="Book Antiqua" w:hAnsi="Book Antiqua"/>
          <w:kern w:val="2"/>
          <w:lang w:val="en-US" w:eastAsia="zh-CN"/>
        </w:rPr>
        <w:t xml:space="preserve"> 2005; </w:t>
      </w:r>
      <w:r w:rsidRPr="00604CB7">
        <w:rPr>
          <w:rFonts w:ascii="Book Antiqua" w:hAnsi="Book Antiqua"/>
          <w:b/>
          <w:kern w:val="2"/>
          <w:lang w:val="en-US" w:eastAsia="zh-CN"/>
        </w:rPr>
        <w:t>42</w:t>
      </w:r>
      <w:r w:rsidRPr="00604CB7">
        <w:rPr>
          <w:rFonts w:ascii="Book Antiqua" w:hAnsi="Book Antiqua"/>
          <w:kern w:val="2"/>
          <w:lang w:val="en-US" w:eastAsia="zh-CN"/>
        </w:rPr>
        <w:t>: 1158-1165 [PMID: 16250033 DOI: 10.1002/hep.20905]</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13 </w:t>
      </w:r>
      <w:r w:rsidRPr="00604CB7">
        <w:rPr>
          <w:rFonts w:ascii="Book Antiqua" w:hAnsi="Book Antiqua"/>
          <w:b/>
          <w:kern w:val="2"/>
          <w:lang w:val="en-US" w:eastAsia="zh-CN"/>
        </w:rPr>
        <w:t>Vilstrup H</w:t>
      </w:r>
      <w:r w:rsidRPr="00604CB7">
        <w:rPr>
          <w:rFonts w:ascii="Book Antiqua" w:hAnsi="Book Antiqua"/>
          <w:kern w:val="2"/>
          <w:lang w:val="en-US" w:eastAsia="zh-CN"/>
        </w:rPr>
        <w:t xml:space="preserve">, Amodio P, Bajaj J, Cordoba J, Ferenci P, Mullen KD, Weissenborn K, Wong P. Hepatic encephalopathy in chronic liver disease: 2014 Practice Guideline by the American Association for the Study of Liver Diseases and the European Association for the Study of the Liver. </w:t>
      </w:r>
      <w:r w:rsidRPr="00604CB7">
        <w:rPr>
          <w:rFonts w:ascii="Book Antiqua" w:hAnsi="Book Antiqua"/>
          <w:i/>
          <w:kern w:val="2"/>
          <w:lang w:val="en-US" w:eastAsia="zh-CN"/>
        </w:rPr>
        <w:t>Hepatology</w:t>
      </w:r>
      <w:r w:rsidRPr="00604CB7">
        <w:rPr>
          <w:rFonts w:ascii="Book Antiqua" w:hAnsi="Book Antiqua"/>
          <w:kern w:val="2"/>
          <w:lang w:val="en-US" w:eastAsia="zh-CN"/>
        </w:rPr>
        <w:t xml:space="preserve"> 2014; </w:t>
      </w:r>
      <w:r w:rsidRPr="00604CB7">
        <w:rPr>
          <w:rFonts w:ascii="Book Antiqua" w:hAnsi="Book Antiqua"/>
          <w:b/>
          <w:kern w:val="2"/>
          <w:lang w:val="en-US" w:eastAsia="zh-CN"/>
        </w:rPr>
        <w:t>60</w:t>
      </w:r>
      <w:r w:rsidRPr="00604CB7">
        <w:rPr>
          <w:rFonts w:ascii="Book Antiqua" w:hAnsi="Book Antiqua"/>
          <w:kern w:val="2"/>
          <w:lang w:val="en-US" w:eastAsia="zh-CN"/>
        </w:rPr>
        <w:t>: 715-735 [PMID: 25042402 DOI: 10.1002/hep.27210]</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14 </w:t>
      </w:r>
      <w:r w:rsidRPr="00604CB7">
        <w:rPr>
          <w:rFonts w:ascii="Book Antiqua" w:hAnsi="Book Antiqua"/>
          <w:b/>
          <w:kern w:val="2"/>
          <w:lang w:val="en-US" w:eastAsia="zh-CN"/>
        </w:rPr>
        <w:t>Tryc AB</w:t>
      </w:r>
      <w:r w:rsidRPr="00604CB7">
        <w:rPr>
          <w:rFonts w:ascii="Book Antiqua" w:hAnsi="Book Antiqua"/>
          <w:kern w:val="2"/>
          <w:lang w:val="en-US" w:eastAsia="zh-CN"/>
        </w:rPr>
        <w:t xml:space="preserve">, Goldbecker A, Berding G, Rümke S, Afshar K, Shahrezaei GH, Pflugrad H, Barg-Hock H, Strassburg CP, Hecker H, Weissenborn K. Cirrhosis-related Parkinsonism: prevalence, mechanisms and response to treatments. </w:t>
      </w:r>
      <w:r w:rsidRPr="00604CB7">
        <w:rPr>
          <w:rFonts w:ascii="Book Antiqua" w:hAnsi="Book Antiqua"/>
          <w:i/>
          <w:kern w:val="2"/>
          <w:lang w:val="en-US" w:eastAsia="zh-CN"/>
        </w:rPr>
        <w:t>J Hepatol</w:t>
      </w:r>
      <w:r w:rsidRPr="00604CB7">
        <w:rPr>
          <w:rFonts w:ascii="Book Antiqua" w:hAnsi="Book Antiqua"/>
          <w:kern w:val="2"/>
          <w:lang w:val="en-US" w:eastAsia="zh-CN"/>
        </w:rPr>
        <w:t xml:space="preserve"> 2013; </w:t>
      </w:r>
      <w:r w:rsidRPr="00604CB7">
        <w:rPr>
          <w:rFonts w:ascii="Book Antiqua" w:hAnsi="Book Antiqua"/>
          <w:b/>
          <w:kern w:val="2"/>
          <w:lang w:val="en-US" w:eastAsia="zh-CN"/>
        </w:rPr>
        <w:t>58</w:t>
      </w:r>
      <w:r w:rsidRPr="00604CB7">
        <w:rPr>
          <w:rFonts w:ascii="Book Antiqua" w:hAnsi="Book Antiqua"/>
          <w:kern w:val="2"/>
          <w:lang w:val="en-US" w:eastAsia="zh-CN"/>
        </w:rPr>
        <w:t xml:space="preserve">: 698-705 [PMID: </w:t>
      </w:r>
      <w:r w:rsidRPr="00604CB7">
        <w:rPr>
          <w:rFonts w:ascii="Book Antiqua" w:hAnsi="Book Antiqua"/>
          <w:kern w:val="2"/>
          <w:lang w:val="en-US" w:eastAsia="zh-CN"/>
        </w:rPr>
        <w:lastRenderedPageBreak/>
        <w:t>23220368 DOI: 10.1016/j.jhep.2012.11.043]</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15 </w:t>
      </w:r>
      <w:r w:rsidRPr="00604CB7">
        <w:rPr>
          <w:rFonts w:ascii="Book Antiqua" w:hAnsi="Book Antiqua"/>
          <w:b/>
          <w:kern w:val="2"/>
          <w:lang w:val="en-US" w:eastAsia="zh-CN"/>
        </w:rPr>
        <w:t>Philips CA</w:t>
      </w:r>
      <w:r w:rsidRPr="00604CB7">
        <w:rPr>
          <w:rFonts w:ascii="Book Antiqua" w:hAnsi="Book Antiqua"/>
          <w:kern w:val="2"/>
          <w:lang w:val="en-US" w:eastAsia="zh-CN"/>
        </w:rPr>
        <w:t xml:space="preserve">, Kumar L, Augustine P. Shunt occlusion for portosystemic shunt syndrome related refractory hepatic encephalopathy-A single-center experience in 21 patients from Kerala. </w:t>
      </w:r>
      <w:r w:rsidRPr="00604CB7">
        <w:rPr>
          <w:rFonts w:ascii="Book Antiqua" w:hAnsi="Book Antiqua"/>
          <w:i/>
          <w:kern w:val="2"/>
          <w:lang w:val="en-US" w:eastAsia="zh-CN"/>
        </w:rPr>
        <w:t>Indian J Gastroenterol</w:t>
      </w:r>
      <w:r w:rsidRPr="00604CB7">
        <w:rPr>
          <w:rFonts w:ascii="Book Antiqua" w:hAnsi="Book Antiqua"/>
          <w:kern w:val="2"/>
          <w:lang w:val="en-US" w:eastAsia="zh-CN"/>
        </w:rPr>
        <w:t xml:space="preserve"> 2017; </w:t>
      </w:r>
      <w:r w:rsidRPr="00604CB7">
        <w:rPr>
          <w:rFonts w:ascii="Book Antiqua" w:hAnsi="Book Antiqua"/>
          <w:b/>
          <w:kern w:val="2"/>
          <w:lang w:val="en-US" w:eastAsia="zh-CN"/>
        </w:rPr>
        <w:t>36</w:t>
      </w:r>
      <w:r w:rsidRPr="00604CB7">
        <w:rPr>
          <w:rFonts w:ascii="Book Antiqua" w:hAnsi="Book Antiqua"/>
          <w:kern w:val="2"/>
          <w:lang w:val="en-US" w:eastAsia="zh-CN"/>
        </w:rPr>
        <w:t>: 411-419 [PMID: 29124669 DOI: 10.1007/s12664-017-0787-8]</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16 </w:t>
      </w:r>
      <w:r w:rsidRPr="00604CB7">
        <w:rPr>
          <w:rFonts w:ascii="Book Antiqua" w:hAnsi="Book Antiqua"/>
          <w:b/>
          <w:kern w:val="2"/>
          <w:lang w:val="en-US" w:eastAsia="zh-CN"/>
        </w:rPr>
        <w:t>Lam KC</w:t>
      </w:r>
      <w:r w:rsidRPr="00604CB7">
        <w:rPr>
          <w:rFonts w:ascii="Book Antiqua" w:hAnsi="Book Antiqua"/>
          <w:kern w:val="2"/>
          <w:lang w:val="en-US" w:eastAsia="zh-CN"/>
        </w:rPr>
        <w:t xml:space="preserve">, Juttner HU, Reynolds TB. Spontaneous portosystemic shunt: relationship to spontaneous encephalopathy and gastrointestinal hemorrhage. </w:t>
      </w:r>
      <w:r w:rsidRPr="00604CB7">
        <w:rPr>
          <w:rFonts w:ascii="Book Antiqua" w:hAnsi="Book Antiqua"/>
          <w:i/>
          <w:kern w:val="2"/>
          <w:lang w:val="en-US" w:eastAsia="zh-CN"/>
        </w:rPr>
        <w:t>Dig Dis Sci</w:t>
      </w:r>
      <w:r w:rsidRPr="00604CB7">
        <w:rPr>
          <w:rFonts w:ascii="Book Antiqua" w:hAnsi="Book Antiqua"/>
          <w:kern w:val="2"/>
          <w:lang w:val="en-US" w:eastAsia="zh-CN"/>
        </w:rPr>
        <w:t xml:space="preserve"> 1981; </w:t>
      </w:r>
      <w:r w:rsidRPr="00604CB7">
        <w:rPr>
          <w:rFonts w:ascii="Book Antiqua" w:hAnsi="Book Antiqua"/>
          <w:b/>
          <w:kern w:val="2"/>
          <w:lang w:val="en-US" w:eastAsia="zh-CN"/>
        </w:rPr>
        <w:t>26</w:t>
      </w:r>
      <w:r w:rsidRPr="00604CB7">
        <w:rPr>
          <w:rFonts w:ascii="Book Antiqua" w:hAnsi="Book Antiqua"/>
          <w:kern w:val="2"/>
          <w:lang w:val="en-US" w:eastAsia="zh-CN"/>
        </w:rPr>
        <w:t>: 346-352 [PMID: 6972295 DOI: 10.1007/bf01308377]</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17 </w:t>
      </w:r>
      <w:r w:rsidRPr="00604CB7">
        <w:rPr>
          <w:rFonts w:ascii="Book Antiqua" w:hAnsi="Book Antiqua"/>
          <w:b/>
          <w:kern w:val="2"/>
          <w:lang w:val="en-US" w:eastAsia="zh-CN"/>
        </w:rPr>
        <w:t>Aseni P</w:t>
      </w:r>
      <w:r w:rsidRPr="00604CB7">
        <w:rPr>
          <w:rFonts w:ascii="Book Antiqua" w:hAnsi="Book Antiqua"/>
          <w:kern w:val="2"/>
          <w:lang w:val="en-US" w:eastAsia="zh-CN"/>
        </w:rPr>
        <w:t xml:space="preserve">, Beati C, Brambilla G, Bertini M, Belli L. Does large spontaneous portal systemic shunt in cirrhosis protect from the risk of gastroesophageal bleeding? </w:t>
      </w:r>
      <w:r w:rsidRPr="00604CB7">
        <w:rPr>
          <w:rFonts w:ascii="Book Antiqua" w:hAnsi="Book Antiqua"/>
          <w:i/>
          <w:kern w:val="2"/>
          <w:lang w:val="en-US" w:eastAsia="zh-CN"/>
        </w:rPr>
        <w:t>J Clin Gastroenterol</w:t>
      </w:r>
      <w:r w:rsidRPr="00604CB7">
        <w:rPr>
          <w:rFonts w:ascii="Book Antiqua" w:hAnsi="Book Antiqua"/>
          <w:kern w:val="2"/>
          <w:lang w:val="en-US" w:eastAsia="zh-CN"/>
        </w:rPr>
        <w:t xml:space="preserve"> 1986; </w:t>
      </w:r>
      <w:r w:rsidRPr="00604CB7">
        <w:rPr>
          <w:rFonts w:ascii="Book Antiqua" w:hAnsi="Book Antiqua"/>
          <w:b/>
          <w:kern w:val="2"/>
          <w:lang w:val="en-US" w:eastAsia="zh-CN"/>
        </w:rPr>
        <w:t>8</w:t>
      </w:r>
      <w:r w:rsidRPr="00604CB7">
        <w:rPr>
          <w:rFonts w:ascii="Book Antiqua" w:hAnsi="Book Antiqua"/>
          <w:kern w:val="2"/>
          <w:lang w:val="en-US" w:eastAsia="zh-CN"/>
        </w:rPr>
        <w:t>: 235-238 [PMID: 3488341 DOI: 10.1097/00004836-198606000-00006]</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18 </w:t>
      </w:r>
      <w:r w:rsidRPr="00604CB7">
        <w:rPr>
          <w:rFonts w:ascii="Book Antiqua" w:hAnsi="Book Antiqua"/>
          <w:b/>
          <w:kern w:val="2"/>
          <w:lang w:val="en-US" w:eastAsia="zh-CN"/>
        </w:rPr>
        <w:t>Berzigotti A</w:t>
      </w:r>
      <w:r w:rsidRPr="00604CB7">
        <w:rPr>
          <w:rFonts w:ascii="Book Antiqua" w:hAnsi="Book Antiqua"/>
          <w:kern w:val="2"/>
          <w:lang w:val="en-US" w:eastAsia="zh-CN"/>
        </w:rPr>
        <w:t xml:space="preserve">, Merkel C, Magalotti D, Tiani C, Gaiani S, Sacerdoti D, Zoli M. New abdominal collaterals at ultrasound: a clue of progression of portal hypertension. </w:t>
      </w:r>
      <w:r w:rsidRPr="00604CB7">
        <w:rPr>
          <w:rFonts w:ascii="Book Antiqua" w:hAnsi="Book Antiqua"/>
          <w:i/>
          <w:kern w:val="2"/>
          <w:lang w:val="en-US" w:eastAsia="zh-CN"/>
        </w:rPr>
        <w:t>Dig Liver Dis</w:t>
      </w:r>
      <w:r w:rsidRPr="00604CB7">
        <w:rPr>
          <w:rFonts w:ascii="Book Antiqua" w:hAnsi="Book Antiqua"/>
          <w:kern w:val="2"/>
          <w:lang w:val="en-US" w:eastAsia="zh-CN"/>
        </w:rPr>
        <w:t xml:space="preserve"> 2008; </w:t>
      </w:r>
      <w:r w:rsidRPr="00604CB7">
        <w:rPr>
          <w:rFonts w:ascii="Book Antiqua" w:hAnsi="Book Antiqua"/>
          <w:b/>
          <w:kern w:val="2"/>
          <w:lang w:val="en-US" w:eastAsia="zh-CN"/>
        </w:rPr>
        <w:t>40</w:t>
      </w:r>
      <w:r w:rsidRPr="00604CB7">
        <w:rPr>
          <w:rFonts w:ascii="Book Antiqua" w:hAnsi="Book Antiqua"/>
          <w:kern w:val="2"/>
          <w:lang w:val="en-US" w:eastAsia="zh-CN"/>
        </w:rPr>
        <w:t>: 62-67 [PMID: 17913603 DOI: 10.1016/j.dld.2007.08.011]</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19 </w:t>
      </w:r>
      <w:r w:rsidRPr="00604CB7">
        <w:rPr>
          <w:rFonts w:ascii="Book Antiqua" w:hAnsi="Book Antiqua"/>
          <w:b/>
          <w:kern w:val="2"/>
          <w:lang w:val="en-US" w:eastAsia="zh-CN"/>
        </w:rPr>
        <w:t>Saad WE</w:t>
      </w:r>
      <w:r w:rsidRPr="00604CB7">
        <w:rPr>
          <w:rFonts w:ascii="Book Antiqua" w:hAnsi="Book Antiqua"/>
          <w:kern w:val="2"/>
          <w:lang w:val="en-US" w:eastAsia="zh-CN"/>
        </w:rPr>
        <w:t xml:space="preserve">, Lippert A, Saad NE, Caldwell S. Ectopic varices: anatomical classification, hemodynamic classification, and hemodynamic-based management. </w:t>
      </w:r>
      <w:r w:rsidRPr="00604CB7">
        <w:rPr>
          <w:rFonts w:ascii="Book Antiqua" w:hAnsi="Book Antiqua"/>
          <w:i/>
          <w:kern w:val="2"/>
          <w:lang w:val="en-US" w:eastAsia="zh-CN"/>
        </w:rPr>
        <w:t>Tech Vasc Interv Radiol</w:t>
      </w:r>
      <w:r w:rsidRPr="00604CB7">
        <w:rPr>
          <w:rFonts w:ascii="Book Antiqua" w:hAnsi="Book Antiqua"/>
          <w:kern w:val="2"/>
          <w:lang w:val="en-US" w:eastAsia="zh-CN"/>
        </w:rPr>
        <w:t xml:space="preserve"> 2013; </w:t>
      </w:r>
      <w:r w:rsidRPr="00604CB7">
        <w:rPr>
          <w:rFonts w:ascii="Book Antiqua" w:hAnsi="Book Antiqua"/>
          <w:b/>
          <w:kern w:val="2"/>
          <w:lang w:val="en-US" w:eastAsia="zh-CN"/>
        </w:rPr>
        <w:t>16</w:t>
      </w:r>
      <w:r w:rsidRPr="00604CB7">
        <w:rPr>
          <w:rFonts w:ascii="Book Antiqua" w:hAnsi="Book Antiqua"/>
          <w:kern w:val="2"/>
          <w:lang w:val="en-US" w:eastAsia="zh-CN"/>
        </w:rPr>
        <w:t>: 158-175 [PMID: 23830673 DOI: 10.1053/j.tvir.2013.02.004]</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20 </w:t>
      </w:r>
      <w:r w:rsidRPr="00604CB7">
        <w:rPr>
          <w:rFonts w:ascii="Book Antiqua" w:hAnsi="Book Antiqua"/>
          <w:b/>
          <w:kern w:val="2"/>
          <w:lang w:val="en-US" w:eastAsia="zh-CN"/>
        </w:rPr>
        <w:t>Saad WE</w:t>
      </w:r>
      <w:r w:rsidRPr="00604CB7">
        <w:rPr>
          <w:rFonts w:ascii="Book Antiqua" w:hAnsi="Book Antiqua"/>
          <w:kern w:val="2"/>
          <w:lang w:val="en-US" w:eastAsia="zh-CN"/>
        </w:rPr>
        <w:t xml:space="preserve">. Portosystemic shunt syndrome and endovascular management of hepatic encephalopathy. </w:t>
      </w:r>
      <w:r w:rsidRPr="00604CB7">
        <w:rPr>
          <w:rFonts w:ascii="Book Antiqua" w:hAnsi="Book Antiqua"/>
          <w:i/>
          <w:kern w:val="2"/>
          <w:lang w:val="en-US" w:eastAsia="zh-CN"/>
        </w:rPr>
        <w:t>Semin Intervent Radiol</w:t>
      </w:r>
      <w:r w:rsidRPr="00604CB7">
        <w:rPr>
          <w:rFonts w:ascii="Book Antiqua" w:hAnsi="Book Antiqua"/>
          <w:kern w:val="2"/>
          <w:lang w:val="en-US" w:eastAsia="zh-CN"/>
        </w:rPr>
        <w:t xml:space="preserve"> 2014; </w:t>
      </w:r>
      <w:r w:rsidRPr="00604CB7">
        <w:rPr>
          <w:rFonts w:ascii="Book Antiqua" w:hAnsi="Book Antiqua"/>
          <w:b/>
          <w:kern w:val="2"/>
          <w:lang w:val="en-US" w:eastAsia="zh-CN"/>
        </w:rPr>
        <w:t>31</w:t>
      </w:r>
      <w:r w:rsidRPr="00604CB7">
        <w:rPr>
          <w:rFonts w:ascii="Book Antiqua" w:hAnsi="Book Antiqua"/>
          <w:kern w:val="2"/>
          <w:lang w:val="en-US" w:eastAsia="zh-CN"/>
        </w:rPr>
        <w:t>: 262-265 [PMID: 25177088 DOI: 10.1055/s-0034-1382795]</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21 </w:t>
      </w:r>
      <w:r w:rsidRPr="00604CB7">
        <w:rPr>
          <w:rFonts w:ascii="Book Antiqua" w:hAnsi="Book Antiqua"/>
          <w:b/>
          <w:kern w:val="2"/>
          <w:lang w:val="en-US" w:eastAsia="zh-CN"/>
        </w:rPr>
        <w:t>Kumamoto M</w:t>
      </w:r>
      <w:r w:rsidRPr="00604CB7">
        <w:rPr>
          <w:rFonts w:ascii="Book Antiqua" w:hAnsi="Book Antiqua"/>
          <w:kern w:val="2"/>
          <w:lang w:val="en-US" w:eastAsia="zh-CN"/>
        </w:rPr>
        <w:t xml:space="preserve">, Toyonaga A, Inoue H, Miyakoda K, Morita Y, Emori K, Sakamoto Y, Oho K, Sata M. Long-term results of balloon-occluded retrograde transvenous obliteration for gastric fundal varices: hepatic deterioration links to portosystemic shunt syndrome. </w:t>
      </w:r>
      <w:r w:rsidRPr="00604CB7">
        <w:rPr>
          <w:rFonts w:ascii="Book Antiqua" w:hAnsi="Book Antiqua"/>
          <w:i/>
          <w:kern w:val="2"/>
          <w:lang w:val="en-US" w:eastAsia="zh-CN"/>
        </w:rPr>
        <w:t>J Gastroenterol Hepatol</w:t>
      </w:r>
      <w:r w:rsidRPr="00604CB7">
        <w:rPr>
          <w:rFonts w:ascii="Book Antiqua" w:hAnsi="Book Antiqua"/>
          <w:kern w:val="2"/>
          <w:lang w:val="en-US" w:eastAsia="zh-CN"/>
        </w:rPr>
        <w:t xml:space="preserve"> 2010; </w:t>
      </w:r>
      <w:r w:rsidRPr="00604CB7">
        <w:rPr>
          <w:rFonts w:ascii="Book Antiqua" w:hAnsi="Book Antiqua"/>
          <w:b/>
          <w:kern w:val="2"/>
          <w:lang w:val="en-US" w:eastAsia="zh-CN"/>
        </w:rPr>
        <w:t>25</w:t>
      </w:r>
      <w:r w:rsidRPr="00604CB7">
        <w:rPr>
          <w:rFonts w:ascii="Book Antiqua" w:hAnsi="Book Antiqua"/>
          <w:kern w:val="2"/>
          <w:lang w:val="en-US" w:eastAsia="zh-CN"/>
        </w:rPr>
        <w:t>: 1129-1135 [PMID: 20594229 DOI: 10.1111/j.1440-1746.2010.06262.x]</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22 </w:t>
      </w:r>
      <w:r w:rsidRPr="00604CB7">
        <w:rPr>
          <w:rFonts w:ascii="Book Antiqua" w:hAnsi="Book Antiqua"/>
          <w:b/>
          <w:kern w:val="2"/>
          <w:lang w:val="en-US" w:eastAsia="zh-CN"/>
        </w:rPr>
        <w:t>Kanagawa H</w:t>
      </w:r>
      <w:r w:rsidRPr="00604CB7">
        <w:rPr>
          <w:rFonts w:ascii="Book Antiqua" w:hAnsi="Book Antiqua"/>
          <w:kern w:val="2"/>
          <w:lang w:val="en-US" w:eastAsia="zh-CN"/>
        </w:rPr>
        <w:t xml:space="preserve">, Mima S, Kouyama H, Gotoh K, Uchida T, Okuda K. Treatment of gastric fundal varices by balloon-occluded retrograde transvenous obliteration. </w:t>
      </w:r>
      <w:r w:rsidRPr="00604CB7">
        <w:rPr>
          <w:rFonts w:ascii="Book Antiqua" w:hAnsi="Book Antiqua"/>
          <w:i/>
          <w:kern w:val="2"/>
          <w:lang w:val="en-US" w:eastAsia="zh-CN"/>
        </w:rPr>
        <w:t>J Gastroenterol Hepatol</w:t>
      </w:r>
      <w:r w:rsidRPr="00604CB7">
        <w:rPr>
          <w:rFonts w:ascii="Book Antiqua" w:hAnsi="Book Antiqua"/>
          <w:kern w:val="2"/>
          <w:lang w:val="en-US" w:eastAsia="zh-CN"/>
        </w:rPr>
        <w:t xml:space="preserve"> 1996; </w:t>
      </w:r>
      <w:r w:rsidRPr="00604CB7">
        <w:rPr>
          <w:rFonts w:ascii="Book Antiqua" w:hAnsi="Book Antiqua"/>
          <w:b/>
          <w:kern w:val="2"/>
          <w:lang w:val="en-US" w:eastAsia="zh-CN"/>
        </w:rPr>
        <w:t>11</w:t>
      </w:r>
      <w:r w:rsidRPr="00604CB7">
        <w:rPr>
          <w:rFonts w:ascii="Book Antiqua" w:hAnsi="Book Antiqua"/>
          <w:kern w:val="2"/>
          <w:lang w:val="en-US" w:eastAsia="zh-CN"/>
        </w:rPr>
        <w:t>: 51-58 [PMID: 8672742 DOI: 10.1111/j.1440-1746.1996.tb00010.x]</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23 </w:t>
      </w:r>
      <w:r w:rsidRPr="00604CB7">
        <w:rPr>
          <w:rFonts w:ascii="Book Antiqua" w:hAnsi="Book Antiqua"/>
          <w:b/>
          <w:kern w:val="2"/>
          <w:lang w:val="en-US" w:eastAsia="zh-CN"/>
        </w:rPr>
        <w:t>Hirota S</w:t>
      </w:r>
      <w:r w:rsidRPr="00604CB7">
        <w:rPr>
          <w:rFonts w:ascii="Book Antiqua" w:hAnsi="Book Antiqua"/>
          <w:kern w:val="2"/>
          <w:lang w:val="en-US" w:eastAsia="zh-CN"/>
        </w:rPr>
        <w:t xml:space="preserve">, Matsumoto S, Tomita M, Sako M, Kono M. Retrograde transvenous obliteration of gastric varices. </w:t>
      </w:r>
      <w:r w:rsidRPr="00604CB7">
        <w:rPr>
          <w:rFonts w:ascii="Book Antiqua" w:hAnsi="Book Antiqua"/>
          <w:i/>
          <w:kern w:val="2"/>
          <w:lang w:val="en-US" w:eastAsia="zh-CN"/>
        </w:rPr>
        <w:t>Radiology</w:t>
      </w:r>
      <w:r w:rsidRPr="00604CB7">
        <w:rPr>
          <w:rFonts w:ascii="Book Antiqua" w:hAnsi="Book Antiqua"/>
          <w:kern w:val="2"/>
          <w:lang w:val="en-US" w:eastAsia="zh-CN"/>
        </w:rPr>
        <w:t xml:space="preserve"> 1999; </w:t>
      </w:r>
      <w:r w:rsidRPr="00604CB7">
        <w:rPr>
          <w:rFonts w:ascii="Book Antiqua" w:hAnsi="Book Antiqua"/>
          <w:b/>
          <w:kern w:val="2"/>
          <w:lang w:val="en-US" w:eastAsia="zh-CN"/>
        </w:rPr>
        <w:t>211</w:t>
      </w:r>
      <w:r w:rsidRPr="00604CB7">
        <w:rPr>
          <w:rFonts w:ascii="Book Antiqua" w:hAnsi="Book Antiqua"/>
          <w:kern w:val="2"/>
          <w:lang w:val="en-US" w:eastAsia="zh-CN"/>
        </w:rPr>
        <w:t>: 349-356 [PMID: 10228513 DOI: 10.1148/radiology.211.2.r99ma25349]</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24 </w:t>
      </w:r>
      <w:r w:rsidRPr="00604CB7">
        <w:rPr>
          <w:rFonts w:ascii="Book Antiqua" w:hAnsi="Book Antiqua"/>
          <w:b/>
          <w:kern w:val="2"/>
          <w:lang w:val="en-US" w:eastAsia="zh-CN"/>
        </w:rPr>
        <w:t>Gwon DI</w:t>
      </w:r>
      <w:r w:rsidRPr="00604CB7">
        <w:rPr>
          <w:rFonts w:ascii="Book Antiqua" w:hAnsi="Book Antiqua"/>
          <w:kern w:val="2"/>
          <w:lang w:val="en-US" w:eastAsia="zh-CN"/>
        </w:rPr>
        <w:t xml:space="preserve">, Kim YH, Ko GY, Kim JW, Ko HK, Kim JH, Shin JH, Yoon HK, Sung KB. </w:t>
      </w:r>
      <w:r w:rsidRPr="00604CB7">
        <w:rPr>
          <w:rFonts w:ascii="Book Antiqua" w:hAnsi="Book Antiqua"/>
          <w:kern w:val="2"/>
          <w:lang w:val="en-US" w:eastAsia="zh-CN"/>
        </w:rPr>
        <w:lastRenderedPageBreak/>
        <w:t xml:space="preserve">Vascular Plug-Assisted Retrograde Transvenous Obliteration for the Treatment of Gastric Varices and Hepatic Encephalopathy: A Prospective Multicenter Study. </w:t>
      </w:r>
      <w:r w:rsidRPr="00604CB7">
        <w:rPr>
          <w:rFonts w:ascii="Book Antiqua" w:hAnsi="Book Antiqua"/>
          <w:i/>
          <w:kern w:val="2"/>
          <w:lang w:val="en-US" w:eastAsia="zh-CN"/>
        </w:rPr>
        <w:t>J Vasc Interv Radiol</w:t>
      </w:r>
      <w:r w:rsidRPr="00604CB7">
        <w:rPr>
          <w:rFonts w:ascii="Book Antiqua" w:hAnsi="Book Antiqua"/>
          <w:kern w:val="2"/>
          <w:lang w:val="en-US" w:eastAsia="zh-CN"/>
        </w:rPr>
        <w:t xml:space="preserve"> 2015; </w:t>
      </w:r>
      <w:r w:rsidRPr="00604CB7">
        <w:rPr>
          <w:rFonts w:ascii="Book Antiqua" w:hAnsi="Book Antiqua"/>
          <w:b/>
          <w:kern w:val="2"/>
          <w:lang w:val="en-US" w:eastAsia="zh-CN"/>
        </w:rPr>
        <w:t>26</w:t>
      </w:r>
      <w:r w:rsidRPr="00604CB7">
        <w:rPr>
          <w:rFonts w:ascii="Book Antiqua" w:hAnsi="Book Antiqua"/>
          <w:kern w:val="2"/>
          <w:lang w:val="en-US" w:eastAsia="zh-CN"/>
        </w:rPr>
        <w:t>: 1589-1595 [PMID: 26316136 DOI: 10.1016/j.jvir.2015.07.011]</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25 </w:t>
      </w:r>
      <w:r w:rsidRPr="00604CB7">
        <w:rPr>
          <w:rFonts w:ascii="Book Antiqua" w:hAnsi="Book Antiqua"/>
          <w:b/>
          <w:kern w:val="2"/>
          <w:lang w:val="en-US" w:eastAsia="zh-CN"/>
        </w:rPr>
        <w:t>Lee EW</w:t>
      </w:r>
      <w:r w:rsidRPr="00604CB7">
        <w:rPr>
          <w:rFonts w:ascii="Book Antiqua" w:hAnsi="Book Antiqua"/>
          <w:kern w:val="2"/>
          <w:lang w:val="en-US" w:eastAsia="zh-CN"/>
        </w:rPr>
        <w:t xml:space="preserve">, Saab S, Gomes AS, Busuttil R, McWilliams J, Durazo F, Han SH, Goldstein L, Tafti BA, Moriarty J, Loh CT, Kee ST. Coil-Assisted Retrograde Transvenous Obliteration (CARTO) for the Treatment of Portal Hypertensive Variceal Bleeding: Preliminary Results. </w:t>
      </w:r>
      <w:r w:rsidRPr="00604CB7">
        <w:rPr>
          <w:rFonts w:ascii="Book Antiqua" w:hAnsi="Book Antiqua"/>
          <w:i/>
          <w:kern w:val="2"/>
          <w:lang w:val="en-US" w:eastAsia="zh-CN"/>
        </w:rPr>
        <w:t>Clin Transl Gastroenterol</w:t>
      </w:r>
      <w:r w:rsidRPr="00604CB7">
        <w:rPr>
          <w:rFonts w:ascii="Book Antiqua" w:hAnsi="Book Antiqua"/>
          <w:kern w:val="2"/>
          <w:lang w:val="en-US" w:eastAsia="zh-CN"/>
        </w:rPr>
        <w:t xml:space="preserve"> 2014; </w:t>
      </w:r>
      <w:r w:rsidRPr="00604CB7">
        <w:rPr>
          <w:rFonts w:ascii="Book Antiqua" w:hAnsi="Book Antiqua"/>
          <w:b/>
          <w:kern w:val="2"/>
          <w:lang w:val="en-US" w:eastAsia="zh-CN"/>
        </w:rPr>
        <w:t>5</w:t>
      </w:r>
      <w:r w:rsidRPr="00604CB7">
        <w:rPr>
          <w:rFonts w:ascii="Book Antiqua" w:hAnsi="Book Antiqua"/>
          <w:kern w:val="2"/>
          <w:lang w:val="en-US" w:eastAsia="zh-CN"/>
        </w:rPr>
        <w:t>: e61 [PMID: 25273155 DOI: 10.1038/ctg.2014.12]</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26 </w:t>
      </w:r>
      <w:r w:rsidRPr="00604CB7">
        <w:rPr>
          <w:rFonts w:ascii="Book Antiqua" w:hAnsi="Book Antiqua"/>
          <w:b/>
          <w:kern w:val="2"/>
          <w:lang w:val="en-US" w:eastAsia="zh-CN"/>
        </w:rPr>
        <w:t>Laleman W</w:t>
      </w:r>
      <w:r w:rsidRPr="00604CB7">
        <w:rPr>
          <w:rFonts w:ascii="Book Antiqua" w:hAnsi="Book Antiqua"/>
          <w:kern w:val="2"/>
          <w:lang w:val="en-US" w:eastAsia="zh-CN"/>
        </w:rPr>
        <w:t xml:space="preserve">, Simon-Talero M, Maleux G, Perez M, Ameloot K, Soriano G, Villalba J, Garcia-Pagan JC, Barrufet M, Jalan R, Brookes J, Thalassinos E, Burroughs AK, Cordoba J, Nevens F; EASL-CLIF-Consortium. Embolization of large spontaneous portosystemic shunts for refractory hepatic encephalopathy: a multicenter survey on safety and efficacy. </w:t>
      </w:r>
      <w:r w:rsidRPr="00604CB7">
        <w:rPr>
          <w:rFonts w:ascii="Book Antiqua" w:hAnsi="Book Antiqua"/>
          <w:i/>
          <w:kern w:val="2"/>
          <w:lang w:val="en-US" w:eastAsia="zh-CN"/>
        </w:rPr>
        <w:t>Hepatology</w:t>
      </w:r>
      <w:r w:rsidRPr="00604CB7">
        <w:rPr>
          <w:rFonts w:ascii="Book Antiqua" w:hAnsi="Book Antiqua"/>
          <w:kern w:val="2"/>
          <w:lang w:val="en-US" w:eastAsia="zh-CN"/>
        </w:rPr>
        <w:t xml:space="preserve"> 2013; </w:t>
      </w:r>
      <w:r w:rsidRPr="00604CB7">
        <w:rPr>
          <w:rFonts w:ascii="Book Antiqua" w:hAnsi="Book Antiqua"/>
          <w:b/>
          <w:kern w:val="2"/>
          <w:lang w:val="en-US" w:eastAsia="zh-CN"/>
        </w:rPr>
        <w:t>57</w:t>
      </w:r>
      <w:r w:rsidRPr="00604CB7">
        <w:rPr>
          <w:rFonts w:ascii="Book Antiqua" w:hAnsi="Book Antiqua"/>
          <w:kern w:val="2"/>
          <w:lang w:val="en-US" w:eastAsia="zh-CN"/>
        </w:rPr>
        <w:t>: 2448-2457 [PMID: 23401201 DOI: 10.1002/hep.26314]</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27 </w:t>
      </w:r>
      <w:r w:rsidRPr="00604CB7">
        <w:rPr>
          <w:rFonts w:ascii="Book Antiqua" w:hAnsi="Book Antiqua"/>
          <w:b/>
          <w:kern w:val="2"/>
          <w:lang w:val="en-US" w:eastAsia="zh-CN"/>
        </w:rPr>
        <w:t>Mukund A</w:t>
      </w:r>
      <w:r w:rsidRPr="00604CB7">
        <w:rPr>
          <w:rFonts w:ascii="Book Antiqua" w:hAnsi="Book Antiqua"/>
          <w:kern w:val="2"/>
          <w:lang w:val="en-US" w:eastAsia="zh-CN"/>
        </w:rPr>
        <w:t xml:space="preserve">, Rajesh S, Arora A, Patidar Y, Jain D, Sarin SK. Efficacy of balloon-occluded retrograde transvenous obliteration of large spontaneous lienorenal shunt in patients with severe recurrent hepatic encephalopathy with foam sclerotherapy: initial experience. </w:t>
      </w:r>
      <w:r w:rsidRPr="00604CB7">
        <w:rPr>
          <w:rFonts w:ascii="Book Antiqua" w:hAnsi="Book Antiqua"/>
          <w:i/>
          <w:kern w:val="2"/>
          <w:lang w:val="en-US" w:eastAsia="zh-CN"/>
        </w:rPr>
        <w:t>J Vasc Interv Radiol</w:t>
      </w:r>
      <w:r w:rsidRPr="00604CB7">
        <w:rPr>
          <w:rFonts w:ascii="Book Antiqua" w:hAnsi="Book Antiqua"/>
          <w:kern w:val="2"/>
          <w:lang w:val="en-US" w:eastAsia="zh-CN"/>
        </w:rPr>
        <w:t xml:space="preserve"> 2012; </w:t>
      </w:r>
      <w:r w:rsidRPr="00604CB7">
        <w:rPr>
          <w:rFonts w:ascii="Book Antiqua" w:hAnsi="Book Antiqua"/>
          <w:b/>
          <w:kern w:val="2"/>
          <w:lang w:val="en-US" w:eastAsia="zh-CN"/>
        </w:rPr>
        <w:t>23</w:t>
      </w:r>
      <w:r w:rsidRPr="00604CB7">
        <w:rPr>
          <w:rFonts w:ascii="Book Antiqua" w:hAnsi="Book Antiqua"/>
          <w:kern w:val="2"/>
          <w:lang w:val="en-US" w:eastAsia="zh-CN"/>
        </w:rPr>
        <w:t>: 1200-1206 [PMID: 22832139 DOI: 10.1016/j.jvir.2012.05.046]</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28 </w:t>
      </w:r>
      <w:r w:rsidRPr="00604CB7">
        <w:rPr>
          <w:rFonts w:ascii="Book Antiqua" w:hAnsi="Book Antiqua"/>
          <w:b/>
          <w:kern w:val="2"/>
          <w:lang w:val="en-US" w:eastAsia="zh-CN"/>
        </w:rPr>
        <w:t>Gimm G</w:t>
      </w:r>
      <w:r w:rsidRPr="00604CB7">
        <w:rPr>
          <w:rFonts w:ascii="Book Antiqua" w:hAnsi="Book Antiqua"/>
          <w:kern w:val="2"/>
          <w:lang w:val="en-US" w:eastAsia="zh-CN"/>
        </w:rPr>
        <w:t xml:space="preserve">, Chang Y, Kim HC, Shin A, Cho EJ, Lee JH, Yu SJ, Yoon JH, Kim YJ. Balloon-Occluded Retrograde Transvenous Obliteration versus Transjugular Intrahepatic Portosystemic Shunt for the Management of Gastric Variceal Bleeding. </w:t>
      </w:r>
      <w:r w:rsidRPr="00604CB7">
        <w:rPr>
          <w:rFonts w:ascii="Book Antiqua" w:hAnsi="Book Antiqua"/>
          <w:i/>
          <w:kern w:val="2"/>
          <w:lang w:val="en-US" w:eastAsia="zh-CN"/>
        </w:rPr>
        <w:t>Gut Liver</w:t>
      </w:r>
      <w:r w:rsidRPr="00604CB7">
        <w:rPr>
          <w:rFonts w:ascii="Book Antiqua" w:hAnsi="Book Antiqua"/>
          <w:kern w:val="2"/>
          <w:lang w:val="en-US" w:eastAsia="zh-CN"/>
        </w:rPr>
        <w:t xml:space="preserve"> 2018; </w:t>
      </w:r>
      <w:r w:rsidRPr="00604CB7">
        <w:rPr>
          <w:rFonts w:ascii="Book Antiqua" w:hAnsi="Book Antiqua"/>
          <w:b/>
          <w:kern w:val="2"/>
          <w:lang w:val="en-US" w:eastAsia="zh-CN"/>
        </w:rPr>
        <w:t>12</w:t>
      </w:r>
      <w:r w:rsidRPr="00604CB7">
        <w:rPr>
          <w:rFonts w:ascii="Book Antiqua" w:hAnsi="Book Antiqua"/>
          <w:kern w:val="2"/>
          <w:lang w:val="en-US" w:eastAsia="zh-CN"/>
        </w:rPr>
        <w:t>: 704-713 [PMID: 29938456 DOI: 10.5009/gnl17515]</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29 </w:t>
      </w:r>
      <w:r w:rsidRPr="00604CB7">
        <w:rPr>
          <w:rFonts w:ascii="Book Antiqua" w:hAnsi="Book Antiqua"/>
          <w:b/>
          <w:kern w:val="2"/>
          <w:lang w:val="en-US" w:eastAsia="zh-CN"/>
        </w:rPr>
        <w:t>An J</w:t>
      </w:r>
      <w:r w:rsidRPr="00604CB7">
        <w:rPr>
          <w:rFonts w:ascii="Book Antiqua" w:hAnsi="Book Antiqua"/>
          <w:kern w:val="2"/>
          <w:lang w:val="en-US" w:eastAsia="zh-CN"/>
        </w:rPr>
        <w:t xml:space="preserve">, Kim KW, Han S, Lee J, Lim YS. Improvement in survival associated with embolisation of spontaneous portosystemic shunt in patients with recurrent hepatic encephalopathy. </w:t>
      </w:r>
      <w:r w:rsidRPr="00604CB7">
        <w:rPr>
          <w:rFonts w:ascii="Book Antiqua" w:hAnsi="Book Antiqua"/>
          <w:i/>
          <w:kern w:val="2"/>
          <w:lang w:val="en-US" w:eastAsia="zh-CN"/>
        </w:rPr>
        <w:t>Aliment Pharmacol Ther</w:t>
      </w:r>
      <w:r w:rsidRPr="00604CB7">
        <w:rPr>
          <w:rFonts w:ascii="Book Antiqua" w:hAnsi="Book Antiqua"/>
          <w:kern w:val="2"/>
          <w:lang w:val="en-US" w:eastAsia="zh-CN"/>
        </w:rPr>
        <w:t xml:space="preserve"> 2014; </w:t>
      </w:r>
      <w:r w:rsidRPr="00604CB7">
        <w:rPr>
          <w:rFonts w:ascii="Book Antiqua" w:hAnsi="Book Antiqua"/>
          <w:b/>
          <w:kern w:val="2"/>
          <w:lang w:val="en-US" w:eastAsia="zh-CN"/>
        </w:rPr>
        <w:t>39</w:t>
      </w:r>
      <w:r w:rsidRPr="00604CB7">
        <w:rPr>
          <w:rFonts w:ascii="Book Antiqua" w:hAnsi="Book Antiqua"/>
          <w:kern w:val="2"/>
          <w:lang w:val="en-US" w:eastAsia="zh-CN"/>
        </w:rPr>
        <w:t>: 1418-1426 [PMID: 24754260 DOI: 10.1111/apt.12771]</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30 </w:t>
      </w:r>
      <w:r w:rsidRPr="00604CB7">
        <w:rPr>
          <w:rFonts w:ascii="Book Antiqua" w:hAnsi="Book Antiqua"/>
          <w:b/>
          <w:kern w:val="2"/>
          <w:lang w:val="en-US" w:eastAsia="zh-CN"/>
        </w:rPr>
        <w:t>Saks K</w:t>
      </w:r>
      <w:r w:rsidRPr="00604CB7">
        <w:rPr>
          <w:rFonts w:ascii="Book Antiqua" w:hAnsi="Book Antiqua"/>
          <w:kern w:val="2"/>
          <w:lang w:val="en-US" w:eastAsia="zh-CN"/>
        </w:rPr>
        <w:t xml:space="preserve">, Jensen KK, McLouth J, Hum J, Ahn J, Zaman A, Chang MF, Fung A, Schlansky B. Influence of spontaneous splenorenal shunts on clinical outcomes in decompensated cirrhosis and after liver transplantation. </w:t>
      </w:r>
      <w:r w:rsidRPr="00604CB7">
        <w:rPr>
          <w:rFonts w:ascii="Book Antiqua" w:hAnsi="Book Antiqua"/>
          <w:i/>
          <w:kern w:val="2"/>
          <w:lang w:val="en-US" w:eastAsia="zh-CN"/>
        </w:rPr>
        <w:t>Hepatol Commun</w:t>
      </w:r>
      <w:r w:rsidRPr="00604CB7">
        <w:rPr>
          <w:rFonts w:ascii="Book Antiqua" w:hAnsi="Book Antiqua"/>
          <w:kern w:val="2"/>
          <w:lang w:val="en-US" w:eastAsia="zh-CN"/>
        </w:rPr>
        <w:t xml:space="preserve"> 2018; </w:t>
      </w:r>
      <w:r w:rsidRPr="00604CB7">
        <w:rPr>
          <w:rFonts w:ascii="Book Antiqua" w:hAnsi="Book Antiqua"/>
          <w:b/>
          <w:kern w:val="2"/>
          <w:lang w:val="en-US" w:eastAsia="zh-CN"/>
        </w:rPr>
        <w:t>2</w:t>
      </w:r>
      <w:r w:rsidRPr="00604CB7">
        <w:rPr>
          <w:rFonts w:ascii="Book Antiqua" w:hAnsi="Book Antiqua"/>
          <w:kern w:val="2"/>
          <w:lang w:val="en-US" w:eastAsia="zh-CN"/>
        </w:rPr>
        <w:t>: 437-444 [PMID: 29619421 DOI: 10.1002/hep4.1157]</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t xml:space="preserve">31 </w:t>
      </w:r>
      <w:r w:rsidRPr="00604CB7">
        <w:rPr>
          <w:rFonts w:ascii="Book Antiqua" w:hAnsi="Book Antiqua"/>
          <w:b/>
          <w:kern w:val="2"/>
          <w:lang w:val="en-US" w:eastAsia="zh-CN"/>
        </w:rPr>
        <w:t>Rodriguez EA</w:t>
      </w:r>
      <w:r w:rsidRPr="00604CB7">
        <w:rPr>
          <w:rFonts w:ascii="Book Antiqua" w:hAnsi="Book Antiqua"/>
          <w:kern w:val="2"/>
          <w:lang w:val="en-US" w:eastAsia="zh-CN"/>
        </w:rPr>
        <w:t xml:space="preserve">, Perez R, Zhang N, Lim ES, Miller C, Schwartz MA, McGirr AJ, Srinivasan A, Hewitt W, Silva AC, Rakela J, Vargas HE. Clinical Outcomes of Portosystemic Shunts on the Short-Term Outcome of Liver Transplantation. </w:t>
      </w:r>
      <w:r w:rsidRPr="00604CB7">
        <w:rPr>
          <w:rFonts w:ascii="Book Antiqua" w:hAnsi="Book Antiqua"/>
          <w:i/>
          <w:kern w:val="2"/>
          <w:lang w:val="en-US" w:eastAsia="zh-CN"/>
        </w:rPr>
        <w:t>Liver Transpl</w:t>
      </w:r>
      <w:r w:rsidRPr="00604CB7">
        <w:rPr>
          <w:rFonts w:ascii="Book Antiqua" w:hAnsi="Book Antiqua"/>
          <w:kern w:val="2"/>
          <w:lang w:val="en-US" w:eastAsia="zh-CN"/>
        </w:rPr>
        <w:t xml:space="preserve"> 2019 [PMID: 31872966 DOI: 10.1002/lt.25710]</w:t>
      </w:r>
    </w:p>
    <w:p w:rsidR="00604CB7" w:rsidRPr="00604CB7" w:rsidRDefault="00604CB7" w:rsidP="00604CB7">
      <w:pPr>
        <w:widowControl w:val="0"/>
        <w:spacing w:line="360" w:lineRule="auto"/>
        <w:jc w:val="both"/>
        <w:rPr>
          <w:rFonts w:ascii="Book Antiqua" w:hAnsi="Book Antiqua"/>
          <w:kern w:val="2"/>
          <w:lang w:val="en-US" w:eastAsia="zh-CN"/>
        </w:rPr>
      </w:pPr>
      <w:r w:rsidRPr="00604CB7">
        <w:rPr>
          <w:rFonts w:ascii="Book Antiqua" w:hAnsi="Book Antiqua"/>
          <w:kern w:val="2"/>
          <w:lang w:val="en-US" w:eastAsia="zh-CN"/>
        </w:rPr>
        <w:lastRenderedPageBreak/>
        <w:t xml:space="preserve">32 </w:t>
      </w:r>
      <w:r w:rsidRPr="00604CB7">
        <w:rPr>
          <w:rFonts w:ascii="Book Antiqua" w:hAnsi="Book Antiqua"/>
          <w:b/>
          <w:kern w:val="2"/>
          <w:lang w:val="en-US" w:eastAsia="zh-CN"/>
        </w:rPr>
        <w:t>Praktiknjo M</w:t>
      </w:r>
      <w:r w:rsidRPr="00604CB7">
        <w:rPr>
          <w:rFonts w:ascii="Book Antiqua" w:hAnsi="Book Antiqua"/>
          <w:kern w:val="2"/>
          <w:lang w:val="en-US" w:eastAsia="zh-CN"/>
        </w:rPr>
        <w:t xml:space="preserve">, Simón-Talero M, Römer J, Roccarina D, Martínez J, Lampichler K, Baiges A, Low G, Llop E, Maurer MH, Zipprich A, Triolo M, Maleux G, Fialla AD, Dam C, Vidal-González J, Majumdar A, Picón C, Toth D, Darnell A, Abraldes JG, López M, Jansen C, Chang J, Schierwagen R, Uschner F, Kukuk G, Meyer C, Thomas D, Wolter K, Strassburg CP, Laleman W, La Mura V, Ripoll C, Berzigotti A, Calleja JL, Tandon P, Hernandez-Gea V, Reiberger T, Albillos A, Tsochatzis EA, Krag A, Genescà J, Trebicka J; Baveno VI-SPSS group of the Baveno Cooperation. Total area of spontaneous portosystemic shunts independently predicts hepatic encephalopathy and mortality in liver cirrhosis. </w:t>
      </w:r>
      <w:r w:rsidRPr="00604CB7">
        <w:rPr>
          <w:rFonts w:ascii="Book Antiqua" w:hAnsi="Book Antiqua"/>
          <w:i/>
          <w:kern w:val="2"/>
          <w:lang w:val="en-US" w:eastAsia="zh-CN"/>
        </w:rPr>
        <w:t>J Hepatol</w:t>
      </w:r>
      <w:r w:rsidRPr="00604CB7">
        <w:rPr>
          <w:rFonts w:ascii="Book Antiqua" w:hAnsi="Book Antiqua"/>
          <w:kern w:val="2"/>
          <w:lang w:val="en-US" w:eastAsia="zh-CN"/>
        </w:rPr>
        <w:t xml:space="preserve"> 2020 [PMID: 31954206 DOI: 10.1016/j.jhep.2019.12.021]</w:t>
      </w:r>
    </w:p>
    <w:p w:rsidR="00327976" w:rsidRPr="00327976" w:rsidRDefault="00327976" w:rsidP="00327976">
      <w:pPr>
        <w:autoSpaceDE w:val="0"/>
        <w:snapToGrid w:val="0"/>
        <w:spacing w:line="360" w:lineRule="auto"/>
        <w:jc w:val="both"/>
        <w:rPr>
          <w:rFonts w:ascii="Book Antiqua" w:hAnsi="Book Antiqua"/>
          <w:b/>
          <w:bCs/>
        </w:rPr>
      </w:pPr>
      <w:r>
        <w:rPr>
          <w:rFonts w:ascii="Book Antiqua" w:hAnsi="Book Antiqua"/>
        </w:rPr>
        <w:br w:type="page"/>
      </w:r>
      <w:r w:rsidRPr="00327976">
        <w:rPr>
          <w:rFonts w:ascii="Book Antiqua" w:hAnsi="Book Antiqua"/>
          <w:b/>
          <w:bCs/>
        </w:rPr>
        <w:lastRenderedPageBreak/>
        <w:t>Footnotes</w:t>
      </w:r>
    </w:p>
    <w:p w:rsidR="003D5E7B" w:rsidRPr="00604CB7" w:rsidRDefault="00327976" w:rsidP="00327976">
      <w:pPr>
        <w:autoSpaceDE w:val="0"/>
        <w:snapToGrid w:val="0"/>
        <w:spacing w:line="360" w:lineRule="auto"/>
        <w:jc w:val="both"/>
        <w:rPr>
          <w:rFonts w:ascii="Book Antiqua" w:hAnsi="Book Antiqua"/>
          <w:b/>
          <w:color w:val="000000"/>
          <w:lang w:val="en-US"/>
        </w:rPr>
      </w:pPr>
      <w:r w:rsidRPr="00327976">
        <w:rPr>
          <w:rFonts w:ascii="Book Antiqua" w:hAnsi="Book Antiqua"/>
          <w:b/>
          <w:bCs/>
        </w:rPr>
        <w:t>Conflict-of-interest statement:</w:t>
      </w:r>
      <w:r w:rsidR="003D5E7B" w:rsidRPr="00604CB7">
        <w:rPr>
          <w:rFonts w:ascii="Book Antiqua" w:hAnsi="Book Antiqua"/>
          <w:color w:val="000000"/>
          <w:lang w:val="en-US"/>
        </w:rPr>
        <w:t xml:space="preserve"> </w:t>
      </w:r>
      <w:r w:rsidRPr="00604CB7">
        <w:rPr>
          <w:rFonts w:ascii="Book Antiqua" w:hAnsi="Book Antiqua"/>
          <w:color w:val="000000"/>
          <w:lang w:val="en-US"/>
        </w:rPr>
        <w:t xml:space="preserve">All </w:t>
      </w:r>
      <w:r w:rsidR="003D5E7B" w:rsidRPr="00604CB7">
        <w:rPr>
          <w:rFonts w:ascii="Book Antiqua" w:hAnsi="Book Antiqua"/>
          <w:color w:val="000000"/>
          <w:lang w:val="en-GB"/>
        </w:rPr>
        <w:t>authors have nothing to disclose and no conflict of interest.</w:t>
      </w:r>
    </w:p>
    <w:p w:rsidR="003D5E7B" w:rsidRDefault="003D5E7B" w:rsidP="003D5E7B">
      <w:pPr>
        <w:snapToGrid w:val="0"/>
        <w:spacing w:line="360" w:lineRule="auto"/>
        <w:jc w:val="both"/>
        <w:rPr>
          <w:rFonts w:ascii="Book Antiqua" w:hAnsi="Book Antiqua"/>
          <w:b/>
          <w:color w:val="000000"/>
          <w:lang w:val="en-US"/>
        </w:rPr>
      </w:pPr>
    </w:p>
    <w:p w:rsidR="00586EBC" w:rsidRPr="00586EBC" w:rsidRDefault="00586EBC" w:rsidP="00586EBC">
      <w:pPr>
        <w:adjustRightInd w:val="0"/>
        <w:snapToGrid w:val="0"/>
        <w:spacing w:line="360" w:lineRule="auto"/>
        <w:jc w:val="both"/>
        <w:rPr>
          <w:rFonts w:ascii="Book Antiqua" w:eastAsia="宋体" w:hAnsi="Book Antiqua"/>
          <w:lang w:val="en-GB" w:eastAsia="en-US"/>
        </w:rPr>
      </w:pPr>
      <w:bookmarkStart w:id="17" w:name="_Hlk29216443"/>
      <w:bookmarkStart w:id="18" w:name="_Hlk27570239"/>
      <w:bookmarkStart w:id="19" w:name="_Hlk35136117"/>
      <w:bookmarkStart w:id="20" w:name="_Hlk27143403"/>
      <w:bookmarkStart w:id="21" w:name="_Hlk28272061"/>
      <w:r w:rsidRPr="00586EBC">
        <w:rPr>
          <w:rFonts w:ascii="Book Antiqua" w:eastAsia="宋体" w:hAnsi="Book Antiqua"/>
          <w:b/>
          <w:lang w:val="en-GB" w:eastAsia="en-US"/>
        </w:rPr>
        <w:t xml:space="preserve">Open-Access: </w:t>
      </w:r>
      <w:r w:rsidRPr="00586EBC">
        <w:rPr>
          <w:rFonts w:ascii="Book Antiqua" w:hAnsi="Book Antiqua"/>
          <w:color w:val="000000"/>
          <w:kern w:val="2"/>
          <w:lang w:val="en-US" w:eastAsia="zh-CN"/>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586EBC" w:rsidRPr="00586EBC" w:rsidRDefault="00586EBC" w:rsidP="00586EBC">
      <w:pPr>
        <w:widowControl w:val="0"/>
        <w:adjustRightInd w:val="0"/>
        <w:snapToGrid w:val="0"/>
        <w:spacing w:line="360" w:lineRule="auto"/>
        <w:jc w:val="both"/>
        <w:rPr>
          <w:rFonts w:ascii="Book Antiqua" w:eastAsia="宋体" w:hAnsi="Book Antiqua" w:cs="Calibri"/>
          <w:b/>
          <w:bCs/>
          <w:lang w:val="en-GB" w:eastAsia="zh-CN"/>
        </w:rPr>
      </w:pPr>
    </w:p>
    <w:p w:rsidR="00586EBC" w:rsidRPr="00586EBC" w:rsidRDefault="00586EBC" w:rsidP="00586EBC">
      <w:pPr>
        <w:widowControl w:val="0"/>
        <w:adjustRightInd w:val="0"/>
        <w:snapToGrid w:val="0"/>
        <w:spacing w:line="360" w:lineRule="auto"/>
        <w:jc w:val="both"/>
        <w:rPr>
          <w:rFonts w:ascii="Book Antiqua" w:eastAsia="宋体" w:hAnsi="Book Antiqua" w:cs="宋体"/>
          <w:lang w:val="en-GB" w:eastAsia="zh-CN"/>
        </w:rPr>
      </w:pPr>
      <w:bookmarkStart w:id="22" w:name="_Hlk34269957"/>
      <w:r w:rsidRPr="00586EBC">
        <w:rPr>
          <w:rFonts w:ascii="Book Antiqua" w:eastAsia="宋体" w:hAnsi="Book Antiqua" w:cs="宋体"/>
          <w:b/>
          <w:lang w:val="en-GB" w:eastAsia="en-US"/>
        </w:rPr>
        <w:t>Manuscript</w:t>
      </w:r>
      <w:r w:rsidRPr="00586EBC">
        <w:rPr>
          <w:rFonts w:ascii="Book Antiqua" w:eastAsia="宋体" w:hAnsi="Book Antiqua" w:cs="宋体" w:hint="eastAsia"/>
          <w:b/>
          <w:lang w:val="en-GB" w:eastAsia="zh-CN"/>
        </w:rPr>
        <w:t xml:space="preserve"> </w:t>
      </w:r>
      <w:r w:rsidRPr="00586EBC">
        <w:rPr>
          <w:rFonts w:ascii="Book Antiqua" w:eastAsia="宋体" w:hAnsi="Book Antiqua" w:cs="宋体"/>
          <w:b/>
          <w:lang w:val="en-GB" w:eastAsia="en-US"/>
        </w:rPr>
        <w:t>source:</w:t>
      </w:r>
      <w:bookmarkEnd w:id="17"/>
      <w:r w:rsidRPr="00586EBC">
        <w:rPr>
          <w:rFonts w:ascii="Book Antiqua" w:eastAsia="宋体" w:hAnsi="Book Antiqua" w:cs="宋体" w:hint="eastAsia"/>
          <w:lang w:val="en-GB" w:eastAsia="zh-CN"/>
        </w:rPr>
        <w:t xml:space="preserve"> </w:t>
      </w:r>
      <w:r w:rsidR="0041058B" w:rsidRPr="0041058B">
        <w:rPr>
          <w:rFonts w:ascii="Book Antiqua" w:eastAsia="宋体" w:hAnsi="Book Antiqua" w:cs="宋体"/>
          <w:lang w:val="en-GB" w:eastAsia="en-US"/>
        </w:rPr>
        <w:t>Unsolicited manuscript</w:t>
      </w:r>
    </w:p>
    <w:bookmarkEnd w:id="18"/>
    <w:p w:rsidR="00586EBC" w:rsidRPr="00586EBC" w:rsidRDefault="00586EBC" w:rsidP="00586EBC">
      <w:pPr>
        <w:snapToGrid w:val="0"/>
        <w:spacing w:line="360" w:lineRule="auto"/>
        <w:jc w:val="both"/>
        <w:rPr>
          <w:rFonts w:ascii="Book Antiqua" w:hAnsi="Book Antiqua"/>
          <w:b/>
          <w:bCs/>
          <w:color w:val="000000"/>
          <w:lang w:val="el-GR" w:eastAsia="zh-CN"/>
        </w:rPr>
      </w:pPr>
    </w:p>
    <w:p w:rsidR="00586EBC" w:rsidRPr="00586EBC" w:rsidRDefault="00586EBC" w:rsidP="00586EBC">
      <w:pPr>
        <w:snapToGrid w:val="0"/>
        <w:spacing w:line="360" w:lineRule="auto"/>
        <w:jc w:val="both"/>
        <w:rPr>
          <w:rFonts w:ascii="Book Antiqua" w:eastAsia="宋体" w:hAnsi="Book Antiqua"/>
          <w:b/>
          <w:lang w:val="en-GB" w:eastAsia="en-US"/>
        </w:rPr>
      </w:pPr>
      <w:bookmarkStart w:id="23" w:name="_Hlk29216459"/>
      <w:r w:rsidRPr="00586EBC">
        <w:rPr>
          <w:rFonts w:ascii="Book Antiqua" w:eastAsia="宋体" w:hAnsi="Book Antiqua"/>
          <w:b/>
          <w:lang w:val="en-GB" w:eastAsia="en-US"/>
        </w:rPr>
        <w:t>Peer-review started:</w:t>
      </w:r>
      <w:r w:rsidRPr="00586EBC">
        <w:rPr>
          <w:rFonts w:ascii="Book Antiqua" w:eastAsia="宋体" w:hAnsi="Book Antiqua"/>
          <w:lang w:val="en-GB" w:eastAsia="zh-CN"/>
        </w:rPr>
        <w:t xml:space="preserve"> February</w:t>
      </w:r>
      <w:r w:rsidRPr="00586EBC">
        <w:rPr>
          <w:rFonts w:ascii="Book Antiqua" w:eastAsia="宋体" w:hAnsi="Book Antiqua" w:hint="eastAsia"/>
          <w:lang w:val="en-GB" w:eastAsia="zh-CN"/>
        </w:rPr>
        <w:t xml:space="preserve"> 1</w:t>
      </w:r>
      <w:r>
        <w:rPr>
          <w:rFonts w:ascii="Book Antiqua" w:eastAsia="宋体" w:hAnsi="Book Antiqua"/>
          <w:lang w:val="en-GB" w:eastAsia="zh-CN"/>
        </w:rPr>
        <w:t>5</w:t>
      </w:r>
      <w:r w:rsidRPr="00586EBC">
        <w:rPr>
          <w:rFonts w:ascii="Book Antiqua" w:eastAsia="宋体" w:hAnsi="Book Antiqua"/>
          <w:lang w:val="en-GB" w:eastAsia="zh-CN"/>
        </w:rPr>
        <w:t>, 2020</w:t>
      </w:r>
      <w:r w:rsidRPr="00586EBC">
        <w:rPr>
          <w:rFonts w:ascii="Book Antiqua" w:eastAsia="宋体" w:hAnsi="Book Antiqua"/>
          <w:lang w:val="en-GB" w:eastAsia="en-US"/>
        </w:rPr>
        <w:t xml:space="preserve"> </w:t>
      </w:r>
    </w:p>
    <w:p w:rsidR="00586EBC" w:rsidRPr="00586EBC" w:rsidRDefault="00586EBC" w:rsidP="00586EBC">
      <w:pPr>
        <w:snapToGrid w:val="0"/>
        <w:spacing w:line="360" w:lineRule="auto"/>
        <w:jc w:val="both"/>
        <w:rPr>
          <w:rFonts w:ascii="Book Antiqua" w:eastAsia="宋体" w:hAnsi="Book Antiqua"/>
          <w:b/>
          <w:lang w:val="en-GB" w:eastAsia="en-US"/>
        </w:rPr>
      </w:pPr>
      <w:r w:rsidRPr="00586EBC">
        <w:rPr>
          <w:rFonts w:ascii="Book Antiqua" w:eastAsia="宋体" w:hAnsi="Book Antiqua"/>
          <w:b/>
          <w:lang w:val="en-GB" w:eastAsia="en-US"/>
        </w:rPr>
        <w:t>First decision:</w:t>
      </w:r>
      <w:r w:rsidRPr="00586EBC">
        <w:rPr>
          <w:rFonts w:ascii="Book Antiqua" w:eastAsia="宋体" w:hAnsi="Book Antiqua"/>
          <w:lang w:val="en-GB" w:eastAsia="zh-CN"/>
        </w:rPr>
        <w:t xml:space="preserve"> </w:t>
      </w:r>
      <w:r>
        <w:rPr>
          <w:rFonts w:ascii="Book Antiqua" w:eastAsia="宋体" w:hAnsi="Book Antiqua"/>
          <w:lang w:val="en-GB" w:eastAsia="zh-CN"/>
        </w:rPr>
        <w:t>M</w:t>
      </w:r>
      <w:r>
        <w:rPr>
          <w:rFonts w:ascii="Book Antiqua" w:eastAsia="宋体" w:hAnsi="Book Antiqua" w:hint="eastAsia"/>
          <w:lang w:val="en-GB" w:eastAsia="zh-CN"/>
        </w:rPr>
        <w:t>arch</w:t>
      </w:r>
      <w:r w:rsidRPr="00586EBC">
        <w:rPr>
          <w:rFonts w:ascii="Book Antiqua" w:eastAsia="宋体" w:hAnsi="Book Antiqua" w:hint="eastAsia"/>
          <w:lang w:val="en-GB" w:eastAsia="zh-CN"/>
        </w:rPr>
        <w:t xml:space="preserve"> 1</w:t>
      </w:r>
      <w:r>
        <w:rPr>
          <w:rFonts w:ascii="Book Antiqua" w:eastAsia="宋体" w:hAnsi="Book Antiqua"/>
          <w:lang w:val="en-GB" w:eastAsia="zh-CN"/>
        </w:rPr>
        <w:t>5</w:t>
      </w:r>
      <w:r w:rsidRPr="00586EBC">
        <w:rPr>
          <w:rFonts w:ascii="Book Antiqua" w:eastAsia="宋体" w:hAnsi="Book Antiqua"/>
          <w:lang w:val="en-GB" w:eastAsia="zh-CN"/>
        </w:rPr>
        <w:t>, 2020</w:t>
      </w:r>
      <w:r w:rsidRPr="00586EBC">
        <w:rPr>
          <w:rFonts w:ascii="Book Antiqua" w:eastAsia="宋体" w:hAnsi="Book Antiqua"/>
          <w:lang w:val="en-GB" w:eastAsia="en-US"/>
        </w:rPr>
        <w:t xml:space="preserve"> </w:t>
      </w:r>
    </w:p>
    <w:p w:rsidR="00586EBC" w:rsidRPr="00586EBC" w:rsidRDefault="00586EBC" w:rsidP="00586EBC">
      <w:pPr>
        <w:snapToGrid w:val="0"/>
        <w:spacing w:line="360" w:lineRule="auto"/>
        <w:jc w:val="both"/>
        <w:rPr>
          <w:rFonts w:ascii="Book Antiqua" w:eastAsia="宋体" w:hAnsi="Book Antiqua"/>
          <w:lang w:val="en-GB" w:eastAsia="zh-CN"/>
        </w:rPr>
      </w:pPr>
      <w:r w:rsidRPr="00586EBC">
        <w:rPr>
          <w:rFonts w:ascii="Book Antiqua" w:eastAsia="宋体" w:hAnsi="Book Antiqua"/>
          <w:b/>
          <w:lang w:val="en-GB" w:eastAsia="en-US"/>
        </w:rPr>
        <w:t>Article in press:</w:t>
      </w:r>
      <w:bookmarkEnd w:id="23"/>
      <w:r w:rsidR="007837D4" w:rsidRPr="007837D4">
        <w:rPr>
          <w:rFonts w:ascii="Book Antiqua" w:eastAsia="宋体" w:hAnsi="Book Antiqua"/>
          <w:bCs/>
          <w:lang w:val="en-GB" w:eastAsia="en-US"/>
        </w:rPr>
        <w:t xml:space="preserve"> </w:t>
      </w:r>
      <w:r w:rsidR="007837D4" w:rsidRPr="00AA5EDD">
        <w:rPr>
          <w:rFonts w:ascii="Book Antiqua" w:eastAsia="宋体" w:hAnsi="Book Antiqua"/>
          <w:bCs/>
          <w:lang w:val="en-GB" w:eastAsia="en-US"/>
        </w:rPr>
        <w:t>March 27, 2020</w:t>
      </w:r>
    </w:p>
    <w:bookmarkEnd w:id="19"/>
    <w:p w:rsidR="00586EBC" w:rsidRPr="00586EBC" w:rsidRDefault="00586EBC" w:rsidP="00586EBC">
      <w:pPr>
        <w:snapToGrid w:val="0"/>
        <w:spacing w:line="360" w:lineRule="auto"/>
        <w:jc w:val="both"/>
        <w:rPr>
          <w:rFonts w:ascii="Book Antiqua" w:eastAsia="宋体" w:hAnsi="Book Antiqua"/>
          <w:lang w:val="en-GB" w:eastAsia="zh-CN"/>
        </w:rPr>
      </w:pPr>
    </w:p>
    <w:p w:rsidR="00586EBC" w:rsidRPr="00586EBC" w:rsidRDefault="00586EBC" w:rsidP="00586EBC">
      <w:pPr>
        <w:snapToGrid w:val="0"/>
        <w:spacing w:line="360" w:lineRule="auto"/>
        <w:jc w:val="both"/>
        <w:rPr>
          <w:rFonts w:ascii="Book Antiqua" w:eastAsia="宋体" w:hAnsi="Book Antiqua" w:cs="Helvetica"/>
          <w:b/>
          <w:lang w:val="el-GR" w:eastAsia="en-US"/>
        </w:rPr>
      </w:pPr>
      <w:bookmarkStart w:id="24" w:name="_Hlk29216517"/>
      <w:bookmarkStart w:id="25" w:name="_Hlk34698666"/>
      <w:r w:rsidRPr="00586EBC">
        <w:rPr>
          <w:rFonts w:ascii="Book Antiqua" w:eastAsia="宋体" w:hAnsi="Book Antiqua" w:cs="Helvetica"/>
          <w:b/>
          <w:lang w:val="el-GR" w:eastAsia="en-US"/>
        </w:rPr>
        <w:t xml:space="preserve">Specialty type: </w:t>
      </w:r>
      <w:r w:rsidRPr="00586EBC">
        <w:rPr>
          <w:rFonts w:ascii="Book Antiqua" w:eastAsia="微软雅黑" w:hAnsi="Book Antiqua" w:cs="宋体"/>
          <w:lang w:val="en-US" w:eastAsia="zh-CN"/>
        </w:rPr>
        <w:t>Gastroenterology and hepatology</w:t>
      </w:r>
    </w:p>
    <w:p w:rsidR="00586EBC" w:rsidRPr="00586EBC" w:rsidRDefault="007837D4" w:rsidP="00586EBC">
      <w:pPr>
        <w:snapToGrid w:val="0"/>
        <w:spacing w:line="360" w:lineRule="auto"/>
        <w:jc w:val="both"/>
        <w:rPr>
          <w:rFonts w:ascii="Book Antiqua" w:eastAsia="宋体" w:hAnsi="Book Antiqua" w:cs="Helvetica"/>
          <w:b/>
          <w:lang w:val="el-GR" w:eastAsia="zh-CN"/>
        </w:rPr>
      </w:pPr>
      <w:r w:rsidRPr="007837D4">
        <w:rPr>
          <w:rFonts w:ascii="Book Antiqua" w:eastAsia="宋体" w:hAnsi="Book Antiqua" w:cs="Helvetica"/>
          <w:b/>
          <w:lang w:val="el-GR" w:eastAsia="en-US"/>
        </w:rPr>
        <w:t>Country/Territory of origin:</w:t>
      </w:r>
      <w:r w:rsidR="00586EBC" w:rsidRPr="00586EBC">
        <w:rPr>
          <w:rFonts w:ascii="Book Antiqua" w:eastAsia="宋体" w:hAnsi="Book Antiqua" w:cs="Helvetica"/>
          <w:b/>
          <w:lang w:val="el-GR" w:eastAsia="en-US"/>
        </w:rPr>
        <w:t xml:space="preserve"> </w:t>
      </w:r>
      <w:r w:rsidR="009F00EF" w:rsidRPr="009F00EF">
        <w:rPr>
          <w:rFonts w:ascii="Book Antiqua" w:eastAsia="宋体" w:hAnsi="Book Antiqua" w:cs="Helvetica"/>
          <w:bCs/>
          <w:lang w:val="el-GR" w:eastAsia="en-US"/>
        </w:rPr>
        <w:t>Italy</w:t>
      </w:r>
    </w:p>
    <w:p w:rsidR="007837D4" w:rsidRDefault="007837D4" w:rsidP="00586EBC">
      <w:pPr>
        <w:snapToGrid w:val="0"/>
        <w:spacing w:line="360" w:lineRule="auto"/>
        <w:jc w:val="both"/>
        <w:rPr>
          <w:rFonts w:ascii="Book Antiqua" w:eastAsia="宋体" w:hAnsi="Book Antiqua" w:cs="Helvetica" w:hint="eastAsia"/>
          <w:b/>
          <w:lang w:val="el-GR" w:eastAsia="zh-CN"/>
        </w:rPr>
      </w:pPr>
      <w:r w:rsidRPr="007837D4">
        <w:rPr>
          <w:rFonts w:ascii="Book Antiqua" w:eastAsia="宋体" w:hAnsi="Book Antiqua" w:cs="Helvetica"/>
          <w:b/>
          <w:lang w:val="el-GR" w:eastAsia="en-US"/>
        </w:rPr>
        <w:t>Peer-review report’s scientific quality classification</w:t>
      </w:r>
    </w:p>
    <w:p w:rsidR="00586EBC" w:rsidRPr="00586EBC" w:rsidRDefault="00586EBC" w:rsidP="00586EBC">
      <w:pPr>
        <w:snapToGrid w:val="0"/>
        <w:spacing w:line="360" w:lineRule="auto"/>
        <w:jc w:val="both"/>
        <w:rPr>
          <w:rFonts w:ascii="Book Antiqua" w:eastAsia="宋体" w:hAnsi="Book Antiqua" w:cs="Helvetica"/>
          <w:lang w:val="el-GR" w:eastAsia="zh-CN"/>
        </w:rPr>
      </w:pPr>
      <w:r w:rsidRPr="00586EBC">
        <w:rPr>
          <w:rFonts w:ascii="Book Antiqua" w:eastAsia="宋体" w:hAnsi="Book Antiqua" w:cs="Helvetica"/>
          <w:lang w:val="el-GR" w:eastAsia="en-US"/>
        </w:rPr>
        <w:t xml:space="preserve">Grade A (Excellent): </w:t>
      </w:r>
      <w:r w:rsidRPr="00586EBC">
        <w:rPr>
          <w:rFonts w:ascii="Book Antiqua" w:eastAsia="宋体" w:hAnsi="Book Antiqua" w:cs="Helvetica"/>
          <w:lang w:val="el-GR" w:eastAsia="zh-CN"/>
        </w:rPr>
        <w:t>0</w:t>
      </w:r>
    </w:p>
    <w:p w:rsidR="00586EBC" w:rsidRPr="00586EBC" w:rsidRDefault="00586EBC" w:rsidP="00586EBC">
      <w:pPr>
        <w:snapToGrid w:val="0"/>
        <w:spacing w:line="360" w:lineRule="auto"/>
        <w:jc w:val="both"/>
        <w:rPr>
          <w:rFonts w:ascii="Book Antiqua" w:eastAsia="宋体" w:hAnsi="Book Antiqua" w:cs="Helvetica"/>
          <w:lang w:val="el-GR" w:eastAsia="zh-CN"/>
        </w:rPr>
      </w:pPr>
      <w:r w:rsidRPr="00586EBC">
        <w:rPr>
          <w:rFonts w:ascii="Book Antiqua" w:eastAsia="宋体" w:hAnsi="Book Antiqua" w:cs="Helvetica"/>
          <w:lang w:val="el-GR" w:eastAsia="en-US"/>
        </w:rPr>
        <w:t xml:space="preserve">Grade B (Very good): </w:t>
      </w:r>
      <w:r w:rsidR="009F00EF">
        <w:rPr>
          <w:rFonts w:ascii="Book Antiqua" w:eastAsia="宋体" w:hAnsi="Book Antiqua" w:cs="Helvetica"/>
          <w:lang w:val="el-GR" w:eastAsia="zh-CN"/>
        </w:rPr>
        <w:t>B, B</w:t>
      </w:r>
    </w:p>
    <w:p w:rsidR="00586EBC" w:rsidRPr="00586EBC" w:rsidRDefault="00586EBC" w:rsidP="00586EBC">
      <w:pPr>
        <w:snapToGrid w:val="0"/>
        <w:spacing w:line="360" w:lineRule="auto"/>
        <w:jc w:val="both"/>
        <w:rPr>
          <w:rFonts w:ascii="Book Antiqua" w:eastAsia="宋体" w:hAnsi="Book Antiqua" w:cs="Helvetica"/>
          <w:lang w:val="el-GR" w:eastAsia="zh-CN"/>
        </w:rPr>
      </w:pPr>
      <w:r w:rsidRPr="00586EBC">
        <w:rPr>
          <w:rFonts w:ascii="Book Antiqua" w:eastAsia="宋体" w:hAnsi="Book Antiqua" w:cs="Helvetica"/>
          <w:lang w:val="el-GR" w:eastAsia="en-US"/>
        </w:rPr>
        <w:t xml:space="preserve">Grade C (Good): </w:t>
      </w:r>
      <w:r w:rsidRPr="00586EBC">
        <w:rPr>
          <w:rFonts w:ascii="Book Antiqua" w:eastAsia="宋体" w:hAnsi="Book Antiqua" w:cs="Helvetica" w:hint="eastAsia"/>
          <w:lang w:val="el-GR" w:eastAsia="zh-CN"/>
        </w:rPr>
        <w:t>0</w:t>
      </w:r>
    </w:p>
    <w:p w:rsidR="00586EBC" w:rsidRPr="00586EBC" w:rsidRDefault="00586EBC" w:rsidP="00586EBC">
      <w:pPr>
        <w:snapToGrid w:val="0"/>
        <w:spacing w:line="360" w:lineRule="auto"/>
        <w:jc w:val="both"/>
        <w:rPr>
          <w:rFonts w:ascii="Book Antiqua" w:eastAsia="宋体" w:hAnsi="Book Antiqua" w:cs="Helvetica"/>
          <w:lang w:val="el-GR" w:eastAsia="en-US"/>
        </w:rPr>
      </w:pPr>
      <w:r w:rsidRPr="00586EBC">
        <w:rPr>
          <w:rFonts w:ascii="Book Antiqua" w:eastAsia="宋体" w:hAnsi="Book Antiqua" w:cs="Helvetica"/>
          <w:lang w:val="el-GR" w:eastAsia="en-US"/>
        </w:rPr>
        <w:t xml:space="preserve">Grade D (Fair): 0 </w:t>
      </w:r>
    </w:p>
    <w:p w:rsidR="00586EBC" w:rsidRPr="00586EBC" w:rsidRDefault="00586EBC" w:rsidP="00586EBC">
      <w:pPr>
        <w:snapToGrid w:val="0"/>
        <w:spacing w:line="360" w:lineRule="auto"/>
        <w:jc w:val="both"/>
        <w:rPr>
          <w:rFonts w:ascii="Book Antiqua" w:eastAsia="宋体" w:hAnsi="Book Antiqua" w:cs="Calibri"/>
          <w:noProof/>
          <w:lang w:val="en-US" w:eastAsia="en-US"/>
        </w:rPr>
      </w:pPr>
      <w:r w:rsidRPr="00586EBC">
        <w:rPr>
          <w:rFonts w:ascii="Book Antiqua" w:eastAsia="宋体" w:hAnsi="Book Antiqua" w:cs="Helvetica"/>
          <w:lang w:val="el-GR" w:eastAsia="en-US"/>
        </w:rPr>
        <w:t>Grade E (Poor): 0</w:t>
      </w:r>
    </w:p>
    <w:bookmarkEnd w:id="24"/>
    <w:p w:rsidR="00586EBC" w:rsidRPr="00586EBC" w:rsidRDefault="00586EBC" w:rsidP="00586EBC">
      <w:pPr>
        <w:snapToGrid w:val="0"/>
        <w:spacing w:line="360" w:lineRule="auto"/>
        <w:jc w:val="both"/>
        <w:rPr>
          <w:rFonts w:ascii="Book Antiqua" w:eastAsia="宋体" w:hAnsi="Book Antiqua" w:cs="Calibri"/>
          <w:noProof/>
          <w:lang w:val="en-GB" w:eastAsia="zh-CN"/>
        </w:rPr>
      </w:pPr>
    </w:p>
    <w:p w:rsidR="00BF3896" w:rsidRDefault="00586EBC" w:rsidP="00586EBC">
      <w:pPr>
        <w:widowControl w:val="0"/>
        <w:snapToGrid w:val="0"/>
        <w:spacing w:line="360" w:lineRule="auto"/>
        <w:ind w:right="120"/>
        <w:jc w:val="both"/>
        <w:rPr>
          <w:rFonts w:ascii="Book Antiqua" w:eastAsia="宋体" w:hAnsi="Book Antiqua" w:cs="Courier New"/>
          <w:b/>
          <w:kern w:val="2"/>
          <w:lang w:val="en-US" w:eastAsia="zh-CN"/>
        </w:rPr>
      </w:pPr>
      <w:bookmarkStart w:id="26" w:name="_Hlk29216555"/>
      <w:r w:rsidRPr="00586EBC">
        <w:rPr>
          <w:rFonts w:ascii="Book Antiqua" w:eastAsia="宋体" w:hAnsi="Book Antiqua" w:cs="Courier New"/>
          <w:b/>
          <w:kern w:val="2"/>
          <w:lang w:val="en-US" w:eastAsia="zh-CN"/>
        </w:rPr>
        <w:t>P-Reviewer:</w:t>
      </w:r>
      <w:r w:rsidR="00BF3896" w:rsidRPr="00BF3896">
        <w:t xml:space="preserve"> </w:t>
      </w:r>
      <w:r w:rsidR="00D8110B" w:rsidRPr="00BF3896">
        <w:rPr>
          <w:rFonts w:ascii="Book Antiqua" w:eastAsia="宋体" w:hAnsi="Book Antiqua" w:cs="Courier New"/>
          <w:bCs/>
          <w:kern w:val="2"/>
          <w:lang w:val="en-US" w:eastAsia="zh-CN"/>
        </w:rPr>
        <w:t>Balaban YH</w:t>
      </w:r>
      <w:r w:rsidR="00D8110B">
        <w:rPr>
          <w:rFonts w:ascii="Book Antiqua" w:eastAsia="宋体" w:hAnsi="Book Antiqua" w:cs="Courier New" w:hint="eastAsia"/>
          <w:bCs/>
          <w:kern w:val="2"/>
          <w:lang w:val="en-US" w:eastAsia="zh-CN"/>
        </w:rPr>
        <w:t>,</w:t>
      </w:r>
      <w:r w:rsidR="00D8110B" w:rsidRPr="00BF3896">
        <w:rPr>
          <w:rFonts w:ascii="Book Antiqua" w:eastAsia="宋体" w:hAnsi="Book Antiqua" w:cs="Courier New"/>
          <w:bCs/>
          <w:kern w:val="2"/>
          <w:lang w:val="en-US" w:eastAsia="zh-CN"/>
        </w:rPr>
        <w:t xml:space="preserve"> </w:t>
      </w:r>
      <w:r w:rsidR="00BF3896" w:rsidRPr="00BF3896">
        <w:rPr>
          <w:rFonts w:ascii="Book Antiqua" w:eastAsia="宋体" w:hAnsi="Book Antiqua" w:cs="Courier New"/>
          <w:bCs/>
          <w:kern w:val="2"/>
          <w:lang w:val="en-US" w:eastAsia="zh-CN"/>
        </w:rPr>
        <w:t>Gatselis NK</w:t>
      </w:r>
      <w:r w:rsidR="00BF3896" w:rsidRPr="00BF3896">
        <w:rPr>
          <w:bCs/>
        </w:rPr>
        <w:t xml:space="preserve"> </w:t>
      </w:r>
      <w:r w:rsidRPr="00586EBC">
        <w:rPr>
          <w:rFonts w:ascii="Book Antiqua" w:eastAsia="宋体" w:hAnsi="Book Antiqua" w:cs="Courier New"/>
          <w:b/>
          <w:kern w:val="2"/>
          <w:lang w:val="en-US" w:eastAsia="zh-CN"/>
        </w:rPr>
        <w:t xml:space="preserve">S-Editor: </w:t>
      </w:r>
      <w:r w:rsidRPr="00586EBC">
        <w:rPr>
          <w:rFonts w:ascii="Book Antiqua" w:eastAsia="宋体" w:hAnsi="Book Antiqua" w:cs="Courier New" w:hint="eastAsia"/>
          <w:kern w:val="2"/>
          <w:lang w:val="en-US" w:eastAsia="zh-CN"/>
        </w:rPr>
        <w:t>Wang YQ</w:t>
      </w:r>
      <w:r w:rsidRPr="00586EBC">
        <w:rPr>
          <w:rFonts w:ascii="Book Antiqua" w:eastAsia="宋体" w:hAnsi="Book Antiqua" w:cs="Courier New"/>
          <w:b/>
          <w:kern w:val="2"/>
          <w:lang w:val="en-US" w:eastAsia="zh-CN"/>
        </w:rPr>
        <w:t xml:space="preserve"> L-Editor: </w:t>
      </w:r>
      <w:r w:rsidR="002B0D8F">
        <w:rPr>
          <w:rFonts w:ascii="Book Antiqua" w:eastAsia="宋体" w:hAnsi="Book Antiqua" w:cs="Courier New" w:hint="eastAsia"/>
          <w:b/>
          <w:kern w:val="2"/>
          <w:lang w:val="en-US" w:eastAsia="zh-CN"/>
        </w:rPr>
        <w:t xml:space="preserve"> A </w:t>
      </w:r>
      <w:r w:rsidRPr="00586EBC">
        <w:rPr>
          <w:rFonts w:ascii="Book Antiqua" w:eastAsia="宋体" w:hAnsi="Book Antiqua" w:cs="Courier New"/>
          <w:b/>
          <w:kern w:val="2"/>
          <w:lang w:val="en-US" w:eastAsia="zh-CN"/>
        </w:rPr>
        <w:t>E-Editor:</w:t>
      </w:r>
      <w:bookmarkEnd w:id="26"/>
      <w:r w:rsidR="002B0D8F">
        <w:rPr>
          <w:rFonts w:ascii="Book Antiqua" w:eastAsia="宋体" w:hAnsi="Book Antiqua" w:cs="Courier New" w:hint="eastAsia"/>
          <w:b/>
          <w:kern w:val="2"/>
          <w:lang w:val="en-US" w:eastAsia="zh-CN"/>
        </w:rPr>
        <w:t xml:space="preserve"> </w:t>
      </w:r>
      <w:bookmarkStart w:id="27" w:name="_GoBack"/>
      <w:bookmarkEnd w:id="27"/>
      <w:r w:rsidR="002B0D8F" w:rsidRPr="002B0D8F">
        <w:rPr>
          <w:rFonts w:ascii="Book Antiqua" w:eastAsia="宋体" w:hAnsi="Book Antiqua" w:cs="Courier New" w:hint="eastAsia"/>
          <w:kern w:val="2"/>
          <w:lang w:val="en-US" w:eastAsia="zh-CN"/>
        </w:rPr>
        <w:t>Ma YJ</w:t>
      </w:r>
    </w:p>
    <w:bookmarkEnd w:id="20"/>
    <w:p w:rsidR="0086236B" w:rsidRPr="0086236B" w:rsidRDefault="0086236B" w:rsidP="0086236B">
      <w:pPr>
        <w:adjustRightInd w:val="0"/>
        <w:snapToGrid w:val="0"/>
        <w:spacing w:line="360" w:lineRule="auto"/>
        <w:rPr>
          <w:rFonts w:ascii="Book Antiqua" w:eastAsia="宋体" w:hAnsi="Book Antiqua"/>
          <w:b/>
          <w:lang w:val="el-GR" w:eastAsia="en-US"/>
        </w:rPr>
      </w:pPr>
      <w:r>
        <w:rPr>
          <w:rFonts w:ascii="Book Antiqua" w:eastAsia="宋体" w:hAnsi="Book Antiqua" w:cs="Courier New"/>
          <w:b/>
          <w:kern w:val="2"/>
          <w:lang w:val="en-US" w:eastAsia="zh-CN"/>
        </w:rPr>
        <w:br w:type="page"/>
      </w:r>
      <w:bookmarkStart w:id="28" w:name="_Hlk35132076"/>
      <w:r w:rsidRPr="0086236B">
        <w:rPr>
          <w:rFonts w:ascii="Book Antiqua" w:eastAsia="宋体" w:hAnsi="Book Antiqua"/>
          <w:b/>
          <w:lang w:val="el-GR" w:eastAsia="en-US"/>
        </w:rPr>
        <w:lastRenderedPageBreak/>
        <w:t>Figure Legends</w:t>
      </w:r>
    </w:p>
    <w:bookmarkEnd w:id="28"/>
    <w:p w:rsidR="0086236B" w:rsidRPr="00604CB7" w:rsidRDefault="00C019A9" w:rsidP="0086236B">
      <w:pPr>
        <w:pStyle w:val="Reference"/>
        <w:numPr>
          <w:ilvl w:val="0"/>
          <w:numId w:val="0"/>
        </w:numPr>
        <w:snapToGrid w:val="0"/>
        <w:spacing w:line="360" w:lineRule="auto"/>
        <w:rPr>
          <w:rFonts w:ascii="Book Antiqua" w:hAnsi="Book Antiqua" w:cs="Times New Roman"/>
          <w:b/>
          <w:bCs/>
        </w:rPr>
      </w:pPr>
      <w:r>
        <w:rPr>
          <w:rFonts w:ascii="Book Antiqua" w:hAnsi="Book Antiqua" w:cs="Times New Roman"/>
          <w:b/>
          <w:noProof/>
          <w:lang w:val="en-US" w:eastAsia="zh-CN"/>
        </w:rPr>
        <w:drawing>
          <wp:inline distT="0" distB="0" distL="0" distR="0">
            <wp:extent cx="6119495" cy="3059430"/>
            <wp:effectExtent l="0" t="0" r="0" b="7620"/>
            <wp:docPr id="1" name="图片 10"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手机屏幕的截图&#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9495" cy="3059430"/>
                    </a:xfrm>
                    <a:prstGeom prst="rect">
                      <a:avLst/>
                    </a:prstGeom>
                    <a:noFill/>
                    <a:ln>
                      <a:noFill/>
                    </a:ln>
                  </pic:spPr>
                </pic:pic>
              </a:graphicData>
            </a:graphic>
          </wp:inline>
        </w:drawing>
      </w:r>
    </w:p>
    <w:p w:rsidR="0086236B" w:rsidRPr="0086236B" w:rsidRDefault="0086236B" w:rsidP="0086236B">
      <w:pPr>
        <w:pStyle w:val="Reference"/>
        <w:numPr>
          <w:ilvl w:val="0"/>
          <w:numId w:val="0"/>
        </w:numPr>
        <w:snapToGrid w:val="0"/>
        <w:spacing w:line="360" w:lineRule="auto"/>
        <w:rPr>
          <w:rFonts w:ascii="Book Antiqua" w:hAnsi="Book Antiqua"/>
          <w:b/>
          <w:bCs/>
        </w:rPr>
      </w:pPr>
      <w:r w:rsidRPr="0086236B">
        <w:rPr>
          <w:rFonts w:ascii="Book Antiqua" w:hAnsi="Book Antiqua" w:cs="Times New Roman"/>
          <w:b/>
          <w:bCs/>
        </w:rPr>
        <w:t>Figure 1 Paraumbilical shunt at computed tomography scan.</w:t>
      </w:r>
    </w:p>
    <w:p w:rsidR="0086236B" w:rsidRDefault="0086236B" w:rsidP="0086236B">
      <w:pPr>
        <w:pStyle w:val="Reference"/>
        <w:numPr>
          <w:ilvl w:val="0"/>
          <w:numId w:val="0"/>
        </w:numPr>
        <w:snapToGrid w:val="0"/>
        <w:spacing w:line="360" w:lineRule="auto"/>
        <w:rPr>
          <w:rFonts w:ascii="Book Antiqua" w:hAnsi="Book Antiqua" w:cs="Times New Roman"/>
          <w:b/>
          <w:bCs/>
        </w:rPr>
      </w:pPr>
    </w:p>
    <w:p w:rsidR="0086236B" w:rsidRPr="00604CB7" w:rsidRDefault="00C019A9" w:rsidP="0086236B">
      <w:pPr>
        <w:pStyle w:val="Reference"/>
        <w:numPr>
          <w:ilvl w:val="0"/>
          <w:numId w:val="0"/>
        </w:numPr>
        <w:snapToGrid w:val="0"/>
        <w:spacing w:line="360" w:lineRule="auto"/>
        <w:rPr>
          <w:rFonts w:ascii="Book Antiqua" w:hAnsi="Book Antiqua" w:cs="Times New Roman"/>
          <w:b/>
          <w:bCs/>
        </w:rPr>
      </w:pPr>
      <w:r>
        <w:rPr>
          <w:rFonts w:ascii="Book Antiqua" w:hAnsi="Book Antiqua" w:cs="Times New Roman"/>
          <w:b/>
          <w:noProof/>
          <w:lang w:val="en-US" w:eastAsia="zh-CN"/>
        </w:rPr>
        <w:lastRenderedPageBreak/>
        <w:drawing>
          <wp:inline distT="0" distB="0" distL="0" distR="0">
            <wp:extent cx="6119495" cy="5184140"/>
            <wp:effectExtent l="0" t="0" r="0" b="0"/>
            <wp:docPr id="2" name="图片 1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图片包含 游戏机&#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9495" cy="5184140"/>
                    </a:xfrm>
                    <a:prstGeom prst="rect">
                      <a:avLst/>
                    </a:prstGeom>
                    <a:noFill/>
                    <a:ln>
                      <a:noFill/>
                    </a:ln>
                  </pic:spPr>
                </pic:pic>
              </a:graphicData>
            </a:graphic>
          </wp:inline>
        </w:drawing>
      </w:r>
    </w:p>
    <w:p w:rsidR="0086236B" w:rsidRPr="0086236B" w:rsidRDefault="0086236B" w:rsidP="0086236B">
      <w:pPr>
        <w:pStyle w:val="Reference"/>
        <w:numPr>
          <w:ilvl w:val="0"/>
          <w:numId w:val="0"/>
        </w:numPr>
        <w:snapToGrid w:val="0"/>
        <w:spacing w:line="360" w:lineRule="auto"/>
        <w:rPr>
          <w:rFonts w:ascii="Book Antiqua" w:hAnsi="Book Antiqua"/>
          <w:b/>
          <w:bCs/>
        </w:rPr>
      </w:pPr>
      <w:r w:rsidRPr="0086236B">
        <w:rPr>
          <w:rFonts w:ascii="Book Antiqua" w:hAnsi="Book Antiqua" w:cs="Times New Roman"/>
          <w:b/>
          <w:bCs/>
        </w:rPr>
        <w:t>Figure 2</w:t>
      </w:r>
      <w:r>
        <w:rPr>
          <w:rFonts w:ascii="Book Antiqua" w:hAnsi="Book Antiqua" w:cs="Times New Roman"/>
          <w:b/>
          <w:bCs/>
        </w:rPr>
        <w:t xml:space="preserve"> </w:t>
      </w:r>
      <w:r w:rsidRPr="0086236B">
        <w:rPr>
          <w:rFonts w:ascii="Book Antiqua" w:hAnsi="Book Antiqua" w:cs="Times New Roman"/>
          <w:b/>
          <w:bCs/>
        </w:rPr>
        <w:t>Gastrorenal shunt at computed tomography scan.</w:t>
      </w:r>
    </w:p>
    <w:p w:rsidR="0086236B" w:rsidRPr="00604CB7" w:rsidRDefault="0086236B" w:rsidP="0086236B">
      <w:pPr>
        <w:pStyle w:val="Reference"/>
        <w:numPr>
          <w:ilvl w:val="0"/>
          <w:numId w:val="0"/>
        </w:numPr>
        <w:snapToGrid w:val="0"/>
        <w:spacing w:line="360" w:lineRule="auto"/>
        <w:rPr>
          <w:rFonts w:ascii="Book Antiqua" w:hAnsi="Book Antiqua" w:cs="Times New Roman" w:hint="eastAsia"/>
          <w:b/>
          <w:bCs/>
          <w:lang w:eastAsia="zh-CN"/>
        </w:rPr>
      </w:pPr>
    </w:p>
    <w:p w:rsidR="0086236B" w:rsidRPr="00173527" w:rsidRDefault="00C019A9" w:rsidP="0086236B">
      <w:pPr>
        <w:pStyle w:val="Reference"/>
        <w:numPr>
          <w:ilvl w:val="0"/>
          <w:numId w:val="0"/>
        </w:numPr>
        <w:snapToGrid w:val="0"/>
        <w:spacing w:line="360" w:lineRule="auto"/>
        <w:rPr>
          <w:rFonts w:ascii="Book Antiqua" w:hAnsi="Book Antiqua"/>
          <w:lang w:val="en-US"/>
        </w:rPr>
      </w:pPr>
      <w:r>
        <w:rPr>
          <w:rFonts w:ascii="Book Antiqua" w:hAnsi="Book Antiqua"/>
          <w:noProof/>
          <w:lang w:val="en-US" w:eastAsia="zh-CN"/>
        </w:rPr>
        <w:drawing>
          <wp:inline distT="0" distB="0" distL="0" distR="0">
            <wp:extent cx="6119495" cy="2813685"/>
            <wp:effectExtent l="0" t="0" r="0" b="5715"/>
            <wp:docPr id="3" name="图片 12" descr="图片包含 游戏机,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图片包含 游戏机, 照片&#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2813685"/>
                    </a:xfrm>
                    <a:prstGeom prst="rect">
                      <a:avLst/>
                    </a:prstGeom>
                    <a:noFill/>
                    <a:ln>
                      <a:noFill/>
                    </a:ln>
                  </pic:spPr>
                </pic:pic>
              </a:graphicData>
            </a:graphic>
          </wp:inline>
        </w:drawing>
      </w:r>
    </w:p>
    <w:p w:rsidR="0086236B" w:rsidRPr="0086236B" w:rsidRDefault="0086236B" w:rsidP="0086236B">
      <w:pPr>
        <w:pStyle w:val="Reference"/>
        <w:numPr>
          <w:ilvl w:val="0"/>
          <w:numId w:val="0"/>
        </w:numPr>
        <w:snapToGrid w:val="0"/>
        <w:spacing w:line="360" w:lineRule="auto"/>
        <w:rPr>
          <w:rFonts w:ascii="Book Antiqua" w:hAnsi="Book Antiqua"/>
          <w:b/>
          <w:bCs/>
        </w:rPr>
      </w:pPr>
      <w:r w:rsidRPr="0086236B">
        <w:rPr>
          <w:rFonts w:ascii="Book Antiqua" w:hAnsi="Book Antiqua" w:cs="Times New Roman"/>
          <w:b/>
          <w:bCs/>
        </w:rPr>
        <w:t>Figure 3 Splenorenal shunt at computed tomography scan.</w:t>
      </w:r>
    </w:p>
    <w:p w:rsidR="000B52DD" w:rsidRPr="00DA2B20" w:rsidRDefault="0086236B" w:rsidP="0086236B">
      <w:pPr>
        <w:widowControl w:val="0"/>
        <w:snapToGrid w:val="0"/>
        <w:spacing w:line="360" w:lineRule="auto"/>
        <w:ind w:right="120"/>
        <w:jc w:val="both"/>
        <w:rPr>
          <w:rFonts w:ascii="Book Antiqua" w:hAnsi="Book Antiqua"/>
          <w:b/>
          <w:lang w:val="en-US"/>
        </w:rPr>
      </w:pPr>
      <w:r>
        <w:rPr>
          <w:rFonts w:ascii="Book Antiqua" w:eastAsia="宋体" w:hAnsi="Book Antiqua" w:cs="Courier New"/>
          <w:b/>
          <w:kern w:val="2"/>
          <w:lang w:val="en-GB" w:eastAsia="zh-CN"/>
        </w:rPr>
        <w:br w:type="page"/>
      </w:r>
      <w:bookmarkEnd w:id="21"/>
      <w:bookmarkEnd w:id="22"/>
      <w:bookmarkEnd w:id="25"/>
      <w:r w:rsidR="00F24630" w:rsidRPr="00DA2B20">
        <w:rPr>
          <w:rFonts w:ascii="Book Antiqua" w:hAnsi="Book Antiqua"/>
          <w:b/>
          <w:lang w:val="en-US"/>
        </w:rPr>
        <w:lastRenderedPageBreak/>
        <w:t>Table 1</w:t>
      </w:r>
      <w:r w:rsidR="00DA2B20" w:rsidRPr="00DA2B20">
        <w:rPr>
          <w:rFonts w:ascii="Book Antiqua" w:hAnsi="Book Antiqua" w:hint="eastAsia"/>
          <w:b/>
          <w:lang w:val="en-US" w:eastAsia="zh-CN"/>
        </w:rPr>
        <w:t xml:space="preserve"> </w:t>
      </w:r>
      <w:r w:rsidR="00F24630" w:rsidRPr="00DA2B20">
        <w:rPr>
          <w:rFonts w:ascii="Book Antiqua" w:hAnsi="Book Antiqua"/>
          <w:b/>
          <w:lang w:val="en-US"/>
        </w:rPr>
        <w:t xml:space="preserve">Clinical features of the main </w:t>
      </w:r>
      <w:r w:rsidR="00DA2B20" w:rsidRPr="00DA2B20">
        <w:rPr>
          <w:rFonts w:ascii="Book Antiqua" w:hAnsi="Book Antiqua"/>
          <w:b/>
          <w:lang w:val="en-US"/>
        </w:rPr>
        <w:t>spontaneous porto-systemic sh</w:t>
      </w:r>
      <w:r w:rsidR="00F24630" w:rsidRPr="00DA2B20">
        <w:rPr>
          <w:rFonts w:ascii="Book Antiqua" w:hAnsi="Book Antiqua"/>
          <w:b/>
          <w:lang w:val="en-US"/>
        </w:rPr>
        <w:t>unts</w:t>
      </w:r>
    </w:p>
    <w:tbl>
      <w:tblPr>
        <w:tblW w:w="10314" w:type="dxa"/>
        <w:tblBorders>
          <w:top w:val="single" w:sz="4" w:space="0" w:color="auto"/>
          <w:bottom w:val="single" w:sz="4" w:space="0" w:color="auto"/>
        </w:tblBorders>
        <w:tblLayout w:type="fixed"/>
        <w:tblLook w:val="04A0" w:firstRow="1" w:lastRow="0" w:firstColumn="1" w:lastColumn="0" w:noHBand="0" w:noVBand="1"/>
      </w:tblPr>
      <w:tblGrid>
        <w:gridCol w:w="2376"/>
        <w:gridCol w:w="2977"/>
        <w:gridCol w:w="3686"/>
        <w:gridCol w:w="1275"/>
      </w:tblGrid>
      <w:tr w:rsidR="0089088F" w:rsidRPr="00FE17A9" w:rsidTr="000466C7">
        <w:tc>
          <w:tcPr>
            <w:tcW w:w="2376" w:type="dxa"/>
            <w:tcBorders>
              <w:bottom w:val="single" w:sz="4" w:space="0" w:color="auto"/>
            </w:tcBorders>
            <w:shd w:val="clear" w:color="auto" w:fill="auto"/>
          </w:tcPr>
          <w:p w:rsidR="0089088F" w:rsidRPr="00604CB7" w:rsidRDefault="000466C7" w:rsidP="0086236B">
            <w:pPr>
              <w:snapToGrid w:val="0"/>
              <w:spacing w:line="360" w:lineRule="auto"/>
              <w:jc w:val="both"/>
              <w:rPr>
                <w:rFonts w:ascii="Book Antiqua" w:eastAsia="Calibri" w:hAnsi="Book Antiqua"/>
                <w:b/>
                <w:lang w:val="en-US"/>
              </w:rPr>
            </w:pPr>
            <w:r w:rsidRPr="000466C7">
              <w:rPr>
                <w:rFonts w:ascii="Book Antiqua" w:eastAsia="Calibri" w:hAnsi="Book Antiqua"/>
                <w:b/>
                <w:lang w:val="en-US"/>
              </w:rPr>
              <w:t>SPSS</w:t>
            </w:r>
            <w:r w:rsidR="00DF053B" w:rsidRPr="00604CB7">
              <w:rPr>
                <w:rFonts w:ascii="Book Antiqua" w:eastAsia="Calibri" w:hAnsi="Book Antiqua"/>
                <w:b/>
                <w:lang w:val="en-US"/>
              </w:rPr>
              <w:t xml:space="preserve"> type</w:t>
            </w:r>
          </w:p>
        </w:tc>
        <w:tc>
          <w:tcPr>
            <w:tcW w:w="2977" w:type="dxa"/>
            <w:tcBorders>
              <w:bottom w:val="single" w:sz="4" w:space="0" w:color="auto"/>
            </w:tcBorders>
            <w:shd w:val="clear" w:color="auto" w:fill="auto"/>
          </w:tcPr>
          <w:p w:rsidR="0089088F" w:rsidRPr="00604CB7" w:rsidRDefault="0089088F" w:rsidP="0086236B">
            <w:pPr>
              <w:snapToGrid w:val="0"/>
              <w:spacing w:line="360" w:lineRule="auto"/>
              <w:jc w:val="both"/>
              <w:rPr>
                <w:rFonts w:ascii="Book Antiqua" w:eastAsia="Calibri" w:hAnsi="Book Antiqua"/>
                <w:b/>
                <w:lang w:val="en-US"/>
              </w:rPr>
            </w:pPr>
            <w:r w:rsidRPr="00604CB7">
              <w:rPr>
                <w:rFonts w:ascii="Book Antiqua" w:eastAsia="Calibri" w:hAnsi="Book Antiqua"/>
                <w:b/>
                <w:lang w:val="en-US"/>
              </w:rPr>
              <w:t>Frequency</w:t>
            </w:r>
          </w:p>
        </w:tc>
        <w:tc>
          <w:tcPr>
            <w:tcW w:w="3686" w:type="dxa"/>
            <w:tcBorders>
              <w:bottom w:val="single" w:sz="4" w:space="0" w:color="auto"/>
            </w:tcBorders>
            <w:shd w:val="clear" w:color="auto" w:fill="auto"/>
          </w:tcPr>
          <w:p w:rsidR="0089088F" w:rsidRPr="00604CB7" w:rsidRDefault="0089088F" w:rsidP="0086236B">
            <w:pPr>
              <w:snapToGrid w:val="0"/>
              <w:spacing w:line="360" w:lineRule="auto"/>
              <w:jc w:val="both"/>
              <w:rPr>
                <w:rFonts w:ascii="Book Antiqua" w:eastAsia="Calibri" w:hAnsi="Book Antiqua"/>
                <w:b/>
                <w:lang w:val="en-US"/>
              </w:rPr>
            </w:pPr>
            <w:r w:rsidRPr="00604CB7">
              <w:rPr>
                <w:rFonts w:ascii="Book Antiqua" w:eastAsia="Calibri" w:hAnsi="Book Antiqua"/>
                <w:b/>
                <w:lang w:val="en-US"/>
              </w:rPr>
              <w:t>Clinical presentation (if any)</w:t>
            </w:r>
          </w:p>
        </w:tc>
        <w:tc>
          <w:tcPr>
            <w:tcW w:w="1275" w:type="dxa"/>
            <w:tcBorders>
              <w:bottom w:val="single" w:sz="4" w:space="0" w:color="auto"/>
            </w:tcBorders>
            <w:shd w:val="clear" w:color="auto" w:fill="auto"/>
          </w:tcPr>
          <w:p w:rsidR="0089088F" w:rsidRPr="00604CB7" w:rsidRDefault="0089088F" w:rsidP="0086236B">
            <w:pPr>
              <w:snapToGrid w:val="0"/>
              <w:spacing w:line="360" w:lineRule="auto"/>
              <w:jc w:val="both"/>
              <w:rPr>
                <w:rFonts w:ascii="Book Antiqua" w:eastAsia="Calibri" w:hAnsi="Book Antiqua"/>
                <w:b/>
                <w:lang w:val="en-US"/>
              </w:rPr>
            </w:pPr>
            <w:r w:rsidRPr="00604CB7">
              <w:rPr>
                <w:rFonts w:ascii="Book Antiqua" w:eastAsia="Calibri" w:hAnsi="Book Antiqua"/>
                <w:b/>
                <w:lang w:val="en-US"/>
              </w:rPr>
              <w:t>Laterality</w:t>
            </w:r>
          </w:p>
        </w:tc>
      </w:tr>
      <w:tr w:rsidR="0089088F" w:rsidRPr="00FE17A9" w:rsidTr="000466C7">
        <w:tc>
          <w:tcPr>
            <w:tcW w:w="2376" w:type="dxa"/>
            <w:tcBorders>
              <w:top w:val="single" w:sz="4" w:space="0" w:color="auto"/>
              <w:bottom w:val="nil"/>
            </w:tcBorders>
            <w:shd w:val="clear" w:color="auto" w:fill="auto"/>
          </w:tcPr>
          <w:p w:rsidR="0089088F" w:rsidRPr="00604CB7" w:rsidRDefault="000466C7"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Gastrorenal shunt</w:t>
            </w:r>
          </w:p>
        </w:tc>
        <w:tc>
          <w:tcPr>
            <w:tcW w:w="2977" w:type="dxa"/>
            <w:tcBorders>
              <w:top w:val="single" w:sz="4" w:space="0" w:color="auto"/>
              <w:bottom w:val="nil"/>
            </w:tcBorders>
            <w:shd w:val="clear" w:color="auto" w:fill="auto"/>
          </w:tcPr>
          <w:p w:rsidR="0089088F" w:rsidRPr="00604CB7" w:rsidRDefault="0089088F"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80</w:t>
            </w:r>
            <w:r w:rsidR="000466C7">
              <w:rPr>
                <w:rFonts w:ascii="Book Antiqua" w:eastAsia="Calibri" w:hAnsi="Book Antiqua"/>
                <w:lang w:val="en-US"/>
              </w:rPr>
              <w:t>%</w:t>
            </w:r>
            <w:r w:rsidRPr="00604CB7">
              <w:rPr>
                <w:rFonts w:ascii="Book Antiqua" w:eastAsia="Calibri" w:hAnsi="Book Antiqua"/>
                <w:lang w:val="en-US"/>
              </w:rPr>
              <w:t>-85% of patients with gastric varices</w:t>
            </w:r>
          </w:p>
        </w:tc>
        <w:tc>
          <w:tcPr>
            <w:tcW w:w="3686" w:type="dxa"/>
            <w:tcBorders>
              <w:top w:val="single" w:sz="4" w:space="0" w:color="auto"/>
              <w:bottom w:val="nil"/>
            </w:tcBorders>
            <w:shd w:val="clear" w:color="auto" w:fill="auto"/>
          </w:tcPr>
          <w:p w:rsidR="0089088F" w:rsidRPr="00604CB7" w:rsidRDefault="0089088F"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Gastric varices bleeding, less frequently hepatic encephalopathy or portal vein thrombosis if very large</w:t>
            </w:r>
          </w:p>
        </w:tc>
        <w:tc>
          <w:tcPr>
            <w:tcW w:w="1275" w:type="dxa"/>
            <w:tcBorders>
              <w:top w:val="single" w:sz="4" w:space="0" w:color="auto"/>
              <w:bottom w:val="nil"/>
            </w:tcBorders>
            <w:shd w:val="clear" w:color="auto" w:fill="auto"/>
          </w:tcPr>
          <w:p w:rsidR="0089088F" w:rsidRPr="00604CB7" w:rsidRDefault="0089088F"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Left</w:t>
            </w:r>
          </w:p>
        </w:tc>
      </w:tr>
      <w:tr w:rsidR="0089088F" w:rsidRPr="00FE17A9" w:rsidTr="000466C7">
        <w:tc>
          <w:tcPr>
            <w:tcW w:w="2376" w:type="dxa"/>
            <w:tcBorders>
              <w:top w:val="nil"/>
            </w:tcBorders>
            <w:shd w:val="clear" w:color="auto" w:fill="auto"/>
          </w:tcPr>
          <w:p w:rsidR="0089088F" w:rsidRPr="00604CB7" w:rsidRDefault="000466C7"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Gastrocaval shunt</w:t>
            </w:r>
          </w:p>
        </w:tc>
        <w:tc>
          <w:tcPr>
            <w:tcW w:w="2977" w:type="dxa"/>
            <w:tcBorders>
              <w:top w:val="nil"/>
            </w:tcBorders>
            <w:shd w:val="clear" w:color="auto" w:fill="auto"/>
          </w:tcPr>
          <w:p w:rsidR="0089088F" w:rsidRPr="00604CB7" w:rsidRDefault="0089088F"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Less frequent than gastrorenal shunt</w:t>
            </w:r>
          </w:p>
        </w:tc>
        <w:tc>
          <w:tcPr>
            <w:tcW w:w="3686" w:type="dxa"/>
            <w:tcBorders>
              <w:top w:val="nil"/>
            </w:tcBorders>
            <w:shd w:val="clear" w:color="auto" w:fill="auto"/>
          </w:tcPr>
          <w:p w:rsidR="0089088F" w:rsidRPr="00604CB7" w:rsidRDefault="0089088F"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Gastric varices bleeding</w:t>
            </w:r>
          </w:p>
        </w:tc>
        <w:tc>
          <w:tcPr>
            <w:tcW w:w="1275" w:type="dxa"/>
            <w:tcBorders>
              <w:top w:val="nil"/>
            </w:tcBorders>
            <w:shd w:val="clear" w:color="auto" w:fill="auto"/>
          </w:tcPr>
          <w:p w:rsidR="0089088F" w:rsidRPr="00604CB7" w:rsidRDefault="0089088F"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Left</w:t>
            </w:r>
          </w:p>
        </w:tc>
      </w:tr>
      <w:tr w:rsidR="0089088F" w:rsidRPr="00FE17A9" w:rsidTr="000466C7">
        <w:tc>
          <w:tcPr>
            <w:tcW w:w="2376" w:type="dxa"/>
            <w:shd w:val="clear" w:color="auto" w:fill="auto"/>
          </w:tcPr>
          <w:p w:rsidR="0089088F" w:rsidRPr="00604CB7" w:rsidRDefault="000466C7"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Splenorenal shunt</w:t>
            </w:r>
          </w:p>
        </w:tc>
        <w:tc>
          <w:tcPr>
            <w:tcW w:w="2977" w:type="dxa"/>
            <w:shd w:val="clear" w:color="auto" w:fill="auto"/>
          </w:tcPr>
          <w:p w:rsidR="0089088F" w:rsidRPr="00604CB7" w:rsidRDefault="0089088F"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14</w:t>
            </w:r>
            <w:r w:rsidR="008B2AEE" w:rsidRPr="00192898">
              <w:rPr>
                <w:rFonts w:ascii="Book Antiqua" w:eastAsia="宋体" w:hAnsi="Book Antiqua" w:hint="eastAsia"/>
                <w:lang w:val="en-US" w:eastAsia="zh-CN"/>
              </w:rPr>
              <w:t>%</w:t>
            </w:r>
            <w:r w:rsidRPr="00604CB7">
              <w:rPr>
                <w:rFonts w:ascii="Book Antiqua" w:eastAsia="Calibri" w:hAnsi="Book Antiqua"/>
                <w:lang w:val="en-US"/>
              </w:rPr>
              <w:t>-21% of patients with cirrhosis</w:t>
            </w:r>
          </w:p>
        </w:tc>
        <w:tc>
          <w:tcPr>
            <w:tcW w:w="3686" w:type="dxa"/>
            <w:shd w:val="clear" w:color="auto" w:fill="auto"/>
          </w:tcPr>
          <w:p w:rsidR="0089088F" w:rsidRPr="00604CB7" w:rsidRDefault="0089088F"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Hepatic encephalopathy</w:t>
            </w:r>
            <w:r w:rsidR="000466C7" w:rsidRPr="00FE17A9">
              <w:rPr>
                <w:rFonts w:ascii="Book Antiqua" w:hAnsi="Book Antiqua" w:hint="eastAsia"/>
                <w:lang w:val="en-US" w:eastAsia="zh-CN"/>
              </w:rPr>
              <w:t>;</w:t>
            </w:r>
            <w:r w:rsidR="000466C7" w:rsidRPr="00FE17A9">
              <w:rPr>
                <w:rFonts w:ascii="Book Antiqua" w:hAnsi="Book Antiqua"/>
                <w:lang w:val="en-US" w:eastAsia="zh-CN"/>
              </w:rPr>
              <w:t xml:space="preserve"> </w:t>
            </w:r>
            <w:r w:rsidRPr="00604CB7">
              <w:rPr>
                <w:rFonts w:ascii="Book Antiqua" w:eastAsia="Calibri" w:hAnsi="Book Antiqua"/>
                <w:lang w:val="en-US"/>
              </w:rPr>
              <w:t>Portal vein thrombosis</w:t>
            </w:r>
          </w:p>
        </w:tc>
        <w:tc>
          <w:tcPr>
            <w:tcW w:w="1275" w:type="dxa"/>
            <w:shd w:val="clear" w:color="auto" w:fill="auto"/>
          </w:tcPr>
          <w:p w:rsidR="0089088F" w:rsidRPr="00604CB7" w:rsidRDefault="0089088F"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Left</w:t>
            </w:r>
          </w:p>
        </w:tc>
      </w:tr>
      <w:tr w:rsidR="0089088F" w:rsidRPr="00FE17A9" w:rsidTr="000466C7">
        <w:tc>
          <w:tcPr>
            <w:tcW w:w="2376" w:type="dxa"/>
            <w:shd w:val="clear" w:color="auto" w:fill="auto"/>
          </w:tcPr>
          <w:p w:rsidR="0089088F" w:rsidRPr="00604CB7" w:rsidRDefault="000466C7"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Mesorenal shunt</w:t>
            </w:r>
          </w:p>
        </w:tc>
        <w:tc>
          <w:tcPr>
            <w:tcW w:w="2977" w:type="dxa"/>
            <w:shd w:val="clear" w:color="auto" w:fill="auto"/>
          </w:tcPr>
          <w:p w:rsidR="0089088F" w:rsidRPr="00604CB7" w:rsidRDefault="000466C7"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Uncommon</w:t>
            </w:r>
          </w:p>
        </w:tc>
        <w:tc>
          <w:tcPr>
            <w:tcW w:w="3686" w:type="dxa"/>
            <w:shd w:val="clear" w:color="auto" w:fill="auto"/>
          </w:tcPr>
          <w:p w:rsidR="0089088F" w:rsidRPr="00604CB7" w:rsidRDefault="0089088F"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Hepatic encephalopathy</w:t>
            </w:r>
          </w:p>
        </w:tc>
        <w:tc>
          <w:tcPr>
            <w:tcW w:w="1275" w:type="dxa"/>
            <w:shd w:val="clear" w:color="auto" w:fill="auto"/>
          </w:tcPr>
          <w:p w:rsidR="0089088F" w:rsidRPr="00604CB7" w:rsidRDefault="0089088F"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Central</w:t>
            </w:r>
          </w:p>
        </w:tc>
      </w:tr>
      <w:tr w:rsidR="0089088F" w:rsidRPr="00FE17A9" w:rsidTr="000466C7">
        <w:tc>
          <w:tcPr>
            <w:tcW w:w="2376" w:type="dxa"/>
            <w:shd w:val="clear" w:color="auto" w:fill="auto"/>
          </w:tcPr>
          <w:p w:rsidR="0089088F" w:rsidRPr="00604CB7" w:rsidRDefault="000466C7"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Paraumbilical shunt</w:t>
            </w:r>
          </w:p>
        </w:tc>
        <w:tc>
          <w:tcPr>
            <w:tcW w:w="2977" w:type="dxa"/>
            <w:shd w:val="clear" w:color="auto" w:fill="auto"/>
          </w:tcPr>
          <w:p w:rsidR="0089088F" w:rsidRPr="00604CB7" w:rsidRDefault="0089088F"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6</w:t>
            </w:r>
            <w:r w:rsidR="008B2AEE" w:rsidRPr="00192898">
              <w:rPr>
                <w:rFonts w:ascii="Book Antiqua" w:eastAsia="宋体" w:hAnsi="Book Antiqua" w:hint="eastAsia"/>
                <w:lang w:val="en-US" w:eastAsia="zh-CN"/>
              </w:rPr>
              <w:t>%</w:t>
            </w:r>
            <w:r w:rsidRPr="00604CB7">
              <w:rPr>
                <w:rFonts w:ascii="Book Antiqua" w:eastAsia="Calibri" w:hAnsi="Book Antiqua"/>
                <w:lang w:val="en-US"/>
              </w:rPr>
              <w:t>-30% of patients with portal hypertension</w:t>
            </w:r>
          </w:p>
        </w:tc>
        <w:tc>
          <w:tcPr>
            <w:tcW w:w="3686" w:type="dxa"/>
            <w:shd w:val="clear" w:color="auto" w:fill="auto"/>
          </w:tcPr>
          <w:p w:rsidR="0089088F" w:rsidRPr="00604CB7" w:rsidRDefault="0089088F"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Hepatic encephalopathy</w:t>
            </w:r>
          </w:p>
          <w:p w:rsidR="0089088F" w:rsidRPr="00604CB7" w:rsidRDefault="0089088F"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Portal vein thrombosis</w:t>
            </w:r>
          </w:p>
        </w:tc>
        <w:tc>
          <w:tcPr>
            <w:tcW w:w="1275" w:type="dxa"/>
            <w:shd w:val="clear" w:color="auto" w:fill="auto"/>
          </w:tcPr>
          <w:p w:rsidR="0089088F" w:rsidRPr="00604CB7" w:rsidRDefault="0089088F"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Right</w:t>
            </w:r>
          </w:p>
        </w:tc>
      </w:tr>
      <w:tr w:rsidR="0089088F" w:rsidRPr="00FE17A9" w:rsidTr="000466C7">
        <w:tc>
          <w:tcPr>
            <w:tcW w:w="2376" w:type="dxa"/>
            <w:shd w:val="clear" w:color="auto" w:fill="auto"/>
          </w:tcPr>
          <w:p w:rsidR="0089088F" w:rsidRPr="00604CB7" w:rsidRDefault="000466C7"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Rectal varices</w:t>
            </w:r>
          </w:p>
        </w:tc>
        <w:tc>
          <w:tcPr>
            <w:tcW w:w="2977" w:type="dxa"/>
            <w:shd w:val="clear" w:color="auto" w:fill="auto"/>
          </w:tcPr>
          <w:p w:rsidR="0089088F" w:rsidRPr="00604CB7" w:rsidRDefault="000466C7"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Rare</w:t>
            </w:r>
          </w:p>
        </w:tc>
        <w:tc>
          <w:tcPr>
            <w:tcW w:w="3686" w:type="dxa"/>
            <w:shd w:val="clear" w:color="auto" w:fill="auto"/>
          </w:tcPr>
          <w:p w:rsidR="0089088F" w:rsidRPr="00604CB7" w:rsidRDefault="0089088F"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Lower gastro-intestinal bleeding</w:t>
            </w:r>
          </w:p>
        </w:tc>
        <w:tc>
          <w:tcPr>
            <w:tcW w:w="1275" w:type="dxa"/>
            <w:shd w:val="clear" w:color="auto" w:fill="auto"/>
          </w:tcPr>
          <w:p w:rsidR="0089088F" w:rsidRPr="00604CB7" w:rsidRDefault="0089088F"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Right</w:t>
            </w:r>
          </w:p>
        </w:tc>
      </w:tr>
      <w:tr w:rsidR="0089088F" w:rsidRPr="00FE17A9" w:rsidTr="000466C7">
        <w:tc>
          <w:tcPr>
            <w:tcW w:w="2376" w:type="dxa"/>
            <w:shd w:val="clear" w:color="auto" w:fill="auto"/>
          </w:tcPr>
          <w:p w:rsidR="0089088F" w:rsidRPr="00604CB7" w:rsidRDefault="000466C7"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Esophageal varices</w:t>
            </w:r>
          </w:p>
        </w:tc>
        <w:tc>
          <w:tcPr>
            <w:tcW w:w="2977" w:type="dxa"/>
            <w:shd w:val="clear" w:color="auto" w:fill="auto"/>
          </w:tcPr>
          <w:p w:rsidR="0089088F" w:rsidRPr="00604CB7" w:rsidRDefault="0089088F"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40</w:t>
            </w:r>
            <w:r w:rsidR="000466C7">
              <w:rPr>
                <w:rFonts w:ascii="Book Antiqua" w:eastAsia="Calibri" w:hAnsi="Book Antiqua"/>
                <w:lang w:val="en-US"/>
              </w:rPr>
              <w:t>%</w:t>
            </w:r>
            <w:r w:rsidRPr="00604CB7">
              <w:rPr>
                <w:rFonts w:ascii="Book Antiqua" w:eastAsia="Calibri" w:hAnsi="Book Antiqua"/>
                <w:lang w:val="en-US"/>
              </w:rPr>
              <w:t>-80% of patients with cirrhosis</w:t>
            </w:r>
          </w:p>
        </w:tc>
        <w:tc>
          <w:tcPr>
            <w:tcW w:w="3686" w:type="dxa"/>
            <w:shd w:val="clear" w:color="auto" w:fill="auto"/>
          </w:tcPr>
          <w:p w:rsidR="0089088F" w:rsidRPr="00604CB7" w:rsidRDefault="0089088F"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Hematemesis or melena</w:t>
            </w:r>
          </w:p>
        </w:tc>
        <w:tc>
          <w:tcPr>
            <w:tcW w:w="1275" w:type="dxa"/>
            <w:shd w:val="clear" w:color="auto" w:fill="auto"/>
          </w:tcPr>
          <w:p w:rsidR="0089088F" w:rsidRPr="00604CB7" w:rsidRDefault="0089088F" w:rsidP="0086236B">
            <w:pPr>
              <w:snapToGrid w:val="0"/>
              <w:spacing w:line="360" w:lineRule="auto"/>
              <w:jc w:val="both"/>
              <w:rPr>
                <w:rFonts w:ascii="Book Antiqua" w:eastAsia="Calibri" w:hAnsi="Book Antiqua"/>
                <w:lang w:val="en-US"/>
              </w:rPr>
            </w:pPr>
            <w:r w:rsidRPr="00604CB7">
              <w:rPr>
                <w:rFonts w:ascii="Book Antiqua" w:eastAsia="Calibri" w:hAnsi="Book Antiqua"/>
                <w:lang w:val="en-US"/>
              </w:rPr>
              <w:t>Right</w:t>
            </w:r>
          </w:p>
        </w:tc>
      </w:tr>
    </w:tbl>
    <w:p w:rsidR="000B52DD" w:rsidRPr="00173527" w:rsidRDefault="000466C7" w:rsidP="00173527">
      <w:pPr>
        <w:pStyle w:val="Reference"/>
        <w:numPr>
          <w:ilvl w:val="0"/>
          <w:numId w:val="0"/>
        </w:numPr>
        <w:snapToGrid w:val="0"/>
        <w:spacing w:line="360" w:lineRule="auto"/>
        <w:rPr>
          <w:rFonts w:ascii="Book Antiqua" w:hAnsi="Book Antiqua"/>
        </w:rPr>
      </w:pPr>
      <w:r w:rsidRPr="00604CB7">
        <w:rPr>
          <w:rFonts w:ascii="Book Antiqua" w:hAnsi="Book Antiqua"/>
          <w:lang w:val="en-US"/>
        </w:rPr>
        <w:t>SPSS</w:t>
      </w:r>
      <w:r>
        <w:rPr>
          <w:rFonts w:ascii="Book Antiqua" w:hAnsi="Book Antiqua"/>
          <w:lang w:val="en-US"/>
        </w:rPr>
        <w:t xml:space="preserve">: </w:t>
      </w:r>
      <w:r w:rsidRPr="000466C7">
        <w:rPr>
          <w:rFonts w:ascii="Book Antiqua" w:hAnsi="Book Antiqua"/>
          <w:lang w:val="en-US"/>
        </w:rPr>
        <w:t>Spontaneous porto-systemic shunt</w:t>
      </w:r>
      <w:r>
        <w:rPr>
          <w:rFonts w:ascii="Book Antiqua" w:hAnsi="Book Antiqua"/>
          <w:lang w:val="en-US"/>
        </w:rPr>
        <w:t>.</w:t>
      </w:r>
    </w:p>
    <w:sectPr w:rsidR="000B52DD" w:rsidRPr="00173527">
      <w:pgSz w:w="11906" w:h="16838"/>
      <w:pgMar w:top="1417"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0B9" w:rsidRDefault="006660B9">
      <w:r>
        <w:separator/>
      </w:r>
    </w:p>
  </w:endnote>
  <w:endnote w:type="continuationSeparator" w:id="0">
    <w:p w:rsidR="006660B9" w:rsidRDefault="00666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vPTime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OpenSymbol">
    <w:altName w:val="Arial Unicode MS"/>
    <w:charset w:val="80"/>
    <w:family w:val="auto"/>
    <w:pitch w:val="default"/>
  </w:font>
  <w:font w:name="微软雅黑">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FreeSans">
    <w:charset w:val="80"/>
    <w:family w:val="swiss"/>
    <w:pitch w:val="default"/>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Giovanni-Book">
    <w:charset w:val="00"/>
    <w:family w:val="roman"/>
    <w:pitch w:val="default"/>
  </w:font>
  <w:font w:name="AGaramond-Regular">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0B9" w:rsidRDefault="006660B9">
      <w:r>
        <w:separator/>
      </w:r>
    </w:p>
  </w:footnote>
  <w:footnote w:type="continuationSeparator" w:id="0">
    <w:p w:rsidR="006660B9" w:rsidRDefault="006660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0"/>
        </w:tabs>
        <w:ind w:left="567" w:hanging="567"/>
      </w:pPr>
      <w:rPr>
        <w:bCs/>
        <w:sz w:val="24"/>
        <w:szCs w:val="24"/>
        <w:lang w:val="en-GB"/>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4680"/>
        </w:tabs>
        <w:ind w:left="4113" w:hanging="567"/>
      </w:pPr>
      <w:rPr>
        <w:sz w:val="24"/>
        <w:szCs w:val="24"/>
        <w:lang w:val="en-GB"/>
      </w:rPr>
    </w:lvl>
    <w:lvl w:ilvl="1">
      <w:start w:val="1"/>
      <w:numFmt w:val="none"/>
      <w:suff w:val="nothing"/>
      <w:lvlText w:val=""/>
      <w:lvlJc w:val="left"/>
      <w:pPr>
        <w:tabs>
          <w:tab w:val="num" w:pos="0"/>
        </w:tabs>
        <w:ind w:left="4104" w:hanging="576"/>
      </w:pPr>
      <w:rPr>
        <w:rFonts w:ascii="Courier New" w:hAnsi="Courier New" w:cs="Courier New"/>
      </w:rPr>
    </w:lvl>
    <w:lvl w:ilvl="2">
      <w:start w:val="1"/>
      <w:numFmt w:val="none"/>
      <w:suff w:val="nothing"/>
      <w:lvlText w:val=""/>
      <w:lvlJc w:val="left"/>
      <w:pPr>
        <w:tabs>
          <w:tab w:val="num" w:pos="0"/>
        </w:tabs>
        <w:ind w:left="3960" w:hanging="720"/>
      </w:pPr>
      <w:rPr>
        <w:rFonts w:ascii="Wingdings" w:hAnsi="Wingdings" w:cs="Wingdings"/>
      </w:rPr>
    </w:lvl>
    <w:lvl w:ilvl="3">
      <w:start w:val="1"/>
      <w:numFmt w:val="none"/>
      <w:suff w:val="nothing"/>
      <w:lvlText w:val=""/>
      <w:lvlJc w:val="left"/>
      <w:pPr>
        <w:tabs>
          <w:tab w:val="num" w:pos="0"/>
        </w:tabs>
        <w:ind w:left="3816" w:hanging="864"/>
      </w:pPr>
      <w:rPr>
        <w:rFonts w:ascii="Symbol" w:hAnsi="Symbol" w:cs="Symbol"/>
      </w:rPr>
    </w:lvl>
    <w:lvl w:ilvl="4">
      <w:start w:val="1"/>
      <w:numFmt w:val="none"/>
      <w:suff w:val="nothing"/>
      <w:lvlText w:val=""/>
      <w:lvlJc w:val="left"/>
      <w:pPr>
        <w:tabs>
          <w:tab w:val="num" w:pos="0"/>
        </w:tabs>
        <w:ind w:left="3672" w:hanging="1008"/>
      </w:pPr>
    </w:lvl>
    <w:lvl w:ilvl="5">
      <w:start w:val="1"/>
      <w:numFmt w:val="none"/>
      <w:suff w:val="nothing"/>
      <w:lvlText w:val=""/>
      <w:lvlJc w:val="left"/>
      <w:pPr>
        <w:tabs>
          <w:tab w:val="num" w:pos="0"/>
        </w:tabs>
        <w:ind w:left="3528" w:hanging="1152"/>
      </w:pPr>
    </w:lvl>
    <w:lvl w:ilvl="6">
      <w:start w:val="1"/>
      <w:numFmt w:val="none"/>
      <w:suff w:val="nothing"/>
      <w:lvlText w:val=""/>
      <w:lvlJc w:val="left"/>
      <w:pPr>
        <w:tabs>
          <w:tab w:val="num" w:pos="0"/>
        </w:tabs>
        <w:ind w:left="3384" w:hanging="1296"/>
      </w:pPr>
    </w:lvl>
    <w:lvl w:ilvl="7">
      <w:start w:val="1"/>
      <w:numFmt w:val="none"/>
      <w:suff w:val="nothing"/>
      <w:lvlText w:val=""/>
      <w:lvlJc w:val="left"/>
      <w:pPr>
        <w:tabs>
          <w:tab w:val="num" w:pos="0"/>
        </w:tabs>
        <w:ind w:left="3240" w:hanging="1440"/>
      </w:pPr>
    </w:lvl>
    <w:lvl w:ilvl="8">
      <w:start w:val="1"/>
      <w:numFmt w:val="none"/>
      <w:suff w:val="nothing"/>
      <w:lvlText w:val=""/>
      <w:lvlJc w:val="left"/>
      <w:pPr>
        <w:tabs>
          <w:tab w:val="num" w:pos="0"/>
        </w:tabs>
        <w:ind w:left="3096" w:hanging="1584"/>
      </w:pPr>
    </w:lvl>
  </w:abstractNum>
  <w:abstractNum w:abstractNumId="2">
    <w:nsid w:val="00000003"/>
    <w:multiLevelType w:val="multilevel"/>
    <w:tmpl w:val="00000003"/>
    <w:name w:val="WW8Num3"/>
    <w:lvl w:ilvl="0">
      <w:start w:val="1"/>
      <w:numFmt w:val="decimal"/>
      <w:lvlText w:val="%1)"/>
      <w:lvlJc w:val="left"/>
      <w:pPr>
        <w:tabs>
          <w:tab w:val="num" w:pos="0"/>
        </w:tabs>
        <w:ind w:left="720" w:hanging="360"/>
      </w:pPr>
      <w:rPr>
        <w:rFonts w:ascii="Times New Roman" w:eastAsia="AdvPTimes" w:hAnsi="Times New Roman" w:cs="Calibri"/>
        <w:b/>
        <w:bCs/>
        <w:color w:val="131413"/>
        <w:sz w:val="24"/>
        <w:szCs w:val="24"/>
        <w:shd w:val="clear" w:color="auto" w:fill="FFFF00"/>
        <w:lang w:val="en-U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F25"/>
    <w:rsid w:val="000012BA"/>
    <w:rsid w:val="00014DB5"/>
    <w:rsid w:val="000466C7"/>
    <w:rsid w:val="000B52DD"/>
    <w:rsid w:val="00105E66"/>
    <w:rsid w:val="00126707"/>
    <w:rsid w:val="001366D1"/>
    <w:rsid w:val="00136F8E"/>
    <w:rsid w:val="001720A5"/>
    <w:rsid w:val="00173527"/>
    <w:rsid w:val="00192898"/>
    <w:rsid w:val="0023011D"/>
    <w:rsid w:val="00265036"/>
    <w:rsid w:val="002B0D8F"/>
    <w:rsid w:val="002E3ECD"/>
    <w:rsid w:val="00327976"/>
    <w:rsid w:val="00386AEA"/>
    <w:rsid w:val="003B0D16"/>
    <w:rsid w:val="003B72CB"/>
    <w:rsid w:val="003D5E7B"/>
    <w:rsid w:val="003E749F"/>
    <w:rsid w:val="003F5231"/>
    <w:rsid w:val="0041058B"/>
    <w:rsid w:val="00437995"/>
    <w:rsid w:val="004415F6"/>
    <w:rsid w:val="004555AA"/>
    <w:rsid w:val="00477DE0"/>
    <w:rsid w:val="00486D76"/>
    <w:rsid w:val="004E4BEB"/>
    <w:rsid w:val="0051553E"/>
    <w:rsid w:val="00525DF6"/>
    <w:rsid w:val="00547666"/>
    <w:rsid w:val="00566094"/>
    <w:rsid w:val="00586EBC"/>
    <w:rsid w:val="005A21A0"/>
    <w:rsid w:val="005C4878"/>
    <w:rsid w:val="00604CB7"/>
    <w:rsid w:val="0061049B"/>
    <w:rsid w:val="00653966"/>
    <w:rsid w:val="00662F50"/>
    <w:rsid w:val="00665D75"/>
    <w:rsid w:val="006660B9"/>
    <w:rsid w:val="006B1C3D"/>
    <w:rsid w:val="006F5913"/>
    <w:rsid w:val="007026EB"/>
    <w:rsid w:val="00764D66"/>
    <w:rsid w:val="00770658"/>
    <w:rsid w:val="007837D4"/>
    <w:rsid w:val="007848BE"/>
    <w:rsid w:val="007A5503"/>
    <w:rsid w:val="007B442B"/>
    <w:rsid w:val="007B45CA"/>
    <w:rsid w:val="007C57E5"/>
    <w:rsid w:val="007E79DE"/>
    <w:rsid w:val="0083581D"/>
    <w:rsid w:val="0086236B"/>
    <w:rsid w:val="008779D9"/>
    <w:rsid w:val="0089088F"/>
    <w:rsid w:val="00897DEF"/>
    <w:rsid w:val="008B2AEE"/>
    <w:rsid w:val="008D0EFE"/>
    <w:rsid w:val="008D2A71"/>
    <w:rsid w:val="008E5253"/>
    <w:rsid w:val="00937F25"/>
    <w:rsid w:val="009617BF"/>
    <w:rsid w:val="00991128"/>
    <w:rsid w:val="009D220D"/>
    <w:rsid w:val="009F00EF"/>
    <w:rsid w:val="00A47A66"/>
    <w:rsid w:val="00AA1B6B"/>
    <w:rsid w:val="00AA5EDD"/>
    <w:rsid w:val="00AD1FF3"/>
    <w:rsid w:val="00AD565A"/>
    <w:rsid w:val="00AD7010"/>
    <w:rsid w:val="00B1462B"/>
    <w:rsid w:val="00B71BBB"/>
    <w:rsid w:val="00BA0825"/>
    <w:rsid w:val="00BF3896"/>
    <w:rsid w:val="00C019A9"/>
    <w:rsid w:val="00C1170B"/>
    <w:rsid w:val="00D510FF"/>
    <w:rsid w:val="00D56854"/>
    <w:rsid w:val="00D606C2"/>
    <w:rsid w:val="00D8110B"/>
    <w:rsid w:val="00D8423A"/>
    <w:rsid w:val="00DA2B20"/>
    <w:rsid w:val="00DA6724"/>
    <w:rsid w:val="00DF053B"/>
    <w:rsid w:val="00E01DB8"/>
    <w:rsid w:val="00E134F8"/>
    <w:rsid w:val="00E442D9"/>
    <w:rsid w:val="00E50734"/>
    <w:rsid w:val="00E66A09"/>
    <w:rsid w:val="00F24630"/>
    <w:rsid w:val="00FA7DCD"/>
    <w:rsid w:val="00FE17A9"/>
    <w:rsid w:val="00FE3325"/>
    <w:rsid w:val="00FE4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等线"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6C2"/>
    <w:rPr>
      <w:sz w:val="24"/>
      <w:szCs w:val="24"/>
      <w:lang w:val="it-IT" w:eastAsia="it-IT"/>
    </w:rPr>
  </w:style>
  <w:style w:type="paragraph" w:styleId="1">
    <w:name w:val="heading 1"/>
    <w:basedOn w:val="Intestazione10"/>
    <w:next w:val="a0"/>
    <w:qFormat/>
    <w:pPr>
      <w:widowControl w:val="0"/>
      <w:numPr>
        <w:numId w:val="1"/>
      </w:numPr>
      <w:suppressAutoHyphens/>
      <w:outlineLvl w:val="0"/>
    </w:pPr>
    <w:rPr>
      <w:rFonts w:eastAsia="宋体"/>
      <w:b/>
      <w:bCs/>
      <w:sz w:val="48"/>
      <w:szCs w:val="4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Pr>
      <w:bCs/>
      <w:sz w:val="24"/>
      <w:szCs w:val="24"/>
      <w:lang w:val="en-GB"/>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24"/>
      <w:szCs w:val="24"/>
      <w:lang w:val="en-GB"/>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eastAsia="AdvPTimes" w:hAnsi="Times New Roman" w:cs="Calibri"/>
      <w:b/>
      <w:bCs/>
      <w:color w:val="131413"/>
      <w:sz w:val="24"/>
      <w:szCs w:val="24"/>
      <w:shd w:val="clear" w:color="auto" w:fill="FFFF00"/>
      <w:lang w:val="en-US"/>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Carpredefinitoparagrafo9">
    <w:name w:val="Car. predefinito paragrafo9"/>
  </w:style>
  <w:style w:type="character" w:customStyle="1" w:styleId="WW8Num4z0">
    <w:name w:val="WW8Num4z0"/>
    <w:rPr>
      <w:rFonts w:ascii="Times New Roman" w:eastAsia="AdvPTimes" w:hAnsi="Times New Roman" w:cs="Calibri"/>
      <w:sz w:val="24"/>
      <w:szCs w:val="24"/>
      <w:shd w:val="clear" w:color="auto" w:fill="FFFF00"/>
      <w:lang w:val="en-GB"/>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Carpredefinitoparagrafo8">
    <w:name w:val="Car. predefinito paragrafo8"/>
  </w:style>
  <w:style w:type="character" w:customStyle="1" w:styleId="WW8Num5z0">
    <w:name w:val="WW8Num5z0"/>
    <w:rPr>
      <w:rFonts w:eastAsia="AdvPTimes" w:cs="Calibri"/>
      <w:bCs/>
      <w:sz w:val="24"/>
      <w:szCs w:val="24"/>
      <w:lang w:val="en-GB"/>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Carpredefinitoparagrafo7">
    <w:name w:val="Car. predefinito paragrafo7"/>
  </w:style>
  <w:style w:type="character" w:customStyle="1" w:styleId="DefaultParagraphFont">
    <w:name w:val="Default Paragraph Font"/>
  </w:style>
  <w:style w:type="character" w:customStyle="1" w:styleId="Carpredefinitoparagrafo6">
    <w:name w:val="Car. predefinito paragrafo6"/>
  </w:style>
  <w:style w:type="character" w:customStyle="1" w:styleId="Carpredefinitoparagrafo5">
    <w:name w:val="Car. predefinito paragrafo5"/>
  </w:style>
  <w:style w:type="character" w:customStyle="1" w:styleId="Carpredefinitoparagrafo1">
    <w:name w:val="Car. predefinito paragrafo1"/>
  </w:style>
  <w:style w:type="character" w:customStyle="1" w:styleId="Carpredefinitoparagrafo3">
    <w:name w:val="Car. predefinito paragrafo3"/>
  </w:style>
  <w:style w:type="character" w:customStyle="1" w:styleId="Carpredefinitoparagrafo2">
    <w:name w:val="Car. predefinito paragrafo2"/>
  </w:style>
  <w:style w:type="character" w:customStyle="1" w:styleId="WW8Num6z0">
    <w:name w:val="WW8Num6z0"/>
    <w:rPr>
      <w:rFonts w:eastAsia="AdvPTimes" w:cs="Calibri"/>
      <w:color w:val="131413"/>
      <w:sz w:val="24"/>
      <w:szCs w:val="24"/>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Carpredefinitoparagrafo4">
    <w:name w:val="Car. predefinito paragrafo4"/>
  </w:style>
  <w:style w:type="character" w:customStyle="1" w:styleId="CorpodeltestoCarattere">
    <w:name w:val="Corpo del testo Carattere"/>
  </w:style>
  <w:style w:type="character" w:customStyle="1" w:styleId="Titolo3Carattere">
    <w:name w:val="Titolo 3 Carattere"/>
  </w:style>
  <w:style w:type="character" w:customStyle="1" w:styleId="Corpodeltesto2Carattere">
    <w:name w:val="Corpo del testo 2 Carattere"/>
    <w:basedOn w:val="Carpredefinitoparagrafo4"/>
  </w:style>
  <w:style w:type="character" w:styleId="a4">
    <w:name w:val="Strong"/>
    <w:qFormat/>
    <w:rPr>
      <w:b/>
      <w:bCs/>
    </w:rPr>
  </w:style>
  <w:style w:type="character" w:customStyle="1" w:styleId="InternetLink">
    <w:name w:val="Internet Link"/>
  </w:style>
  <w:style w:type="character" w:customStyle="1" w:styleId="volume">
    <w:name w:val="volume"/>
    <w:basedOn w:val="Carpredefinitoparagrafo4"/>
  </w:style>
  <w:style w:type="character" w:customStyle="1" w:styleId="issue">
    <w:name w:val="issue"/>
    <w:basedOn w:val="Carpredefinitoparagrafo4"/>
  </w:style>
  <w:style w:type="character" w:customStyle="1" w:styleId="pages">
    <w:name w:val="pages"/>
    <w:basedOn w:val="Carpredefinitoparagrafo4"/>
  </w:style>
  <w:style w:type="character" w:customStyle="1" w:styleId="journalname">
    <w:name w:val="journalname"/>
    <w:basedOn w:val="Carpredefinitoparagrafo4"/>
  </w:style>
  <w:style w:type="character" w:customStyle="1" w:styleId="CarattereCarattere1">
    <w:name w:val="Carattere Carattere1"/>
  </w:style>
  <w:style w:type="character" w:customStyle="1" w:styleId="CarattereCarattere">
    <w:name w:val="Carattere Carattere"/>
  </w:style>
  <w:style w:type="character" w:customStyle="1" w:styleId="Absatz-Standardschriftart">
    <w:name w:val="Absatz-Standardschriftart"/>
  </w:style>
  <w:style w:type="character" w:customStyle="1" w:styleId="pagecontents1">
    <w:name w:val="pagecontents1"/>
  </w:style>
  <w:style w:type="character" w:customStyle="1" w:styleId="ListLabel1">
    <w:name w:val="ListLabel 1"/>
    <w:rPr>
      <w:rFonts w:eastAsia="Calibri" w:cs="Times New Roman"/>
      <w:i/>
    </w:rPr>
  </w:style>
  <w:style w:type="character" w:customStyle="1" w:styleId="ListLabel2">
    <w:name w:val="ListLabel 2"/>
    <w:rPr>
      <w:rFonts w:cs="Courier New"/>
    </w:rPr>
  </w:style>
  <w:style w:type="character" w:styleId="a5">
    <w:name w:val="Hyperlink"/>
    <w:rPr>
      <w:color w:val="000080"/>
      <w:u w:val="single"/>
      <w:lang/>
    </w:rPr>
  </w:style>
  <w:style w:type="character" w:customStyle="1" w:styleId="ListLabel3">
    <w:name w:val="ListLabel 3"/>
    <w:rPr>
      <w:rFonts w:eastAsia="Times New Roman" w:cs="Times New Roman"/>
    </w:rPr>
  </w:style>
  <w:style w:type="character" w:customStyle="1" w:styleId="ListLabel4">
    <w:name w:val="ListLabel 4"/>
    <w:rPr>
      <w:rFonts w:cs="Courier New"/>
    </w:rPr>
  </w:style>
  <w:style w:type="character" w:customStyle="1" w:styleId="jrnl">
    <w:name w:val="jrnl"/>
    <w:basedOn w:val="Carpredefinitoparagrafo4"/>
  </w:style>
  <w:style w:type="character" w:customStyle="1" w:styleId="src">
    <w:name w:val="src"/>
    <w:basedOn w:val="Carpredefinitoparagrafo4"/>
  </w:style>
  <w:style w:type="character" w:customStyle="1" w:styleId="Punti">
    <w:name w:val="Punti"/>
    <w:rPr>
      <w:rFonts w:ascii="OpenSymbol" w:eastAsia="OpenSymbol" w:hAnsi="OpenSymbol" w:cs="OpenSymbol"/>
    </w:rPr>
  </w:style>
  <w:style w:type="character" w:customStyle="1" w:styleId="IntestazioneCarattere">
    <w:name w:val="Intestazione Carattere"/>
  </w:style>
  <w:style w:type="character" w:customStyle="1" w:styleId="PidipaginaCarattere">
    <w:name w:val="Piè di pagina Carattere"/>
  </w:style>
  <w:style w:type="character" w:customStyle="1" w:styleId="CharAttribute104">
    <w:name w:val="CharAttribute104"/>
    <w:rPr>
      <w:rFonts w:ascii="Times New Roman" w:eastAsia="Times New Roman" w:hAnsi="Times New Roman" w:cs="Times New Roman"/>
      <w:sz w:val="24"/>
    </w:rPr>
  </w:style>
  <w:style w:type="character" w:customStyle="1" w:styleId="CharAttribute105">
    <w:name w:val="CharAttribute105"/>
    <w:rPr>
      <w:rFonts w:ascii="Times New Roman" w:eastAsia="Times New Roman" w:hAnsi="Times New Roman" w:cs="Times New Roman"/>
      <w:sz w:val="24"/>
    </w:rPr>
  </w:style>
  <w:style w:type="character" w:customStyle="1" w:styleId="highlight">
    <w:name w:val="highlight"/>
    <w:basedOn w:val="Carpredefinitoparagrafo1"/>
  </w:style>
  <w:style w:type="character" w:customStyle="1" w:styleId="ListLabel5">
    <w:name w:val="ListLabel 5"/>
    <w:rPr>
      <w:bCs/>
      <w:sz w:val="24"/>
      <w:szCs w:val="24"/>
      <w:lang w:val="en-GB"/>
    </w:rPr>
  </w:style>
  <w:style w:type="character" w:customStyle="1" w:styleId="ListLabel6">
    <w:name w:val="ListLabel 6"/>
    <w:rPr>
      <w:sz w:val="24"/>
      <w:szCs w:val="24"/>
      <w:lang w:val="en-GB"/>
    </w:rPr>
  </w:style>
  <w:style w:type="character" w:customStyle="1" w:styleId="ListLabel7">
    <w:name w:val="ListLabel 7"/>
    <w:rPr>
      <w:rFonts w:cs="Courier New"/>
    </w:rPr>
  </w:style>
  <w:style w:type="character" w:customStyle="1" w:styleId="ListLabel8">
    <w:name w:val="ListLabel 8"/>
    <w:rPr>
      <w:rFonts w:cs="Wingdings"/>
    </w:rPr>
  </w:style>
  <w:style w:type="character" w:customStyle="1" w:styleId="ListLabel9">
    <w:name w:val="ListLabel 9"/>
    <w:rPr>
      <w:rFonts w:cs="Symbol"/>
    </w:rPr>
  </w:style>
  <w:style w:type="character" w:customStyle="1" w:styleId="ListLabel10">
    <w:name w:val="ListLabel 10"/>
    <w:rPr>
      <w:rFonts w:cs="Calibri"/>
      <w:color w:val="131413"/>
      <w:sz w:val="24"/>
      <w:szCs w:val="24"/>
      <w:lang w:val="en-US"/>
    </w:rPr>
  </w:style>
  <w:style w:type="character" w:customStyle="1" w:styleId="ListLabel11">
    <w:name w:val="ListLabel 11"/>
    <w:rPr>
      <w:rFonts w:eastAsia="AdvPTimes" w:cs="Calibri"/>
      <w:sz w:val="24"/>
      <w:szCs w:val="24"/>
      <w:lang w:val="en-GB"/>
    </w:rPr>
  </w:style>
  <w:style w:type="character" w:customStyle="1" w:styleId="UnresolvedMention">
    <w:name w:val="Unresolved Mention"/>
    <w:rPr>
      <w:color w:val="605E5C"/>
    </w:rPr>
  </w:style>
  <w:style w:type="character" w:customStyle="1" w:styleId="ListLabel12">
    <w:name w:val="ListLabel 12"/>
    <w:rPr>
      <w:sz w:val="24"/>
      <w:szCs w:val="24"/>
      <w:lang w:val="en-GB"/>
    </w:rPr>
  </w:style>
  <w:style w:type="character" w:customStyle="1" w:styleId="ListLabel13">
    <w:name w:val="ListLabel 13"/>
    <w:rPr>
      <w:rFonts w:eastAsia="AdvPTimes" w:cs="Calibri"/>
      <w:sz w:val="24"/>
      <w:szCs w:val="24"/>
      <w:lang w:val="en-GB"/>
    </w:rPr>
  </w:style>
  <w:style w:type="character" w:styleId="a6">
    <w:name w:val="FollowedHyperlink"/>
    <w:rPr>
      <w:color w:val="954F72"/>
      <w:u w:val="single"/>
    </w:rPr>
  </w:style>
  <w:style w:type="character" w:customStyle="1" w:styleId="a7">
    <w:name w:val="未处理的提及"/>
    <w:rPr>
      <w:color w:val="605E5C"/>
      <w:shd w:val="clear" w:color="auto" w:fill="E1DFDD"/>
    </w:rPr>
  </w:style>
  <w:style w:type="paragraph" w:customStyle="1" w:styleId="Intestazione13">
    <w:name w:val="Intestazione13"/>
    <w:basedOn w:val="a"/>
    <w:next w:val="a0"/>
    <w:pPr>
      <w:keepNext/>
      <w:spacing w:before="240" w:after="120"/>
    </w:pPr>
    <w:rPr>
      <w:rFonts w:ascii="Arial" w:eastAsia="微软雅黑" w:hAnsi="Arial" w:cs="Mangal"/>
      <w:sz w:val="28"/>
      <w:szCs w:val="28"/>
    </w:rPr>
  </w:style>
  <w:style w:type="paragraph" w:styleId="a0">
    <w:name w:val="Body Text"/>
    <w:basedOn w:val="a"/>
    <w:pPr>
      <w:spacing w:after="120"/>
    </w:pPr>
  </w:style>
  <w:style w:type="paragraph" w:styleId="a8">
    <w:name w:val="List"/>
    <w:basedOn w:val="a0"/>
    <w:pPr>
      <w:widowControl w:val="0"/>
      <w:suppressAutoHyphens/>
    </w:pPr>
    <w:rPr>
      <w:rFonts w:cs="Arial"/>
    </w:rPr>
  </w:style>
  <w:style w:type="paragraph" w:customStyle="1" w:styleId="Didascalia13">
    <w:name w:val="Didascalia13"/>
    <w:basedOn w:val="a"/>
    <w:pPr>
      <w:suppressLineNumbers/>
      <w:spacing w:before="120" w:after="120"/>
    </w:pPr>
    <w:rPr>
      <w:rFonts w:cs="Mangal"/>
      <w:i/>
      <w:iCs/>
    </w:rPr>
  </w:style>
  <w:style w:type="paragraph" w:customStyle="1" w:styleId="Indice">
    <w:name w:val="Indice"/>
    <w:basedOn w:val="a"/>
    <w:pPr>
      <w:suppressLineNumbers/>
    </w:pPr>
    <w:rPr>
      <w:rFonts w:cs="FreeSans"/>
    </w:rPr>
  </w:style>
  <w:style w:type="paragraph" w:customStyle="1" w:styleId="Intestazione10">
    <w:name w:val="Intestazione10"/>
    <w:basedOn w:val="a"/>
    <w:next w:val="a0"/>
    <w:pPr>
      <w:keepNext/>
      <w:spacing w:before="240" w:after="120"/>
    </w:pPr>
    <w:rPr>
      <w:rFonts w:ascii="Arial" w:eastAsia="微软雅黑" w:hAnsi="Arial" w:cs="Arial"/>
      <w:sz w:val="28"/>
      <w:szCs w:val="28"/>
    </w:rPr>
  </w:style>
  <w:style w:type="paragraph" w:customStyle="1" w:styleId="Intestazione12">
    <w:name w:val="Intestazione12"/>
    <w:basedOn w:val="a"/>
    <w:next w:val="a0"/>
    <w:pPr>
      <w:keepNext/>
      <w:spacing w:before="240" w:after="120"/>
    </w:pPr>
    <w:rPr>
      <w:rFonts w:ascii="Arial" w:eastAsia="微软雅黑" w:hAnsi="Arial" w:cs="Mangal"/>
      <w:sz w:val="28"/>
      <w:szCs w:val="28"/>
    </w:rPr>
  </w:style>
  <w:style w:type="paragraph" w:customStyle="1" w:styleId="Didascalia12">
    <w:name w:val="Didascalia12"/>
    <w:basedOn w:val="a"/>
    <w:pPr>
      <w:suppressLineNumbers/>
      <w:spacing w:before="120" w:after="120"/>
    </w:pPr>
    <w:rPr>
      <w:rFonts w:cs="Mangal"/>
      <w:i/>
      <w:iCs/>
    </w:rPr>
  </w:style>
  <w:style w:type="paragraph" w:customStyle="1" w:styleId="Intestazione11">
    <w:name w:val="Intestazione11"/>
    <w:basedOn w:val="a"/>
    <w:next w:val="a0"/>
    <w:pPr>
      <w:keepNext/>
      <w:spacing w:before="240" w:after="120"/>
    </w:pPr>
    <w:rPr>
      <w:rFonts w:ascii="Arial" w:eastAsia="微软雅黑" w:hAnsi="Arial" w:cs="Mangal"/>
      <w:sz w:val="28"/>
      <w:szCs w:val="28"/>
    </w:rPr>
  </w:style>
  <w:style w:type="paragraph" w:customStyle="1" w:styleId="Didascalia11">
    <w:name w:val="Didascalia11"/>
    <w:basedOn w:val="a"/>
    <w:pPr>
      <w:suppressLineNumbers/>
      <w:spacing w:before="120" w:after="120"/>
    </w:pPr>
    <w:rPr>
      <w:rFonts w:cs="Mangal"/>
      <w:i/>
      <w:iCs/>
    </w:rPr>
  </w:style>
  <w:style w:type="paragraph" w:customStyle="1" w:styleId="Didascalia10">
    <w:name w:val="Didascalia10"/>
    <w:basedOn w:val="a"/>
    <w:pPr>
      <w:suppressLineNumbers/>
      <w:spacing w:before="120" w:after="120"/>
    </w:pPr>
    <w:rPr>
      <w:rFonts w:cs="Arial"/>
      <w:i/>
      <w:iCs/>
    </w:rPr>
  </w:style>
  <w:style w:type="paragraph" w:customStyle="1" w:styleId="Intestazione9">
    <w:name w:val="Intestazione9"/>
    <w:basedOn w:val="a"/>
    <w:pPr>
      <w:keepNext/>
      <w:spacing w:before="240" w:after="120"/>
    </w:pPr>
    <w:rPr>
      <w:rFonts w:ascii="Arial" w:eastAsia="微软雅黑" w:hAnsi="Arial" w:cs="Arial"/>
      <w:sz w:val="28"/>
      <w:szCs w:val="28"/>
    </w:rPr>
  </w:style>
  <w:style w:type="paragraph" w:customStyle="1" w:styleId="Didascalia9">
    <w:name w:val="Didascalia9"/>
    <w:basedOn w:val="a"/>
    <w:pPr>
      <w:suppressLineNumbers/>
      <w:spacing w:before="120" w:after="120"/>
    </w:pPr>
    <w:rPr>
      <w:rFonts w:cs="Arial"/>
      <w:i/>
      <w:iCs/>
    </w:rPr>
  </w:style>
  <w:style w:type="paragraph" w:customStyle="1" w:styleId="Intestazione8">
    <w:name w:val="Intestazione8"/>
    <w:basedOn w:val="a"/>
    <w:pPr>
      <w:keepNext/>
      <w:spacing w:before="240" w:after="120"/>
    </w:pPr>
    <w:rPr>
      <w:rFonts w:ascii="Arial" w:eastAsia="微软雅黑" w:hAnsi="Arial" w:cs="Arial"/>
      <w:sz w:val="28"/>
      <w:szCs w:val="28"/>
    </w:rPr>
  </w:style>
  <w:style w:type="paragraph" w:customStyle="1" w:styleId="Didascalia8">
    <w:name w:val="Didascalia8"/>
    <w:basedOn w:val="a"/>
    <w:pPr>
      <w:suppressLineNumbers/>
      <w:spacing w:before="120" w:after="120"/>
    </w:pPr>
    <w:rPr>
      <w:rFonts w:cs="Arial"/>
      <w:i/>
      <w:iCs/>
    </w:rPr>
  </w:style>
  <w:style w:type="paragraph" w:customStyle="1" w:styleId="Intestazione7">
    <w:name w:val="Intestazione7"/>
    <w:basedOn w:val="a"/>
    <w:pPr>
      <w:keepNext/>
      <w:spacing w:before="240" w:after="120"/>
    </w:pPr>
    <w:rPr>
      <w:rFonts w:ascii="Arial" w:eastAsia="微软雅黑" w:hAnsi="Arial" w:cs="Arial"/>
      <w:sz w:val="28"/>
      <w:szCs w:val="28"/>
    </w:rPr>
  </w:style>
  <w:style w:type="paragraph" w:customStyle="1" w:styleId="Didascalia7">
    <w:name w:val="Didascalia7"/>
    <w:basedOn w:val="a"/>
    <w:pPr>
      <w:suppressLineNumbers/>
      <w:spacing w:before="120" w:after="120"/>
    </w:pPr>
    <w:rPr>
      <w:rFonts w:cs="Arial"/>
      <w:i/>
      <w:iCs/>
    </w:rPr>
  </w:style>
  <w:style w:type="paragraph" w:customStyle="1" w:styleId="Intestazione6">
    <w:name w:val="Intestazione6"/>
    <w:basedOn w:val="a"/>
    <w:pPr>
      <w:keepNext/>
      <w:spacing w:before="240" w:after="120"/>
    </w:pPr>
    <w:rPr>
      <w:rFonts w:ascii="Arial" w:eastAsia="微软雅黑" w:hAnsi="Arial" w:cs="Arial"/>
      <w:sz w:val="28"/>
      <w:szCs w:val="28"/>
    </w:rPr>
  </w:style>
  <w:style w:type="paragraph" w:customStyle="1" w:styleId="Didascalia6">
    <w:name w:val="Didascalia6"/>
    <w:basedOn w:val="a"/>
    <w:pPr>
      <w:suppressLineNumbers/>
      <w:spacing w:before="120" w:after="120"/>
    </w:pPr>
    <w:rPr>
      <w:rFonts w:cs="Arial"/>
      <w:i/>
      <w:iCs/>
    </w:rPr>
  </w:style>
  <w:style w:type="paragraph" w:customStyle="1" w:styleId="Intestazione5">
    <w:name w:val="Intestazione5"/>
    <w:basedOn w:val="a"/>
    <w:pPr>
      <w:keepNext/>
      <w:spacing w:before="240" w:after="120"/>
    </w:pPr>
    <w:rPr>
      <w:rFonts w:ascii="Arial" w:eastAsia="微软雅黑" w:hAnsi="Arial" w:cs="Mangal"/>
      <w:sz w:val="28"/>
      <w:szCs w:val="28"/>
    </w:rPr>
  </w:style>
  <w:style w:type="paragraph" w:customStyle="1" w:styleId="TextBody">
    <w:name w:val="Text Body"/>
    <w:basedOn w:val="a"/>
    <w:pPr>
      <w:spacing w:line="360" w:lineRule="auto"/>
      <w:jc w:val="both"/>
    </w:pPr>
  </w:style>
  <w:style w:type="paragraph" w:customStyle="1" w:styleId="Didascalia5">
    <w:name w:val="Didascalia5"/>
    <w:basedOn w:val="a"/>
    <w:pPr>
      <w:suppressLineNumbers/>
      <w:spacing w:before="120" w:after="120"/>
    </w:pPr>
    <w:rPr>
      <w:rFonts w:cs="Mangal"/>
      <w:i/>
      <w:iCs/>
    </w:rPr>
  </w:style>
  <w:style w:type="paragraph" w:customStyle="1" w:styleId="Intestazione4">
    <w:name w:val="Intestazione4"/>
    <w:basedOn w:val="a"/>
    <w:pPr>
      <w:keepNext/>
      <w:spacing w:before="240" w:after="120"/>
    </w:pPr>
    <w:rPr>
      <w:rFonts w:ascii="Arial" w:eastAsia="微软雅黑" w:hAnsi="Arial" w:cs="Mangal"/>
      <w:sz w:val="28"/>
      <w:szCs w:val="28"/>
    </w:rPr>
  </w:style>
  <w:style w:type="paragraph" w:customStyle="1" w:styleId="Didascalia4">
    <w:name w:val="Didascalia4"/>
    <w:basedOn w:val="a"/>
    <w:pPr>
      <w:suppressLineNumbers/>
      <w:spacing w:before="120" w:after="120"/>
    </w:pPr>
    <w:rPr>
      <w:rFonts w:cs="Mangal"/>
      <w:i/>
      <w:iCs/>
    </w:rPr>
  </w:style>
  <w:style w:type="paragraph" w:customStyle="1" w:styleId="Intestazione3">
    <w:name w:val="Intestazione3"/>
    <w:basedOn w:val="a"/>
    <w:pPr>
      <w:keepNext/>
      <w:spacing w:before="240" w:after="120"/>
    </w:pPr>
    <w:rPr>
      <w:rFonts w:ascii="Arial" w:eastAsia="微软雅黑" w:hAnsi="Arial" w:cs="Mangal"/>
      <w:sz w:val="28"/>
      <w:szCs w:val="28"/>
    </w:rPr>
  </w:style>
  <w:style w:type="paragraph" w:customStyle="1" w:styleId="Didascalia3">
    <w:name w:val="Didascalia3"/>
    <w:basedOn w:val="a"/>
    <w:pPr>
      <w:suppressLineNumbers/>
      <w:spacing w:before="120" w:after="120"/>
    </w:pPr>
    <w:rPr>
      <w:rFonts w:cs="Mangal"/>
      <w:i/>
      <w:iCs/>
    </w:rPr>
  </w:style>
  <w:style w:type="paragraph" w:customStyle="1" w:styleId="Intestazione2">
    <w:name w:val="Intestazione2"/>
    <w:basedOn w:val="a"/>
    <w:pPr>
      <w:keepNext/>
      <w:spacing w:before="240" w:after="120"/>
    </w:pPr>
  </w:style>
  <w:style w:type="paragraph" w:customStyle="1" w:styleId="Didascalia2">
    <w:name w:val="Didascalia2"/>
    <w:basedOn w:val="a"/>
    <w:pPr>
      <w:suppressLineNumbers/>
      <w:spacing w:before="120" w:after="120"/>
    </w:pPr>
  </w:style>
  <w:style w:type="paragraph" w:customStyle="1" w:styleId="Titolo11">
    <w:name w:val="Titolo 11"/>
    <w:basedOn w:val="a"/>
    <w:pPr>
      <w:keepNext/>
      <w:spacing w:line="100" w:lineRule="atLeast"/>
    </w:pPr>
  </w:style>
  <w:style w:type="paragraph" w:customStyle="1" w:styleId="Titolo31">
    <w:name w:val="Titolo 31"/>
    <w:basedOn w:val="a"/>
    <w:pPr>
      <w:keepNext/>
      <w:tabs>
        <w:tab w:val="left" w:pos="0"/>
      </w:tabs>
      <w:spacing w:line="480" w:lineRule="auto"/>
      <w:jc w:val="both"/>
    </w:pPr>
  </w:style>
  <w:style w:type="paragraph" w:customStyle="1" w:styleId="Didascalia1">
    <w:name w:val="Didascalia1"/>
    <w:basedOn w:val="a"/>
    <w:pPr>
      <w:suppressLineNumbers/>
      <w:spacing w:before="120" w:after="120"/>
    </w:pPr>
  </w:style>
  <w:style w:type="paragraph" w:customStyle="1" w:styleId="Corpodeltesto21">
    <w:name w:val="Corpo del testo 21"/>
    <w:basedOn w:val="a"/>
    <w:pPr>
      <w:spacing w:after="120" w:line="480" w:lineRule="auto"/>
    </w:pPr>
  </w:style>
  <w:style w:type="paragraph" w:customStyle="1" w:styleId="Elencoacolori-Colore11">
    <w:name w:val="Elenco a colori - Colore 11"/>
    <w:basedOn w:val="a"/>
    <w:pPr>
      <w:ind w:left="720"/>
    </w:pPr>
  </w:style>
  <w:style w:type="paragraph" w:customStyle="1" w:styleId="Corpodeltesto31">
    <w:name w:val="Corpo del testo 31"/>
    <w:basedOn w:val="a"/>
    <w:pPr>
      <w:spacing w:after="120"/>
    </w:pPr>
    <w:rPr>
      <w:sz w:val="16"/>
      <w:szCs w:val="16"/>
    </w:rPr>
  </w:style>
  <w:style w:type="paragraph" w:customStyle="1" w:styleId="Rientrocorpodeltesto21">
    <w:name w:val="Rientro corpo del testo 21"/>
    <w:basedOn w:val="a"/>
    <w:pPr>
      <w:spacing w:after="120" w:line="480" w:lineRule="auto"/>
      <w:ind w:left="283"/>
    </w:pPr>
  </w:style>
  <w:style w:type="paragraph" w:customStyle="1" w:styleId="title1">
    <w:name w:val="title1"/>
    <w:basedOn w:val="a"/>
    <w:pPr>
      <w:spacing w:before="28" w:line="100" w:lineRule="atLeast"/>
      <w:ind w:left="825"/>
    </w:pPr>
  </w:style>
  <w:style w:type="paragraph" w:customStyle="1" w:styleId="authors1">
    <w:name w:val="authors1"/>
    <w:basedOn w:val="a"/>
    <w:pPr>
      <w:spacing w:before="72" w:line="240" w:lineRule="atLeast"/>
      <w:ind w:left="825"/>
    </w:pPr>
  </w:style>
  <w:style w:type="paragraph" w:customStyle="1" w:styleId="source1">
    <w:name w:val="source1"/>
    <w:basedOn w:val="a"/>
    <w:pPr>
      <w:spacing w:before="120" w:after="84" w:line="240" w:lineRule="atLeast"/>
      <w:ind w:left="825"/>
    </w:pPr>
  </w:style>
  <w:style w:type="paragraph" w:customStyle="1" w:styleId="Intestazione1">
    <w:name w:val="Intestazione1"/>
    <w:basedOn w:val="a"/>
    <w:pPr>
      <w:tabs>
        <w:tab w:val="center" w:pos="4819"/>
        <w:tab w:val="right" w:pos="9638"/>
      </w:tabs>
    </w:pPr>
  </w:style>
  <w:style w:type="paragraph" w:customStyle="1" w:styleId="Pidipagina1">
    <w:name w:val="Piè di pagina1"/>
    <w:basedOn w:val="a"/>
    <w:pPr>
      <w:tabs>
        <w:tab w:val="center" w:pos="4819"/>
        <w:tab w:val="right" w:pos="9638"/>
      </w:tabs>
    </w:pPr>
  </w:style>
  <w:style w:type="paragraph" w:customStyle="1" w:styleId="Testofumetto1">
    <w:name w:val="Testo fumetto1"/>
    <w:basedOn w:val="a"/>
  </w:style>
  <w:style w:type="paragraph" w:customStyle="1" w:styleId="NormaleWeb1">
    <w:name w:val="Normale (Web)1"/>
    <w:basedOn w:val="a"/>
    <w:pPr>
      <w:spacing w:before="100" w:after="100" w:line="100" w:lineRule="atLeast"/>
    </w:pPr>
  </w:style>
  <w:style w:type="paragraph" w:customStyle="1" w:styleId="Paragrafoelenco1">
    <w:name w:val="Paragrafo elenco1"/>
    <w:basedOn w:val="a"/>
    <w:pPr>
      <w:ind w:left="720"/>
    </w:pPr>
  </w:style>
  <w:style w:type="paragraph" w:customStyle="1" w:styleId="Titolo1">
    <w:name w:val="Titolo1"/>
    <w:basedOn w:val="a"/>
    <w:pPr>
      <w:spacing w:before="100" w:after="100" w:line="100" w:lineRule="atLeast"/>
    </w:pPr>
  </w:style>
  <w:style w:type="paragraph" w:styleId="a9">
    <w:name w:val="header"/>
    <w:basedOn w:val="a"/>
    <w:pPr>
      <w:suppressLineNumbers/>
      <w:tabs>
        <w:tab w:val="center" w:pos="4819"/>
        <w:tab w:val="right" w:pos="9638"/>
      </w:tabs>
    </w:pPr>
  </w:style>
  <w:style w:type="paragraph" w:styleId="aa">
    <w:name w:val="footer"/>
    <w:basedOn w:val="a"/>
    <w:pPr>
      <w:suppressLineNumbers/>
      <w:tabs>
        <w:tab w:val="center" w:pos="4819"/>
        <w:tab w:val="right" w:pos="9638"/>
      </w:tabs>
    </w:pPr>
  </w:style>
  <w:style w:type="paragraph" w:customStyle="1" w:styleId="ParaAttribute9">
    <w:name w:val="ParaAttribute9"/>
    <w:pPr>
      <w:widowControl w:val="0"/>
      <w:suppressAutoHyphens/>
      <w:jc w:val="both"/>
    </w:pPr>
    <w:rPr>
      <w:rFonts w:eastAsia="Arial Unicode MS"/>
      <w:color w:val="000000"/>
      <w:lang w:val="it-IT" w:eastAsia="ar-SA"/>
    </w:rPr>
  </w:style>
  <w:style w:type="paragraph" w:customStyle="1" w:styleId="Paragrafoelenco2">
    <w:name w:val="Paragrafo elenco2"/>
    <w:basedOn w:val="a"/>
    <w:pPr>
      <w:ind w:left="720"/>
    </w:pPr>
  </w:style>
  <w:style w:type="paragraph" w:customStyle="1" w:styleId="Intestazioneelenco">
    <w:name w:val="Intestazione elenco"/>
    <w:basedOn w:val="a"/>
    <w:next w:val="Contenutoelenco"/>
  </w:style>
  <w:style w:type="paragraph" w:customStyle="1" w:styleId="Contenutoelenco">
    <w:name w:val="Contenuto elenco"/>
    <w:basedOn w:val="a"/>
    <w:pPr>
      <w:ind w:left="567"/>
    </w:pPr>
  </w:style>
  <w:style w:type="paragraph" w:customStyle="1" w:styleId="Reference">
    <w:name w:val="Reference"/>
    <w:basedOn w:val="a"/>
    <w:pPr>
      <w:numPr>
        <w:numId w:val="2"/>
      </w:numPr>
      <w:tabs>
        <w:tab w:val="left" w:pos="567"/>
      </w:tabs>
      <w:spacing w:line="456" w:lineRule="auto"/>
      <w:ind w:left="567"/>
      <w:jc w:val="both"/>
    </w:pPr>
    <w:rPr>
      <w:rFonts w:ascii="Calibri" w:hAnsi="Calibri" w:cs="Calibri"/>
      <w:lang w:val="en-GB"/>
    </w:rPr>
  </w:style>
  <w:style w:type="paragraph" w:customStyle="1" w:styleId="Titlepageinfo">
    <w:name w:val="Title page info"/>
    <w:basedOn w:val="a"/>
    <w:pPr>
      <w:spacing w:line="480" w:lineRule="auto"/>
      <w:jc w:val="both"/>
    </w:pPr>
    <w:rPr>
      <w:rFonts w:ascii="Calibri" w:eastAsia="Calibri" w:hAnsi="Calibri" w:cs="Calibri"/>
      <w:lang w:val="en-US"/>
    </w:rPr>
  </w:style>
  <w:style w:type="paragraph" w:customStyle="1" w:styleId="NormalWeb">
    <w:name w:val="Normal (Web)"/>
    <w:basedOn w:val="a"/>
    <w:pPr>
      <w:spacing w:before="100" w:after="100" w:line="100" w:lineRule="atLeast"/>
    </w:pPr>
  </w:style>
  <w:style w:type="paragraph" w:customStyle="1" w:styleId="Contenutotabella">
    <w:name w:val="Contenuto tabella"/>
    <w:basedOn w:val="a"/>
    <w:pPr>
      <w:suppressLineNumbers/>
    </w:pPr>
  </w:style>
  <w:style w:type="paragraph" w:customStyle="1" w:styleId="Intestazionetabella">
    <w:name w:val="Intestazione tabella"/>
    <w:basedOn w:val="Contenutotabella"/>
    <w:pPr>
      <w:jc w:val="center"/>
    </w:pPr>
    <w:rPr>
      <w:b/>
      <w:bCs/>
    </w:rPr>
  </w:style>
  <w:style w:type="paragraph" w:styleId="ab">
    <w:name w:val="列表段落"/>
    <w:basedOn w:val="a"/>
    <w:qFormat/>
    <w:pPr>
      <w:ind w:left="720"/>
    </w:pPr>
    <w:rPr>
      <w:rFonts w:ascii="Calibri" w:eastAsia="Calibri" w:hAnsi="Calibri"/>
      <w:sz w:val="22"/>
      <w:szCs w:val="22"/>
    </w:rPr>
  </w:style>
  <w:style w:type="paragraph" w:customStyle="1" w:styleId="title">
    <w:name w:val="title"/>
    <w:basedOn w:val="a"/>
    <w:pPr>
      <w:spacing w:before="280" w:after="280"/>
    </w:pPr>
  </w:style>
  <w:style w:type="paragraph" w:customStyle="1" w:styleId="desc">
    <w:name w:val="desc"/>
    <w:basedOn w:val="a"/>
    <w:pPr>
      <w:spacing w:before="280" w:after="280"/>
    </w:pPr>
  </w:style>
  <w:style w:type="paragraph" w:customStyle="1" w:styleId="details">
    <w:name w:val="details"/>
    <w:basedOn w:val="a"/>
    <w:pPr>
      <w:spacing w:before="280" w:after="280"/>
    </w:pPr>
  </w:style>
  <w:style w:type="paragraph" w:customStyle="1" w:styleId="ListParagraph">
    <w:name w:val="List Paragraph"/>
    <w:basedOn w:val="a"/>
    <w:pPr>
      <w:ind w:left="720"/>
    </w:pPr>
  </w:style>
  <w:style w:type="paragraph" w:customStyle="1" w:styleId="Contenutocornice">
    <w:name w:val="Contenuto cornice"/>
    <w:basedOn w:val="a0"/>
  </w:style>
  <w:style w:type="table" w:styleId="ac">
    <w:name w:val="Table Grid"/>
    <w:basedOn w:val="a2"/>
    <w:uiPriority w:val="59"/>
    <w:rsid w:val="0089088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E66A09"/>
    <w:rPr>
      <w:rFonts w:ascii="Courier New" w:hAnsi="Courier New" w:cs="Courier New"/>
      <w:sz w:val="20"/>
      <w:szCs w:val="20"/>
    </w:rPr>
  </w:style>
  <w:style w:type="character" w:customStyle="1" w:styleId="HTML0">
    <w:name w:val="HTML 预设格式 字符"/>
    <w:link w:val="HTML"/>
    <w:uiPriority w:val="99"/>
    <w:semiHidden/>
    <w:rsid w:val="00E66A09"/>
    <w:rPr>
      <w:rFonts w:ascii="Courier New" w:hAnsi="Courier New" w:cs="Courier New"/>
      <w:lang w:eastAsia="ar-SA"/>
    </w:rPr>
  </w:style>
  <w:style w:type="paragraph" w:styleId="ad">
    <w:name w:val="Balloon Text"/>
    <w:basedOn w:val="a"/>
    <w:link w:val="ae"/>
    <w:uiPriority w:val="99"/>
    <w:semiHidden/>
    <w:unhideWhenUsed/>
    <w:rsid w:val="00173527"/>
    <w:rPr>
      <w:sz w:val="18"/>
      <w:szCs w:val="18"/>
    </w:rPr>
  </w:style>
  <w:style w:type="character" w:customStyle="1" w:styleId="ae">
    <w:name w:val="批注框文本 字符"/>
    <w:link w:val="ad"/>
    <w:uiPriority w:val="99"/>
    <w:semiHidden/>
    <w:rsid w:val="00173527"/>
    <w:rPr>
      <w:sz w:val="18"/>
      <w:szCs w:val="18"/>
      <w:lang w:val="it-IT" w:eastAsia="it-IT"/>
    </w:rPr>
  </w:style>
  <w:style w:type="character" w:styleId="af">
    <w:name w:val="annotation reference"/>
    <w:uiPriority w:val="99"/>
    <w:unhideWhenUsed/>
    <w:qFormat/>
    <w:rsid w:val="00B71BBB"/>
    <w:rPr>
      <w:sz w:val="21"/>
      <w:szCs w:val="21"/>
    </w:rPr>
  </w:style>
  <w:style w:type="paragraph" w:styleId="af0">
    <w:name w:val="annotation text"/>
    <w:basedOn w:val="a"/>
    <w:link w:val="af1"/>
    <w:uiPriority w:val="99"/>
    <w:semiHidden/>
    <w:unhideWhenUsed/>
    <w:rsid w:val="00B71BBB"/>
  </w:style>
  <w:style w:type="character" w:customStyle="1" w:styleId="af1">
    <w:name w:val="批注文字 字符"/>
    <w:link w:val="af0"/>
    <w:uiPriority w:val="99"/>
    <w:semiHidden/>
    <w:rsid w:val="00B71BBB"/>
    <w:rPr>
      <w:sz w:val="24"/>
      <w:szCs w:val="24"/>
      <w:lang w:val="it-IT" w:eastAsia="it-IT"/>
    </w:rPr>
  </w:style>
  <w:style w:type="paragraph" w:styleId="af2">
    <w:name w:val="annotation subject"/>
    <w:basedOn w:val="af0"/>
    <w:next w:val="af0"/>
    <w:link w:val="af3"/>
    <w:uiPriority w:val="99"/>
    <w:semiHidden/>
    <w:unhideWhenUsed/>
    <w:rsid w:val="00B71BBB"/>
    <w:rPr>
      <w:b/>
      <w:bCs/>
    </w:rPr>
  </w:style>
  <w:style w:type="character" w:customStyle="1" w:styleId="af3">
    <w:name w:val="批注主题 字符"/>
    <w:link w:val="af2"/>
    <w:uiPriority w:val="99"/>
    <w:semiHidden/>
    <w:rsid w:val="00B71BBB"/>
    <w:rPr>
      <w:b/>
      <w:bCs/>
      <w:sz w:val="24"/>
      <w:szCs w:val="24"/>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等线"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6C2"/>
    <w:rPr>
      <w:sz w:val="24"/>
      <w:szCs w:val="24"/>
      <w:lang w:val="it-IT" w:eastAsia="it-IT"/>
    </w:rPr>
  </w:style>
  <w:style w:type="paragraph" w:styleId="1">
    <w:name w:val="heading 1"/>
    <w:basedOn w:val="Intestazione10"/>
    <w:next w:val="a0"/>
    <w:qFormat/>
    <w:pPr>
      <w:widowControl w:val="0"/>
      <w:numPr>
        <w:numId w:val="1"/>
      </w:numPr>
      <w:suppressAutoHyphens/>
      <w:outlineLvl w:val="0"/>
    </w:pPr>
    <w:rPr>
      <w:rFonts w:eastAsia="宋体"/>
      <w:b/>
      <w:bCs/>
      <w:sz w:val="48"/>
      <w:szCs w:val="4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Pr>
      <w:bCs/>
      <w:sz w:val="24"/>
      <w:szCs w:val="24"/>
      <w:lang w:val="en-GB"/>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24"/>
      <w:szCs w:val="24"/>
      <w:lang w:val="en-GB"/>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eastAsia="AdvPTimes" w:hAnsi="Times New Roman" w:cs="Calibri"/>
      <w:b/>
      <w:bCs/>
      <w:color w:val="131413"/>
      <w:sz w:val="24"/>
      <w:szCs w:val="24"/>
      <w:shd w:val="clear" w:color="auto" w:fill="FFFF00"/>
      <w:lang w:val="en-US"/>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Carpredefinitoparagrafo9">
    <w:name w:val="Car. predefinito paragrafo9"/>
  </w:style>
  <w:style w:type="character" w:customStyle="1" w:styleId="WW8Num4z0">
    <w:name w:val="WW8Num4z0"/>
    <w:rPr>
      <w:rFonts w:ascii="Times New Roman" w:eastAsia="AdvPTimes" w:hAnsi="Times New Roman" w:cs="Calibri"/>
      <w:sz w:val="24"/>
      <w:szCs w:val="24"/>
      <w:shd w:val="clear" w:color="auto" w:fill="FFFF00"/>
      <w:lang w:val="en-GB"/>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Carpredefinitoparagrafo8">
    <w:name w:val="Car. predefinito paragrafo8"/>
  </w:style>
  <w:style w:type="character" w:customStyle="1" w:styleId="WW8Num5z0">
    <w:name w:val="WW8Num5z0"/>
    <w:rPr>
      <w:rFonts w:eastAsia="AdvPTimes" w:cs="Calibri"/>
      <w:bCs/>
      <w:sz w:val="24"/>
      <w:szCs w:val="24"/>
      <w:lang w:val="en-GB"/>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Carpredefinitoparagrafo7">
    <w:name w:val="Car. predefinito paragrafo7"/>
  </w:style>
  <w:style w:type="character" w:customStyle="1" w:styleId="DefaultParagraphFont">
    <w:name w:val="Default Paragraph Font"/>
  </w:style>
  <w:style w:type="character" w:customStyle="1" w:styleId="Carpredefinitoparagrafo6">
    <w:name w:val="Car. predefinito paragrafo6"/>
  </w:style>
  <w:style w:type="character" w:customStyle="1" w:styleId="Carpredefinitoparagrafo5">
    <w:name w:val="Car. predefinito paragrafo5"/>
  </w:style>
  <w:style w:type="character" w:customStyle="1" w:styleId="Carpredefinitoparagrafo1">
    <w:name w:val="Car. predefinito paragrafo1"/>
  </w:style>
  <w:style w:type="character" w:customStyle="1" w:styleId="Carpredefinitoparagrafo3">
    <w:name w:val="Car. predefinito paragrafo3"/>
  </w:style>
  <w:style w:type="character" w:customStyle="1" w:styleId="Carpredefinitoparagrafo2">
    <w:name w:val="Car. predefinito paragrafo2"/>
  </w:style>
  <w:style w:type="character" w:customStyle="1" w:styleId="WW8Num6z0">
    <w:name w:val="WW8Num6z0"/>
    <w:rPr>
      <w:rFonts w:eastAsia="AdvPTimes" w:cs="Calibri"/>
      <w:color w:val="131413"/>
      <w:sz w:val="24"/>
      <w:szCs w:val="24"/>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Carpredefinitoparagrafo4">
    <w:name w:val="Car. predefinito paragrafo4"/>
  </w:style>
  <w:style w:type="character" w:customStyle="1" w:styleId="CorpodeltestoCarattere">
    <w:name w:val="Corpo del testo Carattere"/>
  </w:style>
  <w:style w:type="character" w:customStyle="1" w:styleId="Titolo3Carattere">
    <w:name w:val="Titolo 3 Carattere"/>
  </w:style>
  <w:style w:type="character" w:customStyle="1" w:styleId="Corpodeltesto2Carattere">
    <w:name w:val="Corpo del testo 2 Carattere"/>
    <w:basedOn w:val="Carpredefinitoparagrafo4"/>
  </w:style>
  <w:style w:type="character" w:styleId="a4">
    <w:name w:val="Strong"/>
    <w:qFormat/>
    <w:rPr>
      <w:b/>
      <w:bCs/>
    </w:rPr>
  </w:style>
  <w:style w:type="character" w:customStyle="1" w:styleId="InternetLink">
    <w:name w:val="Internet Link"/>
  </w:style>
  <w:style w:type="character" w:customStyle="1" w:styleId="volume">
    <w:name w:val="volume"/>
    <w:basedOn w:val="Carpredefinitoparagrafo4"/>
  </w:style>
  <w:style w:type="character" w:customStyle="1" w:styleId="issue">
    <w:name w:val="issue"/>
    <w:basedOn w:val="Carpredefinitoparagrafo4"/>
  </w:style>
  <w:style w:type="character" w:customStyle="1" w:styleId="pages">
    <w:name w:val="pages"/>
    <w:basedOn w:val="Carpredefinitoparagrafo4"/>
  </w:style>
  <w:style w:type="character" w:customStyle="1" w:styleId="journalname">
    <w:name w:val="journalname"/>
    <w:basedOn w:val="Carpredefinitoparagrafo4"/>
  </w:style>
  <w:style w:type="character" w:customStyle="1" w:styleId="CarattereCarattere1">
    <w:name w:val="Carattere Carattere1"/>
  </w:style>
  <w:style w:type="character" w:customStyle="1" w:styleId="CarattereCarattere">
    <w:name w:val="Carattere Carattere"/>
  </w:style>
  <w:style w:type="character" w:customStyle="1" w:styleId="Absatz-Standardschriftart">
    <w:name w:val="Absatz-Standardschriftart"/>
  </w:style>
  <w:style w:type="character" w:customStyle="1" w:styleId="pagecontents1">
    <w:name w:val="pagecontents1"/>
  </w:style>
  <w:style w:type="character" w:customStyle="1" w:styleId="ListLabel1">
    <w:name w:val="ListLabel 1"/>
    <w:rPr>
      <w:rFonts w:eastAsia="Calibri" w:cs="Times New Roman"/>
      <w:i/>
    </w:rPr>
  </w:style>
  <w:style w:type="character" w:customStyle="1" w:styleId="ListLabel2">
    <w:name w:val="ListLabel 2"/>
    <w:rPr>
      <w:rFonts w:cs="Courier New"/>
    </w:rPr>
  </w:style>
  <w:style w:type="character" w:styleId="a5">
    <w:name w:val="Hyperlink"/>
    <w:rPr>
      <w:color w:val="000080"/>
      <w:u w:val="single"/>
      <w:lang/>
    </w:rPr>
  </w:style>
  <w:style w:type="character" w:customStyle="1" w:styleId="ListLabel3">
    <w:name w:val="ListLabel 3"/>
    <w:rPr>
      <w:rFonts w:eastAsia="Times New Roman" w:cs="Times New Roman"/>
    </w:rPr>
  </w:style>
  <w:style w:type="character" w:customStyle="1" w:styleId="ListLabel4">
    <w:name w:val="ListLabel 4"/>
    <w:rPr>
      <w:rFonts w:cs="Courier New"/>
    </w:rPr>
  </w:style>
  <w:style w:type="character" w:customStyle="1" w:styleId="jrnl">
    <w:name w:val="jrnl"/>
    <w:basedOn w:val="Carpredefinitoparagrafo4"/>
  </w:style>
  <w:style w:type="character" w:customStyle="1" w:styleId="src">
    <w:name w:val="src"/>
    <w:basedOn w:val="Carpredefinitoparagrafo4"/>
  </w:style>
  <w:style w:type="character" w:customStyle="1" w:styleId="Punti">
    <w:name w:val="Punti"/>
    <w:rPr>
      <w:rFonts w:ascii="OpenSymbol" w:eastAsia="OpenSymbol" w:hAnsi="OpenSymbol" w:cs="OpenSymbol"/>
    </w:rPr>
  </w:style>
  <w:style w:type="character" w:customStyle="1" w:styleId="IntestazioneCarattere">
    <w:name w:val="Intestazione Carattere"/>
  </w:style>
  <w:style w:type="character" w:customStyle="1" w:styleId="PidipaginaCarattere">
    <w:name w:val="Piè di pagina Carattere"/>
  </w:style>
  <w:style w:type="character" w:customStyle="1" w:styleId="CharAttribute104">
    <w:name w:val="CharAttribute104"/>
    <w:rPr>
      <w:rFonts w:ascii="Times New Roman" w:eastAsia="Times New Roman" w:hAnsi="Times New Roman" w:cs="Times New Roman"/>
      <w:sz w:val="24"/>
    </w:rPr>
  </w:style>
  <w:style w:type="character" w:customStyle="1" w:styleId="CharAttribute105">
    <w:name w:val="CharAttribute105"/>
    <w:rPr>
      <w:rFonts w:ascii="Times New Roman" w:eastAsia="Times New Roman" w:hAnsi="Times New Roman" w:cs="Times New Roman"/>
      <w:sz w:val="24"/>
    </w:rPr>
  </w:style>
  <w:style w:type="character" w:customStyle="1" w:styleId="highlight">
    <w:name w:val="highlight"/>
    <w:basedOn w:val="Carpredefinitoparagrafo1"/>
  </w:style>
  <w:style w:type="character" w:customStyle="1" w:styleId="ListLabel5">
    <w:name w:val="ListLabel 5"/>
    <w:rPr>
      <w:bCs/>
      <w:sz w:val="24"/>
      <w:szCs w:val="24"/>
      <w:lang w:val="en-GB"/>
    </w:rPr>
  </w:style>
  <w:style w:type="character" w:customStyle="1" w:styleId="ListLabel6">
    <w:name w:val="ListLabel 6"/>
    <w:rPr>
      <w:sz w:val="24"/>
      <w:szCs w:val="24"/>
      <w:lang w:val="en-GB"/>
    </w:rPr>
  </w:style>
  <w:style w:type="character" w:customStyle="1" w:styleId="ListLabel7">
    <w:name w:val="ListLabel 7"/>
    <w:rPr>
      <w:rFonts w:cs="Courier New"/>
    </w:rPr>
  </w:style>
  <w:style w:type="character" w:customStyle="1" w:styleId="ListLabel8">
    <w:name w:val="ListLabel 8"/>
    <w:rPr>
      <w:rFonts w:cs="Wingdings"/>
    </w:rPr>
  </w:style>
  <w:style w:type="character" w:customStyle="1" w:styleId="ListLabel9">
    <w:name w:val="ListLabel 9"/>
    <w:rPr>
      <w:rFonts w:cs="Symbol"/>
    </w:rPr>
  </w:style>
  <w:style w:type="character" w:customStyle="1" w:styleId="ListLabel10">
    <w:name w:val="ListLabel 10"/>
    <w:rPr>
      <w:rFonts w:cs="Calibri"/>
      <w:color w:val="131413"/>
      <w:sz w:val="24"/>
      <w:szCs w:val="24"/>
      <w:lang w:val="en-US"/>
    </w:rPr>
  </w:style>
  <w:style w:type="character" w:customStyle="1" w:styleId="ListLabel11">
    <w:name w:val="ListLabel 11"/>
    <w:rPr>
      <w:rFonts w:eastAsia="AdvPTimes" w:cs="Calibri"/>
      <w:sz w:val="24"/>
      <w:szCs w:val="24"/>
      <w:lang w:val="en-GB"/>
    </w:rPr>
  </w:style>
  <w:style w:type="character" w:customStyle="1" w:styleId="UnresolvedMention">
    <w:name w:val="Unresolved Mention"/>
    <w:rPr>
      <w:color w:val="605E5C"/>
    </w:rPr>
  </w:style>
  <w:style w:type="character" w:customStyle="1" w:styleId="ListLabel12">
    <w:name w:val="ListLabel 12"/>
    <w:rPr>
      <w:sz w:val="24"/>
      <w:szCs w:val="24"/>
      <w:lang w:val="en-GB"/>
    </w:rPr>
  </w:style>
  <w:style w:type="character" w:customStyle="1" w:styleId="ListLabel13">
    <w:name w:val="ListLabel 13"/>
    <w:rPr>
      <w:rFonts w:eastAsia="AdvPTimes" w:cs="Calibri"/>
      <w:sz w:val="24"/>
      <w:szCs w:val="24"/>
      <w:lang w:val="en-GB"/>
    </w:rPr>
  </w:style>
  <w:style w:type="character" w:styleId="a6">
    <w:name w:val="FollowedHyperlink"/>
    <w:rPr>
      <w:color w:val="954F72"/>
      <w:u w:val="single"/>
    </w:rPr>
  </w:style>
  <w:style w:type="character" w:customStyle="1" w:styleId="a7">
    <w:name w:val="未处理的提及"/>
    <w:rPr>
      <w:color w:val="605E5C"/>
      <w:shd w:val="clear" w:color="auto" w:fill="E1DFDD"/>
    </w:rPr>
  </w:style>
  <w:style w:type="paragraph" w:customStyle="1" w:styleId="Intestazione13">
    <w:name w:val="Intestazione13"/>
    <w:basedOn w:val="a"/>
    <w:next w:val="a0"/>
    <w:pPr>
      <w:keepNext/>
      <w:spacing w:before="240" w:after="120"/>
    </w:pPr>
    <w:rPr>
      <w:rFonts w:ascii="Arial" w:eastAsia="微软雅黑" w:hAnsi="Arial" w:cs="Mangal"/>
      <w:sz w:val="28"/>
      <w:szCs w:val="28"/>
    </w:rPr>
  </w:style>
  <w:style w:type="paragraph" w:styleId="a0">
    <w:name w:val="Body Text"/>
    <w:basedOn w:val="a"/>
    <w:pPr>
      <w:spacing w:after="120"/>
    </w:pPr>
  </w:style>
  <w:style w:type="paragraph" w:styleId="a8">
    <w:name w:val="List"/>
    <w:basedOn w:val="a0"/>
    <w:pPr>
      <w:widowControl w:val="0"/>
      <w:suppressAutoHyphens/>
    </w:pPr>
    <w:rPr>
      <w:rFonts w:cs="Arial"/>
    </w:rPr>
  </w:style>
  <w:style w:type="paragraph" w:customStyle="1" w:styleId="Didascalia13">
    <w:name w:val="Didascalia13"/>
    <w:basedOn w:val="a"/>
    <w:pPr>
      <w:suppressLineNumbers/>
      <w:spacing w:before="120" w:after="120"/>
    </w:pPr>
    <w:rPr>
      <w:rFonts w:cs="Mangal"/>
      <w:i/>
      <w:iCs/>
    </w:rPr>
  </w:style>
  <w:style w:type="paragraph" w:customStyle="1" w:styleId="Indice">
    <w:name w:val="Indice"/>
    <w:basedOn w:val="a"/>
    <w:pPr>
      <w:suppressLineNumbers/>
    </w:pPr>
    <w:rPr>
      <w:rFonts w:cs="FreeSans"/>
    </w:rPr>
  </w:style>
  <w:style w:type="paragraph" w:customStyle="1" w:styleId="Intestazione10">
    <w:name w:val="Intestazione10"/>
    <w:basedOn w:val="a"/>
    <w:next w:val="a0"/>
    <w:pPr>
      <w:keepNext/>
      <w:spacing w:before="240" w:after="120"/>
    </w:pPr>
    <w:rPr>
      <w:rFonts w:ascii="Arial" w:eastAsia="微软雅黑" w:hAnsi="Arial" w:cs="Arial"/>
      <w:sz w:val="28"/>
      <w:szCs w:val="28"/>
    </w:rPr>
  </w:style>
  <w:style w:type="paragraph" w:customStyle="1" w:styleId="Intestazione12">
    <w:name w:val="Intestazione12"/>
    <w:basedOn w:val="a"/>
    <w:next w:val="a0"/>
    <w:pPr>
      <w:keepNext/>
      <w:spacing w:before="240" w:after="120"/>
    </w:pPr>
    <w:rPr>
      <w:rFonts w:ascii="Arial" w:eastAsia="微软雅黑" w:hAnsi="Arial" w:cs="Mangal"/>
      <w:sz w:val="28"/>
      <w:szCs w:val="28"/>
    </w:rPr>
  </w:style>
  <w:style w:type="paragraph" w:customStyle="1" w:styleId="Didascalia12">
    <w:name w:val="Didascalia12"/>
    <w:basedOn w:val="a"/>
    <w:pPr>
      <w:suppressLineNumbers/>
      <w:spacing w:before="120" w:after="120"/>
    </w:pPr>
    <w:rPr>
      <w:rFonts w:cs="Mangal"/>
      <w:i/>
      <w:iCs/>
    </w:rPr>
  </w:style>
  <w:style w:type="paragraph" w:customStyle="1" w:styleId="Intestazione11">
    <w:name w:val="Intestazione11"/>
    <w:basedOn w:val="a"/>
    <w:next w:val="a0"/>
    <w:pPr>
      <w:keepNext/>
      <w:spacing w:before="240" w:after="120"/>
    </w:pPr>
    <w:rPr>
      <w:rFonts w:ascii="Arial" w:eastAsia="微软雅黑" w:hAnsi="Arial" w:cs="Mangal"/>
      <w:sz w:val="28"/>
      <w:szCs w:val="28"/>
    </w:rPr>
  </w:style>
  <w:style w:type="paragraph" w:customStyle="1" w:styleId="Didascalia11">
    <w:name w:val="Didascalia11"/>
    <w:basedOn w:val="a"/>
    <w:pPr>
      <w:suppressLineNumbers/>
      <w:spacing w:before="120" w:after="120"/>
    </w:pPr>
    <w:rPr>
      <w:rFonts w:cs="Mangal"/>
      <w:i/>
      <w:iCs/>
    </w:rPr>
  </w:style>
  <w:style w:type="paragraph" w:customStyle="1" w:styleId="Didascalia10">
    <w:name w:val="Didascalia10"/>
    <w:basedOn w:val="a"/>
    <w:pPr>
      <w:suppressLineNumbers/>
      <w:spacing w:before="120" w:after="120"/>
    </w:pPr>
    <w:rPr>
      <w:rFonts w:cs="Arial"/>
      <w:i/>
      <w:iCs/>
    </w:rPr>
  </w:style>
  <w:style w:type="paragraph" w:customStyle="1" w:styleId="Intestazione9">
    <w:name w:val="Intestazione9"/>
    <w:basedOn w:val="a"/>
    <w:pPr>
      <w:keepNext/>
      <w:spacing w:before="240" w:after="120"/>
    </w:pPr>
    <w:rPr>
      <w:rFonts w:ascii="Arial" w:eastAsia="微软雅黑" w:hAnsi="Arial" w:cs="Arial"/>
      <w:sz w:val="28"/>
      <w:szCs w:val="28"/>
    </w:rPr>
  </w:style>
  <w:style w:type="paragraph" w:customStyle="1" w:styleId="Didascalia9">
    <w:name w:val="Didascalia9"/>
    <w:basedOn w:val="a"/>
    <w:pPr>
      <w:suppressLineNumbers/>
      <w:spacing w:before="120" w:after="120"/>
    </w:pPr>
    <w:rPr>
      <w:rFonts w:cs="Arial"/>
      <w:i/>
      <w:iCs/>
    </w:rPr>
  </w:style>
  <w:style w:type="paragraph" w:customStyle="1" w:styleId="Intestazione8">
    <w:name w:val="Intestazione8"/>
    <w:basedOn w:val="a"/>
    <w:pPr>
      <w:keepNext/>
      <w:spacing w:before="240" w:after="120"/>
    </w:pPr>
    <w:rPr>
      <w:rFonts w:ascii="Arial" w:eastAsia="微软雅黑" w:hAnsi="Arial" w:cs="Arial"/>
      <w:sz w:val="28"/>
      <w:szCs w:val="28"/>
    </w:rPr>
  </w:style>
  <w:style w:type="paragraph" w:customStyle="1" w:styleId="Didascalia8">
    <w:name w:val="Didascalia8"/>
    <w:basedOn w:val="a"/>
    <w:pPr>
      <w:suppressLineNumbers/>
      <w:spacing w:before="120" w:after="120"/>
    </w:pPr>
    <w:rPr>
      <w:rFonts w:cs="Arial"/>
      <w:i/>
      <w:iCs/>
    </w:rPr>
  </w:style>
  <w:style w:type="paragraph" w:customStyle="1" w:styleId="Intestazione7">
    <w:name w:val="Intestazione7"/>
    <w:basedOn w:val="a"/>
    <w:pPr>
      <w:keepNext/>
      <w:spacing w:before="240" w:after="120"/>
    </w:pPr>
    <w:rPr>
      <w:rFonts w:ascii="Arial" w:eastAsia="微软雅黑" w:hAnsi="Arial" w:cs="Arial"/>
      <w:sz w:val="28"/>
      <w:szCs w:val="28"/>
    </w:rPr>
  </w:style>
  <w:style w:type="paragraph" w:customStyle="1" w:styleId="Didascalia7">
    <w:name w:val="Didascalia7"/>
    <w:basedOn w:val="a"/>
    <w:pPr>
      <w:suppressLineNumbers/>
      <w:spacing w:before="120" w:after="120"/>
    </w:pPr>
    <w:rPr>
      <w:rFonts w:cs="Arial"/>
      <w:i/>
      <w:iCs/>
    </w:rPr>
  </w:style>
  <w:style w:type="paragraph" w:customStyle="1" w:styleId="Intestazione6">
    <w:name w:val="Intestazione6"/>
    <w:basedOn w:val="a"/>
    <w:pPr>
      <w:keepNext/>
      <w:spacing w:before="240" w:after="120"/>
    </w:pPr>
    <w:rPr>
      <w:rFonts w:ascii="Arial" w:eastAsia="微软雅黑" w:hAnsi="Arial" w:cs="Arial"/>
      <w:sz w:val="28"/>
      <w:szCs w:val="28"/>
    </w:rPr>
  </w:style>
  <w:style w:type="paragraph" w:customStyle="1" w:styleId="Didascalia6">
    <w:name w:val="Didascalia6"/>
    <w:basedOn w:val="a"/>
    <w:pPr>
      <w:suppressLineNumbers/>
      <w:spacing w:before="120" w:after="120"/>
    </w:pPr>
    <w:rPr>
      <w:rFonts w:cs="Arial"/>
      <w:i/>
      <w:iCs/>
    </w:rPr>
  </w:style>
  <w:style w:type="paragraph" w:customStyle="1" w:styleId="Intestazione5">
    <w:name w:val="Intestazione5"/>
    <w:basedOn w:val="a"/>
    <w:pPr>
      <w:keepNext/>
      <w:spacing w:before="240" w:after="120"/>
    </w:pPr>
    <w:rPr>
      <w:rFonts w:ascii="Arial" w:eastAsia="微软雅黑" w:hAnsi="Arial" w:cs="Mangal"/>
      <w:sz w:val="28"/>
      <w:szCs w:val="28"/>
    </w:rPr>
  </w:style>
  <w:style w:type="paragraph" w:customStyle="1" w:styleId="TextBody">
    <w:name w:val="Text Body"/>
    <w:basedOn w:val="a"/>
    <w:pPr>
      <w:spacing w:line="360" w:lineRule="auto"/>
      <w:jc w:val="both"/>
    </w:pPr>
  </w:style>
  <w:style w:type="paragraph" w:customStyle="1" w:styleId="Didascalia5">
    <w:name w:val="Didascalia5"/>
    <w:basedOn w:val="a"/>
    <w:pPr>
      <w:suppressLineNumbers/>
      <w:spacing w:before="120" w:after="120"/>
    </w:pPr>
    <w:rPr>
      <w:rFonts w:cs="Mangal"/>
      <w:i/>
      <w:iCs/>
    </w:rPr>
  </w:style>
  <w:style w:type="paragraph" w:customStyle="1" w:styleId="Intestazione4">
    <w:name w:val="Intestazione4"/>
    <w:basedOn w:val="a"/>
    <w:pPr>
      <w:keepNext/>
      <w:spacing w:before="240" w:after="120"/>
    </w:pPr>
    <w:rPr>
      <w:rFonts w:ascii="Arial" w:eastAsia="微软雅黑" w:hAnsi="Arial" w:cs="Mangal"/>
      <w:sz w:val="28"/>
      <w:szCs w:val="28"/>
    </w:rPr>
  </w:style>
  <w:style w:type="paragraph" w:customStyle="1" w:styleId="Didascalia4">
    <w:name w:val="Didascalia4"/>
    <w:basedOn w:val="a"/>
    <w:pPr>
      <w:suppressLineNumbers/>
      <w:spacing w:before="120" w:after="120"/>
    </w:pPr>
    <w:rPr>
      <w:rFonts w:cs="Mangal"/>
      <w:i/>
      <w:iCs/>
    </w:rPr>
  </w:style>
  <w:style w:type="paragraph" w:customStyle="1" w:styleId="Intestazione3">
    <w:name w:val="Intestazione3"/>
    <w:basedOn w:val="a"/>
    <w:pPr>
      <w:keepNext/>
      <w:spacing w:before="240" w:after="120"/>
    </w:pPr>
    <w:rPr>
      <w:rFonts w:ascii="Arial" w:eastAsia="微软雅黑" w:hAnsi="Arial" w:cs="Mangal"/>
      <w:sz w:val="28"/>
      <w:szCs w:val="28"/>
    </w:rPr>
  </w:style>
  <w:style w:type="paragraph" w:customStyle="1" w:styleId="Didascalia3">
    <w:name w:val="Didascalia3"/>
    <w:basedOn w:val="a"/>
    <w:pPr>
      <w:suppressLineNumbers/>
      <w:spacing w:before="120" w:after="120"/>
    </w:pPr>
    <w:rPr>
      <w:rFonts w:cs="Mangal"/>
      <w:i/>
      <w:iCs/>
    </w:rPr>
  </w:style>
  <w:style w:type="paragraph" w:customStyle="1" w:styleId="Intestazione2">
    <w:name w:val="Intestazione2"/>
    <w:basedOn w:val="a"/>
    <w:pPr>
      <w:keepNext/>
      <w:spacing w:before="240" w:after="120"/>
    </w:pPr>
  </w:style>
  <w:style w:type="paragraph" w:customStyle="1" w:styleId="Didascalia2">
    <w:name w:val="Didascalia2"/>
    <w:basedOn w:val="a"/>
    <w:pPr>
      <w:suppressLineNumbers/>
      <w:spacing w:before="120" w:after="120"/>
    </w:pPr>
  </w:style>
  <w:style w:type="paragraph" w:customStyle="1" w:styleId="Titolo11">
    <w:name w:val="Titolo 11"/>
    <w:basedOn w:val="a"/>
    <w:pPr>
      <w:keepNext/>
      <w:spacing w:line="100" w:lineRule="atLeast"/>
    </w:pPr>
  </w:style>
  <w:style w:type="paragraph" w:customStyle="1" w:styleId="Titolo31">
    <w:name w:val="Titolo 31"/>
    <w:basedOn w:val="a"/>
    <w:pPr>
      <w:keepNext/>
      <w:tabs>
        <w:tab w:val="left" w:pos="0"/>
      </w:tabs>
      <w:spacing w:line="480" w:lineRule="auto"/>
      <w:jc w:val="both"/>
    </w:pPr>
  </w:style>
  <w:style w:type="paragraph" w:customStyle="1" w:styleId="Didascalia1">
    <w:name w:val="Didascalia1"/>
    <w:basedOn w:val="a"/>
    <w:pPr>
      <w:suppressLineNumbers/>
      <w:spacing w:before="120" w:after="120"/>
    </w:pPr>
  </w:style>
  <w:style w:type="paragraph" w:customStyle="1" w:styleId="Corpodeltesto21">
    <w:name w:val="Corpo del testo 21"/>
    <w:basedOn w:val="a"/>
    <w:pPr>
      <w:spacing w:after="120" w:line="480" w:lineRule="auto"/>
    </w:pPr>
  </w:style>
  <w:style w:type="paragraph" w:customStyle="1" w:styleId="Elencoacolori-Colore11">
    <w:name w:val="Elenco a colori - Colore 11"/>
    <w:basedOn w:val="a"/>
    <w:pPr>
      <w:ind w:left="720"/>
    </w:pPr>
  </w:style>
  <w:style w:type="paragraph" w:customStyle="1" w:styleId="Corpodeltesto31">
    <w:name w:val="Corpo del testo 31"/>
    <w:basedOn w:val="a"/>
    <w:pPr>
      <w:spacing w:after="120"/>
    </w:pPr>
    <w:rPr>
      <w:sz w:val="16"/>
      <w:szCs w:val="16"/>
    </w:rPr>
  </w:style>
  <w:style w:type="paragraph" w:customStyle="1" w:styleId="Rientrocorpodeltesto21">
    <w:name w:val="Rientro corpo del testo 21"/>
    <w:basedOn w:val="a"/>
    <w:pPr>
      <w:spacing w:after="120" w:line="480" w:lineRule="auto"/>
      <w:ind w:left="283"/>
    </w:pPr>
  </w:style>
  <w:style w:type="paragraph" w:customStyle="1" w:styleId="title1">
    <w:name w:val="title1"/>
    <w:basedOn w:val="a"/>
    <w:pPr>
      <w:spacing w:before="28" w:line="100" w:lineRule="atLeast"/>
      <w:ind w:left="825"/>
    </w:pPr>
  </w:style>
  <w:style w:type="paragraph" w:customStyle="1" w:styleId="authors1">
    <w:name w:val="authors1"/>
    <w:basedOn w:val="a"/>
    <w:pPr>
      <w:spacing w:before="72" w:line="240" w:lineRule="atLeast"/>
      <w:ind w:left="825"/>
    </w:pPr>
  </w:style>
  <w:style w:type="paragraph" w:customStyle="1" w:styleId="source1">
    <w:name w:val="source1"/>
    <w:basedOn w:val="a"/>
    <w:pPr>
      <w:spacing w:before="120" w:after="84" w:line="240" w:lineRule="atLeast"/>
      <w:ind w:left="825"/>
    </w:pPr>
  </w:style>
  <w:style w:type="paragraph" w:customStyle="1" w:styleId="Intestazione1">
    <w:name w:val="Intestazione1"/>
    <w:basedOn w:val="a"/>
    <w:pPr>
      <w:tabs>
        <w:tab w:val="center" w:pos="4819"/>
        <w:tab w:val="right" w:pos="9638"/>
      </w:tabs>
    </w:pPr>
  </w:style>
  <w:style w:type="paragraph" w:customStyle="1" w:styleId="Pidipagina1">
    <w:name w:val="Piè di pagina1"/>
    <w:basedOn w:val="a"/>
    <w:pPr>
      <w:tabs>
        <w:tab w:val="center" w:pos="4819"/>
        <w:tab w:val="right" w:pos="9638"/>
      </w:tabs>
    </w:pPr>
  </w:style>
  <w:style w:type="paragraph" w:customStyle="1" w:styleId="Testofumetto1">
    <w:name w:val="Testo fumetto1"/>
    <w:basedOn w:val="a"/>
  </w:style>
  <w:style w:type="paragraph" w:customStyle="1" w:styleId="NormaleWeb1">
    <w:name w:val="Normale (Web)1"/>
    <w:basedOn w:val="a"/>
    <w:pPr>
      <w:spacing w:before="100" w:after="100" w:line="100" w:lineRule="atLeast"/>
    </w:pPr>
  </w:style>
  <w:style w:type="paragraph" w:customStyle="1" w:styleId="Paragrafoelenco1">
    <w:name w:val="Paragrafo elenco1"/>
    <w:basedOn w:val="a"/>
    <w:pPr>
      <w:ind w:left="720"/>
    </w:pPr>
  </w:style>
  <w:style w:type="paragraph" w:customStyle="1" w:styleId="Titolo1">
    <w:name w:val="Titolo1"/>
    <w:basedOn w:val="a"/>
    <w:pPr>
      <w:spacing w:before="100" w:after="100" w:line="100" w:lineRule="atLeast"/>
    </w:pPr>
  </w:style>
  <w:style w:type="paragraph" w:styleId="a9">
    <w:name w:val="header"/>
    <w:basedOn w:val="a"/>
    <w:pPr>
      <w:suppressLineNumbers/>
      <w:tabs>
        <w:tab w:val="center" w:pos="4819"/>
        <w:tab w:val="right" w:pos="9638"/>
      </w:tabs>
    </w:pPr>
  </w:style>
  <w:style w:type="paragraph" w:styleId="aa">
    <w:name w:val="footer"/>
    <w:basedOn w:val="a"/>
    <w:pPr>
      <w:suppressLineNumbers/>
      <w:tabs>
        <w:tab w:val="center" w:pos="4819"/>
        <w:tab w:val="right" w:pos="9638"/>
      </w:tabs>
    </w:pPr>
  </w:style>
  <w:style w:type="paragraph" w:customStyle="1" w:styleId="ParaAttribute9">
    <w:name w:val="ParaAttribute9"/>
    <w:pPr>
      <w:widowControl w:val="0"/>
      <w:suppressAutoHyphens/>
      <w:jc w:val="both"/>
    </w:pPr>
    <w:rPr>
      <w:rFonts w:eastAsia="Arial Unicode MS"/>
      <w:color w:val="000000"/>
      <w:lang w:val="it-IT" w:eastAsia="ar-SA"/>
    </w:rPr>
  </w:style>
  <w:style w:type="paragraph" w:customStyle="1" w:styleId="Paragrafoelenco2">
    <w:name w:val="Paragrafo elenco2"/>
    <w:basedOn w:val="a"/>
    <w:pPr>
      <w:ind w:left="720"/>
    </w:pPr>
  </w:style>
  <w:style w:type="paragraph" w:customStyle="1" w:styleId="Intestazioneelenco">
    <w:name w:val="Intestazione elenco"/>
    <w:basedOn w:val="a"/>
    <w:next w:val="Contenutoelenco"/>
  </w:style>
  <w:style w:type="paragraph" w:customStyle="1" w:styleId="Contenutoelenco">
    <w:name w:val="Contenuto elenco"/>
    <w:basedOn w:val="a"/>
    <w:pPr>
      <w:ind w:left="567"/>
    </w:pPr>
  </w:style>
  <w:style w:type="paragraph" w:customStyle="1" w:styleId="Reference">
    <w:name w:val="Reference"/>
    <w:basedOn w:val="a"/>
    <w:pPr>
      <w:numPr>
        <w:numId w:val="2"/>
      </w:numPr>
      <w:tabs>
        <w:tab w:val="left" w:pos="567"/>
      </w:tabs>
      <w:spacing w:line="456" w:lineRule="auto"/>
      <w:ind w:left="567"/>
      <w:jc w:val="both"/>
    </w:pPr>
    <w:rPr>
      <w:rFonts w:ascii="Calibri" w:hAnsi="Calibri" w:cs="Calibri"/>
      <w:lang w:val="en-GB"/>
    </w:rPr>
  </w:style>
  <w:style w:type="paragraph" w:customStyle="1" w:styleId="Titlepageinfo">
    <w:name w:val="Title page info"/>
    <w:basedOn w:val="a"/>
    <w:pPr>
      <w:spacing w:line="480" w:lineRule="auto"/>
      <w:jc w:val="both"/>
    </w:pPr>
    <w:rPr>
      <w:rFonts w:ascii="Calibri" w:eastAsia="Calibri" w:hAnsi="Calibri" w:cs="Calibri"/>
      <w:lang w:val="en-US"/>
    </w:rPr>
  </w:style>
  <w:style w:type="paragraph" w:customStyle="1" w:styleId="NormalWeb">
    <w:name w:val="Normal (Web)"/>
    <w:basedOn w:val="a"/>
    <w:pPr>
      <w:spacing w:before="100" w:after="100" w:line="100" w:lineRule="atLeast"/>
    </w:pPr>
  </w:style>
  <w:style w:type="paragraph" w:customStyle="1" w:styleId="Contenutotabella">
    <w:name w:val="Contenuto tabella"/>
    <w:basedOn w:val="a"/>
    <w:pPr>
      <w:suppressLineNumbers/>
    </w:pPr>
  </w:style>
  <w:style w:type="paragraph" w:customStyle="1" w:styleId="Intestazionetabella">
    <w:name w:val="Intestazione tabella"/>
    <w:basedOn w:val="Contenutotabella"/>
    <w:pPr>
      <w:jc w:val="center"/>
    </w:pPr>
    <w:rPr>
      <w:b/>
      <w:bCs/>
    </w:rPr>
  </w:style>
  <w:style w:type="paragraph" w:styleId="ab">
    <w:name w:val="列表段落"/>
    <w:basedOn w:val="a"/>
    <w:qFormat/>
    <w:pPr>
      <w:ind w:left="720"/>
    </w:pPr>
    <w:rPr>
      <w:rFonts w:ascii="Calibri" w:eastAsia="Calibri" w:hAnsi="Calibri"/>
      <w:sz w:val="22"/>
      <w:szCs w:val="22"/>
    </w:rPr>
  </w:style>
  <w:style w:type="paragraph" w:customStyle="1" w:styleId="title">
    <w:name w:val="title"/>
    <w:basedOn w:val="a"/>
    <w:pPr>
      <w:spacing w:before="280" w:after="280"/>
    </w:pPr>
  </w:style>
  <w:style w:type="paragraph" w:customStyle="1" w:styleId="desc">
    <w:name w:val="desc"/>
    <w:basedOn w:val="a"/>
    <w:pPr>
      <w:spacing w:before="280" w:after="280"/>
    </w:pPr>
  </w:style>
  <w:style w:type="paragraph" w:customStyle="1" w:styleId="details">
    <w:name w:val="details"/>
    <w:basedOn w:val="a"/>
    <w:pPr>
      <w:spacing w:before="280" w:after="280"/>
    </w:pPr>
  </w:style>
  <w:style w:type="paragraph" w:customStyle="1" w:styleId="ListParagraph">
    <w:name w:val="List Paragraph"/>
    <w:basedOn w:val="a"/>
    <w:pPr>
      <w:ind w:left="720"/>
    </w:pPr>
  </w:style>
  <w:style w:type="paragraph" w:customStyle="1" w:styleId="Contenutocornice">
    <w:name w:val="Contenuto cornice"/>
    <w:basedOn w:val="a0"/>
  </w:style>
  <w:style w:type="table" w:styleId="ac">
    <w:name w:val="Table Grid"/>
    <w:basedOn w:val="a2"/>
    <w:uiPriority w:val="59"/>
    <w:rsid w:val="0089088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E66A09"/>
    <w:rPr>
      <w:rFonts w:ascii="Courier New" w:hAnsi="Courier New" w:cs="Courier New"/>
      <w:sz w:val="20"/>
      <w:szCs w:val="20"/>
    </w:rPr>
  </w:style>
  <w:style w:type="character" w:customStyle="1" w:styleId="HTML0">
    <w:name w:val="HTML 预设格式 字符"/>
    <w:link w:val="HTML"/>
    <w:uiPriority w:val="99"/>
    <w:semiHidden/>
    <w:rsid w:val="00E66A09"/>
    <w:rPr>
      <w:rFonts w:ascii="Courier New" w:hAnsi="Courier New" w:cs="Courier New"/>
      <w:lang w:eastAsia="ar-SA"/>
    </w:rPr>
  </w:style>
  <w:style w:type="paragraph" w:styleId="ad">
    <w:name w:val="Balloon Text"/>
    <w:basedOn w:val="a"/>
    <w:link w:val="ae"/>
    <w:uiPriority w:val="99"/>
    <w:semiHidden/>
    <w:unhideWhenUsed/>
    <w:rsid w:val="00173527"/>
    <w:rPr>
      <w:sz w:val="18"/>
      <w:szCs w:val="18"/>
    </w:rPr>
  </w:style>
  <w:style w:type="character" w:customStyle="1" w:styleId="ae">
    <w:name w:val="批注框文本 字符"/>
    <w:link w:val="ad"/>
    <w:uiPriority w:val="99"/>
    <w:semiHidden/>
    <w:rsid w:val="00173527"/>
    <w:rPr>
      <w:sz w:val="18"/>
      <w:szCs w:val="18"/>
      <w:lang w:val="it-IT" w:eastAsia="it-IT"/>
    </w:rPr>
  </w:style>
  <w:style w:type="character" w:styleId="af">
    <w:name w:val="annotation reference"/>
    <w:uiPriority w:val="99"/>
    <w:unhideWhenUsed/>
    <w:qFormat/>
    <w:rsid w:val="00B71BBB"/>
    <w:rPr>
      <w:sz w:val="21"/>
      <w:szCs w:val="21"/>
    </w:rPr>
  </w:style>
  <w:style w:type="paragraph" w:styleId="af0">
    <w:name w:val="annotation text"/>
    <w:basedOn w:val="a"/>
    <w:link w:val="af1"/>
    <w:uiPriority w:val="99"/>
    <w:semiHidden/>
    <w:unhideWhenUsed/>
    <w:rsid w:val="00B71BBB"/>
  </w:style>
  <w:style w:type="character" w:customStyle="1" w:styleId="af1">
    <w:name w:val="批注文字 字符"/>
    <w:link w:val="af0"/>
    <w:uiPriority w:val="99"/>
    <w:semiHidden/>
    <w:rsid w:val="00B71BBB"/>
    <w:rPr>
      <w:sz w:val="24"/>
      <w:szCs w:val="24"/>
      <w:lang w:val="it-IT" w:eastAsia="it-IT"/>
    </w:rPr>
  </w:style>
  <w:style w:type="paragraph" w:styleId="af2">
    <w:name w:val="annotation subject"/>
    <w:basedOn w:val="af0"/>
    <w:next w:val="af0"/>
    <w:link w:val="af3"/>
    <w:uiPriority w:val="99"/>
    <w:semiHidden/>
    <w:unhideWhenUsed/>
    <w:rsid w:val="00B71BBB"/>
    <w:rPr>
      <w:b/>
      <w:bCs/>
    </w:rPr>
  </w:style>
  <w:style w:type="character" w:customStyle="1" w:styleId="af3">
    <w:name w:val="批注主题 字符"/>
    <w:link w:val="af2"/>
    <w:uiPriority w:val="99"/>
    <w:semiHidden/>
    <w:rsid w:val="00B71BBB"/>
    <w:rPr>
      <w:b/>
      <w:bCs/>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43875">
      <w:bodyDiv w:val="1"/>
      <w:marLeft w:val="0"/>
      <w:marRight w:val="0"/>
      <w:marTop w:val="0"/>
      <w:marBottom w:val="0"/>
      <w:divBdr>
        <w:top w:val="none" w:sz="0" w:space="0" w:color="auto"/>
        <w:left w:val="none" w:sz="0" w:space="0" w:color="auto"/>
        <w:bottom w:val="none" w:sz="0" w:space="0" w:color="auto"/>
        <w:right w:val="none" w:sz="0" w:space="0" w:color="auto"/>
      </w:divBdr>
    </w:div>
    <w:div w:id="223759724">
      <w:bodyDiv w:val="1"/>
      <w:marLeft w:val="0"/>
      <w:marRight w:val="0"/>
      <w:marTop w:val="0"/>
      <w:marBottom w:val="0"/>
      <w:divBdr>
        <w:top w:val="none" w:sz="0" w:space="0" w:color="auto"/>
        <w:left w:val="none" w:sz="0" w:space="0" w:color="auto"/>
        <w:bottom w:val="none" w:sz="0" w:space="0" w:color="auto"/>
        <w:right w:val="none" w:sz="0" w:space="0" w:color="auto"/>
      </w:divBdr>
    </w:div>
    <w:div w:id="375200025">
      <w:bodyDiv w:val="1"/>
      <w:marLeft w:val="0"/>
      <w:marRight w:val="0"/>
      <w:marTop w:val="0"/>
      <w:marBottom w:val="0"/>
      <w:divBdr>
        <w:top w:val="none" w:sz="0" w:space="0" w:color="auto"/>
        <w:left w:val="none" w:sz="0" w:space="0" w:color="auto"/>
        <w:bottom w:val="none" w:sz="0" w:space="0" w:color="auto"/>
        <w:right w:val="none" w:sz="0" w:space="0" w:color="auto"/>
      </w:divBdr>
    </w:div>
    <w:div w:id="533151694">
      <w:bodyDiv w:val="1"/>
      <w:marLeft w:val="0"/>
      <w:marRight w:val="0"/>
      <w:marTop w:val="0"/>
      <w:marBottom w:val="0"/>
      <w:divBdr>
        <w:top w:val="none" w:sz="0" w:space="0" w:color="auto"/>
        <w:left w:val="none" w:sz="0" w:space="0" w:color="auto"/>
        <w:bottom w:val="none" w:sz="0" w:space="0" w:color="auto"/>
        <w:right w:val="none" w:sz="0" w:space="0" w:color="auto"/>
      </w:divBdr>
    </w:div>
    <w:div w:id="675034204">
      <w:bodyDiv w:val="1"/>
      <w:marLeft w:val="0"/>
      <w:marRight w:val="0"/>
      <w:marTop w:val="0"/>
      <w:marBottom w:val="0"/>
      <w:divBdr>
        <w:top w:val="none" w:sz="0" w:space="0" w:color="auto"/>
        <w:left w:val="none" w:sz="0" w:space="0" w:color="auto"/>
        <w:bottom w:val="none" w:sz="0" w:space="0" w:color="auto"/>
        <w:right w:val="none" w:sz="0" w:space="0" w:color="auto"/>
      </w:divBdr>
    </w:div>
    <w:div w:id="750469033">
      <w:bodyDiv w:val="1"/>
      <w:marLeft w:val="0"/>
      <w:marRight w:val="0"/>
      <w:marTop w:val="0"/>
      <w:marBottom w:val="0"/>
      <w:divBdr>
        <w:top w:val="none" w:sz="0" w:space="0" w:color="auto"/>
        <w:left w:val="none" w:sz="0" w:space="0" w:color="auto"/>
        <w:bottom w:val="none" w:sz="0" w:space="0" w:color="auto"/>
        <w:right w:val="none" w:sz="0" w:space="0" w:color="auto"/>
      </w:divBdr>
    </w:div>
    <w:div w:id="757992206">
      <w:bodyDiv w:val="1"/>
      <w:marLeft w:val="0"/>
      <w:marRight w:val="0"/>
      <w:marTop w:val="0"/>
      <w:marBottom w:val="0"/>
      <w:divBdr>
        <w:top w:val="none" w:sz="0" w:space="0" w:color="auto"/>
        <w:left w:val="none" w:sz="0" w:space="0" w:color="auto"/>
        <w:bottom w:val="none" w:sz="0" w:space="0" w:color="auto"/>
        <w:right w:val="none" w:sz="0" w:space="0" w:color="auto"/>
      </w:divBdr>
    </w:div>
    <w:div w:id="925066707">
      <w:bodyDiv w:val="1"/>
      <w:marLeft w:val="0"/>
      <w:marRight w:val="0"/>
      <w:marTop w:val="0"/>
      <w:marBottom w:val="0"/>
      <w:divBdr>
        <w:top w:val="none" w:sz="0" w:space="0" w:color="auto"/>
        <w:left w:val="none" w:sz="0" w:space="0" w:color="auto"/>
        <w:bottom w:val="none" w:sz="0" w:space="0" w:color="auto"/>
        <w:right w:val="none" w:sz="0" w:space="0" w:color="auto"/>
      </w:divBdr>
    </w:div>
    <w:div w:id="1232499286">
      <w:bodyDiv w:val="1"/>
      <w:marLeft w:val="0"/>
      <w:marRight w:val="0"/>
      <w:marTop w:val="0"/>
      <w:marBottom w:val="0"/>
      <w:divBdr>
        <w:top w:val="none" w:sz="0" w:space="0" w:color="auto"/>
        <w:left w:val="none" w:sz="0" w:space="0" w:color="auto"/>
        <w:bottom w:val="none" w:sz="0" w:space="0" w:color="auto"/>
        <w:right w:val="none" w:sz="0" w:space="0" w:color="auto"/>
      </w:divBdr>
    </w:div>
    <w:div w:id="1283927542">
      <w:bodyDiv w:val="1"/>
      <w:marLeft w:val="0"/>
      <w:marRight w:val="0"/>
      <w:marTop w:val="0"/>
      <w:marBottom w:val="0"/>
      <w:divBdr>
        <w:top w:val="none" w:sz="0" w:space="0" w:color="auto"/>
        <w:left w:val="none" w:sz="0" w:space="0" w:color="auto"/>
        <w:bottom w:val="none" w:sz="0" w:space="0" w:color="auto"/>
        <w:right w:val="none" w:sz="0" w:space="0" w:color="auto"/>
      </w:divBdr>
    </w:div>
    <w:div w:id="1375304140">
      <w:bodyDiv w:val="1"/>
      <w:marLeft w:val="0"/>
      <w:marRight w:val="0"/>
      <w:marTop w:val="0"/>
      <w:marBottom w:val="0"/>
      <w:divBdr>
        <w:top w:val="none" w:sz="0" w:space="0" w:color="auto"/>
        <w:left w:val="none" w:sz="0" w:space="0" w:color="auto"/>
        <w:bottom w:val="none" w:sz="0" w:space="0" w:color="auto"/>
        <w:right w:val="none" w:sz="0" w:space="0" w:color="auto"/>
      </w:divBdr>
    </w:div>
    <w:div w:id="1470201287">
      <w:bodyDiv w:val="1"/>
      <w:marLeft w:val="0"/>
      <w:marRight w:val="0"/>
      <w:marTop w:val="0"/>
      <w:marBottom w:val="0"/>
      <w:divBdr>
        <w:top w:val="none" w:sz="0" w:space="0" w:color="auto"/>
        <w:left w:val="none" w:sz="0" w:space="0" w:color="auto"/>
        <w:bottom w:val="none" w:sz="0" w:space="0" w:color="auto"/>
        <w:right w:val="none" w:sz="0" w:space="0" w:color="auto"/>
      </w:divBdr>
    </w:div>
    <w:div w:id="1550067874">
      <w:bodyDiv w:val="1"/>
      <w:marLeft w:val="0"/>
      <w:marRight w:val="0"/>
      <w:marTop w:val="0"/>
      <w:marBottom w:val="0"/>
      <w:divBdr>
        <w:top w:val="none" w:sz="0" w:space="0" w:color="auto"/>
        <w:left w:val="none" w:sz="0" w:space="0" w:color="auto"/>
        <w:bottom w:val="none" w:sz="0" w:space="0" w:color="auto"/>
        <w:right w:val="none" w:sz="0" w:space="0" w:color="auto"/>
      </w:divBdr>
    </w:div>
    <w:div w:id="1900436342">
      <w:bodyDiv w:val="1"/>
      <w:marLeft w:val="0"/>
      <w:marRight w:val="0"/>
      <w:marTop w:val="0"/>
      <w:marBottom w:val="0"/>
      <w:divBdr>
        <w:top w:val="none" w:sz="0" w:space="0" w:color="auto"/>
        <w:left w:val="none" w:sz="0" w:space="0" w:color="auto"/>
        <w:bottom w:val="none" w:sz="0" w:space="0" w:color="auto"/>
        <w:right w:val="none" w:sz="0" w:space="0" w:color="auto"/>
      </w:divBdr>
    </w:div>
    <w:div w:id="212665816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lorenzo.ridola@uniroma1.it"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x.doi.org/10.3748/wjg.v26.i15.1726"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91EE9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4267</Words>
  <Characters>24326</Characters>
  <Application>Microsoft Office Word</Application>
  <DocSecurity>0</DocSecurity>
  <Lines>202</Lines>
  <Paragraphs>57</Paragraphs>
  <ScaleCrop>false</ScaleCrop>
  <HeadingPairs>
    <vt:vector size="2" baseType="variant">
      <vt:variant>
        <vt:lpstr>Titolo</vt:lpstr>
      </vt:variant>
      <vt:variant>
        <vt:i4>1</vt:i4>
      </vt:variant>
    </vt:vector>
  </HeadingPairs>
  <TitlesOfParts>
    <vt:vector size="1" baseType="lpstr">
      <vt:lpstr>CLINICAL EFFICACY OF TIPS CREATED WITH COVERED STENTS WITH DIFFERENT DIAMETER: RESULTS OF A RANDOMIZED CONTROLLED TRIAL</vt:lpstr>
    </vt:vector>
  </TitlesOfParts>
  <Company/>
  <LinksUpToDate>false</LinksUpToDate>
  <CharactersWithSpaces>28536</CharactersWithSpaces>
  <SharedDoc>false</SharedDoc>
  <HLinks>
    <vt:vector size="12" baseType="variant">
      <vt:variant>
        <vt:i4>7536766</vt:i4>
      </vt:variant>
      <vt:variant>
        <vt:i4>3</vt:i4>
      </vt:variant>
      <vt:variant>
        <vt:i4>0</vt:i4>
      </vt:variant>
      <vt:variant>
        <vt:i4>5</vt:i4>
      </vt:variant>
      <vt:variant>
        <vt:lpwstr>https://dx.doi.org/10.3748/wjg.v26.i15.1726</vt:lpwstr>
      </vt:variant>
      <vt:variant>
        <vt:lpwstr/>
      </vt:variant>
      <vt:variant>
        <vt:i4>7209039</vt:i4>
      </vt:variant>
      <vt:variant>
        <vt:i4>0</vt:i4>
      </vt:variant>
      <vt:variant>
        <vt:i4>0</vt:i4>
      </vt:variant>
      <vt:variant>
        <vt:i4>5</vt:i4>
      </vt:variant>
      <vt:variant>
        <vt:lpwstr>mailto:lorenzo.ridola@uniroma1.it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EFFICACY OF TIPS CREATED WITH COVERED STENTS WITH DIFFERENT DIAMETER: RESULTS OF A RANDOMIZED CONTROLLED TRIAL</dc:title>
  <dc:creator>Stefy</dc:creator>
  <cp:lastModifiedBy>Lenovo</cp:lastModifiedBy>
  <cp:revision>2</cp:revision>
  <cp:lastPrinted>2016-02-15T05:50:00Z</cp:lastPrinted>
  <dcterms:created xsi:type="dcterms:W3CDTF">2020-04-20T07:05:00Z</dcterms:created>
  <dcterms:modified xsi:type="dcterms:W3CDTF">2020-04-20T07:05:00Z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