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AA" w:rsidRPr="00756DC7" w:rsidRDefault="000428AA" w:rsidP="001E7706">
      <w:pPr>
        <w:adjustRightInd w:val="0"/>
        <w:snapToGrid w:val="0"/>
        <w:spacing w:line="360" w:lineRule="auto"/>
        <w:rPr>
          <w:rFonts w:ascii="Book Antiqua" w:eastAsia="Times New Roman" w:hAnsi="Book Antiqua" w:cs="宋体"/>
          <w:i/>
          <w:color w:val="000000"/>
          <w:sz w:val="24"/>
        </w:rPr>
      </w:pPr>
      <w:r w:rsidRPr="00756DC7">
        <w:rPr>
          <w:rFonts w:ascii="Book Antiqua" w:eastAsia="Times New Roman" w:hAnsi="Book Antiqua" w:cs="宋体"/>
          <w:b/>
          <w:color w:val="000000"/>
          <w:sz w:val="24"/>
        </w:rPr>
        <w:t xml:space="preserve">Name of Journal: </w:t>
      </w:r>
      <w:r w:rsidRPr="00756DC7">
        <w:rPr>
          <w:rFonts w:ascii="Book Antiqua" w:eastAsia="Times New Roman" w:hAnsi="Book Antiqua" w:cs="宋体"/>
          <w:bCs/>
          <w:i/>
          <w:iCs/>
          <w:color w:val="000000"/>
          <w:sz w:val="24"/>
        </w:rPr>
        <w:t>World Journal of Gastroenterology</w:t>
      </w:r>
    </w:p>
    <w:p w:rsidR="000428AA" w:rsidRPr="00756DC7" w:rsidRDefault="000428AA" w:rsidP="001E7706">
      <w:pPr>
        <w:adjustRightInd w:val="0"/>
        <w:snapToGrid w:val="0"/>
        <w:spacing w:line="360" w:lineRule="auto"/>
        <w:rPr>
          <w:rFonts w:ascii="Book Antiqua" w:hAnsi="Book Antiqua" w:cs="Arial"/>
          <w:color w:val="000000"/>
          <w:sz w:val="24"/>
          <w:lang w:val="en"/>
        </w:rPr>
      </w:pPr>
      <w:bookmarkStart w:id="0" w:name="_Hlk5632321"/>
      <w:r w:rsidRPr="00756DC7">
        <w:rPr>
          <w:rFonts w:ascii="Book Antiqua" w:eastAsia="Times New Roman" w:hAnsi="Book Antiqua"/>
          <w:b/>
          <w:bCs/>
          <w:color w:val="000000"/>
          <w:sz w:val="24"/>
        </w:rPr>
        <w:t>Manuscript NO</w:t>
      </w:r>
      <w:r w:rsidRPr="00756DC7">
        <w:rPr>
          <w:rFonts w:ascii="Book Antiqua" w:hAnsi="Book Antiqua" w:cs="Arial"/>
          <w:b/>
          <w:color w:val="000000"/>
          <w:sz w:val="24"/>
          <w:lang w:val="en"/>
        </w:rPr>
        <w:t xml:space="preserve">: </w:t>
      </w:r>
      <w:r w:rsidRPr="00756DC7">
        <w:rPr>
          <w:rFonts w:ascii="Book Antiqua" w:hAnsi="Book Antiqua" w:cs="Arial"/>
          <w:bCs/>
          <w:color w:val="000000"/>
          <w:sz w:val="24"/>
          <w:lang w:val="en"/>
        </w:rPr>
        <w:t>56247</w:t>
      </w:r>
    </w:p>
    <w:bookmarkEnd w:id="0"/>
    <w:p w:rsidR="000428AA" w:rsidRPr="00756DC7" w:rsidRDefault="000428AA" w:rsidP="001E7706">
      <w:pPr>
        <w:adjustRightInd w:val="0"/>
        <w:snapToGrid w:val="0"/>
        <w:spacing w:line="360" w:lineRule="auto"/>
        <w:rPr>
          <w:rFonts w:ascii="Book Antiqua" w:hAnsi="Book Antiqua"/>
          <w:color w:val="000000"/>
          <w:sz w:val="24"/>
        </w:rPr>
      </w:pPr>
      <w:r w:rsidRPr="00756DC7">
        <w:rPr>
          <w:rFonts w:ascii="Book Antiqua" w:hAnsi="Book Antiqua"/>
          <w:b/>
          <w:color w:val="000000"/>
          <w:sz w:val="24"/>
          <w:shd w:val="clear" w:color="auto" w:fill="FFFFFF"/>
        </w:rPr>
        <w:t>Manuscript Type</w:t>
      </w:r>
      <w:r w:rsidRPr="00756DC7">
        <w:rPr>
          <w:rFonts w:ascii="Book Antiqua" w:hAnsi="Book Antiqua"/>
          <w:b/>
          <w:color w:val="000000"/>
          <w:sz w:val="24"/>
        </w:rPr>
        <w:t xml:space="preserve">: </w:t>
      </w:r>
      <w:r w:rsidRPr="00756DC7">
        <w:rPr>
          <w:rFonts w:ascii="Book Antiqua" w:hAnsi="Book Antiqua"/>
          <w:bCs/>
          <w:color w:val="000000"/>
          <w:sz w:val="24"/>
        </w:rPr>
        <w:t>OPINION REVIEW</w:t>
      </w:r>
    </w:p>
    <w:p w:rsidR="000428AA" w:rsidRPr="00756DC7" w:rsidRDefault="000428AA" w:rsidP="001E7706">
      <w:pPr>
        <w:adjustRightInd w:val="0"/>
        <w:snapToGrid w:val="0"/>
        <w:spacing w:line="360" w:lineRule="auto"/>
        <w:rPr>
          <w:rFonts w:ascii="Book Antiqua" w:hAnsi="Book Antiqua"/>
          <w:b/>
          <w:bCs/>
          <w:color w:val="000000"/>
          <w:sz w:val="24"/>
        </w:rPr>
      </w:pPr>
    </w:p>
    <w:p w:rsidR="00341B5A" w:rsidRPr="00756DC7" w:rsidRDefault="00687F14" w:rsidP="001E7706">
      <w:pPr>
        <w:adjustRightInd w:val="0"/>
        <w:snapToGrid w:val="0"/>
        <w:spacing w:line="360" w:lineRule="auto"/>
        <w:rPr>
          <w:rFonts w:ascii="Book Antiqua" w:hAnsi="Book Antiqua"/>
          <w:b/>
          <w:bCs/>
          <w:color w:val="000000"/>
          <w:sz w:val="24"/>
        </w:rPr>
      </w:pPr>
      <w:r w:rsidRPr="00756DC7">
        <w:rPr>
          <w:rFonts w:ascii="Book Antiqua" w:hAnsi="Book Antiqua"/>
          <w:b/>
          <w:bCs/>
          <w:color w:val="000000"/>
          <w:sz w:val="24"/>
        </w:rPr>
        <w:t xml:space="preserve">Liver </w:t>
      </w:r>
      <w:r w:rsidR="00922F5A" w:rsidRPr="00756DC7">
        <w:rPr>
          <w:rFonts w:ascii="Book Antiqua" w:hAnsi="Book Antiqua"/>
          <w:b/>
          <w:bCs/>
          <w:color w:val="000000"/>
          <w:sz w:val="24"/>
        </w:rPr>
        <w:t>d</w:t>
      </w:r>
      <w:r w:rsidRPr="00756DC7">
        <w:rPr>
          <w:rFonts w:ascii="Book Antiqua" w:hAnsi="Book Antiqua"/>
          <w:b/>
          <w:bCs/>
          <w:color w:val="000000"/>
          <w:sz w:val="24"/>
        </w:rPr>
        <w:t xml:space="preserve">iseases in COVID-19: Etiology, </w:t>
      </w:r>
      <w:r w:rsidR="00922F5A" w:rsidRPr="00756DC7">
        <w:rPr>
          <w:rFonts w:ascii="Book Antiqua" w:hAnsi="Book Antiqua"/>
          <w:b/>
          <w:bCs/>
          <w:color w:val="000000"/>
          <w:sz w:val="24"/>
        </w:rPr>
        <w:t>t</w:t>
      </w:r>
      <w:r w:rsidRPr="00756DC7">
        <w:rPr>
          <w:rFonts w:ascii="Book Antiqua" w:hAnsi="Book Antiqua"/>
          <w:b/>
          <w:bCs/>
          <w:color w:val="000000"/>
          <w:sz w:val="24"/>
        </w:rPr>
        <w:t xml:space="preserve">reatment and </w:t>
      </w:r>
      <w:r w:rsidR="00922F5A" w:rsidRPr="00756DC7">
        <w:rPr>
          <w:rFonts w:ascii="Book Antiqua" w:hAnsi="Book Antiqua"/>
          <w:b/>
          <w:bCs/>
          <w:color w:val="000000"/>
          <w:sz w:val="24"/>
        </w:rPr>
        <w:t>p</w:t>
      </w:r>
      <w:r w:rsidRPr="00756DC7">
        <w:rPr>
          <w:rFonts w:ascii="Book Antiqua" w:hAnsi="Book Antiqua"/>
          <w:b/>
          <w:bCs/>
          <w:color w:val="000000"/>
          <w:sz w:val="24"/>
        </w:rPr>
        <w:t>rognosis</w:t>
      </w:r>
    </w:p>
    <w:p w:rsidR="004D7A02" w:rsidRPr="00756DC7" w:rsidRDefault="004D7A02" w:rsidP="001E7706">
      <w:pPr>
        <w:adjustRightInd w:val="0"/>
        <w:snapToGrid w:val="0"/>
        <w:spacing w:line="360" w:lineRule="auto"/>
        <w:rPr>
          <w:rFonts w:ascii="Book Antiqua" w:hAnsi="Book Antiqua"/>
          <w:color w:val="000000"/>
          <w:sz w:val="24"/>
          <w:lang w:bidi="ar"/>
        </w:rPr>
      </w:pPr>
      <w:bookmarkStart w:id="1" w:name="_Hlk38034249"/>
    </w:p>
    <w:p w:rsidR="004D7A02" w:rsidRPr="00756DC7" w:rsidRDefault="004D7A02" w:rsidP="001E7706">
      <w:pPr>
        <w:adjustRightInd w:val="0"/>
        <w:snapToGrid w:val="0"/>
        <w:spacing w:line="360" w:lineRule="auto"/>
        <w:rPr>
          <w:rFonts w:ascii="Book Antiqua" w:hAnsi="Book Antiqua"/>
          <w:color w:val="000000"/>
          <w:sz w:val="24"/>
          <w:lang w:bidi="ar"/>
        </w:rPr>
      </w:pPr>
      <w:r w:rsidRPr="00756DC7">
        <w:rPr>
          <w:rFonts w:ascii="Book Antiqua" w:hAnsi="Book Antiqua"/>
          <w:color w:val="000000"/>
          <w:sz w:val="24"/>
          <w:lang w:bidi="ar"/>
        </w:rPr>
        <w:t>Wu J</w:t>
      </w:r>
      <w:r w:rsidRPr="00756DC7">
        <w:rPr>
          <w:rFonts w:ascii="Book Antiqua" w:hAnsi="Book Antiqua"/>
          <w:i/>
          <w:color w:val="000000"/>
          <w:sz w:val="24"/>
          <w:lang w:bidi="ar"/>
        </w:rPr>
        <w:t xml:space="preserve"> et al</w:t>
      </w:r>
      <w:r w:rsidRPr="00756DC7">
        <w:rPr>
          <w:rFonts w:ascii="Book Antiqua" w:hAnsi="Book Antiqua"/>
          <w:color w:val="000000"/>
          <w:sz w:val="24"/>
          <w:lang w:bidi="ar"/>
        </w:rPr>
        <w:t>. Liver diseases in COVID-19</w:t>
      </w:r>
    </w:p>
    <w:p w:rsidR="004D7A02" w:rsidRPr="00756DC7" w:rsidRDefault="004D7A02" w:rsidP="001E7706">
      <w:pPr>
        <w:adjustRightInd w:val="0"/>
        <w:snapToGrid w:val="0"/>
        <w:spacing w:line="360" w:lineRule="auto"/>
        <w:rPr>
          <w:rFonts w:ascii="Book Antiqua" w:hAnsi="Book Antiqua"/>
          <w:color w:val="000000"/>
          <w:sz w:val="24"/>
          <w:lang w:bidi="ar"/>
        </w:rPr>
      </w:pPr>
    </w:p>
    <w:p w:rsidR="007A0FAD" w:rsidRPr="00756DC7" w:rsidRDefault="007A0FAD" w:rsidP="001E7706">
      <w:pPr>
        <w:adjustRightInd w:val="0"/>
        <w:snapToGrid w:val="0"/>
        <w:spacing w:line="360" w:lineRule="auto"/>
        <w:rPr>
          <w:rFonts w:ascii="Book Antiqua" w:hAnsi="Book Antiqua"/>
          <w:color w:val="000000"/>
          <w:sz w:val="24"/>
          <w:lang w:bidi="ar"/>
        </w:rPr>
      </w:pPr>
      <w:r w:rsidRPr="00756DC7">
        <w:rPr>
          <w:rFonts w:ascii="Book Antiqua" w:hAnsi="Book Antiqua"/>
          <w:color w:val="000000"/>
          <w:sz w:val="24"/>
          <w:lang w:bidi="ar"/>
        </w:rPr>
        <w:t>Jian Wu, Shu Song</w:t>
      </w:r>
      <w:bookmarkStart w:id="2" w:name="_Hlk534451561"/>
      <w:r w:rsidR="00331FF5" w:rsidRPr="00756DC7">
        <w:rPr>
          <w:rFonts w:ascii="Book Antiqua" w:hAnsi="Book Antiqua"/>
          <w:color w:val="000000"/>
          <w:sz w:val="24"/>
          <w:lang w:bidi="ar"/>
        </w:rPr>
        <w:t xml:space="preserve">, </w:t>
      </w:r>
      <w:r w:rsidRPr="00756DC7">
        <w:rPr>
          <w:rFonts w:ascii="Book Antiqua" w:hAnsi="Book Antiqua"/>
          <w:color w:val="000000"/>
          <w:sz w:val="24"/>
          <w:lang w:bidi="ar"/>
        </w:rPr>
        <w:t>Hong</w:t>
      </w:r>
      <w:r w:rsidR="004D7A02" w:rsidRPr="00756DC7">
        <w:rPr>
          <w:rFonts w:ascii="Book Antiqua" w:hAnsi="Book Antiqua"/>
          <w:color w:val="000000"/>
          <w:sz w:val="24"/>
          <w:lang w:bidi="ar"/>
        </w:rPr>
        <w:t xml:space="preserve">-Cui </w:t>
      </w:r>
      <w:r w:rsidRPr="00756DC7">
        <w:rPr>
          <w:rFonts w:ascii="Book Antiqua" w:hAnsi="Book Antiqua"/>
          <w:color w:val="000000"/>
          <w:sz w:val="24"/>
          <w:lang w:bidi="ar"/>
        </w:rPr>
        <w:t>Cao</w:t>
      </w:r>
      <w:bookmarkEnd w:id="2"/>
      <w:r w:rsidRPr="00756DC7">
        <w:rPr>
          <w:rFonts w:ascii="Book Antiqua" w:hAnsi="Book Antiqua"/>
          <w:color w:val="000000"/>
          <w:sz w:val="24"/>
          <w:lang w:bidi="ar"/>
        </w:rPr>
        <w:t>, Lan</w:t>
      </w:r>
      <w:r w:rsidR="004D7A02" w:rsidRPr="00756DC7">
        <w:rPr>
          <w:rFonts w:ascii="Book Antiqua" w:hAnsi="Book Antiqua"/>
          <w:color w:val="000000"/>
          <w:sz w:val="24"/>
          <w:lang w:bidi="ar"/>
        </w:rPr>
        <w:t xml:space="preserve">-Juan </w:t>
      </w:r>
      <w:r w:rsidRPr="00756DC7">
        <w:rPr>
          <w:rFonts w:ascii="Book Antiqua" w:hAnsi="Book Antiqua"/>
          <w:color w:val="000000"/>
          <w:sz w:val="24"/>
          <w:lang w:bidi="ar"/>
        </w:rPr>
        <w:t>Li</w:t>
      </w:r>
    </w:p>
    <w:bookmarkEnd w:id="1"/>
    <w:p w:rsidR="004D7A02" w:rsidRPr="00756DC7" w:rsidRDefault="004D7A02" w:rsidP="001E7706">
      <w:pPr>
        <w:adjustRightInd w:val="0"/>
        <w:snapToGrid w:val="0"/>
        <w:spacing w:line="360" w:lineRule="auto"/>
        <w:rPr>
          <w:rFonts w:ascii="Book Antiqua" w:hAnsi="Book Antiqua"/>
          <w:color w:val="000000"/>
          <w:sz w:val="24"/>
          <w:vertAlign w:val="superscript"/>
          <w:lang w:bidi="ar"/>
        </w:rPr>
      </w:pPr>
    </w:p>
    <w:p w:rsidR="007A0FAD" w:rsidRPr="00756DC7" w:rsidRDefault="00003077" w:rsidP="001E7706">
      <w:pPr>
        <w:adjustRightInd w:val="0"/>
        <w:snapToGrid w:val="0"/>
        <w:spacing w:line="360" w:lineRule="auto"/>
        <w:rPr>
          <w:rFonts w:ascii="Book Antiqua" w:hAnsi="Book Antiqua"/>
          <w:color w:val="000000"/>
          <w:sz w:val="24"/>
          <w:lang w:bidi="ar"/>
        </w:rPr>
      </w:pPr>
      <w:r w:rsidRPr="00756DC7">
        <w:rPr>
          <w:rFonts w:ascii="Book Antiqua" w:hAnsi="Book Antiqua"/>
          <w:b/>
          <w:color w:val="000000"/>
          <w:sz w:val="24"/>
          <w:lang w:bidi="ar"/>
        </w:rPr>
        <w:t xml:space="preserve">Jian Wu, Hong-Cui Cao, Lan-Juan Li, </w:t>
      </w:r>
      <w:r w:rsidR="007A0FAD" w:rsidRPr="00756DC7">
        <w:rPr>
          <w:rFonts w:ascii="Book Antiqua" w:hAnsi="Book Antiqua"/>
          <w:color w:val="000000"/>
          <w:sz w:val="24"/>
          <w:lang w:bidi="ar"/>
        </w:rPr>
        <w:t xml:space="preserve">State Key Laboratory for the Diagnosis and Treatment of Infectious Diseases, National Clinical Research Center for Infectious Diseases, The First Affiliated Hospital, College of Medicine, Zhejiang University, </w:t>
      </w:r>
      <w:r w:rsidRPr="00756DC7">
        <w:rPr>
          <w:rFonts w:ascii="Book Antiqua" w:hAnsi="Book Antiqua"/>
          <w:color w:val="000000"/>
          <w:sz w:val="24"/>
          <w:lang w:bidi="ar"/>
        </w:rPr>
        <w:t>Hangzhou 310003, Zhejiang Province, China</w:t>
      </w:r>
    </w:p>
    <w:p w:rsidR="00003077" w:rsidRPr="00756DC7" w:rsidRDefault="00003077" w:rsidP="001E7706">
      <w:pPr>
        <w:adjustRightInd w:val="0"/>
        <w:snapToGrid w:val="0"/>
        <w:spacing w:line="360" w:lineRule="auto"/>
        <w:rPr>
          <w:rFonts w:ascii="Book Antiqua" w:hAnsi="Book Antiqua"/>
          <w:sz w:val="24"/>
        </w:rPr>
      </w:pPr>
    </w:p>
    <w:p w:rsidR="007A0FAD" w:rsidRPr="00756DC7" w:rsidRDefault="00003077" w:rsidP="001E7706">
      <w:pPr>
        <w:adjustRightInd w:val="0"/>
        <w:snapToGrid w:val="0"/>
        <w:spacing w:line="360" w:lineRule="auto"/>
        <w:rPr>
          <w:rFonts w:ascii="Book Antiqua" w:hAnsi="Book Antiqua"/>
          <w:color w:val="000000"/>
          <w:sz w:val="24"/>
          <w:lang w:bidi="ar"/>
        </w:rPr>
      </w:pPr>
      <w:r w:rsidRPr="00756DC7">
        <w:rPr>
          <w:rFonts w:ascii="Book Antiqua" w:hAnsi="Book Antiqua"/>
          <w:b/>
          <w:color w:val="000000"/>
          <w:sz w:val="24"/>
          <w:lang w:bidi="ar"/>
        </w:rPr>
        <w:t>Jian Wu,</w:t>
      </w:r>
      <w:r w:rsidRPr="00756DC7">
        <w:rPr>
          <w:rFonts w:ascii="Book Antiqua" w:hAnsi="Book Antiqua"/>
          <w:color w:val="000000"/>
          <w:sz w:val="24"/>
          <w:lang w:bidi="ar"/>
        </w:rPr>
        <w:t xml:space="preserve"> </w:t>
      </w:r>
      <w:r w:rsidR="007A0FAD" w:rsidRPr="00756DC7">
        <w:rPr>
          <w:rFonts w:ascii="Book Antiqua" w:hAnsi="Book Antiqua"/>
          <w:color w:val="000000"/>
          <w:sz w:val="24"/>
          <w:lang w:bidi="ar"/>
        </w:rPr>
        <w:t xml:space="preserve">Department of Laboratory Medicine, The Third People’s Hospital of </w:t>
      </w:r>
      <w:proofErr w:type="spellStart"/>
      <w:r w:rsidR="007A0FAD" w:rsidRPr="00756DC7">
        <w:rPr>
          <w:rFonts w:ascii="Book Antiqua" w:hAnsi="Book Antiqua"/>
          <w:color w:val="000000"/>
          <w:sz w:val="24"/>
          <w:lang w:bidi="ar"/>
        </w:rPr>
        <w:t>Yanche</w:t>
      </w:r>
      <w:r w:rsidRPr="00756DC7">
        <w:rPr>
          <w:rFonts w:ascii="Book Antiqua" w:hAnsi="Book Antiqua"/>
          <w:color w:val="000000"/>
          <w:sz w:val="24"/>
          <w:lang w:bidi="ar"/>
        </w:rPr>
        <w:t>ng</w:t>
      </w:r>
      <w:proofErr w:type="spellEnd"/>
      <w:r w:rsidRPr="00756DC7">
        <w:rPr>
          <w:rFonts w:ascii="Book Antiqua" w:hAnsi="Book Antiqua"/>
          <w:color w:val="000000"/>
          <w:sz w:val="24"/>
          <w:lang w:bidi="ar"/>
        </w:rPr>
        <w:t xml:space="preserve"> City, </w:t>
      </w:r>
      <w:proofErr w:type="spellStart"/>
      <w:r w:rsidRPr="00756DC7">
        <w:rPr>
          <w:rFonts w:ascii="Book Antiqua" w:hAnsi="Book Antiqua"/>
          <w:color w:val="000000"/>
          <w:sz w:val="24"/>
          <w:lang w:bidi="ar"/>
        </w:rPr>
        <w:t>Yancheng</w:t>
      </w:r>
      <w:proofErr w:type="spellEnd"/>
      <w:r w:rsidRPr="00756DC7">
        <w:rPr>
          <w:rFonts w:ascii="Book Antiqua" w:hAnsi="Book Antiqua"/>
          <w:color w:val="000000"/>
          <w:sz w:val="24"/>
          <w:lang w:bidi="ar"/>
        </w:rPr>
        <w:t xml:space="preserve"> 224001, Jiangsu Province, China</w:t>
      </w:r>
    </w:p>
    <w:p w:rsidR="00003077" w:rsidRPr="00756DC7" w:rsidRDefault="00003077" w:rsidP="001E7706">
      <w:pPr>
        <w:adjustRightInd w:val="0"/>
        <w:snapToGrid w:val="0"/>
        <w:spacing w:line="360" w:lineRule="auto"/>
        <w:rPr>
          <w:rFonts w:ascii="Book Antiqua" w:hAnsi="Book Antiqua"/>
          <w:color w:val="000000"/>
          <w:sz w:val="24"/>
          <w:lang w:bidi="ar"/>
        </w:rPr>
      </w:pPr>
    </w:p>
    <w:p w:rsidR="007A0FAD" w:rsidRPr="00756DC7" w:rsidRDefault="00003077" w:rsidP="001E7706">
      <w:pPr>
        <w:adjustRightInd w:val="0"/>
        <w:snapToGrid w:val="0"/>
        <w:spacing w:line="360" w:lineRule="auto"/>
        <w:rPr>
          <w:rFonts w:ascii="Book Antiqua" w:hAnsi="Book Antiqua"/>
          <w:color w:val="000000"/>
          <w:sz w:val="24"/>
          <w:lang w:bidi="ar"/>
        </w:rPr>
      </w:pPr>
      <w:r w:rsidRPr="00756DC7">
        <w:rPr>
          <w:rFonts w:ascii="Book Antiqua" w:hAnsi="Book Antiqua"/>
          <w:b/>
          <w:color w:val="000000"/>
          <w:sz w:val="24"/>
          <w:lang w:bidi="ar"/>
        </w:rPr>
        <w:t>Shu Song,</w:t>
      </w:r>
      <w:r w:rsidRPr="00756DC7">
        <w:rPr>
          <w:rFonts w:ascii="Book Antiqua" w:hAnsi="Book Antiqua"/>
          <w:b/>
          <w:color w:val="000000"/>
          <w:sz w:val="24"/>
        </w:rPr>
        <w:t xml:space="preserve"> </w:t>
      </w:r>
      <w:r w:rsidR="007A0FAD" w:rsidRPr="00756DC7">
        <w:rPr>
          <w:rFonts w:ascii="Book Antiqua" w:hAnsi="Book Antiqua"/>
          <w:color w:val="000000"/>
          <w:sz w:val="24"/>
        </w:rPr>
        <w:t xml:space="preserve">Department of Pathology, </w:t>
      </w:r>
      <w:r w:rsidR="007A0FAD" w:rsidRPr="00756DC7">
        <w:rPr>
          <w:rFonts w:ascii="Book Antiqua" w:hAnsi="Book Antiqua"/>
          <w:color w:val="000000"/>
          <w:sz w:val="24"/>
          <w:lang w:bidi="ar"/>
        </w:rPr>
        <w:t>Shanghai Public Health Clinical Center, Fudan Univ</w:t>
      </w:r>
      <w:r w:rsidRPr="00756DC7">
        <w:rPr>
          <w:rFonts w:ascii="Book Antiqua" w:hAnsi="Book Antiqua"/>
          <w:color w:val="000000"/>
          <w:sz w:val="24"/>
          <w:lang w:bidi="ar"/>
        </w:rPr>
        <w:t>ersity, Shanghai 201508, China</w:t>
      </w:r>
    </w:p>
    <w:p w:rsidR="00003077" w:rsidRPr="00756DC7" w:rsidRDefault="00003077" w:rsidP="001E7706">
      <w:pPr>
        <w:adjustRightInd w:val="0"/>
        <w:snapToGrid w:val="0"/>
        <w:spacing w:line="360" w:lineRule="auto"/>
        <w:rPr>
          <w:rFonts w:ascii="Book Antiqua" w:hAnsi="Book Antiqua"/>
          <w:color w:val="000000"/>
          <w:sz w:val="24"/>
        </w:rPr>
      </w:pPr>
    </w:p>
    <w:p w:rsidR="007A0FAD" w:rsidRPr="00756DC7" w:rsidRDefault="00331FF5" w:rsidP="001E7706">
      <w:pPr>
        <w:adjustRightInd w:val="0"/>
        <w:snapToGrid w:val="0"/>
        <w:spacing w:line="360" w:lineRule="auto"/>
        <w:rPr>
          <w:rFonts w:ascii="Book Antiqua" w:hAnsi="Book Antiqua"/>
          <w:color w:val="000000"/>
          <w:sz w:val="24"/>
        </w:rPr>
      </w:pPr>
      <w:r w:rsidRPr="00756DC7">
        <w:rPr>
          <w:rFonts w:ascii="Book Antiqua" w:hAnsi="Book Antiqua"/>
          <w:b/>
          <w:color w:val="000000"/>
          <w:sz w:val="24"/>
          <w:lang w:bidi="ar"/>
        </w:rPr>
        <w:t>Hong-Cui Cao,</w:t>
      </w:r>
      <w:r w:rsidRPr="00756DC7">
        <w:rPr>
          <w:rFonts w:ascii="Book Antiqua" w:hAnsi="Book Antiqua"/>
          <w:b/>
          <w:color w:val="000000"/>
          <w:sz w:val="24"/>
        </w:rPr>
        <w:t xml:space="preserve"> </w:t>
      </w:r>
      <w:r w:rsidR="007A0FAD" w:rsidRPr="00756DC7">
        <w:rPr>
          <w:rFonts w:ascii="Book Antiqua" w:hAnsi="Book Antiqua"/>
          <w:color w:val="000000"/>
          <w:sz w:val="24"/>
        </w:rPr>
        <w:t xml:space="preserve">Zhejiang Provincial Key Laboratory for Diagnosis and Treatment of Aging and Physic-chemical Injury Diseases, </w:t>
      </w:r>
      <w:r w:rsidRPr="00756DC7">
        <w:rPr>
          <w:rFonts w:ascii="Book Antiqua" w:hAnsi="Book Antiqua"/>
          <w:color w:val="000000"/>
          <w:sz w:val="24"/>
        </w:rPr>
        <w:t xml:space="preserve">Hangzhou 310003, </w:t>
      </w:r>
      <w:r w:rsidRPr="00756DC7">
        <w:rPr>
          <w:rFonts w:ascii="Book Antiqua" w:hAnsi="Book Antiqua"/>
          <w:color w:val="000000"/>
          <w:sz w:val="24"/>
          <w:lang w:bidi="ar"/>
        </w:rPr>
        <w:t xml:space="preserve">Zhejiang Province, </w:t>
      </w:r>
      <w:r w:rsidRPr="00756DC7">
        <w:rPr>
          <w:rFonts w:ascii="Book Antiqua" w:hAnsi="Book Antiqua"/>
          <w:color w:val="000000"/>
          <w:sz w:val="24"/>
        </w:rPr>
        <w:t>China</w:t>
      </w:r>
    </w:p>
    <w:p w:rsidR="00331FF5" w:rsidRPr="00756DC7" w:rsidRDefault="00331FF5" w:rsidP="001E7706">
      <w:pPr>
        <w:adjustRightInd w:val="0"/>
        <w:snapToGrid w:val="0"/>
        <w:spacing w:line="360" w:lineRule="auto"/>
        <w:rPr>
          <w:rFonts w:ascii="Book Antiqua" w:hAnsi="Book Antiqua"/>
          <w:color w:val="000000"/>
          <w:sz w:val="24"/>
        </w:rPr>
      </w:pPr>
    </w:p>
    <w:p w:rsidR="00A908BF" w:rsidRPr="00756DC7" w:rsidRDefault="00A908BF" w:rsidP="001E7706">
      <w:pPr>
        <w:adjustRightInd w:val="0"/>
        <w:snapToGrid w:val="0"/>
        <w:spacing w:line="360" w:lineRule="auto"/>
        <w:rPr>
          <w:rFonts w:ascii="Book Antiqua" w:hAnsi="Book Antiqua"/>
          <w:color w:val="000000"/>
          <w:sz w:val="24"/>
        </w:rPr>
      </w:pPr>
      <w:r w:rsidRPr="00756DC7">
        <w:rPr>
          <w:rFonts w:ascii="Book Antiqua" w:hAnsi="Book Antiqua"/>
          <w:b/>
          <w:color w:val="000000"/>
          <w:sz w:val="24"/>
        </w:rPr>
        <w:t>Author contributions:</w:t>
      </w:r>
      <w:r w:rsidR="00750DDC" w:rsidRPr="00756DC7">
        <w:rPr>
          <w:rFonts w:ascii="Book Antiqua" w:hAnsi="Book Antiqua"/>
          <w:color w:val="000000"/>
          <w:sz w:val="24"/>
          <w:lang w:bidi="ar"/>
        </w:rPr>
        <w:t xml:space="preserve"> </w:t>
      </w:r>
      <w:r w:rsidRPr="00756DC7">
        <w:rPr>
          <w:rFonts w:ascii="Book Antiqua" w:hAnsi="Book Antiqua"/>
          <w:color w:val="000000"/>
          <w:sz w:val="24"/>
        </w:rPr>
        <w:t xml:space="preserve">Wu </w:t>
      </w:r>
      <w:r w:rsidR="00750DDC" w:rsidRPr="00756DC7">
        <w:rPr>
          <w:rFonts w:ascii="Book Antiqua" w:hAnsi="Book Antiqua"/>
          <w:color w:val="000000"/>
          <w:sz w:val="24"/>
        </w:rPr>
        <w:t xml:space="preserve">J </w:t>
      </w:r>
      <w:r w:rsidRPr="00756DC7">
        <w:rPr>
          <w:rFonts w:ascii="Book Antiqua" w:hAnsi="Book Antiqua"/>
          <w:color w:val="000000"/>
          <w:sz w:val="24"/>
        </w:rPr>
        <w:t xml:space="preserve">and Song </w:t>
      </w:r>
      <w:r w:rsidR="00750DDC" w:rsidRPr="00756DC7">
        <w:rPr>
          <w:rFonts w:ascii="Book Antiqua" w:hAnsi="Book Antiqua"/>
          <w:color w:val="000000"/>
          <w:sz w:val="24"/>
        </w:rPr>
        <w:t xml:space="preserve">S </w:t>
      </w:r>
      <w:r w:rsidRPr="00756DC7">
        <w:rPr>
          <w:rFonts w:ascii="Book Antiqua" w:hAnsi="Book Antiqua"/>
          <w:color w:val="000000"/>
          <w:sz w:val="24"/>
        </w:rPr>
        <w:t>wrote the manuscript</w:t>
      </w:r>
      <w:r w:rsidR="00750DDC" w:rsidRPr="00756DC7">
        <w:rPr>
          <w:rFonts w:ascii="Book Antiqua" w:hAnsi="Book Antiqua"/>
          <w:color w:val="000000"/>
          <w:sz w:val="24"/>
        </w:rPr>
        <w:t xml:space="preserve">, and </w:t>
      </w:r>
      <w:r w:rsidR="00750DDC" w:rsidRPr="00756DC7">
        <w:rPr>
          <w:rFonts w:ascii="Book Antiqua" w:hAnsi="Book Antiqua"/>
          <w:color w:val="000000"/>
          <w:sz w:val="24"/>
          <w:lang w:val="it-IT"/>
        </w:rPr>
        <w:t>contributed equally to this work</w:t>
      </w:r>
      <w:r w:rsidRPr="00756DC7">
        <w:rPr>
          <w:rFonts w:ascii="Book Antiqua" w:hAnsi="Book Antiqua"/>
          <w:color w:val="000000"/>
          <w:sz w:val="24"/>
        </w:rPr>
        <w:t xml:space="preserve">; Cao </w:t>
      </w:r>
      <w:r w:rsidR="00750DDC" w:rsidRPr="00756DC7">
        <w:rPr>
          <w:rFonts w:ascii="Book Antiqua" w:hAnsi="Book Antiqua"/>
          <w:color w:val="000000"/>
          <w:sz w:val="24"/>
        </w:rPr>
        <w:t xml:space="preserve">HC </w:t>
      </w:r>
      <w:r w:rsidRPr="00756DC7">
        <w:rPr>
          <w:rFonts w:ascii="Book Antiqua" w:hAnsi="Book Antiqua"/>
          <w:color w:val="000000"/>
          <w:sz w:val="24"/>
        </w:rPr>
        <w:t xml:space="preserve">contributed to the design, critically reviewed and revised the manuscript; Li </w:t>
      </w:r>
      <w:r w:rsidR="00750DDC" w:rsidRPr="00756DC7">
        <w:rPr>
          <w:rFonts w:ascii="Book Antiqua" w:hAnsi="Book Antiqua"/>
          <w:color w:val="000000"/>
          <w:sz w:val="24"/>
        </w:rPr>
        <w:t>LJ revised the draft;</w:t>
      </w:r>
      <w:r w:rsidRPr="00756DC7">
        <w:rPr>
          <w:rFonts w:ascii="Book Antiqua" w:hAnsi="Book Antiqua"/>
          <w:color w:val="000000"/>
          <w:sz w:val="24"/>
        </w:rPr>
        <w:t xml:space="preserve"> </w:t>
      </w:r>
      <w:r w:rsidR="00750DDC" w:rsidRPr="00756DC7">
        <w:rPr>
          <w:rFonts w:ascii="Book Antiqua" w:hAnsi="Book Antiqua"/>
          <w:color w:val="000000"/>
          <w:sz w:val="24"/>
        </w:rPr>
        <w:t xml:space="preserve">all </w:t>
      </w:r>
      <w:r w:rsidRPr="00756DC7">
        <w:rPr>
          <w:rFonts w:ascii="Book Antiqua" w:hAnsi="Book Antiqua"/>
          <w:color w:val="000000"/>
          <w:sz w:val="24"/>
        </w:rPr>
        <w:t>authors reviewed and approved the final version.</w:t>
      </w:r>
    </w:p>
    <w:p w:rsidR="007A0FAD" w:rsidRPr="00756DC7" w:rsidRDefault="007A0FAD" w:rsidP="001E7706">
      <w:pPr>
        <w:adjustRightInd w:val="0"/>
        <w:snapToGrid w:val="0"/>
        <w:spacing w:line="360" w:lineRule="auto"/>
        <w:rPr>
          <w:rFonts w:ascii="Book Antiqua" w:hAnsi="Book Antiqua"/>
          <w:b/>
          <w:color w:val="000000"/>
          <w:sz w:val="24"/>
          <w:lang w:bidi="ar"/>
        </w:rPr>
      </w:pPr>
    </w:p>
    <w:p w:rsidR="00750DDC" w:rsidRPr="00756DC7" w:rsidRDefault="00750DDC" w:rsidP="001E7706">
      <w:pPr>
        <w:adjustRightInd w:val="0"/>
        <w:snapToGrid w:val="0"/>
        <w:spacing w:line="360" w:lineRule="auto"/>
        <w:rPr>
          <w:rFonts w:ascii="Book Antiqua" w:hAnsi="Book Antiqua" w:cs="Calibri"/>
          <w:sz w:val="24"/>
        </w:rPr>
      </w:pPr>
      <w:proofErr w:type="gramStart"/>
      <w:r w:rsidRPr="00756DC7">
        <w:rPr>
          <w:rFonts w:ascii="Book Antiqua" w:hAnsi="Book Antiqua" w:cs="Calibri"/>
          <w:b/>
          <w:sz w:val="24"/>
        </w:rPr>
        <w:t>Supported by</w:t>
      </w:r>
      <w:r w:rsidRPr="00756DC7">
        <w:rPr>
          <w:rFonts w:ascii="Book Antiqua" w:hAnsi="Book Antiqua" w:cs="Calibri"/>
          <w:sz w:val="24"/>
        </w:rPr>
        <w:t xml:space="preserve"> </w:t>
      </w:r>
      <w:r w:rsidR="00197664" w:rsidRPr="00756DC7">
        <w:rPr>
          <w:rFonts w:ascii="Book Antiqua" w:hAnsi="Book Antiqua" w:cs="Calibri"/>
          <w:sz w:val="24"/>
        </w:rPr>
        <w:t xml:space="preserve">Zhejiang University Special Scientific Research Fund for </w:t>
      </w:r>
      <w:r w:rsidR="00197664" w:rsidRPr="00756DC7">
        <w:rPr>
          <w:rFonts w:ascii="Book Antiqua" w:hAnsi="Book Antiqua" w:cs="Calibri"/>
          <w:sz w:val="24"/>
        </w:rPr>
        <w:lastRenderedPageBreak/>
        <w:t>COVID-19 Prevention and Control, No. 2020XGZX052.</w:t>
      </w:r>
      <w:proofErr w:type="gramEnd"/>
    </w:p>
    <w:p w:rsidR="00750DDC" w:rsidRPr="00756DC7" w:rsidRDefault="00750DDC" w:rsidP="001E7706">
      <w:pPr>
        <w:adjustRightInd w:val="0"/>
        <w:snapToGrid w:val="0"/>
        <w:spacing w:line="360" w:lineRule="auto"/>
        <w:rPr>
          <w:rFonts w:ascii="Book Antiqua" w:hAnsi="Book Antiqua"/>
          <w:color w:val="000000"/>
          <w:sz w:val="24"/>
          <w:lang w:bidi="ar"/>
        </w:rPr>
      </w:pPr>
    </w:p>
    <w:p w:rsidR="007A0FAD" w:rsidRPr="00756DC7" w:rsidRDefault="00197664" w:rsidP="001E7706">
      <w:pPr>
        <w:adjustRightInd w:val="0"/>
        <w:snapToGrid w:val="0"/>
        <w:spacing w:line="360" w:lineRule="auto"/>
        <w:rPr>
          <w:rFonts w:ascii="Book Antiqua" w:hAnsi="Book Antiqua"/>
          <w:color w:val="000000"/>
          <w:sz w:val="24"/>
          <w:lang w:bidi="ar"/>
        </w:rPr>
      </w:pPr>
      <w:r w:rsidRPr="00756DC7">
        <w:rPr>
          <w:rFonts w:ascii="Book Antiqua" w:hAnsi="Book Antiqua"/>
          <w:b/>
          <w:color w:val="000000"/>
          <w:sz w:val="24"/>
        </w:rPr>
        <w:t>Corresponding author:</w:t>
      </w:r>
      <w:r w:rsidRPr="00756DC7">
        <w:rPr>
          <w:rFonts w:ascii="Book Antiqua" w:hAnsi="Book Antiqua" w:cs="Arial"/>
          <w:color w:val="000000"/>
          <w:sz w:val="24"/>
        </w:rPr>
        <w:t xml:space="preserve"> </w:t>
      </w:r>
      <w:r w:rsidR="007A0FAD" w:rsidRPr="00756DC7">
        <w:rPr>
          <w:rFonts w:ascii="Book Antiqua" w:hAnsi="Book Antiqua"/>
          <w:b/>
          <w:color w:val="000000"/>
          <w:sz w:val="24"/>
          <w:lang w:bidi="ar"/>
        </w:rPr>
        <w:t>Hong</w:t>
      </w:r>
      <w:r w:rsidRPr="00756DC7">
        <w:rPr>
          <w:rFonts w:ascii="Book Antiqua" w:hAnsi="Book Antiqua"/>
          <w:b/>
          <w:color w:val="000000"/>
          <w:sz w:val="24"/>
          <w:lang w:bidi="ar"/>
        </w:rPr>
        <w:t>-Cui Cao, M</w:t>
      </w:r>
      <w:r w:rsidR="007A0FAD" w:rsidRPr="00756DC7">
        <w:rPr>
          <w:rFonts w:ascii="Book Antiqua" w:hAnsi="Book Antiqua"/>
          <w:b/>
          <w:color w:val="000000"/>
          <w:sz w:val="24"/>
          <w:lang w:bidi="ar"/>
        </w:rPr>
        <w:t>D</w:t>
      </w:r>
      <w:r w:rsidRPr="00756DC7">
        <w:rPr>
          <w:rFonts w:ascii="Book Antiqua" w:hAnsi="Book Antiqua"/>
          <w:b/>
          <w:color w:val="000000"/>
          <w:sz w:val="24"/>
          <w:lang w:bidi="ar"/>
        </w:rPr>
        <w:t>,</w:t>
      </w:r>
      <w:r w:rsidR="007A0FAD" w:rsidRPr="00756DC7">
        <w:rPr>
          <w:rFonts w:ascii="Book Antiqua" w:hAnsi="Book Antiqua"/>
          <w:b/>
          <w:color w:val="000000"/>
          <w:sz w:val="24"/>
          <w:lang w:bidi="ar"/>
        </w:rPr>
        <w:t xml:space="preserve"> </w:t>
      </w:r>
      <w:r w:rsidRPr="00756DC7">
        <w:rPr>
          <w:rFonts w:ascii="Book Antiqua" w:hAnsi="Book Antiqua"/>
          <w:b/>
          <w:color w:val="000000"/>
          <w:sz w:val="24"/>
          <w:lang w:bidi="ar"/>
        </w:rPr>
        <w:t>Professor,</w:t>
      </w:r>
      <w:r w:rsidRPr="00756DC7">
        <w:rPr>
          <w:rFonts w:ascii="Book Antiqua" w:hAnsi="Book Antiqua"/>
          <w:color w:val="000000"/>
          <w:sz w:val="24"/>
          <w:lang w:bidi="ar"/>
        </w:rPr>
        <w:t xml:space="preserve"> </w:t>
      </w:r>
      <w:r w:rsidR="007A0FAD" w:rsidRPr="00756DC7">
        <w:rPr>
          <w:rFonts w:ascii="Book Antiqua" w:hAnsi="Book Antiqua"/>
          <w:color w:val="000000"/>
          <w:sz w:val="24"/>
          <w:lang w:bidi="ar"/>
        </w:rPr>
        <w:t xml:space="preserve">State Key Laboratory for the Diagnosis and Treatment of Infectious Diseases, National Clinical Research Center for Infectious Diseases, The First Affiliated Hospital, College of Medicine, Zhejiang University, 79 </w:t>
      </w:r>
      <w:proofErr w:type="spellStart"/>
      <w:r w:rsidR="007A0FAD" w:rsidRPr="00756DC7">
        <w:rPr>
          <w:rFonts w:ascii="Book Antiqua" w:hAnsi="Book Antiqua"/>
          <w:color w:val="000000"/>
          <w:sz w:val="24"/>
          <w:lang w:bidi="ar"/>
        </w:rPr>
        <w:t>Qingchun</w:t>
      </w:r>
      <w:proofErr w:type="spellEnd"/>
      <w:r w:rsidR="007A0FAD" w:rsidRPr="00756DC7">
        <w:rPr>
          <w:rFonts w:ascii="Book Antiqua" w:hAnsi="Book Antiqua"/>
          <w:color w:val="000000"/>
          <w:sz w:val="24"/>
          <w:lang w:bidi="ar"/>
        </w:rPr>
        <w:t xml:space="preserve"> R</w:t>
      </w:r>
      <w:r w:rsidR="00DD6AB4" w:rsidRPr="00756DC7">
        <w:rPr>
          <w:rFonts w:ascii="Book Antiqua" w:hAnsi="Book Antiqua"/>
          <w:color w:val="000000"/>
          <w:sz w:val="24"/>
          <w:lang w:bidi="ar"/>
        </w:rPr>
        <w:t>oad</w:t>
      </w:r>
      <w:r w:rsidR="007A0FAD" w:rsidRPr="00756DC7">
        <w:rPr>
          <w:rFonts w:ascii="Book Antiqua" w:hAnsi="Book Antiqua"/>
          <w:color w:val="000000"/>
          <w:sz w:val="24"/>
          <w:lang w:bidi="ar"/>
        </w:rPr>
        <w:t xml:space="preserve">, Hangzhou 310003, </w:t>
      </w:r>
      <w:r w:rsidRPr="00756DC7">
        <w:rPr>
          <w:rFonts w:ascii="Book Antiqua" w:hAnsi="Book Antiqua"/>
          <w:color w:val="000000"/>
          <w:sz w:val="24"/>
          <w:lang w:bidi="ar"/>
        </w:rPr>
        <w:t xml:space="preserve">Zhejiang Province, </w:t>
      </w:r>
      <w:r w:rsidR="007A0FAD" w:rsidRPr="00756DC7">
        <w:rPr>
          <w:rFonts w:ascii="Book Antiqua" w:hAnsi="Book Antiqua"/>
          <w:color w:val="000000"/>
          <w:sz w:val="24"/>
          <w:lang w:bidi="ar"/>
        </w:rPr>
        <w:t>China</w:t>
      </w:r>
      <w:r w:rsidRPr="00756DC7">
        <w:rPr>
          <w:rFonts w:ascii="Book Antiqua" w:hAnsi="Book Antiqua"/>
          <w:color w:val="000000"/>
          <w:sz w:val="24"/>
          <w:lang w:bidi="ar"/>
        </w:rPr>
        <w:t xml:space="preserve">. </w:t>
      </w:r>
      <w:hyperlink r:id="rId9" w:history="1">
        <w:r w:rsidRPr="00756DC7">
          <w:rPr>
            <w:rStyle w:val="a3"/>
            <w:rFonts w:ascii="Book Antiqua" w:hAnsi="Book Antiqua"/>
            <w:sz w:val="24"/>
            <w:lang w:bidi="ar"/>
          </w:rPr>
          <w:t>hccao@zju.edu.cn</w:t>
        </w:r>
      </w:hyperlink>
    </w:p>
    <w:p w:rsidR="007A0FAD" w:rsidRPr="00756DC7" w:rsidRDefault="007A0FAD" w:rsidP="001E7706">
      <w:pPr>
        <w:adjustRightInd w:val="0"/>
        <w:snapToGrid w:val="0"/>
        <w:spacing w:line="360" w:lineRule="auto"/>
        <w:rPr>
          <w:rFonts w:ascii="Book Antiqua" w:hAnsi="Book Antiqua"/>
          <w:b/>
          <w:color w:val="000000"/>
          <w:sz w:val="24"/>
          <w:lang w:bidi="ar"/>
        </w:rPr>
      </w:pPr>
    </w:p>
    <w:p w:rsidR="00197664" w:rsidRPr="00756DC7" w:rsidRDefault="00197664" w:rsidP="001E7706">
      <w:pPr>
        <w:adjustRightInd w:val="0"/>
        <w:snapToGrid w:val="0"/>
        <w:spacing w:line="360" w:lineRule="auto"/>
        <w:rPr>
          <w:rFonts w:ascii="Book Antiqua" w:hAnsi="Book Antiqua"/>
          <w:b/>
          <w:color w:val="000000"/>
          <w:sz w:val="24"/>
        </w:rPr>
      </w:pPr>
      <w:bookmarkStart w:id="3" w:name="OLE_LINK75"/>
      <w:bookmarkStart w:id="4" w:name="OLE_LINK76"/>
      <w:bookmarkStart w:id="5" w:name="OLE_LINK269"/>
      <w:bookmarkStart w:id="6" w:name="OLE_LINK239"/>
      <w:r w:rsidRPr="00756DC7">
        <w:rPr>
          <w:rFonts w:ascii="Book Antiqua" w:hAnsi="Book Antiqua"/>
          <w:b/>
          <w:color w:val="000000"/>
          <w:sz w:val="24"/>
        </w:rPr>
        <w:t xml:space="preserve">Received: </w:t>
      </w:r>
      <w:r w:rsidRPr="00756DC7">
        <w:rPr>
          <w:rFonts w:ascii="Book Antiqua" w:hAnsi="Book Antiqua"/>
          <w:color w:val="000000"/>
          <w:sz w:val="24"/>
        </w:rPr>
        <w:t>April 22, 2020</w:t>
      </w:r>
    </w:p>
    <w:p w:rsidR="00197664" w:rsidRPr="00756DC7" w:rsidRDefault="00197664" w:rsidP="001E7706">
      <w:pPr>
        <w:adjustRightInd w:val="0"/>
        <w:snapToGrid w:val="0"/>
        <w:spacing w:line="360" w:lineRule="auto"/>
        <w:rPr>
          <w:rFonts w:ascii="Book Antiqua" w:hAnsi="Book Antiqua"/>
          <w:b/>
          <w:color w:val="000000"/>
          <w:sz w:val="24"/>
        </w:rPr>
      </w:pPr>
      <w:r w:rsidRPr="00756DC7">
        <w:rPr>
          <w:rFonts w:ascii="Book Antiqua" w:hAnsi="Book Antiqua"/>
          <w:b/>
          <w:color w:val="000000"/>
          <w:sz w:val="24"/>
        </w:rPr>
        <w:t xml:space="preserve">Revised: </w:t>
      </w:r>
      <w:r w:rsidRPr="00756DC7">
        <w:rPr>
          <w:rFonts w:ascii="Book Antiqua" w:hAnsi="Book Antiqua"/>
          <w:color w:val="000000"/>
          <w:sz w:val="24"/>
        </w:rPr>
        <w:t>May 4, 2020</w:t>
      </w:r>
    </w:p>
    <w:p w:rsidR="00197664" w:rsidRPr="00756DC7" w:rsidRDefault="00197664" w:rsidP="001E7706">
      <w:pPr>
        <w:adjustRightInd w:val="0"/>
        <w:snapToGrid w:val="0"/>
        <w:spacing w:line="360" w:lineRule="auto"/>
        <w:rPr>
          <w:rFonts w:ascii="Book Antiqua" w:hAnsi="Book Antiqua"/>
          <w:color w:val="000000"/>
          <w:sz w:val="24"/>
        </w:rPr>
      </w:pPr>
      <w:r w:rsidRPr="00756DC7">
        <w:rPr>
          <w:rFonts w:ascii="Book Antiqua" w:hAnsi="Book Antiqua"/>
          <w:b/>
          <w:color w:val="000000"/>
          <w:sz w:val="24"/>
        </w:rPr>
        <w:t>Accepted:</w:t>
      </w:r>
      <w:r w:rsidR="00185B10" w:rsidRPr="00756DC7">
        <w:t xml:space="preserve"> </w:t>
      </w:r>
      <w:r w:rsidR="00185B10" w:rsidRPr="00756DC7">
        <w:rPr>
          <w:rFonts w:ascii="Book Antiqua" w:hAnsi="Book Antiqua"/>
          <w:bCs/>
          <w:color w:val="000000"/>
          <w:sz w:val="24"/>
        </w:rPr>
        <w:t>May 14, 2020</w:t>
      </w:r>
      <w:r w:rsidRPr="00756DC7">
        <w:rPr>
          <w:rFonts w:ascii="Book Antiqua" w:hAnsi="Book Antiqua"/>
          <w:bCs/>
          <w:color w:val="000000"/>
          <w:sz w:val="24"/>
        </w:rPr>
        <w:t xml:space="preserve"> </w:t>
      </w:r>
    </w:p>
    <w:p w:rsidR="00197664" w:rsidRPr="00756DC7" w:rsidRDefault="00197664" w:rsidP="001E7706">
      <w:pPr>
        <w:adjustRightInd w:val="0"/>
        <w:snapToGrid w:val="0"/>
        <w:spacing w:line="360" w:lineRule="auto"/>
        <w:rPr>
          <w:rFonts w:ascii="Book Antiqua" w:hAnsi="Book Antiqua"/>
          <w:b/>
          <w:color w:val="000000"/>
          <w:sz w:val="24"/>
        </w:rPr>
      </w:pPr>
      <w:r w:rsidRPr="00756DC7">
        <w:rPr>
          <w:rFonts w:ascii="Book Antiqua" w:hAnsi="Book Antiqua"/>
          <w:b/>
          <w:color w:val="000000"/>
          <w:sz w:val="24"/>
        </w:rPr>
        <w:t>Published online:</w:t>
      </w:r>
      <w:bookmarkEnd w:id="3"/>
      <w:bookmarkEnd w:id="4"/>
      <w:bookmarkEnd w:id="5"/>
      <w:bookmarkEnd w:id="6"/>
      <w:r w:rsidR="00E827BB" w:rsidRPr="00756DC7">
        <w:rPr>
          <w:rFonts w:ascii="Book Antiqua" w:hAnsi="Book Antiqua"/>
          <w:bCs/>
          <w:color w:val="000000"/>
          <w:sz w:val="24"/>
        </w:rPr>
        <w:t xml:space="preserve"> </w:t>
      </w:r>
      <w:r w:rsidR="00E827BB" w:rsidRPr="00756DC7">
        <w:rPr>
          <w:rFonts w:ascii="Book Antiqua" w:hAnsi="Book Antiqua"/>
          <w:bCs/>
          <w:color w:val="000000"/>
          <w:sz w:val="24"/>
        </w:rPr>
        <w:t xml:space="preserve">May </w:t>
      </w:r>
      <w:r w:rsidR="00E827BB" w:rsidRPr="00756DC7">
        <w:rPr>
          <w:rFonts w:ascii="Book Antiqua" w:hAnsi="Book Antiqua" w:hint="eastAsia"/>
          <w:bCs/>
          <w:color w:val="000000"/>
          <w:sz w:val="24"/>
        </w:rPr>
        <w:t>21</w:t>
      </w:r>
      <w:r w:rsidR="00E827BB" w:rsidRPr="00756DC7">
        <w:rPr>
          <w:rFonts w:ascii="Book Antiqua" w:hAnsi="Book Antiqua"/>
          <w:bCs/>
          <w:color w:val="000000"/>
          <w:sz w:val="24"/>
        </w:rPr>
        <w:t>, 2020</w:t>
      </w:r>
    </w:p>
    <w:p w:rsidR="00687F14" w:rsidRPr="00756DC7" w:rsidRDefault="00C95096" w:rsidP="001E7706">
      <w:pPr>
        <w:adjustRightInd w:val="0"/>
        <w:snapToGrid w:val="0"/>
        <w:spacing w:line="360" w:lineRule="auto"/>
        <w:rPr>
          <w:rFonts w:ascii="Book Antiqua" w:hAnsi="Book Antiqua"/>
          <w:b/>
          <w:bCs/>
          <w:color w:val="000000"/>
          <w:sz w:val="24"/>
        </w:rPr>
      </w:pPr>
      <w:r w:rsidRPr="00756DC7">
        <w:rPr>
          <w:rFonts w:ascii="Book Antiqua" w:hAnsi="Book Antiqua"/>
          <w:color w:val="000000"/>
          <w:sz w:val="24"/>
          <w:lang w:bidi="ar"/>
        </w:rPr>
        <w:br w:type="page"/>
      </w:r>
      <w:r w:rsidR="00687F14" w:rsidRPr="00756DC7">
        <w:rPr>
          <w:rFonts w:ascii="Book Antiqua" w:hAnsi="Book Antiqua"/>
          <w:b/>
          <w:bCs/>
          <w:color w:val="000000"/>
          <w:sz w:val="24"/>
        </w:rPr>
        <w:lastRenderedPageBreak/>
        <w:t>Abstract</w:t>
      </w:r>
    </w:p>
    <w:p w:rsidR="00687F14" w:rsidRPr="00756DC7" w:rsidRDefault="00687F14" w:rsidP="001E7706">
      <w:pPr>
        <w:adjustRightInd w:val="0"/>
        <w:snapToGrid w:val="0"/>
        <w:spacing w:line="360" w:lineRule="auto"/>
        <w:rPr>
          <w:rFonts w:ascii="Book Antiqua" w:hAnsi="Book Antiqua"/>
          <w:color w:val="000000"/>
          <w:sz w:val="24"/>
        </w:rPr>
      </w:pPr>
      <w:r w:rsidRPr="00756DC7">
        <w:rPr>
          <w:rFonts w:ascii="Book Antiqua" w:hAnsi="Book Antiqua"/>
          <w:color w:val="000000"/>
          <w:sz w:val="24"/>
        </w:rPr>
        <w:t>In December 2019, a novel coronavirus</w:t>
      </w:r>
      <w:r w:rsidR="00922F5A" w:rsidRPr="00756DC7">
        <w:rPr>
          <w:rFonts w:ascii="Book Antiqua" w:hAnsi="Book Antiqua"/>
          <w:color w:val="000000"/>
          <w:sz w:val="24"/>
        </w:rPr>
        <w:t xml:space="preserve"> named</w:t>
      </w:r>
      <w:r w:rsidR="008453BC" w:rsidRPr="00756DC7">
        <w:rPr>
          <w:rFonts w:ascii="Book Antiqua" w:hAnsi="Book Antiqua"/>
          <w:color w:val="000000"/>
          <w:sz w:val="24"/>
        </w:rPr>
        <w:t xml:space="preserve"> severe acute respiratory syndrome coronavirus 2 (SARS-CoV-2)</w:t>
      </w:r>
      <w:r w:rsidRPr="00756DC7">
        <w:rPr>
          <w:rFonts w:ascii="Book Antiqua" w:hAnsi="Book Antiqua"/>
          <w:color w:val="000000"/>
          <w:sz w:val="24"/>
        </w:rPr>
        <w:t xml:space="preserve"> </w:t>
      </w:r>
      <w:r w:rsidR="00922F5A" w:rsidRPr="00756DC7">
        <w:rPr>
          <w:rFonts w:ascii="Book Antiqua" w:hAnsi="Book Antiqua"/>
          <w:color w:val="000000"/>
          <w:sz w:val="24"/>
        </w:rPr>
        <w:t>was identified</w:t>
      </w:r>
      <w:r w:rsidRPr="00756DC7">
        <w:rPr>
          <w:rFonts w:ascii="Book Antiqua" w:hAnsi="Book Antiqua"/>
          <w:color w:val="000000"/>
          <w:sz w:val="24"/>
        </w:rPr>
        <w:t xml:space="preserve"> in Wuhan, China</w:t>
      </w:r>
      <w:r w:rsidR="00922F5A" w:rsidRPr="00756DC7">
        <w:rPr>
          <w:rFonts w:ascii="Book Antiqua" w:hAnsi="Book Antiqua"/>
          <w:color w:val="000000"/>
          <w:sz w:val="24"/>
        </w:rPr>
        <w:t xml:space="preserve"> causing coronavirus disease</w:t>
      </w:r>
      <w:r w:rsidR="004A6373" w:rsidRPr="00756DC7">
        <w:rPr>
          <w:rFonts w:ascii="Book Antiqua" w:hAnsi="Book Antiqua"/>
          <w:color w:val="000000"/>
          <w:sz w:val="24"/>
        </w:rPr>
        <w:t>-2019</w:t>
      </w:r>
      <w:r w:rsidR="00922F5A" w:rsidRPr="00756DC7">
        <w:rPr>
          <w:rFonts w:ascii="Book Antiqua" w:hAnsi="Book Antiqua"/>
          <w:color w:val="000000"/>
          <w:sz w:val="24"/>
        </w:rPr>
        <w:t xml:space="preserve"> (COVID-19)</w:t>
      </w:r>
      <w:r w:rsidRPr="00756DC7">
        <w:rPr>
          <w:rFonts w:ascii="Book Antiqua" w:hAnsi="Book Antiqua"/>
          <w:color w:val="000000"/>
          <w:sz w:val="24"/>
        </w:rPr>
        <w:t xml:space="preserve">. </w:t>
      </w:r>
      <w:r w:rsidR="00922F5A" w:rsidRPr="00756DC7">
        <w:rPr>
          <w:rFonts w:ascii="Book Antiqua" w:hAnsi="Book Antiqua"/>
          <w:color w:val="000000"/>
          <w:sz w:val="24"/>
        </w:rPr>
        <w:t>Numerous</w:t>
      </w:r>
      <w:r w:rsidRPr="00756DC7">
        <w:rPr>
          <w:rFonts w:ascii="Book Antiqua" w:hAnsi="Book Antiqua"/>
          <w:color w:val="000000"/>
          <w:sz w:val="24"/>
        </w:rPr>
        <w:t xml:space="preserve"> studies have shown varying degrees of liver damage in patients infected with SARS-CoV-2. However, in previous case studies of COVID-19, the exact cause of liver injury has not been clearly </w:t>
      </w:r>
      <w:r w:rsidR="00767091" w:rsidRPr="00756DC7">
        <w:rPr>
          <w:rFonts w:ascii="Book Antiqua" w:hAnsi="Book Antiqua"/>
          <w:color w:val="000000"/>
          <w:sz w:val="24"/>
        </w:rPr>
        <w:t>elucidated</w:t>
      </w:r>
      <w:r w:rsidRPr="00756DC7">
        <w:rPr>
          <w:rFonts w:ascii="Book Antiqua" w:hAnsi="Book Antiqua"/>
          <w:color w:val="000000"/>
          <w:sz w:val="24"/>
        </w:rPr>
        <w:t xml:space="preserve">, nor </w:t>
      </w:r>
      <w:r w:rsidR="00922F5A" w:rsidRPr="00756DC7">
        <w:rPr>
          <w:rFonts w:ascii="Book Antiqua" w:hAnsi="Book Antiqua"/>
          <w:color w:val="000000"/>
          <w:sz w:val="24"/>
        </w:rPr>
        <w:t xml:space="preserve">is </w:t>
      </w:r>
      <w:r w:rsidRPr="00756DC7">
        <w:rPr>
          <w:rFonts w:ascii="Book Antiqua" w:hAnsi="Book Antiqua"/>
          <w:color w:val="000000"/>
          <w:sz w:val="24"/>
        </w:rPr>
        <w:t xml:space="preserve">there clear evidence of the interaction between liver injury and </w:t>
      </w:r>
      <w:r w:rsidR="008453BC" w:rsidRPr="00756DC7">
        <w:rPr>
          <w:rFonts w:ascii="Book Antiqua" w:hAnsi="Book Antiqua"/>
          <w:color w:val="000000"/>
          <w:sz w:val="24"/>
        </w:rPr>
        <w:t>COVID-19</w:t>
      </w:r>
      <w:r w:rsidRPr="00756DC7">
        <w:rPr>
          <w:rFonts w:ascii="Book Antiqua" w:hAnsi="Book Antiqua"/>
          <w:color w:val="000000"/>
          <w:sz w:val="24"/>
        </w:rPr>
        <w:t>. This</w:t>
      </w:r>
      <w:r w:rsidR="008453BC" w:rsidRPr="00756DC7">
        <w:rPr>
          <w:rFonts w:ascii="Book Antiqua" w:hAnsi="Book Antiqua"/>
          <w:color w:val="000000"/>
          <w:sz w:val="24"/>
        </w:rPr>
        <w:t xml:space="preserve"> study </w:t>
      </w:r>
      <w:r w:rsidRPr="00756DC7">
        <w:rPr>
          <w:rFonts w:ascii="Book Antiqua" w:hAnsi="Book Antiqua"/>
          <w:color w:val="000000"/>
          <w:sz w:val="24"/>
        </w:rPr>
        <w:t xml:space="preserve">will </w:t>
      </w:r>
      <w:r w:rsidR="003741DD" w:rsidRPr="00756DC7">
        <w:rPr>
          <w:rFonts w:ascii="Book Antiqua" w:hAnsi="Book Antiqua"/>
          <w:color w:val="000000"/>
          <w:sz w:val="24"/>
        </w:rPr>
        <w:t xml:space="preserve">analyze </w:t>
      </w:r>
      <w:r w:rsidRPr="00756DC7">
        <w:rPr>
          <w:rFonts w:ascii="Book Antiqua" w:hAnsi="Book Antiqua"/>
          <w:color w:val="000000"/>
          <w:sz w:val="24"/>
        </w:rPr>
        <w:t xml:space="preserve">the causes of liver injury </w:t>
      </w:r>
      <w:r w:rsidR="00922F5A" w:rsidRPr="00756DC7">
        <w:rPr>
          <w:rFonts w:ascii="Book Antiqua" w:hAnsi="Book Antiqua"/>
          <w:color w:val="000000"/>
          <w:sz w:val="24"/>
        </w:rPr>
        <w:t>in</w:t>
      </w:r>
      <w:r w:rsidRPr="00756DC7">
        <w:rPr>
          <w:rFonts w:ascii="Book Antiqua" w:hAnsi="Book Antiqua"/>
          <w:color w:val="000000"/>
          <w:sz w:val="24"/>
        </w:rPr>
        <w:t xml:space="preserve"> COVID-19 and the influence of liver-related complications on the treatment and prognosis of COVID-19.</w:t>
      </w:r>
    </w:p>
    <w:p w:rsidR="00687F14" w:rsidRPr="00756DC7" w:rsidRDefault="00687F14" w:rsidP="001E7706">
      <w:pPr>
        <w:adjustRightInd w:val="0"/>
        <w:snapToGrid w:val="0"/>
        <w:spacing w:line="360" w:lineRule="auto"/>
        <w:rPr>
          <w:rFonts w:ascii="Book Antiqua" w:hAnsi="Book Antiqua"/>
          <w:color w:val="000000"/>
          <w:sz w:val="24"/>
        </w:rPr>
      </w:pPr>
    </w:p>
    <w:p w:rsidR="00687F14" w:rsidRPr="00756DC7" w:rsidRDefault="00C95096" w:rsidP="001E7706">
      <w:pPr>
        <w:adjustRightInd w:val="0"/>
        <w:snapToGrid w:val="0"/>
        <w:spacing w:line="360" w:lineRule="auto"/>
        <w:rPr>
          <w:rFonts w:ascii="Book Antiqua" w:eastAsia="等线" w:hAnsi="Book Antiqua"/>
          <w:color w:val="000000"/>
          <w:sz w:val="24"/>
        </w:rPr>
      </w:pPr>
      <w:bookmarkStart w:id="7" w:name="_Hlk13494727"/>
      <w:r w:rsidRPr="00756DC7">
        <w:rPr>
          <w:rFonts w:ascii="Book Antiqua" w:hAnsi="Book Antiqua" w:cs="Arial"/>
          <w:b/>
          <w:bCs/>
          <w:color w:val="000000"/>
          <w:sz w:val="24"/>
        </w:rPr>
        <w:t>Key words:</w:t>
      </w:r>
      <w:bookmarkEnd w:id="7"/>
      <w:r w:rsidRPr="00756DC7">
        <w:rPr>
          <w:rFonts w:ascii="Book Antiqua" w:hAnsi="Book Antiqua" w:cs="Arial"/>
          <w:bCs/>
          <w:color w:val="000000"/>
          <w:sz w:val="24"/>
        </w:rPr>
        <w:t xml:space="preserve"> </w:t>
      </w:r>
      <w:r w:rsidRPr="00756DC7">
        <w:rPr>
          <w:rFonts w:ascii="Book Antiqua" w:hAnsi="Book Antiqua"/>
          <w:color w:val="000000"/>
          <w:kern w:val="0"/>
          <w:sz w:val="24"/>
        </w:rPr>
        <w:t>SARS-CoV-2</w:t>
      </w:r>
      <w:r w:rsidR="00687F14" w:rsidRPr="00756DC7">
        <w:rPr>
          <w:rFonts w:ascii="Book Antiqua" w:hAnsi="Book Antiqua"/>
          <w:color w:val="000000"/>
          <w:kern w:val="0"/>
          <w:sz w:val="24"/>
        </w:rPr>
        <w:t xml:space="preserve">; </w:t>
      </w:r>
      <w:bookmarkStart w:id="8" w:name="_Hlk37887975"/>
      <w:r w:rsidR="00687F14" w:rsidRPr="00756DC7">
        <w:rPr>
          <w:rFonts w:ascii="Book Antiqua" w:hAnsi="Book Antiqua"/>
          <w:color w:val="000000"/>
          <w:kern w:val="0"/>
          <w:sz w:val="24"/>
        </w:rPr>
        <w:t>COVID-1</w:t>
      </w:r>
      <w:bookmarkEnd w:id="8"/>
      <w:r w:rsidRPr="00756DC7">
        <w:rPr>
          <w:rFonts w:ascii="Book Antiqua" w:hAnsi="Book Antiqua"/>
          <w:color w:val="000000"/>
          <w:kern w:val="0"/>
          <w:sz w:val="24"/>
        </w:rPr>
        <w:t>9</w:t>
      </w:r>
      <w:r w:rsidR="00687F14" w:rsidRPr="00756DC7">
        <w:rPr>
          <w:rFonts w:ascii="Book Antiqua" w:hAnsi="Book Antiqua"/>
          <w:color w:val="000000"/>
          <w:kern w:val="0"/>
          <w:sz w:val="24"/>
        </w:rPr>
        <w:t xml:space="preserve">; </w:t>
      </w:r>
      <w:r w:rsidR="00922F5A" w:rsidRPr="00756DC7">
        <w:rPr>
          <w:rFonts w:ascii="Book Antiqua" w:hAnsi="Book Antiqua"/>
          <w:color w:val="000000"/>
          <w:kern w:val="0"/>
          <w:sz w:val="24"/>
        </w:rPr>
        <w:t>L</w:t>
      </w:r>
      <w:r w:rsidR="00687F14" w:rsidRPr="00756DC7">
        <w:rPr>
          <w:rFonts w:ascii="Book Antiqua" w:hAnsi="Book Antiqua"/>
          <w:color w:val="000000"/>
          <w:kern w:val="0"/>
          <w:sz w:val="24"/>
        </w:rPr>
        <w:t xml:space="preserve">iver injury; </w:t>
      </w:r>
      <w:r w:rsidR="00922F5A" w:rsidRPr="00756DC7">
        <w:rPr>
          <w:rFonts w:ascii="Book Antiqua" w:hAnsi="Book Antiqua"/>
          <w:color w:val="000000"/>
          <w:kern w:val="0"/>
          <w:sz w:val="24"/>
        </w:rPr>
        <w:t>E</w:t>
      </w:r>
      <w:r w:rsidR="008453BC" w:rsidRPr="00756DC7">
        <w:rPr>
          <w:rFonts w:ascii="Book Antiqua" w:hAnsi="Book Antiqua"/>
          <w:color w:val="000000"/>
          <w:kern w:val="0"/>
          <w:sz w:val="24"/>
        </w:rPr>
        <w:t xml:space="preserve">tiology; </w:t>
      </w:r>
      <w:r w:rsidR="00922F5A" w:rsidRPr="00756DC7">
        <w:rPr>
          <w:rFonts w:ascii="Book Antiqua" w:hAnsi="Book Antiqua"/>
          <w:color w:val="000000"/>
          <w:kern w:val="0"/>
          <w:sz w:val="24"/>
        </w:rPr>
        <w:t>T</w:t>
      </w:r>
      <w:r w:rsidR="008453BC" w:rsidRPr="00756DC7">
        <w:rPr>
          <w:rFonts w:ascii="Book Antiqua" w:hAnsi="Book Antiqua"/>
          <w:color w:val="000000"/>
          <w:kern w:val="0"/>
          <w:sz w:val="24"/>
        </w:rPr>
        <w:t xml:space="preserve">reatment; </w:t>
      </w:r>
      <w:r w:rsidR="00922F5A" w:rsidRPr="00756DC7">
        <w:rPr>
          <w:rFonts w:ascii="Book Antiqua" w:hAnsi="Book Antiqua"/>
          <w:color w:val="000000"/>
          <w:kern w:val="0"/>
          <w:sz w:val="24"/>
        </w:rPr>
        <w:t>P</w:t>
      </w:r>
      <w:r w:rsidR="008453BC" w:rsidRPr="00756DC7">
        <w:rPr>
          <w:rFonts w:ascii="Book Antiqua" w:hAnsi="Book Antiqua"/>
          <w:color w:val="000000"/>
          <w:kern w:val="0"/>
          <w:sz w:val="24"/>
        </w:rPr>
        <w:t>rognosis</w:t>
      </w:r>
    </w:p>
    <w:p w:rsidR="00687F14" w:rsidRPr="00756DC7" w:rsidRDefault="00687F14" w:rsidP="001E7706">
      <w:pPr>
        <w:adjustRightInd w:val="0"/>
        <w:snapToGrid w:val="0"/>
        <w:spacing w:line="360" w:lineRule="auto"/>
        <w:rPr>
          <w:rFonts w:ascii="Book Antiqua" w:hAnsi="Book Antiqua"/>
          <w:color w:val="000000"/>
          <w:sz w:val="24"/>
        </w:rPr>
      </w:pPr>
    </w:p>
    <w:p w:rsidR="00E827BB" w:rsidRPr="00756DC7" w:rsidRDefault="00E827BB" w:rsidP="00E827BB">
      <w:pPr>
        <w:adjustRightInd w:val="0"/>
        <w:snapToGrid w:val="0"/>
        <w:spacing w:line="360" w:lineRule="auto"/>
        <w:rPr>
          <w:rFonts w:ascii="Book Antiqua" w:hAnsi="Book Antiqua" w:cs="宋体" w:hint="eastAsia"/>
          <w:bCs/>
          <w:color w:val="000000"/>
          <w:sz w:val="24"/>
        </w:rPr>
      </w:pPr>
      <w:r w:rsidRPr="00756DC7">
        <w:rPr>
          <w:rFonts w:ascii="Book Antiqua" w:hAnsi="Book Antiqua" w:hint="eastAsia"/>
          <w:b/>
          <w:color w:val="000000"/>
          <w:sz w:val="24"/>
          <w:lang w:bidi="ar"/>
        </w:rPr>
        <w:t>Citation:</w:t>
      </w:r>
      <w:r w:rsidRPr="00756DC7">
        <w:rPr>
          <w:rFonts w:ascii="Book Antiqua" w:hAnsi="Book Antiqua" w:hint="eastAsia"/>
          <w:color w:val="000000"/>
          <w:sz w:val="24"/>
          <w:lang w:bidi="ar"/>
        </w:rPr>
        <w:t xml:space="preserve"> </w:t>
      </w:r>
      <w:r w:rsidRPr="00756DC7">
        <w:rPr>
          <w:rFonts w:ascii="Book Antiqua" w:hAnsi="Book Antiqua"/>
          <w:color w:val="000000"/>
          <w:sz w:val="24"/>
          <w:lang w:bidi="ar"/>
        </w:rPr>
        <w:t xml:space="preserve">Wu J, Song S, Cao HC, Li LJ. </w:t>
      </w:r>
      <w:r w:rsidRPr="00756DC7">
        <w:rPr>
          <w:rFonts w:ascii="Book Antiqua" w:hAnsi="Book Antiqua"/>
          <w:bCs/>
          <w:color w:val="000000"/>
          <w:sz w:val="24"/>
        </w:rPr>
        <w:t>Liver diseases in COVID-19: Etiology, treatment and prognosis.</w:t>
      </w:r>
      <w:r w:rsidRPr="00756DC7">
        <w:rPr>
          <w:rFonts w:ascii="Book Antiqua" w:eastAsia="Times New Roman" w:hAnsi="Book Antiqua" w:cs="宋体"/>
          <w:bCs/>
          <w:i/>
          <w:iCs/>
          <w:color w:val="000000"/>
          <w:sz w:val="24"/>
        </w:rPr>
        <w:t xml:space="preserve"> World J </w:t>
      </w:r>
      <w:proofErr w:type="spellStart"/>
      <w:r w:rsidRPr="00756DC7">
        <w:rPr>
          <w:rFonts w:ascii="Book Antiqua" w:eastAsia="Times New Roman" w:hAnsi="Book Antiqua" w:cs="宋体"/>
          <w:bCs/>
          <w:i/>
          <w:iCs/>
          <w:color w:val="000000"/>
          <w:sz w:val="24"/>
        </w:rPr>
        <w:t>Gastroenterol</w:t>
      </w:r>
      <w:proofErr w:type="spellEnd"/>
      <w:r w:rsidRPr="00756DC7">
        <w:rPr>
          <w:rFonts w:ascii="Book Antiqua" w:eastAsia="Times New Roman" w:hAnsi="Book Antiqua" w:cs="宋体"/>
          <w:bCs/>
          <w:i/>
          <w:iCs/>
          <w:color w:val="000000"/>
          <w:sz w:val="24"/>
        </w:rPr>
        <w:t xml:space="preserve"> </w:t>
      </w:r>
      <w:r w:rsidRPr="00756DC7">
        <w:rPr>
          <w:rFonts w:ascii="Book Antiqua" w:hAnsi="Book Antiqua" w:cs="宋体"/>
          <w:bCs/>
          <w:color w:val="000000"/>
          <w:sz w:val="24"/>
        </w:rPr>
        <w:t xml:space="preserve">2020; 26(19): 2286-2293  </w:t>
      </w:r>
    </w:p>
    <w:p w:rsidR="00E827BB" w:rsidRPr="00756DC7" w:rsidRDefault="00E827BB" w:rsidP="00E827BB">
      <w:pPr>
        <w:adjustRightInd w:val="0"/>
        <w:snapToGrid w:val="0"/>
        <w:spacing w:line="360" w:lineRule="auto"/>
        <w:rPr>
          <w:rFonts w:ascii="Book Antiqua" w:hAnsi="Book Antiqua" w:cs="宋体" w:hint="eastAsia"/>
          <w:bCs/>
          <w:color w:val="000000"/>
          <w:sz w:val="24"/>
        </w:rPr>
      </w:pPr>
      <w:r w:rsidRPr="00756DC7">
        <w:rPr>
          <w:rFonts w:ascii="Book Antiqua" w:hAnsi="Book Antiqua" w:cs="宋体"/>
          <w:b/>
          <w:bCs/>
          <w:color w:val="000000"/>
          <w:sz w:val="24"/>
        </w:rPr>
        <w:t>URL:</w:t>
      </w:r>
      <w:r w:rsidRPr="00756DC7">
        <w:rPr>
          <w:rFonts w:ascii="Book Antiqua" w:hAnsi="Book Antiqua" w:cs="宋体"/>
          <w:bCs/>
          <w:color w:val="000000"/>
          <w:sz w:val="24"/>
        </w:rPr>
        <w:t xml:space="preserve"> https://www.wjgnet.com/1007-9327/full/v26/i19/2286.htm  </w:t>
      </w:r>
    </w:p>
    <w:p w:rsidR="00E827BB" w:rsidRPr="00756DC7" w:rsidRDefault="00E827BB" w:rsidP="00E827BB">
      <w:pPr>
        <w:adjustRightInd w:val="0"/>
        <w:snapToGrid w:val="0"/>
        <w:spacing w:line="360" w:lineRule="auto"/>
        <w:rPr>
          <w:rFonts w:ascii="Book Antiqua" w:hAnsi="Book Antiqua"/>
          <w:b/>
          <w:color w:val="000000"/>
          <w:sz w:val="24"/>
        </w:rPr>
      </w:pPr>
      <w:r w:rsidRPr="00756DC7">
        <w:rPr>
          <w:rFonts w:ascii="Book Antiqua" w:hAnsi="Book Antiqua" w:cs="宋体"/>
          <w:b/>
          <w:bCs/>
          <w:color w:val="000000"/>
          <w:sz w:val="24"/>
        </w:rPr>
        <w:t>DOI:</w:t>
      </w:r>
      <w:r w:rsidRPr="00756DC7">
        <w:rPr>
          <w:rFonts w:ascii="Book Antiqua" w:hAnsi="Book Antiqua" w:cs="宋体"/>
          <w:bCs/>
          <w:color w:val="000000"/>
          <w:sz w:val="24"/>
        </w:rPr>
        <w:t xml:space="preserve"> https://dx.doi.org/10.3748/wjg.v26.i19.2286</w:t>
      </w:r>
    </w:p>
    <w:p w:rsidR="00E2416D" w:rsidRPr="00756DC7" w:rsidRDefault="00E2416D" w:rsidP="001E7706">
      <w:pPr>
        <w:adjustRightInd w:val="0"/>
        <w:snapToGrid w:val="0"/>
        <w:spacing w:line="360" w:lineRule="auto"/>
        <w:rPr>
          <w:rFonts w:ascii="Book Antiqua" w:hAnsi="Book Antiqua"/>
          <w:b/>
          <w:color w:val="000000"/>
          <w:sz w:val="24"/>
        </w:rPr>
      </w:pPr>
    </w:p>
    <w:p w:rsidR="00D86A59" w:rsidRPr="00756DC7" w:rsidRDefault="00767091" w:rsidP="001E7706">
      <w:pPr>
        <w:adjustRightInd w:val="0"/>
        <w:snapToGrid w:val="0"/>
        <w:spacing w:line="360" w:lineRule="auto"/>
        <w:rPr>
          <w:rFonts w:ascii="Book Antiqua" w:hAnsi="Book Antiqua"/>
          <w:color w:val="000000"/>
          <w:sz w:val="24"/>
        </w:rPr>
      </w:pPr>
      <w:r w:rsidRPr="00756DC7">
        <w:rPr>
          <w:rFonts w:ascii="Book Antiqua" w:hAnsi="Book Antiqua"/>
          <w:b/>
          <w:color w:val="000000"/>
          <w:sz w:val="24"/>
        </w:rPr>
        <w:t>Core tip:</w:t>
      </w:r>
      <w:r w:rsidR="00C95096" w:rsidRPr="00756DC7">
        <w:rPr>
          <w:rFonts w:ascii="Book Antiqua" w:hAnsi="Book Antiqua"/>
          <w:b/>
          <w:color w:val="000000"/>
          <w:sz w:val="24"/>
        </w:rPr>
        <w:t xml:space="preserve"> </w:t>
      </w:r>
      <w:r w:rsidR="004E1804" w:rsidRPr="00756DC7">
        <w:rPr>
          <w:rFonts w:ascii="Book Antiqua" w:hAnsi="Book Antiqua"/>
          <w:color w:val="000000"/>
          <w:sz w:val="24"/>
        </w:rPr>
        <w:t xml:space="preserve">The study analyzed the causes of liver injury in </w:t>
      </w:r>
      <w:r w:rsidR="00C95096" w:rsidRPr="00756DC7">
        <w:rPr>
          <w:rFonts w:ascii="Book Antiqua" w:hAnsi="Book Antiqua"/>
          <w:color w:val="000000"/>
          <w:sz w:val="24"/>
        </w:rPr>
        <w:t>coronavirus disease-2019</w:t>
      </w:r>
      <w:r w:rsidR="004E1804" w:rsidRPr="00756DC7">
        <w:rPr>
          <w:rFonts w:ascii="Book Antiqua" w:hAnsi="Book Antiqua"/>
          <w:color w:val="000000"/>
          <w:sz w:val="24"/>
        </w:rPr>
        <w:t xml:space="preserve">, including direct effect of </w:t>
      </w:r>
      <w:r w:rsidR="00C95096" w:rsidRPr="00756DC7">
        <w:rPr>
          <w:rFonts w:ascii="Book Antiqua" w:hAnsi="Book Antiqua"/>
          <w:color w:val="000000"/>
          <w:sz w:val="24"/>
        </w:rPr>
        <w:t>severe acute respiratory syndrome coronavirus 2</w:t>
      </w:r>
      <w:r w:rsidR="004E1804" w:rsidRPr="00756DC7">
        <w:rPr>
          <w:rFonts w:ascii="Book Antiqua" w:hAnsi="Book Antiqua"/>
          <w:color w:val="000000"/>
          <w:sz w:val="24"/>
        </w:rPr>
        <w:t xml:space="preserve"> on the liver, drug-induced liver injury, </w:t>
      </w:r>
      <w:r w:rsidR="00D86A59" w:rsidRPr="00756DC7">
        <w:rPr>
          <w:rFonts w:ascii="Book Antiqua" w:hAnsi="Book Antiqua"/>
          <w:color w:val="000000"/>
          <w:sz w:val="24"/>
        </w:rPr>
        <w:t>and with underlying liver diseases, and talked about the therapeutic schedule, according to different etiologies. We believed it would be benefit to manage these patients well and improve their prognosis.</w:t>
      </w:r>
    </w:p>
    <w:p w:rsidR="00687F14" w:rsidRPr="00756DC7" w:rsidRDefault="0089376C" w:rsidP="001E7706">
      <w:pPr>
        <w:adjustRightInd w:val="0"/>
        <w:snapToGrid w:val="0"/>
        <w:spacing w:line="360" w:lineRule="auto"/>
        <w:rPr>
          <w:rFonts w:ascii="Book Antiqua" w:hAnsi="Book Antiqua"/>
          <w:b/>
          <w:bCs/>
          <w:color w:val="000000"/>
          <w:sz w:val="24"/>
          <w:u w:val="single"/>
        </w:rPr>
      </w:pPr>
      <w:r w:rsidRPr="00756DC7">
        <w:rPr>
          <w:rFonts w:ascii="Book Antiqua" w:hAnsi="Book Antiqua"/>
          <w:b/>
          <w:bCs/>
          <w:color w:val="000000"/>
          <w:sz w:val="24"/>
        </w:rPr>
        <w:br w:type="page"/>
      </w:r>
      <w:r w:rsidR="00687F14" w:rsidRPr="00756DC7">
        <w:rPr>
          <w:rFonts w:ascii="Book Antiqua" w:hAnsi="Book Antiqua"/>
          <w:b/>
          <w:bCs/>
          <w:color w:val="000000"/>
          <w:sz w:val="24"/>
          <w:u w:val="single"/>
        </w:rPr>
        <w:lastRenderedPageBreak/>
        <w:t>I</w:t>
      </w:r>
      <w:r w:rsidR="00922F5A" w:rsidRPr="00756DC7">
        <w:rPr>
          <w:rFonts w:ascii="Book Antiqua" w:hAnsi="Book Antiqua"/>
          <w:b/>
          <w:bCs/>
          <w:color w:val="000000"/>
          <w:sz w:val="24"/>
          <w:u w:val="single"/>
        </w:rPr>
        <w:t>NTRODUCTION</w:t>
      </w:r>
    </w:p>
    <w:p w:rsidR="00687F14" w:rsidRPr="00756DC7" w:rsidRDefault="00687F14" w:rsidP="001E7706">
      <w:pPr>
        <w:adjustRightInd w:val="0"/>
        <w:snapToGrid w:val="0"/>
        <w:spacing w:line="360" w:lineRule="auto"/>
        <w:rPr>
          <w:rFonts w:ascii="Book Antiqua" w:hAnsi="Book Antiqua"/>
          <w:color w:val="000000"/>
          <w:sz w:val="24"/>
        </w:rPr>
      </w:pPr>
      <w:r w:rsidRPr="00756DC7">
        <w:rPr>
          <w:rFonts w:ascii="Book Antiqua" w:hAnsi="Book Antiqua"/>
          <w:color w:val="000000"/>
          <w:sz w:val="24"/>
        </w:rPr>
        <w:t xml:space="preserve">In December 2019, an outbreak of pneumonia caused by </w:t>
      </w:r>
      <w:r w:rsidR="008453BC" w:rsidRPr="00756DC7">
        <w:rPr>
          <w:rFonts w:ascii="Book Antiqua" w:hAnsi="Book Antiqua"/>
          <w:color w:val="000000"/>
          <w:sz w:val="24"/>
        </w:rPr>
        <w:t>severe acute respiratory syndrome coronavirus 2 (SARS-CoV-2)</w:t>
      </w:r>
      <w:r w:rsidRPr="00756DC7">
        <w:rPr>
          <w:rFonts w:ascii="Book Antiqua" w:hAnsi="Book Antiqua"/>
          <w:color w:val="000000"/>
          <w:sz w:val="24"/>
        </w:rPr>
        <w:t xml:space="preserve"> </w:t>
      </w:r>
      <w:r w:rsidR="00922F5A" w:rsidRPr="00756DC7">
        <w:rPr>
          <w:rFonts w:ascii="Book Antiqua" w:hAnsi="Book Antiqua"/>
          <w:color w:val="000000"/>
          <w:sz w:val="24"/>
        </w:rPr>
        <w:t>occurred</w:t>
      </w:r>
      <w:r w:rsidRPr="00756DC7">
        <w:rPr>
          <w:rFonts w:ascii="Book Antiqua" w:hAnsi="Book Antiqua"/>
          <w:color w:val="000000"/>
          <w:sz w:val="24"/>
        </w:rPr>
        <w:t xml:space="preserve"> in Wuhan, China</w:t>
      </w:r>
      <w:r w:rsidR="00C735D1" w:rsidRPr="00756DC7">
        <w:rPr>
          <w:rFonts w:ascii="Book Antiqua" w:hAnsi="Book Antiqua"/>
          <w:color w:val="000000"/>
          <w:sz w:val="24"/>
        </w:rPr>
        <w:t>, known as</w:t>
      </w:r>
      <w:r w:rsidR="00A646CE" w:rsidRPr="00756DC7">
        <w:rPr>
          <w:rFonts w:ascii="Book Antiqua" w:hAnsi="Book Antiqua"/>
          <w:color w:val="000000"/>
          <w:sz w:val="24"/>
        </w:rPr>
        <w:t xml:space="preserve"> coronavirus disease</w:t>
      </w:r>
      <w:r w:rsidR="004A6373" w:rsidRPr="00756DC7">
        <w:rPr>
          <w:rFonts w:ascii="Book Antiqua" w:hAnsi="Book Antiqua"/>
          <w:color w:val="000000"/>
          <w:sz w:val="24"/>
        </w:rPr>
        <w:t>-2019</w:t>
      </w:r>
      <w:r w:rsidR="00A646CE" w:rsidRPr="00756DC7">
        <w:rPr>
          <w:rFonts w:ascii="Book Antiqua" w:hAnsi="Book Antiqua"/>
          <w:color w:val="000000"/>
          <w:sz w:val="24"/>
        </w:rPr>
        <w:t xml:space="preserve"> (COVID-19)</w:t>
      </w:r>
      <w:r w:rsidRPr="00756DC7">
        <w:rPr>
          <w:rFonts w:ascii="Book Antiqua" w:hAnsi="Book Antiqua"/>
          <w:color w:val="000000"/>
          <w:sz w:val="24"/>
        </w:rPr>
        <w:t xml:space="preserve">. </w:t>
      </w:r>
      <w:r w:rsidR="0089376C" w:rsidRPr="00756DC7">
        <w:rPr>
          <w:rFonts w:ascii="Book Antiqua" w:hAnsi="Book Antiqua"/>
          <w:color w:val="000000"/>
          <w:sz w:val="24"/>
        </w:rPr>
        <w:t xml:space="preserve">Chan </w:t>
      </w:r>
      <w:r w:rsidRPr="00756DC7">
        <w:rPr>
          <w:rFonts w:ascii="Book Antiqua" w:hAnsi="Book Antiqua"/>
          <w:i/>
          <w:color w:val="000000"/>
          <w:sz w:val="24"/>
        </w:rPr>
        <w:t xml:space="preserve">et </w:t>
      </w:r>
      <w:proofErr w:type="gramStart"/>
      <w:r w:rsidRPr="00756DC7">
        <w:rPr>
          <w:rFonts w:ascii="Book Antiqua" w:hAnsi="Book Antiqua"/>
          <w:i/>
          <w:color w:val="000000"/>
          <w:sz w:val="24"/>
        </w:rPr>
        <w:t>al</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1]</w:t>
      </w:r>
      <w:r w:rsidRPr="00756DC7">
        <w:rPr>
          <w:rFonts w:ascii="Book Antiqua" w:hAnsi="Book Antiqua"/>
          <w:color w:val="000000"/>
          <w:sz w:val="24"/>
        </w:rPr>
        <w:t xml:space="preserve"> found that the novel coronavirus genome sequence had an 82% homology with human SARS-</w:t>
      </w:r>
      <w:proofErr w:type="spellStart"/>
      <w:r w:rsidRPr="00756DC7">
        <w:rPr>
          <w:rFonts w:ascii="Book Antiqua" w:hAnsi="Book Antiqua"/>
          <w:color w:val="000000"/>
          <w:sz w:val="24"/>
        </w:rPr>
        <w:t>CoV</w:t>
      </w:r>
      <w:proofErr w:type="spellEnd"/>
      <w:r w:rsidRPr="00756DC7">
        <w:rPr>
          <w:rFonts w:ascii="Book Antiqua" w:hAnsi="Book Antiqua"/>
          <w:color w:val="000000"/>
          <w:sz w:val="24"/>
        </w:rPr>
        <w:t>, and both SARS-</w:t>
      </w:r>
      <w:proofErr w:type="spellStart"/>
      <w:r w:rsidRPr="00756DC7">
        <w:rPr>
          <w:rFonts w:ascii="Book Antiqua" w:hAnsi="Book Antiqua"/>
          <w:color w:val="000000"/>
          <w:sz w:val="24"/>
        </w:rPr>
        <w:t>CoV</w:t>
      </w:r>
      <w:proofErr w:type="spellEnd"/>
      <w:r w:rsidR="0046402B" w:rsidRPr="00756DC7">
        <w:rPr>
          <w:rFonts w:ascii="Book Antiqua" w:hAnsi="Book Antiqua"/>
          <w:color w:val="000000"/>
          <w:sz w:val="24"/>
        </w:rPr>
        <w:t xml:space="preserve"> </w:t>
      </w:r>
      <w:r w:rsidRPr="00756DC7">
        <w:rPr>
          <w:rFonts w:ascii="Book Antiqua" w:hAnsi="Book Antiqua"/>
          <w:color w:val="000000"/>
          <w:sz w:val="24"/>
        </w:rPr>
        <w:t xml:space="preserve">and SARS-CoV-2 infected cells </w:t>
      </w:r>
      <w:r w:rsidR="00922F5A" w:rsidRPr="00756DC7">
        <w:rPr>
          <w:rFonts w:ascii="Book Antiqua" w:hAnsi="Book Antiqua"/>
          <w:i/>
          <w:color w:val="000000"/>
          <w:sz w:val="24"/>
        </w:rPr>
        <w:t>via</w:t>
      </w:r>
      <w:r w:rsidRPr="00756DC7">
        <w:rPr>
          <w:rFonts w:ascii="Book Antiqua" w:hAnsi="Book Antiqua"/>
          <w:color w:val="000000"/>
          <w:sz w:val="24"/>
        </w:rPr>
        <w:t xml:space="preserve"> the </w:t>
      </w:r>
      <w:r w:rsidR="00C03A7C" w:rsidRPr="00756DC7">
        <w:rPr>
          <w:rFonts w:ascii="Book Antiqua" w:hAnsi="Book Antiqua"/>
          <w:color w:val="000000"/>
          <w:sz w:val="24"/>
        </w:rPr>
        <w:t>a</w:t>
      </w:r>
      <w:r w:rsidR="00C03A7C" w:rsidRPr="00756DC7">
        <w:rPr>
          <w:rFonts w:ascii="Book Antiqua" w:hAnsi="Book Antiqua"/>
          <w:color w:val="000000"/>
          <w:sz w:val="24"/>
          <w:shd w:val="clear" w:color="auto" w:fill="FFFFFF"/>
        </w:rPr>
        <w:t>ngiotensin converting enzyme 2</w:t>
      </w:r>
      <w:r w:rsidR="00C03A7C" w:rsidRPr="00756DC7">
        <w:rPr>
          <w:rFonts w:ascii="Book Antiqua" w:hAnsi="Book Antiqua"/>
          <w:color w:val="000000"/>
          <w:sz w:val="24"/>
        </w:rPr>
        <w:t xml:space="preserve"> (ACE2) </w:t>
      </w:r>
      <w:r w:rsidRPr="00756DC7">
        <w:rPr>
          <w:rFonts w:ascii="Book Antiqua" w:hAnsi="Book Antiqua"/>
          <w:color w:val="000000"/>
          <w:sz w:val="24"/>
        </w:rPr>
        <w:t>receptor</w:t>
      </w:r>
      <w:r w:rsidRPr="00756DC7">
        <w:rPr>
          <w:rFonts w:ascii="Book Antiqua" w:hAnsi="Book Antiqua"/>
          <w:color w:val="000000"/>
          <w:sz w:val="24"/>
          <w:vertAlign w:val="superscript"/>
        </w:rPr>
        <w:t>[2]</w:t>
      </w:r>
      <w:r w:rsidRPr="00756DC7">
        <w:rPr>
          <w:rFonts w:ascii="Book Antiqua" w:hAnsi="Book Antiqua"/>
          <w:color w:val="000000"/>
          <w:sz w:val="24"/>
        </w:rPr>
        <w:t xml:space="preserve">. It is reported that up to 60% of SARS patients have abnormal liver </w:t>
      </w:r>
      <w:proofErr w:type="gramStart"/>
      <w:r w:rsidRPr="00756DC7">
        <w:rPr>
          <w:rFonts w:ascii="Book Antiqua" w:hAnsi="Book Antiqua"/>
          <w:color w:val="000000"/>
          <w:sz w:val="24"/>
        </w:rPr>
        <w:t>function</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3]</w:t>
      </w:r>
      <w:r w:rsidR="0089376C" w:rsidRPr="00756DC7">
        <w:rPr>
          <w:rFonts w:ascii="Book Antiqua" w:hAnsi="Book Antiqua"/>
          <w:color w:val="000000"/>
          <w:sz w:val="24"/>
        </w:rPr>
        <w:t xml:space="preserve">. </w:t>
      </w:r>
      <w:r w:rsidRPr="00756DC7">
        <w:rPr>
          <w:rFonts w:ascii="Book Antiqua" w:hAnsi="Book Antiqua"/>
          <w:color w:val="000000"/>
          <w:sz w:val="24"/>
        </w:rPr>
        <w:t>A recent epidemiological study show</w:t>
      </w:r>
      <w:r w:rsidR="00C03A7C" w:rsidRPr="00756DC7">
        <w:rPr>
          <w:rFonts w:ascii="Book Antiqua" w:hAnsi="Book Antiqua"/>
          <w:color w:val="000000"/>
          <w:sz w:val="24"/>
        </w:rPr>
        <w:t>ed</w:t>
      </w:r>
      <w:r w:rsidRPr="00756DC7">
        <w:rPr>
          <w:rFonts w:ascii="Book Antiqua" w:hAnsi="Book Antiqua"/>
          <w:color w:val="000000"/>
          <w:sz w:val="24"/>
        </w:rPr>
        <w:t xml:space="preserve"> that 43 cases </w:t>
      </w:r>
      <w:r w:rsidR="004A6373" w:rsidRPr="00756DC7">
        <w:rPr>
          <w:rFonts w:ascii="Book Antiqua" w:hAnsi="Book Antiqua"/>
          <w:color w:val="000000"/>
          <w:sz w:val="24"/>
        </w:rPr>
        <w:t xml:space="preserve">of COVID-19 </w:t>
      </w:r>
      <w:r w:rsidR="00C03A7C" w:rsidRPr="00756DC7">
        <w:rPr>
          <w:rFonts w:ascii="Book Antiqua" w:hAnsi="Book Antiqua"/>
          <w:color w:val="000000"/>
          <w:sz w:val="24"/>
        </w:rPr>
        <w:t xml:space="preserve">had </w:t>
      </w:r>
      <w:r w:rsidRPr="00756DC7">
        <w:rPr>
          <w:rFonts w:ascii="Book Antiqua" w:hAnsi="Book Antiqua"/>
          <w:color w:val="000000"/>
          <w:sz w:val="24"/>
        </w:rPr>
        <w:t>varying degrees of liver function abnormalit</w:t>
      </w:r>
      <w:r w:rsidR="00C03A7C" w:rsidRPr="00756DC7">
        <w:rPr>
          <w:rFonts w:ascii="Book Antiqua" w:hAnsi="Book Antiqua"/>
          <w:color w:val="000000"/>
          <w:sz w:val="24"/>
        </w:rPr>
        <w:t>ies</w:t>
      </w:r>
      <w:r w:rsidRPr="00756DC7">
        <w:rPr>
          <w:rFonts w:ascii="Book Antiqua" w:hAnsi="Book Antiqua"/>
          <w:color w:val="000000"/>
          <w:sz w:val="24"/>
        </w:rPr>
        <w:t xml:space="preserve">, </w:t>
      </w:r>
      <w:r w:rsidR="00A646CE" w:rsidRPr="00756DC7">
        <w:rPr>
          <w:rFonts w:ascii="Book Antiqua" w:hAnsi="Book Antiqua"/>
          <w:color w:val="000000"/>
          <w:sz w:val="24"/>
        </w:rPr>
        <w:t xml:space="preserve">and higher </w:t>
      </w:r>
      <w:r w:rsidRPr="00756DC7">
        <w:rPr>
          <w:rFonts w:ascii="Book Antiqua" w:hAnsi="Book Antiqua"/>
          <w:color w:val="000000"/>
          <w:sz w:val="24"/>
        </w:rPr>
        <w:t xml:space="preserve">alanine aminotransferase (ALT) or aspartate aminotransferase (AST) </w:t>
      </w:r>
      <w:r w:rsidR="00C735D1" w:rsidRPr="00756DC7">
        <w:rPr>
          <w:rFonts w:ascii="Book Antiqua" w:hAnsi="Book Antiqua"/>
          <w:color w:val="000000"/>
          <w:sz w:val="24"/>
        </w:rPr>
        <w:t>level</w:t>
      </w:r>
      <w:r w:rsidRPr="00756DC7">
        <w:rPr>
          <w:rFonts w:ascii="Book Antiqua" w:hAnsi="Book Antiqua"/>
          <w:color w:val="000000"/>
          <w:sz w:val="24"/>
        </w:rPr>
        <w:t xml:space="preserve">, and 1 </w:t>
      </w:r>
      <w:r w:rsidR="00C03A7C" w:rsidRPr="00756DC7">
        <w:rPr>
          <w:rFonts w:ascii="Book Antiqua" w:hAnsi="Book Antiqua"/>
          <w:color w:val="000000"/>
          <w:sz w:val="24"/>
        </w:rPr>
        <w:t xml:space="preserve">of 99 </w:t>
      </w:r>
      <w:r w:rsidRPr="00756DC7">
        <w:rPr>
          <w:rFonts w:ascii="Book Antiqua" w:hAnsi="Book Antiqua"/>
          <w:color w:val="000000"/>
          <w:sz w:val="24"/>
        </w:rPr>
        <w:t>patient</w:t>
      </w:r>
      <w:r w:rsidR="00C03A7C" w:rsidRPr="00756DC7">
        <w:rPr>
          <w:rFonts w:ascii="Book Antiqua" w:hAnsi="Book Antiqua"/>
          <w:color w:val="000000"/>
          <w:sz w:val="24"/>
        </w:rPr>
        <w:t xml:space="preserve">s with </w:t>
      </w:r>
      <w:r w:rsidR="00C735D1" w:rsidRPr="00756DC7">
        <w:rPr>
          <w:rFonts w:ascii="Book Antiqua" w:hAnsi="Book Antiqua"/>
          <w:color w:val="000000"/>
          <w:sz w:val="24"/>
        </w:rPr>
        <w:t>COVID-</w:t>
      </w:r>
      <w:r w:rsidR="004A6373" w:rsidRPr="00756DC7">
        <w:rPr>
          <w:rFonts w:ascii="Book Antiqua" w:hAnsi="Book Antiqua"/>
          <w:color w:val="000000"/>
          <w:sz w:val="24"/>
        </w:rPr>
        <w:t>19</w:t>
      </w:r>
      <w:r w:rsidR="00C03A7C" w:rsidRPr="00756DC7">
        <w:rPr>
          <w:rFonts w:ascii="Book Antiqua" w:hAnsi="Book Antiqua"/>
          <w:color w:val="000000"/>
          <w:sz w:val="24"/>
        </w:rPr>
        <w:t xml:space="preserve"> had</w:t>
      </w:r>
      <w:r w:rsidRPr="00756DC7">
        <w:rPr>
          <w:rFonts w:ascii="Book Antiqua" w:hAnsi="Book Antiqua"/>
          <w:color w:val="000000"/>
          <w:sz w:val="24"/>
        </w:rPr>
        <w:t xml:space="preserve"> serious liver </w:t>
      </w:r>
      <w:proofErr w:type="gramStart"/>
      <w:r w:rsidRPr="00756DC7">
        <w:rPr>
          <w:rFonts w:ascii="Book Antiqua" w:hAnsi="Book Antiqua"/>
          <w:color w:val="000000"/>
          <w:sz w:val="24"/>
        </w:rPr>
        <w:t>damage</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4]</w:t>
      </w:r>
      <w:r w:rsidRPr="00756DC7">
        <w:rPr>
          <w:rFonts w:ascii="Book Antiqua" w:hAnsi="Book Antiqua"/>
          <w:color w:val="000000"/>
          <w:sz w:val="24"/>
        </w:rPr>
        <w:t xml:space="preserve">. The liver function </w:t>
      </w:r>
      <w:r w:rsidR="00C03A7C" w:rsidRPr="00756DC7">
        <w:rPr>
          <w:rFonts w:ascii="Book Antiqua" w:hAnsi="Book Antiqua"/>
          <w:color w:val="000000"/>
          <w:sz w:val="24"/>
        </w:rPr>
        <w:t xml:space="preserve">abnormalities </w:t>
      </w:r>
      <w:r w:rsidRPr="00756DC7">
        <w:rPr>
          <w:rFonts w:ascii="Book Antiqua" w:hAnsi="Book Antiqua"/>
          <w:color w:val="000000"/>
          <w:sz w:val="24"/>
        </w:rPr>
        <w:t xml:space="preserve">in COVID-19 patients were mainly manifested </w:t>
      </w:r>
      <w:r w:rsidR="00F500E1" w:rsidRPr="00756DC7">
        <w:rPr>
          <w:rFonts w:ascii="Book Antiqua" w:hAnsi="Book Antiqua"/>
          <w:color w:val="000000"/>
          <w:sz w:val="24"/>
        </w:rPr>
        <w:t xml:space="preserve">as </w:t>
      </w:r>
      <w:r w:rsidRPr="00756DC7">
        <w:rPr>
          <w:rFonts w:ascii="Book Antiqua" w:hAnsi="Book Antiqua"/>
          <w:color w:val="000000"/>
          <w:sz w:val="24"/>
        </w:rPr>
        <w:t xml:space="preserve">abnormal levels of ALT or AST, with a slight increase in bilirubin levels. In </w:t>
      </w:r>
      <w:r w:rsidR="00C03A7C" w:rsidRPr="00756DC7">
        <w:rPr>
          <w:rFonts w:ascii="Book Antiqua" w:hAnsi="Book Antiqua"/>
          <w:color w:val="000000"/>
          <w:sz w:val="24"/>
        </w:rPr>
        <w:t>a</w:t>
      </w:r>
      <w:r w:rsidRPr="00756DC7">
        <w:rPr>
          <w:rFonts w:ascii="Book Antiqua" w:hAnsi="Book Antiqua"/>
          <w:color w:val="000000"/>
          <w:sz w:val="24"/>
        </w:rPr>
        <w:t xml:space="preserve"> study of 69 patients by Wang </w:t>
      </w:r>
      <w:r w:rsidRPr="00756DC7">
        <w:rPr>
          <w:rFonts w:ascii="Book Antiqua" w:hAnsi="Book Antiqua"/>
          <w:i/>
          <w:color w:val="000000"/>
          <w:sz w:val="24"/>
        </w:rPr>
        <w:t xml:space="preserve">et </w:t>
      </w:r>
      <w:proofErr w:type="gramStart"/>
      <w:r w:rsidRPr="00756DC7">
        <w:rPr>
          <w:rFonts w:ascii="Book Antiqua" w:hAnsi="Book Antiqua"/>
          <w:i/>
          <w:color w:val="000000"/>
          <w:sz w:val="24"/>
        </w:rPr>
        <w:t>al</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5]</w:t>
      </w:r>
      <w:r w:rsidRPr="00756DC7">
        <w:rPr>
          <w:rFonts w:ascii="Book Antiqua" w:hAnsi="Book Antiqua"/>
          <w:color w:val="000000"/>
          <w:sz w:val="24"/>
        </w:rPr>
        <w:t>, 23 had elevated ALT (33%) and 19 had elevated AST (28%).</w:t>
      </w:r>
      <w:r w:rsidR="00C03A7C" w:rsidRPr="00756DC7">
        <w:rPr>
          <w:rFonts w:ascii="Book Antiqua" w:hAnsi="Book Antiqua"/>
          <w:color w:val="000000"/>
          <w:sz w:val="24"/>
        </w:rPr>
        <w:t xml:space="preserve"> In t</w:t>
      </w:r>
      <w:r w:rsidRPr="00756DC7">
        <w:rPr>
          <w:rFonts w:ascii="Book Antiqua" w:hAnsi="Book Antiqua"/>
          <w:color w:val="000000"/>
          <w:sz w:val="24"/>
        </w:rPr>
        <w:t xml:space="preserve">he study by Cai </w:t>
      </w:r>
      <w:r w:rsidRPr="00756DC7">
        <w:rPr>
          <w:rFonts w:ascii="Book Antiqua" w:hAnsi="Book Antiqua"/>
          <w:i/>
          <w:color w:val="000000"/>
          <w:sz w:val="24"/>
        </w:rPr>
        <w:t xml:space="preserve">et </w:t>
      </w:r>
      <w:proofErr w:type="gramStart"/>
      <w:r w:rsidRPr="00756DC7">
        <w:rPr>
          <w:rFonts w:ascii="Book Antiqua" w:hAnsi="Book Antiqua"/>
          <w:i/>
          <w:color w:val="000000"/>
          <w:sz w:val="24"/>
        </w:rPr>
        <w:t>al</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6]</w:t>
      </w:r>
      <w:r w:rsidR="00C03A7C" w:rsidRPr="00756DC7">
        <w:rPr>
          <w:rFonts w:ascii="Book Antiqua" w:hAnsi="Book Antiqua"/>
          <w:color w:val="000000"/>
          <w:sz w:val="24"/>
        </w:rPr>
        <w:t xml:space="preserve">, </w:t>
      </w:r>
      <w:r w:rsidRPr="00756DC7">
        <w:rPr>
          <w:rFonts w:ascii="Book Antiqua" w:hAnsi="Book Antiqua"/>
          <w:color w:val="000000"/>
          <w:sz w:val="24"/>
        </w:rPr>
        <w:t xml:space="preserve">44 of 298 patients (14.8%) had liver injury, </w:t>
      </w:r>
      <w:r w:rsidR="00C03A7C" w:rsidRPr="00756DC7">
        <w:rPr>
          <w:rFonts w:ascii="Book Antiqua" w:hAnsi="Book Antiqua"/>
          <w:color w:val="000000"/>
          <w:sz w:val="24"/>
        </w:rPr>
        <w:t>and those with</w:t>
      </w:r>
      <w:r w:rsidRPr="00756DC7">
        <w:rPr>
          <w:rFonts w:ascii="Book Antiqua" w:hAnsi="Book Antiqua"/>
          <w:color w:val="000000"/>
          <w:sz w:val="24"/>
        </w:rPr>
        <w:t xml:space="preserve"> severe </w:t>
      </w:r>
      <w:r w:rsidR="00C03A7C" w:rsidRPr="00756DC7">
        <w:rPr>
          <w:rFonts w:ascii="Book Antiqua" w:hAnsi="Book Antiqua"/>
          <w:color w:val="000000"/>
          <w:sz w:val="24"/>
        </w:rPr>
        <w:t>liver injury</w:t>
      </w:r>
      <w:r w:rsidRPr="00756DC7">
        <w:rPr>
          <w:rFonts w:ascii="Book Antiqua" w:hAnsi="Book Antiqua"/>
          <w:color w:val="000000"/>
          <w:sz w:val="24"/>
        </w:rPr>
        <w:t xml:space="preserve"> (36.2%) were more prone </w:t>
      </w:r>
      <w:r w:rsidR="00C03A7C" w:rsidRPr="00756DC7">
        <w:rPr>
          <w:rFonts w:ascii="Book Antiqua" w:hAnsi="Book Antiqua"/>
          <w:color w:val="000000"/>
          <w:sz w:val="24"/>
        </w:rPr>
        <w:t>to these elevations</w:t>
      </w:r>
      <w:r w:rsidR="00BE67D1" w:rsidRPr="00756DC7">
        <w:rPr>
          <w:rFonts w:ascii="Book Antiqua" w:hAnsi="Book Antiqua"/>
          <w:color w:val="000000"/>
          <w:sz w:val="24"/>
        </w:rPr>
        <w:t xml:space="preserve"> </w:t>
      </w:r>
      <w:r w:rsidRPr="00756DC7">
        <w:rPr>
          <w:rFonts w:ascii="Book Antiqua" w:hAnsi="Book Antiqua"/>
          <w:color w:val="000000"/>
          <w:sz w:val="24"/>
        </w:rPr>
        <w:t xml:space="preserve">than </w:t>
      </w:r>
      <w:r w:rsidR="00C03A7C" w:rsidRPr="00756DC7">
        <w:rPr>
          <w:rFonts w:ascii="Book Antiqua" w:hAnsi="Book Antiqua"/>
          <w:color w:val="000000"/>
          <w:sz w:val="24"/>
        </w:rPr>
        <w:t>patients with</w:t>
      </w:r>
      <w:r w:rsidRPr="00756DC7">
        <w:rPr>
          <w:rFonts w:ascii="Book Antiqua" w:hAnsi="Book Antiqua"/>
          <w:color w:val="000000"/>
          <w:sz w:val="24"/>
        </w:rPr>
        <w:t xml:space="preserve"> </w:t>
      </w:r>
      <w:r w:rsidR="00C03A7C" w:rsidRPr="00756DC7">
        <w:rPr>
          <w:rFonts w:ascii="Book Antiqua" w:hAnsi="Book Antiqua"/>
          <w:color w:val="000000"/>
          <w:sz w:val="24"/>
        </w:rPr>
        <w:t>mild liver injury</w:t>
      </w:r>
      <w:r w:rsidRPr="00756DC7">
        <w:rPr>
          <w:rFonts w:ascii="Book Antiqua" w:hAnsi="Book Antiqua"/>
          <w:color w:val="000000"/>
          <w:sz w:val="24"/>
        </w:rPr>
        <w:t xml:space="preserve"> (9.6%). According to </w:t>
      </w:r>
      <w:r w:rsidR="00C3237C" w:rsidRPr="00756DC7">
        <w:rPr>
          <w:rFonts w:ascii="Book Antiqua" w:hAnsi="Book Antiqua"/>
          <w:color w:val="000000"/>
          <w:sz w:val="24"/>
        </w:rPr>
        <w:t xml:space="preserve">the study by </w:t>
      </w:r>
      <w:r w:rsidRPr="00756DC7">
        <w:rPr>
          <w:rFonts w:ascii="Book Antiqua" w:hAnsi="Book Antiqua"/>
          <w:color w:val="000000"/>
          <w:sz w:val="24"/>
        </w:rPr>
        <w:t xml:space="preserve">Zhang </w:t>
      </w:r>
      <w:r w:rsidRPr="00756DC7">
        <w:rPr>
          <w:rFonts w:ascii="Book Antiqua" w:hAnsi="Book Antiqua"/>
          <w:i/>
          <w:color w:val="000000"/>
          <w:sz w:val="24"/>
        </w:rPr>
        <w:t xml:space="preserve">et </w:t>
      </w:r>
      <w:proofErr w:type="gramStart"/>
      <w:r w:rsidRPr="00756DC7">
        <w:rPr>
          <w:rFonts w:ascii="Book Antiqua" w:hAnsi="Book Antiqua"/>
          <w:i/>
          <w:color w:val="000000"/>
          <w:sz w:val="24"/>
        </w:rPr>
        <w:t>al</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7]</w:t>
      </w:r>
      <w:r w:rsidRPr="00756DC7">
        <w:rPr>
          <w:rFonts w:ascii="Book Antiqua" w:hAnsi="Book Antiqua"/>
          <w:color w:val="000000"/>
          <w:sz w:val="24"/>
        </w:rPr>
        <w:t xml:space="preserve">, the incidence of liver injury may be as high as 78% among 82 deaths of laboratory-confirmed SARS-CoV-2 infection. In this study, we analyzed the etiology of liver injury and the corresponding countermeasures to provide </w:t>
      </w:r>
      <w:r w:rsidR="005C5F64" w:rsidRPr="00756DC7">
        <w:rPr>
          <w:rFonts w:ascii="Book Antiqua" w:hAnsi="Book Antiqua"/>
          <w:color w:val="000000"/>
          <w:sz w:val="24"/>
        </w:rPr>
        <w:t xml:space="preserve">a </w:t>
      </w:r>
      <w:r w:rsidRPr="00756DC7">
        <w:rPr>
          <w:rFonts w:ascii="Book Antiqua" w:hAnsi="Book Antiqua"/>
          <w:color w:val="000000"/>
          <w:sz w:val="24"/>
        </w:rPr>
        <w:t>reference for clinical management.</w:t>
      </w:r>
    </w:p>
    <w:p w:rsidR="0042150A" w:rsidRPr="00756DC7" w:rsidRDefault="0042150A" w:rsidP="001E7706">
      <w:pPr>
        <w:adjustRightInd w:val="0"/>
        <w:snapToGrid w:val="0"/>
        <w:spacing w:line="360" w:lineRule="auto"/>
        <w:rPr>
          <w:rFonts w:ascii="Book Antiqua" w:hAnsi="Book Antiqua"/>
          <w:color w:val="000000"/>
          <w:sz w:val="24"/>
        </w:rPr>
      </w:pPr>
    </w:p>
    <w:p w:rsidR="00687F14" w:rsidRPr="00756DC7" w:rsidRDefault="00687F14" w:rsidP="001E7706">
      <w:pPr>
        <w:adjustRightInd w:val="0"/>
        <w:snapToGrid w:val="0"/>
        <w:spacing w:line="360" w:lineRule="auto"/>
        <w:rPr>
          <w:rFonts w:ascii="Book Antiqua" w:hAnsi="Book Antiqua"/>
          <w:b/>
          <w:bCs/>
          <w:color w:val="000000"/>
          <w:sz w:val="24"/>
          <w:u w:val="single"/>
        </w:rPr>
      </w:pPr>
      <w:r w:rsidRPr="00756DC7">
        <w:rPr>
          <w:rFonts w:ascii="Book Antiqua" w:hAnsi="Book Antiqua"/>
          <w:b/>
          <w:bCs/>
          <w:color w:val="000000"/>
          <w:sz w:val="24"/>
          <w:u w:val="single"/>
        </w:rPr>
        <w:t>D</w:t>
      </w:r>
      <w:r w:rsidR="00BE67D1" w:rsidRPr="00756DC7">
        <w:rPr>
          <w:rFonts w:ascii="Book Antiqua" w:hAnsi="Book Antiqua"/>
          <w:b/>
          <w:bCs/>
          <w:color w:val="000000"/>
          <w:sz w:val="24"/>
          <w:u w:val="single"/>
        </w:rPr>
        <w:t>IRECT EFFECT OF</w:t>
      </w:r>
      <w:r w:rsidRPr="00756DC7">
        <w:rPr>
          <w:rFonts w:ascii="Book Antiqua" w:hAnsi="Book Antiqua"/>
          <w:b/>
          <w:bCs/>
          <w:color w:val="000000"/>
          <w:sz w:val="24"/>
          <w:u w:val="single"/>
        </w:rPr>
        <w:t xml:space="preserve"> SARS-CoV-2 </w:t>
      </w:r>
      <w:r w:rsidR="00BE67D1" w:rsidRPr="00756DC7">
        <w:rPr>
          <w:rFonts w:ascii="Book Antiqua" w:hAnsi="Book Antiqua"/>
          <w:b/>
          <w:bCs/>
          <w:color w:val="000000"/>
          <w:sz w:val="24"/>
          <w:u w:val="single"/>
        </w:rPr>
        <w:t xml:space="preserve">ON </w:t>
      </w:r>
      <w:r w:rsidR="005C6170" w:rsidRPr="00756DC7">
        <w:rPr>
          <w:rFonts w:ascii="Book Antiqua" w:hAnsi="Book Antiqua"/>
          <w:b/>
          <w:bCs/>
          <w:color w:val="000000"/>
          <w:sz w:val="24"/>
          <w:u w:val="single"/>
        </w:rPr>
        <w:t>the</w:t>
      </w:r>
      <w:r w:rsidR="00BE67D1" w:rsidRPr="00756DC7">
        <w:rPr>
          <w:rFonts w:ascii="Book Antiqua" w:hAnsi="Book Antiqua"/>
          <w:b/>
          <w:bCs/>
          <w:color w:val="000000"/>
          <w:sz w:val="24"/>
          <w:u w:val="single"/>
        </w:rPr>
        <w:t xml:space="preserve"> LIVER</w:t>
      </w:r>
    </w:p>
    <w:p w:rsidR="00FE3529" w:rsidRPr="00756DC7" w:rsidRDefault="005C5F64" w:rsidP="001E7706">
      <w:pPr>
        <w:adjustRightInd w:val="0"/>
        <w:snapToGrid w:val="0"/>
        <w:spacing w:line="360" w:lineRule="auto"/>
        <w:rPr>
          <w:rFonts w:ascii="Book Antiqua" w:hAnsi="Book Antiqua"/>
          <w:color w:val="000000"/>
          <w:sz w:val="24"/>
        </w:rPr>
      </w:pPr>
      <w:r w:rsidRPr="00756DC7">
        <w:rPr>
          <w:rFonts w:ascii="Book Antiqua" w:hAnsi="Book Antiqua"/>
          <w:color w:val="000000"/>
          <w:sz w:val="24"/>
        </w:rPr>
        <w:t xml:space="preserve">Liver damage in </w:t>
      </w:r>
      <w:r w:rsidR="00687F14" w:rsidRPr="00756DC7">
        <w:rPr>
          <w:rFonts w:ascii="Book Antiqua" w:hAnsi="Book Antiqua"/>
          <w:color w:val="000000"/>
          <w:sz w:val="24"/>
        </w:rPr>
        <w:t>COVID</w:t>
      </w:r>
      <w:r w:rsidR="00C3237C" w:rsidRPr="00756DC7">
        <w:rPr>
          <w:rFonts w:ascii="Book Antiqua" w:hAnsi="Book Antiqua"/>
          <w:color w:val="000000"/>
          <w:sz w:val="24"/>
        </w:rPr>
        <w:t>-</w:t>
      </w:r>
      <w:r w:rsidR="00687F14" w:rsidRPr="00756DC7">
        <w:rPr>
          <w:rFonts w:ascii="Book Antiqua" w:hAnsi="Book Antiqua"/>
          <w:color w:val="000000"/>
          <w:sz w:val="24"/>
        </w:rPr>
        <w:t xml:space="preserve">19 patients may be caused by </w:t>
      </w:r>
      <w:r w:rsidRPr="00756DC7">
        <w:rPr>
          <w:rFonts w:ascii="Book Antiqua" w:hAnsi="Book Antiqua"/>
          <w:color w:val="000000"/>
          <w:sz w:val="24"/>
        </w:rPr>
        <w:t xml:space="preserve">the </w:t>
      </w:r>
      <w:r w:rsidR="00687F14" w:rsidRPr="00756DC7">
        <w:rPr>
          <w:rFonts w:ascii="Book Antiqua" w:hAnsi="Book Antiqua"/>
          <w:color w:val="000000"/>
          <w:sz w:val="24"/>
        </w:rPr>
        <w:t>virus directly infect</w:t>
      </w:r>
      <w:r w:rsidRPr="00756DC7">
        <w:rPr>
          <w:rFonts w:ascii="Book Antiqua" w:hAnsi="Book Antiqua"/>
          <w:color w:val="000000"/>
          <w:sz w:val="24"/>
        </w:rPr>
        <w:t xml:space="preserve">ing </w:t>
      </w:r>
      <w:r w:rsidR="00687F14" w:rsidRPr="00756DC7">
        <w:rPr>
          <w:rFonts w:ascii="Book Antiqua" w:hAnsi="Book Antiqua"/>
          <w:color w:val="000000"/>
          <w:sz w:val="24"/>
        </w:rPr>
        <w:t>liver cells. Previous studies have shown that some viruses that primarily target the upper respiratory tract also affect the liver, such as SARS-</w:t>
      </w:r>
      <w:proofErr w:type="spellStart"/>
      <w:r w:rsidR="00687F14" w:rsidRPr="00756DC7">
        <w:rPr>
          <w:rFonts w:ascii="Book Antiqua" w:hAnsi="Book Antiqua"/>
          <w:color w:val="000000"/>
          <w:sz w:val="24"/>
        </w:rPr>
        <w:t>CoV</w:t>
      </w:r>
      <w:proofErr w:type="spellEnd"/>
      <w:r w:rsidR="00687F14" w:rsidRPr="00756DC7">
        <w:rPr>
          <w:rFonts w:ascii="Book Antiqua" w:hAnsi="Book Antiqua"/>
          <w:color w:val="000000"/>
          <w:sz w:val="24"/>
        </w:rPr>
        <w:t xml:space="preserve">, which causes </w:t>
      </w:r>
      <w:r w:rsidR="004F0C8B" w:rsidRPr="00756DC7">
        <w:rPr>
          <w:rFonts w:ascii="Book Antiqua" w:hAnsi="Book Antiqua"/>
          <w:color w:val="000000"/>
          <w:sz w:val="24"/>
        </w:rPr>
        <w:t>SARS</w:t>
      </w:r>
      <w:r w:rsidR="00687F14" w:rsidRPr="00756DC7">
        <w:rPr>
          <w:rFonts w:ascii="Book Antiqua" w:hAnsi="Book Antiqua"/>
          <w:color w:val="000000"/>
          <w:sz w:val="24"/>
        </w:rPr>
        <w:t>, and MERS-</w:t>
      </w:r>
      <w:proofErr w:type="spellStart"/>
      <w:r w:rsidR="00687F14" w:rsidRPr="00756DC7">
        <w:rPr>
          <w:rFonts w:ascii="Book Antiqua" w:hAnsi="Book Antiqua"/>
          <w:color w:val="000000"/>
          <w:sz w:val="24"/>
        </w:rPr>
        <w:t>CoV</w:t>
      </w:r>
      <w:proofErr w:type="spellEnd"/>
      <w:r w:rsidR="00687F14" w:rsidRPr="00756DC7">
        <w:rPr>
          <w:rFonts w:ascii="Book Antiqua" w:hAnsi="Book Antiqua"/>
          <w:color w:val="000000"/>
          <w:sz w:val="24"/>
        </w:rPr>
        <w:t xml:space="preserve">, which causes Middle East respiratory </w:t>
      </w:r>
      <w:proofErr w:type="gramStart"/>
      <w:r w:rsidR="00687F14" w:rsidRPr="00756DC7">
        <w:rPr>
          <w:rFonts w:ascii="Book Antiqua" w:hAnsi="Book Antiqua"/>
          <w:color w:val="000000"/>
          <w:sz w:val="24"/>
        </w:rPr>
        <w:t>syndrome</w:t>
      </w:r>
      <w:r w:rsidR="00687F14" w:rsidRPr="00756DC7">
        <w:rPr>
          <w:rFonts w:ascii="Book Antiqua" w:hAnsi="Book Antiqua"/>
          <w:color w:val="000000"/>
          <w:sz w:val="24"/>
          <w:vertAlign w:val="superscript"/>
        </w:rPr>
        <w:t>[</w:t>
      </w:r>
      <w:proofErr w:type="gramEnd"/>
      <w:r w:rsidR="00687F14" w:rsidRPr="00756DC7">
        <w:rPr>
          <w:rFonts w:ascii="Book Antiqua" w:hAnsi="Book Antiqua"/>
          <w:color w:val="000000"/>
          <w:sz w:val="24"/>
          <w:vertAlign w:val="superscript"/>
        </w:rPr>
        <w:t>8]</w:t>
      </w:r>
      <w:r w:rsidR="00687F14" w:rsidRPr="00756DC7">
        <w:rPr>
          <w:rFonts w:ascii="Book Antiqua" w:hAnsi="Book Antiqua"/>
          <w:color w:val="000000"/>
          <w:sz w:val="24"/>
        </w:rPr>
        <w:t xml:space="preserve">. In the study </w:t>
      </w:r>
      <w:r w:rsidRPr="00756DC7">
        <w:rPr>
          <w:rFonts w:ascii="Book Antiqua" w:hAnsi="Book Antiqua"/>
          <w:color w:val="000000"/>
          <w:sz w:val="24"/>
        </w:rPr>
        <w:t>by</w:t>
      </w:r>
      <w:r w:rsidR="00687F14" w:rsidRPr="00756DC7">
        <w:rPr>
          <w:rFonts w:ascii="Book Antiqua" w:hAnsi="Book Antiqua"/>
          <w:color w:val="000000"/>
          <w:sz w:val="24"/>
        </w:rPr>
        <w:t xml:space="preserve"> Greenough </w:t>
      </w:r>
      <w:r w:rsidR="00687F14" w:rsidRPr="00756DC7">
        <w:rPr>
          <w:rFonts w:ascii="Book Antiqua" w:hAnsi="Book Antiqua"/>
          <w:i/>
          <w:color w:val="000000"/>
          <w:sz w:val="24"/>
        </w:rPr>
        <w:t xml:space="preserve">et </w:t>
      </w:r>
      <w:proofErr w:type="gramStart"/>
      <w:r w:rsidR="00687F14" w:rsidRPr="00756DC7">
        <w:rPr>
          <w:rFonts w:ascii="Book Antiqua" w:hAnsi="Book Antiqua"/>
          <w:i/>
          <w:color w:val="000000"/>
          <w:sz w:val="24"/>
        </w:rPr>
        <w:t>al</w:t>
      </w:r>
      <w:r w:rsidR="00687F14" w:rsidRPr="00756DC7">
        <w:rPr>
          <w:rFonts w:ascii="Book Antiqua" w:hAnsi="Book Antiqua"/>
          <w:color w:val="000000"/>
          <w:sz w:val="24"/>
          <w:vertAlign w:val="superscript"/>
        </w:rPr>
        <w:t>[</w:t>
      </w:r>
      <w:proofErr w:type="gramEnd"/>
      <w:r w:rsidR="00687F14" w:rsidRPr="00756DC7">
        <w:rPr>
          <w:rFonts w:ascii="Book Antiqua" w:hAnsi="Book Antiqua"/>
          <w:color w:val="000000"/>
          <w:sz w:val="24"/>
          <w:vertAlign w:val="superscript"/>
        </w:rPr>
        <w:t>9]</w:t>
      </w:r>
      <w:r w:rsidR="00687F14" w:rsidRPr="00756DC7">
        <w:rPr>
          <w:rFonts w:ascii="Book Antiqua" w:hAnsi="Book Antiqua"/>
          <w:color w:val="000000"/>
          <w:sz w:val="24"/>
        </w:rPr>
        <w:t xml:space="preserve">, </w:t>
      </w:r>
      <w:r w:rsidR="001808CB" w:rsidRPr="00756DC7">
        <w:rPr>
          <w:rFonts w:ascii="Book Antiqua" w:hAnsi="Book Antiqua"/>
          <w:color w:val="000000"/>
          <w:sz w:val="24"/>
        </w:rPr>
        <w:t xml:space="preserve">90% of the </w:t>
      </w:r>
      <w:r w:rsidR="00687F14" w:rsidRPr="00756DC7">
        <w:rPr>
          <w:rFonts w:ascii="Book Antiqua" w:hAnsi="Book Antiqua"/>
          <w:color w:val="000000"/>
          <w:sz w:val="24"/>
        </w:rPr>
        <w:t>patients infected with SARS-</w:t>
      </w:r>
      <w:proofErr w:type="spellStart"/>
      <w:r w:rsidR="00687F14" w:rsidRPr="00756DC7">
        <w:rPr>
          <w:rFonts w:ascii="Book Antiqua" w:hAnsi="Book Antiqua"/>
          <w:color w:val="000000"/>
          <w:sz w:val="24"/>
        </w:rPr>
        <w:t>CoV</w:t>
      </w:r>
      <w:proofErr w:type="spellEnd"/>
      <w:r w:rsidR="00687F14" w:rsidRPr="00756DC7">
        <w:rPr>
          <w:rFonts w:ascii="Book Antiqua" w:hAnsi="Book Antiqua"/>
          <w:color w:val="000000"/>
          <w:sz w:val="24"/>
        </w:rPr>
        <w:t xml:space="preserve"> </w:t>
      </w:r>
      <w:r w:rsidR="00FC2EF5" w:rsidRPr="00756DC7">
        <w:rPr>
          <w:rFonts w:ascii="Book Antiqua" w:hAnsi="Book Antiqua"/>
          <w:color w:val="000000"/>
          <w:sz w:val="24"/>
        </w:rPr>
        <w:t xml:space="preserve">had </w:t>
      </w:r>
      <w:r w:rsidR="00687F14" w:rsidRPr="00756DC7">
        <w:rPr>
          <w:rFonts w:ascii="Book Antiqua" w:hAnsi="Book Antiqua"/>
          <w:color w:val="000000"/>
          <w:sz w:val="24"/>
        </w:rPr>
        <w:t xml:space="preserve">decreased lymphocytes, </w:t>
      </w:r>
      <w:r w:rsidR="001808CB" w:rsidRPr="00756DC7">
        <w:rPr>
          <w:rFonts w:ascii="Book Antiqua" w:hAnsi="Book Antiqua"/>
          <w:color w:val="000000"/>
          <w:sz w:val="24"/>
        </w:rPr>
        <w:t xml:space="preserve">25% had </w:t>
      </w:r>
      <w:r w:rsidR="00687F14" w:rsidRPr="00756DC7">
        <w:rPr>
          <w:rFonts w:ascii="Book Antiqua" w:hAnsi="Book Antiqua"/>
          <w:color w:val="000000"/>
          <w:sz w:val="24"/>
        </w:rPr>
        <w:t xml:space="preserve">diarrhea, and </w:t>
      </w:r>
      <w:r w:rsidR="001808CB" w:rsidRPr="00756DC7">
        <w:rPr>
          <w:rFonts w:ascii="Book Antiqua" w:hAnsi="Book Antiqua"/>
          <w:color w:val="000000"/>
          <w:sz w:val="24"/>
        </w:rPr>
        <w:t xml:space="preserve">66% had </w:t>
      </w:r>
      <w:r w:rsidR="00687F14" w:rsidRPr="00756DC7">
        <w:rPr>
          <w:rFonts w:ascii="Book Antiqua" w:hAnsi="Book Antiqua"/>
          <w:color w:val="000000"/>
          <w:sz w:val="24"/>
        </w:rPr>
        <w:t>elevated plasma liver enzyme co</w:t>
      </w:r>
      <w:r w:rsidR="0042150A" w:rsidRPr="00756DC7">
        <w:rPr>
          <w:rFonts w:ascii="Book Antiqua" w:hAnsi="Book Antiqua"/>
          <w:color w:val="000000"/>
          <w:sz w:val="24"/>
        </w:rPr>
        <w:t xml:space="preserve">ncentration. </w:t>
      </w:r>
      <w:r w:rsidR="00FC2EF5" w:rsidRPr="00756DC7">
        <w:rPr>
          <w:rFonts w:ascii="Book Antiqua" w:hAnsi="Book Antiqua"/>
          <w:color w:val="000000"/>
          <w:sz w:val="24"/>
        </w:rPr>
        <w:t xml:space="preserve">Attention </w:t>
      </w:r>
      <w:r w:rsidRPr="00756DC7">
        <w:rPr>
          <w:rFonts w:ascii="Book Antiqua" w:hAnsi="Book Antiqua"/>
          <w:color w:val="000000"/>
          <w:sz w:val="24"/>
        </w:rPr>
        <w:t xml:space="preserve">should be </w:t>
      </w:r>
      <w:r w:rsidRPr="00756DC7">
        <w:rPr>
          <w:rFonts w:ascii="Book Antiqua" w:hAnsi="Book Antiqua"/>
          <w:color w:val="000000"/>
          <w:sz w:val="24"/>
        </w:rPr>
        <w:lastRenderedPageBreak/>
        <w:t xml:space="preserve">paid </w:t>
      </w:r>
      <w:r w:rsidR="00687F14" w:rsidRPr="00756DC7">
        <w:rPr>
          <w:rFonts w:ascii="Book Antiqua" w:hAnsi="Book Antiqua"/>
          <w:color w:val="000000"/>
          <w:sz w:val="24"/>
        </w:rPr>
        <w:t xml:space="preserve">to the elevation </w:t>
      </w:r>
      <w:r w:rsidRPr="00756DC7">
        <w:rPr>
          <w:rFonts w:ascii="Book Antiqua" w:hAnsi="Book Antiqua"/>
          <w:color w:val="000000"/>
          <w:sz w:val="24"/>
        </w:rPr>
        <w:t>in</w:t>
      </w:r>
      <w:r w:rsidR="00687F14" w:rsidRPr="00756DC7">
        <w:rPr>
          <w:rFonts w:ascii="Book Antiqua" w:hAnsi="Book Antiqua"/>
          <w:color w:val="000000"/>
          <w:sz w:val="24"/>
        </w:rPr>
        <w:t xml:space="preserve"> liver enzymes</w:t>
      </w:r>
      <w:r w:rsidR="00FC2EF5" w:rsidRPr="00756DC7">
        <w:rPr>
          <w:rFonts w:ascii="Book Antiqua" w:hAnsi="Book Antiqua"/>
          <w:color w:val="000000"/>
          <w:sz w:val="24"/>
        </w:rPr>
        <w:t>,</w:t>
      </w:r>
      <w:r w:rsidR="00687F14" w:rsidRPr="00756DC7">
        <w:rPr>
          <w:rFonts w:ascii="Book Antiqua" w:hAnsi="Book Antiqua"/>
          <w:color w:val="000000"/>
          <w:sz w:val="24"/>
        </w:rPr>
        <w:t xml:space="preserve"> and liver lesions</w:t>
      </w:r>
      <w:r w:rsidR="00D4068F" w:rsidRPr="00756DC7">
        <w:rPr>
          <w:rFonts w:ascii="Book Antiqua" w:hAnsi="Book Antiqua"/>
          <w:color w:val="000000"/>
          <w:sz w:val="24"/>
        </w:rPr>
        <w:t xml:space="preserve"> in these patients</w:t>
      </w:r>
      <w:r w:rsidR="00687F14" w:rsidRPr="00756DC7">
        <w:rPr>
          <w:rFonts w:ascii="Book Antiqua" w:hAnsi="Book Antiqua"/>
          <w:color w:val="000000"/>
          <w:sz w:val="24"/>
        </w:rPr>
        <w:t>. Liver cells expressing SARS-</w:t>
      </w:r>
      <w:proofErr w:type="spellStart"/>
      <w:r w:rsidR="00687F14" w:rsidRPr="00756DC7">
        <w:rPr>
          <w:rFonts w:ascii="Book Antiqua" w:hAnsi="Book Antiqua"/>
          <w:color w:val="000000"/>
          <w:sz w:val="24"/>
        </w:rPr>
        <w:t>CoV</w:t>
      </w:r>
      <w:proofErr w:type="spellEnd"/>
      <w:r w:rsidR="00687F14" w:rsidRPr="00756DC7">
        <w:rPr>
          <w:rFonts w:ascii="Book Antiqua" w:hAnsi="Book Antiqua"/>
          <w:color w:val="000000"/>
          <w:sz w:val="24"/>
        </w:rPr>
        <w:t xml:space="preserve"> protein were found in </w:t>
      </w:r>
      <w:r w:rsidR="00FC2EF5" w:rsidRPr="00756DC7">
        <w:rPr>
          <w:rFonts w:ascii="Book Antiqua" w:hAnsi="Book Antiqua"/>
          <w:color w:val="000000"/>
          <w:sz w:val="24"/>
        </w:rPr>
        <w:t xml:space="preserve">the deceased </w:t>
      </w:r>
      <w:r w:rsidR="00687F14" w:rsidRPr="00756DC7">
        <w:rPr>
          <w:rFonts w:ascii="Book Antiqua" w:hAnsi="Book Antiqua"/>
          <w:color w:val="000000"/>
          <w:sz w:val="24"/>
        </w:rPr>
        <w:t>SARS patients. Th</w:t>
      </w:r>
      <w:r w:rsidRPr="00756DC7">
        <w:rPr>
          <w:rFonts w:ascii="Book Antiqua" w:hAnsi="Book Antiqua"/>
          <w:color w:val="000000"/>
          <w:sz w:val="24"/>
        </w:rPr>
        <w:t>is</w:t>
      </w:r>
      <w:r w:rsidR="00687F14" w:rsidRPr="00756DC7">
        <w:rPr>
          <w:rFonts w:ascii="Book Antiqua" w:hAnsi="Book Antiqua"/>
          <w:color w:val="000000"/>
          <w:sz w:val="24"/>
        </w:rPr>
        <w:t xml:space="preserve"> indicated the possibility of direct viral infection of liver cells. In addition, autopsy results </w:t>
      </w:r>
      <w:r w:rsidR="0005136C" w:rsidRPr="00756DC7">
        <w:rPr>
          <w:rFonts w:ascii="Book Antiqua" w:hAnsi="Book Antiqua"/>
          <w:color w:val="000000"/>
          <w:sz w:val="24"/>
        </w:rPr>
        <w:t xml:space="preserve">in </w:t>
      </w:r>
      <w:r w:rsidR="00687F14" w:rsidRPr="00756DC7">
        <w:rPr>
          <w:rFonts w:ascii="Book Antiqua" w:hAnsi="Book Antiqua"/>
          <w:color w:val="000000"/>
          <w:sz w:val="24"/>
        </w:rPr>
        <w:t xml:space="preserve">patients with SARS showed a large number of </w:t>
      </w:r>
      <w:r w:rsidR="00FE5A98" w:rsidRPr="00756DC7">
        <w:rPr>
          <w:rFonts w:ascii="Book Antiqua" w:hAnsi="Book Antiqua"/>
          <w:color w:val="000000"/>
          <w:sz w:val="24"/>
        </w:rPr>
        <w:t xml:space="preserve">mitotic </w:t>
      </w:r>
      <w:r w:rsidR="00687F14" w:rsidRPr="00756DC7">
        <w:rPr>
          <w:rFonts w:ascii="Book Antiqua" w:hAnsi="Book Antiqua"/>
          <w:color w:val="000000"/>
          <w:sz w:val="24"/>
        </w:rPr>
        <w:t>liver cells, hepatocyte balloon degeneration</w:t>
      </w:r>
      <w:r w:rsidRPr="00756DC7">
        <w:rPr>
          <w:rFonts w:ascii="Book Antiqua" w:hAnsi="Book Antiqua"/>
          <w:color w:val="000000"/>
          <w:sz w:val="24"/>
        </w:rPr>
        <w:t>,</w:t>
      </w:r>
      <w:r w:rsidR="00687F14" w:rsidRPr="00756DC7">
        <w:rPr>
          <w:rFonts w:ascii="Book Antiqua" w:hAnsi="Book Antiqua"/>
          <w:color w:val="000000"/>
          <w:sz w:val="24"/>
        </w:rPr>
        <w:t xml:space="preserve"> mild inflammation, moderate lymphocyte infiltration</w:t>
      </w:r>
      <w:r w:rsidRPr="00756DC7">
        <w:rPr>
          <w:rFonts w:ascii="Book Antiqua" w:hAnsi="Book Antiqua"/>
          <w:color w:val="000000"/>
          <w:sz w:val="24"/>
        </w:rPr>
        <w:t>,</w:t>
      </w:r>
      <w:r w:rsidR="00687F14" w:rsidRPr="00756DC7">
        <w:rPr>
          <w:rFonts w:ascii="Book Antiqua" w:hAnsi="Book Antiqua"/>
          <w:color w:val="000000"/>
          <w:sz w:val="24"/>
        </w:rPr>
        <w:t xml:space="preserve"> steatosis, and central lobular necrosis, accompanied by obvious </w:t>
      </w:r>
      <w:proofErr w:type="gramStart"/>
      <w:r w:rsidR="00687F14" w:rsidRPr="00756DC7">
        <w:rPr>
          <w:rFonts w:ascii="Book Antiqua" w:hAnsi="Book Antiqua"/>
          <w:color w:val="000000"/>
          <w:sz w:val="24"/>
        </w:rPr>
        <w:t>apoptosis</w:t>
      </w:r>
      <w:r w:rsidR="00687F14" w:rsidRPr="00756DC7">
        <w:rPr>
          <w:rFonts w:ascii="Book Antiqua" w:hAnsi="Book Antiqua"/>
          <w:color w:val="000000"/>
          <w:sz w:val="24"/>
          <w:vertAlign w:val="superscript"/>
        </w:rPr>
        <w:t>[</w:t>
      </w:r>
      <w:proofErr w:type="gramEnd"/>
      <w:r w:rsidR="00687F14" w:rsidRPr="00756DC7">
        <w:rPr>
          <w:rFonts w:ascii="Book Antiqua" w:hAnsi="Book Antiqua"/>
          <w:color w:val="000000"/>
          <w:sz w:val="24"/>
          <w:vertAlign w:val="superscript"/>
        </w:rPr>
        <w:t>10]</w:t>
      </w:r>
      <w:r w:rsidR="00687F14" w:rsidRPr="00756DC7">
        <w:rPr>
          <w:rFonts w:ascii="Book Antiqua" w:hAnsi="Book Antiqua"/>
          <w:color w:val="000000"/>
          <w:sz w:val="24"/>
        </w:rPr>
        <w:t>.</w:t>
      </w:r>
      <w:r w:rsidR="00C3237C" w:rsidRPr="00756DC7">
        <w:rPr>
          <w:rFonts w:ascii="Book Antiqua" w:hAnsi="Book Antiqua"/>
          <w:color w:val="000000"/>
          <w:sz w:val="24"/>
        </w:rPr>
        <w:t xml:space="preserve"> </w:t>
      </w:r>
      <w:r w:rsidR="00687F14" w:rsidRPr="00756DC7">
        <w:rPr>
          <w:rFonts w:ascii="Book Antiqua" w:hAnsi="Book Antiqua"/>
          <w:color w:val="000000"/>
          <w:sz w:val="24"/>
        </w:rPr>
        <w:t>By comparing cases of liver injury caused by SARS-</w:t>
      </w:r>
      <w:proofErr w:type="spellStart"/>
      <w:r w:rsidR="00687F14" w:rsidRPr="00756DC7">
        <w:rPr>
          <w:rFonts w:ascii="Book Antiqua" w:hAnsi="Book Antiqua"/>
          <w:color w:val="000000"/>
          <w:sz w:val="24"/>
        </w:rPr>
        <w:t>CoV</w:t>
      </w:r>
      <w:proofErr w:type="spellEnd"/>
      <w:r w:rsidR="00687F14" w:rsidRPr="00756DC7">
        <w:rPr>
          <w:rFonts w:ascii="Book Antiqua" w:hAnsi="Book Antiqua"/>
          <w:color w:val="000000"/>
          <w:sz w:val="24"/>
        </w:rPr>
        <w:t xml:space="preserve"> and MERS-</w:t>
      </w:r>
      <w:proofErr w:type="spellStart"/>
      <w:r w:rsidR="00687F14" w:rsidRPr="00756DC7">
        <w:rPr>
          <w:rFonts w:ascii="Book Antiqua" w:hAnsi="Book Antiqua"/>
          <w:color w:val="000000"/>
          <w:sz w:val="24"/>
        </w:rPr>
        <w:t>CoV</w:t>
      </w:r>
      <w:proofErr w:type="spellEnd"/>
      <w:r w:rsidR="00687F14" w:rsidRPr="00756DC7">
        <w:rPr>
          <w:rFonts w:ascii="Book Antiqua" w:hAnsi="Book Antiqua"/>
          <w:color w:val="000000"/>
          <w:sz w:val="24"/>
        </w:rPr>
        <w:t xml:space="preserve">, </w:t>
      </w:r>
      <w:r w:rsidR="00625A6B" w:rsidRPr="00756DC7">
        <w:rPr>
          <w:rFonts w:ascii="Book Antiqua" w:hAnsi="Book Antiqua"/>
          <w:color w:val="000000"/>
          <w:sz w:val="24"/>
        </w:rPr>
        <w:t xml:space="preserve">Xu </w:t>
      </w:r>
      <w:r w:rsidR="00687F14" w:rsidRPr="00756DC7">
        <w:rPr>
          <w:rFonts w:ascii="Book Antiqua" w:hAnsi="Book Antiqua"/>
          <w:i/>
          <w:color w:val="000000"/>
          <w:sz w:val="24"/>
        </w:rPr>
        <w:t xml:space="preserve">et </w:t>
      </w:r>
      <w:proofErr w:type="gramStart"/>
      <w:r w:rsidR="00687F14" w:rsidRPr="00756DC7">
        <w:rPr>
          <w:rFonts w:ascii="Book Antiqua" w:hAnsi="Book Antiqua"/>
          <w:i/>
          <w:color w:val="000000"/>
          <w:sz w:val="24"/>
        </w:rPr>
        <w:t>al</w:t>
      </w:r>
      <w:r w:rsidR="00687F14" w:rsidRPr="00756DC7">
        <w:rPr>
          <w:rFonts w:ascii="Book Antiqua" w:hAnsi="Book Antiqua"/>
          <w:color w:val="000000"/>
          <w:sz w:val="24"/>
          <w:vertAlign w:val="superscript"/>
        </w:rPr>
        <w:t>[</w:t>
      </w:r>
      <w:proofErr w:type="gramEnd"/>
      <w:r w:rsidR="00687F14" w:rsidRPr="00756DC7">
        <w:rPr>
          <w:rFonts w:ascii="Book Antiqua" w:hAnsi="Book Antiqua"/>
          <w:color w:val="000000"/>
          <w:sz w:val="24"/>
          <w:vertAlign w:val="superscript"/>
        </w:rPr>
        <w:t>11]</w:t>
      </w:r>
      <w:r w:rsidR="00687F14" w:rsidRPr="00756DC7">
        <w:rPr>
          <w:rFonts w:ascii="Book Antiqua" w:hAnsi="Book Antiqua"/>
          <w:color w:val="000000"/>
          <w:sz w:val="24"/>
        </w:rPr>
        <w:t xml:space="preserve"> pointed out that highly pathogenic human coronavirus infection can directly lead to liver injury, or it may be caused by </w:t>
      </w:r>
      <w:r w:rsidRPr="00756DC7">
        <w:rPr>
          <w:rFonts w:ascii="Book Antiqua" w:hAnsi="Book Antiqua"/>
          <w:color w:val="000000"/>
          <w:sz w:val="24"/>
        </w:rPr>
        <w:t xml:space="preserve">an </w:t>
      </w:r>
      <w:r w:rsidR="00687F14" w:rsidRPr="00756DC7">
        <w:rPr>
          <w:rFonts w:ascii="Book Antiqua" w:hAnsi="Book Antiqua"/>
          <w:color w:val="000000"/>
          <w:sz w:val="24"/>
        </w:rPr>
        <w:t>immunopathological reaction caused by e</w:t>
      </w:r>
      <w:r w:rsidR="00FE3529" w:rsidRPr="00756DC7">
        <w:rPr>
          <w:rFonts w:ascii="Book Antiqua" w:hAnsi="Book Antiqua"/>
          <w:color w:val="000000"/>
          <w:sz w:val="24"/>
        </w:rPr>
        <w:t>xcessive inflammatory response.</w:t>
      </w:r>
    </w:p>
    <w:p w:rsidR="00CE3C62" w:rsidRPr="00756DC7" w:rsidRDefault="00687F14" w:rsidP="001E7706">
      <w:pPr>
        <w:adjustRightInd w:val="0"/>
        <w:snapToGrid w:val="0"/>
        <w:spacing w:line="360" w:lineRule="auto"/>
        <w:ind w:firstLineChars="100" w:firstLine="240"/>
        <w:rPr>
          <w:rFonts w:ascii="Book Antiqua" w:hAnsi="Book Antiqua"/>
          <w:color w:val="000000"/>
          <w:sz w:val="24"/>
        </w:rPr>
      </w:pPr>
      <w:r w:rsidRPr="00756DC7">
        <w:rPr>
          <w:rFonts w:ascii="Book Antiqua" w:hAnsi="Book Antiqua"/>
          <w:color w:val="000000"/>
          <w:sz w:val="24"/>
        </w:rPr>
        <w:t>In the early stage of SARS-CoV-2 infection, a</w:t>
      </w:r>
      <w:r w:rsidR="005C5F64" w:rsidRPr="00756DC7">
        <w:rPr>
          <w:rFonts w:ascii="Book Antiqua" w:hAnsi="Book Antiqua"/>
          <w:color w:val="000000"/>
          <w:sz w:val="24"/>
        </w:rPr>
        <w:t>pproximately</w:t>
      </w:r>
      <w:r w:rsidRPr="00756DC7">
        <w:rPr>
          <w:rFonts w:ascii="Book Antiqua" w:hAnsi="Book Antiqua"/>
          <w:color w:val="000000"/>
          <w:sz w:val="24"/>
        </w:rPr>
        <w:t xml:space="preserve"> 2</w:t>
      </w:r>
      <w:r w:rsidR="00835A48" w:rsidRPr="00756DC7">
        <w:rPr>
          <w:rFonts w:ascii="Book Antiqua" w:hAnsi="Book Antiqua"/>
          <w:color w:val="000000"/>
          <w:sz w:val="24"/>
        </w:rPr>
        <w:t>%</w:t>
      </w:r>
      <w:r w:rsidRPr="00756DC7">
        <w:rPr>
          <w:rFonts w:ascii="Book Antiqua" w:hAnsi="Book Antiqua"/>
          <w:color w:val="000000"/>
          <w:sz w:val="24"/>
        </w:rPr>
        <w:t xml:space="preserve">-10% of COVID-19 patients had positive SARS-CoV-2 RNA in fecal and blood samples, accompanied by gastrointestinal symptoms such as diarrhea, abdominal pain, nausea and </w:t>
      </w:r>
      <w:proofErr w:type="gramStart"/>
      <w:r w:rsidRPr="00756DC7">
        <w:rPr>
          <w:rFonts w:ascii="Book Antiqua" w:hAnsi="Book Antiqua"/>
          <w:color w:val="000000"/>
          <w:sz w:val="24"/>
        </w:rPr>
        <w:t>vomiting</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12]</w:t>
      </w:r>
      <w:r w:rsidRPr="00756DC7">
        <w:rPr>
          <w:rFonts w:ascii="Book Antiqua" w:hAnsi="Book Antiqua"/>
          <w:color w:val="000000"/>
          <w:sz w:val="24"/>
        </w:rPr>
        <w:t xml:space="preserve">, which suggested that the virus may infect liver cells. Chau </w:t>
      </w:r>
      <w:r w:rsidRPr="00756DC7">
        <w:rPr>
          <w:rFonts w:ascii="Book Antiqua" w:hAnsi="Book Antiqua"/>
          <w:i/>
          <w:color w:val="000000"/>
          <w:sz w:val="24"/>
        </w:rPr>
        <w:t xml:space="preserve">et </w:t>
      </w:r>
      <w:proofErr w:type="gramStart"/>
      <w:r w:rsidRPr="00756DC7">
        <w:rPr>
          <w:rFonts w:ascii="Book Antiqua" w:hAnsi="Book Antiqua"/>
          <w:i/>
          <w:color w:val="000000"/>
          <w:sz w:val="24"/>
        </w:rPr>
        <w:t>al</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3]</w:t>
      </w:r>
      <w:r w:rsidRPr="00756DC7">
        <w:rPr>
          <w:rFonts w:ascii="Book Antiqua" w:hAnsi="Book Antiqua"/>
          <w:color w:val="000000"/>
          <w:sz w:val="24"/>
        </w:rPr>
        <w:t xml:space="preserve"> </w:t>
      </w:r>
      <w:r w:rsidR="005C5F64" w:rsidRPr="00756DC7">
        <w:rPr>
          <w:rFonts w:ascii="Book Antiqua" w:hAnsi="Book Antiqua"/>
          <w:color w:val="000000"/>
          <w:sz w:val="24"/>
        </w:rPr>
        <w:t>demonstrated</w:t>
      </w:r>
      <w:r w:rsidRPr="00756DC7">
        <w:rPr>
          <w:rFonts w:ascii="Book Antiqua" w:hAnsi="Book Antiqua"/>
          <w:color w:val="000000"/>
          <w:sz w:val="24"/>
        </w:rPr>
        <w:t xml:space="preserve"> in their study that the liver biopsy of SARS patients showed a significant increase in mitotic cells, as well as eosinophils and balloon-like liver cells, which indicated that SARS-</w:t>
      </w:r>
      <w:proofErr w:type="spellStart"/>
      <w:r w:rsidRPr="00756DC7">
        <w:rPr>
          <w:rFonts w:ascii="Book Antiqua" w:hAnsi="Book Antiqua"/>
          <w:color w:val="000000"/>
          <w:sz w:val="24"/>
        </w:rPr>
        <w:t>CoV</w:t>
      </w:r>
      <w:proofErr w:type="spellEnd"/>
      <w:r w:rsidRPr="00756DC7">
        <w:rPr>
          <w:rFonts w:ascii="Book Antiqua" w:hAnsi="Book Antiqua"/>
          <w:color w:val="000000"/>
          <w:sz w:val="24"/>
        </w:rPr>
        <w:t xml:space="preserve"> may induce liver cell apoptosis and thus lead to liver damage. T</w:t>
      </w:r>
      <w:r w:rsidR="005C5F64" w:rsidRPr="00756DC7">
        <w:rPr>
          <w:rFonts w:ascii="Book Antiqua" w:hAnsi="Book Antiqua"/>
          <w:color w:val="000000"/>
          <w:sz w:val="24"/>
        </w:rPr>
        <w:t>he study by T</w:t>
      </w:r>
      <w:r w:rsidRPr="00756DC7">
        <w:rPr>
          <w:rFonts w:ascii="Book Antiqua" w:hAnsi="Book Antiqua"/>
          <w:color w:val="000000"/>
          <w:sz w:val="24"/>
        </w:rPr>
        <w:t xml:space="preserve">an </w:t>
      </w:r>
      <w:r w:rsidRPr="00756DC7">
        <w:rPr>
          <w:rFonts w:ascii="Book Antiqua" w:hAnsi="Book Antiqua"/>
          <w:i/>
          <w:color w:val="000000"/>
          <w:sz w:val="24"/>
        </w:rPr>
        <w:t xml:space="preserve">et </w:t>
      </w:r>
      <w:proofErr w:type="gramStart"/>
      <w:r w:rsidRPr="00756DC7">
        <w:rPr>
          <w:rFonts w:ascii="Book Antiqua" w:hAnsi="Book Antiqua"/>
          <w:i/>
          <w:color w:val="000000"/>
          <w:sz w:val="24"/>
        </w:rPr>
        <w:t>al</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13]</w:t>
      </w:r>
      <w:r w:rsidRPr="00756DC7">
        <w:rPr>
          <w:rFonts w:ascii="Book Antiqua" w:hAnsi="Book Antiqua"/>
          <w:color w:val="000000"/>
          <w:sz w:val="24"/>
        </w:rPr>
        <w:t xml:space="preserve"> showed that SARS-</w:t>
      </w:r>
      <w:proofErr w:type="spellStart"/>
      <w:r w:rsidRPr="00756DC7">
        <w:rPr>
          <w:rFonts w:ascii="Book Antiqua" w:hAnsi="Book Antiqua"/>
          <w:color w:val="000000"/>
          <w:sz w:val="24"/>
        </w:rPr>
        <w:t>CoV</w:t>
      </w:r>
      <w:proofErr w:type="spellEnd"/>
      <w:r w:rsidRPr="00756DC7">
        <w:rPr>
          <w:rFonts w:ascii="Book Antiqua" w:hAnsi="Book Antiqua"/>
          <w:color w:val="000000"/>
          <w:sz w:val="24"/>
        </w:rPr>
        <w:t>-specific protein 7a can induce cell apoptosis in different organs (including lung, kidney and liver) through the caspase-dependent pathway, further confirming the possibility of SARS-</w:t>
      </w:r>
      <w:proofErr w:type="spellStart"/>
      <w:r w:rsidRPr="00756DC7">
        <w:rPr>
          <w:rFonts w:ascii="Book Antiqua" w:hAnsi="Book Antiqua"/>
          <w:color w:val="000000"/>
          <w:sz w:val="24"/>
        </w:rPr>
        <w:t>CoV</w:t>
      </w:r>
      <w:proofErr w:type="spellEnd"/>
      <w:r w:rsidRPr="00756DC7">
        <w:rPr>
          <w:rFonts w:ascii="Book Antiqua" w:hAnsi="Book Antiqua"/>
          <w:color w:val="000000"/>
          <w:sz w:val="24"/>
        </w:rPr>
        <w:t xml:space="preserve"> </w:t>
      </w:r>
      <w:r w:rsidR="005D05AB" w:rsidRPr="00756DC7">
        <w:rPr>
          <w:rFonts w:ascii="Book Antiqua" w:hAnsi="Book Antiqua"/>
          <w:color w:val="000000"/>
          <w:sz w:val="24"/>
        </w:rPr>
        <w:t xml:space="preserve">directly </w:t>
      </w:r>
      <w:r w:rsidRPr="00756DC7">
        <w:rPr>
          <w:rFonts w:ascii="Book Antiqua" w:hAnsi="Book Antiqua"/>
          <w:color w:val="000000"/>
          <w:sz w:val="24"/>
        </w:rPr>
        <w:t>attack liver tissues and caus</w:t>
      </w:r>
      <w:r w:rsidR="00D4068F" w:rsidRPr="00756DC7">
        <w:rPr>
          <w:rFonts w:ascii="Book Antiqua" w:hAnsi="Book Antiqua"/>
          <w:color w:val="000000"/>
          <w:sz w:val="24"/>
        </w:rPr>
        <w:t>e</w:t>
      </w:r>
      <w:r w:rsidRPr="00756DC7">
        <w:rPr>
          <w:rFonts w:ascii="Book Antiqua" w:hAnsi="Book Antiqua"/>
          <w:color w:val="000000"/>
          <w:sz w:val="24"/>
        </w:rPr>
        <w:t xml:space="preserve"> liver damage.</w:t>
      </w:r>
    </w:p>
    <w:p w:rsidR="005A7F9A" w:rsidRPr="00756DC7" w:rsidRDefault="00687F14" w:rsidP="001E7706">
      <w:pPr>
        <w:adjustRightInd w:val="0"/>
        <w:snapToGrid w:val="0"/>
        <w:spacing w:line="360" w:lineRule="auto"/>
        <w:ind w:firstLineChars="100" w:firstLine="240"/>
        <w:rPr>
          <w:rFonts w:ascii="Book Antiqua" w:hAnsi="Book Antiqua"/>
          <w:color w:val="000000"/>
          <w:sz w:val="24"/>
        </w:rPr>
      </w:pPr>
      <w:r w:rsidRPr="00756DC7">
        <w:rPr>
          <w:rFonts w:ascii="Book Antiqua" w:hAnsi="Book Antiqua"/>
          <w:color w:val="000000"/>
          <w:sz w:val="24"/>
        </w:rPr>
        <w:t xml:space="preserve">ACE2 is a receptor of the coronavirus </w:t>
      </w:r>
      <w:r w:rsidR="005C5F64" w:rsidRPr="00756DC7">
        <w:rPr>
          <w:rFonts w:ascii="Book Antiqua" w:hAnsi="Book Antiqua"/>
          <w:color w:val="000000"/>
          <w:sz w:val="24"/>
        </w:rPr>
        <w:t xml:space="preserve">on host cells </w:t>
      </w:r>
      <w:r w:rsidRPr="00756DC7">
        <w:rPr>
          <w:rFonts w:ascii="Book Antiqua" w:hAnsi="Book Antiqua"/>
          <w:color w:val="000000"/>
          <w:sz w:val="24"/>
        </w:rPr>
        <w:t xml:space="preserve">that causes SARS. Several </w:t>
      </w:r>
      <w:proofErr w:type="gramStart"/>
      <w:r w:rsidRPr="00756DC7">
        <w:rPr>
          <w:rFonts w:ascii="Book Antiqua" w:hAnsi="Book Antiqua"/>
          <w:color w:val="000000"/>
          <w:sz w:val="24"/>
        </w:rPr>
        <w:t>studies</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14</w:t>
      </w:r>
      <w:r w:rsidR="00C3237C" w:rsidRPr="00756DC7">
        <w:rPr>
          <w:rFonts w:ascii="Book Antiqua" w:hAnsi="Book Antiqua"/>
          <w:color w:val="000000"/>
          <w:sz w:val="24"/>
          <w:vertAlign w:val="superscript"/>
        </w:rPr>
        <w:t>-</w:t>
      </w:r>
      <w:r w:rsidRPr="00756DC7">
        <w:rPr>
          <w:rFonts w:ascii="Book Antiqua" w:hAnsi="Book Antiqua"/>
          <w:color w:val="000000"/>
          <w:sz w:val="24"/>
          <w:vertAlign w:val="superscript"/>
        </w:rPr>
        <w:t>16]</w:t>
      </w:r>
      <w:r w:rsidRPr="00756DC7">
        <w:rPr>
          <w:rFonts w:ascii="Book Antiqua" w:hAnsi="Book Antiqua"/>
          <w:color w:val="000000"/>
          <w:sz w:val="24"/>
        </w:rPr>
        <w:t xml:space="preserve"> have shown that SARS-CoV-2 can also bind to </w:t>
      </w:r>
      <w:r w:rsidR="005C5F64" w:rsidRPr="00756DC7">
        <w:rPr>
          <w:rFonts w:ascii="Book Antiqua" w:hAnsi="Book Antiqua"/>
          <w:color w:val="000000"/>
          <w:sz w:val="24"/>
        </w:rPr>
        <w:t xml:space="preserve">the </w:t>
      </w:r>
      <w:r w:rsidRPr="00756DC7">
        <w:rPr>
          <w:rFonts w:ascii="Book Antiqua" w:hAnsi="Book Antiqua"/>
          <w:color w:val="000000"/>
          <w:sz w:val="24"/>
        </w:rPr>
        <w:t xml:space="preserve">ACE2 receptor, enabling the virus to replicate in cells. In addition, the expression level of </w:t>
      </w:r>
      <w:r w:rsidR="00DB4E32" w:rsidRPr="00756DC7">
        <w:rPr>
          <w:rFonts w:ascii="Book Antiqua" w:hAnsi="Book Antiqua"/>
          <w:color w:val="000000"/>
          <w:sz w:val="24"/>
        </w:rPr>
        <w:t>ACE</w:t>
      </w:r>
      <w:r w:rsidRPr="00756DC7">
        <w:rPr>
          <w:rFonts w:ascii="Book Antiqua" w:hAnsi="Book Antiqua"/>
          <w:color w:val="000000"/>
          <w:sz w:val="24"/>
        </w:rPr>
        <w:t>2 is very low in liver cells</w:t>
      </w:r>
      <w:r w:rsidR="00F64EC0" w:rsidRPr="00756DC7">
        <w:rPr>
          <w:rFonts w:ascii="Book Antiqua" w:hAnsi="Book Antiqua"/>
          <w:color w:val="000000"/>
          <w:sz w:val="24"/>
        </w:rPr>
        <w:t>, accounting for</w:t>
      </w:r>
      <w:r w:rsidRPr="00756DC7">
        <w:rPr>
          <w:rFonts w:ascii="Book Antiqua" w:hAnsi="Book Antiqua"/>
          <w:color w:val="000000"/>
          <w:sz w:val="24"/>
        </w:rPr>
        <w:t xml:space="preserve"> 2.6% of the total number of cells, but highly specific in bile duct cells (59.7%), which is similar to the expression level </w:t>
      </w:r>
      <w:r w:rsidR="00FE5A98" w:rsidRPr="00756DC7">
        <w:rPr>
          <w:rFonts w:ascii="Book Antiqua" w:hAnsi="Book Antiqua"/>
          <w:color w:val="000000"/>
          <w:sz w:val="24"/>
        </w:rPr>
        <w:t>in</w:t>
      </w:r>
      <w:r w:rsidRPr="00756DC7">
        <w:rPr>
          <w:rFonts w:ascii="Book Antiqua" w:hAnsi="Book Antiqua"/>
          <w:color w:val="000000"/>
          <w:sz w:val="24"/>
        </w:rPr>
        <w:t xml:space="preserve"> major targeted cells (type </w:t>
      </w:r>
      <w:r w:rsidR="00CE3C62" w:rsidRPr="00756DC7">
        <w:rPr>
          <w:rFonts w:ascii="Book Antiqua" w:hAnsi="Book Antiqua" w:cs="宋体"/>
          <w:color w:val="000000"/>
          <w:sz w:val="24"/>
        </w:rPr>
        <w:t>II</w:t>
      </w:r>
      <w:r w:rsidRPr="00756DC7">
        <w:rPr>
          <w:rFonts w:ascii="Book Antiqua" w:hAnsi="Book Antiqua"/>
          <w:color w:val="000000"/>
          <w:sz w:val="24"/>
        </w:rPr>
        <w:t xml:space="preserve"> alveolar cells) of SARS</w:t>
      </w:r>
      <w:r w:rsidR="00515E7C" w:rsidRPr="00756DC7">
        <w:rPr>
          <w:rFonts w:ascii="Book Antiqua" w:hAnsi="Book Antiqua"/>
          <w:color w:val="000000"/>
          <w:sz w:val="24"/>
        </w:rPr>
        <w:t xml:space="preserve">- </w:t>
      </w:r>
      <w:proofErr w:type="spellStart"/>
      <w:r w:rsidR="00515E7C" w:rsidRPr="00756DC7">
        <w:rPr>
          <w:rFonts w:ascii="Book Antiqua" w:hAnsi="Book Antiqua"/>
          <w:color w:val="000000"/>
          <w:sz w:val="24"/>
        </w:rPr>
        <w:t>CoV</w:t>
      </w:r>
      <w:proofErr w:type="spellEnd"/>
      <w:r w:rsidRPr="00756DC7">
        <w:rPr>
          <w:rFonts w:ascii="Book Antiqua" w:hAnsi="Book Antiqua"/>
          <w:color w:val="000000"/>
          <w:sz w:val="24"/>
        </w:rPr>
        <w:t xml:space="preserve"> and SARS-CoV-2 in the lung</w:t>
      </w:r>
      <w:r w:rsidRPr="00756DC7">
        <w:rPr>
          <w:rFonts w:ascii="Book Antiqua" w:hAnsi="Book Antiqua"/>
          <w:color w:val="000000"/>
          <w:sz w:val="24"/>
          <w:vertAlign w:val="superscript"/>
        </w:rPr>
        <w:t>[17,18]</w:t>
      </w:r>
      <w:r w:rsidRPr="00756DC7">
        <w:rPr>
          <w:rFonts w:ascii="Book Antiqua" w:hAnsi="Book Antiqua"/>
          <w:color w:val="000000"/>
          <w:sz w:val="24"/>
        </w:rPr>
        <w:t xml:space="preserve">. Therefore, </w:t>
      </w:r>
      <w:r w:rsidR="00DB4E32" w:rsidRPr="00756DC7">
        <w:rPr>
          <w:rFonts w:ascii="Book Antiqua" w:hAnsi="Book Antiqua"/>
          <w:color w:val="000000"/>
          <w:sz w:val="24"/>
        </w:rPr>
        <w:t xml:space="preserve">the </w:t>
      </w:r>
      <w:r w:rsidRPr="00756DC7">
        <w:rPr>
          <w:rFonts w:ascii="Book Antiqua" w:hAnsi="Book Antiqua"/>
          <w:color w:val="000000"/>
          <w:sz w:val="24"/>
        </w:rPr>
        <w:t xml:space="preserve">novel coronavirus does not necessarily directly infect liver cells, but causes bile duct dysfunction by </w:t>
      </w:r>
      <w:r w:rsidRPr="00756DC7">
        <w:rPr>
          <w:rFonts w:ascii="Book Antiqua" w:hAnsi="Book Antiqua"/>
          <w:color w:val="000000"/>
          <w:sz w:val="24"/>
        </w:rPr>
        <w:lastRenderedPageBreak/>
        <w:t xml:space="preserve">binding with bile duct cells, which play an important role in liver regeneration and immune response. We </w:t>
      </w:r>
      <w:r w:rsidR="00174E81" w:rsidRPr="00756DC7">
        <w:rPr>
          <w:rFonts w:ascii="Book Antiqua" w:hAnsi="Book Antiqua"/>
          <w:color w:val="000000"/>
          <w:sz w:val="24"/>
        </w:rPr>
        <w:t xml:space="preserve">therefore </w:t>
      </w:r>
      <w:r w:rsidRPr="00756DC7">
        <w:rPr>
          <w:rFonts w:ascii="Book Antiqua" w:hAnsi="Book Antiqua"/>
          <w:color w:val="000000"/>
          <w:sz w:val="24"/>
        </w:rPr>
        <w:t xml:space="preserve">infer that liver </w:t>
      </w:r>
      <w:r w:rsidR="00875F55" w:rsidRPr="00756DC7">
        <w:rPr>
          <w:rFonts w:ascii="Book Antiqua" w:hAnsi="Book Antiqua"/>
          <w:color w:val="000000"/>
          <w:sz w:val="24"/>
        </w:rPr>
        <w:t xml:space="preserve">injury </w:t>
      </w:r>
      <w:r w:rsidRPr="00756DC7">
        <w:rPr>
          <w:rFonts w:ascii="Book Antiqua" w:hAnsi="Book Antiqua"/>
          <w:color w:val="000000"/>
          <w:sz w:val="24"/>
        </w:rPr>
        <w:t xml:space="preserve">may be </w:t>
      </w:r>
      <w:r w:rsidR="00174E81" w:rsidRPr="00756DC7">
        <w:rPr>
          <w:rFonts w:ascii="Book Antiqua" w:hAnsi="Book Antiqua"/>
          <w:color w:val="000000"/>
          <w:sz w:val="24"/>
        </w:rPr>
        <w:t xml:space="preserve">induced </w:t>
      </w:r>
      <w:r w:rsidRPr="00756DC7">
        <w:rPr>
          <w:rFonts w:ascii="Book Antiqua" w:hAnsi="Book Antiqua"/>
          <w:color w:val="000000"/>
          <w:sz w:val="24"/>
        </w:rPr>
        <w:t>by damage to bile duct cells caused by COVID-19.</w:t>
      </w:r>
    </w:p>
    <w:p w:rsidR="00687F14" w:rsidRPr="00756DC7" w:rsidRDefault="00687F14" w:rsidP="001E7706">
      <w:pPr>
        <w:adjustRightInd w:val="0"/>
        <w:snapToGrid w:val="0"/>
        <w:spacing w:line="360" w:lineRule="auto"/>
        <w:ind w:firstLineChars="100" w:firstLine="240"/>
        <w:rPr>
          <w:rFonts w:ascii="Book Antiqua" w:hAnsi="Book Antiqua"/>
          <w:color w:val="000000"/>
          <w:sz w:val="24"/>
        </w:rPr>
      </w:pPr>
      <w:r w:rsidRPr="00756DC7">
        <w:rPr>
          <w:rFonts w:ascii="Book Antiqua" w:hAnsi="Book Antiqua"/>
          <w:color w:val="000000"/>
          <w:sz w:val="24"/>
        </w:rPr>
        <w:t xml:space="preserve">In addition, cytokine storm caused by excessive immune response induced by the virus may also be one of the pathways of liver </w:t>
      </w:r>
      <w:proofErr w:type="gramStart"/>
      <w:r w:rsidRPr="00756DC7">
        <w:rPr>
          <w:rFonts w:ascii="Book Antiqua" w:hAnsi="Book Antiqua"/>
          <w:color w:val="000000"/>
          <w:sz w:val="24"/>
        </w:rPr>
        <w:t>damage</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19,20]</w:t>
      </w:r>
      <w:r w:rsidRPr="00756DC7">
        <w:rPr>
          <w:rFonts w:ascii="Book Antiqua" w:hAnsi="Book Antiqua"/>
          <w:color w:val="000000"/>
          <w:sz w:val="24"/>
        </w:rPr>
        <w:t xml:space="preserve">. In most patients with severe COVID-19, there is an abnormal increase in serum proinflammatory cytokines. For example, Liu </w:t>
      </w:r>
      <w:r w:rsidRPr="00756DC7">
        <w:rPr>
          <w:rFonts w:ascii="Book Antiqua" w:hAnsi="Book Antiqua"/>
          <w:i/>
          <w:color w:val="000000"/>
          <w:sz w:val="24"/>
        </w:rPr>
        <w:t xml:space="preserve">et </w:t>
      </w:r>
      <w:proofErr w:type="gramStart"/>
      <w:r w:rsidRPr="00756DC7">
        <w:rPr>
          <w:rFonts w:ascii="Book Antiqua" w:hAnsi="Book Antiqua"/>
          <w:i/>
          <w:color w:val="000000"/>
          <w:sz w:val="24"/>
        </w:rPr>
        <w:t>al</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21]</w:t>
      </w:r>
      <w:r w:rsidRPr="00756DC7">
        <w:rPr>
          <w:rFonts w:ascii="Book Antiqua" w:hAnsi="Book Antiqua"/>
          <w:color w:val="000000"/>
          <w:sz w:val="24"/>
        </w:rPr>
        <w:t xml:space="preserve"> observed </w:t>
      </w:r>
      <w:r w:rsidR="006D4646" w:rsidRPr="00756DC7">
        <w:rPr>
          <w:rFonts w:ascii="Book Antiqua" w:hAnsi="Book Antiqua"/>
          <w:color w:val="000000"/>
          <w:sz w:val="24"/>
        </w:rPr>
        <w:t xml:space="preserve">an </w:t>
      </w:r>
      <w:r w:rsidRPr="00756DC7">
        <w:rPr>
          <w:rFonts w:ascii="Book Antiqua" w:hAnsi="Book Antiqua"/>
          <w:color w:val="000000"/>
          <w:sz w:val="24"/>
        </w:rPr>
        <w:t>inflammatory cytokine storm in 40 confirmed COVID-19 patients, of wh</w:t>
      </w:r>
      <w:r w:rsidR="006D4646" w:rsidRPr="00756DC7">
        <w:rPr>
          <w:rFonts w:ascii="Book Antiqua" w:hAnsi="Book Antiqua"/>
          <w:color w:val="000000"/>
          <w:sz w:val="24"/>
        </w:rPr>
        <w:t>om</w:t>
      </w:r>
      <w:r w:rsidRPr="00756DC7">
        <w:rPr>
          <w:rFonts w:ascii="Book Antiqua" w:hAnsi="Book Antiqua"/>
          <w:color w:val="000000"/>
          <w:sz w:val="24"/>
        </w:rPr>
        <w:t xml:space="preserve"> 13 with severe </w:t>
      </w:r>
      <w:bookmarkStart w:id="9" w:name="_Hlk37926075"/>
      <w:r w:rsidRPr="00756DC7">
        <w:rPr>
          <w:rFonts w:ascii="Book Antiqua" w:hAnsi="Book Antiqua"/>
          <w:color w:val="000000"/>
          <w:sz w:val="24"/>
        </w:rPr>
        <w:t>COVID-19</w:t>
      </w:r>
      <w:bookmarkEnd w:id="9"/>
      <w:r w:rsidRPr="00756DC7">
        <w:rPr>
          <w:rFonts w:ascii="Book Antiqua" w:hAnsi="Book Antiqua"/>
          <w:color w:val="000000"/>
          <w:sz w:val="24"/>
        </w:rPr>
        <w:t xml:space="preserve"> had a significant and continuous decrease in lymphocyte count and an increase in neutrophil count. In particular, </w:t>
      </w:r>
      <w:r w:rsidR="006D4646" w:rsidRPr="00756DC7">
        <w:rPr>
          <w:rFonts w:ascii="Book Antiqua" w:hAnsi="Book Antiqua"/>
          <w:color w:val="000000"/>
          <w:sz w:val="24"/>
        </w:rPr>
        <w:t>interleukin (</w:t>
      </w:r>
      <w:r w:rsidRPr="00756DC7">
        <w:rPr>
          <w:rFonts w:ascii="Book Antiqua" w:hAnsi="Book Antiqua"/>
          <w:color w:val="000000"/>
          <w:sz w:val="24"/>
        </w:rPr>
        <w:t>IL</w:t>
      </w:r>
      <w:r w:rsidR="006D4646" w:rsidRPr="00756DC7">
        <w:rPr>
          <w:rFonts w:ascii="Book Antiqua" w:hAnsi="Book Antiqua"/>
          <w:color w:val="000000"/>
          <w:sz w:val="24"/>
        </w:rPr>
        <w:t>)</w:t>
      </w:r>
      <w:r w:rsidRPr="00756DC7">
        <w:rPr>
          <w:rFonts w:ascii="Book Antiqua" w:hAnsi="Book Antiqua"/>
          <w:color w:val="000000"/>
          <w:sz w:val="24"/>
        </w:rPr>
        <w:t xml:space="preserve">-1, IL-2, IL-6, IL-8, IL-10, IL-17, and </w:t>
      </w:r>
      <w:r w:rsidR="006D4646" w:rsidRPr="00756DC7">
        <w:rPr>
          <w:rFonts w:ascii="Book Antiqua" w:hAnsi="Book Antiqua"/>
          <w:color w:val="000000"/>
          <w:sz w:val="24"/>
        </w:rPr>
        <w:t>interferon</w:t>
      </w:r>
      <w:r w:rsidRPr="00756DC7">
        <w:rPr>
          <w:rFonts w:ascii="Book Antiqua" w:hAnsi="Book Antiqua"/>
          <w:color w:val="000000"/>
          <w:sz w:val="24"/>
        </w:rPr>
        <w:t xml:space="preserve">-γ levels in critically ill patients continued to increase in peripheral </w:t>
      </w:r>
      <w:proofErr w:type="gramStart"/>
      <w:r w:rsidRPr="00756DC7">
        <w:rPr>
          <w:rFonts w:ascii="Book Antiqua" w:hAnsi="Book Antiqua"/>
          <w:color w:val="000000"/>
          <w:sz w:val="24"/>
        </w:rPr>
        <w:t>blood</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22,23]</w:t>
      </w:r>
      <w:r w:rsidRPr="00756DC7">
        <w:rPr>
          <w:rFonts w:ascii="Book Antiqua" w:hAnsi="Book Antiqua"/>
          <w:color w:val="000000"/>
          <w:sz w:val="24"/>
        </w:rPr>
        <w:t xml:space="preserve">. Moreover, the T cell count and cytokine levels </w:t>
      </w:r>
      <w:r w:rsidR="006D4646" w:rsidRPr="00756DC7">
        <w:rPr>
          <w:rFonts w:ascii="Book Antiqua" w:hAnsi="Book Antiqua"/>
          <w:color w:val="000000"/>
          <w:sz w:val="24"/>
        </w:rPr>
        <w:t>in</w:t>
      </w:r>
      <w:r w:rsidRPr="00756DC7">
        <w:rPr>
          <w:rFonts w:ascii="Book Antiqua" w:hAnsi="Book Antiqua"/>
          <w:color w:val="000000"/>
          <w:sz w:val="24"/>
        </w:rPr>
        <w:t xml:space="preserve"> patients with severe COVID-19 returned to the same level as those of patients with mild symptoms with gradual improvement </w:t>
      </w:r>
      <w:r w:rsidR="006D4646" w:rsidRPr="00756DC7">
        <w:rPr>
          <w:rFonts w:ascii="Book Antiqua" w:hAnsi="Book Antiqua"/>
          <w:color w:val="000000"/>
          <w:sz w:val="24"/>
        </w:rPr>
        <w:t>in</w:t>
      </w:r>
      <w:r w:rsidRPr="00756DC7">
        <w:rPr>
          <w:rFonts w:ascii="Book Antiqua" w:hAnsi="Book Antiqua"/>
          <w:color w:val="000000"/>
          <w:sz w:val="24"/>
        </w:rPr>
        <w:t xml:space="preserve"> the </w:t>
      </w:r>
      <w:proofErr w:type="gramStart"/>
      <w:r w:rsidRPr="00756DC7">
        <w:rPr>
          <w:rFonts w:ascii="Book Antiqua" w:hAnsi="Book Antiqua"/>
          <w:color w:val="000000"/>
          <w:sz w:val="24"/>
        </w:rPr>
        <w:t>disease</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24,25]</w:t>
      </w:r>
      <w:r w:rsidRPr="00756DC7">
        <w:rPr>
          <w:rFonts w:ascii="Book Antiqua" w:hAnsi="Book Antiqua"/>
          <w:color w:val="000000"/>
          <w:sz w:val="24"/>
        </w:rPr>
        <w:t xml:space="preserve">. Lu </w:t>
      </w:r>
      <w:r w:rsidRPr="00756DC7">
        <w:rPr>
          <w:rFonts w:ascii="Book Antiqua" w:hAnsi="Book Antiqua"/>
          <w:i/>
          <w:color w:val="000000"/>
          <w:sz w:val="24"/>
        </w:rPr>
        <w:t xml:space="preserve">et </w:t>
      </w:r>
      <w:proofErr w:type="gramStart"/>
      <w:r w:rsidRPr="00756DC7">
        <w:rPr>
          <w:rFonts w:ascii="Book Antiqua" w:hAnsi="Book Antiqua"/>
          <w:i/>
          <w:color w:val="000000"/>
          <w:sz w:val="24"/>
        </w:rPr>
        <w:t>al</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26]</w:t>
      </w:r>
      <w:r w:rsidRPr="00756DC7">
        <w:rPr>
          <w:rFonts w:ascii="Book Antiqua" w:hAnsi="Book Antiqua"/>
          <w:color w:val="000000"/>
          <w:sz w:val="24"/>
        </w:rPr>
        <w:t xml:space="preserve"> proposed that lymphocytopenia and </w:t>
      </w:r>
      <w:r w:rsidR="006D4646" w:rsidRPr="00756DC7">
        <w:rPr>
          <w:rFonts w:ascii="Book Antiqua" w:hAnsi="Book Antiqua"/>
          <w:color w:val="000000"/>
          <w:sz w:val="24"/>
        </w:rPr>
        <w:t>C</w:t>
      </w:r>
      <w:r w:rsidRPr="00756DC7">
        <w:rPr>
          <w:rFonts w:ascii="Book Antiqua" w:hAnsi="Book Antiqua"/>
          <w:color w:val="000000"/>
          <w:sz w:val="24"/>
        </w:rPr>
        <w:t>-reactive protein levels were independently correlated with liver injury in COVID-19 patients, which</w:t>
      </w:r>
      <w:r w:rsidR="006D4646" w:rsidRPr="00756DC7">
        <w:rPr>
          <w:rFonts w:ascii="Book Antiqua" w:hAnsi="Book Antiqua"/>
          <w:color w:val="000000"/>
          <w:sz w:val="24"/>
        </w:rPr>
        <w:t xml:space="preserve"> showed</w:t>
      </w:r>
      <w:r w:rsidRPr="00756DC7">
        <w:rPr>
          <w:rFonts w:ascii="Book Antiqua" w:hAnsi="Book Antiqua"/>
          <w:color w:val="000000"/>
          <w:sz w:val="24"/>
        </w:rPr>
        <w:t xml:space="preserve"> that the main mechanism might </w:t>
      </w:r>
      <w:r w:rsidR="006D4646" w:rsidRPr="00756DC7">
        <w:rPr>
          <w:rFonts w:ascii="Book Antiqua" w:hAnsi="Book Antiqua"/>
          <w:color w:val="000000"/>
          <w:sz w:val="24"/>
        </w:rPr>
        <w:t>involve an</w:t>
      </w:r>
      <w:r w:rsidRPr="00756DC7">
        <w:rPr>
          <w:rFonts w:ascii="Book Antiqua" w:hAnsi="Book Antiqua"/>
          <w:color w:val="000000"/>
          <w:sz w:val="24"/>
        </w:rPr>
        <w:t xml:space="preserve"> inflammatory cytokine storm. Cao </w:t>
      </w:r>
      <w:r w:rsidRPr="00756DC7">
        <w:rPr>
          <w:rFonts w:ascii="Book Antiqua" w:hAnsi="Book Antiqua"/>
          <w:i/>
          <w:color w:val="000000"/>
          <w:sz w:val="24"/>
        </w:rPr>
        <w:t xml:space="preserve">et </w:t>
      </w:r>
      <w:proofErr w:type="gramStart"/>
      <w:r w:rsidRPr="00756DC7">
        <w:rPr>
          <w:rFonts w:ascii="Book Antiqua" w:hAnsi="Book Antiqua"/>
          <w:i/>
          <w:color w:val="000000"/>
          <w:sz w:val="24"/>
        </w:rPr>
        <w:t>al</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20]</w:t>
      </w:r>
      <w:r w:rsidRPr="00756DC7">
        <w:rPr>
          <w:rFonts w:ascii="Book Antiqua" w:hAnsi="Book Antiqua"/>
          <w:color w:val="000000"/>
          <w:sz w:val="24"/>
        </w:rPr>
        <w:t xml:space="preserve"> indicated that cytokine storms may cause shock and tissue damage in organs such as </w:t>
      </w:r>
      <w:r w:rsidR="006D4646" w:rsidRPr="00756DC7">
        <w:rPr>
          <w:rFonts w:ascii="Book Antiqua" w:hAnsi="Book Antiqua"/>
          <w:color w:val="000000"/>
          <w:sz w:val="24"/>
        </w:rPr>
        <w:t xml:space="preserve">the </w:t>
      </w:r>
      <w:r w:rsidRPr="00756DC7">
        <w:rPr>
          <w:rFonts w:ascii="Book Antiqua" w:hAnsi="Book Antiqua"/>
          <w:color w:val="000000"/>
          <w:sz w:val="24"/>
        </w:rPr>
        <w:t xml:space="preserve">heart, liver and kidney, and respiratory failure in severe cases. </w:t>
      </w:r>
      <w:r w:rsidR="00064455" w:rsidRPr="00756DC7">
        <w:rPr>
          <w:rFonts w:ascii="Book Antiqua" w:hAnsi="Book Antiqua"/>
          <w:color w:val="000000"/>
          <w:sz w:val="24"/>
        </w:rPr>
        <w:t>In addition</w:t>
      </w:r>
      <w:r w:rsidRPr="00756DC7">
        <w:rPr>
          <w:rFonts w:ascii="Book Antiqua" w:hAnsi="Book Antiqua"/>
          <w:color w:val="000000"/>
          <w:sz w:val="24"/>
        </w:rPr>
        <w:t xml:space="preserve">, pathological changes </w:t>
      </w:r>
      <w:r w:rsidR="00064455" w:rsidRPr="00756DC7">
        <w:rPr>
          <w:rFonts w:ascii="Book Antiqua" w:hAnsi="Book Antiqua"/>
          <w:color w:val="000000"/>
          <w:sz w:val="24"/>
        </w:rPr>
        <w:t>such as</w:t>
      </w:r>
      <w:r w:rsidRPr="00756DC7">
        <w:rPr>
          <w:rFonts w:ascii="Book Antiqua" w:hAnsi="Book Antiqua"/>
          <w:color w:val="000000"/>
          <w:sz w:val="24"/>
        </w:rPr>
        <w:t xml:space="preserve"> spleen atrophy and lymph node necrosis were found, which suggested immune-mediated injury</w:t>
      </w:r>
      <w:r w:rsidRPr="00756DC7">
        <w:rPr>
          <w:rFonts w:ascii="Book Antiqua" w:hAnsi="Book Antiqua"/>
          <w:color w:val="000000"/>
          <w:sz w:val="24"/>
          <w:vertAlign w:val="superscript"/>
        </w:rPr>
        <w:t>[27]</w:t>
      </w:r>
      <w:r w:rsidR="00870800" w:rsidRPr="00756DC7">
        <w:rPr>
          <w:rFonts w:ascii="Book Antiqua" w:hAnsi="Book Antiqua"/>
          <w:color w:val="000000"/>
          <w:sz w:val="24"/>
        </w:rPr>
        <w:t xml:space="preserve"> (</w:t>
      </w:r>
      <w:r w:rsidR="004F57F0" w:rsidRPr="00756DC7">
        <w:rPr>
          <w:rFonts w:ascii="Book Antiqua" w:hAnsi="Book Antiqua"/>
          <w:color w:val="000000"/>
          <w:sz w:val="24"/>
        </w:rPr>
        <w:t>Table 1)</w:t>
      </w:r>
      <w:r w:rsidR="00870800" w:rsidRPr="00756DC7">
        <w:rPr>
          <w:rFonts w:ascii="Book Antiqua" w:hAnsi="Book Antiqua"/>
          <w:color w:val="000000"/>
          <w:sz w:val="24"/>
        </w:rPr>
        <w:t>.</w:t>
      </w:r>
    </w:p>
    <w:p w:rsidR="00870800" w:rsidRPr="00756DC7" w:rsidRDefault="00870800" w:rsidP="001E7706">
      <w:pPr>
        <w:adjustRightInd w:val="0"/>
        <w:snapToGrid w:val="0"/>
        <w:spacing w:line="360" w:lineRule="auto"/>
        <w:ind w:firstLineChars="100" w:firstLine="240"/>
        <w:rPr>
          <w:rFonts w:ascii="Book Antiqua" w:hAnsi="Book Antiqua"/>
          <w:color w:val="000000"/>
          <w:sz w:val="24"/>
        </w:rPr>
      </w:pPr>
    </w:p>
    <w:p w:rsidR="00687F14" w:rsidRPr="00756DC7" w:rsidRDefault="002523C9" w:rsidP="001E7706">
      <w:pPr>
        <w:adjustRightInd w:val="0"/>
        <w:snapToGrid w:val="0"/>
        <w:spacing w:line="360" w:lineRule="auto"/>
        <w:rPr>
          <w:rFonts w:ascii="Book Antiqua" w:hAnsi="Book Antiqua"/>
          <w:b/>
          <w:bCs/>
          <w:color w:val="000000"/>
          <w:sz w:val="24"/>
          <w:u w:val="single"/>
        </w:rPr>
      </w:pPr>
      <w:r w:rsidRPr="00756DC7">
        <w:rPr>
          <w:rFonts w:ascii="Book Antiqua" w:hAnsi="Book Antiqua"/>
          <w:b/>
          <w:bCs/>
          <w:color w:val="000000"/>
          <w:sz w:val="24"/>
          <w:u w:val="single"/>
        </w:rPr>
        <w:t xml:space="preserve">DRUG-INDUCED </w:t>
      </w:r>
      <w:r w:rsidR="00687F14" w:rsidRPr="00756DC7">
        <w:rPr>
          <w:rFonts w:ascii="Book Antiqua" w:hAnsi="Book Antiqua"/>
          <w:b/>
          <w:bCs/>
          <w:color w:val="000000"/>
          <w:sz w:val="24"/>
          <w:u w:val="single"/>
        </w:rPr>
        <w:t>L</w:t>
      </w:r>
      <w:r w:rsidR="0072392E" w:rsidRPr="00756DC7">
        <w:rPr>
          <w:rFonts w:ascii="Book Antiqua" w:hAnsi="Book Antiqua"/>
          <w:b/>
          <w:bCs/>
          <w:color w:val="000000"/>
          <w:sz w:val="24"/>
          <w:u w:val="single"/>
        </w:rPr>
        <w:t>IVER INJURY DURING TREATMENT OF</w:t>
      </w:r>
      <w:r w:rsidR="00815BF8" w:rsidRPr="00756DC7">
        <w:rPr>
          <w:rFonts w:ascii="Book Antiqua" w:hAnsi="Book Antiqua"/>
          <w:b/>
          <w:bCs/>
          <w:color w:val="000000"/>
          <w:sz w:val="24"/>
          <w:u w:val="single"/>
        </w:rPr>
        <w:t xml:space="preserve"> COVID-19</w:t>
      </w:r>
    </w:p>
    <w:p w:rsidR="00FA1931" w:rsidRPr="00756DC7" w:rsidRDefault="0083676F" w:rsidP="001E7706">
      <w:pPr>
        <w:adjustRightInd w:val="0"/>
        <w:snapToGrid w:val="0"/>
        <w:spacing w:line="360" w:lineRule="auto"/>
        <w:rPr>
          <w:rFonts w:ascii="Book Antiqua" w:hAnsi="Book Antiqua"/>
          <w:color w:val="000000"/>
          <w:sz w:val="24"/>
        </w:rPr>
      </w:pPr>
      <w:r w:rsidRPr="00756DC7">
        <w:rPr>
          <w:rFonts w:ascii="Book Antiqua" w:hAnsi="Book Antiqua"/>
          <w:color w:val="000000"/>
          <w:sz w:val="24"/>
        </w:rPr>
        <w:t>Many</w:t>
      </w:r>
      <w:r w:rsidR="00687F14" w:rsidRPr="00756DC7">
        <w:rPr>
          <w:rFonts w:ascii="Book Antiqua" w:hAnsi="Book Antiqua"/>
          <w:color w:val="000000"/>
          <w:sz w:val="24"/>
        </w:rPr>
        <w:t xml:space="preserve"> </w:t>
      </w:r>
      <w:proofErr w:type="gramStart"/>
      <w:r w:rsidR="00687F14" w:rsidRPr="00756DC7">
        <w:rPr>
          <w:rFonts w:ascii="Book Antiqua" w:hAnsi="Book Antiqua"/>
          <w:color w:val="000000"/>
          <w:sz w:val="24"/>
        </w:rPr>
        <w:t>studies</w:t>
      </w:r>
      <w:r w:rsidR="00687F14" w:rsidRPr="00756DC7">
        <w:rPr>
          <w:rFonts w:ascii="Book Antiqua" w:hAnsi="Book Antiqua"/>
          <w:color w:val="000000"/>
          <w:sz w:val="24"/>
          <w:vertAlign w:val="superscript"/>
        </w:rPr>
        <w:t>[</w:t>
      </w:r>
      <w:proofErr w:type="gramEnd"/>
      <w:r w:rsidR="00687F14" w:rsidRPr="00756DC7">
        <w:rPr>
          <w:rFonts w:ascii="Book Antiqua" w:hAnsi="Book Antiqua"/>
          <w:color w:val="000000"/>
          <w:sz w:val="24"/>
          <w:vertAlign w:val="superscript"/>
        </w:rPr>
        <w:t>28,29]</w:t>
      </w:r>
      <w:r w:rsidR="00687F14" w:rsidRPr="00756DC7">
        <w:rPr>
          <w:rFonts w:ascii="Book Antiqua" w:hAnsi="Book Antiqua"/>
          <w:color w:val="000000"/>
          <w:sz w:val="24"/>
        </w:rPr>
        <w:t xml:space="preserve"> have shown that antibiotics (macrolides, quinolones), antiviral drugs (ribav</w:t>
      </w:r>
      <w:r w:rsidRPr="00756DC7">
        <w:rPr>
          <w:rFonts w:ascii="Book Antiqua" w:hAnsi="Book Antiqua"/>
          <w:color w:val="000000"/>
          <w:sz w:val="24"/>
        </w:rPr>
        <w:t>i</w:t>
      </w:r>
      <w:r w:rsidR="00687F14" w:rsidRPr="00756DC7">
        <w:rPr>
          <w:rFonts w:ascii="Book Antiqua" w:hAnsi="Book Antiqua"/>
          <w:color w:val="000000"/>
          <w:sz w:val="24"/>
        </w:rPr>
        <w:t xml:space="preserve">rin), steroids and other drugs used to treat SARS patients may cause liver damage. In fact, antibiotics, antiviral drugs and steroids </w:t>
      </w:r>
      <w:r w:rsidR="002523C9" w:rsidRPr="00756DC7">
        <w:rPr>
          <w:rFonts w:ascii="Book Antiqua" w:hAnsi="Book Antiqua"/>
          <w:color w:val="000000"/>
          <w:sz w:val="24"/>
        </w:rPr>
        <w:t xml:space="preserve">have been </w:t>
      </w:r>
      <w:r w:rsidR="00687F14" w:rsidRPr="00756DC7">
        <w:rPr>
          <w:rFonts w:ascii="Book Antiqua" w:hAnsi="Book Antiqua"/>
          <w:color w:val="000000"/>
          <w:sz w:val="24"/>
        </w:rPr>
        <w:t>widely used to treat COVID-19, similar</w:t>
      </w:r>
      <w:r w:rsidR="002523C9" w:rsidRPr="00756DC7">
        <w:rPr>
          <w:rFonts w:ascii="Book Antiqua" w:hAnsi="Book Antiqua"/>
          <w:color w:val="000000"/>
          <w:sz w:val="24"/>
        </w:rPr>
        <w:t>ly</w:t>
      </w:r>
      <w:r w:rsidR="00687F14" w:rsidRPr="00756DC7">
        <w:rPr>
          <w:rFonts w:ascii="Book Antiqua" w:hAnsi="Book Antiqua"/>
          <w:color w:val="000000"/>
          <w:sz w:val="24"/>
        </w:rPr>
        <w:t xml:space="preserve"> to the SARS patients. Some of these drugs </w:t>
      </w:r>
      <w:r w:rsidRPr="00756DC7">
        <w:rPr>
          <w:rFonts w:ascii="Book Antiqua" w:hAnsi="Book Antiqua"/>
          <w:color w:val="000000"/>
          <w:sz w:val="24"/>
        </w:rPr>
        <w:t>may</w:t>
      </w:r>
      <w:r w:rsidR="00687F14" w:rsidRPr="00756DC7">
        <w:rPr>
          <w:rFonts w:ascii="Book Antiqua" w:hAnsi="Book Antiqua"/>
          <w:color w:val="000000"/>
          <w:sz w:val="24"/>
        </w:rPr>
        <w:t xml:space="preserve"> potential</w:t>
      </w:r>
      <w:r w:rsidRPr="00756DC7">
        <w:rPr>
          <w:rFonts w:ascii="Book Antiqua" w:hAnsi="Book Antiqua"/>
          <w:color w:val="000000"/>
          <w:sz w:val="24"/>
        </w:rPr>
        <w:t>ly</w:t>
      </w:r>
      <w:r w:rsidR="00687F14" w:rsidRPr="00756DC7">
        <w:rPr>
          <w:rFonts w:ascii="Book Antiqua" w:hAnsi="Book Antiqua"/>
          <w:color w:val="000000"/>
          <w:sz w:val="24"/>
        </w:rPr>
        <w:t xml:space="preserve"> cause liver damage during the treatment of COVID-19</w:t>
      </w:r>
      <w:r w:rsidR="00687F14" w:rsidRPr="00756DC7">
        <w:rPr>
          <w:rFonts w:ascii="Book Antiqua" w:hAnsi="Book Antiqua"/>
          <w:color w:val="000000"/>
          <w:sz w:val="24"/>
          <w:vertAlign w:val="superscript"/>
        </w:rPr>
        <w:t>[30]</w:t>
      </w:r>
      <w:r w:rsidR="00687F14" w:rsidRPr="00756DC7">
        <w:rPr>
          <w:rFonts w:ascii="Book Antiqua" w:hAnsi="Book Antiqua"/>
          <w:color w:val="000000"/>
          <w:sz w:val="24"/>
        </w:rPr>
        <w:t xml:space="preserve">. A recent </w:t>
      </w:r>
      <w:proofErr w:type="gramStart"/>
      <w:r w:rsidR="00687F14" w:rsidRPr="00756DC7">
        <w:rPr>
          <w:rFonts w:ascii="Book Antiqua" w:hAnsi="Book Antiqua"/>
          <w:color w:val="000000"/>
          <w:sz w:val="24"/>
        </w:rPr>
        <w:t>study</w:t>
      </w:r>
      <w:r w:rsidR="00687F14" w:rsidRPr="00756DC7">
        <w:rPr>
          <w:rFonts w:ascii="Book Antiqua" w:hAnsi="Book Antiqua"/>
          <w:color w:val="000000"/>
          <w:sz w:val="24"/>
          <w:vertAlign w:val="superscript"/>
        </w:rPr>
        <w:t>[</w:t>
      </w:r>
      <w:proofErr w:type="gramEnd"/>
      <w:r w:rsidR="00687F14" w:rsidRPr="00756DC7">
        <w:rPr>
          <w:rFonts w:ascii="Book Antiqua" w:hAnsi="Book Antiqua"/>
          <w:color w:val="000000"/>
          <w:sz w:val="24"/>
          <w:vertAlign w:val="superscript"/>
        </w:rPr>
        <w:t>31]</w:t>
      </w:r>
      <w:r w:rsidR="00687F14" w:rsidRPr="00756DC7">
        <w:rPr>
          <w:rFonts w:ascii="Book Antiqua" w:hAnsi="Book Antiqua"/>
          <w:color w:val="000000"/>
          <w:sz w:val="24"/>
        </w:rPr>
        <w:t xml:space="preserve"> reported that the utilization rate of lopinavir/ritonavir in patients with newly developed liver injury w</w:t>
      </w:r>
      <w:r w:rsidR="0072392E" w:rsidRPr="00756DC7">
        <w:rPr>
          <w:rFonts w:ascii="Book Antiqua" w:hAnsi="Book Antiqua"/>
          <w:color w:val="000000"/>
          <w:sz w:val="24"/>
        </w:rPr>
        <w:t>as</w:t>
      </w:r>
      <w:r w:rsidR="00687F14" w:rsidRPr="00756DC7">
        <w:rPr>
          <w:rFonts w:ascii="Book Antiqua" w:hAnsi="Book Antiqua"/>
          <w:color w:val="000000"/>
          <w:sz w:val="24"/>
        </w:rPr>
        <w:t xml:space="preserve"> </w:t>
      </w:r>
      <w:r w:rsidR="00687F14" w:rsidRPr="00756DC7">
        <w:rPr>
          <w:rFonts w:ascii="Book Antiqua" w:hAnsi="Book Antiqua"/>
          <w:color w:val="000000"/>
          <w:sz w:val="24"/>
        </w:rPr>
        <w:lastRenderedPageBreak/>
        <w:t xml:space="preserve">significantly higher than that </w:t>
      </w:r>
      <w:r w:rsidRPr="00756DC7">
        <w:rPr>
          <w:rFonts w:ascii="Book Antiqua" w:hAnsi="Book Antiqua"/>
          <w:color w:val="000000"/>
          <w:sz w:val="24"/>
        </w:rPr>
        <w:t>in</w:t>
      </w:r>
      <w:r w:rsidR="00687F14" w:rsidRPr="00756DC7">
        <w:rPr>
          <w:rFonts w:ascii="Book Antiqua" w:hAnsi="Book Antiqua"/>
          <w:color w:val="000000"/>
          <w:sz w:val="24"/>
        </w:rPr>
        <w:t xml:space="preserve"> patients with normal liver function after admission. Importantly, abnormalities in liver function led to </w:t>
      </w:r>
      <w:r w:rsidR="0072392E" w:rsidRPr="00756DC7">
        <w:rPr>
          <w:rFonts w:ascii="Book Antiqua" w:hAnsi="Book Antiqua"/>
          <w:color w:val="000000"/>
          <w:sz w:val="24"/>
        </w:rPr>
        <w:t xml:space="preserve">a </w:t>
      </w:r>
      <w:r w:rsidR="00687F14" w:rsidRPr="00756DC7">
        <w:rPr>
          <w:rFonts w:ascii="Book Antiqua" w:hAnsi="Book Antiqua"/>
          <w:color w:val="000000"/>
          <w:sz w:val="24"/>
        </w:rPr>
        <w:t xml:space="preserve">longer hospital stay. Liver damage in COVID-19 patients may have been caused by the use of lopinavir/ritonavir as an antiviral treatment </w:t>
      </w:r>
      <w:r w:rsidR="0072392E" w:rsidRPr="00756DC7">
        <w:rPr>
          <w:rFonts w:ascii="Book Antiqua" w:hAnsi="Book Antiqua"/>
          <w:color w:val="000000"/>
          <w:sz w:val="24"/>
        </w:rPr>
        <w:t>for</w:t>
      </w:r>
      <w:r w:rsidR="00687F14" w:rsidRPr="00756DC7">
        <w:rPr>
          <w:rFonts w:ascii="Book Antiqua" w:hAnsi="Book Antiqua"/>
          <w:color w:val="000000"/>
          <w:sz w:val="24"/>
        </w:rPr>
        <w:t xml:space="preserve"> SARS-CoV-2 infection. A multi-group clinical </w:t>
      </w:r>
      <w:proofErr w:type="gramStart"/>
      <w:r w:rsidR="00687F14" w:rsidRPr="00756DC7">
        <w:rPr>
          <w:rFonts w:ascii="Book Antiqua" w:hAnsi="Book Antiqua"/>
          <w:color w:val="000000"/>
          <w:sz w:val="24"/>
        </w:rPr>
        <w:t>study</w:t>
      </w:r>
      <w:r w:rsidR="00687F14" w:rsidRPr="00756DC7">
        <w:rPr>
          <w:rFonts w:ascii="Book Antiqua" w:hAnsi="Book Antiqua"/>
          <w:color w:val="000000"/>
          <w:sz w:val="24"/>
          <w:vertAlign w:val="superscript"/>
        </w:rPr>
        <w:t>[</w:t>
      </w:r>
      <w:proofErr w:type="gramEnd"/>
      <w:r w:rsidR="00687F14" w:rsidRPr="00756DC7">
        <w:rPr>
          <w:rFonts w:ascii="Book Antiqua" w:hAnsi="Book Antiqua"/>
          <w:color w:val="000000"/>
          <w:sz w:val="24"/>
          <w:vertAlign w:val="superscript"/>
        </w:rPr>
        <w:t>32]</w:t>
      </w:r>
      <w:r w:rsidR="00687F14" w:rsidRPr="00756DC7">
        <w:rPr>
          <w:rFonts w:ascii="Book Antiqua" w:hAnsi="Book Antiqua"/>
          <w:color w:val="000000"/>
          <w:sz w:val="24"/>
        </w:rPr>
        <w:t xml:space="preserve"> found that the degree of liver injury in COVID-19 patients was related to different clinical types</w:t>
      </w:r>
      <w:r w:rsidRPr="00756DC7">
        <w:rPr>
          <w:rFonts w:ascii="Book Antiqua" w:hAnsi="Book Antiqua"/>
          <w:color w:val="000000"/>
          <w:sz w:val="24"/>
        </w:rPr>
        <w:t>, where</w:t>
      </w:r>
      <w:r w:rsidR="00687F14" w:rsidRPr="00756DC7">
        <w:rPr>
          <w:rFonts w:ascii="Book Antiqua" w:hAnsi="Book Antiqua"/>
          <w:color w:val="000000"/>
          <w:sz w:val="24"/>
        </w:rPr>
        <w:t xml:space="preserve"> mild and moderate patients had abnormally elevated ALT and AST, but the rate of elevation was much lower than that </w:t>
      </w:r>
      <w:r w:rsidRPr="00756DC7">
        <w:rPr>
          <w:rFonts w:ascii="Book Antiqua" w:hAnsi="Book Antiqua"/>
          <w:color w:val="000000"/>
          <w:sz w:val="24"/>
        </w:rPr>
        <w:t>in</w:t>
      </w:r>
      <w:r w:rsidR="00687F14" w:rsidRPr="00756DC7">
        <w:rPr>
          <w:rFonts w:ascii="Book Antiqua" w:hAnsi="Book Antiqua"/>
          <w:color w:val="000000"/>
          <w:sz w:val="24"/>
        </w:rPr>
        <w:t xml:space="preserve"> severe and critical</w:t>
      </w:r>
      <w:r w:rsidRPr="00756DC7">
        <w:rPr>
          <w:rFonts w:ascii="Book Antiqua" w:hAnsi="Book Antiqua"/>
          <w:color w:val="000000"/>
          <w:sz w:val="24"/>
        </w:rPr>
        <w:t>ly</w:t>
      </w:r>
      <w:r w:rsidR="00687F14" w:rsidRPr="00756DC7">
        <w:rPr>
          <w:rFonts w:ascii="Book Antiqua" w:hAnsi="Book Antiqua"/>
          <w:color w:val="000000"/>
          <w:sz w:val="24"/>
        </w:rPr>
        <w:t xml:space="preserve"> ill patients. Huang </w:t>
      </w:r>
      <w:r w:rsidR="00687F14" w:rsidRPr="00756DC7">
        <w:rPr>
          <w:rFonts w:ascii="Book Antiqua" w:hAnsi="Book Antiqua"/>
          <w:i/>
          <w:color w:val="000000"/>
          <w:sz w:val="24"/>
        </w:rPr>
        <w:t xml:space="preserve">et </w:t>
      </w:r>
      <w:proofErr w:type="gramStart"/>
      <w:r w:rsidR="00687F14" w:rsidRPr="00756DC7">
        <w:rPr>
          <w:rFonts w:ascii="Book Antiqua" w:hAnsi="Book Antiqua"/>
          <w:i/>
          <w:color w:val="000000"/>
          <w:sz w:val="24"/>
        </w:rPr>
        <w:t>al</w:t>
      </w:r>
      <w:r w:rsidR="00687F14" w:rsidRPr="00756DC7">
        <w:rPr>
          <w:rFonts w:ascii="Book Antiqua" w:hAnsi="Book Antiqua"/>
          <w:color w:val="000000"/>
          <w:sz w:val="24"/>
          <w:vertAlign w:val="superscript"/>
        </w:rPr>
        <w:t>[</w:t>
      </w:r>
      <w:proofErr w:type="gramEnd"/>
      <w:r w:rsidR="00687F14" w:rsidRPr="00756DC7">
        <w:rPr>
          <w:rFonts w:ascii="Book Antiqua" w:hAnsi="Book Antiqua"/>
          <w:color w:val="000000"/>
          <w:sz w:val="24"/>
          <w:vertAlign w:val="superscript"/>
        </w:rPr>
        <w:t>33]</w:t>
      </w:r>
      <w:r w:rsidR="00687F14" w:rsidRPr="00756DC7">
        <w:rPr>
          <w:rFonts w:ascii="Book Antiqua" w:hAnsi="Book Antiqua"/>
          <w:color w:val="000000"/>
          <w:sz w:val="24"/>
        </w:rPr>
        <w:t xml:space="preserve"> showed that </w:t>
      </w:r>
      <w:r w:rsidRPr="00756DC7">
        <w:rPr>
          <w:rFonts w:ascii="Book Antiqua" w:hAnsi="Book Antiqua"/>
          <w:color w:val="000000"/>
          <w:sz w:val="24"/>
        </w:rPr>
        <w:t>of</w:t>
      </w:r>
      <w:r w:rsidR="00687F14" w:rsidRPr="00756DC7">
        <w:rPr>
          <w:rFonts w:ascii="Book Antiqua" w:hAnsi="Book Antiqua"/>
          <w:color w:val="000000"/>
          <w:sz w:val="24"/>
        </w:rPr>
        <w:t xml:space="preserve"> 13 patients in </w:t>
      </w:r>
      <w:r w:rsidRPr="00756DC7">
        <w:rPr>
          <w:rFonts w:ascii="Book Antiqua" w:hAnsi="Book Antiqua"/>
          <w:color w:val="000000"/>
          <w:sz w:val="24"/>
        </w:rPr>
        <w:t xml:space="preserve">the </w:t>
      </w:r>
      <w:r w:rsidR="00687F14" w:rsidRPr="00756DC7">
        <w:rPr>
          <w:rFonts w:ascii="Book Antiqua" w:hAnsi="Book Antiqua"/>
          <w:color w:val="000000"/>
          <w:sz w:val="24"/>
        </w:rPr>
        <w:t xml:space="preserve">intensive care unit, 8 (62%) had increased </w:t>
      </w:r>
      <w:r w:rsidR="0042150A" w:rsidRPr="00756DC7">
        <w:rPr>
          <w:rFonts w:ascii="Book Antiqua" w:hAnsi="Book Antiqua"/>
          <w:color w:val="000000"/>
          <w:sz w:val="24"/>
        </w:rPr>
        <w:t xml:space="preserve">AST, while </w:t>
      </w:r>
      <w:r w:rsidR="00532754" w:rsidRPr="00756DC7">
        <w:rPr>
          <w:rFonts w:ascii="Book Antiqua" w:hAnsi="Book Antiqua"/>
          <w:color w:val="000000"/>
          <w:sz w:val="24"/>
        </w:rPr>
        <w:t xml:space="preserve">of </w:t>
      </w:r>
      <w:r w:rsidR="00687F14" w:rsidRPr="00756DC7">
        <w:rPr>
          <w:rFonts w:ascii="Book Antiqua" w:hAnsi="Book Antiqua"/>
          <w:color w:val="000000"/>
          <w:sz w:val="24"/>
        </w:rPr>
        <w:t xml:space="preserve">28 patients who </w:t>
      </w:r>
      <w:r w:rsidRPr="00756DC7">
        <w:rPr>
          <w:rFonts w:ascii="Book Antiqua" w:hAnsi="Book Antiqua"/>
          <w:color w:val="000000"/>
          <w:sz w:val="24"/>
        </w:rPr>
        <w:t xml:space="preserve">were </w:t>
      </w:r>
      <w:r w:rsidR="00532754" w:rsidRPr="00756DC7">
        <w:rPr>
          <w:rFonts w:ascii="Book Antiqua" w:hAnsi="Book Antiqua"/>
          <w:color w:val="000000"/>
          <w:sz w:val="24"/>
        </w:rPr>
        <w:t xml:space="preserve">not admitted to the </w:t>
      </w:r>
      <w:r w:rsidR="0061735D" w:rsidRPr="00756DC7">
        <w:rPr>
          <w:rFonts w:ascii="Book Antiqua" w:hAnsi="Book Antiqua"/>
          <w:color w:val="000000"/>
          <w:sz w:val="24"/>
        </w:rPr>
        <w:t>intensive care unit</w:t>
      </w:r>
      <w:r w:rsidR="00687F14" w:rsidRPr="00756DC7">
        <w:rPr>
          <w:rFonts w:ascii="Book Antiqua" w:hAnsi="Book Antiqua"/>
          <w:color w:val="000000"/>
          <w:sz w:val="24"/>
        </w:rPr>
        <w:t xml:space="preserve">, 7 (25%) had increased AST. The reason </w:t>
      </w:r>
      <w:r w:rsidRPr="00756DC7">
        <w:rPr>
          <w:rFonts w:ascii="Book Antiqua" w:hAnsi="Book Antiqua"/>
          <w:color w:val="000000"/>
          <w:sz w:val="24"/>
        </w:rPr>
        <w:t xml:space="preserve">for this </w:t>
      </w:r>
      <w:r w:rsidR="00687F14" w:rsidRPr="00756DC7">
        <w:rPr>
          <w:rFonts w:ascii="Book Antiqua" w:hAnsi="Book Antiqua"/>
          <w:color w:val="000000"/>
          <w:sz w:val="24"/>
        </w:rPr>
        <w:t xml:space="preserve">may be that severe and critically ill patients </w:t>
      </w:r>
      <w:r w:rsidRPr="00756DC7">
        <w:rPr>
          <w:rFonts w:ascii="Book Antiqua" w:hAnsi="Book Antiqua"/>
          <w:color w:val="000000"/>
          <w:sz w:val="24"/>
        </w:rPr>
        <w:t>require</w:t>
      </w:r>
      <w:r w:rsidR="00687F14" w:rsidRPr="00756DC7">
        <w:rPr>
          <w:rFonts w:ascii="Book Antiqua" w:hAnsi="Book Antiqua"/>
          <w:color w:val="000000"/>
          <w:sz w:val="24"/>
        </w:rPr>
        <w:t xml:space="preserve"> long-term and more metered antiviral drugs, such as </w:t>
      </w:r>
      <w:proofErr w:type="spellStart"/>
      <w:r w:rsidR="00687F14" w:rsidRPr="00756DC7">
        <w:rPr>
          <w:rFonts w:ascii="Book Antiqua" w:hAnsi="Book Antiqua"/>
          <w:color w:val="000000"/>
          <w:sz w:val="24"/>
        </w:rPr>
        <w:t>a</w:t>
      </w:r>
      <w:r w:rsidRPr="00756DC7">
        <w:rPr>
          <w:rFonts w:ascii="Book Antiqua" w:hAnsi="Book Antiqua"/>
          <w:color w:val="000000"/>
          <w:sz w:val="24"/>
        </w:rPr>
        <w:t>r</w:t>
      </w:r>
      <w:r w:rsidR="00687F14" w:rsidRPr="00756DC7">
        <w:rPr>
          <w:rFonts w:ascii="Book Antiqua" w:hAnsi="Book Antiqua"/>
          <w:color w:val="000000"/>
          <w:sz w:val="24"/>
        </w:rPr>
        <w:t>bido</w:t>
      </w:r>
      <w:r w:rsidRPr="00756DC7">
        <w:rPr>
          <w:rFonts w:ascii="Book Antiqua" w:hAnsi="Book Antiqua"/>
          <w:color w:val="000000"/>
          <w:sz w:val="24"/>
        </w:rPr>
        <w:t>l</w:t>
      </w:r>
      <w:proofErr w:type="spellEnd"/>
      <w:r w:rsidR="00687F14" w:rsidRPr="00756DC7">
        <w:rPr>
          <w:rFonts w:ascii="Book Antiqua" w:hAnsi="Book Antiqua"/>
          <w:color w:val="000000"/>
          <w:sz w:val="24"/>
        </w:rPr>
        <w:t>, lopinavir/ritonavir</w:t>
      </w:r>
      <w:r w:rsidR="007233BA" w:rsidRPr="00756DC7">
        <w:rPr>
          <w:rFonts w:ascii="Book Antiqua" w:hAnsi="Book Antiqua"/>
          <w:color w:val="000000"/>
          <w:sz w:val="24"/>
        </w:rPr>
        <w:t>,</w:t>
      </w:r>
      <w:r w:rsidR="00687F14" w:rsidRPr="00756DC7">
        <w:rPr>
          <w:rFonts w:ascii="Book Antiqua" w:hAnsi="Book Antiqua"/>
          <w:color w:val="000000"/>
          <w:sz w:val="24"/>
        </w:rPr>
        <w:t xml:space="preserve"> </w:t>
      </w:r>
      <w:r w:rsidR="00687F14" w:rsidRPr="00756DC7">
        <w:rPr>
          <w:rFonts w:ascii="Book Antiqua" w:hAnsi="Book Antiqua"/>
          <w:i/>
          <w:color w:val="000000"/>
          <w:sz w:val="24"/>
        </w:rPr>
        <w:t>etc</w:t>
      </w:r>
      <w:r w:rsidR="00687F14" w:rsidRPr="00756DC7">
        <w:rPr>
          <w:rFonts w:ascii="Book Antiqua" w:hAnsi="Book Antiqua"/>
          <w:color w:val="000000"/>
          <w:sz w:val="24"/>
        </w:rPr>
        <w:t xml:space="preserve">. </w:t>
      </w:r>
      <w:r w:rsidRPr="00756DC7">
        <w:rPr>
          <w:rFonts w:ascii="Book Antiqua" w:hAnsi="Book Antiqua"/>
          <w:color w:val="000000"/>
          <w:sz w:val="24"/>
        </w:rPr>
        <w:t>T</w:t>
      </w:r>
      <w:r w:rsidR="00687F14" w:rsidRPr="00756DC7">
        <w:rPr>
          <w:rFonts w:ascii="Book Antiqua" w:hAnsi="Book Antiqua"/>
          <w:color w:val="000000"/>
          <w:sz w:val="24"/>
        </w:rPr>
        <w:t>he results of th</w:t>
      </w:r>
      <w:r w:rsidRPr="00756DC7">
        <w:rPr>
          <w:rFonts w:ascii="Book Antiqua" w:hAnsi="Book Antiqua"/>
          <w:color w:val="000000"/>
          <w:sz w:val="24"/>
        </w:rPr>
        <w:t>is</w:t>
      </w:r>
      <w:r w:rsidR="00687F14" w:rsidRPr="00756DC7">
        <w:rPr>
          <w:rFonts w:ascii="Book Antiqua" w:hAnsi="Book Antiqua"/>
          <w:color w:val="000000"/>
          <w:sz w:val="24"/>
        </w:rPr>
        <w:t xml:space="preserve"> study showed that acute respiratory distress syndrome (ARDS) </w:t>
      </w:r>
      <w:r w:rsidR="00F57583" w:rsidRPr="00756DC7">
        <w:rPr>
          <w:rFonts w:ascii="Book Antiqua" w:hAnsi="Book Antiqua"/>
          <w:color w:val="000000"/>
          <w:sz w:val="24"/>
        </w:rPr>
        <w:t xml:space="preserve">was </w:t>
      </w:r>
      <w:r w:rsidR="00687F14" w:rsidRPr="00756DC7">
        <w:rPr>
          <w:rFonts w:ascii="Book Antiqua" w:hAnsi="Book Antiqua"/>
          <w:color w:val="000000"/>
          <w:sz w:val="24"/>
        </w:rPr>
        <w:t xml:space="preserve">an important </w:t>
      </w:r>
      <w:r w:rsidR="00F57583" w:rsidRPr="00756DC7">
        <w:rPr>
          <w:rFonts w:ascii="Book Antiqua" w:hAnsi="Book Antiqua"/>
          <w:color w:val="000000"/>
          <w:sz w:val="24"/>
        </w:rPr>
        <w:t>factor for</w:t>
      </w:r>
      <w:r w:rsidR="00687F14" w:rsidRPr="00756DC7">
        <w:rPr>
          <w:rFonts w:ascii="Book Antiqua" w:hAnsi="Book Antiqua"/>
          <w:color w:val="000000"/>
          <w:sz w:val="24"/>
        </w:rPr>
        <w:t xml:space="preserve"> </w:t>
      </w:r>
      <w:r w:rsidRPr="00756DC7">
        <w:rPr>
          <w:rFonts w:ascii="Book Antiqua" w:hAnsi="Book Antiqua"/>
          <w:color w:val="000000"/>
          <w:sz w:val="24"/>
        </w:rPr>
        <w:t xml:space="preserve">the death of </w:t>
      </w:r>
      <w:r w:rsidR="00687F14" w:rsidRPr="00756DC7">
        <w:rPr>
          <w:rFonts w:ascii="Book Antiqua" w:hAnsi="Book Antiqua"/>
          <w:color w:val="000000"/>
          <w:sz w:val="24"/>
        </w:rPr>
        <w:t xml:space="preserve">COVID-19 patients, and early use of glucocorticoids reduced the risk of viral infection in patients with ARDS. </w:t>
      </w:r>
      <w:r w:rsidR="00D74DA5" w:rsidRPr="00756DC7">
        <w:rPr>
          <w:rFonts w:ascii="Book Antiqua" w:hAnsi="Book Antiqua"/>
          <w:color w:val="000000"/>
          <w:sz w:val="24"/>
        </w:rPr>
        <w:t>The authors</w:t>
      </w:r>
      <w:r w:rsidR="00687F14" w:rsidRPr="00756DC7">
        <w:rPr>
          <w:rFonts w:ascii="Book Antiqua" w:hAnsi="Book Antiqua"/>
          <w:color w:val="000000"/>
          <w:sz w:val="24"/>
        </w:rPr>
        <w:t xml:space="preserve"> found that corticosteroid treatment did not influence virus clearance time, length of </w:t>
      </w:r>
      <w:r w:rsidR="00D74DA5" w:rsidRPr="00756DC7">
        <w:rPr>
          <w:rFonts w:ascii="Book Antiqua" w:hAnsi="Book Antiqua"/>
          <w:color w:val="000000"/>
          <w:sz w:val="24"/>
        </w:rPr>
        <w:t xml:space="preserve">hospital </w:t>
      </w:r>
      <w:r w:rsidR="00687F14" w:rsidRPr="00756DC7">
        <w:rPr>
          <w:rFonts w:ascii="Book Antiqua" w:hAnsi="Book Antiqua"/>
          <w:color w:val="000000"/>
          <w:sz w:val="24"/>
        </w:rPr>
        <w:t xml:space="preserve">stay, or duration of symptoms in patients with mild COVID-19. </w:t>
      </w:r>
      <w:proofErr w:type="spellStart"/>
      <w:r w:rsidR="007B1E79" w:rsidRPr="00756DC7">
        <w:rPr>
          <w:rFonts w:ascii="Book Antiqua" w:hAnsi="Book Antiqua"/>
          <w:color w:val="000000"/>
          <w:sz w:val="24"/>
        </w:rPr>
        <w:t>Zha</w:t>
      </w:r>
      <w:proofErr w:type="spellEnd"/>
      <w:r w:rsidR="00687F14" w:rsidRPr="00756DC7">
        <w:rPr>
          <w:rFonts w:ascii="Book Antiqua" w:hAnsi="Book Antiqua"/>
          <w:color w:val="000000"/>
          <w:sz w:val="24"/>
        </w:rPr>
        <w:t xml:space="preserve"> </w:t>
      </w:r>
      <w:r w:rsidR="00687F14" w:rsidRPr="00756DC7">
        <w:rPr>
          <w:rFonts w:ascii="Book Antiqua" w:hAnsi="Book Antiqua"/>
          <w:i/>
          <w:color w:val="000000"/>
          <w:sz w:val="24"/>
        </w:rPr>
        <w:t xml:space="preserve">et </w:t>
      </w:r>
      <w:proofErr w:type="gramStart"/>
      <w:r w:rsidR="00687F14" w:rsidRPr="00756DC7">
        <w:rPr>
          <w:rFonts w:ascii="Book Antiqua" w:hAnsi="Book Antiqua"/>
          <w:i/>
          <w:color w:val="000000"/>
          <w:sz w:val="24"/>
        </w:rPr>
        <w:t>al</w:t>
      </w:r>
      <w:r w:rsidR="00687F14" w:rsidRPr="00756DC7">
        <w:rPr>
          <w:rFonts w:ascii="Book Antiqua" w:hAnsi="Book Antiqua"/>
          <w:color w:val="000000"/>
          <w:sz w:val="24"/>
          <w:vertAlign w:val="superscript"/>
        </w:rPr>
        <w:t>[</w:t>
      </w:r>
      <w:proofErr w:type="gramEnd"/>
      <w:r w:rsidR="00687F14" w:rsidRPr="00756DC7">
        <w:rPr>
          <w:rFonts w:ascii="Book Antiqua" w:hAnsi="Book Antiqua"/>
          <w:color w:val="000000"/>
          <w:sz w:val="24"/>
          <w:vertAlign w:val="superscript"/>
        </w:rPr>
        <w:t>34]</w:t>
      </w:r>
      <w:r w:rsidR="00687F14" w:rsidRPr="00756DC7">
        <w:rPr>
          <w:rFonts w:ascii="Book Antiqua" w:hAnsi="Book Antiqua"/>
          <w:color w:val="000000"/>
          <w:sz w:val="24"/>
        </w:rPr>
        <w:t xml:space="preserve"> showed that 11 of 31 COVID-19 patients received corticosteroid therapy, and up to 70% of critically ill patients received systemic </w:t>
      </w:r>
      <w:r w:rsidR="0072392E" w:rsidRPr="00756DC7">
        <w:rPr>
          <w:rFonts w:ascii="Book Antiqua" w:hAnsi="Book Antiqua"/>
          <w:color w:val="000000"/>
          <w:sz w:val="24"/>
        </w:rPr>
        <w:t>corticosteroid</w:t>
      </w:r>
      <w:r w:rsidR="0072392E" w:rsidRPr="00756DC7" w:rsidDel="00D74DA5">
        <w:rPr>
          <w:rFonts w:ascii="Book Antiqua" w:hAnsi="Book Antiqua"/>
          <w:color w:val="000000"/>
          <w:sz w:val="24"/>
        </w:rPr>
        <w:t xml:space="preserve"> </w:t>
      </w:r>
      <w:r w:rsidR="00687F14" w:rsidRPr="00756DC7">
        <w:rPr>
          <w:rFonts w:ascii="Book Antiqua" w:hAnsi="Book Antiqua"/>
          <w:color w:val="000000"/>
          <w:sz w:val="24"/>
        </w:rPr>
        <w:t>treatment, which indicated that corticosteroid use was associated</w:t>
      </w:r>
      <w:r w:rsidR="00FA1931" w:rsidRPr="00756DC7">
        <w:rPr>
          <w:rFonts w:ascii="Book Antiqua" w:hAnsi="Book Antiqua"/>
          <w:color w:val="000000"/>
          <w:sz w:val="24"/>
        </w:rPr>
        <w:t xml:space="preserve"> with the severity of symptoms.</w:t>
      </w:r>
    </w:p>
    <w:p w:rsidR="00687F14" w:rsidRPr="00756DC7" w:rsidRDefault="00687F14" w:rsidP="001E7706">
      <w:pPr>
        <w:adjustRightInd w:val="0"/>
        <w:snapToGrid w:val="0"/>
        <w:spacing w:line="360" w:lineRule="auto"/>
        <w:ind w:firstLineChars="100" w:firstLine="240"/>
        <w:rPr>
          <w:rFonts w:ascii="Book Antiqua" w:hAnsi="Book Antiqua"/>
          <w:color w:val="000000"/>
          <w:sz w:val="24"/>
        </w:rPr>
      </w:pPr>
      <w:r w:rsidRPr="00756DC7">
        <w:rPr>
          <w:rFonts w:ascii="Book Antiqua" w:hAnsi="Book Antiqua"/>
          <w:color w:val="000000"/>
          <w:sz w:val="24"/>
        </w:rPr>
        <w:t xml:space="preserve">The guideline for diagnosis and treatment of SARS-CoV-2 issued by the National Health Commission of the People's Republic of China </w:t>
      </w:r>
      <w:r w:rsidR="001C6ACF" w:rsidRPr="00756DC7">
        <w:rPr>
          <w:rFonts w:ascii="Book Antiqua" w:hAnsi="Book Antiqua"/>
          <w:color w:val="000000"/>
          <w:sz w:val="24"/>
        </w:rPr>
        <w:t xml:space="preserve">indicates </w:t>
      </w:r>
      <w:r w:rsidRPr="00756DC7">
        <w:rPr>
          <w:rFonts w:ascii="Book Antiqua" w:hAnsi="Book Antiqua"/>
          <w:color w:val="000000"/>
          <w:sz w:val="24"/>
        </w:rPr>
        <w:t xml:space="preserve">that long-term </w:t>
      </w:r>
      <w:r w:rsidR="00D74DA5" w:rsidRPr="00756DC7">
        <w:rPr>
          <w:rFonts w:ascii="Book Antiqua" w:hAnsi="Book Antiqua"/>
          <w:color w:val="000000"/>
          <w:sz w:val="24"/>
        </w:rPr>
        <w:t xml:space="preserve">treatment </w:t>
      </w:r>
      <w:r w:rsidRPr="00756DC7">
        <w:rPr>
          <w:rFonts w:ascii="Book Antiqua" w:hAnsi="Book Antiqua"/>
          <w:color w:val="000000"/>
          <w:sz w:val="24"/>
        </w:rPr>
        <w:t xml:space="preserve">or </w:t>
      </w:r>
      <w:r w:rsidR="001C6ACF" w:rsidRPr="00756DC7">
        <w:rPr>
          <w:rFonts w:ascii="Book Antiqua" w:hAnsi="Book Antiqua"/>
          <w:color w:val="000000"/>
          <w:sz w:val="24"/>
        </w:rPr>
        <w:t xml:space="preserve">use of </w:t>
      </w:r>
      <w:r w:rsidRPr="00756DC7">
        <w:rPr>
          <w:rFonts w:ascii="Book Antiqua" w:hAnsi="Book Antiqua"/>
          <w:color w:val="000000"/>
          <w:sz w:val="24"/>
        </w:rPr>
        <w:t xml:space="preserve">a large </w:t>
      </w:r>
      <w:r w:rsidR="001C6ACF" w:rsidRPr="00756DC7">
        <w:rPr>
          <w:rFonts w:ascii="Book Antiqua" w:hAnsi="Book Antiqua"/>
          <w:color w:val="000000"/>
          <w:sz w:val="24"/>
        </w:rPr>
        <w:t xml:space="preserve">amount </w:t>
      </w:r>
      <w:r w:rsidRPr="00756DC7">
        <w:rPr>
          <w:rFonts w:ascii="Book Antiqua" w:hAnsi="Book Antiqua"/>
          <w:color w:val="000000"/>
          <w:sz w:val="24"/>
        </w:rPr>
        <w:t xml:space="preserve">of these drugs </w:t>
      </w:r>
      <w:r w:rsidR="0072392E" w:rsidRPr="00756DC7">
        <w:rPr>
          <w:rFonts w:ascii="Book Antiqua" w:hAnsi="Book Antiqua"/>
          <w:color w:val="000000"/>
          <w:sz w:val="24"/>
        </w:rPr>
        <w:t xml:space="preserve">can </w:t>
      </w:r>
      <w:r w:rsidRPr="00756DC7">
        <w:rPr>
          <w:rFonts w:ascii="Book Antiqua" w:hAnsi="Book Antiqua"/>
          <w:color w:val="000000"/>
          <w:sz w:val="24"/>
        </w:rPr>
        <w:t>cause adverse reactions</w:t>
      </w:r>
      <w:r w:rsidR="001C6ACF" w:rsidRPr="00756DC7">
        <w:rPr>
          <w:rFonts w:ascii="Book Antiqua" w:hAnsi="Book Antiqua"/>
          <w:color w:val="000000"/>
          <w:sz w:val="24"/>
        </w:rPr>
        <w:t xml:space="preserve"> in liver function, and </w:t>
      </w:r>
      <w:r w:rsidRPr="00756DC7">
        <w:rPr>
          <w:rFonts w:ascii="Book Antiqua" w:hAnsi="Book Antiqua"/>
          <w:color w:val="000000"/>
          <w:sz w:val="24"/>
        </w:rPr>
        <w:t xml:space="preserve">liver damage due to </w:t>
      </w:r>
      <w:r w:rsidR="001C6ACF" w:rsidRPr="00756DC7">
        <w:rPr>
          <w:rFonts w:ascii="Book Antiqua" w:hAnsi="Book Antiqua"/>
          <w:color w:val="000000"/>
          <w:sz w:val="24"/>
        </w:rPr>
        <w:t xml:space="preserve">the </w:t>
      </w:r>
      <w:r w:rsidR="00D74DA5" w:rsidRPr="00756DC7">
        <w:rPr>
          <w:rFonts w:ascii="Book Antiqua" w:hAnsi="Book Antiqua"/>
          <w:color w:val="000000"/>
          <w:sz w:val="24"/>
        </w:rPr>
        <w:t>drug</w:t>
      </w:r>
      <w:r w:rsidR="00EE09C0" w:rsidRPr="00756DC7">
        <w:rPr>
          <w:rFonts w:ascii="Book Antiqua" w:hAnsi="Book Antiqua"/>
          <w:color w:val="000000"/>
          <w:sz w:val="24"/>
        </w:rPr>
        <w:t>-induced</w:t>
      </w:r>
      <w:r w:rsidRPr="00756DC7">
        <w:rPr>
          <w:rFonts w:ascii="Book Antiqua" w:hAnsi="Book Antiqua"/>
          <w:color w:val="000000"/>
          <w:sz w:val="24"/>
        </w:rPr>
        <w:t xml:space="preserve"> hepatotoxicity.</w:t>
      </w:r>
    </w:p>
    <w:p w:rsidR="00FA1931" w:rsidRPr="00756DC7" w:rsidRDefault="00FA1931" w:rsidP="001E7706">
      <w:pPr>
        <w:adjustRightInd w:val="0"/>
        <w:snapToGrid w:val="0"/>
        <w:spacing w:line="360" w:lineRule="auto"/>
        <w:ind w:firstLineChars="100" w:firstLine="240"/>
        <w:rPr>
          <w:rFonts w:ascii="Book Antiqua" w:hAnsi="Book Antiqua"/>
          <w:color w:val="000000"/>
          <w:sz w:val="24"/>
        </w:rPr>
      </w:pPr>
    </w:p>
    <w:p w:rsidR="00687F14" w:rsidRPr="00756DC7" w:rsidRDefault="00687F14" w:rsidP="001E7706">
      <w:pPr>
        <w:adjustRightInd w:val="0"/>
        <w:snapToGrid w:val="0"/>
        <w:spacing w:line="360" w:lineRule="auto"/>
        <w:rPr>
          <w:rFonts w:ascii="Book Antiqua" w:hAnsi="Book Antiqua"/>
          <w:b/>
          <w:bCs/>
          <w:color w:val="000000"/>
          <w:sz w:val="24"/>
          <w:u w:val="single"/>
        </w:rPr>
      </w:pPr>
      <w:r w:rsidRPr="00756DC7">
        <w:rPr>
          <w:rFonts w:ascii="Book Antiqua" w:hAnsi="Book Antiqua"/>
          <w:b/>
          <w:bCs/>
          <w:color w:val="000000"/>
          <w:sz w:val="24"/>
          <w:u w:val="single"/>
        </w:rPr>
        <w:t xml:space="preserve">COVID-19 </w:t>
      </w:r>
      <w:r w:rsidR="00EE09C0" w:rsidRPr="00756DC7">
        <w:rPr>
          <w:rFonts w:ascii="Book Antiqua" w:hAnsi="Book Antiqua"/>
          <w:b/>
          <w:bCs/>
          <w:color w:val="000000"/>
          <w:sz w:val="24"/>
          <w:u w:val="single"/>
        </w:rPr>
        <w:t>COMPLICATED</w:t>
      </w:r>
      <w:r w:rsidR="0072392E" w:rsidRPr="00756DC7">
        <w:rPr>
          <w:rFonts w:ascii="Book Antiqua" w:hAnsi="Book Antiqua"/>
          <w:b/>
          <w:bCs/>
          <w:color w:val="000000"/>
          <w:sz w:val="24"/>
          <w:u w:val="single"/>
        </w:rPr>
        <w:t xml:space="preserve"> WITH UNDERLYING LIVER DISEASE</w:t>
      </w:r>
      <w:r w:rsidR="00EE09C0" w:rsidRPr="00756DC7">
        <w:rPr>
          <w:rFonts w:ascii="Book Antiqua" w:hAnsi="Book Antiqua"/>
          <w:b/>
          <w:bCs/>
          <w:color w:val="000000"/>
          <w:sz w:val="24"/>
          <w:u w:val="single"/>
        </w:rPr>
        <w:t>S</w:t>
      </w:r>
    </w:p>
    <w:p w:rsidR="00687F14" w:rsidRPr="00756DC7" w:rsidRDefault="00687F14" w:rsidP="001E7706">
      <w:pPr>
        <w:adjustRightInd w:val="0"/>
        <w:snapToGrid w:val="0"/>
        <w:spacing w:line="360" w:lineRule="auto"/>
        <w:rPr>
          <w:rFonts w:ascii="Book Antiqua" w:hAnsi="Book Antiqua"/>
          <w:color w:val="000000"/>
          <w:sz w:val="24"/>
        </w:rPr>
      </w:pPr>
      <w:r w:rsidRPr="00756DC7">
        <w:rPr>
          <w:rFonts w:ascii="Book Antiqua" w:hAnsi="Book Antiqua"/>
          <w:color w:val="000000"/>
          <w:sz w:val="24"/>
        </w:rPr>
        <w:t>There are a</w:t>
      </w:r>
      <w:r w:rsidR="00D74DA5" w:rsidRPr="00756DC7">
        <w:rPr>
          <w:rFonts w:ascii="Book Antiqua" w:hAnsi="Book Antiqua"/>
          <w:color w:val="000000"/>
          <w:sz w:val="24"/>
        </w:rPr>
        <w:t>pproximately</w:t>
      </w:r>
      <w:r w:rsidRPr="00756DC7">
        <w:rPr>
          <w:rFonts w:ascii="Book Antiqua" w:hAnsi="Book Antiqua"/>
          <w:color w:val="000000"/>
          <w:sz w:val="24"/>
        </w:rPr>
        <w:t xml:space="preserve"> 300 million patients with chronic viral hepatitis, cirrhosis, fatty liver, alcoholic liver disease or other liver diseases in China. </w:t>
      </w:r>
      <w:r w:rsidR="00EE09C0" w:rsidRPr="00756DC7">
        <w:rPr>
          <w:rFonts w:ascii="Book Antiqua" w:hAnsi="Book Antiqua"/>
          <w:color w:val="000000"/>
          <w:sz w:val="24"/>
        </w:rPr>
        <w:lastRenderedPageBreak/>
        <w:t xml:space="preserve">Therefore, </w:t>
      </w:r>
      <w:r w:rsidRPr="00756DC7">
        <w:rPr>
          <w:rFonts w:ascii="Book Antiqua" w:hAnsi="Book Antiqua"/>
          <w:color w:val="000000"/>
          <w:sz w:val="24"/>
        </w:rPr>
        <w:t>the influence of underlying liver disease</w:t>
      </w:r>
      <w:r w:rsidR="00EE09C0" w:rsidRPr="00756DC7">
        <w:rPr>
          <w:rFonts w:ascii="Book Antiqua" w:hAnsi="Book Antiqua"/>
          <w:color w:val="000000"/>
          <w:sz w:val="24"/>
        </w:rPr>
        <w:t>s</w:t>
      </w:r>
      <w:r w:rsidRPr="00756DC7">
        <w:rPr>
          <w:rFonts w:ascii="Book Antiqua" w:hAnsi="Book Antiqua"/>
          <w:color w:val="000000"/>
          <w:sz w:val="24"/>
        </w:rPr>
        <w:t xml:space="preserve"> </w:t>
      </w:r>
      <w:r w:rsidR="00EE09C0" w:rsidRPr="00756DC7">
        <w:rPr>
          <w:rFonts w:ascii="Book Antiqua" w:hAnsi="Book Antiqua"/>
          <w:color w:val="000000"/>
          <w:sz w:val="24"/>
        </w:rPr>
        <w:t xml:space="preserve">and </w:t>
      </w:r>
      <w:r w:rsidRPr="00756DC7">
        <w:rPr>
          <w:rFonts w:ascii="Book Antiqua" w:hAnsi="Book Antiqua"/>
          <w:color w:val="000000"/>
          <w:sz w:val="24"/>
        </w:rPr>
        <w:t xml:space="preserve">the liver injury status </w:t>
      </w:r>
      <w:r w:rsidR="00D74DA5" w:rsidRPr="00756DC7">
        <w:rPr>
          <w:rFonts w:ascii="Book Antiqua" w:hAnsi="Book Antiqua"/>
          <w:color w:val="000000"/>
          <w:sz w:val="24"/>
        </w:rPr>
        <w:t>in</w:t>
      </w:r>
      <w:r w:rsidRPr="00756DC7">
        <w:rPr>
          <w:rFonts w:ascii="Book Antiqua" w:hAnsi="Book Antiqua"/>
          <w:color w:val="000000"/>
          <w:sz w:val="24"/>
        </w:rPr>
        <w:t xml:space="preserve"> different COVID-19 patients</w:t>
      </w:r>
      <w:r w:rsidR="00D74DA5" w:rsidRPr="00756DC7">
        <w:rPr>
          <w:rFonts w:ascii="Book Antiqua" w:hAnsi="Book Antiqua"/>
          <w:color w:val="000000"/>
          <w:sz w:val="24"/>
        </w:rPr>
        <w:t xml:space="preserve"> </w:t>
      </w:r>
      <w:r w:rsidR="00EE09C0" w:rsidRPr="00756DC7">
        <w:rPr>
          <w:rFonts w:ascii="Book Antiqua" w:hAnsi="Book Antiqua"/>
          <w:color w:val="000000"/>
          <w:sz w:val="24"/>
        </w:rPr>
        <w:t>should be carefully evaluated</w:t>
      </w:r>
      <w:r w:rsidR="0042150A" w:rsidRPr="00756DC7">
        <w:rPr>
          <w:rFonts w:ascii="Book Antiqua" w:hAnsi="Book Antiqua"/>
          <w:color w:val="000000"/>
          <w:sz w:val="24"/>
        </w:rPr>
        <w:t xml:space="preserve">. </w:t>
      </w:r>
      <w:r w:rsidR="00A76705" w:rsidRPr="00756DC7">
        <w:rPr>
          <w:rFonts w:ascii="Book Antiqua" w:hAnsi="Book Antiqua"/>
          <w:color w:val="000000"/>
          <w:sz w:val="24"/>
        </w:rPr>
        <w:t>P</w:t>
      </w:r>
      <w:r w:rsidRPr="00756DC7">
        <w:rPr>
          <w:rFonts w:ascii="Book Antiqua" w:hAnsi="Book Antiqua"/>
          <w:color w:val="000000"/>
          <w:sz w:val="24"/>
        </w:rPr>
        <w:t xml:space="preserve">atients with chronic hepatitis B who have been treated with </w:t>
      </w:r>
      <w:r w:rsidR="00EE09C0" w:rsidRPr="00756DC7">
        <w:rPr>
          <w:rFonts w:ascii="Book Antiqua" w:hAnsi="Book Antiqua"/>
          <w:color w:val="000000"/>
          <w:sz w:val="24"/>
        </w:rPr>
        <w:t xml:space="preserve">long-term </w:t>
      </w:r>
      <w:r w:rsidRPr="00756DC7">
        <w:rPr>
          <w:rFonts w:ascii="Book Antiqua" w:hAnsi="Book Antiqua"/>
          <w:color w:val="000000"/>
          <w:sz w:val="24"/>
        </w:rPr>
        <w:t xml:space="preserve">nucleoside analogues are in the immune tolerance stage and have virus inhibition. When they are infected with SARS-CoV-2, they will have sustained liver damage. In patients with </w:t>
      </w:r>
      <w:bookmarkStart w:id="10" w:name="_Hlk37888731"/>
      <w:r w:rsidRPr="00756DC7">
        <w:rPr>
          <w:rFonts w:ascii="Book Antiqua" w:hAnsi="Book Antiqua"/>
          <w:color w:val="000000"/>
          <w:sz w:val="24"/>
        </w:rPr>
        <w:t>COVID-19</w:t>
      </w:r>
      <w:bookmarkEnd w:id="10"/>
      <w:r w:rsidRPr="00756DC7">
        <w:rPr>
          <w:rFonts w:ascii="Book Antiqua" w:hAnsi="Book Antiqua"/>
          <w:color w:val="000000"/>
          <w:sz w:val="24"/>
        </w:rPr>
        <w:t xml:space="preserve"> complicated with autoimmune hepatitis, special attention should be paid to the effect of glucocorticoid</w:t>
      </w:r>
      <w:r w:rsidR="00D74DA5" w:rsidRPr="00756DC7">
        <w:rPr>
          <w:rFonts w:ascii="Book Antiqua" w:hAnsi="Book Antiqua"/>
          <w:color w:val="000000"/>
          <w:sz w:val="24"/>
        </w:rPr>
        <w:t xml:space="preserve">s </w:t>
      </w:r>
      <w:r w:rsidRPr="00756DC7">
        <w:rPr>
          <w:rFonts w:ascii="Book Antiqua" w:hAnsi="Book Antiqua"/>
          <w:color w:val="000000"/>
          <w:sz w:val="24"/>
        </w:rPr>
        <w:t xml:space="preserve">on prognosis of the disease. Because of the high level of ACE2 receptor expression in bile duct cells, </w:t>
      </w:r>
      <w:r w:rsidR="00B2253E" w:rsidRPr="00756DC7">
        <w:rPr>
          <w:rFonts w:ascii="Book Antiqua" w:hAnsi="Book Antiqua"/>
          <w:color w:val="000000"/>
          <w:sz w:val="24"/>
        </w:rPr>
        <w:t xml:space="preserve">COVID-19 </w:t>
      </w:r>
      <w:r w:rsidRPr="00756DC7">
        <w:rPr>
          <w:rFonts w:ascii="Book Antiqua" w:hAnsi="Book Antiqua"/>
          <w:color w:val="000000"/>
          <w:sz w:val="24"/>
        </w:rPr>
        <w:t xml:space="preserve">patients </w:t>
      </w:r>
      <w:r w:rsidR="00B2253E" w:rsidRPr="00756DC7">
        <w:rPr>
          <w:rFonts w:ascii="Book Antiqua" w:hAnsi="Book Antiqua"/>
          <w:color w:val="000000"/>
          <w:sz w:val="24"/>
        </w:rPr>
        <w:t xml:space="preserve">complicated with cholangitis </w:t>
      </w:r>
      <w:r w:rsidRPr="00756DC7">
        <w:rPr>
          <w:rFonts w:ascii="Book Antiqua" w:hAnsi="Book Antiqua"/>
          <w:color w:val="000000"/>
          <w:sz w:val="24"/>
        </w:rPr>
        <w:t xml:space="preserve">may </w:t>
      </w:r>
      <w:r w:rsidR="00B2253E" w:rsidRPr="00756DC7">
        <w:rPr>
          <w:rFonts w:ascii="Book Antiqua" w:hAnsi="Book Antiqua"/>
          <w:color w:val="000000"/>
          <w:sz w:val="24"/>
        </w:rPr>
        <w:t xml:space="preserve">have </w:t>
      </w:r>
      <w:r w:rsidRPr="00756DC7">
        <w:rPr>
          <w:rFonts w:ascii="Book Antiqua" w:hAnsi="Book Antiqua"/>
          <w:color w:val="000000"/>
          <w:sz w:val="24"/>
        </w:rPr>
        <w:t>aggravate</w:t>
      </w:r>
      <w:r w:rsidR="00B2253E" w:rsidRPr="00756DC7">
        <w:rPr>
          <w:rFonts w:ascii="Book Antiqua" w:hAnsi="Book Antiqua"/>
          <w:color w:val="000000"/>
          <w:sz w:val="24"/>
        </w:rPr>
        <w:t>d</w:t>
      </w:r>
      <w:r w:rsidRPr="00756DC7">
        <w:rPr>
          <w:rFonts w:ascii="Book Antiqua" w:hAnsi="Book Antiqua"/>
          <w:color w:val="000000"/>
          <w:sz w:val="24"/>
        </w:rPr>
        <w:t xml:space="preserve"> cholestasis, resulting </w:t>
      </w:r>
      <w:r w:rsidR="00D74DA5" w:rsidRPr="00756DC7">
        <w:rPr>
          <w:rFonts w:ascii="Book Antiqua" w:hAnsi="Book Antiqua"/>
          <w:color w:val="000000"/>
          <w:sz w:val="24"/>
        </w:rPr>
        <w:t>in</w:t>
      </w:r>
      <w:r w:rsidRPr="00756DC7">
        <w:rPr>
          <w:rFonts w:ascii="Book Antiqua" w:hAnsi="Book Antiqua"/>
          <w:color w:val="000000"/>
          <w:sz w:val="24"/>
        </w:rPr>
        <w:t xml:space="preserve"> increased</w:t>
      </w:r>
      <w:r w:rsidR="0034536A" w:rsidRPr="00756DC7">
        <w:rPr>
          <w:rFonts w:ascii="Book Antiqua" w:hAnsi="Book Antiqua"/>
          <w:color w:val="000000"/>
          <w:sz w:val="24"/>
        </w:rPr>
        <w:t xml:space="preserve"> levels of alkaline phosphatase</w:t>
      </w:r>
      <w:r w:rsidR="00F03055" w:rsidRPr="00756DC7">
        <w:rPr>
          <w:rFonts w:ascii="Book Antiqua" w:hAnsi="Book Antiqua"/>
          <w:color w:val="000000"/>
          <w:sz w:val="24"/>
        </w:rPr>
        <w:t xml:space="preserve"> </w:t>
      </w:r>
      <w:r w:rsidRPr="00756DC7">
        <w:rPr>
          <w:rFonts w:ascii="Book Antiqua" w:hAnsi="Book Antiqua"/>
          <w:color w:val="000000"/>
          <w:sz w:val="24"/>
        </w:rPr>
        <w:t xml:space="preserve">and </w:t>
      </w:r>
      <w:r w:rsidR="00D74DA5" w:rsidRPr="00756DC7">
        <w:rPr>
          <w:rFonts w:ascii="Book Antiqua" w:hAnsi="Book Antiqua"/>
          <w:color w:val="000000"/>
          <w:sz w:val="24"/>
        </w:rPr>
        <w:t>g</w:t>
      </w:r>
      <w:r w:rsidRPr="00756DC7">
        <w:rPr>
          <w:rFonts w:ascii="Book Antiqua" w:hAnsi="Book Antiqua"/>
          <w:color w:val="000000"/>
          <w:sz w:val="24"/>
        </w:rPr>
        <w:t>amma glutamyl</w:t>
      </w:r>
      <w:r w:rsidR="00D74DA5" w:rsidRPr="00756DC7">
        <w:rPr>
          <w:rFonts w:ascii="Book Antiqua" w:hAnsi="Book Antiqua"/>
          <w:color w:val="000000"/>
          <w:sz w:val="24"/>
        </w:rPr>
        <w:t xml:space="preserve"> </w:t>
      </w:r>
      <w:r w:rsidRPr="00756DC7">
        <w:rPr>
          <w:rFonts w:ascii="Book Antiqua" w:hAnsi="Book Antiqua"/>
          <w:color w:val="000000"/>
          <w:sz w:val="24"/>
        </w:rPr>
        <w:t>transpeptidase. Patients with liver cancer or cirrhosis of the liver are more likely to be infected with the virus as their immune function is relative</w:t>
      </w:r>
      <w:r w:rsidR="0072392E" w:rsidRPr="00756DC7">
        <w:rPr>
          <w:rFonts w:ascii="Book Antiqua" w:hAnsi="Book Antiqua"/>
          <w:color w:val="000000"/>
          <w:sz w:val="24"/>
        </w:rPr>
        <w:t>ly</w:t>
      </w:r>
      <w:r w:rsidRPr="00756DC7">
        <w:rPr>
          <w:rFonts w:ascii="Book Antiqua" w:hAnsi="Book Antiqua"/>
          <w:color w:val="000000"/>
          <w:sz w:val="24"/>
        </w:rPr>
        <w:t xml:space="preserve"> lower.</w:t>
      </w:r>
    </w:p>
    <w:p w:rsidR="00687F14" w:rsidRPr="00756DC7" w:rsidRDefault="00687F14" w:rsidP="001E7706">
      <w:pPr>
        <w:adjustRightInd w:val="0"/>
        <w:snapToGrid w:val="0"/>
        <w:spacing w:line="360" w:lineRule="auto"/>
        <w:ind w:firstLineChars="200" w:firstLine="480"/>
        <w:rPr>
          <w:rFonts w:ascii="Book Antiqua" w:hAnsi="Book Antiqua"/>
          <w:color w:val="000000"/>
          <w:sz w:val="24"/>
        </w:rPr>
      </w:pPr>
      <w:r w:rsidRPr="00756DC7">
        <w:rPr>
          <w:rFonts w:ascii="Book Antiqua" w:hAnsi="Book Antiqua"/>
          <w:color w:val="000000"/>
          <w:sz w:val="24"/>
        </w:rPr>
        <w:t xml:space="preserve">Previous </w:t>
      </w:r>
      <w:proofErr w:type="gramStart"/>
      <w:r w:rsidRPr="00756DC7">
        <w:rPr>
          <w:rFonts w:ascii="Book Antiqua" w:hAnsi="Book Antiqua"/>
          <w:color w:val="000000"/>
          <w:sz w:val="24"/>
        </w:rPr>
        <w:t>studies</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35]</w:t>
      </w:r>
      <w:r w:rsidRPr="00756DC7">
        <w:rPr>
          <w:rFonts w:ascii="Book Antiqua" w:hAnsi="Book Antiqua"/>
          <w:color w:val="000000"/>
          <w:sz w:val="24"/>
        </w:rPr>
        <w:t xml:space="preserve"> have shown that SARS patients with </w:t>
      </w:r>
      <w:r w:rsidR="00580A15" w:rsidRPr="00756DC7">
        <w:rPr>
          <w:rFonts w:ascii="Book Antiqua" w:hAnsi="Book Antiqua"/>
          <w:color w:val="000000"/>
          <w:sz w:val="24"/>
        </w:rPr>
        <w:t>hepatitis B virus (</w:t>
      </w:r>
      <w:r w:rsidRPr="00756DC7">
        <w:rPr>
          <w:rFonts w:ascii="Book Antiqua" w:hAnsi="Book Antiqua"/>
          <w:color w:val="000000"/>
          <w:sz w:val="24"/>
        </w:rPr>
        <w:t>HBV</w:t>
      </w:r>
      <w:r w:rsidR="009B24EA" w:rsidRPr="00756DC7">
        <w:rPr>
          <w:rFonts w:ascii="Book Antiqua" w:hAnsi="Book Antiqua"/>
          <w:color w:val="000000"/>
          <w:sz w:val="24"/>
        </w:rPr>
        <w:t>), hepatitis C virus</w:t>
      </w:r>
      <w:r w:rsidRPr="00756DC7">
        <w:rPr>
          <w:rFonts w:ascii="Book Antiqua" w:hAnsi="Book Antiqua"/>
          <w:color w:val="000000"/>
          <w:sz w:val="24"/>
        </w:rPr>
        <w:t xml:space="preserve"> infection were more likely to develop severe hepatitis, which may be due to increased viral replication during SARS-</w:t>
      </w:r>
      <w:proofErr w:type="spellStart"/>
      <w:r w:rsidRPr="00756DC7">
        <w:rPr>
          <w:rFonts w:ascii="Book Antiqua" w:hAnsi="Book Antiqua"/>
          <w:color w:val="000000"/>
          <w:sz w:val="24"/>
        </w:rPr>
        <w:t>CoV</w:t>
      </w:r>
      <w:proofErr w:type="spellEnd"/>
      <w:r w:rsidRPr="00756DC7">
        <w:rPr>
          <w:rFonts w:ascii="Book Antiqua" w:hAnsi="Book Antiqua"/>
          <w:color w:val="000000"/>
          <w:sz w:val="24"/>
        </w:rPr>
        <w:t xml:space="preserve"> infection. It </w:t>
      </w:r>
      <w:r w:rsidR="00D74DA5" w:rsidRPr="00756DC7">
        <w:rPr>
          <w:rFonts w:ascii="Book Antiqua" w:hAnsi="Book Antiqua"/>
          <w:color w:val="000000"/>
          <w:sz w:val="24"/>
        </w:rPr>
        <w:t>w</w:t>
      </w:r>
      <w:r w:rsidRPr="00756DC7">
        <w:rPr>
          <w:rFonts w:ascii="Book Antiqua" w:hAnsi="Book Antiqua"/>
          <w:color w:val="000000"/>
          <w:sz w:val="24"/>
        </w:rPr>
        <w:t xml:space="preserve">as previously </w:t>
      </w:r>
      <w:proofErr w:type="gramStart"/>
      <w:r w:rsidRPr="00756DC7">
        <w:rPr>
          <w:rFonts w:ascii="Book Antiqua" w:hAnsi="Book Antiqua"/>
          <w:color w:val="000000"/>
          <w:sz w:val="24"/>
        </w:rPr>
        <w:t>reported</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36]</w:t>
      </w:r>
      <w:r w:rsidRPr="00756DC7">
        <w:rPr>
          <w:rFonts w:ascii="Book Antiqua" w:hAnsi="Book Antiqua"/>
          <w:color w:val="000000"/>
          <w:sz w:val="24"/>
        </w:rPr>
        <w:t xml:space="preserve"> that chronic hepatitis B patients with SARS-</w:t>
      </w:r>
      <w:proofErr w:type="spellStart"/>
      <w:r w:rsidRPr="00756DC7">
        <w:rPr>
          <w:rFonts w:ascii="Book Antiqua" w:hAnsi="Book Antiqua"/>
          <w:color w:val="000000"/>
          <w:sz w:val="24"/>
        </w:rPr>
        <w:t>CoV</w:t>
      </w:r>
      <w:proofErr w:type="spellEnd"/>
      <w:r w:rsidRPr="00756DC7">
        <w:rPr>
          <w:rFonts w:ascii="Book Antiqua" w:hAnsi="Book Antiqua"/>
          <w:color w:val="000000"/>
          <w:sz w:val="24"/>
        </w:rPr>
        <w:t xml:space="preserve"> infection m</w:t>
      </w:r>
      <w:r w:rsidR="00D74DA5" w:rsidRPr="00756DC7">
        <w:rPr>
          <w:rFonts w:ascii="Book Antiqua" w:hAnsi="Book Antiqua"/>
          <w:color w:val="000000"/>
          <w:sz w:val="24"/>
        </w:rPr>
        <w:t>ay</w:t>
      </w:r>
      <w:r w:rsidRPr="00756DC7">
        <w:rPr>
          <w:rFonts w:ascii="Book Antiqua" w:hAnsi="Book Antiqua"/>
          <w:color w:val="000000"/>
          <w:sz w:val="24"/>
        </w:rPr>
        <w:t xml:space="preserve"> take longer to clear the virus from their bodies. </w:t>
      </w:r>
      <w:proofErr w:type="spellStart"/>
      <w:r w:rsidR="0034536A" w:rsidRPr="00756DC7">
        <w:rPr>
          <w:rFonts w:ascii="Book Antiqua" w:hAnsi="Book Antiqua"/>
          <w:color w:val="000000"/>
          <w:sz w:val="24"/>
        </w:rPr>
        <w:t>Zha</w:t>
      </w:r>
      <w:proofErr w:type="spellEnd"/>
      <w:r w:rsidR="0034536A" w:rsidRPr="00756DC7">
        <w:rPr>
          <w:rFonts w:ascii="Book Antiqua" w:hAnsi="Book Antiqua"/>
          <w:color w:val="000000"/>
          <w:sz w:val="24"/>
        </w:rPr>
        <w:t xml:space="preserve"> </w:t>
      </w:r>
      <w:r w:rsidRPr="00756DC7">
        <w:rPr>
          <w:rFonts w:ascii="Book Antiqua" w:hAnsi="Book Antiqua"/>
          <w:i/>
          <w:color w:val="000000"/>
          <w:sz w:val="24"/>
        </w:rPr>
        <w:t xml:space="preserve">et </w:t>
      </w:r>
      <w:proofErr w:type="gramStart"/>
      <w:r w:rsidRPr="00756DC7">
        <w:rPr>
          <w:rFonts w:ascii="Book Antiqua" w:hAnsi="Book Antiqua"/>
          <w:i/>
          <w:color w:val="000000"/>
          <w:sz w:val="24"/>
        </w:rPr>
        <w:t>al</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34]</w:t>
      </w:r>
      <w:r w:rsidRPr="00756DC7">
        <w:rPr>
          <w:rFonts w:ascii="Book Antiqua" w:hAnsi="Book Antiqua"/>
          <w:color w:val="000000"/>
          <w:sz w:val="24"/>
        </w:rPr>
        <w:t xml:space="preserve"> found an association between chronic HBV infection and the time required for the clearance of SARS-CoV-2. The mechanism may be due to T cell dysfunction in patients with chronic HBV infection in response to other viruses, but the connection between </w:t>
      </w:r>
      <w:r w:rsidR="00E7152D" w:rsidRPr="00756DC7">
        <w:rPr>
          <w:rFonts w:ascii="Book Antiqua" w:hAnsi="Book Antiqua"/>
          <w:color w:val="000000"/>
          <w:sz w:val="24"/>
        </w:rPr>
        <w:t xml:space="preserve">them </w:t>
      </w:r>
      <w:r w:rsidR="00D74DA5" w:rsidRPr="00756DC7">
        <w:rPr>
          <w:rFonts w:ascii="Book Antiqua" w:hAnsi="Book Antiqua"/>
          <w:color w:val="000000"/>
          <w:sz w:val="24"/>
        </w:rPr>
        <w:t>requires investigation</w:t>
      </w:r>
      <w:r w:rsidRPr="00756DC7">
        <w:rPr>
          <w:rFonts w:ascii="Book Antiqua" w:hAnsi="Book Antiqua"/>
          <w:color w:val="000000"/>
          <w:sz w:val="24"/>
        </w:rPr>
        <w:t xml:space="preserve">. In a study of 1099 COVID-19 </w:t>
      </w:r>
      <w:proofErr w:type="gramStart"/>
      <w:r w:rsidRPr="00756DC7">
        <w:rPr>
          <w:rFonts w:ascii="Book Antiqua" w:hAnsi="Book Antiqua"/>
          <w:color w:val="000000"/>
          <w:sz w:val="24"/>
        </w:rPr>
        <w:t>patients</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37]</w:t>
      </w:r>
      <w:r w:rsidRPr="00756DC7">
        <w:rPr>
          <w:rFonts w:ascii="Book Antiqua" w:hAnsi="Book Antiqua"/>
          <w:color w:val="000000"/>
          <w:sz w:val="24"/>
        </w:rPr>
        <w:t xml:space="preserve">, 23 (2.1%) had HBV infection. Patients with severe illness were more likely to be infected with HBV than those without severe illness (2.4% </w:t>
      </w:r>
      <w:r w:rsidRPr="00756DC7">
        <w:rPr>
          <w:rFonts w:ascii="Book Antiqua" w:hAnsi="Book Antiqua"/>
          <w:i/>
          <w:color w:val="000000"/>
          <w:sz w:val="24"/>
        </w:rPr>
        <w:t>vs</w:t>
      </w:r>
      <w:r w:rsidRPr="00756DC7">
        <w:rPr>
          <w:rFonts w:ascii="Book Antiqua" w:hAnsi="Book Antiqua"/>
          <w:color w:val="000000"/>
          <w:sz w:val="24"/>
        </w:rPr>
        <w:t xml:space="preserve"> 0.6%). Our unpublished study of 70 </w:t>
      </w:r>
      <w:r w:rsidR="00E7152D" w:rsidRPr="00756DC7">
        <w:rPr>
          <w:rFonts w:ascii="Book Antiqua" w:hAnsi="Book Antiqua"/>
          <w:color w:val="000000"/>
          <w:sz w:val="24"/>
        </w:rPr>
        <w:t xml:space="preserve">patients with </w:t>
      </w:r>
      <w:r w:rsidRPr="00756DC7">
        <w:rPr>
          <w:rFonts w:ascii="Book Antiqua" w:hAnsi="Book Antiqua"/>
          <w:color w:val="000000"/>
          <w:sz w:val="24"/>
        </w:rPr>
        <w:t xml:space="preserve">COVID-19 combined with HBV infection showed the characteristics of </w:t>
      </w:r>
      <w:r w:rsidR="00E7152D" w:rsidRPr="00756DC7">
        <w:rPr>
          <w:rFonts w:ascii="Book Antiqua" w:hAnsi="Book Antiqua"/>
          <w:color w:val="000000"/>
          <w:sz w:val="24"/>
        </w:rPr>
        <w:t xml:space="preserve">a </w:t>
      </w:r>
      <w:r w:rsidRPr="00756DC7">
        <w:rPr>
          <w:rFonts w:ascii="Book Antiqua" w:hAnsi="Book Antiqua"/>
          <w:color w:val="000000"/>
          <w:sz w:val="24"/>
        </w:rPr>
        <w:t xml:space="preserve">higher rate of liver injury, coagulation disorders, severe/critical tendency, increased susceptibility and increased viral replication during SARS-CoV-2 infection. Musa </w:t>
      </w:r>
      <w:r w:rsidRPr="00756DC7">
        <w:rPr>
          <w:rFonts w:ascii="Book Antiqua" w:hAnsi="Book Antiqua"/>
          <w:i/>
          <w:color w:val="000000"/>
          <w:sz w:val="24"/>
        </w:rPr>
        <w:t xml:space="preserve">et </w:t>
      </w:r>
      <w:proofErr w:type="gramStart"/>
      <w:r w:rsidRPr="00756DC7">
        <w:rPr>
          <w:rFonts w:ascii="Book Antiqua" w:hAnsi="Book Antiqua"/>
          <w:i/>
          <w:color w:val="000000"/>
          <w:sz w:val="24"/>
        </w:rPr>
        <w:t>al</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38]</w:t>
      </w:r>
      <w:r w:rsidRPr="00756DC7">
        <w:rPr>
          <w:rFonts w:ascii="Book Antiqua" w:hAnsi="Book Antiqua"/>
          <w:color w:val="000000"/>
          <w:sz w:val="24"/>
        </w:rPr>
        <w:t xml:space="preserve"> </w:t>
      </w:r>
      <w:r w:rsidR="009A0E43" w:rsidRPr="00756DC7">
        <w:rPr>
          <w:rFonts w:ascii="Book Antiqua" w:hAnsi="Book Antiqua"/>
          <w:color w:val="000000"/>
          <w:sz w:val="24"/>
        </w:rPr>
        <w:t xml:space="preserve">have indicated </w:t>
      </w:r>
      <w:r w:rsidRPr="00756DC7">
        <w:rPr>
          <w:rFonts w:ascii="Book Antiqua" w:hAnsi="Book Antiqua"/>
          <w:color w:val="000000"/>
          <w:sz w:val="24"/>
        </w:rPr>
        <w:t xml:space="preserve">that </w:t>
      </w:r>
      <w:r w:rsidR="000828EA" w:rsidRPr="00756DC7">
        <w:rPr>
          <w:rFonts w:ascii="Book Antiqua" w:hAnsi="Book Antiqua"/>
          <w:color w:val="000000"/>
          <w:sz w:val="24"/>
        </w:rPr>
        <w:t>those</w:t>
      </w:r>
      <w:r w:rsidRPr="00756DC7">
        <w:rPr>
          <w:rFonts w:ascii="Book Antiqua" w:hAnsi="Book Antiqua"/>
          <w:color w:val="000000"/>
          <w:sz w:val="24"/>
        </w:rPr>
        <w:t xml:space="preserve"> at high risk of severe COVID-19 </w:t>
      </w:r>
      <w:r w:rsidR="009A0E43" w:rsidRPr="00756DC7">
        <w:rPr>
          <w:rFonts w:ascii="Book Antiqua" w:hAnsi="Book Antiqua"/>
          <w:color w:val="000000"/>
          <w:sz w:val="24"/>
        </w:rPr>
        <w:t xml:space="preserve">are </w:t>
      </w:r>
      <w:r w:rsidRPr="00756DC7">
        <w:rPr>
          <w:rFonts w:ascii="Book Antiqua" w:hAnsi="Book Antiqua"/>
          <w:color w:val="000000"/>
          <w:sz w:val="24"/>
        </w:rPr>
        <w:t xml:space="preserve">generally older and/or associated with complications such as diabetes, cardiovascular disease and hypertension, which were similar to those at high </w:t>
      </w:r>
      <w:r w:rsidRPr="00756DC7">
        <w:rPr>
          <w:rFonts w:ascii="Book Antiqua" w:hAnsi="Book Antiqua"/>
          <w:color w:val="000000"/>
          <w:sz w:val="24"/>
        </w:rPr>
        <w:lastRenderedPageBreak/>
        <w:t xml:space="preserve">risk of developing non-alcoholic fatty liver disease, making them more vulnerable to liver damage. Considering the expression of ACE2 receptor in bile duct cells, whether SARS-CoV-2 infection aggravates cholestasis in patients with primary biliary cholangitis </w:t>
      </w:r>
      <w:r w:rsidR="000828EA" w:rsidRPr="00756DC7">
        <w:rPr>
          <w:rFonts w:ascii="Book Antiqua" w:hAnsi="Book Antiqua"/>
          <w:color w:val="000000"/>
          <w:sz w:val="24"/>
        </w:rPr>
        <w:t>requires further</w:t>
      </w:r>
      <w:r w:rsidRPr="00756DC7">
        <w:rPr>
          <w:rFonts w:ascii="Book Antiqua" w:hAnsi="Book Antiqua"/>
          <w:color w:val="000000"/>
          <w:sz w:val="24"/>
        </w:rPr>
        <w:t xml:space="preserve"> stud</w:t>
      </w:r>
      <w:r w:rsidR="000828EA" w:rsidRPr="00756DC7">
        <w:rPr>
          <w:rFonts w:ascii="Book Antiqua" w:hAnsi="Book Antiqua"/>
          <w:color w:val="000000"/>
          <w:sz w:val="24"/>
        </w:rPr>
        <w:t>y</w:t>
      </w:r>
      <w:r w:rsidRPr="00756DC7">
        <w:rPr>
          <w:rFonts w:ascii="Book Antiqua" w:hAnsi="Book Antiqua"/>
          <w:color w:val="000000"/>
          <w:sz w:val="24"/>
        </w:rPr>
        <w:t xml:space="preserve">. In addition, patients with cirrhosis and liver cancer </w:t>
      </w:r>
      <w:r w:rsidR="00E7152D" w:rsidRPr="00756DC7">
        <w:rPr>
          <w:rFonts w:ascii="Book Antiqua" w:hAnsi="Book Antiqua"/>
          <w:color w:val="000000"/>
          <w:sz w:val="24"/>
        </w:rPr>
        <w:t xml:space="preserve">with systemic immunodeficiency </w:t>
      </w:r>
      <w:r w:rsidRPr="00756DC7">
        <w:rPr>
          <w:rFonts w:ascii="Book Antiqua" w:hAnsi="Book Antiqua"/>
          <w:color w:val="000000"/>
          <w:sz w:val="24"/>
        </w:rPr>
        <w:t xml:space="preserve">may be more vulnerable to SARS-CoV-2 </w:t>
      </w:r>
      <w:proofErr w:type="gramStart"/>
      <w:r w:rsidRPr="00756DC7">
        <w:rPr>
          <w:rFonts w:ascii="Book Antiqua" w:hAnsi="Book Antiqua"/>
          <w:color w:val="000000"/>
          <w:sz w:val="24"/>
        </w:rPr>
        <w:t>infection</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39]</w:t>
      </w:r>
      <w:r w:rsidRPr="00756DC7">
        <w:rPr>
          <w:rFonts w:ascii="Book Antiqua" w:hAnsi="Book Antiqua"/>
          <w:color w:val="000000"/>
          <w:sz w:val="24"/>
        </w:rPr>
        <w:t xml:space="preserve">. Michaels </w:t>
      </w:r>
      <w:r w:rsidRPr="00756DC7">
        <w:rPr>
          <w:rFonts w:ascii="Book Antiqua" w:hAnsi="Book Antiqua"/>
          <w:i/>
          <w:color w:val="000000"/>
          <w:sz w:val="24"/>
        </w:rPr>
        <w:t xml:space="preserve">et </w:t>
      </w:r>
      <w:proofErr w:type="gramStart"/>
      <w:r w:rsidRPr="00756DC7">
        <w:rPr>
          <w:rFonts w:ascii="Book Antiqua" w:hAnsi="Book Antiqua"/>
          <w:i/>
          <w:color w:val="000000"/>
          <w:sz w:val="24"/>
        </w:rPr>
        <w:t>al</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40]</w:t>
      </w:r>
      <w:r w:rsidRPr="00756DC7">
        <w:rPr>
          <w:rFonts w:ascii="Book Antiqua" w:hAnsi="Book Antiqua"/>
          <w:color w:val="000000"/>
          <w:sz w:val="24"/>
        </w:rPr>
        <w:t xml:space="preserve"> recently described the possible risks associated with transplantation </w:t>
      </w:r>
      <w:r w:rsidR="000828EA" w:rsidRPr="00756DC7">
        <w:rPr>
          <w:rFonts w:ascii="Book Antiqua" w:hAnsi="Book Antiqua"/>
          <w:color w:val="000000"/>
          <w:sz w:val="24"/>
        </w:rPr>
        <w:t>in</w:t>
      </w:r>
      <w:r w:rsidRPr="00756DC7">
        <w:rPr>
          <w:rFonts w:ascii="Book Antiqua" w:hAnsi="Book Antiqua"/>
          <w:color w:val="000000"/>
          <w:sz w:val="24"/>
        </w:rPr>
        <w:t xml:space="preserve"> </w:t>
      </w:r>
      <w:r w:rsidR="00707FCA" w:rsidRPr="00756DC7">
        <w:rPr>
          <w:rFonts w:ascii="Book Antiqua" w:hAnsi="Book Antiqua"/>
          <w:color w:val="000000"/>
          <w:sz w:val="24"/>
        </w:rPr>
        <w:t>SARS-CoV-2</w:t>
      </w:r>
      <w:r w:rsidRPr="00756DC7">
        <w:rPr>
          <w:rFonts w:ascii="Book Antiqua" w:hAnsi="Book Antiqua"/>
          <w:color w:val="000000"/>
          <w:sz w:val="24"/>
        </w:rPr>
        <w:t xml:space="preserve"> positive recipients, </w:t>
      </w:r>
      <w:r w:rsidR="000828EA" w:rsidRPr="00756DC7">
        <w:rPr>
          <w:rFonts w:ascii="Book Antiqua" w:hAnsi="Book Antiqua"/>
          <w:color w:val="000000"/>
          <w:sz w:val="24"/>
        </w:rPr>
        <w:t>as</w:t>
      </w:r>
      <w:r w:rsidRPr="00756DC7">
        <w:rPr>
          <w:rFonts w:ascii="Book Antiqua" w:hAnsi="Book Antiqua"/>
          <w:color w:val="000000"/>
          <w:sz w:val="24"/>
        </w:rPr>
        <w:t xml:space="preserve"> liver transplantation may involve donor-to-recipient transmission of the virus.</w:t>
      </w:r>
    </w:p>
    <w:p w:rsidR="00753591" w:rsidRPr="00756DC7" w:rsidRDefault="00753591" w:rsidP="001E7706">
      <w:pPr>
        <w:adjustRightInd w:val="0"/>
        <w:snapToGrid w:val="0"/>
        <w:spacing w:line="360" w:lineRule="auto"/>
        <w:ind w:firstLineChars="200" w:firstLine="480"/>
        <w:rPr>
          <w:rFonts w:ascii="Book Antiqua" w:hAnsi="Book Antiqua"/>
          <w:color w:val="000000"/>
          <w:sz w:val="24"/>
        </w:rPr>
      </w:pPr>
    </w:p>
    <w:p w:rsidR="00687F14" w:rsidRPr="00756DC7" w:rsidRDefault="00687F14" w:rsidP="001E7706">
      <w:pPr>
        <w:adjustRightInd w:val="0"/>
        <w:snapToGrid w:val="0"/>
        <w:spacing w:line="360" w:lineRule="auto"/>
        <w:rPr>
          <w:rFonts w:ascii="Book Antiqua" w:hAnsi="Book Antiqua"/>
          <w:b/>
          <w:bCs/>
          <w:color w:val="000000"/>
          <w:sz w:val="24"/>
          <w:u w:val="single"/>
        </w:rPr>
      </w:pPr>
      <w:r w:rsidRPr="00756DC7">
        <w:rPr>
          <w:rFonts w:ascii="Book Antiqua" w:hAnsi="Book Antiqua"/>
          <w:b/>
          <w:bCs/>
          <w:color w:val="000000"/>
          <w:sz w:val="24"/>
          <w:u w:val="single"/>
        </w:rPr>
        <w:t>T</w:t>
      </w:r>
      <w:r w:rsidR="00E7152D" w:rsidRPr="00756DC7">
        <w:rPr>
          <w:rFonts w:ascii="Book Antiqua" w:hAnsi="Book Antiqua"/>
          <w:b/>
          <w:bCs/>
          <w:color w:val="000000"/>
          <w:sz w:val="24"/>
          <w:u w:val="single"/>
        </w:rPr>
        <w:t>REATMENT OF LIVER DISEASES IN</w:t>
      </w:r>
      <w:r w:rsidRPr="00756DC7">
        <w:rPr>
          <w:rFonts w:ascii="Book Antiqua" w:hAnsi="Book Antiqua"/>
          <w:b/>
          <w:bCs/>
          <w:color w:val="000000"/>
          <w:sz w:val="24"/>
          <w:u w:val="single"/>
        </w:rPr>
        <w:t xml:space="preserve"> COVID-19</w:t>
      </w:r>
      <w:r w:rsidR="00E7152D" w:rsidRPr="00756DC7">
        <w:rPr>
          <w:rFonts w:ascii="Book Antiqua" w:hAnsi="Book Antiqua"/>
          <w:b/>
          <w:bCs/>
          <w:color w:val="000000"/>
          <w:sz w:val="24"/>
          <w:u w:val="single"/>
        </w:rPr>
        <w:t xml:space="preserve"> PATIENTS</w:t>
      </w:r>
    </w:p>
    <w:p w:rsidR="00753591" w:rsidRPr="00756DC7" w:rsidRDefault="00687F14" w:rsidP="001E7706">
      <w:pPr>
        <w:adjustRightInd w:val="0"/>
        <w:snapToGrid w:val="0"/>
        <w:spacing w:line="360" w:lineRule="auto"/>
        <w:rPr>
          <w:rFonts w:ascii="Book Antiqua" w:hAnsi="Book Antiqua"/>
          <w:color w:val="000000"/>
          <w:sz w:val="24"/>
        </w:rPr>
      </w:pPr>
      <w:r w:rsidRPr="00756DC7">
        <w:rPr>
          <w:rFonts w:ascii="Book Antiqua" w:hAnsi="Book Antiqua"/>
          <w:color w:val="000000"/>
          <w:sz w:val="24"/>
        </w:rPr>
        <w:t xml:space="preserve">According to </w:t>
      </w:r>
      <w:r w:rsidR="000828EA" w:rsidRPr="00756DC7">
        <w:rPr>
          <w:rFonts w:ascii="Book Antiqua" w:hAnsi="Book Antiqua"/>
          <w:color w:val="000000"/>
          <w:sz w:val="24"/>
        </w:rPr>
        <w:t xml:space="preserve">the </w:t>
      </w:r>
      <w:r w:rsidRPr="00756DC7">
        <w:rPr>
          <w:rFonts w:ascii="Book Antiqua" w:hAnsi="Book Antiqua"/>
          <w:color w:val="000000"/>
          <w:sz w:val="24"/>
        </w:rPr>
        <w:t xml:space="preserve">Chinese Pharmaceutical Association, COVID-19 patients with significant liver damage should be treated with </w:t>
      </w:r>
      <w:r w:rsidR="00074C97" w:rsidRPr="00756DC7">
        <w:rPr>
          <w:rFonts w:ascii="Book Antiqua" w:hAnsi="Book Antiqua"/>
          <w:color w:val="000000"/>
          <w:sz w:val="24"/>
        </w:rPr>
        <w:t>hepato</w:t>
      </w:r>
      <w:r w:rsidRPr="00756DC7">
        <w:rPr>
          <w:rFonts w:ascii="Book Antiqua" w:hAnsi="Book Antiqua"/>
          <w:color w:val="000000"/>
          <w:sz w:val="24"/>
        </w:rPr>
        <w:t>protect</w:t>
      </w:r>
      <w:r w:rsidR="000828EA" w:rsidRPr="00756DC7">
        <w:rPr>
          <w:rFonts w:ascii="Book Antiqua" w:hAnsi="Book Antiqua"/>
          <w:color w:val="000000"/>
          <w:sz w:val="24"/>
        </w:rPr>
        <w:t>ive</w:t>
      </w:r>
      <w:r w:rsidRPr="00756DC7">
        <w:rPr>
          <w:rFonts w:ascii="Book Antiqua" w:hAnsi="Book Antiqua"/>
          <w:color w:val="000000"/>
          <w:sz w:val="24"/>
        </w:rPr>
        <w:t xml:space="preserve">, anti-inflammatory, </w:t>
      </w:r>
      <w:r w:rsidR="00F40A60" w:rsidRPr="00756DC7">
        <w:rPr>
          <w:rFonts w:ascii="Book Antiqua" w:hAnsi="Book Antiqua"/>
          <w:color w:val="000000"/>
          <w:sz w:val="24"/>
        </w:rPr>
        <w:t>and jaundice-</w:t>
      </w:r>
      <w:r w:rsidR="000828EA" w:rsidRPr="00756DC7">
        <w:rPr>
          <w:rFonts w:ascii="Book Antiqua" w:hAnsi="Book Antiqua"/>
          <w:color w:val="000000"/>
          <w:sz w:val="24"/>
        </w:rPr>
        <w:t>reducing agents such as</w:t>
      </w:r>
      <w:r w:rsidRPr="00756DC7">
        <w:rPr>
          <w:rFonts w:ascii="Book Antiqua" w:hAnsi="Book Antiqua"/>
          <w:color w:val="000000"/>
          <w:sz w:val="24"/>
        </w:rPr>
        <w:t xml:space="preserve"> polyene phosphatidyl choline, </w:t>
      </w:r>
      <w:proofErr w:type="spellStart"/>
      <w:r w:rsidRPr="00756DC7">
        <w:rPr>
          <w:rFonts w:ascii="Book Antiqua" w:hAnsi="Book Antiqua"/>
          <w:color w:val="000000"/>
          <w:sz w:val="24"/>
        </w:rPr>
        <w:t>glycyrrhizic</w:t>
      </w:r>
      <w:proofErr w:type="spellEnd"/>
      <w:r w:rsidRPr="00756DC7">
        <w:rPr>
          <w:rFonts w:ascii="Book Antiqua" w:hAnsi="Book Antiqua"/>
          <w:color w:val="000000"/>
          <w:sz w:val="24"/>
        </w:rPr>
        <w:t xml:space="preserve"> acid, bicyclol, </w:t>
      </w:r>
      <w:r w:rsidR="00F40A60" w:rsidRPr="00756DC7">
        <w:rPr>
          <w:rFonts w:ascii="Book Antiqua" w:hAnsi="Book Antiqua"/>
          <w:color w:val="000000"/>
          <w:sz w:val="24"/>
        </w:rPr>
        <w:t xml:space="preserve">and </w:t>
      </w:r>
      <w:r w:rsidRPr="00756DC7">
        <w:rPr>
          <w:rFonts w:ascii="Book Antiqua" w:hAnsi="Book Antiqua"/>
          <w:color w:val="000000"/>
          <w:sz w:val="24"/>
        </w:rPr>
        <w:t xml:space="preserve">vitamin E. The </w:t>
      </w:r>
      <w:r w:rsidR="000828EA" w:rsidRPr="00756DC7">
        <w:rPr>
          <w:rFonts w:ascii="Book Antiqua" w:hAnsi="Book Antiqua"/>
          <w:color w:val="000000"/>
          <w:sz w:val="24"/>
        </w:rPr>
        <w:t xml:space="preserve">treatment in </w:t>
      </w:r>
      <w:r w:rsidRPr="00756DC7">
        <w:rPr>
          <w:rFonts w:ascii="Book Antiqua" w:hAnsi="Book Antiqua"/>
          <w:color w:val="000000"/>
          <w:sz w:val="24"/>
        </w:rPr>
        <w:t xml:space="preserve">critically ill patients </w:t>
      </w:r>
      <w:r w:rsidR="000828EA" w:rsidRPr="00756DC7">
        <w:rPr>
          <w:rFonts w:ascii="Book Antiqua" w:hAnsi="Book Antiqua"/>
          <w:color w:val="000000"/>
          <w:sz w:val="24"/>
        </w:rPr>
        <w:t>should be</w:t>
      </w:r>
      <w:r w:rsidRPr="00756DC7">
        <w:rPr>
          <w:rFonts w:ascii="Book Antiqua" w:hAnsi="Book Antiqua"/>
          <w:color w:val="000000"/>
          <w:sz w:val="24"/>
        </w:rPr>
        <w:t xml:space="preserve"> </w:t>
      </w:r>
      <w:r w:rsidR="00707FCA" w:rsidRPr="00756DC7">
        <w:rPr>
          <w:rFonts w:ascii="Book Antiqua" w:hAnsi="Book Antiqua"/>
          <w:color w:val="000000"/>
          <w:sz w:val="24"/>
        </w:rPr>
        <w:t xml:space="preserve">chosen </w:t>
      </w:r>
      <w:r w:rsidRPr="00756DC7">
        <w:rPr>
          <w:rFonts w:ascii="Book Antiqua" w:hAnsi="Book Antiqua"/>
          <w:color w:val="000000"/>
          <w:sz w:val="24"/>
        </w:rPr>
        <w:t xml:space="preserve">according to liver function injury </w:t>
      </w:r>
      <w:r w:rsidR="00074C97" w:rsidRPr="00756DC7">
        <w:rPr>
          <w:rFonts w:ascii="Book Antiqua" w:hAnsi="Book Antiqua"/>
          <w:color w:val="000000"/>
          <w:sz w:val="24"/>
        </w:rPr>
        <w:t>and may include</w:t>
      </w:r>
      <w:r w:rsidR="00F40A60" w:rsidRPr="00756DC7">
        <w:rPr>
          <w:rFonts w:ascii="Book Antiqua" w:hAnsi="Book Antiqua"/>
          <w:color w:val="000000"/>
          <w:sz w:val="24"/>
        </w:rPr>
        <w:t xml:space="preserve"> </w:t>
      </w:r>
      <w:r w:rsidRPr="00756DC7">
        <w:rPr>
          <w:rFonts w:ascii="Book Antiqua" w:hAnsi="Book Antiqua"/>
          <w:color w:val="000000"/>
          <w:sz w:val="24"/>
        </w:rPr>
        <w:t>1</w:t>
      </w:r>
      <w:r w:rsidR="00074C97" w:rsidRPr="00756DC7">
        <w:rPr>
          <w:rFonts w:ascii="Book Antiqua" w:hAnsi="Book Antiqua"/>
          <w:color w:val="000000"/>
          <w:sz w:val="24"/>
        </w:rPr>
        <w:t>-</w:t>
      </w:r>
      <w:r w:rsidRPr="00756DC7">
        <w:rPr>
          <w:rFonts w:ascii="Book Antiqua" w:hAnsi="Book Antiqua"/>
          <w:color w:val="000000"/>
          <w:sz w:val="24"/>
        </w:rPr>
        <w:t xml:space="preserve">2 </w:t>
      </w:r>
      <w:r w:rsidR="00F40A60" w:rsidRPr="00756DC7">
        <w:rPr>
          <w:rFonts w:ascii="Book Antiqua" w:hAnsi="Book Antiqua"/>
          <w:color w:val="000000"/>
          <w:sz w:val="24"/>
        </w:rPr>
        <w:t>kinds</w:t>
      </w:r>
      <w:r w:rsidR="00074C97" w:rsidRPr="00756DC7">
        <w:rPr>
          <w:rFonts w:ascii="Book Antiqua" w:hAnsi="Book Antiqua"/>
          <w:color w:val="000000"/>
          <w:sz w:val="24"/>
        </w:rPr>
        <w:t xml:space="preserve"> of drugs</w:t>
      </w:r>
      <w:r w:rsidRPr="00756DC7">
        <w:rPr>
          <w:rFonts w:ascii="Book Antiqua" w:hAnsi="Book Antiqua"/>
          <w:color w:val="000000"/>
          <w:sz w:val="24"/>
        </w:rPr>
        <w:t xml:space="preserve"> in order to avoid aggravating liver burden and interactions between </w:t>
      </w:r>
      <w:proofErr w:type="gramStart"/>
      <w:r w:rsidRPr="00756DC7">
        <w:rPr>
          <w:rFonts w:ascii="Book Antiqua" w:hAnsi="Book Antiqua"/>
          <w:color w:val="000000"/>
          <w:sz w:val="24"/>
        </w:rPr>
        <w:t>drugs</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34]</w:t>
      </w:r>
      <w:r w:rsidRPr="00756DC7">
        <w:rPr>
          <w:rFonts w:ascii="Book Antiqua" w:hAnsi="Book Antiqua"/>
          <w:color w:val="000000"/>
          <w:sz w:val="24"/>
        </w:rPr>
        <w:t xml:space="preserve">. Recently, Chen </w:t>
      </w:r>
      <w:r w:rsidRPr="00756DC7">
        <w:rPr>
          <w:rFonts w:ascii="Book Antiqua" w:hAnsi="Book Antiqua"/>
          <w:i/>
          <w:color w:val="000000"/>
          <w:sz w:val="24"/>
        </w:rPr>
        <w:t xml:space="preserve">et </w:t>
      </w:r>
      <w:proofErr w:type="gramStart"/>
      <w:r w:rsidRPr="00756DC7">
        <w:rPr>
          <w:rFonts w:ascii="Book Antiqua" w:hAnsi="Book Antiqua"/>
          <w:i/>
          <w:color w:val="000000"/>
          <w:sz w:val="24"/>
        </w:rPr>
        <w:t>al</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4</w:t>
      </w:r>
      <w:r w:rsidR="0082793A" w:rsidRPr="00756DC7">
        <w:rPr>
          <w:rFonts w:ascii="Book Antiqua" w:hAnsi="Book Antiqua"/>
          <w:color w:val="000000"/>
          <w:sz w:val="24"/>
          <w:vertAlign w:val="superscript"/>
        </w:rPr>
        <w:t>1</w:t>
      </w:r>
      <w:r w:rsidRPr="00756DC7">
        <w:rPr>
          <w:rFonts w:ascii="Book Antiqua" w:hAnsi="Book Antiqua"/>
          <w:color w:val="000000"/>
          <w:sz w:val="24"/>
          <w:vertAlign w:val="superscript"/>
        </w:rPr>
        <w:t>]</w:t>
      </w:r>
      <w:r w:rsidRPr="00756DC7">
        <w:rPr>
          <w:rFonts w:ascii="Book Antiqua" w:hAnsi="Book Antiqua"/>
          <w:color w:val="000000"/>
          <w:sz w:val="24"/>
        </w:rPr>
        <w:t xml:space="preserve"> reported that </w:t>
      </w:r>
      <w:proofErr w:type="spellStart"/>
      <w:r w:rsidRPr="00756DC7">
        <w:rPr>
          <w:rFonts w:ascii="Book Antiqua" w:hAnsi="Book Antiqua"/>
          <w:color w:val="000000"/>
          <w:sz w:val="24"/>
        </w:rPr>
        <w:t>glycyrrhizic</w:t>
      </w:r>
      <w:proofErr w:type="spellEnd"/>
      <w:r w:rsidRPr="00756DC7">
        <w:rPr>
          <w:rFonts w:ascii="Book Antiqua" w:hAnsi="Book Antiqua"/>
          <w:color w:val="000000"/>
          <w:sz w:val="24"/>
        </w:rPr>
        <w:t xml:space="preserve"> acid derivatives may also have antiviral activity against SARS-CoV-2. Glycyrrhizin was the preferred anti-inflammatory drug to protect against liver disease and has been used in cl</w:t>
      </w:r>
      <w:r w:rsidR="00753591" w:rsidRPr="00756DC7">
        <w:rPr>
          <w:rFonts w:ascii="Book Antiqua" w:hAnsi="Book Antiqua"/>
          <w:color w:val="000000"/>
          <w:sz w:val="24"/>
        </w:rPr>
        <w:t>inical practice for many years.</w:t>
      </w:r>
    </w:p>
    <w:p w:rsidR="00687F14" w:rsidRPr="00756DC7" w:rsidRDefault="00074C97" w:rsidP="001E7706">
      <w:pPr>
        <w:adjustRightInd w:val="0"/>
        <w:snapToGrid w:val="0"/>
        <w:spacing w:line="360" w:lineRule="auto"/>
        <w:ind w:firstLineChars="100" w:firstLine="240"/>
        <w:rPr>
          <w:rFonts w:ascii="Book Antiqua" w:hAnsi="Book Antiqua"/>
          <w:color w:val="000000"/>
          <w:sz w:val="24"/>
        </w:rPr>
      </w:pPr>
      <w:r w:rsidRPr="00756DC7">
        <w:rPr>
          <w:rFonts w:ascii="Book Antiqua" w:hAnsi="Book Antiqua"/>
          <w:color w:val="000000"/>
          <w:sz w:val="24"/>
        </w:rPr>
        <w:t xml:space="preserve">The study by </w:t>
      </w:r>
      <w:r w:rsidR="00687F14" w:rsidRPr="00756DC7">
        <w:rPr>
          <w:rFonts w:ascii="Book Antiqua" w:hAnsi="Book Antiqua"/>
          <w:color w:val="000000"/>
          <w:sz w:val="24"/>
        </w:rPr>
        <w:t xml:space="preserve">Zhang </w:t>
      </w:r>
      <w:r w:rsidR="00687F14" w:rsidRPr="00756DC7">
        <w:rPr>
          <w:rFonts w:ascii="Book Antiqua" w:hAnsi="Book Antiqua"/>
          <w:i/>
          <w:color w:val="000000"/>
          <w:sz w:val="24"/>
        </w:rPr>
        <w:t xml:space="preserve">et </w:t>
      </w:r>
      <w:proofErr w:type="gramStart"/>
      <w:r w:rsidR="00687F14" w:rsidRPr="00756DC7">
        <w:rPr>
          <w:rFonts w:ascii="Book Antiqua" w:hAnsi="Book Antiqua"/>
          <w:i/>
          <w:color w:val="000000"/>
          <w:sz w:val="24"/>
        </w:rPr>
        <w:t>al</w:t>
      </w:r>
      <w:r w:rsidR="00FF01FD" w:rsidRPr="00756DC7">
        <w:rPr>
          <w:rFonts w:ascii="Book Antiqua" w:hAnsi="Book Antiqua"/>
          <w:color w:val="000000"/>
          <w:sz w:val="24"/>
          <w:vertAlign w:val="superscript"/>
        </w:rPr>
        <w:t>[</w:t>
      </w:r>
      <w:proofErr w:type="gramEnd"/>
      <w:r w:rsidR="00FF01FD" w:rsidRPr="00756DC7">
        <w:rPr>
          <w:rFonts w:ascii="Book Antiqua" w:hAnsi="Book Antiqua"/>
          <w:color w:val="000000"/>
          <w:sz w:val="24"/>
          <w:vertAlign w:val="superscript"/>
        </w:rPr>
        <w:t>42]</w:t>
      </w:r>
      <w:r w:rsidR="00687F14" w:rsidRPr="00756DC7">
        <w:rPr>
          <w:rFonts w:ascii="Book Antiqua" w:hAnsi="Book Antiqua"/>
          <w:color w:val="000000"/>
          <w:sz w:val="24"/>
        </w:rPr>
        <w:t xml:space="preserve"> showed that 2</w:t>
      </w:r>
      <w:r w:rsidR="00FF01FD" w:rsidRPr="00756DC7">
        <w:rPr>
          <w:rFonts w:ascii="Book Antiqua" w:hAnsi="Book Antiqua"/>
          <w:color w:val="000000"/>
          <w:sz w:val="24"/>
        </w:rPr>
        <w:t>%</w:t>
      </w:r>
      <w:r w:rsidR="00687F14" w:rsidRPr="00756DC7">
        <w:rPr>
          <w:rFonts w:ascii="Book Antiqua" w:hAnsi="Book Antiqua"/>
          <w:color w:val="000000"/>
          <w:sz w:val="24"/>
        </w:rPr>
        <w:t xml:space="preserve">-11% of </w:t>
      </w:r>
      <w:bookmarkStart w:id="11" w:name="_Hlk38014480"/>
      <w:r w:rsidR="00687F14" w:rsidRPr="00756DC7">
        <w:rPr>
          <w:rFonts w:ascii="Book Antiqua" w:hAnsi="Book Antiqua"/>
          <w:color w:val="000000"/>
          <w:sz w:val="24"/>
        </w:rPr>
        <w:t>COVID-19</w:t>
      </w:r>
      <w:bookmarkEnd w:id="11"/>
      <w:r w:rsidR="00687F14" w:rsidRPr="00756DC7">
        <w:rPr>
          <w:rFonts w:ascii="Book Antiqua" w:hAnsi="Book Antiqua"/>
          <w:color w:val="000000"/>
          <w:sz w:val="24"/>
        </w:rPr>
        <w:t xml:space="preserve"> patients </w:t>
      </w:r>
      <w:r w:rsidRPr="00756DC7">
        <w:rPr>
          <w:rFonts w:ascii="Book Antiqua" w:hAnsi="Book Antiqua"/>
          <w:color w:val="000000"/>
          <w:sz w:val="24"/>
        </w:rPr>
        <w:t>had</w:t>
      </w:r>
      <w:r w:rsidR="00687F14" w:rsidRPr="00756DC7">
        <w:rPr>
          <w:rFonts w:ascii="Book Antiqua" w:hAnsi="Book Antiqua"/>
          <w:color w:val="000000"/>
          <w:sz w:val="24"/>
        </w:rPr>
        <w:t xml:space="preserve"> liver complications. However, the relationship between the </w:t>
      </w:r>
      <w:proofErr w:type="gramStart"/>
      <w:r w:rsidR="00687F14" w:rsidRPr="00756DC7">
        <w:rPr>
          <w:rFonts w:ascii="Book Antiqua" w:hAnsi="Book Antiqua"/>
          <w:color w:val="000000"/>
          <w:sz w:val="24"/>
        </w:rPr>
        <w:t>presence</w:t>
      </w:r>
      <w:proofErr w:type="gramEnd"/>
      <w:r w:rsidR="00687F14" w:rsidRPr="00756DC7">
        <w:rPr>
          <w:rFonts w:ascii="Book Antiqua" w:hAnsi="Book Antiqua"/>
          <w:color w:val="000000"/>
          <w:sz w:val="24"/>
        </w:rPr>
        <w:t xml:space="preserve"> of liver damage after COVID-19 infection in patients with preexisting liver disease </w:t>
      </w:r>
      <w:r w:rsidRPr="00756DC7">
        <w:rPr>
          <w:rFonts w:ascii="Book Antiqua" w:hAnsi="Book Antiqua"/>
          <w:color w:val="000000"/>
          <w:sz w:val="24"/>
        </w:rPr>
        <w:t>requires</w:t>
      </w:r>
      <w:r w:rsidR="00687F14" w:rsidRPr="00756DC7">
        <w:rPr>
          <w:rFonts w:ascii="Book Antiqua" w:hAnsi="Book Antiqua"/>
          <w:color w:val="000000"/>
          <w:sz w:val="24"/>
        </w:rPr>
        <w:t xml:space="preserve"> further </w:t>
      </w:r>
      <w:r w:rsidR="00D17122" w:rsidRPr="00756DC7">
        <w:rPr>
          <w:rFonts w:ascii="Book Antiqua" w:hAnsi="Book Antiqua"/>
          <w:color w:val="000000"/>
          <w:sz w:val="24"/>
        </w:rPr>
        <w:t>investigation</w:t>
      </w:r>
      <w:r w:rsidR="00687F14" w:rsidRPr="00756DC7">
        <w:rPr>
          <w:rFonts w:ascii="Book Antiqua" w:hAnsi="Book Antiqua"/>
          <w:color w:val="000000"/>
          <w:sz w:val="24"/>
        </w:rPr>
        <w:t xml:space="preserve">. In COVID-19 </w:t>
      </w:r>
      <w:r w:rsidR="004D2B71" w:rsidRPr="00756DC7">
        <w:rPr>
          <w:rFonts w:ascii="Book Antiqua" w:hAnsi="Book Antiqua"/>
          <w:color w:val="000000"/>
          <w:sz w:val="24"/>
        </w:rPr>
        <w:t xml:space="preserve">patients with </w:t>
      </w:r>
      <w:r w:rsidR="00687F14" w:rsidRPr="00756DC7">
        <w:rPr>
          <w:rFonts w:ascii="Book Antiqua" w:hAnsi="Book Antiqua"/>
          <w:color w:val="000000"/>
          <w:sz w:val="24"/>
        </w:rPr>
        <w:t xml:space="preserve">liver injury, the </w:t>
      </w:r>
      <w:r w:rsidR="004D2B71" w:rsidRPr="00756DC7">
        <w:rPr>
          <w:rFonts w:ascii="Book Antiqua" w:hAnsi="Book Antiqua"/>
          <w:color w:val="000000"/>
          <w:sz w:val="24"/>
        </w:rPr>
        <w:t>primary</w:t>
      </w:r>
      <w:r w:rsidR="00687F14" w:rsidRPr="00756DC7">
        <w:rPr>
          <w:rFonts w:ascii="Book Antiqua" w:hAnsi="Book Antiqua"/>
          <w:color w:val="000000"/>
          <w:sz w:val="24"/>
        </w:rPr>
        <w:t xml:space="preserve"> </w:t>
      </w:r>
      <w:r w:rsidR="004D2B71" w:rsidRPr="00756DC7">
        <w:rPr>
          <w:rFonts w:ascii="Book Antiqua" w:hAnsi="Book Antiqua"/>
          <w:color w:val="000000"/>
          <w:sz w:val="24"/>
        </w:rPr>
        <w:t xml:space="preserve">treatment </w:t>
      </w:r>
      <w:r w:rsidR="00687F14" w:rsidRPr="00756DC7">
        <w:rPr>
          <w:rFonts w:ascii="Book Antiqua" w:hAnsi="Book Antiqua"/>
          <w:color w:val="000000"/>
          <w:sz w:val="24"/>
        </w:rPr>
        <w:t xml:space="preserve">is </w:t>
      </w:r>
      <w:r w:rsidR="004D2B71" w:rsidRPr="00756DC7">
        <w:rPr>
          <w:rFonts w:ascii="Book Antiqua" w:hAnsi="Book Antiqua"/>
          <w:color w:val="000000"/>
          <w:sz w:val="24"/>
        </w:rPr>
        <w:t xml:space="preserve">targeted </w:t>
      </w:r>
      <w:r w:rsidR="00687F14" w:rsidRPr="00756DC7">
        <w:rPr>
          <w:rFonts w:ascii="Book Antiqua" w:hAnsi="Book Antiqua"/>
          <w:color w:val="000000"/>
          <w:sz w:val="24"/>
        </w:rPr>
        <w:t xml:space="preserve">to COVID-19, </w:t>
      </w:r>
      <w:r w:rsidR="004D2B71" w:rsidRPr="00756DC7">
        <w:rPr>
          <w:rFonts w:ascii="Book Antiqua" w:hAnsi="Book Antiqua"/>
          <w:color w:val="000000"/>
          <w:sz w:val="24"/>
        </w:rPr>
        <w:t xml:space="preserve">using </w:t>
      </w:r>
      <w:r w:rsidR="00687F14" w:rsidRPr="00756DC7">
        <w:rPr>
          <w:rFonts w:ascii="Book Antiqua" w:hAnsi="Book Antiqua"/>
          <w:color w:val="000000"/>
          <w:sz w:val="24"/>
        </w:rPr>
        <w:t>antiviral</w:t>
      </w:r>
      <w:r w:rsidRPr="00756DC7">
        <w:rPr>
          <w:rFonts w:ascii="Book Antiqua" w:hAnsi="Book Antiqua"/>
          <w:color w:val="000000"/>
          <w:sz w:val="24"/>
        </w:rPr>
        <w:t>s</w:t>
      </w:r>
      <w:r w:rsidR="00687F14" w:rsidRPr="00756DC7">
        <w:rPr>
          <w:rFonts w:ascii="Book Antiqua" w:hAnsi="Book Antiqua"/>
          <w:color w:val="000000"/>
          <w:sz w:val="24"/>
        </w:rPr>
        <w:t>, rational oxygen therapy, anti-infecti</w:t>
      </w:r>
      <w:r w:rsidRPr="00756DC7">
        <w:rPr>
          <w:rFonts w:ascii="Book Antiqua" w:hAnsi="Book Antiqua"/>
          <w:color w:val="000000"/>
          <w:sz w:val="24"/>
        </w:rPr>
        <w:t>ve agents</w:t>
      </w:r>
      <w:r w:rsidR="00687F14" w:rsidRPr="00756DC7">
        <w:rPr>
          <w:rFonts w:ascii="Book Antiqua" w:hAnsi="Book Antiqua"/>
          <w:color w:val="000000"/>
          <w:sz w:val="24"/>
        </w:rPr>
        <w:t xml:space="preserve">, </w:t>
      </w:r>
      <w:r w:rsidR="004D2B71" w:rsidRPr="00756DC7">
        <w:rPr>
          <w:rFonts w:ascii="Book Antiqua" w:hAnsi="Book Antiqua"/>
          <w:color w:val="000000"/>
          <w:sz w:val="24"/>
        </w:rPr>
        <w:t xml:space="preserve">and </w:t>
      </w:r>
      <w:r w:rsidR="00687F14" w:rsidRPr="00756DC7">
        <w:rPr>
          <w:rFonts w:ascii="Book Antiqua" w:hAnsi="Book Antiqua"/>
          <w:color w:val="000000"/>
          <w:sz w:val="24"/>
        </w:rPr>
        <w:t>symptomatic support. COVID-19 patients with mild</w:t>
      </w:r>
      <w:r w:rsidRPr="00756DC7">
        <w:rPr>
          <w:rFonts w:ascii="Book Antiqua" w:hAnsi="Book Antiqua"/>
          <w:color w:val="000000"/>
          <w:sz w:val="24"/>
        </w:rPr>
        <w:t>ly</w:t>
      </w:r>
      <w:r w:rsidR="00687F14" w:rsidRPr="00756DC7">
        <w:rPr>
          <w:rFonts w:ascii="Book Antiqua" w:hAnsi="Book Antiqua"/>
          <w:color w:val="000000"/>
          <w:sz w:val="24"/>
        </w:rPr>
        <w:t xml:space="preserve"> abnormal liver function generally do not need anti-inflammatory and </w:t>
      </w:r>
      <w:r w:rsidRPr="00756DC7">
        <w:rPr>
          <w:rFonts w:ascii="Book Antiqua" w:hAnsi="Book Antiqua"/>
          <w:color w:val="000000"/>
          <w:sz w:val="24"/>
        </w:rPr>
        <w:t>hepato</w:t>
      </w:r>
      <w:r w:rsidR="00687F14" w:rsidRPr="00756DC7">
        <w:rPr>
          <w:rFonts w:ascii="Book Antiqua" w:hAnsi="Book Antiqua"/>
          <w:color w:val="000000"/>
          <w:sz w:val="24"/>
        </w:rPr>
        <w:t>protecti</w:t>
      </w:r>
      <w:r w:rsidRPr="00756DC7">
        <w:rPr>
          <w:rFonts w:ascii="Book Antiqua" w:hAnsi="Book Antiqua"/>
          <w:color w:val="000000"/>
          <w:sz w:val="24"/>
        </w:rPr>
        <w:t>ve</w:t>
      </w:r>
      <w:r w:rsidR="00687F14" w:rsidRPr="00756DC7">
        <w:rPr>
          <w:rFonts w:ascii="Book Antiqua" w:hAnsi="Book Antiqua"/>
          <w:color w:val="000000"/>
          <w:sz w:val="24"/>
        </w:rPr>
        <w:t xml:space="preserve"> drugs. For patients with acute liver injury, the clinician should first analy</w:t>
      </w:r>
      <w:r w:rsidRPr="00756DC7">
        <w:rPr>
          <w:rFonts w:ascii="Book Antiqua" w:hAnsi="Book Antiqua"/>
          <w:color w:val="000000"/>
          <w:sz w:val="24"/>
        </w:rPr>
        <w:t>ze</w:t>
      </w:r>
      <w:r w:rsidR="00687F14" w:rsidRPr="00756DC7">
        <w:rPr>
          <w:rFonts w:ascii="Book Antiqua" w:hAnsi="Book Antiqua"/>
          <w:color w:val="000000"/>
          <w:sz w:val="24"/>
        </w:rPr>
        <w:t xml:space="preserve"> the probable cause of injury, and then take the </w:t>
      </w:r>
      <w:r w:rsidR="00687F14" w:rsidRPr="00756DC7">
        <w:rPr>
          <w:rFonts w:ascii="Book Antiqua" w:hAnsi="Book Antiqua"/>
          <w:color w:val="000000"/>
          <w:sz w:val="24"/>
        </w:rPr>
        <w:lastRenderedPageBreak/>
        <w:t xml:space="preserve">corresponding measures. </w:t>
      </w:r>
      <w:r w:rsidRPr="00756DC7">
        <w:rPr>
          <w:rFonts w:ascii="Book Antiqua" w:hAnsi="Book Antiqua"/>
          <w:color w:val="000000"/>
          <w:sz w:val="24"/>
        </w:rPr>
        <w:t>Hepato</w:t>
      </w:r>
      <w:r w:rsidR="00687F14" w:rsidRPr="00756DC7">
        <w:rPr>
          <w:rFonts w:ascii="Book Antiqua" w:hAnsi="Book Antiqua"/>
          <w:color w:val="000000"/>
          <w:sz w:val="24"/>
        </w:rPr>
        <w:t>protecti</w:t>
      </w:r>
      <w:r w:rsidRPr="00756DC7">
        <w:rPr>
          <w:rFonts w:ascii="Book Antiqua" w:hAnsi="Book Antiqua"/>
          <w:color w:val="000000"/>
          <w:sz w:val="24"/>
        </w:rPr>
        <w:t>ve</w:t>
      </w:r>
      <w:r w:rsidR="00687F14" w:rsidRPr="00756DC7">
        <w:rPr>
          <w:rFonts w:ascii="Book Antiqua" w:hAnsi="Book Antiqua"/>
          <w:color w:val="000000"/>
          <w:sz w:val="24"/>
        </w:rPr>
        <w:t xml:space="preserve"> drugs </w:t>
      </w:r>
      <w:r w:rsidRPr="00756DC7">
        <w:rPr>
          <w:rFonts w:ascii="Book Antiqua" w:hAnsi="Book Antiqua"/>
          <w:color w:val="000000"/>
          <w:sz w:val="24"/>
        </w:rPr>
        <w:t xml:space="preserve">should be administered </w:t>
      </w:r>
      <w:r w:rsidR="00687F14" w:rsidRPr="00756DC7">
        <w:rPr>
          <w:rFonts w:ascii="Book Antiqua" w:hAnsi="Book Antiqua"/>
          <w:color w:val="000000"/>
          <w:sz w:val="24"/>
        </w:rPr>
        <w:t>pruden</w:t>
      </w:r>
      <w:r w:rsidR="00E7152D" w:rsidRPr="00756DC7">
        <w:rPr>
          <w:rFonts w:ascii="Book Antiqua" w:hAnsi="Book Antiqua"/>
          <w:color w:val="000000"/>
          <w:sz w:val="24"/>
        </w:rPr>
        <w:t>tly</w:t>
      </w:r>
      <w:r w:rsidR="00687F14" w:rsidRPr="00756DC7">
        <w:rPr>
          <w:rFonts w:ascii="Book Antiqua" w:hAnsi="Book Antiqua"/>
          <w:color w:val="000000"/>
          <w:sz w:val="24"/>
        </w:rPr>
        <w:t xml:space="preserve">, and the types of drugs should be </w:t>
      </w:r>
      <w:r w:rsidR="00F03055" w:rsidRPr="00756DC7">
        <w:rPr>
          <w:rFonts w:ascii="Book Antiqua" w:hAnsi="Book Antiqua"/>
          <w:color w:val="000000"/>
          <w:sz w:val="24"/>
        </w:rPr>
        <w:t xml:space="preserve">no </w:t>
      </w:r>
      <w:r w:rsidR="00687F14" w:rsidRPr="00756DC7">
        <w:rPr>
          <w:rFonts w:ascii="Book Antiqua" w:hAnsi="Book Antiqua"/>
          <w:color w:val="000000"/>
          <w:sz w:val="24"/>
        </w:rPr>
        <w:t xml:space="preserve">more than two. </w:t>
      </w:r>
      <w:r w:rsidR="00F90FF3" w:rsidRPr="00756DC7">
        <w:rPr>
          <w:rFonts w:ascii="Book Antiqua" w:hAnsi="Book Antiqua"/>
          <w:color w:val="000000"/>
          <w:sz w:val="24"/>
        </w:rPr>
        <w:t>In p</w:t>
      </w:r>
      <w:r w:rsidR="00687F14" w:rsidRPr="00756DC7">
        <w:rPr>
          <w:rFonts w:ascii="Book Antiqua" w:hAnsi="Book Antiqua"/>
          <w:color w:val="000000"/>
          <w:sz w:val="24"/>
        </w:rPr>
        <w:t xml:space="preserve">atients with COVID-19 who are suspected of </w:t>
      </w:r>
      <w:r w:rsidR="00F03055" w:rsidRPr="00756DC7">
        <w:rPr>
          <w:rFonts w:ascii="Book Antiqua" w:hAnsi="Book Antiqua"/>
          <w:color w:val="000000"/>
          <w:sz w:val="24"/>
        </w:rPr>
        <w:t xml:space="preserve">having </w:t>
      </w:r>
      <w:r w:rsidR="00687F14" w:rsidRPr="00756DC7">
        <w:rPr>
          <w:rFonts w:ascii="Book Antiqua" w:hAnsi="Book Antiqua"/>
          <w:color w:val="000000"/>
          <w:sz w:val="24"/>
        </w:rPr>
        <w:t>liver damage caused by antiviral drugs</w:t>
      </w:r>
      <w:r w:rsidR="00F90FF3" w:rsidRPr="00756DC7">
        <w:rPr>
          <w:rFonts w:ascii="Book Antiqua" w:hAnsi="Book Antiqua"/>
          <w:color w:val="000000"/>
          <w:sz w:val="24"/>
        </w:rPr>
        <w:t>,</w:t>
      </w:r>
      <w:r w:rsidR="00687F14" w:rsidRPr="00756DC7">
        <w:rPr>
          <w:rFonts w:ascii="Book Antiqua" w:hAnsi="Book Antiqua"/>
          <w:color w:val="000000"/>
          <w:sz w:val="24"/>
        </w:rPr>
        <w:t xml:space="preserve"> discontinuing or reducing the dose of the drug</w:t>
      </w:r>
      <w:r w:rsidR="00F90FF3" w:rsidRPr="00756DC7">
        <w:rPr>
          <w:rFonts w:ascii="Book Antiqua" w:hAnsi="Book Antiqua"/>
          <w:color w:val="000000"/>
          <w:sz w:val="24"/>
        </w:rPr>
        <w:t xml:space="preserve"> should be considered</w:t>
      </w:r>
      <w:r w:rsidR="00687F14" w:rsidRPr="00756DC7">
        <w:rPr>
          <w:rFonts w:ascii="Book Antiqua" w:hAnsi="Book Antiqua"/>
          <w:color w:val="000000"/>
          <w:sz w:val="24"/>
        </w:rPr>
        <w:t xml:space="preserve">. </w:t>
      </w:r>
      <w:r w:rsidR="00F03055" w:rsidRPr="00756DC7">
        <w:rPr>
          <w:rFonts w:ascii="Book Antiqua" w:hAnsi="Book Antiqua"/>
          <w:color w:val="000000"/>
          <w:sz w:val="24"/>
        </w:rPr>
        <w:t>In addition</w:t>
      </w:r>
      <w:r w:rsidR="00687F14" w:rsidRPr="00756DC7">
        <w:rPr>
          <w:rFonts w:ascii="Book Antiqua" w:hAnsi="Book Antiqua"/>
          <w:color w:val="000000"/>
          <w:sz w:val="24"/>
        </w:rPr>
        <w:t xml:space="preserve">, liver function indicators </w:t>
      </w:r>
      <w:r w:rsidR="00F03055" w:rsidRPr="00756DC7">
        <w:rPr>
          <w:rFonts w:ascii="Book Antiqua" w:hAnsi="Book Antiqua"/>
          <w:color w:val="000000"/>
          <w:sz w:val="24"/>
        </w:rPr>
        <w:t xml:space="preserve">should be closely monitored </w:t>
      </w:r>
      <w:r w:rsidR="00687F14" w:rsidRPr="00756DC7">
        <w:rPr>
          <w:rFonts w:ascii="Book Antiqua" w:hAnsi="Book Antiqua"/>
          <w:color w:val="000000"/>
          <w:sz w:val="24"/>
        </w:rPr>
        <w:t xml:space="preserve">to prevent the occurrence of acute liver failure. </w:t>
      </w:r>
      <w:r w:rsidR="00F03055" w:rsidRPr="00756DC7">
        <w:rPr>
          <w:rFonts w:ascii="Book Antiqua" w:hAnsi="Book Antiqua"/>
          <w:color w:val="000000"/>
          <w:sz w:val="24"/>
        </w:rPr>
        <w:t>In patients with</w:t>
      </w:r>
      <w:r w:rsidR="00687F14" w:rsidRPr="00756DC7">
        <w:rPr>
          <w:rFonts w:ascii="Book Antiqua" w:hAnsi="Book Antiqua"/>
          <w:color w:val="000000"/>
          <w:sz w:val="24"/>
        </w:rPr>
        <w:t xml:space="preserve"> acute liver failure, </w:t>
      </w:r>
      <w:r w:rsidR="00227072" w:rsidRPr="00756DC7">
        <w:rPr>
          <w:rFonts w:ascii="Book Antiqua" w:hAnsi="Book Antiqua"/>
          <w:color w:val="000000"/>
          <w:sz w:val="24"/>
        </w:rPr>
        <w:t>intensive</w:t>
      </w:r>
      <w:r w:rsidR="00D17122" w:rsidRPr="00756DC7">
        <w:rPr>
          <w:rFonts w:ascii="Book Antiqua" w:hAnsi="Book Antiqua"/>
          <w:color w:val="000000"/>
          <w:sz w:val="24"/>
        </w:rPr>
        <w:t xml:space="preserve"> </w:t>
      </w:r>
      <w:r w:rsidR="00687F14" w:rsidRPr="00756DC7">
        <w:rPr>
          <w:rFonts w:ascii="Book Antiqua" w:hAnsi="Book Antiqua"/>
          <w:color w:val="000000"/>
          <w:sz w:val="24"/>
        </w:rPr>
        <w:t xml:space="preserve">disease monitoring, </w:t>
      </w:r>
      <w:r w:rsidR="00D17122" w:rsidRPr="00756DC7">
        <w:rPr>
          <w:rFonts w:ascii="Book Antiqua" w:hAnsi="Book Antiqua"/>
          <w:color w:val="000000"/>
          <w:sz w:val="24"/>
        </w:rPr>
        <w:t xml:space="preserve">and </w:t>
      </w:r>
      <w:r w:rsidR="00687F14" w:rsidRPr="00756DC7">
        <w:rPr>
          <w:rFonts w:ascii="Book Antiqua" w:hAnsi="Book Antiqua"/>
          <w:color w:val="000000"/>
          <w:sz w:val="24"/>
        </w:rPr>
        <w:t>symptomatic and supportive treatment</w:t>
      </w:r>
      <w:r w:rsidR="00F03055" w:rsidRPr="00756DC7">
        <w:rPr>
          <w:rFonts w:ascii="Book Antiqua" w:hAnsi="Book Antiqua"/>
          <w:color w:val="000000"/>
          <w:sz w:val="24"/>
        </w:rPr>
        <w:t xml:space="preserve"> should be given</w:t>
      </w:r>
      <w:r w:rsidR="00687F14" w:rsidRPr="00756DC7">
        <w:rPr>
          <w:rFonts w:ascii="Book Antiqua" w:hAnsi="Book Antiqua"/>
          <w:color w:val="000000"/>
          <w:sz w:val="24"/>
        </w:rPr>
        <w:t>, and active treatment for the etiology of liver failure</w:t>
      </w:r>
      <w:r w:rsidR="00D17122" w:rsidRPr="00756DC7">
        <w:rPr>
          <w:rFonts w:ascii="Book Antiqua" w:hAnsi="Book Antiqua"/>
          <w:color w:val="000000"/>
          <w:sz w:val="24"/>
        </w:rPr>
        <w:t xml:space="preserve"> should be</w:t>
      </w:r>
      <w:r w:rsidR="00F03055" w:rsidRPr="00756DC7">
        <w:rPr>
          <w:rFonts w:ascii="Book Antiqua" w:hAnsi="Book Antiqua"/>
          <w:color w:val="000000"/>
          <w:sz w:val="24"/>
        </w:rPr>
        <w:t xml:space="preserve"> administered</w:t>
      </w:r>
      <w:r w:rsidR="00687F14" w:rsidRPr="00756DC7">
        <w:rPr>
          <w:rFonts w:ascii="Book Antiqua" w:hAnsi="Book Antiqua"/>
          <w:color w:val="000000"/>
          <w:sz w:val="24"/>
        </w:rPr>
        <w:t>.</w:t>
      </w:r>
    </w:p>
    <w:p w:rsidR="003D3E91" w:rsidRPr="00756DC7" w:rsidRDefault="003D3E91" w:rsidP="001E7706">
      <w:pPr>
        <w:adjustRightInd w:val="0"/>
        <w:snapToGrid w:val="0"/>
        <w:spacing w:line="360" w:lineRule="auto"/>
        <w:ind w:firstLineChars="100" w:firstLine="240"/>
        <w:rPr>
          <w:rFonts w:ascii="Book Antiqua" w:hAnsi="Book Antiqua"/>
          <w:color w:val="000000"/>
          <w:sz w:val="24"/>
        </w:rPr>
      </w:pPr>
    </w:p>
    <w:p w:rsidR="00687F14" w:rsidRPr="00756DC7" w:rsidRDefault="00687F14" w:rsidP="001E7706">
      <w:pPr>
        <w:adjustRightInd w:val="0"/>
        <w:snapToGrid w:val="0"/>
        <w:spacing w:line="360" w:lineRule="auto"/>
        <w:rPr>
          <w:rFonts w:ascii="Book Antiqua" w:hAnsi="Book Antiqua"/>
          <w:b/>
          <w:bCs/>
          <w:color w:val="000000"/>
          <w:sz w:val="24"/>
          <w:u w:val="single"/>
        </w:rPr>
      </w:pPr>
      <w:r w:rsidRPr="00756DC7">
        <w:rPr>
          <w:rFonts w:ascii="Book Antiqua" w:hAnsi="Book Antiqua"/>
          <w:b/>
          <w:bCs/>
          <w:color w:val="000000"/>
          <w:sz w:val="24"/>
          <w:u w:val="single"/>
        </w:rPr>
        <w:t>P</w:t>
      </w:r>
      <w:r w:rsidR="00316AB3" w:rsidRPr="00756DC7">
        <w:rPr>
          <w:rFonts w:ascii="Book Antiqua" w:hAnsi="Book Antiqua"/>
          <w:b/>
          <w:bCs/>
          <w:color w:val="000000"/>
          <w:sz w:val="24"/>
          <w:u w:val="single"/>
        </w:rPr>
        <w:t xml:space="preserve">ROGNOSIS OF PATIENTS WITH LIVER DISEASES IN </w:t>
      </w:r>
      <w:r w:rsidRPr="00756DC7">
        <w:rPr>
          <w:rFonts w:ascii="Book Antiqua" w:hAnsi="Book Antiqua"/>
          <w:b/>
          <w:bCs/>
          <w:color w:val="000000"/>
          <w:sz w:val="24"/>
          <w:u w:val="single"/>
        </w:rPr>
        <w:t>COVID-19</w:t>
      </w:r>
    </w:p>
    <w:p w:rsidR="00687F14" w:rsidRPr="00756DC7" w:rsidRDefault="00687F14" w:rsidP="001E7706">
      <w:pPr>
        <w:adjustRightInd w:val="0"/>
        <w:snapToGrid w:val="0"/>
        <w:spacing w:line="360" w:lineRule="auto"/>
        <w:rPr>
          <w:rFonts w:ascii="Book Antiqua" w:hAnsi="Book Antiqua"/>
          <w:color w:val="000000"/>
          <w:sz w:val="24"/>
        </w:rPr>
      </w:pPr>
      <w:r w:rsidRPr="00756DC7">
        <w:rPr>
          <w:rFonts w:ascii="Book Antiqua" w:hAnsi="Book Antiqua"/>
          <w:color w:val="000000"/>
          <w:sz w:val="24"/>
        </w:rPr>
        <w:t>Current studies</w:t>
      </w:r>
      <w:r w:rsidRPr="00756DC7">
        <w:rPr>
          <w:rFonts w:ascii="Book Antiqua" w:hAnsi="Book Antiqua"/>
          <w:color w:val="000000"/>
          <w:sz w:val="24"/>
          <w:vertAlign w:val="superscript"/>
        </w:rPr>
        <w:t>[4</w:t>
      </w:r>
      <w:r w:rsidR="0082793A" w:rsidRPr="00756DC7">
        <w:rPr>
          <w:rFonts w:ascii="Book Antiqua" w:hAnsi="Book Antiqua"/>
          <w:color w:val="000000"/>
          <w:sz w:val="24"/>
          <w:vertAlign w:val="superscript"/>
        </w:rPr>
        <w:t>3</w:t>
      </w:r>
      <w:r w:rsidRPr="00756DC7">
        <w:rPr>
          <w:rFonts w:ascii="Book Antiqua" w:hAnsi="Book Antiqua"/>
          <w:color w:val="000000"/>
          <w:sz w:val="24"/>
          <w:vertAlign w:val="superscript"/>
        </w:rPr>
        <w:t>,4</w:t>
      </w:r>
      <w:r w:rsidR="0082793A" w:rsidRPr="00756DC7">
        <w:rPr>
          <w:rFonts w:ascii="Book Antiqua" w:hAnsi="Book Antiqua"/>
          <w:color w:val="000000"/>
          <w:sz w:val="24"/>
          <w:vertAlign w:val="superscript"/>
        </w:rPr>
        <w:t>4</w:t>
      </w:r>
      <w:r w:rsidRPr="00756DC7">
        <w:rPr>
          <w:rFonts w:ascii="Book Antiqua" w:hAnsi="Book Antiqua"/>
          <w:color w:val="000000"/>
          <w:sz w:val="24"/>
          <w:vertAlign w:val="superscript"/>
        </w:rPr>
        <w:t>]</w:t>
      </w:r>
      <w:r w:rsidRPr="00756DC7">
        <w:rPr>
          <w:rFonts w:ascii="Book Antiqua" w:hAnsi="Book Antiqua"/>
          <w:color w:val="000000"/>
          <w:sz w:val="24"/>
        </w:rPr>
        <w:t xml:space="preserve"> have shown that poor prognosis </w:t>
      </w:r>
      <w:r w:rsidR="00F03055" w:rsidRPr="00756DC7">
        <w:rPr>
          <w:rFonts w:ascii="Book Antiqua" w:hAnsi="Book Antiqua"/>
          <w:color w:val="000000"/>
          <w:sz w:val="24"/>
        </w:rPr>
        <w:t>in</w:t>
      </w:r>
      <w:r w:rsidRPr="00756DC7">
        <w:rPr>
          <w:rFonts w:ascii="Book Antiqua" w:hAnsi="Book Antiqua"/>
          <w:color w:val="000000"/>
          <w:sz w:val="24"/>
        </w:rPr>
        <w:t xml:space="preserve"> COVID-19 patients was related to </w:t>
      </w:r>
      <w:r w:rsidR="0042150A" w:rsidRPr="00756DC7">
        <w:rPr>
          <w:rFonts w:ascii="Book Antiqua" w:hAnsi="Book Antiqua"/>
          <w:color w:val="000000"/>
          <w:sz w:val="24"/>
        </w:rPr>
        <w:t xml:space="preserve">gender (male), age (60 years), </w:t>
      </w:r>
      <w:r w:rsidR="00D17122" w:rsidRPr="00756DC7">
        <w:rPr>
          <w:rFonts w:ascii="Book Antiqua" w:hAnsi="Book Antiqua"/>
          <w:color w:val="000000"/>
          <w:sz w:val="24"/>
        </w:rPr>
        <w:t xml:space="preserve">underlying </w:t>
      </w:r>
      <w:r w:rsidRPr="00756DC7">
        <w:rPr>
          <w:rFonts w:ascii="Book Antiqua" w:hAnsi="Book Antiqua"/>
          <w:color w:val="000000"/>
          <w:sz w:val="24"/>
        </w:rPr>
        <w:t xml:space="preserve">diseases (hypertension, diabetes, cardiovascular diseases), secondary ARDS and other related factors. An increase in neutrophil count and </w:t>
      </w:r>
      <w:r w:rsidR="00F03055" w:rsidRPr="00756DC7">
        <w:rPr>
          <w:rFonts w:ascii="Book Antiqua" w:hAnsi="Book Antiqua"/>
          <w:color w:val="000000"/>
          <w:sz w:val="24"/>
        </w:rPr>
        <w:t xml:space="preserve">the </w:t>
      </w:r>
      <w:r w:rsidRPr="00756DC7">
        <w:rPr>
          <w:rFonts w:ascii="Book Antiqua" w:hAnsi="Book Antiqua"/>
          <w:color w:val="000000"/>
          <w:sz w:val="24"/>
        </w:rPr>
        <w:t xml:space="preserve">neutrophil to lymphocyte ratio usually indicates a higher degree of disease severity and a poorer clinical prognosis. </w:t>
      </w:r>
      <w:r w:rsidR="00F03055" w:rsidRPr="00756DC7">
        <w:rPr>
          <w:rFonts w:ascii="Book Antiqua" w:hAnsi="Book Antiqua"/>
          <w:color w:val="000000"/>
          <w:sz w:val="24"/>
        </w:rPr>
        <w:t>It was found that</w:t>
      </w:r>
      <w:r w:rsidRPr="00756DC7">
        <w:rPr>
          <w:rFonts w:ascii="Book Antiqua" w:hAnsi="Book Antiqua"/>
          <w:color w:val="000000"/>
          <w:sz w:val="24"/>
        </w:rPr>
        <w:t xml:space="preserve"> there w</w:t>
      </w:r>
      <w:r w:rsidR="00316AB3" w:rsidRPr="00756DC7">
        <w:rPr>
          <w:rFonts w:ascii="Book Antiqua" w:hAnsi="Book Antiqua"/>
          <w:color w:val="000000"/>
          <w:sz w:val="24"/>
        </w:rPr>
        <w:t>ere</w:t>
      </w:r>
      <w:r w:rsidRPr="00756DC7">
        <w:rPr>
          <w:rFonts w:ascii="Book Antiqua" w:hAnsi="Book Antiqua"/>
          <w:color w:val="000000"/>
          <w:sz w:val="24"/>
        </w:rPr>
        <w:t xml:space="preserve"> no independent correlation</w:t>
      </w:r>
      <w:r w:rsidR="00F03055" w:rsidRPr="00756DC7">
        <w:rPr>
          <w:rFonts w:ascii="Book Antiqua" w:hAnsi="Book Antiqua"/>
          <w:color w:val="000000"/>
          <w:sz w:val="24"/>
        </w:rPr>
        <w:t>s between</w:t>
      </w:r>
      <w:r w:rsidRPr="00756DC7">
        <w:rPr>
          <w:rFonts w:ascii="Book Antiqua" w:hAnsi="Book Antiqua"/>
          <w:color w:val="000000"/>
          <w:sz w:val="24"/>
        </w:rPr>
        <w:t xml:space="preserve"> ALT, AST, total bilirubin, </w:t>
      </w:r>
      <w:r w:rsidR="00EB0561" w:rsidRPr="00756DC7">
        <w:rPr>
          <w:rFonts w:ascii="Book Antiqua" w:hAnsi="Book Antiqua"/>
          <w:color w:val="000000"/>
          <w:sz w:val="24"/>
        </w:rPr>
        <w:t>alkaline phosphatase</w:t>
      </w:r>
      <w:r w:rsidRPr="00756DC7">
        <w:rPr>
          <w:rFonts w:ascii="Book Antiqua" w:hAnsi="Book Antiqua"/>
          <w:color w:val="000000"/>
          <w:sz w:val="24"/>
        </w:rPr>
        <w:t>, albumin and other liver function indicators</w:t>
      </w:r>
      <w:r w:rsidR="00F03055" w:rsidRPr="00756DC7">
        <w:rPr>
          <w:rFonts w:ascii="Book Antiqua" w:hAnsi="Book Antiqua"/>
          <w:color w:val="000000"/>
          <w:sz w:val="24"/>
        </w:rPr>
        <w:t>,</w:t>
      </w:r>
      <w:r w:rsidRPr="00756DC7">
        <w:rPr>
          <w:rFonts w:ascii="Book Antiqua" w:hAnsi="Book Antiqua"/>
          <w:color w:val="000000"/>
          <w:sz w:val="24"/>
        </w:rPr>
        <w:t xml:space="preserve"> </w:t>
      </w:r>
      <w:r w:rsidR="00F03055" w:rsidRPr="00756DC7">
        <w:rPr>
          <w:rFonts w:ascii="Book Antiqua" w:hAnsi="Book Antiqua"/>
          <w:color w:val="000000"/>
          <w:sz w:val="24"/>
        </w:rPr>
        <w:t>and</w:t>
      </w:r>
      <w:r w:rsidRPr="00756DC7">
        <w:rPr>
          <w:rFonts w:ascii="Book Antiqua" w:hAnsi="Book Antiqua"/>
          <w:color w:val="000000"/>
          <w:sz w:val="24"/>
        </w:rPr>
        <w:t xml:space="preserve"> severe COVID-19</w:t>
      </w:r>
      <w:r w:rsidRPr="00756DC7">
        <w:rPr>
          <w:rFonts w:ascii="Book Antiqua" w:hAnsi="Book Antiqua"/>
          <w:color w:val="000000"/>
          <w:sz w:val="24"/>
          <w:vertAlign w:val="superscript"/>
        </w:rPr>
        <w:t>[4</w:t>
      </w:r>
      <w:r w:rsidR="0082793A" w:rsidRPr="00756DC7">
        <w:rPr>
          <w:rFonts w:ascii="Book Antiqua" w:hAnsi="Book Antiqua"/>
          <w:color w:val="000000"/>
          <w:sz w:val="24"/>
          <w:vertAlign w:val="superscript"/>
        </w:rPr>
        <w:t>5</w:t>
      </w:r>
      <w:r w:rsidRPr="00756DC7">
        <w:rPr>
          <w:rFonts w:ascii="Book Antiqua" w:hAnsi="Book Antiqua"/>
          <w:color w:val="000000"/>
          <w:sz w:val="24"/>
          <w:vertAlign w:val="superscript"/>
        </w:rPr>
        <w:t>]</w:t>
      </w:r>
      <w:r w:rsidRPr="00756DC7">
        <w:rPr>
          <w:rFonts w:ascii="Book Antiqua" w:hAnsi="Book Antiqua"/>
          <w:color w:val="000000"/>
          <w:sz w:val="24"/>
        </w:rPr>
        <w:t xml:space="preserve">, indicating that the liver was not the main target organ. However, ALT, AST, </w:t>
      </w:r>
      <w:r w:rsidR="003D3E91" w:rsidRPr="00756DC7">
        <w:rPr>
          <w:rFonts w:ascii="Book Antiqua" w:hAnsi="Book Antiqua"/>
          <w:color w:val="000000"/>
          <w:sz w:val="24"/>
        </w:rPr>
        <w:t xml:space="preserve">total bilirubin </w:t>
      </w:r>
      <w:r w:rsidRPr="00756DC7">
        <w:rPr>
          <w:rFonts w:ascii="Book Antiqua" w:hAnsi="Book Antiqua"/>
          <w:color w:val="000000"/>
          <w:sz w:val="24"/>
        </w:rPr>
        <w:t>and other liver function ind</w:t>
      </w:r>
      <w:r w:rsidR="00F03055" w:rsidRPr="00756DC7">
        <w:rPr>
          <w:rFonts w:ascii="Book Antiqua" w:hAnsi="Book Antiqua"/>
          <w:color w:val="000000"/>
          <w:sz w:val="24"/>
        </w:rPr>
        <w:t>ic</w:t>
      </w:r>
      <w:r w:rsidRPr="00756DC7">
        <w:rPr>
          <w:rFonts w:ascii="Book Antiqua" w:hAnsi="Book Antiqua"/>
          <w:color w:val="000000"/>
          <w:sz w:val="24"/>
        </w:rPr>
        <w:t xml:space="preserve">es were significantly increased in patients with severe COVID-19 compared </w:t>
      </w:r>
      <w:r w:rsidR="00F03055" w:rsidRPr="00756DC7">
        <w:rPr>
          <w:rFonts w:ascii="Book Antiqua" w:hAnsi="Book Antiqua"/>
          <w:color w:val="000000"/>
          <w:sz w:val="24"/>
        </w:rPr>
        <w:t>to</w:t>
      </w:r>
      <w:r w:rsidRPr="00756DC7">
        <w:rPr>
          <w:rFonts w:ascii="Book Antiqua" w:hAnsi="Book Antiqua"/>
          <w:color w:val="000000"/>
          <w:sz w:val="24"/>
        </w:rPr>
        <w:t xml:space="preserve"> patients with mild COVID-19, and the liver function ind</w:t>
      </w:r>
      <w:r w:rsidR="00F03055" w:rsidRPr="00756DC7">
        <w:rPr>
          <w:rFonts w:ascii="Book Antiqua" w:hAnsi="Book Antiqua"/>
          <w:color w:val="000000"/>
          <w:sz w:val="24"/>
        </w:rPr>
        <w:t>ic</w:t>
      </w:r>
      <w:r w:rsidRPr="00756DC7">
        <w:rPr>
          <w:rFonts w:ascii="Book Antiqua" w:hAnsi="Book Antiqua"/>
          <w:color w:val="000000"/>
          <w:sz w:val="24"/>
        </w:rPr>
        <w:t xml:space="preserve">es gradually returned to normal during recovery. Liver damage in patients with mild COVID-19 is often temporary and can be restored to normal without any special </w:t>
      </w:r>
      <w:proofErr w:type="gramStart"/>
      <w:r w:rsidRPr="00756DC7">
        <w:rPr>
          <w:rFonts w:ascii="Book Antiqua" w:hAnsi="Book Antiqua"/>
          <w:color w:val="000000"/>
          <w:sz w:val="24"/>
        </w:rPr>
        <w:t>treatment</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4</w:t>
      </w:r>
      <w:r w:rsidR="0082793A" w:rsidRPr="00756DC7">
        <w:rPr>
          <w:rFonts w:ascii="Book Antiqua" w:hAnsi="Book Antiqua"/>
          <w:color w:val="000000"/>
          <w:sz w:val="24"/>
          <w:vertAlign w:val="superscript"/>
        </w:rPr>
        <w:t>2</w:t>
      </w:r>
      <w:r w:rsidRPr="00756DC7">
        <w:rPr>
          <w:rFonts w:ascii="Book Antiqua" w:hAnsi="Book Antiqua"/>
          <w:color w:val="000000"/>
          <w:sz w:val="24"/>
          <w:vertAlign w:val="superscript"/>
        </w:rPr>
        <w:t>]</w:t>
      </w:r>
      <w:r w:rsidRPr="00756DC7">
        <w:rPr>
          <w:rFonts w:ascii="Book Antiqua" w:hAnsi="Book Antiqua"/>
          <w:color w:val="000000"/>
          <w:sz w:val="24"/>
        </w:rPr>
        <w:t>.</w:t>
      </w:r>
      <w:r w:rsidR="00C3237C" w:rsidRPr="00756DC7">
        <w:rPr>
          <w:rFonts w:ascii="Book Antiqua" w:hAnsi="Book Antiqua"/>
          <w:color w:val="000000"/>
          <w:sz w:val="24"/>
        </w:rPr>
        <w:t xml:space="preserve"> </w:t>
      </w:r>
      <w:r w:rsidR="00F03055" w:rsidRPr="00756DC7">
        <w:rPr>
          <w:rFonts w:ascii="Book Antiqua" w:hAnsi="Book Antiqua"/>
          <w:color w:val="000000"/>
          <w:sz w:val="24"/>
        </w:rPr>
        <w:t>Hepato</w:t>
      </w:r>
      <w:r w:rsidRPr="00756DC7">
        <w:rPr>
          <w:rFonts w:ascii="Book Antiqua" w:hAnsi="Book Antiqua"/>
          <w:color w:val="000000"/>
          <w:sz w:val="24"/>
        </w:rPr>
        <w:t>protecti</w:t>
      </w:r>
      <w:r w:rsidR="00F03055" w:rsidRPr="00756DC7">
        <w:rPr>
          <w:rFonts w:ascii="Book Antiqua" w:hAnsi="Book Antiqua"/>
          <w:color w:val="000000"/>
          <w:sz w:val="24"/>
        </w:rPr>
        <w:t>ve</w:t>
      </w:r>
      <w:r w:rsidRPr="00756DC7">
        <w:rPr>
          <w:rFonts w:ascii="Book Antiqua" w:hAnsi="Book Antiqua"/>
          <w:color w:val="000000"/>
          <w:sz w:val="24"/>
        </w:rPr>
        <w:t xml:space="preserve"> drugs were usually given to th</w:t>
      </w:r>
      <w:r w:rsidR="00F03055" w:rsidRPr="00756DC7">
        <w:rPr>
          <w:rFonts w:ascii="Book Antiqua" w:hAnsi="Book Antiqua"/>
          <w:color w:val="000000"/>
          <w:sz w:val="24"/>
        </w:rPr>
        <w:t>o</w:t>
      </w:r>
      <w:r w:rsidRPr="00756DC7">
        <w:rPr>
          <w:rFonts w:ascii="Book Antiqua" w:hAnsi="Book Antiqua"/>
          <w:color w:val="000000"/>
          <w:sz w:val="24"/>
        </w:rPr>
        <w:t>se patients w</w:t>
      </w:r>
      <w:r w:rsidR="00F03055" w:rsidRPr="00756DC7">
        <w:rPr>
          <w:rFonts w:ascii="Book Antiqua" w:hAnsi="Book Antiqua"/>
          <w:color w:val="000000"/>
          <w:sz w:val="24"/>
        </w:rPr>
        <w:t>ith</w:t>
      </w:r>
      <w:r w:rsidRPr="00756DC7">
        <w:rPr>
          <w:rFonts w:ascii="Book Antiqua" w:hAnsi="Book Antiqua"/>
          <w:color w:val="000000"/>
          <w:sz w:val="24"/>
        </w:rPr>
        <w:t xml:space="preserve"> severe liver damage. In addition, liver dysfunction in COVID-19 patients was associated with activation of </w:t>
      </w:r>
      <w:r w:rsidR="00F03055" w:rsidRPr="00756DC7">
        <w:rPr>
          <w:rFonts w:ascii="Book Antiqua" w:hAnsi="Book Antiqua"/>
          <w:color w:val="000000"/>
          <w:sz w:val="24"/>
        </w:rPr>
        <w:t xml:space="preserve">the </w:t>
      </w:r>
      <w:r w:rsidRPr="00756DC7">
        <w:rPr>
          <w:rFonts w:ascii="Book Antiqua" w:hAnsi="Book Antiqua"/>
          <w:color w:val="000000"/>
          <w:sz w:val="24"/>
        </w:rPr>
        <w:t>clotting and fibrinolytic pathways, a relatively low platelet count, an increased granulocyte count and neutrophil/lymphocyte ratio, and high ferritin levels. Although these parameters were considered nonspecific markers of inflammation, they also correspond</w:t>
      </w:r>
      <w:r w:rsidR="00F03055" w:rsidRPr="00756DC7">
        <w:rPr>
          <w:rFonts w:ascii="Book Antiqua" w:hAnsi="Book Antiqua"/>
          <w:color w:val="000000"/>
          <w:sz w:val="24"/>
        </w:rPr>
        <w:t>ed</w:t>
      </w:r>
      <w:r w:rsidRPr="00756DC7">
        <w:rPr>
          <w:rFonts w:ascii="Book Antiqua" w:hAnsi="Book Antiqua"/>
          <w:color w:val="000000"/>
          <w:sz w:val="24"/>
        </w:rPr>
        <w:t xml:space="preserve"> to a failure of innate </w:t>
      </w:r>
      <w:r w:rsidRPr="00756DC7">
        <w:rPr>
          <w:rFonts w:ascii="Book Antiqua" w:hAnsi="Book Antiqua"/>
          <w:color w:val="000000"/>
          <w:sz w:val="24"/>
        </w:rPr>
        <w:lastRenderedPageBreak/>
        <w:t>immune regulation. It is worth noting that this change in immune balance occur</w:t>
      </w:r>
      <w:r w:rsidR="00CB78FD" w:rsidRPr="00756DC7">
        <w:rPr>
          <w:rFonts w:ascii="Book Antiqua" w:hAnsi="Book Antiqua"/>
          <w:color w:val="000000"/>
          <w:sz w:val="24"/>
        </w:rPr>
        <w:t>red</w:t>
      </w:r>
      <w:r w:rsidRPr="00756DC7">
        <w:rPr>
          <w:rFonts w:ascii="Book Antiqua" w:hAnsi="Book Antiqua"/>
          <w:color w:val="000000"/>
          <w:sz w:val="24"/>
        </w:rPr>
        <w:t xml:space="preserve"> with age</w:t>
      </w:r>
      <w:r w:rsidR="00CB78FD" w:rsidRPr="00756DC7">
        <w:rPr>
          <w:rFonts w:ascii="Book Antiqua" w:hAnsi="Book Antiqua"/>
          <w:color w:val="000000"/>
          <w:sz w:val="24"/>
        </w:rPr>
        <w:t>; thus</w:t>
      </w:r>
      <w:r w:rsidRPr="00756DC7">
        <w:rPr>
          <w:rFonts w:ascii="Book Antiqua" w:hAnsi="Book Antiqua"/>
          <w:color w:val="000000"/>
          <w:sz w:val="24"/>
        </w:rPr>
        <w:t xml:space="preserve">, the situation may be worse for older </w:t>
      </w:r>
      <w:proofErr w:type="gramStart"/>
      <w:r w:rsidRPr="00756DC7">
        <w:rPr>
          <w:rFonts w:ascii="Book Antiqua" w:hAnsi="Book Antiqua"/>
          <w:color w:val="000000"/>
          <w:sz w:val="24"/>
        </w:rPr>
        <w:t>patients</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4</w:t>
      </w:r>
      <w:r w:rsidR="0082793A" w:rsidRPr="00756DC7">
        <w:rPr>
          <w:rFonts w:ascii="Book Antiqua" w:hAnsi="Book Antiqua"/>
          <w:color w:val="000000"/>
          <w:sz w:val="24"/>
          <w:vertAlign w:val="superscript"/>
        </w:rPr>
        <w:t>6</w:t>
      </w:r>
      <w:r w:rsidRPr="00756DC7">
        <w:rPr>
          <w:rFonts w:ascii="Book Antiqua" w:hAnsi="Book Antiqua"/>
          <w:color w:val="000000"/>
          <w:sz w:val="24"/>
          <w:vertAlign w:val="superscript"/>
        </w:rPr>
        <w:t>]</w:t>
      </w:r>
      <w:r w:rsidRPr="00756DC7">
        <w:rPr>
          <w:rFonts w:ascii="Book Antiqua" w:hAnsi="Book Antiqua"/>
          <w:color w:val="000000"/>
          <w:sz w:val="24"/>
        </w:rPr>
        <w:t xml:space="preserve">. The effect of glucocorticoid administration on the prognosis of COVID-19 patients with autoimmune hepatitis is unknown. For severe COVID-19 patients, more intensive monitoring or individualized treatment is required, especially </w:t>
      </w:r>
      <w:r w:rsidR="00CB78FD" w:rsidRPr="00756DC7">
        <w:rPr>
          <w:rFonts w:ascii="Book Antiqua" w:hAnsi="Book Antiqua"/>
          <w:color w:val="000000"/>
          <w:sz w:val="24"/>
        </w:rPr>
        <w:t xml:space="preserve">in </w:t>
      </w:r>
      <w:r w:rsidRPr="00756DC7">
        <w:rPr>
          <w:rFonts w:ascii="Book Antiqua" w:hAnsi="Book Antiqua"/>
          <w:color w:val="000000"/>
          <w:sz w:val="24"/>
        </w:rPr>
        <w:t>elderly patients with other complications.</w:t>
      </w:r>
    </w:p>
    <w:p w:rsidR="0034091E" w:rsidRPr="00756DC7" w:rsidRDefault="0034091E" w:rsidP="001E7706">
      <w:pPr>
        <w:adjustRightInd w:val="0"/>
        <w:snapToGrid w:val="0"/>
        <w:spacing w:line="360" w:lineRule="auto"/>
        <w:rPr>
          <w:rFonts w:ascii="Book Antiqua" w:hAnsi="Book Antiqua"/>
          <w:color w:val="000000"/>
          <w:sz w:val="24"/>
        </w:rPr>
      </w:pPr>
    </w:p>
    <w:p w:rsidR="00687F14" w:rsidRPr="00756DC7" w:rsidRDefault="00687F14" w:rsidP="001E7706">
      <w:pPr>
        <w:adjustRightInd w:val="0"/>
        <w:snapToGrid w:val="0"/>
        <w:spacing w:line="360" w:lineRule="auto"/>
        <w:rPr>
          <w:rFonts w:ascii="Book Antiqua" w:hAnsi="Book Antiqua"/>
          <w:b/>
          <w:bCs/>
          <w:color w:val="000000"/>
          <w:sz w:val="24"/>
          <w:u w:val="single"/>
        </w:rPr>
      </w:pPr>
      <w:r w:rsidRPr="00756DC7">
        <w:rPr>
          <w:rFonts w:ascii="Book Antiqua" w:hAnsi="Book Antiqua"/>
          <w:b/>
          <w:bCs/>
          <w:color w:val="000000"/>
          <w:sz w:val="24"/>
          <w:u w:val="single"/>
        </w:rPr>
        <w:t>C</w:t>
      </w:r>
      <w:r w:rsidR="00316AB3" w:rsidRPr="00756DC7">
        <w:rPr>
          <w:rFonts w:ascii="Book Antiqua" w:hAnsi="Book Antiqua"/>
          <w:b/>
          <w:bCs/>
          <w:color w:val="000000"/>
          <w:sz w:val="24"/>
          <w:u w:val="single"/>
        </w:rPr>
        <w:t>ONCLUS</w:t>
      </w:r>
      <w:r w:rsidR="00095E68" w:rsidRPr="00756DC7">
        <w:rPr>
          <w:rFonts w:ascii="Book Antiqua" w:hAnsi="Book Antiqua"/>
          <w:b/>
          <w:bCs/>
          <w:color w:val="000000"/>
          <w:sz w:val="24"/>
          <w:u w:val="single"/>
        </w:rPr>
        <w:t>I</w:t>
      </w:r>
      <w:r w:rsidR="00316AB3" w:rsidRPr="00756DC7">
        <w:rPr>
          <w:rFonts w:ascii="Book Antiqua" w:hAnsi="Book Antiqua"/>
          <w:b/>
          <w:bCs/>
          <w:color w:val="000000"/>
          <w:sz w:val="24"/>
          <w:u w:val="single"/>
        </w:rPr>
        <w:t>ON</w:t>
      </w:r>
    </w:p>
    <w:p w:rsidR="00687F14" w:rsidRPr="00756DC7" w:rsidRDefault="00687F14" w:rsidP="001E7706">
      <w:pPr>
        <w:adjustRightInd w:val="0"/>
        <w:snapToGrid w:val="0"/>
        <w:spacing w:line="360" w:lineRule="auto"/>
        <w:rPr>
          <w:rFonts w:ascii="Book Antiqua" w:hAnsi="Book Antiqua"/>
          <w:color w:val="000000"/>
          <w:sz w:val="24"/>
        </w:rPr>
      </w:pPr>
      <w:r w:rsidRPr="00756DC7">
        <w:rPr>
          <w:rFonts w:ascii="Book Antiqua" w:hAnsi="Book Antiqua"/>
          <w:color w:val="000000"/>
          <w:sz w:val="24"/>
        </w:rPr>
        <w:t xml:space="preserve">Liver injury is common in COVID-19 patients, which may be caused by viral infection of bile duct cells or functional impairment caused by the use of antiviral drugs. However, the report by </w:t>
      </w:r>
      <w:r w:rsidR="0034091E" w:rsidRPr="00756DC7">
        <w:rPr>
          <w:rFonts w:ascii="Book Antiqua" w:hAnsi="Book Antiqua"/>
          <w:color w:val="000000"/>
          <w:sz w:val="24"/>
        </w:rPr>
        <w:t>Xu</w:t>
      </w:r>
      <w:r w:rsidRPr="00756DC7">
        <w:rPr>
          <w:rFonts w:ascii="Book Antiqua" w:hAnsi="Book Antiqua"/>
          <w:color w:val="000000"/>
          <w:sz w:val="24"/>
        </w:rPr>
        <w:t xml:space="preserve"> </w:t>
      </w:r>
      <w:r w:rsidRPr="00756DC7">
        <w:rPr>
          <w:rFonts w:ascii="Book Antiqua" w:hAnsi="Book Antiqua"/>
          <w:i/>
          <w:color w:val="000000"/>
          <w:sz w:val="24"/>
        </w:rPr>
        <w:t xml:space="preserve">et </w:t>
      </w:r>
      <w:proofErr w:type="gramStart"/>
      <w:r w:rsidRPr="00756DC7">
        <w:rPr>
          <w:rFonts w:ascii="Book Antiqua" w:hAnsi="Book Antiqua"/>
          <w:i/>
          <w:color w:val="000000"/>
          <w:sz w:val="24"/>
        </w:rPr>
        <w:t>al</w:t>
      </w:r>
      <w:r w:rsidRPr="00756DC7">
        <w:rPr>
          <w:rFonts w:ascii="Book Antiqua" w:hAnsi="Book Antiqua"/>
          <w:color w:val="000000"/>
          <w:sz w:val="24"/>
          <w:vertAlign w:val="superscript"/>
        </w:rPr>
        <w:t>[</w:t>
      </w:r>
      <w:proofErr w:type="gramEnd"/>
      <w:r w:rsidRPr="00756DC7">
        <w:rPr>
          <w:rFonts w:ascii="Book Antiqua" w:hAnsi="Book Antiqua"/>
          <w:color w:val="000000"/>
          <w:sz w:val="24"/>
          <w:vertAlign w:val="superscript"/>
        </w:rPr>
        <w:t>4</w:t>
      </w:r>
      <w:r w:rsidR="0082793A" w:rsidRPr="00756DC7">
        <w:rPr>
          <w:rFonts w:ascii="Book Antiqua" w:hAnsi="Book Antiqua"/>
          <w:color w:val="000000"/>
          <w:sz w:val="24"/>
          <w:vertAlign w:val="superscript"/>
        </w:rPr>
        <w:t>7</w:t>
      </w:r>
      <w:r w:rsidRPr="00756DC7">
        <w:rPr>
          <w:rFonts w:ascii="Book Antiqua" w:hAnsi="Book Antiqua"/>
          <w:color w:val="000000"/>
          <w:sz w:val="24"/>
          <w:vertAlign w:val="superscript"/>
        </w:rPr>
        <w:t>]</w:t>
      </w:r>
      <w:r w:rsidRPr="00756DC7">
        <w:rPr>
          <w:rFonts w:ascii="Book Antiqua" w:hAnsi="Book Antiqua"/>
          <w:color w:val="000000"/>
          <w:sz w:val="24"/>
        </w:rPr>
        <w:t xml:space="preserve"> on </w:t>
      </w:r>
      <w:r w:rsidR="00CB78FD" w:rsidRPr="00756DC7">
        <w:rPr>
          <w:rFonts w:ascii="Book Antiqua" w:hAnsi="Book Antiqua"/>
          <w:color w:val="000000"/>
          <w:sz w:val="24"/>
        </w:rPr>
        <w:t>a</w:t>
      </w:r>
      <w:r w:rsidRPr="00756DC7">
        <w:rPr>
          <w:rFonts w:ascii="Book Antiqua" w:hAnsi="Book Antiqua"/>
          <w:color w:val="000000"/>
          <w:sz w:val="24"/>
        </w:rPr>
        <w:t xml:space="preserve"> pathological study of COVID-19 patients showed moderate microvascular steatosis and mild inflammation in the hepatic lobular portal region, and no direct killing effect of </w:t>
      </w:r>
      <w:r w:rsidR="00CB78FD" w:rsidRPr="00756DC7">
        <w:rPr>
          <w:rFonts w:ascii="Book Antiqua" w:hAnsi="Book Antiqua"/>
          <w:color w:val="000000"/>
          <w:sz w:val="24"/>
        </w:rPr>
        <w:t xml:space="preserve">the </w:t>
      </w:r>
      <w:r w:rsidRPr="00756DC7">
        <w:rPr>
          <w:rFonts w:ascii="Book Antiqua" w:hAnsi="Book Antiqua"/>
          <w:color w:val="000000"/>
          <w:sz w:val="24"/>
        </w:rPr>
        <w:t xml:space="preserve">virus on the liver was found in the </w:t>
      </w:r>
      <w:r w:rsidR="00CB78FD" w:rsidRPr="00756DC7">
        <w:rPr>
          <w:rFonts w:ascii="Book Antiqua" w:hAnsi="Book Antiqua"/>
          <w:color w:val="000000"/>
          <w:sz w:val="24"/>
        </w:rPr>
        <w:t xml:space="preserve">autopsy </w:t>
      </w:r>
      <w:r w:rsidRPr="00756DC7">
        <w:rPr>
          <w:rFonts w:ascii="Book Antiqua" w:hAnsi="Book Antiqua"/>
          <w:color w:val="000000"/>
          <w:sz w:val="24"/>
        </w:rPr>
        <w:t xml:space="preserve">pathological results. In addition, inflammatory cytokine storms have been observed in severe COVID-19 cases, but whether they cause liver damage remains to be investigated. </w:t>
      </w:r>
      <w:r w:rsidR="00CB78FD" w:rsidRPr="00756DC7">
        <w:rPr>
          <w:rFonts w:ascii="Book Antiqua" w:hAnsi="Book Antiqua"/>
          <w:color w:val="000000"/>
          <w:sz w:val="24"/>
        </w:rPr>
        <w:t>More</w:t>
      </w:r>
      <w:r w:rsidRPr="00756DC7">
        <w:rPr>
          <w:rFonts w:ascii="Book Antiqua" w:hAnsi="Book Antiqua"/>
          <w:color w:val="000000"/>
          <w:sz w:val="24"/>
        </w:rPr>
        <w:t xml:space="preserve"> attention </w:t>
      </w:r>
      <w:r w:rsidR="00227072" w:rsidRPr="00756DC7">
        <w:rPr>
          <w:rFonts w:ascii="Book Antiqua" w:hAnsi="Book Antiqua"/>
          <w:color w:val="000000"/>
          <w:sz w:val="24"/>
        </w:rPr>
        <w:t>should be focused</w:t>
      </w:r>
      <w:r w:rsidR="00CB78FD" w:rsidRPr="00756DC7">
        <w:rPr>
          <w:rFonts w:ascii="Book Antiqua" w:hAnsi="Book Antiqua"/>
          <w:color w:val="000000"/>
          <w:sz w:val="24"/>
        </w:rPr>
        <w:t xml:space="preserve"> </w:t>
      </w:r>
      <w:r w:rsidR="00227072" w:rsidRPr="00756DC7">
        <w:rPr>
          <w:rFonts w:ascii="Book Antiqua" w:hAnsi="Book Antiqua"/>
          <w:color w:val="000000"/>
          <w:sz w:val="24"/>
        </w:rPr>
        <w:t xml:space="preserve">on </w:t>
      </w:r>
      <w:r w:rsidRPr="00756DC7">
        <w:rPr>
          <w:rFonts w:ascii="Book Antiqua" w:hAnsi="Book Antiqua"/>
          <w:color w:val="000000"/>
          <w:sz w:val="24"/>
        </w:rPr>
        <w:t xml:space="preserve">the liver function status of patients with COVID-19. </w:t>
      </w:r>
      <w:r w:rsidR="00CB78FD" w:rsidRPr="00756DC7">
        <w:rPr>
          <w:rFonts w:ascii="Book Antiqua" w:hAnsi="Book Antiqua"/>
          <w:color w:val="000000"/>
          <w:sz w:val="24"/>
        </w:rPr>
        <w:t>In</w:t>
      </w:r>
      <w:r w:rsidRPr="00756DC7">
        <w:rPr>
          <w:rFonts w:ascii="Book Antiqua" w:hAnsi="Book Antiqua"/>
          <w:color w:val="000000"/>
          <w:sz w:val="24"/>
        </w:rPr>
        <w:t xml:space="preserve"> patients with liver disease</w:t>
      </w:r>
      <w:r w:rsidR="002F715D" w:rsidRPr="00756DC7">
        <w:rPr>
          <w:rFonts w:ascii="Book Antiqua" w:hAnsi="Book Antiqua"/>
          <w:color w:val="000000"/>
          <w:sz w:val="24"/>
        </w:rPr>
        <w:t>s</w:t>
      </w:r>
      <w:r w:rsidRPr="00756DC7">
        <w:rPr>
          <w:rFonts w:ascii="Book Antiqua" w:hAnsi="Book Antiqua"/>
          <w:color w:val="000000"/>
          <w:sz w:val="24"/>
        </w:rPr>
        <w:t xml:space="preserve">, on the one hand, attention </w:t>
      </w:r>
      <w:r w:rsidR="00CB78FD" w:rsidRPr="00756DC7">
        <w:rPr>
          <w:rFonts w:ascii="Book Antiqua" w:hAnsi="Book Antiqua"/>
          <w:color w:val="000000"/>
          <w:sz w:val="24"/>
        </w:rPr>
        <w:t xml:space="preserve">should be paid </w:t>
      </w:r>
      <w:r w:rsidRPr="00756DC7">
        <w:rPr>
          <w:rFonts w:ascii="Book Antiqua" w:hAnsi="Book Antiqua"/>
          <w:color w:val="000000"/>
          <w:sz w:val="24"/>
        </w:rPr>
        <w:t xml:space="preserve">to changes </w:t>
      </w:r>
      <w:r w:rsidR="00CB78FD" w:rsidRPr="00756DC7">
        <w:rPr>
          <w:rFonts w:ascii="Book Antiqua" w:hAnsi="Book Antiqua"/>
          <w:color w:val="000000"/>
          <w:sz w:val="24"/>
        </w:rPr>
        <w:t>in</w:t>
      </w:r>
      <w:r w:rsidRPr="00756DC7">
        <w:rPr>
          <w:rFonts w:ascii="Book Antiqua" w:hAnsi="Book Antiqua"/>
          <w:color w:val="000000"/>
          <w:sz w:val="24"/>
        </w:rPr>
        <w:t xml:space="preserve"> the </w:t>
      </w:r>
      <w:r w:rsidR="00E05BDF" w:rsidRPr="00756DC7">
        <w:rPr>
          <w:rFonts w:ascii="Book Antiqua" w:hAnsi="Book Antiqua"/>
          <w:color w:val="000000"/>
          <w:sz w:val="24"/>
        </w:rPr>
        <w:t xml:space="preserve">primary </w:t>
      </w:r>
      <w:r w:rsidRPr="00756DC7">
        <w:rPr>
          <w:rFonts w:ascii="Book Antiqua" w:hAnsi="Book Antiqua"/>
          <w:color w:val="000000"/>
          <w:sz w:val="24"/>
        </w:rPr>
        <w:t xml:space="preserve">liver disease, and the monitoring and evaluation of liver function </w:t>
      </w:r>
      <w:r w:rsidR="00E05BDF" w:rsidRPr="00756DC7">
        <w:rPr>
          <w:rFonts w:ascii="Book Antiqua" w:hAnsi="Book Antiqua"/>
          <w:color w:val="000000"/>
          <w:sz w:val="24"/>
        </w:rPr>
        <w:t xml:space="preserve">in patients with severe diseases should be intensified </w:t>
      </w:r>
      <w:r w:rsidRPr="00756DC7">
        <w:rPr>
          <w:rFonts w:ascii="Book Antiqua" w:hAnsi="Book Antiqua"/>
          <w:color w:val="000000"/>
          <w:sz w:val="24"/>
        </w:rPr>
        <w:t xml:space="preserve">during treatment. On the other hand, we should carefully identify the causes of liver injury in combination with the pathophysiological changes </w:t>
      </w:r>
      <w:r w:rsidR="00CB78FD" w:rsidRPr="00756DC7">
        <w:rPr>
          <w:rFonts w:ascii="Book Antiqua" w:hAnsi="Book Antiqua"/>
          <w:color w:val="000000"/>
          <w:sz w:val="24"/>
        </w:rPr>
        <w:t>caused</w:t>
      </w:r>
      <w:r w:rsidRPr="00756DC7">
        <w:rPr>
          <w:rFonts w:ascii="Book Antiqua" w:hAnsi="Book Antiqua"/>
          <w:color w:val="000000"/>
          <w:sz w:val="24"/>
        </w:rPr>
        <w:t xml:space="preserve"> by COVID-19. On the basis of active treatment of the primary disease, liver protection treatment </w:t>
      </w:r>
      <w:r w:rsidR="00CB78FD" w:rsidRPr="00756DC7">
        <w:rPr>
          <w:rFonts w:ascii="Book Antiqua" w:hAnsi="Book Antiqua"/>
          <w:color w:val="000000"/>
          <w:sz w:val="24"/>
        </w:rPr>
        <w:t xml:space="preserve">should be administered </w:t>
      </w:r>
      <w:r w:rsidRPr="00756DC7">
        <w:rPr>
          <w:rFonts w:ascii="Book Antiqua" w:hAnsi="Book Antiqua"/>
          <w:color w:val="000000"/>
          <w:sz w:val="24"/>
        </w:rPr>
        <w:t>to reduce liver injury.</w:t>
      </w:r>
    </w:p>
    <w:p w:rsidR="00687F14" w:rsidRPr="00756DC7" w:rsidRDefault="00687F14" w:rsidP="001E7706">
      <w:pPr>
        <w:adjustRightInd w:val="0"/>
        <w:snapToGrid w:val="0"/>
        <w:spacing w:line="360" w:lineRule="auto"/>
        <w:rPr>
          <w:rFonts w:ascii="Book Antiqua" w:eastAsia="等线" w:hAnsi="Book Antiqua"/>
          <w:b/>
          <w:iCs/>
          <w:color w:val="000000"/>
          <w:sz w:val="24"/>
          <w:lang w:bidi="ar"/>
        </w:rPr>
      </w:pPr>
    </w:p>
    <w:p w:rsidR="00CF159F" w:rsidRPr="00756DC7" w:rsidRDefault="00CF159F" w:rsidP="001E7706">
      <w:pPr>
        <w:pStyle w:val="paragraph"/>
        <w:adjustRightInd w:val="0"/>
        <w:snapToGrid w:val="0"/>
        <w:spacing w:before="0" w:beforeAutospacing="0" w:after="0" w:afterAutospacing="0" w:line="360" w:lineRule="auto"/>
        <w:jc w:val="both"/>
        <w:textAlignment w:val="baseline"/>
        <w:rPr>
          <w:rFonts w:ascii="Book Antiqua" w:hAnsi="Book Antiqua" w:cs="Calibri"/>
          <w:b/>
          <w:u w:val="single"/>
        </w:rPr>
      </w:pPr>
      <w:r w:rsidRPr="00756DC7">
        <w:rPr>
          <w:rStyle w:val="normaltextrun"/>
          <w:rFonts w:ascii="Book Antiqua" w:hAnsi="Book Antiqua" w:cs="Calibri"/>
          <w:b/>
          <w:bCs/>
          <w:u w:val="single"/>
        </w:rPr>
        <w:t>ACKNOWLEDGEMENTS</w:t>
      </w:r>
    </w:p>
    <w:p w:rsidR="007A0FAD" w:rsidRPr="00756DC7" w:rsidRDefault="007A0FAD" w:rsidP="001E7706">
      <w:pPr>
        <w:adjustRightInd w:val="0"/>
        <w:snapToGrid w:val="0"/>
        <w:spacing w:line="360" w:lineRule="auto"/>
        <w:rPr>
          <w:rFonts w:ascii="Book Antiqua" w:eastAsia="等线" w:hAnsi="Book Antiqua"/>
          <w:color w:val="000000"/>
          <w:sz w:val="24"/>
          <w:lang w:bidi="ar"/>
        </w:rPr>
      </w:pPr>
      <w:r w:rsidRPr="00756DC7">
        <w:rPr>
          <w:rFonts w:ascii="Book Antiqua" w:eastAsia="等线" w:hAnsi="Book Antiqua"/>
          <w:color w:val="000000"/>
          <w:sz w:val="24"/>
          <w:lang w:bidi="ar"/>
        </w:rPr>
        <w:t>We thank the authors of the primary studies for their timely and helpful responses to our information requests.</w:t>
      </w:r>
    </w:p>
    <w:p w:rsidR="00CF159F" w:rsidRPr="00756DC7" w:rsidRDefault="00CF159F" w:rsidP="001E7706">
      <w:pPr>
        <w:adjustRightInd w:val="0"/>
        <w:snapToGrid w:val="0"/>
        <w:spacing w:line="360" w:lineRule="auto"/>
        <w:rPr>
          <w:rFonts w:ascii="Book Antiqua" w:eastAsia="等线" w:hAnsi="Book Antiqua"/>
          <w:b/>
          <w:iCs/>
          <w:color w:val="000000"/>
          <w:sz w:val="24"/>
          <w:lang w:bidi="ar"/>
        </w:rPr>
      </w:pPr>
    </w:p>
    <w:p w:rsidR="007A0FAD" w:rsidRPr="00756DC7" w:rsidRDefault="00CF159F" w:rsidP="001E7706">
      <w:pPr>
        <w:adjustRightInd w:val="0"/>
        <w:snapToGrid w:val="0"/>
        <w:spacing w:line="360" w:lineRule="auto"/>
        <w:rPr>
          <w:rFonts w:ascii="Book Antiqua" w:hAnsi="Book Antiqua" w:cs="Arial"/>
          <w:b/>
          <w:bCs/>
          <w:color w:val="000000"/>
          <w:sz w:val="24"/>
        </w:rPr>
      </w:pPr>
      <w:r w:rsidRPr="00756DC7">
        <w:rPr>
          <w:rFonts w:ascii="Book Antiqua" w:hAnsi="Book Antiqua" w:cs="Arial"/>
          <w:b/>
          <w:bCs/>
          <w:color w:val="000000"/>
          <w:sz w:val="24"/>
        </w:rPr>
        <w:t>REFERENCES</w:t>
      </w:r>
    </w:p>
    <w:p w:rsidR="00341165" w:rsidRPr="00756DC7" w:rsidRDefault="00341165" w:rsidP="001E7706">
      <w:pPr>
        <w:adjustRightInd w:val="0"/>
        <w:snapToGrid w:val="0"/>
        <w:spacing w:line="360" w:lineRule="auto"/>
        <w:rPr>
          <w:rFonts w:ascii="Book Antiqua" w:hAnsi="Book Antiqua"/>
          <w:sz w:val="24"/>
        </w:rPr>
      </w:pPr>
      <w:proofErr w:type="gramStart"/>
      <w:r w:rsidRPr="00756DC7">
        <w:rPr>
          <w:rFonts w:ascii="Book Antiqua" w:hAnsi="Book Antiqua"/>
          <w:sz w:val="24"/>
        </w:rPr>
        <w:lastRenderedPageBreak/>
        <w:t xml:space="preserve">1 </w:t>
      </w:r>
      <w:r w:rsidRPr="00756DC7">
        <w:rPr>
          <w:rFonts w:ascii="Book Antiqua" w:hAnsi="Book Antiqua"/>
          <w:b/>
          <w:sz w:val="24"/>
        </w:rPr>
        <w:t>Chan JF</w:t>
      </w:r>
      <w:r w:rsidRPr="00756DC7">
        <w:rPr>
          <w:rFonts w:ascii="Book Antiqua" w:hAnsi="Book Antiqua"/>
          <w:sz w:val="24"/>
        </w:rPr>
        <w:t xml:space="preserve">, </w:t>
      </w:r>
      <w:proofErr w:type="spellStart"/>
      <w:r w:rsidRPr="00756DC7">
        <w:rPr>
          <w:rFonts w:ascii="Book Antiqua" w:hAnsi="Book Antiqua"/>
          <w:sz w:val="24"/>
        </w:rPr>
        <w:t>Kok</w:t>
      </w:r>
      <w:proofErr w:type="spellEnd"/>
      <w:r w:rsidRPr="00756DC7">
        <w:rPr>
          <w:rFonts w:ascii="Book Antiqua" w:hAnsi="Book Antiqua"/>
          <w:sz w:val="24"/>
        </w:rPr>
        <w:t xml:space="preserve"> KH, Zhu Z, Chu H, To KK, Yuan S, Yuen KY.</w:t>
      </w:r>
      <w:proofErr w:type="gramEnd"/>
      <w:r w:rsidRPr="00756DC7">
        <w:rPr>
          <w:rFonts w:ascii="Book Antiqua" w:hAnsi="Book Antiqua"/>
          <w:sz w:val="24"/>
        </w:rPr>
        <w:t xml:space="preserve"> Genomic characterization of the 2019 novel human-pathogenic coronavirus isolated from a patient with atypical pneumonia after visiting Wuhan. </w:t>
      </w:r>
      <w:proofErr w:type="spellStart"/>
      <w:r w:rsidRPr="00756DC7">
        <w:rPr>
          <w:rFonts w:ascii="Book Antiqua" w:hAnsi="Book Antiqua"/>
          <w:i/>
          <w:sz w:val="24"/>
        </w:rPr>
        <w:t>Emerg</w:t>
      </w:r>
      <w:proofErr w:type="spellEnd"/>
      <w:r w:rsidRPr="00756DC7">
        <w:rPr>
          <w:rFonts w:ascii="Book Antiqua" w:hAnsi="Book Antiqua"/>
          <w:i/>
          <w:sz w:val="24"/>
        </w:rPr>
        <w:t xml:space="preserve"> Microbes Infect</w:t>
      </w:r>
      <w:r w:rsidRPr="00756DC7">
        <w:rPr>
          <w:rFonts w:ascii="Book Antiqua" w:hAnsi="Book Antiqua"/>
          <w:sz w:val="24"/>
        </w:rPr>
        <w:t xml:space="preserve"> 2020; </w:t>
      </w:r>
      <w:r w:rsidRPr="00756DC7">
        <w:rPr>
          <w:rFonts w:ascii="Book Antiqua" w:hAnsi="Book Antiqua"/>
          <w:b/>
          <w:sz w:val="24"/>
        </w:rPr>
        <w:t>9</w:t>
      </w:r>
      <w:r w:rsidRPr="00756DC7">
        <w:rPr>
          <w:rFonts w:ascii="Book Antiqua" w:hAnsi="Book Antiqua"/>
          <w:sz w:val="24"/>
        </w:rPr>
        <w:t>: 221-236 [PMID: 31987001 DOI: 10.1080/22221751.2020.1719902]</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2 </w:t>
      </w:r>
      <w:r w:rsidRPr="00756DC7">
        <w:rPr>
          <w:rFonts w:ascii="Book Antiqua" w:hAnsi="Book Antiqua"/>
          <w:b/>
          <w:sz w:val="24"/>
        </w:rPr>
        <w:t>Zhou P</w:t>
      </w:r>
      <w:r w:rsidRPr="00756DC7">
        <w:rPr>
          <w:rFonts w:ascii="Book Antiqua" w:hAnsi="Book Antiqua"/>
          <w:sz w:val="24"/>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756DC7">
        <w:rPr>
          <w:rFonts w:ascii="Book Antiqua" w:hAnsi="Book Antiqua"/>
          <w:i/>
          <w:sz w:val="24"/>
        </w:rPr>
        <w:t>Nature</w:t>
      </w:r>
      <w:r w:rsidRPr="00756DC7">
        <w:rPr>
          <w:rFonts w:ascii="Book Antiqua" w:hAnsi="Book Antiqua"/>
          <w:sz w:val="24"/>
        </w:rPr>
        <w:t xml:space="preserve"> 2020; </w:t>
      </w:r>
      <w:r w:rsidRPr="00756DC7">
        <w:rPr>
          <w:rFonts w:ascii="Book Antiqua" w:hAnsi="Book Antiqua"/>
          <w:b/>
          <w:sz w:val="24"/>
        </w:rPr>
        <w:t>579</w:t>
      </w:r>
      <w:r w:rsidRPr="00756DC7">
        <w:rPr>
          <w:rFonts w:ascii="Book Antiqua" w:hAnsi="Book Antiqua"/>
          <w:sz w:val="24"/>
        </w:rPr>
        <w:t>: 270-273 [PMID: 32015507 DOI: 10.1038/s41586-020-2012-7]</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3 </w:t>
      </w:r>
      <w:r w:rsidRPr="00756DC7">
        <w:rPr>
          <w:rFonts w:ascii="Book Antiqua" w:hAnsi="Book Antiqua"/>
          <w:b/>
          <w:sz w:val="24"/>
        </w:rPr>
        <w:t>Chau TN</w:t>
      </w:r>
      <w:r w:rsidRPr="00756DC7">
        <w:rPr>
          <w:rFonts w:ascii="Book Antiqua" w:hAnsi="Book Antiqua"/>
          <w:sz w:val="24"/>
        </w:rPr>
        <w:t xml:space="preserve">, Lee KC, Yao H, Tsang TY, Chow TC, Yeung YC, Choi KW, Tso YK, Lau T, Lai ST, Lai CL. SARS-associated viral hepatitis caused by a novel coronavirus: report of three cases. </w:t>
      </w:r>
      <w:r w:rsidRPr="00756DC7">
        <w:rPr>
          <w:rFonts w:ascii="Book Antiqua" w:hAnsi="Book Antiqua"/>
          <w:i/>
          <w:sz w:val="24"/>
        </w:rPr>
        <w:t>Hepatology</w:t>
      </w:r>
      <w:r w:rsidRPr="00756DC7">
        <w:rPr>
          <w:rFonts w:ascii="Book Antiqua" w:hAnsi="Book Antiqua"/>
          <w:sz w:val="24"/>
        </w:rPr>
        <w:t xml:space="preserve"> 2004; </w:t>
      </w:r>
      <w:r w:rsidRPr="00756DC7">
        <w:rPr>
          <w:rFonts w:ascii="Book Antiqua" w:hAnsi="Book Antiqua"/>
          <w:b/>
          <w:sz w:val="24"/>
        </w:rPr>
        <w:t>39</w:t>
      </w:r>
      <w:r w:rsidRPr="00756DC7">
        <w:rPr>
          <w:rFonts w:ascii="Book Antiqua" w:hAnsi="Book Antiqua"/>
          <w:sz w:val="24"/>
        </w:rPr>
        <w:t>: 302-310 [PMID: 14767982 DOI: 10.1002/hep.20111]</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4 </w:t>
      </w:r>
      <w:r w:rsidRPr="00756DC7">
        <w:rPr>
          <w:rFonts w:ascii="Book Antiqua" w:hAnsi="Book Antiqua"/>
          <w:b/>
          <w:sz w:val="24"/>
        </w:rPr>
        <w:t>Chen N</w:t>
      </w:r>
      <w:r w:rsidRPr="00756DC7">
        <w:rPr>
          <w:rFonts w:ascii="Book Antiqua" w:hAnsi="Book Antiqua"/>
          <w:sz w:val="24"/>
        </w:rPr>
        <w:t xml:space="preserve">, Zhou M, Dong X, Qu J, Gong F, Han Y, </w:t>
      </w:r>
      <w:proofErr w:type="spellStart"/>
      <w:r w:rsidRPr="00756DC7">
        <w:rPr>
          <w:rFonts w:ascii="Book Antiqua" w:hAnsi="Book Antiqua"/>
          <w:sz w:val="24"/>
        </w:rPr>
        <w:t>Qiu</w:t>
      </w:r>
      <w:proofErr w:type="spellEnd"/>
      <w:r w:rsidRPr="00756DC7">
        <w:rPr>
          <w:rFonts w:ascii="Book Antiqua" w:hAnsi="Book Antiqua"/>
          <w:sz w:val="24"/>
        </w:rPr>
        <w:t xml:space="preserve"> Y, Wang J, Liu Y, Wei Y, Xia J, Yu T, Zhang X, Zhang L. Epidemiological and clinical characteristics of 99 cases of 2019 novel coronavirus pneumonia in Wuhan, China: a descriptive study. </w:t>
      </w:r>
      <w:r w:rsidRPr="00756DC7">
        <w:rPr>
          <w:rFonts w:ascii="Book Antiqua" w:hAnsi="Book Antiqua"/>
          <w:i/>
          <w:sz w:val="24"/>
        </w:rPr>
        <w:t>Lancet</w:t>
      </w:r>
      <w:r w:rsidRPr="00756DC7">
        <w:rPr>
          <w:rFonts w:ascii="Book Antiqua" w:hAnsi="Book Antiqua"/>
          <w:sz w:val="24"/>
        </w:rPr>
        <w:t xml:space="preserve"> 2020; </w:t>
      </w:r>
      <w:r w:rsidRPr="00756DC7">
        <w:rPr>
          <w:rFonts w:ascii="Book Antiqua" w:hAnsi="Book Antiqua"/>
          <w:b/>
          <w:sz w:val="24"/>
        </w:rPr>
        <w:t>395</w:t>
      </w:r>
      <w:r w:rsidRPr="00756DC7">
        <w:rPr>
          <w:rFonts w:ascii="Book Antiqua" w:hAnsi="Book Antiqua"/>
          <w:sz w:val="24"/>
        </w:rPr>
        <w:t>: 507-513 [PMID: 32007143 DOI: 10.1016/S0140-6736(20)30211-7]</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5 </w:t>
      </w:r>
      <w:r w:rsidRPr="00756DC7">
        <w:rPr>
          <w:rFonts w:ascii="Book Antiqua" w:hAnsi="Book Antiqua"/>
          <w:b/>
          <w:sz w:val="24"/>
        </w:rPr>
        <w:t>Wang Z</w:t>
      </w:r>
      <w:r w:rsidRPr="00756DC7">
        <w:rPr>
          <w:rFonts w:ascii="Book Antiqua" w:hAnsi="Book Antiqua"/>
          <w:sz w:val="24"/>
        </w:rPr>
        <w:t xml:space="preserve">, Yang B, Li Q, Wen L, Zhang R. Clinical Features of 69 Cases with Coronavirus Disease 2019 in Wuhan, China. </w:t>
      </w:r>
      <w:r w:rsidRPr="00756DC7">
        <w:rPr>
          <w:rFonts w:ascii="Book Antiqua" w:hAnsi="Book Antiqua"/>
          <w:i/>
          <w:sz w:val="24"/>
        </w:rPr>
        <w:t>Clin Infect Dis</w:t>
      </w:r>
      <w:r w:rsidRPr="00756DC7">
        <w:rPr>
          <w:rFonts w:ascii="Book Antiqua" w:hAnsi="Book Antiqua"/>
          <w:sz w:val="24"/>
        </w:rPr>
        <w:t xml:space="preserve"> 2020</w:t>
      </w:r>
      <w:r w:rsidR="00270BCE" w:rsidRPr="00756DC7">
        <w:rPr>
          <w:rFonts w:ascii="Book Antiqua" w:hAnsi="Book Antiqua"/>
          <w:sz w:val="24"/>
        </w:rPr>
        <w:t xml:space="preserve">: ciaa272 </w:t>
      </w:r>
      <w:r w:rsidRPr="00756DC7">
        <w:rPr>
          <w:rFonts w:ascii="Book Antiqua" w:hAnsi="Book Antiqua"/>
          <w:sz w:val="24"/>
        </w:rPr>
        <w:t>[PMID: 32176772 DOI: 10.1093/</w:t>
      </w:r>
      <w:proofErr w:type="spellStart"/>
      <w:r w:rsidRPr="00756DC7">
        <w:rPr>
          <w:rFonts w:ascii="Book Antiqua" w:hAnsi="Book Antiqua"/>
          <w:sz w:val="24"/>
        </w:rPr>
        <w:t>cid</w:t>
      </w:r>
      <w:proofErr w:type="spellEnd"/>
      <w:r w:rsidRPr="00756DC7">
        <w:rPr>
          <w:rFonts w:ascii="Book Antiqua" w:hAnsi="Book Antiqua"/>
          <w:sz w:val="24"/>
        </w:rPr>
        <w:t>/ciaa272]</w:t>
      </w:r>
    </w:p>
    <w:p w:rsidR="00341165" w:rsidRPr="00756DC7" w:rsidRDefault="00341165" w:rsidP="001E7706">
      <w:pPr>
        <w:adjustRightInd w:val="0"/>
        <w:snapToGrid w:val="0"/>
        <w:spacing w:line="360" w:lineRule="auto"/>
        <w:rPr>
          <w:rFonts w:ascii="Book Antiqua" w:hAnsi="Book Antiqua"/>
          <w:color w:val="000000"/>
          <w:sz w:val="24"/>
        </w:rPr>
      </w:pPr>
      <w:r w:rsidRPr="00756DC7">
        <w:rPr>
          <w:rFonts w:ascii="Book Antiqua" w:hAnsi="Book Antiqua"/>
          <w:color w:val="000000"/>
          <w:sz w:val="24"/>
        </w:rPr>
        <w:t xml:space="preserve">6 </w:t>
      </w:r>
      <w:r w:rsidRPr="00756DC7">
        <w:rPr>
          <w:rFonts w:ascii="Book Antiqua" w:hAnsi="Book Antiqua"/>
          <w:b/>
          <w:color w:val="000000"/>
          <w:sz w:val="24"/>
        </w:rPr>
        <w:t>Cai Q</w:t>
      </w:r>
      <w:r w:rsidRPr="00756DC7">
        <w:rPr>
          <w:rFonts w:ascii="Book Antiqua" w:hAnsi="Book Antiqua"/>
          <w:color w:val="000000"/>
          <w:sz w:val="24"/>
        </w:rPr>
        <w:t xml:space="preserve">, Huang D, </w:t>
      </w:r>
      <w:proofErr w:type="spellStart"/>
      <w:r w:rsidRPr="00756DC7">
        <w:rPr>
          <w:rFonts w:ascii="Book Antiqua" w:hAnsi="Book Antiqua"/>
          <w:color w:val="000000"/>
          <w:sz w:val="24"/>
        </w:rPr>
        <w:t>Ou</w:t>
      </w:r>
      <w:proofErr w:type="spellEnd"/>
      <w:r w:rsidRPr="00756DC7">
        <w:rPr>
          <w:rFonts w:ascii="Book Antiqua" w:hAnsi="Book Antiqua"/>
          <w:color w:val="000000"/>
          <w:sz w:val="24"/>
        </w:rPr>
        <w:t xml:space="preserve"> P, Yu H, Zhu Z, Xia Z, Su Y, Ma Z, Zhang Y, Li Z, He Q, Liu L, Fu Y, Chen J. COVID-19 in a designated infectious diseases hospital outside Hubei Province, China. </w:t>
      </w:r>
      <w:r w:rsidRPr="00756DC7">
        <w:rPr>
          <w:rFonts w:ascii="Book Antiqua" w:hAnsi="Book Antiqua"/>
          <w:i/>
          <w:color w:val="000000"/>
          <w:sz w:val="24"/>
        </w:rPr>
        <w:t>Allergy</w:t>
      </w:r>
      <w:r w:rsidRPr="00756DC7">
        <w:rPr>
          <w:rFonts w:ascii="Book Antiqua" w:hAnsi="Book Antiqua"/>
          <w:color w:val="000000"/>
          <w:sz w:val="24"/>
        </w:rPr>
        <w:t xml:space="preserve"> 2020</w:t>
      </w:r>
      <w:r w:rsidR="004936CE" w:rsidRPr="00756DC7">
        <w:rPr>
          <w:rStyle w:val="a3"/>
          <w:rFonts w:ascii="Book Antiqua" w:hAnsi="Book Antiqua"/>
          <w:color w:val="000000"/>
          <w:sz w:val="24"/>
          <w:u w:val="none"/>
        </w:rPr>
        <w:t xml:space="preserve">; </w:t>
      </w:r>
      <w:r w:rsidR="004936CE" w:rsidRPr="00756DC7">
        <w:rPr>
          <w:rStyle w:val="vol"/>
          <w:rFonts w:ascii="Book Antiqua" w:hAnsi="Book Antiqua"/>
          <w:b/>
          <w:color w:val="000000"/>
          <w:sz w:val="24"/>
        </w:rPr>
        <w:t>00</w:t>
      </w:r>
      <w:r w:rsidR="004936CE" w:rsidRPr="00756DC7">
        <w:rPr>
          <w:rFonts w:ascii="Book Antiqua" w:hAnsi="Book Antiqua"/>
          <w:color w:val="000000"/>
          <w:sz w:val="24"/>
        </w:rPr>
        <w:t xml:space="preserve">: </w:t>
      </w:r>
      <w:r w:rsidR="004936CE" w:rsidRPr="00756DC7">
        <w:rPr>
          <w:rStyle w:val="pagefirst"/>
          <w:rFonts w:ascii="Book Antiqua" w:hAnsi="Book Antiqua"/>
          <w:color w:val="000000"/>
          <w:sz w:val="24"/>
        </w:rPr>
        <w:t>1</w:t>
      </w:r>
      <w:r w:rsidR="004936CE" w:rsidRPr="00756DC7">
        <w:rPr>
          <w:rFonts w:ascii="Book Antiqua" w:hAnsi="Book Antiqua"/>
          <w:color w:val="000000"/>
          <w:sz w:val="24"/>
        </w:rPr>
        <w:t>-</w:t>
      </w:r>
      <w:r w:rsidR="004936CE" w:rsidRPr="00756DC7">
        <w:rPr>
          <w:rStyle w:val="pagelast"/>
          <w:rFonts w:ascii="Book Antiqua" w:hAnsi="Book Antiqua"/>
          <w:color w:val="000000"/>
          <w:sz w:val="24"/>
        </w:rPr>
        <w:t>11</w:t>
      </w:r>
      <w:r w:rsidRPr="00756DC7">
        <w:rPr>
          <w:rFonts w:ascii="Book Antiqua" w:hAnsi="Book Antiqua"/>
          <w:color w:val="000000"/>
          <w:sz w:val="24"/>
        </w:rPr>
        <w:t xml:space="preserve"> [PMID: 32239761 DOI: 10.1111/all.14309]</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7 </w:t>
      </w:r>
      <w:r w:rsidRPr="00756DC7">
        <w:rPr>
          <w:rFonts w:ascii="Book Antiqua" w:hAnsi="Book Antiqua"/>
          <w:b/>
          <w:sz w:val="24"/>
        </w:rPr>
        <w:t>Zhang B,</w:t>
      </w:r>
      <w:r w:rsidR="004936CE" w:rsidRPr="00756DC7">
        <w:rPr>
          <w:rFonts w:ascii="Book Antiqua" w:hAnsi="Book Antiqua"/>
          <w:sz w:val="24"/>
        </w:rPr>
        <w:t xml:space="preserve"> </w:t>
      </w:r>
      <w:r w:rsidRPr="00756DC7">
        <w:rPr>
          <w:rFonts w:ascii="Book Antiqua" w:hAnsi="Book Antiqua"/>
          <w:sz w:val="24"/>
        </w:rPr>
        <w:t xml:space="preserve">Zhou X, </w:t>
      </w:r>
      <w:proofErr w:type="spellStart"/>
      <w:r w:rsidRPr="00756DC7">
        <w:rPr>
          <w:rFonts w:ascii="Book Antiqua" w:hAnsi="Book Antiqua"/>
          <w:sz w:val="24"/>
        </w:rPr>
        <w:t>Qiu</w:t>
      </w:r>
      <w:proofErr w:type="spellEnd"/>
      <w:r w:rsidRPr="00756DC7">
        <w:rPr>
          <w:rFonts w:ascii="Book Antiqua" w:hAnsi="Book Antiqua"/>
          <w:sz w:val="24"/>
        </w:rPr>
        <w:t xml:space="preserve"> Y</w:t>
      </w:r>
      <w:r w:rsidR="00543CFD" w:rsidRPr="00756DC7">
        <w:rPr>
          <w:rFonts w:ascii="Book Antiqua" w:hAnsi="Book Antiqua"/>
          <w:sz w:val="24"/>
        </w:rPr>
        <w:t>, Feng F, Feng J, Jia Y, Zhu H, Hu K, Liu J, Liu Z, Wang S, Gong Y, Zhou C, Zhu T, Cheng Y, Liu Z, Deng H, Tao F, Ren Y, Cheng B, Gao L, Wu X, Yu L, Huang Z, Mao Z, Song Q, Zhu B, Wang J</w:t>
      </w:r>
      <w:r w:rsidRPr="00756DC7">
        <w:rPr>
          <w:rFonts w:ascii="Book Antiqua" w:hAnsi="Book Antiqua"/>
          <w:sz w:val="24"/>
        </w:rPr>
        <w:t xml:space="preserve">. Clinical characteristics of 82 death cases with COVID-19. </w:t>
      </w:r>
      <w:r w:rsidR="00E074E5" w:rsidRPr="00756DC7">
        <w:rPr>
          <w:rFonts w:ascii="Book Antiqua" w:hAnsi="Book Antiqua" w:cs="Segoe UI"/>
          <w:color w:val="000000"/>
          <w:sz w:val="24"/>
        </w:rPr>
        <w:t xml:space="preserve">2020 Preprint. Available from: </w:t>
      </w:r>
      <w:r w:rsidR="00543CFD" w:rsidRPr="00756DC7">
        <w:rPr>
          <w:rFonts w:ascii="Book Antiqua" w:hAnsi="Book Antiqua"/>
          <w:sz w:val="24"/>
        </w:rPr>
        <w:t>m</w:t>
      </w:r>
      <w:r w:rsidRPr="00756DC7">
        <w:rPr>
          <w:rFonts w:ascii="Book Antiqua" w:hAnsi="Book Antiqua"/>
          <w:sz w:val="24"/>
        </w:rPr>
        <w:t>edRxiv</w:t>
      </w:r>
      <w:proofErr w:type="gramStart"/>
      <w:r w:rsidR="00E074E5" w:rsidRPr="00756DC7">
        <w:rPr>
          <w:rFonts w:ascii="Book Antiqua" w:hAnsi="Book Antiqua"/>
          <w:sz w:val="24"/>
        </w:rPr>
        <w:t>:</w:t>
      </w:r>
      <w:r w:rsidR="00E74D9C" w:rsidRPr="00756DC7">
        <w:rPr>
          <w:rFonts w:ascii="Book Antiqua" w:hAnsi="Book Antiqua"/>
          <w:sz w:val="24"/>
        </w:rPr>
        <w:t>2020.02.26.20028191</w:t>
      </w:r>
      <w:proofErr w:type="gramEnd"/>
      <w:r w:rsidRPr="00756DC7">
        <w:rPr>
          <w:rFonts w:ascii="Book Antiqua" w:hAnsi="Book Antiqua"/>
          <w:sz w:val="24"/>
        </w:rPr>
        <w:t xml:space="preserve"> [DOI: </w:t>
      </w:r>
      <w:r w:rsidRPr="00756DC7">
        <w:rPr>
          <w:rFonts w:ascii="Book Antiqua" w:hAnsi="Book Antiqua"/>
          <w:sz w:val="24"/>
        </w:rPr>
        <w:lastRenderedPageBreak/>
        <w:t>10.1101/2020.02.26.20028191]</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8 </w:t>
      </w:r>
      <w:r w:rsidRPr="00756DC7">
        <w:rPr>
          <w:rFonts w:ascii="Book Antiqua" w:hAnsi="Book Antiqua"/>
          <w:b/>
          <w:sz w:val="24"/>
        </w:rPr>
        <w:t>Guan GW</w:t>
      </w:r>
      <w:r w:rsidRPr="00756DC7">
        <w:rPr>
          <w:rFonts w:ascii="Book Antiqua" w:hAnsi="Book Antiqua"/>
          <w:sz w:val="24"/>
        </w:rPr>
        <w:t xml:space="preserve">, Gao L, Wang JW, Wen XJ, Mao TH, Peng SW, Zhang T, Chen XM, Lu FM. [Exploring the mechanism of liver enzyme abnormalities in patients with novel coronavirus-infected pneumonia]. </w:t>
      </w:r>
      <w:proofErr w:type="spellStart"/>
      <w:r w:rsidRPr="00756DC7">
        <w:rPr>
          <w:rFonts w:ascii="Book Antiqua" w:hAnsi="Book Antiqua"/>
          <w:i/>
          <w:sz w:val="24"/>
        </w:rPr>
        <w:t>Zhonghua</w:t>
      </w:r>
      <w:proofErr w:type="spellEnd"/>
      <w:r w:rsidRPr="00756DC7">
        <w:rPr>
          <w:rFonts w:ascii="Book Antiqua" w:hAnsi="Book Antiqua"/>
          <w:i/>
          <w:sz w:val="24"/>
        </w:rPr>
        <w:t xml:space="preserve"> Gan Zang Bing Za </w:t>
      </w:r>
      <w:proofErr w:type="spellStart"/>
      <w:r w:rsidRPr="00756DC7">
        <w:rPr>
          <w:rFonts w:ascii="Book Antiqua" w:hAnsi="Book Antiqua"/>
          <w:i/>
          <w:sz w:val="24"/>
        </w:rPr>
        <w:t>Zhi</w:t>
      </w:r>
      <w:proofErr w:type="spellEnd"/>
      <w:r w:rsidRPr="00756DC7">
        <w:rPr>
          <w:rFonts w:ascii="Book Antiqua" w:hAnsi="Book Antiqua"/>
          <w:sz w:val="24"/>
        </w:rPr>
        <w:t xml:space="preserve"> 2020; </w:t>
      </w:r>
      <w:r w:rsidRPr="00756DC7">
        <w:rPr>
          <w:rFonts w:ascii="Book Antiqua" w:hAnsi="Book Antiqua"/>
          <w:b/>
          <w:sz w:val="24"/>
        </w:rPr>
        <w:t>28</w:t>
      </w:r>
      <w:r w:rsidRPr="00756DC7">
        <w:rPr>
          <w:rFonts w:ascii="Book Antiqua" w:hAnsi="Book Antiqua"/>
          <w:sz w:val="24"/>
        </w:rPr>
        <w:t>: E002 [PMID: 32077659 DOI: 10.3760/cma.j.issn.1007-3418.2020.02.002]</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9 </w:t>
      </w:r>
      <w:r w:rsidRPr="00756DC7">
        <w:rPr>
          <w:rFonts w:ascii="Book Antiqua" w:hAnsi="Book Antiqua"/>
          <w:b/>
          <w:sz w:val="24"/>
        </w:rPr>
        <w:t>Greenough TC</w:t>
      </w:r>
      <w:r w:rsidRPr="00756DC7">
        <w:rPr>
          <w:rFonts w:ascii="Book Antiqua" w:hAnsi="Book Antiqua"/>
          <w:sz w:val="24"/>
        </w:rPr>
        <w:t xml:space="preserve">, Carville A, Coderre J, </w:t>
      </w:r>
      <w:proofErr w:type="spellStart"/>
      <w:r w:rsidRPr="00756DC7">
        <w:rPr>
          <w:rFonts w:ascii="Book Antiqua" w:hAnsi="Book Antiqua"/>
          <w:sz w:val="24"/>
        </w:rPr>
        <w:t>Somasundaran</w:t>
      </w:r>
      <w:proofErr w:type="spellEnd"/>
      <w:r w:rsidRPr="00756DC7">
        <w:rPr>
          <w:rFonts w:ascii="Book Antiqua" w:hAnsi="Book Antiqua"/>
          <w:sz w:val="24"/>
        </w:rPr>
        <w:t xml:space="preserve"> M, Sullivan JL, </w:t>
      </w:r>
      <w:proofErr w:type="spellStart"/>
      <w:r w:rsidRPr="00756DC7">
        <w:rPr>
          <w:rFonts w:ascii="Book Antiqua" w:hAnsi="Book Antiqua"/>
          <w:sz w:val="24"/>
        </w:rPr>
        <w:t>Luzuriaga</w:t>
      </w:r>
      <w:proofErr w:type="spellEnd"/>
      <w:r w:rsidRPr="00756DC7">
        <w:rPr>
          <w:rFonts w:ascii="Book Antiqua" w:hAnsi="Book Antiqua"/>
          <w:sz w:val="24"/>
        </w:rPr>
        <w:t xml:space="preserve"> K, Mansfield K. Pneumonitis and multi-organ system disease in common marmosets (Callithrix jacchus) infected with the severe acute respiratory syndrome-associated coronavirus. </w:t>
      </w:r>
      <w:r w:rsidRPr="00756DC7">
        <w:rPr>
          <w:rFonts w:ascii="Book Antiqua" w:hAnsi="Book Antiqua"/>
          <w:i/>
          <w:sz w:val="24"/>
        </w:rPr>
        <w:t xml:space="preserve">Am J </w:t>
      </w:r>
      <w:proofErr w:type="spellStart"/>
      <w:r w:rsidRPr="00756DC7">
        <w:rPr>
          <w:rFonts w:ascii="Book Antiqua" w:hAnsi="Book Antiqua"/>
          <w:i/>
          <w:sz w:val="24"/>
        </w:rPr>
        <w:t>Pathol</w:t>
      </w:r>
      <w:proofErr w:type="spellEnd"/>
      <w:r w:rsidRPr="00756DC7">
        <w:rPr>
          <w:rFonts w:ascii="Book Antiqua" w:hAnsi="Book Antiqua"/>
          <w:sz w:val="24"/>
        </w:rPr>
        <w:t xml:space="preserve"> 2005; </w:t>
      </w:r>
      <w:r w:rsidRPr="00756DC7">
        <w:rPr>
          <w:rFonts w:ascii="Book Antiqua" w:hAnsi="Book Antiqua"/>
          <w:b/>
          <w:sz w:val="24"/>
        </w:rPr>
        <w:t>167</w:t>
      </w:r>
      <w:r w:rsidRPr="00756DC7">
        <w:rPr>
          <w:rFonts w:ascii="Book Antiqua" w:hAnsi="Book Antiqua"/>
          <w:sz w:val="24"/>
        </w:rPr>
        <w:t>: 455-463 [PMID: 16049331 DOI: 10.1016/S0002-9440(10)62989-6]</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10 </w:t>
      </w:r>
      <w:r w:rsidRPr="00756DC7">
        <w:rPr>
          <w:rFonts w:ascii="Book Antiqua" w:hAnsi="Book Antiqua"/>
          <w:b/>
          <w:sz w:val="24"/>
        </w:rPr>
        <w:t>Guo Y</w:t>
      </w:r>
      <w:r w:rsidRPr="00756DC7">
        <w:rPr>
          <w:rFonts w:ascii="Book Antiqua" w:hAnsi="Book Antiqua"/>
          <w:sz w:val="24"/>
        </w:rPr>
        <w:t xml:space="preserve">, </w:t>
      </w:r>
      <w:proofErr w:type="spellStart"/>
      <w:r w:rsidRPr="00756DC7">
        <w:rPr>
          <w:rFonts w:ascii="Book Antiqua" w:hAnsi="Book Antiqua"/>
          <w:sz w:val="24"/>
        </w:rPr>
        <w:t>Korteweg</w:t>
      </w:r>
      <w:proofErr w:type="spellEnd"/>
      <w:r w:rsidRPr="00756DC7">
        <w:rPr>
          <w:rFonts w:ascii="Book Antiqua" w:hAnsi="Book Antiqua"/>
          <w:sz w:val="24"/>
        </w:rPr>
        <w:t xml:space="preserve"> C, McNutt MA, Gu J. Pathogenetic mechanisms of severe acute respiratory syndrome. </w:t>
      </w:r>
      <w:r w:rsidRPr="00756DC7">
        <w:rPr>
          <w:rFonts w:ascii="Book Antiqua" w:hAnsi="Book Antiqua"/>
          <w:i/>
          <w:sz w:val="24"/>
        </w:rPr>
        <w:t>Virus Res</w:t>
      </w:r>
      <w:r w:rsidRPr="00756DC7">
        <w:rPr>
          <w:rFonts w:ascii="Book Antiqua" w:hAnsi="Book Antiqua"/>
          <w:sz w:val="24"/>
        </w:rPr>
        <w:t xml:space="preserve"> 2008; </w:t>
      </w:r>
      <w:r w:rsidRPr="00756DC7">
        <w:rPr>
          <w:rFonts w:ascii="Book Antiqua" w:hAnsi="Book Antiqua"/>
          <w:b/>
          <w:sz w:val="24"/>
        </w:rPr>
        <w:t>133</w:t>
      </w:r>
      <w:r w:rsidRPr="00756DC7">
        <w:rPr>
          <w:rFonts w:ascii="Book Antiqua" w:hAnsi="Book Antiqua"/>
          <w:sz w:val="24"/>
        </w:rPr>
        <w:t>: 4-12 [PMID: 17825937 DOI: 10.1016/j.virusres.2007.01.022]</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11 </w:t>
      </w:r>
      <w:r w:rsidRPr="00756DC7">
        <w:rPr>
          <w:rFonts w:ascii="Book Antiqua" w:hAnsi="Book Antiqua"/>
          <w:b/>
          <w:sz w:val="24"/>
        </w:rPr>
        <w:t>Xu L</w:t>
      </w:r>
      <w:r w:rsidRPr="00756DC7">
        <w:rPr>
          <w:rFonts w:ascii="Book Antiqua" w:hAnsi="Book Antiqua"/>
          <w:sz w:val="24"/>
        </w:rPr>
        <w:t xml:space="preserve">, Liu J, Lu M, Yang D, Zheng X. Liver injury during highly pathogenic human coronavirus infections. </w:t>
      </w:r>
      <w:r w:rsidRPr="00756DC7">
        <w:rPr>
          <w:rFonts w:ascii="Book Antiqua" w:hAnsi="Book Antiqua"/>
          <w:i/>
          <w:sz w:val="24"/>
        </w:rPr>
        <w:t>Liver Int</w:t>
      </w:r>
      <w:r w:rsidRPr="00756DC7">
        <w:rPr>
          <w:rFonts w:ascii="Book Antiqua" w:hAnsi="Book Antiqua"/>
          <w:sz w:val="24"/>
        </w:rPr>
        <w:t xml:space="preserve"> 2020; </w:t>
      </w:r>
      <w:r w:rsidRPr="00756DC7">
        <w:rPr>
          <w:rFonts w:ascii="Book Antiqua" w:hAnsi="Book Antiqua"/>
          <w:b/>
          <w:sz w:val="24"/>
        </w:rPr>
        <w:t>40</w:t>
      </w:r>
      <w:r w:rsidRPr="00756DC7">
        <w:rPr>
          <w:rFonts w:ascii="Book Antiqua" w:hAnsi="Book Antiqua"/>
          <w:sz w:val="24"/>
        </w:rPr>
        <w:t>: 998-1004 [PMID: 32170806 DOI: 10.1111/liv.14435]</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12 </w:t>
      </w:r>
      <w:r w:rsidRPr="00756DC7">
        <w:rPr>
          <w:rFonts w:ascii="Book Antiqua" w:hAnsi="Book Antiqua"/>
          <w:b/>
          <w:sz w:val="24"/>
        </w:rPr>
        <w:t>Yeo C</w:t>
      </w:r>
      <w:r w:rsidRPr="00756DC7">
        <w:rPr>
          <w:rFonts w:ascii="Book Antiqua" w:hAnsi="Book Antiqua"/>
          <w:sz w:val="24"/>
        </w:rPr>
        <w:t xml:space="preserve">, Kaushal S, Yeo D. Enteric involvement of coronaviruses: is </w:t>
      </w:r>
      <w:proofErr w:type="spellStart"/>
      <w:r w:rsidRPr="00756DC7">
        <w:rPr>
          <w:rFonts w:ascii="Book Antiqua" w:hAnsi="Book Antiqua"/>
          <w:sz w:val="24"/>
        </w:rPr>
        <w:t>faecal</w:t>
      </w:r>
      <w:proofErr w:type="spellEnd"/>
      <w:r w:rsidRPr="00756DC7">
        <w:rPr>
          <w:rFonts w:ascii="Book Antiqua" w:hAnsi="Book Antiqua"/>
          <w:sz w:val="24"/>
        </w:rPr>
        <w:t xml:space="preserve">-oral transmission of SARS-CoV-2 possible? </w:t>
      </w:r>
      <w:r w:rsidRPr="00756DC7">
        <w:rPr>
          <w:rFonts w:ascii="Book Antiqua" w:hAnsi="Book Antiqua"/>
          <w:i/>
          <w:sz w:val="24"/>
        </w:rPr>
        <w:t>Lancet Gastroenterol Hepatol</w:t>
      </w:r>
      <w:r w:rsidRPr="00756DC7">
        <w:rPr>
          <w:rFonts w:ascii="Book Antiqua" w:hAnsi="Book Antiqua"/>
          <w:sz w:val="24"/>
        </w:rPr>
        <w:t xml:space="preserve"> 2020; </w:t>
      </w:r>
      <w:r w:rsidRPr="00756DC7">
        <w:rPr>
          <w:rFonts w:ascii="Book Antiqua" w:hAnsi="Book Antiqua"/>
          <w:b/>
          <w:sz w:val="24"/>
        </w:rPr>
        <w:t>5</w:t>
      </w:r>
      <w:r w:rsidRPr="00756DC7">
        <w:rPr>
          <w:rFonts w:ascii="Book Antiqua" w:hAnsi="Book Antiqua"/>
          <w:sz w:val="24"/>
        </w:rPr>
        <w:t>: 335-337 [PMID: 32087098 DOI: 10.1016/S2468-1253(20)30048-0]</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13 </w:t>
      </w:r>
      <w:r w:rsidRPr="00756DC7">
        <w:rPr>
          <w:rFonts w:ascii="Book Antiqua" w:hAnsi="Book Antiqua"/>
          <w:b/>
          <w:sz w:val="24"/>
        </w:rPr>
        <w:t>Tan YJ</w:t>
      </w:r>
      <w:r w:rsidRPr="00756DC7">
        <w:rPr>
          <w:rFonts w:ascii="Book Antiqua" w:hAnsi="Book Antiqua"/>
          <w:sz w:val="24"/>
        </w:rPr>
        <w:t xml:space="preserve">, Fielding BC, Goh PY, Shen S, Tan TH, Lim SG, Hong W. Overexpression of 7a, a protein specifically encoded by the severe acute respiratory syndrome coronavirus, induces apoptosis via a caspase-dependent pathway. </w:t>
      </w:r>
      <w:r w:rsidRPr="00756DC7">
        <w:rPr>
          <w:rFonts w:ascii="Book Antiqua" w:hAnsi="Book Antiqua"/>
          <w:i/>
          <w:sz w:val="24"/>
        </w:rPr>
        <w:t xml:space="preserve">J </w:t>
      </w:r>
      <w:proofErr w:type="spellStart"/>
      <w:r w:rsidRPr="00756DC7">
        <w:rPr>
          <w:rFonts w:ascii="Book Antiqua" w:hAnsi="Book Antiqua"/>
          <w:i/>
          <w:sz w:val="24"/>
        </w:rPr>
        <w:t>Virol</w:t>
      </w:r>
      <w:proofErr w:type="spellEnd"/>
      <w:r w:rsidRPr="00756DC7">
        <w:rPr>
          <w:rFonts w:ascii="Book Antiqua" w:hAnsi="Book Antiqua"/>
          <w:sz w:val="24"/>
        </w:rPr>
        <w:t xml:space="preserve"> 2004; </w:t>
      </w:r>
      <w:r w:rsidRPr="00756DC7">
        <w:rPr>
          <w:rFonts w:ascii="Book Antiqua" w:hAnsi="Book Antiqua"/>
          <w:b/>
          <w:sz w:val="24"/>
        </w:rPr>
        <w:t>78</w:t>
      </w:r>
      <w:r w:rsidRPr="00756DC7">
        <w:rPr>
          <w:rFonts w:ascii="Book Antiqua" w:hAnsi="Book Antiqua"/>
          <w:sz w:val="24"/>
        </w:rPr>
        <w:t>: 14043-14047 [PMID: 15564512 DOI: 10.1128/JVI.78.24.14043-14047.2004]</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14 </w:t>
      </w:r>
      <w:r w:rsidRPr="00756DC7">
        <w:rPr>
          <w:rFonts w:ascii="Book Antiqua" w:hAnsi="Book Antiqua"/>
          <w:b/>
          <w:sz w:val="24"/>
        </w:rPr>
        <w:t>Wang D</w:t>
      </w:r>
      <w:r w:rsidRPr="00756DC7">
        <w:rPr>
          <w:rFonts w:ascii="Book Antiqua" w:hAnsi="Book Antiqua"/>
          <w:sz w:val="24"/>
        </w:rPr>
        <w:t xml:space="preserve">, Hu B, Hu C, Zhu F, Liu X, Zhang J, Wang B, Xiang H, Cheng Z, </w:t>
      </w:r>
      <w:proofErr w:type="spellStart"/>
      <w:r w:rsidRPr="00756DC7">
        <w:rPr>
          <w:rFonts w:ascii="Book Antiqua" w:hAnsi="Book Antiqua"/>
          <w:sz w:val="24"/>
        </w:rPr>
        <w:t>Xiong</w:t>
      </w:r>
      <w:proofErr w:type="spellEnd"/>
      <w:r w:rsidRPr="00756DC7">
        <w:rPr>
          <w:rFonts w:ascii="Book Antiqua" w:hAnsi="Book Antiqua"/>
          <w:sz w:val="24"/>
        </w:rPr>
        <w:t xml:space="preserve"> Y, Zhao Y, Li Y, Wang X, Peng Z. Clinical Characteristics of 138 Hospitalized Patients With 2019 Novel Coronavirus-Infected Pneumonia in Wuhan, China. </w:t>
      </w:r>
      <w:r w:rsidRPr="00756DC7">
        <w:rPr>
          <w:rFonts w:ascii="Book Antiqua" w:hAnsi="Book Antiqua"/>
          <w:i/>
          <w:sz w:val="24"/>
        </w:rPr>
        <w:t>JAMA</w:t>
      </w:r>
      <w:r w:rsidRPr="00756DC7">
        <w:rPr>
          <w:rFonts w:ascii="Book Antiqua" w:hAnsi="Book Antiqua"/>
          <w:sz w:val="24"/>
        </w:rPr>
        <w:t xml:space="preserve"> 2020; </w:t>
      </w:r>
      <w:r w:rsidR="009F5329" w:rsidRPr="00756DC7">
        <w:rPr>
          <w:rFonts w:ascii="Book Antiqua" w:hAnsi="Book Antiqua"/>
          <w:b/>
          <w:sz w:val="24"/>
        </w:rPr>
        <w:t>323</w:t>
      </w:r>
      <w:r w:rsidRPr="00756DC7">
        <w:rPr>
          <w:rFonts w:ascii="Book Antiqua" w:hAnsi="Book Antiqua"/>
          <w:sz w:val="24"/>
        </w:rPr>
        <w:t xml:space="preserve">: </w:t>
      </w:r>
      <w:r w:rsidR="009F5329" w:rsidRPr="00756DC7">
        <w:rPr>
          <w:rFonts w:ascii="Book Antiqua" w:hAnsi="Book Antiqua"/>
          <w:sz w:val="24"/>
        </w:rPr>
        <w:t>1061-1069</w:t>
      </w:r>
      <w:r w:rsidRPr="00756DC7">
        <w:rPr>
          <w:rFonts w:ascii="Book Antiqua" w:hAnsi="Book Antiqua"/>
          <w:sz w:val="24"/>
        </w:rPr>
        <w:t xml:space="preserve"> [PMID: 32031570 DOI: 10.1001/jama.2020.1585]</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15 </w:t>
      </w:r>
      <w:r w:rsidRPr="00756DC7">
        <w:rPr>
          <w:rFonts w:ascii="Book Antiqua" w:hAnsi="Book Antiqua"/>
          <w:b/>
          <w:sz w:val="24"/>
        </w:rPr>
        <w:t>Chai X,</w:t>
      </w:r>
      <w:r w:rsidR="00CA4D79" w:rsidRPr="00756DC7">
        <w:rPr>
          <w:rFonts w:ascii="Book Antiqua" w:hAnsi="Book Antiqua"/>
          <w:sz w:val="24"/>
        </w:rPr>
        <w:t xml:space="preserve"> </w:t>
      </w:r>
      <w:r w:rsidRPr="00756DC7">
        <w:rPr>
          <w:rFonts w:ascii="Book Antiqua" w:hAnsi="Book Antiqua"/>
          <w:sz w:val="24"/>
        </w:rPr>
        <w:t xml:space="preserve">Hu L, Zhang Y, Han W, Lu Z, </w:t>
      </w:r>
      <w:proofErr w:type="spellStart"/>
      <w:r w:rsidRPr="00756DC7">
        <w:rPr>
          <w:rFonts w:ascii="Book Antiqua" w:hAnsi="Book Antiqua"/>
          <w:sz w:val="24"/>
        </w:rPr>
        <w:t>Ke</w:t>
      </w:r>
      <w:proofErr w:type="spellEnd"/>
      <w:r w:rsidRPr="00756DC7">
        <w:rPr>
          <w:rFonts w:ascii="Book Antiqua" w:hAnsi="Book Antiqua"/>
          <w:sz w:val="24"/>
        </w:rPr>
        <w:t xml:space="preserve"> A, Zhou J, Shi G, Fang N, Fan J, </w:t>
      </w:r>
      <w:r w:rsidRPr="00756DC7">
        <w:rPr>
          <w:rFonts w:ascii="Book Antiqua" w:hAnsi="Book Antiqua"/>
          <w:sz w:val="24"/>
        </w:rPr>
        <w:lastRenderedPageBreak/>
        <w:t xml:space="preserve">Cai J, Fan J, </w:t>
      </w:r>
      <w:proofErr w:type="gramStart"/>
      <w:r w:rsidRPr="00756DC7">
        <w:rPr>
          <w:rFonts w:ascii="Book Antiqua" w:hAnsi="Book Antiqua"/>
          <w:sz w:val="24"/>
        </w:rPr>
        <w:t>Lan</w:t>
      </w:r>
      <w:proofErr w:type="gramEnd"/>
      <w:r w:rsidRPr="00756DC7">
        <w:rPr>
          <w:rFonts w:ascii="Book Antiqua" w:hAnsi="Book Antiqua"/>
          <w:sz w:val="24"/>
        </w:rPr>
        <w:t xml:space="preserve"> F</w:t>
      </w:r>
      <w:r w:rsidR="00CA4D79" w:rsidRPr="00756DC7">
        <w:rPr>
          <w:rFonts w:ascii="Book Antiqua" w:hAnsi="Book Antiqua"/>
          <w:sz w:val="24"/>
        </w:rPr>
        <w:t>.</w:t>
      </w:r>
      <w:r w:rsidRPr="00756DC7">
        <w:rPr>
          <w:rFonts w:ascii="Book Antiqua" w:hAnsi="Book Antiqua"/>
          <w:sz w:val="24"/>
        </w:rPr>
        <w:t xml:space="preserve"> </w:t>
      </w:r>
      <w:r w:rsidR="008C5E6F" w:rsidRPr="00756DC7">
        <w:rPr>
          <w:rFonts w:ascii="Book Antiqua" w:hAnsi="Book Antiqua"/>
          <w:sz w:val="24"/>
        </w:rPr>
        <w:t xml:space="preserve">Specific ACE2 Expression in </w:t>
      </w:r>
      <w:proofErr w:type="spellStart"/>
      <w:r w:rsidR="008C5E6F" w:rsidRPr="00756DC7">
        <w:rPr>
          <w:rFonts w:ascii="Book Antiqua" w:hAnsi="Book Antiqua"/>
          <w:sz w:val="24"/>
        </w:rPr>
        <w:t>Cholangiocytes</w:t>
      </w:r>
      <w:proofErr w:type="spellEnd"/>
      <w:r w:rsidR="008C5E6F" w:rsidRPr="00756DC7">
        <w:rPr>
          <w:rFonts w:ascii="Book Antiqua" w:hAnsi="Book Antiqua"/>
          <w:sz w:val="24"/>
        </w:rPr>
        <w:t xml:space="preserve"> May Cause Liver Damage After 2019-nCoV Infection</w:t>
      </w:r>
      <w:r w:rsidRPr="00756DC7">
        <w:rPr>
          <w:rFonts w:ascii="Book Antiqua" w:hAnsi="Book Antiqua"/>
          <w:sz w:val="24"/>
        </w:rPr>
        <w:t xml:space="preserve">. </w:t>
      </w:r>
      <w:r w:rsidR="00F05F72" w:rsidRPr="00756DC7">
        <w:rPr>
          <w:rFonts w:ascii="Book Antiqua" w:hAnsi="Book Antiqua" w:cs="Segoe UI"/>
          <w:color w:val="000000"/>
          <w:sz w:val="24"/>
        </w:rPr>
        <w:t>2020 Preprint.</w:t>
      </w:r>
      <w:r w:rsidR="004B006A" w:rsidRPr="00756DC7">
        <w:rPr>
          <w:rFonts w:ascii="Book Antiqua" w:hAnsi="Book Antiqua" w:cs="Segoe UI"/>
          <w:color w:val="000000"/>
          <w:sz w:val="24"/>
        </w:rPr>
        <w:t xml:space="preserve"> </w:t>
      </w:r>
      <w:r w:rsidR="00F05F72" w:rsidRPr="00756DC7">
        <w:rPr>
          <w:rFonts w:ascii="Book Antiqua" w:hAnsi="Book Antiqua" w:cs="Segoe UI"/>
          <w:color w:val="000000"/>
          <w:sz w:val="24"/>
        </w:rPr>
        <w:t xml:space="preserve">Available from: </w:t>
      </w:r>
      <w:r w:rsidR="00F05F72" w:rsidRPr="00756DC7">
        <w:rPr>
          <w:rFonts w:ascii="Book Antiqua" w:hAnsi="Book Antiqua"/>
          <w:sz w:val="24"/>
        </w:rPr>
        <w:t>b</w:t>
      </w:r>
      <w:r w:rsidRPr="00756DC7">
        <w:rPr>
          <w:rFonts w:ascii="Book Antiqua" w:hAnsi="Book Antiqua"/>
          <w:sz w:val="24"/>
        </w:rPr>
        <w:t>ioRxiv</w:t>
      </w:r>
      <w:proofErr w:type="gramStart"/>
      <w:r w:rsidR="00CA4D79" w:rsidRPr="00756DC7">
        <w:rPr>
          <w:rFonts w:ascii="Book Antiqua" w:hAnsi="Book Antiqua"/>
          <w:sz w:val="24"/>
        </w:rPr>
        <w:t>:</w:t>
      </w:r>
      <w:r w:rsidR="00F05F72" w:rsidRPr="00756DC7">
        <w:rPr>
          <w:rFonts w:ascii="Book Antiqua" w:hAnsi="Book Antiqua"/>
          <w:sz w:val="24"/>
        </w:rPr>
        <w:t>2020.02.03.931766</w:t>
      </w:r>
      <w:proofErr w:type="gramEnd"/>
      <w:r w:rsidR="004B006A" w:rsidRPr="00756DC7">
        <w:rPr>
          <w:rFonts w:ascii="Book Antiqua" w:hAnsi="Book Antiqua"/>
          <w:sz w:val="24"/>
        </w:rPr>
        <w:t xml:space="preserve"> </w:t>
      </w:r>
      <w:r w:rsidRPr="00756DC7">
        <w:rPr>
          <w:rFonts w:ascii="Book Antiqua" w:hAnsi="Book Antiqua"/>
          <w:sz w:val="24"/>
        </w:rPr>
        <w:t>[DOI: 10.1101/2020.02.03</w:t>
      </w:r>
      <w:r w:rsidR="00270BCE" w:rsidRPr="00756DC7">
        <w:rPr>
          <w:rFonts w:ascii="Book Antiqua" w:hAnsi="Book Antiqua"/>
          <w:sz w:val="24"/>
        </w:rPr>
        <w:t>.931766]</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16 </w:t>
      </w:r>
      <w:r w:rsidRPr="00756DC7">
        <w:rPr>
          <w:rFonts w:ascii="Book Antiqua" w:hAnsi="Book Antiqua"/>
          <w:b/>
          <w:sz w:val="24"/>
        </w:rPr>
        <w:t>Hoffmann M,</w:t>
      </w:r>
      <w:r w:rsidR="00C75364" w:rsidRPr="00756DC7">
        <w:rPr>
          <w:rFonts w:ascii="Book Antiqua" w:hAnsi="Book Antiqua"/>
          <w:sz w:val="24"/>
        </w:rPr>
        <w:t xml:space="preserve"> </w:t>
      </w:r>
      <w:proofErr w:type="spellStart"/>
      <w:r w:rsidRPr="00756DC7">
        <w:rPr>
          <w:rFonts w:ascii="Book Antiqua" w:hAnsi="Book Antiqua"/>
          <w:sz w:val="24"/>
        </w:rPr>
        <w:t>Kleine</w:t>
      </w:r>
      <w:proofErr w:type="spellEnd"/>
      <w:r w:rsidRPr="00756DC7">
        <w:rPr>
          <w:rFonts w:ascii="Book Antiqua" w:hAnsi="Book Antiqua"/>
          <w:sz w:val="24"/>
        </w:rPr>
        <w:t xml:space="preserve">-Weber H, </w:t>
      </w:r>
      <w:proofErr w:type="spellStart"/>
      <w:r w:rsidRPr="00756DC7">
        <w:rPr>
          <w:rFonts w:ascii="Book Antiqua" w:hAnsi="Book Antiqua"/>
          <w:sz w:val="24"/>
        </w:rPr>
        <w:t>Krüger</w:t>
      </w:r>
      <w:proofErr w:type="spellEnd"/>
      <w:r w:rsidRPr="00756DC7">
        <w:rPr>
          <w:rFonts w:ascii="Book Antiqua" w:hAnsi="Book Antiqua"/>
          <w:sz w:val="24"/>
        </w:rPr>
        <w:t xml:space="preserve"> N, Müller M, </w:t>
      </w:r>
      <w:proofErr w:type="spellStart"/>
      <w:r w:rsidRPr="00756DC7">
        <w:rPr>
          <w:rFonts w:ascii="Book Antiqua" w:hAnsi="Book Antiqua"/>
          <w:sz w:val="24"/>
        </w:rPr>
        <w:t>Drosten</w:t>
      </w:r>
      <w:proofErr w:type="spellEnd"/>
      <w:r w:rsidRPr="00756DC7">
        <w:rPr>
          <w:rFonts w:ascii="Book Antiqua" w:hAnsi="Book Antiqua"/>
          <w:sz w:val="24"/>
        </w:rPr>
        <w:t xml:space="preserve"> C, </w:t>
      </w:r>
      <w:proofErr w:type="spellStart"/>
      <w:r w:rsidRPr="00756DC7">
        <w:rPr>
          <w:rFonts w:ascii="Book Antiqua" w:hAnsi="Book Antiqua"/>
          <w:sz w:val="24"/>
        </w:rPr>
        <w:t>Pöhlmann</w:t>
      </w:r>
      <w:proofErr w:type="spellEnd"/>
      <w:r w:rsidRPr="00756DC7">
        <w:rPr>
          <w:rFonts w:ascii="Book Antiqua" w:hAnsi="Book Antiqua"/>
          <w:sz w:val="24"/>
        </w:rPr>
        <w:t xml:space="preserve"> S. The novel coronavirus 2019 (2019-nCoV) uses the SARS-1 coronavirus receptor2 ACE2 and the cellular protease TMPRSS2 for entry into t</w:t>
      </w:r>
      <w:r w:rsidR="00884C86" w:rsidRPr="00756DC7">
        <w:rPr>
          <w:rFonts w:ascii="Book Antiqua" w:hAnsi="Book Antiqua"/>
          <w:sz w:val="24"/>
        </w:rPr>
        <w:t xml:space="preserve">arget cells. </w:t>
      </w:r>
      <w:r w:rsidR="00C75364" w:rsidRPr="00756DC7">
        <w:rPr>
          <w:rFonts w:ascii="Book Antiqua" w:hAnsi="Book Antiqua" w:cs="Segoe UI"/>
          <w:color w:val="000000"/>
          <w:sz w:val="24"/>
        </w:rPr>
        <w:t xml:space="preserve">2020 Preprint. Available from: </w:t>
      </w:r>
      <w:r w:rsidR="00884C86" w:rsidRPr="00756DC7">
        <w:rPr>
          <w:rFonts w:ascii="Book Antiqua" w:hAnsi="Book Antiqua"/>
          <w:sz w:val="24"/>
        </w:rPr>
        <w:t>bioRxiv</w:t>
      </w:r>
      <w:proofErr w:type="gramStart"/>
      <w:r w:rsidR="00884C86" w:rsidRPr="00756DC7">
        <w:rPr>
          <w:rFonts w:ascii="Book Antiqua" w:hAnsi="Book Antiqua"/>
          <w:sz w:val="24"/>
        </w:rPr>
        <w:t>:2020.01.</w:t>
      </w:r>
      <w:r w:rsidRPr="00756DC7">
        <w:rPr>
          <w:rFonts w:ascii="Book Antiqua" w:hAnsi="Book Antiqua"/>
          <w:sz w:val="24"/>
        </w:rPr>
        <w:t>31</w:t>
      </w:r>
      <w:r w:rsidR="00884C86" w:rsidRPr="00756DC7">
        <w:rPr>
          <w:rFonts w:ascii="Book Antiqua" w:hAnsi="Book Antiqua"/>
          <w:sz w:val="24"/>
        </w:rPr>
        <w:t>.</w:t>
      </w:r>
      <w:r w:rsidRPr="00756DC7">
        <w:rPr>
          <w:rFonts w:ascii="Book Antiqua" w:hAnsi="Book Antiqua"/>
          <w:sz w:val="24"/>
        </w:rPr>
        <w:t>929042</w:t>
      </w:r>
      <w:proofErr w:type="gramEnd"/>
      <w:r w:rsidR="00884C86" w:rsidRPr="00756DC7">
        <w:rPr>
          <w:rFonts w:ascii="Book Antiqua" w:hAnsi="Book Antiqua"/>
          <w:sz w:val="24"/>
        </w:rPr>
        <w:t xml:space="preserve"> </w:t>
      </w:r>
      <w:r w:rsidRPr="00756DC7">
        <w:rPr>
          <w:rFonts w:ascii="Book Antiqua" w:hAnsi="Book Antiqua"/>
          <w:sz w:val="24"/>
        </w:rPr>
        <w:t>[</w:t>
      </w:r>
      <w:r w:rsidR="00C75364" w:rsidRPr="00756DC7">
        <w:rPr>
          <w:rFonts w:ascii="Book Antiqua" w:hAnsi="Book Antiqua"/>
          <w:sz w:val="24"/>
        </w:rPr>
        <w:t>DOI: 10.1101/2020.01.31.929042]</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17 </w:t>
      </w:r>
      <w:r w:rsidRPr="00756DC7">
        <w:rPr>
          <w:rFonts w:ascii="Book Antiqua" w:hAnsi="Book Antiqua"/>
          <w:b/>
          <w:sz w:val="24"/>
        </w:rPr>
        <w:t>Zhao Y,</w:t>
      </w:r>
      <w:r w:rsidR="0045515C" w:rsidRPr="00756DC7">
        <w:rPr>
          <w:rFonts w:ascii="Book Antiqua" w:hAnsi="Book Antiqua"/>
          <w:sz w:val="24"/>
        </w:rPr>
        <w:t xml:space="preserve"> </w:t>
      </w:r>
      <w:r w:rsidRPr="00756DC7">
        <w:rPr>
          <w:rFonts w:ascii="Book Antiqua" w:hAnsi="Book Antiqua"/>
          <w:sz w:val="24"/>
        </w:rPr>
        <w:t xml:space="preserve">Zhao Z, Wang Y, Zhou Y, Ma Y, Zhou Y, Ma Y, </w:t>
      </w:r>
      <w:proofErr w:type="spellStart"/>
      <w:r w:rsidRPr="00756DC7">
        <w:rPr>
          <w:rFonts w:ascii="Book Antiqua" w:hAnsi="Book Antiqua"/>
          <w:sz w:val="24"/>
        </w:rPr>
        <w:t>Zuo</w:t>
      </w:r>
      <w:proofErr w:type="spellEnd"/>
      <w:r w:rsidRPr="00756DC7">
        <w:rPr>
          <w:rFonts w:ascii="Book Antiqua" w:hAnsi="Book Antiqua"/>
          <w:sz w:val="24"/>
        </w:rPr>
        <w:t xml:space="preserve"> W. </w:t>
      </w:r>
      <w:r w:rsidR="008C339F" w:rsidRPr="00756DC7">
        <w:rPr>
          <w:rFonts w:ascii="Book Antiqua" w:hAnsi="Book Antiqua"/>
          <w:sz w:val="24"/>
        </w:rPr>
        <w:t>Single-cell RNA expression profiling of ACE2, the receptor of SARS-CoV-2</w:t>
      </w:r>
      <w:r w:rsidRPr="00756DC7">
        <w:rPr>
          <w:rFonts w:ascii="Book Antiqua" w:hAnsi="Book Antiqua"/>
          <w:sz w:val="24"/>
        </w:rPr>
        <w:t xml:space="preserve">. </w:t>
      </w:r>
      <w:r w:rsidR="00972655" w:rsidRPr="00756DC7">
        <w:rPr>
          <w:rFonts w:ascii="Book Antiqua" w:hAnsi="Book Antiqua" w:cs="Segoe UI"/>
          <w:color w:val="000000"/>
          <w:sz w:val="24"/>
        </w:rPr>
        <w:t>2020</w:t>
      </w:r>
      <w:r w:rsidR="0045515C" w:rsidRPr="00756DC7">
        <w:rPr>
          <w:rFonts w:ascii="Book Antiqua" w:hAnsi="Book Antiqua" w:cs="Segoe UI"/>
          <w:color w:val="000000"/>
          <w:sz w:val="24"/>
        </w:rPr>
        <w:t xml:space="preserve"> Preprint. Available from: </w:t>
      </w:r>
      <w:r w:rsidR="0045515C" w:rsidRPr="00756DC7">
        <w:rPr>
          <w:rFonts w:ascii="Book Antiqua" w:hAnsi="Book Antiqua"/>
          <w:sz w:val="24"/>
        </w:rPr>
        <w:t>bioRxiv</w:t>
      </w:r>
      <w:proofErr w:type="gramStart"/>
      <w:r w:rsidR="0045515C" w:rsidRPr="00756DC7">
        <w:rPr>
          <w:rFonts w:ascii="Book Antiqua" w:hAnsi="Book Antiqua"/>
          <w:sz w:val="24"/>
        </w:rPr>
        <w:t>:2020.01.26.919985</w:t>
      </w:r>
      <w:proofErr w:type="gramEnd"/>
      <w:r w:rsidR="0045515C" w:rsidRPr="00756DC7">
        <w:rPr>
          <w:rFonts w:ascii="Book Antiqua" w:hAnsi="Book Antiqua"/>
          <w:sz w:val="24"/>
        </w:rPr>
        <w:t xml:space="preserve"> </w:t>
      </w:r>
      <w:r w:rsidRPr="00756DC7">
        <w:rPr>
          <w:rFonts w:ascii="Book Antiqua" w:hAnsi="Book Antiqua"/>
          <w:sz w:val="24"/>
        </w:rPr>
        <w:t>[</w:t>
      </w:r>
      <w:r w:rsidR="0045515C" w:rsidRPr="00756DC7">
        <w:rPr>
          <w:rFonts w:ascii="Book Antiqua" w:hAnsi="Book Antiqua"/>
          <w:sz w:val="24"/>
        </w:rPr>
        <w:t>DOI: 10.1101/2020.01.26.919985]</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18 </w:t>
      </w:r>
      <w:r w:rsidRPr="00756DC7">
        <w:rPr>
          <w:rFonts w:ascii="Book Antiqua" w:hAnsi="Book Antiqua"/>
          <w:b/>
          <w:sz w:val="24"/>
        </w:rPr>
        <w:t>Zhang H,</w:t>
      </w:r>
      <w:r w:rsidR="008C089D" w:rsidRPr="00756DC7">
        <w:rPr>
          <w:rFonts w:ascii="Book Antiqua" w:hAnsi="Book Antiqua"/>
          <w:sz w:val="24"/>
        </w:rPr>
        <w:t xml:space="preserve"> </w:t>
      </w:r>
      <w:r w:rsidRPr="00756DC7">
        <w:rPr>
          <w:rFonts w:ascii="Book Antiqua" w:hAnsi="Book Antiqua"/>
          <w:sz w:val="24"/>
        </w:rPr>
        <w:t>Kang Z, Gong H, Xu D, Wang J, Li Z, Cui X, Xiao J, Meng T, Zhou W, Liu J, Xu H</w:t>
      </w:r>
      <w:r w:rsidR="009065FB" w:rsidRPr="00756DC7">
        <w:rPr>
          <w:rFonts w:ascii="Book Antiqua" w:hAnsi="Book Antiqua"/>
          <w:sz w:val="24"/>
        </w:rPr>
        <w:t>.</w:t>
      </w:r>
      <w:r w:rsidRPr="00756DC7">
        <w:rPr>
          <w:rFonts w:ascii="Book Antiqua" w:hAnsi="Book Antiqua"/>
          <w:sz w:val="24"/>
        </w:rPr>
        <w:t xml:space="preserve"> The digestive system is a potential route of 2019-nCov infection: a bioinformatics analysis based on single-cell transcriptomes. </w:t>
      </w:r>
      <w:r w:rsidR="00F42443" w:rsidRPr="00756DC7">
        <w:rPr>
          <w:rFonts w:ascii="Book Antiqua" w:hAnsi="Book Antiqua" w:cs="Segoe UI"/>
          <w:color w:val="000000"/>
          <w:sz w:val="24"/>
        </w:rPr>
        <w:t xml:space="preserve">2020 Preprint. Available from: </w:t>
      </w:r>
      <w:r w:rsidR="00F42443" w:rsidRPr="00756DC7">
        <w:rPr>
          <w:rFonts w:ascii="Book Antiqua" w:hAnsi="Book Antiqua"/>
          <w:sz w:val="24"/>
        </w:rPr>
        <w:t>bioRxiv</w:t>
      </w:r>
      <w:proofErr w:type="gramStart"/>
      <w:r w:rsidR="00F42443" w:rsidRPr="00756DC7">
        <w:rPr>
          <w:rFonts w:ascii="Book Antiqua" w:hAnsi="Book Antiqua"/>
          <w:sz w:val="24"/>
        </w:rPr>
        <w:t>:2020.01.30.927806</w:t>
      </w:r>
      <w:proofErr w:type="gramEnd"/>
      <w:r w:rsidR="00F42443" w:rsidRPr="00756DC7">
        <w:rPr>
          <w:rFonts w:ascii="Book Antiqua" w:hAnsi="Book Antiqua"/>
          <w:sz w:val="24"/>
        </w:rPr>
        <w:t xml:space="preserve"> </w:t>
      </w:r>
      <w:r w:rsidRPr="00756DC7">
        <w:rPr>
          <w:rFonts w:ascii="Book Antiqua" w:hAnsi="Book Antiqua"/>
          <w:sz w:val="24"/>
        </w:rPr>
        <w:t>[DOI: 10.1101/2020.01.30</w:t>
      </w:r>
      <w:r w:rsidR="00972655" w:rsidRPr="00756DC7">
        <w:rPr>
          <w:rFonts w:ascii="Book Antiqua" w:hAnsi="Book Antiqua"/>
          <w:sz w:val="24"/>
        </w:rPr>
        <w:t>.927806]</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19 </w:t>
      </w:r>
      <w:r w:rsidRPr="00756DC7">
        <w:rPr>
          <w:rFonts w:ascii="Book Antiqua" w:hAnsi="Book Antiqua"/>
          <w:b/>
          <w:sz w:val="24"/>
        </w:rPr>
        <w:t>Hu LL</w:t>
      </w:r>
      <w:r w:rsidRPr="00756DC7">
        <w:rPr>
          <w:rFonts w:ascii="Book Antiqua" w:hAnsi="Book Antiqua"/>
          <w:sz w:val="24"/>
        </w:rPr>
        <w:t xml:space="preserve">, Wang WJ, Zhu QJ, </w:t>
      </w:r>
      <w:proofErr w:type="gramStart"/>
      <w:r w:rsidRPr="00756DC7">
        <w:rPr>
          <w:rFonts w:ascii="Book Antiqua" w:hAnsi="Book Antiqua"/>
          <w:sz w:val="24"/>
        </w:rPr>
        <w:t>Yang</w:t>
      </w:r>
      <w:proofErr w:type="gramEnd"/>
      <w:r w:rsidRPr="00756DC7">
        <w:rPr>
          <w:rFonts w:ascii="Book Antiqua" w:hAnsi="Book Antiqua"/>
          <w:sz w:val="24"/>
        </w:rPr>
        <w:t xml:space="preserve"> L. [Novel coronavirus pneumonia related liver injury: etiological analysis and treatment strategy]. </w:t>
      </w:r>
      <w:proofErr w:type="spellStart"/>
      <w:r w:rsidRPr="00756DC7">
        <w:rPr>
          <w:rFonts w:ascii="Book Antiqua" w:hAnsi="Book Antiqua"/>
          <w:i/>
          <w:sz w:val="24"/>
        </w:rPr>
        <w:t>Zhonghua</w:t>
      </w:r>
      <w:proofErr w:type="spellEnd"/>
      <w:r w:rsidRPr="00756DC7">
        <w:rPr>
          <w:rFonts w:ascii="Book Antiqua" w:hAnsi="Book Antiqua"/>
          <w:i/>
          <w:sz w:val="24"/>
        </w:rPr>
        <w:t xml:space="preserve"> Gan Zang Bing Za </w:t>
      </w:r>
      <w:proofErr w:type="spellStart"/>
      <w:r w:rsidRPr="00756DC7">
        <w:rPr>
          <w:rFonts w:ascii="Book Antiqua" w:hAnsi="Book Antiqua"/>
          <w:i/>
          <w:sz w:val="24"/>
        </w:rPr>
        <w:t>Zhi</w:t>
      </w:r>
      <w:proofErr w:type="spellEnd"/>
      <w:r w:rsidRPr="00756DC7">
        <w:rPr>
          <w:rFonts w:ascii="Book Antiqua" w:hAnsi="Book Antiqua"/>
          <w:sz w:val="24"/>
        </w:rPr>
        <w:t xml:space="preserve"> 2020; </w:t>
      </w:r>
      <w:r w:rsidRPr="00756DC7">
        <w:rPr>
          <w:rFonts w:ascii="Book Antiqua" w:hAnsi="Book Antiqua"/>
          <w:b/>
          <w:sz w:val="24"/>
        </w:rPr>
        <w:t>28</w:t>
      </w:r>
      <w:r w:rsidRPr="00756DC7">
        <w:rPr>
          <w:rFonts w:ascii="Book Antiqua" w:hAnsi="Book Antiqua"/>
          <w:sz w:val="24"/>
        </w:rPr>
        <w:t>: E001 [PMID: 32075364 DOI: 10.3760/cma.j.issn.1007-3418.2020.02.001]</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20 </w:t>
      </w:r>
      <w:r w:rsidRPr="00756DC7">
        <w:rPr>
          <w:rFonts w:ascii="Book Antiqua" w:hAnsi="Book Antiqua"/>
          <w:b/>
          <w:sz w:val="24"/>
        </w:rPr>
        <w:t>Cao X</w:t>
      </w:r>
      <w:r w:rsidRPr="00756DC7">
        <w:rPr>
          <w:rFonts w:ascii="Book Antiqua" w:hAnsi="Book Antiqua"/>
          <w:sz w:val="24"/>
        </w:rPr>
        <w:t xml:space="preserve">. COVID-19: immunopathology and its implications for therapy. </w:t>
      </w:r>
      <w:r w:rsidRPr="00756DC7">
        <w:rPr>
          <w:rFonts w:ascii="Book Antiqua" w:hAnsi="Book Antiqua"/>
          <w:i/>
          <w:sz w:val="24"/>
        </w:rPr>
        <w:t>Nat Rev Immunol</w:t>
      </w:r>
      <w:r w:rsidRPr="00756DC7">
        <w:rPr>
          <w:rFonts w:ascii="Book Antiqua" w:hAnsi="Book Antiqua"/>
          <w:sz w:val="24"/>
        </w:rPr>
        <w:t xml:space="preserve"> 2020; </w:t>
      </w:r>
      <w:r w:rsidRPr="00756DC7">
        <w:rPr>
          <w:rFonts w:ascii="Book Antiqua" w:hAnsi="Book Antiqua"/>
          <w:b/>
          <w:sz w:val="24"/>
        </w:rPr>
        <w:t>20</w:t>
      </w:r>
      <w:r w:rsidRPr="00756DC7">
        <w:rPr>
          <w:rFonts w:ascii="Book Antiqua" w:hAnsi="Book Antiqua"/>
          <w:sz w:val="24"/>
        </w:rPr>
        <w:t>: 269-270 [PMID: 32273594 DOI: 10.1038/s41577-020-0308-3]</w:t>
      </w:r>
    </w:p>
    <w:p w:rsidR="00AA4643"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21 </w:t>
      </w:r>
      <w:r w:rsidR="00AA4643" w:rsidRPr="00756DC7">
        <w:rPr>
          <w:rFonts w:ascii="Book Antiqua" w:hAnsi="Book Antiqua"/>
          <w:b/>
          <w:bCs/>
          <w:sz w:val="24"/>
        </w:rPr>
        <w:t>Liu J</w:t>
      </w:r>
      <w:r w:rsidR="00AA4643" w:rsidRPr="00756DC7">
        <w:rPr>
          <w:rFonts w:ascii="Book Antiqua" w:hAnsi="Book Antiqua"/>
          <w:sz w:val="24"/>
        </w:rPr>
        <w:t xml:space="preserve">, Li S, Liu J, Liang B, Wang X, Wang H, Li W, Tong Q, Yi J, Zhao L, </w:t>
      </w:r>
      <w:proofErr w:type="spellStart"/>
      <w:r w:rsidR="00AA4643" w:rsidRPr="00756DC7">
        <w:rPr>
          <w:rFonts w:ascii="Book Antiqua" w:hAnsi="Book Antiqua"/>
          <w:sz w:val="24"/>
        </w:rPr>
        <w:t>Xiong</w:t>
      </w:r>
      <w:proofErr w:type="spellEnd"/>
      <w:r w:rsidR="00AA4643" w:rsidRPr="00756DC7">
        <w:rPr>
          <w:rFonts w:ascii="Book Antiqua" w:hAnsi="Book Antiqua"/>
          <w:sz w:val="24"/>
        </w:rPr>
        <w:t xml:space="preserve"> L, Guo C, Tian J, Luo J, Yao J, Pang R, Shen H, Peng C, Liu T, Zhang Q, Wu J, Xu L, Lu S, Wang B, Weng Z, Han C, Zhu H, Zhou R, Zhou H, Chen X, Ye P, Zhu B, Wang L, Zhou W, He S, He Y, </w:t>
      </w:r>
      <w:proofErr w:type="spellStart"/>
      <w:r w:rsidR="00AA4643" w:rsidRPr="00756DC7">
        <w:rPr>
          <w:rFonts w:ascii="Book Antiqua" w:hAnsi="Book Antiqua"/>
          <w:sz w:val="24"/>
        </w:rPr>
        <w:t>Jie</w:t>
      </w:r>
      <w:proofErr w:type="spellEnd"/>
      <w:r w:rsidR="00AA4643" w:rsidRPr="00756DC7">
        <w:rPr>
          <w:rFonts w:ascii="Book Antiqua" w:hAnsi="Book Antiqua"/>
          <w:sz w:val="24"/>
        </w:rPr>
        <w:t xml:space="preserve"> S, Wei P, Zhang J, Lu Y, Wang W, Zhang L, Li L, Zhou F, Wang J, Dittmer U, Lu M, Hu Y, Yang D, Zheng X. Longitudinal characteristics of lymphocyte responses and cytokine profiles in the peripheral blood of SARS-CoV-2 infected patients. </w:t>
      </w:r>
      <w:proofErr w:type="spellStart"/>
      <w:r w:rsidR="00AA4643" w:rsidRPr="00756DC7">
        <w:rPr>
          <w:rFonts w:ascii="Book Antiqua" w:hAnsi="Book Antiqua"/>
          <w:i/>
          <w:iCs/>
          <w:sz w:val="24"/>
        </w:rPr>
        <w:t>EBioMedicine</w:t>
      </w:r>
      <w:proofErr w:type="spellEnd"/>
      <w:r w:rsidR="00AA4643" w:rsidRPr="00756DC7">
        <w:rPr>
          <w:rFonts w:ascii="Book Antiqua" w:hAnsi="Book Antiqua"/>
          <w:sz w:val="24"/>
        </w:rPr>
        <w:t xml:space="preserve"> 2020; </w:t>
      </w:r>
      <w:r w:rsidR="00AA4643" w:rsidRPr="00756DC7">
        <w:rPr>
          <w:rFonts w:ascii="Book Antiqua" w:hAnsi="Book Antiqua"/>
          <w:b/>
          <w:bCs/>
          <w:sz w:val="24"/>
        </w:rPr>
        <w:t>55</w:t>
      </w:r>
      <w:r w:rsidR="00AA4643" w:rsidRPr="00756DC7">
        <w:rPr>
          <w:rFonts w:ascii="Book Antiqua" w:hAnsi="Book Antiqua"/>
          <w:sz w:val="24"/>
        </w:rPr>
        <w:t xml:space="preserve">: </w:t>
      </w:r>
      <w:r w:rsidR="00AA4643" w:rsidRPr="00756DC7">
        <w:rPr>
          <w:rFonts w:ascii="Book Antiqua" w:hAnsi="Book Antiqua"/>
          <w:sz w:val="24"/>
        </w:rPr>
        <w:lastRenderedPageBreak/>
        <w:t>102763 [PMID: 32361250 DOI: 10.1016/j.ebiom.2020.102763]</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22 </w:t>
      </w:r>
      <w:r w:rsidRPr="00756DC7">
        <w:rPr>
          <w:rFonts w:ascii="Book Antiqua" w:hAnsi="Book Antiqua"/>
          <w:b/>
          <w:sz w:val="24"/>
        </w:rPr>
        <w:t>Qin C</w:t>
      </w:r>
      <w:r w:rsidRPr="00756DC7">
        <w:rPr>
          <w:rFonts w:ascii="Book Antiqua" w:hAnsi="Book Antiqua"/>
          <w:sz w:val="24"/>
        </w:rPr>
        <w:t xml:space="preserve">, Zhou L, Hu Z, Zhang S, Yang S, Tao Y, </w:t>
      </w:r>
      <w:proofErr w:type="spellStart"/>
      <w:r w:rsidRPr="00756DC7">
        <w:rPr>
          <w:rFonts w:ascii="Book Antiqua" w:hAnsi="Book Antiqua"/>
          <w:sz w:val="24"/>
        </w:rPr>
        <w:t>Xie</w:t>
      </w:r>
      <w:proofErr w:type="spellEnd"/>
      <w:r w:rsidRPr="00756DC7">
        <w:rPr>
          <w:rFonts w:ascii="Book Antiqua" w:hAnsi="Book Antiqua"/>
          <w:sz w:val="24"/>
        </w:rPr>
        <w:t xml:space="preserve"> C, Ma K, Shang K, Wang W, Tian DS. </w:t>
      </w:r>
      <w:proofErr w:type="gramStart"/>
      <w:r w:rsidRPr="00756DC7">
        <w:rPr>
          <w:rFonts w:ascii="Book Antiqua" w:hAnsi="Book Antiqua"/>
          <w:sz w:val="24"/>
        </w:rPr>
        <w:t>Dysregulation of immune response in patients with COVID-19 in Wuhan, China.</w:t>
      </w:r>
      <w:proofErr w:type="gramEnd"/>
      <w:r w:rsidRPr="00756DC7">
        <w:rPr>
          <w:rFonts w:ascii="Book Antiqua" w:hAnsi="Book Antiqua"/>
          <w:sz w:val="24"/>
        </w:rPr>
        <w:t xml:space="preserve"> </w:t>
      </w:r>
      <w:r w:rsidRPr="00756DC7">
        <w:rPr>
          <w:rFonts w:ascii="Book Antiqua" w:hAnsi="Book Antiqua"/>
          <w:i/>
          <w:sz w:val="24"/>
        </w:rPr>
        <w:t>Clin Infect Dis</w:t>
      </w:r>
      <w:r w:rsidR="00427126" w:rsidRPr="00756DC7">
        <w:rPr>
          <w:rFonts w:ascii="Book Antiqua" w:hAnsi="Book Antiqua"/>
          <w:sz w:val="24"/>
        </w:rPr>
        <w:t xml:space="preserve"> 2020</w:t>
      </w:r>
      <w:r w:rsidRPr="00756DC7">
        <w:rPr>
          <w:rFonts w:ascii="Book Antiqua" w:hAnsi="Book Antiqua"/>
          <w:sz w:val="24"/>
        </w:rPr>
        <w:t>:</w:t>
      </w:r>
      <w:r w:rsidR="00427126" w:rsidRPr="00756DC7">
        <w:rPr>
          <w:rFonts w:ascii="Book Antiqua" w:hAnsi="Book Antiqua"/>
          <w:sz w:val="24"/>
        </w:rPr>
        <w:t xml:space="preserve"> ciaa248 </w:t>
      </w:r>
      <w:r w:rsidRPr="00756DC7">
        <w:rPr>
          <w:rFonts w:ascii="Book Antiqua" w:hAnsi="Book Antiqua"/>
          <w:sz w:val="24"/>
        </w:rPr>
        <w:t>[PMID: 32161940 DOI: 10.1093/</w:t>
      </w:r>
      <w:proofErr w:type="spellStart"/>
      <w:r w:rsidRPr="00756DC7">
        <w:rPr>
          <w:rFonts w:ascii="Book Antiqua" w:hAnsi="Book Antiqua"/>
          <w:sz w:val="24"/>
        </w:rPr>
        <w:t>cid</w:t>
      </w:r>
      <w:proofErr w:type="spellEnd"/>
      <w:r w:rsidRPr="00756DC7">
        <w:rPr>
          <w:rFonts w:ascii="Book Antiqua" w:hAnsi="Book Antiqua"/>
          <w:sz w:val="24"/>
        </w:rPr>
        <w:t>/ciaa248]</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23 </w:t>
      </w:r>
      <w:r w:rsidR="003A11B8" w:rsidRPr="00756DC7">
        <w:rPr>
          <w:rFonts w:ascii="Book Antiqua" w:hAnsi="Book Antiqua"/>
          <w:b/>
          <w:sz w:val="24"/>
        </w:rPr>
        <w:t>Shi</w:t>
      </w:r>
      <w:r w:rsidR="003A11B8" w:rsidRPr="00756DC7">
        <w:rPr>
          <w:rFonts w:ascii="Book Antiqua" w:hAnsi="Book Antiqua"/>
          <w:sz w:val="24"/>
        </w:rPr>
        <w:t xml:space="preserve"> </w:t>
      </w:r>
      <w:r w:rsidRPr="00756DC7">
        <w:rPr>
          <w:rFonts w:ascii="Book Antiqua" w:hAnsi="Book Antiqua"/>
          <w:sz w:val="24"/>
        </w:rPr>
        <w:t>Y, Tan M, Chen X, Liu Y, Huang J, Qu J, Deng X</w:t>
      </w:r>
      <w:r w:rsidR="003A11B8" w:rsidRPr="00756DC7">
        <w:rPr>
          <w:rFonts w:ascii="Book Antiqua" w:hAnsi="Book Antiqua"/>
          <w:sz w:val="24"/>
        </w:rPr>
        <w:t>.</w:t>
      </w:r>
      <w:r w:rsidRPr="00756DC7">
        <w:rPr>
          <w:rFonts w:ascii="Book Antiqua" w:hAnsi="Book Antiqua"/>
          <w:sz w:val="24"/>
        </w:rPr>
        <w:t xml:space="preserve"> Immunopathological characteristics of coronavirus disease </w:t>
      </w:r>
      <w:r w:rsidR="003A11B8" w:rsidRPr="00756DC7">
        <w:rPr>
          <w:rFonts w:ascii="Book Antiqua" w:hAnsi="Book Antiqua"/>
          <w:sz w:val="24"/>
        </w:rPr>
        <w:t xml:space="preserve">2019 cases in Guangzhou, China. </w:t>
      </w:r>
      <w:r w:rsidR="003A11B8" w:rsidRPr="00756DC7">
        <w:rPr>
          <w:rFonts w:ascii="Book Antiqua" w:hAnsi="Book Antiqua" w:cs="Segoe UI"/>
          <w:color w:val="000000"/>
          <w:sz w:val="24"/>
        </w:rPr>
        <w:t>2020 Preprint. Available from:</w:t>
      </w:r>
      <w:r w:rsidR="00BD4A60" w:rsidRPr="00756DC7">
        <w:rPr>
          <w:rFonts w:ascii="Book Antiqua" w:hAnsi="Book Antiqua" w:cs="Segoe UI"/>
          <w:color w:val="000000"/>
          <w:sz w:val="24"/>
        </w:rPr>
        <w:t xml:space="preserve"> </w:t>
      </w:r>
      <w:r w:rsidR="003A11B8" w:rsidRPr="00756DC7">
        <w:rPr>
          <w:rFonts w:ascii="Book Antiqua" w:hAnsi="Book Antiqua"/>
          <w:sz w:val="24"/>
        </w:rPr>
        <w:t>m</w:t>
      </w:r>
      <w:r w:rsidRPr="00756DC7">
        <w:rPr>
          <w:rFonts w:ascii="Book Antiqua" w:hAnsi="Book Antiqua"/>
          <w:sz w:val="24"/>
        </w:rPr>
        <w:t>edRxiv</w:t>
      </w:r>
      <w:proofErr w:type="gramStart"/>
      <w:r w:rsidR="003A11B8" w:rsidRPr="00756DC7">
        <w:rPr>
          <w:rFonts w:ascii="Book Antiqua" w:hAnsi="Book Antiqua"/>
          <w:sz w:val="24"/>
        </w:rPr>
        <w:t>:2020.03.12.20034736</w:t>
      </w:r>
      <w:proofErr w:type="gramEnd"/>
      <w:r w:rsidR="003A11B8" w:rsidRPr="00756DC7">
        <w:rPr>
          <w:rFonts w:ascii="Book Antiqua" w:hAnsi="Book Antiqua"/>
          <w:sz w:val="24"/>
        </w:rPr>
        <w:t xml:space="preserve"> </w:t>
      </w:r>
      <w:r w:rsidRPr="00756DC7">
        <w:rPr>
          <w:rFonts w:ascii="Book Antiqua" w:hAnsi="Book Antiqua"/>
          <w:sz w:val="24"/>
        </w:rPr>
        <w:t>[DO</w:t>
      </w:r>
      <w:r w:rsidR="003A11B8" w:rsidRPr="00756DC7">
        <w:rPr>
          <w:rFonts w:ascii="Book Antiqua" w:hAnsi="Book Antiqua"/>
          <w:sz w:val="24"/>
        </w:rPr>
        <w:t>I: 10.1101/2020.03.12.20034736]</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24 </w:t>
      </w:r>
      <w:r w:rsidRPr="00756DC7">
        <w:rPr>
          <w:rFonts w:ascii="Book Antiqua" w:hAnsi="Book Antiqua"/>
          <w:b/>
          <w:sz w:val="24"/>
        </w:rPr>
        <w:t>Bangash MN</w:t>
      </w:r>
      <w:r w:rsidRPr="00756DC7">
        <w:rPr>
          <w:rFonts w:ascii="Book Antiqua" w:hAnsi="Book Antiqua"/>
          <w:sz w:val="24"/>
        </w:rPr>
        <w:t xml:space="preserve">, Patel J, Parekh D. COVID-19 and the liver: little cause for concern. </w:t>
      </w:r>
      <w:r w:rsidRPr="00756DC7">
        <w:rPr>
          <w:rFonts w:ascii="Book Antiqua" w:hAnsi="Book Antiqua"/>
          <w:i/>
          <w:sz w:val="24"/>
        </w:rPr>
        <w:t>Lancet Gastroenterol Hepatol</w:t>
      </w:r>
      <w:r w:rsidR="00FE52F2" w:rsidRPr="00756DC7">
        <w:rPr>
          <w:rFonts w:ascii="Book Antiqua" w:hAnsi="Book Antiqua"/>
          <w:sz w:val="24"/>
        </w:rPr>
        <w:t xml:space="preserve"> 2020: S2468-1253(20)30084-4 </w:t>
      </w:r>
      <w:r w:rsidRPr="00756DC7">
        <w:rPr>
          <w:rFonts w:ascii="Book Antiqua" w:hAnsi="Book Antiqua"/>
          <w:sz w:val="24"/>
        </w:rPr>
        <w:t>[PMID: 32203680 DOI: 10.1016/S2468-1253(20)30084-4]</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25 </w:t>
      </w:r>
      <w:r w:rsidRPr="00756DC7">
        <w:rPr>
          <w:rFonts w:ascii="Book Antiqua" w:hAnsi="Book Antiqua"/>
          <w:b/>
          <w:sz w:val="24"/>
        </w:rPr>
        <w:t>Mehta P</w:t>
      </w:r>
      <w:r w:rsidRPr="00756DC7">
        <w:rPr>
          <w:rFonts w:ascii="Book Antiqua" w:hAnsi="Book Antiqua"/>
          <w:sz w:val="24"/>
        </w:rPr>
        <w:t xml:space="preserve">, McAuley DF, Brown M, Sanchez E, Tattersall RS, Manson JJ; HLH Across </w:t>
      </w:r>
      <w:proofErr w:type="spellStart"/>
      <w:r w:rsidRPr="00756DC7">
        <w:rPr>
          <w:rFonts w:ascii="Book Antiqua" w:hAnsi="Book Antiqua"/>
          <w:sz w:val="24"/>
        </w:rPr>
        <w:t>Speciality</w:t>
      </w:r>
      <w:proofErr w:type="spellEnd"/>
      <w:r w:rsidRPr="00756DC7">
        <w:rPr>
          <w:rFonts w:ascii="Book Antiqua" w:hAnsi="Book Antiqua"/>
          <w:sz w:val="24"/>
        </w:rPr>
        <w:t xml:space="preserve"> Collaboration, UK. COVID-19: consider cytokine storm syndromes and immunosuppression. </w:t>
      </w:r>
      <w:r w:rsidRPr="00756DC7">
        <w:rPr>
          <w:rFonts w:ascii="Book Antiqua" w:hAnsi="Book Antiqua"/>
          <w:i/>
          <w:sz w:val="24"/>
        </w:rPr>
        <w:t>Lancet</w:t>
      </w:r>
      <w:r w:rsidRPr="00756DC7">
        <w:rPr>
          <w:rFonts w:ascii="Book Antiqua" w:hAnsi="Book Antiqua"/>
          <w:sz w:val="24"/>
        </w:rPr>
        <w:t xml:space="preserve"> 2020; </w:t>
      </w:r>
      <w:r w:rsidRPr="00756DC7">
        <w:rPr>
          <w:rFonts w:ascii="Book Antiqua" w:hAnsi="Book Antiqua"/>
          <w:b/>
          <w:sz w:val="24"/>
        </w:rPr>
        <w:t>395</w:t>
      </w:r>
      <w:r w:rsidRPr="00756DC7">
        <w:rPr>
          <w:rFonts w:ascii="Book Antiqua" w:hAnsi="Book Antiqua"/>
          <w:sz w:val="24"/>
        </w:rPr>
        <w:t>: 1033-1034 [PMID: 32192578 DOI: 10.1016/S0140-6736(20)30628-0]</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26 </w:t>
      </w:r>
      <w:r w:rsidRPr="00756DC7">
        <w:rPr>
          <w:rFonts w:ascii="Book Antiqua" w:hAnsi="Book Antiqua"/>
          <w:b/>
          <w:sz w:val="24"/>
        </w:rPr>
        <w:t>Lu L,</w:t>
      </w:r>
      <w:r w:rsidR="00355ABB" w:rsidRPr="00756DC7">
        <w:rPr>
          <w:rFonts w:ascii="Book Antiqua" w:hAnsi="Book Antiqua"/>
          <w:sz w:val="24"/>
        </w:rPr>
        <w:t xml:space="preserve"> </w:t>
      </w:r>
      <w:r w:rsidRPr="00756DC7">
        <w:rPr>
          <w:rFonts w:ascii="Book Antiqua" w:hAnsi="Book Antiqua"/>
          <w:sz w:val="24"/>
        </w:rPr>
        <w:t xml:space="preserve">Shuang L, </w:t>
      </w:r>
      <w:proofErr w:type="spellStart"/>
      <w:r w:rsidRPr="00756DC7">
        <w:rPr>
          <w:rFonts w:ascii="Book Antiqua" w:hAnsi="Book Antiqua"/>
          <w:sz w:val="24"/>
        </w:rPr>
        <w:t>Manman</w:t>
      </w:r>
      <w:proofErr w:type="spellEnd"/>
      <w:r w:rsidRPr="00756DC7">
        <w:rPr>
          <w:rFonts w:ascii="Book Antiqua" w:hAnsi="Book Antiqua"/>
          <w:sz w:val="24"/>
        </w:rPr>
        <w:t xml:space="preserve"> X, Yu P, Zheng S, </w:t>
      </w:r>
      <w:proofErr w:type="spellStart"/>
      <w:r w:rsidRPr="00756DC7">
        <w:rPr>
          <w:rFonts w:ascii="Book Antiqua" w:hAnsi="Book Antiqua"/>
          <w:sz w:val="24"/>
        </w:rPr>
        <w:t>Duan</w:t>
      </w:r>
      <w:proofErr w:type="spellEnd"/>
      <w:r w:rsidRPr="00756DC7">
        <w:rPr>
          <w:rFonts w:ascii="Book Antiqua" w:hAnsi="Book Antiqua"/>
          <w:sz w:val="24"/>
        </w:rPr>
        <w:t xml:space="preserve"> Z, Liu J, Chen Y, Li J. Risk factors related to hepatic injury in patients </w:t>
      </w:r>
      <w:r w:rsidR="00355ABB" w:rsidRPr="00756DC7">
        <w:rPr>
          <w:rFonts w:ascii="Book Antiqua" w:hAnsi="Book Antiqua"/>
          <w:sz w:val="24"/>
        </w:rPr>
        <w:t xml:space="preserve">with corona virus disease 2019. </w:t>
      </w:r>
      <w:r w:rsidR="00355ABB" w:rsidRPr="00756DC7">
        <w:rPr>
          <w:rFonts w:ascii="Book Antiqua" w:hAnsi="Book Antiqua" w:cs="Segoe UI"/>
          <w:color w:val="000000"/>
          <w:sz w:val="24"/>
        </w:rPr>
        <w:t xml:space="preserve">2020 Preprint. Available from: </w:t>
      </w:r>
      <w:r w:rsidR="00355ABB" w:rsidRPr="00756DC7">
        <w:rPr>
          <w:rFonts w:ascii="Book Antiqua" w:hAnsi="Book Antiqua"/>
          <w:sz w:val="24"/>
        </w:rPr>
        <w:t>m</w:t>
      </w:r>
      <w:r w:rsidRPr="00756DC7">
        <w:rPr>
          <w:rFonts w:ascii="Book Antiqua" w:hAnsi="Book Antiqua"/>
          <w:sz w:val="24"/>
        </w:rPr>
        <w:t>edRxiv</w:t>
      </w:r>
      <w:proofErr w:type="gramStart"/>
      <w:r w:rsidR="00355ABB" w:rsidRPr="00756DC7">
        <w:rPr>
          <w:rFonts w:ascii="Book Antiqua" w:hAnsi="Book Antiqua"/>
          <w:sz w:val="24"/>
        </w:rPr>
        <w:t>:2020.02.28.20028514</w:t>
      </w:r>
      <w:proofErr w:type="gramEnd"/>
      <w:r w:rsidR="00355ABB" w:rsidRPr="00756DC7">
        <w:rPr>
          <w:rFonts w:ascii="Book Antiqua" w:hAnsi="Book Antiqua"/>
          <w:sz w:val="24"/>
        </w:rPr>
        <w:t xml:space="preserve"> </w:t>
      </w:r>
      <w:r w:rsidRPr="00756DC7">
        <w:rPr>
          <w:rFonts w:ascii="Book Antiqua" w:hAnsi="Book Antiqua"/>
          <w:sz w:val="24"/>
        </w:rPr>
        <w:t>[DO</w:t>
      </w:r>
      <w:r w:rsidR="00355ABB" w:rsidRPr="00756DC7">
        <w:rPr>
          <w:rFonts w:ascii="Book Antiqua" w:hAnsi="Book Antiqua"/>
          <w:sz w:val="24"/>
        </w:rPr>
        <w:t>I: 10.1101/2020.02.28.20028514]</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27 </w:t>
      </w:r>
      <w:r w:rsidRPr="00756DC7">
        <w:rPr>
          <w:rFonts w:ascii="Book Antiqua" w:hAnsi="Book Antiqua"/>
          <w:b/>
          <w:sz w:val="24"/>
        </w:rPr>
        <w:t>Zhao JM</w:t>
      </w:r>
      <w:r w:rsidRPr="00756DC7">
        <w:rPr>
          <w:rFonts w:ascii="Book Antiqua" w:hAnsi="Book Antiqua"/>
          <w:sz w:val="24"/>
        </w:rPr>
        <w:t xml:space="preserve">, Zhou GD, Sun YL, Wang SS, Yang JF, Meng EH, Pan D, Li WS, Zhou XS, Wang YD, Lu JY, Li N, Wang DW, Zhou BC, Zhang TH. </w:t>
      </w:r>
      <w:proofErr w:type="gramStart"/>
      <w:r w:rsidRPr="00756DC7">
        <w:rPr>
          <w:rFonts w:ascii="Book Antiqua" w:hAnsi="Book Antiqua"/>
          <w:sz w:val="24"/>
        </w:rPr>
        <w:t>[Clinical pathology and pathogenesis of severe acute respiratory syndrome].</w:t>
      </w:r>
      <w:proofErr w:type="gramEnd"/>
      <w:r w:rsidRPr="00756DC7">
        <w:rPr>
          <w:rFonts w:ascii="Book Antiqua" w:hAnsi="Book Antiqua"/>
          <w:sz w:val="24"/>
        </w:rPr>
        <w:t xml:space="preserve"> </w:t>
      </w:r>
      <w:proofErr w:type="spellStart"/>
      <w:r w:rsidRPr="00756DC7">
        <w:rPr>
          <w:rFonts w:ascii="Book Antiqua" w:hAnsi="Book Antiqua"/>
          <w:i/>
          <w:sz w:val="24"/>
        </w:rPr>
        <w:t>Zhonghua</w:t>
      </w:r>
      <w:proofErr w:type="spellEnd"/>
      <w:r w:rsidRPr="00756DC7">
        <w:rPr>
          <w:rFonts w:ascii="Book Antiqua" w:hAnsi="Book Antiqua"/>
          <w:i/>
          <w:sz w:val="24"/>
        </w:rPr>
        <w:t xml:space="preserve"> Shi Yan He Lin Chuang Bing Du </w:t>
      </w:r>
      <w:proofErr w:type="spellStart"/>
      <w:r w:rsidRPr="00756DC7">
        <w:rPr>
          <w:rFonts w:ascii="Book Antiqua" w:hAnsi="Book Antiqua"/>
          <w:i/>
          <w:sz w:val="24"/>
        </w:rPr>
        <w:t>Xue</w:t>
      </w:r>
      <w:proofErr w:type="spellEnd"/>
      <w:r w:rsidRPr="00756DC7">
        <w:rPr>
          <w:rFonts w:ascii="Book Antiqua" w:hAnsi="Book Antiqua"/>
          <w:i/>
          <w:sz w:val="24"/>
        </w:rPr>
        <w:t xml:space="preserve"> Za </w:t>
      </w:r>
      <w:proofErr w:type="spellStart"/>
      <w:r w:rsidRPr="00756DC7">
        <w:rPr>
          <w:rFonts w:ascii="Book Antiqua" w:hAnsi="Book Antiqua"/>
          <w:i/>
          <w:sz w:val="24"/>
        </w:rPr>
        <w:t>Zhi</w:t>
      </w:r>
      <w:proofErr w:type="spellEnd"/>
      <w:r w:rsidRPr="00756DC7">
        <w:rPr>
          <w:rFonts w:ascii="Book Antiqua" w:hAnsi="Book Antiqua"/>
          <w:sz w:val="24"/>
        </w:rPr>
        <w:t xml:space="preserve"> 2003; </w:t>
      </w:r>
      <w:r w:rsidRPr="00756DC7">
        <w:rPr>
          <w:rFonts w:ascii="Book Antiqua" w:hAnsi="Book Antiqua"/>
          <w:b/>
          <w:sz w:val="24"/>
        </w:rPr>
        <w:t>17</w:t>
      </w:r>
      <w:r w:rsidRPr="00756DC7">
        <w:rPr>
          <w:rFonts w:ascii="Book Antiqua" w:hAnsi="Book Antiqua"/>
          <w:sz w:val="24"/>
        </w:rPr>
        <w:t>: 217-221 [PMID: 15340561]</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28 </w:t>
      </w:r>
      <w:r w:rsidRPr="00756DC7">
        <w:rPr>
          <w:rFonts w:ascii="Book Antiqua" w:hAnsi="Book Antiqua"/>
          <w:b/>
          <w:sz w:val="24"/>
        </w:rPr>
        <w:t>Feng G</w:t>
      </w:r>
      <w:r w:rsidRPr="00756DC7">
        <w:rPr>
          <w:rFonts w:ascii="Book Antiqua" w:hAnsi="Book Antiqua"/>
          <w:sz w:val="24"/>
        </w:rPr>
        <w:t xml:space="preserve">, Zheng KI, Yan QQ, Rios RS, </w:t>
      </w:r>
      <w:proofErr w:type="spellStart"/>
      <w:r w:rsidRPr="00756DC7">
        <w:rPr>
          <w:rFonts w:ascii="Book Antiqua" w:hAnsi="Book Antiqua"/>
          <w:sz w:val="24"/>
        </w:rPr>
        <w:t>Targher</w:t>
      </w:r>
      <w:proofErr w:type="spellEnd"/>
      <w:r w:rsidRPr="00756DC7">
        <w:rPr>
          <w:rFonts w:ascii="Book Antiqua" w:hAnsi="Book Antiqua"/>
          <w:sz w:val="24"/>
        </w:rPr>
        <w:t xml:space="preserve"> G, Byrne CD, </w:t>
      </w:r>
      <w:proofErr w:type="spellStart"/>
      <w:r w:rsidRPr="00756DC7">
        <w:rPr>
          <w:rFonts w:ascii="Book Antiqua" w:hAnsi="Book Antiqua"/>
          <w:sz w:val="24"/>
        </w:rPr>
        <w:t>Poucke</w:t>
      </w:r>
      <w:proofErr w:type="spellEnd"/>
      <w:r w:rsidRPr="00756DC7">
        <w:rPr>
          <w:rFonts w:ascii="Book Antiqua" w:hAnsi="Book Antiqua"/>
          <w:sz w:val="24"/>
        </w:rPr>
        <w:t xml:space="preserve"> SV, Liu WY, Zheng MH. COVID-19 and Liver Dysfunction: Current Insights and Emergent Therapeutic Strategies. </w:t>
      </w:r>
      <w:r w:rsidRPr="00756DC7">
        <w:rPr>
          <w:rFonts w:ascii="Book Antiqua" w:hAnsi="Book Antiqua"/>
          <w:i/>
          <w:sz w:val="24"/>
        </w:rPr>
        <w:t xml:space="preserve">J Clin </w:t>
      </w:r>
      <w:proofErr w:type="spellStart"/>
      <w:r w:rsidRPr="00756DC7">
        <w:rPr>
          <w:rFonts w:ascii="Book Antiqua" w:hAnsi="Book Antiqua"/>
          <w:i/>
          <w:sz w:val="24"/>
        </w:rPr>
        <w:t>Transl</w:t>
      </w:r>
      <w:proofErr w:type="spellEnd"/>
      <w:r w:rsidRPr="00756DC7">
        <w:rPr>
          <w:rFonts w:ascii="Book Antiqua" w:hAnsi="Book Antiqua"/>
          <w:i/>
          <w:sz w:val="24"/>
        </w:rPr>
        <w:t xml:space="preserve"> Hepatol</w:t>
      </w:r>
      <w:r w:rsidRPr="00756DC7">
        <w:rPr>
          <w:rFonts w:ascii="Book Antiqua" w:hAnsi="Book Antiqua"/>
          <w:sz w:val="24"/>
        </w:rPr>
        <w:t xml:space="preserve"> 2020; </w:t>
      </w:r>
      <w:r w:rsidRPr="00756DC7">
        <w:rPr>
          <w:rFonts w:ascii="Book Antiqua" w:hAnsi="Book Antiqua"/>
          <w:b/>
          <w:sz w:val="24"/>
        </w:rPr>
        <w:t>8</w:t>
      </w:r>
      <w:r w:rsidRPr="00756DC7">
        <w:rPr>
          <w:rFonts w:ascii="Book Antiqua" w:hAnsi="Book Antiqua"/>
          <w:sz w:val="24"/>
        </w:rPr>
        <w:t>: 18-24 [PMID: 32274342 DOI: 10.14218/JCTH.2020.00018]</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29 </w:t>
      </w:r>
      <w:r w:rsidRPr="00756DC7">
        <w:rPr>
          <w:rFonts w:ascii="Book Antiqua" w:hAnsi="Book Antiqua"/>
          <w:b/>
          <w:sz w:val="24"/>
        </w:rPr>
        <w:t>Yang Z</w:t>
      </w:r>
      <w:r w:rsidRPr="00756DC7">
        <w:rPr>
          <w:rFonts w:ascii="Book Antiqua" w:hAnsi="Book Antiqua"/>
          <w:sz w:val="24"/>
        </w:rPr>
        <w:t xml:space="preserve">, Xu M, Yi JQ, Jia WD. Clinical characteristics and mechanism of liver damage in patients with severe acute respiratory syndrome. </w:t>
      </w:r>
      <w:r w:rsidRPr="00756DC7">
        <w:rPr>
          <w:rFonts w:ascii="Book Antiqua" w:hAnsi="Book Antiqua"/>
          <w:i/>
          <w:sz w:val="24"/>
        </w:rPr>
        <w:t xml:space="preserve">Hepatobiliary </w:t>
      </w:r>
      <w:proofErr w:type="spellStart"/>
      <w:r w:rsidRPr="00756DC7">
        <w:rPr>
          <w:rFonts w:ascii="Book Antiqua" w:hAnsi="Book Antiqua"/>
          <w:i/>
          <w:sz w:val="24"/>
        </w:rPr>
        <w:t>Pancreat</w:t>
      </w:r>
      <w:proofErr w:type="spellEnd"/>
      <w:r w:rsidRPr="00756DC7">
        <w:rPr>
          <w:rFonts w:ascii="Book Antiqua" w:hAnsi="Book Antiqua"/>
          <w:i/>
          <w:sz w:val="24"/>
        </w:rPr>
        <w:t xml:space="preserve"> Dis Int</w:t>
      </w:r>
      <w:r w:rsidRPr="00756DC7">
        <w:rPr>
          <w:rFonts w:ascii="Book Antiqua" w:hAnsi="Book Antiqua"/>
          <w:sz w:val="24"/>
        </w:rPr>
        <w:t xml:space="preserve"> 2005; </w:t>
      </w:r>
      <w:r w:rsidRPr="00756DC7">
        <w:rPr>
          <w:rFonts w:ascii="Book Antiqua" w:hAnsi="Book Antiqua"/>
          <w:b/>
          <w:sz w:val="24"/>
        </w:rPr>
        <w:t>4</w:t>
      </w:r>
      <w:r w:rsidRPr="00756DC7">
        <w:rPr>
          <w:rFonts w:ascii="Book Antiqua" w:hAnsi="Book Antiqua"/>
          <w:sz w:val="24"/>
        </w:rPr>
        <w:t>: 60-63 [PMID: 15730921]</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lastRenderedPageBreak/>
        <w:t xml:space="preserve">30 </w:t>
      </w:r>
      <w:r w:rsidRPr="00756DC7">
        <w:rPr>
          <w:rFonts w:ascii="Book Antiqua" w:hAnsi="Book Antiqua"/>
          <w:b/>
          <w:sz w:val="24"/>
        </w:rPr>
        <w:t>Yang X</w:t>
      </w:r>
      <w:r w:rsidRPr="00756DC7">
        <w:rPr>
          <w:rFonts w:ascii="Book Antiqua" w:hAnsi="Book Antiqua"/>
          <w:sz w:val="24"/>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756DC7">
        <w:rPr>
          <w:rFonts w:ascii="Book Antiqua" w:hAnsi="Book Antiqua"/>
          <w:i/>
          <w:sz w:val="24"/>
        </w:rPr>
        <w:t>Lancet Respir Med</w:t>
      </w:r>
      <w:r w:rsidRPr="00756DC7">
        <w:rPr>
          <w:rFonts w:ascii="Book Antiqua" w:hAnsi="Book Antiqua"/>
          <w:sz w:val="24"/>
        </w:rPr>
        <w:t xml:space="preserve"> 2020; </w:t>
      </w:r>
      <w:r w:rsidRPr="00756DC7">
        <w:rPr>
          <w:rFonts w:ascii="Book Antiqua" w:hAnsi="Book Antiqua"/>
          <w:b/>
          <w:sz w:val="24"/>
        </w:rPr>
        <w:t>8</w:t>
      </w:r>
      <w:r w:rsidRPr="00756DC7">
        <w:rPr>
          <w:rFonts w:ascii="Book Antiqua" w:hAnsi="Book Antiqua"/>
          <w:sz w:val="24"/>
        </w:rPr>
        <w:t>: 475-481 [PMID: 32105632 DOI: 10.1016/S2213-2600(20)30079-5]</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31 </w:t>
      </w:r>
      <w:r w:rsidRPr="00756DC7">
        <w:rPr>
          <w:rFonts w:ascii="Book Antiqua" w:hAnsi="Book Antiqua"/>
          <w:b/>
          <w:sz w:val="24"/>
        </w:rPr>
        <w:t>Fan Z</w:t>
      </w:r>
      <w:r w:rsidRPr="00756DC7">
        <w:rPr>
          <w:rFonts w:ascii="Book Antiqua" w:hAnsi="Book Antiqua"/>
          <w:sz w:val="24"/>
        </w:rPr>
        <w:t xml:space="preserve">, Chen L, Li J, Cheng X, Yang J, Tian C, Zhang Y, Huang S, Liu Z, Cheng J. Clinical Features of COVID-19-Related Liver Damage. </w:t>
      </w:r>
      <w:r w:rsidRPr="00756DC7">
        <w:rPr>
          <w:rFonts w:ascii="Book Antiqua" w:hAnsi="Book Antiqua"/>
          <w:i/>
          <w:sz w:val="24"/>
        </w:rPr>
        <w:t>Clin Gastroenterol Hepatol</w:t>
      </w:r>
      <w:r w:rsidR="00F428CC" w:rsidRPr="00756DC7">
        <w:rPr>
          <w:rFonts w:ascii="Book Antiqua" w:hAnsi="Book Antiqua"/>
          <w:sz w:val="24"/>
        </w:rPr>
        <w:t xml:space="preserve"> 2020</w:t>
      </w:r>
      <w:r w:rsidRPr="00756DC7">
        <w:rPr>
          <w:rFonts w:ascii="Book Antiqua" w:hAnsi="Book Antiqua"/>
          <w:sz w:val="24"/>
        </w:rPr>
        <w:t>:</w:t>
      </w:r>
      <w:r w:rsidR="00F428CC" w:rsidRPr="00756DC7">
        <w:rPr>
          <w:rFonts w:ascii="Book Antiqua" w:hAnsi="Book Antiqua"/>
          <w:sz w:val="24"/>
        </w:rPr>
        <w:t xml:space="preserve"> S1542-3565(20)30482-1 </w:t>
      </w:r>
      <w:r w:rsidRPr="00756DC7">
        <w:rPr>
          <w:rFonts w:ascii="Book Antiqua" w:hAnsi="Book Antiqua"/>
          <w:sz w:val="24"/>
        </w:rPr>
        <w:t>[PMID: 32283325 DOI: 10.1016/j.cgh.2020.04.002]</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32 </w:t>
      </w:r>
      <w:r w:rsidRPr="00756DC7">
        <w:rPr>
          <w:rFonts w:ascii="Book Antiqua" w:hAnsi="Book Antiqua"/>
          <w:b/>
          <w:sz w:val="24"/>
        </w:rPr>
        <w:t>Liu C</w:t>
      </w:r>
      <w:r w:rsidRPr="00756DC7">
        <w:rPr>
          <w:rFonts w:ascii="Book Antiqua" w:hAnsi="Book Antiqua"/>
          <w:sz w:val="24"/>
        </w:rPr>
        <w:t xml:space="preserve">, Jiang ZC, Shao CX, Zhang HG, Yue HM, Chen ZH, Ma BY, Liu WY, Huang HH, Yang J, Wang Y, Liu HY, Xu D, Wang JT, Yang JY, Pan HQ, Zou SQ, Li FJ, Lei JQ, Li X, He Q, Gu Y, Qi XL. [Preliminary study of the relationship between novel coronavirus pneumonia and liver function damage: a multicenter study]. </w:t>
      </w:r>
      <w:proofErr w:type="spellStart"/>
      <w:r w:rsidRPr="00756DC7">
        <w:rPr>
          <w:rFonts w:ascii="Book Antiqua" w:hAnsi="Book Antiqua"/>
          <w:i/>
          <w:sz w:val="24"/>
        </w:rPr>
        <w:t>Zhonghua</w:t>
      </w:r>
      <w:proofErr w:type="spellEnd"/>
      <w:r w:rsidRPr="00756DC7">
        <w:rPr>
          <w:rFonts w:ascii="Book Antiqua" w:hAnsi="Book Antiqua"/>
          <w:i/>
          <w:sz w:val="24"/>
        </w:rPr>
        <w:t xml:space="preserve"> Gan Zang Bing Za </w:t>
      </w:r>
      <w:proofErr w:type="spellStart"/>
      <w:r w:rsidRPr="00756DC7">
        <w:rPr>
          <w:rFonts w:ascii="Book Antiqua" w:hAnsi="Book Antiqua"/>
          <w:i/>
          <w:sz w:val="24"/>
        </w:rPr>
        <w:t>Zhi</w:t>
      </w:r>
      <w:proofErr w:type="spellEnd"/>
      <w:r w:rsidRPr="00756DC7">
        <w:rPr>
          <w:rFonts w:ascii="Book Antiqua" w:hAnsi="Book Antiqua"/>
          <w:sz w:val="24"/>
        </w:rPr>
        <w:t xml:space="preserve"> 2020; </w:t>
      </w:r>
      <w:r w:rsidRPr="00756DC7">
        <w:rPr>
          <w:rFonts w:ascii="Book Antiqua" w:hAnsi="Book Antiqua"/>
          <w:b/>
          <w:sz w:val="24"/>
        </w:rPr>
        <w:t>28</w:t>
      </w:r>
      <w:r w:rsidRPr="00756DC7">
        <w:rPr>
          <w:rFonts w:ascii="Book Antiqua" w:hAnsi="Book Antiqua"/>
          <w:sz w:val="24"/>
        </w:rPr>
        <w:t xml:space="preserve">: 148-152 [PMID: 32077660 DOI: </w:t>
      </w:r>
      <w:r w:rsidR="00D25C44" w:rsidRPr="00756DC7">
        <w:rPr>
          <w:rFonts w:ascii="Book Antiqua" w:hAnsi="Book Antiqua"/>
          <w:sz w:val="24"/>
        </w:rPr>
        <w:t>10.3760/cma.j.issn.1007-3418.2020.02.003</w:t>
      </w:r>
      <w:r w:rsidRPr="00756DC7">
        <w:rPr>
          <w:rFonts w:ascii="Book Antiqua" w:hAnsi="Book Antiqua"/>
          <w:sz w:val="24"/>
        </w:rPr>
        <w:t>]</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33 </w:t>
      </w:r>
      <w:r w:rsidRPr="00756DC7">
        <w:rPr>
          <w:rFonts w:ascii="Book Antiqua" w:hAnsi="Book Antiqua"/>
          <w:b/>
          <w:sz w:val="24"/>
        </w:rPr>
        <w:t>Huang C</w:t>
      </w:r>
      <w:r w:rsidRPr="00756DC7">
        <w:rPr>
          <w:rFonts w:ascii="Book Antiqua" w:hAnsi="Book Antiqua"/>
          <w:sz w:val="24"/>
        </w:rPr>
        <w:t xml:space="preserve">, Wang Y, Li X, Ren L, Zhao J, Hu Y, Zhang L, Fan G, Xu J, Gu X, Cheng Z, Yu T, Xia J, Wei Y, Wu W, </w:t>
      </w:r>
      <w:proofErr w:type="spellStart"/>
      <w:r w:rsidRPr="00756DC7">
        <w:rPr>
          <w:rFonts w:ascii="Book Antiqua" w:hAnsi="Book Antiqua"/>
          <w:sz w:val="24"/>
        </w:rPr>
        <w:t>Xie</w:t>
      </w:r>
      <w:proofErr w:type="spellEnd"/>
      <w:r w:rsidRPr="00756DC7">
        <w:rPr>
          <w:rFonts w:ascii="Book Antiqua" w:hAnsi="Book Antiqua"/>
          <w:sz w:val="24"/>
        </w:rPr>
        <w:t xml:space="preserve"> X, Yin W, Li H, Liu M, Xiao Y, Gao H, Guo L, </w:t>
      </w:r>
      <w:proofErr w:type="spellStart"/>
      <w:r w:rsidRPr="00756DC7">
        <w:rPr>
          <w:rFonts w:ascii="Book Antiqua" w:hAnsi="Book Antiqua"/>
          <w:sz w:val="24"/>
        </w:rPr>
        <w:t>Xie</w:t>
      </w:r>
      <w:proofErr w:type="spellEnd"/>
      <w:r w:rsidRPr="00756DC7">
        <w:rPr>
          <w:rFonts w:ascii="Book Antiqua" w:hAnsi="Book Antiqua"/>
          <w:sz w:val="24"/>
        </w:rPr>
        <w:t xml:space="preserve"> J, Wang G, Jiang R, Gao Z, </w:t>
      </w:r>
      <w:proofErr w:type="spellStart"/>
      <w:r w:rsidRPr="00756DC7">
        <w:rPr>
          <w:rFonts w:ascii="Book Antiqua" w:hAnsi="Book Antiqua"/>
          <w:sz w:val="24"/>
        </w:rPr>
        <w:t>Jin</w:t>
      </w:r>
      <w:proofErr w:type="spellEnd"/>
      <w:r w:rsidRPr="00756DC7">
        <w:rPr>
          <w:rFonts w:ascii="Book Antiqua" w:hAnsi="Book Antiqua"/>
          <w:sz w:val="24"/>
        </w:rPr>
        <w:t xml:space="preserve"> Q, Wang J, Cao B. Clinical features of patients infected with 2019 novel coronavirus in Wuhan, China. </w:t>
      </w:r>
      <w:r w:rsidRPr="00756DC7">
        <w:rPr>
          <w:rFonts w:ascii="Book Antiqua" w:hAnsi="Book Antiqua"/>
          <w:i/>
          <w:sz w:val="24"/>
        </w:rPr>
        <w:t>Lancet</w:t>
      </w:r>
      <w:r w:rsidRPr="00756DC7">
        <w:rPr>
          <w:rFonts w:ascii="Book Antiqua" w:hAnsi="Book Antiqua"/>
          <w:sz w:val="24"/>
        </w:rPr>
        <w:t xml:space="preserve"> 2020; </w:t>
      </w:r>
      <w:r w:rsidRPr="00756DC7">
        <w:rPr>
          <w:rFonts w:ascii="Book Antiqua" w:hAnsi="Book Antiqua"/>
          <w:b/>
          <w:sz w:val="24"/>
        </w:rPr>
        <w:t>395</w:t>
      </w:r>
      <w:r w:rsidRPr="00756DC7">
        <w:rPr>
          <w:rFonts w:ascii="Book Antiqua" w:hAnsi="Book Antiqua"/>
          <w:sz w:val="24"/>
        </w:rPr>
        <w:t>: 497-506 [PMID: 31986264 DOI: 10.1016/S0140-6736(20)30183-5]</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34 </w:t>
      </w:r>
      <w:proofErr w:type="spellStart"/>
      <w:r w:rsidRPr="00756DC7">
        <w:rPr>
          <w:rFonts w:ascii="Book Antiqua" w:hAnsi="Book Antiqua"/>
          <w:b/>
          <w:sz w:val="24"/>
        </w:rPr>
        <w:t>Zha</w:t>
      </w:r>
      <w:proofErr w:type="spellEnd"/>
      <w:r w:rsidRPr="00756DC7">
        <w:rPr>
          <w:rFonts w:ascii="Book Antiqua" w:hAnsi="Book Antiqua"/>
          <w:b/>
          <w:sz w:val="24"/>
        </w:rPr>
        <w:t xml:space="preserve"> L</w:t>
      </w:r>
      <w:r w:rsidRPr="00756DC7">
        <w:rPr>
          <w:rFonts w:ascii="Book Antiqua" w:hAnsi="Book Antiqua"/>
          <w:sz w:val="24"/>
        </w:rPr>
        <w:t xml:space="preserve">, Li S, Pan L, </w:t>
      </w:r>
      <w:proofErr w:type="spellStart"/>
      <w:r w:rsidRPr="00756DC7">
        <w:rPr>
          <w:rFonts w:ascii="Book Antiqua" w:hAnsi="Book Antiqua"/>
          <w:sz w:val="24"/>
        </w:rPr>
        <w:t>Tefsen</w:t>
      </w:r>
      <w:proofErr w:type="spellEnd"/>
      <w:r w:rsidRPr="00756DC7">
        <w:rPr>
          <w:rFonts w:ascii="Book Antiqua" w:hAnsi="Book Antiqua"/>
          <w:sz w:val="24"/>
        </w:rPr>
        <w:t xml:space="preserve"> B, Li Y, French N, Chen L, Yang G, Villanueva EV. </w:t>
      </w:r>
      <w:proofErr w:type="gramStart"/>
      <w:r w:rsidRPr="00756DC7">
        <w:rPr>
          <w:rFonts w:ascii="Book Antiqua" w:hAnsi="Book Antiqua"/>
          <w:sz w:val="24"/>
        </w:rPr>
        <w:t>Corticosteroid treatment of patients with coronavirus disease 2019 (COVID-19).</w:t>
      </w:r>
      <w:proofErr w:type="gramEnd"/>
      <w:r w:rsidRPr="00756DC7">
        <w:rPr>
          <w:rFonts w:ascii="Book Antiqua" w:hAnsi="Book Antiqua"/>
          <w:sz w:val="24"/>
        </w:rPr>
        <w:t xml:space="preserve"> </w:t>
      </w:r>
      <w:r w:rsidRPr="00756DC7">
        <w:rPr>
          <w:rFonts w:ascii="Book Antiqua" w:hAnsi="Book Antiqua"/>
          <w:i/>
          <w:sz w:val="24"/>
        </w:rPr>
        <w:t>Med J Aust</w:t>
      </w:r>
      <w:r w:rsidRPr="00756DC7">
        <w:rPr>
          <w:rFonts w:ascii="Book Antiqua" w:hAnsi="Book Antiqua"/>
          <w:sz w:val="24"/>
        </w:rPr>
        <w:t xml:space="preserve"> 2020 [PMID: 32266987 DOI: 10.5694/mja2.50577]</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35 </w:t>
      </w:r>
      <w:r w:rsidRPr="00756DC7">
        <w:rPr>
          <w:rFonts w:ascii="Book Antiqua" w:hAnsi="Book Antiqua"/>
          <w:b/>
          <w:sz w:val="24"/>
        </w:rPr>
        <w:t>Kumar R</w:t>
      </w:r>
      <w:r w:rsidRPr="00756DC7">
        <w:rPr>
          <w:rFonts w:ascii="Book Antiqua" w:hAnsi="Book Antiqua"/>
          <w:sz w:val="24"/>
        </w:rPr>
        <w:t xml:space="preserve">, </w:t>
      </w:r>
      <w:proofErr w:type="spellStart"/>
      <w:r w:rsidRPr="00756DC7">
        <w:rPr>
          <w:rFonts w:ascii="Book Antiqua" w:hAnsi="Book Antiqua"/>
          <w:sz w:val="24"/>
        </w:rPr>
        <w:t>Semaine</w:t>
      </w:r>
      <w:proofErr w:type="spellEnd"/>
      <w:r w:rsidRPr="00756DC7">
        <w:rPr>
          <w:rFonts w:ascii="Book Antiqua" w:hAnsi="Book Antiqua"/>
          <w:sz w:val="24"/>
        </w:rPr>
        <w:t xml:space="preserve"> W, </w:t>
      </w:r>
      <w:proofErr w:type="spellStart"/>
      <w:r w:rsidRPr="00756DC7">
        <w:rPr>
          <w:rFonts w:ascii="Book Antiqua" w:hAnsi="Book Antiqua"/>
          <w:sz w:val="24"/>
        </w:rPr>
        <w:t>Johar</w:t>
      </w:r>
      <w:proofErr w:type="spellEnd"/>
      <w:r w:rsidRPr="00756DC7">
        <w:rPr>
          <w:rFonts w:ascii="Book Antiqua" w:hAnsi="Book Antiqua"/>
          <w:sz w:val="24"/>
        </w:rPr>
        <w:t xml:space="preserve"> M, Tyrrell DL, Agrawal B. Effect of various pyrimidines possessing the 1-[(2-hydroxy-1-(hydroxymethyl)ethoxy)methyl] moiety, able to mimic natural 2'-deoxyribose, on wild-type and mutant hepatitis B virus replication. </w:t>
      </w:r>
      <w:r w:rsidRPr="00756DC7">
        <w:rPr>
          <w:rFonts w:ascii="Book Antiqua" w:hAnsi="Book Antiqua"/>
          <w:i/>
          <w:sz w:val="24"/>
        </w:rPr>
        <w:t>J Med Chem</w:t>
      </w:r>
      <w:r w:rsidRPr="00756DC7">
        <w:rPr>
          <w:rFonts w:ascii="Book Antiqua" w:hAnsi="Book Antiqua"/>
          <w:sz w:val="24"/>
        </w:rPr>
        <w:t xml:space="preserve"> 2006; </w:t>
      </w:r>
      <w:r w:rsidRPr="00756DC7">
        <w:rPr>
          <w:rFonts w:ascii="Book Antiqua" w:hAnsi="Book Antiqua"/>
          <w:b/>
          <w:sz w:val="24"/>
        </w:rPr>
        <w:t>49</w:t>
      </w:r>
      <w:r w:rsidRPr="00756DC7">
        <w:rPr>
          <w:rFonts w:ascii="Book Antiqua" w:hAnsi="Book Antiqua"/>
          <w:sz w:val="24"/>
        </w:rPr>
        <w:t>: 3693-3700 [PMID: 16759112 DOI: 10.1021/jm060102]</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36 </w:t>
      </w:r>
      <w:r w:rsidRPr="00756DC7">
        <w:rPr>
          <w:rFonts w:ascii="Book Antiqua" w:hAnsi="Book Antiqua"/>
          <w:b/>
          <w:sz w:val="24"/>
        </w:rPr>
        <w:t>Peiris JS</w:t>
      </w:r>
      <w:r w:rsidRPr="00756DC7">
        <w:rPr>
          <w:rFonts w:ascii="Book Antiqua" w:hAnsi="Book Antiqua"/>
          <w:sz w:val="24"/>
        </w:rPr>
        <w:t xml:space="preserve">, Chu CM, Cheng VC, Chan KS, Hung IF, Poon LL, Law KI, Tang BS, Hon TY, Chan CS, Chan KH, Ng JS, Zheng BJ, Ng WL, Lai RW, Guan Y, Yuen KY; HKU/UCH SARS Study Group. Clinical progression and viral load </w:t>
      </w:r>
      <w:r w:rsidRPr="00756DC7">
        <w:rPr>
          <w:rFonts w:ascii="Book Antiqua" w:hAnsi="Book Antiqua"/>
          <w:sz w:val="24"/>
        </w:rPr>
        <w:lastRenderedPageBreak/>
        <w:t xml:space="preserve">in a community outbreak of coronavirus-associated SARS pneumonia: a prospective study. </w:t>
      </w:r>
      <w:r w:rsidRPr="00756DC7">
        <w:rPr>
          <w:rFonts w:ascii="Book Antiqua" w:hAnsi="Book Antiqua"/>
          <w:i/>
          <w:sz w:val="24"/>
        </w:rPr>
        <w:t>Lancet</w:t>
      </w:r>
      <w:r w:rsidRPr="00756DC7">
        <w:rPr>
          <w:rFonts w:ascii="Book Antiqua" w:hAnsi="Book Antiqua"/>
          <w:sz w:val="24"/>
        </w:rPr>
        <w:t xml:space="preserve"> 2003; </w:t>
      </w:r>
      <w:r w:rsidRPr="00756DC7">
        <w:rPr>
          <w:rFonts w:ascii="Book Antiqua" w:hAnsi="Book Antiqua"/>
          <w:b/>
          <w:sz w:val="24"/>
        </w:rPr>
        <w:t>361</w:t>
      </w:r>
      <w:r w:rsidRPr="00756DC7">
        <w:rPr>
          <w:rFonts w:ascii="Book Antiqua" w:hAnsi="Book Antiqua"/>
          <w:sz w:val="24"/>
        </w:rPr>
        <w:t>: 1767-1772 [PMID: 12781535 DOI: 10.1016/s0140-6736(03)13412-5]</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37 </w:t>
      </w:r>
      <w:r w:rsidRPr="00756DC7">
        <w:rPr>
          <w:rFonts w:ascii="Book Antiqua" w:hAnsi="Book Antiqua"/>
          <w:b/>
          <w:sz w:val="24"/>
        </w:rPr>
        <w:t>Guan WJ</w:t>
      </w:r>
      <w:r w:rsidRPr="00756DC7">
        <w:rPr>
          <w:rFonts w:ascii="Book Antiqua" w:hAnsi="Book Antiqua"/>
          <w:sz w:val="24"/>
        </w:rPr>
        <w:t xml:space="preserve">, Ni ZY, Hu Y, Liang WH, </w:t>
      </w:r>
      <w:proofErr w:type="spellStart"/>
      <w:r w:rsidRPr="00756DC7">
        <w:rPr>
          <w:rFonts w:ascii="Book Antiqua" w:hAnsi="Book Antiqua"/>
          <w:sz w:val="24"/>
        </w:rPr>
        <w:t>Ou</w:t>
      </w:r>
      <w:proofErr w:type="spellEnd"/>
      <w:r w:rsidRPr="00756DC7">
        <w:rPr>
          <w:rFonts w:ascii="Book Antiqua" w:hAnsi="Book Antiqua"/>
          <w:sz w:val="24"/>
        </w:rPr>
        <w:t xml:space="preserve"> CQ, He JX, Liu L, Shan H, Lei CL, Hui DSC, Du B, Li LJ, Zeng G, Yuen KY, Chen RC, Tang CL, Wang T, Chen PY, Xiang J, Li SY, Wang JL, Liang ZJ, Peng YX, Wei L, Liu Y, Hu YH, Peng P, Wang JM, Liu JY, Chen Z, Li G, Zheng ZJ, </w:t>
      </w:r>
      <w:proofErr w:type="spellStart"/>
      <w:r w:rsidRPr="00756DC7">
        <w:rPr>
          <w:rFonts w:ascii="Book Antiqua" w:hAnsi="Book Antiqua"/>
          <w:sz w:val="24"/>
        </w:rPr>
        <w:t>Qiu</w:t>
      </w:r>
      <w:proofErr w:type="spellEnd"/>
      <w:r w:rsidRPr="00756DC7">
        <w:rPr>
          <w:rFonts w:ascii="Book Antiqua" w:hAnsi="Book Antiqua"/>
          <w:sz w:val="24"/>
        </w:rPr>
        <w:t xml:space="preserve"> SQ, Luo J, Ye CJ, Zhu SY, Zhong NS; China Medical Treatment Expert Group for Covid-19. </w:t>
      </w:r>
      <w:proofErr w:type="gramStart"/>
      <w:r w:rsidRPr="00756DC7">
        <w:rPr>
          <w:rFonts w:ascii="Book Antiqua" w:hAnsi="Book Antiqua"/>
          <w:sz w:val="24"/>
        </w:rPr>
        <w:t>Clinical Characteristics of Coronavirus Disease 2019 in China.</w:t>
      </w:r>
      <w:proofErr w:type="gramEnd"/>
      <w:r w:rsidRPr="00756DC7">
        <w:rPr>
          <w:rFonts w:ascii="Book Antiqua" w:hAnsi="Book Antiqua"/>
          <w:sz w:val="24"/>
        </w:rPr>
        <w:t xml:space="preserve"> </w:t>
      </w:r>
      <w:r w:rsidRPr="00756DC7">
        <w:rPr>
          <w:rFonts w:ascii="Book Antiqua" w:hAnsi="Book Antiqua"/>
          <w:i/>
          <w:sz w:val="24"/>
        </w:rPr>
        <w:t xml:space="preserve">N </w:t>
      </w:r>
      <w:proofErr w:type="spellStart"/>
      <w:r w:rsidRPr="00756DC7">
        <w:rPr>
          <w:rFonts w:ascii="Book Antiqua" w:hAnsi="Book Antiqua"/>
          <w:i/>
          <w:sz w:val="24"/>
        </w:rPr>
        <w:t>Engl</w:t>
      </w:r>
      <w:proofErr w:type="spellEnd"/>
      <w:r w:rsidRPr="00756DC7">
        <w:rPr>
          <w:rFonts w:ascii="Book Antiqua" w:hAnsi="Book Antiqua"/>
          <w:i/>
          <w:sz w:val="24"/>
        </w:rPr>
        <w:t xml:space="preserve"> J Med</w:t>
      </w:r>
      <w:r w:rsidRPr="00756DC7">
        <w:rPr>
          <w:rFonts w:ascii="Book Antiqua" w:hAnsi="Book Antiqua"/>
          <w:sz w:val="24"/>
        </w:rPr>
        <w:t xml:space="preserve"> 2020; </w:t>
      </w:r>
      <w:r w:rsidRPr="00756DC7">
        <w:rPr>
          <w:rFonts w:ascii="Book Antiqua" w:hAnsi="Book Antiqua"/>
          <w:b/>
          <w:sz w:val="24"/>
        </w:rPr>
        <w:t>382</w:t>
      </w:r>
      <w:r w:rsidRPr="00756DC7">
        <w:rPr>
          <w:rFonts w:ascii="Book Antiqua" w:hAnsi="Book Antiqua"/>
          <w:sz w:val="24"/>
        </w:rPr>
        <w:t>: 1708-1720 [PMID: 32109013 DOI: 10.1056/NEJMoa2002032]</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38 </w:t>
      </w:r>
      <w:r w:rsidRPr="00756DC7">
        <w:rPr>
          <w:rFonts w:ascii="Book Antiqua" w:hAnsi="Book Antiqua"/>
          <w:b/>
          <w:sz w:val="24"/>
        </w:rPr>
        <w:t>Musa S</w:t>
      </w:r>
      <w:r w:rsidRPr="00756DC7">
        <w:rPr>
          <w:rFonts w:ascii="Book Antiqua" w:hAnsi="Book Antiqua"/>
          <w:sz w:val="24"/>
        </w:rPr>
        <w:t xml:space="preserve">. Hepatic and gastrointestinal involvement in coronavirus disease 2019 (COVID-19): What do we know till now? </w:t>
      </w:r>
      <w:r w:rsidRPr="00756DC7">
        <w:rPr>
          <w:rFonts w:ascii="Book Antiqua" w:hAnsi="Book Antiqua"/>
          <w:i/>
          <w:sz w:val="24"/>
        </w:rPr>
        <w:t>Arab J Gastroenterol</w:t>
      </w:r>
      <w:r w:rsidRPr="00756DC7">
        <w:rPr>
          <w:rFonts w:ascii="Book Antiqua" w:hAnsi="Book Antiqua"/>
          <w:sz w:val="24"/>
        </w:rPr>
        <w:t xml:space="preserve"> 2020; </w:t>
      </w:r>
      <w:r w:rsidRPr="00756DC7">
        <w:rPr>
          <w:rFonts w:ascii="Book Antiqua" w:hAnsi="Book Antiqua"/>
          <w:b/>
          <w:sz w:val="24"/>
        </w:rPr>
        <w:t>21</w:t>
      </w:r>
      <w:r w:rsidRPr="00756DC7">
        <w:rPr>
          <w:rFonts w:ascii="Book Antiqua" w:hAnsi="Book Antiqua"/>
          <w:sz w:val="24"/>
        </w:rPr>
        <w:t>: 3-8 [PMID: 32253172 DOI: 10.1016/j.ajg.2020.03.002]</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39 </w:t>
      </w:r>
      <w:proofErr w:type="spellStart"/>
      <w:r w:rsidRPr="00756DC7">
        <w:rPr>
          <w:rFonts w:ascii="Book Antiqua" w:hAnsi="Book Antiqua"/>
          <w:b/>
          <w:sz w:val="24"/>
        </w:rPr>
        <w:t>Strnad</w:t>
      </w:r>
      <w:proofErr w:type="spellEnd"/>
      <w:r w:rsidRPr="00756DC7">
        <w:rPr>
          <w:rFonts w:ascii="Book Antiqua" w:hAnsi="Book Antiqua"/>
          <w:b/>
          <w:sz w:val="24"/>
        </w:rPr>
        <w:t xml:space="preserve"> P</w:t>
      </w:r>
      <w:r w:rsidRPr="00756DC7">
        <w:rPr>
          <w:rFonts w:ascii="Book Antiqua" w:hAnsi="Book Antiqua"/>
          <w:sz w:val="24"/>
        </w:rPr>
        <w:t xml:space="preserve">, </w:t>
      </w:r>
      <w:proofErr w:type="spellStart"/>
      <w:r w:rsidRPr="00756DC7">
        <w:rPr>
          <w:rFonts w:ascii="Book Antiqua" w:hAnsi="Book Antiqua"/>
          <w:sz w:val="24"/>
        </w:rPr>
        <w:t>Tacke</w:t>
      </w:r>
      <w:proofErr w:type="spellEnd"/>
      <w:r w:rsidRPr="00756DC7">
        <w:rPr>
          <w:rFonts w:ascii="Book Antiqua" w:hAnsi="Book Antiqua"/>
          <w:sz w:val="24"/>
        </w:rPr>
        <w:t xml:space="preserve"> F, Koch A, </w:t>
      </w:r>
      <w:proofErr w:type="spellStart"/>
      <w:r w:rsidRPr="00756DC7">
        <w:rPr>
          <w:rFonts w:ascii="Book Antiqua" w:hAnsi="Book Antiqua"/>
          <w:sz w:val="24"/>
        </w:rPr>
        <w:t>Trautwein</w:t>
      </w:r>
      <w:proofErr w:type="spellEnd"/>
      <w:r w:rsidRPr="00756DC7">
        <w:rPr>
          <w:rFonts w:ascii="Book Antiqua" w:hAnsi="Book Antiqua"/>
          <w:sz w:val="24"/>
        </w:rPr>
        <w:t xml:space="preserve"> C. Liver - guardian, modifier and target of sepsis. </w:t>
      </w:r>
      <w:r w:rsidRPr="00756DC7">
        <w:rPr>
          <w:rFonts w:ascii="Book Antiqua" w:hAnsi="Book Antiqua"/>
          <w:i/>
          <w:sz w:val="24"/>
        </w:rPr>
        <w:t>Nat Rev Gastroenterol Hepatol</w:t>
      </w:r>
      <w:r w:rsidRPr="00756DC7">
        <w:rPr>
          <w:rFonts w:ascii="Book Antiqua" w:hAnsi="Book Antiqua"/>
          <w:sz w:val="24"/>
        </w:rPr>
        <w:t xml:space="preserve"> 2017; </w:t>
      </w:r>
      <w:r w:rsidRPr="00756DC7">
        <w:rPr>
          <w:rFonts w:ascii="Book Antiqua" w:hAnsi="Book Antiqua"/>
          <w:b/>
          <w:sz w:val="24"/>
        </w:rPr>
        <w:t>14</w:t>
      </w:r>
      <w:r w:rsidRPr="00756DC7">
        <w:rPr>
          <w:rFonts w:ascii="Book Antiqua" w:hAnsi="Book Antiqua"/>
          <w:sz w:val="24"/>
        </w:rPr>
        <w:t>: 55-66 [PMID: 27924081 DOI: 10.1038/nrgastro.2016.168]</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40 </w:t>
      </w:r>
      <w:r w:rsidRPr="00756DC7">
        <w:rPr>
          <w:rFonts w:ascii="Book Antiqua" w:hAnsi="Book Antiqua"/>
          <w:b/>
          <w:sz w:val="24"/>
        </w:rPr>
        <w:t>Michaels MG</w:t>
      </w:r>
      <w:r w:rsidRPr="00756DC7">
        <w:rPr>
          <w:rFonts w:ascii="Book Antiqua" w:hAnsi="Book Antiqua"/>
          <w:sz w:val="24"/>
        </w:rPr>
        <w:t xml:space="preserve">, La </w:t>
      </w:r>
      <w:proofErr w:type="spellStart"/>
      <w:r w:rsidRPr="00756DC7">
        <w:rPr>
          <w:rFonts w:ascii="Book Antiqua" w:hAnsi="Book Antiqua"/>
          <w:sz w:val="24"/>
        </w:rPr>
        <w:t>Hoz</w:t>
      </w:r>
      <w:proofErr w:type="spellEnd"/>
      <w:r w:rsidRPr="00756DC7">
        <w:rPr>
          <w:rFonts w:ascii="Book Antiqua" w:hAnsi="Book Antiqua"/>
          <w:sz w:val="24"/>
        </w:rPr>
        <w:t xml:space="preserve"> RM, Danziger-Isakov L, Blumberg EA, Kumar D, Green M, Pruett TL, Wolfe CR. Coronavirus disease 2019: Implications of emerging infections for transplantation. </w:t>
      </w:r>
      <w:r w:rsidRPr="00756DC7">
        <w:rPr>
          <w:rFonts w:ascii="Book Antiqua" w:hAnsi="Book Antiqua"/>
          <w:i/>
          <w:sz w:val="24"/>
        </w:rPr>
        <w:t>Am J Transplant</w:t>
      </w:r>
      <w:r w:rsidRPr="00756DC7">
        <w:rPr>
          <w:rFonts w:ascii="Book Antiqua" w:hAnsi="Book Antiqua"/>
          <w:sz w:val="24"/>
        </w:rPr>
        <w:t xml:space="preserve"> 2020 [PMID: 32090448 DOI: 10.1111/ajt.15832]</w:t>
      </w:r>
    </w:p>
    <w:p w:rsidR="00341165" w:rsidRPr="00756DC7" w:rsidRDefault="00341165" w:rsidP="001E7706">
      <w:pPr>
        <w:adjustRightInd w:val="0"/>
        <w:snapToGrid w:val="0"/>
        <w:spacing w:line="360" w:lineRule="auto"/>
        <w:rPr>
          <w:rFonts w:ascii="Book Antiqua" w:hAnsi="Book Antiqua"/>
          <w:sz w:val="24"/>
        </w:rPr>
      </w:pPr>
      <w:proofErr w:type="gramStart"/>
      <w:r w:rsidRPr="00756DC7">
        <w:rPr>
          <w:rFonts w:ascii="Book Antiqua" w:hAnsi="Book Antiqua"/>
          <w:sz w:val="24"/>
        </w:rPr>
        <w:t xml:space="preserve">41 </w:t>
      </w:r>
      <w:r w:rsidRPr="00756DC7">
        <w:rPr>
          <w:rFonts w:ascii="Book Antiqua" w:hAnsi="Book Antiqua"/>
          <w:b/>
          <w:sz w:val="24"/>
        </w:rPr>
        <w:t>Chen H,</w:t>
      </w:r>
      <w:r w:rsidR="00EB2AA9" w:rsidRPr="00756DC7">
        <w:rPr>
          <w:rFonts w:ascii="Book Antiqua" w:hAnsi="Book Antiqua"/>
          <w:sz w:val="24"/>
        </w:rPr>
        <w:t xml:space="preserve"> </w:t>
      </w:r>
      <w:r w:rsidRPr="00756DC7">
        <w:rPr>
          <w:rFonts w:ascii="Book Antiqua" w:hAnsi="Book Antiqua"/>
          <w:sz w:val="24"/>
        </w:rPr>
        <w:t xml:space="preserve">Du Q. </w:t>
      </w:r>
      <w:r w:rsidR="00EB2AA9" w:rsidRPr="00756DC7">
        <w:rPr>
          <w:rFonts w:ascii="Book Antiqua" w:hAnsi="Book Antiqua"/>
          <w:sz w:val="24"/>
        </w:rPr>
        <w:t>Potential Natural Compounds for Preventing SARS-CoV-2 (2019-nCoV) Infection</w:t>
      </w:r>
      <w:r w:rsidRPr="00756DC7">
        <w:rPr>
          <w:rFonts w:ascii="Book Antiqua" w:hAnsi="Book Antiqua"/>
          <w:sz w:val="24"/>
        </w:rPr>
        <w:t>.</w:t>
      </w:r>
      <w:proofErr w:type="gramEnd"/>
      <w:r w:rsidRPr="00756DC7">
        <w:rPr>
          <w:rFonts w:ascii="Book Antiqua" w:hAnsi="Book Antiqua"/>
          <w:sz w:val="24"/>
        </w:rPr>
        <w:t xml:space="preserve"> </w:t>
      </w:r>
      <w:r w:rsidR="00EB2AA9" w:rsidRPr="00756DC7">
        <w:rPr>
          <w:rFonts w:ascii="Book Antiqua" w:hAnsi="Book Antiqua"/>
          <w:sz w:val="24"/>
        </w:rPr>
        <w:t xml:space="preserve">2020 Preprint. Available from: </w:t>
      </w:r>
      <w:r w:rsidRPr="00756DC7">
        <w:rPr>
          <w:rFonts w:ascii="Book Antiqua" w:hAnsi="Book Antiqua"/>
          <w:sz w:val="24"/>
        </w:rPr>
        <w:t>Preprints</w:t>
      </w:r>
      <w:proofErr w:type="gramStart"/>
      <w:r w:rsidR="00EB2AA9" w:rsidRPr="00756DC7">
        <w:rPr>
          <w:rFonts w:ascii="Book Antiqua" w:hAnsi="Book Antiqua"/>
          <w:sz w:val="24"/>
        </w:rPr>
        <w:t>:2020010358</w:t>
      </w:r>
      <w:proofErr w:type="gramEnd"/>
      <w:r w:rsidR="00EB2AA9" w:rsidRPr="00756DC7">
        <w:rPr>
          <w:rFonts w:ascii="Book Antiqua" w:hAnsi="Book Antiqua"/>
          <w:sz w:val="24"/>
        </w:rPr>
        <w:t xml:space="preserve"> </w:t>
      </w:r>
      <w:r w:rsidRPr="00756DC7">
        <w:rPr>
          <w:rFonts w:ascii="Book Antiqua" w:hAnsi="Book Antiqua"/>
          <w:sz w:val="24"/>
        </w:rPr>
        <w:t>[DOI: 10.20944/preprints202001.0358.v3]</w:t>
      </w:r>
    </w:p>
    <w:p w:rsidR="00341165" w:rsidRPr="00756DC7" w:rsidRDefault="00341165" w:rsidP="001E7706">
      <w:pPr>
        <w:adjustRightInd w:val="0"/>
        <w:snapToGrid w:val="0"/>
        <w:spacing w:line="360" w:lineRule="auto"/>
        <w:rPr>
          <w:rFonts w:ascii="Book Antiqua" w:hAnsi="Book Antiqua"/>
          <w:sz w:val="24"/>
        </w:rPr>
      </w:pPr>
      <w:proofErr w:type="gramStart"/>
      <w:r w:rsidRPr="00756DC7">
        <w:rPr>
          <w:rFonts w:ascii="Book Antiqua" w:hAnsi="Book Antiqua"/>
          <w:sz w:val="24"/>
        </w:rPr>
        <w:t xml:space="preserve">42 </w:t>
      </w:r>
      <w:r w:rsidRPr="00756DC7">
        <w:rPr>
          <w:rFonts w:ascii="Book Antiqua" w:hAnsi="Book Antiqua"/>
          <w:b/>
          <w:sz w:val="24"/>
        </w:rPr>
        <w:t>Zhang C</w:t>
      </w:r>
      <w:r w:rsidRPr="00756DC7">
        <w:rPr>
          <w:rFonts w:ascii="Book Antiqua" w:hAnsi="Book Antiqua"/>
          <w:sz w:val="24"/>
        </w:rPr>
        <w:t>, Shi L, Wang FS.</w:t>
      </w:r>
      <w:proofErr w:type="gramEnd"/>
      <w:r w:rsidRPr="00756DC7">
        <w:rPr>
          <w:rFonts w:ascii="Book Antiqua" w:hAnsi="Book Antiqua"/>
          <w:sz w:val="24"/>
        </w:rPr>
        <w:t xml:space="preserve"> Liver injury in COVID-19: management and challenges. </w:t>
      </w:r>
      <w:r w:rsidRPr="00756DC7">
        <w:rPr>
          <w:rFonts w:ascii="Book Antiqua" w:hAnsi="Book Antiqua"/>
          <w:i/>
          <w:sz w:val="24"/>
        </w:rPr>
        <w:t>Lancet Gastroenterol Hepatol</w:t>
      </w:r>
      <w:r w:rsidRPr="00756DC7">
        <w:rPr>
          <w:rFonts w:ascii="Book Antiqua" w:hAnsi="Book Antiqua"/>
          <w:sz w:val="24"/>
        </w:rPr>
        <w:t xml:space="preserve"> 2020; </w:t>
      </w:r>
      <w:r w:rsidRPr="00756DC7">
        <w:rPr>
          <w:rFonts w:ascii="Book Antiqua" w:hAnsi="Book Antiqua"/>
          <w:b/>
          <w:sz w:val="24"/>
        </w:rPr>
        <w:t>5</w:t>
      </w:r>
      <w:r w:rsidRPr="00756DC7">
        <w:rPr>
          <w:rFonts w:ascii="Book Antiqua" w:hAnsi="Book Antiqua"/>
          <w:sz w:val="24"/>
        </w:rPr>
        <w:t>: 428-430 [PMID: 32145190 DOI: 10.1016/S2468-1253(20)30057-1]</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43 </w:t>
      </w:r>
      <w:r w:rsidRPr="00756DC7">
        <w:rPr>
          <w:rFonts w:ascii="Book Antiqua" w:hAnsi="Book Antiqua"/>
          <w:b/>
          <w:sz w:val="24"/>
        </w:rPr>
        <w:t>Cheng H</w:t>
      </w:r>
      <w:r w:rsidRPr="00756DC7">
        <w:rPr>
          <w:rFonts w:ascii="Book Antiqua" w:hAnsi="Book Antiqua"/>
          <w:sz w:val="24"/>
        </w:rPr>
        <w:t xml:space="preserve">, Wang Y, Wang GQ. </w:t>
      </w:r>
      <w:proofErr w:type="gramStart"/>
      <w:r w:rsidRPr="00756DC7">
        <w:rPr>
          <w:rFonts w:ascii="Book Antiqua" w:hAnsi="Book Antiqua"/>
          <w:sz w:val="24"/>
        </w:rPr>
        <w:t>Organ-protective effect of angiotensin-converting enzyme 2 and its effect on the prognosis of COVID-19.</w:t>
      </w:r>
      <w:proofErr w:type="gramEnd"/>
      <w:r w:rsidRPr="00756DC7">
        <w:rPr>
          <w:rFonts w:ascii="Book Antiqua" w:hAnsi="Book Antiqua"/>
          <w:sz w:val="24"/>
        </w:rPr>
        <w:t xml:space="preserve"> </w:t>
      </w:r>
      <w:r w:rsidRPr="00756DC7">
        <w:rPr>
          <w:rFonts w:ascii="Book Antiqua" w:hAnsi="Book Antiqua"/>
          <w:i/>
          <w:sz w:val="24"/>
        </w:rPr>
        <w:t xml:space="preserve">J Med </w:t>
      </w:r>
      <w:proofErr w:type="spellStart"/>
      <w:r w:rsidRPr="00756DC7">
        <w:rPr>
          <w:rFonts w:ascii="Book Antiqua" w:hAnsi="Book Antiqua"/>
          <w:i/>
          <w:sz w:val="24"/>
        </w:rPr>
        <w:t>Virol</w:t>
      </w:r>
      <w:proofErr w:type="spellEnd"/>
      <w:r w:rsidR="00DE6C4A" w:rsidRPr="00756DC7">
        <w:rPr>
          <w:rFonts w:ascii="Book Antiqua" w:hAnsi="Book Antiqua"/>
          <w:sz w:val="24"/>
        </w:rPr>
        <w:t xml:space="preserve"> 2020 </w:t>
      </w:r>
      <w:r w:rsidRPr="00756DC7">
        <w:rPr>
          <w:rFonts w:ascii="Book Antiqua" w:hAnsi="Book Antiqua"/>
          <w:sz w:val="24"/>
        </w:rPr>
        <w:t>[PMID: 32221983 DOI: 10.1002/jmv.25785]</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44 </w:t>
      </w:r>
      <w:r w:rsidRPr="00756DC7">
        <w:rPr>
          <w:rFonts w:ascii="Book Antiqua" w:hAnsi="Book Antiqua"/>
          <w:b/>
          <w:sz w:val="24"/>
        </w:rPr>
        <w:t>Du Y</w:t>
      </w:r>
      <w:r w:rsidRPr="00756DC7">
        <w:rPr>
          <w:rFonts w:ascii="Book Antiqua" w:hAnsi="Book Antiqua"/>
          <w:sz w:val="24"/>
        </w:rPr>
        <w:t xml:space="preserve">, Tu L, Zhu P, Mu M, Wang R, Yang P, Wang X, Hu C, Ping R, Hu P, Li T, Cao F, Chang C, Hu Q, </w:t>
      </w:r>
      <w:proofErr w:type="spellStart"/>
      <w:r w:rsidRPr="00756DC7">
        <w:rPr>
          <w:rFonts w:ascii="Book Antiqua" w:hAnsi="Book Antiqua"/>
          <w:sz w:val="24"/>
        </w:rPr>
        <w:t>Jin</w:t>
      </w:r>
      <w:proofErr w:type="spellEnd"/>
      <w:r w:rsidRPr="00756DC7">
        <w:rPr>
          <w:rFonts w:ascii="Book Antiqua" w:hAnsi="Book Antiqua"/>
          <w:sz w:val="24"/>
        </w:rPr>
        <w:t xml:space="preserve"> Y, Xu G. Clinical Features of 85 Fatal Cases of </w:t>
      </w:r>
      <w:r w:rsidRPr="00756DC7">
        <w:rPr>
          <w:rFonts w:ascii="Book Antiqua" w:hAnsi="Book Antiqua"/>
          <w:sz w:val="24"/>
        </w:rPr>
        <w:lastRenderedPageBreak/>
        <w:t xml:space="preserve">COVID-19 from Wuhan: A Retrospective Observational Study. </w:t>
      </w:r>
      <w:r w:rsidRPr="00756DC7">
        <w:rPr>
          <w:rFonts w:ascii="Book Antiqua" w:hAnsi="Book Antiqua"/>
          <w:i/>
          <w:sz w:val="24"/>
        </w:rPr>
        <w:t xml:space="preserve">Am J Respir </w:t>
      </w:r>
      <w:proofErr w:type="spellStart"/>
      <w:r w:rsidRPr="00756DC7">
        <w:rPr>
          <w:rFonts w:ascii="Book Antiqua" w:hAnsi="Book Antiqua"/>
          <w:i/>
          <w:sz w:val="24"/>
        </w:rPr>
        <w:t>Crit</w:t>
      </w:r>
      <w:proofErr w:type="spellEnd"/>
      <w:r w:rsidRPr="00756DC7">
        <w:rPr>
          <w:rFonts w:ascii="Book Antiqua" w:hAnsi="Book Antiqua"/>
          <w:i/>
          <w:sz w:val="24"/>
        </w:rPr>
        <w:t xml:space="preserve"> Care Med</w:t>
      </w:r>
      <w:r w:rsidRPr="00756DC7">
        <w:rPr>
          <w:rFonts w:ascii="Book Antiqua" w:hAnsi="Book Antiqua"/>
          <w:sz w:val="24"/>
        </w:rPr>
        <w:t xml:space="preserve"> 2020 [PMID: 32242738 DOI: 10.1164/rccm.202003-0543OC]</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45 </w:t>
      </w:r>
      <w:r w:rsidRPr="00756DC7">
        <w:rPr>
          <w:rFonts w:ascii="Book Antiqua" w:hAnsi="Book Antiqua"/>
          <w:b/>
          <w:sz w:val="24"/>
        </w:rPr>
        <w:t>Zhang Y</w:t>
      </w:r>
      <w:r w:rsidRPr="00756DC7">
        <w:rPr>
          <w:rFonts w:ascii="Book Antiqua" w:hAnsi="Book Antiqua"/>
          <w:sz w:val="24"/>
        </w:rPr>
        <w:t xml:space="preserve">, Zheng L, Liu L, Zhao M, Xiao J, Zhao Q. Liver impairment in COVID-19 patients: A retrospective analysis of 115 cases from a single </w:t>
      </w:r>
      <w:proofErr w:type="spellStart"/>
      <w:r w:rsidRPr="00756DC7">
        <w:rPr>
          <w:rFonts w:ascii="Book Antiqua" w:hAnsi="Book Antiqua"/>
          <w:sz w:val="24"/>
        </w:rPr>
        <w:t>centre</w:t>
      </w:r>
      <w:proofErr w:type="spellEnd"/>
      <w:r w:rsidRPr="00756DC7">
        <w:rPr>
          <w:rFonts w:ascii="Book Antiqua" w:hAnsi="Book Antiqua"/>
          <w:sz w:val="24"/>
        </w:rPr>
        <w:t xml:space="preserve"> in Wuhan city, China. </w:t>
      </w:r>
      <w:r w:rsidRPr="00756DC7">
        <w:rPr>
          <w:rFonts w:ascii="Book Antiqua" w:hAnsi="Book Antiqua"/>
          <w:i/>
          <w:sz w:val="24"/>
        </w:rPr>
        <w:t>Liver Int</w:t>
      </w:r>
      <w:r w:rsidR="00C1512B" w:rsidRPr="00756DC7">
        <w:rPr>
          <w:rFonts w:ascii="Book Antiqua" w:hAnsi="Book Antiqua"/>
          <w:sz w:val="24"/>
        </w:rPr>
        <w:t xml:space="preserve"> 2020</w:t>
      </w:r>
      <w:r w:rsidRPr="00756DC7">
        <w:rPr>
          <w:rFonts w:ascii="Book Antiqua" w:hAnsi="Book Antiqua"/>
          <w:sz w:val="24"/>
        </w:rPr>
        <w:t xml:space="preserve"> [PMID: 32239796 DOI: 10.1111/liv.14455]</w:t>
      </w:r>
    </w:p>
    <w:p w:rsidR="00341165"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46 </w:t>
      </w:r>
      <w:r w:rsidRPr="00756DC7">
        <w:rPr>
          <w:rFonts w:ascii="Book Antiqua" w:hAnsi="Book Antiqua"/>
          <w:b/>
          <w:sz w:val="24"/>
        </w:rPr>
        <w:t>Simon AK</w:t>
      </w:r>
      <w:r w:rsidRPr="00756DC7">
        <w:rPr>
          <w:rFonts w:ascii="Book Antiqua" w:hAnsi="Book Antiqua"/>
          <w:sz w:val="24"/>
        </w:rPr>
        <w:t xml:space="preserve">, Hollander GA, McMichael A. Evolution of the immune system in humans from infancy to old age. </w:t>
      </w:r>
      <w:r w:rsidRPr="00756DC7">
        <w:rPr>
          <w:rFonts w:ascii="Book Antiqua" w:hAnsi="Book Antiqua"/>
          <w:i/>
          <w:sz w:val="24"/>
        </w:rPr>
        <w:t>Proc Biol Sci</w:t>
      </w:r>
      <w:r w:rsidRPr="00756DC7">
        <w:rPr>
          <w:rFonts w:ascii="Book Antiqua" w:hAnsi="Book Antiqua"/>
          <w:sz w:val="24"/>
        </w:rPr>
        <w:t xml:space="preserve"> 2015; </w:t>
      </w:r>
      <w:r w:rsidRPr="00756DC7">
        <w:rPr>
          <w:rFonts w:ascii="Book Antiqua" w:hAnsi="Book Antiqua"/>
          <w:b/>
          <w:sz w:val="24"/>
        </w:rPr>
        <w:t>282</w:t>
      </w:r>
      <w:r w:rsidRPr="00756DC7">
        <w:rPr>
          <w:rFonts w:ascii="Book Antiqua" w:hAnsi="Book Antiqua"/>
          <w:sz w:val="24"/>
        </w:rPr>
        <w:t>: 20143085 [PMID: 26702035 DOI: 10.1098/rspb.2014.3085]</w:t>
      </w:r>
    </w:p>
    <w:p w:rsidR="00CF159F" w:rsidRPr="00756DC7" w:rsidRDefault="00341165" w:rsidP="001E7706">
      <w:pPr>
        <w:adjustRightInd w:val="0"/>
        <w:snapToGrid w:val="0"/>
        <w:spacing w:line="360" w:lineRule="auto"/>
        <w:rPr>
          <w:rFonts w:ascii="Book Antiqua" w:hAnsi="Book Antiqua"/>
          <w:sz w:val="24"/>
        </w:rPr>
      </w:pPr>
      <w:r w:rsidRPr="00756DC7">
        <w:rPr>
          <w:rFonts w:ascii="Book Antiqua" w:hAnsi="Book Antiqua"/>
          <w:sz w:val="24"/>
        </w:rPr>
        <w:t xml:space="preserve">47 </w:t>
      </w:r>
      <w:r w:rsidRPr="00756DC7">
        <w:rPr>
          <w:rFonts w:ascii="Book Antiqua" w:hAnsi="Book Antiqua"/>
          <w:b/>
          <w:sz w:val="24"/>
        </w:rPr>
        <w:t>Xu Z</w:t>
      </w:r>
      <w:r w:rsidRPr="00756DC7">
        <w:rPr>
          <w:rFonts w:ascii="Book Antiqua" w:hAnsi="Book Antiqua"/>
          <w:sz w:val="24"/>
        </w:rPr>
        <w:t xml:space="preserve">, Shi L, Wang Y, Zhang J, Huang L, Zhang C, Liu S, Zhao P, Liu H, Zhu L, Tai Y, Bai C, Gao T, Song J, Xia P, Dong J, Zhao J, Wang FS. Pathological findings of COVID-19 associated with acute respiratory distress syndrome. </w:t>
      </w:r>
      <w:r w:rsidRPr="00756DC7">
        <w:rPr>
          <w:rFonts w:ascii="Book Antiqua" w:hAnsi="Book Antiqua"/>
          <w:i/>
          <w:sz w:val="24"/>
        </w:rPr>
        <w:t>Lancet Respir Med</w:t>
      </w:r>
      <w:r w:rsidRPr="00756DC7">
        <w:rPr>
          <w:rFonts w:ascii="Book Antiqua" w:hAnsi="Book Antiqua"/>
          <w:sz w:val="24"/>
        </w:rPr>
        <w:t xml:space="preserve"> 2020; </w:t>
      </w:r>
      <w:r w:rsidRPr="00756DC7">
        <w:rPr>
          <w:rFonts w:ascii="Book Antiqua" w:hAnsi="Book Antiqua"/>
          <w:b/>
          <w:sz w:val="24"/>
        </w:rPr>
        <w:t>8</w:t>
      </w:r>
      <w:r w:rsidRPr="00756DC7">
        <w:rPr>
          <w:rFonts w:ascii="Book Antiqua" w:hAnsi="Book Antiqua"/>
          <w:sz w:val="24"/>
        </w:rPr>
        <w:t>: 420-422 [PMID: 32085846 DOI: 10.1016/S2213-2600(20)30076-X]</w:t>
      </w:r>
    </w:p>
    <w:p w:rsidR="00CF159F" w:rsidRPr="00756DC7" w:rsidRDefault="00CF159F" w:rsidP="001E7706">
      <w:pPr>
        <w:adjustRightInd w:val="0"/>
        <w:snapToGrid w:val="0"/>
        <w:spacing w:line="360" w:lineRule="auto"/>
        <w:rPr>
          <w:rFonts w:ascii="Book Antiqua" w:hAnsi="Book Antiqua"/>
          <w:b/>
          <w:sz w:val="24"/>
        </w:rPr>
      </w:pPr>
      <w:r w:rsidRPr="00756DC7">
        <w:rPr>
          <w:rFonts w:ascii="Book Antiqua" w:hAnsi="Book Antiqua" w:cs="Arial"/>
          <w:b/>
          <w:bCs/>
          <w:color w:val="000000"/>
          <w:sz w:val="24"/>
        </w:rPr>
        <w:br w:type="page"/>
      </w:r>
      <w:r w:rsidRPr="00756DC7">
        <w:rPr>
          <w:rFonts w:ascii="Book Antiqua" w:hAnsi="Book Antiqua"/>
          <w:b/>
          <w:sz w:val="24"/>
        </w:rPr>
        <w:lastRenderedPageBreak/>
        <w:t>Footnotes</w:t>
      </w:r>
    </w:p>
    <w:p w:rsidR="00CF159F" w:rsidRPr="00756DC7" w:rsidRDefault="00CF159F" w:rsidP="001E7706">
      <w:pPr>
        <w:adjustRightInd w:val="0"/>
        <w:snapToGrid w:val="0"/>
        <w:spacing w:line="360" w:lineRule="auto"/>
        <w:rPr>
          <w:rFonts w:ascii="Book Antiqua" w:hAnsi="Book Antiqua"/>
          <w:b/>
          <w:bCs/>
          <w:color w:val="000000"/>
          <w:sz w:val="24"/>
        </w:rPr>
      </w:pPr>
      <w:r w:rsidRPr="00756DC7">
        <w:rPr>
          <w:rFonts w:ascii="Book Antiqua" w:hAnsi="Book Antiqua" w:cs="Arial"/>
          <w:b/>
          <w:color w:val="000000"/>
          <w:sz w:val="24"/>
        </w:rPr>
        <w:t>Conflict-of-interest statement:</w:t>
      </w:r>
      <w:r w:rsidRPr="00756DC7">
        <w:rPr>
          <w:rFonts w:ascii="Book Antiqua" w:hAnsi="Book Antiqua" w:cs="Arial"/>
          <w:color w:val="000000"/>
          <w:sz w:val="24"/>
        </w:rPr>
        <w:t xml:space="preserve"> </w:t>
      </w:r>
      <w:r w:rsidRPr="00756DC7">
        <w:rPr>
          <w:rFonts w:ascii="Book Antiqua" w:eastAsia="等线" w:hAnsi="Book Antiqua"/>
          <w:color w:val="000000"/>
          <w:sz w:val="24"/>
          <w:lang w:bidi="ar"/>
        </w:rPr>
        <w:t>All the authors declare no competing interests.</w:t>
      </w:r>
    </w:p>
    <w:p w:rsidR="00CF159F" w:rsidRPr="00756DC7" w:rsidRDefault="00CF159F" w:rsidP="001E7706">
      <w:pPr>
        <w:adjustRightInd w:val="0"/>
        <w:snapToGrid w:val="0"/>
        <w:spacing w:line="360" w:lineRule="auto"/>
        <w:rPr>
          <w:rFonts w:ascii="Book Antiqua" w:hAnsi="Book Antiqua"/>
          <w:bCs/>
          <w:color w:val="000000"/>
          <w:sz w:val="24"/>
        </w:rPr>
      </w:pPr>
    </w:p>
    <w:p w:rsidR="00CF159F" w:rsidRPr="00756DC7" w:rsidRDefault="00CF159F" w:rsidP="001E7706">
      <w:pPr>
        <w:adjustRightInd w:val="0"/>
        <w:snapToGrid w:val="0"/>
        <w:spacing w:line="360" w:lineRule="auto"/>
        <w:rPr>
          <w:rFonts w:ascii="Book Antiqua" w:hAnsi="Book Antiqua" w:cs="宋体"/>
          <w:color w:val="000000"/>
          <w:sz w:val="24"/>
        </w:rPr>
      </w:pPr>
      <w:bookmarkStart w:id="12" w:name="OLE_LINK8"/>
      <w:bookmarkStart w:id="13" w:name="OLE_LINK9"/>
      <w:bookmarkStart w:id="14" w:name="OLE_LINK899"/>
      <w:bookmarkStart w:id="15" w:name="OLE_LINK902"/>
      <w:r w:rsidRPr="00756DC7">
        <w:rPr>
          <w:rFonts w:ascii="Book Antiqua" w:hAnsi="Book Antiqua"/>
          <w:b/>
          <w:color w:val="000000"/>
          <w:sz w:val="24"/>
        </w:rPr>
        <w:t>Open-Access:</w:t>
      </w:r>
      <w:r w:rsidRPr="00756DC7">
        <w:rPr>
          <w:rFonts w:ascii="Book Antiqua" w:hAnsi="Book Antiqua"/>
          <w:color w:val="000000"/>
          <w:sz w:val="24"/>
        </w:rPr>
        <w:t xml:space="preserve"> This article is an open-access </w:t>
      </w:r>
      <w:r w:rsidRPr="00756DC7">
        <w:rPr>
          <w:rFonts w:ascii="Book Antiqua" w:hAnsi="Book Antiqua"/>
          <w:sz w:val="24"/>
        </w:rPr>
        <w:t xml:space="preserve">article that was selected </w:t>
      </w:r>
      <w:r w:rsidRPr="00756DC7">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756DC7">
        <w:rPr>
          <w:rFonts w:ascii="Book Antiqua" w:hAnsi="Book Antiqua"/>
          <w:color w:val="000000"/>
          <w:sz w:val="24"/>
        </w:rPr>
        <w:t>NonCommercial</w:t>
      </w:r>
      <w:proofErr w:type="spellEnd"/>
      <w:r w:rsidRPr="00756DC7">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bookmarkEnd w:id="15"/>
    <w:p w:rsidR="00CF159F" w:rsidRPr="00756DC7" w:rsidRDefault="00CF159F" w:rsidP="001E7706">
      <w:pPr>
        <w:adjustRightInd w:val="0"/>
        <w:snapToGrid w:val="0"/>
        <w:spacing w:line="360" w:lineRule="auto"/>
        <w:rPr>
          <w:rFonts w:ascii="Book Antiqua" w:hAnsi="Book Antiqua" w:cs="Arial"/>
          <w:color w:val="000000"/>
          <w:sz w:val="24"/>
        </w:rPr>
      </w:pPr>
    </w:p>
    <w:p w:rsidR="00CF159F" w:rsidRPr="00756DC7" w:rsidRDefault="00CF159F" w:rsidP="001E7706">
      <w:pPr>
        <w:adjustRightInd w:val="0"/>
        <w:snapToGrid w:val="0"/>
        <w:spacing w:line="360" w:lineRule="auto"/>
        <w:rPr>
          <w:rFonts w:ascii="Book Antiqua" w:hAnsi="Book Antiqua" w:cs="Arial"/>
          <w:color w:val="000000"/>
          <w:sz w:val="24"/>
        </w:rPr>
      </w:pPr>
      <w:r w:rsidRPr="00756DC7">
        <w:rPr>
          <w:rFonts w:ascii="Book Antiqua" w:hAnsi="Book Antiqua" w:cs="Arial"/>
          <w:b/>
          <w:bCs/>
          <w:color w:val="000000"/>
          <w:sz w:val="24"/>
        </w:rPr>
        <w:t>Manuscript source:</w:t>
      </w:r>
      <w:r w:rsidRPr="00756DC7">
        <w:rPr>
          <w:rFonts w:ascii="Book Antiqua" w:hAnsi="Book Antiqua" w:cs="Arial"/>
          <w:color w:val="000000"/>
          <w:sz w:val="24"/>
        </w:rPr>
        <w:t xml:space="preserve"> Unsolicited manuscript</w:t>
      </w:r>
    </w:p>
    <w:p w:rsidR="00CF159F" w:rsidRPr="00756DC7" w:rsidRDefault="00CF159F" w:rsidP="001E7706">
      <w:pPr>
        <w:adjustRightInd w:val="0"/>
        <w:snapToGrid w:val="0"/>
        <w:spacing w:line="360" w:lineRule="auto"/>
        <w:rPr>
          <w:rFonts w:ascii="Book Antiqua" w:hAnsi="Book Antiqua" w:cs="Arial"/>
          <w:color w:val="000000"/>
          <w:sz w:val="24"/>
        </w:rPr>
      </w:pPr>
    </w:p>
    <w:p w:rsidR="00CF159F" w:rsidRPr="00756DC7" w:rsidRDefault="00CF159F" w:rsidP="001E7706">
      <w:pPr>
        <w:adjustRightInd w:val="0"/>
        <w:snapToGrid w:val="0"/>
        <w:spacing w:line="360" w:lineRule="auto"/>
        <w:rPr>
          <w:rFonts w:ascii="Book Antiqua" w:hAnsi="Book Antiqua"/>
          <w:b/>
          <w:color w:val="000000"/>
          <w:sz w:val="24"/>
        </w:rPr>
      </w:pPr>
      <w:r w:rsidRPr="00756DC7">
        <w:rPr>
          <w:rFonts w:ascii="Book Antiqua" w:hAnsi="Book Antiqua"/>
          <w:b/>
          <w:color w:val="000000"/>
          <w:sz w:val="24"/>
        </w:rPr>
        <w:t xml:space="preserve">Peer-review started: </w:t>
      </w:r>
      <w:r w:rsidR="00183CB0" w:rsidRPr="00756DC7">
        <w:rPr>
          <w:rFonts w:ascii="Book Antiqua" w:hAnsi="Book Antiqua"/>
          <w:color w:val="000000"/>
          <w:sz w:val="24"/>
        </w:rPr>
        <w:t>April 22, 2020</w:t>
      </w:r>
    </w:p>
    <w:p w:rsidR="00CF159F" w:rsidRPr="00756DC7" w:rsidRDefault="00CF159F" w:rsidP="001E7706">
      <w:pPr>
        <w:adjustRightInd w:val="0"/>
        <w:snapToGrid w:val="0"/>
        <w:spacing w:line="360" w:lineRule="auto"/>
        <w:rPr>
          <w:rFonts w:ascii="Book Antiqua" w:hAnsi="Book Antiqua"/>
          <w:b/>
          <w:color w:val="000000"/>
          <w:sz w:val="24"/>
        </w:rPr>
      </w:pPr>
      <w:r w:rsidRPr="00756DC7">
        <w:rPr>
          <w:rFonts w:ascii="Book Antiqua" w:hAnsi="Book Antiqua"/>
          <w:b/>
          <w:color w:val="000000"/>
          <w:sz w:val="24"/>
        </w:rPr>
        <w:t xml:space="preserve">First decision: </w:t>
      </w:r>
      <w:r w:rsidRPr="00756DC7">
        <w:rPr>
          <w:rFonts w:ascii="Book Antiqua" w:hAnsi="Book Antiqua"/>
          <w:color w:val="000000"/>
          <w:sz w:val="24"/>
        </w:rPr>
        <w:t xml:space="preserve">April </w:t>
      </w:r>
      <w:r w:rsidR="00183CB0" w:rsidRPr="00756DC7">
        <w:rPr>
          <w:rFonts w:ascii="Book Antiqua" w:hAnsi="Book Antiqua"/>
          <w:color w:val="000000"/>
          <w:sz w:val="24"/>
        </w:rPr>
        <w:t>29, 2020</w:t>
      </w:r>
    </w:p>
    <w:p w:rsidR="00CF159F" w:rsidRPr="00756DC7" w:rsidRDefault="00CF159F" w:rsidP="001E7706">
      <w:pPr>
        <w:adjustRightInd w:val="0"/>
        <w:snapToGrid w:val="0"/>
        <w:spacing w:line="360" w:lineRule="auto"/>
        <w:rPr>
          <w:rFonts w:ascii="Book Antiqua" w:hAnsi="Book Antiqua"/>
          <w:b/>
          <w:color w:val="000000"/>
          <w:sz w:val="24"/>
        </w:rPr>
      </w:pPr>
      <w:r w:rsidRPr="00756DC7">
        <w:rPr>
          <w:rFonts w:ascii="Book Antiqua" w:hAnsi="Book Antiqua"/>
          <w:b/>
          <w:color w:val="000000"/>
          <w:sz w:val="24"/>
        </w:rPr>
        <w:t>Article in press:</w:t>
      </w:r>
      <w:r w:rsidR="00E827BB" w:rsidRPr="00756DC7">
        <w:rPr>
          <w:rFonts w:ascii="Book Antiqua" w:hAnsi="Book Antiqua"/>
          <w:bCs/>
          <w:color w:val="000000"/>
          <w:sz w:val="24"/>
        </w:rPr>
        <w:t xml:space="preserve"> </w:t>
      </w:r>
      <w:r w:rsidR="00E827BB" w:rsidRPr="00756DC7">
        <w:rPr>
          <w:rFonts w:ascii="Book Antiqua" w:hAnsi="Book Antiqua"/>
          <w:bCs/>
          <w:color w:val="000000"/>
          <w:sz w:val="24"/>
        </w:rPr>
        <w:t>May 14, 2020</w:t>
      </w:r>
    </w:p>
    <w:p w:rsidR="00CF159F" w:rsidRPr="00756DC7" w:rsidRDefault="00CF159F" w:rsidP="001E7706">
      <w:pPr>
        <w:adjustRightInd w:val="0"/>
        <w:snapToGrid w:val="0"/>
        <w:spacing w:line="360" w:lineRule="auto"/>
        <w:rPr>
          <w:rFonts w:ascii="Book Antiqua" w:hAnsi="Book Antiqua"/>
          <w:b/>
          <w:color w:val="000000"/>
          <w:sz w:val="24"/>
        </w:rPr>
      </w:pPr>
    </w:p>
    <w:p w:rsidR="00CF159F" w:rsidRPr="00756DC7" w:rsidRDefault="00CF159F" w:rsidP="001E7706">
      <w:pPr>
        <w:adjustRightInd w:val="0"/>
        <w:snapToGrid w:val="0"/>
        <w:spacing w:line="360" w:lineRule="auto"/>
        <w:rPr>
          <w:rFonts w:ascii="Book Antiqua" w:eastAsia="微软雅黑" w:hAnsi="Book Antiqua" w:cs="宋体"/>
          <w:sz w:val="24"/>
        </w:rPr>
      </w:pPr>
      <w:bookmarkStart w:id="16" w:name="OLE_LINK287"/>
      <w:bookmarkStart w:id="17" w:name="OLE_LINK288"/>
      <w:bookmarkStart w:id="18" w:name="OLE_LINK70"/>
      <w:bookmarkStart w:id="19" w:name="OLE_LINK110"/>
      <w:bookmarkStart w:id="20" w:name="OLE_LINK109"/>
      <w:bookmarkStart w:id="21" w:name="OLE_LINK138"/>
      <w:bookmarkStart w:id="22" w:name="OLE_LINK72"/>
      <w:bookmarkStart w:id="23" w:name="OLE_LINK116"/>
      <w:bookmarkStart w:id="24" w:name="OLE_LINK95"/>
      <w:bookmarkStart w:id="25" w:name="OLE_LINK118"/>
      <w:bookmarkStart w:id="26" w:name="OLE_LINK198"/>
      <w:bookmarkStart w:id="27" w:name="OLE_LINK154"/>
      <w:bookmarkStart w:id="28" w:name="OLE_LINK251"/>
      <w:bookmarkStart w:id="29" w:name="OLE_LINK167"/>
      <w:bookmarkStart w:id="30" w:name="OLE_LINK126"/>
      <w:bookmarkStart w:id="31" w:name="OLE_LINK234"/>
      <w:bookmarkStart w:id="32" w:name="OLE_LINK157"/>
      <w:bookmarkStart w:id="33" w:name="OLE_LINK187"/>
      <w:bookmarkStart w:id="34" w:name="OLE_LINK204"/>
      <w:bookmarkStart w:id="35" w:name="OLE_LINK255"/>
      <w:bookmarkStart w:id="36" w:name="OLE_LINK229"/>
      <w:bookmarkStart w:id="37" w:name="OLE_LINK268"/>
      <w:bookmarkStart w:id="38" w:name="OLE_LINK310"/>
      <w:bookmarkStart w:id="39" w:name="OLE_LINK338"/>
      <w:bookmarkStart w:id="40" w:name="OLE_LINK340"/>
      <w:bookmarkStart w:id="41" w:name="OLE_LINK264"/>
      <w:bookmarkStart w:id="42" w:name="OLE_LINK345"/>
      <w:bookmarkStart w:id="43" w:name="OLE_LINK256"/>
      <w:bookmarkStart w:id="44" w:name="OLE_LINK299"/>
      <w:bookmarkStart w:id="45" w:name="OLE_LINK265"/>
      <w:bookmarkStart w:id="46" w:name="OLE_LINK254"/>
      <w:bookmarkStart w:id="47" w:name="OLE_LINK357"/>
      <w:bookmarkStart w:id="48" w:name="OLE_LINK382"/>
      <w:bookmarkStart w:id="49" w:name="OLE_LINK333"/>
      <w:bookmarkStart w:id="50" w:name="OLE_LINK334"/>
      <w:bookmarkStart w:id="51" w:name="OLE_LINK400"/>
      <w:bookmarkStart w:id="52" w:name="OLE_LINK365"/>
      <w:bookmarkStart w:id="53" w:name="OLE_LINK467"/>
      <w:bookmarkStart w:id="54" w:name="OLE_LINK399"/>
      <w:bookmarkStart w:id="55" w:name="OLE_LINK443"/>
      <w:bookmarkStart w:id="56" w:name="OLE_LINK372"/>
      <w:bookmarkStart w:id="57" w:name="OLE_LINK425"/>
      <w:bookmarkStart w:id="58" w:name="OLE_LINK450"/>
      <w:bookmarkStart w:id="59" w:name="OLE_LINK402"/>
      <w:bookmarkStart w:id="60" w:name="OLE_LINK385"/>
      <w:bookmarkStart w:id="61" w:name="OLE_LINK396"/>
      <w:bookmarkStart w:id="62" w:name="OLE_LINK436"/>
      <w:bookmarkStart w:id="63" w:name="OLE_LINK421"/>
      <w:bookmarkStart w:id="64" w:name="OLE_LINK426"/>
      <w:bookmarkStart w:id="65" w:name="OLE_LINK456"/>
      <w:bookmarkStart w:id="66" w:name="OLE_LINK505"/>
      <w:bookmarkStart w:id="67" w:name="OLE_LINK490"/>
      <w:bookmarkStart w:id="68" w:name="OLE_LINK531"/>
      <w:bookmarkStart w:id="69" w:name="OLE_LINK460"/>
      <w:bookmarkStart w:id="70" w:name="OLE_LINK463"/>
      <w:bookmarkStart w:id="71" w:name="OLE_LINK487"/>
      <w:bookmarkStart w:id="72" w:name="OLE_LINK515"/>
      <w:bookmarkStart w:id="73" w:name="OLE_LINK509"/>
      <w:bookmarkStart w:id="74" w:name="OLE_LINK538"/>
      <w:bookmarkStart w:id="75" w:name="OLE_LINK606"/>
      <w:bookmarkStart w:id="76" w:name="OLE_LINK662"/>
      <w:bookmarkStart w:id="77" w:name="OLE_LINK663"/>
      <w:bookmarkStart w:id="78" w:name="OLE_LINK738"/>
      <w:bookmarkStart w:id="79" w:name="OLE_LINK666"/>
      <w:bookmarkStart w:id="80" w:name="OLE_LINK667"/>
      <w:bookmarkStart w:id="81" w:name="OLE_LINK672"/>
      <w:bookmarkStart w:id="82" w:name="OLE_LINK727"/>
      <w:bookmarkStart w:id="83" w:name="OLE_LINK703"/>
      <w:bookmarkStart w:id="84" w:name="OLE_LINK765"/>
      <w:bookmarkStart w:id="85" w:name="OLE_LINK724"/>
      <w:bookmarkStart w:id="86" w:name="OLE_LINK771"/>
      <w:bookmarkStart w:id="87" w:name="OLE_LINK879"/>
      <w:bookmarkStart w:id="88" w:name="OLE_LINK903"/>
      <w:bookmarkStart w:id="89" w:name="OLE_LINK880"/>
      <w:bookmarkStart w:id="90" w:name="OLE_LINK944"/>
      <w:bookmarkStart w:id="91" w:name="OLE_LINK881"/>
      <w:bookmarkStart w:id="92" w:name="OLE_LINK882"/>
      <w:bookmarkStart w:id="93" w:name="OLE_LINK883"/>
      <w:bookmarkStart w:id="94" w:name="OLE_LINK884"/>
      <w:bookmarkStart w:id="95" w:name="OLE_LINK907"/>
      <w:bookmarkStart w:id="96" w:name="OLE_LINK941"/>
      <w:bookmarkStart w:id="97" w:name="OLE_LINK886"/>
      <w:bookmarkStart w:id="98" w:name="OLE_LINK887"/>
      <w:bookmarkStart w:id="99" w:name="OLE_LINK918"/>
      <w:bookmarkStart w:id="100" w:name="OLE_LINK894"/>
      <w:bookmarkStart w:id="101" w:name="OLE_LINK953"/>
      <w:bookmarkStart w:id="102" w:name="OLE_LINK954"/>
      <w:bookmarkStart w:id="103" w:name="OLE_LINK977"/>
      <w:bookmarkStart w:id="104" w:name="OLE_LINK978"/>
      <w:bookmarkStart w:id="105" w:name="OLE_LINK1034"/>
      <w:bookmarkStart w:id="106" w:name="OLE_LINK991"/>
      <w:bookmarkStart w:id="107" w:name="OLE_LINK1013"/>
      <w:bookmarkStart w:id="108" w:name="OLE_LINK1022"/>
      <w:bookmarkStart w:id="109" w:name="OLE_LINK1030"/>
      <w:bookmarkStart w:id="110" w:name="OLE_LINK1063"/>
      <w:bookmarkStart w:id="111" w:name="OLE_LINK1009"/>
      <w:bookmarkStart w:id="112" w:name="OLE_LINK1064"/>
      <w:bookmarkStart w:id="113" w:name="OLE_LINK1035"/>
      <w:r w:rsidRPr="00756DC7">
        <w:rPr>
          <w:rFonts w:ascii="Book Antiqua" w:hAnsi="Book Antiqua" w:cs="宋体"/>
          <w:b/>
          <w:sz w:val="24"/>
        </w:rPr>
        <w:t xml:space="preserve">Specialty type: </w:t>
      </w:r>
      <w:r w:rsidRPr="00756DC7">
        <w:rPr>
          <w:rFonts w:ascii="Book Antiqua" w:eastAsia="微软雅黑" w:hAnsi="Book Antiqua" w:cs="宋体"/>
          <w:sz w:val="24"/>
        </w:rPr>
        <w:t>Gastroenterology and hepatology</w:t>
      </w:r>
    </w:p>
    <w:p w:rsidR="00CF159F" w:rsidRPr="00756DC7" w:rsidRDefault="00CF159F" w:rsidP="001E7706">
      <w:pPr>
        <w:adjustRightInd w:val="0"/>
        <w:snapToGrid w:val="0"/>
        <w:spacing w:line="360" w:lineRule="auto"/>
        <w:rPr>
          <w:rFonts w:ascii="Book Antiqua" w:hAnsi="Book Antiqua" w:cs="宋体"/>
          <w:sz w:val="24"/>
        </w:rPr>
      </w:pPr>
      <w:r w:rsidRPr="00756DC7">
        <w:rPr>
          <w:rFonts w:ascii="Book Antiqua" w:hAnsi="Book Antiqua" w:cs="宋体"/>
          <w:b/>
          <w:sz w:val="24"/>
        </w:rPr>
        <w:t xml:space="preserve">Country/Territory of origin: </w:t>
      </w:r>
      <w:r w:rsidR="00C43A3D" w:rsidRPr="00756DC7">
        <w:rPr>
          <w:rFonts w:ascii="Book Antiqua" w:hAnsi="Book Antiqua" w:cs="宋体"/>
          <w:sz w:val="24"/>
        </w:rPr>
        <w:t>China</w:t>
      </w:r>
    </w:p>
    <w:p w:rsidR="00CF159F" w:rsidRPr="00756DC7" w:rsidRDefault="00CF159F" w:rsidP="001E7706">
      <w:pPr>
        <w:adjustRightInd w:val="0"/>
        <w:snapToGrid w:val="0"/>
        <w:spacing w:line="360" w:lineRule="auto"/>
        <w:rPr>
          <w:rFonts w:ascii="Book Antiqua" w:hAnsi="Book Antiqua" w:cs="宋体"/>
          <w:b/>
          <w:sz w:val="24"/>
        </w:rPr>
      </w:pPr>
      <w:r w:rsidRPr="00756DC7">
        <w:rPr>
          <w:rFonts w:ascii="Book Antiqua" w:hAnsi="Book Antiqua" w:cs="宋体"/>
          <w:b/>
          <w:sz w:val="24"/>
        </w:rPr>
        <w:t>Peer-review report’s scientific quality classification</w:t>
      </w:r>
    </w:p>
    <w:p w:rsidR="00CF159F" w:rsidRPr="00756DC7" w:rsidRDefault="0095037D" w:rsidP="001E7706">
      <w:pPr>
        <w:adjustRightInd w:val="0"/>
        <w:snapToGrid w:val="0"/>
        <w:spacing w:line="360" w:lineRule="auto"/>
        <w:rPr>
          <w:rFonts w:ascii="Book Antiqua" w:hAnsi="Book Antiqua" w:cs="宋体"/>
          <w:sz w:val="24"/>
        </w:rPr>
      </w:pPr>
      <w:r w:rsidRPr="00756DC7">
        <w:rPr>
          <w:rFonts w:ascii="Book Antiqua" w:hAnsi="Book Antiqua" w:cs="宋体"/>
          <w:sz w:val="24"/>
        </w:rPr>
        <w:t>Grade </w:t>
      </w:r>
      <w:proofErr w:type="gramStart"/>
      <w:r w:rsidRPr="00756DC7">
        <w:rPr>
          <w:rFonts w:ascii="Book Antiqua" w:hAnsi="Book Antiqua" w:cs="宋体"/>
          <w:sz w:val="24"/>
        </w:rPr>
        <w:t>A</w:t>
      </w:r>
      <w:proofErr w:type="gramEnd"/>
      <w:r w:rsidRPr="00756DC7">
        <w:rPr>
          <w:rFonts w:ascii="Book Antiqua" w:hAnsi="Book Antiqua" w:cs="宋体"/>
          <w:sz w:val="24"/>
        </w:rPr>
        <w:t> (Excellent): A</w:t>
      </w:r>
    </w:p>
    <w:p w:rsidR="00CF159F" w:rsidRPr="00756DC7" w:rsidRDefault="0095037D" w:rsidP="001E7706">
      <w:pPr>
        <w:adjustRightInd w:val="0"/>
        <w:snapToGrid w:val="0"/>
        <w:spacing w:line="360" w:lineRule="auto"/>
        <w:rPr>
          <w:rFonts w:ascii="Book Antiqua" w:hAnsi="Book Antiqua" w:cs="宋体"/>
          <w:sz w:val="24"/>
        </w:rPr>
      </w:pPr>
      <w:r w:rsidRPr="00756DC7">
        <w:rPr>
          <w:rFonts w:ascii="Book Antiqua" w:hAnsi="Book Antiqua" w:cs="宋体"/>
          <w:sz w:val="24"/>
        </w:rPr>
        <w:t>Grade B (Very good): B</w:t>
      </w:r>
    </w:p>
    <w:p w:rsidR="00CF159F" w:rsidRPr="00756DC7" w:rsidRDefault="0095037D" w:rsidP="001E7706">
      <w:pPr>
        <w:adjustRightInd w:val="0"/>
        <w:snapToGrid w:val="0"/>
        <w:spacing w:line="360" w:lineRule="auto"/>
        <w:rPr>
          <w:rFonts w:ascii="Book Antiqua" w:hAnsi="Book Antiqua" w:cs="宋体"/>
          <w:sz w:val="24"/>
        </w:rPr>
      </w:pPr>
      <w:r w:rsidRPr="00756DC7">
        <w:rPr>
          <w:rFonts w:ascii="Book Antiqua" w:hAnsi="Book Antiqua" w:cs="宋体"/>
          <w:sz w:val="24"/>
        </w:rPr>
        <w:t>Grade C (Good): 0</w:t>
      </w:r>
    </w:p>
    <w:p w:rsidR="00CF159F" w:rsidRPr="00756DC7" w:rsidRDefault="00CF159F" w:rsidP="001E7706">
      <w:pPr>
        <w:adjustRightInd w:val="0"/>
        <w:snapToGrid w:val="0"/>
        <w:spacing w:line="360" w:lineRule="auto"/>
        <w:rPr>
          <w:rFonts w:ascii="Book Antiqua" w:hAnsi="Book Antiqua" w:cs="宋体"/>
          <w:sz w:val="24"/>
        </w:rPr>
      </w:pPr>
      <w:r w:rsidRPr="00756DC7">
        <w:rPr>
          <w:rFonts w:ascii="Book Antiqua" w:hAnsi="Book Antiqua" w:cs="宋体"/>
          <w:sz w:val="24"/>
        </w:rPr>
        <w:t>Grade D (Fair): 0</w:t>
      </w:r>
    </w:p>
    <w:p w:rsidR="00CF159F" w:rsidRPr="00756DC7" w:rsidRDefault="00CF159F" w:rsidP="001E7706">
      <w:pPr>
        <w:adjustRightInd w:val="0"/>
        <w:snapToGrid w:val="0"/>
        <w:spacing w:line="360" w:lineRule="auto"/>
        <w:rPr>
          <w:rFonts w:ascii="Book Antiqua" w:eastAsia="等线" w:hAnsi="Book Antiqua"/>
          <w:sz w:val="24"/>
        </w:rPr>
      </w:pPr>
      <w:r w:rsidRPr="00756DC7">
        <w:rPr>
          <w:rFonts w:ascii="Book Antiqua" w:hAnsi="Book Antiqua" w:cs="宋体"/>
          <w:sz w:val="24"/>
        </w:rPr>
        <w:t>Grade E (Poor): 0</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756DC7">
        <w:rPr>
          <w:rFonts w:ascii="Book Antiqua" w:eastAsia="等线" w:hAnsi="Book Antiqua"/>
          <w:sz w:val="24"/>
        </w:rPr>
        <w:t xml:space="preserve"> </w:t>
      </w:r>
    </w:p>
    <w:p w:rsidR="00CF159F" w:rsidRPr="00756DC7" w:rsidRDefault="00CF159F" w:rsidP="001E7706">
      <w:pPr>
        <w:adjustRightInd w:val="0"/>
        <w:snapToGrid w:val="0"/>
        <w:spacing w:line="360" w:lineRule="auto"/>
        <w:rPr>
          <w:rFonts w:ascii="Book Antiqua" w:eastAsia="等线" w:hAnsi="Book Antiqua"/>
          <w:sz w:val="24"/>
        </w:rPr>
      </w:pPr>
    </w:p>
    <w:p w:rsidR="00CF159F" w:rsidRPr="00756DC7" w:rsidRDefault="00CF159F" w:rsidP="001E7706">
      <w:pPr>
        <w:adjustRightInd w:val="0"/>
        <w:snapToGrid w:val="0"/>
        <w:spacing w:line="360" w:lineRule="auto"/>
        <w:rPr>
          <w:rFonts w:ascii="Book Antiqua" w:hAnsi="Book Antiqua"/>
          <w:b/>
          <w:sz w:val="24"/>
        </w:rPr>
      </w:pPr>
      <w:bookmarkStart w:id="114" w:name="OLE_LINK139"/>
      <w:bookmarkStart w:id="115" w:name="OLE_LINK140"/>
      <w:r w:rsidRPr="00756DC7">
        <w:rPr>
          <w:rFonts w:ascii="Book Antiqua" w:hAnsi="Book Antiqua"/>
          <w:b/>
          <w:bCs/>
          <w:color w:val="000000"/>
          <w:sz w:val="24"/>
        </w:rPr>
        <w:t>P-Reviewer:</w:t>
      </w:r>
      <w:r w:rsidRPr="00756DC7">
        <w:rPr>
          <w:rFonts w:ascii="Book Antiqua" w:hAnsi="Book Antiqua"/>
          <w:bCs/>
          <w:color w:val="000000"/>
          <w:sz w:val="24"/>
        </w:rPr>
        <w:t xml:space="preserve"> </w:t>
      </w:r>
      <w:proofErr w:type="spellStart"/>
      <w:r w:rsidR="0095037D" w:rsidRPr="00756DC7">
        <w:rPr>
          <w:rFonts w:ascii="Book Antiqua" w:hAnsi="Book Antiqua"/>
          <w:bCs/>
          <w:color w:val="000000"/>
          <w:sz w:val="24"/>
        </w:rPr>
        <w:t>Paydas</w:t>
      </w:r>
      <w:proofErr w:type="spellEnd"/>
      <w:r w:rsidR="0095037D" w:rsidRPr="00756DC7">
        <w:rPr>
          <w:rFonts w:ascii="Book Antiqua" w:hAnsi="Book Antiqua"/>
          <w:bCs/>
          <w:color w:val="000000"/>
          <w:sz w:val="24"/>
        </w:rPr>
        <w:t xml:space="preserve"> S, </w:t>
      </w:r>
      <w:r w:rsidR="0095037D" w:rsidRPr="00756DC7">
        <w:rPr>
          <w:rFonts w:ascii="Book Antiqua" w:hAnsi="Book Antiqua"/>
          <w:sz w:val="24"/>
        </w:rPr>
        <w:t>Perl A</w:t>
      </w:r>
      <w:r w:rsidRPr="00756DC7">
        <w:rPr>
          <w:rFonts w:ascii="Book Antiqua" w:hAnsi="Book Antiqua"/>
          <w:bCs/>
          <w:color w:val="000000"/>
          <w:sz w:val="24"/>
        </w:rPr>
        <w:t xml:space="preserve"> </w:t>
      </w:r>
      <w:r w:rsidRPr="00756DC7">
        <w:rPr>
          <w:rFonts w:ascii="Book Antiqua" w:hAnsi="Book Antiqua"/>
          <w:b/>
          <w:bCs/>
          <w:color w:val="000000"/>
          <w:sz w:val="24"/>
        </w:rPr>
        <w:t>S-Editor:</w:t>
      </w:r>
      <w:r w:rsidRPr="00756DC7">
        <w:rPr>
          <w:rFonts w:ascii="Book Antiqua" w:hAnsi="Book Antiqua"/>
          <w:color w:val="000000"/>
          <w:sz w:val="24"/>
        </w:rPr>
        <w:t xml:space="preserve"> </w:t>
      </w:r>
      <w:r w:rsidR="0095037D" w:rsidRPr="00756DC7">
        <w:rPr>
          <w:rFonts w:ascii="Book Antiqua" w:hAnsi="Book Antiqua"/>
          <w:color w:val="000000"/>
          <w:sz w:val="24"/>
        </w:rPr>
        <w:t>Wang JL</w:t>
      </w:r>
      <w:r w:rsidRPr="00756DC7">
        <w:rPr>
          <w:rFonts w:ascii="Book Antiqua" w:hAnsi="Book Antiqua"/>
          <w:color w:val="000000"/>
          <w:sz w:val="24"/>
        </w:rPr>
        <w:t xml:space="preserve"> </w:t>
      </w:r>
      <w:r w:rsidRPr="00756DC7">
        <w:rPr>
          <w:rFonts w:ascii="Book Antiqua" w:hAnsi="Book Antiqua"/>
          <w:b/>
          <w:bCs/>
          <w:color w:val="000000"/>
          <w:sz w:val="24"/>
        </w:rPr>
        <w:t>L-Editor:</w:t>
      </w:r>
      <w:r w:rsidRPr="00756DC7">
        <w:rPr>
          <w:rFonts w:ascii="Book Antiqua" w:hAnsi="Book Antiqua"/>
          <w:color w:val="000000"/>
          <w:sz w:val="24"/>
        </w:rPr>
        <w:t xml:space="preserve"> </w:t>
      </w:r>
      <w:r w:rsidR="00E827BB" w:rsidRPr="00756DC7">
        <w:rPr>
          <w:rFonts w:ascii="Book Antiqua" w:hAnsi="Book Antiqua" w:hint="eastAsia"/>
          <w:color w:val="000000"/>
          <w:sz w:val="24"/>
        </w:rPr>
        <w:t xml:space="preserve">A </w:t>
      </w:r>
      <w:r w:rsidRPr="00756DC7">
        <w:rPr>
          <w:rFonts w:ascii="Book Antiqua" w:hAnsi="Book Antiqua"/>
          <w:b/>
          <w:bCs/>
          <w:color w:val="000000"/>
          <w:sz w:val="24"/>
        </w:rPr>
        <w:t>E-Editor:</w:t>
      </w:r>
      <w:bookmarkEnd w:id="114"/>
      <w:bookmarkEnd w:id="115"/>
      <w:r w:rsidRPr="00756DC7">
        <w:rPr>
          <w:rFonts w:ascii="Book Antiqua" w:hAnsi="Book Antiqua"/>
          <w:b/>
          <w:sz w:val="24"/>
        </w:rPr>
        <w:t xml:space="preserve"> </w:t>
      </w:r>
      <w:r w:rsidR="00E827BB" w:rsidRPr="00756DC7">
        <w:rPr>
          <w:rFonts w:ascii="Book Antiqua" w:hAnsi="Book Antiqua" w:hint="eastAsia"/>
          <w:sz w:val="24"/>
        </w:rPr>
        <w:t>Ma YJ</w:t>
      </w:r>
    </w:p>
    <w:p w:rsidR="00B97AA2" w:rsidRPr="00756DC7" w:rsidRDefault="00B97AA2" w:rsidP="001E7706">
      <w:pPr>
        <w:adjustRightInd w:val="0"/>
        <w:snapToGrid w:val="0"/>
        <w:spacing w:line="360" w:lineRule="auto"/>
        <w:rPr>
          <w:rFonts w:ascii="Book Antiqua" w:hAnsi="Book Antiqua"/>
          <w:b/>
          <w:bCs/>
          <w:color w:val="000000"/>
          <w:sz w:val="24"/>
        </w:rPr>
      </w:pPr>
    </w:p>
    <w:p w:rsidR="00B97AA2" w:rsidRPr="00756DC7" w:rsidRDefault="00B97AA2" w:rsidP="001E7706">
      <w:pPr>
        <w:adjustRightInd w:val="0"/>
        <w:snapToGrid w:val="0"/>
        <w:spacing w:line="360" w:lineRule="auto"/>
        <w:rPr>
          <w:rFonts w:ascii="Book Antiqua" w:hAnsi="Book Antiqua"/>
          <w:b/>
          <w:bCs/>
          <w:color w:val="000000"/>
          <w:sz w:val="24"/>
        </w:rPr>
        <w:sectPr w:rsidR="00B97AA2" w:rsidRPr="00756DC7">
          <w:pgSz w:w="11906" w:h="16838"/>
          <w:pgMar w:top="1440" w:right="1800" w:bottom="1440" w:left="1800" w:header="851" w:footer="992" w:gutter="0"/>
          <w:cols w:space="720"/>
          <w:docGrid w:type="lines" w:linePitch="312"/>
        </w:sectPr>
      </w:pPr>
    </w:p>
    <w:p w:rsidR="00B97AA2" w:rsidRPr="00756DC7" w:rsidRDefault="00B97AA2" w:rsidP="001E7706">
      <w:pPr>
        <w:adjustRightInd w:val="0"/>
        <w:snapToGrid w:val="0"/>
        <w:spacing w:line="360" w:lineRule="auto"/>
        <w:rPr>
          <w:rFonts w:ascii="Book Antiqua" w:hAnsi="Book Antiqua"/>
          <w:b/>
          <w:bCs/>
          <w:color w:val="000000"/>
          <w:sz w:val="24"/>
        </w:rPr>
      </w:pPr>
      <w:r w:rsidRPr="00756DC7">
        <w:rPr>
          <w:rFonts w:ascii="Book Antiqua" w:hAnsi="Book Antiqua"/>
          <w:b/>
          <w:bCs/>
          <w:color w:val="000000"/>
          <w:sz w:val="24"/>
        </w:rPr>
        <w:lastRenderedPageBreak/>
        <w:t xml:space="preserve">Table1 Comorbidity with underlying liver diseases and liver dysfunction in </w:t>
      </w:r>
      <w:r w:rsidR="0095037D" w:rsidRPr="00756DC7">
        <w:rPr>
          <w:rFonts w:ascii="Book Antiqua" w:hAnsi="Book Antiqua"/>
          <w:b/>
          <w:color w:val="000000"/>
          <w:sz w:val="24"/>
        </w:rPr>
        <w:t>coronavirus disease-2019</w:t>
      </w:r>
      <w:r w:rsidRPr="00756DC7">
        <w:rPr>
          <w:rFonts w:ascii="Book Antiqua" w:hAnsi="Book Antiqua"/>
          <w:b/>
          <w:bCs/>
          <w:color w:val="000000"/>
          <w:sz w:val="24"/>
        </w:rPr>
        <w:t xml:space="preserve"> patients</w:t>
      </w:r>
      <w:r w:rsidR="0095037D" w:rsidRPr="00756DC7">
        <w:rPr>
          <w:rFonts w:ascii="Book Antiqua" w:hAnsi="Book Antiqua"/>
          <w:b/>
          <w:bCs/>
          <w:color w:val="000000"/>
          <w:sz w:val="24"/>
        </w:rPr>
        <w:t xml:space="preserve">, </w:t>
      </w:r>
      <w:r w:rsidR="0095037D" w:rsidRPr="00756DC7">
        <w:rPr>
          <w:rFonts w:ascii="Book Antiqua" w:hAnsi="Book Antiqua"/>
          <w:b/>
          <w:bCs/>
          <w:i/>
          <w:color w:val="000000"/>
          <w:sz w:val="24"/>
        </w:rPr>
        <w:t>n</w:t>
      </w:r>
      <w:r w:rsidR="0095037D" w:rsidRPr="00756DC7">
        <w:rPr>
          <w:rFonts w:ascii="Book Antiqua" w:hAnsi="Book Antiqua"/>
          <w:b/>
          <w:bCs/>
          <w:color w:val="000000"/>
          <w:sz w:val="24"/>
        </w:rPr>
        <w:t xml:space="preserve"> (%)</w:t>
      </w:r>
    </w:p>
    <w:tbl>
      <w:tblPr>
        <w:tblpPr w:leftFromText="180" w:rightFromText="180" w:vertAnchor="page" w:horzAnchor="margin" w:tblpY="2380"/>
        <w:tblOverlap w:val="never"/>
        <w:tblW w:w="5000" w:type="pct"/>
        <w:tblInd w:w="0"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2107"/>
        <w:gridCol w:w="2543"/>
        <w:gridCol w:w="2476"/>
        <w:gridCol w:w="2686"/>
        <w:gridCol w:w="4146"/>
      </w:tblGrid>
      <w:tr w:rsidR="0095037D" w:rsidRPr="00756DC7" w:rsidTr="009626C6">
        <w:trPr>
          <w:trHeight w:val="1125"/>
        </w:trPr>
        <w:tc>
          <w:tcPr>
            <w:tcW w:w="755" w:type="pct"/>
            <w:tcBorders>
              <w:top w:val="single" w:sz="8" w:space="0" w:color="000000"/>
              <w:bottom w:val="single" w:sz="8" w:space="0" w:color="000000"/>
            </w:tcBorders>
            <w:shd w:val="clear" w:color="auto" w:fill="auto"/>
          </w:tcPr>
          <w:p w:rsidR="0095037D" w:rsidRPr="00756DC7" w:rsidRDefault="00643C9F" w:rsidP="001E7706">
            <w:pPr>
              <w:pStyle w:val="TableParagraph"/>
              <w:adjustRightInd w:val="0"/>
              <w:snapToGrid w:val="0"/>
              <w:spacing w:before="0" w:line="360" w:lineRule="auto"/>
              <w:rPr>
                <w:rFonts w:ascii="Book Antiqua" w:eastAsia="宋体" w:hAnsi="Book Antiqua" w:cs="Times New Roman"/>
                <w:b/>
                <w:color w:val="000000"/>
                <w:sz w:val="24"/>
                <w:lang w:eastAsia="zh-CN"/>
              </w:rPr>
            </w:pPr>
            <w:r w:rsidRPr="00756DC7">
              <w:rPr>
                <w:rFonts w:ascii="Book Antiqua" w:eastAsia="宋体" w:hAnsi="Book Antiqua" w:cs="Times New Roman"/>
                <w:b/>
                <w:color w:val="000000"/>
                <w:sz w:val="24"/>
                <w:lang w:eastAsia="zh-CN"/>
              </w:rPr>
              <w:t>Ref.</w:t>
            </w:r>
          </w:p>
        </w:tc>
        <w:tc>
          <w:tcPr>
            <w:tcW w:w="911" w:type="pct"/>
            <w:tcBorders>
              <w:top w:val="single" w:sz="8" w:space="0" w:color="000000"/>
              <w:bottom w:val="single" w:sz="8" w:space="0" w:color="000000"/>
            </w:tcBorders>
            <w:shd w:val="clear" w:color="auto" w:fill="auto"/>
          </w:tcPr>
          <w:p w:rsidR="0095037D" w:rsidRPr="00756DC7" w:rsidRDefault="0095037D" w:rsidP="001E7706">
            <w:pPr>
              <w:pStyle w:val="TableParagraph"/>
              <w:adjustRightInd w:val="0"/>
              <w:snapToGrid w:val="0"/>
              <w:spacing w:before="0" w:line="360" w:lineRule="auto"/>
              <w:ind w:right="194"/>
              <w:rPr>
                <w:rFonts w:ascii="Book Antiqua" w:hAnsi="Book Antiqua" w:cs="Times New Roman"/>
                <w:b/>
                <w:color w:val="000000"/>
                <w:sz w:val="24"/>
              </w:rPr>
            </w:pPr>
            <w:r w:rsidRPr="00756DC7">
              <w:rPr>
                <w:rFonts w:ascii="Book Antiqua" w:hAnsi="Book Antiqua" w:cs="Times New Roman"/>
                <w:b/>
                <w:color w:val="000000"/>
                <w:sz w:val="24"/>
              </w:rPr>
              <w:t>Patients with SARS-CoV-2</w:t>
            </w:r>
            <w:r w:rsidR="00643C9F" w:rsidRPr="00756DC7">
              <w:rPr>
                <w:rFonts w:ascii="Book Antiqua" w:eastAsia="宋体" w:hAnsi="Book Antiqua" w:cs="Times New Roman"/>
                <w:b/>
                <w:color w:val="000000"/>
                <w:sz w:val="24"/>
                <w:lang w:eastAsia="zh-CN"/>
              </w:rPr>
              <w:t xml:space="preserve"> </w:t>
            </w:r>
            <w:r w:rsidRPr="00756DC7">
              <w:rPr>
                <w:rFonts w:ascii="Book Antiqua" w:hAnsi="Book Antiqua" w:cs="Times New Roman"/>
                <w:b/>
                <w:color w:val="000000"/>
                <w:sz w:val="24"/>
              </w:rPr>
              <w:t>infection</w:t>
            </w:r>
          </w:p>
        </w:tc>
        <w:tc>
          <w:tcPr>
            <w:tcW w:w="887" w:type="pct"/>
            <w:tcBorders>
              <w:top w:val="single" w:sz="8" w:space="0" w:color="000000"/>
              <w:bottom w:val="single" w:sz="8" w:space="0" w:color="000000"/>
            </w:tcBorders>
            <w:shd w:val="clear" w:color="auto" w:fill="auto"/>
          </w:tcPr>
          <w:p w:rsidR="0095037D" w:rsidRPr="00756DC7" w:rsidRDefault="0095037D" w:rsidP="001E7706">
            <w:pPr>
              <w:pStyle w:val="TableParagraph"/>
              <w:adjustRightInd w:val="0"/>
              <w:snapToGrid w:val="0"/>
              <w:spacing w:before="0" w:line="360" w:lineRule="auto"/>
              <w:ind w:right="52"/>
              <w:rPr>
                <w:rFonts w:ascii="Book Antiqua" w:eastAsia="宋体" w:hAnsi="Book Antiqua" w:cs="Times New Roman"/>
                <w:b/>
                <w:color w:val="000000"/>
                <w:sz w:val="24"/>
                <w:lang w:eastAsia="zh-CN"/>
              </w:rPr>
            </w:pPr>
            <w:r w:rsidRPr="00756DC7">
              <w:rPr>
                <w:rFonts w:ascii="Book Antiqua" w:hAnsi="Book Antiqua" w:cs="Times New Roman"/>
                <w:b/>
                <w:color w:val="000000"/>
                <w:sz w:val="24"/>
              </w:rPr>
              <w:t>Patients with abnormal liver function</w:t>
            </w:r>
          </w:p>
        </w:tc>
        <w:tc>
          <w:tcPr>
            <w:tcW w:w="962" w:type="pct"/>
            <w:tcBorders>
              <w:top w:val="single" w:sz="8" w:space="0" w:color="000000"/>
              <w:bottom w:val="single" w:sz="8" w:space="0" w:color="000000"/>
            </w:tcBorders>
            <w:shd w:val="clear" w:color="auto" w:fill="auto"/>
          </w:tcPr>
          <w:p w:rsidR="0095037D" w:rsidRPr="00756DC7" w:rsidRDefault="0095037D" w:rsidP="001E7706">
            <w:pPr>
              <w:pStyle w:val="TableParagraph"/>
              <w:adjustRightInd w:val="0"/>
              <w:snapToGrid w:val="0"/>
              <w:spacing w:before="0" w:line="360" w:lineRule="auto"/>
              <w:ind w:right="3"/>
              <w:rPr>
                <w:rFonts w:ascii="Book Antiqua" w:hAnsi="Book Antiqua" w:cs="Times New Roman"/>
                <w:b/>
                <w:color w:val="000000"/>
                <w:sz w:val="24"/>
              </w:rPr>
            </w:pPr>
            <w:r w:rsidRPr="00756DC7">
              <w:rPr>
                <w:rFonts w:ascii="Book Antiqua" w:hAnsi="Book Antiqua" w:cs="Times New Roman"/>
                <w:b/>
                <w:color w:val="000000"/>
                <w:sz w:val="24"/>
              </w:rPr>
              <w:t>P</w:t>
            </w:r>
            <w:r w:rsidR="00805E4E" w:rsidRPr="00756DC7">
              <w:rPr>
                <w:rFonts w:ascii="Book Antiqua" w:hAnsi="Book Antiqua" w:cs="Times New Roman"/>
                <w:b/>
                <w:color w:val="000000"/>
                <w:sz w:val="24"/>
              </w:rPr>
              <w:t>atients with pre-existing liver</w:t>
            </w:r>
            <w:r w:rsidR="00805E4E" w:rsidRPr="00756DC7">
              <w:rPr>
                <w:rFonts w:ascii="Book Antiqua" w:eastAsia="宋体" w:hAnsi="Book Antiqua" w:cs="Times New Roman"/>
                <w:b/>
                <w:color w:val="000000"/>
                <w:sz w:val="24"/>
                <w:lang w:eastAsia="zh-CN"/>
              </w:rPr>
              <w:t xml:space="preserve"> </w:t>
            </w:r>
            <w:r w:rsidRPr="00756DC7">
              <w:rPr>
                <w:rFonts w:ascii="Book Antiqua" w:hAnsi="Book Antiqua" w:cs="Times New Roman"/>
                <w:b/>
                <w:color w:val="000000"/>
                <w:sz w:val="24"/>
              </w:rPr>
              <w:t>co-morbidities</w:t>
            </w:r>
          </w:p>
        </w:tc>
        <w:tc>
          <w:tcPr>
            <w:tcW w:w="1485" w:type="pct"/>
            <w:tcBorders>
              <w:top w:val="single" w:sz="8" w:space="0" w:color="000000"/>
              <w:bottom w:val="single" w:sz="8" w:space="0" w:color="000000"/>
            </w:tcBorders>
            <w:shd w:val="clear" w:color="auto" w:fill="auto"/>
          </w:tcPr>
          <w:p w:rsidR="0095037D" w:rsidRPr="00756DC7" w:rsidRDefault="0095037D" w:rsidP="001E7706">
            <w:pPr>
              <w:pStyle w:val="TableParagraph"/>
              <w:adjustRightInd w:val="0"/>
              <w:snapToGrid w:val="0"/>
              <w:spacing w:before="0" w:line="360" w:lineRule="auto"/>
              <w:ind w:right="3"/>
              <w:rPr>
                <w:rFonts w:ascii="Book Antiqua" w:hAnsi="Book Antiqua" w:cs="Times New Roman"/>
                <w:b/>
                <w:color w:val="000000"/>
                <w:sz w:val="24"/>
              </w:rPr>
            </w:pPr>
            <w:r w:rsidRPr="00756DC7">
              <w:rPr>
                <w:rFonts w:ascii="Book Antiqua" w:hAnsi="Book Antiqua" w:cs="Times New Roman"/>
                <w:b/>
                <w:color w:val="000000"/>
                <w:sz w:val="24"/>
              </w:rPr>
              <w:t>Abnormal indicators of liver function</w:t>
            </w:r>
          </w:p>
        </w:tc>
      </w:tr>
      <w:tr w:rsidR="00643C9F" w:rsidRPr="00756DC7" w:rsidTr="009626C6">
        <w:trPr>
          <w:trHeight w:val="836"/>
        </w:trPr>
        <w:tc>
          <w:tcPr>
            <w:tcW w:w="755" w:type="pct"/>
            <w:tcBorders>
              <w:top w:val="single" w:sz="8" w:space="0" w:color="000000"/>
            </w:tcBorders>
            <w:shd w:val="clear" w:color="auto" w:fill="auto"/>
          </w:tcPr>
          <w:p w:rsidR="0095037D" w:rsidRPr="00756DC7" w:rsidRDefault="0095037D" w:rsidP="001E7706">
            <w:pPr>
              <w:pStyle w:val="TableParagraph"/>
              <w:adjustRightInd w:val="0"/>
              <w:snapToGrid w:val="0"/>
              <w:spacing w:before="0" w:line="360" w:lineRule="auto"/>
              <w:rPr>
                <w:rFonts w:ascii="Book Antiqua" w:eastAsia="宋体" w:hAnsi="Book Antiqua" w:cs="Times New Roman"/>
                <w:color w:val="000000"/>
                <w:sz w:val="24"/>
                <w:lang w:eastAsia="zh-CN"/>
              </w:rPr>
            </w:pPr>
            <w:r w:rsidRPr="00756DC7">
              <w:rPr>
                <w:rFonts w:ascii="Book Antiqua" w:hAnsi="Book Antiqua" w:cs="Times New Roman"/>
                <w:color w:val="000000"/>
                <w:sz w:val="24"/>
              </w:rPr>
              <w:t>Chen</w:t>
            </w:r>
            <w:r w:rsidRPr="00756DC7">
              <w:rPr>
                <w:rFonts w:ascii="Book Antiqua" w:eastAsia="宋体" w:hAnsi="Book Antiqua" w:cs="Times New Roman"/>
                <w:color w:val="000000"/>
                <w:sz w:val="24"/>
                <w:lang w:eastAsia="zh-CN"/>
              </w:rPr>
              <w:t xml:space="preserve"> </w:t>
            </w:r>
            <w:r w:rsidRPr="00756DC7">
              <w:rPr>
                <w:rFonts w:ascii="Book Antiqua" w:hAnsi="Book Antiqua" w:cs="Times New Roman"/>
                <w:i/>
                <w:color w:val="000000"/>
                <w:sz w:val="24"/>
              </w:rPr>
              <w:t>et a</w:t>
            </w:r>
            <w:r w:rsidRPr="00756DC7">
              <w:rPr>
                <w:rFonts w:ascii="Book Antiqua" w:eastAsia="宋体" w:hAnsi="Book Antiqua" w:cs="Times New Roman"/>
                <w:i/>
                <w:color w:val="000000"/>
                <w:sz w:val="24"/>
                <w:lang w:eastAsia="zh-CN"/>
              </w:rPr>
              <w:t>l</w:t>
            </w:r>
            <w:r w:rsidRPr="00756DC7">
              <w:rPr>
                <w:rFonts w:ascii="Book Antiqua" w:hAnsi="Book Antiqua" w:cs="Times New Roman"/>
                <w:color w:val="000000"/>
                <w:sz w:val="24"/>
                <w:vertAlign w:val="superscript"/>
              </w:rPr>
              <w:t>[</w:t>
            </w:r>
            <w:r w:rsidRPr="00756DC7">
              <w:rPr>
                <w:rFonts w:ascii="Book Antiqua" w:eastAsia="宋体" w:hAnsi="Book Antiqua" w:cs="Times New Roman"/>
                <w:color w:val="000000"/>
                <w:sz w:val="24"/>
                <w:vertAlign w:val="superscript"/>
                <w:lang w:eastAsia="zh-CN"/>
              </w:rPr>
              <w:t>4</w:t>
            </w:r>
            <w:r w:rsidRPr="00756DC7">
              <w:rPr>
                <w:rFonts w:ascii="Book Antiqua" w:hAnsi="Book Antiqua" w:cs="Times New Roman"/>
                <w:color w:val="000000"/>
                <w:sz w:val="24"/>
                <w:vertAlign w:val="superscript"/>
              </w:rPr>
              <w:t>]</w:t>
            </w:r>
          </w:p>
        </w:tc>
        <w:tc>
          <w:tcPr>
            <w:tcW w:w="911" w:type="pct"/>
            <w:tcBorders>
              <w:top w:val="single" w:sz="8" w:space="0" w:color="000000"/>
            </w:tcBorders>
            <w:shd w:val="clear" w:color="auto" w:fill="auto"/>
          </w:tcPr>
          <w:p w:rsidR="0095037D" w:rsidRPr="00756DC7" w:rsidRDefault="0095037D" w:rsidP="001E7706">
            <w:pPr>
              <w:pStyle w:val="TableParagraph"/>
              <w:adjustRightInd w:val="0"/>
              <w:snapToGrid w:val="0"/>
              <w:spacing w:before="0" w:line="360" w:lineRule="auto"/>
              <w:ind w:left="60"/>
              <w:rPr>
                <w:rFonts w:ascii="Book Antiqua" w:hAnsi="Book Antiqua" w:cs="Times New Roman"/>
                <w:color w:val="000000"/>
                <w:sz w:val="24"/>
              </w:rPr>
            </w:pPr>
            <w:r w:rsidRPr="00756DC7">
              <w:rPr>
                <w:rFonts w:ascii="Book Antiqua" w:hAnsi="Book Antiqua" w:cs="Times New Roman"/>
                <w:color w:val="000000"/>
                <w:sz w:val="24"/>
              </w:rPr>
              <w:t>99</w:t>
            </w:r>
          </w:p>
        </w:tc>
        <w:tc>
          <w:tcPr>
            <w:tcW w:w="887" w:type="pct"/>
            <w:tcBorders>
              <w:top w:val="single" w:sz="8" w:space="0" w:color="000000"/>
            </w:tcBorders>
            <w:shd w:val="clear" w:color="auto" w:fill="auto"/>
          </w:tcPr>
          <w:p w:rsidR="0095037D" w:rsidRPr="00756DC7" w:rsidRDefault="0095037D" w:rsidP="001E7706">
            <w:pPr>
              <w:pStyle w:val="TableParagraph"/>
              <w:adjustRightInd w:val="0"/>
              <w:snapToGrid w:val="0"/>
              <w:spacing w:before="0" w:line="360" w:lineRule="auto"/>
              <w:rPr>
                <w:rFonts w:ascii="Book Antiqua" w:hAnsi="Book Antiqua" w:cs="Times New Roman"/>
                <w:color w:val="000000"/>
                <w:sz w:val="24"/>
              </w:rPr>
            </w:pPr>
            <w:r w:rsidRPr="00756DC7">
              <w:rPr>
                <w:rFonts w:ascii="Book Antiqua" w:eastAsia="宋体" w:hAnsi="Book Antiqua" w:cs="Times New Roman"/>
                <w:color w:val="000000"/>
                <w:sz w:val="24"/>
                <w:lang w:eastAsia="zh-CN"/>
              </w:rPr>
              <w:t>43</w:t>
            </w:r>
            <w:r w:rsidRPr="00756DC7">
              <w:rPr>
                <w:rFonts w:ascii="Book Antiqua" w:hAnsi="Book Antiqua" w:cs="Times New Roman"/>
                <w:color w:val="000000"/>
                <w:sz w:val="24"/>
              </w:rPr>
              <w:t xml:space="preserve"> (</w:t>
            </w:r>
            <w:r w:rsidRPr="00756DC7">
              <w:rPr>
                <w:rFonts w:ascii="Book Antiqua" w:eastAsia="宋体" w:hAnsi="Book Antiqua" w:cs="Times New Roman"/>
                <w:color w:val="000000"/>
                <w:sz w:val="24"/>
                <w:lang w:eastAsia="zh-CN"/>
              </w:rPr>
              <w:t>43.4</w:t>
            </w:r>
            <w:r w:rsidRPr="00756DC7">
              <w:rPr>
                <w:rFonts w:ascii="Book Antiqua" w:hAnsi="Book Antiqua" w:cs="Times New Roman"/>
                <w:color w:val="000000"/>
                <w:sz w:val="24"/>
              </w:rPr>
              <w:t>)</w:t>
            </w:r>
          </w:p>
        </w:tc>
        <w:tc>
          <w:tcPr>
            <w:tcW w:w="962" w:type="pct"/>
            <w:tcBorders>
              <w:top w:val="single" w:sz="8" w:space="0" w:color="000000"/>
            </w:tcBorders>
            <w:shd w:val="clear" w:color="auto" w:fill="auto"/>
          </w:tcPr>
          <w:p w:rsidR="0095037D" w:rsidRPr="00756DC7" w:rsidRDefault="0095037D" w:rsidP="001E7706">
            <w:pPr>
              <w:pStyle w:val="TableParagraph"/>
              <w:adjustRightInd w:val="0"/>
              <w:snapToGrid w:val="0"/>
              <w:spacing w:before="0" w:line="360" w:lineRule="auto"/>
              <w:ind w:left="88" w:right="101"/>
              <w:rPr>
                <w:rFonts w:ascii="Book Antiqua" w:hAnsi="Book Antiqua" w:cs="Times New Roman"/>
                <w:color w:val="000000"/>
                <w:sz w:val="24"/>
              </w:rPr>
            </w:pPr>
            <w:r w:rsidRPr="00756DC7">
              <w:rPr>
                <w:rFonts w:ascii="Book Antiqua" w:hAnsi="Book Antiqua" w:cs="Times New Roman"/>
                <w:color w:val="000000"/>
                <w:sz w:val="24"/>
              </w:rPr>
              <w:t>N/A</w:t>
            </w:r>
          </w:p>
        </w:tc>
        <w:tc>
          <w:tcPr>
            <w:tcW w:w="1485" w:type="pct"/>
            <w:tcBorders>
              <w:top w:val="single" w:sz="8" w:space="0" w:color="000000"/>
            </w:tcBorders>
            <w:shd w:val="clear" w:color="auto" w:fill="auto"/>
          </w:tcPr>
          <w:p w:rsidR="0095037D" w:rsidRPr="00756DC7" w:rsidRDefault="0095037D" w:rsidP="001E7706">
            <w:pPr>
              <w:pStyle w:val="TableParagraph"/>
              <w:adjustRightInd w:val="0"/>
              <w:snapToGrid w:val="0"/>
              <w:spacing w:before="0" w:line="360" w:lineRule="auto"/>
              <w:rPr>
                <w:rFonts w:ascii="Book Antiqua" w:hAnsi="Book Antiqua" w:cs="Times New Roman"/>
                <w:color w:val="000000"/>
                <w:sz w:val="24"/>
              </w:rPr>
            </w:pPr>
            <w:r w:rsidRPr="00756DC7">
              <w:rPr>
                <w:rFonts w:ascii="Book Antiqua" w:hAnsi="Book Antiqua" w:cs="Times New Roman"/>
                <w:color w:val="000000"/>
                <w:sz w:val="24"/>
              </w:rPr>
              <w:t>One patient with severe liver function damage</w:t>
            </w:r>
            <w:r w:rsidR="00643C9F" w:rsidRPr="00756DC7">
              <w:rPr>
                <w:rFonts w:ascii="Book Antiqua" w:eastAsia="宋体" w:hAnsi="Book Antiqua" w:cs="Times New Roman"/>
                <w:color w:val="000000"/>
                <w:sz w:val="24"/>
                <w:lang w:eastAsia="zh-CN"/>
              </w:rPr>
              <w:t xml:space="preserve">: </w:t>
            </w:r>
            <w:r w:rsidR="00643C9F" w:rsidRPr="00756DC7">
              <w:rPr>
                <w:rFonts w:ascii="Book Antiqua" w:hAnsi="Book Antiqua" w:cs="Times New Roman"/>
                <w:color w:val="000000"/>
                <w:sz w:val="24"/>
              </w:rPr>
              <w:t>ALT</w:t>
            </w:r>
            <w:r w:rsidR="00643C9F" w:rsidRPr="00756DC7">
              <w:rPr>
                <w:rFonts w:ascii="Book Antiqua" w:eastAsia="宋体" w:hAnsi="Book Antiqua" w:cs="Times New Roman"/>
                <w:color w:val="000000"/>
                <w:sz w:val="24"/>
                <w:lang w:eastAsia="zh-CN"/>
              </w:rPr>
              <w:t xml:space="preserve"> </w:t>
            </w:r>
            <w:r w:rsidRPr="00756DC7">
              <w:rPr>
                <w:rFonts w:ascii="Book Antiqua" w:hAnsi="Book Antiqua" w:cs="Times New Roman"/>
                <w:color w:val="000000"/>
                <w:sz w:val="24"/>
              </w:rPr>
              <w:t>7590 U/L</w:t>
            </w:r>
            <w:r w:rsidR="00643C9F" w:rsidRPr="00756DC7">
              <w:rPr>
                <w:rFonts w:ascii="Book Antiqua" w:eastAsia="宋体" w:hAnsi="Book Antiqua" w:cs="Times New Roman"/>
                <w:color w:val="000000"/>
                <w:sz w:val="24"/>
                <w:lang w:eastAsia="zh-CN"/>
              </w:rPr>
              <w:t xml:space="preserve">; </w:t>
            </w:r>
            <w:r w:rsidRPr="00756DC7">
              <w:rPr>
                <w:rFonts w:ascii="Book Antiqua" w:hAnsi="Book Antiqua" w:cs="Times New Roman"/>
                <w:color w:val="000000"/>
                <w:sz w:val="24"/>
              </w:rPr>
              <w:t>AST 1445 U/L</w:t>
            </w:r>
          </w:p>
        </w:tc>
      </w:tr>
      <w:tr w:rsidR="00643C9F" w:rsidRPr="00756DC7" w:rsidTr="009626C6">
        <w:trPr>
          <w:trHeight w:val="680"/>
        </w:trPr>
        <w:tc>
          <w:tcPr>
            <w:tcW w:w="755" w:type="pct"/>
            <w:shd w:val="clear" w:color="auto" w:fill="auto"/>
          </w:tcPr>
          <w:p w:rsidR="0095037D" w:rsidRPr="00756DC7" w:rsidRDefault="0095037D" w:rsidP="001E7706">
            <w:pPr>
              <w:pStyle w:val="TableParagraph"/>
              <w:adjustRightInd w:val="0"/>
              <w:snapToGrid w:val="0"/>
              <w:spacing w:before="0" w:line="360" w:lineRule="auto"/>
              <w:rPr>
                <w:rFonts w:ascii="Book Antiqua" w:eastAsia="宋体" w:hAnsi="Book Antiqua" w:cs="Times New Roman"/>
                <w:color w:val="000000"/>
                <w:sz w:val="24"/>
                <w:lang w:eastAsia="zh-CN"/>
              </w:rPr>
            </w:pPr>
            <w:r w:rsidRPr="00756DC7">
              <w:rPr>
                <w:rFonts w:ascii="Book Antiqua" w:hAnsi="Book Antiqua" w:cs="Times New Roman"/>
                <w:color w:val="000000"/>
                <w:sz w:val="24"/>
              </w:rPr>
              <w:t xml:space="preserve">Wang </w:t>
            </w:r>
            <w:r w:rsidRPr="00756DC7">
              <w:rPr>
                <w:rFonts w:ascii="Book Antiqua" w:hAnsi="Book Antiqua" w:cs="Times New Roman"/>
                <w:i/>
                <w:color w:val="000000"/>
                <w:sz w:val="24"/>
              </w:rPr>
              <w:t>et a</w:t>
            </w:r>
            <w:r w:rsidRPr="00756DC7">
              <w:rPr>
                <w:rFonts w:ascii="Book Antiqua" w:eastAsia="宋体" w:hAnsi="Book Antiqua" w:cs="Times New Roman"/>
                <w:i/>
                <w:color w:val="000000"/>
                <w:sz w:val="24"/>
                <w:lang w:eastAsia="zh-CN"/>
              </w:rPr>
              <w:t>l</w:t>
            </w:r>
            <w:r w:rsidRPr="00756DC7">
              <w:rPr>
                <w:rFonts w:ascii="Book Antiqua" w:hAnsi="Book Antiqua" w:cs="Times New Roman"/>
                <w:color w:val="000000"/>
                <w:sz w:val="24"/>
                <w:vertAlign w:val="superscript"/>
              </w:rPr>
              <w:t>[5]</w:t>
            </w:r>
          </w:p>
        </w:tc>
        <w:tc>
          <w:tcPr>
            <w:tcW w:w="911" w:type="pct"/>
            <w:shd w:val="clear" w:color="auto" w:fill="auto"/>
          </w:tcPr>
          <w:p w:rsidR="0095037D" w:rsidRPr="00756DC7" w:rsidRDefault="0095037D" w:rsidP="001E7706">
            <w:pPr>
              <w:pStyle w:val="TableParagraph"/>
              <w:adjustRightInd w:val="0"/>
              <w:snapToGrid w:val="0"/>
              <w:spacing w:before="0" w:line="360" w:lineRule="auto"/>
              <w:rPr>
                <w:rFonts w:ascii="Book Antiqua" w:hAnsi="Book Antiqua" w:cs="Times New Roman"/>
                <w:color w:val="000000"/>
                <w:sz w:val="24"/>
              </w:rPr>
            </w:pPr>
            <w:r w:rsidRPr="00756DC7">
              <w:rPr>
                <w:rFonts w:ascii="Book Antiqua" w:eastAsia="宋体" w:hAnsi="Book Antiqua" w:cs="Times New Roman"/>
                <w:color w:val="000000"/>
                <w:sz w:val="24"/>
                <w:lang w:eastAsia="zh-CN"/>
              </w:rPr>
              <w:t>69</w:t>
            </w:r>
          </w:p>
        </w:tc>
        <w:tc>
          <w:tcPr>
            <w:tcW w:w="887" w:type="pct"/>
            <w:shd w:val="clear" w:color="auto" w:fill="auto"/>
          </w:tcPr>
          <w:p w:rsidR="0095037D" w:rsidRPr="00756DC7" w:rsidRDefault="0095037D" w:rsidP="001E7706">
            <w:pPr>
              <w:pStyle w:val="TableParagraph"/>
              <w:adjustRightInd w:val="0"/>
              <w:snapToGrid w:val="0"/>
              <w:spacing w:before="0" w:line="360" w:lineRule="auto"/>
              <w:rPr>
                <w:rFonts w:ascii="Book Antiqua" w:eastAsia="宋体" w:hAnsi="Book Antiqua" w:cs="Times New Roman"/>
                <w:color w:val="000000"/>
                <w:sz w:val="24"/>
                <w:lang w:eastAsia="zh-CN"/>
              </w:rPr>
            </w:pPr>
            <w:r w:rsidRPr="00756DC7">
              <w:rPr>
                <w:rFonts w:ascii="Book Antiqua" w:eastAsia="宋体" w:hAnsi="Book Antiqua" w:cs="Times New Roman"/>
                <w:color w:val="000000"/>
                <w:sz w:val="24"/>
                <w:lang w:eastAsia="zh-CN"/>
              </w:rPr>
              <w:t>42</w:t>
            </w:r>
            <w:r w:rsidR="00643C9F" w:rsidRPr="00756DC7">
              <w:rPr>
                <w:rFonts w:ascii="Book Antiqua" w:eastAsia="宋体" w:hAnsi="Book Antiqua" w:cs="Times New Roman"/>
                <w:color w:val="000000"/>
                <w:sz w:val="24"/>
                <w:lang w:eastAsia="zh-CN"/>
              </w:rPr>
              <w:t xml:space="preserve"> (</w:t>
            </w:r>
            <w:r w:rsidRPr="00756DC7">
              <w:rPr>
                <w:rFonts w:ascii="Book Antiqua" w:eastAsia="宋体" w:hAnsi="Book Antiqua" w:cs="Times New Roman"/>
                <w:color w:val="000000"/>
                <w:sz w:val="24"/>
                <w:lang w:eastAsia="zh-CN"/>
              </w:rPr>
              <w:t>60.9</w:t>
            </w:r>
            <w:r w:rsidR="00643C9F" w:rsidRPr="00756DC7">
              <w:rPr>
                <w:rFonts w:ascii="Book Antiqua" w:eastAsia="宋体" w:hAnsi="Book Antiqua" w:cs="Times New Roman"/>
                <w:color w:val="000000"/>
                <w:sz w:val="24"/>
                <w:lang w:eastAsia="zh-CN"/>
              </w:rPr>
              <w:t>)</w:t>
            </w:r>
          </w:p>
        </w:tc>
        <w:tc>
          <w:tcPr>
            <w:tcW w:w="962" w:type="pct"/>
            <w:shd w:val="clear" w:color="auto" w:fill="auto"/>
          </w:tcPr>
          <w:p w:rsidR="0095037D" w:rsidRPr="00756DC7" w:rsidRDefault="0095037D" w:rsidP="001E7706">
            <w:pPr>
              <w:pStyle w:val="TableParagraph"/>
              <w:adjustRightInd w:val="0"/>
              <w:snapToGrid w:val="0"/>
              <w:spacing w:before="0" w:line="360" w:lineRule="auto"/>
              <w:ind w:right="59"/>
              <w:rPr>
                <w:rFonts w:ascii="Book Antiqua" w:hAnsi="Book Antiqua" w:cs="Times New Roman"/>
                <w:color w:val="000000"/>
                <w:sz w:val="24"/>
              </w:rPr>
            </w:pPr>
            <w:r w:rsidRPr="00756DC7">
              <w:rPr>
                <w:rFonts w:ascii="Book Antiqua" w:eastAsia="宋体" w:hAnsi="Book Antiqua" w:cs="Times New Roman"/>
                <w:color w:val="000000"/>
                <w:kern w:val="0"/>
                <w:sz w:val="24"/>
                <w:lang w:bidi="ar"/>
              </w:rPr>
              <w:t>1</w:t>
            </w:r>
            <w:r w:rsidR="00643C9F" w:rsidRPr="00756DC7">
              <w:rPr>
                <w:rFonts w:ascii="Book Antiqua" w:eastAsia="宋体" w:hAnsi="Book Antiqua" w:cs="Times New Roman"/>
                <w:color w:val="000000"/>
                <w:kern w:val="0"/>
                <w:sz w:val="24"/>
                <w:lang w:eastAsia="zh-CN" w:bidi="ar"/>
              </w:rPr>
              <w:t xml:space="preserve"> </w:t>
            </w:r>
            <w:r w:rsidRPr="00756DC7">
              <w:rPr>
                <w:rFonts w:ascii="Book Antiqua" w:eastAsia="宋体" w:hAnsi="Book Antiqua" w:cs="Times New Roman"/>
                <w:color w:val="000000"/>
                <w:kern w:val="0"/>
                <w:sz w:val="24"/>
                <w:lang w:bidi="ar"/>
              </w:rPr>
              <w:t>(1)</w:t>
            </w:r>
          </w:p>
        </w:tc>
        <w:tc>
          <w:tcPr>
            <w:tcW w:w="1485" w:type="pct"/>
            <w:shd w:val="clear" w:color="auto" w:fill="auto"/>
          </w:tcPr>
          <w:p w:rsidR="0095037D" w:rsidRPr="00756DC7" w:rsidRDefault="0095037D" w:rsidP="001E7706">
            <w:pPr>
              <w:pStyle w:val="TableParagraph"/>
              <w:adjustRightInd w:val="0"/>
              <w:snapToGrid w:val="0"/>
              <w:spacing w:before="0" w:line="360" w:lineRule="auto"/>
              <w:rPr>
                <w:rFonts w:ascii="Book Antiqua" w:hAnsi="Book Antiqua" w:cs="Times New Roman"/>
                <w:color w:val="000000"/>
                <w:sz w:val="24"/>
              </w:rPr>
            </w:pPr>
            <w:r w:rsidRPr="00756DC7">
              <w:rPr>
                <w:rFonts w:ascii="Book Antiqua" w:hAnsi="Book Antiqua" w:cs="Times New Roman"/>
                <w:color w:val="000000"/>
                <w:sz w:val="24"/>
              </w:rPr>
              <w:t>Abnormal</w:t>
            </w:r>
            <w:r w:rsidRPr="00756DC7">
              <w:rPr>
                <w:rFonts w:ascii="Book Antiqua" w:eastAsia="宋体" w:hAnsi="Book Antiqua" w:cs="Times New Roman"/>
                <w:color w:val="000000"/>
                <w:sz w:val="24"/>
                <w:lang w:eastAsia="zh-CN"/>
              </w:rPr>
              <w:t xml:space="preserve"> </w:t>
            </w:r>
            <w:r w:rsidRPr="00756DC7">
              <w:rPr>
                <w:rFonts w:ascii="Book Antiqua" w:hAnsi="Book Antiqua" w:cs="Times New Roman"/>
                <w:color w:val="000000"/>
                <w:sz w:val="24"/>
              </w:rPr>
              <w:t>ALT</w:t>
            </w:r>
            <w:r w:rsidRPr="00756DC7">
              <w:rPr>
                <w:rFonts w:ascii="Book Antiqua" w:eastAsia="宋体" w:hAnsi="Book Antiqua" w:cs="Times New Roman"/>
                <w:color w:val="000000"/>
                <w:sz w:val="24"/>
                <w:lang w:eastAsia="zh-CN"/>
              </w:rPr>
              <w:t xml:space="preserve"> </w:t>
            </w:r>
            <w:r w:rsidRPr="00756DC7">
              <w:rPr>
                <w:rFonts w:ascii="Book Antiqua" w:hAnsi="Book Antiqua" w:cs="Times New Roman"/>
                <w:color w:val="000000"/>
                <w:sz w:val="24"/>
              </w:rPr>
              <w:t>33%</w:t>
            </w:r>
            <w:r w:rsidR="00643C9F" w:rsidRPr="00756DC7">
              <w:rPr>
                <w:rFonts w:ascii="Book Antiqua" w:eastAsia="宋体" w:hAnsi="Book Antiqua" w:cs="Times New Roman"/>
                <w:color w:val="000000"/>
                <w:sz w:val="24"/>
                <w:lang w:eastAsia="zh-CN"/>
              </w:rPr>
              <w:t xml:space="preserve">; </w:t>
            </w:r>
            <w:r w:rsidR="00643C9F" w:rsidRPr="00756DC7">
              <w:rPr>
                <w:rFonts w:ascii="Book Antiqua" w:hAnsi="Book Antiqua" w:cs="Times New Roman"/>
                <w:color w:val="000000"/>
                <w:sz w:val="24"/>
              </w:rPr>
              <w:t>abnormal</w:t>
            </w:r>
            <w:r w:rsidR="00643C9F" w:rsidRPr="00756DC7">
              <w:rPr>
                <w:rFonts w:ascii="Book Antiqua" w:eastAsia="宋体" w:hAnsi="Book Antiqua" w:cs="Times New Roman"/>
                <w:color w:val="000000"/>
                <w:sz w:val="24"/>
                <w:lang w:eastAsia="zh-CN"/>
              </w:rPr>
              <w:t xml:space="preserve"> </w:t>
            </w:r>
            <w:r w:rsidRPr="00756DC7">
              <w:rPr>
                <w:rFonts w:ascii="Book Antiqua" w:hAnsi="Book Antiqua" w:cs="Times New Roman"/>
                <w:color w:val="000000"/>
                <w:sz w:val="24"/>
                <w:lang w:eastAsia="zh-CN"/>
              </w:rPr>
              <w:t xml:space="preserve">AST </w:t>
            </w:r>
            <w:r w:rsidRPr="00756DC7">
              <w:rPr>
                <w:rFonts w:ascii="Book Antiqua" w:hAnsi="Book Antiqua" w:cs="Times New Roman"/>
                <w:color w:val="000000"/>
                <w:sz w:val="24"/>
              </w:rPr>
              <w:t>28%</w:t>
            </w:r>
          </w:p>
        </w:tc>
      </w:tr>
      <w:tr w:rsidR="00643C9F" w:rsidRPr="00756DC7" w:rsidTr="009626C6">
        <w:trPr>
          <w:trHeight w:val="208"/>
        </w:trPr>
        <w:tc>
          <w:tcPr>
            <w:tcW w:w="755" w:type="pct"/>
            <w:shd w:val="clear" w:color="auto" w:fill="auto"/>
          </w:tcPr>
          <w:p w:rsidR="0095037D" w:rsidRPr="00756DC7" w:rsidRDefault="0095037D" w:rsidP="001E7706">
            <w:pPr>
              <w:pStyle w:val="TableParagraph"/>
              <w:adjustRightInd w:val="0"/>
              <w:snapToGrid w:val="0"/>
              <w:spacing w:before="0" w:line="360" w:lineRule="auto"/>
              <w:ind w:left="59"/>
              <w:rPr>
                <w:rFonts w:ascii="Book Antiqua" w:hAnsi="Book Antiqua" w:cs="Times New Roman"/>
                <w:color w:val="000000"/>
                <w:sz w:val="24"/>
              </w:rPr>
            </w:pPr>
            <w:r w:rsidRPr="00756DC7">
              <w:rPr>
                <w:rFonts w:ascii="Book Antiqua" w:hAnsi="Book Antiqua" w:cs="Times New Roman"/>
                <w:color w:val="000000"/>
                <w:sz w:val="24"/>
              </w:rPr>
              <w:t xml:space="preserve">Cai </w:t>
            </w:r>
            <w:r w:rsidRPr="00756DC7">
              <w:rPr>
                <w:rFonts w:ascii="Book Antiqua" w:hAnsi="Book Antiqua" w:cs="Times New Roman"/>
                <w:i/>
                <w:color w:val="000000"/>
                <w:sz w:val="24"/>
              </w:rPr>
              <w:t>et a</w:t>
            </w:r>
            <w:r w:rsidRPr="00756DC7">
              <w:rPr>
                <w:rFonts w:ascii="Book Antiqua" w:eastAsia="宋体" w:hAnsi="Book Antiqua" w:cs="Times New Roman"/>
                <w:i/>
                <w:color w:val="000000"/>
                <w:sz w:val="24"/>
                <w:lang w:eastAsia="zh-CN"/>
              </w:rPr>
              <w:t>l</w:t>
            </w:r>
            <w:r w:rsidRPr="00756DC7">
              <w:rPr>
                <w:rFonts w:ascii="Book Antiqua" w:hAnsi="Book Antiqua" w:cs="Times New Roman"/>
                <w:color w:val="000000"/>
                <w:sz w:val="24"/>
                <w:vertAlign w:val="superscript"/>
              </w:rPr>
              <w:t>[6]</w:t>
            </w:r>
          </w:p>
        </w:tc>
        <w:tc>
          <w:tcPr>
            <w:tcW w:w="911" w:type="pct"/>
            <w:shd w:val="clear" w:color="auto" w:fill="auto"/>
          </w:tcPr>
          <w:p w:rsidR="0095037D" w:rsidRPr="00756DC7" w:rsidRDefault="0095037D" w:rsidP="001E7706">
            <w:pPr>
              <w:pStyle w:val="TableParagraph"/>
              <w:adjustRightInd w:val="0"/>
              <w:snapToGrid w:val="0"/>
              <w:spacing w:before="0" w:line="360" w:lineRule="auto"/>
              <w:rPr>
                <w:rFonts w:ascii="Book Antiqua" w:hAnsi="Book Antiqua" w:cs="Times New Roman"/>
                <w:color w:val="000000"/>
                <w:sz w:val="24"/>
              </w:rPr>
            </w:pPr>
            <w:r w:rsidRPr="00756DC7">
              <w:rPr>
                <w:rFonts w:ascii="Book Antiqua" w:eastAsia="宋体" w:hAnsi="Book Antiqua" w:cs="Times New Roman"/>
                <w:color w:val="000000"/>
                <w:w w:val="105"/>
                <w:sz w:val="24"/>
                <w:lang w:eastAsia="zh-CN"/>
              </w:rPr>
              <w:t>298</w:t>
            </w:r>
          </w:p>
        </w:tc>
        <w:tc>
          <w:tcPr>
            <w:tcW w:w="887" w:type="pct"/>
            <w:shd w:val="clear" w:color="auto" w:fill="auto"/>
          </w:tcPr>
          <w:p w:rsidR="0095037D" w:rsidRPr="00756DC7" w:rsidRDefault="0095037D" w:rsidP="001E7706">
            <w:pPr>
              <w:pStyle w:val="TableParagraph"/>
              <w:adjustRightInd w:val="0"/>
              <w:snapToGrid w:val="0"/>
              <w:spacing w:before="0" w:line="360" w:lineRule="auto"/>
              <w:rPr>
                <w:rFonts w:ascii="Book Antiqua" w:hAnsi="Book Antiqua" w:cs="Times New Roman"/>
                <w:color w:val="000000"/>
                <w:sz w:val="24"/>
              </w:rPr>
            </w:pPr>
            <w:r w:rsidRPr="00756DC7">
              <w:rPr>
                <w:rFonts w:ascii="Book Antiqua" w:eastAsia="宋体" w:hAnsi="Book Antiqua" w:cs="Times New Roman"/>
                <w:color w:val="000000"/>
                <w:sz w:val="24"/>
                <w:lang w:eastAsia="zh-CN"/>
              </w:rPr>
              <w:t>44</w:t>
            </w:r>
            <w:r w:rsidR="00643C9F" w:rsidRPr="00756DC7">
              <w:rPr>
                <w:rFonts w:ascii="Book Antiqua" w:eastAsia="宋体" w:hAnsi="Book Antiqua" w:cs="Times New Roman"/>
                <w:color w:val="000000"/>
                <w:sz w:val="24"/>
                <w:lang w:eastAsia="zh-CN"/>
              </w:rPr>
              <w:t xml:space="preserve"> </w:t>
            </w:r>
            <w:r w:rsidRPr="00756DC7">
              <w:rPr>
                <w:rFonts w:ascii="Book Antiqua" w:eastAsia="宋体" w:hAnsi="Book Antiqua" w:cs="Times New Roman"/>
                <w:color w:val="000000"/>
                <w:sz w:val="24"/>
                <w:lang w:eastAsia="zh-CN"/>
              </w:rPr>
              <w:t>(</w:t>
            </w:r>
            <w:r w:rsidRPr="00756DC7">
              <w:rPr>
                <w:rFonts w:ascii="Book Antiqua" w:hAnsi="Book Antiqua" w:cs="Times New Roman"/>
                <w:color w:val="000000"/>
                <w:sz w:val="24"/>
                <w:lang w:eastAsia="zh-CN"/>
              </w:rPr>
              <w:t>14.8)</w:t>
            </w:r>
          </w:p>
        </w:tc>
        <w:tc>
          <w:tcPr>
            <w:tcW w:w="962" w:type="pct"/>
            <w:shd w:val="clear" w:color="auto" w:fill="auto"/>
          </w:tcPr>
          <w:p w:rsidR="0095037D" w:rsidRPr="00756DC7" w:rsidRDefault="0095037D" w:rsidP="001E7706">
            <w:pPr>
              <w:pStyle w:val="TableParagraph"/>
              <w:adjustRightInd w:val="0"/>
              <w:snapToGrid w:val="0"/>
              <w:spacing w:before="0" w:line="360" w:lineRule="auto"/>
              <w:rPr>
                <w:rFonts w:ascii="Book Antiqua" w:hAnsi="Book Antiqua" w:cs="Times New Roman"/>
                <w:color w:val="000000"/>
                <w:sz w:val="24"/>
              </w:rPr>
            </w:pPr>
            <w:r w:rsidRPr="00756DC7">
              <w:rPr>
                <w:rFonts w:ascii="Book Antiqua" w:eastAsia="AdvGulliv-R" w:hAnsi="Book Antiqua" w:cs="Times New Roman"/>
                <w:color w:val="000000"/>
                <w:kern w:val="0"/>
                <w:sz w:val="24"/>
                <w:lang w:bidi="ar"/>
              </w:rPr>
              <w:t>8 (2.7)</w:t>
            </w:r>
          </w:p>
        </w:tc>
        <w:tc>
          <w:tcPr>
            <w:tcW w:w="1485" w:type="pct"/>
            <w:shd w:val="clear" w:color="auto" w:fill="auto"/>
          </w:tcPr>
          <w:p w:rsidR="0095037D" w:rsidRPr="00756DC7" w:rsidRDefault="0095037D" w:rsidP="001E7706">
            <w:pPr>
              <w:pStyle w:val="TableParagraph"/>
              <w:adjustRightInd w:val="0"/>
              <w:snapToGrid w:val="0"/>
              <w:spacing w:before="0" w:line="360" w:lineRule="auto"/>
              <w:rPr>
                <w:rFonts w:ascii="Book Antiqua" w:hAnsi="Book Antiqua" w:cs="Times New Roman"/>
                <w:color w:val="000000"/>
                <w:sz w:val="24"/>
              </w:rPr>
            </w:pPr>
            <w:r w:rsidRPr="00756DC7">
              <w:rPr>
                <w:rFonts w:ascii="Book Antiqua" w:hAnsi="Book Antiqua" w:cs="Times New Roman"/>
                <w:color w:val="000000"/>
                <w:sz w:val="24"/>
              </w:rPr>
              <w:t>Abnormal</w:t>
            </w:r>
            <w:r w:rsidRPr="00756DC7">
              <w:rPr>
                <w:rFonts w:ascii="Book Antiqua" w:eastAsia="宋体" w:hAnsi="Book Antiqua" w:cs="Times New Roman"/>
                <w:color w:val="000000"/>
                <w:sz w:val="24"/>
                <w:lang w:eastAsia="zh-CN"/>
              </w:rPr>
              <w:t xml:space="preserve"> </w:t>
            </w:r>
            <w:r w:rsidRPr="00756DC7">
              <w:rPr>
                <w:rFonts w:ascii="Book Antiqua" w:hAnsi="Book Antiqua" w:cs="Times New Roman"/>
                <w:color w:val="000000"/>
                <w:sz w:val="24"/>
              </w:rPr>
              <w:t>ALT</w:t>
            </w:r>
            <w:r w:rsidRPr="00756DC7">
              <w:rPr>
                <w:rFonts w:ascii="Book Antiqua" w:eastAsia="宋体" w:hAnsi="Book Antiqua" w:cs="Times New Roman"/>
                <w:color w:val="000000"/>
                <w:sz w:val="24"/>
                <w:lang w:eastAsia="zh-CN"/>
              </w:rPr>
              <w:t xml:space="preserve"> 13.1</w:t>
            </w:r>
            <w:r w:rsidRPr="00756DC7">
              <w:rPr>
                <w:rFonts w:ascii="Book Antiqua" w:hAnsi="Book Antiqua" w:cs="Times New Roman"/>
                <w:color w:val="000000"/>
                <w:sz w:val="24"/>
              </w:rPr>
              <w:t>%</w:t>
            </w:r>
            <w:r w:rsidR="00643C9F" w:rsidRPr="00756DC7">
              <w:rPr>
                <w:rFonts w:ascii="Book Antiqua" w:eastAsia="宋体" w:hAnsi="Book Antiqua" w:cs="Times New Roman"/>
                <w:color w:val="000000"/>
                <w:sz w:val="24"/>
                <w:lang w:eastAsia="zh-CN"/>
              </w:rPr>
              <w:t xml:space="preserve">; </w:t>
            </w:r>
            <w:r w:rsidR="00643C9F" w:rsidRPr="00756DC7">
              <w:rPr>
                <w:rFonts w:ascii="Book Antiqua" w:hAnsi="Book Antiqua" w:cs="Times New Roman"/>
                <w:color w:val="000000"/>
                <w:sz w:val="24"/>
              </w:rPr>
              <w:t>abnormal</w:t>
            </w:r>
            <w:r w:rsidR="00643C9F" w:rsidRPr="00756DC7">
              <w:rPr>
                <w:rFonts w:ascii="Book Antiqua" w:eastAsia="宋体" w:hAnsi="Book Antiqua" w:cs="Times New Roman"/>
                <w:color w:val="000000"/>
                <w:sz w:val="24"/>
                <w:lang w:eastAsia="zh-CN"/>
              </w:rPr>
              <w:t xml:space="preserve"> </w:t>
            </w:r>
            <w:r w:rsidRPr="00756DC7">
              <w:rPr>
                <w:rFonts w:ascii="Book Antiqua" w:hAnsi="Book Antiqua" w:cs="Times New Roman"/>
                <w:color w:val="000000"/>
                <w:sz w:val="24"/>
                <w:lang w:eastAsia="zh-CN"/>
              </w:rPr>
              <w:t>AST 8.4</w:t>
            </w:r>
            <w:r w:rsidRPr="00756DC7">
              <w:rPr>
                <w:rFonts w:ascii="Book Antiqua" w:hAnsi="Book Antiqua" w:cs="Times New Roman"/>
                <w:color w:val="000000"/>
                <w:sz w:val="24"/>
              </w:rPr>
              <w:t>%</w:t>
            </w:r>
          </w:p>
        </w:tc>
      </w:tr>
      <w:tr w:rsidR="00643C9F" w:rsidRPr="00756DC7" w:rsidTr="009626C6">
        <w:trPr>
          <w:trHeight w:val="928"/>
        </w:trPr>
        <w:tc>
          <w:tcPr>
            <w:tcW w:w="755" w:type="pct"/>
            <w:shd w:val="clear" w:color="auto" w:fill="auto"/>
          </w:tcPr>
          <w:p w:rsidR="0095037D" w:rsidRPr="00756DC7" w:rsidRDefault="00643C9F" w:rsidP="001E7706">
            <w:pPr>
              <w:pStyle w:val="TableParagraph"/>
              <w:adjustRightInd w:val="0"/>
              <w:snapToGrid w:val="0"/>
              <w:spacing w:before="0" w:line="360" w:lineRule="auto"/>
              <w:ind w:left="59"/>
              <w:rPr>
                <w:rFonts w:ascii="Book Antiqua" w:hAnsi="Book Antiqua" w:cs="Times New Roman"/>
                <w:color w:val="000000"/>
                <w:sz w:val="24"/>
              </w:rPr>
            </w:pPr>
            <w:r w:rsidRPr="00756DC7">
              <w:rPr>
                <w:rFonts w:ascii="Book Antiqua" w:hAnsi="Book Antiqua" w:cs="Times New Roman"/>
                <w:color w:val="000000"/>
                <w:sz w:val="24"/>
              </w:rPr>
              <w:t xml:space="preserve">Zhang </w:t>
            </w:r>
            <w:r w:rsidRPr="00756DC7">
              <w:rPr>
                <w:rFonts w:ascii="Book Antiqua" w:hAnsi="Book Antiqua" w:cs="Times New Roman"/>
                <w:i/>
                <w:color w:val="000000"/>
                <w:sz w:val="24"/>
              </w:rPr>
              <w:t>et al</w:t>
            </w:r>
            <w:r w:rsidR="0095037D" w:rsidRPr="00756DC7">
              <w:rPr>
                <w:rFonts w:ascii="Book Antiqua" w:hAnsi="Book Antiqua" w:cs="Times New Roman"/>
                <w:color w:val="000000"/>
                <w:sz w:val="24"/>
                <w:vertAlign w:val="superscript"/>
              </w:rPr>
              <w:t>[7]</w:t>
            </w:r>
          </w:p>
        </w:tc>
        <w:tc>
          <w:tcPr>
            <w:tcW w:w="911" w:type="pct"/>
            <w:shd w:val="clear" w:color="auto" w:fill="auto"/>
          </w:tcPr>
          <w:p w:rsidR="0095037D" w:rsidRPr="00756DC7" w:rsidRDefault="0095037D" w:rsidP="001E7706">
            <w:pPr>
              <w:pStyle w:val="TableParagraph"/>
              <w:adjustRightInd w:val="0"/>
              <w:snapToGrid w:val="0"/>
              <w:spacing w:before="0" w:line="360" w:lineRule="auto"/>
              <w:rPr>
                <w:rFonts w:ascii="Book Antiqua" w:hAnsi="Book Antiqua" w:cs="Times New Roman"/>
                <w:color w:val="000000"/>
                <w:sz w:val="24"/>
              </w:rPr>
            </w:pPr>
            <w:r w:rsidRPr="00756DC7">
              <w:rPr>
                <w:rFonts w:ascii="Book Antiqua" w:hAnsi="Book Antiqua" w:cs="Times New Roman"/>
                <w:color w:val="000000"/>
                <w:sz w:val="24"/>
              </w:rPr>
              <w:t>82, deaths</w:t>
            </w:r>
          </w:p>
        </w:tc>
        <w:tc>
          <w:tcPr>
            <w:tcW w:w="887" w:type="pct"/>
            <w:shd w:val="clear" w:color="auto" w:fill="auto"/>
          </w:tcPr>
          <w:p w:rsidR="0095037D" w:rsidRPr="00756DC7" w:rsidRDefault="0095037D" w:rsidP="001E7706">
            <w:pPr>
              <w:pStyle w:val="TableParagraph"/>
              <w:adjustRightInd w:val="0"/>
              <w:snapToGrid w:val="0"/>
              <w:spacing w:before="0" w:line="360" w:lineRule="auto"/>
              <w:rPr>
                <w:rFonts w:ascii="Book Antiqua" w:hAnsi="Book Antiqua" w:cs="Times New Roman"/>
                <w:color w:val="000000"/>
                <w:sz w:val="24"/>
              </w:rPr>
            </w:pPr>
            <w:r w:rsidRPr="00756DC7">
              <w:rPr>
                <w:rFonts w:ascii="Book Antiqua" w:hAnsi="Book Antiqua" w:cs="Times New Roman"/>
                <w:color w:val="000000"/>
                <w:sz w:val="24"/>
              </w:rPr>
              <w:t>64 (78</w:t>
            </w:r>
            <w:r w:rsidRPr="00756DC7">
              <w:rPr>
                <w:rFonts w:ascii="Book Antiqua" w:eastAsia="宋体" w:hAnsi="Book Antiqua" w:cs="Times New Roman"/>
                <w:color w:val="000000"/>
                <w:sz w:val="24"/>
                <w:lang w:eastAsia="zh-CN"/>
              </w:rPr>
              <w:t>.0</w:t>
            </w:r>
            <w:r w:rsidRPr="00756DC7">
              <w:rPr>
                <w:rFonts w:ascii="Book Antiqua" w:hAnsi="Book Antiqua" w:cs="Times New Roman"/>
                <w:color w:val="000000"/>
                <w:sz w:val="24"/>
              </w:rPr>
              <w:t>)</w:t>
            </w:r>
          </w:p>
        </w:tc>
        <w:tc>
          <w:tcPr>
            <w:tcW w:w="962" w:type="pct"/>
            <w:shd w:val="clear" w:color="auto" w:fill="auto"/>
          </w:tcPr>
          <w:p w:rsidR="0095037D" w:rsidRPr="00756DC7" w:rsidRDefault="0095037D" w:rsidP="001E7706">
            <w:pPr>
              <w:pStyle w:val="TableParagraph"/>
              <w:adjustRightInd w:val="0"/>
              <w:snapToGrid w:val="0"/>
              <w:spacing w:before="0" w:line="360" w:lineRule="auto"/>
              <w:rPr>
                <w:rFonts w:ascii="Book Antiqua" w:hAnsi="Book Antiqua" w:cs="Times New Roman"/>
                <w:color w:val="000000"/>
                <w:sz w:val="24"/>
              </w:rPr>
            </w:pPr>
            <w:r w:rsidRPr="00756DC7">
              <w:rPr>
                <w:rFonts w:ascii="Book Antiqua" w:hAnsi="Book Antiqua" w:cs="Times New Roman"/>
                <w:color w:val="000000"/>
                <w:sz w:val="24"/>
              </w:rPr>
              <w:t>2</w:t>
            </w:r>
            <w:r w:rsidR="00643C9F" w:rsidRPr="00756DC7">
              <w:rPr>
                <w:rFonts w:ascii="Book Antiqua" w:eastAsia="宋体" w:hAnsi="Book Antiqua" w:cs="Times New Roman"/>
                <w:color w:val="000000"/>
                <w:sz w:val="24"/>
                <w:lang w:eastAsia="zh-CN"/>
              </w:rPr>
              <w:t xml:space="preserve"> </w:t>
            </w:r>
            <w:r w:rsidRPr="00756DC7">
              <w:rPr>
                <w:rFonts w:ascii="Book Antiqua" w:hAnsi="Book Antiqua" w:cs="Times New Roman"/>
                <w:color w:val="000000"/>
                <w:sz w:val="24"/>
              </w:rPr>
              <w:t>(2.4)</w:t>
            </w:r>
          </w:p>
        </w:tc>
        <w:tc>
          <w:tcPr>
            <w:tcW w:w="1485" w:type="pct"/>
            <w:shd w:val="clear" w:color="auto" w:fill="auto"/>
          </w:tcPr>
          <w:p w:rsidR="0095037D" w:rsidRPr="00756DC7" w:rsidRDefault="0095037D" w:rsidP="001E7706">
            <w:pPr>
              <w:adjustRightInd w:val="0"/>
              <w:snapToGrid w:val="0"/>
              <w:spacing w:line="360" w:lineRule="auto"/>
              <w:rPr>
                <w:rFonts w:ascii="Book Antiqua" w:hAnsi="Book Antiqua"/>
                <w:color w:val="000000"/>
                <w:sz w:val="24"/>
              </w:rPr>
            </w:pPr>
            <w:r w:rsidRPr="00756DC7">
              <w:rPr>
                <w:rFonts w:ascii="Book Antiqua" w:eastAsia="Calibri" w:hAnsi="Book Antiqua"/>
                <w:color w:val="000000"/>
                <w:sz w:val="24"/>
                <w:lang w:eastAsia="en-US" w:bidi="en-US"/>
              </w:rPr>
              <w:t>Abnormal ALT 30.6%</w:t>
            </w:r>
            <w:r w:rsidR="00643C9F" w:rsidRPr="00756DC7">
              <w:rPr>
                <w:rFonts w:ascii="Book Antiqua" w:hAnsi="Book Antiqua"/>
                <w:color w:val="000000"/>
                <w:sz w:val="24"/>
                <w:lang w:bidi="en-US"/>
              </w:rPr>
              <w:t xml:space="preserve">; </w:t>
            </w:r>
            <w:r w:rsidR="00643C9F" w:rsidRPr="00756DC7">
              <w:rPr>
                <w:rFonts w:ascii="Book Antiqua" w:eastAsia="Calibri" w:hAnsi="Book Antiqua"/>
                <w:color w:val="000000"/>
                <w:sz w:val="24"/>
                <w:lang w:eastAsia="en-US" w:bidi="en-US"/>
              </w:rPr>
              <w:t xml:space="preserve">abnormal </w:t>
            </w:r>
            <w:r w:rsidRPr="00756DC7">
              <w:rPr>
                <w:rFonts w:ascii="Book Antiqua" w:eastAsia="Calibri" w:hAnsi="Book Antiqua"/>
                <w:color w:val="000000"/>
                <w:sz w:val="24"/>
                <w:lang w:eastAsia="en-US" w:bidi="en-US"/>
              </w:rPr>
              <w:t>AST 61.1%</w:t>
            </w:r>
            <w:r w:rsidR="00643C9F" w:rsidRPr="00756DC7">
              <w:rPr>
                <w:rFonts w:ascii="Book Antiqua" w:hAnsi="Book Antiqua"/>
                <w:color w:val="000000"/>
                <w:sz w:val="24"/>
                <w:lang w:bidi="en-US"/>
              </w:rPr>
              <w:t xml:space="preserve">; </w:t>
            </w:r>
            <w:r w:rsidR="00643C9F" w:rsidRPr="00756DC7">
              <w:rPr>
                <w:rFonts w:ascii="Book Antiqua" w:hAnsi="Book Antiqua"/>
                <w:color w:val="000000"/>
                <w:sz w:val="24"/>
              </w:rPr>
              <w:t xml:space="preserve">abnormal </w:t>
            </w:r>
            <w:r w:rsidRPr="00756DC7">
              <w:rPr>
                <w:rFonts w:ascii="Book Antiqua" w:hAnsi="Book Antiqua"/>
                <w:color w:val="000000"/>
                <w:sz w:val="24"/>
              </w:rPr>
              <w:t>total bilirubin 30.6%</w:t>
            </w:r>
          </w:p>
        </w:tc>
      </w:tr>
      <w:tr w:rsidR="00643C9F" w:rsidRPr="00756DC7" w:rsidTr="009626C6">
        <w:trPr>
          <w:trHeight w:val="559"/>
        </w:trPr>
        <w:tc>
          <w:tcPr>
            <w:tcW w:w="755" w:type="pct"/>
            <w:shd w:val="clear" w:color="auto" w:fill="auto"/>
          </w:tcPr>
          <w:p w:rsidR="0095037D" w:rsidRPr="00756DC7" w:rsidRDefault="00643C9F" w:rsidP="001E7706">
            <w:pPr>
              <w:adjustRightInd w:val="0"/>
              <w:snapToGrid w:val="0"/>
              <w:spacing w:line="360" w:lineRule="auto"/>
              <w:rPr>
                <w:rFonts w:ascii="Book Antiqua" w:hAnsi="Book Antiqua"/>
                <w:color w:val="000000"/>
                <w:sz w:val="24"/>
                <w:lang w:bidi="en-US"/>
              </w:rPr>
            </w:pPr>
            <w:r w:rsidRPr="00756DC7">
              <w:rPr>
                <w:rFonts w:ascii="Book Antiqua" w:eastAsia="Calibri" w:hAnsi="Book Antiqua"/>
                <w:color w:val="000000"/>
                <w:sz w:val="24"/>
                <w:lang w:eastAsia="en-US" w:bidi="en-US"/>
              </w:rPr>
              <w:t xml:space="preserve">Wang </w:t>
            </w:r>
            <w:r w:rsidRPr="00756DC7">
              <w:rPr>
                <w:rFonts w:ascii="Book Antiqua" w:eastAsia="Calibri" w:hAnsi="Book Antiqua"/>
                <w:i/>
                <w:color w:val="000000"/>
                <w:sz w:val="24"/>
                <w:lang w:eastAsia="en-US" w:bidi="en-US"/>
              </w:rPr>
              <w:t>et al</w:t>
            </w:r>
            <w:r w:rsidR="0095037D" w:rsidRPr="00756DC7">
              <w:rPr>
                <w:rFonts w:ascii="Book Antiqua" w:eastAsia="Calibri" w:hAnsi="Book Antiqua"/>
                <w:color w:val="000000"/>
                <w:sz w:val="24"/>
                <w:vertAlign w:val="superscript"/>
                <w:lang w:eastAsia="en-US" w:bidi="en-US"/>
              </w:rPr>
              <w:t>[1</w:t>
            </w:r>
            <w:r w:rsidR="0095037D" w:rsidRPr="00756DC7">
              <w:rPr>
                <w:rFonts w:ascii="Book Antiqua" w:hAnsi="Book Antiqua"/>
                <w:color w:val="000000"/>
                <w:sz w:val="24"/>
                <w:vertAlign w:val="superscript"/>
                <w:lang w:bidi="en-US"/>
              </w:rPr>
              <w:t>4</w:t>
            </w:r>
            <w:r w:rsidR="0095037D" w:rsidRPr="00756DC7">
              <w:rPr>
                <w:rFonts w:ascii="Book Antiqua" w:eastAsia="Calibri" w:hAnsi="Book Antiqua"/>
                <w:color w:val="000000"/>
                <w:sz w:val="24"/>
                <w:vertAlign w:val="superscript"/>
                <w:lang w:eastAsia="en-US" w:bidi="en-US"/>
              </w:rPr>
              <w:t>]</w:t>
            </w:r>
          </w:p>
        </w:tc>
        <w:tc>
          <w:tcPr>
            <w:tcW w:w="911" w:type="pct"/>
            <w:shd w:val="clear" w:color="auto" w:fill="auto"/>
          </w:tcPr>
          <w:p w:rsidR="0095037D" w:rsidRPr="00756DC7" w:rsidRDefault="0095037D" w:rsidP="001E7706">
            <w:pPr>
              <w:adjustRightInd w:val="0"/>
              <w:snapToGrid w:val="0"/>
              <w:spacing w:line="360" w:lineRule="auto"/>
              <w:rPr>
                <w:rFonts w:ascii="Book Antiqua" w:eastAsia="Calibri" w:hAnsi="Book Antiqua"/>
                <w:color w:val="000000"/>
                <w:sz w:val="24"/>
                <w:lang w:eastAsia="en-US" w:bidi="en-US"/>
              </w:rPr>
            </w:pPr>
            <w:r w:rsidRPr="00756DC7">
              <w:rPr>
                <w:rFonts w:ascii="Book Antiqua" w:eastAsia="Calibri" w:hAnsi="Book Antiqua"/>
                <w:color w:val="000000"/>
                <w:sz w:val="24"/>
                <w:lang w:eastAsia="en-US" w:bidi="en-US"/>
              </w:rPr>
              <w:t>138</w:t>
            </w:r>
          </w:p>
        </w:tc>
        <w:tc>
          <w:tcPr>
            <w:tcW w:w="887" w:type="pct"/>
            <w:shd w:val="clear" w:color="auto" w:fill="auto"/>
          </w:tcPr>
          <w:p w:rsidR="0095037D" w:rsidRPr="00756DC7" w:rsidRDefault="00643C9F" w:rsidP="001E7706">
            <w:pPr>
              <w:adjustRightInd w:val="0"/>
              <w:snapToGrid w:val="0"/>
              <w:spacing w:line="360" w:lineRule="auto"/>
              <w:rPr>
                <w:rFonts w:ascii="Book Antiqua" w:hAnsi="Book Antiqua"/>
                <w:color w:val="000000"/>
                <w:sz w:val="24"/>
                <w:lang w:bidi="en-US"/>
              </w:rPr>
            </w:pPr>
            <w:r w:rsidRPr="00756DC7">
              <w:rPr>
                <w:rFonts w:ascii="Book Antiqua" w:hAnsi="Book Antiqua"/>
                <w:color w:val="000000"/>
                <w:sz w:val="24"/>
                <w:lang w:bidi="en-US"/>
              </w:rPr>
              <w:t>55 (39.9</w:t>
            </w:r>
            <w:r w:rsidR="0095037D" w:rsidRPr="00756DC7">
              <w:rPr>
                <w:rFonts w:ascii="Book Antiqua" w:hAnsi="Book Antiqua"/>
                <w:color w:val="000000"/>
                <w:sz w:val="24"/>
                <w:lang w:bidi="en-US"/>
              </w:rPr>
              <w:t>)</w:t>
            </w:r>
          </w:p>
        </w:tc>
        <w:tc>
          <w:tcPr>
            <w:tcW w:w="962" w:type="pct"/>
            <w:shd w:val="clear" w:color="auto" w:fill="auto"/>
          </w:tcPr>
          <w:p w:rsidR="0095037D" w:rsidRPr="00756DC7" w:rsidRDefault="00643C9F" w:rsidP="001E7706">
            <w:pPr>
              <w:adjustRightInd w:val="0"/>
              <w:snapToGrid w:val="0"/>
              <w:spacing w:line="360" w:lineRule="auto"/>
              <w:rPr>
                <w:rFonts w:ascii="Book Antiqua" w:eastAsia="Calibri" w:hAnsi="Book Antiqua"/>
                <w:color w:val="000000"/>
                <w:sz w:val="24"/>
                <w:lang w:eastAsia="en-US" w:bidi="en-US"/>
              </w:rPr>
            </w:pPr>
            <w:r w:rsidRPr="00756DC7">
              <w:rPr>
                <w:rFonts w:ascii="Book Antiqua" w:eastAsia="Calibri" w:hAnsi="Book Antiqua"/>
                <w:color w:val="000000"/>
                <w:sz w:val="24"/>
                <w:lang w:eastAsia="en-US" w:bidi="en-US"/>
              </w:rPr>
              <w:t>4 (29</w:t>
            </w:r>
            <w:r w:rsidR="0095037D" w:rsidRPr="00756DC7">
              <w:rPr>
                <w:rFonts w:ascii="Book Antiqua" w:eastAsia="Calibri" w:hAnsi="Book Antiqua"/>
                <w:color w:val="000000"/>
                <w:sz w:val="24"/>
                <w:lang w:eastAsia="en-US" w:bidi="en-US"/>
              </w:rPr>
              <w:t>)</w:t>
            </w:r>
          </w:p>
        </w:tc>
        <w:tc>
          <w:tcPr>
            <w:tcW w:w="1485" w:type="pct"/>
            <w:shd w:val="clear" w:color="auto" w:fill="auto"/>
          </w:tcPr>
          <w:p w:rsidR="0095037D" w:rsidRPr="00756DC7" w:rsidRDefault="0095037D" w:rsidP="001E7706">
            <w:pPr>
              <w:adjustRightInd w:val="0"/>
              <w:snapToGrid w:val="0"/>
              <w:spacing w:line="360" w:lineRule="auto"/>
              <w:rPr>
                <w:rFonts w:ascii="Book Antiqua" w:eastAsia="Calibri" w:hAnsi="Book Antiqua"/>
                <w:color w:val="000000"/>
                <w:sz w:val="24"/>
                <w:lang w:eastAsia="en-US" w:bidi="en-US"/>
              </w:rPr>
            </w:pPr>
            <w:r w:rsidRPr="00756DC7">
              <w:rPr>
                <w:rFonts w:ascii="Book Antiqua" w:eastAsia="Calibri" w:hAnsi="Book Antiqua"/>
                <w:color w:val="000000"/>
                <w:sz w:val="24"/>
                <w:lang w:eastAsia="en-US" w:bidi="en-US"/>
              </w:rPr>
              <w:t xml:space="preserve">Abnormal ALT </w:t>
            </w:r>
            <w:r w:rsidRPr="00756DC7">
              <w:rPr>
                <w:rFonts w:ascii="Book Antiqua" w:hAnsi="Book Antiqua"/>
                <w:color w:val="000000"/>
                <w:sz w:val="24"/>
                <w:lang w:bidi="en-US"/>
              </w:rPr>
              <w:t>17.4</w:t>
            </w:r>
            <w:r w:rsidRPr="00756DC7">
              <w:rPr>
                <w:rFonts w:ascii="Book Antiqua" w:eastAsia="Calibri" w:hAnsi="Book Antiqua"/>
                <w:color w:val="000000"/>
                <w:sz w:val="24"/>
                <w:lang w:eastAsia="en-US" w:bidi="en-US"/>
              </w:rPr>
              <w:t>%</w:t>
            </w:r>
            <w:r w:rsidR="00643C9F" w:rsidRPr="00756DC7">
              <w:rPr>
                <w:rFonts w:ascii="Book Antiqua" w:hAnsi="Book Antiqua"/>
                <w:color w:val="000000"/>
                <w:sz w:val="24"/>
                <w:lang w:bidi="en-US"/>
              </w:rPr>
              <w:t xml:space="preserve">; </w:t>
            </w:r>
            <w:r w:rsidR="00643C9F" w:rsidRPr="00756DC7">
              <w:rPr>
                <w:rFonts w:ascii="Book Antiqua" w:eastAsia="Calibri" w:hAnsi="Book Antiqua"/>
                <w:color w:val="000000"/>
                <w:sz w:val="24"/>
                <w:lang w:eastAsia="en-US" w:bidi="en-US"/>
              </w:rPr>
              <w:t xml:space="preserve">abnormal </w:t>
            </w:r>
            <w:r w:rsidRPr="00756DC7">
              <w:rPr>
                <w:rFonts w:ascii="Book Antiqua" w:eastAsia="Calibri" w:hAnsi="Book Antiqua"/>
                <w:color w:val="000000"/>
                <w:sz w:val="24"/>
                <w:lang w:eastAsia="en-US" w:bidi="en-US"/>
              </w:rPr>
              <w:t xml:space="preserve">AST </w:t>
            </w:r>
            <w:r w:rsidRPr="00756DC7">
              <w:rPr>
                <w:rFonts w:ascii="Book Antiqua" w:hAnsi="Book Antiqua"/>
                <w:color w:val="000000"/>
                <w:sz w:val="24"/>
                <w:lang w:bidi="en-US"/>
              </w:rPr>
              <w:t>22.5</w:t>
            </w:r>
            <w:r w:rsidRPr="00756DC7">
              <w:rPr>
                <w:rFonts w:ascii="Book Antiqua" w:eastAsia="Calibri" w:hAnsi="Book Antiqua"/>
                <w:color w:val="000000"/>
                <w:sz w:val="24"/>
                <w:lang w:eastAsia="en-US" w:bidi="en-US"/>
              </w:rPr>
              <w:t>%</w:t>
            </w:r>
          </w:p>
        </w:tc>
      </w:tr>
      <w:tr w:rsidR="00643C9F" w:rsidRPr="00756DC7" w:rsidTr="009626C6">
        <w:trPr>
          <w:trHeight w:val="559"/>
        </w:trPr>
        <w:tc>
          <w:tcPr>
            <w:tcW w:w="755" w:type="pct"/>
            <w:shd w:val="clear" w:color="auto" w:fill="auto"/>
          </w:tcPr>
          <w:p w:rsidR="0095037D" w:rsidRPr="00756DC7" w:rsidRDefault="00643C9F" w:rsidP="001E7706">
            <w:pPr>
              <w:adjustRightInd w:val="0"/>
              <w:snapToGrid w:val="0"/>
              <w:spacing w:line="360" w:lineRule="auto"/>
              <w:rPr>
                <w:rFonts w:ascii="Book Antiqua" w:hAnsi="Book Antiqua"/>
                <w:color w:val="000000"/>
                <w:sz w:val="24"/>
                <w:lang w:bidi="en-US"/>
              </w:rPr>
            </w:pPr>
            <w:r w:rsidRPr="00756DC7">
              <w:rPr>
                <w:rFonts w:ascii="Book Antiqua" w:eastAsia="Calibri" w:hAnsi="Book Antiqua"/>
                <w:color w:val="000000"/>
                <w:sz w:val="24"/>
                <w:lang w:eastAsia="en-US" w:bidi="en-US"/>
              </w:rPr>
              <w:t xml:space="preserve">Lu </w:t>
            </w:r>
            <w:r w:rsidRPr="00756DC7">
              <w:rPr>
                <w:rFonts w:ascii="Book Antiqua" w:eastAsia="Calibri" w:hAnsi="Book Antiqua"/>
                <w:i/>
                <w:color w:val="000000"/>
                <w:sz w:val="24"/>
                <w:lang w:eastAsia="en-US" w:bidi="en-US"/>
              </w:rPr>
              <w:t>et al</w:t>
            </w:r>
            <w:r w:rsidR="0095037D" w:rsidRPr="00756DC7">
              <w:rPr>
                <w:rFonts w:ascii="Book Antiqua" w:eastAsia="Calibri" w:hAnsi="Book Antiqua"/>
                <w:color w:val="000000"/>
                <w:sz w:val="24"/>
                <w:vertAlign w:val="superscript"/>
                <w:lang w:eastAsia="en-US" w:bidi="en-US"/>
              </w:rPr>
              <w:t>[</w:t>
            </w:r>
            <w:r w:rsidR="0095037D" w:rsidRPr="00756DC7">
              <w:rPr>
                <w:rFonts w:ascii="Book Antiqua" w:hAnsi="Book Antiqua"/>
                <w:color w:val="000000"/>
                <w:sz w:val="24"/>
                <w:vertAlign w:val="superscript"/>
                <w:lang w:bidi="en-US"/>
              </w:rPr>
              <w:t>26</w:t>
            </w:r>
            <w:r w:rsidR="0095037D" w:rsidRPr="00756DC7">
              <w:rPr>
                <w:rFonts w:ascii="Book Antiqua" w:eastAsia="Calibri" w:hAnsi="Book Antiqua"/>
                <w:color w:val="000000"/>
                <w:sz w:val="24"/>
                <w:vertAlign w:val="superscript"/>
                <w:lang w:eastAsia="en-US" w:bidi="en-US"/>
              </w:rPr>
              <w:t>]</w:t>
            </w:r>
          </w:p>
        </w:tc>
        <w:tc>
          <w:tcPr>
            <w:tcW w:w="911" w:type="pct"/>
            <w:shd w:val="clear" w:color="auto" w:fill="auto"/>
          </w:tcPr>
          <w:p w:rsidR="0095037D" w:rsidRPr="00756DC7" w:rsidRDefault="0095037D" w:rsidP="001E7706">
            <w:pPr>
              <w:adjustRightInd w:val="0"/>
              <w:snapToGrid w:val="0"/>
              <w:spacing w:line="360" w:lineRule="auto"/>
              <w:rPr>
                <w:rFonts w:ascii="Book Antiqua" w:eastAsia="Calibri" w:hAnsi="Book Antiqua"/>
                <w:color w:val="000000"/>
                <w:sz w:val="24"/>
                <w:lang w:eastAsia="en-US" w:bidi="en-US"/>
              </w:rPr>
            </w:pPr>
            <w:r w:rsidRPr="00756DC7">
              <w:rPr>
                <w:rFonts w:ascii="Book Antiqua" w:eastAsia="Calibri" w:hAnsi="Book Antiqua"/>
                <w:color w:val="000000"/>
                <w:sz w:val="24"/>
                <w:lang w:eastAsia="en-US" w:bidi="en-US"/>
              </w:rPr>
              <w:t>85</w:t>
            </w:r>
          </w:p>
        </w:tc>
        <w:tc>
          <w:tcPr>
            <w:tcW w:w="887" w:type="pct"/>
            <w:shd w:val="clear" w:color="auto" w:fill="auto"/>
          </w:tcPr>
          <w:p w:rsidR="0095037D" w:rsidRPr="00756DC7" w:rsidRDefault="00643C9F" w:rsidP="001E7706">
            <w:pPr>
              <w:adjustRightInd w:val="0"/>
              <w:snapToGrid w:val="0"/>
              <w:spacing w:line="360" w:lineRule="auto"/>
              <w:rPr>
                <w:rFonts w:ascii="Book Antiqua" w:eastAsia="Calibri" w:hAnsi="Book Antiqua"/>
                <w:color w:val="000000"/>
                <w:sz w:val="24"/>
                <w:lang w:eastAsia="en-US" w:bidi="en-US"/>
              </w:rPr>
            </w:pPr>
            <w:r w:rsidRPr="00756DC7">
              <w:rPr>
                <w:rFonts w:ascii="Book Antiqua" w:eastAsia="Calibri" w:hAnsi="Book Antiqua"/>
                <w:color w:val="000000"/>
                <w:sz w:val="24"/>
                <w:lang w:eastAsia="en-US" w:bidi="en-US"/>
              </w:rPr>
              <w:t>33</w:t>
            </w:r>
            <w:r w:rsidRPr="00756DC7">
              <w:rPr>
                <w:rFonts w:ascii="Book Antiqua" w:hAnsi="Book Antiqua"/>
                <w:color w:val="000000"/>
                <w:sz w:val="24"/>
                <w:lang w:bidi="en-US"/>
              </w:rPr>
              <w:t xml:space="preserve"> </w:t>
            </w:r>
            <w:r w:rsidRPr="00756DC7">
              <w:rPr>
                <w:rFonts w:ascii="Book Antiqua" w:eastAsia="Calibri" w:hAnsi="Book Antiqua"/>
                <w:color w:val="000000"/>
                <w:sz w:val="24"/>
                <w:lang w:eastAsia="en-US" w:bidi="en-US"/>
              </w:rPr>
              <w:t>(38.8</w:t>
            </w:r>
            <w:r w:rsidR="0095037D" w:rsidRPr="00756DC7">
              <w:rPr>
                <w:rFonts w:ascii="Book Antiqua" w:eastAsia="Calibri" w:hAnsi="Book Antiqua"/>
                <w:color w:val="000000"/>
                <w:sz w:val="24"/>
                <w:lang w:eastAsia="en-US" w:bidi="en-US"/>
              </w:rPr>
              <w:t>)</w:t>
            </w:r>
          </w:p>
        </w:tc>
        <w:tc>
          <w:tcPr>
            <w:tcW w:w="962" w:type="pct"/>
            <w:shd w:val="clear" w:color="auto" w:fill="auto"/>
          </w:tcPr>
          <w:p w:rsidR="0095037D" w:rsidRPr="00756DC7" w:rsidRDefault="00643C9F" w:rsidP="001E7706">
            <w:pPr>
              <w:adjustRightInd w:val="0"/>
              <w:snapToGrid w:val="0"/>
              <w:spacing w:line="360" w:lineRule="auto"/>
              <w:rPr>
                <w:rFonts w:ascii="Book Antiqua" w:eastAsia="Calibri" w:hAnsi="Book Antiqua"/>
                <w:color w:val="000000"/>
                <w:sz w:val="24"/>
                <w:lang w:eastAsia="en-US" w:bidi="en-US"/>
              </w:rPr>
            </w:pPr>
            <w:r w:rsidRPr="00756DC7">
              <w:rPr>
                <w:rFonts w:ascii="Book Antiqua" w:eastAsia="Calibri" w:hAnsi="Book Antiqua"/>
                <w:color w:val="000000"/>
                <w:sz w:val="24"/>
                <w:lang w:eastAsia="en-US" w:bidi="en-US"/>
              </w:rPr>
              <w:t>6 (7</w:t>
            </w:r>
            <w:r w:rsidR="0095037D" w:rsidRPr="00756DC7">
              <w:rPr>
                <w:rFonts w:ascii="Book Antiqua" w:eastAsia="Calibri" w:hAnsi="Book Antiqua"/>
                <w:color w:val="000000"/>
                <w:sz w:val="24"/>
                <w:lang w:eastAsia="en-US" w:bidi="en-US"/>
              </w:rPr>
              <w:t>)</w:t>
            </w:r>
          </w:p>
        </w:tc>
        <w:tc>
          <w:tcPr>
            <w:tcW w:w="1485" w:type="pct"/>
            <w:shd w:val="clear" w:color="auto" w:fill="auto"/>
          </w:tcPr>
          <w:p w:rsidR="0095037D" w:rsidRPr="00756DC7" w:rsidRDefault="0095037D" w:rsidP="001E7706">
            <w:pPr>
              <w:adjustRightInd w:val="0"/>
              <w:snapToGrid w:val="0"/>
              <w:spacing w:line="360" w:lineRule="auto"/>
              <w:rPr>
                <w:rFonts w:ascii="Book Antiqua" w:hAnsi="Book Antiqua"/>
                <w:color w:val="000000"/>
                <w:sz w:val="24"/>
                <w:lang w:bidi="en-US"/>
              </w:rPr>
            </w:pPr>
            <w:r w:rsidRPr="00756DC7">
              <w:rPr>
                <w:rFonts w:ascii="Book Antiqua" w:hAnsi="Book Antiqua"/>
                <w:color w:val="000000"/>
                <w:sz w:val="24"/>
                <w:lang w:bidi="en-US"/>
              </w:rPr>
              <w:t>-</w:t>
            </w:r>
          </w:p>
        </w:tc>
      </w:tr>
      <w:tr w:rsidR="00643C9F" w:rsidRPr="00756DC7" w:rsidTr="009626C6">
        <w:trPr>
          <w:trHeight w:val="208"/>
        </w:trPr>
        <w:tc>
          <w:tcPr>
            <w:tcW w:w="755" w:type="pct"/>
            <w:shd w:val="clear" w:color="auto" w:fill="auto"/>
          </w:tcPr>
          <w:p w:rsidR="0095037D" w:rsidRPr="00756DC7" w:rsidRDefault="00643C9F" w:rsidP="001E7706">
            <w:pPr>
              <w:adjustRightInd w:val="0"/>
              <w:snapToGrid w:val="0"/>
              <w:spacing w:line="360" w:lineRule="auto"/>
              <w:rPr>
                <w:rFonts w:ascii="Book Antiqua" w:hAnsi="Book Antiqua"/>
                <w:color w:val="000000"/>
                <w:sz w:val="24"/>
                <w:lang w:bidi="en-US"/>
              </w:rPr>
            </w:pPr>
            <w:r w:rsidRPr="00756DC7">
              <w:rPr>
                <w:rFonts w:ascii="Book Antiqua" w:eastAsia="Calibri" w:hAnsi="Book Antiqua"/>
                <w:color w:val="000000"/>
                <w:sz w:val="24"/>
                <w:lang w:eastAsia="en-US" w:bidi="en-US"/>
              </w:rPr>
              <w:t xml:space="preserve">Yang </w:t>
            </w:r>
            <w:r w:rsidRPr="00756DC7">
              <w:rPr>
                <w:rFonts w:ascii="Book Antiqua" w:eastAsia="Calibri" w:hAnsi="Book Antiqua"/>
                <w:i/>
                <w:color w:val="000000"/>
                <w:sz w:val="24"/>
                <w:lang w:eastAsia="en-US" w:bidi="en-US"/>
              </w:rPr>
              <w:t>et al</w:t>
            </w:r>
            <w:r w:rsidR="0095037D" w:rsidRPr="00756DC7">
              <w:rPr>
                <w:rFonts w:ascii="Book Antiqua" w:eastAsia="Calibri" w:hAnsi="Book Antiqua"/>
                <w:color w:val="000000"/>
                <w:sz w:val="24"/>
                <w:vertAlign w:val="superscript"/>
                <w:lang w:eastAsia="en-US" w:bidi="en-US"/>
              </w:rPr>
              <w:t>[</w:t>
            </w:r>
            <w:r w:rsidR="0095037D" w:rsidRPr="00756DC7">
              <w:rPr>
                <w:rFonts w:ascii="Book Antiqua" w:hAnsi="Book Antiqua"/>
                <w:color w:val="000000"/>
                <w:sz w:val="24"/>
                <w:vertAlign w:val="superscript"/>
                <w:lang w:bidi="en-US"/>
              </w:rPr>
              <w:t>30</w:t>
            </w:r>
            <w:r w:rsidR="0095037D" w:rsidRPr="00756DC7">
              <w:rPr>
                <w:rFonts w:ascii="Book Antiqua" w:eastAsia="Calibri" w:hAnsi="Book Antiqua"/>
                <w:color w:val="000000"/>
                <w:sz w:val="24"/>
                <w:vertAlign w:val="superscript"/>
                <w:lang w:eastAsia="en-US" w:bidi="en-US"/>
              </w:rPr>
              <w:t>]</w:t>
            </w:r>
          </w:p>
        </w:tc>
        <w:tc>
          <w:tcPr>
            <w:tcW w:w="911" w:type="pct"/>
            <w:shd w:val="clear" w:color="auto" w:fill="auto"/>
          </w:tcPr>
          <w:p w:rsidR="0095037D" w:rsidRPr="00756DC7" w:rsidRDefault="0095037D" w:rsidP="001E7706">
            <w:pPr>
              <w:adjustRightInd w:val="0"/>
              <w:snapToGrid w:val="0"/>
              <w:spacing w:line="360" w:lineRule="auto"/>
              <w:rPr>
                <w:rFonts w:ascii="Book Antiqua" w:eastAsia="Calibri" w:hAnsi="Book Antiqua"/>
                <w:color w:val="000000"/>
                <w:sz w:val="24"/>
                <w:lang w:eastAsia="en-US" w:bidi="en-US"/>
              </w:rPr>
            </w:pPr>
            <w:r w:rsidRPr="00756DC7">
              <w:rPr>
                <w:rFonts w:ascii="Book Antiqua" w:eastAsia="Calibri" w:hAnsi="Book Antiqua"/>
                <w:color w:val="000000"/>
                <w:sz w:val="24"/>
                <w:lang w:eastAsia="en-US" w:bidi="en-US"/>
              </w:rPr>
              <w:t>52</w:t>
            </w:r>
          </w:p>
        </w:tc>
        <w:tc>
          <w:tcPr>
            <w:tcW w:w="887" w:type="pct"/>
            <w:shd w:val="clear" w:color="auto" w:fill="auto"/>
          </w:tcPr>
          <w:p w:rsidR="0095037D" w:rsidRPr="00756DC7" w:rsidRDefault="0095037D" w:rsidP="001E7706">
            <w:pPr>
              <w:adjustRightInd w:val="0"/>
              <w:snapToGrid w:val="0"/>
              <w:spacing w:line="360" w:lineRule="auto"/>
              <w:rPr>
                <w:rFonts w:ascii="Book Antiqua" w:eastAsia="Calibri" w:hAnsi="Book Antiqua"/>
                <w:color w:val="000000"/>
                <w:sz w:val="24"/>
                <w:lang w:eastAsia="en-US" w:bidi="en-US"/>
              </w:rPr>
            </w:pPr>
            <w:r w:rsidRPr="00756DC7">
              <w:rPr>
                <w:rFonts w:ascii="Book Antiqua" w:eastAsia="Calibri" w:hAnsi="Book Antiqua"/>
                <w:color w:val="000000"/>
                <w:sz w:val="24"/>
                <w:lang w:eastAsia="en-US" w:bidi="en-US"/>
              </w:rPr>
              <w:t>15 (2</w:t>
            </w:r>
            <w:r w:rsidRPr="00756DC7">
              <w:rPr>
                <w:rFonts w:ascii="Book Antiqua" w:hAnsi="Book Antiqua"/>
                <w:color w:val="000000"/>
                <w:sz w:val="24"/>
                <w:lang w:bidi="en-US"/>
              </w:rPr>
              <w:t>8.9</w:t>
            </w:r>
            <w:r w:rsidRPr="00756DC7">
              <w:rPr>
                <w:rFonts w:ascii="Book Antiqua" w:eastAsia="Calibri" w:hAnsi="Book Antiqua"/>
                <w:color w:val="000000"/>
                <w:sz w:val="24"/>
                <w:lang w:eastAsia="en-US" w:bidi="en-US"/>
              </w:rPr>
              <w:t>)</w:t>
            </w:r>
          </w:p>
        </w:tc>
        <w:tc>
          <w:tcPr>
            <w:tcW w:w="962" w:type="pct"/>
            <w:shd w:val="clear" w:color="auto" w:fill="auto"/>
          </w:tcPr>
          <w:p w:rsidR="0095037D" w:rsidRPr="00756DC7" w:rsidRDefault="0095037D" w:rsidP="001E7706">
            <w:pPr>
              <w:adjustRightInd w:val="0"/>
              <w:snapToGrid w:val="0"/>
              <w:spacing w:line="360" w:lineRule="auto"/>
              <w:rPr>
                <w:rFonts w:ascii="Book Antiqua" w:eastAsia="Calibri" w:hAnsi="Book Antiqua"/>
                <w:color w:val="000000"/>
                <w:sz w:val="24"/>
                <w:lang w:eastAsia="en-US" w:bidi="en-US"/>
              </w:rPr>
            </w:pPr>
            <w:r w:rsidRPr="00756DC7">
              <w:rPr>
                <w:rFonts w:ascii="Book Antiqua" w:eastAsia="Calibri" w:hAnsi="Book Antiqua"/>
                <w:color w:val="000000"/>
                <w:sz w:val="24"/>
                <w:lang w:eastAsia="en-US" w:bidi="en-US"/>
              </w:rPr>
              <w:t>N/A</w:t>
            </w:r>
          </w:p>
        </w:tc>
        <w:tc>
          <w:tcPr>
            <w:tcW w:w="1485" w:type="pct"/>
            <w:shd w:val="clear" w:color="auto" w:fill="auto"/>
          </w:tcPr>
          <w:p w:rsidR="0095037D" w:rsidRPr="00756DC7" w:rsidRDefault="0095037D" w:rsidP="001E7706">
            <w:pPr>
              <w:adjustRightInd w:val="0"/>
              <w:snapToGrid w:val="0"/>
              <w:spacing w:line="360" w:lineRule="auto"/>
              <w:rPr>
                <w:rFonts w:ascii="Book Antiqua" w:hAnsi="Book Antiqua"/>
                <w:color w:val="000000"/>
                <w:sz w:val="24"/>
                <w:lang w:bidi="en-US"/>
              </w:rPr>
            </w:pPr>
            <w:r w:rsidRPr="00756DC7">
              <w:rPr>
                <w:rFonts w:ascii="Book Antiqua" w:hAnsi="Book Antiqua"/>
                <w:color w:val="000000"/>
                <w:sz w:val="24"/>
                <w:lang w:bidi="en-US"/>
              </w:rPr>
              <w:t>-</w:t>
            </w:r>
          </w:p>
        </w:tc>
      </w:tr>
      <w:tr w:rsidR="00643C9F" w:rsidRPr="00756DC7" w:rsidTr="009626C6">
        <w:trPr>
          <w:trHeight w:val="365"/>
        </w:trPr>
        <w:tc>
          <w:tcPr>
            <w:tcW w:w="755" w:type="pct"/>
            <w:shd w:val="clear" w:color="auto" w:fill="auto"/>
          </w:tcPr>
          <w:p w:rsidR="0095037D" w:rsidRPr="00756DC7" w:rsidRDefault="00643C9F" w:rsidP="001E7706">
            <w:pPr>
              <w:adjustRightInd w:val="0"/>
              <w:snapToGrid w:val="0"/>
              <w:spacing w:line="360" w:lineRule="auto"/>
              <w:rPr>
                <w:rFonts w:ascii="Book Antiqua" w:hAnsi="Book Antiqua"/>
                <w:color w:val="000000"/>
                <w:sz w:val="24"/>
                <w:lang w:bidi="en-US"/>
              </w:rPr>
            </w:pPr>
            <w:r w:rsidRPr="00756DC7">
              <w:rPr>
                <w:rFonts w:ascii="Book Antiqua" w:eastAsia="Calibri" w:hAnsi="Book Antiqua"/>
                <w:color w:val="000000"/>
                <w:sz w:val="24"/>
                <w:lang w:eastAsia="en-US" w:bidi="en-US"/>
              </w:rPr>
              <w:t xml:space="preserve">Fan </w:t>
            </w:r>
            <w:r w:rsidRPr="00756DC7">
              <w:rPr>
                <w:rFonts w:ascii="Book Antiqua" w:eastAsia="Calibri" w:hAnsi="Book Antiqua"/>
                <w:i/>
                <w:color w:val="000000"/>
                <w:sz w:val="24"/>
                <w:lang w:eastAsia="en-US" w:bidi="en-US"/>
              </w:rPr>
              <w:t>et al</w:t>
            </w:r>
            <w:r w:rsidR="0095037D" w:rsidRPr="00756DC7">
              <w:rPr>
                <w:rFonts w:ascii="Book Antiqua" w:eastAsia="Calibri" w:hAnsi="Book Antiqua"/>
                <w:color w:val="000000"/>
                <w:sz w:val="24"/>
                <w:vertAlign w:val="superscript"/>
                <w:lang w:eastAsia="en-US" w:bidi="en-US"/>
              </w:rPr>
              <w:t>[</w:t>
            </w:r>
            <w:r w:rsidR="0095037D" w:rsidRPr="00756DC7">
              <w:rPr>
                <w:rFonts w:ascii="Book Antiqua" w:hAnsi="Book Antiqua"/>
                <w:color w:val="000000"/>
                <w:sz w:val="24"/>
                <w:vertAlign w:val="superscript"/>
                <w:lang w:bidi="en-US"/>
              </w:rPr>
              <w:t>31</w:t>
            </w:r>
            <w:r w:rsidR="0095037D" w:rsidRPr="00756DC7">
              <w:rPr>
                <w:rFonts w:ascii="Book Antiqua" w:eastAsia="Calibri" w:hAnsi="Book Antiqua"/>
                <w:color w:val="000000"/>
                <w:sz w:val="24"/>
                <w:vertAlign w:val="superscript"/>
                <w:lang w:eastAsia="en-US" w:bidi="en-US"/>
              </w:rPr>
              <w:t>]</w:t>
            </w:r>
          </w:p>
        </w:tc>
        <w:tc>
          <w:tcPr>
            <w:tcW w:w="911" w:type="pct"/>
            <w:shd w:val="clear" w:color="auto" w:fill="auto"/>
          </w:tcPr>
          <w:p w:rsidR="0095037D" w:rsidRPr="00756DC7" w:rsidRDefault="0095037D" w:rsidP="001E7706">
            <w:pPr>
              <w:adjustRightInd w:val="0"/>
              <w:snapToGrid w:val="0"/>
              <w:spacing w:line="360" w:lineRule="auto"/>
              <w:rPr>
                <w:rFonts w:ascii="Book Antiqua" w:eastAsia="Calibri" w:hAnsi="Book Antiqua"/>
                <w:color w:val="000000"/>
                <w:sz w:val="24"/>
                <w:lang w:eastAsia="en-US" w:bidi="en-US"/>
              </w:rPr>
            </w:pPr>
            <w:r w:rsidRPr="00756DC7">
              <w:rPr>
                <w:rFonts w:ascii="Book Antiqua" w:eastAsia="Calibri" w:hAnsi="Book Antiqua"/>
                <w:color w:val="000000"/>
                <w:sz w:val="24"/>
                <w:lang w:eastAsia="en-US" w:bidi="en-US"/>
              </w:rPr>
              <w:t>148</w:t>
            </w:r>
          </w:p>
        </w:tc>
        <w:tc>
          <w:tcPr>
            <w:tcW w:w="887" w:type="pct"/>
            <w:shd w:val="clear" w:color="auto" w:fill="auto"/>
          </w:tcPr>
          <w:p w:rsidR="0095037D" w:rsidRPr="00756DC7" w:rsidRDefault="00643C9F" w:rsidP="001E7706">
            <w:pPr>
              <w:adjustRightInd w:val="0"/>
              <w:snapToGrid w:val="0"/>
              <w:spacing w:line="360" w:lineRule="auto"/>
              <w:rPr>
                <w:rFonts w:ascii="Book Antiqua" w:eastAsia="Calibri" w:hAnsi="Book Antiqua"/>
                <w:color w:val="000000"/>
                <w:sz w:val="24"/>
                <w:lang w:eastAsia="en-US" w:bidi="en-US"/>
              </w:rPr>
            </w:pPr>
            <w:r w:rsidRPr="00756DC7">
              <w:rPr>
                <w:rFonts w:ascii="Book Antiqua" w:eastAsia="Calibri" w:hAnsi="Book Antiqua"/>
                <w:color w:val="000000"/>
                <w:sz w:val="24"/>
                <w:lang w:eastAsia="en-US" w:bidi="en-US"/>
              </w:rPr>
              <w:t>75 (50.7</w:t>
            </w:r>
            <w:r w:rsidR="0095037D" w:rsidRPr="00756DC7">
              <w:rPr>
                <w:rFonts w:ascii="Book Antiqua" w:eastAsia="Calibri" w:hAnsi="Book Antiqua"/>
                <w:color w:val="000000"/>
                <w:sz w:val="24"/>
                <w:lang w:eastAsia="en-US" w:bidi="en-US"/>
              </w:rPr>
              <w:t>)</w:t>
            </w:r>
          </w:p>
        </w:tc>
        <w:tc>
          <w:tcPr>
            <w:tcW w:w="962" w:type="pct"/>
            <w:shd w:val="clear" w:color="auto" w:fill="auto"/>
          </w:tcPr>
          <w:p w:rsidR="0095037D" w:rsidRPr="00756DC7" w:rsidRDefault="00643C9F" w:rsidP="001E7706">
            <w:pPr>
              <w:adjustRightInd w:val="0"/>
              <w:snapToGrid w:val="0"/>
              <w:spacing w:line="360" w:lineRule="auto"/>
              <w:rPr>
                <w:rFonts w:ascii="Book Antiqua" w:eastAsia="Calibri" w:hAnsi="Book Antiqua"/>
                <w:color w:val="000000"/>
                <w:sz w:val="24"/>
                <w:lang w:eastAsia="en-US" w:bidi="en-US"/>
              </w:rPr>
            </w:pPr>
            <w:r w:rsidRPr="00756DC7">
              <w:rPr>
                <w:rFonts w:ascii="Book Antiqua" w:eastAsia="Calibri" w:hAnsi="Book Antiqua"/>
                <w:color w:val="000000"/>
                <w:sz w:val="24"/>
                <w:lang w:eastAsia="en-US" w:bidi="en-US"/>
              </w:rPr>
              <w:t>6 (8</w:t>
            </w:r>
            <w:r w:rsidR="0095037D" w:rsidRPr="00756DC7">
              <w:rPr>
                <w:rFonts w:ascii="Book Antiqua" w:eastAsia="Calibri" w:hAnsi="Book Antiqua"/>
                <w:color w:val="000000"/>
                <w:sz w:val="24"/>
                <w:lang w:eastAsia="en-US" w:bidi="en-US"/>
              </w:rPr>
              <w:t>)</w:t>
            </w:r>
          </w:p>
        </w:tc>
        <w:tc>
          <w:tcPr>
            <w:tcW w:w="1485" w:type="pct"/>
            <w:shd w:val="clear" w:color="auto" w:fill="auto"/>
          </w:tcPr>
          <w:p w:rsidR="0095037D" w:rsidRPr="00756DC7" w:rsidRDefault="0095037D" w:rsidP="001E7706">
            <w:pPr>
              <w:adjustRightInd w:val="0"/>
              <w:snapToGrid w:val="0"/>
              <w:spacing w:line="360" w:lineRule="auto"/>
              <w:rPr>
                <w:rFonts w:ascii="Book Antiqua" w:eastAsia="Calibri" w:hAnsi="Book Antiqua"/>
                <w:color w:val="000000"/>
                <w:sz w:val="24"/>
                <w:lang w:eastAsia="en-US" w:bidi="en-US"/>
              </w:rPr>
            </w:pPr>
            <w:r w:rsidRPr="00756DC7">
              <w:rPr>
                <w:rFonts w:ascii="Book Antiqua" w:eastAsia="Calibri" w:hAnsi="Book Antiqua"/>
                <w:color w:val="000000"/>
                <w:sz w:val="24"/>
                <w:lang w:eastAsia="en-US" w:bidi="en-US"/>
              </w:rPr>
              <w:t>Abnormal ALT 18.2%</w:t>
            </w:r>
            <w:r w:rsidR="00643C9F" w:rsidRPr="00756DC7">
              <w:rPr>
                <w:rFonts w:ascii="Book Antiqua" w:hAnsi="Book Antiqua"/>
                <w:color w:val="000000"/>
                <w:sz w:val="24"/>
                <w:lang w:bidi="en-US"/>
              </w:rPr>
              <w:t xml:space="preserve">; </w:t>
            </w:r>
            <w:r w:rsidR="00643C9F" w:rsidRPr="00756DC7">
              <w:rPr>
                <w:rFonts w:ascii="Book Antiqua" w:eastAsia="Calibri" w:hAnsi="Book Antiqua"/>
                <w:color w:val="000000"/>
                <w:sz w:val="24"/>
                <w:lang w:eastAsia="en-US" w:bidi="en-US"/>
              </w:rPr>
              <w:t xml:space="preserve">abnormal </w:t>
            </w:r>
            <w:r w:rsidRPr="00756DC7">
              <w:rPr>
                <w:rFonts w:ascii="Book Antiqua" w:eastAsia="Calibri" w:hAnsi="Book Antiqua"/>
                <w:color w:val="000000"/>
                <w:sz w:val="24"/>
                <w:lang w:eastAsia="en-US" w:bidi="en-US"/>
              </w:rPr>
              <w:t xml:space="preserve">AST </w:t>
            </w:r>
            <w:r w:rsidRPr="00756DC7">
              <w:rPr>
                <w:rFonts w:ascii="Book Antiqua" w:eastAsia="Calibri" w:hAnsi="Book Antiqua"/>
                <w:color w:val="000000"/>
                <w:sz w:val="24"/>
                <w:lang w:eastAsia="en-US" w:bidi="en-US"/>
              </w:rPr>
              <w:lastRenderedPageBreak/>
              <w:t>21.6%</w:t>
            </w:r>
          </w:p>
        </w:tc>
      </w:tr>
      <w:tr w:rsidR="00643C9F" w:rsidRPr="00756DC7" w:rsidTr="009626C6">
        <w:trPr>
          <w:trHeight w:val="208"/>
        </w:trPr>
        <w:tc>
          <w:tcPr>
            <w:tcW w:w="755" w:type="pct"/>
            <w:shd w:val="clear" w:color="auto" w:fill="auto"/>
          </w:tcPr>
          <w:p w:rsidR="0095037D" w:rsidRPr="00756DC7" w:rsidRDefault="0095037D" w:rsidP="001E7706">
            <w:pPr>
              <w:adjustRightInd w:val="0"/>
              <w:snapToGrid w:val="0"/>
              <w:spacing w:line="360" w:lineRule="auto"/>
              <w:rPr>
                <w:rFonts w:ascii="Book Antiqua" w:hAnsi="Book Antiqua"/>
                <w:color w:val="000000"/>
                <w:sz w:val="24"/>
                <w:lang w:bidi="en-US"/>
              </w:rPr>
            </w:pPr>
            <w:r w:rsidRPr="00756DC7">
              <w:rPr>
                <w:rFonts w:ascii="Book Antiqua" w:eastAsia="Calibri" w:hAnsi="Book Antiqua"/>
                <w:color w:val="000000"/>
                <w:sz w:val="24"/>
                <w:lang w:eastAsia="en-US" w:bidi="en-US"/>
              </w:rPr>
              <w:lastRenderedPageBreak/>
              <w:t>Hu</w:t>
            </w:r>
            <w:r w:rsidR="00643C9F" w:rsidRPr="00756DC7">
              <w:rPr>
                <w:rFonts w:ascii="Book Antiqua" w:eastAsia="Calibri" w:hAnsi="Book Antiqua"/>
                <w:color w:val="000000"/>
                <w:sz w:val="24"/>
                <w:lang w:eastAsia="en-US" w:bidi="en-US"/>
              </w:rPr>
              <w:t xml:space="preserve">ang </w:t>
            </w:r>
            <w:r w:rsidR="00643C9F" w:rsidRPr="00756DC7">
              <w:rPr>
                <w:rFonts w:ascii="Book Antiqua" w:eastAsia="Calibri" w:hAnsi="Book Antiqua"/>
                <w:i/>
                <w:color w:val="000000"/>
                <w:sz w:val="24"/>
                <w:lang w:eastAsia="en-US" w:bidi="en-US"/>
              </w:rPr>
              <w:t>et al</w:t>
            </w:r>
            <w:r w:rsidRPr="00756DC7">
              <w:rPr>
                <w:rFonts w:ascii="Book Antiqua" w:eastAsia="Calibri" w:hAnsi="Book Antiqua"/>
                <w:color w:val="000000"/>
                <w:sz w:val="24"/>
                <w:vertAlign w:val="superscript"/>
                <w:lang w:eastAsia="en-US" w:bidi="en-US"/>
              </w:rPr>
              <w:t>[</w:t>
            </w:r>
            <w:r w:rsidRPr="00756DC7">
              <w:rPr>
                <w:rFonts w:ascii="Book Antiqua" w:hAnsi="Book Antiqua"/>
                <w:color w:val="000000"/>
                <w:sz w:val="24"/>
                <w:vertAlign w:val="superscript"/>
                <w:lang w:bidi="en-US"/>
              </w:rPr>
              <w:t>33</w:t>
            </w:r>
            <w:r w:rsidRPr="00756DC7">
              <w:rPr>
                <w:rFonts w:ascii="Book Antiqua" w:eastAsia="Calibri" w:hAnsi="Book Antiqua"/>
                <w:color w:val="000000"/>
                <w:sz w:val="24"/>
                <w:vertAlign w:val="superscript"/>
                <w:lang w:eastAsia="en-US" w:bidi="en-US"/>
              </w:rPr>
              <w:t>]</w:t>
            </w:r>
          </w:p>
        </w:tc>
        <w:tc>
          <w:tcPr>
            <w:tcW w:w="911" w:type="pct"/>
            <w:shd w:val="clear" w:color="auto" w:fill="auto"/>
          </w:tcPr>
          <w:p w:rsidR="0095037D" w:rsidRPr="00756DC7" w:rsidRDefault="0095037D" w:rsidP="001E7706">
            <w:pPr>
              <w:adjustRightInd w:val="0"/>
              <w:snapToGrid w:val="0"/>
              <w:spacing w:line="360" w:lineRule="auto"/>
              <w:rPr>
                <w:rFonts w:ascii="Book Antiqua" w:eastAsia="Calibri" w:hAnsi="Book Antiqua"/>
                <w:color w:val="000000"/>
                <w:sz w:val="24"/>
                <w:lang w:eastAsia="en-US" w:bidi="en-US"/>
              </w:rPr>
            </w:pPr>
            <w:r w:rsidRPr="00756DC7">
              <w:rPr>
                <w:rFonts w:ascii="Book Antiqua" w:eastAsia="Calibri" w:hAnsi="Book Antiqua"/>
                <w:color w:val="000000"/>
                <w:sz w:val="24"/>
                <w:lang w:eastAsia="en-US" w:bidi="en-US"/>
              </w:rPr>
              <w:t>41</w:t>
            </w:r>
          </w:p>
        </w:tc>
        <w:tc>
          <w:tcPr>
            <w:tcW w:w="887" w:type="pct"/>
            <w:shd w:val="clear" w:color="auto" w:fill="auto"/>
          </w:tcPr>
          <w:p w:rsidR="0095037D" w:rsidRPr="00756DC7" w:rsidRDefault="0095037D" w:rsidP="001E7706">
            <w:pPr>
              <w:adjustRightInd w:val="0"/>
              <w:snapToGrid w:val="0"/>
              <w:spacing w:line="360" w:lineRule="auto"/>
              <w:rPr>
                <w:rFonts w:ascii="Book Antiqua" w:eastAsia="Calibri" w:hAnsi="Book Antiqua"/>
                <w:color w:val="000000"/>
                <w:sz w:val="24"/>
                <w:lang w:eastAsia="en-US" w:bidi="en-US"/>
              </w:rPr>
            </w:pPr>
            <w:r w:rsidRPr="00756DC7">
              <w:rPr>
                <w:rFonts w:ascii="Book Antiqua" w:eastAsia="Calibri" w:hAnsi="Book Antiqua"/>
                <w:color w:val="000000"/>
                <w:sz w:val="24"/>
                <w:lang w:eastAsia="en-US" w:bidi="en-US"/>
              </w:rPr>
              <w:t>15</w:t>
            </w:r>
            <w:r w:rsidR="00643C9F" w:rsidRPr="00756DC7">
              <w:rPr>
                <w:rFonts w:ascii="Book Antiqua" w:hAnsi="Book Antiqua"/>
                <w:color w:val="000000"/>
                <w:sz w:val="24"/>
                <w:lang w:bidi="en-US"/>
              </w:rPr>
              <w:t xml:space="preserve"> </w:t>
            </w:r>
            <w:r w:rsidRPr="00756DC7">
              <w:rPr>
                <w:rFonts w:ascii="Book Antiqua" w:eastAsia="Calibri" w:hAnsi="Book Antiqua"/>
                <w:color w:val="000000"/>
                <w:sz w:val="24"/>
                <w:lang w:eastAsia="en-US" w:bidi="en-US"/>
              </w:rPr>
              <w:t>(3</w:t>
            </w:r>
            <w:r w:rsidRPr="00756DC7">
              <w:rPr>
                <w:rFonts w:ascii="Book Antiqua" w:hAnsi="Book Antiqua"/>
                <w:color w:val="000000"/>
                <w:sz w:val="24"/>
                <w:lang w:bidi="en-US"/>
              </w:rPr>
              <w:t>6.6</w:t>
            </w:r>
            <w:r w:rsidRPr="00756DC7">
              <w:rPr>
                <w:rFonts w:ascii="Book Antiqua" w:eastAsia="Calibri" w:hAnsi="Book Antiqua"/>
                <w:color w:val="000000"/>
                <w:sz w:val="24"/>
                <w:lang w:eastAsia="en-US" w:bidi="en-US"/>
              </w:rPr>
              <w:t>)</w:t>
            </w:r>
          </w:p>
        </w:tc>
        <w:tc>
          <w:tcPr>
            <w:tcW w:w="962" w:type="pct"/>
            <w:shd w:val="clear" w:color="auto" w:fill="auto"/>
          </w:tcPr>
          <w:p w:rsidR="0095037D" w:rsidRPr="00756DC7" w:rsidRDefault="00643C9F" w:rsidP="001E7706">
            <w:pPr>
              <w:adjustRightInd w:val="0"/>
              <w:snapToGrid w:val="0"/>
              <w:spacing w:line="360" w:lineRule="auto"/>
              <w:rPr>
                <w:rFonts w:ascii="Book Antiqua" w:eastAsia="Calibri" w:hAnsi="Book Antiqua"/>
                <w:color w:val="000000"/>
                <w:sz w:val="24"/>
                <w:lang w:eastAsia="en-US" w:bidi="en-US"/>
              </w:rPr>
            </w:pPr>
            <w:r w:rsidRPr="00756DC7">
              <w:rPr>
                <w:rFonts w:ascii="Book Antiqua" w:eastAsia="Calibri" w:hAnsi="Book Antiqua"/>
                <w:color w:val="000000"/>
                <w:sz w:val="24"/>
                <w:lang w:eastAsia="en-US" w:bidi="en-US"/>
              </w:rPr>
              <w:t>1</w:t>
            </w:r>
            <w:r w:rsidRPr="00756DC7">
              <w:rPr>
                <w:rFonts w:ascii="Book Antiqua" w:hAnsi="Book Antiqua"/>
                <w:color w:val="000000"/>
                <w:sz w:val="24"/>
                <w:lang w:bidi="en-US"/>
              </w:rPr>
              <w:t xml:space="preserve"> </w:t>
            </w:r>
            <w:r w:rsidRPr="00756DC7">
              <w:rPr>
                <w:rFonts w:ascii="Book Antiqua" w:eastAsia="Calibri" w:hAnsi="Book Antiqua"/>
                <w:color w:val="000000"/>
                <w:sz w:val="24"/>
                <w:lang w:eastAsia="en-US" w:bidi="en-US"/>
              </w:rPr>
              <w:t>(2</w:t>
            </w:r>
            <w:r w:rsidR="0095037D" w:rsidRPr="00756DC7">
              <w:rPr>
                <w:rFonts w:ascii="Book Antiqua" w:eastAsia="Calibri" w:hAnsi="Book Antiqua"/>
                <w:color w:val="000000"/>
                <w:sz w:val="24"/>
                <w:lang w:eastAsia="en-US" w:bidi="en-US"/>
              </w:rPr>
              <w:t>)</w:t>
            </w:r>
          </w:p>
        </w:tc>
        <w:tc>
          <w:tcPr>
            <w:tcW w:w="1485" w:type="pct"/>
            <w:shd w:val="clear" w:color="auto" w:fill="auto"/>
          </w:tcPr>
          <w:p w:rsidR="0095037D" w:rsidRPr="00756DC7" w:rsidRDefault="0095037D" w:rsidP="001E7706">
            <w:pPr>
              <w:adjustRightInd w:val="0"/>
              <w:snapToGrid w:val="0"/>
              <w:spacing w:line="360" w:lineRule="auto"/>
              <w:rPr>
                <w:rFonts w:ascii="Book Antiqua" w:hAnsi="Book Antiqua"/>
                <w:color w:val="000000"/>
                <w:sz w:val="24"/>
                <w:lang w:bidi="en-US"/>
              </w:rPr>
            </w:pPr>
            <w:r w:rsidRPr="00756DC7">
              <w:rPr>
                <w:rFonts w:ascii="Book Antiqua" w:hAnsi="Book Antiqua"/>
                <w:color w:val="000000"/>
                <w:sz w:val="24"/>
                <w:lang w:bidi="en-US"/>
              </w:rPr>
              <w:t>-</w:t>
            </w:r>
          </w:p>
        </w:tc>
      </w:tr>
    </w:tbl>
    <w:p w:rsidR="0095037D" w:rsidRPr="009626C6" w:rsidRDefault="003C3A58" w:rsidP="001E7706">
      <w:pPr>
        <w:adjustRightInd w:val="0"/>
        <w:snapToGrid w:val="0"/>
        <w:spacing w:line="360" w:lineRule="auto"/>
        <w:rPr>
          <w:rFonts w:ascii="Book Antiqua" w:hAnsi="Book Antiqua"/>
          <w:bCs/>
          <w:color w:val="000000"/>
          <w:sz w:val="24"/>
        </w:rPr>
      </w:pPr>
      <w:r w:rsidRPr="00756DC7">
        <w:rPr>
          <w:rFonts w:ascii="Book Antiqua" w:hAnsi="Book Antiqua"/>
          <w:color w:val="000000"/>
          <w:sz w:val="24"/>
        </w:rPr>
        <w:t xml:space="preserve">SARS-CoV-2: Severe acute respiratory syndrome coronavirus 2; </w:t>
      </w:r>
      <w:r w:rsidR="00643C9F" w:rsidRPr="00756DC7">
        <w:rPr>
          <w:rFonts w:ascii="Book Antiqua" w:hAnsi="Book Antiqua"/>
          <w:bCs/>
          <w:color w:val="000000"/>
          <w:sz w:val="24"/>
        </w:rPr>
        <w:t xml:space="preserve">ALT: </w:t>
      </w:r>
      <w:r w:rsidR="00643C9F" w:rsidRPr="00756DC7">
        <w:rPr>
          <w:rFonts w:ascii="Book Antiqua" w:hAnsi="Book Antiqua"/>
          <w:color w:val="000000"/>
          <w:sz w:val="24"/>
        </w:rPr>
        <w:t xml:space="preserve">Alanine aminotransferase; </w:t>
      </w:r>
      <w:r w:rsidR="00643C9F" w:rsidRPr="00756DC7">
        <w:rPr>
          <w:rFonts w:ascii="Book Antiqua" w:hAnsi="Book Antiqua"/>
          <w:bCs/>
          <w:color w:val="000000"/>
          <w:sz w:val="24"/>
        </w:rPr>
        <w:t>AST:</w:t>
      </w:r>
      <w:r w:rsidR="00643C9F" w:rsidRPr="00756DC7">
        <w:rPr>
          <w:rFonts w:ascii="Book Antiqua" w:hAnsi="Book Antiqua"/>
          <w:color w:val="000000"/>
          <w:sz w:val="24"/>
        </w:rPr>
        <w:t xml:space="preserve"> Aspartate aminotransferase.</w:t>
      </w:r>
      <w:bookmarkStart w:id="116" w:name="_GoBack"/>
      <w:bookmarkEnd w:id="116"/>
    </w:p>
    <w:p w:rsidR="00643C9F" w:rsidRPr="009626C6" w:rsidRDefault="00643C9F" w:rsidP="001E7706">
      <w:pPr>
        <w:adjustRightInd w:val="0"/>
        <w:snapToGrid w:val="0"/>
        <w:spacing w:line="360" w:lineRule="auto"/>
        <w:rPr>
          <w:rFonts w:ascii="Book Antiqua" w:hAnsi="Book Antiqua"/>
          <w:b/>
          <w:bCs/>
          <w:color w:val="000000"/>
          <w:sz w:val="24"/>
        </w:rPr>
      </w:pPr>
    </w:p>
    <w:sectPr w:rsidR="00643C9F" w:rsidRPr="009626C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AB" w:rsidRDefault="002F43AB" w:rsidP="00C3237C">
      <w:r>
        <w:separator/>
      </w:r>
    </w:p>
  </w:endnote>
  <w:endnote w:type="continuationSeparator" w:id="0">
    <w:p w:rsidR="002F43AB" w:rsidRDefault="002F43AB" w:rsidP="00C3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dvGulliv-R">
    <w:altName w:val="微软雅黑"/>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AB" w:rsidRDefault="002F43AB" w:rsidP="00C3237C">
      <w:r>
        <w:separator/>
      </w:r>
    </w:p>
  </w:footnote>
  <w:footnote w:type="continuationSeparator" w:id="0">
    <w:p w:rsidR="002F43AB" w:rsidRDefault="002F43AB" w:rsidP="00C32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4157C"/>
    <w:multiLevelType w:val="hybridMultilevel"/>
    <w:tmpl w:val="DA04711E"/>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0455F6"/>
    <w:multiLevelType w:val="singleLevel"/>
    <w:tmpl w:val="5D0455F6"/>
    <w:lvl w:ilvl="0">
      <w:start w:val="3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AB"/>
    <w:rsid w:val="00003077"/>
    <w:rsid w:val="0002281B"/>
    <w:rsid w:val="000267AB"/>
    <w:rsid w:val="00027F20"/>
    <w:rsid w:val="000330D8"/>
    <w:rsid w:val="000428AA"/>
    <w:rsid w:val="00043FAD"/>
    <w:rsid w:val="0005136C"/>
    <w:rsid w:val="00064455"/>
    <w:rsid w:val="00074C97"/>
    <w:rsid w:val="000828EA"/>
    <w:rsid w:val="00095E68"/>
    <w:rsid w:val="000E3E90"/>
    <w:rsid w:val="000F3A25"/>
    <w:rsid w:val="001042DF"/>
    <w:rsid w:val="00140428"/>
    <w:rsid w:val="001529EF"/>
    <w:rsid w:val="00174E81"/>
    <w:rsid w:val="00180165"/>
    <w:rsid w:val="001808CB"/>
    <w:rsid w:val="00181C88"/>
    <w:rsid w:val="00183CB0"/>
    <w:rsid w:val="00185B10"/>
    <w:rsid w:val="00185DE7"/>
    <w:rsid w:val="00197664"/>
    <w:rsid w:val="00197BD5"/>
    <w:rsid w:val="001A0DE5"/>
    <w:rsid w:val="001A6D21"/>
    <w:rsid w:val="001C4E52"/>
    <w:rsid w:val="001C6ACF"/>
    <w:rsid w:val="001E58A6"/>
    <w:rsid w:val="001E7706"/>
    <w:rsid w:val="002029C3"/>
    <w:rsid w:val="00204577"/>
    <w:rsid w:val="002124DD"/>
    <w:rsid w:val="002261B8"/>
    <w:rsid w:val="00227072"/>
    <w:rsid w:val="00233CB1"/>
    <w:rsid w:val="00241838"/>
    <w:rsid w:val="002523C9"/>
    <w:rsid w:val="00270BCE"/>
    <w:rsid w:val="0028371C"/>
    <w:rsid w:val="002A64F6"/>
    <w:rsid w:val="002C095E"/>
    <w:rsid w:val="002F43AB"/>
    <w:rsid w:val="002F715D"/>
    <w:rsid w:val="002F7414"/>
    <w:rsid w:val="00312632"/>
    <w:rsid w:val="00316AB3"/>
    <w:rsid w:val="00320B15"/>
    <w:rsid w:val="00324442"/>
    <w:rsid w:val="00330B61"/>
    <w:rsid w:val="00331C88"/>
    <w:rsid w:val="00331FF5"/>
    <w:rsid w:val="0034091E"/>
    <w:rsid w:val="00341165"/>
    <w:rsid w:val="00341B5A"/>
    <w:rsid w:val="00343DA7"/>
    <w:rsid w:val="0034536A"/>
    <w:rsid w:val="0034732D"/>
    <w:rsid w:val="00355ABB"/>
    <w:rsid w:val="003741DD"/>
    <w:rsid w:val="003941C4"/>
    <w:rsid w:val="003A11B8"/>
    <w:rsid w:val="003A2813"/>
    <w:rsid w:val="003A57A5"/>
    <w:rsid w:val="003A6852"/>
    <w:rsid w:val="003C3A58"/>
    <w:rsid w:val="003D04DC"/>
    <w:rsid w:val="003D3E91"/>
    <w:rsid w:val="003E500B"/>
    <w:rsid w:val="00407661"/>
    <w:rsid w:val="0042150A"/>
    <w:rsid w:val="00427126"/>
    <w:rsid w:val="00431DC2"/>
    <w:rsid w:val="0045515C"/>
    <w:rsid w:val="0046402B"/>
    <w:rsid w:val="004667EA"/>
    <w:rsid w:val="004936CE"/>
    <w:rsid w:val="004A5809"/>
    <w:rsid w:val="004A6373"/>
    <w:rsid w:val="004B006A"/>
    <w:rsid w:val="004C0863"/>
    <w:rsid w:val="004D2B71"/>
    <w:rsid w:val="004D3032"/>
    <w:rsid w:val="004D767C"/>
    <w:rsid w:val="004D7A02"/>
    <w:rsid w:val="004D7CB2"/>
    <w:rsid w:val="004E1804"/>
    <w:rsid w:val="004F0C8B"/>
    <w:rsid w:val="004F3147"/>
    <w:rsid w:val="004F57F0"/>
    <w:rsid w:val="00503757"/>
    <w:rsid w:val="00515E7C"/>
    <w:rsid w:val="00532754"/>
    <w:rsid w:val="00543CFD"/>
    <w:rsid w:val="005448DD"/>
    <w:rsid w:val="005525AA"/>
    <w:rsid w:val="00580A15"/>
    <w:rsid w:val="005A6552"/>
    <w:rsid w:val="005A7F9A"/>
    <w:rsid w:val="005C59DE"/>
    <w:rsid w:val="005C5F64"/>
    <w:rsid w:val="005C6170"/>
    <w:rsid w:val="005D05AB"/>
    <w:rsid w:val="005D4EEC"/>
    <w:rsid w:val="005E3EE2"/>
    <w:rsid w:val="006008DD"/>
    <w:rsid w:val="0061735D"/>
    <w:rsid w:val="00625A6B"/>
    <w:rsid w:val="00643C9F"/>
    <w:rsid w:val="006446AB"/>
    <w:rsid w:val="006832A6"/>
    <w:rsid w:val="00684D38"/>
    <w:rsid w:val="00687F14"/>
    <w:rsid w:val="006D4646"/>
    <w:rsid w:val="006E3759"/>
    <w:rsid w:val="006F15FD"/>
    <w:rsid w:val="00707FCA"/>
    <w:rsid w:val="00710691"/>
    <w:rsid w:val="007233BA"/>
    <w:rsid w:val="0072392E"/>
    <w:rsid w:val="007240FA"/>
    <w:rsid w:val="0073382A"/>
    <w:rsid w:val="00743282"/>
    <w:rsid w:val="00750DDC"/>
    <w:rsid w:val="00753591"/>
    <w:rsid w:val="007537B9"/>
    <w:rsid w:val="00756DC7"/>
    <w:rsid w:val="00767091"/>
    <w:rsid w:val="00767772"/>
    <w:rsid w:val="00794218"/>
    <w:rsid w:val="007A0FAD"/>
    <w:rsid w:val="007A1D87"/>
    <w:rsid w:val="007A5B83"/>
    <w:rsid w:val="007B1E79"/>
    <w:rsid w:val="007B74AB"/>
    <w:rsid w:val="007C30EE"/>
    <w:rsid w:val="007D022D"/>
    <w:rsid w:val="007E31CE"/>
    <w:rsid w:val="007E41C5"/>
    <w:rsid w:val="00805E4E"/>
    <w:rsid w:val="00810BBA"/>
    <w:rsid w:val="00814C81"/>
    <w:rsid w:val="00815BF8"/>
    <w:rsid w:val="0082793A"/>
    <w:rsid w:val="00835A48"/>
    <w:rsid w:val="0083676F"/>
    <w:rsid w:val="008419FF"/>
    <w:rsid w:val="008453BC"/>
    <w:rsid w:val="00847413"/>
    <w:rsid w:val="008669A6"/>
    <w:rsid w:val="00870800"/>
    <w:rsid w:val="00875F55"/>
    <w:rsid w:val="008770C7"/>
    <w:rsid w:val="00877DA5"/>
    <w:rsid w:val="00884C86"/>
    <w:rsid w:val="00891242"/>
    <w:rsid w:val="0089376C"/>
    <w:rsid w:val="008B3404"/>
    <w:rsid w:val="008B3683"/>
    <w:rsid w:val="008C089D"/>
    <w:rsid w:val="008C339F"/>
    <w:rsid w:val="008C5E6F"/>
    <w:rsid w:val="008C7274"/>
    <w:rsid w:val="008E0D4E"/>
    <w:rsid w:val="009065FB"/>
    <w:rsid w:val="00922F5A"/>
    <w:rsid w:val="00926A68"/>
    <w:rsid w:val="0093399F"/>
    <w:rsid w:val="009432B1"/>
    <w:rsid w:val="0095037D"/>
    <w:rsid w:val="009626C6"/>
    <w:rsid w:val="00963475"/>
    <w:rsid w:val="00972655"/>
    <w:rsid w:val="00972A54"/>
    <w:rsid w:val="00991E99"/>
    <w:rsid w:val="009A0E43"/>
    <w:rsid w:val="009A6FD7"/>
    <w:rsid w:val="009B24EA"/>
    <w:rsid w:val="009C5C50"/>
    <w:rsid w:val="009E0E25"/>
    <w:rsid w:val="009F5329"/>
    <w:rsid w:val="00A2468E"/>
    <w:rsid w:val="00A373E6"/>
    <w:rsid w:val="00A646CE"/>
    <w:rsid w:val="00A76705"/>
    <w:rsid w:val="00A82392"/>
    <w:rsid w:val="00A908BF"/>
    <w:rsid w:val="00A92FC9"/>
    <w:rsid w:val="00AA4643"/>
    <w:rsid w:val="00AA7B83"/>
    <w:rsid w:val="00AB6503"/>
    <w:rsid w:val="00AD1105"/>
    <w:rsid w:val="00B2253E"/>
    <w:rsid w:val="00B454E5"/>
    <w:rsid w:val="00B53A6B"/>
    <w:rsid w:val="00B54EE8"/>
    <w:rsid w:val="00B55855"/>
    <w:rsid w:val="00B5669F"/>
    <w:rsid w:val="00B97AA2"/>
    <w:rsid w:val="00BC2526"/>
    <w:rsid w:val="00BD4A60"/>
    <w:rsid w:val="00BE5B59"/>
    <w:rsid w:val="00BE67D1"/>
    <w:rsid w:val="00BE766D"/>
    <w:rsid w:val="00C03A7C"/>
    <w:rsid w:val="00C1512B"/>
    <w:rsid w:val="00C16D6B"/>
    <w:rsid w:val="00C17EC2"/>
    <w:rsid w:val="00C3237C"/>
    <w:rsid w:val="00C43A3D"/>
    <w:rsid w:val="00C574C1"/>
    <w:rsid w:val="00C63D1C"/>
    <w:rsid w:val="00C70D36"/>
    <w:rsid w:val="00C735D1"/>
    <w:rsid w:val="00C75364"/>
    <w:rsid w:val="00C86E29"/>
    <w:rsid w:val="00C95096"/>
    <w:rsid w:val="00C96B5F"/>
    <w:rsid w:val="00CA4D79"/>
    <w:rsid w:val="00CB1D35"/>
    <w:rsid w:val="00CB78FD"/>
    <w:rsid w:val="00CC1BDD"/>
    <w:rsid w:val="00CD32A4"/>
    <w:rsid w:val="00CD5D3A"/>
    <w:rsid w:val="00CE3C62"/>
    <w:rsid w:val="00CF159F"/>
    <w:rsid w:val="00D17122"/>
    <w:rsid w:val="00D20A49"/>
    <w:rsid w:val="00D25C44"/>
    <w:rsid w:val="00D4068F"/>
    <w:rsid w:val="00D45228"/>
    <w:rsid w:val="00D63E5A"/>
    <w:rsid w:val="00D74DA5"/>
    <w:rsid w:val="00D8339A"/>
    <w:rsid w:val="00D843CD"/>
    <w:rsid w:val="00D86A59"/>
    <w:rsid w:val="00DB4E32"/>
    <w:rsid w:val="00DC506A"/>
    <w:rsid w:val="00DD6AB4"/>
    <w:rsid w:val="00DE6C4A"/>
    <w:rsid w:val="00E00141"/>
    <w:rsid w:val="00E05BDF"/>
    <w:rsid w:val="00E074E5"/>
    <w:rsid w:val="00E113F2"/>
    <w:rsid w:val="00E2416D"/>
    <w:rsid w:val="00E25B4D"/>
    <w:rsid w:val="00E61A80"/>
    <w:rsid w:val="00E7152D"/>
    <w:rsid w:val="00E74D9C"/>
    <w:rsid w:val="00E827BB"/>
    <w:rsid w:val="00EB0561"/>
    <w:rsid w:val="00EB2681"/>
    <w:rsid w:val="00EB2AA9"/>
    <w:rsid w:val="00ED2A1B"/>
    <w:rsid w:val="00EE09C0"/>
    <w:rsid w:val="00EE7D73"/>
    <w:rsid w:val="00F03055"/>
    <w:rsid w:val="00F05F72"/>
    <w:rsid w:val="00F16C39"/>
    <w:rsid w:val="00F322B6"/>
    <w:rsid w:val="00F37D13"/>
    <w:rsid w:val="00F40A60"/>
    <w:rsid w:val="00F42443"/>
    <w:rsid w:val="00F428CC"/>
    <w:rsid w:val="00F500E1"/>
    <w:rsid w:val="00F55606"/>
    <w:rsid w:val="00F57583"/>
    <w:rsid w:val="00F64EC0"/>
    <w:rsid w:val="00F66540"/>
    <w:rsid w:val="00F71B9E"/>
    <w:rsid w:val="00F90FF3"/>
    <w:rsid w:val="00FA1931"/>
    <w:rsid w:val="00FA2CDA"/>
    <w:rsid w:val="00FA6141"/>
    <w:rsid w:val="00FA7D50"/>
    <w:rsid w:val="00FC2EF5"/>
    <w:rsid w:val="00FE3529"/>
    <w:rsid w:val="00FE52F2"/>
    <w:rsid w:val="00FE5A98"/>
    <w:rsid w:val="00FF01FD"/>
    <w:rsid w:val="06C87791"/>
    <w:rsid w:val="094820E0"/>
    <w:rsid w:val="0B0B7284"/>
    <w:rsid w:val="12E60C18"/>
    <w:rsid w:val="17302C82"/>
    <w:rsid w:val="1B553E6F"/>
    <w:rsid w:val="1C77142C"/>
    <w:rsid w:val="1CC34243"/>
    <w:rsid w:val="1D626F5E"/>
    <w:rsid w:val="1E1116ED"/>
    <w:rsid w:val="1F14676B"/>
    <w:rsid w:val="212E142B"/>
    <w:rsid w:val="217B4C05"/>
    <w:rsid w:val="24945783"/>
    <w:rsid w:val="25EE54EB"/>
    <w:rsid w:val="301065E5"/>
    <w:rsid w:val="35330971"/>
    <w:rsid w:val="3C1F6AC2"/>
    <w:rsid w:val="3D793800"/>
    <w:rsid w:val="4CC23090"/>
    <w:rsid w:val="4E117D9F"/>
    <w:rsid w:val="4E462FA3"/>
    <w:rsid w:val="4FA6100C"/>
    <w:rsid w:val="4FE66131"/>
    <w:rsid w:val="5139410C"/>
    <w:rsid w:val="533D095B"/>
    <w:rsid w:val="535A615C"/>
    <w:rsid w:val="5E342792"/>
    <w:rsid w:val="633600A3"/>
    <w:rsid w:val="6B2C763A"/>
    <w:rsid w:val="6D595E4F"/>
    <w:rsid w:val="6D7E3F19"/>
    <w:rsid w:val="6E6F649E"/>
    <w:rsid w:val="6E752CF5"/>
    <w:rsid w:val="705C79C7"/>
    <w:rsid w:val="72CA32CA"/>
    <w:rsid w:val="77547221"/>
    <w:rsid w:val="7C3C2068"/>
    <w:rsid w:val="7D2E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4C1"/>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4">
    <w:name w:val="heading 4"/>
    <w:basedOn w:val="a"/>
    <w:next w:val="a"/>
    <w:qFormat/>
    <w:pPr>
      <w:spacing w:before="100" w:beforeAutospacing="1" w:after="100" w:afterAutospacing="1"/>
      <w:jc w:val="left"/>
      <w:outlineLvl w:val="3"/>
    </w:pPr>
    <w:rPr>
      <w:rFonts w:ascii="宋体" w:hAnsi="宋体" w:hint="eastAsia"/>
      <w:b/>
      <w:kern w:val="0"/>
      <w:sz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character" w:styleId="a4">
    <w:name w:val="annotation reference"/>
    <w:rPr>
      <w:sz w:val="21"/>
      <w:szCs w:val="21"/>
    </w:rPr>
  </w:style>
  <w:style w:type="character" w:customStyle="1" w:styleId="Char">
    <w:name w:val="页脚 Char"/>
    <w:link w:val="a5"/>
    <w:rPr>
      <w:rFonts w:ascii="Calibri" w:hAnsi="Calibri"/>
      <w:kern w:val="2"/>
      <w:sz w:val="18"/>
      <w:szCs w:val="18"/>
    </w:rPr>
  </w:style>
  <w:style w:type="character" w:customStyle="1" w:styleId="Char0">
    <w:name w:val="批注框文本 Char"/>
    <w:link w:val="a6"/>
    <w:rPr>
      <w:rFonts w:ascii="Calibri" w:hAnsi="Calibri"/>
      <w:kern w:val="2"/>
      <w:sz w:val="18"/>
      <w:szCs w:val="18"/>
    </w:rPr>
  </w:style>
  <w:style w:type="character" w:customStyle="1" w:styleId="Char1">
    <w:name w:val="批注主题 Char"/>
    <w:link w:val="a7"/>
    <w:rPr>
      <w:rFonts w:ascii="Calibri" w:hAnsi="Calibri"/>
      <w:b/>
      <w:bCs/>
      <w:kern w:val="2"/>
      <w:sz w:val="21"/>
      <w:szCs w:val="24"/>
    </w:rPr>
  </w:style>
  <w:style w:type="character" w:customStyle="1" w:styleId="a8">
    <w:name w:val="未处理的提及"/>
    <w:uiPriority w:val="99"/>
    <w:unhideWhenUsed/>
    <w:rPr>
      <w:color w:val="605E5C"/>
      <w:shd w:val="clear" w:color="auto" w:fill="E1DFDD"/>
    </w:rPr>
  </w:style>
  <w:style w:type="character" w:customStyle="1" w:styleId="Char2">
    <w:name w:val="页眉 Char"/>
    <w:link w:val="a9"/>
    <w:rPr>
      <w:rFonts w:ascii="Calibri" w:hAnsi="Calibri"/>
      <w:kern w:val="2"/>
      <w:sz w:val="18"/>
      <w:szCs w:val="18"/>
    </w:rPr>
  </w:style>
  <w:style w:type="character" w:customStyle="1" w:styleId="Char3">
    <w:name w:val="批注文字 Char"/>
    <w:link w:val="aa"/>
    <w:rPr>
      <w:rFonts w:ascii="Calibri" w:hAnsi="Calibri"/>
      <w:kern w:val="2"/>
      <w:sz w:val="21"/>
      <w:szCs w:val="24"/>
    </w:rPr>
  </w:style>
  <w:style w:type="paragraph" w:styleId="a6">
    <w:name w:val="Balloon Text"/>
    <w:basedOn w:val="a"/>
    <w:link w:val="Char0"/>
    <w:rPr>
      <w:sz w:val="18"/>
      <w:szCs w:val="18"/>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pPr>
      <w:tabs>
        <w:tab w:val="center" w:pos="4153"/>
        <w:tab w:val="right" w:pos="8306"/>
      </w:tabs>
      <w:snapToGrid w:val="0"/>
      <w:jc w:val="left"/>
    </w:pPr>
    <w:rPr>
      <w:sz w:val="18"/>
      <w:szCs w:val="18"/>
    </w:rPr>
  </w:style>
  <w:style w:type="paragraph" w:styleId="a7">
    <w:name w:val="annotation subject"/>
    <w:basedOn w:val="aa"/>
    <w:next w:val="aa"/>
    <w:link w:val="Char1"/>
    <w:rPr>
      <w:b/>
      <w:bCs/>
    </w:rPr>
  </w:style>
  <w:style w:type="paragraph" w:styleId="aa">
    <w:name w:val="annotation text"/>
    <w:basedOn w:val="a"/>
    <w:link w:val="Char3"/>
    <w:pPr>
      <w:jc w:val="left"/>
    </w:pPr>
  </w:style>
  <w:style w:type="paragraph" w:customStyle="1" w:styleId="TableParagraph">
    <w:name w:val="Table Paragraph"/>
    <w:basedOn w:val="a"/>
    <w:uiPriority w:val="1"/>
    <w:qFormat/>
    <w:pPr>
      <w:spacing w:before="24"/>
    </w:pPr>
    <w:rPr>
      <w:rFonts w:eastAsia="Calibri" w:cs="Calibri"/>
      <w:lang w:eastAsia="en-US" w:bidi="en-US"/>
    </w:rPr>
  </w:style>
  <w:style w:type="character" w:customStyle="1" w:styleId="ab">
    <w:name w:val="批注文字 字符"/>
    <w:rsid w:val="007A0FAD"/>
    <w:rPr>
      <w:rFonts w:ascii="Calibri" w:hAnsi="Calibri"/>
      <w:kern w:val="2"/>
      <w:sz w:val="21"/>
      <w:szCs w:val="24"/>
    </w:rPr>
  </w:style>
  <w:style w:type="character" w:customStyle="1" w:styleId="normaltextrun">
    <w:name w:val="normaltextrun"/>
    <w:rsid w:val="00CF159F"/>
  </w:style>
  <w:style w:type="paragraph" w:customStyle="1" w:styleId="paragraph">
    <w:name w:val="paragraph"/>
    <w:basedOn w:val="a"/>
    <w:rsid w:val="00CF159F"/>
    <w:pPr>
      <w:widowControl/>
      <w:spacing w:before="100" w:beforeAutospacing="1" w:after="100" w:afterAutospacing="1"/>
      <w:jc w:val="left"/>
    </w:pPr>
    <w:rPr>
      <w:rFonts w:ascii="Times New Roman" w:hAnsi="Times New Roman"/>
      <w:kern w:val="0"/>
      <w:sz w:val="24"/>
      <w:lang w:eastAsia="en-US"/>
    </w:rPr>
  </w:style>
  <w:style w:type="character" w:customStyle="1" w:styleId="vol">
    <w:name w:val="vol"/>
    <w:rsid w:val="004936CE"/>
  </w:style>
  <w:style w:type="character" w:customStyle="1" w:styleId="pagefirst">
    <w:name w:val="pagefirst"/>
    <w:rsid w:val="004936CE"/>
  </w:style>
  <w:style w:type="character" w:customStyle="1" w:styleId="pagelast">
    <w:name w:val="pagelast"/>
    <w:rsid w:val="004936CE"/>
  </w:style>
  <w:style w:type="character" w:customStyle="1" w:styleId="highwire-citation-authors">
    <w:name w:val="highwire-citation-authors"/>
    <w:rsid w:val="00543CFD"/>
  </w:style>
  <w:style w:type="character" w:customStyle="1" w:styleId="highwire-citation-author">
    <w:name w:val="highwire-citation-author"/>
    <w:rsid w:val="00543CFD"/>
  </w:style>
  <w:style w:type="character" w:customStyle="1" w:styleId="nlm-given-names">
    <w:name w:val="nlm-given-names"/>
    <w:rsid w:val="00543CFD"/>
  </w:style>
  <w:style w:type="character" w:customStyle="1" w:styleId="nlm-surname">
    <w:name w:val="nlm-surname"/>
    <w:rsid w:val="00543CFD"/>
  </w:style>
  <w:style w:type="character" w:customStyle="1" w:styleId="title">
    <w:name w:val="title"/>
    <w:rsid w:val="00543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4C1"/>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4">
    <w:name w:val="heading 4"/>
    <w:basedOn w:val="a"/>
    <w:next w:val="a"/>
    <w:qFormat/>
    <w:pPr>
      <w:spacing w:before="100" w:beforeAutospacing="1" w:after="100" w:afterAutospacing="1"/>
      <w:jc w:val="left"/>
      <w:outlineLvl w:val="3"/>
    </w:pPr>
    <w:rPr>
      <w:rFonts w:ascii="宋体" w:hAnsi="宋体" w:hint="eastAsia"/>
      <w:b/>
      <w:kern w:val="0"/>
      <w:sz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character" w:styleId="a4">
    <w:name w:val="annotation reference"/>
    <w:rPr>
      <w:sz w:val="21"/>
      <w:szCs w:val="21"/>
    </w:rPr>
  </w:style>
  <w:style w:type="character" w:customStyle="1" w:styleId="Char">
    <w:name w:val="页脚 Char"/>
    <w:link w:val="a5"/>
    <w:rPr>
      <w:rFonts w:ascii="Calibri" w:hAnsi="Calibri"/>
      <w:kern w:val="2"/>
      <w:sz w:val="18"/>
      <w:szCs w:val="18"/>
    </w:rPr>
  </w:style>
  <w:style w:type="character" w:customStyle="1" w:styleId="Char0">
    <w:name w:val="批注框文本 Char"/>
    <w:link w:val="a6"/>
    <w:rPr>
      <w:rFonts w:ascii="Calibri" w:hAnsi="Calibri"/>
      <w:kern w:val="2"/>
      <w:sz w:val="18"/>
      <w:szCs w:val="18"/>
    </w:rPr>
  </w:style>
  <w:style w:type="character" w:customStyle="1" w:styleId="Char1">
    <w:name w:val="批注主题 Char"/>
    <w:link w:val="a7"/>
    <w:rPr>
      <w:rFonts w:ascii="Calibri" w:hAnsi="Calibri"/>
      <w:b/>
      <w:bCs/>
      <w:kern w:val="2"/>
      <w:sz w:val="21"/>
      <w:szCs w:val="24"/>
    </w:rPr>
  </w:style>
  <w:style w:type="character" w:customStyle="1" w:styleId="a8">
    <w:name w:val="未处理的提及"/>
    <w:uiPriority w:val="99"/>
    <w:unhideWhenUsed/>
    <w:rPr>
      <w:color w:val="605E5C"/>
      <w:shd w:val="clear" w:color="auto" w:fill="E1DFDD"/>
    </w:rPr>
  </w:style>
  <w:style w:type="character" w:customStyle="1" w:styleId="Char2">
    <w:name w:val="页眉 Char"/>
    <w:link w:val="a9"/>
    <w:rPr>
      <w:rFonts w:ascii="Calibri" w:hAnsi="Calibri"/>
      <w:kern w:val="2"/>
      <w:sz w:val="18"/>
      <w:szCs w:val="18"/>
    </w:rPr>
  </w:style>
  <w:style w:type="character" w:customStyle="1" w:styleId="Char3">
    <w:name w:val="批注文字 Char"/>
    <w:link w:val="aa"/>
    <w:rPr>
      <w:rFonts w:ascii="Calibri" w:hAnsi="Calibri"/>
      <w:kern w:val="2"/>
      <w:sz w:val="21"/>
      <w:szCs w:val="24"/>
    </w:rPr>
  </w:style>
  <w:style w:type="paragraph" w:styleId="a6">
    <w:name w:val="Balloon Text"/>
    <w:basedOn w:val="a"/>
    <w:link w:val="Char0"/>
    <w:rPr>
      <w:sz w:val="18"/>
      <w:szCs w:val="18"/>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pPr>
      <w:tabs>
        <w:tab w:val="center" w:pos="4153"/>
        <w:tab w:val="right" w:pos="8306"/>
      </w:tabs>
      <w:snapToGrid w:val="0"/>
      <w:jc w:val="left"/>
    </w:pPr>
    <w:rPr>
      <w:sz w:val="18"/>
      <w:szCs w:val="18"/>
    </w:rPr>
  </w:style>
  <w:style w:type="paragraph" w:styleId="a7">
    <w:name w:val="annotation subject"/>
    <w:basedOn w:val="aa"/>
    <w:next w:val="aa"/>
    <w:link w:val="Char1"/>
    <w:rPr>
      <w:b/>
      <w:bCs/>
    </w:rPr>
  </w:style>
  <w:style w:type="paragraph" w:styleId="aa">
    <w:name w:val="annotation text"/>
    <w:basedOn w:val="a"/>
    <w:link w:val="Char3"/>
    <w:pPr>
      <w:jc w:val="left"/>
    </w:pPr>
  </w:style>
  <w:style w:type="paragraph" w:customStyle="1" w:styleId="TableParagraph">
    <w:name w:val="Table Paragraph"/>
    <w:basedOn w:val="a"/>
    <w:uiPriority w:val="1"/>
    <w:qFormat/>
    <w:pPr>
      <w:spacing w:before="24"/>
    </w:pPr>
    <w:rPr>
      <w:rFonts w:eastAsia="Calibri" w:cs="Calibri"/>
      <w:lang w:eastAsia="en-US" w:bidi="en-US"/>
    </w:rPr>
  </w:style>
  <w:style w:type="character" w:customStyle="1" w:styleId="ab">
    <w:name w:val="批注文字 字符"/>
    <w:rsid w:val="007A0FAD"/>
    <w:rPr>
      <w:rFonts w:ascii="Calibri" w:hAnsi="Calibri"/>
      <w:kern w:val="2"/>
      <w:sz w:val="21"/>
      <w:szCs w:val="24"/>
    </w:rPr>
  </w:style>
  <w:style w:type="character" w:customStyle="1" w:styleId="normaltextrun">
    <w:name w:val="normaltextrun"/>
    <w:rsid w:val="00CF159F"/>
  </w:style>
  <w:style w:type="paragraph" w:customStyle="1" w:styleId="paragraph">
    <w:name w:val="paragraph"/>
    <w:basedOn w:val="a"/>
    <w:rsid w:val="00CF159F"/>
    <w:pPr>
      <w:widowControl/>
      <w:spacing w:before="100" w:beforeAutospacing="1" w:after="100" w:afterAutospacing="1"/>
      <w:jc w:val="left"/>
    </w:pPr>
    <w:rPr>
      <w:rFonts w:ascii="Times New Roman" w:hAnsi="Times New Roman"/>
      <w:kern w:val="0"/>
      <w:sz w:val="24"/>
      <w:lang w:eastAsia="en-US"/>
    </w:rPr>
  </w:style>
  <w:style w:type="character" w:customStyle="1" w:styleId="vol">
    <w:name w:val="vol"/>
    <w:rsid w:val="004936CE"/>
  </w:style>
  <w:style w:type="character" w:customStyle="1" w:styleId="pagefirst">
    <w:name w:val="pagefirst"/>
    <w:rsid w:val="004936CE"/>
  </w:style>
  <w:style w:type="character" w:customStyle="1" w:styleId="pagelast">
    <w:name w:val="pagelast"/>
    <w:rsid w:val="004936CE"/>
  </w:style>
  <w:style w:type="character" w:customStyle="1" w:styleId="highwire-citation-authors">
    <w:name w:val="highwire-citation-authors"/>
    <w:rsid w:val="00543CFD"/>
  </w:style>
  <w:style w:type="character" w:customStyle="1" w:styleId="highwire-citation-author">
    <w:name w:val="highwire-citation-author"/>
    <w:rsid w:val="00543CFD"/>
  </w:style>
  <w:style w:type="character" w:customStyle="1" w:styleId="nlm-given-names">
    <w:name w:val="nlm-given-names"/>
    <w:rsid w:val="00543CFD"/>
  </w:style>
  <w:style w:type="character" w:customStyle="1" w:styleId="nlm-surname">
    <w:name w:val="nlm-surname"/>
    <w:rsid w:val="00543CFD"/>
  </w:style>
  <w:style w:type="character" w:customStyle="1" w:styleId="title">
    <w:name w:val="title"/>
    <w:rsid w:val="00543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923">
      <w:bodyDiv w:val="1"/>
      <w:marLeft w:val="0"/>
      <w:marRight w:val="0"/>
      <w:marTop w:val="0"/>
      <w:marBottom w:val="0"/>
      <w:divBdr>
        <w:top w:val="none" w:sz="0" w:space="0" w:color="auto"/>
        <w:left w:val="none" w:sz="0" w:space="0" w:color="auto"/>
        <w:bottom w:val="none" w:sz="0" w:space="0" w:color="auto"/>
        <w:right w:val="none" w:sz="0" w:space="0" w:color="auto"/>
      </w:divBdr>
      <w:divsChild>
        <w:div w:id="1613245053">
          <w:marLeft w:val="0"/>
          <w:marRight w:val="0"/>
          <w:marTop w:val="0"/>
          <w:marBottom w:val="0"/>
          <w:divBdr>
            <w:top w:val="none" w:sz="0" w:space="0" w:color="auto"/>
            <w:left w:val="none" w:sz="0" w:space="0" w:color="auto"/>
            <w:bottom w:val="none" w:sz="0" w:space="0" w:color="auto"/>
            <w:right w:val="none" w:sz="0" w:space="0" w:color="auto"/>
          </w:divBdr>
        </w:div>
      </w:divsChild>
    </w:div>
    <w:div w:id="391275611">
      <w:bodyDiv w:val="1"/>
      <w:marLeft w:val="0"/>
      <w:marRight w:val="0"/>
      <w:marTop w:val="0"/>
      <w:marBottom w:val="0"/>
      <w:divBdr>
        <w:top w:val="none" w:sz="0" w:space="0" w:color="auto"/>
        <w:left w:val="none" w:sz="0" w:space="0" w:color="auto"/>
        <w:bottom w:val="none" w:sz="0" w:space="0" w:color="auto"/>
        <w:right w:val="none" w:sz="0" w:space="0" w:color="auto"/>
      </w:divBdr>
    </w:div>
    <w:div w:id="19147753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ccao@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3E57-F727-4206-8FF7-0D8708AB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5241</Words>
  <Characters>29876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35047</CharactersWithSpaces>
  <SharedDoc>false</SharedDoc>
  <HLinks>
    <vt:vector size="6" baseType="variant">
      <vt:variant>
        <vt:i4>7995398</vt:i4>
      </vt:variant>
      <vt:variant>
        <vt:i4>0</vt:i4>
      </vt:variant>
      <vt:variant>
        <vt:i4>0</vt:i4>
      </vt:variant>
      <vt:variant>
        <vt:i4>5</vt:i4>
      </vt:variant>
      <vt:variant>
        <vt:lpwstr>mailto:hccao@zju.edu.cn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dcterms:created xsi:type="dcterms:W3CDTF">2020-05-20T10:24:00Z</dcterms:created>
  <dcterms:modified xsi:type="dcterms:W3CDTF">2020-05-20T10:24:00Z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