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F52" w:rsidRPr="00D34BE8" w:rsidRDefault="00925F52" w:rsidP="00D34BE8">
      <w:pPr>
        <w:widowControl w:val="0"/>
        <w:spacing w:after="0" w:line="360" w:lineRule="auto"/>
        <w:jc w:val="both"/>
        <w:rPr>
          <w:rFonts w:ascii="Book Antiqua" w:eastAsia="Times New Roman" w:hAnsi="Book Antiqua" w:cs="宋体"/>
          <w:b/>
          <w:i/>
          <w:kern w:val="2"/>
          <w:sz w:val="20"/>
          <w:szCs w:val="20"/>
        </w:rPr>
      </w:pPr>
      <w:bookmarkStart w:id="0" w:name="_Hlk33636598"/>
      <w:bookmarkStart w:id="1" w:name="_GoBack"/>
      <w:bookmarkEnd w:id="1"/>
      <w:r w:rsidRPr="00D34BE8">
        <w:rPr>
          <w:rFonts w:ascii="Book Antiqua" w:eastAsia="Times New Roman" w:hAnsi="Book Antiqua" w:cs="宋体"/>
          <w:b/>
          <w:kern w:val="2"/>
          <w:sz w:val="20"/>
          <w:szCs w:val="20"/>
        </w:rPr>
        <w:t xml:space="preserve">Name of Journal: </w:t>
      </w:r>
      <w:bookmarkStart w:id="2" w:name="OLE_LINK718"/>
      <w:bookmarkStart w:id="3" w:name="OLE_LINK719"/>
      <w:bookmarkStart w:id="4" w:name="OLE_LINK645"/>
      <w:bookmarkStart w:id="5" w:name="OLE_LINK661"/>
      <w:bookmarkStart w:id="6" w:name="OLE_LINK696"/>
      <w:bookmarkStart w:id="7" w:name="OLE_LINK1068"/>
      <w:bookmarkStart w:id="8" w:name="OLE_LINK335"/>
      <w:r w:rsidRPr="00D34BE8">
        <w:rPr>
          <w:rFonts w:ascii="Book Antiqua" w:eastAsia="Times New Roman" w:hAnsi="Book Antiqua" w:cs="宋体"/>
          <w:i/>
          <w:kern w:val="2"/>
          <w:sz w:val="20"/>
          <w:szCs w:val="20"/>
        </w:rPr>
        <w:t xml:space="preserve">World Journal of </w:t>
      </w:r>
      <w:bookmarkEnd w:id="2"/>
      <w:bookmarkEnd w:id="3"/>
      <w:bookmarkEnd w:id="4"/>
      <w:bookmarkEnd w:id="5"/>
      <w:bookmarkEnd w:id="6"/>
      <w:bookmarkEnd w:id="7"/>
      <w:bookmarkEnd w:id="8"/>
      <w:r w:rsidRPr="00D34BE8">
        <w:rPr>
          <w:rFonts w:ascii="Book Antiqua" w:eastAsia="宋体" w:hAnsi="Book Antiqua" w:cs="Book Antiqua"/>
          <w:i/>
          <w:kern w:val="2"/>
          <w:sz w:val="20"/>
          <w:szCs w:val="20"/>
        </w:rPr>
        <w:t>Gastroenterology</w:t>
      </w:r>
    </w:p>
    <w:p w:rsidR="00925F52" w:rsidRPr="00D34BE8" w:rsidRDefault="00925F52" w:rsidP="00D34BE8">
      <w:pPr>
        <w:widowControl w:val="0"/>
        <w:spacing w:after="0" w:line="360" w:lineRule="auto"/>
        <w:jc w:val="both"/>
        <w:rPr>
          <w:rFonts w:ascii="Book Antiqua" w:eastAsia="宋体" w:hAnsi="Book Antiqua" w:cs="Arial"/>
          <w:bCs/>
          <w:kern w:val="2"/>
          <w:sz w:val="20"/>
          <w:szCs w:val="20"/>
        </w:rPr>
      </w:pPr>
      <w:bookmarkStart w:id="9" w:name="_Hlk37654466"/>
      <w:r w:rsidRPr="00D34BE8">
        <w:rPr>
          <w:rFonts w:ascii="Book Antiqua" w:eastAsia="Times New Roman" w:hAnsi="Book Antiqua"/>
          <w:b/>
          <w:bCs/>
          <w:kern w:val="2"/>
          <w:sz w:val="20"/>
          <w:szCs w:val="20"/>
        </w:rPr>
        <w:t>Manuscript NO</w:t>
      </w:r>
      <w:r w:rsidRPr="00D34BE8">
        <w:rPr>
          <w:rFonts w:ascii="Book Antiqua" w:eastAsia="宋体" w:hAnsi="Book Antiqua" w:cs="Arial"/>
          <w:b/>
          <w:kern w:val="2"/>
          <w:sz w:val="20"/>
          <w:szCs w:val="20"/>
        </w:rPr>
        <w:t xml:space="preserve">: </w:t>
      </w:r>
      <w:r w:rsidRPr="00D34BE8">
        <w:rPr>
          <w:rFonts w:ascii="Book Antiqua" w:eastAsia="宋体" w:hAnsi="Book Antiqua" w:cs="Arial"/>
          <w:bCs/>
          <w:kern w:val="2"/>
          <w:sz w:val="20"/>
          <w:szCs w:val="20"/>
        </w:rPr>
        <w:t>53710</w:t>
      </w:r>
    </w:p>
    <w:bookmarkEnd w:id="9"/>
    <w:p w:rsidR="00925F52" w:rsidRPr="00D34BE8" w:rsidRDefault="00925F52" w:rsidP="00D34BE8">
      <w:pPr>
        <w:widowControl w:val="0"/>
        <w:spacing w:after="0" w:line="360" w:lineRule="auto"/>
        <w:jc w:val="both"/>
        <w:rPr>
          <w:rFonts w:ascii="Book Antiqua" w:eastAsia="宋体" w:hAnsi="Book Antiqua"/>
          <w:b/>
          <w:kern w:val="2"/>
          <w:sz w:val="20"/>
          <w:szCs w:val="20"/>
        </w:rPr>
      </w:pPr>
      <w:r w:rsidRPr="00D34BE8">
        <w:rPr>
          <w:rFonts w:ascii="Book Antiqua" w:eastAsia="宋体" w:hAnsi="Book Antiqua"/>
          <w:b/>
          <w:kern w:val="2"/>
          <w:sz w:val="20"/>
          <w:szCs w:val="20"/>
        </w:rPr>
        <w:t xml:space="preserve">Manuscript Type: </w:t>
      </w:r>
      <w:r w:rsidRPr="00D34BE8">
        <w:rPr>
          <w:rFonts w:ascii="Book Antiqua" w:eastAsia="等线" w:hAnsi="Book Antiqua" w:cs="Arial"/>
          <w:kern w:val="2"/>
          <w:sz w:val="20"/>
          <w:szCs w:val="20"/>
        </w:rPr>
        <w:t>ORIGINAL ARTICLE</w:t>
      </w:r>
    </w:p>
    <w:bookmarkEnd w:id="0"/>
    <w:p w:rsidR="00925F52" w:rsidRPr="00D34BE8" w:rsidRDefault="00925F52" w:rsidP="00D34BE8">
      <w:pPr>
        <w:widowControl w:val="0"/>
        <w:adjustRightInd/>
        <w:spacing w:after="0" w:line="360" w:lineRule="auto"/>
        <w:jc w:val="both"/>
        <w:rPr>
          <w:rFonts w:ascii="Book Antiqua" w:eastAsia="宋体" w:hAnsi="Book Antiqua" w:cs="Book Antiqua"/>
          <w:b/>
          <w:kern w:val="2"/>
          <w:sz w:val="20"/>
          <w:szCs w:val="20"/>
        </w:rPr>
      </w:pPr>
    </w:p>
    <w:p w:rsidR="00925F52" w:rsidRPr="00D34BE8" w:rsidRDefault="00925F52" w:rsidP="00D34BE8">
      <w:pPr>
        <w:widowControl w:val="0"/>
        <w:adjustRightInd/>
        <w:spacing w:after="0" w:line="360" w:lineRule="auto"/>
        <w:jc w:val="both"/>
        <w:rPr>
          <w:rFonts w:ascii="Book Antiqua" w:eastAsia="宋体" w:hAnsi="Book Antiqua" w:cs="Book Antiqua"/>
          <w:b/>
          <w:bCs/>
          <w:i/>
          <w:iCs/>
          <w:kern w:val="2"/>
          <w:sz w:val="20"/>
          <w:szCs w:val="20"/>
        </w:rPr>
      </w:pPr>
      <w:r w:rsidRPr="00D34BE8">
        <w:rPr>
          <w:rFonts w:ascii="Book Antiqua" w:eastAsia="宋体" w:hAnsi="Book Antiqua" w:cs="Book Antiqua"/>
          <w:b/>
          <w:bCs/>
          <w:i/>
          <w:iCs/>
          <w:kern w:val="2"/>
          <w:sz w:val="20"/>
          <w:szCs w:val="20"/>
        </w:rPr>
        <w:t>Retrospective Study</w:t>
      </w:r>
    </w:p>
    <w:p w:rsidR="00C7222A" w:rsidRPr="00D34BE8" w:rsidRDefault="00C7222A" w:rsidP="00D34BE8">
      <w:pPr>
        <w:spacing w:after="0" w:line="360" w:lineRule="auto"/>
        <w:jc w:val="both"/>
        <w:rPr>
          <w:rFonts w:ascii="Book Antiqua" w:hAnsi="Book Antiqua"/>
          <w:b/>
          <w:bCs/>
          <w:sz w:val="20"/>
          <w:szCs w:val="20"/>
        </w:rPr>
      </w:pPr>
      <w:r w:rsidRPr="00D34BE8">
        <w:rPr>
          <w:rFonts w:ascii="Book Antiqua" w:hAnsi="Book Antiqua"/>
          <w:b/>
          <w:bCs/>
          <w:sz w:val="20"/>
          <w:szCs w:val="20"/>
        </w:rPr>
        <w:t xml:space="preserve">Non-invasive prediction model for </w:t>
      </w:r>
      <w:bookmarkStart w:id="10" w:name="_Hlk37955648"/>
      <w:r w:rsidRPr="00D34BE8">
        <w:rPr>
          <w:rFonts w:ascii="Book Antiqua" w:hAnsi="Book Antiqua"/>
          <w:b/>
          <w:bCs/>
          <w:sz w:val="20"/>
          <w:szCs w:val="20"/>
        </w:rPr>
        <w:t>high-risk esophageal varices</w:t>
      </w:r>
      <w:bookmarkEnd w:id="10"/>
      <w:r w:rsidRPr="00D34BE8">
        <w:rPr>
          <w:rFonts w:ascii="Book Antiqua" w:hAnsi="Book Antiqua"/>
          <w:b/>
          <w:bCs/>
          <w:sz w:val="20"/>
          <w:szCs w:val="20"/>
        </w:rPr>
        <w:t xml:space="preserve"> in </w:t>
      </w:r>
      <w:r w:rsidR="003C311B" w:rsidRPr="00D34BE8">
        <w:rPr>
          <w:rFonts w:ascii="Book Antiqua" w:hAnsi="Book Antiqua"/>
          <w:b/>
          <w:bCs/>
          <w:sz w:val="20"/>
          <w:szCs w:val="20"/>
        </w:rPr>
        <w:t xml:space="preserve">the </w:t>
      </w:r>
      <w:r w:rsidRPr="00D34BE8">
        <w:rPr>
          <w:rFonts w:ascii="Book Antiqua" w:hAnsi="Book Antiqua"/>
          <w:b/>
          <w:bCs/>
          <w:sz w:val="20"/>
          <w:szCs w:val="20"/>
        </w:rPr>
        <w:t>Chinese population</w:t>
      </w:r>
    </w:p>
    <w:p w:rsidR="00247CFE" w:rsidRPr="00D34BE8" w:rsidRDefault="00247CFE" w:rsidP="00D34BE8">
      <w:pPr>
        <w:spacing w:after="0" w:line="360" w:lineRule="auto"/>
        <w:jc w:val="both"/>
        <w:rPr>
          <w:rFonts w:ascii="Book Antiqua" w:hAnsi="Book Antiqua"/>
          <w:b/>
          <w:bCs/>
          <w:sz w:val="20"/>
          <w:szCs w:val="20"/>
        </w:rPr>
      </w:pPr>
    </w:p>
    <w:p w:rsidR="00247CFE" w:rsidRPr="00D34BE8" w:rsidRDefault="00247CFE" w:rsidP="00D34BE8">
      <w:pPr>
        <w:spacing w:after="0" w:line="360" w:lineRule="auto"/>
        <w:jc w:val="both"/>
        <w:rPr>
          <w:rFonts w:ascii="Book Antiqua" w:hAnsi="Book Antiqua"/>
          <w:sz w:val="20"/>
          <w:szCs w:val="20"/>
        </w:rPr>
      </w:pPr>
      <w:r w:rsidRPr="00D34BE8">
        <w:rPr>
          <w:rFonts w:ascii="Book Antiqua" w:hAnsi="Book Antiqua"/>
          <w:sz w:val="20"/>
          <w:szCs w:val="20"/>
        </w:rPr>
        <w:t xml:space="preserve">Yang LB </w:t>
      </w:r>
      <w:r w:rsidRPr="00D34BE8">
        <w:rPr>
          <w:rFonts w:ascii="Book Antiqua" w:hAnsi="Book Antiqua"/>
          <w:i/>
          <w:iCs/>
          <w:sz w:val="20"/>
          <w:szCs w:val="20"/>
        </w:rPr>
        <w:t>et al.</w:t>
      </w:r>
      <w:r w:rsidRPr="00D34BE8">
        <w:rPr>
          <w:rFonts w:ascii="Book Antiqua" w:hAnsi="Book Antiqua"/>
          <w:sz w:val="20"/>
          <w:szCs w:val="20"/>
        </w:rPr>
        <w:t xml:space="preserve"> Non-invasive prediction model for HEVs</w:t>
      </w:r>
    </w:p>
    <w:p w:rsidR="00A82C43" w:rsidRPr="00D34BE8" w:rsidRDefault="00A82C43" w:rsidP="00D34BE8">
      <w:pPr>
        <w:spacing w:after="0" w:line="360" w:lineRule="auto"/>
        <w:jc w:val="both"/>
        <w:rPr>
          <w:rFonts w:ascii="Book Antiqua" w:hAnsi="Book Antiqua"/>
          <w:sz w:val="20"/>
          <w:szCs w:val="20"/>
        </w:rPr>
      </w:pPr>
    </w:p>
    <w:p w:rsidR="00C7222A" w:rsidRPr="00D34BE8" w:rsidRDefault="00A82C43" w:rsidP="00D34BE8">
      <w:pPr>
        <w:spacing w:after="0" w:line="360" w:lineRule="auto"/>
        <w:jc w:val="both"/>
        <w:rPr>
          <w:rFonts w:ascii="Book Antiqua" w:hAnsi="Book Antiqua"/>
          <w:sz w:val="20"/>
          <w:szCs w:val="20"/>
        </w:rPr>
      </w:pPr>
      <w:r w:rsidRPr="00D34BE8">
        <w:rPr>
          <w:rFonts w:ascii="Book Antiqua" w:hAnsi="Book Antiqua"/>
          <w:sz w:val="20"/>
          <w:szCs w:val="20"/>
        </w:rPr>
        <w:t xml:space="preserve">Long-Bao Yang, Jing-Yuan Xu, Xin-Xing </w:t>
      </w:r>
      <w:r w:rsidR="00F729C3" w:rsidRPr="00D34BE8">
        <w:rPr>
          <w:rFonts w:ascii="Book Antiqua" w:hAnsi="Book Antiqua"/>
          <w:sz w:val="20"/>
          <w:szCs w:val="20"/>
        </w:rPr>
        <w:t>Tantai</w:t>
      </w:r>
      <w:r w:rsidRPr="00D34BE8">
        <w:rPr>
          <w:rFonts w:ascii="Book Antiqua" w:hAnsi="Book Antiqua"/>
          <w:sz w:val="20"/>
          <w:szCs w:val="20"/>
        </w:rPr>
        <w:t>, Hong Li, Cai-Lan Xiao, Cai-Feng Yang, Huan Zhang, Lei Dong, Gang Zhao</w:t>
      </w:r>
    </w:p>
    <w:p w:rsidR="00247CFE" w:rsidRPr="00D34BE8" w:rsidRDefault="00247CFE" w:rsidP="00D34BE8">
      <w:pPr>
        <w:spacing w:after="0" w:line="360" w:lineRule="auto"/>
        <w:jc w:val="both"/>
        <w:rPr>
          <w:rFonts w:ascii="Book Antiqua" w:hAnsi="Book Antiqua"/>
          <w:sz w:val="20"/>
          <w:szCs w:val="20"/>
        </w:rPr>
      </w:pPr>
    </w:p>
    <w:p w:rsidR="00C7222A" w:rsidRPr="00D34BE8" w:rsidRDefault="00A82C43" w:rsidP="00D34BE8">
      <w:pPr>
        <w:spacing w:after="0" w:line="360" w:lineRule="auto"/>
        <w:jc w:val="both"/>
        <w:rPr>
          <w:rFonts w:ascii="Book Antiqua" w:hAnsi="Book Antiqua"/>
          <w:sz w:val="20"/>
          <w:szCs w:val="20"/>
        </w:rPr>
      </w:pPr>
      <w:r w:rsidRPr="00D34BE8">
        <w:rPr>
          <w:rFonts w:ascii="Book Antiqua" w:hAnsi="Book Antiqua"/>
          <w:b/>
          <w:bCs/>
          <w:sz w:val="20"/>
          <w:szCs w:val="20"/>
        </w:rPr>
        <w:t xml:space="preserve">Long-Bao Yang, Jing-Yuan Xu, Xin-Xing </w:t>
      </w:r>
      <w:r w:rsidR="00F729C3" w:rsidRPr="00D34BE8">
        <w:rPr>
          <w:rFonts w:ascii="Book Antiqua" w:hAnsi="Book Antiqua"/>
          <w:b/>
          <w:bCs/>
          <w:sz w:val="20"/>
          <w:szCs w:val="20"/>
        </w:rPr>
        <w:t>Tantai</w:t>
      </w:r>
      <w:r w:rsidRPr="00D34BE8">
        <w:rPr>
          <w:rFonts w:ascii="Book Antiqua" w:hAnsi="Book Antiqua"/>
          <w:b/>
          <w:bCs/>
          <w:sz w:val="20"/>
          <w:szCs w:val="20"/>
        </w:rPr>
        <w:t>, Hong Li, Cai-Lan Xiao, Cai-Feng Yang, Huan Zhang, Lei Dong, Gang Zhao,</w:t>
      </w:r>
      <w:r w:rsidRPr="00D34BE8">
        <w:rPr>
          <w:rFonts w:ascii="Book Antiqua" w:hAnsi="Book Antiqua"/>
          <w:sz w:val="20"/>
          <w:szCs w:val="20"/>
        </w:rPr>
        <w:t xml:space="preserve"> </w:t>
      </w:r>
      <w:r w:rsidR="00C7222A" w:rsidRPr="00D34BE8">
        <w:rPr>
          <w:rFonts w:ascii="Book Antiqua" w:hAnsi="Book Antiqua"/>
          <w:sz w:val="20"/>
          <w:szCs w:val="20"/>
        </w:rPr>
        <w:t>Department of Gastroenterology, The Second Affiliated Hospital of Xi'an Jiaotong University, Xi'an 710004, Shaanxi Province, China</w:t>
      </w:r>
    </w:p>
    <w:p w:rsidR="00247CFE" w:rsidRPr="00D34BE8" w:rsidRDefault="00247CFE" w:rsidP="00D34BE8">
      <w:pPr>
        <w:spacing w:after="0" w:line="360" w:lineRule="auto"/>
        <w:jc w:val="both"/>
        <w:rPr>
          <w:rFonts w:ascii="Book Antiqua" w:hAnsi="Book Antiqua"/>
          <w:sz w:val="20"/>
          <w:szCs w:val="20"/>
        </w:rPr>
      </w:pPr>
    </w:p>
    <w:p w:rsidR="00C7222A" w:rsidRPr="00D34BE8" w:rsidRDefault="00C7222A" w:rsidP="00D34BE8">
      <w:pPr>
        <w:spacing w:after="0" w:line="360" w:lineRule="auto"/>
        <w:jc w:val="both"/>
        <w:rPr>
          <w:rFonts w:ascii="Book Antiqua" w:hAnsi="Book Antiqua"/>
          <w:sz w:val="20"/>
          <w:szCs w:val="20"/>
        </w:rPr>
      </w:pPr>
      <w:r w:rsidRPr="00D34BE8">
        <w:rPr>
          <w:rFonts w:ascii="Book Antiqua" w:hAnsi="Book Antiqua"/>
          <w:b/>
          <w:bCs/>
          <w:sz w:val="20"/>
          <w:szCs w:val="20"/>
          <w:shd w:val="clear" w:color="auto" w:fill="FFFFFF"/>
        </w:rPr>
        <w:t xml:space="preserve">Author </w:t>
      </w:r>
      <w:r w:rsidR="00272685" w:rsidRPr="00D34BE8">
        <w:rPr>
          <w:rFonts w:ascii="Book Antiqua" w:hAnsi="Book Antiqua"/>
          <w:b/>
          <w:bCs/>
          <w:sz w:val="20"/>
          <w:szCs w:val="20"/>
          <w:shd w:val="clear" w:color="auto" w:fill="FFFFFF"/>
        </w:rPr>
        <w:t>contributions</w:t>
      </w:r>
      <w:r w:rsidRPr="00D34BE8">
        <w:rPr>
          <w:rFonts w:ascii="Book Antiqua" w:hAnsi="Book Antiqua"/>
          <w:b/>
          <w:bCs/>
          <w:sz w:val="20"/>
          <w:szCs w:val="20"/>
          <w:shd w:val="clear" w:color="auto" w:fill="FFFFFF"/>
        </w:rPr>
        <w:t xml:space="preserve">: </w:t>
      </w:r>
      <w:r w:rsidRPr="00D34BE8">
        <w:rPr>
          <w:rFonts w:ascii="Book Antiqua" w:hAnsi="Book Antiqua"/>
          <w:sz w:val="20"/>
          <w:szCs w:val="20"/>
          <w:shd w:val="clear" w:color="auto" w:fill="FFFFFF"/>
        </w:rPr>
        <w:t xml:space="preserve">All authors helped to perform the research; </w:t>
      </w:r>
      <w:r w:rsidR="00272685" w:rsidRPr="00D34BE8">
        <w:rPr>
          <w:rFonts w:ascii="Book Antiqua" w:hAnsi="Book Antiqua"/>
          <w:sz w:val="20"/>
          <w:szCs w:val="20"/>
        </w:rPr>
        <w:t xml:space="preserve">Dong L and Zhao G completed </w:t>
      </w:r>
      <w:r w:rsidRPr="00D34BE8">
        <w:rPr>
          <w:rFonts w:ascii="Book Antiqua" w:hAnsi="Book Antiqua"/>
          <w:sz w:val="20"/>
          <w:szCs w:val="20"/>
        </w:rPr>
        <w:t xml:space="preserve">the project; </w:t>
      </w:r>
      <w:r w:rsidR="00272685" w:rsidRPr="00D34BE8">
        <w:rPr>
          <w:rFonts w:ascii="Book Antiqua" w:hAnsi="Book Antiqua"/>
          <w:sz w:val="20"/>
          <w:szCs w:val="20"/>
        </w:rPr>
        <w:t xml:space="preserve">Xiao CL and Zhang H completed the </w:t>
      </w:r>
      <w:r w:rsidRPr="00D34BE8">
        <w:rPr>
          <w:rFonts w:ascii="Book Antiqua" w:hAnsi="Book Antiqua"/>
          <w:sz w:val="20"/>
          <w:szCs w:val="20"/>
        </w:rPr>
        <w:t>data collection</w:t>
      </w:r>
      <w:r w:rsidR="00272685" w:rsidRPr="00D34BE8">
        <w:rPr>
          <w:rFonts w:ascii="Book Antiqua" w:hAnsi="Book Antiqua"/>
          <w:sz w:val="20"/>
          <w:szCs w:val="20"/>
        </w:rPr>
        <w:t>;</w:t>
      </w:r>
      <w:r w:rsidRPr="00D34BE8">
        <w:rPr>
          <w:rFonts w:ascii="Book Antiqua" w:hAnsi="Book Antiqua"/>
          <w:sz w:val="20"/>
          <w:szCs w:val="20"/>
        </w:rPr>
        <w:t xml:space="preserve"> </w:t>
      </w:r>
      <w:r w:rsidR="00F729C3" w:rsidRPr="00D34BE8">
        <w:rPr>
          <w:rFonts w:ascii="Book Antiqua" w:hAnsi="Book Antiqua"/>
          <w:sz w:val="20"/>
          <w:szCs w:val="20"/>
        </w:rPr>
        <w:t>Tantai</w:t>
      </w:r>
      <w:r w:rsidR="00272685" w:rsidRPr="00D34BE8">
        <w:rPr>
          <w:rFonts w:ascii="Book Antiqua" w:hAnsi="Book Antiqua"/>
          <w:sz w:val="20"/>
          <w:szCs w:val="20"/>
        </w:rPr>
        <w:t xml:space="preserve"> XX, Xu JY</w:t>
      </w:r>
      <w:r w:rsidR="006720B8" w:rsidRPr="00D34BE8">
        <w:rPr>
          <w:rFonts w:ascii="Book Antiqua" w:hAnsi="Book Antiqua"/>
          <w:sz w:val="20"/>
          <w:szCs w:val="20"/>
        </w:rPr>
        <w:t>,</w:t>
      </w:r>
      <w:r w:rsidR="00272685" w:rsidRPr="00D34BE8">
        <w:rPr>
          <w:rFonts w:ascii="Book Antiqua" w:hAnsi="Book Antiqua"/>
          <w:sz w:val="20"/>
          <w:szCs w:val="20"/>
        </w:rPr>
        <w:t xml:space="preserve"> and Yang CF completed the </w:t>
      </w:r>
      <w:r w:rsidRPr="00D34BE8">
        <w:rPr>
          <w:rFonts w:ascii="Book Antiqua" w:hAnsi="Book Antiqua"/>
          <w:sz w:val="20"/>
          <w:szCs w:val="20"/>
        </w:rPr>
        <w:t xml:space="preserve">data analysis; </w:t>
      </w:r>
      <w:r w:rsidR="00272685" w:rsidRPr="00D34BE8">
        <w:rPr>
          <w:rFonts w:ascii="Book Antiqua" w:hAnsi="Book Antiqua"/>
          <w:sz w:val="20"/>
          <w:szCs w:val="20"/>
        </w:rPr>
        <w:t xml:space="preserve">Yang LB and Li H completed writing </w:t>
      </w:r>
      <w:r w:rsidR="00D34BE8">
        <w:rPr>
          <w:rFonts w:ascii="Book Antiqua" w:hAnsi="Book Antiqua"/>
          <w:sz w:val="20"/>
          <w:szCs w:val="20"/>
        </w:rPr>
        <w:t xml:space="preserve">of </w:t>
      </w:r>
      <w:r w:rsidR="00272685" w:rsidRPr="00D34BE8">
        <w:rPr>
          <w:rFonts w:ascii="Book Antiqua" w:hAnsi="Book Antiqua"/>
          <w:sz w:val="20"/>
          <w:szCs w:val="20"/>
        </w:rPr>
        <w:t xml:space="preserve">the </w:t>
      </w:r>
      <w:r w:rsidRPr="00D34BE8">
        <w:rPr>
          <w:rFonts w:ascii="Book Antiqua" w:hAnsi="Book Antiqua"/>
          <w:sz w:val="20"/>
          <w:szCs w:val="20"/>
        </w:rPr>
        <w:t>article.</w:t>
      </w:r>
    </w:p>
    <w:p w:rsidR="00272685" w:rsidRPr="00D34BE8" w:rsidRDefault="00272685" w:rsidP="00D34BE8">
      <w:pPr>
        <w:spacing w:after="0" w:line="360" w:lineRule="auto"/>
        <w:jc w:val="both"/>
        <w:rPr>
          <w:rFonts w:ascii="Book Antiqua" w:hAnsi="Book Antiqua"/>
          <w:sz w:val="20"/>
          <w:szCs w:val="20"/>
        </w:rPr>
      </w:pPr>
    </w:p>
    <w:p w:rsidR="00C7222A" w:rsidRPr="00D34BE8" w:rsidRDefault="00C7222A" w:rsidP="00D34BE8">
      <w:pPr>
        <w:spacing w:after="0" w:line="360" w:lineRule="auto"/>
        <w:jc w:val="both"/>
        <w:rPr>
          <w:rFonts w:ascii="Book Antiqua" w:hAnsi="Book Antiqua"/>
          <w:sz w:val="20"/>
          <w:szCs w:val="20"/>
        </w:rPr>
      </w:pPr>
      <w:r w:rsidRPr="00D34BE8">
        <w:rPr>
          <w:rFonts w:ascii="Book Antiqua" w:hAnsi="Book Antiqua"/>
          <w:b/>
          <w:bCs/>
          <w:sz w:val="20"/>
          <w:szCs w:val="20"/>
        </w:rPr>
        <w:t>Corresponding author:</w:t>
      </w:r>
      <w:r w:rsidRPr="00D34BE8">
        <w:rPr>
          <w:rFonts w:ascii="Book Antiqua" w:hAnsi="Book Antiqua"/>
          <w:sz w:val="20"/>
          <w:szCs w:val="20"/>
        </w:rPr>
        <w:t xml:space="preserve"> </w:t>
      </w:r>
      <w:r w:rsidRPr="00D34BE8">
        <w:rPr>
          <w:rFonts w:ascii="Book Antiqua" w:hAnsi="Book Antiqua"/>
          <w:b/>
          <w:bCs/>
          <w:sz w:val="20"/>
          <w:szCs w:val="20"/>
        </w:rPr>
        <w:t xml:space="preserve">Gang Zhao, </w:t>
      </w:r>
      <w:r w:rsidR="00272685" w:rsidRPr="00D34BE8">
        <w:rPr>
          <w:rFonts w:ascii="Book Antiqua" w:hAnsi="Book Antiqua"/>
          <w:b/>
          <w:bCs/>
          <w:sz w:val="20"/>
          <w:szCs w:val="20"/>
        </w:rPr>
        <w:t>MD, PhD, Doctor,</w:t>
      </w:r>
      <w:r w:rsidRPr="00D34BE8">
        <w:rPr>
          <w:rFonts w:ascii="Book Antiqua" w:hAnsi="Book Antiqua"/>
          <w:sz w:val="20"/>
          <w:szCs w:val="20"/>
        </w:rPr>
        <w:t xml:space="preserve"> Department of Gastroenterology, </w:t>
      </w:r>
      <w:r w:rsidR="00D34BE8">
        <w:rPr>
          <w:rFonts w:ascii="Book Antiqua" w:hAnsi="Book Antiqua"/>
          <w:sz w:val="20"/>
          <w:szCs w:val="20"/>
        </w:rPr>
        <w:t>T</w:t>
      </w:r>
      <w:r w:rsidRPr="00D34BE8">
        <w:rPr>
          <w:rFonts w:ascii="Book Antiqua" w:hAnsi="Book Antiqua"/>
          <w:sz w:val="20"/>
          <w:szCs w:val="20"/>
        </w:rPr>
        <w:t>he Second Affiliated Hospital of Xi'an Jiaotong University, No. 157</w:t>
      </w:r>
      <w:r w:rsidR="00272685" w:rsidRPr="00D34BE8">
        <w:rPr>
          <w:rFonts w:ascii="Book Antiqua" w:hAnsi="Book Antiqua"/>
          <w:sz w:val="20"/>
          <w:szCs w:val="20"/>
        </w:rPr>
        <w:t>,</w:t>
      </w:r>
      <w:r w:rsidRPr="00D34BE8">
        <w:rPr>
          <w:rFonts w:ascii="Book Antiqua" w:hAnsi="Book Antiqua"/>
          <w:sz w:val="20"/>
          <w:szCs w:val="20"/>
        </w:rPr>
        <w:t xml:space="preserve"> Xiwu Road, </w:t>
      </w:r>
      <w:r w:rsidR="00272685" w:rsidRPr="00D34BE8">
        <w:rPr>
          <w:rFonts w:ascii="Book Antiqua" w:hAnsi="Book Antiqua"/>
          <w:sz w:val="20"/>
          <w:szCs w:val="20"/>
        </w:rPr>
        <w:t xml:space="preserve">Xi'an 710004, </w:t>
      </w:r>
      <w:r w:rsidRPr="00D34BE8">
        <w:rPr>
          <w:rFonts w:ascii="Book Antiqua" w:hAnsi="Book Antiqua"/>
          <w:sz w:val="20"/>
          <w:szCs w:val="20"/>
        </w:rPr>
        <w:t xml:space="preserve">Shaanxi Province, China. </w:t>
      </w:r>
      <w:r w:rsidR="00272685" w:rsidRPr="00D34BE8">
        <w:rPr>
          <w:rFonts w:ascii="Book Antiqua" w:hAnsi="Book Antiqua"/>
          <w:sz w:val="20"/>
          <w:szCs w:val="20"/>
        </w:rPr>
        <w:t>zhaogang799@126.com</w:t>
      </w:r>
    </w:p>
    <w:p w:rsidR="00272685" w:rsidRPr="00D34BE8" w:rsidRDefault="00272685" w:rsidP="00D34BE8">
      <w:pPr>
        <w:spacing w:after="0" w:line="360" w:lineRule="auto"/>
        <w:jc w:val="both"/>
        <w:rPr>
          <w:rFonts w:ascii="Book Antiqua" w:hAnsi="Book Antiqua"/>
          <w:sz w:val="20"/>
          <w:szCs w:val="20"/>
        </w:rPr>
      </w:pPr>
    </w:p>
    <w:p w:rsidR="00272685" w:rsidRPr="00D34BE8" w:rsidRDefault="00272685" w:rsidP="00D34BE8">
      <w:pPr>
        <w:adjustRightInd/>
        <w:spacing w:after="0" w:line="360" w:lineRule="auto"/>
        <w:jc w:val="both"/>
        <w:rPr>
          <w:rFonts w:ascii="Book Antiqua" w:eastAsia="宋体" w:hAnsi="Book Antiqua"/>
          <w:b/>
          <w:sz w:val="20"/>
          <w:szCs w:val="20"/>
          <w:lang w:eastAsia="en-US"/>
        </w:rPr>
      </w:pPr>
      <w:bookmarkStart w:id="11" w:name="_Hlk36734816"/>
      <w:bookmarkStart w:id="12" w:name="_Hlk28872415"/>
      <w:r w:rsidRPr="00D34BE8">
        <w:rPr>
          <w:rFonts w:ascii="Book Antiqua" w:eastAsia="宋体" w:hAnsi="Book Antiqua"/>
          <w:b/>
          <w:sz w:val="20"/>
          <w:szCs w:val="20"/>
          <w:lang w:eastAsia="en-US"/>
        </w:rPr>
        <w:t>Received:</w:t>
      </w:r>
      <w:r w:rsidRPr="00D34BE8">
        <w:rPr>
          <w:rFonts w:ascii="Book Antiqua" w:eastAsia="宋体" w:hAnsi="Book Antiqua"/>
          <w:b/>
          <w:sz w:val="20"/>
          <w:szCs w:val="20"/>
        </w:rPr>
        <w:t xml:space="preserve"> </w:t>
      </w:r>
      <w:bookmarkStart w:id="13" w:name="_Hlk28872471"/>
      <w:r w:rsidRPr="00D34BE8">
        <w:rPr>
          <w:rFonts w:ascii="Book Antiqua" w:eastAsia="宋体" w:hAnsi="Book Antiqua"/>
          <w:sz w:val="20"/>
          <w:szCs w:val="20"/>
        </w:rPr>
        <w:t>December</w:t>
      </w:r>
      <w:bookmarkEnd w:id="13"/>
      <w:r w:rsidRPr="00D34BE8">
        <w:rPr>
          <w:rFonts w:ascii="Book Antiqua" w:eastAsia="等线" w:hAnsi="Book Antiqua"/>
          <w:kern w:val="2"/>
          <w:sz w:val="20"/>
          <w:szCs w:val="20"/>
        </w:rPr>
        <w:t xml:space="preserve"> 28</w:t>
      </w:r>
      <w:r w:rsidRPr="00D34BE8">
        <w:rPr>
          <w:rFonts w:ascii="Book Antiqua" w:eastAsia="宋体" w:hAnsi="Book Antiqua"/>
          <w:sz w:val="20"/>
          <w:szCs w:val="20"/>
        </w:rPr>
        <w:t>, 2019</w:t>
      </w:r>
    </w:p>
    <w:p w:rsidR="00272685" w:rsidRPr="00D34BE8" w:rsidRDefault="00272685" w:rsidP="00D34BE8">
      <w:pPr>
        <w:adjustRightInd/>
        <w:spacing w:after="0" w:line="360" w:lineRule="auto"/>
        <w:jc w:val="both"/>
        <w:rPr>
          <w:rFonts w:ascii="Book Antiqua" w:eastAsia="宋体" w:hAnsi="Book Antiqua"/>
          <w:b/>
          <w:sz w:val="20"/>
          <w:szCs w:val="20"/>
          <w:lang w:eastAsia="en-US"/>
        </w:rPr>
      </w:pPr>
      <w:r w:rsidRPr="00D34BE8">
        <w:rPr>
          <w:rFonts w:ascii="Book Antiqua" w:eastAsia="宋体" w:hAnsi="Book Antiqua"/>
          <w:b/>
          <w:sz w:val="20"/>
          <w:szCs w:val="20"/>
          <w:lang w:eastAsia="en-US"/>
        </w:rPr>
        <w:t>Revised:</w:t>
      </w:r>
      <w:r w:rsidRPr="00D34BE8">
        <w:rPr>
          <w:rFonts w:ascii="Book Antiqua" w:eastAsia="宋体" w:hAnsi="Book Antiqua"/>
          <w:sz w:val="20"/>
          <w:szCs w:val="20"/>
        </w:rPr>
        <w:t xml:space="preserve"> </w:t>
      </w:r>
      <w:r w:rsidRPr="00D34BE8">
        <w:rPr>
          <w:rFonts w:ascii="Book Antiqua" w:eastAsia="宋体" w:hAnsi="Book Antiqua"/>
          <w:kern w:val="2"/>
          <w:sz w:val="20"/>
          <w:szCs w:val="20"/>
        </w:rPr>
        <w:t xml:space="preserve">March </w:t>
      </w:r>
      <w:r w:rsidRPr="00D34BE8">
        <w:rPr>
          <w:rFonts w:ascii="Book Antiqua" w:eastAsia="等线" w:hAnsi="Book Antiqua"/>
          <w:kern w:val="2"/>
          <w:sz w:val="20"/>
          <w:szCs w:val="20"/>
        </w:rPr>
        <w:t>26</w:t>
      </w:r>
      <w:r w:rsidRPr="00D34BE8">
        <w:rPr>
          <w:rFonts w:ascii="Book Antiqua" w:eastAsia="宋体" w:hAnsi="Book Antiqua"/>
          <w:sz w:val="20"/>
          <w:szCs w:val="20"/>
        </w:rPr>
        <w:t>, 2020</w:t>
      </w:r>
    </w:p>
    <w:bookmarkEnd w:id="11"/>
    <w:p w:rsidR="00115E3E" w:rsidRPr="00D34BE8" w:rsidRDefault="00272685" w:rsidP="00D34BE8">
      <w:pPr>
        <w:spacing w:after="0" w:line="360" w:lineRule="auto"/>
        <w:rPr>
          <w:rFonts w:ascii="Book Antiqua" w:hAnsi="Book Antiqua"/>
          <w:bCs/>
          <w:color w:val="000000"/>
          <w:sz w:val="20"/>
          <w:szCs w:val="20"/>
        </w:rPr>
      </w:pPr>
      <w:r w:rsidRPr="00D34BE8">
        <w:rPr>
          <w:rFonts w:ascii="Book Antiqua" w:eastAsia="宋体" w:hAnsi="Book Antiqua"/>
          <w:b/>
          <w:sz w:val="20"/>
          <w:szCs w:val="20"/>
          <w:lang w:eastAsia="en-US"/>
        </w:rPr>
        <w:t>Accepted:</w:t>
      </w:r>
      <w:r w:rsidR="00115E3E" w:rsidRPr="00D34BE8">
        <w:rPr>
          <w:rFonts w:ascii="Book Antiqua" w:hAnsi="Book Antiqua"/>
          <w:bCs/>
          <w:color w:val="000000"/>
          <w:sz w:val="20"/>
          <w:szCs w:val="20"/>
        </w:rPr>
        <w:t xml:space="preserve"> April 21, 2020</w:t>
      </w:r>
    </w:p>
    <w:p w:rsidR="00272685" w:rsidRPr="00D34BE8" w:rsidRDefault="00272685" w:rsidP="00D34BE8">
      <w:pPr>
        <w:spacing w:after="0" w:line="360" w:lineRule="auto"/>
        <w:rPr>
          <w:rFonts w:ascii="Book Antiqua" w:hAnsi="Book Antiqua"/>
          <w:bCs/>
          <w:color w:val="000000"/>
          <w:sz w:val="20"/>
          <w:szCs w:val="20"/>
        </w:rPr>
      </w:pPr>
      <w:r w:rsidRPr="00D34BE8">
        <w:rPr>
          <w:rFonts w:ascii="Book Antiqua" w:eastAsia="宋体" w:hAnsi="Book Antiqua"/>
          <w:b/>
          <w:sz w:val="20"/>
          <w:szCs w:val="20"/>
          <w:lang w:eastAsia="en-US"/>
        </w:rPr>
        <w:t xml:space="preserve">Published online: </w:t>
      </w:r>
    </w:p>
    <w:bookmarkEnd w:id="12"/>
    <w:p w:rsidR="00272685" w:rsidRPr="00D34BE8" w:rsidRDefault="00272685" w:rsidP="00D34BE8">
      <w:pPr>
        <w:spacing w:after="0" w:line="360" w:lineRule="auto"/>
        <w:jc w:val="both"/>
        <w:rPr>
          <w:rFonts w:ascii="Book Antiqua" w:hAnsi="Book Antiqua"/>
          <w:sz w:val="20"/>
          <w:szCs w:val="20"/>
        </w:rPr>
      </w:pPr>
    </w:p>
    <w:p w:rsidR="000C3A58" w:rsidRPr="00D34BE8" w:rsidRDefault="00272685" w:rsidP="00D34BE8">
      <w:pPr>
        <w:spacing w:after="0" w:line="360" w:lineRule="auto"/>
        <w:jc w:val="both"/>
        <w:rPr>
          <w:rFonts w:ascii="Book Antiqua" w:hAnsi="Book Antiqua"/>
          <w:b/>
          <w:sz w:val="20"/>
          <w:szCs w:val="20"/>
        </w:rPr>
      </w:pPr>
      <w:r w:rsidRPr="00D34BE8">
        <w:rPr>
          <w:rFonts w:ascii="Book Antiqua" w:hAnsi="Book Antiqua"/>
          <w:sz w:val="20"/>
          <w:szCs w:val="20"/>
        </w:rPr>
        <w:br w:type="page"/>
      </w:r>
      <w:bookmarkStart w:id="14" w:name="_Hlk35202271"/>
      <w:bookmarkStart w:id="15" w:name="_Hlk28872520"/>
      <w:r w:rsidR="000C3A58" w:rsidRPr="00D34BE8">
        <w:rPr>
          <w:rFonts w:ascii="Book Antiqua" w:hAnsi="Book Antiqua"/>
          <w:b/>
          <w:sz w:val="20"/>
          <w:szCs w:val="20"/>
        </w:rPr>
        <w:lastRenderedPageBreak/>
        <w:t>Abstract</w:t>
      </w:r>
    </w:p>
    <w:bookmarkEnd w:id="14"/>
    <w:p w:rsidR="000C3A58" w:rsidRPr="00D34BE8" w:rsidRDefault="000C3A58" w:rsidP="00D34BE8">
      <w:pPr>
        <w:spacing w:after="0" w:line="360" w:lineRule="auto"/>
        <w:jc w:val="both"/>
        <w:rPr>
          <w:rFonts w:ascii="Book Antiqua" w:hAnsi="Book Antiqua"/>
          <w:sz w:val="20"/>
          <w:szCs w:val="20"/>
        </w:rPr>
      </w:pPr>
      <w:r w:rsidRPr="00D34BE8">
        <w:rPr>
          <w:rFonts w:ascii="Book Antiqua" w:hAnsi="Book Antiqua"/>
          <w:sz w:val="20"/>
          <w:szCs w:val="20"/>
        </w:rPr>
        <w:t>BACKGROUND</w:t>
      </w:r>
    </w:p>
    <w:bookmarkEnd w:id="15"/>
    <w:p w:rsidR="00C7222A" w:rsidRPr="00D34BE8" w:rsidRDefault="00C7222A" w:rsidP="00D34BE8">
      <w:pPr>
        <w:spacing w:after="0" w:line="360" w:lineRule="auto"/>
        <w:jc w:val="both"/>
        <w:rPr>
          <w:rFonts w:ascii="Book Antiqua" w:hAnsi="Book Antiqua"/>
          <w:sz w:val="20"/>
          <w:szCs w:val="20"/>
        </w:rPr>
      </w:pPr>
      <w:r w:rsidRPr="00D34BE8">
        <w:rPr>
          <w:rFonts w:ascii="Book Antiqua" w:hAnsi="Book Antiqua"/>
          <w:sz w:val="20"/>
          <w:szCs w:val="20"/>
        </w:rPr>
        <w:t xml:space="preserve">There are two types of esophageal varices (EVs): </w:t>
      </w:r>
      <w:r w:rsidR="0053228D" w:rsidRPr="00D34BE8">
        <w:rPr>
          <w:rFonts w:ascii="Book Antiqua" w:hAnsi="Book Antiqua"/>
          <w:sz w:val="20"/>
          <w:szCs w:val="20"/>
        </w:rPr>
        <w:t>h</w:t>
      </w:r>
      <w:r w:rsidR="000C3A58" w:rsidRPr="00D34BE8">
        <w:rPr>
          <w:rFonts w:ascii="Book Antiqua" w:hAnsi="Book Antiqua"/>
          <w:sz w:val="20"/>
          <w:szCs w:val="20"/>
        </w:rPr>
        <w:t>igh</w:t>
      </w:r>
      <w:r w:rsidRPr="00D34BE8">
        <w:rPr>
          <w:rFonts w:ascii="Book Antiqua" w:hAnsi="Book Antiqua"/>
          <w:sz w:val="20"/>
          <w:szCs w:val="20"/>
        </w:rPr>
        <w:t xml:space="preserve">-risk </w:t>
      </w:r>
      <w:r w:rsidR="000C3A58" w:rsidRPr="00D34BE8">
        <w:rPr>
          <w:rFonts w:ascii="Book Antiqua" w:hAnsi="Book Antiqua"/>
          <w:sz w:val="20"/>
          <w:szCs w:val="20"/>
        </w:rPr>
        <w:t xml:space="preserve">EVs </w:t>
      </w:r>
      <w:r w:rsidRPr="00D34BE8">
        <w:rPr>
          <w:rFonts w:ascii="Book Antiqua" w:hAnsi="Book Antiqua"/>
          <w:sz w:val="20"/>
          <w:szCs w:val="20"/>
        </w:rPr>
        <w:t xml:space="preserve">(HEVs) and low-risk </w:t>
      </w:r>
      <w:r w:rsidR="000C3A58" w:rsidRPr="00D34BE8">
        <w:rPr>
          <w:rFonts w:ascii="Book Antiqua" w:hAnsi="Book Antiqua"/>
          <w:sz w:val="20"/>
          <w:szCs w:val="20"/>
        </w:rPr>
        <w:t>EVs</w:t>
      </w:r>
      <w:r w:rsidRPr="00D34BE8">
        <w:rPr>
          <w:rFonts w:ascii="Book Antiqua" w:hAnsi="Book Antiqua"/>
          <w:sz w:val="20"/>
          <w:szCs w:val="20"/>
        </w:rPr>
        <w:t xml:space="preserve">, and HEVs pose a greater threat to patient life than </w:t>
      </w:r>
      <w:r w:rsidR="0075310D" w:rsidRPr="00D34BE8">
        <w:rPr>
          <w:rFonts w:ascii="Book Antiqua" w:hAnsi="Book Antiqua"/>
          <w:sz w:val="20"/>
          <w:szCs w:val="20"/>
        </w:rPr>
        <w:t>low-risk EVs</w:t>
      </w:r>
      <w:r w:rsidRPr="00D34BE8">
        <w:rPr>
          <w:rFonts w:ascii="Book Antiqua" w:hAnsi="Book Antiqua"/>
          <w:sz w:val="20"/>
          <w:szCs w:val="20"/>
        </w:rPr>
        <w:t>. The diagnosis of EVs is mainly conducted by gastroscopy, which can cause discomfort to patients, or by non-invasive prediction models. A number of non-invasive models for predicting EVs have been reported; however, those that are based on the formula for calculation of liver and spleen volume in HEVs have not been reported.</w:t>
      </w:r>
    </w:p>
    <w:p w:rsidR="000C3A58" w:rsidRPr="00D34BE8" w:rsidRDefault="000C3A58" w:rsidP="00D34BE8">
      <w:pPr>
        <w:spacing w:after="0" w:line="360" w:lineRule="auto"/>
        <w:jc w:val="both"/>
        <w:rPr>
          <w:rFonts w:ascii="Book Antiqua" w:hAnsi="Book Antiqua"/>
          <w:sz w:val="20"/>
          <w:szCs w:val="20"/>
        </w:rPr>
      </w:pPr>
    </w:p>
    <w:p w:rsidR="000C3A58" w:rsidRPr="00D34BE8" w:rsidRDefault="000C3A58" w:rsidP="00D34BE8">
      <w:pPr>
        <w:spacing w:after="0" w:line="360" w:lineRule="auto"/>
        <w:jc w:val="both"/>
        <w:rPr>
          <w:rFonts w:ascii="Book Antiqua" w:hAnsi="Book Antiqua"/>
          <w:sz w:val="20"/>
          <w:szCs w:val="20"/>
        </w:rPr>
      </w:pPr>
      <w:bookmarkStart w:id="16" w:name="_Hlk29286169"/>
      <w:r w:rsidRPr="00D34BE8">
        <w:rPr>
          <w:rFonts w:ascii="Book Antiqua" w:eastAsia="宋体" w:hAnsi="Book Antiqua"/>
          <w:sz w:val="20"/>
          <w:szCs w:val="20"/>
          <w:lang w:eastAsia="en-US"/>
        </w:rPr>
        <w:t>AIM</w:t>
      </w:r>
      <w:bookmarkEnd w:id="16"/>
    </w:p>
    <w:p w:rsidR="00C7222A" w:rsidRPr="00D34BE8" w:rsidRDefault="000C3A58" w:rsidP="00D34BE8">
      <w:pPr>
        <w:spacing w:after="0" w:line="360" w:lineRule="auto"/>
        <w:jc w:val="both"/>
        <w:rPr>
          <w:rFonts w:ascii="Book Antiqua" w:hAnsi="Book Antiqua"/>
          <w:sz w:val="20"/>
          <w:szCs w:val="20"/>
        </w:rPr>
      </w:pPr>
      <w:r w:rsidRPr="00D34BE8">
        <w:rPr>
          <w:rFonts w:ascii="Book Antiqua" w:hAnsi="Book Antiqua"/>
          <w:sz w:val="20"/>
          <w:szCs w:val="20"/>
        </w:rPr>
        <w:t>T</w:t>
      </w:r>
      <w:r w:rsidR="00C7222A" w:rsidRPr="00D34BE8">
        <w:rPr>
          <w:rFonts w:ascii="Book Antiqua" w:hAnsi="Book Antiqua"/>
          <w:sz w:val="20"/>
          <w:szCs w:val="20"/>
        </w:rPr>
        <w:t>o establish a non-invasive prediction model based on the formula for liver and spleen volume for predicting HEVs in patients with viral cirrhosis.</w:t>
      </w:r>
    </w:p>
    <w:p w:rsidR="000C3A58" w:rsidRPr="00D34BE8" w:rsidRDefault="000C3A58" w:rsidP="00D34BE8">
      <w:pPr>
        <w:spacing w:after="0" w:line="360" w:lineRule="auto"/>
        <w:jc w:val="both"/>
        <w:rPr>
          <w:rFonts w:ascii="Book Antiqua" w:eastAsia="宋体" w:hAnsi="Book Antiqua"/>
          <w:sz w:val="20"/>
          <w:szCs w:val="20"/>
          <w:lang w:eastAsia="en-US"/>
        </w:rPr>
      </w:pPr>
    </w:p>
    <w:p w:rsidR="000C3A58" w:rsidRPr="00D34BE8" w:rsidRDefault="000C3A58" w:rsidP="00D34BE8">
      <w:pPr>
        <w:spacing w:after="0" w:line="360" w:lineRule="auto"/>
        <w:jc w:val="both"/>
        <w:rPr>
          <w:rFonts w:ascii="Book Antiqua" w:eastAsia="宋体" w:hAnsi="Book Antiqua"/>
          <w:sz w:val="20"/>
          <w:szCs w:val="20"/>
          <w:lang w:eastAsia="en-US"/>
        </w:rPr>
      </w:pPr>
      <w:bookmarkStart w:id="17" w:name="_Hlk33637087"/>
      <w:bookmarkStart w:id="18" w:name="_Hlk29286181"/>
      <w:r w:rsidRPr="00D34BE8">
        <w:rPr>
          <w:rFonts w:ascii="Book Antiqua" w:eastAsia="宋体" w:hAnsi="Book Antiqua"/>
          <w:sz w:val="20"/>
          <w:szCs w:val="20"/>
          <w:lang w:eastAsia="en-US"/>
        </w:rPr>
        <w:t>METHODS</w:t>
      </w:r>
      <w:bookmarkEnd w:id="17"/>
      <w:bookmarkEnd w:id="18"/>
    </w:p>
    <w:p w:rsidR="00C7222A" w:rsidRPr="00D34BE8" w:rsidRDefault="00C7222A" w:rsidP="00D34BE8">
      <w:pPr>
        <w:spacing w:after="0" w:line="360" w:lineRule="auto"/>
        <w:jc w:val="both"/>
        <w:rPr>
          <w:rFonts w:ascii="Book Antiqua" w:hAnsi="Book Antiqua"/>
          <w:sz w:val="20"/>
          <w:szCs w:val="20"/>
        </w:rPr>
      </w:pPr>
      <w:r w:rsidRPr="00D34BE8">
        <w:rPr>
          <w:rFonts w:ascii="Book Antiqua" w:hAnsi="Book Antiqua"/>
          <w:sz w:val="20"/>
          <w:szCs w:val="20"/>
        </w:rPr>
        <w:t xml:space="preserve">Data from 86 EV patients with viral cirrhosis were collected. Actual liver and spleen volumes of the patients were determined by </w:t>
      </w:r>
      <w:r w:rsidR="000C3A58" w:rsidRPr="00D34BE8">
        <w:rPr>
          <w:rFonts w:ascii="Book Antiqua" w:hAnsi="Book Antiqua" w:cs="Book Antiqua"/>
          <w:sz w:val="20"/>
          <w:szCs w:val="20"/>
        </w:rPr>
        <w:t>computed tomography</w:t>
      </w:r>
      <w:r w:rsidRPr="00D34BE8">
        <w:rPr>
          <w:rFonts w:ascii="Book Antiqua" w:hAnsi="Book Antiqua"/>
          <w:sz w:val="20"/>
          <w:szCs w:val="20"/>
        </w:rPr>
        <w:t>, and their calculated liver and spleen volumes were calculated by standard formulas. Other imaging and biochemical data were determined. The impact of each parameter on HEVs was analyzed by univariate and multivariate analyses, the data from which were employed to establish a non-invasive prediction model. The</w:t>
      </w:r>
      <w:r w:rsidR="0053228D" w:rsidRPr="00D34BE8">
        <w:rPr>
          <w:rFonts w:ascii="Book Antiqua" w:hAnsi="Book Antiqua"/>
          <w:sz w:val="20"/>
          <w:szCs w:val="20"/>
        </w:rPr>
        <w:t>n the</w:t>
      </w:r>
      <w:r w:rsidRPr="00D34BE8">
        <w:rPr>
          <w:rFonts w:ascii="Book Antiqua" w:hAnsi="Book Antiqua"/>
          <w:sz w:val="20"/>
          <w:szCs w:val="20"/>
        </w:rPr>
        <w:t xml:space="preserve"> established prediction model was compared with other previous prediction models. Finally, the discriminating ability, calibration ability</w:t>
      </w:r>
      <w:r w:rsidR="0053228D" w:rsidRPr="00D34BE8">
        <w:rPr>
          <w:rFonts w:ascii="Book Antiqua" w:hAnsi="Book Antiqua"/>
          <w:sz w:val="20"/>
          <w:szCs w:val="20"/>
        </w:rPr>
        <w:t>,</w:t>
      </w:r>
      <w:r w:rsidRPr="00D34BE8">
        <w:rPr>
          <w:rFonts w:ascii="Book Antiqua" w:hAnsi="Book Antiqua"/>
          <w:sz w:val="20"/>
          <w:szCs w:val="20"/>
        </w:rPr>
        <w:t xml:space="preserve"> and clinical efficacy of the new model was verified in both the modeling group and the external validation group.</w:t>
      </w:r>
    </w:p>
    <w:p w:rsidR="000C3A58" w:rsidRPr="00D34BE8" w:rsidRDefault="000C3A58" w:rsidP="00D34BE8">
      <w:pPr>
        <w:spacing w:after="0" w:line="360" w:lineRule="auto"/>
        <w:jc w:val="both"/>
        <w:rPr>
          <w:rFonts w:ascii="Book Antiqua" w:eastAsia="宋体" w:hAnsi="Book Antiqua"/>
          <w:sz w:val="20"/>
          <w:szCs w:val="20"/>
          <w:lang w:eastAsia="en-US"/>
        </w:rPr>
      </w:pPr>
    </w:p>
    <w:p w:rsidR="000C3A58" w:rsidRPr="00D34BE8" w:rsidRDefault="000C3A58" w:rsidP="00D34BE8">
      <w:pPr>
        <w:spacing w:after="0" w:line="360" w:lineRule="auto"/>
        <w:jc w:val="both"/>
        <w:rPr>
          <w:rFonts w:ascii="Book Antiqua" w:eastAsia="宋体" w:hAnsi="Book Antiqua"/>
          <w:sz w:val="20"/>
          <w:szCs w:val="20"/>
          <w:lang w:eastAsia="en-US"/>
        </w:rPr>
      </w:pPr>
      <w:bookmarkStart w:id="19" w:name="_Hlk33637095"/>
      <w:bookmarkStart w:id="20" w:name="_Hlk29286194"/>
      <w:r w:rsidRPr="00D34BE8">
        <w:rPr>
          <w:rFonts w:ascii="Book Antiqua" w:eastAsia="宋体" w:hAnsi="Book Antiqua"/>
          <w:sz w:val="20"/>
          <w:szCs w:val="20"/>
          <w:lang w:eastAsia="en-US"/>
        </w:rPr>
        <w:t>RESULTS</w:t>
      </w:r>
    </w:p>
    <w:bookmarkEnd w:id="19"/>
    <w:bookmarkEnd w:id="20"/>
    <w:p w:rsidR="00C7222A" w:rsidRPr="00D34BE8" w:rsidRDefault="00C7222A" w:rsidP="00D34BE8">
      <w:pPr>
        <w:spacing w:after="0" w:line="360" w:lineRule="auto"/>
        <w:jc w:val="both"/>
        <w:rPr>
          <w:rFonts w:ascii="Book Antiqua" w:hAnsi="Book Antiqua"/>
          <w:sz w:val="20"/>
          <w:szCs w:val="20"/>
        </w:rPr>
      </w:pPr>
      <w:r w:rsidRPr="00D34BE8">
        <w:rPr>
          <w:rFonts w:ascii="Book Antiqua" w:hAnsi="Book Antiqua"/>
          <w:sz w:val="20"/>
          <w:szCs w:val="20"/>
        </w:rPr>
        <w:t>Data from univariate and multivariate analyses indicated that</w:t>
      </w:r>
      <w:r w:rsidR="0053228D" w:rsidRPr="00D34BE8">
        <w:rPr>
          <w:rFonts w:ascii="Book Antiqua" w:hAnsi="Book Antiqua"/>
          <w:sz w:val="20"/>
          <w:szCs w:val="20"/>
        </w:rPr>
        <w:t xml:space="preserve"> the</w:t>
      </w:r>
      <w:r w:rsidRPr="00D34BE8">
        <w:rPr>
          <w:rFonts w:ascii="Book Antiqua" w:hAnsi="Book Antiqua"/>
          <w:sz w:val="20"/>
          <w:szCs w:val="20"/>
        </w:rPr>
        <w:t xml:space="preserve"> liver-spleen volume ratio, spleen volume change rate, and aspartate aminotransferase were correlated with HEVs. These indexes were successfully used to establish the non-invasive prediction model. The comparison of the models showed that the established model could better predict HEVs compared with previous models. The discriminating ability, calibration ability</w:t>
      </w:r>
      <w:r w:rsidR="0053228D" w:rsidRPr="00D34BE8">
        <w:rPr>
          <w:rFonts w:ascii="Book Antiqua" w:hAnsi="Book Antiqua"/>
          <w:sz w:val="20"/>
          <w:szCs w:val="20"/>
        </w:rPr>
        <w:t>,</w:t>
      </w:r>
      <w:r w:rsidRPr="00D34BE8">
        <w:rPr>
          <w:rFonts w:ascii="Book Antiqua" w:hAnsi="Book Antiqua"/>
          <w:sz w:val="20"/>
          <w:szCs w:val="20"/>
        </w:rPr>
        <w:t xml:space="preserve"> and clinical efficacy of the new model w</w:t>
      </w:r>
      <w:r w:rsidR="0053228D" w:rsidRPr="00D34BE8">
        <w:rPr>
          <w:rFonts w:ascii="Book Antiqua" w:hAnsi="Book Antiqua"/>
          <w:sz w:val="20"/>
          <w:szCs w:val="20"/>
        </w:rPr>
        <w:t>ere</w:t>
      </w:r>
      <w:r w:rsidRPr="00D34BE8">
        <w:rPr>
          <w:rFonts w:ascii="Book Antiqua" w:hAnsi="Book Antiqua"/>
          <w:sz w:val="20"/>
          <w:szCs w:val="20"/>
        </w:rPr>
        <w:t xml:space="preserve"> affirmed.</w:t>
      </w:r>
    </w:p>
    <w:p w:rsidR="000C3A58" w:rsidRPr="00D34BE8" w:rsidRDefault="000C3A58" w:rsidP="00D34BE8">
      <w:pPr>
        <w:spacing w:after="0" w:line="360" w:lineRule="auto"/>
        <w:jc w:val="both"/>
        <w:rPr>
          <w:rFonts w:ascii="Book Antiqua" w:hAnsi="Book Antiqua"/>
          <w:sz w:val="20"/>
          <w:szCs w:val="20"/>
        </w:rPr>
      </w:pPr>
    </w:p>
    <w:p w:rsidR="000C3A58" w:rsidRPr="00D34BE8" w:rsidRDefault="000C3A58" w:rsidP="00D34BE8">
      <w:pPr>
        <w:spacing w:after="0" w:line="360" w:lineRule="auto"/>
        <w:jc w:val="both"/>
        <w:rPr>
          <w:rFonts w:ascii="Book Antiqua" w:eastAsia="宋体" w:hAnsi="Book Antiqua"/>
          <w:sz w:val="20"/>
          <w:szCs w:val="20"/>
          <w:lang w:eastAsia="en-US"/>
        </w:rPr>
      </w:pPr>
      <w:bookmarkStart w:id="21" w:name="_Hlk33637103"/>
      <w:bookmarkStart w:id="22" w:name="_Hlk29286201"/>
      <w:r w:rsidRPr="00D34BE8">
        <w:rPr>
          <w:rFonts w:ascii="Book Antiqua" w:eastAsia="宋体" w:hAnsi="Book Antiqua"/>
          <w:sz w:val="20"/>
          <w:szCs w:val="20"/>
          <w:lang w:eastAsia="en-US"/>
        </w:rPr>
        <w:t>CONCLUSION</w:t>
      </w:r>
      <w:bookmarkEnd w:id="21"/>
      <w:bookmarkEnd w:id="22"/>
    </w:p>
    <w:p w:rsidR="00C7222A" w:rsidRPr="00D34BE8" w:rsidRDefault="00C7222A" w:rsidP="00D34BE8">
      <w:pPr>
        <w:spacing w:after="0" w:line="360" w:lineRule="auto"/>
        <w:jc w:val="both"/>
        <w:rPr>
          <w:rFonts w:ascii="Book Antiqua" w:hAnsi="Book Antiqua"/>
          <w:sz w:val="20"/>
          <w:szCs w:val="20"/>
        </w:rPr>
      </w:pPr>
      <w:r w:rsidRPr="00D34BE8">
        <w:rPr>
          <w:rFonts w:ascii="Book Antiqua" w:hAnsi="Book Antiqua"/>
          <w:sz w:val="20"/>
          <w:szCs w:val="20"/>
        </w:rPr>
        <w:t xml:space="preserve">The non-invasive prediction model for predicting HEVs in patients with viral cirrhosis was successfully established. The new model is reliable for predicting HEVs and has clinical applicability. </w:t>
      </w:r>
    </w:p>
    <w:p w:rsidR="000C3A58" w:rsidRPr="00D34BE8" w:rsidRDefault="000C3A58" w:rsidP="00D34BE8">
      <w:pPr>
        <w:spacing w:after="0" w:line="360" w:lineRule="auto"/>
        <w:jc w:val="both"/>
        <w:rPr>
          <w:rFonts w:ascii="Book Antiqua" w:eastAsia="宋体" w:hAnsi="Book Antiqua"/>
          <w:sz w:val="20"/>
          <w:szCs w:val="20"/>
          <w:lang w:eastAsia="en-US"/>
        </w:rPr>
      </w:pPr>
    </w:p>
    <w:p w:rsidR="00C7222A" w:rsidRPr="00D34BE8" w:rsidRDefault="000C3A58" w:rsidP="00D34BE8">
      <w:pPr>
        <w:adjustRightInd/>
        <w:spacing w:after="0" w:line="360" w:lineRule="auto"/>
        <w:jc w:val="both"/>
        <w:rPr>
          <w:rFonts w:ascii="Book Antiqua" w:hAnsi="Book Antiqua"/>
          <w:sz w:val="20"/>
          <w:szCs w:val="20"/>
        </w:rPr>
      </w:pPr>
      <w:bookmarkStart w:id="23" w:name="_Hlk28872569"/>
      <w:bookmarkStart w:id="24" w:name="_Hlk35205927"/>
      <w:r w:rsidRPr="00D34BE8">
        <w:rPr>
          <w:rFonts w:ascii="Book Antiqua" w:eastAsia="宋体" w:hAnsi="Book Antiqua" w:cs="Calibri"/>
          <w:b/>
          <w:sz w:val="20"/>
          <w:szCs w:val="20"/>
          <w:lang w:eastAsia="en-US"/>
        </w:rPr>
        <w:t>Key</w:t>
      </w:r>
      <w:r w:rsidRPr="00D34BE8">
        <w:rPr>
          <w:rFonts w:ascii="Book Antiqua" w:eastAsia="宋体" w:hAnsi="Book Antiqua" w:cs="Calibri"/>
          <w:b/>
          <w:sz w:val="20"/>
          <w:szCs w:val="20"/>
        </w:rPr>
        <w:t xml:space="preserve"> </w:t>
      </w:r>
      <w:r w:rsidRPr="00D34BE8">
        <w:rPr>
          <w:rFonts w:ascii="Book Antiqua" w:eastAsia="宋体" w:hAnsi="Book Antiqua" w:cs="Calibri"/>
          <w:b/>
          <w:sz w:val="20"/>
          <w:szCs w:val="20"/>
          <w:lang w:eastAsia="en-US"/>
        </w:rPr>
        <w:t>words:</w:t>
      </w:r>
      <w:bookmarkEnd w:id="23"/>
      <w:r w:rsidRPr="00D34BE8">
        <w:rPr>
          <w:rFonts w:ascii="Book Antiqua" w:eastAsia="宋体" w:hAnsi="Book Antiqua" w:cs="Calibri"/>
          <w:b/>
          <w:sz w:val="20"/>
          <w:szCs w:val="20"/>
          <w:lang w:eastAsia="en-US"/>
        </w:rPr>
        <w:t xml:space="preserve"> </w:t>
      </w:r>
      <w:bookmarkEnd w:id="24"/>
      <w:r w:rsidRPr="00D34BE8">
        <w:rPr>
          <w:rFonts w:ascii="Book Antiqua" w:hAnsi="Book Antiqua"/>
          <w:sz w:val="20"/>
          <w:szCs w:val="20"/>
        </w:rPr>
        <w:t>Cirrhosis</w:t>
      </w:r>
      <w:r w:rsidR="00C7222A" w:rsidRPr="00D34BE8">
        <w:rPr>
          <w:rFonts w:ascii="Book Antiqua" w:hAnsi="Book Antiqua"/>
          <w:sz w:val="20"/>
          <w:szCs w:val="20"/>
        </w:rPr>
        <w:t xml:space="preserve">; </w:t>
      </w:r>
      <w:r w:rsidRPr="00D34BE8">
        <w:rPr>
          <w:rFonts w:ascii="Book Antiqua" w:hAnsi="Book Antiqua"/>
          <w:sz w:val="20"/>
          <w:szCs w:val="20"/>
        </w:rPr>
        <w:t>High</w:t>
      </w:r>
      <w:r w:rsidR="00C7222A" w:rsidRPr="00D34BE8">
        <w:rPr>
          <w:rFonts w:ascii="Book Antiqua" w:hAnsi="Book Antiqua"/>
          <w:sz w:val="20"/>
          <w:szCs w:val="20"/>
        </w:rPr>
        <w:t xml:space="preserve">-risk esophageal varices; </w:t>
      </w:r>
      <w:r w:rsidRPr="00D34BE8">
        <w:rPr>
          <w:rFonts w:ascii="Book Antiqua" w:hAnsi="Book Antiqua"/>
          <w:sz w:val="20"/>
          <w:szCs w:val="20"/>
        </w:rPr>
        <w:t>Non</w:t>
      </w:r>
      <w:r w:rsidR="00C7222A" w:rsidRPr="00D34BE8">
        <w:rPr>
          <w:rFonts w:ascii="Book Antiqua" w:hAnsi="Book Antiqua"/>
          <w:sz w:val="20"/>
          <w:szCs w:val="20"/>
        </w:rPr>
        <w:t xml:space="preserve">-invasive prediction model; </w:t>
      </w:r>
      <w:r w:rsidRPr="00D34BE8">
        <w:rPr>
          <w:rFonts w:ascii="Book Antiqua" w:hAnsi="Book Antiqua"/>
          <w:sz w:val="20"/>
          <w:szCs w:val="20"/>
        </w:rPr>
        <w:t xml:space="preserve">Liver </w:t>
      </w:r>
      <w:r w:rsidR="00C7222A" w:rsidRPr="00D34BE8">
        <w:rPr>
          <w:rFonts w:ascii="Book Antiqua" w:hAnsi="Book Antiqua"/>
          <w:sz w:val="20"/>
          <w:szCs w:val="20"/>
        </w:rPr>
        <w:t xml:space="preserve">volume; </w:t>
      </w:r>
      <w:r w:rsidRPr="00D34BE8">
        <w:rPr>
          <w:rFonts w:ascii="Book Antiqua" w:hAnsi="Book Antiqua"/>
          <w:sz w:val="20"/>
          <w:szCs w:val="20"/>
        </w:rPr>
        <w:t xml:space="preserve">Spleen </w:t>
      </w:r>
      <w:r w:rsidR="00C7222A" w:rsidRPr="00D34BE8">
        <w:rPr>
          <w:rFonts w:ascii="Book Antiqua" w:hAnsi="Book Antiqua"/>
          <w:sz w:val="20"/>
          <w:szCs w:val="20"/>
        </w:rPr>
        <w:t>volume</w:t>
      </w:r>
    </w:p>
    <w:p w:rsidR="000C3A58" w:rsidRPr="00D34BE8" w:rsidRDefault="000C3A58" w:rsidP="00D34BE8">
      <w:pPr>
        <w:adjustRightInd/>
        <w:spacing w:after="0" w:line="360" w:lineRule="auto"/>
        <w:jc w:val="both"/>
        <w:rPr>
          <w:rFonts w:ascii="Book Antiqua" w:eastAsia="宋体" w:hAnsi="Book Antiqua" w:cs="Calibri"/>
          <w:sz w:val="20"/>
          <w:szCs w:val="20"/>
        </w:rPr>
      </w:pPr>
    </w:p>
    <w:p w:rsidR="000C3A58" w:rsidRPr="00D34BE8" w:rsidRDefault="000C3A58" w:rsidP="00D34BE8">
      <w:pPr>
        <w:spacing w:after="0" w:line="360" w:lineRule="auto"/>
        <w:jc w:val="both"/>
        <w:rPr>
          <w:rFonts w:ascii="Book Antiqua" w:hAnsi="Book Antiqua"/>
          <w:sz w:val="20"/>
          <w:szCs w:val="20"/>
        </w:rPr>
      </w:pPr>
      <w:bookmarkStart w:id="25" w:name="_Hlk34696807"/>
      <w:r w:rsidRPr="00D34BE8">
        <w:rPr>
          <w:rFonts w:ascii="Book Antiqua" w:hAnsi="Book Antiqua"/>
          <w:sz w:val="20"/>
          <w:szCs w:val="20"/>
        </w:rPr>
        <w:lastRenderedPageBreak/>
        <w:t xml:space="preserve">Yang LB, Xu JY, </w:t>
      </w:r>
      <w:r w:rsidR="00F729C3" w:rsidRPr="00D34BE8">
        <w:rPr>
          <w:rFonts w:ascii="Book Antiqua" w:hAnsi="Book Antiqua"/>
          <w:sz w:val="20"/>
          <w:szCs w:val="20"/>
        </w:rPr>
        <w:t>Tantai</w:t>
      </w:r>
      <w:r w:rsidRPr="00D34BE8">
        <w:rPr>
          <w:rFonts w:ascii="Book Antiqua" w:hAnsi="Book Antiqua"/>
          <w:sz w:val="20"/>
          <w:szCs w:val="20"/>
        </w:rPr>
        <w:t xml:space="preserve"> XX, Li H, Xiao CL, Yang CF, Zhang H, Dong L, Zhao G. Non-invasive prediction model for high-risk esophageal varices in </w:t>
      </w:r>
      <w:r w:rsidR="00D34BE8">
        <w:rPr>
          <w:rFonts w:ascii="Book Antiqua" w:hAnsi="Book Antiqua"/>
          <w:sz w:val="20"/>
          <w:szCs w:val="20"/>
        </w:rPr>
        <w:t xml:space="preserve">the </w:t>
      </w:r>
      <w:r w:rsidRPr="00D34BE8">
        <w:rPr>
          <w:rFonts w:ascii="Book Antiqua" w:hAnsi="Book Antiqua"/>
          <w:sz w:val="20"/>
          <w:szCs w:val="20"/>
        </w:rPr>
        <w:t xml:space="preserve">Chinese population. </w:t>
      </w:r>
      <w:r w:rsidRPr="00D34BE8">
        <w:rPr>
          <w:rFonts w:ascii="Book Antiqua" w:eastAsia="宋体" w:hAnsi="Book Antiqua" w:cs="Arial"/>
          <w:bCs/>
          <w:i/>
          <w:iCs/>
          <w:sz w:val="20"/>
          <w:szCs w:val="20"/>
          <w:lang w:eastAsia="en-US"/>
        </w:rPr>
        <w:t xml:space="preserve">World J Gastroenterol </w:t>
      </w:r>
      <w:r w:rsidRPr="00D34BE8">
        <w:rPr>
          <w:rFonts w:ascii="Book Antiqua" w:eastAsia="宋体" w:hAnsi="Book Antiqua" w:cs="Arial"/>
          <w:bCs/>
          <w:sz w:val="20"/>
          <w:szCs w:val="20"/>
          <w:lang w:eastAsia="en-US"/>
        </w:rPr>
        <w:t xml:space="preserve">2020; </w:t>
      </w:r>
      <w:r w:rsidRPr="00D34BE8">
        <w:rPr>
          <w:rFonts w:ascii="Book Antiqua" w:eastAsia="宋体" w:hAnsi="Book Antiqua" w:cs="Calibri"/>
          <w:sz w:val="20"/>
          <w:szCs w:val="20"/>
        </w:rPr>
        <w:t>In press</w:t>
      </w:r>
    </w:p>
    <w:bookmarkEnd w:id="25"/>
    <w:p w:rsidR="000C3A58" w:rsidRPr="00D34BE8" w:rsidRDefault="000C3A58" w:rsidP="00D34BE8">
      <w:pPr>
        <w:adjustRightInd/>
        <w:spacing w:after="0" w:line="360" w:lineRule="auto"/>
        <w:jc w:val="both"/>
        <w:rPr>
          <w:rFonts w:ascii="Book Antiqua" w:eastAsia="宋体" w:hAnsi="Book Antiqua" w:cs="Calibri"/>
          <w:sz w:val="20"/>
          <w:szCs w:val="20"/>
        </w:rPr>
      </w:pPr>
    </w:p>
    <w:p w:rsidR="00C7222A" w:rsidRPr="00D34BE8" w:rsidRDefault="00505C80" w:rsidP="00D34BE8">
      <w:pPr>
        <w:spacing w:after="0" w:line="360" w:lineRule="auto"/>
        <w:jc w:val="both"/>
        <w:rPr>
          <w:rFonts w:ascii="Book Antiqua" w:hAnsi="Book Antiqua"/>
          <w:sz w:val="20"/>
          <w:szCs w:val="20"/>
        </w:rPr>
      </w:pPr>
      <w:bookmarkStart w:id="26" w:name="_Hlk28268548"/>
      <w:r w:rsidRPr="00D34BE8">
        <w:rPr>
          <w:rFonts w:ascii="Book Antiqua" w:eastAsia="宋体" w:hAnsi="Book Antiqua"/>
          <w:b/>
          <w:sz w:val="20"/>
          <w:szCs w:val="20"/>
          <w:lang w:eastAsia="en-US"/>
        </w:rPr>
        <w:t>Core tip</w:t>
      </w:r>
      <w:r w:rsidRPr="00D34BE8">
        <w:rPr>
          <w:rFonts w:ascii="Book Antiqua" w:eastAsia="宋体" w:hAnsi="Book Antiqua"/>
          <w:b/>
          <w:sz w:val="20"/>
          <w:szCs w:val="20"/>
        </w:rPr>
        <w:t>:</w:t>
      </w:r>
      <w:bookmarkEnd w:id="26"/>
      <w:r w:rsidR="00C7222A" w:rsidRPr="00D34BE8">
        <w:rPr>
          <w:rFonts w:ascii="Book Antiqua" w:hAnsi="Book Antiqua"/>
          <w:sz w:val="20"/>
          <w:szCs w:val="20"/>
        </w:rPr>
        <w:t xml:space="preserve"> The non-invasive prediction model for predicting </w:t>
      </w:r>
      <w:r w:rsidRPr="00D34BE8">
        <w:rPr>
          <w:rFonts w:ascii="Book Antiqua" w:hAnsi="Book Antiqua"/>
          <w:sz w:val="20"/>
          <w:szCs w:val="20"/>
        </w:rPr>
        <w:t xml:space="preserve">high-risk esophageal varices </w:t>
      </w:r>
      <w:r w:rsidR="00C7222A" w:rsidRPr="00D34BE8">
        <w:rPr>
          <w:rFonts w:ascii="Book Antiqua" w:hAnsi="Book Antiqua"/>
          <w:sz w:val="20"/>
          <w:szCs w:val="20"/>
        </w:rPr>
        <w:t xml:space="preserve">in patients with viral cirrhosis was successfully established based on the standard formula for calculation of liver and spleen volumes. It is a novel model that has not been reported. The model was shown to be better than previous prediction models. The new model had clinical efficacy and </w:t>
      </w:r>
      <w:r w:rsidR="0053228D" w:rsidRPr="00D34BE8">
        <w:rPr>
          <w:rFonts w:ascii="Book Antiqua" w:hAnsi="Book Antiqua"/>
          <w:sz w:val="20"/>
          <w:szCs w:val="20"/>
        </w:rPr>
        <w:t xml:space="preserve">the </w:t>
      </w:r>
      <w:r w:rsidR="00C7222A" w:rsidRPr="00D34BE8">
        <w:rPr>
          <w:rFonts w:ascii="Book Antiqua" w:hAnsi="Book Antiqua"/>
          <w:sz w:val="20"/>
          <w:szCs w:val="20"/>
        </w:rPr>
        <w:t xml:space="preserve">ability to predict </w:t>
      </w:r>
      <w:r w:rsidR="00BE3660" w:rsidRPr="00D34BE8">
        <w:rPr>
          <w:rFonts w:ascii="Book Antiqua" w:hAnsi="Book Antiqua"/>
          <w:sz w:val="20"/>
          <w:szCs w:val="20"/>
        </w:rPr>
        <w:t>high-risk esophageal varices</w:t>
      </w:r>
      <w:r w:rsidR="00C7222A" w:rsidRPr="00D34BE8">
        <w:rPr>
          <w:rFonts w:ascii="Book Antiqua" w:hAnsi="Book Antiqua"/>
          <w:sz w:val="20"/>
          <w:szCs w:val="20"/>
        </w:rPr>
        <w:t>.</w:t>
      </w:r>
    </w:p>
    <w:p w:rsidR="00505C80" w:rsidRPr="00D34BE8" w:rsidRDefault="00505C80" w:rsidP="00D34BE8">
      <w:pPr>
        <w:spacing w:after="0" w:line="360" w:lineRule="auto"/>
        <w:jc w:val="both"/>
        <w:rPr>
          <w:rFonts w:ascii="Book Antiqua" w:hAnsi="Book Antiqua"/>
          <w:b/>
          <w:sz w:val="20"/>
          <w:szCs w:val="20"/>
          <w:u w:val="single"/>
        </w:rPr>
      </w:pPr>
      <w:r w:rsidRPr="00D34BE8">
        <w:rPr>
          <w:rFonts w:ascii="Book Antiqua" w:hAnsi="Book Antiqua"/>
          <w:sz w:val="20"/>
          <w:szCs w:val="20"/>
        </w:rPr>
        <w:br w:type="page"/>
      </w:r>
      <w:bookmarkStart w:id="27" w:name="_Hlk27562550"/>
      <w:r w:rsidRPr="00D34BE8">
        <w:rPr>
          <w:rFonts w:ascii="Book Antiqua" w:hAnsi="Book Antiqua"/>
          <w:b/>
          <w:sz w:val="20"/>
          <w:szCs w:val="20"/>
          <w:u w:val="single"/>
        </w:rPr>
        <w:t>INTRODUCTION</w:t>
      </w:r>
    </w:p>
    <w:bookmarkEnd w:id="27"/>
    <w:p w:rsidR="00C7222A" w:rsidRPr="00D34BE8" w:rsidRDefault="00C7222A" w:rsidP="00D34BE8">
      <w:pPr>
        <w:spacing w:after="0" w:line="360" w:lineRule="auto"/>
        <w:jc w:val="both"/>
        <w:rPr>
          <w:rFonts w:ascii="Book Antiqua" w:hAnsi="Book Antiqua"/>
          <w:sz w:val="20"/>
          <w:szCs w:val="20"/>
        </w:rPr>
      </w:pPr>
      <w:r w:rsidRPr="00D34BE8">
        <w:rPr>
          <w:rFonts w:ascii="Book Antiqua" w:hAnsi="Book Antiqua"/>
          <w:sz w:val="20"/>
          <w:szCs w:val="20"/>
        </w:rPr>
        <w:t>Esophageal varices (EVs) are highly common in patients with cirrhosis. The risk of rupture depends mainly on severity of liver disease, level of portal pressure, diameter of varices, red sign, and the presence or absence of coagulation abnormalities</w:t>
      </w:r>
      <w:r w:rsidRPr="00D34BE8">
        <w:rPr>
          <w:rFonts w:ascii="Book Antiqua" w:hAnsi="Book Antiqua"/>
          <w:sz w:val="20"/>
          <w:szCs w:val="20"/>
          <w:vertAlign w:val="superscript"/>
        </w:rPr>
        <w:t>[1-4]</w:t>
      </w:r>
      <w:r w:rsidRPr="00D34BE8">
        <w:rPr>
          <w:rFonts w:ascii="Book Antiqua" w:hAnsi="Book Antiqua"/>
          <w:sz w:val="20"/>
          <w:szCs w:val="20"/>
        </w:rPr>
        <w:t xml:space="preserve">. Diagnosis of EVs relies mainly on endoscopy, which has been described in various documentations. Among all reported recording methods, the </w:t>
      </w:r>
      <w:r w:rsidR="003454F7" w:rsidRPr="00D34BE8">
        <w:rPr>
          <w:rFonts w:ascii="Book Antiqua" w:hAnsi="Book Antiqua"/>
          <w:sz w:val="20"/>
          <w:szCs w:val="20"/>
        </w:rPr>
        <w:t>l</w:t>
      </w:r>
      <w:r w:rsidR="003454F7" w:rsidRPr="0027639A">
        <w:rPr>
          <w:rStyle w:val="st"/>
          <w:rFonts w:ascii="Book Antiqua" w:eastAsia="Times New Roman" w:hAnsi="Book Antiqua"/>
          <w:sz w:val="20"/>
          <w:szCs w:val="20"/>
        </w:rPr>
        <w:t>ocation,</w:t>
      </w:r>
      <w:r w:rsidR="0096490E" w:rsidRPr="00D34BE8">
        <w:rPr>
          <w:rStyle w:val="st"/>
          <w:rFonts w:ascii="Book Antiqua" w:eastAsia="Times New Roman" w:hAnsi="Book Antiqua"/>
          <w:sz w:val="20"/>
          <w:szCs w:val="20"/>
        </w:rPr>
        <w:t xml:space="preserve"> </w:t>
      </w:r>
      <w:r w:rsidR="003454F7" w:rsidRPr="0027639A">
        <w:rPr>
          <w:rStyle w:val="st"/>
          <w:rFonts w:ascii="Book Antiqua" w:eastAsia="Times New Roman" w:hAnsi="Book Antiqua"/>
          <w:sz w:val="20"/>
          <w:szCs w:val="20"/>
        </w:rPr>
        <w:t xml:space="preserve">diameter and risk of bleeding </w:t>
      </w:r>
      <w:r w:rsidRPr="00D34BE8">
        <w:rPr>
          <w:rFonts w:ascii="Book Antiqua" w:hAnsi="Book Antiqua"/>
          <w:sz w:val="20"/>
          <w:szCs w:val="20"/>
        </w:rPr>
        <w:t>classification is the most commonly used method for recording EVs. This classification records location, diameter, red sign</w:t>
      </w:r>
      <w:r w:rsidR="0096490E" w:rsidRPr="00D34BE8">
        <w:rPr>
          <w:rFonts w:ascii="Book Antiqua" w:hAnsi="Book Antiqua"/>
          <w:sz w:val="20"/>
          <w:szCs w:val="20"/>
        </w:rPr>
        <w:t>,</w:t>
      </w:r>
      <w:r w:rsidRPr="00D34BE8">
        <w:rPr>
          <w:rFonts w:ascii="Book Antiqua" w:hAnsi="Book Antiqua"/>
          <w:sz w:val="20"/>
          <w:szCs w:val="20"/>
        </w:rPr>
        <w:t xml:space="preserve"> and local condition of EVs</w:t>
      </w:r>
      <w:r w:rsidRPr="00D34BE8">
        <w:rPr>
          <w:rFonts w:ascii="Book Antiqua" w:hAnsi="Book Antiqua"/>
          <w:sz w:val="20"/>
          <w:szCs w:val="20"/>
          <w:vertAlign w:val="superscript"/>
        </w:rPr>
        <w:t>[5]</w:t>
      </w:r>
      <w:r w:rsidRPr="00D34BE8">
        <w:rPr>
          <w:rFonts w:ascii="Book Antiqua" w:hAnsi="Book Antiqua"/>
          <w:sz w:val="20"/>
          <w:szCs w:val="20"/>
        </w:rPr>
        <w:t>.</w:t>
      </w:r>
    </w:p>
    <w:p w:rsidR="0075310D" w:rsidRPr="00D34BE8" w:rsidRDefault="0075310D" w:rsidP="00D34BE8">
      <w:pPr>
        <w:spacing w:after="0" w:line="360" w:lineRule="auto"/>
        <w:jc w:val="both"/>
        <w:rPr>
          <w:rFonts w:ascii="Book Antiqua" w:hAnsi="Book Antiqua"/>
          <w:sz w:val="20"/>
          <w:szCs w:val="20"/>
        </w:rPr>
      </w:pPr>
      <w:r w:rsidRPr="00D34BE8">
        <w:rPr>
          <w:rFonts w:ascii="Book Antiqua" w:hAnsi="Book Antiqua"/>
          <w:sz w:val="20"/>
          <w:szCs w:val="20"/>
        </w:rPr>
        <w:t xml:space="preserve">  </w:t>
      </w:r>
      <w:r w:rsidR="00C7222A" w:rsidRPr="00D34BE8">
        <w:rPr>
          <w:rFonts w:ascii="Book Antiqua" w:hAnsi="Book Antiqua"/>
          <w:sz w:val="20"/>
          <w:szCs w:val="20"/>
        </w:rPr>
        <w:t xml:space="preserve">Rupture of EVs, which can potentially occur in </w:t>
      </w:r>
      <w:r w:rsidR="00505C80" w:rsidRPr="00D34BE8">
        <w:rPr>
          <w:rFonts w:ascii="Book Antiqua" w:hAnsi="Book Antiqua"/>
          <w:sz w:val="20"/>
          <w:szCs w:val="20"/>
        </w:rPr>
        <w:t>high-risk EVs (HEVs)</w:t>
      </w:r>
      <w:r w:rsidR="00C7222A" w:rsidRPr="00D34BE8">
        <w:rPr>
          <w:rFonts w:ascii="Book Antiqua" w:hAnsi="Book Antiqua"/>
          <w:sz w:val="20"/>
          <w:szCs w:val="20"/>
        </w:rPr>
        <w:t>, is dangerous and life</w:t>
      </w:r>
      <w:r w:rsidR="0096490E" w:rsidRPr="00D34BE8">
        <w:rPr>
          <w:rFonts w:ascii="Book Antiqua" w:hAnsi="Book Antiqua"/>
          <w:sz w:val="20"/>
          <w:szCs w:val="20"/>
        </w:rPr>
        <w:t xml:space="preserve"> </w:t>
      </w:r>
      <w:r w:rsidR="00C7222A" w:rsidRPr="00D34BE8">
        <w:rPr>
          <w:rFonts w:ascii="Book Antiqua" w:hAnsi="Book Antiqua"/>
          <w:sz w:val="20"/>
          <w:szCs w:val="20"/>
        </w:rPr>
        <w:t xml:space="preserve">threatening. </w:t>
      </w:r>
      <w:r w:rsidR="0096490E" w:rsidRPr="00D34BE8">
        <w:rPr>
          <w:rFonts w:ascii="Book Antiqua" w:hAnsi="Book Antiqua"/>
          <w:sz w:val="20"/>
          <w:szCs w:val="20"/>
        </w:rPr>
        <w:t>C</w:t>
      </w:r>
      <w:r w:rsidR="00C7222A" w:rsidRPr="00D34BE8">
        <w:rPr>
          <w:rFonts w:ascii="Book Antiqua" w:hAnsi="Book Antiqua"/>
          <w:sz w:val="20"/>
          <w:szCs w:val="20"/>
        </w:rPr>
        <w:t xml:space="preserve">urrent guidelines recommend that patients with HEVs should be treated with non-selective beta-blockers or endoscopic variceal ligation to reduce the risk of bleeding. Although these treatments can significantly reduce risk of esophageal variceal bleeding, because of difficulty in </w:t>
      </w:r>
      <w:r w:rsidR="0096490E" w:rsidRPr="00D34BE8">
        <w:rPr>
          <w:rFonts w:ascii="Book Antiqua" w:hAnsi="Book Antiqua"/>
          <w:sz w:val="20"/>
          <w:szCs w:val="20"/>
        </w:rPr>
        <w:t xml:space="preserve">the </w:t>
      </w:r>
      <w:r w:rsidR="00C7222A" w:rsidRPr="00D34BE8">
        <w:rPr>
          <w:rFonts w:ascii="Book Antiqua" w:hAnsi="Book Antiqua"/>
          <w:sz w:val="20"/>
          <w:szCs w:val="20"/>
        </w:rPr>
        <w:t>early identification of HEVs in patients with cirrhosis, many of these patients have not benefited from these treatments</w:t>
      </w:r>
      <w:r w:rsidR="00C7222A" w:rsidRPr="00D34BE8">
        <w:rPr>
          <w:rFonts w:ascii="Book Antiqua" w:hAnsi="Book Antiqua"/>
          <w:sz w:val="20"/>
          <w:szCs w:val="20"/>
          <w:vertAlign w:val="superscript"/>
        </w:rPr>
        <w:t>[6,7]</w:t>
      </w:r>
      <w:r w:rsidR="00C7222A" w:rsidRPr="00D34BE8">
        <w:rPr>
          <w:rFonts w:ascii="Book Antiqua" w:hAnsi="Book Antiqua"/>
          <w:sz w:val="20"/>
          <w:szCs w:val="20"/>
        </w:rPr>
        <w:t>. The identification of HEVs is particularly important, and the currently used method is gastroscopy</w:t>
      </w:r>
      <w:r w:rsidR="00C7222A" w:rsidRPr="00D34BE8">
        <w:rPr>
          <w:rFonts w:ascii="Book Antiqua" w:hAnsi="Book Antiqua"/>
          <w:sz w:val="20"/>
          <w:szCs w:val="20"/>
          <w:vertAlign w:val="superscript"/>
        </w:rPr>
        <w:t>[8,9]</w:t>
      </w:r>
      <w:r w:rsidR="00C7222A" w:rsidRPr="00D34BE8">
        <w:rPr>
          <w:rFonts w:ascii="Book Antiqua" w:hAnsi="Book Antiqua"/>
          <w:sz w:val="20"/>
          <w:szCs w:val="20"/>
        </w:rPr>
        <w:t xml:space="preserve">, a method that can conveniently be used for visual determination of diameter and red sign of EVs. Gastroscopy is considered the gold standard for the diagnosis of EVs. However, patients with cirrhosis may not receive gastroscopic examination until there is a sign of esophageal variceal bleeding, or when </w:t>
      </w:r>
      <w:r w:rsidRPr="00D34BE8">
        <w:rPr>
          <w:rFonts w:ascii="Book Antiqua" w:hAnsi="Book Antiqua"/>
          <w:sz w:val="20"/>
          <w:szCs w:val="20"/>
        </w:rPr>
        <w:t>low-risk EVs (LEVs)</w:t>
      </w:r>
      <w:r w:rsidR="00C7222A" w:rsidRPr="00D34BE8">
        <w:rPr>
          <w:rFonts w:ascii="Book Antiqua" w:hAnsi="Book Antiqua"/>
          <w:sz w:val="20"/>
          <w:szCs w:val="20"/>
        </w:rPr>
        <w:t xml:space="preserve"> progress to become HEVs. Thus, identification of HEVs is of great significance, and establishment of a non-invasive predictive model that can predict patients with HEVs should help to solve this problem. </w:t>
      </w:r>
    </w:p>
    <w:p w:rsidR="00C7222A" w:rsidRPr="00D34BE8" w:rsidRDefault="0075310D" w:rsidP="00D34BE8">
      <w:pPr>
        <w:spacing w:after="0" w:line="360" w:lineRule="auto"/>
        <w:jc w:val="both"/>
        <w:rPr>
          <w:rFonts w:ascii="Book Antiqua" w:hAnsi="Book Antiqua"/>
          <w:sz w:val="20"/>
          <w:szCs w:val="20"/>
        </w:rPr>
      </w:pPr>
      <w:r w:rsidRPr="00D34BE8">
        <w:rPr>
          <w:rFonts w:ascii="Book Antiqua" w:hAnsi="Book Antiqua"/>
          <w:sz w:val="20"/>
          <w:szCs w:val="20"/>
        </w:rPr>
        <w:t xml:space="preserve">  </w:t>
      </w:r>
      <w:r w:rsidR="00C7222A" w:rsidRPr="00D34BE8">
        <w:rPr>
          <w:rFonts w:ascii="Book Antiqua" w:hAnsi="Book Antiqua"/>
          <w:sz w:val="20"/>
          <w:szCs w:val="20"/>
        </w:rPr>
        <w:t>Liver volume and spleen volume measurements are essential for patients with cirrhosis and liver transplantation</w:t>
      </w:r>
      <w:r w:rsidR="00C7222A" w:rsidRPr="00D34BE8">
        <w:rPr>
          <w:rFonts w:ascii="Book Antiqua" w:hAnsi="Book Antiqua"/>
          <w:sz w:val="20"/>
          <w:szCs w:val="20"/>
          <w:vertAlign w:val="superscript"/>
        </w:rPr>
        <w:t>[10,11]</w:t>
      </w:r>
      <w:r w:rsidR="00C7222A" w:rsidRPr="00D34BE8">
        <w:rPr>
          <w:rFonts w:ascii="Book Antiqua" w:hAnsi="Book Antiqua"/>
          <w:sz w:val="20"/>
          <w:szCs w:val="20"/>
        </w:rPr>
        <w:t xml:space="preserve">. </w:t>
      </w:r>
      <w:r w:rsidR="0096490E" w:rsidRPr="00D34BE8">
        <w:rPr>
          <w:rFonts w:ascii="Book Antiqua" w:hAnsi="Book Antiqua"/>
          <w:sz w:val="20"/>
          <w:szCs w:val="20"/>
        </w:rPr>
        <w:t>To date</w:t>
      </w:r>
      <w:r w:rsidR="00C7222A" w:rsidRPr="00D34BE8">
        <w:rPr>
          <w:rFonts w:ascii="Book Antiqua" w:hAnsi="Book Antiqua"/>
          <w:sz w:val="20"/>
          <w:szCs w:val="20"/>
        </w:rPr>
        <w:t xml:space="preserve">, the measurement of liver and spleen volume remains a very complex process. Although </w:t>
      </w:r>
      <w:r w:rsidRPr="00D34BE8">
        <w:rPr>
          <w:rFonts w:ascii="Book Antiqua" w:hAnsi="Book Antiqua" w:cs="Book Antiqua"/>
          <w:sz w:val="20"/>
          <w:szCs w:val="20"/>
        </w:rPr>
        <w:t>computed tomography (CT) or magnetic resonance imaging (MRI)</w:t>
      </w:r>
      <w:r w:rsidR="00C7222A" w:rsidRPr="00D34BE8">
        <w:rPr>
          <w:rFonts w:ascii="Book Antiqua" w:hAnsi="Book Antiqua"/>
          <w:sz w:val="20"/>
          <w:szCs w:val="20"/>
        </w:rPr>
        <w:t xml:space="preserve"> can be used to calculate the liver and spleen volume, these methods are time-consuming and laborious. To address these problems, in our previous study, we conducted Pearson correlation analysis and stepwise multiple linear regression analysis of sex, height, weight, body surface area (BSA), body mass index (BMI)</w:t>
      </w:r>
      <w:r w:rsidR="00E21808" w:rsidRPr="00D34BE8">
        <w:rPr>
          <w:rFonts w:ascii="Book Antiqua" w:hAnsi="Book Antiqua"/>
          <w:sz w:val="20"/>
          <w:szCs w:val="20"/>
        </w:rPr>
        <w:t>,</w:t>
      </w:r>
      <w:r w:rsidR="00C7222A" w:rsidRPr="00D34BE8">
        <w:rPr>
          <w:rFonts w:ascii="Book Antiqua" w:hAnsi="Book Antiqua"/>
          <w:sz w:val="20"/>
          <w:szCs w:val="20"/>
        </w:rPr>
        <w:t xml:space="preserve"> and actual liver volume and actual spleen volume. The same approach has also been introduced into many other </w:t>
      </w:r>
      <w:r w:rsidR="00E21808" w:rsidRPr="00D34BE8">
        <w:rPr>
          <w:rFonts w:ascii="Book Antiqua" w:hAnsi="Book Antiqua"/>
          <w:sz w:val="20"/>
          <w:szCs w:val="20"/>
        </w:rPr>
        <w:t>studies</w:t>
      </w:r>
      <w:r w:rsidR="00C7222A" w:rsidRPr="00D34BE8">
        <w:rPr>
          <w:rFonts w:ascii="Book Antiqua" w:hAnsi="Book Antiqua"/>
          <w:sz w:val="20"/>
          <w:szCs w:val="20"/>
          <w:vertAlign w:val="superscript"/>
        </w:rPr>
        <w:t>[12,13]</w:t>
      </w:r>
      <w:r w:rsidR="00C7222A" w:rsidRPr="00D34BE8">
        <w:rPr>
          <w:rFonts w:ascii="Book Antiqua" w:hAnsi="Book Antiqua"/>
          <w:sz w:val="20"/>
          <w:szCs w:val="20"/>
        </w:rPr>
        <w:t xml:space="preserve">. We successfully applied the BSA of the patient to establish the formulas for calculation of standard liver volume (SLV) and standard spleen volume (SSV) as follows: SLV = 858.186 </w:t>
      </w:r>
      <w:r w:rsidR="004D3F15" w:rsidRPr="00D34BE8">
        <w:rPr>
          <w:rFonts w:ascii="Book Antiqua" w:hAnsi="Book Antiqua"/>
          <w:sz w:val="20"/>
          <w:szCs w:val="20"/>
        </w:rPr>
        <w:t>×</w:t>
      </w:r>
      <w:r w:rsidR="00C7222A" w:rsidRPr="00D34BE8">
        <w:rPr>
          <w:rFonts w:ascii="Book Antiqua" w:hAnsi="Book Antiqua"/>
          <w:sz w:val="20"/>
          <w:szCs w:val="20"/>
        </w:rPr>
        <w:t xml:space="preserve"> BSA</w:t>
      </w:r>
      <w:r w:rsidR="004C23D4" w:rsidRPr="00D34BE8">
        <w:rPr>
          <w:rFonts w:ascii="Book Antiqua" w:hAnsi="Book Antiqua"/>
          <w:sz w:val="20"/>
          <w:szCs w:val="20"/>
        </w:rPr>
        <w:t xml:space="preserve"> </w:t>
      </w:r>
      <w:r w:rsidR="00C7222A" w:rsidRPr="00D34BE8">
        <w:rPr>
          <w:rFonts w:ascii="Book Antiqua" w:hAnsi="Book Antiqua"/>
          <w:sz w:val="20"/>
          <w:szCs w:val="20"/>
        </w:rPr>
        <w:t>-</w:t>
      </w:r>
      <w:r w:rsidR="004C23D4" w:rsidRPr="00D34BE8">
        <w:rPr>
          <w:rFonts w:ascii="Book Antiqua" w:hAnsi="Book Antiqua"/>
          <w:sz w:val="20"/>
          <w:szCs w:val="20"/>
        </w:rPr>
        <w:t xml:space="preserve"> </w:t>
      </w:r>
      <w:r w:rsidR="00C7222A" w:rsidRPr="00D34BE8">
        <w:rPr>
          <w:rFonts w:ascii="Book Antiqua" w:hAnsi="Book Antiqua"/>
          <w:sz w:val="20"/>
          <w:szCs w:val="20"/>
        </w:rPr>
        <w:t>393.349 (</w:t>
      </w:r>
      <w:r w:rsidR="00C7222A" w:rsidRPr="00D34BE8">
        <w:rPr>
          <w:rFonts w:ascii="Book Antiqua" w:hAnsi="Book Antiqua"/>
          <w:i/>
          <w:iCs/>
          <w:sz w:val="20"/>
          <w:szCs w:val="20"/>
        </w:rPr>
        <w:t>R</w:t>
      </w:r>
      <w:r w:rsidR="00C7222A" w:rsidRPr="00D34BE8">
        <w:rPr>
          <w:rFonts w:ascii="Book Antiqua" w:hAnsi="Book Antiqua"/>
          <w:sz w:val="20"/>
          <w:szCs w:val="20"/>
          <w:vertAlign w:val="superscript"/>
        </w:rPr>
        <w:t>2</w:t>
      </w:r>
      <w:r w:rsidR="00C7222A" w:rsidRPr="00D34BE8">
        <w:rPr>
          <w:rFonts w:ascii="Book Antiqua" w:hAnsi="Book Antiqua"/>
          <w:sz w:val="20"/>
          <w:szCs w:val="20"/>
        </w:rPr>
        <w:t xml:space="preserve"> = 0.350); and SSV = 188.813</w:t>
      </w:r>
      <w:r w:rsidR="004D3F15" w:rsidRPr="00D34BE8">
        <w:rPr>
          <w:rFonts w:ascii="Book Antiqua" w:hAnsi="Book Antiqua"/>
          <w:sz w:val="20"/>
          <w:szCs w:val="20"/>
        </w:rPr>
        <w:t xml:space="preserve"> </w:t>
      </w:r>
      <w:r w:rsidR="004D3F15" w:rsidRPr="00D34BE8">
        <w:rPr>
          <w:rFonts w:ascii="Book Antiqua" w:hAnsi="Book Antiqua"/>
          <w:bCs/>
          <w:sz w:val="20"/>
          <w:szCs w:val="20"/>
        </w:rPr>
        <w:t xml:space="preserve">× </w:t>
      </w:r>
      <w:r w:rsidR="00C7222A" w:rsidRPr="00D34BE8">
        <w:rPr>
          <w:rFonts w:ascii="Book Antiqua" w:hAnsi="Book Antiqua"/>
          <w:sz w:val="20"/>
          <w:szCs w:val="20"/>
        </w:rPr>
        <w:t>BSA</w:t>
      </w:r>
      <w:r w:rsidR="004C23D4" w:rsidRPr="00D34BE8">
        <w:rPr>
          <w:rFonts w:ascii="Book Antiqua" w:hAnsi="Book Antiqua"/>
          <w:sz w:val="20"/>
          <w:szCs w:val="20"/>
        </w:rPr>
        <w:t xml:space="preserve"> </w:t>
      </w:r>
      <w:r w:rsidR="00C7222A" w:rsidRPr="00D34BE8">
        <w:rPr>
          <w:rFonts w:ascii="Book Antiqua" w:hAnsi="Book Antiqua"/>
          <w:sz w:val="20"/>
          <w:szCs w:val="20"/>
        </w:rPr>
        <w:t>-</w:t>
      </w:r>
      <w:r w:rsidR="004C23D4" w:rsidRPr="00D34BE8">
        <w:rPr>
          <w:rFonts w:ascii="Book Antiqua" w:hAnsi="Book Antiqua"/>
          <w:sz w:val="20"/>
          <w:szCs w:val="20"/>
        </w:rPr>
        <w:t xml:space="preserve"> </w:t>
      </w:r>
      <w:r w:rsidR="00C7222A" w:rsidRPr="00D34BE8">
        <w:rPr>
          <w:rFonts w:ascii="Book Antiqua" w:hAnsi="Book Antiqua"/>
          <w:sz w:val="20"/>
          <w:szCs w:val="20"/>
        </w:rPr>
        <w:t>140.981 (</w:t>
      </w:r>
      <w:r w:rsidR="00C7222A" w:rsidRPr="00D34BE8">
        <w:rPr>
          <w:rFonts w:ascii="Book Antiqua" w:hAnsi="Book Antiqua"/>
          <w:i/>
          <w:iCs/>
          <w:sz w:val="20"/>
          <w:szCs w:val="20"/>
        </w:rPr>
        <w:t>R</w:t>
      </w:r>
      <w:r w:rsidR="00C7222A" w:rsidRPr="00D34BE8">
        <w:rPr>
          <w:rFonts w:ascii="Book Antiqua" w:hAnsi="Book Antiqua"/>
          <w:sz w:val="20"/>
          <w:szCs w:val="20"/>
          <w:vertAlign w:val="superscript"/>
        </w:rPr>
        <w:t>2</w:t>
      </w:r>
      <w:r w:rsidR="00C7222A" w:rsidRPr="00D34BE8">
        <w:rPr>
          <w:rFonts w:ascii="Book Antiqua" w:hAnsi="Book Antiqua"/>
          <w:sz w:val="20"/>
          <w:szCs w:val="20"/>
        </w:rPr>
        <w:t xml:space="preserve"> = 0.126). These formulas were achieved using the data </w:t>
      </w:r>
      <w:r w:rsidR="00E21808" w:rsidRPr="00D34BE8">
        <w:rPr>
          <w:rFonts w:ascii="Book Antiqua" w:hAnsi="Book Antiqua"/>
          <w:sz w:val="20"/>
          <w:szCs w:val="20"/>
        </w:rPr>
        <w:t>from</w:t>
      </w:r>
      <w:r w:rsidR="00C7222A" w:rsidRPr="00D34BE8">
        <w:rPr>
          <w:rFonts w:ascii="Book Antiqua" w:hAnsi="Book Antiqua"/>
          <w:sz w:val="20"/>
          <w:szCs w:val="20"/>
        </w:rPr>
        <w:t xml:space="preserve"> 207 Chinese healthy adults and were verified using the data f</w:t>
      </w:r>
      <w:r w:rsidR="00E21808" w:rsidRPr="00D34BE8">
        <w:rPr>
          <w:rFonts w:ascii="Book Antiqua" w:hAnsi="Book Antiqua"/>
          <w:sz w:val="20"/>
          <w:szCs w:val="20"/>
        </w:rPr>
        <w:t>rom</w:t>
      </w:r>
      <w:r w:rsidR="00C7222A" w:rsidRPr="00D34BE8">
        <w:rPr>
          <w:rFonts w:ascii="Book Antiqua" w:hAnsi="Book Antiqua"/>
          <w:sz w:val="20"/>
          <w:szCs w:val="20"/>
        </w:rPr>
        <w:t xml:space="preserve"> another 98 healthy adults. The formulas were demonstrated to have higher accuracy and less error than other commonly used formulas</w:t>
      </w:r>
      <w:r w:rsidR="00C7222A" w:rsidRPr="00D34BE8">
        <w:rPr>
          <w:rFonts w:ascii="Book Antiqua" w:hAnsi="Book Antiqua"/>
          <w:sz w:val="20"/>
          <w:szCs w:val="20"/>
          <w:vertAlign w:val="superscript"/>
        </w:rPr>
        <w:t>[12-15]</w:t>
      </w:r>
      <w:r w:rsidR="00C7222A" w:rsidRPr="00D34BE8">
        <w:rPr>
          <w:rFonts w:ascii="Book Antiqua" w:hAnsi="Book Antiqua"/>
          <w:sz w:val="20"/>
          <w:szCs w:val="20"/>
        </w:rPr>
        <w:t>.</w:t>
      </w:r>
    </w:p>
    <w:p w:rsidR="004D3F15" w:rsidRPr="00D34BE8" w:rsidRDefault="004D3F15" w:rsidP="00D34BE8">
      <w:pPr>
        <w:spacing w:after="0" w:line="360" w:lineRule="auto"/>
        <w:jc w:val="both"/>
        <w:rPr>
          <w:rFonts w:ascii="Book Antiqua" w:hAnsi="Book Antiqua"/>
          <w:sz w:val="20"/>
          <w:szCs w:val="20"/>
        </w:rPr>
      </w:pPr>
    </w:p>
    <w:p w:rsidR="004D3F15" w:rsidRPr="00D34BE8" w:rsidRDefault="004D3F15" w:rsidP="00D34BE8">
      <w:pPr>
        <w:spacing w:after="0" w:line="360" w:lineRule="auto"/>
        <w:jc w:val="both"/>
        <w:rPr>
          <w:rFonts w:ascii="Book Antiqua" w:eastAsia="宋体" w:hAnsi="Book Antiqua" w:cs="Calibri"/>
          <w:b/>
          <w:sz w:val="20"/>
          <w:szCs w:val="20"/>
          <w:u w:val="single"/>
          <w:lang w:eastAsia="en-US"/>
        </w:rPr>
      </w:pPr>
      <w:bookmarkStart w:id="28" w:name="_Hlk27568397"/>
      <w:r w:rsidRPr="00D34BE8">
        <w:rPr>
          <w:rFonts w:ascii="Book Antiqua" w:eastAsia="宋体" w:hAnsi="Book Antiqua" w:cs="Calibri"/>
          <w:b/>
          <w:sz w:val="20"/>
          <w:szCs w:val="20"/>
          <w:u w:val="single"/>
          <w:lang w:eastAsia="en-US"/>
        </w:rPr>
        <w:t>MATERIALS AND METHODS</w:t>
      </w:r>
    </w:p>
    <w:bookmarkEnd w:id="28"/>
    <w:p w:rsidR="004D3F15" w:rsidRPr="00D34BE8" w:rsidRDefault="00C7222A" w:rsidP="00D34BE8">
      <w:pPr>
        <w:spacing w:after="0" w:line="360" w:lineRule="auto"/>
        <w:jc w:val="both"/>
        <w:rPr>
          <w:rFonts w:ascii="Book Antiqua" w:hAnsi="Book Antiqua"/>
          <w:b/>
          <w:bCs/>
          <w:i/>
          <w:iCs/>
          <w:sz w:val="20"/>
          <w:szCs w:val="20"/>
        </w:rPr>
      </w:pPr>
      <w:r w:rsidRPr="00D34BE8">
        <w:rPr>
          <w:rFonts w:ascii="Book Antiqua" w:hAnsi="Book Antiqua"/>
          <w:b/>
          <w:bCs/>
          <w:i/>
          <w:iCs/>
          <w:sz w:val="20"/>
          <w:szCs w:val="20"/>
        </w:rPr>
        <w:t>Patients</w:t>
      </w:r>
    </w:p>
    <w:p w:rsidR="006B4ECE" w:rsidRPr="00D34BE8" w:rsidRDefault="00C7222A" w:rsidP="00D34BE8">
      <w:pPr>
        <w:spacing w:after="0" w:line="360" w:lineRule="auto"/>
        <w:jc w:val="both"/>
        <w:rPr>
          <w:rFonts w:ascii="Book Antiqua" w:hAnsi="Book Antiqua"/>
          <w:b/>
          <w:bCs/>
          <w:i/>
          <w:iCs/>
          <w:sz w:val="20"/>
          <w:szCs w:val="20"/>
        </w:rPr>
      </w:pPr>
      <w:r w:rsidRPr="00D34BE8">
        <w:rPr>
          <w:rFonts w:ascii="Book Antiqua" w:hAnsi="Book Antiqua"/>
          <w:sz w:val="20"/>
          <w:szCs w:val="20"/>
        </w:rPr>
        <w:t xml:space="preserve">The data were collected from all patients with viral cirrhosis who were admitted to the Second Affiliated Hospital of Xi'an Jiaotong University (Xi’an, </w:t>
      </w:r>
      <w:r w:rsidR="006B4ECE" w:rsidRPr="00D34BE8">
        <w:rPr>
          <w:rFonts w:ascii="Book Antiqua" w:hAnsi="Book Antiqua"/>
          <w:sz w:val="20"/>
          <w:szCs w:val="20"/>
        </w:rPr>
        <w:t xml:space="preserve">Shaanxi Province </w:t>
      </w:r>
      <w:r w:rsidRPr="00D34BE8">
        <w:rPr>
          <w:rFonts w:ascii="Book Antiqua" w:hAnsi="Book Antiqua"/>
          <w:sz w:val="20"/>
          <w:szCs w:val="20"/>
        </w:rPr>
        <w:t xml:space="preserve">of China) from October 2017 to December 2018 and underwent upper abdominal CT examination. The inclusion criteria were as follows: (1) </w:t>
      </w:r>
      <w:r w:rsidR="00E21808" w:rsidRPr="00D34BE8">
        <w:rPr>
          <w:rFonts w:ascii="Book Antiqua" w:hAnsi="Book Antiqua"/>
          <w:sz w:val="20"/>
          <w:szCs w:val="20"/>
        </w:rPr>
        <w:t>a</w:t>
      </w:r>
      <w:r w:rsidR="006B4ECE" w:rsidRPr="00D34BE8">
        <w:rPr>
          <w:rFonts w:ascii="Book Antiqua" w:hAnsi="Book Antiqua"/>
          <w:sz w:val="20"/>
          <w:szCs w:val="20"/>
        </w:rPr>
        <w:t>ge</w:t>
      </w:r>
      <w:r w:rsidR="00E21808" w:rsidRPr="00D34BE8">
        <w:rPr>
          <w:rFonts w:ascii="Book Antiqua" w:hAnsi="Book Antiqua"/>
          <w:sz w:val="20"/>
          <w:szCs w:val="20"/>
        </w:rPr>
        <w:t xml:space="preserve"> </w:t>
      </w:r>
      <w:r w:rsidRPr="00D34BE8">
        <w:rPr>
          <w:rFonts w:ascii="Book Antiqua" w:hAnsi="Book Antiqua"/>
          <w:sz w:val="20"/>
          <w:szCs w:val="20"/>
        </w:rPr>
        <w:t xml:space="preserve">&gt; 18 years; (2) </w:t>
      </w:r>
      <w:r w:rsidR="00E21808" w:rsidRPr="00D34BE8">
        <w:rPr>
          <w:rFonts w:ascii="Book Antiqua" w:hAnsi="Book Antiqua"/>
          <w:sz w:val="20"/>
          <w:szCs w:val="20"/>
        </w:rPr>
        <w:t>h</w:t>
      </w:r>
      <w:r w:rsidR="006B4ECE" w:rsidRPr="00D34BE8">
        <w:rPr>
          <w:rFonts w:ascii="Book Antiqua" w:hAnsi="Book Antiqua"/>
          <w:sz w:val="20"/>
          <w:szCs w:val="20"/>
        </w:rPr>
        <w:t xml:space="preserve">ave hepatitis </w:t>
      </w:r>
      <w:r w:rsidRPr="00D34BE8">
        <w:rPr>
          <w:rFonts w:ascii="Book Antiqua" w:hAnsi="Book Antiqua"/>
          <w:sz w:val="20"/>
          <w:szCs w:val="20"/>
        </w:rPr>
        <w:t xml:space="preserve">B viral and </w:t>
      </w:r>
      <w:r w:rsidR="006B4ECE" w:rsidRPr="00D34BE8">
        <w:rPr>
          <w:rFonts w:ascii="Book Antiqua" w:hAnsi="Book Antiqua"/>
          <w:sz w:val="20"/>
          <w:szCs w:val="20"/>
        </w:rPr>
        <w:t xml:space="preserve">hepatitis </w:t>
      </w:r>
      <w:r w:rsidRPr="00D34BE8">
        <w:rPr>
          <w:rFonts w:ascii="Book Antiqua" w:hAnsi="Book Antiqua"/>
          <w:sz w:val="20"/>
          <w:szCs w:val="20"/>
        </w:rPr>
        <w:t xml:space="preserve">C viral cirrhosis; and (3) </w:t>
      </w:r>
      <w:r w:rsidR="00D34BE8">
        <w:rPr>
          <w:rFonts w:ascii="Book Antiqua" w:hAnsi="Book Antiqua"/>
          <w:sz w:val="20"/>
          <w:szCs w:val="20"/>
        </w:rPr>
        <w:t>u</w:t>
      </w:r>
      <w:r w:rsidR="006B4ECE" w:rsidRPr="00D34BE8">
        <w:rPr>
          <w:rFonts w:ascii="Book Antiqua" w:hAnsi="Book Antiqua"/>
          <w:sz w:val="20"/>
          <w:szCs w:val="20"/>
        </w:rPr>
        <w:t xml:space="preserve">nderwent </w:t>
      </w:r>
      <w:r w:rsidRPr="00D34BE8">
        <w:rPr>
          <w:rFonts w:ascii="Book Antiqua" w:hAnsi="Book Antiqua"/>
          <w:sz w:val="20"/>
          <w:szCs w:val="20"/>
        </w:rPr>
        <w:t xml:space="preserve">biochemical examination, upper abdominal CT examination, and gastroscopy, and </w:t>
      </w:r>
      <w:r w:rsidR="00E21808" w:rsidRPr="00D34BE8">
        <w:rPr>
          <w:rFonts w:ascii="Book Antiqua" w:hAnsi="Book Antiqua"/>
          <w:sz w:val="20"/>
          <w:szCs w:val="20"/>
        </w:rPr>
        <w:t>i</w:t>
      </w:r>
      <w:r w:rsidRPr="00D34BE8">
        <w:rPr>
          <w:rFonts w:ascii="Book Antiqua" w:hAnsi="Book Antiqua"/>
          <w:sz w:val="20"/>
          <w:szCs w:val="20"/>
        </w:rPr>
        <w:t xml:space="preserve">nterval between examinations </w:t>
      </w:r>
      <w:r w:rsidR="00E21808" w:rsidRPr="00D34BE8">
        <w:rPr>
          <w:rFonts w:ascii="Book Antiqua" w:hAnsi="Book Antiqua"/>
          <w:sz w:val="20"/>
          <w:szCs w:val="20"/>
        </w:rPr>
        <w:t xml:space="preserve">of </w:t>
      </w:r>
      <w:r w:rsidRPr="00D34BE8">
        <w:rPr>
          <w:rFonts w:ascii="Book Antiqua" w:hAnsi="Book Antiqua"/>
          <w:sz w:val="20"/>
          <w:szCs w:val="20"/>
        </w:rPr>
        <w:t xml:space="preserve">no more than 3 mo. Patients with the following criteria were excluded: (1) </w:t>
      </w:r>
      <w:r w:rsidR="00E21808" w:rsidRPr="00D34BE8">
        <w:rPr>
          <w:rFonts w:ascii="Book Antiqua" w:hAnsi="Book Antiqua"/>
          <w:sz w:val="20"/>
          <w:szCs w:val="20"/>
        </w:rPr>
        <w:t>o</w:t>
      </w:r>
      <w:r w:rsidR="006B4ECE" w:rsidRPr="00D34BE8">
        <w:rPr>
          <w:rFonts w:ascii="Book Antiqua" w:hAnsi="Book Antiqua"/>
          <w:sz w:val="20"/>
          <w:szCs w:val="20"/>
        </w:rPr>
        <w:t xml:space="preserve">ther </w:t>
      </w:r>
      <w:r w:rsidRPr="00D34BE8">
        <w:rPr>
          <w:rFonts w:ascii="Book Antiqua" w:hAnsi="Book Antiqua"/>
          <w:sz w:val="20"/>
          <w:szCs w:val="20"/>
        </w:rPr>
        <w:t xml:space="preserve">types of cirrhosis such as alcoholic cirrhosis, autoimmune cirrhosis, occult cirrhosis, </w:t>
      </w:r>
      <w:r w:rsidRPr="00D34BE8">
        <w:rPr>
          <w:rFonts w:ascii="Book Antiqua" w:hAnsi="Book Antiqua"/>
          <w:i/>
          <w:iCs/>
          <w:sz w:val="20"/>
          <w:szCs w:val="20"/>
        </w:rPr>
        <w:t>etc</w:t>
      </w:r>
      <w:r w:rsidRPr="00D34BE8">
        <w:rPr>
          <w:rFonts w:ascii="Book Antiqua" w:hAnsi="Book Antiqua"/>
          <w:sz w:val="20"/>
          <w:szCs w:val="20"/>
        </w:rPr>
        <w:t xml:space="preserve">; (2) </w:t>
      </w:r>
      <w:r w:rsidR="00E21808" w:rsidRPr="00D34BE8">
        <w:rPr>
          <w:rFonts w:ascii="Book Antiqua" w:hAnsi="Book Antiqua"/>
          <w:sz w:val="20"/>
          <w:szCs w:val="20"/>
        </w:rPr>
        <w:t>c</w:t>
      </w:r>
      <w:r w:rsidR="006B4ECE" w:rsidRPr="00D34BE8">
        <w:rPr>
          <w:rFonts w:ascii="Book Antiqua" w:hAnsi="Book Antiqua"/>
          <w:sz w:val="20"/>
          <w:szCs w:val="20"/>
        </w:rPr>
        <w:t xml:space="preserve">irrhosis </w:t>
      </w:r>
      <w:r w:rsidRPr="00D34BE8">
        <w:rPr>
          <w:rFonts w:ascii="Book Antiqua" w:hAnsi="Book Antiqua"/>
          <w:sz w:val="20"/>
          <w:szCs w:val="20"/>
        </w:rPr>
        <w:t xml:space="preserve">patients with medium to large ascites; (3) </w:t>
      </w:r>
      <w:r w:rsidR="00E21808" w:rsidRPr="00D34BE8">
        <w:rPr>
          <w:rFonts w:ascii="Book Antiqua" w:hAnsi="Book Antiqua"/>
          <w:sz w:val="20"/>
          <w:szCs w:val="20"/>
        </w:rPr>
        <w:t>s</w:t>
      </w:r>
      <w:r w:rsidR="006B4ECE" w:rsidRPr="00D34BE8">
        <w:rPr>
          <w:rFonts w:ascii="Book Antiqua" w:hAnsi="Book Antiqua"/>
          <w:sz w:val="20"/>
          <w:szCs w:val="20"/>
        </w:rPr>
        <w:t xml:space="preserve">uspected </w:t>
      </w:r>
      <w:r w:rsidRPr="00D34BE8">
        <w:rPr>
          <w:rFonts w:ascii="Book Antiqua" w:hAnsi="Book Antiqua"/>
          <w:sz w:val="20"/>
          <w:szCs w:val="20"/>
        </w:rPr>
        <w:t xml:space="preserve">liver tumors; (4) </w:t>
      </w:r>
      <w:r w:rsidR="00E21808" w:rsidRPr="00D34BE8">
        <w:rPr>
          <w:rFonts w:ascii="Book Antiqua" w:hAnsi="Book Antiqua"/>
          <w:sz w:val="20"/>
          <w:szCs w:val="20"/>
        </w:rPr>
        <w:t>h</w:t>
      </w:r>
      <w:r w:rsidR="006B4ECE" w:rsidRPr="00D34BE8">
        <w:rPr>
          <w:rFonts w:ascii="Book Antiqua" w:hAnsi="Book Antiqua"/>
          <w:sz w:val="20"/>
          <w:szCs w:val="20"/>
        </w:rPr>
        <w:t xml:space="preserve">istory </w:t>
      </w:r>
      <w:r w:rsidRPr="00D34BE8">
        <w:rPr>
          <w:rFonts w:ascii="Book Antiqua" w:hAnsi="Book Antiqua"/>
          <w:sz w:val="20"/>
          <w:szCs w:val="20"/>
        </w:rPr>
        <w:t xml:space="preserve">of liver or spleen resection; (5) </w:t>
      </w:r>
      <w:r w:rsidR="00E21808" w:rsidRPr="00D34BE8">
        <w:rPr>
          <w:rFonts w:ascii="Book Antiqua" w:hAnsi="Book Antiqua"/>
          <w:sz w:val="20"/>
          <w:szCs w:val="20"/>
        </w:rPr>
        <w:t>b</w:t>
      </w:r>
      <w:r w:rsidR="006B4ECE" w:rsidRPr="00D34BE8">
        <w:rPr>
          <w:rFonts w:ascii="Book Antiqua" w:hAnsi="Book Antiqua"/>
          <w:sz w:val="20"/>
          <w:szCs w:val="20"/>
        </w:rPr>
        <w:t xml:space="preserve">enign </w:t>
      </w:r>
      <w:r w:rsidRPr="00D34BE8">
        <w:rPr>
          <w:rFonts w:ascii="Book Antiqua" w:hAnsi="Book Antiqua"/>
          <w:sz w:val="20"/>
          <w:szCs w:val="20"/>
        </w:rPr>
        <w:t>diseases that may affect the size of the liver or spleen such as cysts (diameter &gt; 1</w:t>
      </w:r>
      <w:r w:rsidR="006B4ECE" w:rsidRPr="00D34BE8">
        <w:rPr>
          <w:rFonts w:ascii="Book Antiqua" w:hAnsi="Book Antiqua"/>
          <w:sz w:val="20"/>
          <w:szCs w:val="20"/>
        </w:rPr>
        <w:t xml:space="preserve"> </w:t>
      </w:r>
      <w:r w:rsidRPr="00D34BE8">
        <w:rPr>
          <w:rFonts w:ascii="Book Antiqua" w:hAnsi="Book Antiqua"/>
          <w:sz w:val="20"/>
          <w:szCs w:val="20"/>
        </w:rPr>
        <w:t xml:space="preserve">cm; number ≥ 2); (6) </w:t>
      </w:r>
      <w:r w:rsidR="00E21808" w:rsidRPr="00D34BE8">
        <w:rPr>
          <w:rFonts w:ascii="Book Antiqua" w:hAnsi="Book Antiqua"/>
          <w:sz w:val="20"/>
          <w:szCs w:val="20"/>
        </w:rPr>
        <w:t>o</w:t>
      </w:r>
      <w:r w:rsidR="006B4ECE" w:rsidRPr="00D34BE8">
        <w:rPr>
          <w:rFonts w:ascii="Book Antiqua" w:hAnsi="Book Antiqua"/>
          <w:sz w:val="20"/>
          <w:szCs w:val="20"/>
        </w:rPr>
        <w:t xml:space="preserve">ther </w:t>
      </w:r>
      <w:r w:rsidRPr="00D34BE8">
        <w:rPr>
          <w:rFonts w:ascii="Book Antiqua" w:hAnsi="Book Antiqua"/>
          <w:sz w:val="20"/>
          <w:szCs w:val="20"/>
        </w:rPr>
        <w:t>conditions that can possibly affect the hemodynamic of portal vein or splenic vein such as thrombosis, embolism</w:t>
      </w:r>
      <w:r w:rsidR="00E21808" w:rsidRPr="00D34BE8">
        <w:rPr>
          <w:rFonts w:ascii="Book Antiqua" w:hAnsi="Book Antiqua"/>
          <w:sz w:val="20"/>
          <w:szCs w:val="20"/>
        </w:rPr>
        <w:t>,</w:t>
      </w:r>
      <w:r w:rsidRPr="00D34BE8">
        <w:rPr>
          <w:rFonts w:ascii="Book Antiqua" w:hAnsi="Book Antiqua"/>
          <w:sz w:val="20"/>
          <w:szCs w:val="20"/>
        </w:rPr>
        <w:t xml:space="preserve"> or spongiform degeneration; (7) </w:t>
      </w:r>
      <w:r w:rsidR="00E21808" w:rsidRPr="00D34BE8">
        <w:rPr>
          <w:rFonts w:ascii="Book Antiqua" w:hAnsi="Book Antiqua"/>
          <w:sz w:val="20"/>
          <w:szCs w:val="20"/>
        </w:rPr>
        <w:t>o</w:t>
      </w:r>
      <w:r w:rsidR="006B4ECE" w:rsidRPr="00D34BE8">
        <w:rPr>
          <w:rFonts w:ascii="Book Antiqua" w:hAnsi="Book Antiqua"/>
          <w:sz w:val="20"/>
          <w:szCs w:val="20"/>
        </w:rPr>
        <w:t xml:space="preserve">ther </w:t>
      </w:r>
      <w:r w:rsidRPr="00D34BE8">
        <w:rPr>
          <w:rFonts w:ascii="Book Antiqua" w:hAnsi="Book Antiqua"/>
          <w:sz w:val="20"/>
          <w:szCs w:val="20"/>
        </w:rPr>
        <w:t>conditions that may affect liver stiffness measurement (LSM), such as BMI &gt; 35</w:t>
      </w:r>
      <w:r w:rsidR="006B4ECE" w:rsidRPr="00D34BE8">
        <w:rPr>
          <w:rFonts w:ascii="Book Antiqua" w:hAnsi="Book Antiqua"/>
          <w:sz w:val="20"/>
          <w:szCs w:val="20"/>
        </w:rPr>
        <w:t xml:space="preserve"> k</w:t>
      </w:r>
      <w:r w:rsidRPr="00D34BE8">
        <w:rPr>
          <w:rFonts w:ascii="Book Antiqua" w:hAnsi="Book Antiqua"/>
          <w:sz w:val="20"/>
          <w:szCs w:val="20"/>
        </w:rPr>
        <w:t>g/m</w:t>
      </w:r>
      <w:r w:rsidRPr="00D34BE8">
        <w:rPr>
          <w:rFonts w:ascii="Book Antiqua" w:hAnsi="Book Antiqua"/>
          <w:sz w:val="20"/>
          <w:szCs w:val="20"/>
          <w:vertAlign w:val="superscript"/>
        </w:rPr>
        <w:t>2</w:t>
      </w:r>
      <w:r w:rsidRPr="00D34BE8">
        <w:rPr>
          <w:rFonts w:ascii="Book Antiqua" w:hAnsi="Book Antiqua"/>
          <w:sz w:val="20"/>
          <w:szCs w:val="20"/>
        </w:rPr>
        <w:t xml:space="preserve">; (8) </w:t>
      </w:r>
      <w:r w:rsidR="001E4694" w:rsidRPr="00D34BE8">
        <w:rPr>
          <w:rFonts w:ascii="Book Antiqua" w:hAnsi="Book Antiqua"/>
          <w:sz w:val="20"/>
          <w:szCs w:val="20"/>
        </w:rPr>
        <w:t>u</w:t>
      </w:r>
      <w:r w:rsidR="006B4ECE" w:rsidRPr="00D34BE8">
        <w:rPr>
          <w:rFonts w:ascii="Book Antiqua" w:hAnsi="Book Antiqua"/>
          <w:sz w:val="20"/>
          <w:szCs w:val="20"/>
        </w:rPr>
        <w:t xml:space="preserve">nreliable </w:t>
      </w:r>
      <w:r w:rsidRPr="00D34BE8">
        <w:rPr>
          <w:rFonts w:ascii="Book Antiqua" w:hAnsi="Book Antiqua"/>
          <w:sz w:val="20"/>
          <w:szCs w:val="20"/>
        </w:rPr>
        <w:t xml:space="preserve">liver hardness measurement: interquartile range/median &gt; 0.3, success rate &lt; 60%, or effective measurement times &lt; 10 times; (9) </w:t>
      </w:r>
      <w:r w:rsidR="001E4694" w:rsidRPr="00D34BE8">
        <w:rPr>
          <w:rFonts w:ascii="Book Antiqua" w:hAnsi="Book Antiqua"/>
          <w:sz w:val="20"/>
          <w:szCs w:val="20"/>
        </w:rPr>
        <w:t>p</w:t>
      </w:r>
      <w:r w:rsidR="006B4ECE" w:rsidRPr="00D34BE8">
        <w:rPr>
          <w:rFonts w:ascii="Book Antiqua" w:hAnsi="Book Antiqua"/>
          <w:sz w:val="20"/>
          <w:szCs w:val="20"/>
        </w:rPr>
        <w:t xml:space="preserve">atients </w:t>
      </w:r>
      <w:r w:rsidRPr="00D34BE8">
        <w:rPr>
          <w:rFonts w:ascii="Book Antiqua" w:hAnsi="Book Antiqua"/>
          <w:sz w:val="20"/>
          <w:szCs w:val="20"/>
        </w:rPr>
        <w:t xml:space="preserve">with viral cirrhosis but without EVs; (10) </w:t>
      </w:r>
      <w:r w:rsidR="001E4694" w:rsidRPr="00D34BE8">
        <w:rPr>
          <w:rFonts w:ascii="Book Antiqua" w:hAnsi="Book Antiqua"/>
          <w:sz w:val="20"/>
          <w:szCs w:val="20"/>
        </w:rPr>
        <w:t>p</w:t>
      </w:r>
      <w:r w:rsidR="006B4ECE" w:rsidRPr="00D34BE8">
        <w:rPr>
          <w:rFonts w:ascii="Book Antiqua" w:hAnsi="Book Antiqua"/>
          <w:sz w:val="20"/>
          <w:szCs w:val="20"/>
        </w:rPr>
        <w:t xml:space="preserve">atients </w:t>
      </w:r>
      <w:r w:rsidRPr="00D34BE8">
        <w:rPr>
          <w:rFonts w:ascii="Book Antiqua" w:hAnsi="Book Antiqua"/>
          <w:sz w:val="20"/>
          <w:szCs w:val="20"/>
        </w:rPr>
        <w:t xml:space="preserve">with severe weight loss or malnutrition; (11) </w:t>
      </w:r>
      <w:r w:rsidR="001E4694" w:rsidRPr="00D34BE8">
        <w:rPr>
          <w:rFonts w:ascii="Book Antiqua" w:hAnsi="Book Antiqua"/>
          <w:sz w:val="20"/>
          <w:szCs w:val="20"/>
        </w:rPr>
        <w:t>p</w:t>
      </w:r>
      <w:r w:rsidR="006B4ECE" w:rsidRPr="00D34BE8">
        <w:rPr>
          <w:rFonts w:ascii="Book Antiqua" w:hAnsi="Book Antiqua"/>
          <w:sz w:val="20"/>
          <w:szCs w:val="20"/>
        </w:rPr>
        <w:t xml:space="preserve">atients </w:t>
      </w:r>
      <w:r w:rsidRPr="00D34BE8">
        <w:rPr>
          <w:rFonts w:ascii="Book Antiqua" w:hAnsi="Book Antiqua"/>
          <w:sz w:val="20"/>
          <w:szCs w:val="20"/>
        </w:rPr>
        <w:t xml:space="preserve">with hematological disease that may affect the spleen volume; and (12) </w:t>
      </w:r>
      <w:r w:rsidR="001E4694" w:rsidRPr="00D34BE8">
        <w:rPr>
          <w:rFonts w:ascii="Book Antiqua" w:hAnsi="Book Antiqua"/>
          <w:sz w:val="20"/>
          <w:szCs w:val="20"/>
        </w:rPr>
        <w:t>p</w:t>
      </w:r>
      <w:r w:rsidR="006B4ECE" w:rsidRPr="00D34BE8">
        <w:rPr>
          <w:rFonts w:ascii="Book Antiqua" w:hAnsi="Book Antiqua"/>
          <w:sz w:val="20"/>
          <w:szCs w:val="20"/>
        </w:rPr>
        <w:t xml:space="preserve">atients </w:t>
      </w:r>
      <w:r w:rsidRPr="00D34BE8">
        <w:rPr>
          <w:rFonts w:ascii="Book Antiqua" w:hAnsi="Book Antiqua"/>
          <w:sz w:val="20"/>
          <w:szCs w:val="20"/>
        </w:rPr>
        <w:t>with a history of bleeding from the esophagus and receiving endoscopic or surgical treatment.</w:t>
      </w:r>
    </w:p>
    <w:p w:rsidR="00C7222A" w:rsidRPr="00D34BE8" w:rsidRDefault="006B4ECE" w:rsidP="00D34BE8">
      <w:pPr>
        <w:spacing w:after="0" w:line="360" w:lineRule="auto"/>
        <w:jc w:val="both"/>
        <w:rPr>
          <w:rFonts w:ascii="Book Antiqua" w:hAnsi="Book Antiqua"/>
          <w:sz w:val="20"/>
          <w:szCs w:val="20"/>
        </w:rPr>
      </w:pPr>
      <w:r w:rsidRPr="00D34BE8">
        <w:rPr>
          <w:rFonts w:ascii="Book Antiqua" w:hAnsi="Book Antiqua"/>
          <w:b/>
          <w:bCs/>
          <w:sz w:val="20"/>
          <w:szCs w:val="20"/>
        </w:rPr>
        <w:t xml:space="preserve">  </w:t>
      </w:r>
      <w:r w:rsidR="00C7222A" w:rsidRPr="00D34BE8">
        <w:rPr>
          <w:rFonts w:ascii="Book Antiqua" w:hAnsi="Book Antiqua"/>
          <w:sz w:val="20"/>
          <w:szCs w:val="20"/>
        </w:rPr>
        <w:t xml:space="preserve">A total of 86 patients, including 56 patients with HEVs and 30 patients with LEVs, who met the inclusion criteria were enrolled in this study as the modeling group. </w:t>
      </w:r>
      <w:r w:rsidR="001E4694" w:rsidRPr="00D34BE8">
        <w:rPr>
          <w:rFonts w:ascii="Book Antiqua" w:hAnsi="Book Antiqua"/>
          <w:sz w:val="20"/>
          <w:szCs w:val="20"/>
        </w:rPr>
        <w:t xml:space="preserve">Fifty </w:t>
      </w:r>
      <w:r w:rsidR="00C7222A" w:rsidRPr="00D34BE8">
        <w:rPr>
          <w:rFonts w:ascii="Book Antiqua" w:hAnsi="Book Antiqua"/>
          <w:sz w:val="20"/>
          <w:szCs w:val="20"/>
        </w:rPr>
        <w:t>other patients who met the inclusion criteria were enrolled in the study as the external validation group. Data collection for patients in the external validation group was performed after the new model was established. The application of the new model and the collection of gastroscopy results of the external validation group are independent processes. According to the Baveno V standard, the patients were divided into HEV</w:t>
      </w:r>
      <w:r w:rsidR="001E4694" w:rsidRPr="00D34BE8">
        <w:rPr>
          <w:rFonts w:ascii="Book Antiqua" w:hAnsi="Book Antiqua"/>
          <w:sz w:val="20"/>
          <w:szCs w:val="20"/>
        </w:rPr>
        <w:t xml:space="preserve"> </w:t>
      </w:r>
      <w:r w:rsidR="00C7222A" w:rsidRPr="00D34BE8">
        <w:rPr>
          <w:rFonts w:ascii="Book Antiqua" w:hAnsi="Book Antiqua"/>
          <w:sz w:val="20"/>
          <w:szCs w:val="20"/>
        </w:rPr>
        <w:t>and non-LEV group</w:t>
      </w:r>
      <w:r w:rsidR="001E4694" w:rsidRPr="00D34BE8">
        <w:rPr>
          <w:rFonts w:ascii="Book Antiqua" w:hAnsi="Book Antiqua"/>
          <w:sz w:val="20"/>
          <w:szCs w:val="20"/>
        </w:rPr>
        <w:t>s</w:t>
      </w:r>
      <w:r w:rsidR="00C7222A" w:rsidRPr="00D34BE8">
        <w:rPr>
          <w:rFonts w:ascii="Book Antiqua" w:hAnsi="Book Antiqua"/>
          <w:sz w:val="20"/>
          <w:szCs w:val="20"/>
        </w:rPr>
        <w:t xml:space="preserve">. Basic information of each patient such as gender, age, height, weight, and BSA was recorded. The </w:t>
      </w:r>
      <w:r w:rsidR="001E4694" w:rsidRPr="00D34BE8">
        <w:rPr>
          <w:rFonts w:ascii="Book Antiqua" w:hAnsi="Book Antiqua"/>
          <w:sz w:val="20"/>
          <w:szCs w:val="20"/>
        </w:rPr>
        <w:t>BSA</w:t>
      </w:r>
      <w:r w:rsidR="00C7222A" w:rsidRPr="00D34BE8">
        <w:rPr>
          <w:rFonts w:ascii="Book Antiqua" w:hAnsi="Book Antiqua"/>
          <w:sz w:val="20"/>
          <w:szCs w:val="20"/>
        </w:rPr>
        <w:t xml:space="preserve"> was calculated by the Mosteller formula, which is more suitable for the Chinese population, as follows: BSA=</w:t>
      </w:r>
      <w:r w:rsidR="0079578F" w:rsidRPr="00D34BE8">
        <w:rPr>
          <w:rFonts w:ascii="Book Antiqua" w:hAnsi="Book Antiqua"/>
          <w:sz w:val="20"/>
          <w:szCs w:val="20"/>
        </w:rPr>
        <w:t xml:space="preserve"> √[BW (kg) × BH (cm)/3600]. </w:t>
      </w:r>
      <w:r w:rsidR="00C7222A" w:rsidRPr="00D34BE8">
        <w:rPr>
          <w:rFonts w:ascii="Book Antiqua" w:hAnsi="Book Antiqua"/>
          <w:sz w:val="20"/>
          <w:szCs w:val="20"/>
        </w:rPr>
        <w:t>HEVs are defined by the Baveno V standard as large EVs (diameter ≥ 5 mm), small EVs (diameter &lt; 5 mm) with red signs, or EVs for Child C patients; and LEVs are EVs that do not meet these criteria</w:t>
      </w:r>
      <w:r w:rsidR="00C7222A" w:rsidRPr="00D34BE8">
        <w:rPr>
          <w:rFonts w:ascii="Book Antiqua" w:hAnsi="Book Antiqua"/>
          <w:sz w:val="20"/>
          <w:szCs w:val="20"/>
          <w:vertAlign w:val="superscript"/>
        </w:rPr>
        <w:t>[</w:t>
      </w:r>
      <w:r w:rsidR="003234B3" w:rsidRPr="00D34BE8">
        <w:rPr>
          <w:rFonts w:ascii="Book Antiqua" w:hAnsi="Book Antiqua"/>
          <w:sz w:val="20"/>
          <w:szCs w:val="20"/>
          <w:vertAlign w:val="superscript"/>
        </w:rPr>
        <w:t>8</w:t>
      </w:r>
      <w:r w:rsidR="00C7222A" w:rsidRPr="00D34BE8">
        <w:rPr>
          <w:rFonts w:ascii="Book Antiqua" w:hAnsi="Book Antiqua"/>
          <w:sz w:val="20"/>
          <w:szCs w:val="20"/>
          <w:vertAlign w:val="superscript"/>
        </w:rPr>
        <w:t>,1</w:t>
      </w:r>
      <w:r w:rsidR="003234B3" w:rsidRPr="00D34BE8">
        <w:rPr>
          <w:rFonts w:ascii="Book Antiqua" w:hAnsi="Book Antiqua"/>
          <w:sz w:val="20"/>
          <w:szCs w:val="20"/>
          <w:vertAlign w:val="superscript"/>
        </w:rPr>
        <w:t>6</w:t>
      </w:r>
      <w:r w:rsidR="00C7222A" w:rsidRPr="00D34BE8">
        <w:rPr>
          <w:rFonts w:ascii="Book Antiqua" w:hAnsi="Book Antiqua"/>
          <w:sz w:val="20"/>
          <w:szCs w:val="20"/>
          <w:vertAlign w:val="superscript"/>
        </w:rPr>
        <w:t>]</w:t>
      </w:r>
      <w:r w:rsidR="001E4694" w:rsidRPr="00D34BE8">
        <w:rPr>
          <w:rFonts w:ascii="Book Antiqua" w:hAnsi="Book Antiqua"/>
          <w:sz w:val="20"/>
          <w:szCs w:val="20"/>
          <w:vertAlign w:val="superscript"/>
        </w:rPr>
        <w:t xml:space="preserve"> </w:t>
      </w:r>
      <w:r w:rsidR="00C7222A" w:rsidRPr="00D34BE8">
        <w:rPr>
          <w:rFonts w:ascii="Book Antiqua" w:hAnsi="Book Antiqua"/>
          <w:sz w:val="20"/>
          <w:szCs w:val="20"/>
        </w:rPr>
        <w:t xml:space="preserve">The grading and scoring of patients with cirrhosis were performed following the Child-Pugh scoring system. This study </w:t>
      </w:r>
      <w:r w:rsidR="001E4694" w:rsidRPr="00D34BE8">
        <w:rPr>
          <w:rFonts w:ascii="Book Antiqua" w:hAnsi="Book Antiqua"/>
          <w:sz w:val="20"/>
          <w:szCs w:val="20"/>
        </w:rPr>
        <w:t>was</w:t>
      </w:r>
      <w:r w:rsidR="00C7222A" w:rsidRPr="00D34BE8">
        <w:rPr>
          <w:rFonts w:ascii="Book Antiqua" w:hAnsi="Book Antiqua"/>
          <w:sz w:val="20"/>
          <w:szCs w:val="20"/>
        </w:rPr>
        <w:t xml:space="preserve"> approved by the Ethics Committee of </w:t>
      </w:r>
      <w:r w:rsidR="003648E7">
        <w:rPr>
          <w:rFonts w:ascii="Book Antiqua" w:hAnsi="Book Antiqua"/>
          <w:sz w:val="20"/>
          <w:szCs w:val="20"/>
        </w:rPr>
        <w:t>T</w:t>
      </w:r>
      <w:r w:rsidR="00C7222A" w:rsidRPr="00D34BE8">
        <w:rPr>
          <w:rFonts w:ascii="Book Antiqua" w:hAnsi="Book Antiqua"/>
          <w:sz w:val="20"/>
          <w:szCs w:val="20"/>
        </w:rPr>
        <w:t xml:space="preserve">he Second Affiliated Hospital of Xi'an Jiaotong University. This </w:t>
      </w:r>
      <w:r w:rsidR="001E4694" w:rsidRPr="00D34BE8">
        <w:rPr>
          <w:rFonts w:ascii="Book Antiqua" w:hAnsi="Book Antiqua"/>
          <w:sz w:val="20"/>
          <w:szCs w:val="20"/>
        </w:rPr>
        <w:t>was</w:t>
      </w:r>
      <w:r w:rsidR="00C7222A" w:rsidRPr="00D34BE8">
        <w:rPr>
          <w:rFonts w:ascii="Book Antiqua" w:hAnsi="Book Antiqua"/>
          <w:sz w:val="20"/>
          <w:szCs w:val="20"/>
        </w:rPr>
        <w:t xml:space="preserve"> a retrospective study; thus, the </w:t>
      </w:r>
      <w:r w:rsidR="003F7B7A" w:rsidRPr="00D34BE8">
        <w:rPr>
          <w:rFonts w:ascii="Book Antiqua" w:hAnsi="Book Antiqua"/>
          <w:sz w:val="20"/>
          <w:szCs w:val="20"/>
        </w:rPr>
        <w:t>E</w:t>
      </w:r>
      <w:r w:rsidR="00C7222A" w:rsidRPr="00D34BE8">
        <w:rPr>
          <w:rFonts w:ascii="Book Antiqua" w:hAnsi="Book Antiqua"/>
          <w:sz w:val="20"/>
          <w:szCs w:val="20"/>
        </w:rPr>
        <w:t xml:space="preserve">thics </w:t>
      </w:r>
      <w:r w:rsidR="003F7B7A" w:rsidRPr="00D34BE8">
        <w:rPr>
          <w:rFonts w:ascii="Book Antiqua" w:hAnsi="Book Antiqua"/>
          <w:sz w:val="20"/>
          <w:szCs w:val="20"/>
        </w:rPr>
        <w:t>C</w:t>
      </w:r>
      <w:r w:rsidR="00C7222A" w:rsidRPr="00D34BE8">
        <w:rPr>
          <w:rFonts w:ascii="Book Antiqua" w:hAnsi="Book Antiqua"/>
          <w:sz w:val="20"/>
          <w:szCs w:val="20"/>
        </w:rPr>
        <w:t xml:space="preserve">ommittee </w:t>
      </w:r>
      <w:r w:rsidR="00944C81" w:rsidRPr="00D34BE8">
        <w:rPr>
          <w:rFonts w:ascii="Book Antiqua" w:hAnsi="Book Antiqua"/>
          <w:sz w:val="20"/>
          <w:szCs w:val="20"/>
        </w:rPr>
        <w:t>waived</w:t>
      </w:r>
      <w:r w:rsidR="00C7222A" w:rsidRPr="00D34BE8">
        <w:rPr>
          <w:rFonts w:ascii="Book Antiqua" w:hAnsi="Book Antiqua"/>
          <w:sz w:val="20"/>
          <w:szCs w:val="20"/>
        </w:rPr>
        <w:t xml:space="preserve"> the</w:t>
      </w:r>
      <w:r w:rsidR="00944C81" w:rsidRPr="00D34BE8">
        <w:rPr>
          <w:rFonts w:ascii="Book Antiqua" w:hAnsi="Book Antiqua"/>
          <w:sz w:val="20"/>
          <w:szCs w:val="20"/>
        </w:rPr>
        <w:t xml:space="preserve"> requirement to obtain</w:t>
      </w:r>
      <w:r w:rsidR="00C7222A" w:rsidRPr="00D34BE8">
        <w:rPr>
          <w:rFonts w:ascii="Book Antiqua" w:hAnsi="Book Antiqua"/>
          <w:sz w:val="20"/>
          <w:szCs w:val="20"/>
        </w:rPr>
        <w:t xml:space="preserve"> informed consent </w:t>
      </w:r>
      <w:r w:rsidR="00944C81" w:rsidRPr="00D34BE8">
        <w:rPr>
          <w:rFonts w:ascii="Book Antiqua" w:hAnsi="Book Antiqua"/>
          <w:sz w:val="20"/>
          <w:szCs w:val="20"/>
        </w:rPr>
        <w:t xml:space="preserve">from </w:t>
      </w:r>
      <w:r w:rsidR="00C7222A" w:rsidRPr="00D34BE8">
        <w:rPr>
          <w:rFonts w:ascii="Book Antiqua" w:hAnsi="Book Antiqua"/>
          <w:sz w:val="20"/>
          <w:szCs w:val="20"/>
        </w:rPr>
        <w:t>the patients.</w:t>
      </w:r>
    </w:p>
    <w:p w:rsidR="000E185A" w:rsidRPr="00D34BE8" w:rsidRDefault="000E185A" w:rsidP="00D34BE8">
      <w:pPr>
        <w:spacing w:after="0" w:line="360" w:lineRule="auto"/>
        <w:jc w:val="both"/>
        <w:rPr>
          <w:rFonts w:ascii="Book Antiqua" w:hAnsi="Book Antiqua"/>
          <w:b/>
          <w:bCs/>
          <w:i/>
          <w:iCs/>
          <w:sz w:val="20"/>
          <w:szCs w:val="20"/>
        </w:rPr>
      </w:pPr>
    </w:p>
    <w:p w:rsidR="000E185A" w:rsidRPr="00D34BE8" w:rsidRDefault="00C7222A" w:rsidP="00D34BE8">
      <w:pPr>
        <w:spacing w:after="0" w:line="360" w:lineRule="auto"/>
        <w:jc w:val="both"/>
        <w:rPr>
          <w:rFonts w:ascii="Book Antiqua" w:hAnsi="Book Antiqua"/>
          <w:b/>
          <w:i/>
          <w:iCs/>
          <w:position w:val="-12"/>
          <w:sz w:val="20"/>
          <w:szCs w:val="20"/>
        </w:rPr>
      </w:pPr>
      <w:r w:rsidRPr="00D34BE8">
        <w:rPr>
          <w:rFonts w:ascii="Book Antiqua" w:hAnsi="Book Antiqua"/>
          <w:b/>
          <w:i/>
          <w:iCs/>
          <w:position w:val="-12"/>
          <w:sz w:val="20"/>
          <w:szCs w:val="20"/>
        </w:rPr>
        <w:t>Measurement of actual liver and spleen volume</w:t>
      </w:r>
    </w:p>
    <w:p w:rsidR="00C7222A" w:rsidRPr="00D34BE8" w:rsidRDefault="00C7222A" w:rsidP="00D34BE8">
      <w:pPr>
        <w:spacing w:after="0" w:line="360" w:lineRule="auto"/>
        <w:jc w:val="both"/>
        <w:rPr>
          <w:rFonts w:ascii="Book Antiqua" w:hAnsi="Book Antiqua"/>
          <w:sz w:val="20"/>
          <w:szCs w:val="20"/>
        </w:rPr>
      </w:pPr>
      <w:r w:rsidRPr="00D34BE8">
        <w:rPr>
          <w:rFonts w:ascii="Book Antiqua" w:hAnsi="Book Antiqua"/>
          <w:sz w:val="20"/>
          <w:szCs w:val="20"/>
        </w:rPr>
        <w:t>All patients underwent CT examination. The upper abdominal CT examination was performed using a multi-slice spiral CT scanner (GE 128-slice spiral CT scanner</w:t>
      </w:r>
      <w:r w:rsidR="00944C81" w:rsidRPr="00D34BE8">
        <w:rPr>
          <w:rFonts w:ascii="Book Antiqua" w:hAnsi="Book Antiqua"/>
          <w:sz w:val="20"/>
          <w:szCs w:val="20"/>
        </w:rPr>
        <w:t>;</w:t>
      </w:r>
      <w:r w:rsidRPr="00D34BE8">
        <w:rPr>
          <w:rFonts w:ascii="Book Antiqua" w:hAnsi="Book Antiqua"/>
          <w:sz w:val="20"/>
          <w:szCs w:val="20"/>
        </w:rPr>
        <w:t xml:space="preserve"> Linux Medical System, U</w:t>
      </w:r>
      <w:r w:rsidR="000E185A" w:rsidRPr="00D34BE8">
        <w:rPr>
          <w:rFonts w:ascii="Book Antiqua" w:hAnsi="Book Antiqua"/>
          <w:sz w:val="20"/>
          <w:szCs w:val="20"/>
        </w:rPr>
        <w:t xml:space="preserve">nited </w:t>
      </w:r>
      <w:r w:rsidRPr="00D34BE8">
        <w:rPr>
          <w:rFonts w:ascii="Book Antiqua" w:hAnsi="Book Antiqua"/>
          <w:sz w:val="20"/>
          <w:szCs w:val="20"/>
        </w:rPr>
        <w:t>S</w:t>
      </w:r>
      <w:r w:rsidR="000E185A" w:rsidRPr="00D34BE8">
        <w:rPr>
          <w:rFonts w:ascii="Book Antiqua" w:hAnsi="Book Antiqua"/>
          <w:sz w:val="20"/>
          <w:szCs w:val="20"/>
        </w:rPr>
        <w:t>tates</w:t>
      </w:r>
      <w:r w:rsidRPr="00D34BE8">
        <w:rPr>
          <w:rFonts w:ascii="Book Antiqua" w:hAnsi="Book Antiqua"/>
          <w:sz w:val="20"/>
          <w:szCs w:val="20"/>
        </w:rPr>
        <w:t xml:space="preserve">) with a reconstructed layer thickness of 5 mm and at a time interval of 5 s. </w:t>
      </w:r>
    </w:p>
    <w:p w:rsidR="003506EB" w:rsidRPr="00D34BE8" w:rsidRDefault="003506EB" w:rsidP="00D34BE8">
      <w:pPr>
        <w:spacing w:after="0" w:line="360" w:lineRule="auto"/>
        <w:jc w:val="both"/>
        <w:rPr>
          <w:rFonts w:ascii="Book Antiqua" w:hAnsi="Book Antiqua"/>
          <w:sz w:val="20"/>
          <w:szCs w:val="20"/>
        </w:rPr>
      </w:pPr>
      <w:r w:rsidRPr="00D34BE8">
        <w:rPr>
          <w:rFonts w:ascii="Book Antiqua" w:hAnsi="Book Antiqua"/>
          <w:sz w:val="20"/>
          <w:szCs w:val="20"/>
        </w:rPr>
        <w:t xml:space="preserve">  The CT data from the patients were retrospectively collected. The patients’ actual liver and spleen volumes, portal vein diameter (PVD), portal vein surface area (PVSA)</w:t>
      </w:r>
      <w:r w:rsidR="00F732AE" w:rsidRPr="00D34BE8">
        <w:rPr>
          <w:rFonts w:ascii="Book Antiqua" w:hAnsi="Book Antiqua"/>
          <w:sz w:val="20"/>
          <w:szCs w:val="20"/>
        </w:rPr>
        <w:t>,</w:t>
      </w:r>
      <w:r w:rsidRPr="00D34BE8">
        <w:rPr>
          <w:rFonts w:ascii="Book Antiqua" w:hAnsi="Book Antiqua"/>
          <w:sz w:val="20"/>
          <w:szCs w:val="20"/>
        </w:rPr>
        <w:t xml:space="preserve"> and spleen vein diameter (SVD), spleen long diameter (SLD) were measured using an image analysis program (Linux Imaging Workstation; Linux Medical Systems), which was performed by experienced radiologists who were unaware of the patients’ basic condition. The surface area of the liver and spleen w</w:t>
      </w:r>
      <w:r w:rsidR="00F732AE" w:rsidRPr="00D34BE8">
        <w:rPr>
          <w:rFonts w:ascii="Book Antiqua" w:hAnsi="Book Antiqua"/>
          <w:sz w:val="20"/>
          <w:szCs w:val="20"/>
        </w:rPr>
        <w:t>as</w:t>
      </w:r>
      <w:r w:rsidRPr="00D34BE8">
        <w:rPr>
          <w:rFonts w:ascii="Book Antiqua" w:hAnsi="Book Antiqua"/>
          <w:sz w:val="20"/>
          <w:szCs w:val="20"/>
        </w:rPr>
        <w:t xml:space="preserve"> manually tracked at each level. The actual volume of the liver and spleen was calculated by summing the surface area of each layer and multiplying it by the layer thickness. Large blood vessels, gallbladders, and fissures were avoided throughout the entire measurement. The PVD and PVSA were measured at the midpoint of the portal vein bifurcation and portal vein confluence site. The SVD was measured at 1 cm from the portal vein and splenic vein junction site. SLD is defined as the longest radial line of the layer with the largest surface area of the spleen.</w:t>
      </w:r>
    </w:p>
    <w:p w:rsidR="003506EB" w:rsidRPr="00D34BE8" w:rsidRDefault="003506EB" w:rsidP="00D34BE8">
      <w:pPr>
        <w:spacing w:after="0" w:line="360" w:lineRule="auto"/>
        <w:jc w:val="both"/>
        <w:rPr>
          <w:rFonts w:ascii="Book Antiqua" w:hAnsi="Book Antiqua"/>
          <w:sz w:val="20"/>
          <w:szCs w:val="20"/>
        </w:rPr>
      </w:pPr>
    </w:p>
    <w:p w:rsidR="003506EB" w:rsidRPr="00D34BE8" w:rsidRDefault="003506EB" w:rsidP="00D34BE8">
      <w:pPr>
        <w:spacing w:after="0" w:line="360" w:lineRule="auto"/>
        <w:jc w:val="both"/>
        <w:rPr>
          <w:rFonts w:ascii="Book Antiqua" w:hAnsi="Book Antiqua"/>
          <w:b/>
          <w:i/>
          <w:iCs/>
          <w:position w:val="-12"/>
          <w:sz w:val="20"/>
          <w:szCs w:val="20"/>
        </w:rPr>
      </w:pPr>
      <w:r w:rsidRPr="00D34BE8">
        <w:rPr>
          <w:rFonts w:ascii="Book Antiqua" w:hAnsi="Book Antiqua"/>
          <w:b/>
          <w:i/>
          <w:iCs/>
          <w:position w:val="-12"/>
          <w:sz w:val="20"/>
          <w:szCs w:val="20"/>
        </w:rPr>
        <w:t>Calculation of parameters for liver and spleen</w:t>
      </w:r>
    </w:p>
    <w:p w:rsidR="003506EB" w:rsidRPr="00D34BE8" w:rsidRDefault="003506EB" w:rsidP="00D34BE8">
      <w:pPr>
        <w:spacing w:after="0" w:line="360" w:lineRule="auto"/>
        <w:jc w:val="both"/>
        <w:rPr>
          <w:rFonts w:ascii="Book Antiqua" w:hAnsi="Book Antiqua"/>
          <w:bCs/>
          <w:sz w:val="20"/>
          <w:szCs w:val="20"/>
        </w:rPr>
      </w:pPr>
      <w:r w:rsidRPr="00D34BE8">
        <w:rPr>
          <w:rFonts w:ascii="Book Antiqua" w:hAnsi="Book Antiqua"/>
          <w:bCs/>
          <w:sz w:val="20"/>
          <w:szCs w:val="20"/>
        </w:rPr>
        <w:t>The SLV and SSV were calculated by the formulas established in our previous study as follows: (1) SLV = 858.186 × BSA</w:t>
      </w:r>
      <w:r w:rsidR="004C23D4" w:rsidRPr="00D34BE8">
        <w:rPr>
          <w:rFonts w:ascii="Book Antiqua" w:hAnsi="Book Antiqua"/>
          <w:bCs/>
          <w:sz w:val="20"/>
          <w:szCs w:val="20"/>
        </w:rPr>
        <w:t xml:space="preserve"> </w:t>
      </w:r>
      <w:r w:rsidRPr="00D34BE8">
        <w:rPr>
          <w:rFonts w:ascii="Book Antiqua" w:hAnsi="Book Antiqua"/>
          <w:bCs/>
          <w:sz w:val="20"/>
          <w:szCs w:val="20"/>
        </w:rPr>
        <w:t>-</w:t>
      </w:r>
      <w:r w:rsidR="004C23D4" w:rsidRPr="00D34BE8">
        <w:rPr>
          <w:rFonts w:ascii="Book Antiqua" w:hAnsi="Book Antiqua"/>
          <w:bCs/>
          <w:sz w:val="20"/>
          <w:szCs w:val="20"/>
        </w:rPr>
        <w:t xml:space="preserve"> </w:t>
      </w:r>
      <w:r w:rsidRPr="00D34BE8">
        <w:rPr>
          <w:rFonts w:ascii="Book Antiqua" w:hAnsi="Book Antiqua"/>
          <w:bCs/>
          <w:sz w:val="20"/>
          <w:szCs w:val="20"/>
        </w:rPr>
        <w:t>393.349 (</w:t>
      </w:r>
      <w:r w:rsidRPr="00D34BE8">
        <w:rPr>
          <w:rFonts w:ascii="Book Antiqua" w:hAnsi="Book Antiqua"/>
          <w:bCs/>
          <w:i/>
          <w:iCs/>
          <w:sz w:val="20"/>
          <w:szCs w:val="20"/>
        </w:rPr>
        <w:t>R</w:t>
      </w:r>
      <w:r w:rsidRPr="00D34BE8">
        <w:rPr>
          <w:rFonts w:ascii="Book Antiqua" w:hAnsi="Book Antiqua"/>
          <w:bCs/>
          <w:sz w:val="20"/>
          <w:szCs w:val="20"/>
          <w:vertAlign w:val="superscript"/>
        </w:rPr>
        <w:t>2</w:t>
      </w:r>
      <w:r w:rsidRPr="00D34BE8">
        <w:rPr>
          <w:rFonts w:ascii="Book Antiqua" w:hAnsi="Book Antiqua"/>
          <w:bCs/>
          <w:sz w:val="20"/>
          <w:szCs w:val="20"/>
        </w:rPr>
        <w:t xml:space="preserve"> = 0.350); and (2) SSV = 188.813 × BSA</w:t>
      </w:r>
      <w:r w:rsidR="004C23D4" w:rsidRPr="00D34BE8">
        <w:rPr>
          <w:rFonts w:ascii="Book Antiqua" w:hAnsi="Book Antiqua"/>
          <w:bCs/>
          <w:sz w:val="20"/>
          <w:szCs w:val="20"/>
        </w:rPr>
        <w:t xml:space="preserve"> </w:t>
      </w:r>
      <w:r w:rsidRPr="00D34BE8">
        <w:rPr>
          <w:rFonts w:ascii="Book Antiqua" w:hAnsi="Book Antiqua"/>
          <w:bCs/>
          <w:sz w:val="20"/>
          <w:szCs w:val="20"/>
        </w:rPr>
        <w:t>-</w:t>
      </w:r>
      <w:r w:rsidR="004C23D4" w:rsidRPr="00D34BE8">
        <w:rPr>
          <w:rFonts w:ascii="Book Antiqua" w:hAnsi="Book Antiqua"/>
          <w:bCs/>
          <w:sz w:val="20"/>
          <w:szCs w:val="20"/>
        </w:rPr>
        <w:t xml:space="preserve"> </w:t>
      </w:r>
      <w:r w:rsidRPr="00D34BE8">
        <w:rPr>
          <w:rFonts w:ascii="Book Antiqua" w:hAnsi="Book Antiqua"/>
          <w:bCs/>
          <w:sz w:val="20"/>
          <w:szCs w:val="20"/>
        </w:rPr>
        <w:t>140.981 (</w:t>
      </w:r>
      <w:r w:rsidRPr="00D34BE8">
        <w:rPr>
          <w:rFonts w:ascii="Book Antiqua" w:hAnsi="Book Antiqua"/>
          <w:bCs/>
          <w:i/>
          <w:iCs/>
          <w:sz w:val="20"/>
          <w:szCs w:val="20"/>
        </w:rPr>
        <w:t>R</w:t>
      </w:r>
      <w:r w:rsidRPr="00D34BE8">
        <w:rPr>
          <w:rFonts w:ascii="Book Antiqua" w:hAnsi="Book Antiqua"/>
          <w:bCs/>
          <w:sz w:val="20"/>
          <w:szCs w:val="20"/>
          <w:vertAlign w:val="superscript"/>
        </w:rPr>
        <w:t>2</w:t>
      </w:r>
      <w:r w:rsidRPr="00D34BE8">
        <w:rPr>
          <w:rFonts w:ascii="Book Antiqua" w:hAnsi="Book Antiqua"/>
          <w:bCs/>
          <w:sz w:val="20"/>
          <w:szCs w:val="20"/>
        </w:rPr>
        <w:t xml:space="preserve"> = 0.126). Other formulas included: Live </w:t>
      </w:r>
      <w:r w:rsidRPr="00D34BE8">
        <w:rPr>
          <w:rFonts w:ascii="Book Antiqua" w:hAnsi="Book Antiqua"/>
          <w:bCs/>
          <w:i/>
          <w:iCs/>
          <w:sz w:val="20"/>
          <w:szCs w:val="20"/>
        </w:rPr>
        <w:t>r</w:t>
      </w:r>
      <w:r w:rsidRPr="00D34BE8">
        <w:rPr>
          <w:rFonts w:ascii="Book Antiqua" w:hAnsi="Book Antiqua"/>
          <w:bCs/>
          <w:sz w:val="20"/>
          <w:szCs w:val="20"/>
        </w:rPr>
        <w:t xml:space="preserve"> volume change rate = (CTLV</w:t>
      </w:r>
      <w:r w:rsidR="004C23D4" w:rsidRPr="00D34BE8">
        <w:rPr>
          <w:rFonts w:ascii="Book Antiqua" w:hAnsi="Book Antiqua"/>
          <w:bCs/>
          <w:sz w:val="20"/>
          <w:szCs w:val="20"/>
        </w:rPr>
        <w:t xml:space="preserve"> </w:t>
      </w:r>
      <w:r w:rsidRPr="00D34BE8">
        <w:rPr>
          <w:rFonts w:ascii="Book Antiqua" w:hAnsi="Book Antiqua"/>
          <w:bCs/>
          <w:sz w:val="20"/>
          <w:szCs w:val="20"/>
        </w:rPr>
        <w:t>-</w:t>
      </w:r>
      <w:r w:rsidR="004C23D4" w:rsidRPr="00D34BE8">
        <w:rPr>
          <w:rFonts w:ascii="Book Antiqua" w:hAnsi="Book Antiqua"/>
          <w:bCs/>
          <w:sz w:val="20"/>
          <w:szCs w:val="20"/>
        </w:rPr>
        <w:t xml:space="preserve"> </w:t>
      </w:r>
      <w:r w:rsidRPr="00D34BE8">
        <w:rPr>
          <w:rFonts w:ascii="Book Antiqua" w:hAnsi="Book Antiqua"/>
          <w:bCs/>
          <w:sz w:val="20"/>
          <w:szCs w:val="20"/>
        </w:rPr>
        <w:t xml:space="preserve">SLV)/SLV; </w:t>
      </w:r>
      <w:r w:rsidR="00DB614A" w:rsidRPr="00D34BE8">
        <w:rPr>
          <w:rFonts w:ascii="Book Antiqua" w:hAnsi="Book Antiqua"/>
          <w:bCs/>
          <w:sz w:val="20"/>
          <w:szCs w:val="20"/>
        </w:rPr>
        <w:t>s</w:t>
      </w:r>
      <w:r w:rsidRPr="00D34BE8">
        <w:rPr>
          <w:rFonts w:ascii="Book Antiqua" w:hAnsi="Book Antiqua"/>
          <w:bCs/>
          <w:sz w:val="20"/>
          <w:szCs w:val="20"/>
        </w:rPr>
        <w:t xml:space="preserve">pleen volume change rate = (CTSV - SSV)/SSV; </w:t>
      </w:r>
      <w:r w:rsidR="00DB614A" w:rsidRPr="00D34BE8">
        <w:rPr>
          <w:rFonts w:ascii="Book Antiqua" w:hAnsi="Book Antiqua"/>
          <w:bCs/>
          <w:sz w:val="20"/>
          <w:szCs w:val="20"/>
        </w:rPr>
        <w:t>c</w:t>
      </w:r>
      <w:r w:rsidRPr="00D34BE8">
        <w:rPr>
          <w:rFonts w:ascii="Book Antiqua" w:hAnsi="Book Antiqua"/>
          <w:bCs/>
          <w:sz w:val="20"/>
          <w:szCs w:val="20"/>
        </w:rPr>
        <w:t>hange of liver volume = CTLV</w:t>
      </w:r>
      <w:r w:rsidR="004C23D4" w:rsidRPr="00D34BE8">
        <w:rPr>
          <w:rFonts w:ascii="Book Antiqua" w:hAnsi="Book Antiqua"/>
          <w:bCs/>
          <w:sz w:val="20"/>
          <w:szCs w:val="20"/>
        </w:rPr>
        <w:t xml:space="preserve"> </w:t>
      </w:r>
      <w:r w:rsidRPr="00D34BE8">
        <w:rPr>
          <w:rFonts w:ascii="Book Antiqua" w:hAnsi="Book Antiqua"/>
          <w:bCs/>
          <w:sz w:val="20"/>
          <w:szCs w:val="20"/>
        </w:rPr>
        <w:t>-</w:t>
      </w:r>
      <w:r w:rsidR="004C23D4" w:rsidRPr="00D34BE8">
        <w:rPr>
          <w:rFonts w:ascii="Book Antiqua" w:hAnsi="Book Antiqua"/>
          <w:bCs/>
          <w:sz w:val="20"/>
          <w:szCs w:val="20"/>
        </w:rPr>
        <w:t xml:space="preserve"> </w:t>
      </w:r>
      <w:r w:rsidRPr="00D34BE8">
        <w:rPr>
          <w:rFonts w:ascii="Book Antiqua" w:hAnsi="Book Antiqua"/>
          <w:bCs/>
          <w:sz w:val="20"/>
          <w:szCs w:val="20"/>
        </w:rPr>
        <w:t xml:space="preserve">SLV; and </w:t>
      </w:r>
      <w:r w:rsidR="00DB614A" w:rsidRPr="00D34BE8">
        <w:rPr>
          <w:rFonts w:ascii="Book Antiqua" w:hAnsi="Book Antiqua"/>
          <w:bCs/>
          <w:sz w:val="20"/>
          <w:szCs w:val="20"/>
        </w:rPr>
        <w:t>c</w:t>
      </w:r>
      <w:r w:rsidRPr="00D34BE8">
        <w:rPr>
          <w:rFonts w:ascii="Book Antiqua" w:hAnsi="Book Antiqua"/>
          <w:bCs/>
          <w:sz w:val="20"/>
          <w:szCs w:val="20"/>
        </w:rPr>
        <w:t>hange of spleen volume</w:t>
      </w:r>
      <w:r w:rsidR="00DB614A" w:rsidRPr="00D34BE8">
        <w:rPr>
          <w:rFonts w:ascii="Book Antiqua" w:hAnsi="Book Antiqua"/>
          <w:bCs/>
          <w:sz w:val="20"/>
          <w:szCs w:val="20"/>
        </w:rPr>
        <w:t xml:space="preserve"> </w:t>
      </w:r>
      <w:r w:rsidRPr="00D34BE8">
        <w:rPr>
          <w:rFonts w:ascii="Book Antiqua" w:hAnsi="Book Antiqua"/>
          <w:bCs/>
          <w:sz w:val="20"/>
          <w:szCs w:val="20"/>
        </w:rPr>
        <w:t xml:space="preserve">= CTSV - SSV, where CTLV and CTSV are the actual liver volume and spleen volume calculated by CT, respectively. </w:t>
      </w:r>
    </w:p>
    <w:p w:rsidR="003506EB" w:rsidRPr="00D34BE8" w:rsidRDefault="003506EB" w:rsidP="00D34BE8">
      <w:pPr>
        <w:spacing w:after="0" w:line="360" w:lineRule="auto"/>
        <w:jc w:val="both"/>
        <w:rPr>
          <w:rFonts w:ascii="Book Antiqua" w:hAnsi="Book Antiqua"/>
          <w:bCs/>
          <w:sz w:val="20"/>
          <w:szCs w:val="20"/>
        </w:rPr>
      </w:pPr>
    </w:p>
    <w:p w:rsidR="003506EB" w:rsidRPr="00D34BE8" w:rsidRDefault="003506EB" w:rsidP="00D34BE8">
      <w:pPr>
        <w:spacing w:after="0" w:line="360" w:lineRule="auto"/>
        <w:jc w:val="both"/>
        <w:rPr>
          <w:rFonts w:ascii="Book Antiqua" w:eastAsia="等线" w:hAnsi="Book Antiqua"/>
          <w:b/>
          <w:bCs/>
          <w:i/>
          <w:iCs/>
          <w:sz w:val="20"/>
          <w:szCs w:val="20"/>
        </w:rPr>
      </w:pPr>
      <w:r w:rsidRPr="00D34BE8">
        <w:rPr>
          <w:rFonts w:ascii="Book Antiqua" w:eastAsia="等线" w:hAnsi="Book Antiqua"/>
          <w:b/>
          <w:bCs/>
          <w:i/>
          <w:iCs/>
          <w:sz w:val="20"/>
          <w:szCs w:val="20"/>
        </w:rPr>
        <w:t>Biochemical tests</w:t>
      </w:r>
    </w:p>
    <w:p w:rsidR="003506EB" w:rsidRPr="00D34BE8" w:rsidRDefault="003506EB" w:rsidP="00D34BE8">
      <w:pPr>
        <w:spacing w:after="0" w:line="360" w:lineRule="auto"/>
        <w:jc w:val="both"/>
        <w:rPr>
          <w:rFonts w:ascii="Book Antiqua" w:eastAsia="等线" w:hAnsi="Book Antiqua"/>
          <w:bCs/>
          <w:sz w:val="20"/>
          <w:szCs w:val="20"/>
        </w:rPr>
      </w:pPr>
      <w:r w:rsidRPr="00D34BE8">
        <w:rPr>
          <w:rFonts w:ascii="Book Antiqua" w:eastAsia="等线" w:hAnsi="Book Antiqua"/>
          <w:bCs/>
          <w:sz w:val="20"/>
          <w:szCs w:val="20"/>
        </w:rPr>
        <w:t xml:space="preserve">All patients underwent biochemical tests, in which the data including blood routine analysis, liver function, renal function, and hepatitis detection were retrospectively collected from the patients. </w:t>
      </w:r>
      <w:r w:rsidR="00DB614A" w:rsidRPr="00D34BE8">
        <w:rPr>
          <w:rFonts w:ascii="Book Antiqua" w:eastAsia="等线" w:hAnsi="Book Antiqua"/>
          <w:bCs/>
          <w:sz w:val="20"/>
          <w:szCs w:val="20"/>
        </w:rPr>
        <w:t>The b</w:t>
      </w:r>
      <w:r w:rsidRPr="00D34BE8">
        <w:rPr>
          <w:rFonts w:ascii="Book Antiqua" w:eastAsia="等线" w:hAnsi="Book Antiqua"/>
          <w:bCs/>
          <w:sz w:val="20"/>
          <w:szCs w:val="20"/>
        </w:rPr>
        <w:t xml:space="preserve">lood test was performed using </w:t>
      </w:r>
      <w:r w:rsidR="00DB614A" w:rsidRPr="00D34BE8">
        <w:rPr>
          <w:rFonts w:ascii="Book Antiqua" w:eastAsia="等线" w:hAnsi="Book Antiqua"/>
          <w:bCs/>
          <w:sz w:val="20"/>
          <w:szCs w:val="20"/>
        </w:rPr>
        <w:t xml:space="preserve">the </w:t>
      </w:r>
      <w:r w:rsidRPr="00D34BE8">
        <w:rPr>
          <w:rFonts w:ascii="Book Antiqua" w:eastAsia="等线" w:hAnsi="Book Antiqua"/>
          <w:bCs/>
          <w:sz w:val="20"/>
          <w:szCs w:val="20"/>
        </w:rPr>
        <w:t>XN-9000</w:t>
      </w:r>
      <w:r w:rsidR="00DB614A" w:rsidRPr="00D34BE8">
        <w:rPr>
          <w:rFonts w:ascii="Book Antiqua" w:eastAsia="等线" w:hAnsi="Book Antiqua"/>
          <w:bCs/>
          <w:sz w:val="20"/>
          <w:szCs w:val="20"/>
        </w:rPr>
        <w:t xml:space="preserve"> analyzer</w:t>
      </w:r>
      <w:r w:rsidR="00D34BE8" w:rsidRPr="00D34BE8">
        <w:rPr>
          <w:rFonts w:ascii="Book Antiqua" w:eastAsia="等线" w:hAnsi="Book Antiqua"/>
          <w:bCs/>
          <w:sz w:val="20"/>
          <w:szCs w:val="20"/>
        </w:rPr>
        <w:t xml:space="preserve"> </w:t>
      </w:r>
      <w:r w:rsidR="00D34BE8">
        <w:rPr>
          <w:rFonts w:ascii="Book Antiqua" w:eastAsia="等线" w:hAnsi="Book Antiqua"/>
          <w:bCs/>
          <w:sz w:val="20"/>
          <w:szCs w:val="20"/>
        </w:rPr>
        <w:t>(</w:t>
      </w:r>
      <w:r w:rsidR="00D34BE8" w:rsidRPr="00D34BE8">
        <w:rPr>
          <w:rFonts w:ascii="Book Antiqua" w:eastAsia="等线" w:hAnsi="Book Antiqua"/>
          <w:bCs/>
          <w:sz w:val="20"/>
          <w:szCs w:val="20"/>
        </w:rPr>
        <w:t>Xisen Meikang</w:t>
      </w:r>
      <w:r w:rsidR="00D34BE8">
        <w:rPr>
          <w:rFonts w:ascii="Book Antiqua" w:eastAsia="等线" w:hAnsi="Book Antiqua"/>
          <w:bCs/>
          <w:sz w:val="20"/>
          <w:szCs w:val="20"/>
        </w:rPr>
        <w:t xml:space="preserve"> Medical Electronics Co. Ltd., Shanghai, China)</w:t>
      </w:r>
      <w:r w:rsidRPr="00D34BE8">
        <w:rPr>
          <w:rFonts w:ascii="Book Antiqua" w:eastAsia="等线" w:hAnsi="Book Antiqua"/>
          <w:bCs/>
          <w:sz w:val="20"/>
          <w:szCs w:val="20"/>
        </w:rPr>
        <w:t xml:space="preserve">, </w:t>
      </w:r>
      <w:r w:rsidR="00DB614A" w:rsidRPr="00D34BE8">
        <w:rPr>
          <w:rFonts w:ascii="Book Antiqua" w:eastAsia="等线" w:hAnsi="Book Antiqua"/>
          <w:bCs/>
          <w:sz w:val="20"/>
          <w:szCs w:val="20"/>
        </w:rPr>
        <w:t xml:space="preserve">the </w:t>
      </w:r>
      <w:r w:rsidRPr="00D34BE8">
        <w:rPr>
          <w:rFonts w:ascii="Book Antiqua" w:eastAsia="等线" w:hAnsi="Book Antiqua"/>
          <w:bCs/>
          <w:sz w:val="20"/>
          <w:szCs w:val="20"/>
        </w:rPr>
        <w:t xml:space="preserve">coagulation function test was performed using </w:t>
      </w:r>
      <w:r w:rsidR="00DB614A" w:rsidRPr="00D34BE8">
        <w:rPr>
          <w:rFonts w:ascii="Book Antiqua" w:eastAsia="等线" w:hAnsi="Book Antiqua"/>
          <w:bCs/>
          <w:sz w:val="20"/>
          <w:szCs w:val="20"/>
        </w:rPr>
        <w:t>the</w:t>
      </w:r>
      <w:r w:rsidRPr="00D34BE8">
        <w:rPr>
          <w:rFonts w:ascii="Book Antiqua" w:eastAsia="等线" w:hAnsi="Book Antiqua"/>
          <w:bCs/>
          <w:sz w:val="20"/>
          <w:szCs w:val="20"/>
        </w:rPr>
        <w:t xml:space="preserve"> Sysmex Co-CS-1500</w:t>
      </w:r>
      <w:r w:rsidR="00DB614A" w:rsidRPr="00D34BE8">
        <w:rPr>
          <w:rFonts w:ascii="Book Antiqua" w:eastAsia="等线" w:hAnsi="Book Antiqua"/>
          <w:bCs/>
          <w:sz w:val="20"/>
          <w:szCs w:val="20"/>
        </w:rPr>
        <w:t xml:space="preserve"> system</w:t>
      </w:r>
      <w:r w:rsidRPr="00D34BE8">
        <w:rPr>
          <w:rFonts w:ascii="Book Antiqua" w:eastAsia="等线" w:hAnsi="Book Antiqua"/>
          <w:bCs/>
          <w:sz w:val="20"/>
          <w:szCs w:val="20"/>
        </w:rPr>
        <w:t xml:space="preserve">, and </w:t>
      </w:r>
      <w:r w:rsidR="00DB614A" w:rsidRPr="00D34BE8">
        <w:rPr>
          <w:rFonts w:ascii="Book Antiqua" w:eastAsia="等线" w:hAnsi="Book Antiqua"/>
          <w:bCs/>
          <w:sz w:val="20"/>
          <w:szCs w:val="20"/>
        </w:rPr>
        <w:t xml:space="preserve">the </w:t>
      </w:r>
      <w:r w:rsidRPr="00D34BE8">
        <w:rPr>
          <w:rFonts w:ascii="Book Antiqua" w:eastAsia="等线" w:hAnsi="Book Antiqua"/>
          <w:bCs/>
          <w:sz w:val="20"/>
          <w:szCs w:val="20"/>
        </w:rPr>
        <w:t xml:space="preserve">liver function test was performed using </w:t>
      </w:r>
      <w:r w:rsidR="00DB614A" w:rsidRPr="00D34BE8">
        <w:rPr>
          <w:rFonts w:ascii="Book Antiqua" w:eastAsia="等线" w:hAnsi="Book Antiqua"/>
          <w:bCs/>
          <w:sz w:val="20"/>
          <w:szCs w:val="20"/>
        </w:rPr>
        <w:t>the</w:t>
      </w:r>
      <w:r w:rsidRPr="00D34BE8">
        <w:rPr>
          <w:rFonts w:ascii="Book Antiqua" w:eastAsia="等线" w:hAnsi="Book Antiqua"/>
          <w:bCs/>
          <w:sz w:val="20"/>
          <w:szCs w:val="20"/>
        </w:rPr>
        <w:t xml:space="preserve"> cobas</w:t>
      </w:r>
      <w:r w:rsidR="00DB614A" w:rsidRPr="00D34BE8">
        <w:rPr>
          <w:rFonts w:ascii="Book Antiqua" w:eastAsia="等线" w:hAnsi="Book Antiqua"/>
          <w:bCs/>
          <w:sz w:val="20"/>
          <w:szCs w:val="20"/>
        </w:rPr>
        <w:t xml:space="preserve"> </w:t>
      </w:r>
      <w:r w:rsidRPr="00D34BE8">
        <w:rPr>
          <w:rFonts w:ascii="Book Antiqua" w:eastAsia="等线" w:hAnsi="Book Antiqua"/>
          <w:bCs/>
          <w:sz w:val="20"/>
          <w:szCs w:val="20"/>
        </w:rPr>
        <w:t>8000</w:t>
      </w:r>
      <w:r w:rsidR="00DB614A" w:rsidRPr="00D34BE8">
        <w:rPr>
          <w:rFonts w:ascii="Book Antiqua" w:eastAsia="等线" w:hAnsi="Book Antiqua"/>
          <w:bCs/>
          <w:sz w:val="20"/>
          <w:szCs w:val="20"/>
        </w:rPr>
        <w:t xml:space="preserve"> analyzer</w:t>
      </w:r>
      <w:r w:rsidR="00D34BE8">
        <w:rPr>
          <w:rFonts w:ascii="Book Antiqua" w:eastAsia="等线" w:hAnsi="Book Antiqua"/>
          <w:bCs/>
          <w:sz w:val="20"/>
          <w:szCs w:val="20"/>
        </w:rPr>
        <w:t xml:space="preserve"> (Roche Diagnostics, Mannheim, Germany)</w:t>
      </w:r>
      <w:r w:rsidRPr="00D34BE8">
        <w:rPr>
          <w:rFonts w:ascii="Book Antiqua" w:eastAsia="等线" w:hAnsi="Book Antiqua"/>
          <w:bCs/>
          <w:sz w:val="20"/>
          <w:szCs w:val="20"/>
        </w:rPr>
        <w:t xml:space="preserve">. </w:t>
      </w:r>
    </w:p>
    <w:p w:rsidR="003506EB" w:rsidRPr="00D34BE8" w:rsidRDefault="003506EB" w:rsidP="00D34BE8">
      <w:pPr>
        <w:spacing w:after="0" w:line="360" w:lineRule="auto"/>
        <w:jc w:val="both"/>
        <w:rPr>
          <w:rFonts w:ascii="Book Antiqua" w:eastAsia="等线" w:hAnsi="Book Antiqua"/>
          <w:b/>
          <w:bCs/>
          <w:i/>
          <w:iCs/>
          <w:sz w:val="20"/>
          <w:szCs w:val="20"/>
        </w:rPr>
      </w:pPr>
    </w:p>
    <w:p w:rsidR="003506EB" w:rsidRPr="00D34BE8" w:rsidRDefault="003F7B7A" w:rsidP="00D34BE8">
      <w:pPr>
        <w:spacing w:after="0" w:line="360" w:lineRule="auto"/>
        <w:jc w:val="both"/>
        <w:rPr>
          <w:rFonts w:ascii="Book Antiqua" w:eastAsia="等线" w:hAnsi="Book Antiqua"/>
          <w:b/>
          <w:bCs/>
          <w:i/>
          <w:iCs/>
          <w:sz w:val="20"/>
          <w:szCs w:val="20"/>
        </w:rPr>
      </w:pPr>
      <w:r w:rsidRPr="00D34BE8">
        <w:rPr>
          <w:rFonts w:ascii="Book Antiqua" w:eastAsia="等线" w:hAnsi="Book Antiqua"/>
          <w:b/>
          <w:bCs/>
          <w:i/>
          <w:iCs/>
          <w:sz w:val="20"/>
          <w:szCs w:val="20"/>
        </w:rPr>
        <w:t>LSM</w:t>
      </w:r>
      <w:r w:rsidR="003506EB" w:rsidRPr="00D34BE8">
        <w:rPr>
          <w:rFonts w:ascii="Book Antiqua" w:eastAsia="等线" w:hAnsi="Book Antiqua"/>
          <w:b/>
          <w:bCs/>
          <w:i/>
          <w:iCs/>
          <w:sz w:val="20"/>
          <w:szCs w:val="20"/>
        </w:rPr>
        <w:t xml:space="preserve"> by transient elastography</w:t>
      </w:r>
    </w:p>
    <w:p w:rsidR="003506EB" w:rsidRPr="00D34BE8" w:rsidRDefault="003506EB" w:rsidP="00D34BE8">
      <w:pPr>
        <w:spacing w:after="0" w:line="360" w:lineRule="auto"/>
        <w:jc w:val="both"/>
        <w:rPr>
          <w:rFonts w:ascii="Book Antiqua" w:eastAsia="等线" w:hAnsi="Book Antiqua"/>
          <w:bCs/>
          <w:sz w:val="20"/>
          <w:szCs w:val="20"/>
        </w:rPr>
      </w:pPr>
      <w:r w:rsidRPr="00D34BE8">
        <w:rPr>
          <w:rFonts w:ascii="Book Antiqua" w:eastAsia="等线" w:hAnsi="Book Antiqua"/>
          <w:bCs/>
          <w:sz w:val="20"/>
          <w:szCs w:val="20"/>
        </w:rPr>
        <w:t>All patients underwent LSM using Fibro</w:t>
      </w:r>
      <w:r w:rsidR="00D34BE8">
        <w:rPr>
          <w:rFonts w:ascii="Book Antiqua" w:eastAsia="等线" w:hAnsi="Book Antiqua"/>
          <w:bCs/>
          <w:sz w:val="20"/>
          <w:szCs w:val="20"/>
        </w:rPr>
        <w:t>S</w:t>
      </w:r>
      <w:r w:rsidRPr="00D34BE8">
        <w:rPr>
          <w:rFonts w:ascii="Book Antiqua" w:eastAsia="等线" w:hAnsi="Book Antiqua"/>
          <w:bCs/>
          <w:sz w:val="20"/>
          <w:szCs w:val="20"/>
        </w:rPr>
        <w:t xml:space="preserve">can (Echosens, </w:t>
      </w:r>
      <w:r w:rsidR="00D34BE8">
        <w:rPr>
          <w:rFonts w:ascii="Book Antiqua" w:eastAsia="等线" w:hAnsi="Book Antiqua"/>
          <w:bCs/>
          <w:sz w:val="20"/>
          <w:szCs w:val="20"/>
        </w:rPr>
        <w:t xml:space="preserve">Paris, </w:t>
      </w:r>
      <w:r w:rsidRPr="00D34BE8">
        <w:rPr>
          <w:rFonts w:ascii="Book Antiqua" w:eastAsia="等线" w:hAnsi="Book Antiqua"/>
          <w:bCs/>
          <w:sz w:val="20"/>
          <w:szCs w:val="20"/>
        </w:rPr>
        <w:t>France) and Fibro</w:t>
      </w:r>
      <w:r w:rsidR="00D34BE8">
        <w:rPr>
          <w:rFonts w:ascii="Book Antiqua" w:eastAsia="等线" w:hAnsi="Book Antiqua"/>
          <w:bCs/>
          <w:sz w:val="20"/>
          <w:szCs w:val="20"/>
        </w:rPr>
        <w:t>T</w:t>
      </w:r>
      <w:r w:rsidRPr="00D34BE8">
        <w:rPr>
          <w:rFonts w:ascii="Book Antiqua" w:eastAsia="等线" w:hAnsi="Book Antiqua"/>
          <w:bCs/>
          <w:sz w:val="20"/>
          <w:szCs w:val="20"/>
        </w:rPr>
        <w:t xml:space="preserve">ouch (Haishkell Medical Technology Center, Beijing, China). The results from the transient elastography (TE) were retrospectively collected and expressed in kilopascals (kPa). For patients with more than one LSM result during the study, only the result with a lower </w:t>
      </w:r>
      <w:r w:rsidR="00B60B5F" w:rsidRPr="00D34BE8">
        <w:rPr>
          <w:rFonts w:ascii="Book Antiqua" w:eastAsia="等线" w:hAnsi="Book Antiqua"/>
          <w:bCs/>
          <w:sz w:val="20"/>
          <w:szCs w:val="20"/>
        </w:rPr>
        <w:t xml:space="preserve">interquartile </w:t>
      </w:r>
      <w:r w:rsidRPr="00D34BE8">
        <w:rPr>
          <w:rFonts w:ascii="Book Antiqua" w:eastAsia="等线" w:hAnsi="Book Antiqua"/>
          <w:bCs/>
          <w:sz w:val="20"/>
          <w:szCs w:val="20"/>
        </w:rPr>
        <w:t>or lower median variability was selected. Several studies have shown that FibroTouch and Fibro</w:t>
      </w:r>
      <w:r w:rsidR="00D34BE8">
        <w:rPr>
          <w:rFonts w:ascii="Book Antiqua" w:eastAsia="等线" w:hAnsi="Book Antiqua"/>
          <w:bCs/>
          <w:sz w:val="20"/>
          <w:szCs w:val="20"/>
        </w:rPr>
        <w:t>S</w:t>
      </w:r>
      <w:r w:rsidRPr="00D34BE8">
        <w:rPr>
          <w:rFonts w:ascii="Book Antiqua" w:eastAsia="等线" w:hAnsi="Book Antiqua"/>
          <w:bCs/>
          <w:sz w:val="20"/>
          <w:szCs w:val="20"/>
        </w:rPr>
        <w:t xml:space="preserve">can </w:t>
      </w:r>
      <w:bookmarkStart w:id="29" w:name="_Hlk28031747"/>
      <w:r w:rsidRPr="00D34BE8">
        <w:rPr>
          <w:rFonts w:ascii="Book Antiqua" w:eastAsia="等线" w:hAnsi="Book Antiqua"/>
          <w:bCs/>
          <w:sz w:val="20"/>
          <w:szCs w:val="20"/>
        </w:rPr>
        <w:t>can detect liver fibrosis</w:t>
      </w:r>
      <w:bookmarkEnd w:id="29"/>
      <w:r w:rsidRPr="00D34BE8">
        <w:rPr>
          <w:rFonts w:ascii="Book Antiqua" w:eastAsia="等线" w:hAnsi="Book Antiqua"/>
          <w:bCs/>
          <w:sz w:val="20"/>
          <w:szCs w:val="20"/>
        </w:rPr>
        <w:t xml:space="preserve"> with high accuracy and consistency, and there are no statistically significant differences between them</w:t>
      </w:r>
      <w:r w:rsidRPr="00D34BE8">
        <w:rPr>
          <w:rFonts w:ascii="Book Antiqua" w:eastAsia="等线" w:hAnsi="Book Antiqua"/>
          <w:bCs/>
          <w:sz w:val="20"/>
          <w:szCs w:val="20"/>
          <w:vertAlign w:val="superscript"/>
        </w:rPr>
        <w:t>[1</w:t>
      </w:r>
      <w:r w:rsidR="003234B3" w:rsidRPr="00D34BE8">
        <w:rPr>
          <w:rFonts w:ascii="Book Antiqua" w:eastAsia="等线" w:hAnsi="Book Antiqua"/>
          <w:bCs/>
          <w:sz w:val="20"/>
          <w:szCs w:val="20"/>
          <w:vertAlign w:val="superscript"/>
        </w:rPr>
        <w:t>7</w:t>
      </w:r>
      <w:r w:rsidRPr="00D34BE8">
        <w:rPr>
          <w:rFonts w:ascii="Book Antiqua" w:eastAsia="等线" w:hAnsi="Book Antiqua"/>
          <w:bCs/>
          <w:sz w:val="20"/>
          <w:szCs w:val="20"/>
          <w:vertAlign w:val="superscript"/>
        </w:rPr>
        <w:t>,1</w:t>
      </w:r>
      <w:r w:rsidR="003234B3" w:rsidRPr="00D34BE8">
        <w:rPr>
          <w:rFonts w:ascii="Book Antiqua" w:eastAsia="等线" w:hAnsi="Book Antiqua"/>
          <w:bCs/>
          <w:sz w:val="20"/>
          <w:szCs w:val="20"/>
          <w:vertAlign w:val="superscript"/>
        </w:rPr>
        <w:t>8</w:t>
      </w:r>
      <w:r w:rsidRPr="00D34BE8">
        <w:rPr>
          <w:rFonts w:ascii="Book Antiqua" w:eastAsia="等线" w:hAnsi="Book Antiqua"/>
          <w:bCs/>
          <w:sz w:val="20"/>
          <w:szCs w:val="20"/>
          <w:vertAlign w:val="superscript"/>
        </w:rPr>
        <w:t>]</w:t>
      </w:r>
      <w:r w:rsidRPr="00D34BE8">
        <w:rPr>
          <w:rFonts w:ascii="Book Antiqua" w:eastAsia="等线" w:hAnsi="Book Antiqua"/>
          <w:bCs/>
          <w:sz w:val="20"/>
          <w:szCs w:val="20"/>
        </w:rPr>
        <w:t>.</w:t>
      </w:r>
    </w:p>
    <w:p w:rsidR="003506EB" w:rsidRPr="00D34BE8" w:rsidRDefault="003506EB" w:rsidP="00D34BE8">
      <w:pPr>
        <w:spacing w:after="0" w:line="360" w:lineRule="auto"/>
        <w:jc w:val="both"/>
        <w:rPr>
          <w:rFonts w:ascii="Book Antiqua" w:eastAsia="等线" w:hAnsi="Book Antiqua"/>
          <w:bCs/>
          <w:sz w:val="20"/>
          <w:szCs w:val="20"/>
        </w:rPr>
      </w:pPr>
    </w:p>
    <w:p w:rsidR="003506EB" w:rsidRPr="00D34BE8" w:rsidRDefault="003506EB" w:rsidP="00D34BE8">
      <w:pPr>
        <w:spacing w:after="0" w:line="360" w:lineRule="auto"/>
        <w:jc w:val="both"/>
        <w:rPr>
          <w:rFonts w:ascii="Book Antiqua" w:hAnsi="Book Antiqua"/>
          <w:b/>
          <w:i/>
          <w:iCs/>
          <w:position w:val="-12"/>
          <w:sz w:val="20"/>
          <w:szCs w:val="20"/>
        </w:rPr>
      </w:pPr>
      <w:r w:rsidRPr="00D34BE8">
        <w:rPr>
          <w:rFonts w:ascii="Book Antiqua" w:hAnsi="Book Antiqua"/>
          <w:b/>
          <w:i/>
          <w:iCs/>
          <w:position w:val="-12"/>
          <w:sz w:val="20"/>
          <w:szCs w:val="20"/>
        </w:rPr>
        <w:t>Gastroscopy</w:t>
      </w:r>
    </w:p>
    <w:p w:rsidR="003506EB" w:rsidRPr="00D34BE8" w:rsidRDefault="003506EB" w:rsidP="00D34BE8">
      <w:pPr>
        <w:spacing w:after="0" w:line="360" w:lineRule="auto"/>
        <w:jc w:val="both"/>
        <w:rPr>
          <w:rFonts w:ascii="Book Antiqua" w:eastAsia="等线" w:hAnsi="Book Antiqua"/>
          <w:bCs/>
          <w:sz w:val="20"/>
          <w:szCs w:val="20"/>
        </w:rPr>
      </w:pPr>
      <w:r w:rsidRPr="00D34BE8">
        <w:rPr>
          <w:rFonts w:ascii="Book Antiqua" w:eastAsia="等线" w:hAnsi="Book Antiqua"/>
          <w:bCs/>
          <w:sz w:val="20"/>
          <w:szCs w:val="20"/>
        </w:rPr>
        <w:t>EVs were examined using an Olympus electronic gastroscope (Olympus,</w:t>
      </w:r>
      <w:r w:rsidR="00B60B5F" w:rsidRPr="00D34BE8">
        <w:rPr>
          <w:rFonts w:ascii="Book Antiqua" w:eastAsia="等线" w:hAnsi="Book Antiqua"/>
          <w:bCs/>
          <w:sz w:val="20"/>
          <w:szCs w:val="20"/>
        </w:rPr>
        <w:t xml:space="preserve"> Tokyo,</w:t>
      </w:r>
      <w:r w:rsidRPr="00D34BE8">
        <w:rPr>
          <w:rFonts w:ascii="Book Antiqua" w:eastAsia="等线" w:hAnsi="Book Antiqua"/>
          <w:bCs/>
          <w:sz w:val="20"/>
          <w:szCs w:val="20"/>
        </w:rPr>
        <w:t xml:space="preserve"> Japan) by experienced doctors and were divided into three categories: (</w:t>
      </w:r>
      <w:r w:rsidR="0079074C" w:rsidRPr="00D34BE8">
        <w:rPr>
          <w:rFonts w:ascii="Book Antiqua" w:eastAsia="等线" w:hAnsi="Book Antiqua"/>
          <w:bCs/>
          <w:sz w:val="20"/>
          <w:szCs w:val="20"/>
        </w:rPr>
        <w:t>1</w:t>
      </w:r>
      <w:r w:rsidRPr="00D34BE8">
        <w:rPr>
          <w:rFonts w:ascii="Book Antiqua" w:eastAsia="等线" w:hAnsi="Book Antiqua"/>
          <w:bCs/>
          <w:sz w:val="20"/>
          <w:szCs w:val="20"/>
        </w:rPr>
        <w:t xml:space="preserve">) </w:t>
      </w:r>
      <w:r w:rsidR="005237E8" w:rsidRPr="00D34BE8">
        <w:rPr>
          <w:rFonts w:ascii="Book Antiqua" w:eastAsia="等线" w:hAnsi="Book Antiqua"/>
          <w:bCs/>
          <w:sz w:val="20"/>
          <w:szCs w:val="20"/>
        </w:rPr>
        <w:t>no EVs</w:t>
      </w:r>
      <w:r w:rsidRPr="00D34BE8">
        <w:rPr>
          <w:rFonts w:ascii="Book Antiqua" w:eastAsia="等线" w:hAnsi="Book Antiqua"/>
          <w:bCs/>
          <w:sz w:val="20"/>
          <w:szCs w:val="20"/>
        </w:rPr>
        <w:t>; (</w:t>
      </w:r>
      <w:r w:rsidR="0079074C" w:rsidRPr="00D34BE8">
        <w:rPr>
          <w:rFonts w:ascii="Book Antiqua" w:eastAsia="等线" w:hAnsi="Book Antiqua"/>
          <w:bCs/>
          <w:sz w:val="20"/>
          <w:szCs w:val="20"/>
        </w:rPr>
        <w:t>2</w:t>
      </w:r>
      <w:r w:rsidRPr="00D34BE8">
        <w:rPr>
          <w:rFonts w:ascii="Book Antiqua" w:eastAsia="等线" w:hAnsi="Book Antiqua"/>
          <w:bCs/>
          <w:sz w:val="20"/>
          <w:szCs w:val="20"/>
        </w:rPr>
        <w:t>) small EVs (diameter &lt; 5 mm); and (</w:t>
      </w:r>
      <w:r w:rsidR="0079074C" w:rsidRPr="00D34BE8">
        <w:rPr>
          <w:rFonts w:ascii="Book Antiqua" w:eastAsia="等线" w:hAnsi="Book Antiqua"/>
          <w:bCs/>
          <w:sz w:val="20"/>
          <w:szCs w:val="20"/>
        </w:rPr>
        <w:t>3</w:t>
      </w:r>
      <w:r w:rsidRPr="00D34BE8">
        <w:rPr>
          <w:rFonts w:ascii="Book Antiqua" w:eastAsia="等线" w:hAnsi="Book Antiqua"/>
          <w:bCs/>
          <w:sz w:val="20"/>
          <w:szCs w:val="20"/>
        </w:rPr>
        <w:t xml:space="preserve">) large EVs (diameter ≥ 5 mm). Observation of red sign was also recorded. </w:t>
      </w:r>
    </w:p>
    <w:p w:rsidR="003506EB" w:rsidRPr="00D34BE8" w:rsidRDefault="003506EB" w:rsidP="00D34BE8">
      <w:pPr>
        <w:spacing w:after="0" w:line="360" w:lineRule="auto"/>
        <w:jc w:val="both"/>
        <w:rPr>
          <w:rFonts w:ascii="Book Antiqua" w:hAnsi="Book Antiqua"/>
          <w:sz w:val="20"/>
          <w:szCs w:val="20"/>
        </w:rPr>
      </w:pPr>
      <w:r w:rsidRPr="00D34BE8">
        <w:rPr>
          <w:rFonts w:ascii="Book Antiqua" w:eastAsia="等线" w:hAnsi="Book Antiqua"/>
          <w:bCs/>
          <w:sz w:val="20"/>
          <w:szCs w:val="20"/>
        </w:rPr>
        <w:t xml:space="preserve">  The published and currently used non-invasive prediction models are as follows: </w:t>
      </w:r>
      <w:r w:rsidR="005237E8" w:rsidRPr="00D34BE8">
        <w:rPr>
          <w:rFonts w:ascii="Book Antiqua" w:eastAsia="等线" w:hAnsi="Book Antiqua"/>
          <w:bCs/>
          <w:sz w:val="20"/>
          <w:szCs w:val="20"/>
        </w:rPr>
        <w:t>l</w:t>
      </w:r>
      <w:r w:rsidR="005237E8" w:rsidRPr="0027639A">
        <w:rPr>
          <w:rFonts w:ascii="Book Antiqua" w:eastAsia="Times New Roman" w:hAnsi="Book Antiqua"/>
          <w:sz w:val="20"/>
          <w:szCs w:val="20"/>
        </w:rPr>
        <w:t>iver stiffness-spleen diameter to platelet</w:t>
      </w:r>
      <w:r w:rsidR="005237E8" w:rsidRPr="00D34BE8">
        <w:rPr>
          <w:rFonts w:ascii="Book Antiqua" w:eastAsia="Times New Roman" w:hAnsi="Book Antiqua"/>
          <w:sz w:val="20"/>
          <w:szCs w:val="20"/>
        </w:rPr>
        <w:t xml:space="preserve"> (PLT)</w:t>
      </w:r>
      <w:r w:rsidR="005237E8" w:rsidRPr="0027639A">
        <w:rPr>
          <w:rFonts w:ascii="Book Antiqua" w:eastAsia="Times New Roman" w:hAnsi="Book Antiqua"/>
          <w:sz w:val="20"/>
          <w:szCs w:val="20"/>
        </w:rPr>
        <w:t xml:space="preserve"> ratio score</w:t>
      </w:r>
      <w:r w:rsidR="005237E8" w:rsidRPr="00D34BE8">
        <w:rPr>
          <w:rFonts w:ascii="Book Antiqua" w:eastAsia="Times New Roman" w:hAnsi="Book Antiqua"/>
          <w:sz w:val="20"/>
          <w:szCs w:val="20"/>
        </w:rPr>
        <w:t xml:space="preserve"> (</w:t>
      </w:r>
      <w:r w:rsidR="00C7222A" w:rsidRPr="00D34BE8">
        <w:rPr>
          <w:rFonts w:ascii="Book Antiqua" w:hAnsi="Book Antiqua"/>
          <w:bCs/>
          <w:sz w:val="20"/>
          <w:szCs w:val="20"/>
        </w:rPr>
        <w:t>LSPS</w:t>
      </w:r>
      <w:r w:rsidR="005237E8" w:rsidRPr="00D34BE8">
        <w:rPr>
          <w:rFonts w:ascii="Book Antiqua" w:hAnsi="Book Antiqua"/>
          <w:bCs/>
          <w:sz w:val="20"/>
          <w:szCs w:val="20"/>
        </w:rPr>
        <w:t>)</w:t>
      </w:r>
      <w:r w:rsidRPr="00D34BE8">
        <w:rPr>
          <w:rFonts w:ascii="Book Antiqua" w:hAnsi="Book Antiqua"/>
          <w:bCs/>
          <w:sz w:val="20"/>
          <w:szCs w:val="20"/>
        </w:rPr>
        <w:t xml:space="preserve"> </w:t>
      </w:r>
      <w:r w:rsidR="00C7222A" w:rsidRPr="00D34BE8">
        <w:rPr>
          <w:rFonts w:ascii="Book Antiqua" w:hAnsi="Book Antiqua"/>
          <w:bCs/>
          <w:sz w:val="20"/>
          <w:szCs w:val="20"/>
        </w:rPr>
        <w:t>=</w:t>
      </w:r>
      <w:r w:rsidRPr="00D34BE8">
        <w:rPr>
          <w:rFonts w:ascii="Book Antiqua" w:hAnsi="Book Antiqua"/>
          <w:bCs/>
          <w:sz w:val="20"/>
          <w:szCs w:val="20"/>
        </w:rPr>
        <w:t xml:space="preserve"> </w:t>
      </w:r>
      <w:r w:rsidR="00C7222A" w:rsidRPr="00D34BE8">
        <w:rPr>
          <w:rFonts w:ascii="Book Antiqua" w:hAnsi="Book Antiqua"/>
          <w:bCs/>
          <w:sz w:val="20"/>
          <w:szCs w:val="20"/>
        </w:rPr>
        <w:t>[LSM</w:t>
      </w:r>
      <w:r w:rsidR="00621B83" w:rsidRPr="00D34BE8">
        <w:rPr>
          <w:rFonts w:ascii="Book Antiqua" w:hAnsi="Book Antiqua"/>
          <w:bCs/>
          <w:sz w:val="20"/>
          <w:szCs w:val="20"/>
        </w:rPr>
        <w:t xml:space="preserve"> </w:t>
      </w:r>
      <w:r w:rsidR="00C7222A" w:rsidRPr="00D34BE8">
        <w:rPr>
          <w:rFonts w:ascii="Book Antiqua" w:hAnsi="Book Antiqua"/>
          <w:bCs/>
          <w:sz w:val="20"/>
          <w:szCs w:val="20"/>
        </w:rPr>
        <w:t>(KPa)</w:t>
      </w:r>
      <w:r w:rsidR="004D3F15" w:rsidRPr="00D34BE8">
        <w:rPr>
          <w:rFonts w:ascii="Book Antiqua" w:hAnsi="Book Antiqua"/>
          <w:sz w:val="20"/>
          <w:szCs w:val="20"/>
        </w:rPr>
        <w:t xml:space="preserve"> </w:t>
      </w:r>
      <w:r w:rsidR="004D3F15" w:rsidRPr="00D34BE8">
        <w:rPr>
          <w:rFonts w:ascii="Book Antiqua" w:hAnsi="Book Antiqua"/>
          <w:bCs/>
          <w:sz w:val="20"/>
          <w:szCs w:val="20"/>
        </w:rPr>
        <w:t xml:space="preserve">× </w:t>
      </w:r>
      <w:r w:rsidR="00C7222A" w:rsidRPr="00D34BE8">
        <w:rPr>
          <w:rFonts w:ascii="Book Antiqua" w:hAnsi="Book Antiqua"/>
          <w:bCs/>
          <w:sz w:val="20"/>
          <w:szCs w:val="20"/>
        </w:rPr>
        <w:t>SLD (cm)]/PLT</w:t>
      </w:r>
      <w:r w:rsidR="00621B83" w:rsidRPr="00D34BE8">
        <w:rPr>
          <w:rFonts w:ascii="Book Antiqua" w:hAnsi="Book Antiqua"/>
          <w:bCs/>
          <w:sz w:val="20"/>
          <w:szCs w:val="20"/>
        </w:rPr>
        <w:t xml:space="preserve"> </w:t>
      </w:r>
      <w:r w:rsidR="00C7222A" w:rsidRPr="00D34BE8">
        <w:rPr>
          <w:rFonts w:ascii="Book Antiqua" w:hAnsi="Book Antiqua"/>
          <w:bCs/>
          <w:sz w:val="20"/>
          <w:szCs w:val="20"/>
        </w:rPr>
        <w:t>(</w:t>
      </w:r>
      <w:r w:rsidR="004D3F15" w:rsidRPr="00D34BE8">
        <w:rPr>
          <w:rFonts w:ascii="Book Antiqua" w:hAnsi="Book Antiqua"/>
          <w:bCs/>
          <w:sz w:val="20"/>
          <w:szCs w:val="20"/>
        </w:rPr>
        <w:t xml:space="preserve">× </w:t>
      </w:r>
      <w:r w:rsidR="00C7222A" w:rsidRPr="00D34BE8">
        <w:rPr>
          <w:rFonts w:ascii="Book Antiqua" w:hAnsi="Book Antiqua"/>
          <w:bCs/>
          <w:sz w:val="20"/>
          <w:szCs w:val="20"/>
        </w:rPr>
        <w:t>10</w:t>
      </w:r>
      <w:r w:rsidR="00C7222A" w:rsidRPr="00D34BE8">
        <w:rPr>
          <w:rFonts w:ascii="Book Antiqua" w:hAnsi="Book Antiqua"/>
          <w:bCs/>
          <w:sz w:val="20"/>
          <w:szCs w:val="20"/>
          <w:vertAlign w:val="superscript"/>
        </w:rPr>
        <w:t>9</w:t>
      </w:r>
      <w:r w:rsidR="00C7222A" w:rsidRPr="00D34BE8">
        <w:rPr>
          <w:rFonts w:ascii="Book Antiqua" w:hAnsi="Book Antiqua"/>
          <w:bCs/>
          <w:sz w:val="20"/>
          <w:szCs w:val="20"/>
        </w:rPr>
        <w:t>/L)</w:t>
      </w:r>
      <w:r w:rsidR="00C7222A" w:rsidRPr="00D34BE8">
        <w:rPr>
          <w:rFonts w:ascii="Book Antiqua" w:hAnsi="Book Antiqua"/>
          <w:bCs/>
          <w:sz w:val="20"/>
          <w:szCs w:val="20"/>
          <w:vertAlign w:val="superscript"/>
        </w:rPr>
        <w:t>[</w:t>
      </w:r>
      <w:r w:rsidR="003234B3" w:rsidRPr="00D34BE8">
        <w:rPr>
          <w:rFonts w:ascii="Book Antiqua" w:hAnsi="Book Antiqua"/>
          <w:bCs/>
          <w:sz w:val="20"/>
          <w:szCs w:val="20"/>
          <w:vertAlign w:val="superscript"/>
        </w:rPr>
        <w:t>19</w:t>
      </w:r>
      <w:r w:rsidR="00C7222A" w:rsidRPr="00D34BE8">
        <w:rPr>
          <w:rFonts w:ascii="Book Antiqua" w:hAnsi="Book Antiqua"/>
          <w:bCs/>
          <w:sz w:val="20"/>
          <w:szCs w:val="20"/>
          <w:vertAlign w:val="superscript"/>
        </w:rPr>
        <w:t>]</w:t>
      </w:r>
      <w:r w:rsidRPr="00D34BE8">
        <w:rPr>
          <w:rFonts w:ascii="Book Antiqua" w:hAnsi="Book Antiqua"/>
          <w:bCs/>
          <w:sz w:val="20"/>
          <w:szCs w:val="20"/>
        </w:rPr>
        <w:t xml:space="preserve">; </w:t>
      </w:r>
      <w:r w:rsidR="00B03B26" w:rsidRPr="0027639A">
        <w:rPr>
          <w:rStyle w:val="st"/>
          <w:rFonts w:ascii="Book Antiqua" w:eastAsia="Times New Roman" w:hAnsi="Book Antiqua"/>
          <w:sz w:val="20"/>
          <w:szCs w:val="20"/>
        </w:rPr>
        <w:t>variceal risk index</w:t>
      </w:r>
      <w:r w:rsidR="00B03B26" w:rsidRPr="00D34BE8">
        <w:rPr>
          <w:rStyle w:val="st"/>
          <w:rFonts w:eastAsia="Times New Roman"/>
          <w:sz w:val="20"/>
          <w:szCs w:val="20"/>
        </w:rPr>
        <w:t xml:space="preserve"> (</w:t>
      </w:r>
      <w:r w:rsidR="00C7222A" w:rsidRPr="00D34BE8">
        <w:rPr>
          <w:rFonts w:ascii="Book Antiqua" w:hAnsi="Book Antiqua"/>
          <w:bCs/>
          <w:sz w:val="20"/>
          <w:szCs w:val="20"/>
        </w:rPr>
        <w:t>VRI</w:t>
      </w:r>
      <w:r w:rsidR="00B03B26" w:rsidRPr="00D34BE8">
        <w:rPr>
          <w:rFonts w:ascii="Book Antiqua" w:hAnsi="Book Antiqua"/>
          <w:bCs/>
          <w:sz w:val="20"/>
          <w:szCs w:val="20"/>
        </w:rPr>
        <w:t>)</w:t>
      </w:r>
      <w:r w:rsidRPr="00D34BE8">
        <w:rPr>
          <w:rFonts w:ascii="Book Antiqua" w:hAnsi="Book Antiqua"/>
          <w:bCs/>
          <w:sz w:val="20"/>
          <w:szCs w:val="20"/>
        </w:rPr>
        <w:t xml:space="preserve"> </w:t>
      </w:r>
      <w:r w:rsidR="00C7222A" w:rsidRPr="00D34BE8">
        <w:rPr>
          <w:rFonts w:ascii="Book Antiqua" w:hAnsi="Book Antiqua"/>
          <w:bCs/>
          <w:sz w:val="20"/>
          <w:szCs w:val="20"/>
        </w:rPr>
        <w:t>=</w:t>
      </w:r>
      <w:r w:rsidRPr="00D34BE8">
        <w:rPr>
          <w:rFonts w:ascii="Book Antiqua" w:hAnsi="Book Antiqua"/>
          <w:bCs/>
          <w:sz w:val="20"/>
          <w:szCs w:val="20"/>
        </w:rPr>
        <w:t xml:space="preserve"> </w:t>
      </w:r>
      <w:r w:rsidR="00C7222A" w:rsidRPr="00D34BE8">
        <w:rPr>
          <w:rFonts w:ascii="Book Antiqua" w:hAnsi="Book Antiqua"/>
          <w:bCs/>
          <w:sz w:val="20"/>
          <w:szCs w:val="20"/>
        </w:rPr>
        <w:t>-4.364</w:t>
      </w:r>
      <w:r w:rsidRPr="00D34BE8">
        <w:rPr>
          <w:rFonts w:ascii="Book Antiqua" w:hAnsi="Book Antiqua"/>
          <w:bCs/>
          <w:sz w:val="20"/>
          <w:szCs w:val="20"/>
        </w:rPr>
        <w:t xml:space="preserve"> </w:t>
      </w:r>
      <w:r w:rsidR="00C7222A" w:rsidRPr="00D34BE8">
        <w:rPr>
          <w:rFonts w:ascii="Book Antiqua" w:hAnsi="Book Antiqua"/>
          <w:bCs/>
          <w:sz w:val="20"/>
          <w:szCs w:val="20"/>
        </w:rPr>
        <w:t>+</w:t>
      </w:r>
      <w:r w:rsidRPr="00D34BE8">
        <w:rPr>
          <w:rFonts w:ascii="Book Antiqua" w:hAnsi="Book Antiqua"/>
          <w:bCs/>
          <w:sz w:val="20"/>
          <w:szCs w:val="20"/>
        </w:rPr>
        <w:t xml:space="preserve"> </w:t>
      </w:r>
      <w:r w:rsidR="00C7222A" w:rsidRPr="00D34BE8">
        <w:rPr>
          <w:rFonts w:ascii="Book Antiqua" w:hAnsi="Book Antiqua"/>
          <w:bCs/>
          <w:sz w:val="20"/>
          <w:szCs w:val="20"/>
        </w:rPr>
        <w:t>0.538</w:t>
      </w:r>
      <w:r w:rsidR="004D3F15" w:rsidRPr="00D34BE8">
        <w:rPr>
          <w:rFonts w:ascii="Book Antiqua" w:hAnsi="Book Antiqua"/>
          <w:sz w:val="20"/>
          <w:szCs w:val="20"/>
        </w:rPr>
        <w:t xml:space="preserve"> </w:t>
      </w:r>
      <w:r w:rsidR="004D3F15" w:rsidRPr="00D34BE8">
        <w:rPr>
          <w:rFonts w:ascii="Book Antiqua" w:hAnsi="Book Antiqua"/>
          <w:bCs/>
          <w:sz w:val="20"/>
          <w:szCs w:val="20"/>
        </w:rPr>
        <w:t xml:space="preserve">× </w:t>
      </w:r>
      <w:r w:rsidR="00C7222A" w:rsidRPr="00D34BE8">
        <w:rPr>
          <w:rFonts w:ascii="Book Antiqua" w:hAnsi="Book Antiqua"/>
          <w:bCs/>
          <w:sz w:val="20"/>
          <w:szCs w:val="20"/>
        </w:rPr>
        <w:t>SLD</w:t>
      </w:r>
      <w:r w:rsidRPr="00D34BE8">
        <w:rPr>
          <w:rFonts w:ascii="Book Antiqua" w:hAnsi="Book Antiqua"/>
          <w:bCs/>
          <w:sz w:val="20"/>
          <w:szCs w:val="20"/>
        </w:rPr>
        <w:t xml:space="preserve"> - </w:t>
      </w:r>
      <w:r w:rsidR="00C7222A" w:rsidRPr="00D34BE8">
        <w:rPr>
          <w:rFonts w:ascii="Book Antiqua" w:hAnsi="Book Antiqua"/>
          <w:bCs/>
          <w:sz w:val="20"/>
          <w:szCs w:val="20"/>
        </w:rPr>
        <w:t>0.049</w:t>
      </w:r>
      <w:r w:rsidR="004D3F15" w:rsidRPr="00D34BE8">
        <w:rPr>
          <w:rFonts w:ascii="Book Antiqua" w:hAnsi="Book Antiqua"/>
          <w:sz w:val="20"/>
          <w:szCs w:val="20"/>
        </w:rPr>
        <w:t xml:space="preserve"> </w:t>
      </w:r>
      <w:r w:rsidR="004D3F15" w:rsidRPr="00D34BE8">
        <w:rPr>
          <w:rFonts w:ascii="Book Antiqua" w:hAnsi="Book Antiqua"/>
          <w:bCs/>
          <w:sz w:val="20"/>
          <w:szCs w:val="20"/>
        </w:rPr>
        <w:t xml:space="preserve">× </w:t>
      </w:r>
      <w:r w:rsidR="00C7222A" w:rsidRPr="00D34BE8">
        <w:rPr>
          <w:rFonts w:ascii="Book Antiqua" w:hAnsi="Book Antiqua"/>
          <w:bCs/>
          <w:sz w:val="20"/>
          <w:szCs w:val="20"/>
        </w:rPr>
        <w:t>PLT</w:t>
      </w:r>
      <w:r w:rsidRPr="00D34BE8">
        <w:rPr>
          <w:rFonts w:ascii="Book Antiqua" w:hAnsi="Book Antiqua"/>
          <w:bCs/>
          <w:sz w:val="20"/>
          <w:szCs w:val="20"/>
        </w:rPr>
        <w:t xml:space="preserve"> </w:t>
      </w:r>
      <w:r w:rsidR="00C7222A" w:rsidRPr="00D34BE8">
        <w:rPr>
          <w:rFonts w:ascii="Book Antiqua" w:hAnsi="Book Antiqua"/>
          <w:bCs/>
          <w:sz w:val="20"/>
          <w:szCs w:val="20"/>
        </w:rPr>
        <w:t>-</w:t>
      </w:r>
      <w:r w:rsidRPr="00D34BE8">
        <w:rPr>
          <w:rFonts w:ascii="Book Antiqua" w:hAnsi="Book Antiqua"/>
          <w:bCs/>
          <w:sz w:val="20"/>
          <w:szCs w:val="20"/>
        </w:rPr>
        <w:t xml:space="preserve"> </w:t>
      </w:r>
      <w:r w:rsidR="00C7222A" w:rsidRPr="00D34BE8">
        <w:rPr>
          <w:rFonts w:ascii="Book Antiqua" w:hAnsi="Book Antiqua"/>
          <w:bCs/>
          <w:sz w:val="20"/>
          <w:szCs w:val="20"/>
        </w:rPr>
        <w:t>0.044</w:t>
      </w:r>
      <w:r w:rsidR="004D3F15" w:rsidRPr="00D34BE8">
        <w:rPr>
          <w:rFonts w:ascii="Book Antiqua" w:hAnsi="Book Antiqua"/>
          <w:sz w:val="20"/>
          <w:szCs w:val="20"/>
        </w:rPr>
        <w:t xml:space="preserve"> </w:t>
      </w:r>
      <w:r w:rsidR="004D3F15" w:rsidRPr="00D34BE8">
        <w:rPr>
          <w:rFonts w:ascii="Book Antiqua" w:hAnsi="Book Antiqua"/>
          <w:bCs/>
          <w:sz w:val="20"/>
          <w:szCs w:val="20"/>
        </w:rPr>
        <w:t xml:space="preserve">× </w:t>
      </w:r>
      <w:r w:rsidR="00C7222A" w:rsidRPr="00D34BE8">
        <w:rPr>
          <w:rFonts w:ascii="Book Antiqua" w:hAnsi="Book Antiqua"/>
          <w:bCs/>
          <w:sz w:val="20"/>
          <w:szCs w:val="20"/>
        </w:rPr>
        <w:t>LSM</w:t>
      </w:r>
      <w:r w:rsidRPr="00D34BE8">
        <w:rPr>
          <w:rFonts w:ascii="Book Antiqua" w:hAnsi="Book Antiqua"/>
          <w:bCs/>
          <w:sz w:val="20"/>
          <w:szCs w:val="20"/>
        </w:rPr>
        <w:t xml:space="preserve"> </w:t>
      </w:r>
      <w:r w:rsidR="00C7222A" w:rsidRPr="00D34BE8">
        <w:rPr>
          <w:rFonts w:ascii="Book Antiqua" w:hAnsi="Book Antiqua"/>
          <w:bCs/>
          <w:sz w:val="20"/>
          <w:szCs w:val="20"/>
        </w:rPr>
        <w:t>+</w:t>
      </w:r>
      <w:r w:rsidRPr="00D34BE8">
        <w:rPr>
          <w:rFonts w:ascii="Book Antiqua" w:hAnsi="Book Antiqua"/>
          <w:bCs/>
          <w:sz w:val="20"/>
          <w:szCs w:val="20"/>
        </w:rPr>
        <w:t xml:space="preserve"> </w:t>
      </w:r>
      <w:r w:rsidR="00C7222A" w:rsidRPr="00D34BE8">
        <w:rPr>
          <w:rFonts w:ascii="Book Antiqua" w:hAnsi="Book Antiqua"/>
          <w:bCs/>
          <w:sz w:val="20"/>
          <w:szCs w:val="20"/>
        </w:rPr>
        <w:t>0.001</w:t>
      </w:r>
      <w:r w:rsidR="004D3F15" w:rsidRPr="00D34BE8">
        <w:rPr>
          <w:rFonts w:ascii="Book Antiqua" w:hAnsi="Book Antiqua"/>
          <w:sz w:val="20"/>
          <w:szCs w:val="20"/>
        </w:rPr>
        <w:t xml:space="preserve"> </w:t>
      </w:r>
      <w:r w:rsidR="004D3F15" w:rsidRPr="00D34BE8">
        <w:rPr>
          <w:rFonts w:ascii="Book Antiqua" w:hAnsi="Book Antiqua"/>
          <w:bCs/>
          <w:sz w:val="20"/>
          <w:szCs w:val="20"/>
        </w:rPr>
        <w:t>×</w:t>
      </w:r>
      <w:r w:rsidRPr="00D34BE8">
        <w:rPr>
          <w:rFonts w:ascii="Book Antiqua" w:hAnsi="Book Antiqua"/>
          <w:bCs/>
          <w:sz w:val="20"/>
          <w:szCs w:val="20"/>
        </w:rPr>
        <w:t xml:space="preserve"> </w:t>
      </w:r>
      <w:r w:rsidR="00C7222A" w:rsidRPr="00D34BE8">
        <w:rPr>
          <w:rFonts w:ascii="Book Antiqua" w:hAnsi="Book Antiqua"/>
          <w:bCs/>
          <w:sz w:val="20"/>
          <w:szCs w:val="20"/>
        </w:rPr>
        <w:t>(LSM</w:t>
      </w:r>
      <w:r w:rsidR="004D3F15" w:rsidRPr="00D34BE8">
        <w:rPr>
          <w:rFonts w:ascii="Book Antiqua" w:hAnsi="Book Antiqua"/>
          <w:sz w:val="20"/>
          <w:szCs w:val="20"/>
        </w:rPr>
        <w:t xml:space="preserve"> </w:t>
      </w:r>
      <w:r w:rsidR="004D3F15" w:rsidRPr="00D34BE8">
        <w:rPr>
          <w:rFonts w:ascii="Book Antiqua" w:hAnsi="Book Antiqua"/>
          <w:bCs/>
          <w:sz w:val="20"/>
          <w:szCs w:val="20"/>
        </w:rPr>
        <w:t xml:space="preserve">× </w:t>
      </w:r>
      <w:r w:rsidR="00C7222A" w:rsidRPr="00D34BE8">
        <w:rPr>
          <w:rFonts w:ascii="Book Antiqua" w:hAnsi="Book Antiqua"/>
          <w:bCs/>
          <w:sz w:val="20"/>
          <w:szCs w:val="20"/>
        </w:rPr>
        <w:t>PLT)</w:t>
      </w:r>
      <w:r w:rsidR="00C7222A" w:rsidRPr="00D34BE8">
        <w:rPr>
          <w:rFonts w:ascii="Book Antiqua" w:hAnsi="Book Antiqua"/>
          <w:bCs/>
          <w:sz w:val="20"/>
          <w:szCs w:val="20"/>
          <w:vertAlign w:val="superscript"/>
        </w:rPr>
        <w:t>[2</w:t>
      </w:r>
      <w:r w:rsidR="003234B3" w:rsidRPr="00D34BE8">
        <w:rPr>
          <w:rFonts w:ascii="Book Antiqua" w:hAnsi="Book Antiqua"/>
          <w:bCs/>
          <w:sz w:val="20"/>
          <w:szCs w:val="20"/>
          <w:vertAlign w:val="superscript"/>
        </w:rPr>
        <w:t>0</w:t>
      </w:r>
      <w:r w:rsidR="00C7222A" w:rsidRPr="00D34BE8">
        <w:rPr>
          <w:rFonts w:ascii="Book Antiqua" w:hAnsi="Book Antiqua"/>
          <w:bCs/>
          <w:sz w:val="20"/>
          <w:szCs w:val="20"/>
          <w:vertAlign w:val="superscript"/>
        </w:rPr>
        <w:t>]</w:t>
      </w:r>
      <w:r w:rsidRPr="00D34BE8">
        <w:rPr>
          <w:rFonts w:ascii="Book Antiqua" w:hAnsi="Book Antiqua"/>
          <w:bCs/>
          <w:sz w:val="20"/>
          <w:szCs w:val="20"/>
        </w:rPr>
        <w:t xml:space="preserve">; </w:t>
      </w:r>
      <w:r w:rsidR="00B03B26" w:rsidRPr="0027639A">
        <w:rPr>
          <w:rStyle w:val="e24kjd"/>
          <w:rFonts w:ascii="Book Antiqua" w:eastAsia="Times New Roman" w:hAnsi="Book Antiqua"/>
          <w:sz w:val="20"/>
          <w:szCs w:val="20"/>
        </w:rPr>
        <w:t>aspartate transaminase</w:t>
      </w:r>
      <w:r w:rsidR="00B03B26" w:rsidRPr="00D34BE8">
        <w:rPr>
          <w:rStyle w:val="e24kjd"/>
          <w:rFonts w:ascii="Book Antiqua" w:eastAsia="Times New Roman" w:hAnsi="Book Antiqua"/>
          <w:sz w:val="20"/>
          <w:szCs w:val="20"/>
        </w:rPr>
        <w:t xml:space="preserve"> (AST)</w:t>
      </w:r>
      <w:r w:rsidR="00B03B26" w:rsidRPr="0027639A">
        <w:rPr>
          <w:rStyle w:val="e24kjd"/>
          <w:rFonts w:ascii="Book Antiqua" w:eastAsia="Times New Roman" w:hAnsi="Book Antiqua"/>
          <w:sz w:val="20"/>
          <w:szCs w:val="20"/>
        </w:rPr>
        <w:t xml:space="preserve"> to </w:t>
      </w:r>
      <w:r w:rsidR="00B03B26" w:rsidRPr="00D34BE8">
        <w:rPr>
          <w:rStyle w:val="e24kjd"/>
          <w:rFonts w:ascii="Book Antiqua" w:eastAsia="Times New Roman" w:hAnsi="Book Antiqua"/>
          <w:sz w:val="20"/>
          <w:szCs w:val="20"/>
        </w:rPr>
        <w:t>PLT</w:t>
      </w:r>
      <w:r w:rsidR="00937EFF" w:rsidRPr="00D34BE8">
        <w:rPr>
          <w:rStyle w:val="e24kjd"/>
          <w:rFonts w:ascii="Book Antiqua" w:eastAsia="Times New Roman" w:hAnsi="Book Antiqua"/>
          <w:sz w:val="20"/>
          <w:szCs w:val="20"/>
        </w:rPr>
        <w:t xml:space="preserve"> r</w:t>
      </w:r>
      <w:r w:rsidR="00B03B26" w:rsidRPr="0027639A">
        <w:rPr>
          <w:rStyle w:val="e24kjd"/>
          <w:rFonts w:ascii="Book Antiqua" w:eastAsia="Times New Roman" w:hAnsi="Book Antiqua"/>
          <w:sz w:val="20"/>
          <w:szCs w:val="20"/>
        </w:rPr>
        <w:t xml:space="preserve">atio </w:t>
      </w:r>
      <w:r w:rsidR="00937EFF" w:rsidRPr="00D34BE8">
        <w:rPr>
          <w:rStyle w:val="e24kjd"/>
          <w:rFonts w:ascii="Book Antiqua" w:eastAsia="Times New Roman" w:hAnsi="Book Antiqua"/>
          <w:bCs/>
          <w:sz w:val="20"/>
          <w:szCs w:val="20"/>
        </w:rPr>
        <w:t>i</w:t>
      </w:r>
      <w:r w:rsidR="00B03B26" w:rsidRPr="0027639A">
        <w:rPr>
          <w:rStyle w:val="e24kjd"/>
          <w:rFonts w:ascii="Book Antiqua" w:eastAsia="Times New Roman" w:hAnsi="Book Antiqua"/>
          <w:bCs/>
          <w:sz w:val="20"/>
          <w:szCs w:val="20"/>
        </w:rPr>
        <w:t>ndex</w:t>
      </w:r>
      <w:r w:rsidR="00B03B26" w:rsidRPr="00D34BE8">
        <w:rPr>
          <w:rFonts w:ascii="Book Antiqua" w:hAnsi="Book Antiqua"/>
          <w:bCs/>
          <w:sz w:val="20"/>
          <w:szCs w:val="20"/>
        </w:rPr>
        <w:t xml:space="preserve"> (</w:t>
      </w:r>
      <w:r w:rsidR="00C7222A" w:rsidRPr="00D34BE8">
        <w:rPr>
          <w:rFonts w:ascii="Book Antiqua" w:hAnsi="Book Antiqua"/>
          <w:bCs/>
          <w:sz w:val="20"/>
          <w:szCs w:val="20"/>
        </w:rPr>
        <w:t>APRI</w:t>
      </w:r>
      <w:r w:rsidR="00B03B26" w:rsidRPr="00D34BE8">
        <w:rPr>
          <w:rFonts w:ascii="Book Antiqua" w:hAnsi="Book Antiqua"/>
          <w:bCs/>
          <w:sz w:val="20"/>
          <w:szCs w:val="20"/>
        </w:rPr>
        <w:t>)</w:t>
      </w:r>
      <w:r w:rsidRPr="00D34BE8">
        <w:rPr>
          <w:rFonts w:ascii="Book Antiqua" w:hAnsi="Book Antiqua"/>
          <w:bCs/>
          <w:sz w:val="20"/>
          <w:szCs w:val="20"/>
        </w:rPr>
        <w:t xml:space="preserve"> </w:t>
      </w:r>
      <w:r w:rsidR="00C7222A" w:rsidRPr="00D34BE8">
        <w:rPr>
          <w:rFonts w:ascii="Book Antiqua" w:hAnsi="Book Antiqua"/>
          <w:bCs/>
          <w:sz w:val="20"/>
          <w:szCs w:val="20"/>
        </w:rPr>
        <w:t>=</w:t>
      </w:r>
      <w:r w:rsidRPr="00D34BE8">
        <w:rPr>
          <w:rFonts w:ascii="Book Antiqua" w:hAnsi="Book Antiqua"/>
          <w:bCs/>
          <w:sz w:val="20"/>
          <w:szCs w:val="20"/>
        </w:rPr>
        <w:t xml:space="preserve"> </w:t>
      </w:r>
      <w:r w:rsidR="00C7222A" w:rsidRPr="00D34BE8">
        <w:rPr>
          <w:rFonts w:ascii="Book Antiqua" w:hAnsi="Book Antiqua"/>
          <w:bCs/>
          <w:sz w:val="20"/>
          <w:szCs w:val="20"/>
        </w:rPr>
        <w:t>[AST(U/L)/AST (</w:t>
      </w:r>
      <w:r w:rsidR="00621B83" w:rsidRPr="00D34BE8">
        <w:rPr>
          <w:rFonts w:ascii="Book Antiqua" w:hAnsi="Book Antiqua"/>
          <w:bCs/>
          <w:sz w:val="20"/>
          <w:szCs w:val="20"/>
        </w:rPr>
        <w:t>n</w:t>
      </w:r>
      <w:r w:rsidR="00C7222A" w:rsidRPr="00D34BE8">
        <w:rPr>
          <w:rFonts w:ascii="Book Antiqua" w:hAnsi="Book Antiqua"/>
          <w:bCs/>
          <w:sz w:val="20"/>
          <w:szCs w:val="20"/>
        </w:rPr>
        <w:t>ormal upper limit)]</w:t>
      </w:r>
      <w:r w:rsidR="004D3F15" w:rsidRPr="00D34BE8">
        <w:rPr>
          <w:rFonts w:ascii="Book Antiqua" w:hAnsi="Book Antiqua"/>
          <w:sz w:val="20"/>
          <w:szCs w:val="20"/>
        </w:rPr>
        <w:t xml:space="preserve"> </w:t>
      </w:r>
      <w:r w:rsidR="004D3F15" w:rsidRPr="00D34BE8">
        <w:rPr>
          <w:rFonts w:ascii="Book Antiqua" w:hAnsi="Book Antiqua"/>
          <w:bCs/>
          <w:sz w:val="20"/>
          <w:szCs w:val="20"/>
        </w:rPr>
        <w:t xml:space="preserve">× </w:t>
      </w:r>
      <w:r w:rsidR="00C7222A" w:rsidRPr="00D34BE8">
        <w:rPr>
          <w:rFonts w:ascii="Book Antiqua" w:hAnsi="Book Antiqua"/>
          <w:bCs/>
          <w:sz w:val="20"/>
          <w:szCs w:val="20"/>
        </w:rPr>
        <w:t>100/PLT (</w:t>
      </w:r>
      <w:r w:rsidR="004D3F15" w:rsidRPr="00D34BE8">
        <w:rPr>
          <w:rFonts w:ascii="Book Antiqua" w:hAnsi="Book Antiqua"/>
          <w:bCs/>
          <w:sz w:val="20"/>
          <w:szCs w:val="20"/>
        </w:rPr>
        <w:t xml:space="preserve">× </w:t>
      </w:r>
      <w:r w:rsidR="00C7222A" w:rsidRPr="00D34BE8">
        <w:rPr>
          <w:rFonts w:ascii="Book Antiqua" w:hAnsi="Book Antiqua"/>
          <w:bCs/>
          <w:sz w:val="20"/>
          <w:szCs w:val="20"/>
        </w:rPr>
        <w:t>10</w:t>
      </w:r>
      <w:r w:rsidR="00C7222A" w:rsidRPr="00D34BE8">
        <w:rPr>
          <w:rFonts w:ascii="Book Antiqua" w:hAnsi="Book Antiqua"/>
          <w:bCs/>
          <w:sz w:val="20"/>
          <w:szCs w:val="20"/>
          <w:vertAlign w:val="superscript"/>
        </w:rPr>
        <w:t>9</w:t>
      </w:r>
      <w:r w:rsidR="00C7222A" w:rsidRPr="00D34BE8">
        <w:rPr>
          <w:rFonts w:ascii="Book Antiqua" w:hAnsi="Book Antiqua"/>
          <w:bCs/>
          <w:sz w:val="20"/>
          <w:szCs w:val="20"/>
        </w:rPr>
        <w:t>/L)</w:t>
      </w:r>
      <w:r w:rsidR="00C7222A" w:rsidRPr="00D34BE8">
        <w:rPr>
          <w:rFonts w:ascii="Book Antiqua" w:hAnsi="Book Antiqua"/>
          <w:bCs/>
          <w:sz w:val="20"/>
          <w:szCs w:val="20"/>
          <w:vertAlign w:val="superscript"/>
        </w:rPr>
        <w:t>[2</w:t>
      </w:r>
      <w:r w:rsidR="003234B3" w:rsidRPr="00D34BE8">
        <w:rPr>
          <w:rFonts w:ascii="Book Antiqua" w:hAnsi="Book Antiqua"/>
          <w:bCs/>
          <w:sz w:val="20"/>
          <w:szCs w:val="20"/>
          <w:vertAlign w:val="superscript"/>
        </w:rPr>
        <w:t>1</w:t>
      </w:r>
      <w:r w:rsidR="00C7222A" w:rsidRPr="00D34BE8">
        <w:rPr>
          <w:rFonts w:ascii="Book Antiqua" w:hAnsi="Book Antiqua"/>
          <w:bCs/>
          <w:sz w:val="20"/>
          <w:szCs w:val="20"/>
          <w:vertAlign w:val="superscript"/>
        </w:rPr>
        <w:t>]</w:t>
      </w:r>
      <w:r w:rsidRPr="00D34BE8">
        <w:rPr>
          <w:rFonts w:ascii="Book Antiqua" w:hAnsi="Book Antiqua"/>
          <w:sz w:val="20"/>
          <w:szCs w:val="20"/>
        </w:rPr>
        <w:t xml:space="preserve">; </w:t>
      </w:r>
      <w:r w:rsidR="00CB2273" w:rsidRPr="0027639A">
        <w:rPr>
          <w:rStyle w:val="a5"/>
          <w:rFonts w:ascii="Book Antiqua" w:eastAsia="Times New Roman" w:hAnsi="Book Antiqua"/>
          <w:i w:val="0"/>
          <w:sz w:val="20"/>
          <w:szCs w:val="20"/>
        </w:rPr>
        <w:t>AST</w:t>
      </w:r>
      <w:r w:rsidR="00CB2273" w:rsidRPr="0027639A">
        <w:rPr>
          <w:rStyle w:val="st"/>
          <w:rFonts w:ascii="Book Antiqua" w:eastAsia="Times New Roman" w:hAnsi="Book Antiqua"/>
          <w:i/>
          <w:sz w:val="20"/>
          <w:szCs w:val="20"/>
        </w:rPr>
        <w:t>/</w:t>
      </w:r>
      <w:r w:rsidR="00CB2273" w:rsidRPr="00D34BE8">
        <w:rPr>
          <w:rStyle w:val="e24kjd"/>
          <w:rFonts w:ascii="Book Antiqua" w:eastAsia="Times New Roman" w:hAnsi="Book Antiqua"/>
          <w:sz w:val="20"/>
          <w:szCs w:val="20"/>
        </w:rPr>
        <w:t>alanine aminotransferase</w:t>
      </w:r>
      <w:r w:rsidR="00CB2273" w:rsidRPr="0027639A">
        <w:rPr>
          <w:rStyle w:val="st"/>
          <w:rFonts w:ascii="Book Antiqua" w:eastAsia="Times New Roman" w:hAnsi="Book Antiqua"/>
          <w:sz w:val="20"/>
          <w:szCs w:val="20"/>
        </w:rPr>
        <w:t xml:space="preserve"> ratio</w:t>
      </w:r>
      <w:r w:rsidR="00CB2273" w:rsidRPr="00D34BE8">
        <w:rPr>
          <w:rFonts w:ascii="Book Antiqua" w:hAnsi="Book Antiqua"/>
          <w:sz w:val="20"/>
          <w:szCs w:val="20"/>
        </w:rPr>
        <w:t xml:space="preserve"> (</w:t>
      </w:r>
      <w:r w:rsidR="00C7222A" w:rsidRPr="00D34BE8">
        <w:rPr>
          <w:rFonts w:ascii="Book Antiqua" w:hAnsi="Book Antiqua"/>
          <w:sz w:val="20"/>
          <w:szCs w:val="20"/>
        </w:rPr>
        <w:t>AAR</w:t>
      </w:r>
      <w:r w:rsidR="00CB2273" w:rsidRPr="00D34BE8">
        <w:rPr>
          <w:rFonts w:ascii="Book Antiqua" w:hAnsi="Book Antiqua"/>
          <w:sz w:val="20"/>
          <w:szCs w:val="20"/>
        </w:rPr>
        <w:t>)</w:t>
      </w:r>
      <w:r w:rsidRPr="00D34BE8">
        <w:rPr>
          <w:rFonts w:ascii="Book Antiqua" w:hAnsi="Book Antiqua"/>
          <w:sz w:val="20"/>
          <w:szCs w:val="20"/>
        </w:rPr>
        <w:t xml:space="preserve"> </w:t>
      </w:r>
      <w:r w:rsidR="00C7222A" w:rsidRPr="00D34BE8">
        <w:rPr>
          <w:rFonts w:ascii="Book Antiqua" w:hAnsi="Book Antiqua"/>
          <w:sz w:val="20"/>
          <w:szCs w:val="20"/>
        </w:rPr>
        <w:t>=</w:t>
      </w:r>
      <w:r w:rsidRPr="00D34BE8">
        <w:rPr>
          <w:rFonts w:ascii="Book Antiqua" w:hAnsi="Book Antiqua"/>
          <w:sz w:val="20"/>
          <w:szCs w:val="20"/>
        </w:rPr>
        <w:t xml:space="preserve"> </w:t>
      </w:r>
      <w:r w:rsidR="00C7222A" w:rsidRPr="00D34BE8">
        <w:rPr>
          <w:rFonts w:ascii="Book Antiqua" w:hAnsi="Book Antiqua"/>
          <w:sz w:val="20"/>
          <w:szCs w:val="20"/>
        </w:rPr>
        <w:t>AST/ALT</w:t>
      </w:r>
      <w:r w:rsidR="00C7222A" w:rsidRPr="00D34BE8">
        <w:rPr>
          <w:rFonts w:ascii="Book Antiqua" w:hAnsi="Book Antiqua"/>
          <w:sz w:val="20"/>
          <w:szCs w:val="20"/>
          <w:vertAlign w:val="superscript"/>
        </w:rPr>
        <w:t>[2</w:t>
      </w:r>
      <w:r w:rsidR="003234B3" w:rsidRPr="00D34BE8">
        <w:rPr>
          <w:rFonts w:ascii="Book Antiqua" w:hAnsi="Book Antiqua"/>
          <w:sz w:val="20"/>
          <w:szCs w:val="20"/>
          <w:vertAlign w:val="superscript"/>
        </w:rPr>
        <w:t>1</w:t>
      </w:r>
      <w:r w:rsidR="00C7222A" w:rsidRPr="00D34BE8">
        <w:rPr>
          <w:rFonts w:ascii="Book Antiqua" w:hAnsi="Book Antiqua"/>
          <w:sz w:val="20"/>
          <w:szCs w:val="20"/>
          <w:vertAlign w:val="superscript"/>
        </w:rPr>
        <w:t>]</w:t>
      </w:r>
      <w:r w:rsidRPr="00D34BE8">
        <w:rPr>
          <w:rFonts w:ascii="Book Antiqua" w:hAnsi="Book Antiqua"/>
          <w:sz w:val="20"/>
          <w:szCs w:val="20"/>
        </w:rPr>
        <w:t xml:space="preserve">. </w:t>
      </w:r>
    </w:p>
    <w:p w:rsidR="003506EB" w:rsidRPr="00D34BE8" w:rsidRDefault="003506EB" w:rsidP="00D34BE8">
      <w:pPr>
        <w:spacing w:after="0" w:line="360" w:lineRule="auto"/>
        <w:jc w:val="both"/>
        <w:rPr>
          <w:rFonts w:ascii="Book Antiqua" w:eastAsia="等线" w:hAnsi="Book Antiqua"/>
          <w:bCs/>
          <w:sz w:val="20"/>
          <w:szCs w:val="20"/>
        </w:rPr>
      </w:pPr>
      <w:r w:rsidRPr="00D34BE8">
        <w:rPr>
          <w:rFonts w:ascii="Book Antiqua" w:eastAsia="等线" w:hAnsi="Book Antiqua"/>
          <w:bCs/>
          <w:sz w:val="20"/>
          <w:szCs w:val="20"/>
        </w:rPr>
        <w:t xml:space="preserve">  To evaluate the performance of the present and previous predictive models in identification of HEVs, the results from gastroscopy were used as the gold standard, and the receiver operating characteristic (ROC) curve of each model was plotted, and the area under curve (AUC) of ROC curve, sensitivity, specificity and Youden</w:t>
      </w:r>
      <w:r w:rsidR="00B664F2">
        <w:rPr>
          <w:rFonts w:ascii="Book Antiqua" w:eastAsia="等线" w:hAnsi="Book Antiqua"/>
          <w:bCs/>
          <w:sz w:val="20"/>
          <w:szCs w:val="20"/>
        </w:rPr>
        <w:t>’s</w:t>
      </w:r>
      <w:r w:rsidRPr="00D34BE8">
        <w:rPr>
          <w:rFonts w:ascii="Book Antiqua" w:eastAsia="等线" w:hAnsi="Book Antiqua"/>
          <w:bCs/>
          <w:sz w:val="20"/>
          <w:szCs w:val="20"/>
        </w:rPr>
        <w:t xml:space="preserve"> index were calculated. The cutoff value of the point at which the sum of sensitivity and specificity was largest was selected as the optimal cutoff value in the diagnosis of HEVs or LEVs. The validity of the prediction model was evaluated by consistency (c) statistic (corresponding to AUC), and c &gt; 0.7 was considered effective.</w:t>
      </w:r>
    </w:p>
    <w:p w:rsidR="003506EB" w:rsidRPr="00D34BE8" w:rsidRDefault="003506EB" w:rsidP="00D34BE8">
      <w:pPr>
        <w:spacing w:after="0" w:line="360" w:lineRule="auto"/>
        <w:jc w:val="both"/>
        <w:rPr>
          <w:rFonts w:ascii="Book Antiqua" w:eastAsia="等线" w:hAnsi="Book Antiqua"/>
          <w:bCs/>
          <w:sz w:val="20"/>
          <w:szCs w:val="20"/>
        </w:rPr>
      </w:pPr>
    </w:p>
    <w:p w:rsidR="00C7222A" w:rsidRPr="00D34BE8" w:rsidRDefault="00C7222A" w:rsidP="00D34BE8">
      <w:pPr>
        <w:spacing w:after="0" w:line="360" w:lineRule="auto"/>
        <w:jc w:val="both"/>
        <w:rPr>
          <w:rFonts w:ascii="Book Antiqua" w:hAnsi="Book Antiqua"/>
          <w:b/>
          <w:bCs/>
          <w:i/>
          <w:iCs/>
          <w:sz w:val="20"/>
          <w:szCs w:val="20"/>
        </w:rPr>
      </w:pPr>
      <w:r w:rsidRPr="00D34BE8">
        <w:rPr>
          <w:rFonts w:ascii="Book Antiqua" w:hAnsi="Book Antiqua"/>
          <w:b/>
          <w:bCs/>
          <w:i/>
          <w:iCs/>
          <w:sz w:val="20"/>
          <w:szCs w:val="20"/>
        </w:rPr>
        <w:t>Evaluation of new prediction models</w:t>
      </w:r>
    </w:p>
    <w:p w:rsidR="00C7222A" w:rsidRPr="00D34BE8" w:rsidRDefault="00C7222A" w:rsidP="00D34BE8">
      <w:pPr>
        <w:spacing w:after="0" w:line="360" w:lineRule="auto"/>
        <w:jc w:val="both"/>
        <w:rPr>
          <w:rFonts w:ascii="Book Antiqua" w:hAnsi="Book Antiqua"/>
          <w:sz w:val="20"/>
          <w:szCs w:val="20"/>
        </w:rPr>
      </w:pPr>
      <w:r w:rsidRPr="00D34BE8">
        <w:rPr>
          <w:rFonts w:ascii="Book Antiqua" w:hAnsi="Book Antiqua"/>
          <w:sz w:val="20"/>
          <w:szCs w:val="20"/>
        </w:rPr>
        <w:t xml:space="preserve">The discriminating ability of the model was determined by the ROC of the model in both the modeling group and external validation group. The difference </w:t>
      </w:r>
      <w:r w:rsidR="00937EFF" w:rsidRPr="00D34BE8">
        <w:rPr>
          <w:rFonts w:ascii="Book Antiqua" w:hAnsi="Book Antiqua"/>
          <w:sz w:val="20"/>
          <w:szCs w:val="20"/>
        </w:rPr>
        <w:t>in</w:t>
      </w:r>
      <w:r w:rsidRPr="00D34BE8">
        <w:rPr>
          <w:rFonts w:ascii="Book Antiqua" w:hAnsi="Book Antiqua"/>
          <w:sz w:val="20"/>
          <w:szCs w:val="20"/>
        </w:rPr>
        <w:t xml:space="preserve"> the ROC was evaluated by</w:t>
      </w:r>
      <w:r w:rsidR="00937EFF" w:rsidRPr="00D34BE8">
        <w:rPr>
          <w:rFonts w:ascii="Book Antiqua" w:hAnsi="Book Antiqua"/>
          <w:sz w:val="20"/>
          <w:szCs w:val="20"/>
        </w:rPr>
        <w:t xml:space="preserve"> the</w:t>
      </w:r>
      <w:r w:rsidRPr="00D34BE8">
        <w:rPr>
          <w:rFonts w:ascii="Book Antiqua" w:hAnsi="Book Antiqua"/>
          <w:sz w:val="20"/>
          <w:szCs w:val="20"/>
        </w:rPr>
        <w:t xml:space="preserve"> </w:t>
      </w:r>
      <w:r w:rsidRPr="00D34BE8">
        <w:rPr>
          <w:rFonts w:ascii="Book Antiqua" w:hAnsi="Book Antiqua"/>
          <w:i/>
          <w:iCs/>
          <w:sz w:val="20"/>
          <w:szCs w:val="20"/>
        </w:rPr>
        <w:t>Z</w:t>
      </w:r>
      <w:r w:rsidRPr="00D34BE8">
        <w:rPr>
          <w:rFonts w:ascii="Book Antiqua" w:hAnsi="Book Antiqua"/>
          <w:sz w:val="20"/>
          <w:szCs w:val="20"/>
        </w:rPr>
        <w:t xml:space="preserve"> test. If the ROC in both groups </w:t>
      </w:r>
      <w:r w:rsidR="00937EFF" w:rsidRPr="00D34BE8">
        <w:rPr>
          <w:rFonts w:ascii="Book Antiqua" w:hAnsi="Book Antiqua"/>
          <w:sz w:val="20"/>
          <w:szCs w:val="20"/>
        </w:rPr>
        <w:t xml:space="preserve">was </w:t>
      </w:r>
      <w:r w:rsidRPr="00D34BE8">
        <w:rPr>
          <w:rFonts w:ascii="Book Antiqua" w:hAnsi="Book Antiqua"/>
          <w:sz w:val="20"/>
          <w:szCs w:val="20"/>
        </w:rPr>
        <w:t xml:space="preserve">not different and </w:t>
      </w:r>
      <w:r w:rsidR="00937EFF" w:rsidRPr="00D34BE8">
        <w:rPr>
          <w:rFonts w:ascii="Book Antiqua" w:hAnsi="Book Antiqua"/>
          <w:sz w:val="20"/>
          <w:szCs w:val="20"/>
        </w:rPr>
        <w:t xml:space="preserve">was </w:t>
      </w:r>
      <w:r w:rsidRPr="00D34BE8">
        <w:rPr>
          <w:rFonts w:ascii="Book Antiqua" w:hAnsi="Book Antiqua"/>
          <w:sz w:val="20"/>
          <w:szCs w:val="20"/>
        </w:rPr>
        <w:t xml:space="preserve">higher than 0.7, the discriminating ability of the model </w:t>
      </w:r>
      <w:r w:rsidR="00937EFF" w:rsidRPr="00D34BE8">
        <w:rPr>
          <w:rFonts w:ascii="Book Antiqua" w:hAnsi="Book Antiqua"/>
          <w:sz w:val="20"/>
          <w:szCs w:val="20"/>
        </w:rPr>
        <w:t xml:space="preserve">was </w:t>
      </w:r>
      <w:r w:rsidRPr="00D34BE8">
        <w:rPr>
          <w:rFonts w:ascii="Book Antiqua" w:hAnsi="Book Antiqua"/>
          <w:sz w:val="20"/>
          <w:szCs w:val="20"/>
        </w:rPr>
        <w:t xml:space="preserve">considered good. The calibration ability of predictive models was evaluated by the Hosmer-Lemeshow test and calibration scatter plot of the two groups. Decision curve analysis (DCA) of the two groups was carried out to evaluate the clinical efficacy of the new model. </w:t>
      </w:r>
    </w:p>
    <w:p w:rsidR="004C23D4" w:rsidRPr="00D34BE8" w:rsidRDefault="004C23D4" w:rsidP="00D34BE8">
      <w:pPr>
        <w:spacing w:after="0" w:line="360" w:lineRule="auto"/>
        <w:jc w:val="both"/>
        <w:rPr>
          <w:rFonts w:ascii="Book Antiqua" w:hAnsi="Book Antiqua"/>
          <w:sz w:val="20"/>
          <w:szCs w:val="20"/>
        </w:rPr>
      </w:pPr>
    </w:p>
    <w:p w:rsidR="00C7222A" w:rsidRPr="00D34BE8" w:rsidRDefault="00C7222A" w:rsidP="00D34BE8">
      <w:pPr>
        <w:spacing w:after="0" w:line="360" w:lineRule="auto"/>
        <w:jc w:val="both"/>
        <w:rPr>
          <w:rFonts w:ascii="Book Antiqua" w:hAnsi="Book Antiqua"/>
          <w:b/>
          <w:bCs/>
          <w:i/>
          <w:iCs/>
          <w:sz w:val="20"/>
          <w:szCs w:val="20"/>
        </w:rPr>
      </w:pPr>
      <w:r w:rsidRPr="00D34BE8">
        <w:rPr>
          <w:rFonts w:ascii="Book Antiqua" w:hAnsi="Book Antiqua"/>
          <w:b/>
          <w:bCs/>
          <w:i/>
          <w:iCs/>
          <w:sz w:val="20"/>
          <w:szCs w:val="20"/>
        </w:rPr>
        <w:t>Statistical analysis</w:t>
      </w:r>
    </w:p>
    <w:p w:rsidR="004C23D4" w:rsidRPr="00D34BE8" w:rsidRDefault="004C23D4" w:rsidP="00D34BE8">
      <w:pPr>
        <w:spacing w:after="0" w:line="360" w:lineRule="auto"/>
        <w:jc w:val="both"/>
        <w:rPr>
          <w:rFonts w:ascii="Book Antiqua" w:hAnsi="Book Antiqua"/>
          <w:bCs/>
          <w:sz w:val="20"/>
          <w:szCs w:val="20"/>
        </w:rPr>
      </w:pPr>
      <w:r w:rsidRPr="00D34BE8">
        <w:rPr>
          <w:rFonts w:ascii="Book Antiqua" w:hAnsi="Book Antiqua"/>
          <w:bCs/>
          <w:sz w:val="20"/>
          <w:szCs w:val="20"/>
        </w:rPr>
        <w:t xml:space="preserve">Statistical analysis was performed by SPSS 19.0 and R software (IBM SPSS, Chicago, IL, United States). Data are expressed as mean ± SD. The </w:t>
      </w:r>
      <w:r w:rsidRPr="0027639A">
        <w:rPr>
          <w:rFonts w:ascii="Times New Roman" w:hAnsi="Times New Roman"/>
          <w:bCs/>
          <w:i/>
          <w:iCs/>
          <w:sz w:val="20"/>
          <w:szCs w:val="20"/>
        </w:rPr>
        <w:t>χ</w:t>
      </w:r>
      <w:r w:rsidRPr="00D34BE8">
        <w:rPr>
          <w:rFonts w:ascii="Book Antiqua" w:hAnsi="Book Antiqua"/>
          <w:bCs/>
          <w:sz w:val="20"/>
          <w:szCs w:val="20"/>
          <w:vertAlign w:val="superscript"/>
        </w:rPr>
        <w:t>2</w:t>
      </w:r>
      <w:r w:rsidRPr="00D34BE8">
        <w:rPr>
          <w:rFonts w:ascii="Book Antiqua" w:hAnsi="Book Antiqua"/>
          <w:bCs/>
          <w:sz w:val="20"/>
          <w:szCs w:val="20"/>
        </w:rPr>
        <w:t xml:space="preserve"> test was employed to compare between the measured data of the HEVs and LEVs groups, and the Mann-Whitney </w:t>
      </w:r>
      <w:r w:rsidRPr="00D34BE8">
        <w:rPr>
          <w:rFonts w:ascii="Book Antiqua" w:hAnsi="Book Antiqua"/>
          <w:bCs/>
          <w:i/>
          <w:iCs/>
          <w:sz w:val="20"/>
          <w:szCs w:val="20"/>
        </w:rPr>
        <w:t>U</w:t>
      </w:r>
      <w:r w:rsidRPr="00D34BE8">
        <w:rPr>
          <w:rFonts w:ascii="Book Antiqua" w:hAnsi="Book Antiqua"/>
          <w:bCs/>
          <w:sz w:val="20"/>
          <w:szCs w:val="20"/>
        </w:rPr>
        <w:t xml:space="preserve"> test was used to conduct the univariate analysis. The multivariate analysis was performed by </w:t>
      </w:r>
      <w:r w:rsidR="00025B81" w:rsidRPr="00D34BE8">
        <w:rPr>
          <w:rFonts w:ascii="Book Antiqua" w:hAnsi="Book Antiqua"/>
          <w:bCs/>
          <w:sz w:val="20"/>
          <w:szCs w:val="20"/>
        </w:rPr>
        <w:t>b</w:t>
      </w:r>
      <w:r w:rsidRPr="00D34BE8">
        <w:rPr>
          <w:rFonts w:ascii="Book Antiqua" w:hAnsi="Book Antiqua"/>
          <w:bCs/>
          <w:sz w:val="20"/>
          <w:szCs w:val="20"/>
        </w:rPr>
        <w:t xml:space="preserve">ackward WALD </w:t>
      </w:r>
      <w:r w:rsidR="00937EFF" w:rsidRPr="00D34BE8">
        <w:rPr>
          <w:rFonts w:ascii="Book Antiqua" w:hAnsi="Book Antiqua"/>
          <w:bCs/>
          <w:sz w:val="20"/>
          <w:szCs w:val="20"/>
        </w:rPr>
        <w:t>r</w:t>
      </w:r>
      <w:r w:rsidRPr="00D34BE8">
        <w:rPr>
          <w:rFonts w:ascii="Book Antiqua" w:hAnsi="Book Antiqua"/>
          <w:bCs/>
          <w:sz w:val="20"/>
          <w:szCs w:val="20"/>
        </w:rPr>
        <w:t>egression analysis. The ROC curve was obtained using SPSS 19.0. The Hosmer-Lemeshow test results, calibration plot figures, and DCA w</w:t>
      </w:r>
      <w:r w:rsidR="00937EFF" w:rsidRPr="00D34BE8">
        <w:rPr>
          <w:rFonts w:ascii="Book Antiqua" w:hAnsi="Book Antiqua"/>
          <w:bCs/>
          <w:sz w:val="20"/>
          <w:szCs w:val="20"/>
        </w:rPr>
        <w:t>ere</w:t>
      </w:r>
      <w:r w:rsidRPr="00D34BE8">
        <w:rPr>
          <w:rFonts w:ascii="Book Antiqua" w:hAnsi="Book Antiqua"/>
          <w:bCs/>
          <w:sz w:val="20"/>
          <w:szCs w:val="20"/>
        </w:rPr>
        <w:t xml:space="preserve"> obtained using R software. All statistical analyses were two-tailed, and </w:t>
      </w:r>
      <w:r w:rsidRPr="00D34BE8">
        <w:rPr>
          <w:rFonts w:ascii="Book Antiqua" w:hAnsi="Book Antiqua"/>
          <w:bCs/>
          <w:i/>
          <w:iCs/>
          <w:sz w:val="20"/>
          <w:szCs w:val="20"/>
        </w:rPr>
        <w:t xml:space="preserve">P </w:t>
      </w:r>
      <w:r w:rsidRPr="00D34BE8">
        <w:rPr>
          <w:rFonts w:ascii="Book Antiqua" w:hAnsi="Book Antiqua"/>
          <w:bCs/>
          <w:sz w:val="20"/>
          <w:szCs w:val="20"/>
        </w:rPr>
        <w:t xml:space="preserve">&lt; 0.05 was considered statistically significant. </w:t>
      </w:r>
    </w:p>
    <w:p w:rsidR="004C23D4" w:rsidRPr="00D34BE8" w:rsidRDefault="004C23D4" w:rsidP="00D34BE8">
      <w:pPr>
        <w:spacing w:after="0" w:line="360" w:lineRule="auto"/>
        <w:jc w:val="both"/>
        <w:rPr>
          <w:rFonts w:ascii="Book Antiqua" w:hAnsi="Book Antiqua"/>
          <w:bCs/>
          <w:sz w:val="20"/>
          <w:szCs w:val="20"/>
        </w:rPr>
      </w:pPr>
    </w:p>
    <w:p w:rsidR="004C23D4" w:rsidRPr="00D34BE8" w:rsidRDefault="004C23D4" w:rsidP="00D34BE8">
      <w:pPr>
        <w:spacing w:after="0" w:line="360" w:lineRule="auto"/>
        <w:jc w:val="both"/>
        <w:rPr>
          <w:rFonts w:ascii="Book Antiqua" w:eastAsia="宋体" w:hAnsi="Book Antiqua" w:cs="Arial"/>
          <w:b/>
          <w:sz w:val="20"/>
          <w:szCs w:val="20"/>
          <w:u w:val="single"/>
          <w:lang w:eastAsia="en-US"/>
        </w:rPr>
      </w:pPr>
      <w:bookmarkStart w:id="30" w:name="_Hlk27141703"/>
      <w:r w:rsidRPr="00D34BE8">
        <w:rPr>
          <w:rFonts w:ascii="Book Antiqua" w:eastAsia="宋体" w:hAnsi="Book Antiqua" w:cs="Arial"/>
          <w:b/>
          <w:sz w:val="20"/>
          <w:szCs w:val="20"/>
          <w:u w:val="single"/>
          <w:lang w:eastAsia="en-US"/>
        </w:rPr>
        <w:t>RESULTS</w:t>
      </w:r>
    </w:p>
    <w:bookmarkEnd w:id="30"/>
    <w:p w:rsidR="00C7222A" w:rsidRPr="00D34BE8" w:rsidRDefault="00C7222A" w:rsidP="00D34BE8">
      <w:pPr>
        <w:spacing w:after="0" w:line="360" w:lineRule="auto"/>
        <w:jc w:val="both"/>
        <w:rPr>
          <w:rFonts w:ascii="Book Antiqua" w:hAnsi="Book Antiqua"/>
          <w:b/>
          <w:bCs/>
          <w:i/>
          <w:iCs/>
          <w:sz w:val="20"/>
          <w:szCs w:val="20"/>
        </w:rPr>
      </w:pPr>
      <w:r w:rsidRPr="00D34BE8">
        <w:rPr>
          <w:rFonts w:ascii="Book Antiqua" w:hAnsi="Book Antiqua"/>
          <w:b/>
          <w:bCs/>
          <w:i/>
          <w:iCs/>
          <w:sz w:val="20"/>
          <w:szCs w:val="20"/>
        </w:rPr>
        <w:t>Characteristics of patients</w:t>
      </w:r>
    </w:p>
    <w:p w:rsidR="004C23D4" w:rsidRPr="00D34BE8" w:rsidRDefault="004C23D4" w:rsidP="00D34BE8">
      <w:pPr>
        <w:spacing w:after="0" w:line="360" w:lineRule="auto"/>
        <w:jc w:val="both"/>
        <w:rPr>
          <w:rFonts w:ascii="Book Antiqua" w:hAnsi="Book Antiqua"/>
          <w:bCs/>
          <w:sz w:val="20"/>
          <w:szCs w:val="20"/>
        </w:rPr>
      </w:pPr>
      <w:r w:rsidRPr="00D34BE8">
        <w:rPr>
          <w:rFonts w:ascii="Book Antiqua" w:hAnsi="Book Antiqua"/>
          <w:bCs/>
          <w:sz w:val="20"/>
          <w:szCs w:val="20"/>
        </w:rPr>
        <w:t xml:space="preserve">Based on the endoscope result and the Baveno V standard, we divided the patients into two groups: HEV group and LEV group. Age and gender of patients in </w:t>
      </w:r>
      <w:r w:rsidR="00937EFF" w:rsidRPr="00D34BE8">
        <w:rPr>
          <w:rFonts w:ascii="Book Antiqua" w:hAnsi="Book Antiqua"/>
          <w:bCs/>
          <w:sz w:val="20"/>
          <w:szCs w:val="20"/>
        </w:rPr>
        <w:t xml:space="preserve">the </w:t>
      </w:r>
      <w:r w:rsidRPr="00D34BE8">
        <w:rPr>
          <w:rFonts w:ascii="Book Antiqua" w:hAnsi="Book Antiqua"/>
          <w:bCs/>
          <w:sz w:val="20"/>
          <w:szCs w:val="20"/>
        </w:rPr>
        <w:t>HEV group and LEV group were not significantly different (</w:t>
      </w:r>
      <w:r w:rsidRPr="00D34BE8">
        <w:rPr>
          <w:rFonts w:ascii="Book Antiqua" w:hAnsi="Book Antiqua"/>
          <w:bCs/>
          <w:i/>
          <w:iCs/>
          <w:sz w:val="20"/>
          <w:szCs w:val="20"/>
        </w:rPr>
        <w:t>P</w:t>
      </w:r>
      <w:r w:rsidRPr="00D34BE8">
        <w:rPr>
          <w:rFonts w:ascii="Book Antiqua" w:hAnsi="Book Antiqua"/>
          <w:bCs/>
          <w:sz w:val="20"/>
          <w:szCs w:val="20"/>
        </w:rPr>
        <w:t xml:space="preserve"> &gt; 0.05), and the two groups were comparable. General characteristics of the modeling group and external validation group are shown in Tables 1 and 2.</w:t>
      </w:r>
    </w:p>
    <w:p w:rsidR="004C23D4" w:rsidRPr="00D34BE8" w:rsidRDefault="004C23D4" w:rsidP="00D34BE8">
      <w:pPr>
        <w:spacing w:after="0" w:line="360" w:lineRule="auto"/>
        <w:jc w:val="both"/>
        <w:rPr>
          <w:rFonts w:ascii="Book Antiqua" w:hAnsi="Book Antiqua"/>
          <w:bCs/>
          <w:sz w:val="20"/>
          <w:szCs w:val="20"/>
        </w:rPr>
      </w:pPr>
    </w:p>
    <w:p w:rsidR="004C23D4" w:rsidRPr="00D34BE8" w:rsidRDefault="00C7222A" w:rsidP="00D34BE8">
      <w:pPr>
        <w:spacing w:after="0" w:line="360" w:lineRule="auto"/>
        <w:jc w:val="both"/>
        <w:rPr>
          <w:rFonts w:ascii="Book Antiqua" w:hAnsi="Book Antiqua"/>
          <w:b/>
          <w:bCs/>
          <w:i/>
          <w:iCs/>
          <w:sz w:val="20"/>
          <w:szCs w:val="20"/>
        </w:rPr>
      </w:pPr>
      <w:r w:rsidRPr="00D34BE8">
        <w:rPr>
          <w:rFonts w:ascii="Book Antiqua" w:hAnsi="Book Antiqua"/>
          <w:b/>
          <w:bCs/>
          <w:i/>
          <w:iCs/>
          <w:sz w:val="20"/>
          <w:szCs w:val="20"/>
        </w:rPr>
        <w:t xml:space="preserve">Univariate analysis of </w:t>
      </w:r>
      <w:r w:rsidR="004C23D4" w:rsidRPr="00D34BE8">
        <w:rPr>
          <w:rFonts w:ascii="Book Antiqua" w:hAnsi="Book Antiqua"/>
          <w:b/>
          <w:bCs/>
          <w:i/>
          <w:iCs/>
          <w:sz w:val="20"/>
          <w:szCs w:val="20"/>
        </w:rPr>
        <w:t>HEVs</w:t>
      </w:r>
    </w:p>
    <w:p w:rsidR="004C23D4" w:rsidRPr="00D34BE8" w:rsidRDefault="00937EFF" w:rsidP="00D34BE8">
      <w:pPr>
        <w:spacing w:after="0" w:line="360" w:lineRule="auto"/>
        <w:jc w:val="both"/>
        <w:rPr>
          <w:rFonts w:ascii="Book Antiqua" w:hAnsi="Book Antiqua"/>
          <w:sz w:val="20"/>
          <w:szCs w:val="20"/>
        </w:rPr>
      </w:pPr>
      <w:r w:rsidRPr="0027639A">
        <w:rPr>
          <w:rFonts w:ascii="Book Antiqua" w:hAnsi="Book Antiqua"/>
          <w:iCs/>
          <w:sz w:val="20"/>
          <w:szCs w:val="20"/>
        </w:rPr>
        <w:t>The</w:t>
      </w:r>
      <w:r w:rsidRPr="00D34BE8">
        <w:rPr>
          <w:rFonts w:ascii="Book Antiqua" w:hAnsi="Book Antiqua"/>
          <w:i/>
          <w:iCs/>
          <w:sz w:val="20"/>
          <w:szCs w:val="20"/>
        </w:rPr>
        <w:t xml:space="preserve"> </w:t>
      </w:r>
      <w:r w:rsidR="004C23D4" w:rsidRPr="00D34BE8">
        <w:rPr>
          <w:rFonts w:ascii="Book Antiqua" w:hAnsi="Book Antiqua"/>
          <w:i/>
          <w:iCs/>
          <w:sz w:val="20"/>
          <w:szCs w:val="20"/>
        </w:rPr>
        <w:t>t</w:t>
      </w:r>
      <w:r w:rsidR="004C23D4" w:rsidRPr="00D34BE8">
        <w:rPr>
          <w:rFonts w:ascii="Book Antiqua" w:hAnsi="Book Antiqua"/>
          <w:sz w:val="20"/>
          <w:szCs w:val="20"/>
        </w:rPr>
        <w:t>-test and Mann-Whitney U test were used in the univariate analysis. The results summarized in Table 3 show that PVSA, PVD, SVD, CTSV, liver-spleen volume ratio, spleen volume change rate, spleen volume change, spleen diameter, ALT, AST</w:t>
      </w:r>
      <w:r w:rsidRPr="00D34BE8">
        <w:rPr>
          <w:rFonts w:ascii="Book Antiqua" w:hAnsi="Book Antiqua"/>
          <w:sz w:val="20"/>
          <w:szCs w:val="20"/>
        </w:rPr>
        <w:t>,</w:t>
      </w:r>
      <w:r w:rsidR="004C23D4" w:rsidRPr="00D34BE8">
        <w:rPr>
          <w:rFonts w:ascii="Book Antiqua" w:hAnsi="Book Antiqua"/>
          <w:sz w:val="20"/>
          <w:szCs w:val="20"/>
        </w:rPr>
        <w:t xml:space="preserve"> and </w:t>
      </w:r>
      <w:r w:rsidR="006F4516" w:rsidRPr="00D34BE8">
        <w:rPr>
          <w:rFonts w:ascii="Book Antiqua" w:hAnsi="Book Antiqua"/>
          <w:sz w:val="20"/>
          <w:szCs w:val="20"/>
        </w:rPr>
        <w:t xml:space="preserve">thromboplastin time </w:t>
      </w:r>
      <w:r w:rsidR="004C23D4" w:rsidRPr="00D34BE8">
        <w:rPr>
          <w:rFonts w:ascii="Book Antiqua" w:hAnsi="Book Antiqua"/>
          <w:sz w:val="20"/>
          <w:szCs w:val="20"/>
        </w:rPr>
        <w:t>of the HEV group and LEV group were significantly different (</w:t>
      </w:r>
      <w:r w:rsidR="004C23D4" w:rsidRPr="00D34BE8">
        <w:rPr>
          <w:rFonts w:ascii="Book Antiqua" w:hAnsi="Book Antiqua"/>
          <w:bCs/>
          <w:i/>
          <w:iCs/>
          <w:sz w:val="20"/>
          <w:szCs w:val="20"/>
        </w:rPr>
        <w:t xml:space="preserve">P </w:t>
      </w:r>
      <w:r w:rsidR="004C23D4" w:rsidRPr="00D34BE8">
        <w:rPr>
          <w:rFonts w:ascii="Book Antiqua" w:hAnsi="Book Antiqua"/>
          <w:bCs/>
          <w:sz w:val="20"/>
          <w:szCs w:val="20"/>
        </w:rPr>
        <w:t xml:space="preserve">&lt; </w:t>
      </w:r>
      <w:r w:rsidR="004C23D4" w:rsidRPr="00D34BE8">
        <w:rPr>
          <w:rFonts w:ascii="Book Antiqua" w:hAnsi="Book Antiqua"/>
          <w:sz w:val="20"/>
          <w:szCs w:val="20"/>
        </w:rPr>
        <w:t xml:space="preserve">0.05). By contrast, CTLV, SSV, SLV, the change rate of liver volume, liver volume change, </w:t>
      </w:r>
      <w:r w:rsidR="006F4516" w:rsidRPr="00D34BE8">
        <w:rPr>
          <w:rFonts w:ascii="Book Antiqua" w:hAnsi="Book Antiqua"/>
          <w:sz w:val="20"/>
          <w:szCs w:val="20"/>
        </w:rPr>
        <w:t>total bilirubin</w:t>
      </w:r>
      <w:r w:rsidR="004C23D4" w:rsidRPr="00D34BE8">
        <w:rPr>
          <w:rFonts w:ascii="Book Antiqua" w:hAnsi="Book Antiqua"/>
          <w:sz w:val="20"/>
          <w:szCs w:val="20"/>
        </w:rPr>
        <w:t xml:space="preserve">, </w:t>
      </w:r>
      <w:r w:rsidR="006F4516" w:rsidRPr="00D34BE8">
        <w:rPr>
          <w:rFonts w:ascii="Book Antiqua" w:hAnsi="Book Antiqua"/>
          <w:sz w:val="20"/>
          <w:szCs w:val="20"/>
        </w:rPr>
        <w:t>prothrombin time</w:t>
      </w:r>
      <w:r w:rsidR="004C23D4" w:rsidRPr="00D34BE8">
        <w:rPr>
          <w:rFonts w:ascii="Book Antiqua" w:hAnsi="Book Antiqua"/>
          <w:sz w:val="20"/>
          <w:szCs w:val="20"/>
        </w:rPr>
        <w:t>, PLT</w:t>
      </w:r>
      <w:r w:rsidR="006F4516" w:rsidRPr="00D34BE8">
        <w:rPr>
          <w:rFonts w:ascii="Book Antiqua" w:hAnsi="Book Antiqua"/>
          <w:sz w:val="20"/>
          <w:szCs w:val="20"/>
        </w:rPr>
        <w:t>,</w:t>
      </w:r>
      <w:r w:rsidR="004C23D4" w:rsidRPr="00D34BE8">
        <w:rPr>
          <w:rFonts w:ascii="Book Antiqua" w:hAnsi="Book Antiqua"/>
          <w:sz w:val="20"/>
          <w:szCs w:val="20"/>
        </w:rPr>
        <w:t xml:space="preserve"> and LSM of the two groups were not significantly different (</w:t>
      </w:r>
      <w:r w:rsidR="004C23D4" w:rsidRPr="00D34BE8">
        <w:rPr>
          <w:rFonts w:ascii="Book Antiqua" w:hAnsi="Book Antiqua"/>
          <w:bCs/>
          <w:i/>
          <w:iCs/>
          <w:sz w:val="20"/>
          <w:szCs w:val="20"/>
        </w:rPr>
        <w:t>P</w:t>
      </w:r>
      <w:r w:rsidR="004C23D4" w:rsidRPr="00D34BE8">
        <w:rPr>
          <w:rFonts w:ascii="Book Antiqua" w:hAnsi="Book Antiqua"/>
          <w:bCs/>
          <w:sz w:val="20"/>
          <w:szCs w:val="20"/>
        </w:rPr>
        <w:t xml:space="preserve"> &gt; </w:t>
      </w:r>
      <w:r w:rsidR="004C23D4" w:rsidRPr="00D34BE8">
        <w:rPr>
          <w:rFonts w:ascii="Book Antiqua" w:hAnsi="Book Antiqua"/>
          <w:sz w:val="20"/>
          <w:szCs w:val="20"/>
        </w:rPr>
        <w:t xml:space="preserve">0.05). </w:t>
      </w:r>
    </w:p>
    <w:p w:rsidR="004C23D4" w:rsidRPr="00D34BE8" w:rsidRDefault="004C23D4" w:rsidP="00D34BE8">
      <w:pPr>
        <w:spacing w:after="0" w:line="360" w:lineRule="auto"/>
        <w:jc w:val="both"/>
        <w:rPr>
          <w:rFonts w:ascii="Book Antiqua" w:hAnsi="Book Antiqua"/>
          <w:b/>
          <w:bCs/>
          <w:i/>
          <w:iCs/>
          <w:sz w:val="20"/>
          <w:szCs w:val="20"/>
        </w:rPr>
      </w:pPr>
    </w:p>
    <w:p w:rsidR="00C7222A" w:rsidRPr="00D34BE8" w:rsidRDefault="00C7222A" w:rsidP="00D34BE8">
      <w:pPr>
        <w:spacing w:after="0" w:line="360" w:lineRule="auto"/>
        <w:jc w:val="both"/>
        <w:rPr>
          <w:rFonts w:ascii="Book Antiqua" w:hAnsi="Book Antiqua"/>
          <w:b/>
          <w:bCs/>
          <w:i/>
          <w:iCs/>
          <w:sz w:val="20"/>
          <w:szCs w:val="20"/>
        </w:rPr>
      </w:pPr>
      <w:r w:rsidRPr="00D34BE8">
        <w:rPr>
          <w:rFonts w:ascii="Book Antiqua" w:hAnsi="Book Antiqua"/>
          <w:b/>
          <w:bCs/>
          <w:i/>
          <w:iCs/>
          <w:sz w:val="20"/>
          <w:szCs w:val="20"/>
        </w:rPr>
        <w:t xml:space="preserve">Multivariate analysis of </w:t>
      </w:r>
      <w:bookmarkStart w:id="31" w:name="_Hlk37954907"/>
      <w:r w:rsidR="004C23D4" w:rsidRPr="00D34BE8">
        <w:rPr>
          <w:rFonts w:ascii="Book Antiqua" w:hAnsi="Book Antiqua"/>
          <w:b/>
          <w:bCs/>
          <w:i/>
          <w:iCs/>
          <w:sz w:val="20"/>
          <w:szCs w:val="20"/>
        </w:rPr>
        <w:t>HEVs</w:t>
      </w:r>
      <w:bookmarkEnd w:id="31"/>
    </w:p>
    <w:p w:rsidR="00C7222A" w:rsidRPr="00D34BE8" w:rsidRDefault="00C7222A" w:rsidP="00D34BE8">
      <w:pPr>
        <w:spacing w:after="0" w:line="360" w:lineRule="auto"/>
        <w:jc w:val="both"/>
        <w:rPr>
          <w:rFonts w:ascii="Book Antiqua" w:hAnsi="Book Antiqua"/>
          <w:sz w:val="20"/>
          <w:szCs w:val="20"/>
        </w:rPr>
      </w:pPr>
      <w:r w:rsidRPr="00D34BE8">
        <w:rPr>
          <w:rFonts w:ascii="Book Antiqua" w:hAnsi="Book Antiqua"/>
          <w:sz w:val="20"/>
          <w:szCs w:val="20"/>
        </w:rPr>
        <w:t>The parameters shown in Table 3, which show that the HEV and LEV groups were significantly different, were subjected to multivariate analysis, which was carried out using the backward WALD regression analysis. As illustrated in Table</w:t>
      </w:r>
      <w:r w:rsidR="00025B81" w:rsidRPr="00D34BE8">
        <w:rPr>
          <w:rFonts w:ascii="Book Antiqua" w:hAnsi="Book Antiqua"/>
          <w:sz w:val="20"/>
          <w:szCs w:val="20"/>
        </w:rPr>
        <w:t xml:space="preserve"> </w:t>
      </w:r>
      <w:r w:rsidRPr="00D34BE8">
        <w:rPr>
          <w:rFonts w:ascii="Book Antiqua" w:hAnsi="Book Antiqua"/>
          <w:sz w:val="20"/>
          <w:szCs w:val="20"/>
        </w:rPr>
        <w:t>4, the three factors related to HEVs including ratio of liver volume to spleen volume, rate of spleen volume change, and AST in patients with HEVs were significantly different (</w:t>
      </w:r>
      <w:r w:rsidR="004C23D4" w:rsidRPr="00D34BE8">
        <w:rPr>
          <w:rFonts w:ascii="Book Antiqua" w:hAnsi="Book Antiqua"/>
          <w:bCs/>
          <w:i/>
          <w:iCs/>
          <w:sz w:val="20"/>
          <w:szCs w:val="20"/>
        </w:rPr>
        <w:t xml:space="preserve">P </w:t>
      </w:r>
      <w:r w:rsidR="004C23D4" w:rsidRPr="00D34BE8">
        <w:rPr>
          <w:rFonts w:ascii="Book Antiqua" w:hAnsi="Book Antiqua"/>
          <w:bCs/>
          <w:sz w:val="20"/>
          <w:szCs w:val="20"/>
        </w:rPr>
        <w:t xml:space="preserve">&lt; </w:t>
      </w:r>
      <w:r w:rsidRPr="00D34BE8">
        <w:rPr>
          <w:rFonts w:ascii="Book Antiqua" w:hAnsi="Book Antiqua"/>
          <w:sz w:val="20"/>
          <w:szCs w:val="20"/>
        </w:rPr>
        <w:t>0.05) from those with LEVs.</w:t>
      </w:r>
    </w:p>
    <w:p w:rsidR="004C23D4" w:rsidRPr="00D34BE8" w:rsidRDefault="004C23D4" w:rsidP="00D34BE8">
      <w:pPr>
        <w:spacing w:after="0" w:line="360" w:lineRule="auto"/>
        <w:jc w:val="both"/>
        <w:rPr>
          <w:rFonts w:ascii="Book Antiqua" w:hAnsi="Book Antiqua"/>
          <w:sz w:val="20"/>
          <w:szCs w:val="20"/>
        </w:rPr>
      </w:pPr>
    </w:p>
    <w:p w:rsidR="004C23D4" w:rsidRPr="00D34BE8" w:rsidRDefault="00C7222A" w:rsidP="00D34BE8">
      <w:pPr>
        <w:spacing w:after="0" w:line="360" w:lineRule="auto"/>
        <w:jc w:val="both"/>
        <w:rPr>
          <w:rFonts w:ascii="Book Antiqua" w:hAnsi="Book Antiqua"/>
          <w:b/>
          <w:bCs/>
          <w:i/>
          <w:iCs/>
          <w:sz w:val="20"/>
          <w:szCs w:val="20"/>
        </w:rPr>
      </w:pPr>
      <w:r w:rsidRPr="00D34BE8">
        <w:rPr>
          <w:rFonts w:ascii="Book Antiqua" w:hAnsi="Book Antiqua"/>
          <w:b/>
          <w:bCs/>
          <w:i/>
          <w:iCs/>
          <w:sz w:val="20"/>
          <w:szCs w:val="20"/>
        </w:rPr>
        <w:t>Establishment of non-invasive prediction model</w:t>
      </w:r>
    </w:p>
    <w:p w:rsidR="00C7222A" w:rsidRPr="00D34BE8" w:rsidRDefault="00C7222A" w:rsidP="00D34BE8">
      <w:pPr>
        <w:spacing w:after="0" w:line="360" w:lineRule="auto"/>
        <w:jc w:val="both"/>
        <w:rPr>
          <w:rFonts w:ascii="Book Antiqua" w:hAnsi="Book Antiqua"/>
          <w:sz w:val="20"/>
          <w:szCs w:val="20"/>
        </w:rPr>
      </w:pPr>
      <w:r w:rsidRPr="00D34BE8">
        <w:rPr>
          <w:rFonts w:ascii="Book Antiqua" w:hAnsi="Book Antiqua"/>
          <w:sz w:val="20"/>
          <w:szCs w:val="20"/>
        </w:rPr>
        <w:t xml:space="preserve">Based on the multivariate analysis results, all parameters that were not significantly different between the two groups were eliminated, whereas those that were significantly different, which included </w:t>
      </w:r>
      <w:r w:rsidR="00621B83" w:rsidRPr="00D34BE8">
        <w:rPr>
          <w:rFonts w:ascii="Book Antiqua" w:hAnsi="Book Antiqua"/>
          <w:sz w:val="20"/>
          <w:szCs w:val="20"/>
        </w:rPr>
        <w:t xml:space="preserve">the </w:t>
      </w:r>
      <w:r w:rsidRPr="00D34BE8">
        <w:rPr>
          <w:rFonts w:ascii="Book Antiqua" w:hAnsi="Book Antiqua"/>
          <w:sz w:val="20"/>
          <w:szCs w:val="20"/>
        </w:rPr>
        <w:t>ratio of liver volume to spleen volume, rate of spleen volume change, and AST, were employed to establish the non-invasive predictive model. As shown in Table 5, the non-invasive prediction model was obtained as follows: ln</w:t>
      </w:r>
      <w:r w:rsidR="004C23D4" w:rsidRPr="00D34BE8">
        <w:rPr>
          <w:rFonts w:ascii="Book Antiqua" w:hAnsi="Book Antiqua"/>
          <w:sz w:val="20"/>
          <w:szCs w:val="20"/>
        </w:rPr>
        <w:t xml:space="preserve"> </w:t>
      </w:r>
      <w:r w:rsidRPr="00D34BE8">
        <w:rPr>
          <w:rFonts w:ascii="Book Antiqua" w:hAnsi="Book Antiqua"/>
          <w:sz w:val="20"/>
          <w:szCs w:val="20"/>
        </w:rPr>
        <w:t>[</w:t>
      </w:r>
      <w:r w:rsidRPr="00D34BE8">
        <w:rPr>
          <w:rFonts w:ascii="Book Antiqua" w:hAnsi="Book Antiqua"/>
          <w:i/>
          <w:iCs/>
          <w:sz w:val="20"/>
          <w:szCs w:val="20"/>
        </w:rPr>
        <w:t>P</w:t>
      </w:r>
      <w:r w:rsidRPr="00D34BE8">
        <w:rPr>
          <w:rFonts w:ascii="Book Antiqua" w:hAnsi="Book Antiqua"/>
          <w:sz w:val="20"/>
          <w:szCs w:val="20"/>
        </w:rPr>
        <w:t>/(1</w:t>
      </w:r>
      <w:r w:rsidR="004C23D4" w:rsidRPr="00D34BE8">
        <w:rPr>
          <w:rFonts w:ascii="Book Antiqua" w:hAnsi="Book Antiqua"/>
          <w:sz w:val="20"/>
          <w:szCs w:val="20"/>
        </w:rPr>
        <w:t xml:space="preserve"> </w:t>
      </w:r>
      <w:r w:rsidRPr="00D34BE8">
        <w:rPr>
          <w:rFonts w:ascii="Book Antiqua" w:hAnsi="Book Antiqua"/>
          <w:sz w:val="20"/>
          <w:szCs w:val="20"/>
        </w:rPr>
        <w:t>-</w:t>
      </w:r>
      <w:r w:rsidR="004C23D4" w:rsidRPr="00D34BE8">
        <w:rPr>
          <w:rFonts w:ascii="Book Antiqua" w:hAnsi="Book Antiqua"/>
          <w:sz w:val="20"/>
          <w:szCs w:val="20"/>
        </w:rPr>
        <w:t xml:space="preserve"> </w:t>
      </w:r>
      <w:r w:rsidRPr="00D34BE8">
        <w:rPr>
          <w:rFonts w:ascii="Book Antiqua" w:hAnsi="Book Antiqua"/>
          <w:i/>
          <w:iCs/>
          <w:sz w:val="20"/>
          <w:szCs w:val="20"/>
        </w:rPr>
        <w:t>P</w:t>
      </w:r>
      <w:r w:rsidRPr="00D34BE8">
        <w:rPr>
          <w:rFonts w:ascii="Book Antiqua" w:hAnsi="Book Antiqua"/>
          <w:sz w:val="20"/>
          <w:szCs w:val="20"/>
        </w:rPr>
        <w:t>)] = 8.342 - 2.162</w:t>
      </w:r>
      <w:r w:rsidR="004D3F15" w:rsidRPr="00D34BE8">
        <w:rPr>
          <w:rFonts w:ascii="Book Antiqua" w:hAnsi="Book Antiqua"/>
          <w:sz w:val="20"/>
          <w:szCs w:val="20"/>
        </w:rPr>
        <w:t xml:space="preserve"> </w:t>
      </w:r>
      <w:r w:rsidR="004D3F15" w:rsidRPr="00D34BE8">
        <w:rPr>
          <w:rFonts w:ascii="Book Antiqua" w:hAnsi="Book Antiqua"/>
          <w:bCs/>
          <w:sz w:val="20"/>
          <w:szCs w:val="20"/>
        </w:rPr>
        <w:t>×</w:t>
      </w:r>
      <w:r w:rsidR="004C23D4" w:rsidRPr="00D34BE8">
        <w:rPr>
          <w:rFonts w:ascii="Book Antiqua" w:hAnsi="Book Antiqua"/>
          <w:bCs/>
          <w:sz w:val="20"/>
          <w:szCs w:val="20"/>
        </w:rPr>
        <w:t xml:space="preserve"> </w:t>
      </w:r>
      <w:r w:rsidRPr="00D34BE8">
        <w:rPr>
          <w:rFonts w:ascii="Book Antiqua" w:hAnsi="Book Antiqua"/>
          <w:sz w:val="20"/>
          <w:szCs w:val="20"/>
        </w:rPr>
        <w:t>(CTLV/CTSV) - 0.314</w:t>
      </w:r>
      <w:r w:rsidR="004D3F15" w:rsidRPr="00D34BE8">
        <w:rPr>
          <w:rFonts w:ascii="Book Antiqua" w:hAnsi="Book Antiqua"/>
          <w:sz w:val="20"/>
          <w:szCs w:val="20"/>
        </w:rPr>
        <w:t xml:space="preserve"> </w:t>
      </w:r>
      <w:r w:rsidR="004D3F15" w:rsidRPr="00D34BE8">
        <w:rPr>
          <w:rFonts w:ascii="Book Antiqua" w:hAnsi="Book Antiqua"/>
          <w:bCs/>
          <w:sz w:val="20"/>
          <w:szCs w:val="20"/>
        </w:rPr>
        <w:t>×</w:t>
      </w:r>
      <w:r w:rsidR="004C23D4" w:rsidRPr="00D34BE8">
        <w:rPr>
          <w:rFonts w:ascii="Book Antiqua" w:hAnsi="Book Antiqua"/>
          <w:bCs/>
          <w:sz w:val="20"/>
          <w:szCs w:val="20"/>
        </w:rPr>
        <w:t xml:space="preserve"> </w:t>
      </w:r>
      <w:r w:rsidRPr="00D34BE8">
        <w:rPr>
          <w:rFonts w:ascii="Book Antiqua" w:hAnsi="Book Antiqua"/>
          <w:sz w:val="20"/>
          <w:szCs w:val="20"/>
        </w:rPr>
        <w:t>[(CTSV</w:t>
      </w:r>
      <w:r w:rsidR="004C23D4" w:rsidRPr="00D34BE8">
        <w:rPr>
          <w:rFonts w:ascii="Book Antiqua" w:hAnsi="Book Antiqua"/>
          <w:sz w:val="20"/>
          <w:szCs w:val="20"/>
        </w:rPr>
        <w:t xml:space="preserve"> </w:t>
      </w:r>
      <w:r w:rsidRPr="00D34BE8">
        <w:rPr>
          <w:rFonts w:ascii="Book Antiqua" w:hAnsi="Book Antiqua"/>
          <w:sz w:val="20"/>
          <w:szCs w:val="20"/>
        </w:rPr>
        <w:t>-</w:t>
      </w:r>
      <w:r w:rsidR="004C23D4" w:rsidRPr="00D34BE8">
        <w:rPr>
          <w:rFonts w:ascii="Book Antiqua" w:hAnsi="Book Antiqua"/>
          <w:sz w:val="20"/>
          <w:szCs w:val="20"/>
        </w:rPr>
        <w:t xml:space="preserve"> </w:t>
      </w:r>
      <w:r w:rsidRPr="00D34BE8">
        <w:rPr>
          <w:rFonts w:ascii="Book Antiqua" w:hAnsi="Book Antiqua"/>
          <w:sz w:val="20"/>
          <w:szCs w:val="20"/>
        </w:rPr>
        <w:t>SSV)/SSV] – 0.07</w:t>
      </w:r>
      <w:r w:rsidR="004D3F15" w:rsidRPr="00D34BE8">
        <w:rPr>
          <w:rFonts w:ascii="Book Antiqua" w:hAnsi="Book Antiqua"/>
          <w:sz w:val="20"/>
          <w:szCs w:val="20"/>
        </w:rPr>
        <w:t xml:space="preserve"> </w:t>
      </w:r>
      <w:r w:rsidR="004D3F15" w:rsidRPr="00D34BE8">
        <w:rPr>
          <w:rFonts w:ascii="Book Antiqua" w:hAnsi="Book Antiqua"/>
          <w:bCs/>
          <w:sz w:val="20"/>
          <w:szCs w:val="20"/>
        </w:rPr>
        <w:t xml:space="preserve">× </w:t>
      </w:r>
      <w:r w:rsidRPr="00D34BE8">
        <w:rPr>
          <w:rFonts w:ascii="Book Antiqua" w:hAnsi="Book Antiqua"/>
          <w:sz w:val="20"/>
          <w:szCs w:val="20"/>
        </w:rPr>
        <w:t xml:space="preserve">AST. The ratio of liver volume to spleen volume, the rate of spleen volume change, and the AST were negatively associated with HEVs. </w:t>
      </w:r>
    </w:p>
    <w:p w:rsidR="004C23D4" w:rsidRPr="00D34BE8" w:rsidRDefault="004C23D4" w:rsidP="00D34BE8">
      <w:pPr>
        <w:spacing w:after="0" w:line="360" w:lineRule="auto"/>
        <w:jc w:val="both"/>
        <w:rPr>
          <w:rFonts w:ascii="Book Antiqua" w:hAnsi="Book Antiqua"/>
          <w:b/>
          <w:bCs/>
          <w:i/>
          <w:iCs/>
          <w:sz w:val="20"/>
          <w:szCs w:val="20"/>
        </w:rPr>
      </w:pPr>
    </w:p>
    <w:p w:rsidR="00C7222A" w:rsidRPr="00D34BE8" w:rsidRDefault="00C7222A" w:rsidP="00D34BE8">
      <w:pPr>
        <w:spacing w:after="0" w:line="360" w:lineRule="auto"/>
        <w:jc w:val="both"/>
        <w:rPr>
          <w:rFonts w:ascii="Book Antiqua" w:hAnsi="Book Antiqua"/>
          <w:b/>
          <w:bCs/>
          <w:i/>
          <w:iCs/>
          <w:sz w:val="20"/>
          <w:szCs w:val="20"/>
        </w:rPr>
      </w:pPr>
      <w:r w:rsidRPr="00D34BE8">
        <w:rPr>
          <w:rFonts w:ascii="Book Antiqua" w:hAnsi="Book Antiqua"/>
          <w:b/>
          <w:bCs/>
          <w:i/>
          <w:iCs/>
          <w:sz w:val="20"/>
          <w:szCs w:val="20"/>
        </w:rPr>
        <w:t>Comparison of prediction models</w:t>
      </w:r>
    </w:p>
    <w:p w:rsidR="00C7222A" w:rsidRPr="00D34BE8" w:rsidRDefault="00C7222A" w:rsidP="00D34BE8">
      <w:pPr>
        <w:spacing w:after="0" w:line="360" w:lineRule="auto"/>
        <w:jc w:val="both"/>
        <w:rPr>
          <w:rFonts w:ascii="Book Antiqua" w:hAnsi="Book Antiqua"/>
          <w:sz w:val="20"/>
          <w:szCs w:val="20"/>
        </w:rPr>
      </w:pPr>
      <w:r w:rsidRPr="00D34BE8">
        <w:rPr>
          <w:rFonts w:ascii="Book Antiqua" w:hAnsi="Book Antiqua"/>
          <w:sz w:val="20"/>
          <w:szCs w:val="20"/>
        </w:rPr>
        <w:t xml:space="preserve">The non-invasive predictive model for predicting HEVs in patients with viral cirrhosis established in the present study was compared with other previously reported models, namely LSPS, VRI, APRI, and AAR, which have been widely used for assessing EVs in patients with cirrhosis. Sensitivity, specificity, and AUC of the four indicators and of the established non-invasive prediction model for the modeling group were calculated. The cutoff value of the non-invasive prediction model was defined based on the maximum value of the sum of sensitivity and specificity. When the </w:t>
      </w:r>
      <w:r w:rsidRPr="0027639A">
        <w:rPr>
          <w:rFonts w:ascii="Book Antiqua" w:hAnsi="Book Antiqua"/>
          <w:i/>
          <w:sz w:val="20"/>
          <w:szCs w:val="20"/>
        </w:rPr>
        <w:t>P</w:t>
      </w:r>
      <w:r w:rsidR="002D6B31" w:rsidRPr="00D34BE8">
        <w:rPr>
          <w:rFonts w:ascii="Book Antiqua" w:hAnsi="Book Antiqua"/>
          <w:sz w:val="20"/>
          <w:szCs w:val="20"/>
        </w:rPr>
        <w:t xml:space="preserve"> </w:t>
      </w:r>
      <w:r w:rsidRPr="00D34BE8">
        <w:rPr>
          <w:rFonts w:ascii="Book Antiqua" w:hAnsi="Book Antiqua"/>
          <w:sz w:val="20"/>
          <w:szCs w:val="20"/>
        </w:rPr>
        <w:t xml:space="preserve">value calculated by the established formula </w:t>
      </w:r>
      <w:r w:rsidR="00C14BCD" w:rsidRPr="00D34BE8">
        <w:rPr>
          <w:rFonts w:ascii="Book Antiqua" w:hAnsi="Book Antiqua"/>
          <w:sz w:val="20"/>
          <w:szCs w:val="20"/>
        </w:rPr>
        <w:t>was</w:t>
      </w:r>
      <w:r w:rsidRPr="00D34BE8">
        <w:rPr>
          <w:rFonts w:ascii="Book Antiqua" w:hAnsi="Book Antiqua"/>
          <w:sz w:val="20"/>
          <w:szCs w:val="20"/>
        </w:rPr>
        <w:t xml:space="preserve"> larger than the cutoff value, the patients </w:t>
      </w:r>
      <w:r w:rsidR="00C14BCD" w:rsidRPr="00D34BE8">
        <w:rPr>
          <w:rFonts w:ascii="Book Antiqua" w:hAnsi="Book Antiqua"/>
          <w:sz w:val="20"/>
          <w:szCs w:val="20"/>
        </w:rPr>
        <w:t xml:space="preserve">were </w:t>
      </w:r>
      <w:r w:rsidRPr="00D34BE8">
        <w:rPr>
          <w:rFonts w:ascii="Book Antiqua" w:hAnsi="Book Antiqua"/>
          <w:sz w:val="20"/>
          <w:szCs w:val="20"/>
        </w:rPr>
        <w:t xml:space="preserve">considered </w:t>
      </w:r>
      <w:r w:rsidR="00C14BCD" w:rsidRPr="00D34BE8">
        <w:rPr>
          <w:rFonts w:ascii="Book Antiqua" w:hAnsi="Book Antiqua"/>
          <w:sz w:val="20"/>
          <w:szCs w:val="20"/>
        </w:rPr>
        <w:t xml:space="preserve">to </w:t>
      </w:r>
      <w:r w:rsidRPr="00D34BE8">
        <w:rPr>
          <w:rFonts w:ascii="Book Antiqua" w:hAnsi="Book Antiqua"/>
          <w:sz w:val="20"/>
          <w:szCs w:val="20"/>
        </w:rPr>
        <w:t>hav</w:t>
      </w:r>
      <w:r w:rsidR="00C14BCD" w:rsidRPr="00D34BE8">
        <w:rPr>
          <w:rFonts w:ascii="Book Antiqua" w:hAnsi="Book Antiqua"/>
          <w:sz w:val="20"/>
          <w:szCs w:val="20"/>
        </w:rPr>
        <w:t>e</w:t>
      </w:r>
      <w:r w:rsidRPr="00D34BE8">
        <w:rPr>
          <w:rFonts w:ascii="Book Antiqua" w:hAnsi="Book Antiqua"/>
          <w:sz w:val="20"/>
          <w:szCs w:val="20"/>
        </w:rPr>
        <w:t xml:space="preserve"> HEVs. The results depicted in </w:t>
      </w:r>
      <w:r w:rsidR="0017102F" w:rsidRPr="00D34BE8">
        <w:rPr>
          <w:rFonts w:ascii="Book Antiqua" w:hAnsi="Book Antiqua"/>
          <w:sz w:val="20"/>
          <w:szCs w:val="20"/>
        </w:rPr>
        <w:t>Figure</w:t>
      </w:r>
      <w:r w:rsidRPr="00D34BE8">
        <w:rPr>
          <w:rFonts w:ascii="Book Antiqua" w:hAnsi="Book Antiqua"/>
          <w:sz w:val="20"/>
          <w:szCs w:val="20"/>
        </w:rPr>
        <w:t xml:space="preserve"> 1</w:t>
      </w:r>
      <w:r w:rsidR="009A7541" w:rsidRPr="00D34BE8">
        <w:rPr>
          <w:rFonts w:ascii="Book Antiqua" w:hAnsi="Book Antiqua"/>
          <w:sz w:val="20"/>
          <w:szCs w:val="20"/>
        </w:rPr>
        <w:t>A</w:t>
      </w:r>
      <w:r w:rsidRPr="00D34BE8">
        <w:rPr>
          <w:rFonts w:ascii="Book Antiqua" w:hAnsi="Book Antiqua"/>
          <w:sz w:val="20"/>
          <w:szCs w:val="20"/>
        </w:rPr>
        <w:t xml:space="preserve"> and Table 6 show that the AUC of the present model was 0.865, wh</w:t>
      </w:r>
      <w:r w:rsidR="00C14BCD" w:rsidRPr="00D34BE8">
        <w:rPr>
          <w:rFonts w:ascii="Book Antiqua" w:hAnsi="Book Antiqua"/>
          <w:sz w:val="20"/>
          <w:szCs w:val="20"/>
        </w:rPr>
        <w:t>ereas</w:t>
      </w:r>
      <w:r w:rsidRPr="00D34BE8">
        <w:rPr>
          <w:rFonts w:ascii="Book Antiqua" w:hAnsi="Book Antiqua"/>
          <w:sz w:val="20"/>
          <w:szCs w:val="20"/>
        </w:rPr>
        <w:t xml:space="preserve"> that of the ROC curves of LSPS, VRI, APRI</w:t>
      </w:r>
      <w:r w:rsidR="00C14BCD" w:rsidRPr="00D34BE8">
        <w:rPr>
          <w:rFonts w:ascii="Book Antiqua" w:hAnsi="Book Antiqua"/>
          <w:sz w:val="20"/>
          <w:szCs w:val="20"/>
        </w:rPr>
        <w:t>,</w:t>
      </w:r>
      <w:r w:rsidRPr="00D34BE8">
        <w:rPr>
          <w:rFonts w:ascii="Book Antiqua" w:hAnsi="Book Antiqua"/>
          <w:sz w:val="20"/>
          <w:szCs w:val="20"/>
        </w:rPr>
        <w:t xml:space="preserve"> and AAR were 0.591, 0.717, 0.431</w:t>
      </w:r>
      <w:r w:rsidR="00C14BCD" w:rsidRPr="00D34BE8">
        <w:rPr>
          <w:rFonts w:ascii="Book Antiqua" w:hAnsi="Book Antiqua"/>
          <w:sz w:val="20"/>
          <w:szCs w:val="20"/>
        </w:rPr>
        <w:t>,</w:t>
      </w:r>
      <w:r w:rsidRPr="00D34BE8">
        <w:rPr>
          <w:rFonts w:ascii="Book Antiqua" w:hAnsi="Book Antiqua"/>
          <w:sz w:val="20"/>
          <w:szCs w:val="20"/>
        </w:rPr>
        <w:t xml:space="preserve"> and 0.445, respectively. A model with an AUC of higher than 0.7 </w:t>
      </w:r>
      <w:r w:rsidR="00C14BCD" w:rsidRPr="00D34BE8">
        <w:rPr>
          <w:rFonts w:ascii="Book Antiqua" w:hAnsi="Book Antiqua"/>
          <w:sz w:val="20"/>
          <w:szCs w:val="20"/>
        </w:rPr>
        <w:t>was</w:t>
      </w:r>
      <w:r w:rsidRPr="00D34BE8">
        <w:rPr>
          <w:rFonts w:ascii="Book Antiqua" w:hAnsi="Book Antiqua"/>
          <w:sz w:val="20"/>
          <w:szCs w:val="20"/>
        </w:rPr>
        <w:t xml:space="preserve"> considered </w:t>
      </w:r>
      <w:r w:rsidR="00C14BCD" w:rsidRPr="00D34BE8">
        <w:rPr>
          <w:rFonts w:ascii="Book Antiqua" w:hAnsi="Book Antiqua"/>
          <w:sz w:val="20"/>
          <w:szCs w:val="20"/>
        </w:rPr>
        <w:t xml:space="preserve">to </w:t>
      </w:r>
      <w:r w:rsidRPr="00D34BE8">
        <w:rPr>
          <w:rFonts w:ascii="Book Antiqua" w:hAnsi="Book Antiqua"/>
          <w:sz w:val="20"/>
          <w:szCs w:val="20"/>
        </w:rPr>
        <w:t>hav</w:t>
      </w:r>
      <w:r w:rsidR="00C14BCD" w:rsidRPr="00D34BE8">
        <w:rPr>
          <w:rFonts w:ascii="Book Antiqua" w:hAnsi="Book Antiqua"/>
          <w:sz w:val="20"/>
          <w:szCs w:val="20"/>
        </w:rPr>
        <w:t>e</w:t>
      </w:r>
      <w:r w:rsidRPr="00D34BE8">
        <w:rPr>
          <w:rFonts w:ascii="Book Antiqua" w:hAnsi="Book Antiqua"/>
          <w:sz w:val="20"/>
          <w:szCs w:val="20"/>
        </w:rPr>
        <w:t xml:space="preserve"> good discriminating ability. The higher the AUC, the better the discriminating ability of the model.</w:t>
      </w:r>
    </w:p>
    <w:p w:rsidR="0017102F" w:rsidRPr="00D34BE8" w:rsidRDefault="0017102F" w:rsidP="00D34BE8">
      <w:pPr>
        <w:spacing w:after="0" w:line="360" w:lineRule="auto"/>
        <w:jc w:val="both"/>
        <w:rPr>
          <w:rFonts w:ascii="Book Antiqua" w:hAnsi="Book Antiqua"/>
          <w:sz w:val="20"/>
          <w:szCs w:val="20"/>
        </w:rPr>
      </w:pPr>
    </w:p>
    <w:p w:rsidR="00C7222A" w:rsidRPr="00D34BE8" w:rsidRDefault="00C7222A" w:rsidP="00D34BE8">
      <w:pPr>
        <w:spacing w:after="0" w:line="360" w:lineRule="auto"/>
        <w:jc w:val="both"/>
        <w:rPr>
          <w:rFonts w:ascii="Book Antiqua" w:hAnsi="Book Antiqua"/>
          <w:b/>
          <w:bCs/>
          <w:i/>
          <w:iCs/>
          <w:sz w:val="20"/>
          <w:szCs w:val="20"/>
        </w:rPr>
      </w:pPr>
      <w:r w:rsidRPr="00D34BE8">
        <w:rPr>
          <w:rFonts w:ascii="Book Antiqua" w:hAnsi="Book Antiqua"/>
          <w:b/>
          <w:bCs/>
          <w:i/>
          <w:iCs/>
          <w:sz w:val="20"/>
          <w:szCs w:val="20"/>
        </w:rPr>
        <w:t>Comparison of accuracy of the models</w:t>
      </w:r>
    </w:p>
    <w:p w:rsidR="00C7222A" w:rsidRPr="00D34BE8" w:rsidRDefault="00C7222A" w:rsidP="00D34BE8">
      <w:pPr>
        <w:spacing w:after="0" w:line="360" w:lineRule="auto"/>
        <w:jc w:val="both"/>
        <w:rPr>
          <w:rFonts w:ascii="Book Antiqua" w:hAnsi="Book Antiqua"/>
          <w:sz w:val="20"/>
          <w:szCs w:val="20"/>
        </w:rPr>
      </w:pPr>
      <w:r w:rsidRPr="00D34BE8">
        <w:rPr>
          <w:rFonts w:ascii="Book Antiqua" w:hAnsi="Book Antiqua"/>
          <w:sz w:val="20"/>
          <w:szCs w:val="20"/>
        </w:rPr>
        <w:t xml:space="preserve">Accuracy, positive predictive value, and negative predictive value of all models (non-invasive predictive model, and LSPS, VRI, APRI, and AAR models) were calculated in all 86 patients enrolled in the modeling group. As shown in Table 7, the present non-invasive prediction model had high accuracy of 84.9% and high positive predictive value of 96.4%. The accuracy and the positive predictive value indicate the possibility </w:t>
      </w:r>
      <w:r w:rsidR="00C14BCD" w:rsidRPr="00D34BE8">
        <w:rPr>
          <w:rFonts w:ascii="Book Antiqua" w:hAnsi="Book Antiqua"/>
          <w:sz w:val="20"/>
          <w:szCs w:val="20"/>
        </w:rPr>
        <w:t>of</w:t>
      </w:r>
      <w:r w:rsidRPr="00D34BE8">
        <w:rPr>
          <w:rFonts w:ascii="Book Antiqua" w:hAnsi="Book Antiqua"/>
          <w:sz w:val="20"/>
          <w:szCs w:val="20"/>
        </w:rPr>
        <w:t xml:space="preserve"> correctly diagnosing HEVs: the higher their values, the more likely the diagnosis is correct. </w:t>
      </w:r>
    </w:p>
    <w:p w:rsidR="0017102F" w:rsidRPr="00D34BE8" w:rsidRDefault="0017102F" w:rsidP="00D34BE8">
      <w:pPr>
        <w:spacing w:after="0" w:line="360" w:lineRule="auto"/>
        <w:jc w:val="both"/>
        <w:rPr>
          <w:rFonts w:ascii="Book Antiqua" w:hAnsi="Book Antiqua"/>
          <w:sz w:val="20"/>
          <w:szCs w:val="20"/>
        </w:rPr>
      </w:pPr>
    </w:p>
    <w:p w:rsidR="00C7222A" w:rsidRPr="00D34BE8" w:rsidRDefault="00C7222A" w:rsidP="00D34BE8">
      <w:pPr>
        <w:spacing w:after="0" w:line="360" w:lineRule="auto"/>
        <w:jc w:val="both"/>
        <w:rPr>
          <w:rFonts w:ascii="Book Antiqua" w:hAnsi="Book Antiqua"/>
          <w:b/>
          <w:bCs/>
          <w:i/>
          <w:iCs/>
          <w:sz w:val="20"/>
          <w:szCs w:val="20"/>
        </w:rPr>
      </w:pPr>
      <w:r w:rsidRPr="00D34BE8">
        <w:rPr>
          <w:rFonts w:ascii="Book Antiqua" w:hAnsi="Book Antiqua"/>
          <w:b/>
          <w:bCs/>
          <w:i/>
          <w:iCs/>
          <w:sz w:val="20"/>
          <w:szCs w:val="20"/>
        </w:rPr>
        <w:t>Evaluation of discriminating ability of the new model</w:t>
      </w:r>
    </w:p>
    <w:p w:rsidR="00C7222A" w:rsidRPr="00D34BE8" w:rsidRDefault="00C7222A" w:rsidP="00D34BE8">
      <w:pPr>
        <w:spacing w:after="0" w:line="360" w:lineRule="auto"/>
        <w:jc w:val="both"/>
        <w:rPr>
          <w:rFonts w:ascii="Book Antiqua" w:hAnsi="Book Antiqua"/>
          <w:sz w:val="20"/>
          <w:szCs w:val="20"/>
        </w:rPr>
      </w:pPr>
      <w:r w:rsidRPr="00D34BE8">
        <w:rPr>
          <w:rFonts w:ascii="Book Antiqua" w:hAnsi="Book Antiqua"/>
          <w:sz w:val="20"/>
          <w:szCs w:val="20"/>
        </w:rPr>
        <w:t xml:space="preserve">To evaluate the discriminating ability of the new model, we generated ROC curves of the external validation group using the new models and compared between the AUC curve of the modeling group and the external validation group using </w:t>
      </w:r>
      <w:r w:rsidR="00C14BCD" w:rsidRPr="00D34BE8">
        <w:rPr>
          <w:rFonts w:ascii="Book Antiqua" w:hAnsi="Book Antiqua"/>
          <w:sz w:val="20"/>
          <w:szCs w:val="20"/>
        </w:rPr>
        <w:t xml:space="preserve">the </w:t>
      </w:r>
      <w:r w:rsidRPr="00D34BE8">
        <w:rPr>
          <w:rFonts w:ascii="Book Antiqua" w:hAnsi="Book Antiqua"/>
          <w:i/>
          <w:iCs/>
          <w:sz w:val="20"/>
          <w:szCs w:val="20"/>
        </w:rPr>
        <w:t>Z</w:t>
      </w:r>
      <w:r w:rsidRPr="00D34BE8">
        <w:rPr>
          <w:rFonts w:ascii="Book Antiqua" w:hAnsi="Book Antiqua"/>
          <w:sz w:val="20"/>
          <w:szCs w:val="20"/>
        </w:rPr>
        <w:t xml:space="preserve"> test. The result</w:t>
      </w:r>
      <w:r w:rsidR="00C14BCD" w:rsidRPr="00D34BE8">
        <w:rPr>
          <w:rFonts w:ascii="Book Antiqua" w:hAnsi="Book Antiqua"/>
          <w:sz w:val="20"/>
          <w:szCs w:val="20"/>
        </w:rPr>
        <w:t>s</w:t>
      </w:r>
      <w:r w:rsidRPr="00D34BE8">
        <w:rPr>
          <w:rFonts w:ascii="Book Antiqua" w:hAnsi="Book Antiqua"/>
          <w:sz w:val="20"/>
          <w:szCs w:val="20"/>
        </w:rPr>
        <w:t xml:space="preserve"> showed that the AUC of the external validation group was 0.879. The </w:t>
      </w:r>
      <w:r w:rsidRPr="00D34BE8">
        <w:rPr>
          <w:rFonts w:ascii="Book Antiqua" w:hAnsi="Book Antiqua"/>
          <w:i/>
          <w:iCs/>
          <w:sz w:val="20"/>
          <w:szCs w:val="20"/>
        </w:rPr>
        <w:t>Z</w:t>
      </w:r>
      <w:r w:rsidRPr="00D34BE8">
        <w:rPr>
          <w:rFonts w:ascii="Book Antiqua" w:hAnsi="Book Antiqua"/>
          <w:sz w:val="20"/>
          <w:szCs w:val="20"/>
        </w:rPr>
        <w:t xml:space="preserve"> test result also showed that the </w:t>
      </w:r>
      <w:r w:rsidR="002D6B31" w:rsidRPr="0027639A">
        <w:rPr>
          <w:rFonts w:ascii="Book Antiqua" w:hAnsi="Book Antiqua"/>
          <w:i/>
          <w:sz w:val="20"/>
          <w:szCs w:val="20"/>
        </w:rPr>
        <w:t>P</w:t>
      </w:r>
      <w:r w:rsidR="002D6B31" w:rsidRPr="00D34BE8">
        <w:rPr>
          <w:rFonts w:ascii="Book Antiqua" w:hAnsi="Book Antiqua"/>
          <w:sz w:val="20"/>
          <w:szCs w:val="20"/>
        </w:rPr>
        <w:t xml:space="preserve"> </w:t>
      </w:r>
      <w:r w:rsidRPr="00D34BE8">
        <w:rPr>
          <w:rFonts w:ascii="Book Antiqua" w:hAnsi="Book Antiqua"/>
          <w:sz w:val="20"/>
          <w:szCs w:val="20"/>
        </w:rPr>
        <w:t xml:space="preserve">value was 0.17, which indicates that the modeling group and the external validation group </w:t>
      </w:r>
      <w:r w:rsidR="00C14BCD" w:rsidRPr="00D34BE8">
        <w:rPr>
          <w:rFonts w:ascii="Book Antiqua" w:hAnsi="Book Antiqua"/>
          <w:sz w:val="20"/>
          <w:szCs w:val="20"/>
        </w:rPr>
        <w:t xml:space="preserve">were </w:t>
      </w:r>
      <w:r w:rsidRPr="00D34BE8">
        <w:rPr>
          <w:rFonts w:ascii="Book Antiqua" w:hAnsi="Book Antiqua"/>
          <w:sz w:val="20"/>
          <w:szCs w:val="20"/>
        </w:rPr>
        <w:t xml:space="preserve">not significantly different. This also indicates that the discriminating ability of the new prediction model </w:t>
      </w:r>
      <w:r w:rsidR="002D6B31" w:rsidRPr="00D34BE8">
        <w:rPr>
          <w:rFonts w:ascii="Book Antiqua" w:hAnsi="Book Antiqua"/>
          <w:sz w:val="20"/>
          <w:szCs w:val="20"/>
        </w:rPr>
        <w:t>was</w:t>
      </w:r>
      <w:r w:rsidRPr="00D34BE8">
        <w:rPr>
          <w:rFonts w:ascii="Book Antiqua" w:hAnsi="Book Antiqua"/>
          <w:sz w:val="20"/>
          <w:szCs w:val="20"/>
        </w:rPr>
        <w:t xml:space="preserve"> similar for both the external verification group and the modeling group. The ROC curve of external validation group is shown in Figure </w:t>
      </w:r>
      <w:r w:rsidR="009A7541" w:rsidRPr="00D34BE8">
        <w:rPr>
          <w:rFonts w:ascii="Book Antiqua" w:hAnsi="Book Antiqua"/>
          <w:sz w:val="20"/>
          <w:szCs w:val="20"/>
        </w:rPr>
        <w:t>1B</w:t>
      </w:r>
      <w:r w:rsidRPr="00D34BE8">
        <w:rPr>
          <w:rFonts w:ascii="Book Antiqua" w:hAnsi="Book Antiqua"/>
          <w:sz w:val="20"/>
          <w:szCs w:val="20"/>
        </w:rPr>
        <w:t>.</w:t>
      </w:r>
    </w:p>
    <w:p w:rsidR="0017102F" w:rsidRPr="00D34BE8" w:rsidRDefault="0017102F" w:rsidP="00D34BE8">
      <w:pPr>
        <w:spacing w:after="0" w:line="360" w:lineRule="auto"/>
        <w:jc w:val="both"/>
        <w:rPr>
          <w:rFonts w:ascii="Book Antiqua" w:hAnsi="Book Antiqua"/>
          <w:sz w:val="20"/>
          <w:szCs w:val="20"/>
        </w:rPr>
      </w:pPr>
    </w:p>
    <w:p w:rsidR="00C7222A" w:rsidRPr="00D34BE8" w:rsidRDefault="00C7222A" w:rsidP="00D34BE8">
      <w:pPr>
        <w:spacing w:after="0" w:line="360" w:lineRule="auto"/>
        <w:jc w:val="both"/>
        <w:rPr>
          <w:rFonts w:ascii="Book Antiqua" w:hAnsi="Book Antiqua"/>
          <w:b/>
          <w:bCs/>
          <w:i/>
          <w:iCs/>
          <w:sz w:val="20"/>
          <w:szCs w:val="20"/>
        </w:rPr>
      </w:pPr>
      <w:r w:rsidRPr="00D34BE8">
        <w:rPr>
          <w:rFonts w:ascii="Book Antiqua" w:hAnsi="Book Antiqua"/>
          <w:b/>
          <w:bCs/>
          <w:i/>
          <w:iCs/>
          <w:sz w:val="20"/>
          <w:szCs w:val="20"/>
        </w:rPr>
        <w:t>Evaluation of calibration ability of the new model</w:t>
      </w:r>
    </w:p>
    <w:p w:rsidR="00C7222A" w:rsidRPr="00D34BE8" w:rsidRDefault="00C7222A" w:rsidP="00D34BE8">
      <w:pPr>
        <w:spacing w:after="0" w:line="360" w:lineRule="auto"/>
        <w:jc w:val="both"/>
        <w:rPr>
          <w:rFonts w:ascii="Book Antiqua" w:hAnsi="Book Antiqua"/>
          <w:sz w:val="20"/>
          <w:szCs w:val="20"/>
        </w:rPr>
      </w:pPr>
      <w:r w:rsidRPr="00D34BE8">
        <w:rPr>
          <w:rFonts w:ascii="Book Antiqua" w:hAnsi="Book Antiqua"/>
          <w:sz w:val="20"/>
          <w:szCs w:val="20"/>
        </w:rPr>
        <w:t xml:space="preserve">To evaluate the calibration ability of the new model, we used the Hosmer-Lemeshow test to calculate the </w:t>
      </w:r>
      <w:r w:rsidRPr="00D34BE8">
        <w:rPr>
          <w:rFonts w:ascii="Book Antiqua" w:hAnsi="Book Antiqua"/>
          <w:sz w:val="20"/>
          <w:szCs w:val="20"/>
        </w:rPr>
        <w:sym w:font="Symbol" w:char="F063"/>
      </w:r>
      <w:r w:rsidRPr="00D34BE8">
        <w:rPr>
          <w:rFonts w:ascii="Book Antiqua" w:hAnsi="Book Antiqua"/>
          <w:sz w:val="20"/>
          <w:szCs w:val="20"/>
          <w:vertAlign w:val="superscript"/>
        </w:rPr>
        <w:t>2</w:t>
      </w:r>
      <w:r w:rsidRPr="00D34BE8">
        <w:rPr>
          <w:rFonts w:ascii="Book Antiqua" w:hAnsi="Book Antiqua"/>
          <w:sz w:val="20"/>
          <w:szCs w:val="20"/>
        </w:rPr>
        <w:t xml:space="preserve"> for the modeling group and the external validation group. The results showed that the </w:t>
      </w:r>
      <w:r w:rsidRPr="00D34BE8">
        <w:rPr>
          <w:rFonts w:ascii="Book Antiqua" w:hAnsi="Book Antiqua"/>
          <w:sz w:val="20"/>
          <w:szCs w:val="20"/>
        </w:rPr>
        <w:sym w:font="Symbol" w:char="F063"/>
      </w:r>
      <w:r w:rsidRPr="00D34BE8">
        <w:rPr>
          <w:rFonts w:ascii="Book Antiqua" w:hAnsi="Book Antiqua"/>
          <w:sz w:val="20"/>
          <w:szCs w:val="20"/>
          <w:vertAlign w:val="superscript"/>
        </w:rPr>
        <w:t xml:space="preserve">2 </w:t>
      </w:r>
      <w:r w:rsidRPr="00D34BE8">
        <w:rPr>
          <w:rFonts w:ascii="Book Antiqua" w:hAnsi="Book Antiqua"/>
          <w:sz w:val="20"/>
          <w:szCs w:val="20"/>
        </w:rPr>
        <w:t xml:space="preserve">of the modeling group was 4.86, and that of the external validation group was 4.69; their </w:t>
      </w:r>
      <w:r w:rsidR="0017102F" w:rsidRPr="00D34BE8">
        <w:rPr>
          <w:rFonts w:ascii="Book Antiqua" w:hAnsi="Book Antiqua"/>
          <w:i/>
          <w:iCs/>
          <w:sz w:val="20"/>
          <w:szCs w:val="20"/>
        </w:rPr>
        <w:t>P</w:t>
      </w:r>
      <w:r w:rsidR="0017102F" w:rsidRPr="00D34BE8">
        <w:rPr>
          <w:rFonts w:ascii="Book Antiqua" w:hAnsi="Book Antiqua"/>
          <w:sz w:val="20"/>
          <w:szCs w:val="20"/>
        </w:rPr>
        <w:t xml:space="preserve"> </w:t>
      </w:r>
      <w:r w:rsidRPr="00D34BE8">
        <w:rPr>
          <w:rFonts w:ascii="Book Antiqua" w:hAnsi="Book Antiqua"/>
          <w:sz w:val="20"/>
          <w:szCs w:val="20"/>
        </w:rPr>
        <w:t xml:space="preserve">values were 0.746 and 0.790, respectively. The </w:t>
      </w:r>
      <w:r w:rsidR="002D6B31" w:rsidRPr="0027639A">
        <w:rPr>
          <w:rFonts w:ascii="Book Antiqua" w:hAnsi="Book Antiqua"/>
          <w:i/>
          <w:sz w:val="20"/>
          <w:szCs w:val="20"/>
        </w:rPr>
        <w:t>P</w:t>
      </w:r>
      <w:r w:rsidR="002D6B31" w:rsidRPr="00D34BE8">
        <w:rPr>
          <w:rFonts w:ascii="Book Antiqua" w:hAnsi="Book Antiqua"/>
          <w:sz w:val="20"/>
          <w:szCs w:val="20"/>
        </w:rPr>
        <w:t xml:space="preserve"> </w:t>
      </w:r>
      <w:r w:rsidRPr="00D34BE8">
        <w:rPr>
          <w:rFonts w:ascii="Book Antiqua" w:hAnsi="Book Antiqua"/>
          <w:sz w:val="20"/>
          <w:szCs w:val="20"/>
        </w:rPr>
        <w:t>values of both groups were higher than 0.05, indicating that the new model accurately predict</w:t>
      </w:r>
      <w:r w:rsidR="002D6B31" w:rsidRPr="00D34BE8">
        <w:rPr>
          <w:rFonts w:ascii="Book Antiqua" w:hAnsi="Book Antiqua"/>
          <w:sz w:val="20"/>
          <w:szCs w:val="20"/>
        </w:rPr>
        <w:t>ed</w:t>
      </w:r>
      <w:r w:rsidRPr="00D34BE8">
        <w:rPr>
          <w:rFonts w:ascii="Book Antiqua" w:hAnsi="Book Antiqua"/>
          <w:sz w:val="20"/>
          <w:szCs w:val="20"/>
        </w:rPr>
        <w:t xml:space="preserve"> </w:t>
      </w:r>
      <w:r w:rsidR="004C23D4" w:rsidRPr="00D34BE8">
        <w:rPr>
          <w:rFonts w:ascii="Book Antiqua" w:hAnsi="Book Antiqua"/>
          <w:sz w:val="20"/>
          <w:szCs w:val="20"/>
        </w:rPr>
        <w:t>HEVs</w:t>
      </w:r>
      <w:r w:rsidRPr="00D34BE8">
        <w:rPr>
          <w:rFonts w:ascii="Book Antiqua" w:hAnsi="Book Antiqua"/>
          <w:sz w:val="20"/>
          <w:szCs w:val="20"/>
        </w:rPr>
        <w:t xml:space="preserve"> in both groups. The calibration scatter plots of both groups are shown in </w:t>
      </w:r>
      <w:r w:rsidR="0017102F" w:rsidRPr="00D34BE8">
        <w:rPr>
          <w:rFonts w:ascii="Book Antiqua" w:hAnsi="Book Antiqua"/>
          <w:sz w:val="20"/>
          <w:szCs w:val="20"/>
        </w:rPr>
        <w:t>Figure</w:t>
      </w:r>
      <w:r w:rsidR="009A7541" w:rsidRPr="00D34BE8">
        <w:rPr>
          <w:rFonts w:ascii="Book Antiqua" w:hAnsi="Book Antiqua"/>
          <w:sz w:val="20"/>
          <w:szCs w:val="20"/>
        </w:rPr>
        <w:t xml:space="preserve"> 2</w:t>
      </w:r>
      <w:r w:rsidRPr="00D34BE8">
        <w:rPr>
          <w:rFonts w:ascii="Book Antiqua" w:hAnsi="Book Antiqua"/>
          <w:sz w:val="20"/>
          <w:szCs w:val="20"/>
        </w:rPr>
        <w:t>. According to the plots, all scattered points fluctuate</w:t>
      </w:r>
      <w:r w:rsidR="002D6B31" w:rsidRPr="00D34BE8">
        <w:rPr>
          <w:rFonts w:ascii="Book Antiqua" w:hAnsi="Book Antiqua"/>
          <w:sz w:val="20"/>
          <w:szCs w:val="20"/>
        </w:rPr>
        <w:t>d</w:t>
      </w:r>
      <w:r w:rsidRPr="00D34BE8">
        <w:rPr>
          <w:rFonts w:ascii="Book Antiqua" w:hAnsi="Book Antiqua"/>
          <w:sz w:val="20"/>
          <w:szCs w:val="20"/>
        </w:rPr>
        <w:t xml:space="preserve"> around the reference line without significant deviation, which </w:t>
      </w:r>
      <w:r w:rsidR="002D6B31" w:rsidRPr="00D34BE8">
        <w:rPr>
          <w:rFonts w:ascii="Book Antiqua" w:hAnsi="Book Antiqua"/>
          <w:sz w:val="20"/>
          <w:szCs w:val="20"/>
        </w:rPr>
        <w:t xml:space="preserve">was </w:t>
      </w:r>
      <w:r w:rsidRPr="00D34BE8">
        <w:rPr>
          <w:rFonts w:ascii="Book Antiqua" w:hAnsi="Book Antiqua"/>
          <w:sz w:val="20"/>
          <w:szCs w:val="20"/>
        </w:rPr>
        <w:t xml:space="preserve">due to </w:t>
      </w:r>
      <w:r w:rsidR="002D6B31" w:rsidRPr="00D34BE8">
        <w:rPr>
          <w:rFonts w:ascii="Book Antiqua" w:hAnsi="Book Antiqua"/>
          <w:sz w:val="20"/>
          <w:szCs w:val="20"/>
        </w:rPr>
        <w:t xml:space="preserve">the fact </w:t>
      </w:r>
      <w:r w:rsidRPr="00D34BE8">
        <w:rPr>
          <w:rFonts w:ascii="Book Antiqua" w:hAnsi="Book Antiqua"/>
          <w:sz w:val="20"/>
          <w:szCs w:val="20"/>
        </w:rPr>
        <w:t xml:space="preserve">that the </w:t>
      </w:r>
      <w:r w:rsidR="0017102F" w:rsidRPr="00D34BE8">
        <w:rPr>
          <w:rFonts w:ascii="Book Antiqua" w:hAnsi="Book Antiqua"/>
          <w:i/>
          <w:iCs/>
          <w:sz w:val="20"/>
          <w:szCs w:val="20"/>
        </w:rPr>
        <w:t>P</w:t>
      </w:r>
      <w:r w:rsidR="0017102F" w:rsidRPr="00D34BE8">
        <w:rPr>
          <w:rFonts w:ascii="Book Antiqua" w:hAnsi="Book Antiqua"/>
          <w:sz w:val="20"/>
          <w:szCs w:val="20"/>
        </w:rPr>
        <w:t xml:space="preserve"> </w:t>
      </w:r>
      <w:r w:rsidRPr="00D34BE8">
        <w:rPr>
          <w:rFonts w:ascii="Book Antiqua" w:hAnsi="Book Antiqua"/>
          <w:sz w:val="20"/>
          <w:szCs w:val="20"/>
        </w:rPr>
        <w:t xml:space="preserve">values of both groups were higher than 0.05 and there was no statistical difference between the two groups. This result suggests that using the new model, the predicted HEV patients </w:t>
      </w:r>
      <w:r w:rsidR="002D6B31" w:rsidRPr="00D34BE8">
        <w:rPr>
          <w:rFonts w:ascii="Book Antiqua" w:hAnsi="Book Antiqua"/>
          <w:sz w:val="20"/>
          <w:szCs w:val="20"/>
        </w:rPr>
        <w:t xml:space="preserve">were </w:t>
      </w:r>
      <w:r w:rsidRPr="00D34BE8">
        <w:rPr>
          <w:rFonts w:ascii="Book Antiqua" w:hAnsi="Book Antiqua"/>
          <w:sz w:val="20"/>
          <w:szCs w:val="20"/>
        </w:rPr>
        <w:t xml:space="preserve">in good agreement with </w:t>
      </w:r>
      <w:r w:rsidR="002D6B31" w:rsidRPr="00D34BE8">
        <w:rPr>
          <w:rFonts w:ascii="Book Antiqua" w:hAnsi="Book Antiqua"/>
          <w:sz w:val="20"/>
          <w:szCs w:val="20"/>
        </w:rPr>
        <w:t xml:space="preserve">the </w:t>
      </w:r>
      <w:r w:rsidRPr="00D34BE8">
        <w:rPr>
          <w:rFonts w:ascii="Book Antiqua" w:hAnsi="Book Antiqua"/>
          <w:sz w:val="20"/>
          <w:szCs w:val="20"/>
        </w:rPr>
        <w:t>actual HEV patients.</w:t>
      </w:r>
    </w:p>
    <w:p w:rsidR="0017102F" w:rsidRPr="00D34BE8" w:rsidRDefault="0017102F" w:rsidP="00D34BE8">
      <w:pPr>
        <w:spacing w:after="0" w:line="360" w:lineRule="auto"/>
        <w:jc w:val="both"/>
        <w:rPr>
          <w:rFonts w:ascii="Book Antiqua" w:hAnsi="Book Antiqua"/>
          <w:sz w:val="20"/>
          <w:szCs w:val="20"/>
        </w:rPr>
      </w:pPr>
    </w:p>
    <w:p w:rsidR="00C7222A" w:rsidRPr="00D34BE8" w:rsidRDefault="00C7222A" w:rsidP="00D34BE8">
      <w:pPr>
        <w:spacing w:after="0" w:line="360" w:lineRule="auto"/>
        <w:jc w:val="both"/>
        <w:rPr>
          <w:rFonts w:ascii="Book Antiqua" w:hAnsi="Book Antiqua"/>
          <w:b/>
          <w:bCs/>
          <w:i/>
          <w:iCs/>
          <w:sz w:val="20"/>
          <w:szCs w:val="20"/>
        </w:rPr>
      </w:pPr>
      <w:r w:rsidRPr="00D34BE8">
        <w:rPr>
          <w:rFonts w:ascii="Book Antiqua" w:hAnsi="Book Antiqua"/>
          <w:b/>
          <w:bCs/>
          <w:i/>
          <w:iCs/>
          <w:sz w:val="20"/>
          <w:szCs w:val="20"/>
        </w:rPr>
        <w:t>Evaluation of clinical efficacy of the new model</w:t>
      </w:r>
    </w:p>
    <w:p w:rsidR="00C7222A" w:rsidRPr="00D34BE8" w:rsidRDefault="00C7222A" w:rsidP="00D34BE8">
      <w:pPr>
        <w:spacing w:after="0" w:line="360" w:lineRule="auto"/>
        <w:jc w:val="both"/>
        <w:rPr>
          <w:rFonts w:ascii="Book Antiqua" w:hAnsi="Book Antiqua"/>
          <w:sz w:val="20"/>
          <w:szCs w:val="20"/>
        </w:rPr>
      </w:pPr>
      <w:r w:rsidRPr="00D34BE8">
        <w:rPr>
          <w:rFonts w:ascii="Book Antiqua" w:hAnsi="Book Antiqua"/>
          <w:sz w:val="20"/>
          <w:szCs w:val="20"/>
        </w:rPr>
        <w:t xml:space="preserve">We used the DCA to evaluate the clinical efficacy of the new model. The DCA was drawn using the predicted probability of the model group and the external validation group and the actual occurrence of </w:t>
      </w:r>
      <w:r w:rsidR="004C23D4" w:rsidRPr="00D34BE8">
        <w:rPr>
          <w:rFonts w:ascii="Book Antiqua" w:hAnsi="Book Antiqua"/>
          <w:sz w:val="20"/>
          <w:szCs w:val="20"/>
        </w:rPr>
        <w:t>HEVs</w:t>
      </w:r>
      <w:r w:rsidRPr="00D34BE8">
        <w:rPr>
          <w:rFonts w:ascii="Book Antiqua" w:hAnsi="Book Antiqua"/>
          <w:sz w:val="20"/>
          <w:szCs w:val="20"/>
        </w:rPr>
        <w:t xml:space="preserve">. The predicted probability of the model group </w:t>
      </w:r>
      <w:r w:rsidR="00AC56EE" w:rsidRPr="00D34BE8">
        <w:rPr>
          <w:rFonts w:ascii="Book Antiqua" w:hAnsi="Book Antiqua"/>
          <w:sz w:val="20"/>
          <w:szCs w:val="20"/>
        </w:rPr>
        <w:t>was</w:t>
      </w:r>
      <w:r w:rsidRPr="00D34BE8">
        <w:rPr>
          <w:rFonts w:ascii="Book Antiqua" w:hAnsi="Book Antiqua"/>
          <w:sz w:val="20"/>
          <w:szCs w:val="20"/>
        </w:rPr>
        <w:t xml:space="preserve"> represented by </w:t>
      </w:r>
      <w:r w:rsidRPr="00D34BE8">
        <w:rPr>
          <w:rFonts w:ascii="Book Antiqua" w:hAnsi="Book Antiqua"/>
          <w:i/>
          <w:iCs/>
          <w:sz w:val="20"/>
          <w:szCs w:val="20"/>
        </w:rPr>
        <w:t>P</w:t>
      </w:r>
      <w:r w:rsidRPr="00D34BE8">
        <w:rPr>
          <w:rFonts w:ascii="Book Antiqua" w:hAnsi="Book Antiqua"/>
          <w:sz w:val="20"/>
          <w:szCs w:val="20"/>
          <w:vertAlign w:val="subscript"/>
        </w:rPr>
        <w:t>in</w:t>
      </w:r>
      <w:r w:rsidRPr="00D34BE8">
        <w:rPr>
          <w:rFonts w:ascii="Book Antiqua" w:hAnsi="Book Antiqua"/>
          <w:sz w:val="20"/>
          <w:szCs w:val="20"/>
        </w:rPr>
        <w:t xml:space="preserve"> and that of the external validation group </w:t>
      </w:r>
      <w:r w:rsidR="00AC56EE" w:rsidRPr="00D34BE8">
        <w:rPr>
          <w:rFonts w:ascii="Book Antiqua" w:hAnsi="Book Antiqua"/>
          <w:sz w:val="20"/>
          <w:szCs w:val="20"/>
        </w:rPr>
        <w:t>was</w:t>
      </w:r>
      <w:r w:rsidRPr="00D34BE8">
        <w:rPr>
          <w:rFonts w:ascii="Book Antiqua" w:hAnsi="Book Antiqua"/>
          <w:sz w:val="20"/>
          <w:szCs w:val="20"/>
        </w:rPr>
        <w:t xml:space="preserve"> represent</w:t>
      </w:r>
      <w:r w:rsidR="00AC56EE" w:rsidRPr="00D34BE8">
        <w:rPr>
          <w:rFonts w:ascii="Book Antiqua" w:hAnsi="Book Antiqua"/>
          <w:sz w:val="20"/>
          <w:szCs w:val="20"/>
        </w:rPr>
        <w:t>ed</w:t>
      </w:r>
      <w:r w:rsidRPr="00D34BE8">
        <w:rPr>
          <w:rFonts w:ascii="Book Antiqua" w:hAnsi="Book Antiqua"/>
          <w:sz w:val="20"/>
          <w:szCs w:val="20"/>
        </w:rPr>
        <w:t xml:space="preserve"> by </w:t>
      </w:r>
      <w:r w:rsidRPr="00D34BE8">
        <w:rPr>
          <w:rFonts w:ascii="Book Antiqua" w:hAnsi="Book Antiqua"/>
          <w:i/>
          <w:iCs/>
          <w:sz w:val="20"/>
          <w:szCs w:val="20"/>
        </w:rPr>
        <w:t>P</w:t>
      </w:r>
      <w:r w:rsidRPr="00D34BE8">
        <w:rPr>
          <w:rFonts w:ascii="Book Antiqua" w:hAnsi="Book Antiqua"/>
          <w:sz w:val="20"/>
          <w:szCs w:val="20"/>
          <w:vertAlign w:val="subscript"/>
        </w:rPr>
        <w:t>out</w:t>
      </w:r>
      <w:r w:rsidRPr="00D34BE8">
        <w:rPr>
          <w:rFonts w:ascii="Book Antiqua" w:hAnsi="Book Antiqua"/>
          <w:sz w:val="20"/>
          <w:szCs w:val="20"/>
        </w:rPr>
        <w:t>. The DCA of the two groups are shown in Figure</w:t>
      </w:r>
      <w:r w:rsidR="009A7541" w:rsidRPr="00D34BE8">
        <w:rPr>
          <w:rFonts w:ascii="Book Antiqua" w:hAnsi="Book Antiqua"/>
          <w:sz w:val="20"/>
          <w:szCs w:val="20"/>
        </w:rPr>
        <w:t xml:space="preserve"> 3</w:t>
      </w:r>
      <w:r w:rsidRPr="00D34BE8">
        <w:rPr>
          <w:rFonts w:ascii="Book Antiqua" w:hAnsi="Book Antiqua"/>
          <w:sz w:val="20"/>
          <w:szCs w:val="20"/>
        </w:rPr>
        <w:t>. In the DCA curve, the black line indicate</w:t>
      </w:r>
      <w:r w:rsidR="00AC56EE" w:rsidRPr="00D34BE8">
        <w:rPr>
          <w:rFonts w:ascii="Book Antiqua" w:hAnsi="Book Antiqua"/>
          <w:sz w:val="20"/>
          <w:szCs w:val="20"/>
        </w:rPr>
        <w:t>d</w:t>
      </w:r>
      <w:r w:rsidRPr="00D34BE8">
        <w:rPr>
          <w:rFonts w:ascii="Book Antiqua" w:hAnsi="Book Antiqua"/>
          <w:sz w:val="20"/>
          <w:szCs w:val="20"/>
        </w:rPr>
        <w:t xml:space="preserve"> that in extreme cases, the new model predict</w:t>
      </w:r>
      <w:r w:rsidR="00AC56EE" w:rsidRPr="00D34BE8">
        <w:rPr>
          <w:rFonts w:ascii="Book Antiqua" w:hAnsi="Book Antiqua"/>
          <w:sz w:val="20"/>
          <w:szCs w:val="20"/>
        </w:rPr>
        <w:t>ed that</w:t>
      </w:r>
      <w:r w:rsidRPr="00D34BE8">
        <w:rPr>
          <w:rFonts w:ascii="Book Antiqua" w:hAnsi="Book Antiqua"/>
          <w:sz w:val="20"/>
          <w:szCs w:val="20"/>
        </w:rPr>
        <w:t xml:space="preserve"> there </w:t>
      </w:r>
      <w:r w:rsidR="00AC56EE" w:rsidRPr="00D34BE8">
        <w:rPr>
          <w:rFonts w:ascii="Book Antiqua" w:hAnsi="Book Antiqua"/>
          <w:sz w:val="20"/>
          <w:szCs w:val="20"/>
        </w:rPr>
        <w:t xml:space="preserve">were </w:t>
      </w:r>
      <w:r w:rsidRPr="00D34BE8">
        <w:rPr>
          <w:rFonts w:ascii="Book Antiqua" w:hAnsi="Book Antiqua"/>
          <w:sz w:val="20"/>
          <w:szCs w:val="20"/>
        </w:rPr>
        <w:t>no HEVs in all patients with viral cirrhosis and the clinical net benefit was 0. The gray line, which had a negative slope</w:t>
      </w:r>
      <w:r w:rsidR="00AC56EE" w:rsidRPr="00D34BE8">
        <w:rPr>
          <w:rFonts w:ascii="Book Antiqua" w:hAnsi="Book Antiqua"/>
          <w:sz w:val="20"/>
          <w:szCs w:val="20"/>
        </w:rPr>
        <w:t xml:space="preserve"> and was</w:t>
      </w:r>
      <w:r w:rsidRPr="00D34BE8">
        <w:rPr>
          <w:rFonts w:ascii="Book Antiqua" w:hAnsi="Book Antiqua"/>
          <w:sz w:val="20"/>
          <w:szCs w:val="20"/>
        </w:rPr>
        <w:t xml:space="preserve"> the clinical net benefit, indicate</w:t>
      </w:r>
      <w:r w:rsidR="00AC56EE" w:rsidRPr="00D34BE8">
        <w:rPr>
          <w:rFonts w:ascii="Book Antiqua" w:hAnsi="Book Antiqua"/>
          <w:sz w:val="20"/>
          <w:szCs w:val="20"/>
        </w:rPr>
        <w:t>d</w:t>
      </w:r>
      <w:r w:rsidRPr="00D34BE8">
        <w:rPr>
          <w:rFonts w:ascii="Book Antiqua" w:hAnsi="Book Antiqua"/>
          <w:sz w:val="20"/>
          <w:szCs w:val="20"/>
        </w:rPr>
        <w:t xml:space="preserve"> that in extreme cases, the new model predict</w:t>
      </w:r>
      <w:r w:rsidR="00AC56EE" w:rsidRPr="00D34BE8">
        <w:rPr>
          <w:rFonts w:ascii="Book Antiqua" w:hAnsi="Book Antiqua"/>
          <w:sz w:val="20"/>
          <w:szCs w:val="20"/>
        </w:rPr>
        <w:t>ed that</w:t>
      </w:r>
      <w:r w:rsidRPr="00D34BE8">
        <w:rPr>
          <w:rFonts w:ascii="Book Antiqua" w:hAnsi="Book Antiqua"/>
          <w:sz w:val="20"/>
          <w:szCs w:val="20"/>
        </w:rPr>
        <w:t xml:space="preserve"> there </w:t>
      </w:r>
      <w:r w:rsidR="00AC56EE" w:rsidRPr="00D34BE8">
        <w:rPr>
          <w:rFonts w:ascii="Book Antiqua" w:hAnsi="Book Antiqua"/>
          <w:sz w:val="20"/>
          <w:szCs w:val="20"/>
        </w:rPr>
        <w:t xml:space="preserve">were </w:t>
      </w:r>
      <w:r w:rsidRPr="00D34BE8">
        <w:rPr>
          <w:rFonts w:ascii="Book Antiqua" w:hAnsi="Book Antiqua"/>
          <w:sz w:val="20"/>
          <w:szCs w:val="20"/>
        </w:rPr>
        <w:t xml:space="preserve">HEVs in all patients with viral cirrhosis. The red line </w:t>
      </w:r>
      <w:r w:rsidR="00532567" w:rsidRPr="00D34BE8">
        <w:rPr>
          <w:rFonts w:ascii="Book Antiqua" w:hAnsi="Book Antiqua"/>
          <w:sz w:val="20"/>
          <w:szCs w:val="20"/>
        </w:rPr>
        <w:t>was</w:t>
      </w:r>
      <w:r w:rsidRPr="00D34BE8">
        <w:rPr>
          <w:rFonts w:ascii="Book Antiqua" w:hAnsi="Book Antiqua"/>
          <w:sz w:val="20"/>
          <w:szCs w:val="20"/>
        </w:rPr>
        <w:t xml:space="preserve"> the DCA of the new model. According to the DCA curves, the red line </w:t>
      </w:r>
      <w:r w:rsidR="00AC56EE" w:rsidRPr="00D34BE8">
        <w:rPr>
          <w:rFonts w:ascii="Book Antiqua" w:hAnsi="Book Antiqua"/>
          <w:sz w:val="20"/>
          <w:szCs w:val="20"/>
        </w:rPr>
        <w:t>was</w:t>
      </w:r>
      <w:r w:rsidRPr="00D34BE8">
        <w:rPr>
          <w:rFonts w:ascii="Book Antiqua" w:hAnsi="Book Antiqua"/>
          <w:sz w:val="20"/>
          <w:szCs w:val="20"/>
        </w:rPr>
        <w:t xml:space="preserve"> higher than the black and gray lines, suggesting that both groups of patients c</w:t>
      </w:r>
      <w:r w:rsidR="00AC56EE" w:rsidRPr="00D34BE8">
        <w:rPr>
          <w:rFonts w:ascii="Book Antiqua" w:hAnsi="Book Antiqua"/>
          <w:sz w:val="20"/>
          <w:szCs w:val="20"/>
        </w:rPr>
        <w:t>ould</w:t>
      </w:r>
      <w:r w:rsidRPr="00D34BE8">
        <w:rPr>
          <w:rFonts w:ascii="Book Antiqua" w:hAnsi="Book Antiqua"/>
          <w:sz w:val="20"/>
          <w:szCs w:val="20"/>
        </w:rPr>
        <w:t xml:space="preserve"> benefit from the new model when it is applied to two cohorts. It also suggests that the new model has clinical efficacy.</w:t>
      </w:r>
    </w:p>
    <w:p w:rsidR="0017102F" w:rsidRPr="00D34BE8" w:rsidRDefault="0017102F" w:rsidP="00D34BE8">
      <w:pPr>
        <w:spacing w:after="0" w:line="360" w:lineRule="auto"/>
        <w:jc w:val="both"/>
        <w:rPr>
          <w:rFonts w:ascii="Book Antiqua" w:hAnsi="Book Antiqua"/>
          <w:sz w:val="20"/>
          <w:szCs w:val="20"/>
        </w:rPr>
      </w:pPr>
    </w:p>
    <w:p w:rsidR="0017102F" w:rsidRPr="00D34BE8" w:rsidRDefault="0017102F" w:rsidP="00D34BE8">
      <w:pPr>
        <w:spacing w:after="0" w:line="360" w:lineRule="auto"/>
        <w:jc w:val="both"/>
        <w:rPr>
          <w:rFonts w:ascii="Book Antiqua" w:eastAsia="宋体" w:hAnsi="Book Antiqua" w:cs="Calibri"/>
          <w:b/>
          <w:sz w:val="20"/>
          <w:szCs w:val="20"/>
          <w:u w:val="single"/>
          <w:lang w:eastAsia="en-US"/>
        </w:rPr>
      </w:pPr>
      <w:bookmarkStart w:id="32" w:name="_Hlk27141721"/>
      <w:r w:rsidRPr="00D34BE8">
        <w:rPr>
          <w:rFonts w:ascii="Book Antiqua" w:eastAsia="宋体" w:hAnsi="Book Antiqua" w:cs="Arial"/>
          <w:b/>
          <w:sz w:val="20"/>
          <w:szCs w:val="20"/>
          <w:u w:val="single"/>
          <w:lang w:eastAsia="en-US"/>
        </w:rPr>
        <w:t>DISCUSSION</w:t>
      </w:r>
    </w:p>
    <w:bookmarkEnd w:id="32"/>
    <w:p w:rsidR="00C7222A" w:rsidRPr="00D34BE8" w:rsidRDefault="00C7222A" w:rsidP="00D34BE8">
      <w:pPr>
        <w:spacing w:after="0" w:line="360" w:lineRule="auto"/>
        <w:jc w:val="both"/>
        <w:rPr>
          <w:rFonts w:ascii="Book Antiqua" w:hAnsi="Book Antiqua"/>
          <w:sz w:val="20"/>
          <w:szCs w:val="20"/>
        </w:rPr>
      </w:pPr>
      <w:r w:rsidRPr="00D34BE8">
        <w:rPr>
          <w:rFonts w:ascii="Book Antiqua" w:hAnsi="Book Antiqua"/>
          <w:sz w:val="20"/>
          <w:szCs w:val="20"/>
        </w:rPr>
        <w:t xml:space="preserve">In China, there are </w:t>
      </w:r>
      <w:r w:rsidR="00532567" w:rsidRPr="00D34BE8">
        <w:rPr>
          <w:rFonts w:ascii="Book Antiqua" w:hAnsi="Book Antiqua"/>
          <w:sz w:val="20"/>
          <w:szCs w:val="20"/>
        </w:rPr>
        <w:t xml:space="preserve">a </w:t>
      </w:r>
      <w:r w:rsidRPr="00D34BE8">
        <w:rPr>
          <w:rFonts w:ascii="Book Antiqua" w:hAnsi="Book Antiqua"/>
          <w:sz w:val="20"/>
          <w:szCs w:val="20"/>
        </w:rPr>
        <w:t xml:space="preserve">large number of patients with liver cirrhosis due to </w:t>
      </w:r>
      <w:r w:rsidR="008A6871" w:rsidRPr="00D34BE8">
        <w:rPr>
          <w:rFonts w:ascii="Book Antiqua" w:hAnsi="Book Antiqua"/>
          <w:sz w:val="20"/>
          <w:szCs w:val="20"/>
        </w:rPr>
        <w:t>the</w:t>
      </w:r>
      <w:r w:rsidR="00532567" w:rsidRPr="00D34BE8">
        <w:rPr>
          <w:rFonts w:ascii="Book Antiqua" w:hAnsi="Book Antiqua"/>
          <w:sz w:val="20"/>
          <w:szCs w:val="20"/>
        </w:rPr>
        <w:t xml:space="preserve"> </w:t>
      </w:r>
      <w:r w:rsidRPr="00D34BE8">
        <w:rPr>
          <w:rFonts w:ascii="Book Antiqua" w:hAnsi="Book Antiqua"/>
          <w:sz w:val="20"/>
          <w:szCs w:val="20"/>
        </w:rPr>
        <w:t>high infection rates of hepatitis B and C</w:t>
      </w:r>
      <w:r w:rsidRPr="00D34BE8">
        <w:rPr>
          <w:rFonts w:ascii="Book Antiqua" w:hAnsi="Book Antiqua"/>
          <w:sz w:val="20"/>
          <w:szCs w:val="20"/>
          <w:vertAlign w:val="superscript"/>
        </w:rPr>
        <w:t>[2</w:t>
      </w:r>
      <w:r w:rsidR="003234B3" w:rsidRPr="00D34BE8">
        <w:rPr>
          <w:rFonts w:ascii="Book Antiqua" w:hAnsi="Book Antiqua"/>
          <w:sz w:val="20"/>
          <w:szCs w:val="20"/>
          <w:vertAlign w:val="superscript"/>
        </w:rPr>
        <w:t>2</w:t>
      </w:r>
      <w:r w:rsidRPr="00D34BE8">
        <w:rPr>
          <w:rFonts w:ascii="Book Antiqua" w:hAnsi="Book Antiqua"/>
          <w:sz w:val="20"/>
          <w:szCs w:val="20"/>
          <w:vertAlign w:val="superscript"/>
        </w:rPr>
        <w:t>,2</w:t>
      </w:r>
      <w:r w:rsidR="003234B3" w:rsidRPr="00D34BE8">
        <w:rPr>
          <w:rFonts w:ascii="Book Antiqua" w:hAnsi="Book Antiqua"/>
          <w:sz w:val="20"/>
          <w:szCs w:val="20"/>
          <w:vertAlign w:val="superscript"/>
        </w:rPr>
        <w:t>3</w:t>
      </w:r>
      <w:r w:rsidRPr="00D34BE8">
        <w:rPr>
          <w:rFonts w:ascii="Book Antiqua" w:hAnsi="Book Antiqua"/>
          <w:sz w:val="20"/>
          <w:szCs w:val="20"/>
          <w:vertAlign w:val="superscript"/>
        </w:rPr>
        <w:t>]</w:t>
      </w:r>
      <w:r w:rsidRPr="00D34BE8">
        <w:rPr>
          <w:rFonts w:ascii="Book Antiqua" w:hAnsi="Book Antiqua"/>
          <w:sz w:val="20"/>
          <w:szCs w:val="20"/>
        </w:rPr>
        <w:t xml:space="preserve">. Although gastroscopy is the gold standard diagnosis technique for EVs, its procedure is invasive, </w:t>
      </w:r>
      <w:r w:rsidR="00532567" w:rsidRPr="00D34BE8">
        <w:rPr>
          <w:rFonts w:ascii="Book Antiqua" w:hAnsi="Book Antiqua"/>
          <w:sz w:val="20"/>
          <w:szCs w:val="20"/>
        </w:rPr>
        <w:t xml:space="preserve">and </w:t>
      </w:r>
      <w:r w:rsidRPr="00D34BE8">
        <w:rPr>
          <w:rFonts w:ascii="Book Antiqua" w:hAnsi="Book Antiqua"/>
          <w:sz w:val="20"/>
          <w:szCs w:val="20"/>
        </w:rPr>
        <w:t xml:space="preserve">thus can cause discomfort to patients. Painless gastroscopy can significantly reduce the discomfort, and most gastroscopy in China </w:t>
      </w:r>
      <w:r w:rsidR="00532567" w:rsidRPr="00D34BE8">
        <w:rPr>
          <w:rFonts w:ascii="Book Antiqua" w:hAnsi="Book Antiqua"/>
          <w:sz w:val="20"/>
          <w:szCs w:val="20"/>
        </w:rPr>
        <w:t>is</w:t>
      </w:r>
      <w:r w:rsidRPr="00D34BE8">
        <w:rPr>
          <w:rFonts w:ascii="Book Antiqua" w:hAnsi="Book Antiqua"/>
          <w:sz w:val="20"/>
          <w:szCs w:val="20"/>
        </w:rPr>
        <w:t xml:space="preserve"> </w:t>
      </w:r>
      <w:r w:rsidR="00532567" w:rsidRPr="00D34BE8">
        <w:rPr>
          <w:rFonts w:ascii="Book Antiqua" w:hAnsi="Book Antiqua"/>
          <w:sz w:val="20"/>
          <w:szCs w:val="20"/>
        </w:rPr>
        <w:t>performed</w:t>
      </w:r>
      <w:r w:rsidRPr="00D34BE8">
        <w:rPr>
          <w:rFonts w:ascii="Book Antiqua" w:hAnsi="Book Antiqua"/>
          <w:sz w:val="20"/>
          <w:szCs w:val="20"/>
        </w:rPr>
        <w:t xml:space="preserve"> without anesthesia. The risk of bleeding in patients with EVs is different, and according to</w:t>
      </w:r>
      <w:r w:rsidR="00532567" w:rsidRPr="00D34BE8">
        <w:rPr>
          <w:rFonts w:ascii="Book Antiqua" w:hAnsi="Book Antiqua"/>
          <w:sz w:val="20"/>
          <w:szCs w:val="20"/>
        </w:rPr>
        <w:t xml:space="preserve"> the</w:t>
      </w:r>
      <w:r w:rsidRPr="00D34BE8">
        <w:rPr>
          <w:rFonts w:ascii="Book Antiqua" w:hAnsi="Book Antiqua"/>
          <w:sz w:val="20"/>
          <w:szCs w:val="20"/>
        </w:rPr>
        <w:t xml:space="preserve"> Baveno V standard, EVs are divided into high bleeding risk EVs and low bleeding risk EVs. For patients with HEVs, taking preventive measures early significantly reduce</w:t>
      </w:r>
      <w:r w:rsidR="004B1DA7" w:rsidRPr="00D34BE8">
        <w:rPr>
          <w:rFonts w:ascii="Book Antiqua" w:hAnsi="Book Antiqua"/>
          <w:sz w:val="20"/>
          <w:szCs w:val="20"/>
        </w:rPr>
        <w:t>s</w:t>
      </w:r>
      <w:r w:rsidRPr="00D34BE8">
        <w:rPr>
          <w:rFonts w:ascii="Book Antiqua" w:hAnsi="Book Antiqua"/>
          <w:sz w:val="20"/>
          <w:szCs w:val="20"/>
        </w:rPr>
        <w:t xml:space="preserve"> the risk of esophageal varices bleeding. In China, many patients with liver cirrhosis do not receive the first gastroscopy until the esophageal varices rupture and bleed. Thus, it is highly important to accurately identify patients </w:t>
      </w:r>
      <w:r w:rsidR="004B1DA7" w:rsidRPr="00D34BE8">
        <w:rPr>
          <w:rFonts w:ascii="Book Antiqua" w:hAnsi="Book Antiqua"/>
          <w:sz w:val="20"/>
          <w:szCs w:val="20"/>
        </w:rPr>
        <w:t xml:space="preserve">at </w:t>
      </w:r>
      <w:r w:rsidRPr="00D34BE8">
        <w:rPr>
          <w:rFonts w:ascii="Book Antiqua" w:hAnsi="Book Antiqua"/>
          <w:sz w:val="20"/>
          <w:szCs w:val="20"/>
        </w:rPr>
        <w:t xml:space="preserve">high risk of bleeding caused by esophageal varices. </w:t>
      </w:r>
    </w:p>
    <w:p w:rsidR="00C7222A" w:rsidRPr="00D34BE8" w:rsidRDefault="0017102F" w:rsidP="00D34BE8">
      <w:pPr>
        <w:spacing w:after="0" w:line="360" w:lineRule="auto"/>
        <w:jc w:val="both"/>
        <w:rPr>
          <w:rFonts w:ascii="Book Antiqua" w:hAnsi="Book Antiqua"/>
          <w:sz w:val="20"/>
          <w:szCs w:val="20"/>
        </w:rPr>
      </w:pPr>
      <w:r w:rsidRPr="00D34BE8">
        <w:rPr>
          <w:rFonts w:ascii="Book Antiqua" w:hAnsi="Book Antiqua"/>
          <w:sz w:val="20"/>
          <w:szCs w:val="20"/>
        </w:rPr>
        <w:t xml:space="preserve">  </w:t>
      </w:r>
      <w:r w:rsidR="00C7222A" w:rsidRPr="00D34BE8">
        <w:rPr>
          <w:rFonts w:ascii="Book Antiqua" w:hAnsi="Book Antiqua"/>
          <w:sz w:val="20"/>
          <w:szCs w:val="20"/>
        </w:rPr>
        <w:t xml:space="preserve">Other than gastroscopy, CT or MRI can also be used to predict the HEVs, </w:t>
      </w:r>
      <w:r w:rsidR="007328D2" w:rsidRPr="00D34BE8">
        <w:rPr>
          <w:rFonts w:ascii="Book Antiqua" w:hAnsi="Book Antiqua"/>
          <w:sz w:val="20"/>
          <w:szCs w:val="20"/>
        </w:rPr>
        <w:t xml:space="preserve">and </w:t>
      </w:r>
      <w:r w:rsidR="00C7222A" w:rsidRPr="00D34BE8">
        <w:rPr>
          <w:rFonts w:ascii="Book Antiqua" w:hAnsi="Book Antiqua"/>
          <w:sz w:val="20"/>
          <w:szCs w:val="20"/>
        </w:rPr>
        <w:t>thus are often used to make preliminary judgments about the presence of EVs</w:t>
      </w:r>
      <w:r w:rsidR="00C7222A" w:rsidRPr="00D34BE8">
        <w:rPr>
          <w:rFonts w:ascii="Book Antiqua" w:hAnsi="Book Antiqua"/>
          <w:sz w:val="20"/>
          <w:szCs w:val="20"/>
          <w:vertAlign w:val="superscript"/>
        </w:rPr>
        <w:t>[2</w:t>
      </w:r>
      <w:r w:rsidR="003234B3" w:rsidRPr="00D34BE8">
        <w:rPr>
          <w:rFonts w:ascii="Book Antiqua" w:hAnsi="Book Antiqua"/>
          <w:sz w:val="20"/>
          <w:szCs w:val="20"/>
          <w:vertAlign w:val="superscript"/>
        </w:rPr>
        <w:t>4</w:t>
      </w:r>
      <w:r w:rsidR="00C7222A" w:rsidRPr="00D34BE8">
        <w:rPr>
          <w:rFonts w:ascii="Book Antiqua" w:hAnsi="Book Antiqua"/>
          <w:sz w:val="20"/>
          <w:szCs w:val="20"/>
          <w:vertAlign w:val="superscript"/>
        </w:rPr>
        <w:t>]</w:t>
      </w:r>
      <w:r w:rsidR="00C7222A" w:rsidRPr="00D34BE8">
        <w:rPr>
          <w:rFonts w:ascii="Book Antiqua" w:hAnsi="Book Antiqua"/>
          <w:sz w:val="20"/>
          <w:szCs w:val="20"/>
        </w:rPr>
        <w:t xml:space="preserve">. However, these two techniques cannot visually observe the red sign, </w:t>
      </w:r>
      <w:r w:rsidR="007328D2" w:rsidRPr="00D34BE8">
        <w:rPr>
          <w:rFonts w:ascii="Book Antiqua" w:hAnsi="Book Antiqua"/>
          <w:sz w:val="20"/>
          <w:szCs w:val="20"/>
        </w:rPr>
        <w:t>making it</w:t>
      </w:r>
      <w:r w:rsidR="00C7222A" w:rsidRPr="00D34BE8">
        <w:rPr>
          <w:rFonts w:ascii="Book Antiqua" w:hAnsi="Book Antiqua"/>
          <w:sz w:val="20"/>
          <w:szCs w:val="20"/>
        </w:rPr>
        <w:t xml:space="preserve"> difficult to correct</w:t>
      </w:r>
      <w:r w:rsidR="007328D2" w:rsidRPr="00D34BE8">
        <w:rPr>
          <w:rFonts w:ascii="Book Antiqua" w:hAnsi="Book Antiqua"/>
          <w:sz w:val="20"/>
          <w:szCs w:val="20"/>
        </w:rPr>
        <w:t>ly</w:t>
      </w:r>
      <w:r w:rsidR="00C7222A" w:rsidRPr="00D34BE8">
        <w:rPr>
          <w:rFonts w:ascii="Book Antiqua" w:hAnsi="Book Antiqua"/>
          <w:sz w:val="20"/>
          <w:szCs w:val="20"/>
        </w:rPr>
        <w:t xml:space="preserve"> diagnos</w:t>
      </w:r>
      <w:r w:rsidR="007328D2" w:rsidRPr="00D34BE8">
        <w:rPr>
          <w:rFonts w:ascii="Book Antiqua" w:hAnsi="Book Antiqua"/>
          <w:sz w:val="20"/>
          <w:szCs w:val="20"/>
        </w:rPr>
        <w:t>e</w:t>
      </w:r>
      <w:r w:rsidR="00C7222A" w:rsidRPr="00D34BE8">
        <w:rPr>
          <w:rFonts w:ascii="Book Antiqua" w:hAnsi="Book Antiqua"/>
          <w:sz w:val="20"/>
          <w:szCs w:val="20"/>
        </w:rPr>
        <w:t xml:space="preserve"> HEVs. There are many non-invasive models that can be used to predict HEVs, and the most commonly used models include LSPS, VRI, APRI, and AAR. The indexes used in these models include AST, ALT, PLT, PLD</w:t>
      </w:r>
      <w:r w:rsidR="00AC56EE" w:rsidRPr="00D34BE8">
        <w:rPr>
          <w:rFonts w:ascii="Book Antiqua" w:hAnsi="Book Antiqua"/>
          <w:sz w:val="20"/>
          <w:szCs w:val="20"/>
        </w:rPr>
        <w:t>,</w:t>
      </w:r>
      <w:r w:rsidR="00C7222A" w:rsidRPr="00D34BE8">
        <w:rPr>
          <w:rFonts w:ascii="Book Antiqua" w:hAnsi="Book Antiqua"/>
          <w:sz w:val="20"/>
          <w:szCs w:val="20"/>
        </w:rPr>
        <w:t xml:space="preserve"> and LSM. According to various </w:t>
      </w:r>
      <w:r w:rsidR="00B56140" w:rsidRPr="00D34BE8">
        <w:rPr>
          <w:rFonts w:ascii="Book Antiqua" w:hAnsi="Book Antiqua"/>
          <w:sz w:val="20"/>
          <w:szCs w:val="20"/>
        </w:rPr>
        <w:t>studies</w:t>
      </w:r>
      <w:r w:rsidR="00C7222A" w:rsidRPr="00D34BE8">
        <w:rPr>
          <w:rFonts w:ascii="Book Antiqua" w:hAnsi="Book Antiqua"/>
          <w:sz w:val="20"/>
          <w:szCs w:val="20"/>
        </w:rPr>
        <w:t>, these models have prove</w:t>
      </w:r>
      <w:r w:rsidR="00B56140" w:rsidRPr="00D34BE8">
        <w:rPr>
          <w:rFonts w:ascii="Book Antiqua" w:hAnsi="Book Antiqua"/>
          <w:sz w:val="20"/>
          <w:szCs w:val="20"/>
        </w:rPr>
        <w:t>n</w:t>
      </w:r>
      <w:r w:rsidR="00C7222A" w:rsidRPr="00D34BE8">
        <w:rPr>
          <w:rFonts w:ascii="Book Antiqua" w:hAnsi="Book Antiqua"/>
          <w:sz w:val="20"/>
          <w:szCs w:val="20"/>
        </w:rPr>
        <w:t xml:space="preserve"> to be effective in predicting HEVs</w:t>
      </w:r>
      <w:r w:rsidR="00C7222A" w:rsidRPr="00D34BE8">
        <w:rPr>
          <w:rFonts w:ascii="Book Antiqua" w:hAnsi="Book Antiqua"/>
          <w:sz w:val="20"/>
          <w:szCs w:val="20"/>
          <w:vertAlign w:val="superscript"/>
        </w:rPr>
        <w:t>[</w:t>
      </w:r>
      <w:r w:rsidR="003234B3" w:rsidRPr="00D34BE8">
        <w:rPr>
          <w:rFonts w:ascii="Book Antiqua" w:hAnsi="Book Antiqua"/>
          <w:sz w:val="20"/>
          <w:szCs w:val="20"/>
          <w:vertAlign w:val="superscript"/>
        </w:rPr>
        <w:t>19</w:t>
      </w:r>
      <w:r w:rsidR="00C7222A" w:rsidRPr="00D34BE8">
        <w:rPr>
          <w:rFonts w:ascii="Book Antiqua" w:hAnsi="Book Antiqua"/>
          <w:sz w:val="20"/>
          <w:szCs w:val="20"/>
          <w:vertAlign w:val="superscript"/>
        </w:rPr>
        <w:t>-2</w:t>
      </w:r>
      <w:r w:rsidR="003234B3" w:rsidRPr="00D34BE8">
        <w:rPr>
          <w:rFonts w:ascii="Book Antiqua" w:hAnsi="Book Antiqua"/>
          <w:sz w:val="20"/>
          <w:szCs w:val="20"/>
          <w:vertAlign w:val="superscript"/>
        </w:rPr>
        <w:t>1</w:t>
      </w:r>
      <w:r w:rsidR="00C7222A" w:rsidRPr="00D34BE8">
        <w:rPr>
          <w:rFonts w:ascii="Book Antiqua" w:hAnsi="Book Antiqua"/>
          <w:sz w:val="20"/>
          <w:szCs w:val="20"/>
          <w:vertAlign w:val="superscript"/>
        </w:rPr>
        <w:t>]</w:t>
      </w:r>
      <w:r w:rsidR="00C7222A" w:rsidRPr="00D34BE8">
        <w:rPr>
          <w:rFonts w:ascii="Book Antiqua" w:hAnsi="Book Antiqua"/>
          <w:sz w:val="20"/>
          <w:szCs w:val="20"/>
        </w:rPr>
        <w:t xml:space="preserve">. </w:t>
      </w:r>
      <w:r w:rsidR="009074BF" w:rsidRPr="00D34BE8">
        <w:rPr>
          <w:rFonts w:ascii="Book Antiqua" w:hAnsi="Book Antiqua"/>
          <w:sz w:val="20"/>
          <w:szCs w:val="20"/>
        </w:rPr>
        <w:t>The l</w:t>
      </w:r>
      <w:r w:rsidR="00C7222A" w:rsidRPr="00D34BE8">
        <w:rPr>
          <w:rFonts w:ascii="Book Antiqua" w:hAnsi="Book Antiqua"/>
          <w:sz w:val="20"/>
          <w:szCs w:val="20"/>
        </w:rPr>
        <w:t xml:space="preserve">iver and spleen volume ratio </w:t>
      </w:r>
      <w:r w:rsidR="009074BF" w:rsidRPr="00D34BE8">
        <w:rPr>
          <w:rFonts w:ascii="Book Antiqua" w:hAnsi="Book Antiqua"/>
          <w:sz w:val="20"/>
          <w:szCs w:val="20"/>
        </w:rPr>
        <w:t>is also</w:t>
      </w:r>
      <w:r w:rsidR="00C7222A" w:rsidRPr="00D34BE8">
        <w:rPr>
          <w:rFonts w:ascii="Book Antiqua" w:hAnsi="Book Antiqua"/>
          <w:sz w:val="20"/>
          <w:szCs w:val="20"/>
        </w:rPr>
        <w:t xml:space="preserve"> an effective index that can be used to establish </w:t>
      </w:r>
      <w:r w:rsidR="009074BF" w:rsidRPr="00D34BE8">
        <w:rPr>
          <w:rFonts w:ascii="Book Antiqua" w:hAnsi="Book Antiqua"/>
          <w:sz w:val="20"/>
          <w:szCs w:val="20"/>
        </w:rPr>
        <w:t xml:space="preserve">a </w:t>
      </w:r>
      <w:r w:rsidR="00C7222A" w:rsidRPr="00D34BE8">
        <w:rPr>
          <w:rFonts w:ascii="Book Antiqua" w:hAnsi="Book Antiqua"/>
          <w:sz w:val="20"/>
          <w:szCs w:val="20"/>
        </w:rPr>
        <w:t>non-invasive model to predict the hepatic vein pressure gradient</w:t>
      </w:r>
      <w:r w:rsidR="00C7222A" w:rsidRPr="00D34BE8">
        <w:rPr>
          <w:rFonts w:ascii="Book Antiqua" w:hAnsi="Book Antiqua"/>
          <w:sz w:val="20"/>
          <w:szCs w:val="20"/>
          <w:vertAlign w:val="superscript"/>
        </w:rPr>
        <w:t>[2</w:t>
      </w:r>
      <w:r w:rsidR="003234B3" w:rsidRPr="00D34BE8">
        <w:rPr>
          <w:rFonts w:ascii="Book Antiqua" w:hAnsi="Book Antiqua"/>
          <w:sz w:val="20"/>
          <w:szCs w:val="20"/>
          <w:vertAlign w:val="superscript"/>
        </w:rPr>
        <w:t>5</w:t>
      </w:r>
      <w:r w:rsidR="00C7222A" w:rsidRPr="00D34BE8">
        <w:rPr>
          <w:rFonts w:ascii="Book Antiqua" w:hAnsi="Book Antiqua"/>
          <w:sz w:val="20"/>
          <w:szCs w:val="20"/>
          <w:vertAlign w:val="superscript"/>
        </w:rPr>
        <w:t>]</w:t>
      </w:r>
      <w:r w:rsidR="00C7222A" w:rsidRPr="00D34BE8">
        <w:rPr>
          <w:rFonts w:ascii="Book Antiqua" w:hAnsi="Book Antiqua"/>
          <w:sz w:val="20"/>
          <w:szCs w:val="20"/>
        </w:rPr>
        <w:t>. Although many studies have reported the formula for calculating liver volume, few have reported its clinical application. Unlike these models, in this study, we used the volume calculation formulas established in previous studies to calculate the standard liver and spleen volumes, and used CT data to calculate the actual liver and spleen volumes. The differences between the calculated volumes and the actual volumes were considered the pathological change. Change rates of volume and other indexes related to liver and spleen volume were adopted to establish the non-invasive model for predicting HEVs. This approach has not been reported.</w:t>
      </w:r>
    </w:p>
    <w:p w:rsidR="0017102F" w:rsidRPr="00D34BE8" w:rsidRDefault="0017102F" w:rsidP="00D34BE8">
      <w:pPr>
        <w:spacing w:after="0" w:line="360" w:lineRule="auto"/>
        <w:jc w:val="both"/>
        <w:rPr>
          <w:rFonts w:ascii="Book Antiqua" w:hAnsi="Book Antiqua"/>
          <w:sz w:val="20"/>
          <w:szCs w:val="20"/>
        </w:rPr>
      </w:pPr>
      <w:r w:rsidRPr="00D34BE8">
        <w:rPr>
          <w:rFonts w:ascii="Book Antiqua" w:hAnsi="Book Antiqua"/>
          <w:sz w:val="20"/>
          <w:szCs w:val="20"/>
        </w:rPr>
        <w:t xml:space="preserve">  </w:t>
      </w:r>
      <w:r w:rsidR="00C7222A" w:rsidRPr="00D34BE8">
        <w:rPr>
          <w:rFonts w:ascii="Book Antiqua" w:hAnsi="Book Antiqua"/>
          <w:sz w:val="20"/>
          <w:szCs w:val="20"/>
        </w:rPr>
        <w:t>We successfully constructed a non-invasive prediction model that can predict HEVs, as follows: ln</w:t>
      </w:r>
      <w:r w:rsidRPr="00D34BE8">
        <w:rPr>
          <w:rFonts w:ascii="Book Antiqua" w:hAnsi="Book Antiqua"/>
          <w:sz w:val="20"/>
          <w:szCs w:val="20"/>
        </w:rPr>
        <w:t xml:space="preserve"> </w:t>
      </w:r>
      <w:r w:rsidR="00C7222A" w:rsidRPr="00D34BE8">
        <w:rPr>
          <w:rFonts w:ascii="Book Antiqua" w:hAnsi="Book Antiqua"/>
          <w:sz w:val="20"/>
          <w:szCs w:val="20"/>
        </w:rPr>
        <w:t>[</w:t>
      </w:r>
      <w:r w:rsidR="00C7222A" w:rsidRPr="00D34BE8">
        <w:rPr>
          <w:rFonts w:ascii="Book Antiqua" w:hAnsi="Book Antiqua"/>
          <w:i/>
          <w:iCs/>
          <w:sz w:val="20"/>
          <w:szCs w:val="20"/>
        </w:rPr>
        <w:t>P</w:t>
      </w:r>
      <w:r w:rsidR="00C7222A" w:rsidRPr="00D34BE8">
        <w:rPr>
          <w:rFonts w:ascii="Book Antiqua" w:hAnsi="Book Antiqua"/>
          <w:sz w:val="20"/>
          <w:szCs w:val="20"/>
        </w:rPr>
        <w:t>/(1</w:t>
      </w:r>
      <w:r w:rsidR="004C23D4" w:rsidRPr="00D34BE8">
        <w:rPr>
          <w:rFonts w:ascii="Book Antiqua" w:hAnsi="Book Antiqua"/>
          <w:sz w:val="20"/>
          <w:szCs w:val="20"/>
        </w:rPr>
        <w:t xml:space="preserve"> </w:t>
      </w:r>
      <w:r w:rsidR="00C7222A" w:rsidRPr="00D34BE8">
        <w:rPr>
          <w:rFonts w:ascii="Book Antiqua" w:hAnsi="Book Antiqua"/>
          <w:sz w:val="20"/>
          <w:szCs w:val="20"/>
        </w:rPr>
        <w:t>-</w:t>
      </w:r>
      <w:r w:rsidR="004C23D4" w:rsidRPr="00D34BE8">
        <w:rPr>
          <w:rFonts w:ascii="Book Antiqua" w:hAnsi="Book Antiqua"/>
          <w:sz w:val="20"/>
          <w:szCs w:val="20"/>
        </w:rPr>
        <w:t xml:space="preserve"> </w:t>
      </w:r>
      <w:r w:rsidR="00C7222A" w:rsidRPr="00D34BE8">
        <w:rPr>
          <w:rFonts w:ascii="Book Antiqua" w:hAnsi="Book Antiqua"/>
          <w:i/>
          <w:iCs/>
          <w:sz w:val="20"/>
          <w:szCs w:val="20"/>
        </w:rPr>
        <w:t>P</w:t>
      </w:r>
      <w:r w:rsidR="00C7222A" w:rsidRPr="00D34BE8">
        <w:rPr>
          <w:rFonts w:ascii="Book Antiqua" w:hAnsi="Book Antiqua"/>
          <w:sz w:val="20"/>
          <w:szCs w:val="20"/>
        </w:rPr>
        <w:t>)] = 8.342 - 2.162</w:t>
      </w:r>
      <w:r w:rsidR="004D3F15" w:rsidRPr="00D34BE8">
        <w:rPr>
          <w:rFonts w:ascii="Book Antiqua" w:hAnsi="Book Antiqua"/>
          <w:sz w:val="20"/>
          <w:szCs w:val="20"/>
        </w:rPr>
        <w:t xml:space="preserve"> </w:t>
      </w:r>
      <w:r w:rsidR="004D3F15" w:rsidRPr="00D34BE8">
        <w:rPr>
          <w:rFonts w:ascii="Book Antiqua" w:hAnsi="Book Antiqua"/>
          <w:bCs/>
          <w:sz w:val="20"/>
          <w:szCs w:val="20"/>
        </w:rPr>
        <w:t>×</w:t>
      </w:r>
      <w:r w:rsidR="00C7222A" w:rsidRPr="00D34BE8">
        <w:rPr>
          <w:rFonts w:ascii="Book Antiqua" w:hAnsi="Book Antiqua"/>
          <w:sz w:val="20"/>
          <w:szCs w:val="20"/>
        </w:rPr>
        <w:t>(CTLV/CTSV) - 0.314</w:t>
      </w:r>
      <w:r w:rsidR="004D3F15" w:rsidRPr="00D34BE8">
        <w:rPr>
          <w:rFonts w:ascii="Book Antiqua" w:hAnsi="Book Antiqua"/>
          <w:sz w:val="20"/>
          <w:szCs w:val="20"/>
        </w:rPr>
        <w:t xml:space="preserve"> </w:t>
      </w:r>
      <w:r w:rsidR="004D3F15" w:rsidRPr="00D34BE8">
        <w:rPr>
          <w:rFonts w:ascii="Book Antiqua" w:hAnsi="Book Antiqua"/>
          <w:bCs/>
          <w:sz w:val="20"/>
          <w:szCs w:val="20"/>
        </w:rPr>
        <w:t xml:space="preserve">× </w:t>
      </w:r>
      <w:r w:rsidR="00C7222A" w:rsidRPr="00D34BE8">
        <w:rPr>
          <w:rFonts w:ascii="Book Antiqua" w:hAnsi="Book Antiqua"/>
          <w:sz w:val="20"/>
          <w:szCs w:val="20"/>
        </w:rPr>
        <w:t>[(CTSV</w:t>
      </w:r>
      <w:r w:rsidR="004C23D4" w:rsidRPr="00D34BE8">
        <w:rPr>
          <w:rFonts w:ascii="Book Antiqua" w:hAnsi="Book Antiqua"/>
          <w:sz w:val="20"/>
          <w:szCs w:val="20"/>
        </w:rPr>
        <w:t xml:space="preserve"> </w:t>
      </w:r>
      <w:r w:rsidR="00C7222A" w:rsidRPr="00D34BE8">
        <w:rPr>
          <w:rFonts w:ascii="Book Antiqua" w:hAnsi="Book Antiqua"/>
          <w:sz w:val="20"/>
          <w:szCs w:val="20"/>
        </w:rPr>
        <w:t>-</w:t>
      </w:r>
      <w:r w:rsidR="004C23D4" w:rsidRPr="00D34BE8">
        <w:rPr>
          <w:rFonts w:ascii="Book Antiqua" w:hAnsi="Book Antiqua"/>
          <w:sz w:val="20"/>
          <w:szCs w:val="20"/>
        </w:rPr>
        <w:t xml:space="preserve"> </w:t>
      </w:r>
      <w:r w:rsidR="00C7222A" w:rsidRPr="00D34BE8">
        <w:rPr>
          <w:rFonts w:ascii="Book Antiqua" w:hAnsi="Book Antiqua"/>
          <w:sz w:val="20"/>
          <w:szCs w:val="20"/>
        </w:rPr>
        <w:t>SSV)/SSV]</w:t>
      </w:r>
      <w:r w:rsidR="004C23D4" w:rsidRPr="00D34BE8">
        <w:rPr>
          <w:rFonts w:ascii="Book Antiqua" w:hAnsi="Book Antiqua"/>
          <w:sz w:val="20"/>
          <w:szCs w:val="20"/>
        </w:rPr>
        <w:t xml:space="preserve"> </w:t>
      </w:r>
      <w:r w:rsidR="00C7222A" w:rsidRPr="00D34BE8">
        <w:rPr>
          <w:rFonts w:ascii="Book Antiqua" w:hAnsi="Book Antiqua"/>
          <w:sz w:val="20"/>
          <w:szCs w:val="20"/>
        </w:rPr>
        <w:t>- 0.07</w:t>
      </w:r>
      <w:r w:rsidR="004D3F15" w:rsidRPr="00D34BE8">
        <w:rPr>
          <w:rFonts w:ascii="Book Antiqua" w:hAnsi="Book Antiqua"/>
          <w:sz w:val="20"/>
          <w:szCs w:val="20"/>
        </w:rPr>
        <w:t xml:space="preserve"> </w:t>
      </w:r>
      <w:r w:rsidR="004D3F15" w:rsidRPr="00D34BE8">
        <w:rPr>
          <w:rFonts w:ascii="Book Antiqua" w:hAnsi="Book Antiqua"/>
          <w:bCs/>
          <w:sz w:val="20"/>
          <w:szCs w:val="20"/>
        </w:rPr>
        <w:t xml:space="preserve">× </w:t>
      </w:r>
      <w:r w:rsidR="00C7222A" w:rsidRPr="00D34BE8">
        <w:rPr>
          <w:rFonts w:ascii="Book Antiqua" w:hAnsi="Book Antiqua"/>
          <w:sz w:val="20"/>
          <w:szCs w:val="20"/>
        </w:rPr>
        <w:t xml:space="preserve">AST. We selected the cutoff value, the point at which the sum of sensitivity and specificity was largest, as the optimal cutoff value, which was </w:t>
      </w:r>
      <w:r w:rsidR="00C7222A" w:rsidRPr="00D34BE8">
        <w:rPr>
          <w:rFonts w:ascii="Book Antiqua" w:eastAsia="宋体" w:hAnsi="Book Antiqua"/>
          <w:sz w:val="20"/>
          <w:szCs w:val="20"/>
        </w:rPr>
        <w:t>0.571</w:t>
      </w:r>
      <w:r w:rsidR="00C7222A" w:rsidRPr="00D34BE8">
        <w:rPr>
          <w:rFonts w:ascii="Book Antiqua" w:hAnsi="Book Antiqua"/>
          <w:sz w:val="20"/>
          <w:szCs w:val="20"/>
        </w:rPr>
        <w:t xml:space="preserve">. When the value of P in the model </w:t>
      </w:r>
      <w:r w:rsidR="0035053D" w:rsidRPr="00D34BE8">
        <w:rPr>
          <w:rFonts w:ascii="Book Antiqua" w:hAnsi="Book Antiqua"/>
          <w:sz w:val="20"/>
          <w:szCs w:val="20"/>
        </w:rPr>
        <w:t>was</w:t>
      </w:r>
      <w:r w:rsidR="00C7222A" w:rsidRPr="00D34BE8">
        <w:rPr>
          <w:rFonts w:ascii="Book Antiqua" w:hAnsi="Book Antiqua"/>
          <w:sz w:val="20"/>
          <w:szCs w:val="20"/>
        </w:rPr>
        <w:t xml:space="preserve"> higher than the optimal value, HEVs </w:t>
      </w:r>
      <w:r w:rsidR="0035053D" w:rsidRPr="00D34BE8">
        <w:rPr>
          <w:rFonts w:ascii="Book Antiqua" w:hAnsi="Book Antiqua"/>
          <w:sz w:val="20"/>
          <w:szCs w:val="20"/>
        </w:rPr>
        <w:t xml:space="preserve">were </w:t>
      </w:r>
      <w:r w:rsidR="00C7222A" w:rsidRPr="00D34BE8">
        <w:rPr>
          <w:rFonts w:ascii="Book Antiqua" w:hAnsi="Book Antiqua"/>
          <w:sz w:val="20"/>
          <w:szCs w:val="20"/>
        </w:rPr>
        <w:t xml:space="preserve">considered </w:t>
      </w:r>
      <w:r w:rsidR="0035053D" w:rsidRPr="00D34BE8">
        <w:rPr>
          <w:rFonts w:ascii="Book Antiqua" w:hAnsi="Book Antiqua"/>
          <w:sz w:val="20"/>
          <w:szCs w:val="20"/>
        </w:rPr>
        <w:t>present</w:t>
      </w:r>
      <w:r w:rsidR="00C7222A" w:rsidRPr="00D34BE8">
        <w:rPr>
          <w:rFonts w:ascii="Book Antiqua" w:hAnsi="Book Antiqua"/>
          <w:sz w:val="20"/>
          <w:szCs w:val="20"/>
        </w:rPr>
        <w:t>. In validation of the new model, we compared AUC, sensitivity, specificity, Youden</w:t>
      </w:r>
      <w:r w:rsidR="00B664F2">
        <w:rPr>
          <w:rFonts w:ascii="Book Antiqua" w:hAnsi="Book Antiqua"/>
          <w:sz w:val="20"/>
          <w:szCs w:val="20"/>
        </w:rPr>
        <w:t>’s</w:t>
      </w:r>
      <w:r w:rsidR="00C7222A" w:rsidRPr="00D34BE8">
        <w:rPr>
          <w:rFonts w:ascii="Book Antiqua" w:hAnsi="Book Antiqua"/>
          <w:sz w:val="20"/>
          <w:szCs w:val="20"/>
        </w:rPr>
        <w:t xml:space="preserve"> index, accuracy, positive predictive value, and negative predictive value of the new model with those of LSPS, VRI, APRI</w:t>
      </w:r>
      <w:r w:rsidR="0035053D" w:rsidRPr="00D34BE8">
        <w:rPr>
          <w:rFonts w:ascii="Book Antiqua" w:hAnsi="Book Antiqua"/>
          <w:sz w:val="20"/>
          <w:szCs w:val="20"/>
        </w:rPr>
        <w:t>,</w:t>
      </w:r>
      <w:r w:rsidR="00C7222A" w:rsidRPr="00D34BE8">
        <w:rPr>
          <w:rFonts w:ascii="Book Antiqua" w:hAnsi="Book Antiqua"/>
          <w:sz w:val="20"/>
          <w:szCs w:val="20"/>
        </w:rPr>
        <w:t xml:space="preserve"> and AAR in 86 cirrhosis patients with EVs. The new model ha</w:t>
      </w:r>
      <w:r w:rsidR="0035053D" w:rsidRPr="00D34BE8">
        <w:rPr>
          <w:rFonts w:ascii="Book Antiqua" w:hAnsi="Book Antiqua"/>
          <w:sz w:val="20"/>
          <w:szCs w:val="20"/>
        </w:rPr>
        <w:t>d</w:t>
      </w:r>
      <w:r w:rsidR="00C7222A" w:rsidRPr="00D34BE8">
        <w:rPr>
          <w:rFonts w:ascii="Book Antiqua" w:hAnsi="Book Antiqua"/>
          <w:sz w:val="20"/>
          <w:szCs w:val="20"/>
        </w:rPr>
        <w:t xml:space="preserve"> an AUC of 0.865, a Youden</w:t>
      </w:r>
      <w:r w:rsidR="00B664F2">
        <w:rPr>
          <w:rFonts w:ascii="Book Antiqua" w:hAnsi="Book Antiqua"/>
          <w:sz w:val="20"/>
          <w:szCs w:val="20"/>
        </w:rPr>
        <w:t>’s</w:t>
      </w:r>
      <w:r w:rsidR="00C7222A" w:rsidRPr="00D34BE8">
        <w:rPr>
          <w:rFonts w:ascii="Book Antiqua" w:hAnsi="Book Antiqua"/>
          <w:sz w:val="20"/>
          <w:szCs w:val="20"/>
        </w:rPr>
        <w:t xml:space="preserve"> index of 0.71, an accuracy of 84.9%, and a positive predictive value of 96.4%. The results obtained from the new model were better than those obtained from LSPS, VRI, APRI</w:t>
      </w:r>
      <w:r w:rsidR="0035053D" w:rsidRPr="00D34BE8">
        <w:rPr>
          <w:rFonts w:ascii="Book Antiqua" w:hAnsi="Book Antiqua"/>
          <w:sz w:val="20"/>
          <w:szCs w:val="20"/>
        </w:rPr>
        <w:t>,</w:t>
      </w:r>
      <w:r w:rsidR="00C7222A" w:rsidRPr="00D34BE8">
        <w:rPr>
          <w:rFonts w:ascii="Book Antiqua" w:hAnsi="Book Antiqua"/>
          <w:sz w:val="20"/>
          <w:szCs w:val="20"/>
        </w:rPr>
        <w:t xml:space="preserve"> and AAR. High AUC (</w:t>
      </w:r>
      <w:r w:rsidRPr="00D34BE8">
        <w:rPr>
          <w:rFonts w:ascii="Book Antiqua" w:hAnsi="Book Antiqua"/>
          <w:sz w:val="20"/>
          <w:szCs w:val="20"/>
        </w:rPr>
        <w:t xml:space="preserve">&gt; </w:t>
      </w:r>
      <w:r w:rsidR="00C7222A" w:rsidRPr="00D34BE8">
        <w:rPr>
          <w:rFonts w:ascii="Book Antiqua" w:hAnsi="Book Antiqua"/>
          <w:sz w:val="20"/>
          <w:szCs w:val="20"/>
        </w:rPr>
        <w:t>0.7) and Youde</w:t>
      </w:r>
      <w:r w:rsidR="005678A3">
        <w:rPr>
          <w:rFonts w:ascii="Book Antiqua" w:hAnsi="Book Antiqua"/>
          <w:sz w:val="20"/>
          <w:szCs w:val="20"/>
        </w:rPr>
        <w:t>n</w:t>
      </w:r>
      <w:r w:rsidR="00B664F2">
        <w:rPr>
          <w:rFonts w:ascii="Book Antiqua" w:hAnsi="Book Antiqua"/>
          <w:sz w:val="20"/>
          <w:szCs w:val="20"/>
        </w:rPr>
        <w:t>’s</w:t>
      </w:r>
      <w:r w:rsidR="00C7222A" w:rsidRPr="00D34BE8">
        <w:rPr>
          <w:rFonts w:ascii="Book Antiqua" w:hAnsi="Book Antiqua"/>
          <w:sz w:val="20"/>
          <w:szCs w:val="20"/>
        </w:rPr>
        <w:t xml:space="preserve"> index indicate</w:t>
      </w:r>
      <w:r w:rsidR="0035053D" w:rsidRPr="00D34BE8">
        <w:rPr>
          <w:rFonts w:ascii="Book Antiqua" w:hAnsi="Book Antiqua"/>
          <w:sz w:val="20"/>
          <w:szCs w:val="20"/>
        </w:rPr>
        <w:t>d</w:t>
      </w:r>
      <w:r w:rsidR="00C7222A" w:rsidRPr="00D34BE8">
        <w:rPr>
          <w:rFonts w:ascii="Book Antiqua" w:hAnsi="Book Antiqua"/>
          <w:sz w:val="20"/>
          <w:szCs w:val="20"/>
        </w:rPr>
        <w:t xml:space="preserve"> that the model can accurately predict HEVs. The positive predictive value </w:t>
      </w:r>
      <w:r w:rsidR="0082692D" w:rsidRPr="00D34BE8">
        <w:rPr>
          <w:rFonts w:ascii="Book Antiqua" w:hAnsi="Book Antiqua"/>
          <w:sz w:val="20"/>
          <w:szCs w:val="20"/>
        </w:rPr>
        <w:t>was</w:t>
      </w:r>
      <w:r w:rsidR="00C7222A" w:rsidRPr="00D34BE8">
        <w:rPr>
          <w:rFonts w:ascii="Book Antiqua" w:hAnsi="Book Antiqua"/>
          <w:sz w:val="20"/>
          <w:szCs w:val="20"/>
        </w:rPr>
        <w:t xml:space="preserve"> an important index that reflect</w:t>
      </w:r>
      <w:r w:rsidR="0082692D" w:rsidRPr="00D34BE8">
        <w:rPr>
          <w:rFonts w:ascii="Book Antiqua" w:hAnsi="Book Antiqua"/>
          <w:sz w:val="20"/>
          <w:szCs w:val="20"/>
        </w:rPr>
        <w:t>ed</w:t>
      </w:r>
      <w:r w:rsidR="00C7222A" w:rsidRPr="00D34BE8">
        <w:rPr>
          <w:rFonts w:ascii="Book Antiqua" w:hAnsi="Book Antiqua"/>
          <w:sz w:val="20"/>
          <w:szCs w:val="20"/>
        </w:rPr>
        <w:t xml:space="preserve"> the model’s ability to make a positive diagnosis of HEVs, which </w:t>
      </w:r>
      <w:r w:rsidR="0082692D" w:rsidRPr="00D34BE8">
        <w:rPr>
          <w:rFonts w:ascii="Book Antiqua" w:hAnsi="Book Antiqua"/>
          <w:sz w:val="20"/>
          <w:szCs w:val="20"/>
        </w:rPr>
        <w:t>was</w:t>
      </w:r>
      <w:r w:rsidR="00C7222A" w:rsidRPr="00D34BE8">
        <w:rPr>
          <w:rFonts w:ascii="Book Antiqua" w:hAnsi="Book Antiqua"/>
          <w:sz w:val="20"/>
          <w:szCs w:val="20"/>
        </w:rPr>
        <w:t xml:space="preserve"> the primary aim of this research: the higher the positive predictive value, the greater the probability of a positive diagnosis. In sum</w:t>
      </w:r>
      <w:r w:rsidR="0082692D" w:rsidRPr="00D34BE8">
        <w:rPr>
          <w:rFonts w:ascii="Book Antiqua" w:hAnsi="Book Antiqua"/>
          <w:sz w:val="20"/>
          <w:szCs w:val="20"/>
        </w:rPr>
        <w:t>mary</w:t>
      </w:r>
      <w:r w:rsidR="00C7222A" w:rsidRPr="00D34BE8">
        <w:rPr>
          <w:rFonts w:ascii="Book Antiqua" w:hAnsi="Book Antiqua"/>
          <w:sz w:val="20"/>
          <w:szCs w:val="20"/>
        </w:rPr>
        <w:t xml:space="preserve">, we conclude that the new model can better predict HEVs compared to other previously reported models. </w:t>
      </w:r>
    </w:p>
    <w:p w:rsidR="00C7222A" w:rsidRPr="00D34BE8" w:rsidRDefault="0017102F" w:rsidP="00D34BE8">
      <w:pPr>
        <w:spacing w:after="0" w:line="360" w:lineRule="auto"/>
        <w:jc w:val="both"/>
        <w:rPr>
          <w:rFonts w:ascii="Book Antiqua" w:hAnsi="Book Antiqua"/>
          <w:sz w:val="20"/>
          <w:szCs w:val="20"/>
        </w:rPr>
      </w:pPr>
      <w:r w:rsidRPr="00D34BE8">
        <w:rPr>
          <w:rFonts w:ascii="Book Antiqua" w:hAnsi="Book Antiqua"/>
          <w:sz w:val="20"/>
          <w:szCs w:val="20"/>
        </w:rPr>
        <w:t xml:space="preserve">  </w:t>
      </w:r>
      <w:r w:rsidR="00C7222A" w:rsidRPr="00D34BE8">
        <w:rPr>
          <w:rFonts w:ascii="Book Antiqua" w:hAnsi="Book Antiqua"/>
          <w:sz w:val="20"/>
          <w:szCs w:val="20"/>
        </w:rPr>
        <w:t>We further evaluated the discriminating ability, calibration ability</w:t>
      </w:r>
      <w:r w:rsidR="0082692D" w:rsidRPr="00D34BE8">
        <w:rPr>
          <w:rFonts w:ascii="Book Antiqua" w:hAnsi="Book Antiqua"/>
          <w:sz w:val="20"/>
          <w:szCs w:val="20"/>
        </w:rPr>
        <w:t>,</w:t>
      </w:r>
      <w:r w:rsidR="00C7222A" w:rsidRPr="00D34BE8">
        <w:rPr>
          <w:rFonts w:ascii="Book Antiqua" w:hAnsi="Book Antiqua"/>
          <w:sz w:val="20"/>
          <w:szCs w:val="20"/>
        </w:rPr>
        <w:t xml:space="preserve"> and clinical efficacy of the new model in predicting HEVs in both the modeling group and the external validation group. </w:t>
      </w:r>
      <w:bookmarkStart w:id="33" w:name="_Hlk28076958"/>
      <w:r w:rsidR="00C7222A" w:rsidRPr="00D34BE8">
        <w:rPr>
          <w:rFonts w:ascii="Book Antiqua" w:hAnsi="Book Antiqua"/>
          <w:sz w:val="20"/>
          <w:szCs w:val="20"/>
        </w:rPr>
        <w:t>The discriminating ability of the model was determined based on the AUC of ROC curve. According to the results, the AUC of the model was higher than 0.8 in the two groups, indicating that the model ha</w:t>
      </w:r>
      <w:r w:rsidR="0082692D" w:rsidRPr="00D34BE8">
        <w:rPr>
          <w:rFonts w:ascii="Book Antiqua" w:hAnsi="Book Antiqua"/>
          <w:sz w:val="20"/>
          <w:szCs w:val="20"/>
        </w:rPr>
        <w:t xml:space="preserve">d </w:t>
      </w:r>
      <w:r w:rsidR="00C7222A" w:rsidRPr="00D34BE8">
        <w:rPr>
          <w:rFonts w:ascii="Book Antiqua" w:hAnsi="Book Antiqua"/>
          <w:sz w:val="20"/>
          <w:szCs w:val="20"/>
        </w:rPr>
        <w:t xml:space="preserve">good discrimination ability </w:t>
      </w:r>
      <w:r w:rsidRPr="00D34BE8">
        <w:rPr>
          <w:rFonts w:ascii="Book Antiqua" w:hAnsi="Book Antiqua"/>
          <w:sz w:val="20"/>
          <w:szCs w:val="20"/>
        </w:rPr>
        <w:t>(</w:t>
      </w:r>
      <w:r w:rsidR="00C7222A" w:rsidRPr="00D34BE8">
        <w:rPr>
          <w:rFonts w:ascii="Book Antiqua" w:hAnsi="Book Antiqua"/>
          <w:sz w:val="20"/>
          <w:szCs w:val="20"/>
        </w:rPr>
        <w:t>the AUC between 0.7 to 0.9 indicate</w:t>
      </w:r>
      <w:r w:rsidR="0082692D" w:rsidRPr="00D34BE8">
        <w:rPr>
          <w:rFonts w:ascii="Book Antiqua" w:hAnsi="Book Antiqua"/>
          <w:sz w:val="20"/>
          <w:szCs w:val="20"/>
        </w:rPr>
        <w:t>d</w:t>
      </w:r>
      <w:r w:rsidR="00C7222A" w:rsidRPr="00D34BE8">
        <w:rPr>
          <w:rFonts w:ascii="Book Antiqua" w:hAnsi="Book Antiqua"/>
          <w:sz w:val="20"/>
          <w:szCs w:val="20"/>
        </w:rPr>
        <w:t xml:space="preserve"> that the model ha</w:t>
      </w:r>
      <w:r w:rsidR="0082692D" w:rsidRPr="00D34BE8">
        <w:rPr>
          <w:rFonts w:ascii="Book Antiqua" w:hAnsi="Book Antiqua"/>
          <w:sz w:val="20"/>
          <w:szCs w:val="20"/>
        </w:rPr>
        <w:t>d</w:t>
      </w:r>
      <w:r w:rsidR="00C7222A" w:rsidRPr="00D34BE8">
        <w:rPr>
          <w:rFonts w:ascii="Book Antiqua" w:hAnsi="Book Antiqua"/>
          <w:sz w:val="20"/>
          <w:szCs w:val="20"/>
        </w:rPr>
        <w:t xml:space="preserve"> good discrimination ability</w:t>
      </w:r>
      <w:r w:rsidRPr="00D34BE8">
        <w:rPr>
          <w:rFonts w:ascii="Book Antiqua" w:hAnsi="Book Antiqua"/>
          <w:sz w:val="20"/>
          <w:szCs w:val="20"/>
        </w:rPr>
        <w:t>)</w:t>
      </w:r>
      <w:r w:rsidR="00C7222A" w:rsidRPr="00D34BE8">
        <w:rPr>
          <w:rFonts w:ascii="Book Antiqua" w:hAnsi="Book Antiqua"/>
          <w:sz w:val="20"/>
          <w:szCs w:val="20"/>
        </w:rPr>
        <w:t>.</w:t>
      </w:r>
      <w:bookmarkEnd w:id="33"/>
      <w:r w:rsidR="00C7222A" w:rsidRPr="00D34BE8">
        <w:rPr>
          <w:rStyle w:val="a3"/>
          <w:rFonts w:ascii="Book Antiqua" w:hAnsi="Book Antiqua"/>
          <w:sz w:val="20"/>
          <w:szCs w:val="20"/>
        </w:rPr>
        <w:t xml:space="preserve"> </w:t>
      </w:r>
      <w:r w:rsidR="00C7222A" w:rsidRPr="00D34BE8">
        <w:rPr>
          <w:rFonts w:ascii="Book Antiqua" w:hAnsi="Book Antiqua"/>
          <w:sz w:val="20"/>
          <w:szCs w:val="20"/>
        </w:rPr>
        <w:t xml:space="preserve">The calibration ability of the model was analyzed by the Hosmer-Lemeshow test and the calibration scatter plot. In prediction of patients in both groups, the </w:t>
      </w:r>
      <w:r w:rsidRPr="00D34BE8">
        <w:rPr>
          <w:rFonts w:ascii="Book Antiqua" w:hAnsi="Book Antiqua"/>
          <w:i/>
          <w:iCs/>
          <w:sz w:val="20"/>
          <w:szCs w:val="20"/>
        </w:rPr>
        <w:t>P</w:t>
      </w:r>
      <w:r w:rsidRPr="00D34BE8">
        <w:rPr>
          <w:rFonts w:ascii="Book Antiqua" w:hAnsi="Book Antiqua"/>
          <w:sz w:val="20"/>
          <w:szCs w:val="20"/>
        </w:rPr>
        <w:t xml:space="preserve"> </w:t>
      </w:r>
      <w:r w:rsidR="00C7222A" w:rsidRPr="00D34BE8">
        <w:rPr>
          <w:rFonts w:ascii="Book Antiqua" w:hAnsi="Book Antiqua"/>
          <w:sz w:val="20"/>
          <w:szCs w:val="20"/>
        </w:rPr>
        <w:t>values of the model were higher than 0.05, and the scattered points fluctuated around the reference line without significant deviation, indicating that the model ha</w:t>
      </w:r>
      <w:r w:rsidR="0082692D" w:rsidRPr="00D34BE8">
        <w:rPr>
          <w:rFonts w:ascii="Book Antiqua" w:hAnsi="Book Antiqua"/>
          <w:sz w:val="20"/>
          <w:szCs w:val="20"/>
        </w:rPr>
        <w:t xml:space="preserve">d </w:t>
      </w:r>
      <w:r w:rsidR="00C7222A" w:rsidRPr="00D34BE8">
        <w:rPr>
          <w:rFonts w:ascii="Book Antiqua" w:hAnsi="Book Antiqua"/>
          <w:sz w:val="20"/>
          <w:szCs w:val="20"/>
        </w:rPr>
        <w:t>good calibration ability. The DCA can be used to evaluate the clinical efficacy of the model</w:t>
      </w:r>
      <w:r w:rsidR="00C7222A" w:rsidRPr="00D34BE8">
        <w:rPr>
          <w:rFonts w:ascii="Book Antiqua" w:hAnsi="Book Antiqua"/>
          <w:sz w:val="20"/>
          <w:szCs w:val="20"/>
          <w:vertAlign w:val="superscript"/>
        </w:rPr>
        <w:t>[2</w:t>
      </w:r>
      <w:r w:rsidR="003234B3" w:rsidRPr="00D34BE8">
        <w:rPr>
          <w:rFonts w:ascii="Book Antiqua" w:hAnsi="Book Antiqua"/>
          <w:sz w:val="20"/>
          <w:szCs w:val="20"/>
          <w:vertAlign w:val="superscript"/>
        </w:rPr>
        <w:t>6</w:t>
      </w:r>
      <w:r w:rsidR="00C7222A" w:rsidRPr="00D34BE8">
        <w:rPr>
          <w:rFonts w:ascii="Book Antiqua" w:hAnsi="Book Antiqua"/>
          <w:sz w:val="20"/>
          <w:szCs w:val="20"/>
          <w:vertAlign w:val="superscript"/>
        </w:rPr>
        <w:t>,2</w:t>
      </w:r>
      <w:r w:rsidR="003234B3" w:rsidRPr="00D34BE8">
        <w:rPr>
          <w:rFonts w:ascii="Book Antiqua" w:hAnsi="Book Antiqua"/>
          <w:sz w:val="20"/>
          <w:szCs w:val="20"/>
          <w:vertAlign w:val="superscript"/>
        </w:rPr>
        <w:t>7</w:t>
      </w:r>
      <w:r w:rsidR="00C7222A" w:rsidRPr="00D34BE8">
        <w:rPr>
          <w:rFonts w:ascii="Book Antiqua" w:hAnsi="Book Antiqua"/>
          <w:sz w:val="20"/>
          <w:szCs w:val="20"/>
          <w:vertAlign w:val="superscript"/>
        </w:rPr>
        <w:t>]</w:t>
      </w:r>
      <w:r w:rsidR="00C7222A" w:rsidRPr="00D34BE8">
        <w:rPr>
          <w:rFonts w:ascii="Book Antiqua" w:hAnsi="Book Antiqua"/>
          <w:sz w:val="20"/>
          <w:szCs w:val="20"/>
        </w:rPr>
        <w:t xml:space="preserve">: </w:t>
      </w:r>
      <w:r w:rsidRPr="00D34BE8">
        <w:rPr>
          <w:rFonts w:ascii="Book Antiqua" w:hAnsi="Book Antiqua"/>
          <w:sz w:val="20"/>
          <w:szCs w:val="20"/>
        </w:rPr>
        <w:t xml:space="preserve">The </w:t>
      </w:r>
      <w:r w:rsidR="00C7222A" w:rsidRPr="00D34BE8">
        <w:rPr>
          <w:rFonts w:ascii="Book Antiqua" w:hAnsi="Book Antiqua"/>
          <w:sz w:val="20"/>
          <w:szCs w:val="20"/>
        </w:rPr>
        <w:t xml:space="preserve">model </w:t>
      </w:r>
      <w:r w:rsidR="0082692D" w:rsidRPr="00D34BE8">
        <w:rPr>
          <w:rFonts w:ascii="Book Antiqua" w:hAnsi="Book Antiqua"/>
          <w:sz w:val="20"/>
          <w:szCs w:val="20"/>
        </w:rPr>
        <w:t>was</w:t>
      </w:r>
      <w:r w:rsidR="00C7222A" w:rsidRPr="00D34BE8">
        <w:rPr>
          <w:rFonts w:ascii="Book Antiqua" w:hAnsi="Book Antiqua"/>
          <w:sz w:val="20"/>
          <w:szCs w:val="20"/>
        </w:rPr>
        <w:t xml:space="preserve"> considered </w:t>
      </w:r>
      <w:r w:rsidR="0082692D" w:rsidRPr="00D34BE8">
        <w:rPr>
          <w:rFonts w:ascii="Book Antiqua" w:hAnsi="Book Antiqua"/>
          <w:sz w:val="20"/>
          <w:szCs w:val="20"/>
        </w:rPr>
        <w:t xml:space="preserve">to </w:t>
      </w:r>
      <w:r w:rsidR="00C7222A" w:rsidRPr="00D34BE8">
        <w:rPr>
          <w:rFonts w:ascii="Book Antiqua" w:hAnsi="Book Antiqua"/>
          <w:sz w:val="20"/>
          <w:szCs w:val="20"/>
        </w:rPr>
        <w:t>hav</w:t>
      </w:r>
      <w:r w:rsidR="0082692D" w:rsidRPr="00D34BE8">
        <w:rPr>
          <w:rFonts w:ascii="Book Antiqua" w:hAnsi="Book Antiqua"/>
          <w:sz w:val="20"/>
          <w:szCs w:val="20"/>
        </w:rPr>
        <w:t>e</w:t>
      </w:r>
      <w:r w:rsidR="00C7222A" w:rsidRPr="00D34BE8">
        <w:rPr>
          <w:rFonts w:ascii="Book Antiqua" w:hAnsi="Book Antiqua"/>
          <w:sz w:val="20"/>
          <w:szCs w:val="20"/>
        </w:rPr>
        <w:t xml:space="preserve"> clinical efficacy only when its DCA </w:t>
      </w:r>
      <w:r w:rsidR="0082692D" w:rsidRPr="00D34BE8">
        <w:rPr>
          <w:rFonts w:ascii="Book Antiqua" w:hAnsi="Book Antiqua"/>
          <w:sz w:val="20"/>
          <w:szCs w:val="20"/>
        </w:rPr>
        <w:t>was</w:t>
      </w:r>
      <w:r w:rsidR="00C7222A" w:rsidRPr="00D34BE8">
        <w:rPr>
          <w:rFonts w:ascii="Book Antiqua" w:hAnsi="Book Antiqua"/>
          <w:sz w:val="20"/>
          <w:szCs w:val="20"/>
        </w:rPr>
        <w:t xml:space="preserve"> higher than the extreme line. According to the DCA figures, the DCA of the new model was higher than the extreme line, indicating that the new model ha</w:t>
      </w:r>
      <w:r w:rsidR="0082692D" w:rsidRPr="00D34BE8">
        <w:rPr>
          <w:rFonts w:ascii="Book Antiqua" w:hAnsi="Book Antiqua"/>
          <w:sz w:val="20"/>
          <w:szCs w:val="20"/>
        </w:rPr>
        <w:t>d</w:t>
      </w:r>
      <w:r w:rsidR="00C7222A" w:rsidRPr="00D34BE8">
        <w:rPr>
          <w:rFonts w:ascii="Book Antiqua" w:hAnsi="Book Antiqua"/>
          <w:sz w:val="20"/>
          <w:szCs w:val="20"/>
        </w:rPr>
        <w:t xml:space="preserve"> good clinical efficacy. Therefore, the new model can accurately predict HEVs and has clinical application value.</w:t>
      </w:r>
    </w:p>
    <w:p w:rsidR="00C7222A" w:rsidRPr="00D34BE8" w:rsidRDefault="0017102F" w:rsidP="00D34BE8">
      <w:pPr>
        <w:spacing w:after="0" w:line="360" w:lineRule="auto"/>
        <w:jc w:val="both"/>
        <w:rPr>
          <w:rFonts w:ascii="Book Antiqua" w:hAnsi="Book Antiqua"/>
          <w:sz w:val="20"/>
          <w:szCs w:val="20"/>
        </w:rPr>
      </w:pPr>
      <w:r w:rsidRPr="00D34BE8">
        <w:rPr>
          <w:rFonts w:ascii="Book Antiqua" w:hAnsi="Book Antiqua"/>
          <w:sz w:val="20"/>
          <w:szCs w:val="20"/>
        </w:rPr>
        <w:t xml:space="preserve">  </w:t>
      </w:r>
      <w:r w:rsidR="00C7222A" w:rsidRPr="00D34BE8">
        <w:rPr>
          <w:rFonts w:ascii="Book Antiqua" w:hAnsi="Book Antiqua"/>
          <w:sz w:val="20"/>
          <w:szCs w:val="20"/>
        </w:rPr>
        <w:t>Taken together, we successfully developed a non-invasive predictive model that can predict HEVs in patients with viral cirrhosis using the liver and spleen volume calculation formulas, which has not been reported. The model was compared with other previous models including LSPS, VRI, APRI and AAR. Comparisons of AUC of ROC curve, sensitivity, specificity, accuracy, positive predictive value, and negative predictive value of each model showed that the established non-invasive prediction model better identif</w:t>
      </w:r>
      <w:r w:rsidR="0082692D" w:rsidRPr="00D34BE8">
        <w:rPr>
          <w:rFonts w:ascii="Book Antiqua" w:hAnsi="Book Antiqua"/>
          <w:sz w:val="20"/>
          <w:szCs w:val="20"/>
        </w:rPr>
        <w:t>ied</w:t>
      </w:r>
      <w:r w:rsidR="00C7222A" w:rsidRPr="00D34BE8">
        <w:rPr>
          <w:rFonts w:ascii="Book Antiqua" w:hAnsi="Book Antiqua"/>
          <w:sz w:val="20"/>
          <w:szCs w:val="20"/>
        </w:rPr>
        <w:t xml:space="preserve"> patients with HEVs than other models. Evaluation of the new model showed that it had high discriminative ability, calibration ability, and clinical efficacy. Moreover, the subjects included in this study were patients with viral cirrhosis; this can minimize the bias of the results while provid</w:t>
      </w:r>
      <w:r w:rsidR="0082692D" w:rsidRPr="00D34BE8">
        <w:rPr>
          <w:rFonts w:ascii="Book Antiqua" w:hAnsi="Book Antiqua"/>
          <w:sz w:val="20"/>
          <w:szCs w:val="20"/>
        </w:rPr>
        <w:t>ing</w:t>
      </w:r>
      <w:r w:rsidR="00C7222A" w:rsidRPr="00D34BE8">
        <w:rPr>
          <w:rFonts w:ascii="Book Antiqua" w:hAnsi="Book Antiqua"/>
          <w:sz w:val="20"/>
          <w:szCs w:val="20"/>
        </w:rPr>
        <w:t xml:space="preserve"> good consistency. This research </w:t>
      </w:r>
      <w:r w:rsidR="00007AA3" w:rsidRPr="00D34BE8">
        <w:rPr>
          <w:rFonts w:ascii="Book Antiqua" w:hAnsi="Book Antiqua"/>
          <w:sz w:val="20"/>
          <w:szCs w:val="20"/>
        </w:rPr>
        <w:t>had</w:t>
      </w:r>
      <w:r w:rsidR="00C7222A" w:rsidRPr="00D34BE8">
        <w:rPr>
          <w:rFonts w:ascii="Book Antiqua" w:hAnsi="Book Antiqua"/>
          <w:sz w:val="20"/>
          <w:szCs w:val="20"/>
        </w:rPr>
        <w:t xml:space="preserve"> some limitations, such as the </w:t>
      </w:r>
      <w:r w:rsidR="00007AA3" w:rsidRPr="00D34BE8">
        <w:rPr>
          <w:rFonts w:ascii="Book Antiqua" w:hAnsi="Book Antiqua"/>
          <w:sz w:val="20"/>
          <w:szCs w:val="20"/>
        </w:rPr>
        <w:t xml:space="preserve">small </w:t>
      </w:r>
      <w:r w:rsidR="00C7222A" w:rsidRPr="00D34BE8">
        <w:rPr>
          <w:rFonts w:ascii="Book Antiqua" w:hAnsi="Book Antiqua"/>
          <w:sz w:val="20"/>
          <w:szCs w:val="20"/>
        </w:rPr>
        <w:t>sample size</w:t>
      </w:r>
      <w:r w:rsidR="00007AA3" w:rsidRPr="00D34BE8">
        <w:rPr>
          <w:rFonts w:ascii="Book Antiqua" w:hAnsi="Book Antiqua"/>
          <w:sz w:val="20"/>
          <w:szCs w:val="20"/>
        </w:rPr>
        <w:t>. In addition,</w:t>
      </w:r>
      <w:r w:rsidR="00C7222A" w:rsidRPr="00D34BE8">
        <w:rPr>
          <w:rFonts w:ascii="Book Antiqua" w:hAnsi="Book Antiqua"/>
          <w:sz w:val="20"/>
          <w:szCs w:val="20"/>
        </w:rPr>
        <w:t xml:space="preserve"> the application of the model relied </w:t>
      </w:r>
      <w:r w:rsidR="00007AA3" w:rsidRPr="00D34BE8">
        <w:rPr>
          <w:rFonts w:ascii="Book Antiqua" w:hAnsi="Book Antiqua"/>
          <w:sz w:val="20"/>
          <w:szCs w:val="20"/>
        </w:rPr>
        <w:t xml:space="preserve">only </w:t>
      </w:r>
      <w:r w:rsidR="00C7222A" w:rsidRPr="00D34BE8">
        <w:rPr>
          <w:rFonts w:ascii="Book Antiqua" w:hAnsi="Book Antiqua"/>
          <w:sz w:val="20"/>
          <w:szCs w:val="20"/>
        </w:rPr>
        <w:t xml:space="preserve">on CT, a technique that </w:t>
      </w:r>
      <w:r w:rsidR="00007AA3" w:rsidRPr="00D34BE8">
        <w:rPr>
          <w:rFonts w:ascii="Book Antiqua" w:hAnsi="Book Antiqua"/>
          <w:sz w:val="20"/>
          <w:szCs w:val="20"/>
        </w:rPr>
        <w:t xml:space="preserve">can </w:t>
      </w:r>
      <w:r w:rsidR="00C7222A" w:rsidRPr="00D34BE8">
        <w:rPr>
          <w:rFonts w:ascii="Book Antiqua" w:hAnsi="Book Antiqua"/>
          <w:sz w:val="20"/>
          <w:szCs w:val="20"/>
        </w:rPr>
        <w:t xml:space="preserve">cause harm to patients. In China, CT is used </w:t>
      </w:r>
      <w:r w:rsidR="00007AA3" w:rsidRPr="00D34BE8">
        <w:rPr>
          <w:rFonts w:ascii="Book Antiqua" w:hAnsi="Book Antiqua"/>
          <w:sz w:val="20"/>
          <w:szCs w:val="20"/>
        </w:rPr>
        <w:t>for</w:t>
      </w:r>
      <w:r w:rsidR="00C7222A" w:rsidRPr="00D34BE8">
        <w:rPr>
          <w:rFonts w:ascii="Book Antiqua" w:hAnsi="Book Antiqua"/>
          <w:sz w:val="20"/>
          <w:szCs w:val="20"/>
        </w:rPr>
        <w:t xml:space="preserve"> routine examination of patients with cirrhosis, with </w:t>
      </w:r>
      <w:r w:rsidR="00007AA3" w:rsidRPr="00D34BE8">
        <w:rPr>
          <w:rFonts w:ascii="Book Antiqua" w:hAnsi="Book Antiqua"/>
          <w:sz w:val="20"/>
          <w:szCs w:val="20"/>
        </w:rPr>
        <w:t xml:space="preserve">the </w:t>
      </w:r>
      <w:r w:rsidR="00C7222A" w:rsidRPr="00D34BE8">
        <w:rPr>
          <w:rFonts w:ascii="Book Antiqua" w:hAnsi="Book Antiqua"/>
          <w:sz w:val="20"/>
          <w:szCs w:val="20"/>
        </w:rPr>
        <w:t xml:space="preserve">aim </w:t>
      </w:r>
      <w:r w:rsidR="00007AA3" w:rsidRPr="00D34BE8">
        <w:rPr>
          <w:rFonts w:ascii="Book Antiqua" w:hAnsi="Book Antiqua"/>
          <w:sz w:val="20"/>
          <w:szCs w:val="20"/>
        </w:rPr>
        <w:t>of</w:t>
      </w:r>
      <w:r w:rsidR="00C7222A" w:rsidRPr="00D34BE8">
        <w:rPr>
          <w:rFonts w:ascii="Book Antiqua" w:hAnsi="Book Antiqua"/>
          <w:sz w:val="20"/>
          <w:szCs w:val="20"/>
        </w:rPr>
        <w:t xml:space="preserve"> exclud</w:t>
      </w:r>
      <w:r w:rsidR="00007AA3" w:rsidRPr="00D34BE8">
        <w:rPr>
          <w:rFonts w:ascii="Book Antiqua" w:hAnsi="Book Antiqua"/>
          <w:sz w:val="20"/>
          <w:szCs w:val="20"/>
        </w:rPr>
        <w:t>ing</w:t>
      </w:r>
      <w:r w:rsidR="00C7222A" w:rsidRPr="00D34BE8">
        <w:rPr>
          <w:rFonts w:ascii="Book Antiqua" w:hAnsi="Book Antiqua"/>
          <w:sz w:val="20"/>
          <w:szCs w:val="20"/>
        </w:rPr>
        <w:t xml:space="preserve"> the liver tumor. Other countries may use different techniques. All patients enrolled in this study </w:t>
      </w:r>
      <w:r w:rsidR="00027842" w:rsidRPr="00D34BE8">
        <w:rPr>
          <w:rFonts w:ascii="Book Antiqua" w:hAnsi="Book Antiqua"/>
          <w:sz w:val="20"/>
          <w:szCs w:val="20"/>
        </w:rPr>
        <w:t xml:space="preserve">were </w:t>
      </w:r>
      <w:r w:rsidR="00C7222A" w:rsidRPr="00D34BE8">
        <w:rPr>
          <w:rFonts w:ascii="Book Antiqua" w:hAnsi="Book Antiqua"/>
          <w:sz w:val="20"/>
          <w:szCs w:val="20"/>
        </w:rPr>
        <w:t xml:space="preserve">Chinese; thus, it remains unclear whether the model is applicable </w:t>
      </w:r>
      <w:r w:rsidR="00027842" w:rsidRPr="00D34BE8">
        <w:rPr>
          <w:rFonts w:ascii="Book Antiqua" w:hAnsi="Book Antiqua"/>
          <w:sz w:val="20"/>
          <w:szCs w:val="20"/>
        </w:rPr>
        <w:t>to</w:t>
      </w:r>
      <w:r w:rsidR="00C7222A" w:rsidRPr="00D34BE8">
        <w:rPr>
          <w:rFonts w:ascii="Book Antiqua" w:hAnsi="Book Antiqua"/>
          <w:sz w:val="20"/>
          <w:szCs w:val="20"/>
        </w:rPr>
        <w:t xml:space="preserve"> patients in other ethnic groups. </w:t>
      </w:r>
      <w:r w:rsidR="00027842" w:rsidRPr="00D34BE8">
        <w:rPr>
          <w:rFonts w:ascii="Book Antiqua" w:hAnsi="Book Antiqua"/>
          <w:sz w:val="20"/>
          <w:szCs w:val="20"/>
        </w:rPr>
        <w:t>Moreover</w:t>
      </w:r>
      <w:r w:rsidR="00C7222A" w:rsidRPr="00D34BE8">
        <w:rPr>
          <w:rFonts w:ascii="Book Antiqua" w:hAnsi="Book Antiqua"/>
          <w:sz w:val="20"/>
          <w:szCs w:val="20"/>
        </w:rPr>
        <w:t xml:space="preserve">, the change </w:t>
      </w:r>
      <w:r w:rsidR="00027842" w:rsidRPr="00D34BE8">
        <w:rPr>
          <w:rFonts w:ascii="Book Antiqua" w:hAnsi="Book Antiqua"/>
          <w:sz w:val="20"/>
          <w:szCs w:val="20"/>
        </w:rPr>
        <w:t xml:space="preserve">in </w:t>
      </w:r>
      <w:r w:rsidR="00C7222A" w:rsidRPr="00D34BE8">
        <w:rPr>
          <w:rFonts w:ascii="Book Antiqua" w:hAnsi="Book Antiqua"/>
          <w:sz w:val="20"/>
          <w:szCs w:val="20"/>
        </w:rPr>
        <w:t xml:space="preserve">liver and spleen volume in viral cirrhosis patients </w:t>
      </w:r>
      <w:r w:rsidR="00027842" w:rsidRPr="00D34BE8">
        <w:rPr>
          <w:rFonts w:ascii="Book Antiqua" w:hAnsi="Book Antiqua"/>
          <w:sz w:val="20"/>
          <w:szCs w:val="20"/>
        </w:rPr>
        <w:t xml:space="preserve">was </w:t>
      </w:r>
      <w:r w:rsidR="00C7222A" w:rsidRPr="00D34BE8">
        <w:rPr>
          <w:rFonts w:ascii="Book Antiqua" w:hAnsi="Book Antiqua"/>
          <w:sz w:val="20"/>
          <w:szCs w:val="20"/>
        </w:rPr>
        <w:t xml:space="preserve">different from that in alcohol cirrhosis patients, </w:t>
      </w:r>
      <w:r w:rsidR="00027842" w:rsidRPr="00D34BE8">
        <w:rPr>
          <w:rFonts w:ascii="Book Antiqua" w:hAnsi="Book Antiqua"/>
          <w:sz w:val="20"/>
          <w:szCs w:val="20"/>
        </w:rPr>
        <w:t xml:space="preserve">and </w:t>
      </w:r>
      <w:r w:rsidR="00C7222A" w:rsidRPr="00D34BE8">
        <w:rPr>
          <w:rFonts w:ascii="Book Antiqua" w:hAnsi="Book Antiqua"/>
          <w:sz w:val="20"/>
          <w:szCs w:val="20"/>
        </w:rPr>
        <w:t xml:space="preserve">the new model can </w:t>
      </w:r>
      <w:r w:rsidR="00027842" w:rsidRPr="00D34BE8">
        <w:rPr>
          <w:rFonts w:ascii="Book Antiqua" w:hAnsi="Book Antiqua"/>
          <w:sz w:val="20"/>
          <w:szCs w:val="20"/>
        </w:rPr>
        <w:t xml:space="preserve">only </w:t>
      </w:r>
      <w:r w:rsidR="00C7222A" w:rsidRPr="00D34BE8">
        <w:rPr>
          <w:rFonts w:ascii="Book Antiqua" w:hAnsi="Book Antiqua"/>
          <w:sz w:val="20"/>
          <w:szCs w:val="20"/>
        </w:rPr>
        <w:t>be used in viral cirrhosis patients. These limitations may affect the promotion and application of the new model.</w:t>
      </w:r>
    </w:p>
    <w:p w:rsidR="0017102F" w:rsidRPr="00D34BE8" w:rsidRDefault="0017102F" w:rsidP="00D34BE8">
      <w:pPr>
        <w:spacing w:after="0" w:line="360" w:lineRule="auto"/>
        <w:jc w:val="both"/>
        <w:rPr>
          <w:rFonts w:ascii="Book Antiqua" w:hAnsi="Book Antiqua"/>
          <w:sz w:val="20"/>
          <w:szCs w:val="20"/>
        </w:rPr>
      </w:pPr>
    </w:p>
    <w:p w:rsidR="0017102F" w:rsidRPr="00D34BE8" w:rsidRDefault="0017102F" w:rsidP="00D34BE8">
      <w:pPr>
        <w:spacing w:after="0" w:line="360" w:lineRule="auto"/>
        <w:jc w:val="both"/>
        <w:rPr>
          <w:rFonts w:ascii="Book Antiqua" w:eastAsia="宋体" w:hAnsi="Book Antiqua" w:cs="Calibri"/>
          <w:sz w:val="20"/>
          <w:szCs w:val="20"/>
          <w:lang w:eastAsia="en-US"/>
        </w:rPr>
      </w:pPr>
      <w:r w:rsidRPr="00D34BE8">
        <w:rPr>
          <w:rFonts w:ascii="Book Antiqua" w:eastAsia="宋体" w:hAnsi="Book Antiqua" w:cs="Calibri"/>
          <w:b/>
          <w:sz w:val="20"/>
          <w:szCs w:val="20"/>
          <w:u w:val="single"/>
          <w:lang w:eastAsia="en-US"/>
        </w:rPr>
        <w:t>ARTICLE HIGHLIGHTS</w:t>
      </w:r>
    </w:p>
    <w:p w:rsidR="0017102F" w:rsidRPr="00D34BE8" w:rsidRDefault="0017102F" w:rsidP="00D34BE8">
      <w:pPr>
        <w:spacing w:after="0" w:line="360" w:lineRule="auto"/>
        <w:jc w:val="both"/>
        <w:rPr>
          <w:rFonts w:ascii="Book Antiqua" w:eastAsia="宋体" w:hAnsi="Book Antiqua" w:cs="Arial"/>
          <w:b/>
          <w:i/>
          <w:iCs/>
          <w:sz w:val="20"/>
          <w:szCs w:val="20"/>
          <w:lang w:eastAsia="en-US"/>
        </w:rPr>
      </w:pPr>
      <w:r w:rsidRPr="00D34BE8">
        <w:rPr>
          <w:rFonts w:ascii="Book Antiqua" w:eastAsia="宋体" w:hAnsi="Book Antiqua" w:cs="Arial"/>
          <w:b/>
          <w:i/>
          <w:iCs/>
          <w:sz w:val="20"/>
          <w:szCs w:val="20"/>
          <w:lang w:eastAsia="en-US"/>
        </w:rPr>
        <w:t>Research background</w:t>
      </w:r>
    </w:p>
    <w:p w:rsidR="00C7222A" w:rsidRPr="00D34BE8" w:rsidRDefault="00C7222A" w:rsidP="00D34BE8">
      <w:pPr>
        <w:spacing w:after="0" w:line="360" w:lineRule="auto"/>
        <w:jc w:val="both"/>
        <w:rPr>
          <w:rFonts w:ascii="Book Antiqua" w:hAnsi="Book Antiqua"/>
          <w:sz w:val="20"/>
          <w:szCs w:val="20"/>
        </w:rPr>
      </w:pPr>
      <w:r w:rsidRPr="00D34BE8">
        <w:rPr>
          <w:rFonts w:ascii="Book Antiqua" w:hAnsi="Book Antiqua"/>
          <w:sz w:val="20"/>
          <w:szCs w:val="20"/>
        </w:rPr>
        <w:t xml:space="preserve">Several models for predicting </w:t>
      </w:r>
      <w:r w:rsidR="0017102F" w:rsidRPr="00D34BE8">
        <w:rPr>
          <w:rFonts w:ascii="Book Antiqua" w:hAnsi="Book Antiqua"/>
          <w:sz w:val="20"/>
          <w:szCs w:val="20"/>
        </w:rPr>
        <w:t>high-risk esophageal varices (</w:t>
      </w:r>
      <w:r w:rsidRPr="00D34BE8">
        <w:rPr>
          <w:rFonts w:ascii="Book Antiqua" w:hAnsi="Book Antiqua"/>
          <w:sz w:val="20"/>
          <w:szCs w:val="20"/>
        </w:rPr>
        <w:t>HEVs</w:t>
      </w:r>
      <w:r w:rsidR="0017102F" w:rsidRPr="00D34BE8">
        <w:rPr>
          <w:rFonts w:ascii="Book Antiqua" w:hAnsi="Book Antiqua"/>
          <w:sz w:val="20"/>
          <w:szCs w:val="20"/>
        </w:rPr>
        <w:t>)</w:t>
      </w:r>
      <w:r w:rsidRPr="00D34BE8">
        <w:rPr>
          <w:rFonts w:ascii="Book Antiqua" w:hAnsi="Book Antiqua"/>
          <w:sz w:val="20"/>
          <w:szCs w:val="20"/>
        </w:rPr>
        <w:t xml:space="preserve"> have been reported; however,</w:t>
      </w:r>
      <w:r w:rsidR="0017102F" w:rsidRPr="00D34BE8">
        <w:rPr>
          <w:rFonts w:ascii="Book Antiqua" w:hAnsi="Book Antiqua"/>
          <w:sz w:val="20"/>
          <w:szCs w:val="20"/>
        </w:rPr>
        <w:t xml:space="preserve"> </w:t>
      </w:r>
      <w:r w:rsidRPr="00D34BE8">
        <w:rPr>
          <w:rFonts w:ascii="Book Antiqua" w:hAnsi="Book Antiqua"/>
          <w:sz w:val="20"/>
          <w:szCs w:val="20"/>
        </w:rPr>
        <w:t xml:space="preserve">models </w:t>
      </w:r>
      <w:r w:rsidR="00027842" w:rsidRPr="00D34BE8">
        <w:rPr>
          <w:rFonts w:ascii="Book Antiqua" w:hAnsi="Book Antiqua"/>
          <w:sz w:val="20"/>
          <w:szCs w:val="20"/>
        </w:rPr>
        <w:t xml:space="preserve">that </w:t>
      </w:r>
      <w:r w:rsidRPr="00D34BE8">
        <w:rPr>
          <w:rFonts w:ascii="Book Antiqua" w:hAnsi="Book Antiqua"/>
          <w:sz w:val="20"/>
          <w:szCs w:val="20"/>
        </w:rPr>
        <w:t>are based on liver and spleen volume calculation formula in HEVs have not been reported.</w:t>
      </w:r>
    </w:p>
    <w:p w:rsidR="0017102F" w:rsidRPr="00D34BE8" w:rsidRDefault="0017102F" w:rsidP="00D34BE8">
      <w:pPr>
        <w:spacing w:after="0" w:line="360" w:lineRule="auto"/>
        <w:jc w:val="both"/>
        <w:rPr>
          <w:rFonts w:ascii="Book Antiqua" w:hAnsi="Book Antiqua"/>
          <w:sz w:val="20"/>
          <w:szCs w:val="20"/>
        </w:rPr>
      </w:pPr>
    </w:p>
    <w:p w:rsidR="0017102F" w:rsidRPr="00D34BE8" w:rsidRDefault="0017102F" w:rsidP="00D34BE8">
      <w:pPr>
        <w:spacing w:after="0" w:line="360" w:lineRule="auto"/>
        <w:jc w:val="both"/>
        <w:rPr>
          <w:rFonts w:ascii="Book Antiqua" w:eastAsia="宋体" w:hAnsi="Book Antiqua" w:cs="Arial"/>
          <w:b/>
          <w:i/>
          <w:iCs/>
          <w:sz w:val="20"/>
          <w:szCs w:val="20"/>
          <w:lang w:eastAsia="en-US"/>
        </w:rPr>
      </w:pPr>
      <w:r w:rsidRPr="00D34BE8">
        <w:rPr>
          <w:rFonts w:ascii="Book Antiqua" w:eastAsia="宋体" w:hAnsi="Book Antiqua" w:cs="Arial"/>
          <w:b/>
          <w:i/>
          <w:iCs/>
          <w:sz w:val="20"/>
          <w:szCs w:val="20"/>
          <w:lang w:eastAsia="en-US"/>
        </w:rPr>
        <w:t>Research motivation</w:t>
      </w:r>
    </w:p>
    <w:p w:rsidR="00C7222A" w:rsidRPr="00D34BE8" w:rsidRDefault="00C7222A" w:rsidP="00D34BE8">
      <w:pPr>
        <w:spacing w:after="0" w:line="360" w:lineRule="auto"/>
        <w:jc w:val="both"/>
        <w:rPr>
          <w:rFonts w:ascii="Book Antiqua" w:hAnsi="Book Antiqua"/>
          <w:sz w:val="20"/>
          <w:szCs w:val="20"/>
        </w:rPr>
      </w:pPr>
      <w:r w:rsidRPr="00D34BE8">
        <w:rPr>
          <w:rFonts w:ascii="Book Antiqua" w:hAnsi="Book Antiqua"/>
          <w:sz w:val="20"/>
          <w:szCs w:val="20"/>
        </w:rPr>
        <w:t xml:space="preserve">HEVs </w:t>
      </w:r>
      <w:r w:rsidR="00027842" w:rsidRPr="00D34BE8">
        <w:rPr>
          <w:rFonts w:ascii="Book Antiqua" w:hAnsi="Book Antiqua"/>
          <w:sz w:val="20"/>
          <w:szCs w:val="20"/>
        </w:rPr>
        <w:t>are</w:t>
      </w:r>
      <w:r w:rsidRPr="00D34BE8">
        <w:rPr>
          <w:rFonts w:ascii="Book Antiqua" w:hAnsi="Book Antiqua"/>
          <w:sz w:val="20"/>
          <w:szCs w:val="20"/>
        </w:rPr>
        <w:t xml:space="preserve"> EVs </w:t>
      </w:r>
      <w:r w:rsidR="00027842" w:rsidRPr="00D34BE8">
        <w:rPr>
          <w:rFonts w:ascii="Book Antiqua" w:hAnsi="Book Antiqua"/>
          <w:sz w:val="20"/>
          <w:szCs w:val="20"/>
        </w:rPr>
        <w:t xml:space="preserve">that </w:t>
      </w:r>
      <w:r w:rsidRPr="00D34BE8">
        <w:rPr>
          <w:rFonts w:ascii="Book Antiqua" w:hAnsi="Book Antiqua"/>
          <w:sz w:val="20"/>
          <w:szCs w:val="20"/>
        </w:rPr>
        <w:t xml:space="preserve">have </w:t>
      </w:r>
      <w:r w:rsidR="00027842" w:rsidRPr="00D34BE8">
        <w:rPr>
          <w:rFonts w:ascii="Book Antiqua" w:hAnsi="Book Antiqua"/>
          <w:sz w:val="20"/>
          <w:szCs w:val="20"/>
        </w:rPr>
        <w:t xml:space="preserve">a </w:t>
      </w:r>
      <w:r w:rsidRPr="00D34BE8">
        <w:rPr>
          <w:rFonts w:ascii="Book Antiqua" w:hAnsi="Book Antiqua"/>
          <w:sz w:val="20"/>
          <w:szCs w:val="20"/>
        </w:rPr>
        <w:t xml:space="preserve">high risk of bleeding, </w:t>
      </w:r>
      <w:r w:rsidR="00027842" w:rsidRPr="00D34BE8">
        <w:rPr>
          <w:rFonts w:ascii="Book Antiqua" w:hAnsi="Book Antiqua"/>
          <w:sz w:val="20"/>
          <w:szCs w:val="20"/>
        </w:rPr>
        <w:t xml:space="preserve">and </w:t>
      </w:r>
      <w:r w:rsidRPr="00D34BE8">
        <w:rPr>
          <w:rFonts w:ascii="Book Antiqua" w:hAnsi="Book Antiqua"/>
          <w:sz w:val="20"/>
          <w:szCs w:val="20"/>
        </w:rPr>
        <w:t xml:space="preserve">the establishment of a non-invasive predictive model will be useful for </w:t>
      </w:r>
      <w:r w:rsidR="00027842" w:rsidRPr="00D34BE8">
        <w:rPr>
          <w:rFonts w:ascii="Book Antiqua" w:hAnsi="Book Antiqua"/>
          <w:sz w:val="20"/>
          <w:szCs w:val="20"/>
        </w:rPr>
        <w:t xml:space="preserve">the </w:t>
      </w:r>
      <w:r w:rsidRPr="00D34BE8">
        <w:rPr>
          <w:rFonts w:ascii="Book Antiqua" w:hAnsi="Book Antiqua"/>
          <w:sz w:val="20"/>
          <w:szCs w:val="20"/>
        </w:rPr>
        <w:t>early identification of HEVs. These patients will benefit if necessary measure</w:t>
      </w:r>
      <w:r w:rsidR="00027842" w:rsidRPr="00D34BE8">
        <w:rPr>
          <w:rFonts w:ascii="Book Antiqua" w:hAnsi="Book Antiqua"/>
          <w:sz w:val="20"/>
          <w:szCs w:val="20"/>
        </w:rPr>
        <w:t>s</w:t>
      </w:r>
      <w:r w:rsidRPr="00D34BE8">
        <w:rPr>
          <w:rFonts w:ascii="Book Antiqua" w:hAnsi="Book Antiqua"/>
          <w:sz w:val="20"/>
          <w:szCs w:val="20"/>
        </w:rPr>
        <w:t xml:space="preserve"> are taken</w:t>
      </w:r>
      <w:r w:rsidR="00027842" w:rsidRPr="00D34BE8">
        <w:rPr>
          <w:rFonts w:ascii="Book Antiqua" w:hAnsi="Book Antiqua"/>
          <w:sz w:val="20"/>
          <w:szCs w:val="20"/>
        </w:rPr>
        <w:t xml:space="preserve"> in a</w:t>
      </w:r>
      <w:r w:rsidRPr="00D34BE8">
        <w:rPr>
          <w:rFonts w:ascii="Book Antiqua" w:hAnsi="Book Antiqua"/>
          <w:sz w:val="20"/>
          <w:szCs w:val="20"/>
        </w:rPr>
        <w:t xml:space="preserve"> timely</w:t>
      </w:r>
      <w:r w:rsidR="00027842" w:rsidRPr="00D34BE8">
        <w:rPr>
          <w:rFonts w:ascii="Book Antiqua" w:hAnsi="Book Antiqua"/>
          <w:sz w:val="20"/>
          <w:szCs w:val="20"/>
        </w:rPr>
        <w:t xml:space="preserve"> manner</w:t>
      </w:r>
      <w:r w:rsidRPr="00D34BE8">
        <w:rPr>
          <w:rFonts w:ascii="Book Antiqua" w:hAnsi="Book Antiqua"/>
          <w:sz w:val="20"/>
          <w:szCs w:val="20"/>
        </w:rPr>
        <w:t>.</w:t>
      </w:r>
    </w:p>
    <w:p w:rsidR="00E00DC7" w:rsidRPr="00D34BE8" w:rsidRDefault="00E00DC7" w:rsidP="00D34BE8">
      <w:pPr>
        <w:spacing w:after="0" w:line="360" w:lineRule="auto"/>
        <w:jc w:val="both"/>
        <w:rPr>
          <w:rFonts w:ascii="Book Antiqua" w:hAnsi="Book Antiqua"/>
          <w:sz w:val="20"/>
          <w:szCs w:val="20"/>
        </w:rPr>
      </w:pPr>
    </w:p>
    <w:p w:rsidR="00E00DC7" w:rsidRPr="00D34BE8" w:rsidRDefault="0017102F" w:rsidP="00D34BE8">
      <w:pPr>
        <w:spacing w:after="0" w:line="360" w:lineRule="auto"/>
        <w:jc w:val="both"/>
        <w:rPr>
          <w:rFonts w:ascii="Book Antiqua" w:eastAsia="宋体" w:hAnsi="Book Antiqua" w:cs="Arial"/>
          <w:b/>
          <w:i/>
          <w:iCs/>
          <w:sz w:val="20"/>
          <w:szCs w:val="20"/>
          <w:lang w:eastAsia="en-US"/>
        </w:rPr>
      </w:pPr>
      <w:r w:rsidRPr="00D34BE8">
        <w:rPr>
          <w:rFonts w:ascii="Book Antiqua" w:eastAsia="宋体" w:hAnsi="Book Antiqua" w:cs="Arial"/>
          <w:b/>
          <w:i/>
          <w:iCs/>
          <w:sz w:val="20"/>
          <w:szCs w:val="20"/>
          <w:lang w:eastAsia="en-US"/>
        </w:rPr>
        <w:t>Research objectives</w:t>
      </w:r>
    </w:p>
    <w:p w:rsidR="00C7222A" w:rsidRPr="00D34BE8" w:rsidRDefault="00C7222A" w:rsidP="00D34BE8">
      <w:pPr>
        <w:spacing w:after="0" w:line="360" w:lineRule="auto"/>
        <w:jc w:val="both"/>
        <w:rPr>
          <w:rFonts w:ascii="Book Antiqua" w:hAnsi="Book Antiqua"/>
          <w:sz w:val="20"/>
          <w:szCs w:val="20"/>
        </w:rPr>
      </w:pPr>
      <w:r w:rsidRPr="00D34BE8">
        <w:rPr>
          <w:rFonts w:ascii="Book Antiqua" w:hAnsi="Book Antiqua"/>
          <w:sz w:val="20"/>
          <w:szCs w:val="20"/>
        </w:rPr>
        <w:t xml:space="preserve">This present </w:t>
      </w:r>
      <w:r w:rsidR="00027842" w:rsidRPr="00D34BE8">
        <w:rPr>
          <w:rFonts w:ascii="Book Antiqua" w:hAnsi="Book Antiqua"/>
          <w:sz w:val="20"/>
          <w:szCs w:val="20"/>
        </w:rPr>
        <w:t xml:space="preserve">study </w:t>
      </w:r>
      <w:r w:rsidRPr="00D34BE8">
        <w:rPr>
          <w:rFonts w:ascii="Book Antiqua" w:hAnsi="Book Antiqua"/>
          <w:sz w:val="20"/>
          <w:szCs w:val="20"/>
        </w:rPr>
        <w:t>establish</w:t>
      </w:r>
      <w:r w:rsidR="00027842" w:rsidRPr="00D34BE8">
        <w:rPr>
          <w:rFonts w:ascii="Book Antiqua" w:hAnsi="Book Antiqua"/>
          <w:sz w:val="20"/>
          <w:szCs w:val="20"/>
        </w:rPr>
        <w:t>ed</w:t>
      </w:r>
      <w:r w:rsidRPr="00D34BE8">
        <w:rPr>
          <w:rFonts w:ascii="Book Antiqua" w:hAnsi="Book Antiqua"/>
          <w:sz w:val="20"/>
          <w:szCs w:val="20"/>
        </w:rPr>
        <w:t xml:space="preserve"> a non-invasive prediction model based on the liver and spleen volume calculation formula for predicting HEVs in patients with viral cirrhosis.</w:t>
      </w:r>
    </w:p>
    <w:p w:rsidR="00E00DC7" w:rsidRPr="00D34BE8" w:rsidRDefault="00E00DC7" w:rsidP="00D34BE8">
      <w:pPr>
        <w:spacing w:after="0" w:line="360" w:lineRule="auto"/>
        <w:jc w:val="both"/>
        <w:rPr>
          <w:rFonts w:ascii="Book Antiqua" w:eastAsia="宋体" w:hAnsi="Book Antiqua" w:cs="Arial"/>
          <w:b/>
          <w:i/>
          <w:iCs/>
          <w:sz w:val="20"/>
          <w:szCs w:val="20"/>
          <w:lang w:eastAsia="en-US"/>
        </w:rPr>
      </w:pPr>
    </w:p>
    <w:p w:rsidR="00E00DC7" w:rsidRPr="00D34BE8" w:rsidRDefault="0017102F" w:rsidP="00D34BE8">
      <w:pPr>
        <w:spacing w:after="0" w:line="360" w:lineRule="auto"/>
        <w:jc w:val="both"/>
        <w:rPr>
          <w:rFonts w:ascii="Book Antiqua" w:eastAsia="宋体" w:hAnsi="Book Antiqua" w:cs="Arial"/>
          <w:b/>
          <w:i/>
          <w:iCs/>
          <w:sz w:val="20"/>
          <w:szCs w:val="20"/>
          <w:lang w:eastAsia="en-US"/>
        </w:rPr>
      </w:pPr>
      <w:r w:rsidRPr="00D34BE8">
        <w:rPr>
          <w:rFonts w:ascii="Book Antiqua" w:eastAsia="宋体" w:hAnsi="Book Antiqua" w:cs="Arial"/>
          <w:b/>
          <w:i/>
          <w:iCs/>
          <w:sz w:val="20"/>
          <w:szCs w:val="20"/>
          <w:lang w:eastAsia="en-US"/>
        </w:rPr>
        <w:t>Research methods</w:t>
      </w:r>
    </w:p>
    <w:p w:rsidR="00C7222A" w:rsidRPr="00D34BE8" w:rsidRDefault="00E00DC7" w:rsidP="00D34BE8">
      <w:pPr>
        <w:spacing w:after="0" w:line="360" w:lineRule="auto"/>
        <w:jc w:val="both"/>
        <w:rPr>
          <w:rFonts w:ascii="Book Antiqua" w:hAnsi="Book Antiqua"/>
          <w:sz w:val="20"/>
          <w:szCs w:val="20"/>
        </w:rPr>
      </w:pPr>
      <w:r w:rsidRPr="00D34BE8">
        <w:rPr>
          <w:rFonts w:ascii="Book Antiqua" w:hAnsi="Book Antiqua"/>
          <w:sz w:val="20"/>
          <w:szCs w:val="20"/>
        </w:rPr>
        <w:t xml:space="preserve">Eighty-six </w:t>
      </w:r>
      <w:r w:rsidR="00C7222A" w:rsidRPr="00D34BE8">
        <w:rPr>
          <w:rFonts w:ascii="Book Antiqua" w:hAnsi="Book Antiqua"/>
          <w:sz w:val="20"/>
          <w:szCs w:val="20"/>
        </w:rPr>
        <w:t xml:space="preserve">EVs patients with viral cirrhosis, from October 2017 to December 2018, were included at the Second Affiliated Hospital of Xi’an </w:t>
      </w:r>
      <w:r w:rsidRPr="00D34BE8">
        <w:rPr>
          <w:rFonts w:ascii="Book Antiqua" w:hAnsi="Book Antiqua"/>
          <w:sz w:val="20"/>
          <w:szCs w:val="20"/>
        </w:rPr>
        <w:t xml:space="preserve">Jiaotong </w:t>
      </w:r>
      <w:r w:rsidR="00C7222A" w:rsidRPr="00D34BE8">
        <w:rPr>
          <w:rFonts w:ascii="Book Antiqua" w:hAnsi="Book Antiqua"/>
          <w:sz w:val="20"/>
          <w:szCs w:val="20"/>
        </w:rPr>
        <w:t xml:space="preserve">University. By reviewing </w:t>
      </w:r>
      <w:r w:rsidR="00482C03" w:rsidRPr="00D34BE8">
        <w:rPr>
          <w:rFonts w:ascii="Book Antiqua" w:hAnsi="Book Antiqua"/>
          <w:sz w:val="20"/>
          <w:szCs w:val="20"/>
        </w:rPr>
        <w:t xml:space="preserve">the </w:t>
      </w:r>
      <w:r w:rsidR="00C7222A" w:rsidRPr="00D34BE8">
        <w:rPr>
          <w:rFonts w:ascii="Book Antiqua" w:hAnsi="Book Antiqua"/>
          <w:sz w:val="20"/>
          <w:szCs w:val="20"/>
        </w:rPr>
        <w:t>medical records, required data were collected for. The impact of each parameter on HEVs was analyzed by univariate and multivariate analyses, the data from which were employed to establish a non-invasive prediction model. The</w:t>
      </w:r>
      <w:r w:rsidR="00482C03" w:rsidRPr="00D34BE8">
        <w:rPr>
          <w:rFonts w:ascii="Book Antiqua" w:hAnsi="Book Antiqua"/>
          <w:sz w:val="20"/>
          <w:szCs w:val="20"/>
        </w:rPr>
        <w:t>n the</w:t>
      </w:r>
      <w:r w:rsidR="00C7222A" w:rsidRPr="00D34BE8">
        <w:rPr>
          <w:rFonts w:ascii="Book Antiqua" w:hAnsi="Book Antiqua"/>
          <w:sz w:val="20"/>
          <w:szCs w:val="20"/>
        </w:rPr>
        <w:t xml:space="preserve"> established prediction model was compared with LSPS, VRI, APRI</w:t>
      </w:r>
      <w:r w:rsidR="00482C03" w:rsidRPr="00D34BE8">
        <w:rPr>
          <w:rFonts w:ascii="Book Antiqua" w:hAnsi="Book Antiqua"/>
          <w:sz w:val="20"/>
          <w:szCs w:val="20"/>
        </w:rPr>
        <w:t>,</w:t>
      </w:r>
      <w:r w:rsidR="00C7222A" w:rsidRPr="00D34BE8">
        <w:rPr>
          <w:rFonts w:ascii="Book Antiqua" w:hAnsi="Book Antiqua"/>
          <w:sz w:val="20"/>
          <w:szCs w:val="20"/>
        </w:rPr>
        <w:t xml:space="preserve"> and AAR. The discriminating ability, calibration ability</w:t>
      </w:r>
      <w:r w:rsidR="00482C03" w:rsidRPr="00D34BE8">
        <w:rPr>
          <w:rFonts w:ascii="Book Antiqua" w:hAnsi="Book Antiqua"/>
          <w:sz w:val="20"/>
          <w:szCs w:val="20"/>
        </w:rPr>
        <w:t>,</w:t>
      </w:r>
      <w:r w:rsidR="00C7222A" w:rsidRPr="00D34BE8">
        <w:rPr>
          <w:rFonts w:ascii="Book Antiqua" w:hAnsi="Book Antiqua"/>
          <w:sz w:val="20"/>
          <w:szCs w:val="20"/>
        </w:rPr>
        <w:t xml:space="preserve"> and clinical efficacy of the established model w</w:t>
      </w:r>
      <w:r w:rsidR="00482C03" w:rsidRPr="00D34BE8">
        <w:rPr>
          <w:rFonts w:ascii="Book Antiqua" w:hAnsi="Book Antiqua"/>
          <w:sz w:val="20"/>
          <w:szCs w:val="20"/>
        </w:rPr>
        <w:t>ere</w:t>
      </w:r>
      <w:r w:rsidR="00C7222A" w:rsidRPr="00D34BE8">
        <w:rPr>
          <w:rFonts w:ascii="Book Antiqua" w:hAnsi="Book Antiqua"/>
          <w:sz w:val="20"/>
          <w:szCs w:val="20"/>
        </w:rPr>
        <w:t xml:space="preserve"> verified in both the modeling group and the external validation group.</w:t>
      </w:r>
    </w:p>
    <w:p w:rsidR="00E00DC7" w:rsidRPr="00D34BE8" w:rsidRDefault="00E00DC7" w:rsidP="00D34BE8">
      <w:pPr>
        <w:spacing w:after="0" w:line="360" w:lineRule="auto"/>
        <w:jc w:val="both"/>
        <w:rPr>
          <w:rFonts w:ascii="Book Antiqua" w:eastAsia="宋体" w:hAnsi="Book Antiqua" w:cs="Arial"/>
          <w:b/>
          <w:i/>
          <w:iCs/>
          <w:sz w:val="20"/>
          <w:szCs w:val="20"/>
          <w:lang w:eastAsia="en-US"/>
        </w:rPr>
      </w:pPr>
    </w:p>
    <w:p w:rsidR="00E00DC7" w:rsidRPr="00D34BE8" w:rsidRDefault="0017102F" w:rsidP="00D34BE8">
      <w:pPr>
        <w:spacing w:after="0" w:line="360" w:lineRule="auto"/>
        <w:jc w:val="both"/>
        <w:rPr>
          <w:rFonts w:ascii="Book Antiqua" w:eastAsia="宋体" w:hAnsi="Book Antiqua" w:cs="Arial"/>
          <w:b/>
          <w:i/>
          <w:iCs/>
          <w:sz w:val="20"/>
          <w:szCs w:val="20"/>
          <w:lang w:eastAsia="en-US"/>
        </w:rPr>
      </w:pPr>
      <w:r w:rsidRPr="00D34BE8">
        <w:rPr>
          <w:rFonts w:ascii="Book Antiqua" w:eastAsia="宋体" w:hAnsi="Book Antiqua" w:cs="Arial"/>
          <w:b/>
          <w:i/>
          <w:iCs/>
          <w:sz w:val="20"/>
          <w:szCs w:val="20"/>
          <w:lang w:eastAsia="en-US"/>
        </w:rPr>
        <w:t>Research results</w:t>
      </w:r>
    </w:p>
    <w:p w:rsidR="00C7222A" w:rsidRPr="00D34BE8" w:rsidRDefault="00C7222A" w:rsidP="00D34BE8">
      <w:pPr>
        <w:spacing w:after="0" w:line="360" w:lineRule="auto"/>
        <w:jc w:val="both"/>
        <w:rPr>
          <w:rFonts w:ascii="Book Antiqua" w:hAnsi="Book Antiqua"/>
          <w:sz w:val="20"/>
          <w:szCs w:val="20"/>
        </w:rPr>
      </w:pPr>
      <w:r w:rsidRPr="00D34BE8">
        <w:rPr>
          <w:rFonts w:ascii="Book Antiqua" w:hAnsi="Book Antiqua"/>
          <w:sz w:val="20"/>
          <w:szCs w:val="20"/>
        </w:rPr>
        <w:t xml:space="preserve">After univariate and multivariate </w:t>
      </w:r>
      <w:r w:rsidR="00E00DC7" w:rsidRPr="00D34BE8">
        <w:rPr>
          <w:rFonts w:ascii="Book Antiqua" w:hAnsi="Book Antiqua"/>
          <w:sz w:val="20"/>
          <w:szCs w:val="20"/>
        </w:rPr>
        <w:t>analysis</w:t>
      </w:r>
      <w:r w:rsidRPr="00D34BE8">
        <w:rPr>
          <w:rFonts w:ascii="Book Antiqua" w:hAnsi="Book Antiqua"/>
          <w:sz w:val="20"/>
          <w:szCs w:val="20"/>
        </w:rPr>
        <w:t>, liver-spleen volume ratio, spleen volume change rate, and aspartate aminotransferase were successfully used to establish the non-invasive prediction model for HEVs. The new model could better predict HEVs compared with LSPS, VRI, APRI</w:t>
      </w:r>
      <w:r w:rsidR="00482C03" w:rsidRPr="00D34BE8">
        <w:rPr>
          <w:rFonts w:ascii="Book Antiqua" w:hAnsi="Book Antiqua"/>
          <w:sz w:val="20"/>
          <w:szCs w:val="20"/>
        </w:rPr>
        <w:t>,</w:t>
      </w:r>
      <w:r w:rsidRPr="00D34BE8">
        <w:rPr>
          <w:rFonts w:ascii="Book Antiqua" w:hAnsi="Book Antiqua"/>
          <w:sz w:val="20"/>
          <w:szCs w:val="20"/>
        </w:rPr>
        <w:t xml:space="preserve"> and AAR. The discriminating ability, calibration ability</w:t>
      </w:r>
      <w:r w:rsidR="00482C03" w:rsidRPr="00D34BE8">
        <w:rPr>
          <w:rFonts w:ascii="Book Antiqua" w:hAnsi="Book Antiqua"/>
          <w:sz w:val="20"/>
          <w:szCs w:val="20"/>
        </w:rPr>
        <w:t>,</w:t>
      </w:r>
      <w:r w:rsidRPr="00D34BE8">
        <w:rPr>
          <w:rFonts w:ascii="Book Antiqua" w:hAnsi="Book Antiqua"/>
          <w:sz w:val="20"/>
          <w:szCs w:val="20"/>
        </w:rPr>
        <w:t xml:space="preserve"> and clinical efficacy of the new model w</w:t>
      </w:r>
      <w:r w:rsidR="00482C03" w:rsidRPr="00D34BE8">
        <w:rPr>
          <w:rFonts w:ascii="Book Antiqua" w:hAnsi="Book Antiqua"/>
          <w:sz w:val="20"/>
          <w:szCs w:val="20"/>
        </w:rPr>
        <w:t>ere</w:t>
      </w:r>
      <w:r w:rsidRPr="00D34BE8">
        <w:rPr>
          <w:rFonts w:ascii="Book Antiqua" w:hAnsi="Book Antiqua"/>
          <w:sz w:val="20"/>
          <w:szCs w:val="20"/>
        </w:rPr>
        <w:t xml:space="preserve"> verified.</w:t>
      </w:r>
    </w:p>
    <w:p w:rsidR="00E00DC7" w:rsidRPr="00D34BE8" w:rsidRDefault="00E00DC7" w:rsidP="00D34BE8">
      <w:pPr>
        <w:spacing w:after="0" w:line="360" w:lineRule="auto"/>
        <w:jc w:val="both"/>
        <w:rPr>
          <w:rFonts w:ascii="Book Antiqua" w:eastAsia="宋体" w:hAnsi="Book Antiqua" w:cs="Arial"/>
          <w:b/>
          <w:i/>
          <w:iCs/>
          <w:sz w:val="20"/>
          <w:szCs w:val="20"/>
          <w:lang w:eastAsia="en-US"/>
        </w:rPr>
      </w:pPr>
    </w:p>
    <w:p w:rsidR="00E00DC7" w:rsidRPr="00D34BE8" w:rsidRDefault="0017102F" w:rsidP="00D34BE8">
      <w:pPr>
        <w:spacing w:after="0" w:line="360" w:lineRule="auto"/>
        <w:jc w:val="both"/>
        <w:rPr>
          <w:rFonts w:ascii="Book Antiqua" w:eastAsia="宋体" w:hAnsi="Book Antiqua" w:cs="Arial"/>
          <w:b/>
          <w:i/>
          <w:iCs/>
          <w:sz w:val="20"/>
          <w:szCs w:val="20"/>
          <w:lang w:eastAsia="en-US"/>
        </w:rPr>
      </w:pPr>
      <w:r w:rsidRPr="00D34BE8">
        <w:rPr>
          <w:rFonts w:ascii="Book Antiqua" w:eastAsia="宋体" w:hAnsi="Book Antiqua" w:cs="Arial"/>
          <w:b/>
          <w:i/>
          <w:iCs/>
          <w:sz w:val="20"/>
          <w:szCs w:val="20"/>
          <w:lang w:eastAsia="en-US"/>
        </w:rPr>
        <w:t>Research conclusions</w:t>
      </w:r>
    </w:p>
    <w:p w:rsidR="00C7222A" w:rsidRPr="00D34BE8" w:rsidRDefault="00C7222A" w:rsidP="00D34BE8">
      <w:pPr>
        <w:spacing w:after="0" w:line="360" w:lineRule="auto"/>
        <w:jc w:val="both"/>
        <w:rPr>
          <w:rFonts w:ascii="Book Antiqua" w:hAnsi="Book Antiqua"/>
          <w:sz w:val="20"/>
          <w:szCs w:val="20"/>
        </w:rPr>
      </w:pPr>
      <w:r w:rsidRPr="00D34BE8">
        <w:rPr>
          <w:rFonts w:ascii="Book Antiqua" w:hAnsi="Book Antiqua"/>
          <w:sz w:val="20"/>
          <w:szCs w:val="20"/>
        </w:rPr>
        <w:t xml:space="preserve">The non-invasive prediction model for predicting HEVs is a reliable model for predicting HEVs and has clinical applicability. </w:t>
      </w:r>
    </w:p>
    <w:p w:rsidR="00E00DC7" w:rsidRPr="00D34BE8" w:rsidRDefault="00E00DC7" w:rsidP="00D34BE8">
      <w:pPr>
        <w:spacing w:after="0" w:line="360" w:lineRule="auto"/>
        <w:jc w:val="both"/>
        <w:rPr>
          <w:rFonts w:ascii="Book Antiqua" w:eastAsia="宋体" w:hAnsi="Book Antiqua" w:cs="Arial"/>
          <w:b/>
          <w:i/>
          <w:iCs/>
          <w:sz w:val="20"/>
          <w:szCs w:val="20"/>
          <w:lang w:eastAsia="en-US"/>
        </w:rPr>
      </w:pPr>
    </w:p>
    <w:p w:rsidR="00E00DC7" w:rsidRPr="00D34BE8" w:rsidRDefault="0017102F" w:rsidP="00D34BE8">
      <w:pPr>
        <w:spacing w:after="0" w:line="360" w:lineRule="auto"/>
        <w:jc w:val="both"/>
        <w:rPr>
          <w:rFonts w:ascii="Book Antiqua" w:eastAsia="宋体" w:hAnsi="Book Antiqua" w:cs="Arial"/>
          <w:b/>
          <w:i/>
          <w:iCs/>
          <w:sz w:val="20"/>
          <w:szCs w:val="20"/>
          <w:lang w:eastAsia="en-US"/>
        </w:rPr>
      </w:pPr>
      <w:r w:rsidRPr="00D34BE8">
        <w:rPr>
          <w:rFonts w:ascii="Book Antiqua" w:eastAsia="宋体" w:hAnsi="Book Antiqua" w:cs="Arial"/>
          <w:b/>
          <w:i/>
          <w:iCs/>
          <w:sz w:val="20"/>
          <w:szCs w:val="20"/>
          <w:lang w:eastAsia="en-US"/>
        </w:rPr>
        <w:t>Research perspectives</w:t>
      </w:r>
    </w:p>
    <w:p w:rsidR="00C7222A" w:rsidRPr="00D34BE8" w:rsidRDefault="00C7222A" w:rsidP="00D34BE8">
      <w:pPr>
        <w:spacing w:after="0" w:line="360" w:lineRule="auto"/>
        <w:jc w:val="both"/>
        <w:rPr>
          <w:rFonts w:ascii="Book Antiqua" w:eastAsia="宋体" w:hAnsi="Book Antiqua" w:cs="Arial"/>
          <w:b/>
          <w:i/>
          <w:iCs/>
          <w:sz w:val="20"/>
          <w:szCs w:val="20"/>
          <w:lang w:eastAsia="en-US"/>
        </w:rPr>
      </w:pPr>
      <w:r w:rsidRPr="00D34BE8">
        <w:rPr>
          <w:rFonts w:ascii="Book Antiqua" w:hAnsi="Book Antiqua"/>
          <w:sz w:val="20"/>
          <w:szCs w:val="20"/>
        </w:rPr>
        <w:t xml:space="preserve">The predictive value of the new model </w:t>
      </w:r>
      <w:r w:rsidR="00E00DC7" w:rsidRPr="00D34BE8">
        <w:rPr>
          <w:rFonts w:ascii="Book Antiqua" w:hAnsi="Book Antiqua"/>
          <w:sz w:val="20"/>
          <w:szCs w:val="20"/>
        </w:rPr>
        <w:t>needs</w:t>
      </w:r>
      <w:r w:rsidRPr="00D34BE8">
        <w:rPr>
          <w:rFonts w:ascii="Book Antiqua" w:hAnsi="Book Antiqua"/>
          <w:sz w:val="20"/>
          <w:szCs w:val="20"/>
        </w:rPr>
        <w:t xml:space="preserve"> to be confirmed in</w:t>
      </w:r>
      <w:r w:rsidR="00025B81" w:rsidRPr="00D34BE8">
        <w:rPr>
          <w:rFonts w:ascii="Book Antiqua" w:hAnsi="Book Antiqua"/>
          <w:sz w:val="20"/>
          <w:szCs w:val="20"/>
        </w:rPr>
        <w:t xml:space="preserve"> a</w:t>
      </w:r>
      <w:r w:rsidRPr="00D34BE8">
        <w:rPr>
          <w:rFonts w:ascii="Book Antiqua" w:hAnsi="Book Antiqua"/>
          <w:sz w:val="20"/>
          <w:szCs w:val="20"/>
        </w:rPr>
        <w:t xml:space="preserve"> large number of virus cirrhosis patients with EVs. Predictive models with high accuracy need</w:t>
      </w:r>
      <w:r w:rsidR="00025B81" w:rsidRPr="00D34BE8">
        <w:rPr>
          <w:rFonts w:ascii="Book Antiqua" w:hAnsi="Book Antiqua"/>
          <w:sz w:val="20"/>
          <w:szCs w:val="20"/>
        </w:rPr>
        <w:t xml:space="preserve"> </w:t>
      </w:r>
      <w:r w:rsidRPr="00D34BE8">
        <w:rPr>
          <w:rFonts w:ascii="Book Antiqua" w:hAnsi="Book Antiqua"/>
          <w:sz w:val="20"/>
          <w:szCs w:val="20"/>
        </w:rPr>
        <w:t>to be established tak</w:t>
      </w:r>
      <w:r w:rsidR="00025B81" w:rsidRPr="00D34BE8">
        <w:rPr>
          <w:rFonts w:ascii="Book Antiqua" w:hAnsi="Book Antiqua"/>
          <w:sz w:val="20"/>
          <w:szCs w:val="20"/>
        </w:rPr>
        <w:t>ing</w:t>
      </w:r>
      <w:r w:rsidRPr="00D34BE8">
        <w:rPr>
          <w:rFonts w:ascii="Book Antiqua" w:hAnsi="Book Antiqua"/>
          <w:sz w:val="20"/>
          <w:szCs w:val="20"/>
        </w:rPr>
        <w:t xml:space="preserve"> into a</w:t>
      </w:r>
      <w:r w:rsidR="00025B81" w:rsidRPr="00D34BE8">
        <w:rPr>
          <w:rFonts w:ascii="Book Antiqua" w:hAnsi="Book Antiqua"/>
          <w:sz w:val="20"/>
          <w:szCs w:val="20"/>
        </w:rPr>
        <w:t>ccount</w:t>
      </w:r>
      <w:r w:rsidRPr="00D34BE8">
        <w:rPr>
          <w:rFonts w:ascii="Book Antiqua" w:hAnsi="Book Antiqua"/>
          <w:sz w:val="20"/>
          <w:szCs w:val="20"/>
        </w:rPr>
        <w:t xml:space="preserve"> the limitations of the new model.</w:t>
      </w:r>
    </w:p>
    <w:p w:rsidR="0017102F" w:rsidRPr="00D34BE8" w:rsidRDefault="0017102F" w:rsidP="00D34BE8">
      <w:pPr>
        <w:spacing w:after="0" w:line="360" w:lineRule="auto"/>
        <w:jc w:val="both"/>
        <w:rPr>
          <w:rFonts w:ascii="Book Antiqua" w:hAnsi="Book Antiqua"/>
          <w:sz w:val="20"/>
          <w:szCs w:val="20"/>
        </w:rPr>
      </w:pPr>
    </w:p>
    <w:p w:rsidR="00E00DC7" w:rsidRPr="00D34BE8" w:rsidRDefault="00E00DC7" w:rsidP="00D34BE8">
      <w:pPr>
        <w:widowControl w:val="0"/>
        <w:adjustRightInd/>
        <w:spacing w:after="0" w:line="360" w:lineRule="auto"/>
        <w:jc w:val="both"/>
        <w:rPr>
          <w:rFonts w:ascii="Book Antiqua" w:eastAsia="宋体" w:hAnsi="Book Antiqua"/>
          <w:b/>
          <w:color w:val="000000"/>
          <w:sz w:val="20"/>
          <w:szCs w:val="20"/>
          <w:lang w:eastAsia="pt-BR"/>
        </w:rPr>
      </w:pPr>
      <w:bookmarkStart w:id="34" w:name="_neb75A392EB_3B36_4300_B910_AECCE673910E"/>
      <w:r w:rsidRPr="00D34BE8">
        <w:rPr>
          <w:rFonts w:ascii="Book Antiqua" w:eastAsia="宋体" w:hAnsi="Book Antiqua"/>
          <w:b/>
          <w:color w:val="000000"/>
          <w:sz w:val="20"/>
          <w:szCs w:val="20"/>
          <w:lang w:eastAsia="pt-BR"/>
        </w:rPr>
        <w:t>REFERENCES</w:t>
      </w:r>
    </w:p>
    <w:bookmarkEnd w:id="34"/>
    <w:p w:rsidR="003234B3" w:rsidRPr="00D34BE8" w:rsidRDefault="003234B3" w:rsidP="00D34BE8">
      <w:pPr>
        <w:widowControl w:val="0"/>
        <w:adjustRightInd/>
        <w:spacing w:after="0" w:line="360" w:lineRule="auto"/>
        <w:jc w:val="both"/>
        <w:rPr>
          <w:rFonts w:ascii="Book Antiqua" w:eastAsia="等线" w:hAnsi="Book Antiqua"/>
          <w:kern w:val="2"/>
          <w:sz w:val="20"/>
          <w:szCs w:val="20"/>
        </w:rPr>
      </w:pPr>
      <w:r w:rsidRPr="00D34BE8">
        <w:rPr>
          <w:rFonts w:ascii="Book Antiqua" w:eastAsia="等线" w:hAnsi="Book Antiqua"/>
          <w:kern w:val="2"/>
          <w:sz w:val="20"/>
          <w:szCs w:val="20"/>
        </w:rPr>
        <w:t xml:space="preserve">1 </w:t>
      </w:r>
      <w:r w:rsidRPr="00D34BE8">
        <w:rPr>
          <w:rFonts w:ascii="Book Antiqua" w:eastAsia="等线" w:hAnsi="Book Antiqua"/>
          <w:b/>
          <w:kern w:val="2"/>
          <w:sz w:val="20"/>
          <w:szCs w:val="20"/>
        </w:rPr>
        <w:t>D'Amico G</w:t>
      </w:r>
      <w:r w:rsidRPr="00D34BE8">
        <w:rPr>
          <w:rFonts w:ascii="Book Antiqua" w:eastAsia="等线" w:hAnsi="Book Antiqua"/>
          <w:kern w:val="2"/>
          <w:sz w:val="20"/>
          <w:szCs w:val="20"/>
        </w:rPr>
        <w:t xml:space="preserve">, Pagliaro L, Bosch J. Pharmacological treatment of portal hypertension: an evidence-based approach. </w:t>
      </w:r>
      <w:r w:rsidRPr="00D34BE8">
        <w:rPr>
          <w:rFonts w:ascii="Book Antiqua" w:eastAsia="等线" w:hAnsi="Book Antiqua"/>
          <w:i/>
          <w:kern w:val="2"/>
          <w:sz w:val="20"/>
          <w:szCs w:val="20"/>
        </w:rPr>
        <w:t>Semin Liver Dis</w:t>
      </w:r>
      <w:r w:rsidRPr="00D34BE8">
        <w:rPr>
          <w:rFonts w:ascii="Book Antiqua" w:eastAsia="等线" w:hAnsi="Book Antiqua"/>
          <w:kern w:val="2"/>
          <w:sz w:val="20"/>
          <w:szCs w:val="20"/>
        </w:rPr>
        <w:t xml:space="preserve"> 1999; </w:t>
      </w:r>
      <w:r w:rsidRPr="00D34BE8">
        <w:rPr>
          <w:rFonts w:ascii="Book Antiqua" w:eastAsia="等线" w:hAnsi="Book Antiqua"/>
          <w:b/>
          <w:kern w:val="2"/>
          <w:sz w:val="20"/>
          <w:szCs w:val="20"/>
        </w:rPr>
        <w:t>19</w:t>
      </w:r>
      <w:r w:rsidRPr="00D34BE8">
        <w:rPr>
          <w:rFonts w:ascii="Book Antiqua" w:eastAsia="等线" w:hAnsi="Book Antiqua"/>
          <w:kern w:val="2"/>
          <w:sz w:val="20"/>
          <w:szCs w:val="20"/>
        </w:rPr>
        <w:t>: 475-505 [PMID: 10643630 DOI: 10.1055/s-2007-1007133]</w:t>
      </w:r>
    </w:p>
    <w:p w:rsidR="003234B3" w:rsidRPr="00D34BE8" w:rsidRDefault="003234B3" w:rsidP="00D34BE8">
      <w:pPr>
        <w:widowControl w:val="0"/>
        <w:adjustRightInd/>
        <w:spacing w:after="0" w:line="360" w:lineRule="auto"/>
        <w:jc w:val="both"/>
        <w:rPr>
          <w:rFonts w:ascii="Book Antiqua" w:eastAsia="等线" w:hAnsi="Book Antiqua"/>
          <w:kern w:val="2"/>
          <w:sz w:val="20"/>
          <w:szCs w:val="20"/>
        </w:rPr>
      </w:pPr>
      <w:r w:rsidRPr="00D34BE8">
        <w:rPr>
          <w:rFonts w:ascii="Book Antiqua" w:eastAsia="等线" w:hAnsi="Book Antiqua"/>
          <w:kern w:val="2"/>
          <w:sz w:val="20"/>
          <w:szCs w:val="20"/>
        </w:rPr>
        <w:t xml:space="preserve">2 </w:t>
      </w:r>
      <w:r w:rsidRPr="00D34BE8">
        <w:rPr>
          <w:rFonts w:ascii="Book Antiqua" w:eastAsia="等线" w:hAnsi="Book Antiqua"/>
          <w:b/>
          <w:kern w:val="2"/>
          <w:sz w:val="20"/>
          <w:szCs w:val="20"/>
        </w:rPr>
        <w:t>Karatzas A</w:t>
      </w:r>
      <w:r w:rsidRPr="00D34BE8">
        <w:rPr>
          <w:rFonts w:ascii="Book Antiqua" w:eastAsia="等线" w:hAnsi="Book Antiqua"/>
          <w:kern w:val="2"/>
          <w:sz w:val="20"/>
          <w:szCs w:val="20"/>
        </w:rPr>
        <w:t xml:space="preserve">, Konstantakis C, Aggeletopoulou I, Kalogeropoulou C, Thomopoulos K, Triantos C. Νon-invasive screening for esophageal varices in patients with liver cirrhosis. </w:t>
      </w:r>
      <w:r w:rsidRPr="00D34BE8">
        <w:rPr>
          <w:rFonts w:ascii="Book Antiqua" w:eastAsia="等线" w:hAnsi="Book Antiqua"/>
          <w:i/>
          <w:kern w:val="2"/>
          <w:sz w:val="20"/>
          <w:szCs w:val="20"/>
        </w:rPr>
        <w:t>Ann Gastroenterol</w:t>
      </w:r>
      <w:r w:rsidRPr="00D34BE8">
        <w:rPr>
          <w:rFonts w:ascii="Book Antiqua" w:eastAsia="等线" w:hAnsi="Book Antiqua"/>
          <w:kern w:val="2"/>
          <w:sz w:val="20"/>
          <w:szCs w:val="20"/>
        </w:rPr>
        <w:t xml:space="preserve"> 2018; </w:t>
      </w:r>
      <w:r w:rsidRPr="00D34BE8">
        <w:rPr>
          <w:rFonts w:ascii="Book Antiqua" w:eastAsia="等线" w:hAnsi="Book Antiqua"/>
          <w:b/>
          <w:kern w:val="2"/>
          <w:sz w:val="20"/>
          <w:szCs w:val="20"/>
        </w:rPr>
        <w:t>31</w:t>
      </w:r>
      <w:r w:rsidRPr="00D34BE8">
        <w:rPr>
          <w:rFonts w:ascii="Book Antiqua" w:eastAsia="等线" w:hAnsi="Book Antiqua"/>
          <w:kern w:val="2"/>
          <w:sz w:val="20"/>
          <w:szCs w:val="20"/>
        </w:rPr>
        <w:t>: 305-314 [PMID: 29720856 DOI: 10.20524/aog.2018.0241]</w:t>
      </w:r>
    </w:p>
    <w:p w:rsidR="003234B3" w:rsidRPr="00D34BE8" w:rsidRDefault="003234B3" w:rsidP="00D34BE8">
      <w:pPr>
        <w:widowControl w:val="0"/>
        <w:adjustRightInd/>
        <w:spacing w:after="0" w:line="360" w:lineRule="auto"/>
        <w:jc w:val="both"/>
        <w:rPr>
          <w:rFonts w:ascii="Book Antiqua" w:eastAsia="等线" w:hAnsi="Book Antiqua"/>
          <w:kern w:val="2"/>
          <w:sz w:val="20"/>
          <w:szCs w:val="20"/>
        </w:rPr>
      </w:pPr>
      <w:r w:rsidRPr="00D34BE8">
        <w:rPr>
          <w:rFonts w:ascii="Book Antiqua" w:eastAsia="等线" w:hAnsi="Book Antiqua"/>
          <w:kern w:val="2"/>
          <w:sz w:val="20"/>
          <w:szCs w:val="20"/>
        </w:rPr>
        <w:t xml:space="preserve">3 </w:t>
      </w:r>
      <w:r w:rsidRPr="00D34BE8">
        <w:rPr>
          <w:rFonts w:ascii="Book Antiqua" w:eastAsia="等线" w:hAnsi="Book Antiqua"/>
          <w:b/>
          <w:kern w:val="2"/>
          <w:sz w:val="20"/>
          <w:szCs w:val="20"/>
        </w:rPr>
        <w:t>Rigo GP</w:t>
      </w:r>
      <w:r w:rsidRPr="00D34BE8">
        <w:rPr>
          <w:rFonts w:ascii="Book Antiqua" w:eastAsia="等线" w:hAnsi="Book Antiqua"/>
          <w:kern w:val="2"/>
          <w:sz w:val="20"/>
          <w:szCs w:val="20"/>
        </w:rPr>
        <w:t xml:space="preserve">, Merighi A, Chahin NJ, Mastronardi M, Codeluppi PL, Ferrari A, Armocida C, Zanasi G, Cristani A, Cioni G. A prospective study of the ability of three endoscopic classifications to predict hemorrhage from esophageal varices. </w:t>
      </w:r>
      <w:r w:rsidRPr="00D34BE8">
        <w:rPr>
          <w:rFonts w:ascii="Book Antiqua" w:eastAsia="等线" w:hAnsi="Book Antiqua"/>
          <w:i/>
          <w:kern w:val="2"/>
          <w:sz w:val="20"/>
          <w:szCs w:val="20"/>
        </w:rPr>
        <w:t>Gastrointest Endosc</w:t>
      </w:r>
      <w:r w:rsidRPr="00D34BE8">
        <w:rPr>
          <w:rFonts w:ascii="Book Antiqua" w:eastAsia="等线" w:hAnsi="Book Antiqua"/>
          <w:kern w:val="2"/>
          <w:sz w:val="20"/>
          <w:szCs w:val="20"/>
        </w:rPr>
        <w:t xml:space="preserve"> 1992; </w:t>
      </w:r>
      <w:r w:rsidRPr="00D34BE8">
        <w:rPr>
          <w:rFonts w:ascii="Book Antiqua" w:eastAsia="等线" w:hAnsi="Book Antiqua"/>
          <w:b/>
          <w:kern w:val="2"/>
          <w:sz w:val="20"/>
          <w:szCs w:val="20"/>
        </w:rPr>
        <w:t>38</w:t>
      </w:r>
      <w:r w:rsidRPr="00D34BE8">
        <w:rPr>
          <w:rFonts w:ascii="Book Antiqua" w:eastAsia="等线" w:hAnsi="Book Antiqua"/>
          <w:kern w:val="2"/>
          <w:sz w:val="20"/>
          <w:szCs w:val="20"/>
        </w:rPr>
        <w:t>: 425-429 [PMID: 1511815 DOI: 10.1016/s0016-5107(92)70470-2]</w:t>
      </w:r>
    </w:p>
    <w:p w:rsidR="003234B3" w:rsidRPr="00D34BE8" w:rsidRDefault="003234B3" w:rsidP="00D34BE8">
      <w:pPr>
        <w:widowControl w:val="0"/>
        <w:adjustRightInd/>
        <w:spacing w:after="0" w:line="360" w:lineRule="auto"/>
        <w:jc w:val="both"/>
        <w:rPr>
          <w:rFonts w:ascii="Book Antiqua" w:eastAsia="等线" w:hAnsi="Book Antiqua"/>
          <w:kern w:val="2"/>
          <w:sz w:val="20"/>
          <w:szCs w:val="20"/>
        </w:rPr>
      </w:pPr>
      <w:r w:rsidRPr="00D34BE8">
        <w:rPr>
          <w:rFonts w:ascii="Book Antiqua" w:eastAsia="等线" w:hAnsi="Book Antiqua"/>
          <w:kern w:val="2"/>
          <w:sz w:val="20"/>
          <w:szCs w:val="20"/>
        </w:rPr>
        <w:t xml:space="preserve">4 </w:t>
      </w:r>
      <w:r w:rsidRPr="00D34BE8">
        <w:rPr>
          <w:rFonts w:ascii="Book Antiqua" w:eastAsia="等线" w:hAnsi="Book Antiqua"/>
          <w:b/>
          <w:kern w:val="2"/>
          <w:sz w:val="20"/>
          <w:szCs w:val="20"/>
        </w:rPr>
        <w:t>Kim T</w:t>
      </w:r>
      <w:r w:rsidRPr="00D34BE8">
        <w:rPr>
          <w:rFonts w:ascii="Book Antiqua" w:eastAsia="等线" w:hAnsi="Book Antiqua"/>
          <w:kern w:val="2"/>
          <w:sz w:val="20"/>
          <w:szCs w:val="20"/>
        </w:rPr>
        <w:t xml:space="preserve">, Shijo H, Kokawa H, Tokumitsu H, Kubara K, Ota K, Akiyoshi N, Iida T, Yokoyama M, Okumura M. Risk factors for hemorrhage from gastric fundal varices. </w:t>
      </w:r>
      <w:r w:rsidRPr="00D34BE8">
        <w:rPr>
          <w:rFonts w:ascii="Book Antiqua" w:eastAsia="等线" w:hAnsi="Book Antiqua"/>
          <w:i/>
          <w:kern w:val="2"/>
          <w:sz w:val="20"/>
          <w:szCs w:val="20"/>
        </w:rPr>
        <w:t>Hepatology</w:t>
      </w:r>
      <w:r w:rsidRPr="00D34BE8">
        <w:rPr>
          <w:rFonts w:ascii="Book Antiqua" w:eastAsia="等线" w:hAnsi="Book Antiqua"/>
          <w:kern w:val="2"/>
          <w:sz w:val="20"/>
          <w:szCs w:val="20"/>
        </w:rPr>
        <w:t xml:space="preserve"> 1997; </w:t>
      </w:r>
      <w:r w:rsidRPr="00D34BE8">
        <w:rPr>
          <w:rFonts w:ascii="Book Antiqua" w:eastAsia="等线" w:hAnsi="Book Antiqua"/>
          <w:b/>
          <w:kern w:val="2"/>
          <w:sz w:val="20"/>
          <w:szCs w:val="20"/>
        </w:rPr>
        <w:t>25</w:t>
      </w:r>
      <w:r w:rsidRPr="00D34BE8">
        <w:rPr>
          <w:rFonts w:ascii="Book Antiqua" w:eastAsia="等线" w:hAnsi="Book Antiqua"/>
          <w:kern w:val="2"/>
          <w:sz w:val="20"/>
          <w:szCs w:val="20"/>
        </w:rPr>
        <w:t>: 307-312 [PMID: 9021939 DOI: 10.1053/jhep.1997.v25.pm0009021939]</w:t>
      </w:r>
    </w:p>
    <w:p w:rsidR="003234B3" w:rsidRPr="00D34BE8" w:rsidRDefault="003234B3" w:rsidP="00D34BE8">
      <w:pPr>
        <w:widowControl w:val="0"/>
        <w:adjustRightInd/>
        <w:spacing w:after="0" w:line="360" w:lineRule="auto"/>
        <w:jc w:val="both"/>
        <w:rPr>
          <w:rFonts w:ascii="Book Antiqua" w:eastAsia="等线" w:hAnsi="Book Antiqua"/>
          <w:kern w:val="2"/>
          <w:sz w:val="20"/>
          <w:szCs w:val="20"/>
        </w:rPr>
      </w:pPr>
      <w:r w:rsidRPr="00D34BE8">
        <w:rPr>
          <w:rFonts w:ascii="Book Antiqua" w:eastAsia="等线" w:hAnsi="Book Antiqua"/>
          <w:kern w:val="2"/>
          <w:sz w:val="20"/>
          <w:szCs w:val="20"/>
        </w:rPr>
        <w:t xml:space="preserve">5 </w:t>
      </w:r>
      <w:r w:rsidRPr="00D34BE8">
        <w:rPr>
          <w:rFonts w:ascii="Book Antiqua" w:eastAsia="等线" w:hAnsi="Book Antiqua"/>
          <w:b/>
          <w:bCs/>
          <w:kern w:val="2"/>
          <w:sz w:val="20"/>
          <w:szCs w:val="20"/>
        </w:rPr>
        <w:t>Ling-Hu EQ</w:t>
      </w:r>
      <w:r w:rsidRPr="00D34BE8">
        <w:rPr>
          <w:rFonts w:ascii="Book Antiqua" w:eastAsia="等线" w:hAnsi="Book Antiqua"/>
          <w:kern w:val="2"/>
          <w:sz w:val="20"/>
          <w:szCs w:val="20"/>
        </w:rPr>
        <w:t xml:space="preserve">, Feng J. Development of a classification system for gastroesophageal varices according to its location, diameter and risk of bleeding. </w:t>
      </w:r>
      <w:r w:rsidRPr="00D34BE8">
        <w:rPr>
          <w:rFonts w:ascii="Book Antiqua" w:eastAsia="等线" w:hAnsi="Book Antiqua"/>
          <w:i/>
          <w:iCs/>
          <w:kern w:val="2"/>
          <w:sz w:val="20"/>
          <w:szCs w:val="20"/>
        </w:rPr>
        <w:t>Zhonghua Xiaohua Neijing Zhazhi</w:t>
      </w:r>
      <w:r w:rsidRPr="00D34BE8">
        <w:rPr>
          <w:rFonts w:ascii="Book Antiqua" w:eastAsia="等线" w:hAnsi="Book Antiqua"/>
          <w:kern w:val="2"/>
          <w:sz w:val="20"/>
          <w:szCs w:val="20"/>
        </w:rPr>
        <w:t xml:space="preserve"> 2008; </w:t>
      </w:r>
      <w:r w:rsidRPr="00D34BE8">
        <w:rPr>
          <w:rFonts w:ascii="Book Antiqua" w:eastAsia="等线" w:hAnsi="Book Antiqua"/>
          <w:b/>
          <w:bCs/>
          <w:kern w:val="2"/>
          <w:sz w:val="20"/>
          <w:szCs w:val="20"/>
        </w:rPr>
        <w:t>25</w:t>
      </w:r>
      <w:r w:rsidRPr="00D34BE8">
        <w:rPr>
          <w:rFonts w:ascii="Book Antiqua" w:eastAsia="等线" w:hAnsi="Book Antiqua"/>
          <w:kern w:val="2"/>
          <w:sz w:val="20"/>
          <w:szCs w:val="20"/>
        </w:rPr>
        <w:t>: 507-511 [DOI: 10.3760/cma.j.issn.1007-5232.2008.10.002]</w:t>
      </w:r>
    </w:p>
    <w:p w:rsidR="003234B3" w:rsidRPr="00D34BE8" w:rsidRDefault="003234B3" w:rsidP="00D34BE8">
      <w:pPr>
        <w:widowControl w:val="0"/>
        <w:adjustRightInd/>
        <w:spacing w:after="0" w:line="360" w:lineRule="auto"/>
        <w:jc w:val="both"/>
        <w:rPr>
          <w:rFonts w:ascii="Book Antiqua" w:eastAsia="等线" w:hAnsi="Book Antiqua"/>
          <w:kern w:val="2"/>
          <w:sz w:val="20"/>
          <w:szCs w:val="20"/>
        </w:rPr>
      </w:pPr>
      <w:r w:rsidRPr="00D34BE8">
        <w:rPr>
          <w:rFonts w:ascii="Book Antiqua" w:eastAsia="等线" w:hAnsi="Book Antiqua"/>
          <w:kern w:val="2"/>
          <w:sz w:val="20"/>
          <w:szCs w:val="20"/>
        </w:rPr>
        <w:t xml:space="preserve">6 </w:t>
      </w:r>
      <w:r w:rsidRPr="00D34BE8">
        <w:rPr>
          <w:rFonts w:ascii="Book Antiqua" w:eastAsia="等线" w:hAnsi="Book Antiqua"/>
          <w:b/>
          <w:kern w:val="2"/>
          <w:sz w:val="20"/>
          <w:szCs w:val="20"/>
        </w:rPr>
        <w:t>de Franchis R</w:t>
      </w:r>
      <w:r w:rsidRPr="00D34BE8">
        <w:rPr>
          <w:rFonts w:ascii="Book Antiqua" w:eastAsia="等线" w:hAnsi="Book Antiqua"/>
          <w:kern w:val="2"/>
          <w:sz w:val="20"/>
          <w:szCs w:val="20"/>
        </w:rPr>
        <w:t xml:space="preserve">; Baveno VI Faculty. Expanding consensus in portal hypertension: Report of the Baveno VI Consensus Workshop: Stratifying risk and individualizing care for portal hypertension. </w:t>
      </w:r>
      <w:r w:rsidRPr="00D34BE8">
        <w:rPr>
          <w:rFonts w:ascii="Book Antiqua" w:eastAsia="等线" w:hAnsi="Book Antiqua"/>
          <w:i/>
          <w:kern w:val="2"/>
          <w:sz w:val="20"/>
          <w:szCs w:val="20"/>
        </w:rPr>
        <w:t>J Hepatol</w:t>
      </w:r>
      <w:r w:rsidRPr="00D34BE8">
        <w:rPr>
          <w:rFonts w:ascii="Book Antiqua" w:eastAsia="等线" w:hAnsi="Book Antiqua"/>
          <w:kern w:val="2"/>
          <w:sz w:val="20"/>
          <w:szCs w:val="20"/>
        </w:rPr>
        <w:t xml:space="preserve"> 2015; </w:t>
      </w:r>
      <w:r w:rsidRPr="00D34BE8">
        <w:rPr>
          <w:rFonts w:ascii="Book Antiqua" w:eastAsia="等线" w:hAnsi="Book Antiqua"/>
          <w:b/>
          <w:kern w:val="2"/>
          <w:sz w:val="20"/>
          <w:szCs w:val="20"/>
        </w:rPr>
        <w:t>63</w:t>
      </w:r>
      <w:r w:rsidRPr="00D34BE8">
        <w:rPr>
          <w:rFonts w:ascii="Book Antiqua" w:eastAsia="等线" w:hAnsi="Book Antiqua"/>
          <w:kern w:val="2"/>
          <w:sz w:val="20"/>
          <w:szCs w:val="20"/>
        </w:rPr>
        <w:t>: 743-752 [PMID: 26047908 DOI: 10.1016/j.jhep.2015.05.022]</w:t>
      </w:r>
    </w:p>
    <w:p w:rsidR="003234B3" w:rsidRPr="00D34BE8" w:rsidRDefault="003234B3" w:rsidP="00D34BE8">
      <w:pPr>
        <w:widowControl w:val="0"/>
        <w:adjustRightInd/>
        <w:spacing w:after="0" w:line="360" w:lineRule="auto"/>
        <w:jc w:val="both"/>
        <w:rPr>
          <w:rFonts w:ascii="Book Antiqua" w:eastAsia="等线" w:hAnsi="Book Antiqua"/>
          <w:kern w:val="2"/>
          <w:sz w:val="20"/>
          <w:szCs w:val="20"/>
        </w:rPr>
      </w:pPr>
      <w:r w:rsidRPr="00D34BE8">
        <w:rPr>
          <w:rFonts w:ascii="Book Antiqua" w:eastAsia="等线" w:hAnsi="Book Antiqua"/>
          <w:kern w:val="2"/>
          <w:sz w:val="20"/>
          <w:szCs w:val="20"/>
        </w:rPr>
        <w:t xml:space="preserve">7 </w:t>
      </w:r>
      <w:r w:rsidRPr="00D34BE8">
        <w:rPr>
          <w:rFonts w:ascii="Book Antiqua" w:eastAsia="等线" w:hAnsi="Book Antiqua"/>
          <w:b/>
          <w:kern w:val="2"/>
          <w:sz w:val="20"/>
          <w:szCs w:val="20"/>
        </w:rPr>
        <w:t>Jalan R</w:t>
      </w:r>
      <w:r w:rsidRPr="00D34BE8">
        <w:rPr>
          <w:rFonts w:ascii="Book Antiqua" w:eastAsia="等线" w:hAnsi="Book Antiqua"/>
          <w:kern w:val="2"/>
          <w:sz w:val="20"/>
          <w:szCs w:val="20"/>
        </w:rPr>
        <w:t xml:space="preserve">, Hayes PC. UK guidelines on the management of variceal haemorrhage in cirrhotic patients. British Society of Gastroenterology. </w:t>
      </w:r>
      <w:r w:rsidRPr="00D34BE8">
        <w:rPr>
          <w:rFonts w:ascii="Book Antiqua" w:eastAsia="等线" w:hAnsi="Book Antiqua"/>
          <w:i/>
          <w:kern w:val="2"/>
          <w:sz w:val="20"/>
          <w:szCs w:val="20"/>
        </w:rPr>
        <w:t>Gut</w:t>
      </w:r>
      <w:r w:rsidRPr="00D34BE8">
        <w:rPr>
          <w:rFonts w:ascii="Book Antiqua" w:eastAsia="等线" w:hAnsi="Book Antiqua"/>
          <w:kern w:val="2"/>
          <w:sz w:val="20"/>
          <w:szCs w:val="20"/>
        </w:rPr>
        <w:t xml:space="preserve"> 2000; </w:t>
      </w:r>
      <w:r w:rsidRPr="00D34BE8">
        <w:rPr>
          <w:rFonts w:ascii="Book Antiqua" w:eastAsia="等线" w:hAnsi="Book Antiqua"/>
          <w:b/>
          <w:kern w:val="2"/>
          <w:sz w:val="20"/>
          <w:szCs w:val="20"/>
        </w:rPr>
        <w:t>46 Suppl 3-4</w:t>
      </w:r>
      <w:r w:rsidRPr="00D34BE8">
        <w:rPr>
          <w:rFonts w:ascii="Book Antiqua" w:eastAsia="等线" w:hAnsi="Book Antiqua"/>
          <w:kern w:val="2"/>
          <w:sz w:val="20"/>
          <w:szCs w:val="20"/>
        </w:rPr>
        <w:t>: III1-III15 [PMID: 10862604 DOI: 10.1136/gut.46.suppl_3.iii1]</w:t>
      </w:r>
    </w:p>
    <w:p w:rsidR="003234B3" w:rsidRPr="00D34BE8" w:rsidRDefault="003234B3" w:rsidP="00D34BE8">
      <w:pPr>
        <w:widowControl w:val="0"/>
        <w:adjustRightInd/>
        <w:spacing w:after="0" w:line="360" w:lineRule="auto"/>
        <w:jc w:val="both"/>
        <w:rPr>
          <w:rFonts w:ascii="Book Antiqua" w:eastAsia="等线" w:hAnsi="Book Antiqua"/>
          <w:kern w:val="2"/>
          <w:sz w:val="20"/>
          <w:szCs w:val="20"/>
        </w:rPr>
      </w:pPr>
      <w:r w:rsidRPr="00D34BE8">
        <w:rPr>
          <w:rFonts w:ascii="Book Antiqua" w:eastAsia="等线" w:hAnsi="Book Antiqua"/>
          <w:kern w:val="2"/>
          <w:sz w:val="20"/>
          <w:szCs w:val="20"/>
        </w:rPr>
        <w:t xml:space="preserve">8 </w:t>
      </w:r>
      <w:r w:rsidRPr="00D34BE8">
        <w:rPr>
          <w:rFonts w:ascii="Book Antiqua" w:eastAsia="等线" w:hAnsi="Book Antiqua"/>
          <w:b/>
          <w:kern w:val="2"/>
          <w:sz w:val="20"/>
          <w:szCs w:val="20"/>
        </w:rPr>
        <w:t>Abraldes JG</w:t>
      </w:r>
      <w:r w:rsidRPr="00D34BE8">
        <w:rPr>
          <w:rFonts w:ascii="Book Antiqua" w:eastAsia="等线" w:hAnsi="Book Antiqua"/>
          <w:kern w:val="2"/>
          <w:sz w:val="20"/>
          <w:szCs w:val="20"/>
        </w:rPr>
        <w:t xml:space="preserve">, Bureau C, Stefanescu H, Augustin S, Ney M, Blasco H, Procopet B, Bosch J, Genesca J, Berzigotti A; Anticipate Investigators. Noninvasive tools and risk of clinically significant portal hypertension and varices in compensated cirrhosis: The "Anticipate" study. </w:t>
      </w:r>
      <w:r w:rsidRPr="00D34BE8">
        <w:rPr>
          <w:rFonts w:ascii="Book Antiqua" w:eastAsia="等线" w:hAnsi="Book Antiqua"/>
          <w:i/>
          <w:kern w:val="2"/>
          <w:sz w:val="20"/>
          <w:szCs w:val="20"/>
        </w:rPr>
        <w:t>Hepatology</w:t>
      </w:r>
      <w:r w:rsidRPr="00D34BE8">
        <w:rPr>
          <w:rFonts w:ascii="Book Antiqua" w:eastAsia="等线" w:hAnsi="Book Antiqua"/>
          <w:kern w:val="2"/>
          <w:sz w:val="20"/>
          <w:szCs w:val="20"/>
        </w:rPr>
        <w:t xml:space="preserve"> 2016; </w:t>
      </w:r>
      <w:r w:rsidRPr="00D34BE8">
        <w:rPr>
          <w:rFonts w:ascii="Book Antiqua" w:eastAsia="等线" w:hAnsi="Book Antiqua"/>
          <w:b/>
          <w:kern w:val="2"/>
          <w:sz w:val="20"/>
          <w:szCs w:val="20"/>
        </w:rPr>
        <w:t>64</w:t>
      </w:r>
      <w:r w:rsidRPr="00D34BE8">
        <w:rPr>
          <w:rFonts w:ascii="Book Antiqua" w:eastAsia="等线" w:hAnsi="Book Antiqua"/>
          <w:kern w:val="2"/>
          <w:sz w:val="20"/>
          <w:szCs w:val="20"/>
        </w:rPr>
        <w:t>: 2173-2184 [PMID: 27639071 DOI: 10.1002/hep.28824]</w:t>
      </w:r>
    </w:p>
    <w:p w:rsidR="003234B3" w:rsidRPr="00D34BE8" w:rsidRDefault="003234B3" w:rsidP="00D34BE8">
      <w:pPr>
        <w:widowControl w:val="0"/>
        <w:adjustRightInd/>
        <w:spacing w:after="0" w:line="360" w:lineRule="auto"/>
        <w:jc w:val="both"/>
        <w:rPr>
          <w:rFonts w:ascii="Book Antiqua" w:eastAsia="等线" w:hAnsi="Book Antiqua"/>
          <w:kern w:val="2"/>
          <w:sz w:val="20"/>
          <w:szCs w:val="20"/>
        </w:rPr>
      </w:pPr>
      <w:r w:rsidRPr="00D34BE8">
        <w:rPr>
          <w:rFonts w:ascii="Book Antiqua" w:eastAsia="等线" w:hAnsi="Book Antiqua"/>
          <w:kern w:val="2"/>
          <w:sz w:val="20"/>
          <w:szCs w:val="20"/>
        </w:rPr>
        <w:t xml:space="preserve">9 </w:t>
      </w:r>
      <w:r w:rsidRPr="00D34BE8">
        <w:rPr>
          <w:rFonts w:ascii="Book Antiqua" w:eastAsia="等线" w:hAnsi="Book Antiqua"/>
          <w:b/>
          <w:kern w:val="2"/>
          <w:sz w:val="20"/>
          <w:szCs w:val="20"/>
        </w:rPr>
        <w:t>Reiberger T</w:t>
      </w:r>
      <w:r w:rsidRPr="00D34BE8">
        <w:rPr>
          <w:rFonts w:ascii="Book Antiqua" w:eastAsia="等线" w:hAnsi="Book Antiqua"/>
          <w:kern w:val="2"/>
          <w:sz w:val="20"/>
          <w:szCs w:val="20"/>
        </w:rPr>
        <w:t xml:space="preserve">, Püspök A, Schoder M, Baumann-Durchschein F, Bucsics T, Datz C, Dolak W, Ferlitsch A, Finkenstedt A, Graziadei I, Hametner S, Karnel F, Krones E, Maieron A, Mandorfer M, Peck-Radosavljevic M, Rainer F, Schwabl P, Stadlbauer V, Stauber R, Tilg H, Trauner M, Zoller H, Schöfl R, Fickert P. Austrian consensus guidelines on the management and treatment of portal hypertension (Billroth III). </w:t>
      </w:r>
      <w:r w:rsidRPr="00D34BE8">
        <w:rPr>
          <w:rFonts w:ascii="Book Antiqua" w:eastAsia="等线" w:hAnsi="Book Antiqua"/>
          <w:i/>
          <w:kern w:val="2"/>
          <w:sz w:val="20"/>
          <w:szCs w:val="20"/>
        </w:rPr>
        <w:t>Wien Klin Wochenschr</w:t>
      </w:r>
      <w:r w:rsidRPr="00D34BE8">
        <w:rPr>
          <w:rFonts w:ascii="Book Antiqua" w:eastAsia="等线" w:hAnsi="Book Antiqua"/>
          <w:kern w:val="2"/>
          <w:sz w:val="20"/>
          <w:szCs w:val="20"/>
        </w:rPr>
        <w:t xml:space="preserve"> 2017; </w:t>
      </w:r>
      <w:r w:rsidRPr="00D34BE8">
        <w:rPr>
          <w:rFonts w:ascii="Book Antiqua" w:eastAsia="等线" w:hAnsi="Book Antiqua"/>
          <w:b/>
          <w:kern w:val="2"/>
          <w:sz w:val="20"/>
          <w:szCs w:val="20"/>
        </w:rPr>
        <w:t>129</w:t>
      </w:r>
      <w:r w:rsidRPr="00D34BE8">
        <w:rPr>
          <w:rFonts w:ascii="Book Antiqua" w:eastAsia="等线" w:hAnsi="Book Antiqua"/>
          <w:kern w:val="2"/>
          <w:sz w:val="20"/>
          <w:szCs w:val="20"/>
        </w:rPr>
        <w:t>: 135-158 [PMID: 29063233 DOI: 10.1007/s00508-017-1262-3]</w:t>
      </w:r>
    </w:p>
    <w:p w:rsidR="003234B3" w:rsidRPr="00D34BE8" w:rsidRDefault="003234B3" w:rsidP="00D34BE8">
      <w:pPr>
        <w:widowControl w:val="0"/>
        <w:adjustRightInd/>
        <w:spacing w:after="0" w:line="360" w:lineRule="auto"/>
        <w:jc w:val="both"/>
        <w:rPr>
          <w:rFonts w:ascii="Book Antiqua" w:eastAsia="等线" w:hAnsi="Book Antiqua"/>
          <w:kern w:val="2"/>
          <w:sz w:val="20"/>
          <w:szCs w:val="20"/>
        </w:rPr>
      </w:pPr>
      <w:r w:rsidRPr="00D34BE8">
        <w:rPr>
          <w:rFonts w:ascii="Book Antiqua" w:eastAsia="等线" w:hAnsi="Book Antiqua"/>
          <w:kern w:val="2"/>
          <w:sz w:val="20"/>
          <w:szCs w:val="20"/>
        </w:rPr>
        <w:t xml:space="preserve">10 </w:t>
      </w:r>
      <w:r w:rsidRPr="00D34BE8">
        <w:rPr>
          <w:rFonts w:ascii="Book Antiqua" w:eastAsia="等线" w:hAnsi="Book Antiqua"/>
          <w:b/>
          <w:kern w:val="2"/>
          <w:sz w:val="20"/>
          <w:szCs w:val="20"/>
        </w:rPr>
        <w:t>Colecchia A</w:t>
      </w:r>
      <w:r w:rsidRPr="00D34BE8">
        <w:rPr>
          <w:rFonts w:ascii="Book Antiqua" w:eastAsia="等线" w:hAnsi="Book Antiqua"/>
          <w:kern w:val="2"/>
          <w:sz w:val="20"/>
          <w:szCs w:val="20"/>
        </w:rPr>
        <w:t xml:space="preserve">, Di Biase AR, Scaioli E, Predieri B, Iughetti L, Reggiani ML, Montrone L, Ceccarelli PL, Vestito A, Viola L, Paolucci P, Festi D. Non-invasive methods can predict oesophageal varices in patients with biliary atresia after a Kasai procedure. </w:t>
      </w:r>
      <w:r w:rsidRPr="00D34BE8">
        <w:rPr>
          <w:rFonts w:ascii="Book Antiqua" w:eastAsia="等线" w:hAnsi="Book Antiqua"/>
          <w:i/>
          <w:kern w:val="2"/>
          <w:sz w:val="20"/>
          <w:szCs w:val="20"/>
        </w:rPr>
        <w:t>Dig Liver Dis</w:t>
      </w:r>
      <w:r w:rsidRPr="00D34BE8">
        <w:rPr>
          <w:rFonts w:ascii="Book Antiqua" w:eastAsia="等线" w:hAnsi="Book Antiqua"/>
          <w:kern w:val="2"/>
          <w:sz w:val="20"/>
          <w:szCs w:val="20"/>
        </w:rPr>
        <w:t xml:space="preserve"> 2011; </w:t>
      </w:r>
      <w:r w:rsidRPr="00D34BE8">
        <w:rPr>
          <w:rFonts w:ascii="Book Antiqua" w:eastAsia="等线" w:hAnsi="Book Antiqua"/>
          <w:b/>
          <w:kern w:val="2"/>
          <w:sz w:val="20"/>
          <w:szCs w:val="20"/>
        </w:rPr>
        <w:t>43</w:t>
      </w:r>
      <w:r w:rsidRPr="00D34BE8">
        <w:rPr>
          <w:rFonts w:ascii="Book Antiqua" w:eastAsia="等线" w:hAnsi="Book Antiqua"/>
          <w:kern w:val="2"/>
          <w:sz w:val="20"/>
          <w:szCs w:val="20"/>
        </w:rPr>
        <w:t>: 659-663 [PMID: 21596631 DOI: 10.1016/j.dld.2011.04.006]</w:t>
      </w:r>
    </w:p>
    <w:p w:rsidR="003234B3" w:rsidRPr="00D34BE8" w:rsidRDefault="003234B3" w:rsidP="00D34BE8">
      <w:pPr>
        <w:widowControl w:val="0"/>
        <w:adjustRightInd/>
        <w:spacing w:after="0" w:line="360" w:lineRule="auto"/>
        <w:jc w:val="both"/>
        <w:rPr>
          <w:rFonts w:ascii="Book Antiqua" w:eastAsia="等线" w:hAnsi="Book Antiqua"/>
          <w:kern w:val="2"/>
          <w:sz w:val="20"/>
          <w:szCs w:val="20"/>
        </w:rPr>
      </w:pPr>
      <w:r w:rsidRPr="00D34BE8">
        <w:rPr>
          <w:rFonts w:ascii="Book Antiqua" w:eastAsia="等线" w:hAnsi="Book Antiqua"/>
          <w:kern w:val="2"/>
          <w:sz w:val="20"/>
          <w:szCs w:val="20"/>
        </w:rPr>
        <w:t xml:space="preserve">11 </w:t>
      </w:r>
      <w:r w:rsidRPr="00D34BE8">
        <w:rPr>
          <w:rFonts w:ascii="Book Antiqua" w:eastAsia="等线" w:hAnsi="Book Antiqua"/>
          <w:b/>
          <w:kern w:val="2"/>
          <w:sz w:val="20"/>
          <w:szCs w:val="20"/>
        </w:rPr>
        <w:t>Redvanly RD</w:t>
      </w:r>
      <w:r w:rsidRPr="00D34BE8">
        <w:rPr>
          <w:rFonts w:ascii="Book Antiqua" w:eastAsia="等线" w:hAnsi="Book Antiqua"/>
          <w:kern w:val="2"/>
          <w:sz w:val="20"/>
          <w:szCs w:val="20"/>
        </w:rPr>
        <w:t xml:space="preserve">, Nelson RC, Stieber AC, Dodd GD 3rd. Imaging in the preoperative evaluation of adult liver-transplant candidates: goals, merits of various procedures, and recommendations. </w:t>
      </w:r>
      <w:r w:rsidRPr="00D34BE8">
        <w:rPr>
          <w:rFonts w:ascii="Book Antiqua" w:eastAsia="等线" w:hAnsi="Book Antiqua"/>
          <w:i/>
          <w:kern w:val="2"/>
          <w:sz w:val="20"/>
          <w:szCs w:val="20"/>
        </w:rPr>
        <w:t>AJR Am J Roentgenol</w:t>
      </w:r>
      <w:r w:rsidRPr="00D34BE8">
        <w:rPr>
          <w:rFonts w:ascii="Book Antiqua" w:eastAsia="等线" w:hAnsi="Book Antiqua"/>
          <w:kern w:val="2"/>
          <w:sz w:val="20"/>
          <w:szCs w:val="20"/>
        </w:rPr>
        <w:t xml:space="preserve"> 1995; </w:t>
      </w:r>
      <w:r w:rsidRPr="00D34BE8">
        <w:rPr>
          <w:rFonts w:ascii="Book Antiqua" w:eastAsia="等线" w:hAnsi="Book Antiqua"/>
          <w:b/>
          <w:kern w:val="2"/>
          <w:sz w:val="20"/>
          <w:szCs w:val="20"/>
        </w:rPr>
        <w:t>164</w:t>
      </w:r>
      <w:r w:rsidRPr="00D34BE8">
        <w:rPr>
          <w:rFonts w:ascii="Book Antiqua" w:eastAsia="等线" w:hAnsi="Book Antiqua"/>
          <w:kern w:val="2"/>
          <w:sz w:val="20"/>
          <w:szCs w:val="20"/>
        </w:rPr>
        <w:t>: 611-617 [PMID: 7863881 DOI: 10.2214/ajr.164.3.7863881]</w:t>
      </w:r>
    </w:p>
    <w:p w:rsidR="003234B3" w:rsidRPr="00D34BE8" w:rsidRDefault="003234B3" w:rsidP="00D34BE8">
      <w:pPr>
        <w:widowControl w:val="0"/>
        <w:adjustRightInd/>
        <w:spacing w:after="0" w:line="360" w:lineRule="auto"/>
        <w:jc w:val="both"/>
        <w:rPr>
          <w:rFonts w:ascii="Book Antiqua" w:eastAsia="等线" w:hAnsi="Book Antiqua"/>
          <w:kern w:val="2"/>
          <w:sz w:val="20"/>
          <w:szCs w:val="20"/>
        </w:rPr>
      </w:pPr>
      <w:r w:rsidRPr="00D34BE8">
        <w:rPr>
          <w:rFonts w:ascii="Book Antiqua" w:eastAsia="等线" w:hAnsi="Book Antiqua"/>
          <w:kern w:val="2"/>
          <w:sz w:val="20"/>
          <w:szCs w:val="20"/>
        </w:rPr>
        <w:t xml:space="preserve">12 </w:t>
      </w:r>
      <w:r w:rsidRPr="00D34BE8">
        <w:rPr>
          <w:rFonts w:ascii="Book Antiqua" w:eastAsia="等线" w:hAnsi="Book Antiqua"/>
          <w:b/>
          <w:kern w:val="2"/>
          <w:sz w:val="20"/>
          <w:szCs w:val="20"/>
        </w:rPr>
        <w:t>Urata K</w:t>
      </w:r>
      <w:r w:rsidRPr="00D34BE8">
        <w:rPr>
          <w:rFonts w:ascii="Book Antiqua" w:eastAsia="等线" w:hAnsi="Book Antiqua"/>
          <w:kern w:val="2"/>
          <w:sz w:val="20"/>
          <w:szCs w:val="20"/>
        </w:rPr>
        <w:t xml:space="preserve">, Kawasaki S, Matsunami H, Hashikura Y, Ikegami T, Ishizone S, Momose Y, Komiyama A, Makuuchi M. Calculation of child and adult standard liver volume for liver transplantation. </w:t>
      </w:r>
      <w:r w:rsidRPr="00D34BE8">
        <w:rPr>
          <w:rFonts w:ascii="Book Antiqua" w:eastAsia="等线" w:hAnsi="Book Antiqua"/>
          <w:i/>
          <w:kern w:val="2"/>
          <w:sz w:val="20"/>
          <w:szCs w:val="20"/>
        </w:rPr>
        <w:t>Hepatology</w:t>
      </w:r>
      <w:r w:rsidRPr="00D34BE8">
        <w:rPr>
          <w:rFonts w:ascii="Book Antiqua" w:eastAsia="等线" w:hAnsi="Book Antiqua"/>
          <w:kern w:val="2"/>
          <w:sz w:val="20"/>
          <w:szCs w:val="20"/>
        </w:rPr>
        <w:t xml:space="preserve"> 1995; </w:t>
      </w:r>
      <w:r w:rsidRPr="00D34BE8">
        <w:rPr>
          <w:rFonts w:ascii="Book Antiqua" w:eastAsia="等线" w:hAnsi="Book Antiqua"/>
          <w:b/>
          <w:kern w:val="2"/>
          <w:sz w:val="20"/>
          <w:szCs w:val="20"/>
        </w:rPr>
        <w:t>21</w:t>
      </w:r>
      <w:r w:rsidRPr="00D34BE8">
        <w:rPr>
          <w:rFonts w:ascii="Book Antiqua" w:eastAsia="等线" w:hAnsi="Book Antiqua"/>
          <w:kern w:val="2"/>
          <w:sz w:val="20"/>
          <w:szCs w:val="20"/>
        </w:rPr>
        <w:t>: 1317-1321 [PMID: 7737637 DOI: 10.1002/hep.1840210515]</w:t>
      </w:r>
    </w:p>
    <w:p w:rsidR="003234B3" w:rsidRPr="00D34BE8" w:rsidRDefault="003234B3" w:rsidP="00D34BE8">
      <w:pPr>
        <w:widowControl w:val="0"/>
        <w:adjustRightInd/>
        <w:spacing w:after="0" w:line="360" w:lineRule="auto"/>
        <w:jc w:val="both"/>
        <w:rPr>
          <w:rFonts w:ascii="Book Antiqua" w:eastAsia="等线" w:hAnsi="Book Antiqua"/>
          <w:kern w:val="2"/>
          <w:sz w:val="20"/>
          <w:szCs w:val="20"/>
        </w:rPr>
      </w:pPr>
      <w:r w:rsidRPr="00D34BE8">
        <w:rPr>
          <w:rFonts w:ascii="Book Antiqua" w:eastAsia="等线" w:hAnsi="Book Antiqua"/>
          <w:kern w:val="2"/>
          <w:sz w:val="20"/>
          <w:szCs w:val="20"/>
        </w:rPr>
        <w:t xml:space="preserve">13 </w:t>
      </w:r>
      <w:r w:rsidRPr="00D34BE8">
        <w:rPr>
          <w:rFonts w:ascii="Book Antiqua" w:eastAsia="等线" w:hAnsi="Book Antiqua"/>
          <w:b/>
          <w:kern w:val="2"/>
          <w:sz w:val="20"/>
          <w:szCs w:val="20"/>
        </w:rPr>
        <w:t>Feng LM</w:t>
      </w:r>
      <w:r w:rsidRPr="00D34BE8">
        <w:rPr>
          <w:rFonts w:ascii="Book Antiqua" w:eastAsia="等线" w:hAnsi="Book Antiqua"/>
          <w:kern w:val="2"/>
          <w:sz w:val="20"/>
          <w:szCs w:val="20"/>
        </w:rPr>
        <w:t xml:space="preserve">, Wang PQ, Yu H, Chen RT, Wang J, Sheng X, Yuan ZL, Shi PM, Xie WF, Zeng X. New formula for predicting standard liver volume in Chinese adults. </w:t>
      </w:r>
      <w:r w:rsidRPr="00D34BE8">
        <w:rPr>
          <w:rFonts w:ascii="Book Antiqua" w:eastAsia="等线" w:hAnsi="Book Antiqua"/>
          <w:i/>
          <w:kern w:val="2"/>
          <w:sz w:val="20"/>
          <w:szCs w:val="20"/>
        </w:rPr>
        <w:t>World J Gastroenterol</w:t>
      </w:r>
      <w:r w:rsidRPr="00D34BE8">
        <w:rPr>
          <w:rFonts w:ascii="Book Antiqua" w:eastAsia="等线" w:hAnsi="Book Antiqua"/>
          <w:kern w:val="2"/>
          <w:sz w:val="20"/>
          <w:szCs w:val="20"/>
        </w:rPr>
        <w:t xml:space="preserve"> 2017; </w:t>
      </w:r>
      <w:r w:rsidRPr="00D34BE8">
        <w:rPr>
          <w:rFonts w:ascii="Book Antiqua" w:eastAsia="等线" w:hAnsi="Book Antiqua"/>
          <w:b/>
          <w:kern w:val="2"/>
          <w:sz w:val="20"/>
          <w:szCs w:val="20"/>
        </w:rPr>
        <w:t>23</w:t>
      </w:r>
      <w:r w:rsidRPr="00D34BE8">
        <w:rPr>
          <w:rFonts w:ascii="Book Antiqua" w:eastAsia="等线" w:hAnsi="Book Antiqua"/>
          <w:kern w:val="2"/>
          <w:sz w:val="20"/>
          <w:szCs w:val="20"/>
        </w:rPr>
        <w:t>: 4968-4977 [PMID: 28785151 DOI: 10.3748/wjg.v23.i27.4968]</w:t>
      </w:r>
    </w:p>
    <w:p w:rsidR="003234B3" w:rsidRPr="00D34BE8" w:rsidRDefault="003234B3" w:rsidP="00D34BE8">
      <w:pPr>
        <w:widowControl w:val="0"/>
        <w:adjustRightInd/>
        <w:spacing w:after="0" w:line="360" w:lineRule="auto"/>
        <w:jc w:val="both"/>
        <w:rPr>
          <w:rFonts w:ascii="Book Antiqua" w:eastAsia="等线" w:hAnsi="Book Antiqua"/>
          <w:kern w:val="2"/>
          <w:sz w:val="20"/>
          <w:szCs w:val="20"/>
        </w:rPr>
      </w:pPr>
      <w:r w:rsidRPr="00D34BE8">
        <w:rPr>
          <w:rFonts w:ascii="Book Antiqua" w:eastAsia="等线" w:hAnsi="Book Antiqua"/>
          <w:kern w:val="2"/>
          <w:sz w:val="20"/>
          <w:szCs w:val="20"/>
        </w:rPr>
        <w:t xml:space="preserve">14 </w:t>
      </w:r>
      <w:r w:rsidRPr="00D34BE8">
        <w:rPr>
          <w:rFonts w:ascii="Book Antiqua" w:eastAsia="等线" w:hAnsi="Book Antiqua"/>
          <w:b/>
          <w:kern w:val="2"/>
          <w:sz w:val="20"/>
          <w:szCs w:val="20"/>
        </w:rPr>
        <w:t>Poovathumkadavil A</w:t>
      </w:r>
      <w:r w:rsidRPr="00D34BE8">
        <w:rPr>
          <w:rFonts w:ascii="Book Antiqua" w:eastAsia="等线" w:hAnsi="Book Antiqua"/>
          <w:kern w:val="2"/>
          <w:sz w:val="20"/>
          <w:szCs w:val="20"/>
        </w:rPr>
        <w:t xml:space="preserve">, Leung KF, Al Ghamdi HM, Othman Iel H, Meshikhes AW. Standard formula for liver volume in Middle Eastern Arabic adults. </w:t>
      </w:r>
      <w:r w:rsidRPr="00D34BE8">
        <w:rPr>
          <w:rFonts w:ascii="Book Antiqua" w:eastAsia="等线" w:hAnsi="Book Antiqua"/>
          <w:i/>
          <w:kern w:val="2"/>
          <w:sz w:val="20"/>
          <w:szCs w:val="20"/>
        </w:rPr>
        <w:t>Transplant Proc</w:t>
      </w:r>
      <w:r w:rsidRPr="00D34BE8">
        <w:rPr>
          <w:rFonts w:ascii="Book Antiqua" w:eastAsia="等线" w:hAnsi="Book Antiqua"/>
          <w:kern w:val="2"/>
          <w:sz w:val="20"/>
          <w:szCs w:val="20"/>
        </w:rPr>
        <w:t xml:space="preserve"> 2010; </w:t>
      </w:r>
      <w:r w:rsidRPr="00D34BE8">
        <w:rPr>
          <w:rFonts w:ascii="Book Antiqua" w:eastAsia="等线" w:hAnsi="Book Antiqua"/>
          <w:b/>
          <w:kern w:val="2"/>
          <w:sz w:val="20"/>
          <w:szCs w:val="20"/>
        </w:rPr>
        <w:t>42</w:t>
      </w:r>
      <w:r w:rsidRPr="00D34BE8">
        <w:rPr>
          <w:rFonts w:ascii="Book Antiqua" w:eastAsia="等线" w:hAnsi="Book Antiqua"/>
          <w:kern w:val="2"/>
          <w:sz w:val="20"/>
          <w:szCs w:val="20"/>
        </w:rPr>
        <w:t>: 3600-3605 [PMID: 21094823 DOI: 10.1016/j.transproceed.2010.07.098]</w:t>
      </w:r>
    </w:p>
    <w:p w:rsidR="003234B3" w:rsidRPr="00D34BE8" w:rsidRDefault="003234B3" w:rsidP="00D34BE8">
      <w:pPr>
        <w:widowControl w:val="0"/>
        <w:adjustRightInd/>
        <w:spacing w:after="0" w:line="360" w:lineRule="auto"/>
        <w:jc w:val="both"/>
        <w:rPr>
          <w:rFonts w:ascii="Book Antiqua" w:eastAsia="等线" w:hAnsi="Book Antiqua"/>
          <w:kern w:val="2"/>
          <w:sz w:val="20"/>
          <w:szCs w:val="20"/>
        </w:rPr>
      </w:pPr>
      <w:r w:rsidRPr="00D34BE8">
        <w:rPr>
          <w:rFonts w:ascii="Book Antiqua" w:eastAsia="等线" w:hAnsi="Book Antiqua"/>
          <w:kern w:val="2"/>
          <w:sz w:val="20"/>
          <w:szCs w:val="20"/>
        </w:rPr>
        <w:t xml:space="preserve">15 </w:t>
      </w:r>
      <w:r w:rsidRPr="00D34BE8">
        <w:rPr>
          <w:rFonts w:ascii="Book Antiqua" w:eastAsia="等线" w:hAnsi="Book Antiqua"/>
          <w:b/>
          <w:kern w:val="2"/>
          <w:sz w:val="20"/>
          <w:szCs w:val="20"/>
        </w:rPr>
        <w:t>Fu-Gui L</w:t>
      </w:r>
      <w:r w:rsidRPr="00D34BE8">
        <w:rPr>
          <w:rFonts w:ascii="Book Antiqua" w:eastAsia="等线" w:hAnsi="Book Antiqua"/>
          <w:kern w:val="2"/>
          <w:sz w:val="20"/>
          <w:szCs w:val="20"/>
        </w:rPr>
        <w:t xml:space="preserve">, Lu-Nan Y, Bo L, Yong Z, Tian-Fu W, Ming-Qing X, Wen-Tao W, Zhe-Yu C. Estimation of standard liver volume in Chinese adult living donors. </w:t>
      </w:r>
      <w:r w:rsidRPr="00D34BE8">
        <w:rPr>
          <w:rFonts w:ascii="Book Antiqua" w:eastAsia="等线" w:hAnsi="Book Antiqua"/>
          <w:i/>
          <w:kern w:val="2"/>
          <w:sz w:val="20"/>
          <w:szCs w:val="20"/>
        </w:rPr>
        <w:t>Transplant Proc</w:t>
      </w:r>
      <w:r w:rsidRPr="00D34BE8">
        <w:rPr>
          <w:rFonts w:ascii="Book Antiqua" w:eastAsia="等线" w:hAnsi="Book Antiqua"/>
          <w:kern w:val="2"/>
          <w:sz w:val="20"/>
          <w:szCs w:val="20"/>
        </w:rPr>
        <w:t xml:space="preserve"> 2009; </w:t>
      </w:r>
      <w:r w:rsidRPr="00D34BE8">
        <w:rPr>
          <w:rFonts w:ascii="Book Antiqua" w:eastAsia="等线" w:hAnsi="Book Antiqua"/>
          <w:b/>
          <w:kern w:val="2"/>
          <w:sz w:val="20"/>
          <w:szCs w:val="20"/>
        </w:rPr>
        <w:t>41</w:t>
      </w:r>
      <w:r w:rsidRPr="00D34BE8">
        <w:rPr>
          <w:rFonts w:ascii="Book Antiqua" w:eastAsia="等线" w:hAnsi="Book Antiqua"/>
          <w:kern w:val="2"/>
          <w:sz w:val="20"/>
          <w:szCs w:val="20"/>
        </w:rPr>
        <w:t>: 4052-4056 [PMID: 20005340 DOI: 10.1016/j.transproceed.2009.08.079]</w:t>
      </w:r>
    </w:p>
    <w:p w:rsidR="003234B3" w:rsidRPr="00D34BE8" w:rsidRDefault="003234B3" w:rsidP="00D34BE8">
      <w:pPr>
        <w:widowControl w:val="0"/>
        <w:adjustRightInd/>
        <w:spacing w:after="0" w:line="360" w:lineRule="auto"/>
        <w:jc w:val="both"/>
        <w:rPr>
          <w:rFonts w:ascii="Book Antiqua" w:eastAsia="等线" w:hAnsi="Book Antiqua"/>
          <w:kern w:val="2"/>
          <w:sz w:val="20"/>
          <w:szCs w:val="20"/>
        </w:rPr>
      </w:pPr>
      <w:r w:rsidRPr="00D34BE8">
        <w:rPr>
          <w:rFonts w:ascii="Book Antiqua" w:eastAsia="等线" w:hAnsi="Book Antiqua"/>
          <w:kern w:val="2"/>
          <w:sz w:val="20"/>
          <w:szCs w:val="20"/>
        </w:rPr>
        <w:t xml:space="preserve">16 </w:t>
      </w:r>
      <w:r w:rsidRPr="00D34BE8">
        <w:rPr>
          <w:rFonts w:ascii="Book Antiqua" w:eastAsia="等线" w:hAnsi="Book Antiqua"/>
          <w:b/>
          <w:kern w:val="2"/>
          <w:sz w:val="20"/>
          <w:szCs w:val="20"/>
        </w:rPr>
        <w:t>Colecchia A</w:t>
      </w:r>
      <w:r w:rsidRPr="00D34BE8">
        <w:rPr>
          <w:rFonts w:ascii="Book Antiqua" w:eastAsia="等线" w:hAnsi="Book Antiqua"/>
          <w:kern w:val="2"/>
          <w:sz w:val="20"/>
          <w:szCs w:val="20"/>
        </w:rPr>
        <w:t xml:space="preserve">, Montrone L, Scaioli E, Bacchi-Reggiani ML, Colli A, Casazza G, Schiumerini R, Turco L, Di Biase AR, Mazzella G, Marzi L, Arena U, Pinzani M, Festi D. Measurement of spleen stiffness to evaluate portal hypertension and the presence of esophageal varices in patients with HCV-related cirrhosis. </w:t>
      </w:r>
      <w:r w:rsidRPr="00D34BE8">
        <w:rPr>
          <w:rFonts w:ascii="Book Antiqua" w:eastAsia="等线" w:hAnsi="Book Antiqua"/>
          <w:i/>
          <w:kern w:val="2"/>
          <w:sz w:val="20"/>
          <w:szCs w:val="20"/>
        </w:rPr>
        <w:t>Gastroenterology</w:t>
      </w:r>
      <w:r w:rsidRPr="00D34BE8">
        <w:rPr>
          <w:rFonts w:ascii="Book Antiqua" w:eastAsia="等线" w:hAnsi="Book Antiqua"/>
          <w:kern w:val="2"/>
          <w:sz w:val="20"/>
          <w:szCs w:val="20"/>
        </w:rPr>
        <w:t xml:space="preserve"> 2012; </w:t>
      </w:r>
      <w:r w:rsidRPr="00D34BE8">
        <w:rPr>
          <w:rFonts w:ascii="Book Antiqua" w:eastAsia="等线" w:hAnsi="Book Antiqua"/>
          <w:b/>
          <w:kern w:val="2"/>
          <w:sz w:val="20"/>
          <w:szCs w:val="20"/>
        </w:rPr>
        <w:t>143</w:t>
      </w:r>
      <w:r w:rsidRPr="00D34BE8">
        <w:rPr>
          <w:rFonts w:ascii="Book Antiqua" w:eastAsia="等线" w:hAnsi="Book Antiqua"/>
          <w:kern w:val="2"/>
          <w:sz w:val="20"/>
          <w:szCs w:val="20"/>
        </w:rPr>
        <w:t>: 646-654 [PMID: 22643348 DOI: 10.1053/j.gastro.2012.05.035]</w:t>
      </w:r>
    </w:p>
    <w:p w:rsidR="003234B3" w:rsidRPr="00D34BE8" w:rsidRDefault="003234B3" w:rsidP="00D34BE8">
      <w:pPr>
        <w:widowControl w:val="0"/>
        <w:adjustRightInd/>
        <w:spacing w:after="0" w:line="360" w:lineRule="auto"/>
        <w:jc w:val="both"/>
        <w:rPr>
          <w:rFonts w:ascii="Book Antiqua" w:eastAsia="等线" w:hAnsi="Book Antiqua"/>
          <w:kern w:val="2"/>
          <w:sz w:val="20"/>
          <w:szCs w:val="20"/>
        </w:rPr>
      </w:pPr>
      <w:r w:rsidRPr="00D34BE8">
        <w:rPr>
          <w:rFonts w:ascii="Book Antiqua" w:eastAsia="等线" w:hAnsi="Book Antiqua"/>
          <w:kern w:val="2"/>
          <w:sz w:val="20"/>
          <w:szCs w:val="20"/>
        </w:rPr>
        <w:t xml:space="preserve">17 </w:t>
      </w:r>
      <w:r w:rsidRPr="00D34BE8">
        <w:rPr>
          <w:rFonts w:ascii="Book Antiqua" w:eastAsia="等线" w:hAnsi="Book Antiqua"/>
          <w:b/>
          <w:bCs/>
          <w:kern w:val="2"/>
          <w:sz w:val="20"/>
          <w:szCs w:val="20"/>
        </w:rPr>
        <w:t>Zhang XL</w:t>
      </w:r>
      <w:r w:rsidRPr="00D34BE8">
        <w:rPr>
          <w:rFonts w:ascii="Book Antiqua" w:eastAsia="等线" w:hAnsi="Book Antiqua"/>
          <w:kern w:val="2"/>
          <w:sz w:val="20"/>
          <w:szCs w:val="20"/>
        </w:rPr>
        <w:t xml:space="preserve">, Shen LX. Application and Significance of FibroTouch for Detection of Liver Fibrosis. </w:t>
      </w:r>
      <w:r w:rsidRPr="00D34BE8">
        <w:rPr>
          <w:rFonts w:ascii="Book Antiqua" w:eastAsia="等线" w:hAnsi="Book Antiqua"/>
          <w:i/>
          <w:iCs/>
          <w:kern w:val="2"/>
          <w:sz w:val="20"/>
          <w:szCs w:val="20"/>
        </w:rPr>
        <w:t>World Latest Med Inform Abs</w:t>
      </w:r>
      <w:r w:rsidRPr="00D34BE8">
        <w:rPr>
          <w:rFonts w:ascii="Book Antiqua" w:eastAsia="等线" w:hAnsi="Book Antiqua"/>
          <w:kern w:val="2"/>
          <w:sz w:val="20"/>
          <w:szCs w:val="20"/>
        </w:rPr>
        <w:t xml:space="preserve"> 2018; </w:t>
      </w:r>
      <w:r w:rsidRPr="00D34BE8">
        <w:rPr>
          <w:rFonts w:ascii="Book Antiqua" w:eastAsia="等线" w:hAnsi="Book Antiqua"/>
          <w:b/>
          <w:bCs/>
          <w:kern w:val="2"/>
          <w:sz w:val="20"/>
          <w:szCs w:val="20"/>
        </w:rPr>
        <w:t>18</w:t>
      </w:r>
      <w:r w:rsidRPr="00D34BE8">
        <w:rPr>
          <w:rFonts w:ascii="Book Antiqua" w:eastAsia="等线" w:hAnsi="Book Antiqua"/>
          <w:kern w:val="2"/>
          <w:sz w:val="20"/>
          <w:szCs w:val="20"/>
        </w:rPr>
        <w:t>: 174-175 [DOI: 10.19613/j.cnki.1671-3141.2018.32.131]</w:t>
      </w:r>
    </w:p>
    <w:p w:rsidR="003234B3" w:rsidRPr="00D34BE8" w:rsidRDefault="003234B3" w:rsidP="00D34BE8">
      <w:pPr>
        <w:widowControl w:val="0"/>
        <w:adjustRightInd/>
        <w:spacing w:after="0" w:line="360" w:lineRule="auto"/>
        <w:jc w:val="both"/>
        <w:rPr>
          <w:rFonts w:ascii="Book Antiqua" w:eastAsia="等线" w:hAnsi="Book Antiqua"/>
          <w:kern w:val="2"/>
          <w:sz w:val="20"/>
          <w:szCs w:val="20"/>
        </w:rPr>
      </w:pPr>
      <w:r w:rsidRPr="00D34BE8">
        <w:rPr>
          <w:rFonts w:ascii="Book Antiqua" w:eastAsia="等线" w:hAnsi="Book Antiqua"/>
          <w:kern w:val="2"/>
          <w:sz w:val="20"/>
          <w:szCs w:val="20"/>
        </w:rPr>
        <w:t xml:space="preserve">18 </w:t>
      </w:r>
      <w:r w:rsidRPr="00D34BE8">
        <w:rPr>
          <w:rFonts w:ascii="Book Antiqua" w:eastAsia="等线" w:hAnsi="Book Antiqua"/>
          <w:b/>
          <w:bCs/>
          <w:kern w:val="2"/>
          <w:sz w:val="20"/>
          <w:szCs w:val="20"/>
        </w:rPr>
        <w:t>Zeng J</w:t>
      </w:r>
      <w:r w:rsidRPr="00D34BE8">
        <w:rPr>
          <w:rFonts w:ascii="Book Antiqua" w:eastAsia="等线" w:hAnsi="Book Antiqua"/>
          <w:kern w:val="2"/>
          <w:sz w:val="20"/>
          <w:szCs w:val="20"/>
        </w:rPr>
        <w:t xml:space="preserve">, Sun WL, Chen GY, Pan Q, Yan SY, Sun C, Xu ZJ, Fan JG. Efficiency of FibroScan and FibroTouch in liver stiffness measurement and fat quantification: a comparative analysis. </w:t>
      </w:r>
      <w:r w:rsidRPr="00D34BE8">
        <w:rPr>
          <w:rFonts w:ascii="Book Antiqua" w:eastAsia="等线" w:hAnsi="Book Antiqua"/>
          <w:i/>
          <w:iCs/>
          <w:kern w:val="2"/>
          <w:sz w:val="20"/>
          <w:szCs w:val="20"/>
        </w:rPr>
        <w:t>Zhonghua Gan Zang Bing Za Zhi</w:t>
      </w:r>
      <w:r w:rsidRPr="00D34BE8">
        <w:rPr>
          <w:rFonts w:ascii="Book Antiqua" w:eastAsia="等线" w:hAnsi="Book Antiqua"/>
          <w:kern w:val="2"/>
          <w:sz w:val="20"/>
          <w:szCs w:val="20"/>
        </w:rPr>
        <w:t xml:space="preserve"> 2016; </w:t>
      </w:r>
      <w:r w:rsidRPr="00D34BE8">
        <w:rPr>
          <w:rFonts w:ascii="Book Antiqua" w:eastAsia="等线" w:hAnsi="Book Antiqua"/>
          <w:b/>
          <w:bCs/>
          <w:kern w:val="2"/>
          <w:sz w:val="20"/>
          <w:szCs w:val="20"/>
        </w:rPr>
        <w:t>24</w:t>
      </w:r>
      <w:r w:rsidRPr="00D34BE8">
        <w:rPr>
          <w:rFonts w:ascii="Book Antiqua" w:eastAsia="等线" w:hAnsi="Book Antiqua"/>
          <w:kern w:val="2"/>
          <w:sz w:val="20"/>
          <w:szCs w:val="20"/>
        </w:rPr>
        <w:t>: 652-658 [PMID: 27788720 DOI: 10.3760/cma.j.issn.1007-3418.2016.09.004]</w:t>
      </w:r>
    </w:p>
    <w:p w:rsidR="003234B3" w:rsidRPr="00D34BE8" w:rsidRDefault="003234B3" w:rsidP="00D34BE8">
      <w:pPr>
        <w:widowControl w:val="0"/>
        <w:adjustRightInd/>
        <w:spacing w:after="0" w:line="360" w:lineRule="auto"/>
        <w:jc w:val="both"/>
        <w:rPr>
          <w:rFonts w:ascii="Book Antiqua" w:eastAsia="等线" w:hAnsi="Book Antiqua"/>
          <w:kern w:val="2"/>
          <w:sz w:val="20"/>
          <w:szCs w:val="20"/>
        </w:rPr>
      </w:pPr>
      <w:r w:rsidRPr="00D34BE8">
        <w:rPr>
          <w:rFonts w:ascii="Book Antiqua" w:eastAsia="等线" w:hAnsi="Book Antiqua"/>
          <w:kern w:val="2"/>
          <w:sz w:val="20"/>
          <w:szCs w:val="20"/>
        </w:rPr>
        <w:t xml:space="preserve">19 </w:t>
      </w:r>
      <w:r w:rsidRPr="00D34BE8">
        <w:rPr>
          <w:rFonts w:ascii="Book Antiqua" w:eastAsia="等线" w:hAnsi="Book Antiqua"/>
          <w:b/>
          <w:kern w:val="2"/>
          <w:sz w:val="20"/>
          <w:szCs w:val="20"/>
        </w:rPr>
        <w:t>Kim BK</w:t>
      </w:r>
      <w:r w:rsidRPr="00D34BE8">
        <w:rPr>
          <w:rFonts w:ascii="Book Antiqua" w:eastAsia="等线" w:hAnsi="Book Antiqua"/>
          <w:kern w:val="2"/>
          <w:sz w:val="20"/>
          <w:szCs w:val="20"/>
        </w:rPr>
        <w:t xml:space="preserve">, Han KH, Park JY, Ahn SH, Kim JK, Paik YH, Lee KS, Chon CY, Kim DY. A liver stiffness measurement-based, noninvasive prediction model for high-risk esophageal varices in B-viral liver cirrhosis. </w:t>
      </w:r>
      <w:r w:rsidRPr="00D34BE8">
        <w:rPr>
          <w:rFonts w:ascii="Book Antiqua" w:eastAsia="等线" w:hAnsi="Book Antiqua"/>
          <w:i/>
          <w:kern w:val="2"/>
          <w:sz w:val="20"/>
          <w:szCs w:val="20"/>
        </w:rPr>
        <w:t>Am J Gastroenterol</w:t>
      </w:r>
      <w:r w:rsidRPr="00D34BE8">
        <w:rPr>
          <w:rFonts w:ascii="Book Antiqua" w:eastAsia="等线" w:hAnsi="Book Antiqua"/>
          <w:kern w:val="2"/>
          <w:sz w:val="20"/>
          <w:szCs w:val="20"/>
        </w:rPr>
        <w:t xml:space="preserve"> 2010; </w:t>
      </w:r>
      <w:r w:rsidRPr="00D34BE8">
        <w:rPr>
          <w:rFonts w:ascii="Book Antiqua" w:eastAsia="等线" w:hAnsi="Book Antiqua"/>
          <w:b/>
          <w:kern w:val="2"/>
          <w:sz w:val="20"/>
          <w:szCs w:val="20"/>
        </w:rPr>
        <w:t>105</w:t>
      </w:r>
      <w:r w:rsidRPr="00D34BE8">
        <w:rPr>
          <w:rFonts w:ascii="Book Antiqua" w:eastAsia="等线" w:hAnsi="Book Antiqua"/>
          <w:kern w:val="2"/>
          <w:sz w:val="20"/>
          <w:szCs w:val="20"/>
        </w:rPr>
        <w:t>: 1382-1390 [PMID: 20087336 DOI: 10.1038/ajg.2009.750]</w:t>
      </w:r>
    </w:p>
    <w:p w:rsidR="003234B3" w:rsidRPr="00D34BE8" w:rsidRDefault="003234B3" w:rsidP="00D34BE8">
      <w:pPr>
        <w:widowControl w:val="0"/>
        <w:adjustRightInd/>
        <w:spacing w:after="0" w:line="360" w:lineRule="auto"/>
        <w:jc w:val="both"/>
        <w:rPr>
          <w:rFonts w:ascii="Book Antiqua" w:eastAsia="等线" w:hAnsi="Book Antiqua"/>
          <w:kern w:val="2"/>
          <w:sz w:val="20"/>
          <w:szCs w:val="20"/>
        </w:rPr>
      </w:pPr>
      <w:r w:rsidRPr="00D34BE8">
        <w:rPr>
          <w:rFonts w:ascii="Book Antiqua" w:eastAsia="等线" w:hAnsi="Book Antiqua"/>
          <w:kern w:val="2"/>
          <w:sz w:val="20"/>
          <w:szCs w:val="20"/>
        </w:rPr>
        <w:t xml:space="preserve">20 </w:t>
      </w:r>
      <w:r w:rsidRPr="00D34BE8">
        <w:rPr>
          <w:rFonts w:ascii="Book Antiqua" w:eastAsia="等线" w:hAnsi="Book Antiqua"/>
          <w:b/>
          <w:kern w:val="2"/>
          <w:sz w:val="20"/>
          <w:szCs w:val="20"/>
        </w:rPr>
        <w:t>Berzigotti A</w:t>
      </w:r>
      <w:r w:rsidRPr="00D34BE8">
        <w:rPr>
          <w:rFonts w:ascii="Book Antiqua" w:eastAsia="等线" w:hAnsi="Book Antiqua"/>
          <w:kern w:val="2"/>
          <w:sz w:val="20"/>
          <w:szCs w:val="20"/>
        </w:rPr>
        <w:t xml:space="preserve">, Seijo S, Arena U, Abraldes JG, Vizzutti F, García-Pagán JC, Pinzani M, Bosch J. Elastography, spleen size, and platelet count identify portal hypertension in patients with compensated cirrhosis. </w:t>
      </w:r>
      <w:r w:rsidRPr="00D34BE8">
        <w:rPr>
          <w:rFonts w:ascii="Book Antiqua" w:eastAsia="等线" w:hAnsi="Book Antiqua"/>
          <w:i/>
          <w:kern w:val="2"/>
          <w:sz w:val="20"/>
          <w:szCs w:val="20"/>
        </w:rPr>
        <w:t>Gastroenterology</w:t>
      </w:r>
      <w:r w:rsidRPr="00D34BE8">
        <w:rPr>
          <w:rFonts w:ascii="Book Antiqua" w:eastAsia="等线" w:hAnsi="Book Antiqua"/>
          <w:kern w:val="2"/>
          <w:sz w:val="20"/>
          <w:szCs w:val="20"/>
        </w:rPr>
        <w:t xml:space="preserve"> 2013; </w:t>
      </w:r>
      <w:r w:rsidRPr="00D34BE8">
        <w:rPr>
          <w:rFonts w:ascii="Book Antiqua" w:eastAsia="等线" w:hAnsi="Book Antiqua"/>
          <w:b/>
          <w:kern w:val="2"/>
          <w:sz w:val="20"/>
          <w:szCs w:val="20"/>
        </w:rPr>
        <w:t>144</w:t>
      </w:r>
      <w:r w:rsidRPr="00D34BE8">
        <w:rPr>
          <w:rFonts w:ascii="Book Antiqua" w:eastAsia="等线" w:hAnsi="Book Antiqua"/>
          <w:kern w:val="2"/>
          <w:sz w:val="20"/>
          <w:szCs w:val="20"/>
        </w:rPr>
        <w:t>: 102-111.e1 [PMID: 23058320 DOI: 10.1053/j.gastro.2012.10.001]</w:t>
      </w:r>
    </w:p>
    <w:p w:rsidR="003234B3" w:rsidRPr="00D34BE8" w:rsidRDefault="003234B3" w:rsidP="00D34BE8">
      <w:pPr>
        <w:widowControl w:val="0"/>
        <w:adjustRightInd/>
        <w:spacing w:after="0" w:line="360" w:lineRule="auto"/>
        <w:jc w:val="both"/>
        <w:rPr>
          <w:rFonts w:ascii="Book Antiqua" w:eastAsia="等线" w:hAnsi="Book Antiqua"/>
          <w:kern w:val="2"/>
          <w:sz w:val="20"/>
          <w:szCs w:val="20"/>
        </w:rPr>
      </w:pPr>
      <w:r w:rsidRPr="00D34BE8">
        <w:rPr>
          <w:rFonts w:ascii="Book Antiqua" w:eastAsia="等线" w:hAnsi="Book Antiqua"/>
          <w:kern w:val="2"/>
          <w:sz w:val="20"/>
          <w:szCs w:val="20"/>
        </w:rPr>
        <w:t xml:space="preserve">21 </w:t>
      </w:r>
      <w:r w:rsidRPr="00D34BE8">
        <w:rPr>
          <w:rFonts w:ascii="Book Antiqua" w:eastAsia="等线" w:hAnsi="Book Antiqua"/>
          <w:b/>
          <w:kern w:val="2"/>
          <w:sz w:val="20"/>
          <w:szCs w:val="20"/>
        </w:rPr>
        <w:t>Wang JH</w:t>
      </w:r>
      <w:r w:rsidRPr="00D34BE8">
        <w:rPr>
          <w:rFonts w:ascii="Book Antiqua" w:eastAsia="等线" w:hAnsi="Book Antiqua"/>
          <w:kern w:val="2"/>
          <w:sz w:val="20"/>
          <w:szCs w:val="20"/>
        </w:rPr>
        <w:t xml:space="preserve">, Chuah SK, Lu SN, Hung CH, Chen CH, Kee KM, Chang KC, Tai WC, Hu TH. Transient elastography and simple blood markers in the diagnosis of esophageal varices for compensated patients with hepatitis B virus-related cirrhosis. </w:t>
      </w:r>
      <w:r w:rsidRPr="00D34BE8">
        <w:rPr>
          <w:rFonts w:ascii="Book Antiqua" w:eastAsia="等线" w:hAnsi="Book Antiqua"/>
          <w:i/>
          <w:kern w:val="2"/>
          <w:sz w:val="20"/>
          <w:szCs w:val="20"/>
        </w:rPr>
        <w:t>J Gastroenterol Hepatol</w:t>
      </w:r>
      <w:r w:rsidRPr="00D34BE8">
        <w:rPr>
          <w:rFonts w:ascii="Book Antiqua" w:eastAsia="等线" w:hAnsi="Book Antiqua"/>
          <w:kern w:val="2"/>
          <w:sz w:val="20"/>
          <w:szCs w:val="20"/>
        </w:rPr>
        <w:t xml:space="preserve"> 2012; </w:t>
      </w:r>
      <w:r w:rsidRPr="00D34BE8">
        <w:rPr>
          <w:rFonts w:ascii="Book Antiqua" w:eastAsia="等线" w:hAnsi="Book Antiqua"/>
          <w:b/>
          <w:kern w:val="2"/>
          <w:sz w:val="20"/>
          <w:szCs w:val="20"/>
        </w:rPr>
        <w:t>27</w:t>
      </w:r>
      <w:r w:rsidRPr="00D34BE8">
        <w:rPr>
          <w:rFonts w:ascii="Book Antiqua" w:eastAsia="等线" w:hAnsi="Book Antiqua"/>
          <w:kern w:val="2"/>
          <w:sz w:val="20"/>
          <w:szCs w:val="20"/>
        </w:rPr>
        <w:t>: 1213-1218 [PMID: 22432969 DOI: 10.1111/j.1440-1746.2012.07132.x]</w:t>
      </w:r>
    </w:p>
    <w:p w:rsidR="003234B3" w:rsidRPr="00D34BE8" w:rsidRDefault="003234B3" w:rsidP="00D34BE8">
      <w:pPr>
        <w:widowControl w:val="0"/>
        <w:adjustRightInd/>
        <w:spacing w:after="0" w:line="360" w:lineRule="auto"/>
        <w:jc w:val="both"/>
        <w:rPr>
          <w:rFonts w:ascii="Book Antiqua" w:eastAsia="等线" w:hAnsi="Book Antiqua"/>
          <w:kern w:val="2"/>
          <w:sz w:val="20"/>
          <w:szCs w:val="20"/>
        </w:rPr>
      </w:pPr>
      <w:r w:rsidRPr="00D34BE8">
        <w:rPr>
          <w:rFonts w:ascii="Book Antiqua" w:eastAsia="等线" w:hAnsi="Book Antiqua"/>
          <w:kern w:val="2"/>
          <w:sz w:val="20"/>
          <w:szCs w:val="20"/>
        </w:rPr>
        <w:t xml:space="preserve">22 </w:t>
      </w:r>
      <w:r w:rsidRPr="00D34BE8">
        <w:rPr>
          <w:rFonts w:ascii="Book Antiqua" w:eastAsia="等线" w:hAnsi="Book Antiqua"/>
          <w:b/>
          <w:bCs/>
          <w:kern w:val="2"/>
          <w:sz w:val="20"/>
          <w:szCs w:val="20"/>
        </w:rPr>
        <w:t>Feld J</w:t>
      </w:r>
      <w:r w:rsidRPr="00D34BE8">
        <w:rPr>
          <w:rFonts w:ascii="Book Antiqua" w:eastAsia="等线" w:hAnsi="Book Antiqua"/>
          <w:kern w:val="2"/>
          <w:sz w:val="20"/>
          <w:szCs w:val="20"/>
        </w:rPr>
        <w:t xml:space="preserve">, Janssen HL, Abbas Z, Elewaut A, Ferenci P, Isakov V, Khan AG, Lim SG, Locarnini SA, Ono SK, Sollano J, Spearman CW, Yeh CT, Yuen MF, LeMair A. World Gastroenterology Organisation Global Guideline Hepatitis B: September 2015. </w:t>
      </w:r>
      <w:r w:rsidRPr="00D34BE8">
        <w:rPr>
          <w:rFonts w:ascii="Book Antiqua" w:eastAsia="等线" w:hAnsi="Book Antiqua"/>
          <w:i/>
          <w:iCs/>
          <w:kern w:val="2"/>
          <w:sz w:val="20"/>
          <w:szCs w:val="20"/>
        </w:rPr>
        <w:t>J Clin Gastroenterol</w:t>
      </w:r>
      <w:r w:rsidRPr="00D34BE8">
        <w:rPr>
          <w:rFonts w:ascii="Book Antiqua" w:eastAsia="等线" w:hAnsi="Book Antiqua"/>
          <w:kern w:val="2"/>
          <w:sz w:val="20"/>
          <w:szCs w:val="20"/>
        </w:rPr>
        <w:t xml:space="preserve"> 2016; </w:t>
      </w:r>
      <w:r w:rsidRPr="00D34BE8">
        <w:rPr>
          <w:rFonts w:ascii="Book Antiqua" w:eastAsia="等线" w:hAnsi="Book Antiqua"/>
          <w:b/>
          <w:bCs/>
          <w:kern w:val="2"/>
          <w:sz w:val="20"/>
          <w:szCs w:val="20"/>
        </w:rPr>
        <w:t>50</w:t>
      </w:r>
      <w:r w:rsidRPr="00D34BE8">
        <w:rPr>
          <w:rFonts w:ascii="Book Antiqua" w:eastAsia="等线" w:hAnsi="Book Antiqua"/>
          <w:kern w:val="2"/>
          <w:sz w:val="20"/>
          <w:szCs w:val="20"/>
        </w:rPr>
        <w:t>: 691-703 [PMID: 27623512 DOI: 10.1097/MCG.0000000000000647]</w:t>
      </w:r>
    </w:p>
    <w:p w:rsidR="003234B3" w:rsidRPr="00D34BE8" w:rsidRDefault="003234B3" w:rsidP="00D34BE8">
      <w:pPr>
        <w:widowControl w:val="0"/>
        <w:adjustRightInd/>
        <w:spacing w:after="0" w:line="360" w:lineRule="auto"/>
        <w:jc w:val="both"/>
        <w:rPr>
          <w:rFonts w:ascii="Book Antiqua" w:eastAsia="等线" w:hAnsi="Book Antiqua"/>
          <w:kern w:val="2"/>
          <w:sz w:val="20"/>
          <w:szCs w:val="20"/>
        </w:rPr>
      </w:pPr>
      <w:r w:rsidRPr="00D34BE8">
        <w:rPr>
          <w:rFonts w:ascii="Book Antiqua" w:eastAsia="等线" w:hAnsi="Book Antiqua"/>
          <w:kern w:val="2"/>
          <w:sz w:val="20"/>
          <w:szCs w:val="20"/>
        </w:rPr>
        <w:t xml:space="preserve">23 </w:t>
      </w:r>
      <w:r w:rsidRPr="00D34BE8">
        <w:rPr>
          <w:rFonts w:ascii="Book Antiqua" w:eastAsia="等线" w:hAnsi="Book Antiqua"/>
          <w:b/>
          <w:bCs/>
          <w:kern w:val="2"/>
          <w:sz w:val="20"/>
          <w:szCs w:val="20"/>
        </w:rPr>
        <w:t>Umar M</w:t>
      </w:r>
      <w:r w:rsidRPr="00D34BE8">
        <w:rPr>
          <w:rFonts w:ascii="Book Antiqua" w:eastAsia="等线" w:hAnsi="Book Antiqua"/>
          <w:kern w:val="2"/>
          <w:sz w:val="20"/>
          <w:szCs w:val="20"/>
        </w:rPr>
        <w:t xml:space="preserve">, Khan AG, Abbas Z, Arora S, Asifabbas N, Elewaut A, Esmat G, Foster G, Fried M, Goh KL, Hamama TB, Imawari M, Isakov V, Krabshuis J, LaBrecque D, Lemair A, Malfertheiner P, Ryder S, Schiedermaier P, Stimac D, Tandon R, Villamil F, Zapata R, Ferenci P, World Gastroenterology Organisation. World Gastroenterology Organisation global guidelines: diagnosis, management and prevention of hepatitis C April 2013. </w:t>
      </w:r>
      <w:r w:rsidRPr="00D34BE8">
        <w:rPr>
          <w:rFonts w:ascii="Book Antiqua" w:eastAsia="等线" w:hAnsi="Book Antiqua"/>
          <w:i/>
          <w:iCs/>
          <w:kern w:val="2"/>
          <w:sz w:val="20"/>
          <w:szCs w:val="20"/>
        </w:rPr>
        <w:t>J Clin Gastroenterol</w:t>
      </w:r>
      <w:r w:rsidRPr="00D34BE8">
        <w:rPr>
          <w:rFonts w:ascii="Book Antiqua" w:eastAsia="等线" w:hAnsi="Book Antiqua"/>
          <w:kern w:val="2"/>
          <w:sz w:val="20"/>
          <w:szCs w:val="20"/>
        </w:rPr>
        <w:t xml:space="preserve"> 2014; </w:t>
      </w:r>
      <w:r w:rsidRPr="00D34BE8">
        <w:rPr>
          <w:rFonts w:ascii="Book Antiqua" w:eastAsia="等线" w:hAnsi="Book Antiqua"/>
          <w:b/>
          <w:bCs/>
          <w:kern w:val="2"/>
          <w:sz w:val="20"/>
          <w:szCs w:val="20"/>
        </w:rPr>
        <w:t>48</w:t>
      </w:r>
      <w:r w:rsidRPr="00D34BE8">
        <w:rPr>
          <w:rFonts w:ascii="Book Antiqua" w:eastAsia="等线" w:hAnsi="Book Antiqua"/>
          <w:kern w:val="2"/>
          <w:sz w:val="20"/>
          <w:szCs w:val="20"/>
        </w:rPr>
        <w:t>: 204-217 [PMID: 24504078 DOI: 10.1097/MCG.0000000000000050]</w:t>
      </w:r>
    </w:p>
    <w:p w:rsidR="003234B3" w:rsidRPr="00D34BE8" w:rsidRDefault="003234B3" w:rsidP="00D34BE8">
      <w:pPr>
        <w:widowControl w:val="0"/>
        <w:adjustRightInd/>
        <w:spacing w:after="0" w:line="360" w:lineRule="auto"/>
        <w:jc w:val="both"/>
        <w:rPr>
          <w:rFonts w:ascii="Book Antiqua" w:eastAsia="等线" w:hAnsi="Book Antiqua"/>
          <w:kern w:val="2"/>
          <w:sz w:val="20"/>
          <w:szCs w:val="20"/>
        </w:rPr>
      </w:pPr>
      <w:r w:rsidRPr="00D34BE8">
        <w:rPr>
          <w:rFonts w:ascii="Book Antiqua" w:eastAsia="等线" w:hAnsi="Book Antiqua"/>
          <w:kern w:val="2"/>
          <w:sz w:val="20"/>
          <w:szCs w:val="20"/>
        </w:rPr>
        <w:t xml:space="preserve">24 </w:t>
      </w:r>
      <w:r w:rsidRPr="00D34BE8">
        <w:rPr>
          <w:rFonts w:ascii="Book Antiqua" w:eastAsia="等线" w:hAnsi="Book Antiqua"/>
          <w:b/>
          <w:kern w:val="2"/>
          <w:sz w:val="20"/>
          <w:szCs w:val="20"/>
        </w:rPr>
        <w:t>Zardi EM</w:t>
      </w:r>
      <w:r w:rsidRPr="00D34BE8">
        <w:rPr>
          <w:rFonts w:ascii="Book Antiqua" w:eastAsia="等线" w:hAnsi="Book Antiqua"/>
          <w:kern w:val="2"/>
          <w:sz w:val="20"/>
          <w:szCs w:val="20"/>
        </w:rPr>
        <w:t xml:space="preserve">, Di Matteo FM, Pacella CM, Sanyal AJ. Invasive and non-invasive techniques for detecting portal hypertension and predicting variceal bleeding in cirrhosis: a review. </w:t>
      </w:r>
      <w:r w:rsidRPr="00D34BE8">
        <w:rPr>
          <w:rFonts w:ascii="Book Antiqua" w:eastAsia="等线" w:hAnsi="Book Antiqua"/>
          <w:i/>
          <w:kern w:val="2"/>
          <w:sz w:val="20"/>
          <w:szCs w:val="20"/>
        </w:rPr>
        <w:t>Ann Med</w:t>
      </w:r>
      <w:r w:rsidRPr="00D34BE8">
        <w:rPr>
          <w:rFonts w:ascii="Book Antiqua" w:eastAsia="等线" w:hAnsi="Book Antiqua"/>
          <w:kern w:val="2"/>
          <w:sz w:val="20"/>
          <w:szCs w:val="20"/>
        </w:rPr>
        <w:t xml:space="preserve"> 2014; </w:t>
      </w:r>
      <w:r w:rsidRPr="00D34BE8">
        <w:rPr>
          <w:rFonts w:ascii="Book Antiqua" w:eastAsia="等线" w:hAnsi="Book Antiqua"/>
          <w:b/>
          <w:kern w:val="2"/>
          <w:sz w:val="20"/>
          <w:szCs w:val="20"/>
        </w:rPr>
        <w:t>46</w:t>
      </w:r>
      <w:r w:rsidRPr="00D34BE8">
        <w:rPr>
          <w:rFonts w:ascii="Book Antiqua" w:eastAsia="等线" w:hAnsi="Book Antiqua"/>
          <w:kern w:val="2"/>
          <w:sz w:val="20"/>
          <w:szCs w:val="20"/>
        </w:rPr>
        <w:t>: 8-17 [PMID: 24328372 DOI: 10.3109/07853890.2013.857831]</w:t>
      </w:r>
    </w:p>
    <w:p w:rsidR="003234B3" w:rsidRPr="00D34BE8" w:rsidRDefault="003234B3" w:rsidP="00D34BE8">
      <w:pPr>
        <w:widowControl w:val="0"/>
        <w:adjustRightInd/>
        <w:spacing w:after="0" w:line="360" w:lineRule="auto"/>
        <w:jc w:val="both"/>
        <w:rPr>
          <w:rFonts w:ascii="Book Antiqua" w:eastAsia="等线" w:hAnsi="Book Antiqua"/>
          <w:kern w:val="2"/>
          <w:sz w:val="20"/>
          <w:szCs w:val="20"/>
        </w:rPr>
      </w:pPr>
      <w:r w:rsidRPr="00D34BE8">
        <w:rPr>
          <w:rFonts w:ascii="Book Antiqua" w:eastAsia="等线" w:hAnsi="Book Antiqua"/>
          <w:kern w:val="2"/>
          <w:sz w:val="20"/>
          <w:szCs w:val="20"/>
        </w:rPr>
        <w:t xml:space="preserve">25 </w:t>
      </w:r>
      <w:r w:rsidRPr="00D34BE8">
        <w:rPr>
          <w:rFonts w:ascii="Book Antiqua" w:eastAsia="等线" w:hAnsi="Book Antiqua"/>
          <w:b/>
          <w:kern w:val="2"/>
          <w:sz w:val="20"/>
          <w:szCs w:val="20"/>
        </w:rPr>
        <w:t>Yan SP</w:t>
      </w:r>
      <w:r w:rsidRPr="00D34BE8">
        <w:rPr>
          <w:rFonts w:ascii="Book Antiqua" w:eastAsia="等线" w:hAnsi="Book Antiqua"/>
          <w:kern w:val="2"/>
          <w:sz w:val="20"/>
          <w:szCs w:val="20"/>
        </w:rPr>
        <w:t xml:space="preserve">, Wu H, Wang GC, Chen Y, Zhang CQ, Zhu Q. A new model combining the liver/spleen volume ratio and classification of varices predicts HVPG in hepatitis B patients with cirrhosis. </w:t>
      </w:r>
      <w:r w:rsidRPr="00D34BE8">
        <w:rPr>
          <w:rFonts w:ascii="Book Antiqua" w:eastAsia="等线" w:hAnsi="Book Antiqua"/>
          <w:i/>
          <w:kern w:val="2"/>
          <w:sz w:val="20"/>
          <w:szCs w:val="20"/>
        </w:rPr>
        <w:t>Eur J Gastroenterol Hepatol</w:t>
      </w:r>
      <w:r w:rsidRPr="00D34BE8">
        <w:rPr>
          <w:rFonts w:ascii="Book Antiqua" w:eastAsia="等线" w:hAnsi="Book Antiqua"/>
          <w:kern w:val="2"/>
          <w:sz w:val="20"/>
          <w:szCs w:val="20"/>
        </w:rPr>
        <w:t xml:space="preserve"> 2015; </w:t>
      </w:r>
      <w:r w:rsidRPr="00D34BE8">
        <w:rPr>
          <w:rFonts w:ascii="Book Antiqua" w:eastAsia="等线" w:hAnsi="Book Antiqua"/>
          <w:b/>
          <w:kern w:val="2"/>
          <w:sz w:val="20"/>
          <w:szCs w:val="20"/>
        </w:rPr>
        <w:t>27</w:t>
      </w:r>
      <w:r w:rsidRPr="00D34BE8">
        <w:rPr>
          <w:rFonts w:ascii="Book Antiqua" w:eastAsia="等线" w:hAnsi="Book Antiqua"/>
          <w:kern w:val="2"/>
          <w:sz w:val="20"/>
          <w:szCs w:val="20"/>
        </w:rPr>
        <w:t>: 335-343 [PMID: 25563138 DOI: 10.1097/MEG.0000000000000269]</w:t>
      </w:r>
    </w:p>
    <w:p w:rsidR="003234B3" w:rsidRPr="00D34BE8" w:rsidRDefault="003234B3" w:rsidP="00D34BE8">
      <w:pPr>
        <w:widowControl w:val="0"/>
        <w:adjustRightInd/>
        <w:spacing w:after="0" w:line="360" w:lineRule="auto"/>
        <w:jc w:val="both"/>
        <w:rPr>
          <w:rFonts w:ascii="Book Antiqua" w:eastAsia="等线" w:hAnsi="Book Antiqua"/>
          <w:kern w:val="2"/>
          <w:sz w:val="20"/>
          <w:szCs w:val="20"/>
        </w:rPr>
      </w:pPr>
      <w:r w:rsidRPr="00D34BE8">
        <w:rPr>
          <w:rFonts w:ascii="Book Antiqua" w:eastAsia="等线" w:hAnsi="Book Antiqua"/>
          <w:kern w:val="2"/>
          <w:sz w:val="20"/>
          <w:szCs w:val="20"/>
        </w:rPr>
        <w:t xml:space="preserve">26 </w:t>
      </w:r>
      <w:r w:rsidRPr="00D34BE8">
        <w:rPr>
          <w:rFonts w:ascii="Book Antiqua" w:eastAsia="等线" w:hAnsi="Book Antiqua"/>
          <w:b/>
          <w:kern w:val="2"/>
          <w:sz w:val="20"/>
          <w:szCs w:val="20"/>
        </w:rPr>
        <w:t>Hijazi Z</w:t>
      </w:r>
      <w:r w:rsidRPr="00D34BE8">
        <w:rPr>
          <w:rFonts w:ascii="Book Antiqua" w:eastAsia="等线" w:hAnsi="Book Antiqua"/>
          <w:kern w:val="2"/>
          <w:sz w:val="20"/>
          <w:szCs w:val="20"/>
        </w:rPr>
        <w:t xml:space="preserve">, Oldgren J, Lindbäck J, Alexander JH, Connolly SJ, Eikelboom JW, Ezekowitz MD, Held C, Hylek EM, Lopes RD, Siegbahn A, Yusuf S, Granger CB, Wallentin L; ARISTOTLE and RE-LY Investigators. The novel biomarker-based ABC (age, biomarkers, clinical history)-bleeding risk score for patients with atrial fibrillation: a derivation and validation study. </w:t>
      </w:r>
      <w:r w:rsidRPr="00D34BE8">
        <w:rPr>
          <w:rFonts w:ascii="Book Antiqua" w:eastAsia="等线" w:hAnsi="Book Antiqua"/>
          <w:i/>
          <w:kern w:val="2"/>
          <w:sz w:val="20"/>
          <w:szCs w:val="20"/>
        </w:rPr>
        <w:t>Lancet</w:t>
      </w:r>
      <w:r w:rsidRPr="00D34BE8">
        <w:rPr>
          <w:rFonts w:ascii="Book Antiqua" w:eastAsia="等线" w:hAnsi="Book Antiqua"/>
          <w:kern w:val="2"/>
          <w:sz w:val="20"/>
          <w:szCs w:val="20"/>
        </w:rPr>
        <w:t xml:space="preserve"> 2016; </w:t>
      </w:r>
      <w:r w:rsidRPr="00D34BE8">
        <w:rPr>
          <w:rFonts w:ascii="Book Antiqua" w:eastAsia="等线" w:hAnsi="Book Antiqua"/>
          <w:b/>
          <w:kern w:val="2"/>
          <w:sz w:val="20"/>
          <w:szCs w:val="20"/>
        </w:rPr>
        <w:t>387</w:t>
      </w:r>
      <w:r w:rsidRPr="00D34BE8">
        <w:rPr>
          <w:rFonts w:ascii="Book Antiqua" w:eastAsia="等线" w:hAnsi="Book Antiqua"/>
          <w:kern w:val="2"/>
          <w:sz w:val="20"/>
          <w:szCs w:val="20"/>
        </w:rPr>
        <w:t>: 2302-2311 [PMID: 27056738 DOI: 10.1016/S0140-6736(16)00741-8]</w:t>
      </w:r>
    </w:p>
    <w:p w:rsidR="003234B3" w:rsidRPr="00D34BE8" w:rsidRDefault="003234B3" w:rsidP="00D34BE8">
      <w:pPr>
        <w:widowControl w:val="0"/>
        <w:adjustRightInd/>
        <w:spacing w:after="0" w:line="360" w:lineRule="auto"/>
        <w:jc w:val="both"/>
        <w:rPr>
          <w:rFonts w:ascii="Book Antiqua" w:eastAsia="等线" w:hAnsi="Book Antiqua"/>
          <w:kern w:val="2"/>
          <w:sz w:val="20"/>
          <w:szCs w:val="20"/>
        </w:rPr>
      </w:pPr>
      <w:r w:rsidRPr="00D34BE8">
        <w:rPr>
          <w:rFonts w:ascii="Book Antiqua" w:eastAsia="等线" w:hAnsi="Book Antiqua"/>
          <w:kern w:val="2"/>
          <w:sz w:val="20"/>
          <w:szCs w:val="20"/>
        </w:rPr>
        <w:t xml:space="preserve">27 </w:t>
      </w:r>
      <w:r w:rsidRPr="00D34BE8">
        <w:rPr>
          <w:rFonts w:ascii="Book Antiqua" w:eastAsia="等线" w:hAnsi="Book Antiqua"/>
          <w:b/>
          <w:kern w:val="2"/>
          <w:sz w:val="20"/>
          <w:szCs w:val="20"/>
        </w:rPr>
        <w:t>Steyerberg EW</w:t>
      </w:r>
      <w:r w:rsidRPr="00D34BE8">
        <w:rPr>
          <w:rFonts w:ascii="Book Antiqua" w:eastAsia="等线" w:hAnsi="Book Antiqua"/>
          <w:kern w:val="2"/>
          <w:sz w:val="20"/>
          <w:szCs w:val="20"/>
        </w:rPr>
        <w:t xml:space="preserve">, Vickers AJ. Decision curve analysis: a discussion. </w:t>
      </w:r>
      <w:r w:rsidRPr="00D34BE8">
        <w:rPr>
          <w:rFonts w:ascii="Book Antiqua" w:eastAsia="等线" w:hAnsi="Book Antiqua"/>
          <w:i/>
          <w:kern w:val="2"/>
          <w:sz w:val="20"/>
          <w:szCs w:val="20"/>
        </w:rPr>
        <w:t>Med Decis Making</w:t>
      </w:r>
      <w:r w:rsidRPr="00D34BE8">
        <w:rPr>
          <w:rFonts w:ascii="Book Antiqua" w:eastAsia="等线" w:hAnsi="Book Antiqua"/>
          <w:kern w:val="2"/>
          <w:sz w:val="20"/>
          <w:szCs w:val="20"/>
        </w:rPr>
        <w:t xml:space="preserve"> 2008; </w:t>
      </w:r>
      <w:r w:rsidRPr="00D34BE8">
        <w:rPr>
          <w:rFonts w:ascii="Book Antiqua" w:eastAsia="等线" w:hAnsi="Book Antiqua"/>
          <w:b/>
          <w:kern w:val="2"/>
          <w:sz w:val="20"/>
          <w:szCs w:val="20"/>
        </w:rPr>
        <w:t>28</w:t>
      </w:r>
      <w:r w:rsidRPr="00D34BE8">
        <w:rPr>
          <w:rFonts w:ascii="Book Antiqua" w:eastAsia="等线" w:hAnsi="Book Antiqua"/>
          <w:kern w:val="2"/>
          <w:sz w:val="20"/>
          <w:szCs w:val="20"/>
        </w:rPr>
        <w:t>: 146-149 [PMID: 18263565 DOI: 10.1177/0272989X07312725]</w:t>
      </w:r>
    </w:p>
    <w:p w:rsidR="00C7222A" w:rsidRPr="00D34BE8" w:rsidRDefault="00C7222A" w:rsidP="00D34BE8">
      <w:pPr>
        <w:spacing w:after="0" w:line="360" w:lineRule="auto"/>
        <w:jc w:val="both"/>
        <w:rPr>
          <w:rFonts w:ascii="Book Antiqua" w:hAnsi="Book Antiqua"/>
          <w:sz w:val="20"/>
          <w:szCs w:val="20"/>
        </w:rPr>
      </w:pPr>
    </w:p>
    <w:p w:rsidR="00C758B4" w:rsidRPr="00D34BE8" w:rsidRDefault="00E00C22" w:rsidP="00D34BE8">
      <w:pPr>
        <w:spacing w:after="0" w:line="360" w:lineRule="auto"/>
        <w:rPr>
          <w:rFonts w:ascii="Book Antiqua" w:eastAsia="宋体" w:hAnsi="Book Antiqua"/>
          <w:b/>
          <w:sz w:val="20"/>
          <w:szCs w:val="20"/>
          <w:lang w:eastAsia="en-US"/>
        </w:rPr>
      </w:pPr>
      <w:r w:rsidRPr="00D34BE8">
        <w:rPr>
          <w:rFonts w:ascii="Book Antiqua" w:hAnsi="Book Antiqua"/>
          <w:sz w:val="20"/>
          <w:szCs w:val="20"/>
        </w:rPr>
        <w:br w:type="page"/>
      </w:r>
      <w:bookmarkStart w:id="35" w:name="_Hlk27143351"/>
      <w:bookmarkStart w:id="36" w:name="_Hlk27570199"/>
      <w:r w:rsidR="00C758B4" w:rsidRPr="00D34BE8">
        <w:rPr>
          <w:rFonts w:ascii="Book Antiqua" w:eastAsia="宋体" w:hAnsi="Book Antiqua"/>
          <w:b/>
          <w:sz w:val="20"/>
          <w:szCs w:val="20"/>
          <w:lang w:eastAsia="en-US"/>
        </w:rPr>
        <w:t>Footnotes</w:t>
      </w:r>
    </w:p>
    <w:p w:rsidR="00C758B4" w:rsidRPr="00D34BE8" w:rsidRDefault="00C758B4" w:rsidP="00D34BE8">
      <w:pPr>
        <w:spacing w:after="0" w:line="360" w:lineRule="auto"/>
        <w:jc w:val="both"/>
        <w:rPr>
          <w:rFonts w:ascii="Book Antiqua" w:eastAsia="宋体" w:hAnsi="Book Antiqua"/>
          <w:color w:val="000000"/>
          <w:sz w:val="20"/>
          <w:szCs w:val="20"/>
          <w:lang w:eastAsia="en-US"/>
        </w:rPr>
      </w:pPr>
      <w:bookmarkStart w:id="37" w:name="_Hlk35467972"/>
      <w:bookmarkStart w:id="38" w:name="_Hlk35193980"/>
      <w:bookmarkStart w:id="39" w:name="_Hlk28272023"/>
      <w:bookmarkStart w:id="40" w:name="_Hlk37652373"/>
      <w:bookmarkEnd w:id="35"/>
      <w:r w:rsidRPr="00D34BE8">
        <w:rPr>
          <w:rFonts w:ascii="Book Antiqua" w:eastAsia="宋体" w:hAnsi="Book Antiqua"/>
          <w:b/>
          <w:color w:val="000000"/>
          <w:sz w:val="20"/>
          <w:szCs w:val="20"/>
          <w:lang w:eastAsia="en-US"/>
        </w:rPr>
        <w:t>Institutional review board statement:</w:t>
      </w:r>
      <w:r w:rsidRPr="00D34BE8">
        <w:rPr>
          <w:rFonts w:ascii="Book Antiqua" w:eastAsia="宋体" w:hAnsi="Book Antiqua"/>
          <w:color w:val="000000"/>
          <w:sz w:val="20"/>
          <w:szCs w:val="20"/>
          <w:lang w:eastAsia="en-US"/>
        </w:rPr>
        <w:t xml:space="preserve"> </w:t>
      </w:r>
      <w:r w:rsidR="00CD18BD" w:rsidRPr="00D34BE8">
        <w:rPr>
          <w:rFonts w:ascii="Book Antiqua" w:eastAsia="宋体" w:hAnsi="Book Antiqua" w:cs="Calibri"/>
          <w:sz w:val="20"/>
          <w:szCs w:val="20"/>
          <w:lang w:eastAsia="en-US"/>
        </w:rPr>
        <w:t xml:space="preserve">This study has been approved by the Ethics Committee of </w:t>
      </w:r>
      <w:r w:rsidR="003648E7">
        <w:rPr>
          <w:rFonts w:ascii="Book Antiqua" w:eastAsia="宋体" w:hAnsi="Book Antiqua" w:cs="Calibri"/>
          <w:sz w:val="20"/>
          <w:szCs w:val="20"/>
          <w:lang w:eastAsia="en-US"/>
        </w:rPr>
        <w:t>T</w:t>
      </w:r>
      <w:r w:rsidR="00CD18BD" w:rsidRPr="00D34BE8">
        <w:rPr>
          <w:rFonts w:ascii="Book Antiqua" w:eastAsia="宋体" w:hAnsi="Book Antiqua" w:cs="Calibri"/>
          <w:sz w:val="20"/>
          <w:szCs w:val="20"/>
          <w:lang w:eastAsia="en-US"/>
        </w:rPr>
        <w:t>he Second Affiliated Hospital of Xi'an Jiaotong University.</w:t>
      </w:r>
    </w:p>
    <w:p w:rsidR="00C758B4" w:rsidRPr="00D34BE8" w:rsidRDefault="00C758B4" w:rsidP="00D34BE8">
      <w:pPr>
        <w:spacing w:after="0" w:line="360" w:lineRule="auto"/>
        <w:jc w:val="both"/>
        <w:rPr>
          <w:rFonts w:ascii="Book Antiqua" w:eastAsia="宋体" w:hAnsi="Book Antiqua" w:cs="Calibri"/>
          <w:sz w:val="20"/>
          <w:szCs w:val="20"/>
          <w:lang w:eastAsia="en-US"/>
        </w:rPr>
      </w:pPr>
    </w:p>
    <w:p w:rsidR="00CD18BD" w:rsidRPr="00D34BE8" w:rsidRDefault="00CD18BD" w:rsidP="00D34BE8">
      <w:pPr>
        <w:spacing w:after="0" w:line="360" w:lineRule="auto"/>
        <w:jc w:val="both"/>
        <w:rPr>
          <w:rFonts w:ascii="Book Antiqua" w:eastAsia="宋体" w:hAnsi="Book Antiqua" w:cs="Calibri"/>
          <w:sz w:val="20"/>
          <w:szCs w:val="20"/>
          <w:lang w:eastAsia="en-US"/>
        </w:rPr>
      </w:pPr>
      <w:bookmarkStart w:id="41" w:name="_Hlk34698618"/>
      <w:r w:rsidRPr="00D34BE8">
        <w:rPr>
          <w:rFonts w:ascii="Book Antiqua" w:eastAsia="宋体" w:hAnsi="Book Antiqua" w:cs="Tahoma"/>
          <w:b/>
          <w:sz w:val="20"/>
          <w:szCs w:val="20"/>
          <w:lang w:eastAsia="en-US"/>
        </w:rPr>
        <w:t>Informed consent statement:</w:t>
      </w:r>
      <w:bookmarkEnd w:id="41"/>
      <w:r w:rsidRPr="00D34BE8">
        <w:rPr>
          <w:rFonts w:ascii="Book Antiqua" w:eastAsia="宋体" w:hAnsi="Book Antiqua" w:cs="Tahoma"/>
          <w:sz w:val="20"/>
          <w:szCs w:val="20"/>
          <w:lang w:eastAsia="en-US"/>
        </w:rPr>
        <w:t xml:space="preserve"> </w:t>
      </w:r>
      <w:r w:rsidRPr="00D34BE8">
        <w:rPr>
          <w:rFonts w:ascii="Book Antiqua" w:eastAsia="宋体" w:hAnsi="Book Antiqua" w:cs="Calibri"/>
          <w:sz w:val="20"/>
          <w:szCs w:val="20"/>
          <w:lang w:eastAsia="en-US"/>
        </w:rPr>
        <w:t>This study is a retrospective study; thus, the ethics committee has exempted the informed consent of the patients.</w:t>
      </w:r>
    </w:p>
    <w:p w:rsidR="00CD18BD" w:rsidRPr="00D34BE8" w:rsidRDefault="00CD18BD" w:rsidP="00D34BE8">
      <w:pPr>
        <w:spacing w:after="0" w:line="360" w:lineRule="auto"/>
        <w:jc w:val="both"/>
        <w:rPr>
          <w:rFonts w:ascii="Book Antiqua" w:eastAsia="宋体" w:hAnsi="Book Antiqua" w:cs="Calibri"/>
          <w:sz w:val="20"/>
          <w:szCs w:val="20"/>
          <w:lang w:eastAsia="en-US"/>
        </w:rPr>
      </w:pPr>
    </w:p>
    <w:p w:rsidR="00C758B4" w:rsidRPr="00D34BE8" w:rsidRDefault="00C758B4" w:rsidP="00D34BE8">
      <w:pPr>
        <w:autoSpaceDE w:val="0"/>
        <w:autoSpaceDN w:val="0"/>
        <w:spacing w:after="0" w:line="360" w:lineRule="auto"/>
        <w:jc w:val="both"/>
        <w:rPr>
          <w:rFonts w:ascii="Book Antiqua" w:eastAsia="宋体" w:hAnsi="Book Antiqua" w:cs="TimesNewRomanPSMT"/>
          <w:sz w:val="20"/>
          <w:szCs w:val="20"/>
          <w:lang w:eastAsia="en-US"/>
        </w:rPr>
      </w:pPr>
      <w:r w:rsidRPr="00D34BE8">
        <w:rPr>
          <w:rFonts w:ascii="Book Antiqua" w:eastAsia="宋体" w:hAnsi="Book Antiqua" w:cs="Tahoma"/>
          <w:b/>
          <w:sz w:val="20"/>
          <w:szCs w:val="20"/>
          <w:lang w:eastAsia="en-US"/>
        </w:rPr>
        <w:t>Conflict-of-interest statement:</w:t>
      </w:r>
      <w:bookmarkEnd w:id="37"/>
      <w:r w:rsidRPr="00D34BE8">
        <w:rPr>
          <w:rFonts w:ascii="Book Antiqua" w:eastAsia="宋体" w:hAnsi="Book Antiqua" w:cs="Tahoma"/>
          <w:sz w:val="20"/>
          <w:szCs w:val="20"/>
          <w:lang w:eastAsia="en-US"/>
        </w:rPr>
        <w:t xml:space="preserve"> </w:t>
      </w:r>
      <w:bookmarkStart w:id="42" w:name="_Hlk37124798"/>
      <w:bookmarkStart w:id="43" w:name="_Hlk34269915"/>
      <w:bookmarkEnd w:id="38"/>
      <w:r w:rsidRPr="00D34BE8">
        <w:rPr>
          <w:rFonts w:ascii="Book Antiqua" w:eastAsia="宋体" w:hAnsi="Book Antiqua" w:cs="TimesNewRomanPSMT"/>
          <w:sz w:val="20"/>
          <w:szCs w:val="20"/>
          <w:lang w:eastAsia="en-US"/>
        </w:rPr>
        <w:t>The authors declare that they have no conflict of interest.</w:t>
      </w:r>
      <w:bookmarkEnd w:id="39"/>
      <w:bookmarkEnd w:id="42"/>
    </w:p>
    <w:p w:rsidR="00C758B4" w:rsidRPr="00D34BE8" w:rsidRDefault="00C758B4" w:rsidP="00D34BE8">
      <w:pPr>
        <w:autoSpaceDE w:val="0"/>
        <w:autoSpaceDN w:val="0"/>
        <w:spacing w:after="0" w:line="360" w:lineRule="auto"/>
        <w:jc w:val="both"/>
        <w:rPr>
          <w:rFonts w:ascii="Book Antiqua" w:eastAsia="宋体" w:hAnsi="Book Antiqua" w:cs="TimesNewRomanPSMT"/>
          <w:sz w:val="20"/>
          <w:szCs w:val="20"/>
          <w:lang w:eastAsia="en-US"/>
        </w:rPr>
      </w:pPr>
    </w:p>
    <w:p w:rsidR="00C758B4" w:rsidRPr="00D34BE8" w:rsidRDefault="00C758B4" w:rsidP="00D34BE8">
      <w:pPr>
        <w:spacing w:after="0" w:line="360" w:lineRule="auto"/>
        <w:jc w:val="both"/>
        <w:rPr>
          <w:rFonts w:ascii="Book Antiqua" w:eastAsia="宋体" w:hAnsi="Book Antiqua" w:cs="Calibri"/>
          <w:sz w:val="20"/>
          <w:szCs w:val="20"/>
          <w:lang w:eastAsia="en-US"/>
        </w:rPr>
      </w:pPr>
      <w:bookmarkStart w:id="44" w:name="_Hlk36477015"/>
      <w:bookmarkStart w:id="45" w:name="_Hlk35467980"/>
      <w:bookmarkEnd w:id="36"/>
      <w:bookmarkEnd w:id="40"/>
      <w:bookmarkEnd w:id="43"/>
      <w:r w:rsidRPr="00D34BE8">
        <w:rPr>
          <w:rFonts w:ascii="Book Antiqua" w:eastAsia="宋体" w:hAnsi="Book Antiqua" w:cs="Calibri"/>
          <w:b/>
          <w:sz w:val="20"/>
          <w:szCs w:val="20"/>
          <w:lang w:eastAsia="en-US"/>
        </w:rPr>
        <w:t>Data sharing statement:</w:t>
      </w:r>
      <w:bookmarkEnd w:id="44"/>
      <w:r w:rsidRPr="00D34BE8">
        <w:rPr>
          <w:rFonts w:ascii="Book Antiqua" w:eastAsia="宋体" w:hAnsi="Book Antiqua" w:cs="Calibri"/>
          <w:sz w:val="20"/>
          <w:szCs w:val="20"/>
          <w:lang w:eastAsia="en-US"/>
        </w:rPr>
        <w:t xml:space="preserve"> No additional data are available.</w:t>
      </w:r>
    </w:p>
    <w:p w:rsidR="00C758B4" w:rsidRPr="00D34BE8" w:rsidRDefault="00C758B4" w:rsidP="00D34BE8">
      <w:pPr>
        <w:spacing w:after="0" w:line="360" w:lineRule="auto"/>
        <w:jc w:val="both"/>
        <w:rPr>
          <w:rFonts w:ascii="Book Antiqua" w:eastAsia="宋体" w:hAnsi="Book Antiqua" w:cs="Calibri"/>
          <w:sz w:val="20"/>
          <w:szCs w:val="20"/>
          <w:lang w:eastAsia="en-US"/>
        </w:rPr>
      </w:pPr>
    </w:p>
    <w:p w:rsidR="00C758B4" w:rsidRPr="00D34BE8" w:rsidRDefault="00C758B4" w:rsidP="00D34BE8">
      <w:pPr>
        <w:spacing w:after="0" w:line="360" w:lineRule="auto"/>
        <w:jc w:val="both"/>
        <w:rPr>
          <w:rFonts w:ascii="Book Antiqua" w:eastAsia="宋体" w:hAnsi="Book Antiqua"/>
          <w:sz w:val="20"/>
          <w:szCs w:val="20"/>
          <w:lang w:eastAsia="en-US"/>
        </w:rPr>
      </w:pPr>
      <w:bookmarkStart w:id="46" w:name="_Hlk36477062"/>
      <w:bookmarkStart w:id="47" w:name="_Hlk29216443"/>
      <w:bookmarkStart w:id="48" w:name="_Hlk27570239"/>
      <w:bookmarkStart w:id="49" w:name="_Hlk35136117"/>
      <w:bookmarkStart w:id="50" w:name="_Hlk27143403"/>
      <w:bookmarkStart w:id="51" w:name="_Hlk37643337"/>
      <w:bookmarkEnd w:id="45"/>
      <w:r w:rsidRPr="00D34BE8">
        <w:rPr>
          <w:rFonts w:ascii="Book Antiqua" w:eastAsia="宋体" w:hAnsi="Book Antiqua"/>
          <w:b/>
          <w:sz w:val="20"/>
          <w:szCs w:val="20"/>
          <w:lang w:eastAsia="en-US"/>
        </w:rPr>
        <w:t xml:space="preserve">Open-Access: </w:t>
      </w:r>
      <w:r w:rsidRPr="00D34BE8">
        <w:rPr>
          <w:rFonts w:ascii="Book Antiqua" w:eastAsia="等线" w:hAnsi="Book Antiqua"/>
          <w:color w:val="000000"/>
          <w:kern w:val="2"/>
          <w:sz w:val="20"/>
          <w:szCs w:val="2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46"/>
    <w:p w:rsidR="00C758B4" w:rsidRPr="00D34BE8" w:rsidRDefault="00C758B4" w:rsidP="00D34BE8">
      <w:pPr>
        <w:widowControl w:val="0"/>
        <w:spacing w:after="0" w:line="360" w:lineRule="auto"/>
        <w:jc w:val="both"/>
        <w:rPr>
          <w:rFonts w:ascii="Book Antiqua" w:eastAsia="宋体" w:hAnsi="Book Antiqua" w:cs="Calibri"/>
          <w:b/>
          <w:bCs/>
          <w:sz w:val="20"/>
          <w:szCs w:val="20"/>
        </w:rPr>
      </w:pPr>
    </w:p>
    <w:p w:rsidR="00C758B4" w:rsidRPr="00D34BE8" w:rsidRDefault="00C758B4" w:rsidP="00D34BE8">
      <w:pPr>
        <w:widowControl w:val="0"/>
        <w:spacing w:after="0" w:line="360" w:lineRule="auto"/>
        <w:jc w:val="both"/>
        <w:rPr>
          <w:rFonts w:ascii="Book Antiqua" w:eastAsia="宋体" w:hAnsi="Book Antiqua" w:cs="宋体"/>
          <w:sz w:val="20"/>
          <w:szCs w:val="20"/>
        </w:rPr>
      </w:pPr>
      <w:r w:rsidRPr="00D34BE8">
        <w:rPr>
          <w:rFonts w:ascii="Book Antiqua" w:eastAsia="宋体" w:hAnsi="Book Antiqua" w:cs="宋体"/>
          <w:b/>
          <w:sz w:val="20"/>
          <w:szCs w:val="20"/>
          <w:lang w:eastAsia="en-US"/>
        </w:rPr>
        <w:t>Manuscript</w:t>
      </w:r>
      <w:r w:rsidRPr="00D34BE8">
        <w:rPr>
          <w:rFonts w:ascii="Book Antiqua" w:eastAsia="宋体" w:hAnsi="Book Antiqua" w:cs="宋体"/>
          <w:b/>
          <w:sz w:val="20"/>
          <w:szCs w:val="20"/>
        </w:rPr>
        <w:t xml:space="preserve"> </w:t>
      </w:r>
      <w:r w:rsidRPr="00D34BE8">
        <w:rPr>
          <w:rFonts w:ascii="Book Antiqua" w:eastAsia="宋体" w:hAnsi="Book Antiqua" w:cs="宋体"/>
          <w:b/>
          <w:sz w:val="20"/>
          <w:szCs w:val="20"/>
          <w:lang w:eastAsia="en-US"/>
        </w:rPr>
        <w:t>source:</w:t>
      </w:r>
      <w:bookmarkEnd w:id="47"/>
      <w:r w:rsidRPr="00D34BE8">
        <w:rPr>
          <w:rFonts w:ascii="Book Antiqua" w:eastAsia="宋体" w:hAnsi="Book Antiqua" w:cs="宋体"/>
          <w:sz w:val="20"/>
          <w:szCs w:val="20"/>
        </w:rPr>
        <w:t xml:space="preserve"> </w:t>
      </w:r>
      <w:bookmarkStart w:id="52" w:name="_Hlk34698650"/>
      <w:r w:rsidRPr="00D34BE8">
        <w:rPr>
          <w:rFonts w:ascii="Book Antiqua" w:eastAsia="宋体" w:hAnsi="Book Antiqua" w:cs="宋体"/>
          <w:sz w:val="20"/>
          <w:szCs w:val="20"/>
        </w:rPr>
        <w:t xml:space="preserve">Unsolicited </w:t>
      </w:r>
      <w:r w:rsidR="003648E7">
        <w:rPr>
          <w:rFonts w:ascii="Book Antiqua" w:eastAsia="宋体" w:hAnsi="Book Antiqua" w:cs="宋体"/>
          <w:sz w:val="20"/>
          <w:szCs w:val="20"/>
        </w:rPr>
        <w:t>m</w:t>
      </w:r>
      <w:r w:rsidRPr="00D34BE8">
        <w:rPr>
          <w:rFonts w:ascii="Book Antiqua" w:eastAsia="宋体" w:hAnsi="Book Antiqua" w:cs="宋体"/>
          <w:sz w:val="20"/>
          <w:szCs w:val="20"/>
        </w:rPr>
        <w:t>anuscript</w:t>
      </w:r>
      <w:bookmarkEnd w:id="52"/>
    </w:p>
    <w:bookmarkEnd w:id="48"/>
    <w:p w:rsidR="00C758B4" w:rsidRPr="00D34BE8" w:rsidRDefault="00C758B4" w:rsidP="00D34BE8">
      <w:pPr>
        <w:adjustRightInd/>
        <w:spacing w:after="0" w:line="360" w:lineRule="auto"/>
        <w:jc w:val="both"/>
        <w:rPr>
          <w:rFonts w:ascii="Book Antiqua" w:eastAsia="等线" w:hAnsi="Book Antiqua"/>
          <w:b/>
          <w:bCs/>
          <w:color w:val="000000"/>
          <w:sz w:val="20"/>
          <w:szCs w:val="20"/>
        </w:rPr>
      </w:pPr>
    </w:p>
    <w:p w:rsidR="00C758B4" w:rsidRPr="00D34BE8" w:rsidRDefault="00C758B4" w:rsidP="00D34BE8">
      <w:pPr>
        <w:adjustRightInd/>
        <w:spacing w:after="0" w:line="360" w:lineRule="auto"/>
        <w:jc w:val="both"/>
        <w:rPr>
          <w:rFonts w:ascii="Book Antiqua" w:eastAsia="宋体" w:hAnsi="Book Antiqua"/>
          <w:b/>
          <w:sz w:val="20"/>
          <w:szCs w:val="20"/>
          <w:lang w:eastAsia="en-US"/>
        </w:rPr>
      </w:pPr>
      <w:bookmarkStart w:id="53" w:name="_Hlk29216459"/>
      <w:r w:rsidRPr="00D34BE8">
        <w:rPr>
          <w:rFonts w:ascii="Book Antiqua" w:eastAsia="宋体" w:hAnsi="Book Antiqua"/>
          <w:b/>
          <w:sz w:val="20"/>
          <w:szCs w:val="20"/>
          <w:lang w:eastAsia="en-US"/>
        </w:rPr>
        <w:t>Peer-review started:</w:t>
      </w:r>
      <w:r w:rsidRPr="00D34BE8">
        <w:rPr>
          <w:rFonts w:ascii="Book Antiqua" w:eastAsia="宋体" w:hAnsi="Book Antiqua"/>
          <w:sz w:val="20"/>
          <w:szCs w:val="20"/>
        </w:rPr>
        <w:t xml:space="preserve"> </w:t>
      </w:r>
      <w:r w:rsidR="00AA495B" w:rsidRPr="00D34BE8">
        <w:rPr>
          <w:rFonts w:ascii="Book Antiqua" w:eastAsia="宋体" w:hAnsi="Book Antiqua"/>
          <w:sz w:val="20"/>
          <w:szCs w:val="20"/>
        </w:rPr>
        <w:t>December</w:t>
      </w:r>
      <w:r w:rsidR="00AA495B" w:rsidRPr="00D34BE8">
        <w:rPr>
          <w:rFonts w:ascii="Book Antiqua" w:eastAsia="等线" w:hAnsi="Book Antiqua"/>
          <w:kern w:val="2"/>
          <w:sz w:val="20"/>
          <w:szCs w:val="20"/>
        </w:rPr>
        <w:t xml:space="preserve"> 28</w:t>
      </w:r>
      <w:r w:rsidRPr="00D34BE8">
        <w:rPr>
          <w:rFonts w:ascii="Book Antiqua" w:eastAsia="宋体" w:hAnsi="Book Antiqua"/>
          <w:sz w:val="20"/>
          <w:szCs w:val="20"/>
        </w:rPr>
        <w:t>, 20</w:t>
      </w:r>
      <w:r w:rsidR="00AA495B" w:rsidRPr="00D34BE8">
        <w:rPr>
          <w:rFonts w:ascii="Book Antiqua" w:eastAsia="宋体" w:hAnsi="Book Antiqua"/>
          <w:sz w:val="20"/>
          <w:szCs w:val="20"/>
        </w:rPr>
        <w:t>19</w:t>
      </w:r>
    </w:p>
    <w:p w:rsidR="00C758B4" w:rsidRPr="00D34BE8" w:rsidRDefault="00C758B4" w:rsidP="00D34BE8">
      <w:pPr>
        <w:adjustRightInd/>
        <w:spacing w:after="0" w:line="360" w:lineRule="auto"/>
        <w:jc w:val="both"/>
        <w:rPr>
          <w:rFonts w:ascii="Book Antiqua" w:eastAsia="宋体" w:hAnsi="Book Antiqua"/>
          <w:b/>
          <w:sz w:val="20"/>
          <w:szCs w:val="20"/>
          <w:lang w:eastAsia="en-US"/>
        </w:rPr>
      </w:pPr>
      <w:r w:rsidRPr="00D34BE8">
        <w:rPr>
          <w:rFonts w:ascii="Book Antiqua" w:eastAsia="宋体" w:hAnsi="Book Antiqua"/>
          <w:b/>
          <w:sz w:val="20"/>
          <w:szCs w:val="20"/>
          <w:lang w:eastAsia="en-US"/>
        </w:rPr>
        <w:t>First decision:</w:t>
      </w:r>
      <w:r w:rsidRPr="00D34BE8">
        <w:rPr>
          <w:rFonts w:ascii="Book Antiqua" w:eastAsia="宋体" w:hAnsi="Book Antiqua"/>
          <w:sz w:val="20"/>
          <w:szCs w:val="20"/>
        </w:rPr>
        <w:t xml:space="preserve"> </w:t>
      </w:r>
      <w:r w:rsidR="00AA495B" w:rsidRPr="00D34BE8">
        <w:rPr>
          <w:rFonts w:ascii="Book Antiqua" w:eastAsia="宋体" w:hAnsi="Book Antiqua"/>
          <w:sz w:val="20"/>
          <w:szCs w:val="20"/>
        </w:rPr>
        <w:t>Jan</w:t>
      </w:r>
      <w:r w:rsidRPr="00D34BE8">
        <w:rPr>
          <w:rFonts w:ascii="Book Antiqua" w:eastAsia="宋体" w:hAnsi="Book Antiqua"/>
          <w:sz w:val="20"/>
          <w:szCs w:val="20"/>
        </w:rPr>
        <w:t>uary 1</w:t>
      </w:r>
      <w:r w:rsidR="00AA495B" w:rsidRPr="00D34BE8">
        <w:rPr>
          <w:rFonts w:ascii="Book Antiqua" w:eastAsia="宋体" w:hAnsi="Book Antiqua"/>
          <w:sz w:val="20"/>
          <w:szCs w:val="20"/>
        </w:rPr>
        <w:t>3</w:t>
      </w:r>
      <w:r w:rsidRPr="00D34BE8">
        <w:rPr>
          <w:rFonts w:ascii="Book Antiqua" w:eastAsia="宋体" w:hAnsi="Book Antiqua"/>
          <w:sz w:val="20"/>
          <w:szCs w:val="20"/>
        </w:rPr>
        <w:t>, 2020</w:t>
      </w:r>
      <w:r w:rsidRPr="00D34BE8">
        <w:rPr>
          <w:rFonts w:ascii="Book Antiqua" w:eastAsia="宋体" w:hAnsi="Book Antiqua"/>
          <w:sz w:val="20"/>
          <w:szCs w:val="20"/>
          <w:lang w:eastAsia="en-US"/>
        </w:rPr>
        <w:t xml:space="preserve"> </w:t>
      </w:r>
    </w:p>
    <w:p w:rsidR="00C758B4" w:rsidRPr="00D34BE8" w:rsidRDefault="00C758B4" w:rsidP="00D34BE8">
      <w:pPr>
        <w:adjustRightInd/>
        <w:spacing w:after="0" w:line="360" w:lineRule="auto"/>
        <w:jc w:val="both"/>
        <w:rPr>
          <w:rFonts w:ascii="Book Antiqua" w:eastAsia="宋体" w:hAnsi="Book Antiqua"/>
          <w:sz w:val="20"/>
          <w:szCs w:val="20"/>
        </w:rPr>
      </w:pPr>
      <w:r w:rsidRPr="00D34BE8">
        <w:rPr>
          <w:rFonts w:ascii="Book Antiqua" w:eastAsia="宋体" w:hAnsi="Book Antiqua"/>
          <w:b/>
          <w:sz w:val="20"/>
          <w:szCs w:val="20"/>
          <w:lang w:eastAsia="en-US"/>
        </w:rPr>
        <w:t>Article in press:</w:t>
      </w:r>
      <w:bookmarkEnd w:id="53"/>
    </w:p>
    <w:bookmarkEnd w:id="49"/>
    <w:p w:rsidR="00C758B4" w:rsidRPr="00D34BE8" w:rsidRDefault="00C758B4" w:rsidP="00D34BE8">
      <w:pPr>
        <w:adjustRightInd/>
        <w:spacing w:after="0" w:line="360" w:lineRule="auto"/>
        <w:jc w:val="both"/>
        <w:rPr>
          <w:rFonts w:ascii="Book Antiqua" w:eastAsia="宋体" w:hAnsi="Book Antiqua"/>
          <w:sz w:val="20"/>
          <w:szCs w:val="20"/>
        </w:rPr>
      </w:pPr>
    </w:p>
    <w:p w:rsidR="00C758B4" w:rsidRPr="00D34BE8" w:rsidRDefault="00C758B4" w:rsidP="00D34BE8">
      <w:pPr>
        <w:adjustRightInd/>
        <w:spacing w:after="0" w:line="360" w:lineRule="auto"/>
        <w:jc w:val="both"/>
        <w:rPr>
          <w:rFonts w:ascii="Book Antiqua" w:eastAsia="宋体" w:hAnsi="Book Antiqua" w:cs="Helvetica"/>
          <w:b/>
          <w:sz w:val="20"/>
          <w:szCs w:val="20"/>
          <w:lang w:eastAsia="en-US"/>
        </w:rPr>
      </w:pPr>
      <w:bookmarkStart w:id="54" w:name="_Hlk29216517"/>
      <w:r w:rsidRPr="00D34BE8">
        <w:rPr>
          <w:rFonts w:ascii="Book Antiqua" w:eastAsia="宋体" w:hAnsi="Book Antiqua" w:cs="Helvetica"/>
          <w:b/>
          <w:sz w:val="20"/>
          <w:szCs w:val="20"/>
          <w:lang w:eastAsia="en-US"/>
        </w:rPr>
        <w:t xml:space="preserve">Specialty type: </w:t>
      </w:r>
      <w:r w:rsidRPr="00D34BE8">
        <w:rPr>
          <w:rFonts w:ascii="Book Antiqua" w:hAnsi="Book Antiqua" w:cs="宋体"/>
          <w:sz w:val="20"/>
          <w:szCs w:val="20"/>
        </w:rPr>
        <w:t>Gastroenterology and hepatology</w:t>
      </w:r>
    </w:p>
    <w:p w:rsidR="00C758B4" w:rsidRPr="00D34BE8" w:rsidRDefault="00C758B4" w:rsidP="00D34BE8">
      <w:pPr>
        <w:adjustRightInd/>
        <w:spacing w:after="0" w:line="360" w:lineRule="auto"/>
        <w:jc w:val="both"/>
        <w:rPr>
          <w:rFonts w:ascii="Book Antiqua" w:eastAsia="宋体" w:hAnsi="Book Antiqua" w:cs="Helvetica"/>
          <w:bCs/>
          <w:sz w:val="20"/>
          <w:szCs w:val="20"/>
          <w:lang w:eastAsia="en-US"/>
        </w:rPr>
      </w:pPr>
      <w:r w:rsidRPr="00D34BE8">
        <w:rPr>
          <w:rFonts w:ascii="Book Antiqua" w:eastAsia="宋体" w:hAnsi="Book Antiqua" w:cs="Helvetica"/>
          <w:b/>
          <w:sz w:val="20"/>
          <w:szCs w:val="20"/>
          <w:lang w:eastAsia="en-US"/>
        </w:rPr>
        <w:t xml:space="preserve">Country/Territory of origin: </w:t>
      </w:r>
      <w:r w:rsidR="004339B3" w:rsidRPr="00D34BE8">
        <w:rPr>
          <w:rFonts w:ascii="Book Antiqua" w:eastAsia="宋体" w:hAnsi="Book Antiqua" w:cs="Helvetica"/>
          <w:bCs/>
          <w:sz w:val="20"/>
          <w:szCs w:val="20"/>
          <w:lang w:eastAsia="en-US"/>
        </w:rPr>
        <w:t>China</w:t>
      </w:r>
    </w:p>
    <w:p w:rsidR="00C758B4" w:rsidRPr="00D34BE8" w:rsidRDefault="00C758B4" w:rsidP="00D34BE8">
      <w:pPr>
        <w:adjustRightInd/>
        <w:spacing w:after="0" w:line="360" w:lineRule="auto"/>
        <w:jc w:val="both"/>
        <w:rPr>
          <w:rFonts w:ascii="Book Antiqua" w:eastAsia="宋体" w:hAnsi="Book Antiqua" w:cs="Helvetica"/>
          <w:b/>
          <w:sz w:val="20"/>
          <w:szCs w:val="20"/>
          <w:lang w:eastAsia="en-US"/>
        </w:rPr>
      </w:pPr>
      <w:r w:rsidRPr="00D34BE8">
        <w:rPr>
          <w:rFonts w:ascii="Book Antiqua" w:eastAsia="宋体" w:hAnsi="Book Antiqua" w:cs="Helvetica"/>
          <w:b/>
          <w:sz w:val="20"/>
          <w:szCs w:val="20"/>
          <w:lang w:eastAsia="en-US"/>
        </w:rPr>
        <w:t>Peer-review report’s scientific quality classification</w:t>
      </w:r>
    </w:p>
    <w:p w:rsidR="00C758B4" w:rsidRPr="00D34BE8" w:rsidRDefault="00C758B4" w:rsidP="00D34BE8">
      <w:pPr>
        <w:adjustRightInd/>
        <w:spacing w:after="0" w:line="360" w:lineRule="auto"/>
        <w:jc w:val="both"/>
        <w:rPr>
          <w:rFonts w:ascii="Book Antiqua" w:eastAsia="宋体" w:hAnsi="Book Antiqua" w:cs="Helvetica"/>
          <w:sz w:val="20"/>
          <w:szCs w:val="20"/>
        </w:rPr>
      </w:pPr>
      <w:r w:rsidRPr="00D34BE8">
        <w:rPr>
          <w:rFonts w:ascii="Book Antiqua" w:eastAsia="宋体" w:hAnsi="Book Antiqua" w:cs="Helvetica"/>
          <w:sz w:val="20"/>
          <w:szCs w:val="20"/>
          <w:lang w:eastAsia="en-US"/>
        </w:rPr>
        <w:t xml:space="preserve">Grade A (Excellent): </w:t>
      </w:r>
      <w:r w:rsidRPr="00D34BE8">
        <w:rPr>
          <w:rFonts w:ascii="Book Antiqua" w:eastAsia="宋体" w:hAnsi="Book Antiqua" w:cs="Helvetica"/>
          <w:sz w:val="20"/>
          <w:szCs w:val="20"/>
        </w:rPr>
        <w:t>0</w:t>
      </w:r>
    </w:p>
    <w:p w:rsidR="00C758B4" w:rsidRPr="00D34BE8" w:rsidRDefault="00C758B4" w:rsidP="00D34BE8">
      <w:pPr>
        <w:adjustRightInd/>
        <w:spacing w:after="0" w:line="360" w:lineRule="auto"/>
        <w:jc w:val="both"/>
        <w:rPr>
          <w:rFonts w:ascii="Book Antiqua" w:eastAsia="宋体" w:hAnsi="Book Antiqua" w:cs="Helvetica"/>
          <w:sz w:val="20"/>
          <w:szCs w:val="20"/>
        </w:rPr>
      </w:pPr>
      <w:r w:rsidRPr="00D34BE8">
        <w:rPr>
          <w:rFonts w:ascii="Book Antiqua" w:eastAsia="宋体" w:hAnsi="Book Antiqua" w:cs="Helvetica"/>
          <w:sz w:val="20"/>
          <w:szCs w:val="20"/>
          <w:lang w:eastAsia="en-US"/>
        </w:rPr>
        <w:t xml:space="preserve">Grade B (Very good): </w:t>
      </w:r>
      <w:r w:rsidR="004339B3" w:rsidRPr="00D34BE8">
        <w:rPr>
          <w:rFonts w:ascii="Book Antiqua" w:eastAsia="宋体" w:hAnsi="Book Antiqua" w:cs="Helvetica"/>
          <w:sz w:val="20"/>
          <w:szCs w:val="20"/>
        </w:rPr>
        <w:t>B</w:t>
      </w:r>
    </w:p>
    <w:p w:rsidR="00C758B4" w:rsidRPr="00D34BE8" w:rsidRDefault="00C758B4" w:rsidP="00D34BE8">
      <w:pPr>
        <w:adjustRightInd/>
        <w:spacing w:after="0" w:line="360" w:lineRule="auto"/>
        <w:jc w:val="both"/>
        <w:rPr>
          <w:rFonts w:ascii="Book Antiqua" w:eastAsia="宋体" w:hAnsi="Book Antiqua" w:cs="Helvetica"/>
          <w:sz w:val="20"/>
          <w:szCs w:val="20"/>
        </w:rPr>
      </w:pPr>
      <w:r w:rsidRPr="00D34BE8">
        <w:rPr>
          <w:rFonts w:ascii="Book Antiqua" w:eastAsia="宋体" w:hAnsi="Book Antiqua" w:cs="Helvetica"/>
          <w:sz w:val="20"/>
          <w:szCs w:val="20"/>
          <w:lang w:eastAsia="en-US"/>
        </w:rPr>
        <w:t xml:space="preserve">Grade C (Good): </w:t>
      </w:r>
      <w:r w:rsidR="004339B3" w:rsidRPr="00D34BE8">
        <w:rPr>
          <w:rFonts w:ascii="Book Antiqua" w:eastAsia="宋体" w:hAnsi="Book Antiqua" w:cs="Helvetica"/>
          <w:sz w:val="20"/>
          <w:szCs w:val="20"/>
        </w:rPr>
        <w:t>C, C</w:t>
      </w:r>
    </w:p>
    <w:p w:rsidR="00C758B4" w:rsidRPr="00D34BE8" w:rsidRDefault="00C758B4" w:rsidP="00D34BE8">
      <w:pPr>
        <w:adjustRightInd/>
        <w:spacing w:after="0" w:line="360" w:lineRule="auto"/>
        <w:jc w:val="both"/>
        <w:rPr>
          <w:rFonts w:ascii="Book Antiqua" w:eastAsia="宋体" w:hAnsi="Book Antiqua" w:cs="Helvetica"/>
          <w:sz w:val="20"/>
          <w:szCs w:val="20"/>
          <w:lang w:eastAsia="en-US"/>
        </w:rPr>
      </w:pPr>
      <w:r w:rsidRPr="00D34BE8">
        <w:rPr>
          <w:rFonts w:ascii="Book Antiqua" w:eastAsia="宋体" w:hAnsi="Book Antiqua" w:cs="Helvetica"/>
          <w:sz w:val="20"/>
          <w:szCs w:val="20"/>
          <w:lang w:eastAsia="en-US"/>
        </w:rPr>
        <w:t xml:space="preserve">Grade D (Fair): </w:t>
      </w:r>
      <w:r w:rsidR="004339B3" w:rsidRPr="00D34BE8">
        <w:rPr>
          <w:rFonts w:ascii="Book Antiqua" w:eastAsia="宋体" w:hAnsi="Book Antiqua" w:cs="Helvetica"/>
          <w:sz w:val="20"/>
          <w:szCs w:val="20"/>
          <w:lang w:eastAsia="en-US"/>
        </w:rPr>
        <w:t>D</w:t>
      </w:r>
    </w:p>
    <w:p w:rsidR="00C758B4" w:rsidRPr="00D34BE8" w:rsidRDefault="00C758B4" w:rsidP="00D34BE8">
      <w:pPr>
        <w:adjustRightInd/>
        <w:spacing w:after="0" w:line="360" w:lineRule="auto"/>
        <w:jc w:val="both"/>
        <w:rPr>
          <w:rFonts w:ascii="Book Antiqua" w:eastAsia="宋体" w:hAnsi="Book Antiqua" w:cs="Calibri"/>
          <w:sz w:val="20"/>
          <w:szCs w:val="20"/>
          <w:lang w:eastAsia="en-US"/>
        </w:rPr>
      </w:pPr>
      <w:r w:rsidRPr="00D34BE8">
        <w:rPr>
          <w:rFonts w:ascii="Book Antiqua" w:eastAsia="宋体" w:hAnsi="Book Antiqua" w:cs="Helvetica"/>
          <w:sz w:val="20"/>
          <w:szCs w:val="20"/>
          <w:lang w:eastAsia="en-US"/>
        </w:rPr>
        <w:t>Grade E (Poor): 0</w:t>
      </w:r>
    </w:p>
    <w:bookmarkEnd w:id="54"/>
    <w:p w:rsidR="00C758B4" w:rsidRPr="00D34BE8" w:rsidRDefault="00C758B4" w:rsidP="00D34BE8">
      <w:pPr>
        <w:adjustRightInd/>
        <w:spacing w:after="0" w:line="360" w:lineRule="auto"/>
        <w:jc w:val="both"/>
        <w:rPr>
          <w:rFonts w:ascii="Book Antiqua" w:eastAsia="宋体" w:hAnsi="Book Antiqua" w:cs="Calibri"/>
          <w:sz w:val="20"/>
          <w:szCs w:val="20"/>
        </w:rPr>
      </w:pPr>
    </w:p>
    <w:p w:rsidR="00C758B4" w:rsidRPr="00D34BE8" w:rsidRDefault="00C758B4" w:rsidP="00D34BE8">
      <w:pPr>
        <w:widowControl w:val="0"/>
        <w:adjustRightInd/>
        <w:spacing w:after="0" w:line="360" w:lineRule="auto"/>
        <w:ind w:right="120"/>
        <w:jc w:val="both"/>
        <w:rPr>
          <w:rFonts w:ascii="Book Antiqua" w:eastAsia="宋体" w:hAnsi="Book Antiqua" w:cs="Courier New"/>
          <w:b/>
          <w:kern w:val="2"/>
          <w:sz w:val="20"/>
          <w:szCs w:val="20"/>
        </w:rPr>
      </w:pPr>
      <w:bookmarkStart w:id="55" w:name="_Hlk29216555"/>
      <w:r w:rsidRPr="00D34BE8">
        <w:rPr>
          <w:rFonts w:ascii="Book Antiqua" w:eastAsia="宋体" w:hAnsi="Book Antiqua" w:cs="Courier New"/>
          <w:b/>
          <w:kern w:val="2"/>
          <w:sz w:val="20"/>
          <w:szCs w:val="20"/>
        </w:rPr>
        <w:t>P-Reviewer:</w:t>
      </w:r>
      <w:r w:rsidR="006C3AE7" w:rsidRPr="00D34BE8">
        <w:rPr>
          <w:sz w:val="20"/>
          <w:szCs w:val="20"/>
        </w:rPr>
        <w:t xml:space="preserve"> </w:t>
      </w:r>
      <w:r w:rsidR="006C3AE7" w:rsidRPr="00D34BE8">
        <w:rPr>
          <w:rFonts w:ascii="Book Antiqua" w:eastAsia="宋体" w:hAnsi="Book Antiqua" w:cs="Courier New"/>
          <w:bCs/>
          <w:kern w:val="2"/>
          <w:sz w:val="20"/>
          <w:szCs w:val="20"/>
        </w:rPr>
        <w:t>Dragoteanu MN,</w:t>
      </w:r>
      <w:r w:rsidR="006C3AE7" w:rsidRPr="00D34BE8">
        <w:rPr>
          <w:bCs/>
          <w:sz w:val="20"/>
          <w:szCs w:val="20"/>
        </w:rPr>
        <w:t xml:space="preserve"> </w:t>
      </w:r>
      <w:r w:rsidR="006C3AE7" w:rsidRPr="00D34BE8">
        <w:rPr>
          <w:rFonts w:ascii="Book Antiqua" w:eastAsia="宋体" w:hAnsi="Book Antiqua" w:cs="Courier New"/>
          <w:bCs/>
          <w:kern w:val="2"/>
          <w:sz w:val="20"/>
          <w:szCs w:val="20"/>
        </w:rPr>
        <w:t>Kraja B,</w:t>
      </w:r>
      <w:r w:rsidR="006C3AE7" w:rsidRPr="00D34BE8">
        <w:rPr>
          <w:bCs/>
          <w:sz w:val="20"/>
          <w:szCs w:val="20"/>
        </w:rPr>
        <w:t xml:space="preserve"> </w:t>
      </w:r>
      <w:r w:rsidR="006C3AE7" w:rsidRPr="00D34BE8">
        <w:rPr>
          <w:rFonts w:ascii="Book Antiqua" w:eastAsia="宋体" w:hAnsi="Book Antiqua" w:cs="Courier New"/>
          <w:bCs/>
          <w:kern w:val="2"/>
          <w:sz w:val="20"/>
          <w:szCs w:val="20"/>
        </w:rPr>
        <w:t>Ortiz-Sanchez E,</w:t>
      </w:r>
      <w:r w:rsidR="006C3AE7" w:rsidRPr="00D34BE8">
        <w:rPr>
          <w:bCs/>
          <w:sz w:val="20"/>
          <w:szCs w:val="20"/>
        </w:rPr>
        <w:t xml:space="preserve"> </w:t>
      </w:r>
      <w:r w:rsidR="006C3AE7" w:rsidRPr="00D34BE8">
        <w:rPr>
          <w:rFonts w:ascii="Book Antiqua" w:eastAsia="宋体" w:hAnsi="Book Antiqua" w:cs="Courier New"/>
          <w:bCs/>
          <w:kern w:val="2"/>
          <w:sz w:val="20"/>
          <w:szCs w:val="20"/>
        </w:rPr>
        <w:t>Sterpetti AV</w:t>
      </w:r>
      <w:r w:rsidRPr="00D34BE8">
        <w:rPr>
          <w:rFonts w:ascii="Book Antiqua" w:eastAsia="宋体" w:hAnsi="Book Antiqua" w:cs="Courier New"/>
          <w:bCs/>
          <w:kern w:val="2"/>
          <w:sz w:val="20"/>
          <w:szCs w:val="20"/>
        </w:rPr>
        <w:t xml:space="preserve"> </w:t>
      </w:r>
      <w:r w:rsidRPr="00D34BE8">
        <w:rPr>
          <w:rFonts w:ascii="Book Antiqua" w:eastAsia="宋体" w:hAnsi="Book Antiqua" w:cs="Courier New"/>
          <w:b/>
          <w:kern w:val="2"/>
          <w:sz w:val="20"/>
          <w:szCs w:val="20"/>
        </w:rPr>
        <w:t xml:space="preserve">S-Editor: </w:t>
      </w:r>
      <w:r w:rsidRPr="00D34BE8">
        <w:rPr>
          <w:rFonts w:ascii="Book Antiqua" w:eastAsia="宋体" w:hAnsi="Book Antiqua" w:cs="Courier New"/>
          <w:kern w:val="2"/>
          <w:sz w:val="20"/>
          <w:szCs w:val="20"/>
        </w:rPr>
        <w:t>Wang YQ</w:t>
      </w:r>
      <w:r w:rsidRPr="00D34BE8">
        <w:rPr>
          <w:rFonts w:ascii="Book Antiqua" w:eastAsia="宋体" w:hAnsi="Book Antiqua" w:cs="Courier New"/>
          <w:b/>
          <w:kern w:val="2"/>
          <w:sz w:val="20"/>
          <w:szCs w:val="20"/>
        </w:rPr>
        <w:t xml:space="preserve"> L-Editor: </w:t>
      </w:r>
      <w:r w:rsidR="00117DBC" w:rsidRPr="00D34BE8">
        <w:rPr>
          <w:rFonts w:ascii="Book Antiqua" w:eastAsia="宋体" w:hAnsi="Book Antiqua" w:cs="Courier New"/>
          <w:kern w:val="2"/>
          <w:sz w:val="20"/>
          <w:szCs w:val="20"/>
        </w:rPr>
        <w:t xml:space="preserve">Filipodia </w:t>
      </w:r>
      <w:r w:rsidRPr="00D34BE8">
        <w:rPr>
          <w:rFonts w:ascii="Book Antiqua" w:eastAsia="宋体" w:hAnsi="Book Antiqua" w:cs="Courier New"/>
          <w:b/>
          <w:kern w:val="2"/>
          <w:sz w:val="20"/>
          <w:szCs w:val="20"/>
        </w:rPr>
        <w:t>E-Editor:</w:t>
      </w:r>
      <w:bookmarkEnd w:id="55"/>
      <w:r w:rsidRPr="00D34BE8">
        <w:rPr>
          <w:rFonts w:ascii="Book Antiqua" w:eastAsia="宋体" w:hAnsi="Book Antiqua" w:cs="Courier New"/>
          <w:b/>
          <w:kern w:val="2"/>
          <w:sz w:val="20"/>
          <w:szCs w:val="20"/>
        </w:rPr>
        <w:t xml:space="preserve"> </w:t>
      </w:r>
      <w:bookmarkEnd w:id="50"/>
    </w:p>
    <w:bookmarkEnd w:id="51"/>
    <w:p w:rsidR="00C758B4" w:rsidRPr="00D34BE8" w:rsidRDefault="00C758B4" w:rsidP="00D34BE8">
      <w:pPr>
        <w:spacing w:after="0" w:line="360" w:lineRule="auto"/>
        <w:rPr>
          <w:rFonts w:ascii="Book Antiqua" w:eastAsia="宋体" w:hAnsi="Book Antiqua"/>
          <w:b/>
          <w:sz w:val="20"/>
          <w:szCs w:val="20"/>
          <w:lang w:eastAsia="en-US"/>
        </w:rPr>
      </w:pPr>
      <w:r w:rsidRPr="00D34BE8">
        <w:rPr>
          <w:rFonts w:ascii="Book Antiqua" w:hAnsi="Book Antiqua"/>
          <w:sz w:val="20"/>
          <w:szCs w:val="20"/>
        </w:rPr>
        <w:br w:type="page"/>
      </w:r>
      <w:bookmarkStart w:id="56" w:name="_Hlk35132076"/>
      <w:r w:rsidRPr="00D34BE8">
        <w:rPr>
          <w:rFonts w:ascii="Book Antiqua" w:eastAsia="宋体" w:hAnsi="Book Antiqua"/>
          <w:b/>
          <w:sz w:val="20"/>
          <w:szCs w:val="20"/>
          <w:lang w:eastAsia="en-US"/>
        </w:rPr>
        <w:t>Figure Legends</w:t>
      </w:r>
    </w:p>
    <w:p w:rsidR="00572274" w:rsidRPr="00D34BE8" w:rsidRDefault="0082385A" w:rsidP="00D34BE8">
      <w:pPr>
        <w:spacing w:after="0" w:line="360" w:lineRule="auto"/>
        <w:rPr>
          <w:sz w:val="20"/>
          <w:szCs w:val="20"/>
        </w:rPr>
      </w:pPr>
      <w:r>
        <w:rPr>
          <w:noProof/>
          <w:sz w:val="20"/>
          <w:szCs w:val="20"/>
        </w:rPr>
        <w:drawing>
          <wp:inline distT="0" distB="0" distL="0" distR="0">
            <wp:extent cx="3096260" cy="2759075"/>
            <wp:effectExtent l="0" t="0" r="8890"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96260" cy="2759075"/>
                    </a:xfrm>
                    <a:prstGeom prst="rect">
                      <a:avLst/>
                    </a:prstGeom>
                    <a:noFill/>
                    <a:ln>
                      <a:noFill/>
                    </a:ln>
                  </pic:spPr>
                </pic:pic>
              </a:graphicData>
            </a:graphic>
          </wp:inline>
        </w:drawing>
      </w:r>
      <w:r w:rsidR="001023E7" w:rsidRPr="00D34BE8">
        <w:rPr>
          <w:sz w:val="20"/>
          <w:szCs w:val="20"/>
        </w:rPr>
        <w:t xml:space="preserve"> </w:t>
      </w:r>
      <w:r>
        <w:rPr>
          <w:noProof/>
          <w:sz w:val="20"/>
          <w:szCs w:val="20"/>
        </w:rPr>
        <w:drawing>
          <wp:inline distT="0" distB="0" distL="0" distR="0">
            <wp:extent cx="2628900" cy="2654935"/>
            <wp:effectExtent l="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28900" cy="2654935"/>
                    </a:xfrm>
                    <a:prstGeom prst="rect">
                      <a:avLst/>
                    </a:prstGeom>
                    <a:noFill/>
                    <a:ln>
                      <a:noFill/>
                    </a:ln>
                  </pic:spPr>
                </pic:pic>
              </a:graphicData>
            </a:graphic>
          </wp:inline>
        </w:drawing>
      </w:r>
    </w:p>
    <w:p w:rsidR="00E96D37" w:rsidRPr="00D34BE8" w:rsidRDefault="00E96D37" w:rsidP="00D34BE8">
      <w:pPr>
        <w:spacing w:after="0" w:line="360" w:lineRule="auto"/>
        <w:jc w:val="both"/>
        <w:rPr>
          <w:rFonts w:ascii="Book Antiqua" w:eastAsia="等线" w:hAnsi="Book Antiqua"/>
          <w:bCs/>
          <w:sz w:val="20"/>
          <w:szCs w:val="20"/>
        </w:rPr>
      </w:pPr>
      <w:r w:rsidRPr="00D34BE8">
        <w:rPr>
          <w:rFonts w:ascii="Book Antiqua" w:eastAsia="宋体" w:hAnsi="Book Antiqua"/>
          <w:b/>
          <w:sz w:val="20"/>
          <w:szCs w:val="20"/>
          <w:lang w:eastAsia="en-US"/>
        </w:rPr>
        <w:t xml:space="preserve">Figure 1 </w:t>
      </w:r>
      <w:bookmarkStart w:id="57" w:name="_Hlk37957093"/>
      <w:r w:rsidRPr="00D34BE8">
        <w:rPr>
          <w:rFonts w:ascii="Book Antiqua" w:eastAsia="宋体" w:hAnsi="Book Antiqua"/>
          <w:b/>
          <w:sz w:val="20"/>
          <w:szCs w:val="20"/>
          <w:lang w:eastAsia="en-US"/>
        </w:rPr>
        <w:t>A</w:t>
      </w:r>
      <w:r w:rsidR="00297098" w:rsidRPr="00D34BE8">
        <w:rPr>
          <w:rFonts w:ascii="Book Antiqua" w:eastAsia="宋体" w:hAnsi="Book Antiqua"/>
          <w:b/>
          <w:sz w:val="20"/>
          <w:szCs w:val="20"/>
          <w:lang w:eastAsia="en-US"/>
        </w:rPr>
        <w:t>rea under the curve</w:t>
      </w:r>
      <w:bookmarkEnd w:id="57"/>
      <w:r w:rsidRPr="00D34BE8">
        <w:rPr>
          <w:rFonts w:ascii="Book Antiqua" w:eastAsia="宋体" w:hAnsi="Book Antiqua"/>
          <w:b/>
          <w:sz w:val="20"/>
          <w:szCs w:val="20"/>
          <w:lang w:eastAsia="en-US"/>
        </w:rPr>
        <w:t xml:space="preserve"> of various models in predicting </w:t>
      </w:r>
      <w:r w:rsidR="00297098" w:rsidRPr="00D34BE8">
        <w:rPr>
          <w:rFonts w:ascii="Book Antiqua" w:hAnsi="Book Antiqua"/>
          <w:b/>
          <w:bCs/>
          <w:sz w:val="20"/>
          <w:szCs w:val="20"/>
        </w:rPr>
        <w:t>high-risk esophageal varices</w:t>
      </w:r>
      <w:r w:rsidRPr="00D34BE8">
        <w:rPr>
          <w:rFonts w:ascii="Book Antiqua" w:eastAsia="宋体" w:hAnsi="Book Antiqua"/>
          <w:b/>
          <w:sz w:val="20"/>
          <w:szCs w:val="20"/>
          <w:lang w:eastAsia="en-US"/>
        </w:rPr>
        <w:t xml:space="preserve"> of patients</w:t>
      </w:r>
      <w:r w:rsidR="00572274" w:rsidRPr="00D34BE8">
        <w:rPr>
          <w:rFonts w:ascii="Book Antiqua" w:eastAsia="宋体" w:hAnsi="Book Antiqua"/>
          <w:b/>
          <w:sz w:val="20"/>
          <w:szCs w:val="20"/>
          <w:lang w:eastAsia="en-US"/>
        </w:rPr>
        <w:t>.</w:t>
      </w:r>
      <w:r w:rsidRPr="00D34BE8">
        <w:rPr>
          <w:rFonts w:ascii="Book Antiqua" w:eastAsia="宋体" w:hAnsi="Book Antiqua"/>
          <w:b/>
          <w:sz w:val="20"/>
          <w:szCs w:val="20"/>
          <w:lang w:eastAsia="en-US"/>
        </w:rPr>
        <w:t xml:space="preserve"> </w:t>
      </w:r>
      <w:r w:rsidR="00572274" w:rsidRPr="00D34BE8">
        <w:rPr>
          <w:rFonts w:ascii="Book Antiqua" w:eastAsia="宋体" w:hAnsi="Book Antiqua"/>
          <w:bCs/>
          <w:sz w:val="20"/>
          <w:szCs w:val="20"/>
          <w:lang w:eastAsia="en-US"/>
        </w:rPr>
        <w:t>A:</w:t>
      </w:r>
      <w:r w:rsidRPr="00D34BE8">
        <w:rPr>
          <w:rFonts w:ascii="Book Antiqua" w:eastAsia="宋体" w:hAnsi="Book Antiqua"/>
          <w:bCs/>
          <w:sz w:val="20"/>
          <w:szCs w:val="20"/>
          <w:lang w:eastAsia="en-US"/>
        </w:rPr>
        <w:t xml:space="preserve"> </w:t>
      </w:r>
      <w:r w:rsidR="00572274" w:rsidRPr="00D34BE8">
        <w:rPr>
          <w:rFonts w:ascii="Book Antiqua" w:eastAsia="宋体" w:hAnsi="Book Antiqua"/>
          <w:bCs/>
          <w:sz w:val="20"/>
          <w:szCs w:val="20"/>
          <w:lang w:eastAsia="en-US"/>
        </w:rPr>
        <w:t xml:space="preserve">Modeling </w:t>
      </w:r>
      <w:r w:rsidRPr="00D34BE8">
        <w:rPr>
          <w:rFonts w:ascii="Book Antiqua" w:eastAsia="宋体" w:hAnsi="Book Antiqua"/>
          <w:bCs/>
          <w:sz w:val="20"/>
          <w:szCs w:val="20"/>
          <w:lang w:eastAsia="en-US"/>
        </w:rPr>
        <w:t>group</w:t>
      </w:r>
      <w:r w:rsidR="00572274" w:rsidRPr="00D34BE8">
        <w:rPr>
          <w:rFonts w:ascii="Book Antiqua" w:eastAsia="宋体" w:hAnsi="Book Antiqua"/>
          <w:bCs/>
          <w:sz w:val="20"/>
          <w:szCs w:val="20"/>
          <w:lang w:eastAsia="en-US"/>
        </w:rPr>
        <w:t>; B: External validation group.</w:t>
      </w:r>
      <w:r w:rsidRPr="00D34BE8">
        <w:rPr>
          <w:bCs/>
          <w:sz w:val="20"/>
          <w:szCs w:val="20"/>
        </w:rPr>
        <w:t xml:space="preserve"> </w:t>
      </w:r>
      <w:r w:rsidR="00572274" w:rsidRPr="00D34BE8">
        <w:rPr>
          <w:rFonts w:ascii="Book Antiqua" w:eastAsia="宋体" w:hAnsi="Book Antiqua"/>
          <w:bCs/>
          <w:sz w:val="20"/>
          <w:szCs w:val="20"/>
          <w:lang w:eastAsia="en-US"/>
        </w:rPr>
        <w:t>The area under the curve of the new model i</w:t>
      </w:r>
      <w:r w:rsidRPr="00D34BE8">
        <w:rPr>
          <w:rFonts w:ascii="Book Antiqua" w:eastAsia="宋体" w:hAnsi="Book Antiqua"/>
          <w:bCs/>
          <w:sz w:val="20"/>
          <w:szCs w:val="20"/>
          <w:lang w:eastAsia="en-US"/>
        </w:rPr>
        <w:t xml:space="preserve">n predicting </w:t>
      </w:r>
      <w:r w:rsidR="00297098" w:rsidRPr="00D34BE8">
        <w:rPr>
          <w:rFonts w:ascii="Book Antiqua" w:eastAsia="宋体" w:hAnsi="Book Antiqua"/>
          <w:bCs/>
          <w:sz w:val="20"/>
          <w:szCs w:val="20"/>
          <w:lang w:eastAsia="en-US"/>
        </w:rPr>
        <w:t xml:space="preserve">high-risk esophageal varices </w:t>
      </w:r>
      <w:r w:rsidRPr="00D34BE8">
        <w:rPr>
          <w:rFonts w:ascii="Book Antiqua" w:eastAsia="宋体" w:hAnsi="Book Antiqua"/>
          <w:bCs/>
          <w:sz w:val="20"/>
          <w:szCs w:val="20"/>
          <w:lang w:eastAsia="en-US"/>
        </w:rPr>
        <w:t xml:space="preserve">of patients </w:t>
      </w:r>
      <w:r w:rsidR="00572274" w:rsidRPr="00D34BE8">
        <w:rPr>
          <w:rFonts w:ascii="Book Antiqua" w:eastAsia="宋体" w:hAnsi="Book Antiqua"/>
          <w:bCs/>
          <w:sz w:val="20"/>
          <w:szCs w:val="20"/>
          <w:lang w:eastAsia="en-US"/>
        </w:rPr>
        <w:t xml:space="preserve">was 0.865 </w:t>
      </w:r>
      <w:r w:rsidRPr="00D34BE8">
        <w:rPr>
          <w:rFonts w:ascii="Book Antiqua" w:eastAsia="宋体" w:hAnsi="Book Antiqua"/>
          <w:bCs/>
          <w:sz w:val="20"/>
          <w:szCs w:val="20"/>
          <w:lang w:eastAsia="en-US"/>
        </w:rPr>
        <w:t>in the modeling group,</w:t>
      </w:r>
      <w:r w:rsidR="00572274" w:rsidRPr="00D34BE8">
        <w:rPr>
          <w:rFonts w:ascii="Book Antiqua" w:eastAsia="宋体" w:hAnsi="Book Antiqua"/>
          <w:bCs/>
          <w:sz w:val="20"/>
          <w:szCs w:val="20"/>
          <w:lang w:eastAsia="en-US"/>
        </w:rPr>
        <w:t xml:space="preserve"> </w:t>
      </w:r>
      <w:r w:rsidRPr="00D34BE8">
        <w:rPr>
          <w:rFonts w:ascii="Book Antiqua" w:eastAsia="宋体" w:hAnsi="Book Antiqua"/>
          <w:bCs/>
          <w:sz w:val="20"/>
          <w:szCs w:val="20"/>
          <w:lang w:eastAsia="en-US"/>
        </w:rPr>
        <w:t xml:space="preserve">which was higher than that of </w:t>
      </w:r>
      <w:bookmarkStart w:id="58" w:name="OLE_LINK106"/>
      <w:bookmarkStart w:id="59" w:name="OLE_LINK107"/>
      <w:r w:rsidR="000018AB" w:rsidRPr="00D34BE8">
        <w:rPr>
          <w:rFonts w:ascii="Book Antiqua" w:eastAsia="等线" w:hAnsi="Book Antiqua"/>
          <w:bCs/>
          <w:sz w:val="20"/>
          <w:szCs w:val="20"/>
        </w:rPr>
        <w:t>l</w:t>
      </w:r>
      <w:r w:rsidR="000018AB" w:rsidRPr="00D34BE8">
        <w:rPr>
          <w:rFonts w:ascii="Book Antiqua" w:eastAsia="Times New Roman" w:hAnsi="Book Antiqua"/>
          <w:sz w:val="20"/>
          <w:szCs w:val="20"/>
        </w:rPr>
        <w:t>iver stiffness-spleen diameter to platelet ratio score</w:t>
      </w:r>
      <w:bookmarkEnd w:id="58"/>
      <w:bookmarkEnd w:id="59"/>
      <w:r w:rsidRPr="00D34BE8">
        <w:rPr>
          <w:rFonts w:ascii="Book Antiqua" w:eastAsia="宋体" w:hAnsi="Book Antiqua"/>
          <w:bCs/>
          <w:sz w:val="20"/>
          <w:szCs w:val="20"/>
          <w:lang w:eastAsia="en-US"/>
        </w:rPr>
        <w:t xml:space="preserve">, </w:t>
      </w:r>
      <w:r w:rsidR="000018AB" w:rsidRPr="00D34BE8">
        <w:rPr>
          <w:rStyle w:val="st"/>
          <w:rFonts w:ascii="Book Antiqua" w:eastAsia="Times New Roman" w:hAnsi="Book Antiqua"/>
          <w:sz w:val="20"/>
          <w:szCs w:val="20"/>
        </w:rPr>
        <w:t>variceal risk index</w:t>
      </w:r>
      <w:r w:rsidRPr="00D34BE8">
        <w:rPr>
          <w:rFonts w:ascii="Book Antiqua" w:eastAsia="宋体" w:hAnsi="Book Antiqua"/>
          <w:bCs/>
          <w:sz w:val="20"/>
          <w:szCs w:val="20"/>
          <w:lang w:eastAsia="en-US"/>
        </w:rPr>
        <w:t xml:space="preserve">, </w:t>
      </w:r>
      <w:r w:rsidR="000018AB" w:rsidRPr="00D34BE8">
        <w:rPr>
          <w:rStyle w:val="e24kjd"/>
          <w:rFonts w:ascii="Book Antiqua" w:eastAsia="Times New Roman" w:hAnsi="Book Antiqua"/>
          <w:sz w:val="20"/>
          <w:szCs w:val="20"/>
        </w:rPr>
        <w:t xml:space="preserve">aspartate transaminase to platelet ratio </w:t>
      </w:r>
      <w:r w:rsidR="000018AB" w:rsidRPr="00D34BE8">
        <w:rPr>
          <w:rStyle w:val="e24kjd"/>
          <w:rFonts w:ascii="Book Antiqua" w:eastAsia="Times New Roman" w:hAnsi="Book Antiqua"/>
          <w:bCs/>
          <w:sz w:val="20"/>
          <w:szCs w:val="20"/>
        </w:rPr>
        <w:t>index</w:t>
      </w:r>
      <w:r w:rsidR="00025B81" w:rsidRPr="00D34BE8">
        <w:rPr>
          <w:rFonts w:ascii="Book Antiqua" w:eastAsia="宋体" w:hAnsi="Book Antiqua"/>
          <w:bCs/>
          <w:sz w:val="20"/>
          <w:szCs w:val="20"/>
          <w:lang w:eastAsia="en-US"/>
        </w:rPr>
        <w:t>,</w:t>
      </w:r>
      <w:r w:rsidRPr="00D34BE8">
        <w:rPr>
          <w:rFonts w:ascii="Book Antiqua" w:eastAsia="宋体" w:hAnsi="Book Antiqua"/>
          <w:bCs/>
          <w:sz w:val="20"/>
          <w:szCs w:val="20"/>
          <w:lang w:eastAsia="en-US"/>
        </w:rPr>
        <w:t xml:space="preserve"> and </w:t>
      </w:r>
      <w:r w:rsidR="000018AB" w:rsidRPr="00D34BE8">
        <w:rPr>
          <w:rStyle w:val="e24kjd"/>
          <w:rFonts w:ascii="Book Antiqua" w:eastAsia="Times New Roman" w:hAnsi="Book Antiqua"/>
          <w:sz w:val="20"/>
          <w:szCs w:val="20"/>
        </w:rPr>
        <w:t xml:space="preserve">aspartate transaminase </w:t>
      </w:r>
      <w:r w:rsidR="000018AB" w:rsidRPr="00D34BE8">
        <w:rPr>
          <w:rStyle w:val="st"/>
          <w:rFonts w:ascii="Book Antiqua" w:eastAsia="Times New Roman" w:hAnsi="Book Antiqua"/>
          <w:i/>
          <w:sz w:val="20"/>
          <w:szCs w:val="20"/>
        </w:rPr>
        <w:t>/</w:t>
      </w:r>
      <w:r w:rsidR="000018AB" w:rsidRPr="00D34BE8">
        <w:rPr>
          <w:rStyle w:val="e24kjd"/>
          <w:rFonts w:ascii="Book Antiqua" w:eastAsia="Times New Roman" w:hAnsi="Book Antiqua"/>
          <w:sz w:val="20"/>
          <w:szCs w:val="20"/>
        </w:rPr>
        <w:t>alanine aminotransferase</w:t>
      </w:r>
      <w:r w:rsidR="000018AB" w:rsidRPr="00D34BE8">
        <w:rPr>
          <w:rStyle w:val="st"/>
          <w:rFonts w:ascii="Book Antiqua" w:eastAsia="Times New Roman" w:hAnsi="Book Antiqua"/>
          <w:sz w:val="20"/>
          <w:szCs w:val="20"/>
        </w:rPr>
        <w:t xml:space="preserve"> ratio</w:t>
      </w:r>
      <w:r w:rsidR="00572274" w:rsidRPr="00D34BE8">
        <w:rPr>
          <w:rFonts w:ascii="Book Antiqua" w:eastAsia="宋体" w:hAnsi="Book Antiqua"/>
          <w:bCs/>
          <w:sz w:val="20"/>
          <w:szCs w:val="20"/>
          <w:lang w:eastAsia="en-US"/>
        </w:rPr>
        <w:t>; and it was 0.879 in the external validation group.</w:t>
      </w:r>
      <w:r w:rsidR="00297098" w:rsidRPr="00D34BE8">
        <w:rPr>
          <w:rFonts w:ascii="Book Antiqua" w:eastAsia="宋体" w:hAnsi="Book Antiqua"/>
          <w:bCs/>
          <w:sz w:val="20"/>
          <w:szCs w:val="20"/>
          <w:lang w:eastAsia="en-US"/>
        </w:rPr>
        <w:t xml:space="preserve"> ROC: </w:t>
      </w:r>
      <w:r w:rsidR="00297098" w:rsidRPr="00D34BE8">
        <w:rPr>
          <w:rFonts w:ascii="Book Antiqua" w:eastAsia="等线" w:hAnsi="Book Antiqua"/>
          <w:bCs/>
          <w:sz w:val="20"/>
          <w:szCs w:val="20"/>
        </w:rPr>
        <w:t>Receiver operating characteristic.</w:t>
      </w:r>
    </w:p>
    <w:p w:rsidR="006E5B29" w:rsidRPr="00D34BE8" w:rsidRDefault="006E5B29" w:rsidP="00D34BE8">
      <w:pPr>
        <w:spacing w:after="0" w:line="360" w:lineRule="auto"/>
        <w:jc w:val="both"/>
        <w:rPr>
          <w:rFonts w:ascii="Book Antiqua" w:eastAsia="宋体" w:hAnsi="Book Antiqua"/>
          <w:bCs/>
          <w:sz w:val="20"/>
          <w:szCs w:val="20"/>
          <w:lang w:eastAsia="en-US"/>
        </w:rPr>
      </w:pPr>
    </w:p>
    <w:p w:rsidR="006E5B29" w:rsidRPr="00D34BE8" w:rsidRDefault="0082385A" w:rsidP="00D34BE8">
      <w:pPr>
        <w:spacing w:after="0" w:line="360" w:lineRule="auto"/>
        <w:jc w:val="both"/>
        <w:rPr>
          <w:sz w:val="20"/>
          <w:szCs w:val="20"/>
        </w:rPr>
      </w:pPr>
      <w:r>
        <w:rPr>
          <w:noProof/>
          <w:sz w:val="20"/>
          <w:szCs w:val="20"/>
        </w:rPr>
        <w:drawing>
          <wp:inline distT="0" distB="0" distL="0" distR="0">
            <wp:extent cx="3569335" cy="2052320"/>
            <wp:effectExtent l="0" t="0" r="0" b="508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69335" cy="2052320"/>
                    </a:xfrm>
                    <a:prstGeom prst="rect">
                      <a:avLst/>
                    </a:prstGeom>
                    <a:noFill/>
                    <a:ln>
                      <a:noFill/>
                    </a:ln>
                  </pic:spPr>
                </pic:pic>
              </a:graphicData>
            </a:graphic>
          </wp:inline>
        </w:drawing>
      </w:r>
    </w:p>
    <w:p w:rsidR="00572274" w:rsidRPr="00D34BE8" w:rsidRDefault="0082385A" w:rsidP="00D34BE8">
      <w:pPr>
        <w:spacing w:after="0" w:line="360" w:lineRule="auto"/>
        <w:jc w:val="both"/>
        <w:rPr>
          <w:sz w:val="20"/>
          <w:szCs w:val="20"/>
        </w:rPr>
      </w:pPr>
      <w:r>
        <w:rPr>
          <w:noProof/>
          <w:sz w:val="20"/>
          <w:szCs w:val="20"/>
        </w:rPr>
        <w:drawing>
          <wp:inline distT="0" distB="0" distL="0" distR="0">
            <wp:extent cx="3605530" cy="2052320"/>
            <wp:effectExtent l="0" t="0" r="0" b="508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05530" cy="2052320"/>
                    </a:xfrm>
                    <a:prstGeom prst="rect">
                      <a:avLst/>
                    </a:prstGeom>
                    <a:noFill/>
                    <a:ln>
                      <a:noFill/>
                    </a:ln>
                  </pic:spPr>
                </pic:pic>
              </a:graphicData>
            </a:graphic>
          </wp:inline>
        </w:drawing>
      </w:r>
    </w:p>
    <w:p w:rsidR="006E5B29" w:rsidRPr="00D34BE8" w:rsidRDefault="006E5B29" w:rsidP="00D34BE8">
      <w:pPr>
        <w:spacing w:after="0" w:line="360" w:lineRule="auto"/>
        <w:jc w:val="both"/>
        <w:rPr>
          <w:rFonts w:ascii="Book Antiqua" w:eastAsia="宋体" w:hAnsi="Book Antiqua"/>
          <w:bCs/>
          <w:sz w:val="20"/>
          <w:szCs w:val="20"/>
          <w:lang w:eastAsia="en-US"/>
        </w:rPr>
      </w:pPr>
      <w:r w:rsidRPr="00D34BE8">
        <w:rPr>
          <w:rFonts w:ascii="Book Antiqua" w:eastAsia="宋体" w:hAnsi="Book Antiqua"/>
          <w:b/>
          <w:sz w:val="20"/>
          <w:szCs w:val="20"/>
          <w:lang w:eastAsia="en-US"/>
        </w:rPr>
        <w:t xml:space="preserve">Figure </w:t>
      </w:r>
      <w:r w:rsidR="001023E7" w:rsidRPr="00D34BE8">
        <w:rPr>
          <w:rFonts w:ascii="Book Antiqua" w:eastAsia="宋体" w:hAnsi="Book Antiqua"/>
          <w:b/>
          <w:sz w:val="20"/>
          <w:szCs w:val="20"/>
          <w:lang w:eastAsia="en-US"/>
        </w:rPr>
        <w:t>2</w:t>
      </w:r>
      <w:r w:rsidRPr="00D34BE8">
        <w:rPr>
          <w:rFonts w:ascii="Book Antiqua" w:eastAsia="宋体" w:hAnsi="Book Antiqua"/>
          <w:b/>
          <w:sz w:val="20"/>
          <w:szCs w:val="20"/>
          <w:lang w:eastAsia="en-US"/>
        </w:rPr>
        <w:t xml:space="preserve"> Calibration scatter plot of data of patients</w:t>
      </w:r>
      <w:r w:rsidR="00572274" w:rsidRPr="00D34BE8">
        <w:rPr>
          <w:rFonts w:ascii="Book Antiqua" w:eastAsia="宋体" w:hAnsi="Book Antiqua"/>
          <w:b/>
          <w:sz w:val="20"/>
          <w:szCs w:val="20"/>
          <w:lang w:eastAsia="en-US"/>
        </w:rPr>
        <w:t>.</w:t>
      </w:r>
      <w:r w:rsidRPr="00D34BE8">
        <w:rPr>
          <w:rFonts w:ascii="Book Antiqua" w:eastAsia="宋体" w:hAnsi="Book Antiqua"/>
          <w:b/>
          <w:sz w:val="20"/>
          <w:szCs w:val="20"/>
          <w:lang w:eastAsia="en-US"/>
        </w:rPr>
        <w:t xml:space="preserve"> </w:t>
      </w:r>
      <w:r w:rsidR="00572274" w:rsidRPr="00D34BE8">
        <w:rPr>
          <w:rFonts w:ascii="Book Antiqua" w:eastAsia="宋体" w:hAnsi="Book Antiqua"/>
          <w:bCs/>
          <w:sz w:val="20"/>
          <w:szCs w:val="20"/>
          <w:lang w:eastAsia="en-US"/>
        </w:rPr>
        <w:t>A:</w:t>
      </w:r>
      <w:r w:rsidRPr="00D34BE8">
        <w:rPr>
          <w:rFonts w:ascii="Book Antiqua" w:eastAsia="宋体" w:hAnsi="Book Antiqua"/>
          <w:bCs/>
          <w:sz w:val="20"/>
          <w:szCs w:val="20"/>
          <w:lang w:eastAsia="en-US"/>
        </w:rPr>
        <w:t xml:space="preserve"> </w:t>
      </w:r>
      <w:r w:rsidR="00572274" w:rsidRPr="00D34BE8">
        <w:rPr>
          <w:rFonts w:ascii="Book Antiqua" w:eastAsia="宋体" w:hAnsi="Book Antiqua"/>
          <w:bCs/>
          <w:sz w:val="20"/>
          <w:szCs w:val="20"/>
          <w:lang w:eastAsia="en-US"/>
        </w:rPr>
        <w:t xml:space="preserve">Modeling </w:t>
      </w:r>
      <w:r w:rsidRPr="00D34BE8">
        <w:rPr>
          <w:rFonts w:ascii="Book Antiqua" w:eastAsia="宋体" w:hAnsi="Book Antiqua"/>
          <w:bCs/>
          <w:sz w:val="20"/>
          <w:szCs w:val="20"/>
          <w:lang w:eastAsia="en-US"/>
        </w:rPr>
        <w:t>group</w:t>
      </w:r>
      <w:r w:rsidR="00572274" w:rsidRPr="00D34BE8">
        <w:rPr>
          <w:rFonts w:ascii="Book Antiqua" w:eastAsia="宋体" w:hAnsi="Book Antiqua"/>
          <w:bCs/>
          <w:sz w:val="20"/>
          <w:szCs w:val="20"/>
          <w:lang w:eastAsia="en-US"/>
        </w:rPr>
        <w:t>; B: External validation group.</w:t>
      </w:r>
      <w:r w:rsidRPr="00D34BE8">
        <w:rPr>
          <w:bCs/>
          <w:sz w:val="20"/>
          <w:szCs w:val="20"/>
        </w:rPr>
        <w:t xml:space="preserve"> </w:t>
      </w:r>
      <w:r w:rsidRPr="00D34BE8">
        <w:rPr>
          <w:rFonts w:ascii="Book Antiqua" w:eastAsia="宋体" w:hAnsi="Book Antiqua"/>
          <w:bCs/>
          <w:sz w:val="20"/>
          <w:szCs w:val="20"/>
          <w:lang w:eastAsia="en-US"/>
        </w:rPr>
        <w:t>In predicting patients in the modeling group</w:t>
      </w:r>
      <w:r w:rsidR="00572274" w:rsidRPr="00D34BE8">
        <w:rPr>
          <w:rFonts w:ascii="Book Antiqua" w:eastAsia="宋体" w:hAnsi="Book Antiqua"/>
          <w:bCs/>
          <w:sz w:val="20"/>
          <w:szCs w:val="20"/>
          <w:lang w:eastAsia="en-US"/>
        </w:rPr>
        <w:t xml:space="preserve"> and external validation group</w:t>
      </w:r>
      <w:r w:rsidRPr="00D34BE8">
        <w:rPr>
          <w:rFonts w:ascii="Book Antiqua" w:eastAsia="宋体" w:hAnsi="Book Antiqua"/>
          <w:bCs/>
          <w:sz w:val="20"/>
          <w:szCs w:val="20"/>
          <w:lang w:eastAsia="en-US"/>
        </w:rPr>
        <w:t>, the scattered points fluctuate</w:t>
      </w:r>
      <w:r w:rsidR="000018AB" w:rsidRPr="00D34BE8">
        <w:rPr>
          <w:rFonts w:ascii="Book Antiqua" w:eastAsia="宋体" w:hAnsi="Book Antiqua"/>
          <w:bCs/>
          <w:sz w:val="20"/>
          <w:szCs w:val="20"/>
          <w:lang w:eastAsia="en-US"/>
        </w:rPr>
        <w:t>d</w:t>
      </w:r>
      <w:r w:rsidRPr="00D34BE8">
        <w:rPr>
          <w:rFonts w:ascii="Book Antiqua" w:eastAsia="宋体" w:hAnsi="Book Antiqua"/>
          <w:bCs/>
          <w:sz w:val="20"/>
          <w:szCs w:val="20"/>
          <w:lang w:eastAsia="en-US"/>
        </w:rPr>
        <w:t xml:space="preserve"> around the reference line without significant deviations.</w:t>
      </w:r>
    </w:p>
    <w:p w:rsidR="006E5B29" w:rsidRPr="00D34BE8" w:rsidRDefault="006E5B29" w:rsidP="00D34BE8">
      <w:pPr>
        <w:spacing w:after="0" w:line="360" w:lineRule="auto"/>
        <w:jc w:val="both"/>
        <w:rPr>
          <w:sz w:val="20"/>
          <w:szCs w:val="20"/>
        </w:rPr>
      </w:pPr>
    </w:p>
    <w:p w:rsidR="006E5B29" w:rsidRPr="00D34BE8" w:rsidRDefault="0082385A" w:rsidP="00D34BE8">
      <w:pPr>
        <w:spacing w:after="0" w:line="360" w:lineRule="auto"/>
        <w:jc w:val="both"/>
        <w:rPr>
          <w:sz w:val="20"/>
          <w:szCs w:val="20"/>
        </w:rPr>
      </w:pPr>
      <w:r>
        <w:rPr>
          <w:noProof/>
          <w:sz w:val="20"/>
          <w:szCs w:val="20"/>
        </w:rPr>
        <w:drawing>
          <wp:inline distT="0" distB="0" distL="0" distR="0">
            <wp:extent cx="3850005" cy="2130425"/>
            <wp:effectExtent l="0" t="0" r="0" b="3175"/>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50005" cy="2130425"/>
                    </a:xfrm>
                    <a:prstGeom prst="rect">
                      <a:avLst/>
                    </a:prstGeom>
                    <a:noFill/>
                    <a:ln>
                      <a:noFill/>
                    </a:ln>
                  </pic:spPr>
                </pic:pic>
              </a:graphicData>
            </a:graphic>
          </wp:inline>
        </w:drawing>
      </w:r>
      <w:r w:rsidR="001023E7" w:rsidRPr="00D34BE8">
        <w:rPr>
          <w:sz w:val="20"/>
          <w:szCs w:val="20"/>
        </w:rPr>
        <w:t xml:space="preserve"> </w:t>
      </w:r>
      <w:r>
        <w:rPr>
          <w:noProof/>
          <w:sz w:val="20"/>
          <w:szCs w:val="20"/>
        </w:rPr>
        <w:drawing>
          <wp:inline distT="0" distB="0" distL="0" distR="0">
            <wp:extent cx="3855085" cy="2135505"/>
            <wp:effectExtent l="0" t="0" r="0" b="0"/>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55085" cy="2135505"/>
                    </a:xfrm>
                    <a:prstGeom prst="rect">
                      <a:avLst/>
                    </a:prstGeom>
                    <a:noFill/>
                    <a:ln>
                      <a:noFill/>
                    </a:ln>
                  </pic:spPr>
                </pic:pic>
              </a:graphicData>
            </a:graphic>
          </wp:inline>
        </w:drawing>
      </w:r>
    </w:p>
    <w:p w:rsidR="006E5B29" w:rsidRPr="00D34BE8" w:rsidRDefault="006E5B29" w:rsidP="00D34BE8">
      <w:pPr>
        <w:spacing w:after="0" w:line="360" w:lineRule="auto"/>
        <w:jc w:val="both"/>
        <w:rPr>
          <w:rFonts w:ascii="Book Antiqua" w:eastAsia="宋体" w:hAnsi="Book Antiqua"/>
          <w:bCs/>
          <w:sz w:val="20"/>
          <w:szCs w:val="20"/>
          <w:lang w:eastAsia="en-US"/>
        </w:rPr>
      </w:pPr>
      <w:r w:rsidRPr="00D34BE8">
        <w:rPr>
          <w:rFonts w:ascii="Book Antiqua" w:eastAsia="宋体" w:hAnsi="Book Antiqua"/>
          <w:b/>
          <w:sz w:val="20"/>
          <w:szCs w:val="20"/>
          <w:lang w:eastAsia="en-US"/>
        </w:rPr>
        <w:t xml:space="preserve">Figure </w:t>
      </w:r>
      <w:r w:rsidR="001023E7" w:rsidRPr="00D34BE8">
        <w:rPr>
          <w:rFonts w:ascii="Book Antiqua" w:eastAsia="宋体" w:hAnsi="Book Antiqua"/>
          <w:b/>
          <w:sz w:val="20"/>
          <w:szCs w:val="20"/>
          <w:lang w:eastAsia="en-US"/>
        </w:rPr>
        <w:t>3</w:t>
      </w:r>
      <w:r w:rsidRPr="00D34BE8">
        <w:rPr>
          <w:rFonts w:ascii="Book Antiqua" w:eastAsia="宋体" w:hAnsi="Book Antiqua"/>
          <w:b/>
          <w:sz w:val="20"/>
          <w:szCs w:val="20"/>
          <w:lang w:eastAsia="en-US"/>
        </w:rPr>
        <w:t xml:space="preserve"> Adjusted decision curve analysis of data of patients.</w:t>
      </w:r>
      <w:r w:rsidR="000D2727" w:rsidRPr="00D34BE8">
        <w:rPr>
          <w:rFonts w:ascii="Book Antiqua" w:eastAsia="宋体" w:hAnsi="Book Antiqua"/>
          <w:bCs/>
          <w:sz w:val="20"/>
          <w:szCs w:val="20"/>
          <w:lang w:eastAsia="en-US"/>
        </w:rPr>
        <w:t xml:space="preserve"> A: Modeling group; B: External validation group.</w:t>
      </w:r>
      <w:r w:rsidRPr="00D34BE8">
        <w:rPr>
          <w:sz w:val="20"/>
          <w:szCs w:val="20"/>
        </w:rPr>
        <w:t xml:space="preserve"> </w:t>
      </w:r>
      <w:r w:rsidRPr="00D34BE8">
        <w:rPr>
          <w:rFonts w:ascii="Book Antiqua" w:eastAsia="宋体" w:hAnsi="Book Antiqua"/>
          <w:bCs/>
          <w:sz w:val="20"/>
          <w:szCs w:val="20"/>
          <w:lang w:eastAsia="en-US"/>
        </w:rPr>
        <w:t>The black line indicates that in extreme cases, the new model predict</w:t>
      </w:r>
      <w:r w:rsidR="000018AB" w:rsidRPr="00D34BE8">
        <w:rPr>
          <w:rFonts w:ascii="Book Antiqua" w:eastAsia="宋体" w:hAnsi="Book Antiqua"/>
          <w:bCs/>
          <w:sz w:val="20"/>
          <w:szCs w:val="20"/>
          <w:lang w:eastAsia="en-US"/>
        </w:rPr>
        <w:t>ed that</w:t>
      </w:r>
      <w:r w:rsidRPr="00D34BE8">
        <w:rPr>
          <w:rFonts w:ascii="Book Antiqua" w:eastAsia="宋体" w:hAnsi="Book Antiqua"/>
          <w:bCs/>
          <w:sz w:val="20"/>
          <w:szCs w:val="20"/>
          <w:lang w:eastAsia="en-US"/>
        </w:rPr>
        <w:t xml:space="preserve"> there </w:t>
      </w:r>
      <w:r w:rsidR="000018AB" w:rsidRPr="00D34BE8">
        <w:rPr>
          <w:rFonts w:ascii="Book Antiqua" w:eastAsia="宋体" w:hAnsi="Book Antiqua"/>
          <w:bCs/>
          <w:sz w:val="20"/>
          <w:szCs w:val="20"/>
          <w:lang w:eastAsia="en-US"/>
        </w:rPr>
        <w:t xml:space="preserve">were </w:t>
      </w:r>
      <w:r w:rsidRPr="00D34BE8">
        <w:rPr>
          <w:rFonts w:ascii="Book Antiqua" w:eastAsia="宋体" w:hAnsi="Book Antiqua"/>
          <w:bCs/>
          <w:sz w:val="20"/>
          <w:szCs w:val="20"/>
          <w:lang w:eastAsia="en-US"/>
        </w:rPr>
        <w:t xml:space="preserve">no </w:t>
      </w:r>
      <w:r w:rsidR="00CE008D" w:rsidRPr="00D34BE8">
        <w:rPr>
          <w:rFonts w:ascii="Book Antiqua" w:eastAsia="宋体" w:hAnsi="Book Antiqua"/>
          <w:bCs/>
          <w:sz w:val="20"/>
          <w:szCs w:val="20"/>
          <w:lang w:eastAsia="en-US"/>
        </w:rPr>
        <w:t>high-risk esophageal varices</w:t>
      </w:r>
      <w:r w:rsidRPr="00D34BE8">
        <w:rPr>
          <w:rFonts w:ascii="Book Antiqua" w:eastAsia="宋体" w:hAnsi="Book Antiqua"/>
          <w:bCs/>
          <w:sz w:val="20"/>
          <w:szCs w:val="20"/>
          <w:lang w:eastAsia="en-US"/>
        </w:rPr>
        <w:t xml:space="preserve"> in all patients with viral cirrhosis, and the clinical net benefit </w:t>
      </w:r>
      <w:r w:rsidR="000018AB" w:rsidRPr="00D34BE8">
        <w:rPr>
          <w:rFonts w:ascii="Book Antiqua" w:eastAsia="宋体" w:hAnsi="Book Antiqua"/>
          <w:bCs/>
          <w:sz w:val="20"/>
          <w:szCs w:val="20"/>
          <w:lang w:eastAsia="en-US"/>
        </w:rPr>
        <w:t>was</w:t>
      </w:r>
      <w:r w:rsidRPr="00D34BE8">
        <w:rPr>
          <w:rFonts w:ascii="Book Antiqua" w:eastAsia="宋体" w:hAnsi="Book Antiqua"/>
          <w:bCs/>
          <w:sz w:val="20"/>
          <w:szCs w:val="20"/>
          <w:lang w:eastAsia="en-US"/>
        </w:rPr>
        <w:t xml:space="preserve"> 0. The gray curve indicates that in extreme cases, the new model predicts there are </w:t>
      </w:r>
      <w:r w:rsidR="00CE008D" w:rsidRPr="00D34BE8">
        <w:rPr>
          <w:rFonts w:ascii="Book Antiqua" w:eastAsia="宋体" w:hAnsi="Book Antiqua"/>
          <w:bCs/>
          <w:sz w:val="20"/>
          <w:szCs w:val="20"/>
          <w:lang w:eastAsia="en-US"/>
        </w:rPr>
        <w:t>high-risk esophageal varices</w:t>
      </w:r>
      <w:r w:rsidRPr="00D34BE8">
        <w:rPr>
          <w:rFonts w:ascii="Book Antiqua" w:eastAsia="宋体" w:hAnsi="Book Antiqua"/>
          <w:bCs/>
          <w:sz w:val="20"/>
          <w:szCs w:val="20"/>
          <w:lang w:eastAsia="en-US"/>
        </w:rPr>
        <w:t xml:space="preserve"> in all patients with viral cirrhosis, the clinical net benefit is the negative slope. The red line indicates that the new model has a clinical net benefit. The red line is higher than the black and gray lines, indicating that patients in the modeling group can benefit from the new model.</w:t>
      </w:r>
    </w:p>
    <w:bookmarkEnd w:id="56"/>
    <w:p w:rsidR="00C7222A" w:rsidRPr="00D34BE8" w:rsidRDefault="00C758B4" w:rsidP="00D34BE8">
      <w:pPr>
        <w:spacing w:after="0" w:line="360" w:lineRule="auto"/>
        <w:jc w:val="both"/>
        <w:rPr>
          <w:rFonts w:ascii="Book Antiqua" w:hAnsi="Book Antiqua"/>
          <w:b/>
          <w:bCs/>
          <w:sz w:val="20"/>
          <w:szCs w:val="20"/>
        </w:rPr>
      </w:pPr>
      <w:r w:rsidRPr="00D34BE8">
        <w:rPr>
          <w:rFonts w:ascii="Book Antiqua" w:hAnsi="Book Antiqua"/>
          <w:sz w:val="20"/>
          <w:szCs w:val="20"/>
        </w:rPr>
        <w:br w:type="page"/>
      </w:r>
      <w:r w:rsidR="00C7222A" w:rsidRPr="00D34BE8">
        <w:rPr>
          <w:rFonts w:ascii="Book Antiqua" w:hAnsi="Book Antiqua"/>
          <w:b/>
          <w:bCs/>
          <w:sz w:val="20"/>
          <w:szCs w:val="20"/>
        </w:rPr>
        <w:t>Table 1 Comparison of general characteristics in the modeling group</w:t>
      </w:r>
      <w:r w:rsidR="009A7541" w:rsidRPr="00D34BE8">
        <w:rPr>
          <w:rFonts w:ascii="Book Antiqua" w:hAnsi="Book Antiqua"/>
          <w:b/>
          <w:bCs/>
          <w:sz w:val="20"/>
          <w:szCs w:val="20"/>
        </w:rPr>
        <w:t xml:space="preserve">, </w:t>
      </w:r>
      <w:r w:rsidR="009A7541" w:rsidRPr="00D34BE8">
        <w:rPr>
          <w:rFonts w:ascii="Book Antiqua" w:hAnsi="Book Antiqua"/>
          <w:b/>
          <w:bCs/>
          <w:i/>
          <w:iCs/>
          <w:sz w:val="20"/>
          <w:szCs w:val="20"/>
        </w:rPr>
        <w:t>n</w:t>
      </w:r>
    </w:p>
    <w:tbl>
      <w:tblPr>
        <w:tblW w:w="5135" w:type="pct"/>
        <w:jc w:val="center"/>
        <w:tblInd w:w="-227" w:type="dxa"/>
        <w:tblCellMar>
          <w:top w:w="15" w:type="dxa"/>
          <w:left w:w="15" w:type="dxa"/>
          <w:bottom w:w="15" w:type="dxa"/>
          <w:right w:w="15" w:type="dxa"/>
        </w:tblCellMar>
        <w:tblLook w:val="0000" w:firstRow="0" w:lastRow="0" w:firstColumn="0" w:lastColumn="0" w:noHBand="0" w:noVBand="0"/>
      </w:tblPr>
      <w:tblGrid>
        <w:gridCol w:w="3079"/>
        <w:gridCol w:w="1847"/>
        <w:gridCol w:w="1847"/>
        <w:gridCol w:w="1692"/>
        <w:gridCol w:w="922"/>
      </w:tblGrid>
      <w:tr w:rsidR="009A7541" w:rsidRPr="00D34BE8" w:rsidTr="0079074C">
        <w:trPr>
          <w:trHeight w:val="468"/>
          <w:jc w:val="center"/>
        </w:trPr>
        <w:tc>
          <w:tcPr>
            <w:tcW w:w="1640" w:type="pct"/>
            <w:tcBorders>
              <w:top w:val="single" w:sz="4" w:space="0" w:color="auto"/>
              <w:bottom w:val="single" w:sz="4" w:space="0" w:color="auto"/>
            </w:tcBorders>
            <w:tcMar>
              <w:top w:w="0" w:type="dxa"/>
              <w:left w:w="57" w:type="dxa"/>
              <w:bottom w:w="0" w:type="dxa"/>
              <w:right w:w="57" w:type="dxa"/>
            </w:tcMar>
            <w:vAlign w:val="center"/>
          </w:tcPr>
          <w:p w:rsidR="00C7222A" w:rsidRPr="00D34BE8" w:rsidRDefault="00C7222A" w:rsidP="00D34BE8">
            <w:pPr>
              <w:spacing w:after="0" w:line="360" w:lineRule="auto"/>
              <w:jc w:val="both"/>
              <w:textAlignment w:val="center"/>
              <w:rPr>
                <w:rFonts w:ascii="Book Antiqua" w:eastAsia="宋体" w:hAnsi="Book Antiqua"/>
                <w:b/>
                <w:sz w:val="20"/>
                <w:szCs w:val="20"/>
              </w:rPr>
            </w:pPr>
            <w:r w:rsidRPr="00D34BE8">
              <w:rPr>
                <w:rFonts w:ascii="Book Antiqua" w:eastAsia="宋体" w:hAnsi="Book Antiqua"/>
                <w:b/>
                <w:sz w:val="20"/>
                <w:szCs w:val="20"/>
              </w:rPr>
              <w:t>Parameter</w:t>
            </w:r>
          </w:p>
        </w:tc>
        <w:tc>
          <w:tcPr>
            <w:tcW w:w="984" w:type="pct"/>
            <w:tcBorders>
              <w:top w:val="single" w:sz="4" w:space="0" w:color="auto"/>
              <w:bottom w:val="single" w:sz="4" w:space="0" w:color="auto"/>
            </w:tcBorders>
            <w:tcMar>
              <w:top w:w="0" w:type="dxa"/>
              <w:left w:w="57" w:type="dxa"/>
              <w:bottom w:w="0" w:type="dxa"/>
              <w:right w:w="57" w:type="dxa"/>
            </w:tcMar>
            <w:vAlign w:val="center"/>
          </w:tcPr>
          <w:p w:rsidR="00C7222A" w:rsidRPr="00D34BE8" w:rsidRDefault="00C7222A" w:rsidP="00D34BE8">
            <w:pPr>
              <w:spacing w:after="0" w:line="360" w:lineRule="auto"/>
              <w:jc w:val="both"/>
              <w:textAlignment w:val="center"/>
              <w:rPr>
                <w:rFonts w:ascii="Book Antiqua" w:eastAsia="宋体" w:hAnsi="Book Antiqua"/>
                <w:b/>
                <w:sz w:val="20"/>
                <w:szCs w:val="20"/>
              </w:rPr>
            </w:pPr>
            <w:r w:rsidRPr="00D34BE8">
              <w:rPr>
                <w:rFonts w:ascii="Book Antiqua" w:eastAsia="宋体" w:hAnsi="Book Antiqua"/>
                <w:b/>
                <w:sz w:val="20"/>
                <w:szCs w:val="20"/>
              </w:rPr>
              <w:t>Patients with</w:t>
            </w:r>
            <w:r w:rsidR="009A7541" w:rsidRPr="00D34BE8">
              <w:rPr>
                <w:rFonts w:ascii="Book Antiqua" w:eastAsia="宋体" w:hAnsi="Book Antiqua"/>
                <w:b/>
                <w:sz w:val="20"/>
                <w:szCs w:val="20"/>
              </w:rPr>
              <w:t xml:space="preserve"> </w:t>
            </w:r>
            <w:r w:rsidRPr="00D34BE8">
              <w:rPr>
                <w:rFonts w:ascii="Book Antiqua" w:eastAsia="宋体" w:hAnsi="Book Antiqua"/>
                <w:b/>
                <w:sz w:val="20"/>
                <w:szCs w:val="20"/>
              </w:rPr>
              <w:t>HEVs</w:t>
            </w:r>
            <w:r w:rsidR="003648E7">
              <w:rPr>
                <w:rFonts w:ascii="Book Antiqua" w:eastAsia="宋体" w:hAnsi="Book Antiqua"/>
                <w:b/>
                <w:sz w:val="20"/>
                <w:szCs w:val="20"/>
              </w:rPr>
              <w:t>,</w:t>
            </w:r>
            <w:r w:rsidRPr="00D34BE8">
              <w:rPr>
                <w:rFonts w:ascii="Book Antiqua" w:eastAsia="宋体" w:hAnsi="Book Antiqua"/>
                <w:b/>
                <w:sz w:val="20"/>
                <w:szCs w:val="20"/>
              </w:rPr>
              <w:t xml:space="preserve"> </w:t>
            </w:r>
            <w:r w:rsidRPr="00D34BE8">
              <w:rPr>
                <w:rFonts w:ascii="Book Antiqua" w:eastAsia="宋体" w:hAnsi="Book Antiqua"/>
                <w:b/>
                <w:i/>
                <w:iCs/>
                <w:sz w:val="20"/>
                <w:szCs w:val="20"/>
              </w:rPr>
              <w:t>n</w:t>
            </w:r>
            <w:r w:rsidR="009A7541" w:rsidRPr="00D34BE8">
              <w:rPr>
                <w:rFonts w:ascii="Book Antiqua" w:eastAsia="宋体" w:hAnsi="Book Antiqua"/>
                <w:b/>
                <w:i/>
                <w:iCs/>
                <w:sz w:val="20"/>
                <w:szCs w:val="20"/>
              </w:rPr>
              <w:t xml:space="preserve"> </w:t>
            </w:r>
            <w:r w:rsidRPr="00D34BE8">
              <w:rPr>
                <w:rFonts w:ascii="Book Antiqua" w:eastAsia="宋体" w:hAnsi="Book Antiqua"/>
                <w:b/>
                <w:sz w:val="20"/>
                <w:szCs w:val="20"/>
              </w:rPr>
              <w:t>=</w:t>
            </w:r>
            <w:r w:rsidR="009A7541" w:rsidRPr="00D34BE8">
              <w:rPr>
                <w:rFonts w:ascii="Book Antiqua" w:eastAsia="宋体" w:hAnsi="Book Antiqua"/>
                <w:b/>
                <w:sz w:val="20"/>
                <w:szCs w:val="20"/>
              </w:rPr>
              <w:t xml:space="preserve"> </w:t>
            </w:r>
            <w:r w:rsidRPr="00D34BE8">
              <w:rPr>
                <w:rFonts w:ascii="Book Antiqua" w:eastAsia="宋体" w:hAnsi="Book Antiqua"/>
                <w:b/>
                <w:sz w:val="20"/>
                <w:szCs w:val="20"/>
              </w:rPr>
              <w:t>56</w:t>
            </w:r>
          </w:p>
        </w:tc>
        <w:tc>
          <w:tcPr>
            <w:tcW w:w="984" w:type="pct"/>
            <w:tcBorders>
              <w:top w:val="single" w:sz="4" w:space="0" w:color="auto"/>
              <w:bottom w:val="single" w:sz="4" w:space="0" w:color="auto"/>
            </w:tcBorders>
            <w:tcMar>
              <w:top w:w="0" w:type="dxa"/>
              <w:left w:w="57" w:type="dxa"/>
              <w:bottom w:w="0" w:type="dxa"/>
              <w:right w:w="57" w:type="dxa"/>
            </w:tcMar>
            <w:vAlign w:val="center"/>
          </w:tcPr>
          <w:p w:rsidR="00C7222A" w:rsidRPr="00D34BE8" w:rsidRDefault="00C7222A" w:rsidP="00D34BE8">
            <w:pPr>
              <w:spacing w:after="0" w:line="360" w:lineRule="auto"/>
              <w:jc w:val="both"/>
              <w:textAlignment w:val="center"/>
              <w:rPr>
                <w:rFonts w:ascii="Book Antiqua" w:eastAsia="宋体" w:hAnsi="Book Antiqua"/>
                <w:b/>
                <w:sz w:val="20"/>
                <w:szCs w:val="20"/>
              </w:rPr>
            </w:pPr>
            <w:r w:rsidRPr="00D34BE8">
              <w:rPr>
                <w:rFonts w:ascii="Book Antiqua" w:eastAsia="宋体" w:hAnsi="Book Antiqua"/>
                <w:b/>
                <w:sz w:val="20"/>
                <w:szCs w:val="20"/>
              </w:rPr>
              <w:t>Patients with</w:t>
            </w:r>
            <w:r w:rsidR="009A7541" w:rsidRPr="00D34BE8">
              <w:rPr>
                <w:rFonts w:ascii="Book Antiqua" w:eastAsia="宋体" w:hAnsi="Book Antiqua"/>
                <w:b/>
                <w:sz w:val="20"/>
                <w:szCs w:val="20"/>
              </w:rPr>
              <w:t xml:space="preserve"> </w:t>
            </w:r>
            <w:r w:rsidRPr="00D34BE8">
              <w:rPr>
                <w:rFonts w:ascii="Book Antiqua" w:eastAsia="宋体" w:hAnsi="Book Antiqua"/>
                <w:b/>
                <w:sz w:val="20"/>
                <w:szCs w:val="20"/>
              </w:rPr>
              <w:t>LEVs</w:t>
            </w:r>
            <w:r w:rsidR="003648E7">
              <w:rPr>
                <w:rFonts w:ascii="Book Antiqua" w:eastAsia="宋体" w:hAnsi="Book Antiqua"/>
                <w:b/>
                <w:sz w:val="20"/>
                <w:szCs w:val="20"/>
              </w:rPr>
              <w:t>,</w:t>
            </w:r>
            <w:r w:rsidRPr="00D34BE8">
              <w:rPr>
                <w:rFonts w:ascii="Book Antiqua" w:eastAsia="宋体" w:hAnsi="Book Antiqua"/>
                <w:b/>
                <w:sz w:val="20"/>
                <w:szCs w:val="20"/>
              </w:rPr>
              <w:t xml:space="preserve"> </w:t>
            </w:r>
            <w:r w:rsidR="009A7541" w:rsidRPr="00D34BE8">
              <w:rPr>
                <w:rFonts w:ascii="Book Antiqua" w:eastAsia="宋体" w:hAnsi="Book Antiqua"/>
                <w:b/>
                <w:i/>
                <w:iCs/>
                <w:sz w:val="20"/>
                <w:szCs w:val="20"/>
              </w:rPr>
              <w:t>n</w:t>
            </w:r>
            <w:r w:rsidR="009A7541" w:rsidRPr="00D34BE8">
              <w:rPr>
                <w:rFonts w:ascii="Book Antiqua" w:eastAsia="宋体" w:hAnsi="Book Antiqua"/>
                <w:b/>
                <w:sz w:val="20"/>
                <w:szCs w:val="20"/>
              </w:rPr>
              <w:t xml:space="preserve"> = </w:t>
            </w:r>
            <w:r w:rsidRPr="00D34BE8">
              <w:rPr>
                <w:rFonts w:ascii="Book Antiqua" w:eastAsia="宋体" w:hAnsi="Book Antiqua"/>
                <w:b/>
                <w:sz w:val="20"/>
                <w:szCs w:val="20"/>
              </w:rPr>
              <w:t>30</w:t>
            </w:r>
          </w:p>
        </w:tc>
        <w:tc>
          <w:tcPr>
            <w:tcW w:w="901" w:type="pct"/>
            <w:tcBorders>
              <w:top w:val="single" w:sz="4" w:space="0" w:color="auto"/>
              <w:bottom w:val="single" w:sz="4" w:space="0" w:color="auto"/>
            </w:tcBorders>
            <w:tcMar>
              <w:top w:w="0" w:type="dxa"/>
              <w:left w:w="57" w:type="dxa"/>
              <w:bottom w:w="0" w:type="dxa"/>
              <w:right w:w="57" w:type="dxa"/>
            </w:tcMar>
            <w:vAlign w:val="center"/>
          </w:tcPr>
          <w:p w:rsidR="00C7222A" w:rsidRPr="00D34BE8" w:rsidRDefault="00C7222A" w:rsidP="00D34BE8">
            <w:pPr>
              <w:spacing w:after="0" w:line="360" w:lineRule="auto"/>
              <w:jc w:val="both"/>
              <w:textAlignment w:val="center"/>
              <w:rPr>
                <w:rFonts w:ascii="Book Antiqua" w:eastAsia="宋体" w:hAnsi="Book Antiqua"/>
                <w:b/>
                <w:sz w:val="20"/>
                <w:szCs w:val="20"/>
              </w:rPr>
            </w:pPr>
            <w:r w:rsidRPr="00D34BE8">
              <w:rPr>
                <w:rFonts w:ascii="Book Antiqua" w:eastAsia="宋体" w:hAnsi="Book Antiqua"/>
                <w:b/>
                <w:sz w:val="20"/>
                <w:szCs w:val="20"/>
              </w:rPr>
              <w:t>All patients</w:t>
            </w:r>
            <w:r w:rsidR="003648E7">
              <w:rPr>
                <w:rFonts w:ascii="Book Antiqua" w:eastAsia="宋体" w:hAnsi="Book Antiqua"/>
                <w:b/>
                <w:sz w:val="20"/>
                <w:szCs w:val="20"/>
              </w:rPr>
              <w:t>,</w:t>
            </w:r>
            <w:r w:rsidRPr="00D34BE8">
              <w:rPr>
                <w:rFonts w:ascii="Book Antiqua" w:eastAsia="宋体" w:hAnsi="Book Antiqua"/>
                <w:b/>
                <w:sz w:val="20"/>
                <w:szCs w:val="20"/>
              </w:rPr>
              <w:t xml:space="preserve"> </w:t>
            </w:r>
            <w:r w:rsidRPr="00D34BE8">
              <w:rPr>
                <w:rFonts w:ascii="Book Antiqua" w:eastAsia="宋体" w:hAnsi="Book Antiqua"/>
                <w:b/>
                <w:i/>
                <w:iCs/>
                <w:sz w:val="20"/>
                <w:szCs w:val="20"/>
              </w:rPr>
              <w:t>n</w:t>
            </w:r>
            <w:r w:rsidR="009A7541" w:rsidRPr="00D34BE8">
              <w:rPr>
                <w:rFonts w:ascii="Book Antiqua" w:eastAsia="宋体" w:hAnsi="Book Antiqua"/>
                <w:b/>
                <w:sz w:val="20"/>
                <w:szCs w:val="20"/>
              </w:rPr>
              <w:t xml:space="preserve"> </w:t>
            </w:r>
            <w:r w:rsidRPr="00D34BE8">
              <w:rPr>
                <w:rFonts w:ascii="Book Antiqua" w:eastAsia="宋体" w:hAnsi="Book Antiqua"/>
                <w:b/>
                <w:sz w:val="20"/>
                <w:szCs w:val="20"/>
              </w:rPr>
              <w:t>=</w:t>
            </w:r>
            <w:r w:rsidR="009A7541" w:rsidRPr="00D34BE8">
              <w:rPr>
                <w:rFonts w:ascii="Book Antiqua" w:eastAsia="宋体" w:hAnsi="Book Antiqua"/>
                <w:b/>
                <w:sz w:val="20"/>
                <w:szCs w:val="20"/>
              </w:rPr>
              <w:t xml:space="preserve"> </w:t>
            </w:r>
            <w:r w:rsidRPr="00D34BE8">
              <w:rPr>
                <w:rFonts w:ascii="Book Antiqua" w:eastAsia="宋体" w:hAnsi="Book Antiqua"/>
                <w:b/>
                <w:sz w:val="20"/>
                <w:szCs w:val="20"/>
              </w:rPr>
              <w:t>86</w:t>
            </w:r>
          </w:p>
        </w:tc>
        <w:tc>
          <w:tcPr>
            <w:tcW w:w="491" w:type="pct"/>
            <w:tcBorders>
              <w:top w:val="single" w:sz="4" w:space="0" w:color="auto"/>
              <w:bottom w:val="single" w:sz="4" w:space="0" w:color="auto"/>
            </w:tcBorders>
            <w:tcMar>
              <w:top w:w="0" w:type="dxa"/>
              <w:left w:w="57" w:type="dxa"/>
              <w:bottom w:w="0" w:type="dxa"/>
              <w:right w:w="57" w:type="dxa"/>
            </w:tcMar>
            <w:vAlign w:val="center"/>
          </w:tcPr>
          <w:p w:rsidR="00C7222A" w:rsidRPr="00D34BE8" w:rsidRDefault="00C7222A" w:rsidP="00D34BE8">
            <w:pPr>
              <w:spacing w:after="0" w:line="360" w:lineRule="auto"/>
              <w:jc w:val="both"/>
              <w:textAlignment w:val="center"/>
              <w:rPr>
                <w:rFonts w:ascii="Book Antiqua" w:eastAsia="宋体" w:hAnsi="Book Antiqua"/>
                <w:b/>
                <w:sz w:val="20"/>
                <w:szCs w:val="20"/>
              </w:rPr>
            </w:pPr>
            <w:r w:rsidRPr="00D34BE8">
              <w:rPr>
                <w:rFonts w:ascii="Book Antiqua" w:eastAsia="宋体" w:hAnsi="Book Antiqua"/>
                <w:b/>
                <w:i/>
                <w:iCs/>
                <w:sz w:val="20"/>
                <w:szCs w:val="20"/>
              </w:rPr>
              <w:t>P</w:t>
            </w:r>
            <w:r w:rsidRPr="00D34BE8">
              <w:rPr>
                <w:rFonts w:ascii="Book Antiqua" w:eastAsia="宋体" w:hAnsi="Book Antiqua"/>
                <w:b/>
                <w:sz w:val="20"/>
                <w:szCs w:val="20"/>
              </w:rPr>
              <w:t xml:space="preserve"> value</w:t>
            </w:r>
          </w:p>
        </w:tc>
      </w:tr>
      <w:tr w:rsidR="009A7541" w:rsidRPr="00D34BE8" w:rsidTr="009A7541">
        <w:trPr>
          <w:trHeight w:val="468"/>
          <w:jc w:val="center"/>
        </w:trPr>
        <w:tc>
          <w:tcPr>
            <w:tcW w:w="1640" w:type="pct"/>
            <w:tcBorders>
              <w:top w:val="single" w:sz="4" w:space="0" w:color="auto"/>
            </w:tcBorders>
            <w:tcMar>
              <w:top w:w="0" w:type="dxa"/>
              <w:left w:w="57" w:type="dxa"/>
              <w:bottom w:w="0" w:type="dxa"/>
              <w:right w:w="57" w:type="dxa"/>
            </w:tcMar>
            <w:vAlign w:val="center"/>
          </w:tcPr>
          <w:p w:rsidR="00C7222A" w:rsidRPr="00D34BE8" w:rsidRDefault="00C7222A" w:rsidP="00D34BE8">
            <w:pPr>
              <w:spacing w:after="0" w:line="360" w:lineRule="auto"/>
              <w:jc w:val="both"/>
              <w:textAlignment w:val="center"/>
              <w:rPr>
                <w:rFonts w:ascii="Book Antiqua" w:eastAsia="宋体" w:hAnsi="Book Antiqua"/>
                <w:sz w:val="20"/>
                <w:szCs w:val="20"/>
              </w:rPr>
            </w:pPr>
            <w:r w:rsidRPr="00D34BE8">
              <w:rPr>
                <w:rFonts w:ascii="Book Antiqua" w:eastAsia="宋体" w:hAnsi="Book Antiqua"/>
                <w:sz w:val="20"/>
                <w:szCs w:val="20"/>
              </w:rPr>
              <w:t xml:space="preserve">Age </w:t>
            </w:r>
            <w:r w:rsidR="003648E7">
              <w:rPr>
                <w:rFonts w:ascii="Book Antiqua" w:eastAsia="宋体" w:hAnsi="Book Antiqua"/>
                <w:sz w:val="20"/>
                <w:szCs w:val="20"/>
              </w:rPr>
              <w:t xml:space="preserve">in </w:t>
            </w:r>
            <w:r w:rsidRPr="00D34BE8">
              <w:rPr>
                <w:rFonts w:ascii="Book Antiqua" w:eastAsia="宋体" w:hAnsi="Book Antiqua"/>
                <w:sz w:val="20"/>
                <w:szCs w:val="20"/>
              </w:rPr>
              <w:t>y</w:t>
            </w:r>
            <w:r w:rsidR="009A7541" w:rsidRPr="00D34BE8">
              <w:rPr>
                <w:rFonts w:ascii="Book Antiqua" w:eastAsia="宋体" w:hAnsi="Book Antiqua"/>
                <w:sz w:val="20"/>
                <w:szCs w:val="20"/>
              </w:rPr>
              <w:t>r</w:t>
            </w:r>
          </w:p>
        </w:tc>
        <w:tc>
          <w:tcPr>
            <w:tcW w:w="984" w:type="pct"/>
            <w:tcBorders>
              <w:top w:val="single" w:sz="4" w:space="0" w:color="auto"/>
            </w:tcBorders>
            <w:tcMar>
              <w:top w:w="0" w:type="dxa"/>
              <w:left w:w="57" w:type="dxa"/>
              <w:bottom w:w="0" w:type="dxa"/>
              <w:right w:w="57" w:type="dxa"/>
            </w:tcMar>
            <w:vAlign w:val="center"/>
          </w:tcPr>
          <w:p w:rsidR="00C7222A" w:rsidRPr="00D34BE8" w:rsidRDefault="00C7222A" w:rsidP="00D34BE8">
            <w:pPr>
              <w:spacing w:after="0" w:line="360" w:lineRule="auto"/>
              <w:jc w:val="both"/>
              <w:textAlignment w:val="center"/>
              <w:rPr>
                <w:rFonts w:ascii="Book Antiqua" w:eastAsia="宋体" w:hAnsi="Book Antiqua"/>
                <w:sz w:val="20"/>
                <w:szCs w:val="20"/>
              </w:rPr>
            </w:pPr>
            <w:r w:rsidRPr="00D34BE8">
              <w:rPr>
                <w:rFonts w:ascii="Book Antiqua" w:eastAsia="宋体" w:hAnsi="Book Antiqua"/>
                <w:sz w:val="20"/>
                <w:szCs w:val="20"/>
              </w:rPr>
              <w:t>52.93 ± 11.61</w:t>
            </w:r>
          </w:p>
        </w:tc>
        <w:tc>
          <w:tcPr>
            <w:tcW w:w="984" w:type="pct"/>
            <w:tcBorders>
              <w:top w:val="single" w:sz="4" w:space="0" w:color="auto"/>
            </w:tcBorders>
            <w:tcMar>
              <w:top w:w="0" w:type="dxa"/>
              <w:left w:w="57" w:type="dxa"/>
              <w:bottom w:w="0" w:type="dxa"/>
              <w:right w:w="57" w:type="dxa"/>
            </w:tcMar>
            <w:vAlign w:val="center"/>
          </w:tcPr>
          <w:p w:rsidR="00C7222A" w:rsidRPr="00D34BE8" w:rsidRDefault="00C7222A" w:rsidP="00D34BE8">
            <w:pPr>
              <w:spacing w:after="0" w:line="360" w:lineRule="auto"/>
              <w:jc w:val="both"/>
              <w:textAlignment w:val="center"/>
              <w:rPr>
                <w:rFonts w:ascii="Book Antiqua" w:eastAsia="宋体" w:hAnsi="Book Antiqua"/>
                <w:sz w:val="20"/>
                <w:szCs w:val="20"/>
              </w:rPr>
            </w:pPr>
            <w:r w:rsidRPr="00D34BE8">
              <w:rPr>
                <w:rFonts w:ascii="Book Antiqua" w:eastAsia="宋体" w:hAnsi="Book Antiqua"/>
                <w:sz w:val="20"/>
                <w:szCs w:val="20"/>
              </w:rPr>
              <w:t>54.70</w:t>
            </w:r>
            <w:r w:rsidR="009A7541" w:rsidRPr="00D34BE8">
              <w:rPr>
                <w:rFonts w:ascii="Book Antiqua" w:eastAsia="宋体" w:hAnsi="Book Antiqua"/>
                <w:sz w:val="20"/>
                <w:szCs w:val="20"/>
              </w:rPr>
              <w:t xml:space="preserve"> </w:t>
            </w:r>
            <w:r w:rsidRPr="00D34BE8">
              <w:rPr>
                <w:rFonts w:ascii="Book Antiqua" w:eastAsia="宋体" w:hAnsi="Book Antiqua"/>
                <w:sz w:val="20"/>
                <w:szCs w:val="20"/>
              </w:rPr>
              <w:t>±</w:t>
            </w:r>
            <w:r w:rsidR="009A7541" w:rsidRPr="00D34BE8">
              <w:rPr>
                <w:rFonts w:ascii="Book Antiqua" w:eastAsia="宋体" w:hAnsi="Book Antiqua"/>
                <w:sz w:val="20"/>
                <w:szCs w:val="20"/>
              </w:rPr>
              <w:t xml:space="preserve"> </w:t>
            </w:r>
            <w:r w:rsidRPr="00D34BE8">
              <w:rPr>
                <w:rFonts w:ascii="Book Antiqua" w:eastAsia="宋体" w:hAnsi="Book Antiqua"/>
                <w:sz w:val="20"/>
                <w:szCs w:val="20"/>
              </w:rPr>
              <w:t>12.24</w:t>
            </w:r>
          </w:p>
        </w:tc>
        <w:tc>
          <w:tcPr>
            <w:tcW w:w="901" w:type="pct"/>
            <w:tcBorders>
              <w:top w:val="single" w:sz="4" w:space="0" w:color="auto"/>
            </w:tcBorders>
            <w:tcMar>
              <w:top w:w="0" w:type="dxa"/>
              <w:left w:w="57" w:type="dxa"/>
              <w:bottom w:w="0" w:type="dxa"/>
              <w:right w:w="57" w:type="dxa"/>
            </w:tcMar>
            <w:vAlign w:val="center"/>
          </w:tcPr>
          <w:p w:rsidR="00C7222A" w:rsidRPr="00D34BE8" w:rsidRDefault="00C7222A" w:rsidP="00D34BE8">
            <w:pPr>
              <w:spacing w:after="0" w:line="360" w:lineRule="auto"/>
              <w:jc w:val="both"/>
              <w:textAlignment w:val="center"/>
              <w:rPr>
                <w:rFonts w:ascii="Book Antiqua" w:eastAsia="宋体" w:hAnsi="Book Antiqua"/>
                <w:sz w:val="20"/>
                <w:szCs w:val="20"/>
              </w:rPr>
            </w:pPr>
            <w:r w:rsidRPr="00D34BE8">
              <w:rPr>
                <w:rFonts w:ascii="Book Antiqua" w:eastAsia="宋体" w:hAnsi="Book Antiqua"/>
                <w:sz w:val="20"/>
                <w:szCs w:val="20"/>
              </w:rPr>
              <w:t>53.55 ±</w:t>
            </w:r>
            <w:r w:rsidR="009A7541" w:rsidRPr="00D34BE8">
              <w:rPr>
                <w:rFonts w:ascii="Book Antiqua" w:eastAsia="宋体" w:hAnsi="Book Antiqua"/>
                <w:sz w:val="20"/>
                <w:szCs w:val="20"/>
              </w:rPr>
              <w:t xml:space="preserve"> </w:t>
            </w:r>
            <w:r w:rsidRPr="00D34BE8">
              <w:rPr>
                <w:rFonts w:ascii="Book Antiqua" w:eastAsia="宋体" w:hAnsi="Book Antiqua"/>
                <w:sz w:val="20"/>
                <w:szCs w:val="20"/>
              </w:rPr>
              <w:t>11.79</w:t>
            </w:r>
          </w:p>
        </w:tc>
        <w:tc>
          <w:tcPr>
            <w:tcW w:w="491" w:type="pct"/>
            <w:tcBorders>
              <w:top w:val="single" w:sz="4" w:space="0" w:color="auto"/>
            </w:tcBorders>
            <w:tcMar>
              <w:top w:w="0" w:type="dxa"/>
              <w:left w:w="57" w:type="dxa"/>
              <w:bottom w:w="0" w:type="dxa"/>
              <w:right w:w="57" w:type="dxa"/>
            </w:tcMar>
            <w:vAlign w:val="center"/>
          </w:tcPr>
          <w:p w:rsidR="00C7222A" w:rsidRPr="00D34BE8" w:rsidRDefault="00C7222A" w:rsidP="00D34BE8">
            <w:pPr>
              <w:spacing w:after="0" w:line="360" w:lineRule="auto"/>
              <w:jc w:val="both"/>
              <w:rPr>
                <w:rFonts w:ascii="Book Antiqua" w:eastAsia="宋体" w:hAnsi="Book Antiqua"/>
                <w:sz w:val="20"/>
                <w:szCs w:val="20"/>
              </w:rPr>
            </w:pPr>
            <w:r w:rsidRPr="00D34BE8">
              <w:rPr>
                <w:rFonts w:ascii="Book Antiqua" w:eastAsia="宋体" w:hAnsi="Book Antiqua"/>
                <w:sz w:val="20"/>
                <w:szCs w:val="20"/>
              </w:rPr>
              <w:t>0.35</w:t>
            </w:r>
          </w:p>
        </w:tc>
      </w:tr>
      <w:tr w:rsidR="009A7541" w:rsidRPr="00D34BE8" w:rsidTr="009A7541">
        <w:trPr>
          <w:trHeight w:val="468"/>
          <w:jc w:val="center"/>
        </w:trPr>
        <w:tc>
          <w:tcPr>
            <w:tcW w:w="1640" w:type="pct"/>
            <w:tcMar>
              <w:top w:w="0" w:type="dxa"/>
              <w:left w:w="57" w:type="dxa"/>
              <w:bottom w:w="0" w:type="dxa"/>
              <w:right w:w="57" w:type="dxa"/>
            </w:tcMar>
            <w:vAlign w:val="center"/>
          </w:tcPr>
          <w:p w:rsidR="00C7222A" w:rsidRPr="00D34BE8" w:rsidRDefault="00C7222A" w:rsidP="00D34BE8">
            <w:pPr>
              <w:spacing w:after="0" w:line="360" w:lineRule="auto"/>
              <w:jc w:val="both"/>
              <w:textAlignment w:val="center"/>
              <w:rPr>
                <w:rFonts w:ascii="Book Antiqua" w:eastAsia="宋体" w:hAnsi="Book Antiqua"/>
                <w:sz w:val="20"/>
                <w:szCs w:val="20"/>
              </w:rPr>
            </w:pPr>
            <w:r w:rsidRPr="00D34BE8">
              <w:rPr>
                <w:rFonts w:ascii="Book Antiqua" w:eastAsia="宋体" w:hAnsi="Book Antiqua"/>
                <w:sz w:val="20"/>
                <w:szCs w:val="20"/>
              </w:rPr>
              <w:t>Male (%)</w:t>
            </w:r>
          </w:p>
        </w:tc>
        <w:tc>
          <w:tcPr>
            <w:tcW w:w="984" w:type="pct"/>
            <w:tcMar>
              <w:top w:w="0" w:type="dxa"/>
              <w:left w:w="57" w:type="dxa"/>
              <w:bottom w:w="0" w:type="dxa"/>
              <w:right w:w="57" w:type="dxa"/>
            </w:tcMar>
            <w:vAlign w:val="center"/>
          </w:tcPr>
          <w:p w:rsidR="00C7222A" w:rsidRPr="00D34BE8" w:rsidRDefault="00C7222A" w:rsidP="00D34BE8">
            <w:pPr>
              <w:spacing w:after="0" w:line="360" w:lineRule="auto"/>
              <w:jc w:val="both"/>
              <w:textAlignment w:val="center"/>
              <w:rPr>
                <w:rFonts w:ascii="Book Antiqua" w:eastAsia="宋体" w:hAnsi="Book Antiqua"/>
                <w:sz w:val="20"/>
                <w:szCs w:val="20"/>
              </w:rPr>
            </w:pPr>
            <w:r w:rsidRPr="00D34BE8">
              <w:rPr>
                <w:rFonts w:ascii="Book Antiqua" w:eastAsia="宋体" w:hAnsi="Book Antiqua"/>
                <w:sz w:val="20"/>
                <w:szCs w:val="20"/>
              </w:rPr>
              <w:t>33 (58.9)</w:t>
            </w:r>
          </w:p>
        </w:tc>
        <w:tc>
          <w:tcPr>
            <w:tcW w:w="984" w:type="pct"/>
            <w:tcMar>
              <w:top w:w="0" w:type="dxa"/>
              <w:left w:w="57" w:type="dxa"/>
              <w:bottom w:w="0" w:type="dxa"/>
              <w:right w:w="57" w:type="dxa"/>
            </w:tcMar>
            <w:vAlign w:val="center"/>
          </w:tcPr>
          <w:p w:rsidR="00C7222A" w:rsidRPr="00D34BE8" w:rsidRDefault="00C7222A" w:rsidP="00D34BE8">
            <w:pPr>
              <w:spacing w:after="0" w:line="360" w:lineRule="auto"/>
              <w:jc w:val="both"/>
              <w:textAlignment w:val="center"/>
              <w:rPr>
                <w:rFonts w:ascii="Book Antiqua" w:eastAsia="宋体" w:hAnsi="Book Antiqua"/>
                <w:sz w:val="20"/>
                <w:szCs w:val="20"/>
              </w:rPr>
            </w:pPr>
            <w:r w:rsidRPr="00D34BE8">
              <w:rPr>
                <w:rFonts w:ascii="Book Antiqua" w:eastAsia="宋体" w:hAnsi="Book Antiqua"/>
                <w:sz w:val="20"/>
                <w:szCs w:val="20"/>
              </w:rPr>
              <w:t>14 (46.7)</w:t>
            </w:r>
          </w:p>
        </w:tc>
        <w:tc>
          <w:tcPr>
            <w:tcW w:w="901" w:type="pct"/>
            <w:tcMar>
              <w:top w:w="0" w:type="dxa"/>
              <w:left w:w="57" w:type="dxa"/>
              <w:bottom w:w="0" w:type="dxa"/>
              <w:right w:w="57" w:type="dxa"/>
            </w:tcMar>
            <w:vAlign w:val="center"/>
          </w:tcPr>
          <w:p w:rsidR="00C7222A" w:rsidRPr="00D34BE8" w:rsidRDefault="00C7222A" w:rsidP="00D34BE8">
            <w:pPr>
              <w:spacing w:after="0" w:line="360" w:lineRule="auto"/>
              <w:jc w:val="both"/>
              <w:textAlignment w:val="center"/>
              <w:rPr>
                <w:rFonts w:ascii="Book Antiqua" w:eastAsia="宋体" w:hAnsi="Book Antiqua"/>
                <w:sz w:val="20"/>
                <w:szCs w:val="20"/>
              </w:rPr>
            </w:pPr>
            <w:r w:rsidRPr="00D34BE8">
              <w:rPr>
                <w:rFonts w:ascii="Book Antiqua" w:eastAsia="宋体" w:hAnsi="Book Antiqua"/>
                <w:sz w:val="20"/>
                <w:szCs w:val="20"/>
              </w:rPr>
              <w:t>47 (54.7)</w:t>
            </w:r>
          </w:p>
        </w:tc>
        <w:tc>
          <w:tcPr>
            <w:tcW w:w="491" w:type="pct"/>
            <w:tcMar>
              <w:top w:w="0" w:type="dxa"/>
              <w:left w:w="57" w:type="dxa"/>
              <w:bottom w:w="0" w:type="dxa"/>
              <w:right w:w="57" w:type="dxa"/>
            </w:tcMar>
            <w:vAlign w:val="center"/>
          </w:tcPr>
          <w:p w:rsidR="00C7222A" w:rsidRPr="00D34BE8" w:rsidRDefault="00C7222A" w:rsidP="00D34BE8">
            <w:pPr>
              <w:spacing w:after="0" w:line="360" w:lineRule="auto"/>
              <w:jc w:val="both"/>
              <w:rPr>
                <w:rFonts w:ascii="Book Antiqua" w:eastAsia="宋体" w:hAnsi="Book Antiqua"/>
                <w:sz w:val="20"/>
                <w:szCs w:val="20"/>
              </w:rPr>
            </w:pPr>
            <w:r w:rsidRPr="00D34BE8">
              <w:rPr>
                <w:rFonts w:ascii="Book Antiqua" w:eastAsia="宋体" w:hAnsi="Book Antiqua"/>
                <w:sz w:val="20"/>
                <w:szCs w:val="20"/>
              </w:rPr>
              <w:t>0.43</w:t>
            </w:r>
          </w:p>
        </w:tc>
      </w:tr>
      <w:tr w:rsidR="009A7541" w:rsidRPr="00D34BE8" w:rsidTr="009A7541">
        <w:trPr>
          <w:trHeight w:val="468"/>
          <w:jc w:val="center"/>
        </w:trPr>
        <w:tc>
          <w:tcPr>
            <w:tcW w:w="1640" w:type="pct"/>
            <w:tcMar>
              <w:top w:w="0" w:type="dxa"/>
              <w:left w:w="57" w:type="dxa"/>
              <w:bottom w:w="0" w:type="dxa"/>
              <w:right w:w="57" w:type="dxa"/>
            </w:tcMar>
            <w:vAlign w:val="center"/>
          </w:tcPr>
          <w:p w:rsidR="00C7222A" w:rsidRPr="00D34BE8" w:rsidRDefault="00C7222A" w:rsidP="00D34BE8">
            <w:pPr>
              <w:spacing w:after="0" w:line="360" w:lineRule="auto"/>
              <w:jc w:val="both"/>
              <w:textAlignment w:val="center"/>
              <w:rPr>
                <w:rFonts w:ascii="Book Antiqua" w:eastAsia="宋体" w:hAnsi="Book Antiqua"/>
                <w:sz w:val="20"/>
                <w:szCs w:val="20"/>
              </w:rPr>
            </w:pPr>
            <w:r w:rsidRPr="00D34BE8">
              <w:rPr>
                <w:rFonts w:ascii="Book Antiqua" w:eastAsia="宋体" w:hAnsi="Book Antiqua"/>
                <w:sz w:val="20"/>
                <w:szCs w:val="20"/>
              </w:rPr>
              <w:t>Etiology,</w:t>
            </w:r>
            <w:r w:rsidR="009A7541" w:rsidRPr="00D34BE8">
              <w:rPr>
                <w:rFonts w:ascii="Book Antiqua" w:eastAsia="宋体" w:hAnsi="Book Antiqua"/>
                <w:sz w:val="20"/>
                <w:szCs w:val="20"/>
              </w:rPr>
              <w:t xml:space="preserve"> </w:t>
            </w:r>
            <w:r w:rsidRPr="00D34BE8">
              <w:rPr>
                <w:rFonts w:ascii="Book Antiqua" w:eastAsia="宋体" w:hAnsi="Book Antiqua"/>
                <w:sz w:val="20"/>
                <w:szCs w:val="20"/>
              </w:rPr>
              <w:t>HBV/HCV</w:t>
            </w:r>
          </w:p>
        </w:tc>
        <w:tc>
          <w:tcPr>
            <w:tcW w:w="984" w:type="pct"/>
            <w:tcMar>
              <w:top w:w="0" w:type="dxa"/>
              <w:left w:w="57" w:type="dxa"/>
              <w:bottom w:w="0" w:type="dxa"/>
              <w:right w:w="57" w:type="dxa"/>
            </w:tcMar>
            <w:vAlign w:val="center"/>
          </w:tcPr>
          <w:p w:rsidR="00C7222A" w:rsidRPr="00D34BE8" w:rsidRDefault="00C7222A" w:rsidP="00D34BE8">
            <w:pPr>
              <w:spacing w:after="0" w:line="360" w:lineRule="auto"/>
              <w:jc w:val="both"/>
              <w:textAlignment w:val="center"/>
              <w:rPr>
                <w:rFonts w:ascii="Book Antiqua" w:eastAsia="宋体" w:hAnsi="Book Antiqua"/>
                <w:sz w:val="20"/>
                <w:szCs w:val="20"/>
              </w:rPr>
            </w:pPr>
            <w:r w:rsidRPr="00D34BE8">
              <w:rPr>
                <w:rFonts w:ascii="Book Antiqua" w:eastAsia="宋体" w:hAnsi="Book Antiqua"/>
                <w:sz w:val="20"/>
                <w:szCs w:val="20"/>
              </w:rPr>
              <w:t>51/5</w:t>
            </w:r>
          </w:p>
        </w:tc>
        <w:tc>
          <w:tcPr>
            <w:tcW w:w="984" w:type="pct"/>
            <w:tcMar>
              <w:top w:w="0" w:type="dxa"/>
              <w:left w:w="57" w:type="dxa"/>
              <w:bottom w:w="0" w:type="dxa"/>
              <w:right w:w="57" w:type="dxa"/>
            </w:tcMar>
            <w:vAlign w:val="center"/>
          </w:tcPr>
          <w:p w:rsidR="00C7222A" w:rsidRPr="00D34BE8" w:rsidRDefault="00C7222A" w:rsidP="00D34BE8">
            <w:pPr>
              <w:spacing w:after="0" w:line="360" w:lineRule="auto"/>
              <w:jc w:val="both"/>
              <w:textAlignment w:val="center"/>
              <w:rPr>
                <w:rFonts w:ascii="Book Antiqua" w:eastAsia="宋体" w:hAnsi="Book Antiqua"/>
                <w:sz w:val="20"/>
                <w:szCs w:val="20"/>
              </w:rPr>
            </w:pPr>
            <w:r w:rsidRPr="00D34BE8">
              <w:rPr>
                <w:rFonts w:ascii="Book Antiqua" w:eastAsia="宋体" w:hAnsi="Book Antiqua"/>
                <w:sz w:val="20"/>
                <w:szCs w:val="20"/>
              </w:rPr>
              <w:t>22/8</w:t>
            </w:r>
          </w:p>
        </w:tc>
        <w:tc>
          <w:tcPr>
            <w:tcW w:w="901" w:type="pct"/>
            <w:tcMar>
              <w:top w:w="0" w:type="dxa"/>
              <w:left w:w="57" w:type="dxa"/>
              <w:bottom w:w="0" w:type="dxa"/>
              <w:right w:w="57" w:type="dxa"/>
            </w:tcMar>
            <w:vAlign w:val="center"/>
          </w:tcPr>
          <w:p w:rsidR="00C7222A" w:rsidRPr="00D34BE8" w:rsidRDefault="00C7222A" w:rsidP="00D34BE8">
            <w:pPr>
              <w:spacing w:after="0" w:line="360" w:lineRule="auto"/>
              <w:jc w:val="both"/>
              <w:textAlignment w:val="center"/>
              <w:rPr>
                <w:rFonts w:ascii="Book Antiqua" w:eastAsia="宋体" w:hAnsi="Book Antiqua"/>
                <w:sz w:val="20"/>
                <w:szCs w:val="20"/>
              </w:rPr>
            </w:pPr>
            <w:r w:rsidRPr="00D34BE8">
              <w:rPr>
                <w:rFonts w:ascii="Book Antiqua" w:eastAsia="宋体" w:hAnsi="Book Antiqua"/>
                <w:sz w:val="20"/>
                <w:szCs w:val="20"/>
              </w:rPr>
              <w:t>73/13</w:t>
            </w:r>
          </w:p>
        </w:tc>
        <w:tc>
          <w:tcPr>
            <w:tcW w:w="491" w:type="pct"/>
            <w:tcMar>
              <w:top w:w="0" w:type="dxa"/>
              <w:left w:w="57" w:type="dxa"/>
              <w:bottom w:w="0" w:type="dxa"/>
              <w:right w:w="57" w:type="dxa"/>
            </w:tcMar>
            <w:vAlign w:val="center"/>
          </w:tcPr>
          <w:p w:rsidR="00C7222A" w:rsidRPr="00D34BE8" w:rsidRDefault="00C7222A" w:rsidP="00D34BE8">
            <w:pPr>
              <w:spacing w:after="0" w:line="360" w:lineRule="auto"/>
              <w:jc w:val="both"/>
              <w:rPr>
                <w:rFonts w:ascii="Book Antiqua" w:eastAsia="宋体" w:hAnsi="Book Antiqua"/>
                <w:sz w:val="20"/>
                <w:szCs w:val="20"/>
              </w:rPr>
            </w:pPr>
            <w:r w:rsidRPr="00D34BE8">
              <w:rPr>
                <w:rFonts w:ascii="Book Antiqua" w:eastAsia="宋体" w:hAnsi="Book Antiqua"/>
                <w:sz w:val="20"/>
                <w:szCs w:val="20"/>
              </w:rPr>
              <w:t>0.47</w:t>
            </w:r>
          </w:p>
        </w:tc>
      </w:tr>
      <w:tr w:rsidR="009A7541" w:rsidRPr="00D34BE8" w:rsidTr="009A7541">
        <w:trPr>
          <w:trHeight w:val="468"/>
          <w:jc w:val="center"/>
        </w:trPr>
        <w:tc>
          <w:tcPr>
            <w:tcW w:w="1640" w:type="pct"/>
            <w:tcMar>
              <w:top w:w="0" w:type="dxa"/>
              <w:left w:w="57" w:type="dxa"/>
              <w:bottom w:w="0" w:type="dxa"/>
              <w:right w:w="57" w:type="dxa"/>
            </w:tcMar>
            <w:vAlign w:val="center"/>
          </w:tcPr>
          <w:p w:rsidR="00C7222A" w:rsidRPr="00D34BE8" w:rsidRDefault="00C7222A" w:rsidP="00D34BE8">
            <w:pPr>
              <w:spacing w:after="0" w:line="360" w:lineRule="auto"/>
              <w:jc w:val="both"/>
              <w:textAlignment w:val="center"/>
              <w:rPr>
                <w:rFonts w:ascii="Book Antiqua" w:eastAsia="宋体" w:hAnsi="Book Antiqua"/>
                <w:sz w:val="20"/>
                <w:szCs w:val="20"/>
              </w:rPr>
            </w:pPr>
            <w:r w:rsidRPr="00D34BE8">
              <w:rPr>
                <w:rFonts w:ascii="Book Antiqua" w:eastAsia="宋体" w:hAnsi="Book Antiqua"/>
                <w:sz w:val="20"/>
                <w:szCs w:val="20"/>
              </w:rPr>
              <w:t>Course of disease</w:t>
            </w:r>
            <w:r w:rsidR="00CE008D" w:rsidRPr="00D34BE8">
              <w:rPr>
                <w:rFonts w:ascii="Book Antiqua" w:eastAsia="宋体" w:hAnsi="Book Antiqua"/>
                <w:sz w:val="20"/>
                <w:szCs w:val="20"/>
              </w:rPr>
              <w:t xml:space="preserve"> </w:t>
            </w:r>
            <w:r w:rsidR="003648E7">
              <w:rPr>
                <w:rFonts w:ascii="Book Antiqua" w:eastAsia="宋体" w:hAnsi="Book Antiqua"/>
                <w:sz w:val="20"/>
                <w:szCs w:val="20"/>
              </w:rPr>
              <w:t xml:space="preserve">in </w:t>
            </w:r>
            <w:r w:rsidRPr="00D34BE8">
              <w:rPr>
                <w:rFonts w:ascii="Book Antiqua" w:eastAsia="宋体" w:hAnsi="Book Antiqua"/>
                <w:sz w:val="20"/>
                <w:szCs w:val="20"/>
              </w:rPr>
              <w:t>mo</w:t>
            </w:r>
          </w:p>
        </w:tc>
        <w:tc>
          <w:tcPr>
            <w:tcW w:w="984" w:type="pct"/>
            <w:tcMar>
              <w:top w:w="0" w:type="dxa"/>
              <w:left w:w="57" w:type="dxa"/>
              <w:bottom w:w="0" w:type="dxa"/>
              <w:right w:w="57" w:type="dxa"/>
            </w:tcMar>
            <w:vAlign w:val="center"/>
          </w:tcPr>
          <w:p w:rsidR="00C7222A" w:rsidRPr="00D34BE8" w:rsidRDefault="00C7222A" w:rsidP="00D34BE8">
            <w:pPr>
              <w:spacing w:after="0" w:line="360" w:lineRule="auto"/>
              <w:jc w:val="both"/>
              <w:textAlignment w:val="center"/>
              <w:rPr>
                <w:rFonts w:ascii="Book Antiqua" w:eastAsia="宋体" w:hAnsi="Book Antiqua"/>
                <w:sz w:val="20"/>
                <w:szCs w:val="20"/>
              </w:rPr>
            </w:pPr>
            <w:r w:rsidRPr="00D34BE8">
              <w:rPr>
                <w:rFonts w:ascii="Book Antiqua" w:eastAsia="宋体" w:hAnsi="Book Antiqua"/>
                <w:sz w:val="20"/>
                <w:szCs w:val="20"/>
              </w:rPr>
              <w:t>48.3</w:t>
            </w:r>
            <w:r w:rsidR="009A7541" w:rsidRPr="00D34BE8">
              <w:rPr>
                <w:rFonts w:ascii="Book Antiqua" w:eastAsia="宋体" w:hAnsi="Book Antiqua"/>
                <w:sz w:val="20"/>
                <w:szCs w:val="20"/>
              </w:rPr>
              <w:t xml:space="preserve"> </w:t>
            </w:r>
            <w:r w:rsidRPr="00D34BE8">
              <w:rPr>
                <w:rFonts w:ascii="Book Antiqua" w:eastAsia="宋体" w:hAnsi="Book Antiqua"/>
                <w:sz w:val="20"/>
                <w:szCs w:val="20"/>
              </w:rPr>
              <w:t>±</w:t>
            </w:r>
            <w:r w:rsidR="009A7541" w:rsidRPr="00D34BE8">
              <w:rPr>
                <w:rFonts w:ascii="Book Antiqua" w:eastAsia="宋体" w:hAnsi="Book Antiqua"/>
                <w:sz w:val="20"/>
                <w:szCs w:val="20"/>
              </w:rPr>
              <w:t xml:space="preserve"> </w:t>
            </w:r>
            <w:r w:rsidRPr="00D34BE8">
              <w:rPr>
                <w:rFonts w:ascii="Book Antiqua" w:eastAsia="宋体" w:hAnsi="Book Antiqua"/>
                <w:sz w:val="20"/>
                <w:szCs w:val="20"/>
              </w:rPr>
              <w:t>12.1</w:t>
            </w:r>
          </w:p>
        </w:tc>
        <w:tc>
          <w:tcPr>
            <w:tcW w:w="984" w:type="pct"/>
            <w:tcMar>
              <w:top w:w="0" w:type="dxa"/>
              <w:left w:w="57" w:type="dxa"/>
              <w:bottom w:w="0" w:type="dxa"/>
              <w:right w:w="57" w:type="dxa"/>
            </w:tcMar>
            <w:vAlign w:val="center"/>
          </w:tcPr>
          <w:p w:rsidR="00C7222A" w:rsidRPr="00D34BE8" w:rsidRDefault="00C7222A" w:rsidP="00D34BE8">
            <w:pPr>
              <w:spacing w:after="0" w:line="360" w:lineRule="auto"/>
              <w:jc w:val="both"/>
              <w:textAlignment w:val="center"/>
              <w:rPr>
                <w:rFonts w:ascii="Book Antiqua" w:eastAsia="宋体" w:hAnsi="Book Antiqua"/>
                <w:sz w:val="20"/>
                <w:szCs w:val="20"/>
              </w:rPr>
            </w:pPr>
            <w:r w:rsidRPr="00D34BE8">
              <w:rPr>
                <w:rFonts w:ascii="Book Antiqua" w:eastAsia="宋体" w:hAnsi="Book Antiqua"/>
                <w:sz w:val="20"/>
                <w:szCs w:val="20"/>
              </w:rPr>
              <w:t>46.7</w:t>
            </w:r>
            <w:r w:rsidR="009A7541" w:rsidRPr="00D34BE8">
              <w:rPr>
                <w:rFonts w:ascii="Book Antiqua" w:eastAsia="宋体" w:hAnsi="Book Antiqua"/>
                <w:sz w:val="20"/>
                <w:szCs w:val="20"/>
              </w:rPr>
              <w:t xml:space="preserve"> </w:t>
            </w:r>
            <w:r w:rsidRPr="00D34BE8">
              <w:rPr>
                <w:rFonts w:ascii="Book Antiqua" w:eastAsia="宋体" w:hAnsi="Book Antiqua"/>
                <w:sz w:val="20"/>
                <w:szCs w:val="20"/>
              </w:rPr>
              <w:t>±</w:t>
            </w:r>
            <w:r w:rsidR="009A7541" w:rsidRPr="00D34BE8">
              <w:rPr>
                <w:rFonts w:ascii="Book Antiqua" w:eastAsia="宋体" w:hAnsi="Book Antiqua"/>
                <w:sz w:val="20"/>
                <w:szCs w:val="20"/>
              </w:rPr>
              <w:t xml:space="preserve"> </w:t>
            </w:r>
            <w:r w:rsidRPr="00D34BE8">
              <w:rPr>
                <w:rFonts w:ascii="Book Antiqua" w:eastAsia="宋体" w:hAnsi="Book Antiqua"/>
                <w:sz w:val="20"/>
                <w:szCs w:val="20"/>
              </w:rPr>
              <w:t>11.3</w:t>
            </w:r>
          </w:p>
        </w:tc>
        <w:tc>
          <w:tcPr>
            <w:tcW w:w="901" w:type="pct"/>
            <w:tcMar>
              <w:top w:w="0" w:type="dxa"/>
              <w:left w:w="57" w:type="dxa"/>
              <w:bottom w:w="0" w:type="dxa"/>
              <w:right w:w="57" w:type="dxa"/>
            </w:tcMar>
            <w:vAlign w:val="center"/>
          </w:tcPr>
          <w:p w:rsidR="00C7222A" w:rsidRPr="00D34BE8" w:rsidRDefault="00C7222A" w:rsidP="00D34BE8">
            <w:pPr>
              <w:spacing w:after="0" w:line="360" w:lineRule="auto"/>
              <w:jc w:val="both"/>
              <w:textAlignment w:val="center"/>
              <w:rPr>
                <w:rFonts w:ascii="Book Antiqua" w:eastAsia="宋体" w:hAnsi="Book Antiqua"/>
                <w:sz w:val="20"/>
                <w:szCs w:val="20"/>
              </w:rPr>
            </w:pPr>
            <w:r w:rsidRPr="00D34BE8">
              <w:rPr>
                <w:rFonts w:ascii="Book Antiqua" w:eastAsia="宋体" w:hAnsi="Book Antiqua"/>
                <w:sz w:val="20"/>
                <w:szCs w:val="20"/>
              </w:rPr>
              <w:t>48.1</w:t>
            </w:r>
            <w:r w:rsidR="009A7541" w:rsidRPr="00D34BE8">
              <w:rPr>
                <w:rFonts w:ascii="Book Antiqua" w:eastAsia="宋体" w:hAnsi="Book Antiqua"/>
                <w:sz w:val="20"/>
                <w:szCs w:val="20"/>
              </w:rPr>
              <w:t xml:space="preserve"> </w:t>
            </w:r>
            <w:r w:rsidRPr="00D34BE8">
              <w:rPr>
                <w:rFonts w:ascii="Book Antiqua" w:eastAsia="宋体" w:hAnsi="Book Antiqua"/>
                <w:sz w:val="20"/>
                <w:szCs w:val="20"/>
              </w:rPr>
              <w:t>±</w:t>
            </w:r>
            <w:r w:rsidR="009A7541" w:rsidRPr="00D34BE8">
              <w:rPr>
                <w:rFonts w:ascii="Book Antiqua" w:eastAsia="宋体" w:hAnsi="Book Antiqua"/>
                <w:sz w:val="20"/>
                <w:szCs w:val="20"/>
              </w:rPr>
              <w:t xml:space="preserve"> </w:t>
            </w:r>
            <w:r w:rsidRPr="00D34BE8">
              <w:rPr>
                <w:rFonts w:ascii="Book Antiqua" w:eastAsia="宋体" w:hAnsi="Book Antiqua"/>
                <w:sz w:val="20"/>
                <w:szCs w:val="20"/>
              </w:rPr>
              <w:t>11.6</w:t>
            </w:r>
          </w:p>
        </w:tc>
        <w:tc>
          <w:tcPr>
            <w:tcW w:w="491" w:type="pct"/>
            <w:tcMar>
              <w:top w:w="0" w:type="dxa"/>
              <w:left w:w="57" w:type="dxa"/>
              <w:bottom w:w="0" w:type="dxa"/>
              <w:right w:w="57" w:type="dxa"/>
            </w:tcMar>
            <w:vAlign w:val="center"/>
          </w:tcPr>
          <w:p w:rsidR="00C7222A" w:rsidRPr="00D34BE8" w:rsidRDefault="00C7222A" w:rsidP="00D34BE8">
            <w:pPr>
              <w:spacing w:after="0" w:line="360" w:lineRule="auto"/>
              <w:jc w:val="both"/>
              <w:rPr>
                <w:rFonts w:ascii="Book Antiqua" w:eastAsia="宋体" w:hAnsi="Book Antiqua"/>
                <w:sz w:val="20"/>
                <w:szCs w:val="20"/>
              </w:rPr>
            </w:pPr>
            <w:r w:rsidRPr="00D34BE8">
              <w:rPr>
                <w:rFonts w:ascii="Book Antiqua" w:eastAsia="宋体" w:hAnsi="Book Antiqua"/>
                <w:sz w:val="20"/>
                <w:szCs w:val="20"/>
              </w:rPr>
              <w:t>0.45</w:t>
            </w:r>
          </w:p>
        </w:tc>
      </w:tr>
      <w:tr w:rsidR="009A7541" w:rsidRPr="00D34BE8" w:rsidTr="009A7541">
        <w:trPr>
          <w:trHeight w:val="468"/>
          <w:jc w:val="center"/>
        </w:trPr>
        <w:tc>
          <w:tcPr>
            <w:tcW w:w="1640" w:type="pct"/>
            <w:tcBorders>
              <w:top w:val="nil"/>
              <w:left w:val="nil"/>
              <w:bottom w:val="nil"/>
              <w:right w:val="nil"/>
            </w:tcBorders>
            <w:tcMar>
              <w:top w:w="0" w:type="dxa"/>
              <w:left w:w="57" w:type="dxa"/>
              <w:bottom w:w="0" w:type="dxa"/>
              <w:right w:w="57" w:type="dxa"/>
            </w:tcMar>
            <w:vAlign w:val="center"/>
          </w:tcPr>
          <w:p w:rsidR="00C7222A" w:rsidRPr="00D34BE8" w:rsidRDefault="00C7222A" w:rsidP="00D34BE8">
            <w:pPr>
              <w:spacing w:after="0" w:line="360" w:lineRule="auto"/>
              <w:jc w:val="both"/>
              <w:textAlignment w:val="center"/>
              <w:rPr>
                <w:rStyle w:val="font41"/>
                <w:rFonts w:ascii="Book Antiqua" w:eastAsia="宋体" w:hAnsi="Book Antiqua"/>
                <w:color w:val="auto"/>
                <w:sz w:val="20"/>
                <w:szCs w:val="20"/>
              </w:rPr>
            </w:pPr>
            <w:r w:rsidRPr="00D34BE8">
              <w:rPr>
                <w:rFonts w:ascii="Book Antiqua" w:eastAsia="宋体" w:hAnsi="Book Antiqua"/>
                <w:sz w:val="20"/>
                <w:szCs w:val="20"/>
              </w:rPr>
              <w:t>Child-Pugh class, A/B/C</w:t>
            </w:r>
          </w:p>
        </w:tc>
        <w:tc>
          <w:tcPr>
            <w:tcW w:w="984" w:type="pct"/>
            <w:tcBorders>
              <w:top w:val="nil"/>
              <w:left w:val="nil"/>
              <w:bottom w:val="nil"/>
              <w:right w:val="nil"/>
            </w:tcBorders>
            <w:tcMar>
              <w:top w:w="0" w:type="dxa"/>
              <w:left w:w="57" w:type="dxa"/>
              <w:bottom w:w="0" w:type="dxa"/>
              <w:right w:w="57" w:type="dxa"/>
            </w:tcMar>
            <w:vAlign w:val="center"/>
          </w:tcPr>
          <w:p w:rsidR="00C7222A" w:rsidRPr="00D34BE8" w:rsidRDefault="00C7222A" w:rsidP="00D34BE8">
            <w:pPr>
              <w:spacing w:after="0" w:line="360" w:lineRule="auto"/>
              <w:jc w:val="both"/>
              <w:textAlignment w:val="center"/>
              <w:rPr>
                <w:rFonts w:ascii="Book Antiqua" w:eastAsia="宋体" w:hAnsi="Book Antiqua"/>
                <w:sz w:val="20"/>
                <w:szCs w:val="20"/>
              </w:rPr>
            </w:pPr>
            <w:r w:rsidRPr="00D34BE8">
              <w:rPr>
                <w:rFonts w:ascii="Book Antiqua" w:eastAsia="宋体" w:hAnsi="Book Antiqua"/>
                <w:sz w:val="20"/>
                <w:szCs w:val="20"/>
              </w:rPr>
              <w:t>31/19/6</w:t>
            </w:r>
          </w:p>
        </w:tc>
        <w:tc>
          <w:tcPr>
            <w:tcW w:w="984" w:type="pct"/>
            <w:tcBorders>
              <w:top w:val="nil"/>
              <w:left w:val="nil"/>
              <w:bottom w:val="nil"/>
              <w:right w:val="nil"/>
            </w:tcBorders>
            <w:tcMar>
              <w:top w:w="0" w:type="dxa"/>
              <w:left w:w="57" w:type="dxa"/>
              <w:bottom w:w="0" w:type="dxa"/>
              <w:right w:w="57" w:type="dxa"/>
            </w:tcMar>
            <w:vAlign w:val="center"/>
          </w:tcPr>
          <w:p w:rsidR="00C7222A" w:rsidRPr="00D34BE8" w:rsidRDefault="00C7222A" w:rsidP="00D34BE8">
            <w:pPr>
              <w:spacing w:after="0" w:line="360" w:lineRule="auto"/>
              <w:jc w:val="both"/>
              <w:textAlignment w:val="center"/>
              <w:rPr>
                <w:rFonts w:ascii="Book Antiqua" w:eastAsia="宋体" w:hAnsi="Book Antiqua"/>
                <w:sz w:val="20"/>
                <w:szCs w:val="20"/>
              </w:rPr>
            </w:pPr>
            <w:r w:rsidRPr="00D34BE8">
              <w:rPr>
                <w:rFonts w:ascii="Book Antiqua" w:eastAsia="宋体" w:hAnsi="Book Antiqua"/>
                <w:sz w:val="20"/>
                <w:szCs w:val="20"/>
              </w:rPr>
              <w:t>9/16/0</w:t>
            </w:r>
          </w:p>
        </w:tc>
        <w:tc>
          <w:tcPr>
            <w:tcW w:w="901" w:type="pct"/>
            <w:tcBorders>
              <w:top w:val="nil"/>
              <w:left w:val="nil"/>
              <w:bottom w:val="nil"/>
              <w:right w:val="nil"/>
            </w:tcBorders>
            <w:tcMar>
              <w:top w:w="0" w:type="dxa"/>
              <w:left w:w="57" w:type="dxa"/>
              <w:bottom w:w="0" w:type="dxa"/>
              <w:right w:w="57" w:type="dxa"/>
            </w:tcMar>
            <w:vAlign w:val="center"/>
          </w:tcPr>
          <w:p w:rsidR="00C7222A" w:rsidRPr="00D34BE8" w:rsidRDefault="00C7222A" w:rsidP="00D34BE8">
            <w:pPr>
              <w:spacing w:after="0" w:line="360" w:lineRule="auto"/>
              <w:jc w:val="both"/>
              <w:textAlignment w:val="center"/>
              <w:rPr>
                <w:rFonts w:ascii="Book Antiqua" w:eastAsia="宋体" w:hAnsi="Book Antiqua"/>
                <w:sz w:val="20"/>
                <w:szCs w:val="20"/>
              </w:rPr>
            </w:pPr>
            <w:r w:rsidRPr="00D34BE8">
              <w:rPr>
                <w:rFonts w:ascii="Book Antiqua" w:eastAsia="宋体" w:hAnsi="Book Antiqua"/>
                <w:sz w:val="20"/>
                <w:szCs w:val="20"/>
              </w:rPr>
              <w:t>40/35/6</w:t>
            </w:r>
          </w:p>
        </w:tc>
        <w:tc>
          <w:tcPr>
            <w:tcW w:w="491" w:type="pct"/>
            <w:tcBorders>
              <w:top w:val="nil"/>
              <w:left w:val="nil"/>
              <w:bottom w:val="nil"/>
              <w:right w:val="nil"/>
            </w:tcBorders>
            <w:tcMar>
              <w:top w:w="0" w:type="dxa"/>
              <w:left w:w="57" w:type="dxa"/>
              <w:bottom w:w="0" w:type="dxa"/>
              <w:right w:w="57" w:type="dxa"/>
            </w:tcMar>
            <w:vAlign w:val="center"/>
          </w:tcPr>
          <w:p w:rsidR="00C7222A" w:rsidRPr="00D34BE8" w:rsidRDefault="009A7541" w:rsidP="00D34BE8">
            <w:pPr>
              <w:spacing w:after="0" w:line="360" w:lineRule="auto"/>
              <w:jc w:val="both"/>
              <w:rPr>
                <w:rFonts w:ascii="Book Antiqua" w:eastAsia="宋体" w:hAnsi="Book Antiqua"/>
                <w:sz w:val="20"/>
                <w:szCs w:val="20"/>
              </w:rPr>
            </w:pPr>
            <w:r w:rsidRPr="00D34BE8">
              <w:rPr>
                <w:rFonts w:ascii="Book Antiqua" w:eastAsia="宋体" w:hAnsi="Book Antiqua"/>
                <w:sz w:val="20"/>
                <w:szCs w:val="20"/>
              </w:rPr>
              <w:t xml:space="preserve">&lt; </w:t>
            </w:r>
            <w:r w:rsidR="00C7222A" w:rsidRPr="00D34BE8">
              <w:rPr>
                <w:rFonts w:ascii="Book Antiqua" w:eastAsia="宋体" w:hAnsi="Book Antiqua"/>
                <w:sz w:val="20"/>
                <w:szCs w:val="20"/>
              </w:rPr>
              <w:t>0.05</w:t>
            </w:r>
          </w:p>
        </w:tc>
      </w:tr>
      <w:tr w:rsidR="009A7541" w:rsidRPr="00D34BE8" w:rsidTr="009A7541">
        <w:trPr>
          <w:trHeight w:val="468"/>
          <w:jc w:val="center"/>
        </w:trPr>
        <w:tc>
          <w:tcPr>
            <w:tcW w:w="1640" w:type="pct"/>
            <w:tcBorders>
              <w:top w:val="nil"/>
              <w:left w:val="nil"/>
              <w:bottom w:val="nil"/>
              <w:right w:val="nil"/>
            </w:tcBorders>
            <w:tcMar>
              <w:top w:w="0" w:type="dxa"/>
              <w:left w:w="57" w:type="dxa"/>
              <w:bottom w:w="0" w:type="dxa"/>
              <w:right w:w="57" w:type="dxa"/>
            </w:tcMar>
            <w:vAlign w:val="center"/>
          </w:tcPr>
          <w:p w:rsidR="00C7222A" w:rsidRPr="00D34BE8" w:rsidRDefault="009A7541" w:rsidP="00D34BE8">
            <w:pPr>
              <w:spacing w:after="0" w:line="360" w:lineRule="auto"/>
              <w:jc w:val="both"/>
              <w:textAlignment w:val="center"/>
              <w:rPr>
                <w:rFonts w:ascii="Book Antiqua" w:eastAsia="宋体" w:hAnsi="Book Antiqua"/>
                <w:sz w:val="20"/>
                <w:szCs w:val="20"/>
              </w:rPr>
            </w:pPr>
            <w:r w:rsidRPr="00D34BE8">
              <w:rPr>
                <w:rFonts w:ascii="Book Antiqua" w:eastAsia="宋体" w:hAnsi="Book Antiqua"/>
                <w:sz w:val="20"/>
                <w:szCs w:val="20"/>
              </w:rPr>
              <w:t xml:space="preserve">Diameter </w:t>
            </w:r>
            <w:r w:rsidR="00C7222A" w:rsidRPr="00D34BE8">
              <w:rPr>
                <w:rFonts w:ascii="Book Antiqua" w:eastAsia="宋体" w:hAnsi="Book Antiqua"/>
                <w:sz w:val="20"/>
                <w:szCs w:val="20"/>
              </w:rPr>
              <w:t xml:space="preserve">of EVs </w:t>
            </w:r>
            <w:r w:rsidR="003648E7">
              <w:rPr>
                <w:rFonts w:ascii="Book Antiqua" w:eastAsia="宋体" w:hAnsi="Book Antiqua"/>
                <w:sz w:val="20"/>
                <w:szCs w:val="20"/>
              </w:rPr>
              <w:t xml:space="preserve">in </w:t>
            </w:r>
            <w:r w:rsidR="00C7222A" w:rsidRPr="00D34BE8">
              <w:rPr>
                <w:rFonts w:ascii="Book Antiqua" w:eastAsia="宋体" w:hAnsi="Book Antiqua"/>
                <w:sz w:val="20"/>
                <w:szCs w:val="20"/>
              </w:rPr>
              <w:t>mm</w:t>
            </w:r>
          </w:p>
        </w:tc>
        <w:tc>
          <w:tcPr>
            <w:tcW w:w="984" w:type="pct"/>
            <w:tcBorders>
              <w:top w:val="nil"/>
              <w:left w:val="nil"/>
              <w:bottom w:val="nil"/>
              <w:right w:val="nil"/>
            </w:tcBorders>
            <w:tcMar>
              <w:top w:w="0" w:type="dxa"/>
              <w:left w:w="57" w:type="dxa"/>
              <w:bottom w:w="0" w:type="dxa"/>
              <w:right w:w="57" w:type="dxa"/>
            </w:tcMar>
            <w:vAlign w:val="center"/>
          </w:tcPr>
          <w:p w:rsidR="00C7222A" w:rsidRPr="00D34BE8" w:rsidRDefault="00C7222A" w:rsidP="00D34BE8">
            <w:pPr>
              <w:spacing w:after="0" w:line="360" w:lineRule="auto"/>
              <w:jc w:val="both"/>
              <w:textAlignment w:val="center"/>
              <w:rPr>
                <w:rFonts w:ascii="Book Antiqua" w:eastAsia="宋体" w:hAnsi="Book Antiqua"/>
                <w:sz w:val="20"/>
                <w:szCs w:val="20"/>
              </w:rPr>
            </w:pPr>
            <w:r w:rsidRPr="00D34BE8">
              <w:rPr>
                <w:rFonts w:ascii="Book Antiqua" w:eastAsia="宋体" w:hAnsi="Book Antiqua"/>
                <w:sz w:val="20"/>
                <w:szCs w:val="20"/>
              </w:rPr>
              <w:t>0.8 ±</w:t>
            </w:r>
            <w:r w:rsidR="009A7541" w:rsidRPr="00D34BE8">
              <w:rPr>
                <w:rFonts w:ascii="Book Antiqua" w:eastAsia="宋体" w:hAnsi="Book Antiqua"/>
                <w:sz w:val="20"/>
                <w:szCs w:val="20"/>
              </w:rPr>
              <w:t xml:space="preserve"> </w:t>
            </w:r>
            <w:r w:rsidRPr="00D34BE8">
              <w:rPr>
                <w:rFonts w:ascii="Book Antiqua" w:eastAsia="宋体" w:hAnsi="Book Antiqua"/>
                <w:sz w:val="20"/>
                <w:szCs w:val="20"/>
              </w:rPr>
              <w:t>0.2</w:t>
            </w:r>
          </w:p>
        </w:tc>
        <w:tc>
          <w:tcPr>
            <w:tcW w:w="984" w:type="pct"/>
            <w:tcBorders>
              <w:top w:val="nil"/>
              <w:left w:val="nil"/>
              <w:bottom w:val="nil"/>
              <w:right w:val="nil"/>
            </w:tcBorders>
            <w:tcMar>
              <w:top w:w="0" w:type="dxa"/>
              <w:left w:w="57" w:type="dxa"/>
              <w:bottom w:w="0" w:type="dxa"/>
              <w:right w:w="57" w:type="dxa"/>
            </w:tcMar>
            <w:vAlign w:val="center"/>
          </w:tcPr>
          <w:p w:rsidR="00C7222A" w:rsidRPr="00D34BE8" w:rsidRDefault="00C7222A" w:rsidP="00D34BE8">
            <w:pPr>
              <w:spacing w:after="0" w:line="360" w:lineRule="auto"/>
              <w:jc w:val="both"/>
              <w:textAlignment w:val="center"/>
              <w:rPr>
                <w:rFonts w:ascii="Book Antiqua" w:eastAsia="宋体" w:hAnsi="Book Antiqua"/>
                <w:sz w:val="20"/>
                <w:szCs w:val="20"/>
              </w:rPr>
            </w:pPr>
            <w:r w:rsidRPr="00D34BE8">
              <w:rPr>
                <w:rFonts w:ascii="Book Antiqua" w:eastAsia="宋体" w:hAnsi="Book Antiqua"/>
                <w:sz w:val="20"/>
                <w:szCs w:val="20"/>
              </w:rPr>
              <w:t>0.3 ± 0.1</w:t>
            </w:r>
          </w:p>
        </w:tc>
        <w:tc>
          <w:tcPr>
            <w:tcW w:w="901" w:type="pct"/>
            <w:tcBorders>
              <w:top w:val="nil"/>
              <w:left w:val="nil"/>
              <w:bottom w:val="nil"/>
              <w:right w:val="nil"/>
            </w:tcBorders>
            <w:tcMar>
              <w:top w:w="0" w:type="dxa"/>
              <w:left w:w="57" w:type="dxa"/>
              <w:bottom w:w="0" w:type="dxa"/>
              <w:right w:w="57" w:type="dxa"/>
            </w:tcMar>
            <w:vAlign w:val="center"/>
          </w:tcPr>
          <w:p w:rsidR="00C7222A" w:rsidRPr="00D34BE8" w:rsidRDefault="00C7222A" w:rsidP="00D34BE8">
            <w:pPr>
              <w:spacing w:after="0" w:line="360" w:lineRule="auto"/>
              <w:jc w:val="both"/>
              <w:textAlignment w:val="center"/>
              <w:rPr>
                <w:rFonts w:ascii="Book Antiqua" w:eastAsia="宋体" w:hAnsi="Book Antiqua"/>
                <w:sz w:val="20"/>
                <w:szCs w:val="20"/>
              </w:rPr>
            </w:pPr>
            <w:r w:rsidRPr="00D34BE8">
              <w:rPr>
                <w:rFonts w:ascii="Book Antiqua" w:eastAsia="宋体" w:hAnsi="Book Antiqua"/>
                <w:sz w:val="20"/>
                <w:szCs w:val="20"/>
              </w:rPr>
              <w:t>0.6 ±</w:t>
            </w:r>
            <w:r w:rsidR="009A7541" w:rsidRPr="00D34BE8">
              <w:rPr>
                <w:rFonts w:ascii="Book Antiqua" w:eastAsia="宋体" w:hAnsi="Book Antiqua"/>
                <w:sz w:val="20"/>
                <w:szCs w:val="20"/>
              </w:rPr>
              <w:t xml:space="preserve"> </w:t>
            </w:r>
            <w:r w:rsidRPr="00D34BE8">
              <w:rPr>
                <w:rFonts w:ascii="Book Antiqua" w:eastAsia="宋体" w:hAnsi="Book Antiqua"/>
                <w:sz w:val="20"/>
                <w:szCs w:val="20"/>
              </w:rPr>
              <w:t>0.2</w:t>
            </w:r>
          </w:p>
        </w:tc>
        <w:tc>
          <w:tcPr>
            <w:tcW w:w="491" w:type="pct"/>
            <w:tcBorders>
              <w:top w:val="nil"/>
              <w:left w:val="nil"/>
              <w:bottom w:val="nil"/>
              <w:right w:val="nil"/>
            </w:tcBorders>
            <w:tcMar>
              <w:top w:w="0" w:type="dxa"/>
              <w:left w:w="57" w:type="dxa"/>
              <w:bottom w:w="0" w:type="dxa"/>
              <w:right w:w="57" w:type="dxa"/>
            </w:tcMar>
            <w:vAlign w:val="center"/>
          </w:tcPr>
          <w:p w:rsidR="00C7222A" w:rsidRPr="00D34BE8" w:rsidRDefault="009A7541" w:rsidP="00D34BE8">
            <w:pPr>
              <w:spacing w:after="0" w:line="360" w:lineRule="auto"/>
              <w:jc w:val="both"/>
              <w:rPr>
                <w:rFonts w:ascii="Book Antiqua" w:eastAsia="宋体" w:hAnsi="Book Antiqua"/>
                <w:sz w:val="20"/>
                <w:szCs w:val="20"/>
              </w:rPr>
            </w:pPr>
            <w:r w:rsidRPr="00D34BE8">
              <w:rPr>
                <w:rFonts w:ascii="Book Antiqua" w:eastAsia="宋体" w:hAnsi="Book Antiqua"/>
                <w:sz w:val="20"/>
                <w:szCs w:val="20"/>
              </w:rPr>
              <w:t xml:space="preserve">&lt; </w:t>
            </w:r>
            <w:r w:rsidR="00C7222A" w:rsidRPr="00D34BE8">
              <w:rPr>
                <w:rFonts w:ascii="Book Antiqua" w:eastAsia="宋体" w:hAnsi="Book Antiqua"/>
                <w:sz w:val="20"/>
                <w:szCs w:val="20"/>
              </w:rPr>
              <w:t>0.01</w:t>
            </w:r>
          </w:p>
        </w:tc>
      </w:tr>
      <w:tr w:rsidR="009A7541" w:rsidRPr="00D34BE8" w:rsidTr="0079074C">
        <w:trPr>
          <w:trHeight w:val="442"/>
          <w:jc w:val="center"/>
        </w:trPr>
        <w:tc>
          <w:tcPr>
            <w:tcW w:w="1640" w:type="pct"/>
            <w:tcBorders>
              <w:top w:val="nil"/>
              <w:left w:val="nil"/>
              <w:bottom w:val="single" w:sz="4" w:space="0" w:color="auto"/>
              <w:right w:val="nil"/>
            </w:tcBorders>
            <w:tcMar>
              <w:top w:w="0" w:type="dxa"/>
              <w:left w:w="57" w:type="dxa"/>
              <w:bottom w:w="0" w:type="dxa"/>
              <w:right w:w="57" w:type="dxa"/>
            </w:tcMar>
            <w:vAlign w:val="center"/>
          </w:tcPr>
          <w:p w:rsidR="00C7222A" w:rsidRPr="00D34BE8" w:rsidRDefault="00C7222A" w:rsidP="00D34BE8">
            <w:pPr>
              <w:spacing w:after="0" w:line="360" w:lineRule="auto"/>
              <w:jc w:val="both"/>
              <w:textAlignment w:val="center"/>
              <w:rPr>
                <w:rFonts w:ascii="Book Antiqua" w:eastAsia="宋体" w:hAnsi="Book Antiqua"/>
                <w:sz w:val="20"/>
                <w:szCs w:val="20"/>
              </w:rPr>
            </w:pPr>
            <w:r w:rsidRPr="00D34BE8">
              <w:rPr>
                <w:rFonts w:ascii="Book Antiqua" w:eastAsia="宋体" w:hAnsi="Book Antiqua"/>
                <w:sz w:val="20"/>
                <w:szCs w:val="20"/>
              </w:rPr>
              <w:t xml:space="preserve">Red </w:t>
            </w:r>
            <w:r w:rsidR="009A7541" w:rsidRPr="00D34BE8">
              <w:rPr>
                <w:rFonts w:ascii="Book Antiqua" w:eastAsia="宋体" w:hAnsi="Book Antiqua"/>
                <w:sz w:val="20"/>
                <w:szCs w:val="20"/>
              </w:rPr>
              <w:t>sign</w:t>
            </w:r>
          </w:p>
        </w:tc>
        <w:tc>
          <w:tcPr>
            <w:tcW w:w="984" w:type="pct"/>
            <w:tcBorders>
              <w:top w:val="nil"/>
              <w:left w:val="nil"/>
              <w:bottom w:val="single" w:sz="4" w:space="0" w:color="auto"/>
              <w:right w:val="nil"/>
            </w:tcBorders>
            <w:tcMar>
              <w:top w:w="0" w:type="dxa"/>
              <w:left w:w="57" w:type="dxa"/>
              <w:bottom w:w="0" w:type="dxa"/>
              <w:right w:w="57" w:type="dxa"/>
            </w:tcMar>
            <w:vAlign w:val="center"/>
          </w:tcPr>
          <w:p w:rsidR="00C7222A" w:rsidRPr="00D34BE8" w:rsidRDefault="00C7222A" w:rsidP="00D34BE8">
            <w:pPr>
              <w:spacing w:after="0" w:line="360" w:lineRule="auto"/>
              <w:jc w:val="both"/>
              <w:textAlignment w:val="center"/>
              <w:rPr>
                <w:rFonts w:ascii="Book Antiqua" w:eastAsia="宋体" w:hAnsi="Book Antiqua"/>
                <w:sz w:val="20"/>
                <w:szCs w:val="20"/>
              </w:rPr>
            </w:pPr>
            <w:r w:rsidRPr="00D34BE8">
              <w:rPr>
                <w:rFonts w:ascii="Book Antiqua" w:eastAsia="宋体" w:hAnsi="Book Antiqua"/>
                <w:sz w:val="20"/>
                <w:szCs w:val="20"/>
              </w:rPr>
              <w:t>39</w:t>
            </w:r>
          </w:p>
        </w:tc>
        <w:tc>
          <w:tcPr>
            <w:tcW w:w="984" w:type="pct"/>
            <w:tcBorders>
              <w:top w:val="nil"/>
              <w:left w:val="nil"/>
              <w:bottom w:val="single" w:sz="4" w:space="0" w:color="auto"/>
              <w:right w:val="nil"/>
            </w:tcBorders>
            <w:tcMar>
              <w:top w:w="0" w:type="dxa"/>
              <w:left w:w="57" w:type="dxa"/>
              <w:bottom w:w="0" w:type="dxa"/>
              <w:right w:w="57" w:type="dxa"/>
            </w:tcMar>
            <w:vAlign w:val="center"/>
          </w:tcPr>
          <w:p w:rsidR="00C7222A" w:rsidRPr="00D34BE8" w:rsidRDefault="00C7222A" w:rsidP="00D34BE8">
            <w:pPr>
              <w:spacing w:after="0" w:line="360" w:lineRule="auto"/>
              <w:jc w:val="both"/>
              <w:textAlignment w:val="center"/>
              <w:rPr>
                <w:rFonts w:ascii="Book Antiqua" w:eastAsia="宋体" w:hAnsi="Book Antiqua"/>
                <w:sz w:val="20"/>
                <w:szCs w:val="20"/>
              </w:rPr>
            </w:pPr>
            <w:r w:rsidRPr="00D34BE8">
              <w:rPr>
                <w:rFonts w:ascii="Book Antiqua" w:eastAsia="宋体" w:hAnsi="Book Antiqua"/>
                <w:sz w:val="20"/>
                <w:szCs w:val="20"/>
              </w:rPr>
              <w:t>0</w:t>
            </w:r>
          </w:p>
        </w:tc>
        <w:tc>
          <w:tcPr>
            <w:tcW w:w="901" w:type="pct"/>
            <w:tcBorders>
              <w:top w:val="nil"/>
              <w:left w:val="nil"/>
              <w:bottom w:val="single" w:sz="4" w:space="0" w:color="auto"/>
              <w:right w:val="nil"/>
            </w:tcBorders>
            <w:tcMar>
              <w:top w:w="0" w:type="dxa"/>
              <w:left w:w="57" w:type="dxa"/>
              <w:bottom w:w="0" w:type="dxa"/>
              <w:right w:w="57" w:type="dxa"/>
            </w:tcMar>
            <w:vAlign w:val="center"/>
          </w:tcPr>
          <w:p w:rsidR="00C7222A" w:rsidRPr="00D34BE8" w:rsidRDefault="00C7222A" w:rsidP="00D34BE8">
            <w:pPr>
              <w:spacing w:after="0" w:line="360" w:lineRule="auto"/>
              <w:jc w:val="both"/>
              <w:textAlignment w:val="center"/>
              <w:rPr>
                <w:rFonts w:ascii="Book Antiqua" w:eastAsia="宋体" w:hAnsi="Book Antiqua"/>
                <w:sz w:val="20"/>
                <w:szCs w:val="20"/>
              </w:rPr>
            </w:pPr>
            <w:r w:rsidRPr="00D34BE8">
              <w:rPr>
                <w:rFonts w:ascii="Book Antiqua" w:eastAsia="宋体" w:hAnsi="Book Antiqua"/>
                <w:sz w:val="20"/>
                <w:szCs w:val="20"/>
              </w:rPr>
              <w:t>39</w:t>
            </w:r>
          </w:p>
        </w:tc>
        <w:tc>
          <w:tcPr>
            <w:tcW w:w="491" w:type="pct"/>
            <w:tcBorders>
              <w:top w:val="nil"/>
              <w:left w:val="nil"/>
              <w:bottom w:val="single" w:sz="4" w:space="0" w:color="auto"/>
              <w:right w:val="nil"/>
            </w:tcBorders>
            <w:tcMar>
              <w:top w:w="0" w:type="dxa"/>
              <w:left w:w="57" w:type="dxa"/>
              <w:bottom w:w="0" w:type="dxa"/>
              <w:right w:w="57" w:type="dxa"/>
            </w:tcMar>
            <w:vAlign w:val="center"/>
          </w:tcPr>
          <w:p w:rsidR="00C7222A" w:rsidRPr="00D34BE8" w:rsidRDefault="009A7541" w:rsidP="00D34BE8">
            <w:pPr>
              <w:spacing w:after="0" w:line="360" w:lineRule="auto"/>
              <w:jc w:val="both"/>
              <w:textAlignment w:val="center"/>
              <w:rPr>
                <w:rFonts w:ascii="Book Antiqua" w:eastAsia="宋体" w:hAnsi="Book Antiqua"/>
                <w:sz w:val="20"/>
                <w:szCs w:val="20"/>
              </w:rPr>
            </w:pPr>
            <w:r w:rsidRPr="00D34BE8">
              <w:rPr>
                <w:rFonts w:ascii="Book Antiqua" w:eastAsia="宋体" w:hAnsi="Book Antiqua"/>
                <w:sz w:val="20"/>
                <w:szCs w:val="20"/>
              </w:rPr>
              <w:t xml:space="preserve">&lt; </w:t>
            </w:r>
            <w:r w:rsidR="00C7222A" w:rsidRPr="00D34BE8">
              <w:rPr>
                <w:rFonts w:ascii="Book Antiqua" w:eastAsia="宋体" w:hAnsi="Book Antiqua"/>
                <w:sz w:val="20"/>
                <w:szCs w:val="20"/>
              </w:rPr>
              <w:t>0.01</w:t>
            </w:r>
          </w:p>
        </w:tc>
      </w:tr>
    </w:tbl>
    <w:p w:rsidR="00C7222A" w:rsidRPr="00D34BE8" w:rsidRDefault="00C7222A" w:rsidP="00D34BE8">
      <w:pPr>
        <w:spacing w:after="0" w:line="360" w:lineRule="auto"/>
        <w:jc w:val="both"/>
        <w:rPr>
          <w:rFonts w:ascii="Book Antiqua" w:hAnsi="Book Antiqua"/>
          <w:sz w:val="20"/>
          <w:szCs w:val="20"/>
        </w:rPr>
      </w:pPr>
      <w:r w:rsidRPr="00D34BE8">
        <w:rPr>
          <w:rFonts w:ascii="Book Antiqua" w:hAnsi="Book Antiqua"/>
          <w:i/>
          <w:iCs/>
          <w:sz w:val="20"/>
          <w:szCs w:val="20"/>
        </w:rPr>
        <w:t>P</w:t>
      </w:r>
      <w:r w:rsidRPr="00D34BE8">
        <w:rPr>
          <w:rFonts w:ascii="Book Antiqua" w:hAnsi="Book Antiqua"/>
          <w:sz w:val="20"/>
          <w:szCs w:val="20"/>
        </w:rPr>
        <w:t xml:space="preserve"> &lt;</w:t>
      </w:r>
      <w:r w:rsidR="009A7541" w:rsidRPr="00D34BE8">
        <w:rPr>
          <w:rFonts w:ascii="Book Antiqua" w:hAnsi="Book Antiqua"/>
          <w:sz w:val="20"/>
          <w:szCs w:val="20"/>
        </w:rPr>
        <w:t xml:space="preserve"> </w:t>
      </w:r>
      <w:r w:rsidRPr="00D34BE8">
        <w:rPr>
          <w:rFonts w:ascii="Book Antiqua" w:hAnsi="Book Antiqua"/>
          <w:sz w:val="20"/>
          <w:szCs w:val="20"/>
        </w:rPr>
        <w:t>0.05 is considered statistically significant.</w:t>
      </w:r>
      <w:r w:rsidR="00CE008D" w:rsidRPr="00D34BE8">
        <w:rPr>
          <w:rFonts w:ascii="Book Antiqua" w:eastAsia="宋体" w:hAnsi="Book Antiqua"/>
          <w:bCs/>
          <w:sz w:val="20"/>
          <w:szCs w:val="20"/>
          <w:lang w:eastAsia="en-US"/>
        </w:rPr>
        <w:t xml:space="preserve"> HEVs: High-risk esophageal varices; LEVs: Low-risk esophageal varices; </w:t>
      </w:r>
      <w:r w:rsidR="00CE008D" w:rsidRPr="00D34BE8">
        <w:rPr>
          <w:rFonts w:ascii="Book Antiqua" w:hAnsi="Book Antiqua"/>
          <w:sz w:val="20"/>
          <w:szCs w:val="20"/>
        </w:rPr>
        <w:t>HBV</w:t>
      </w:r>
      <w:r w:rsidR="000018AB" w:rsidRPr="00D34BE8">
        <w:rPr>
          <w:rFonts w:ascii="Book Antiqua" w:hAnsi="Book Antiqua"/>
          <w:sz w:val="20"/>
          <w:szCs w:val="20"/>
        </w:rPr>
        <w:t>:</w:t>
      </w:r>
      <w:r w:rsidR="00CE008D" w:rsidRPr="00D34BE8">
        <w:rPr>
          <w:rFonts w:ascii="Book Antiqua" w:hAnsi="Book Antiqua"/>
          <w:sz w:val="20"/>
          <w:szCs w:val="20"/>
        </w:rPr>
        <w:t xml:space="preserve"> </w:t>
      </w:r>
      <w:r w:rsidR="000018AB" w:rsidRPr="00D34BE8">
        <w:rPr>
          <w:rFonts w:ascii="Book Antiqua" w:hAnsi="Book Antiqua"/>
          <w:sz w:val="20"/>
          <w:szCs w:val="20"/>
        </w:rPr>
        <w:t>H</w:t>
      </w:r>
      <w:r w:rsidR="00CE008D" w:rsidRPr="00D34BE8">
        <w:rPr>
          <w:rFonts w:ascii="Book Antiqua" w:hAnsi="Book Antiqua"/>
          <w:sz w:val="20"/>
          <w:szCs w:val="20"/>
        </w:rPr>
        <w:t>epatitis B vir</w:t>
      </w:r>
      <w:r w:rsidR="000018AB" w:rsidRPr="00D34BE8">
        <w:rPr>
          <w:rFonts w:ascii="Book Antiqua" w:hAnsi="Book Antiqua"/>
          <w:sz w:val="20"/>
          <w:szCs w:val="20"/>
        </w:rPr>
        <w:t>us</w:t>
      </w:r>
      <w:r w:rsidR="00CE008D" w:rsidRPr="00D34BE8">
        <w:rPr>
          <w:rFonts w:ascii="Book Antiqua" w:hAnsi="Book Antiqua"/>
          <w:sz w:val="20"/>
          <w:szCs w:val="20"/>
        </w:rPr>
        <w:t>; HCV</w:t>
      </w:r>
      <w:r w:rsidR="000018AB" w:rsidRPr="00D34BE8">
        <w:rPr>
          <w:rFonts w:ascii="Book Antiqua" w:hAnsi="Book Antiqua"/>
          <w:sz w:val="20"/>
          <w:szCs w:val="20"/>
        </w:rPr>
        <w:t>:</w:t>
      </w:r>
      <w:r w:rsidR="00CE008D" w:rsidRPr="00D34BE8">
        <w:rPr>
          <w:rFonts w:ascii="Book Antiqua" w:hAnsi="Book Antiqua"/>
          <w:sz w:val="20"/>
          <w:szCs w:val="20"/>
        </w:rPr>
        <w:t xml:space="preserve"> </w:t>
      </w:r>
      <w:r w:rsidR="000018AB" w:rsidRPr="00D34BE8">
        <w:rPr>
          <w:rFonts w:ascii="Book Antiqua" w:hAnsi="Book Antiqua"/>
          <w:sz w:val="20"/>
          <w:szCs w:val="20"/>
        </w:rPr>
        <w:t>H</w:t>
      </w:r>
      <w:r w:rsidR="00CE008D" w:rsidRPr="00D34BE8">
        <w:rPr>
          <w:rFonts w:ascii="Book Antiqua" w:hAnsi="Book Antiqua"/>
          <w:sz w:val="20"/>
          <w:szCs w:val="20"/>
        </w:rPr>
        <w:t>epatitis C vir</w:t>
      </w:r>
      <w:r w:rsidR="000018AB" w:rsidRPr="00D34BE8">
        <w:rPr>
          <w:rFonts w:ascii="Book Antiqua" w:hAnsi="Book Antiqua"/>
          <w:sz w:val="20"/>
          <w:szCs w:val="20"/>
        </w:rPr>
        <w:t>us</w:t>
      </w:r>
      <w:r w:rsidR="00CE008D" w:rsidRPr="00D34BE8">
        <w:rPr>
          <w:rFonts w:ascii="Book Antiqua" w:hAnsi="Book Antiqua"/>
          <w:sz w:val="20"/>
          <w:szCs w:val="20"/>
        </w:rPr>
        <w:t>.</w:t>
      </w:r>
    </w:p>
    <w:p w:rsidR="00C7222A" w:rsidRPr="00D34BE8" w:rsidRDefault="00C7222A" w:rsidP="00D34BE8">
      <w:pPr>
        <w:spacing w:after="0" w:line="360" w:lineRule="auto"/>
        <w:jc w:val="both"/>
        <w:rPr>
          <w:rFonts w:ascii="Book Antiqua" w:hAnsi="Book Antiqua"/>
          <w:sz w:val="20"/>
          <w:szCs w:val="20"/>
        </w:rPr>
      </w:pPr>
    </w:p>
    <w:p w:rsidR="00C7222A" w:rsidRPr="00D34BE8" w:rsidRDefault="003648E7" w:rsidP="00D34BE8">
      <w:pPr>
        <w:spacing w:after="0" w:line="360" w:lineRule="auto"/>
        <w:jc w:val="both"/>
        <w:rPr>
          <w:rFonts w:ascii="Book Antiqua" w:hAnsi="Book Antiqua"/>
          <w:b/>
          <w:bCs/>
          <w:sz w:val="20"/>
          <w:szCs w:val="20"/>
        </w:rPr>
      </w:pPr>
      <w:r>
        <w:rPr>
          <w:rFonts w:ascii="Book Antiqua" w:hAnsi="Book Antiqua"/>
          <w:b/>
          <w:bCs/>
          <w:sz w:val="20"/>
          <w:szCs w:val="20"/>
        </w:rPr>
        <w:br w:type="page"/>
      </w:r>
      <w:r w:rsidR="00C7222A" w:rsidRPr="00D34BE8">
        <w:rPr>
          <w:rFonts w:ascii="Book Antiqua" w:hAnsi="Book Antiqua"/>
          <w:b/>
          <w:bCs/>
          <w:sz w:val="20"/>
          <w:szCs w:val="20"/>
        </w:rPr>
        <w:t>Table 2 Comparison of general characteristics in the external validation group</w:t>
      </w:r>
      <w:r w:rsidR="00CE008D" w:rsidRPr="00D34BE8">
        <w:rPr>
          <w:rFonts w:ascii="Book Antiqua" w:hAnsi="Book Antiqua"/>
          <w:b/>
          <w:bCs/>
          <w:sz w:val="20"/>
          <w:szCs w:val="20"/>
        </w:rPr>
        <w:t xml:space="preserve">, </w:t>
      </w:r>
      <w:r w:rsidR="00CE008D" w:rsidRPr="00D34BE8">
        <w:rPr>
          <w:rFonts w:ascii="Book Antiqua" w:hAnsi="Book Antiqua"/>
          <w:b/>
          <w:bCs/>
          <w:i/>
          <w:iCs/>
          <w:sz w:val="20"/>
          <w:szCs w:val="20"/>
        </w:rPr>
        <w:t>n</w:t>
      </w:r>
    </w:p>
    <w:tbl>
      <w:tblPr>
        <w:tblW w:w="8797" w:type="dxa"/>
        <w:jc w:val="center"/>
        <w:tblInd w:w="-85" w:type="dxa"/>
        <w:tblCellMar>
          <w:top w:w="15" w:type="dxa"/>
          <w:left w:w="15" w:type="dxa"/>
          <w:bottom w:w="15" w:type="dxa"/>
          <w:right w:w="15" w:type="dxa"/>
        </w:tblCellMar>
        <w:tblLook w:val="0000" w:firstRow="0" w:lastRow="0" w:firstColumn="0" w:lastColumn="0" w:noHBand="0" w:noVBand="0"/>
      </w:tblPr>
      <w:tblGrid>
        <w:gridCol w:w="2963"/>
        <w:gridCol w:w="1686"/>
        <w:gridCol w:w="1686"/>
        <w:gridCol w:w="1556"/>
        <w:gridCol w:w="906"/>
      </w:tblGrid>
      <w:tr w:rsidR="00CE008D" w:rsidRPr="00D34BE8" w:rsidTr="00CE008D">
        <w:trPr>
          <w:trHeight w:val="468"/>
          <w:jc w:val="center"/>
        </w:trPr>
        <w:tc>
          <w:tcPr>
            <w:tcW w:w="2963" w:type="dxa"/>
            <w:tcBorders>
              <w:top w:val="single" w:sz="4" w:space="0" w:color="auto"/>
              <w:bottom w:val="single" w:sz="4" w:space="0" w:color="auto"/>
            </w:tcBorders>
            <w:tcMar>
              <w:top w:w="0" w:type="dxa"/>
              <w:left w:w="57" w:type="dxa"/>
              <w:bottom w:w="0" w:type="dxa"/>
              <w:right w:w="57" w:type="dxa"/>
            </w:tcMar>
            <w:vAlign w:val="center"/>
          </w:tcPr>
          <w:p w:rsidR="00CE008D" w:rsidRPr="00D34BE8" w:rsidRDefault="00CE008D" w:rsidP="00D34BE8">
            <w:pPr>
              <w:spacing w:after="0" w:line="360" w:lineRule="auto"/>
              <w:jc w:val="both"/>
              <w:textAlignment w:val="center"/>
              <w:rPr>
                <w:rFonts w:ascii="Book Antiqua" w:eastAsia="宋体" w:hAnsi="Book Antiqua"/>
                <w:b/>
                <w:sz w:val="20"/>
                <w:szCs w:val="20"/>
              </w:rPr>
            </w:pPr>
            <w:r w:rsidRPr="00D34BE8">
              <w:rPr>
                <w:rFonts w:ascii="Book Antiqua" w:eastAsia="宋体" w:hAnsi="Book Antiqua"/>
                <w:b/>
                <w:sz w:val="20"/>
                <w:szCs w:val="20"/>
              </w:rPr>
              <w:t>Parameter</w:t>
            </w:r>
          </w:p>
        </w:tc>
        <w:tc>
          <w:tcPr>
            <w:tcW w:w="1686" w:type="dxa"/>
            <w:tcBorders>
              <w:top w:val="single" w:sz="4" w:space="0" w:color="auto"/>
              <w:bottom w:val="single" w:sz="4" w:space="0" w:color="auto"/>
            </w:tcBorders>
            <w:tcMar>
              <w:top w:w="0" w:type="dxa"/>
              <w:left w:w="57" w:type="dxa"/>
              <w:bottom w:w="0" w:type="dxa"/>
              <w:right w:w="57" w:type="dxa"/>
            </w:tcMar>
            <w:vAlign w:val="center"/>
          </w:tcPr>
          <w:p w:rsidR="00CE008D" w:rsidRPr="00D34BE8" w:rsidRDefault="00CE008D" w:rsidP="00D34BE8">
            <w:pPr>
              <w:spacing w:after="0" w:line="360" w:lineRule="auto"/>
              <w:jc w:val="both"/>
              <w:textAlignment w:val="center"/>
              <w:rPr>
                <w:rFonts w:ascii="Book Antiqua" w:eastAsia="宋体" w:hAnsi="Book Antiqua"/>
                <w:b/>
                <w:sz w:val="20"/>
                <w:szCs w:val="20"/>
              </w:rPr>
            </w:pPr>
            <w:r w:rsidRPr="00D34BE8">
              <w:rPr>
                <w:rFonts w:ascii="Book Antiqua" w:eastAsia="宋体" w:hAnsi="Book Antiqua"/>
                <w:b/>
                <w:sz w:val="20"/>
                <w:szCs w:val="20"/>
              </w:rPr>
              <w:t>Patients with HEVs</w:t>
            </w:r>
            <w:r w:rsidR="003648E7">
              <w:rPr>
                <w:rFonts w:ascii="Book Antiqua" w:eastAsia="宋体" w:hAnsi="Book Antiqua"/>
                <w:b/>
                <w:sz w:val="20"/>
                <w:szCs w:val="20"/>
              </w:rPr>
              <w:t>,</w:t>
            </w:r>
            <w:r w:rsidRPr="00D34BE8">
              <w:rPr>
                <w:rFonts w:ascii="Book Antiqua" w:eastAsia="宋体" w:hAnsi="Book Antiqua"/>
                <w:b/>
                <w:sz w:val="20"/>
                <w:szCs w:val="20"/>
              </w:rPr>
              <w:t xml:space="preserve"> </w:t>
            </w:r>
            <w:r w:rsidRPr="00D34BE8">
              <w:rPr>
                <w:rFonts w:ascii="Book Antiqua" w:eastAsia="宋体" w:hAnsi="Book Antiqua"/>
                <w:b/>
                <w:i/>
                <w:iCs/>
                <w:sz w:val="20"/>
                <w:szCs w:val="20"/>
              </w:rPr>
              <w:t xml:space="preserve">n </w:t>
            </w:r>
            <w:r w:rsidRPr="00D34BE8">
              <w:rPr>
                <w:rFonts w:ascii="Book Antiqua" w:eastAsia="宋体" w:hAnsi="Book Antiqua"/>
                <w:b/>
                <w:sz w:val="20"/>
                <w:szCs w:val="20"/>
              </w:rPr>
              <w:t>= 31</w:t>
            </w:r>
          </w:p>
        </w:tc>
        <w:tc>
          <w:tcPr>
            <w:tcW w:w="1686" w:type="dxa"/>
            <w:tcBorders>
              <w:top w:val="single" w:sz="4" w:space="0" w:color="auto"/>
              <w:bottom w:val="single" w:sz="4" w:space="0" w:color="auto"/>
            </w:tcBorders>
            <w:tcMar>
              <w:top w:w="0" w:type="dxa"/>
              <w:left w:w="57" w:type="dxa"/>
              <w:bottom w:w="0" w:type="dxa"/>
              <w:right w:w="57" w:type="dxa"/>
            </w:tcMar>
            <w:vAlign w:val="center"/>
          </w:tcPr>
          <w:p w:rsidR="00CE008D" w:rsidRPr="00D34BE8" w:rsidRDefault="00CE008D" w:rsidP="00D34BE8">
            <w:pPr>
              <w:spacing w:after="0" w:line="360" w:lineRule="auto"/>
              <w:jc w:val="both"/>
              <w:textAlignment w:val="center"/>
              <w:rPr>
                <w:rFonts w:ascii="Book Antiqua" w:eastAsia="宋体" w:hAnsi="Book Antiqua"/>
                <w:b/>
                <w:sz w:val="20"/>
                <w:szCs w:val="20"/>
              </w:rPr>
            </w:pPr>
            <w:r w:rsidRPr="00D34BE8">
              <w:rPr>
                <w:rFonts w:ascii="Book Antiqua" w:eastAsia="宋体" w:hAnsi="Book Antiqua"/>
                <w:b/>
                <w:sz w:val="20"/>
                <w:szCs w:val="20"/>
              </w:rPr>
              <w:t>Patients with LEVs</w:t>
            </w:r>
            <w:r w:rsidR="003648E7">
              <w:rPr>
                <w:rFonts w:ascii="Book Antiqua" w:eastAsia="宋体" w:hAnsi="Book Antiqua"/>
                <w:b/>
                <w:sz w:val="20"/>
                <w:szCs w:val="20"/>
              </w:rPr>
              <w:t>,</w:t>
            </w:r>
            <w:r w:rsidRPr="00D34BE8">
              <w:rPr>
                <w:rFonts w:ascii="Book Antiqua" w:eastAsia="宋体" w:hAnsi="Book Antiqua"/>
                <w:b/>
                <w:sz w:val="20"/>
                <w:szCs w:val="20"/>
              </w:rPr>
              <w:t xml:space="preserve"> </w:t>
            </w:r>
            <w:r w:rsidRPr="00D34BE8">
              <w:rPr>
                <w:rFonts w:ascii="Book Antiqua" w:eastAsia="宋体" w:hAnsi="Book Antiqua"/>
                <w:b/>
                <w:i/>
                <w:iCs/>
                <w:sz w:val="20"/>
                <w:szCs w:val="20"/>
              </w:rPr>
              <w:t xml:space="preserve">n </w:t>
            </w:r>
            <w:r w:rsidRPr="00D34BE8">
              <w:rPr>
                <w:rFonts w:ascii="Book Antiqua" w:eastAsia="宋体" w:hAnsi="Book Antiqua"/>
                <w:b/>
                <w:sz w:val="20"/>
                <w:szCs w:val="20"/>
              </w:rPr>
              <w:t>= 19</w:t>
            </w:r>
          </w:p>
        </w:tc>
        <w:tc>
          <w:tcPr>
            <w:tcW w:w="1556" w:type="dxa"/>
            <w:tcBorders>
              <w:top w:val="single" w:sz="4" w:space="0" w:color="auto"/>
              <w:bottom w:val="single" w:sz="4" w:space="0" w:color="auto"/>
            </w:tcBorders>
            <w:tcMar>
              <w:top w:w="0" w:type="dxa"/>
              <w:left w:w="57" w:type="dxa"/>
              <w:bottom w:w="0" w:type="dxa"/>
              <w:right w:w="57" w:type="dxa"/>
            </w:tcMar>
            <w:vAlign w:val="center"/>
          </w:tcPr>
          <w:p w:rsidR="00CE008D" w:rsidRPr="00D34BE8" w:rsidRDefault="00CE008D" w:rsidP="00D34BE8">
            <w:pPr>
              <w:spacing w:after="0" w:line="360" w:lineRule="auto"/>
              <w:jc w:val="both"/>
              <w:textAlignment w:val="center"/>
              <w:rPr>
                <w:rFonts w:ascii="Book Antiqua" w:eastAsia="宋体" w:hAnsi="Book Antiqua"/>
                <w:b/>
                <w:sz w:val="20"/>
                <w:szCs w:val="20"/>
              </w:rPr>
            </w:pPr>
            <w:r w:rsidRPr="00D34BE8">
              <w:rPr>
                <w:rFonts w:ascii="Book Antiqua" w:eastAsia="宋体" w:hAnsi="Book Antiqua"/>
                <w:b/>
                <w:sz w:val="20"/>
                <w:szCs w:val="20"/>
              </w:rPr>
              <w:t>All patients</w:t>
            </w:r>
            <w:r w:rsidR="003648E7">
              <w:rPr>
                <w:rFonts w:ascii="Book Antiqua" w:eastAsia="宋体" w:hAnsi="Book Antiqua"/>
                <w:b/>
                <w:sz w:val="20"/>
                <w:szCs w:val="20"/>
              </w:rPr>
              <w:t>,</w:t>
            </w:r>
            <w:r w:rsidRPr="00D34BE8">
              <w:rPr>
                <w:rFonts w:ascii="Book Antiqua" w:eastAsia="宋体" w:hAnsi="Book Antiqua"/>
                <w:b/>
                <w:sz w:val="20"/>
                <w:szCs w:val="20"/>
              </w:rPr>
              <w:t xml:space="preserve"> </w:t>
            </w:r>
            <w:r w:rsidRPr="00D34BE8">
              <w:rPr>
                <w:rFonts w:ascii="Book Antiqua" w:eastAsia="宋体" w:hAnsi="Book Antiqua"/>
                <w:b/>
                <w:i/>
                <w:iCs/>
                <w:sz w:val="20"/>
                <w:szCs w:val="20"/>
              </w:rPr>
              <w:t xml:space="preserve">n </w:t>
            </w:r>
            <w:r w:rsidRPr="00D34BE8">
              <w:rPr>
                <w:rFonts w:ascii="Book Antiqua" w:eastAsia="宋体" w:hAnsi="Book Antiqua"/>
                <w:b/>
                <w:sz w:val="20"/>
                <w:szCs w:val="20"/>
              </w:rPr>
              <w:t>= 50</w:t>
            </w:r>
          </w:p>
        </w:tc>
        <w:tc>
          <w:tcPr>
            <w:tcW w:w="906" w:type="dxa"/>
            <w:tcBorders>
              <w:top w:val="single" w:sz="4" w:space="0" w:color="auto"/>
              <w:bottom w:val="single" w:sz="4" w:space="0" w:color="auto"/>
            </w:tcBorders>
            <w:tcMar>
              <w:top w:w="0" w:type="dxa"/>
              <w:left w:w="57" w:type="dxa"/>
              <w:bottom w:w="0" w:type="dxa"/>
              <w:right w:w="57" w:type="dxa"/>
            </w:tcMar>
            <w:vAlign w:val="center"/>
          </w:tcPr>
          <w:p w:rsidR="00CE008D" w:rsidRPr="00D34BE8" w:rsidRDefault="00CE008D" w:rsidP="00D34BE8">
            <w:pPr>
              <w:spacing w:after="0" w:line="360" w:lineRule="auto"/>
              <w:jc w:val="both"/>
              <w:textAlignment w:val="center"/>
              <w:rPr>
                <w:rFonts w:ascii="Book Antiqua" w:eastAsia="宋体" w:hAnsi="Book Antiqua"/>
                <w:b/>
                <w:sz w:val="20"/>
                <w:szCs w:val="20"/>
              </w:rPr>
            </w:pPr>
            <w:r w:rsidRPr="00D34BE8">
              <w:rPr>
                <w:rFonts w:ascii="Book Antiqua" w:eastAsia="宋体" w:hAnsi="Book Antiqua"/>
                <w:b/>
                <w:i/>
                <w:iCs/>
                <w:sz w:val="20"/>
                <w:szCs w:val="20"/>
              </w:rPr>
              <w:t>P</w:t>
            </w:r>
            <w:r w:rsidRPr="00D34BE8">
              <w:rPr>
                <w:rFonts w:ascii="Book Antiqua" w:eastAsia="宋体" w:hAnsi="Book Antiqua"/>
                <w:b/>
                <w:sz w:val="20"/>
                <w:szCs w:val="20"/>
              </w:rPr>
              <w:t xml:space="preserve"> value</w:t>
            </w:r>
          </w:p>
        </w:tc>
      </w:tr>
      <w:tr w:rsidR="00CE008D" w:rsidRPr="00D34BE8" w:rsidTr="00CE008D">
        <w:trPr>
          <w:trHeight w:val="468"/>
          <w:jc w:val="center"/>
        </w:trPr>
        <w:tc>
          <w:tcPr>
            <w:tcW w:w="2963" w:type="dxa"/>
            <w:tcBorders>
              <w:top w:val="single" w:sz="4" w:space="0" w:color="auto"/>
            </w:tcBorders>
            <w:tcMar>
              <w:top w:w="0" w:type="dxa"/>
              <w:left w:w="57" w:type="dxa"/>
              <w:bottom w:w="0" w:type="dxa"/>
              <w:right w:w="57" w:type="dxa"/>
            </w:tcMar>
            <w:vAlign w:val="center"/>
          </w:tcPr>
          <w:p w:rsidR="00C7222A" w:rsidRPr="00D34BE8" w:rsidRDefault="00C7222A" w:rsidP="00D34BE8">
            <w:pPr>
              <w:spacing w:after="0" w:line="360" w:lineRule="auto"/>
              <w:jc w:val="both"/>
              <w:textAlignment w:val="center"/>
              <w:rPr>
                <w:rFonts w:ascii="Book Antiqua" w:eastAsia="宋体" w:hAnsi="Book Antiqua"/>
                <w:sz w:val="20"/>
                <w:szCs w:val="20"/>
              </w:rPr>
            </w:pPr>
            <w:r w:rsidRPr="00D34BE8">
              <w:rPr>
                <w:rFonts w:ascii="Book Antiqua" w:eastAsia="宋体" w:hAnsi="Book Antiqua"/>
                <w:sz w:val="20"/>
                <w:szCs w:val="20"/>
              </w:rPr>
              <w:t xml:space="preserve">Age </w:t>
            </w:r>
            <w:r w:rsidR="003648E7">
              <w:rPr>
                <w:rFonts w:ascii="Book Antiqua" w:eastAsia="宋体" w:hAnsi="Book Antiqua"/>
                <w:sz w:val="20"/>
                <w:szCs w:val="20"/>
              </w:rPr>
              <w:t xml:space="preserve">in </w:t>
            </w:r>
            <w:r w:rsidRPr="00D34BE8">
              <w:rPr>
                <w:rFonts w:ascii="Book Antiqua" w:eastAsia="宋体" w:hAnsi="Book Antiqua"/>
                <w:sz w:val="20"/>
                <w:szCs w:val="20"/>
              </w:rPr>
              <w:t>y</w:t>
            </w:r>
            <w:r w:rsidR="00CE008D" w:rsidRPr="00D34BE8">
              <w:rPr>
                <w:rFonts w:ascii="Book Antiqua" w:eastAsia="宋体" w:hAnsi="Book Antiqua"/>
                <w:sz w:val="20"/>
                <w:szCs w:val="20"/>
              </w:rPr>
              <w:t>r</w:t>
            </w:r>
          </w:p>
        </w:tc>
        <w:tc>
          <w:tcPr>
            <w:tcW w:w="1686" w:type="dxa"/>
            <w:tcBorders>
              <w:top w:val="single" w:sz="4" w:space="0" w:color="auto"/>
            </w:tcBorders>
            <w:tcMar>
              <w:top w:w="0" w:type="dxa"/>
              <w:left w:w="57" w:type="dxa"/>
              <w:bottom w:w="0" w:type="dxa"/>
              <w:right w:w="57" w:type="dxa"/>
            </w:tcMar>
            <w:vAlign w:val="center"/>
          </w:tcPr>
          <w:p w:rsidR="00C7222A" w:rsidRPr="00D34BE8" w:rsidRDefault="00C7222A" w:rsidP="00D34BE8">
            <w:pPr>
              <w:spacing w:after="0" w:line="360" w:lineRule="auto"/>
              <w:jc w:val="both"/>
              <w:textAlignment w:val="center"/>
              <w:rPr>
                <w:rFonts w:ascii="Book Antiqua" w:eastAsia="宋体" w:hAnsi="Book Antiqua"/>
                <w:sz w:val="20"/>
                <w:szCs w:val="20"/>
              </w:rPr>
            </w:pPr>
            <w:r w:rsidRPr="00D34BE8">
              <w:rPr>
                <w:rFonts w:ascii="Book Antiqua" w:eastAsia="宋体" w:hAnsi="Book Antiqua"/>
                <w:sz w:val="20"/>
                <w:szCs w:val="20"/>
              </w:rPr>
              <w:t>51.86 ± 10.93</w:t>
            </w:r>
          </w:p>
        </w:tc>
        <w:tc>
          <w:tcPr>
            <w:tcW w:w="1686" w:type="dxa"/>
            <w:tcBorders>
              <w:top w:val="single" w:sz="4" w:space="0" w:color="auto"/>
            </w:tcBorders>
            <w:tcMar>
              <w:top w:w="0" w:type="dxa"/>
              <w:left w:w="57" w:type="dxa"/>
              <w:bottom w:w="0" w:type="dxa"/>
              <w:right w:w="57" w:type="dxa"/>
            </w:tcMar>
            <w:vAlign w:val="center"/>
          </w:tcPr>
          <w:p w:rsidR="00C7222A" w:rsidRPr="00D34BE8" w:rsidRDefault="00C7222A" w:rsidP="00D34BE8">
            <w:pPr>
              <w:spacing w:after="0" w:line="360" w:lineRule="auto"/>
              <w:jc w:val="both"/>
              <w:textAlignment w:val="center"/>
              <w:rPr>
                <w:rFonts w:ascii="Book Antiqua" w:eastAsia="宋体" w:hAnsi="Book Antiqua"/>
                <w:sz w:val="20"/>
                <w:szCs w:val="20"/>
              </w:rPr>
            </w:pPr>
            <w:r w:rsidRPr="00D34BE8">
              <w:rPr>
                <w:rFonts w:ascii="Book Antiqua" w:eastAsia="宋体" w:hAnsi="Book Antiqua"/>
                <w:sz w:val="20"/>
                <w:szCs w:val="20"/>
              </w:rPr>
              <w:t>55.33</w:t>
            </w:r>
            <w:r w:rsidR="00CE008D" w:rsidRPr="00D34BE8">
              <w:rPr>
                <w:rFonts w:ascii="Book Antiqua" w:eastAsia="宋体" w:hAnsi="Book Antiqua"/>
                <w:sz w:val="20"/>
                <w:szCs w:val="20"/>
              </w:rPr>
              <w:t xml:space="preserve"> </w:t>
            </w:r>
            <w:r w:rsidRPr="00D34BE8">
              <w:rPr>
                <w:rFonts w:ascii="Book Antiqua" w:eastAsia="宋体" w:hAnsi="Book Antiqua"/>
                <w:sz w:val="20"/>
                <w:szCs w:val="20"/>
              </w:rPr>
              <w:t>±</w:t>
            </w:r>
            <w:r w:rsidR="00CE008D" w:rsidRPr="00D34BE8">
              <w:rPr>
                <w:rFonts w:ascii="Book Antiqua" w:eastAsia="宋体" w:hAnsi="Book Antiqua"/>
                <w:sz w:val="20"/>
                <w:szCs w:val="20"/>
              </w:rPr>
              <w:t xml:space="preserve"> </w:t>
            </w:r>
            <w:r w:rsidRPr="00D34BE8">
              <w:rPr>
                <w:rFonts w:ascii="Book Antiqua" w:eastAsia="宋体" w:hAnsi="Book Antiqua"/>
                <w:sz w:val="20"/>
                <w:szCs w:val="20"/>
              </w:rPr>
              <w:t>11.98</w:t>
            </w:r>
          </w:p>
        </w:tc>
        <w:tc>
          <w:tcPr>
            <w:tcW w:w="1556" w:type="dxa"/>
            <w:tcBorders>
              <w:top w:val="single" w:sz="4" w:space="0" w:color="auto"/>
            </w:tcBorders>
            <w:tcMar>
              <w:top w:w="0" w:type="dxa"/>
              <w:left w:w="57" w:type="dxa"/>
              <w:bottom w:w="0" w:type="dxa"/>
              <w:right w:w="57" w:type="dxa"/>
            </w:tcMar>
            <w:vAlign w:val="center"/>
          </w:tcPr>
          <w:p w:rsidR="00C7222A" w:rsidRPr="00D34BE8" w:rsidRDefault="00C7222A" w:rsidP="00D34BE8">
            <w:pPr>
              <w:spacing w:after="0" w:line="360" w:lineRule="auto"/>
              <w:jc w:val="both"/>
              <w:textAlignment w:val="center"/>
              <w:rPr>
                <w:rFonts w:ascii="Book Antiqua" w:eastAsia="宋体" w:hAnsi="Book Antiqua"/>
                <w:sz w:val="20"/>
                <w:szCs w:val="20"/>
              </w:rPr>
            </w:pPr>
            <w:r w:rsidRPr="00D34BE8">
              <w:rPr>
                <w:rFonts w:ascii="Book Antiqua" w:eastAsia="宋体" w:hAnsi="Book Antiqua"/>
                <w:sz w:val="20"/>
                <w:szCs w:val="20"/>
              </w:rPr>
              <w:t>54.15 ±</w:t>
            </w:r>
            <w:r w:rsidR="00CE008D" w:rsidRPr="00D34BE8">
              <w:rPr>
                <w:rFonts w:ascii="Book Antiqua" w:eastAsia="宋体" w:hAnsi="Book Antiqua"/>
                <w:sz w:val="20"/>
                <w:szCs w:val="20"/>
              </w:rPr>
              <w:t xml:space="preserve"> </w:t>
            </w:r>
            <w:r w:rsidRPr="00D34BE8">
              <w:rPr>
                <w:rFonts w:ascii="Book Antiqua" w:eastAsia="宋体" w:hAnsi="Book Antiqua"/>
                <w:sz w:val="20"/>
                <w:szCs w:val="20"/>
              </w:rPr>
              <w:t>10.38</w:t>
            </w:r>
          </w:p>
        </w:tc>
        <w:tc>
          <w:tcPr>
            <w:tcW w:w="906" w:type="dxa"/>
            <w:tcBorders>
              <w:top w:val="single" w:sz="4" w:space="0" w:color="auto"/>
            </w:tcBorders>
            <w:tcMar>
              <w:top w:w="0" w:type="dxa"/>
              <w:left w:w="57" w:type="dxa"/>
              <w:bottom w:w="0" w:type="dxa"/>
              <w:right w:w="57" w:type="dxa"/>
            </w:tcMar>
            <w:vAlign w:val="center"/>
          </w:tcPr>
          <w:p w:rsidR="00C7222A" w:rsidRPr="00D34BE8" w:rsidRDefault="00C7222A" w:rsidP="00D34BE8">
            <w:pPr>
              <w:spacing w:after="0" w:line="360" w:lineRule="auto"/>
              <w:jc w:val="both"/>
              <w:rPr>
                <w:rFonts w:ascii="Book Antiqua" w:eastAsia="宋体" w:hAnsi="Book Antiqua"/>
                <w:sz w:val="20"/>
                <w:szCs w:val="20"/>
              </w:rPr>
            </w:pPr>
            <w:r w:rsidRPr="00D34BE8">
              <w:rPr>
                <w:rFonts w:ascii="Book Antiqua" w:eastAsia="宋体" w:hAnsi="Book Antiqua"/>
                <w:sz w:val="20"/>
                <w:szCs w:val="20"/>
              </w:rPr>
              <w:t>0.37</w:t>
            </w:r>
          </w:p>
        </w:tc>
      </w:tr>
      <w:tr w:rsidR="00CE008D" w:rsidRPr="00D34BE8" w:rsidTr="00CE008D">
        <w:trPr>
          <w:trHeight w:val="468"/>
          <w:jc w:val="center"/>
        </w:trPr>
        <w:tc>
          <w:tcPr>
            <w:tcW w:w="2963" w:type="dxa"/>
            <w:tcMar>
              <w:top w:w="0" w:type="dxa"/>
              <w:left w:w="57" w:type="dxa"/>
              <w:bottom w:w="0" w:type="dxa"/>
              <w:right w:w="57" w:type="dxa"/>
            </w:tcMar>
            <w:vAlign w:val="center"/>
          </w:tcPr>
          <w:p w:rsidR="00C7222A" w:rsidRPr="00D34BE8" w:rsidRDefault="00C7222A" w:rsidP="00D34BE8">
            <w:pPr>
              <w:spacing w:after="0" w:line="360" w:lineRule="auto"/>
              <w:jc w:val="both"/>
              <w:textAlignment w:val="center"/>
              <w:rPr>
                <w:rFonts w:ascii="Book Antiqua" w:eastAsia="宋体" w:hAnsi="Book Antiqua"/>
                <w:sz w:val="20"/>
                <w:szCs w:val="20"/>
              </w:rPr>
            </w:pPr>
            <w:r w:rsidRPr="00D34BE8">
              <w:rPr>
                <w:rFonts w:ascii="Book Antiqua" w:eastAsia="宋体" w:hAnsi="Book Antiqua"/>
                <w:sz w:val="20"/>
                <w:szCs w:val="20"/>
              </w:rPr>
              <w:t>Male (%)</w:t>
            </w:r>
          </w:p>
        </w:tc>
        <w:tc>
          <w:tcPr>
            <w:tcW w:w="1686" w:type="dxa"/>
            <w:tcMar>
              <w:top w:w="0" w:type="dxa"/>
              <w:left w:w="57" w:type="dxa"/>
              <w:bottom w:w="0" w:type="dxa"/>
              <w:right w:w="57" w:type="dxa"/>
            </w:tcMar>
            <w:vAlign w:val="center"/>
          </w:tcPr>
          <w:p w:rsidR="00C7222A" w:rsidRPr="00D34BE8" w:rsidRDefault="00C7222A" w:rsidP="00D34BE8">
            <w:pPr>
              <w:spacing w:after="0" w:line="360" w:lineRule="auto"/>
              <w:jc w:val="both"/>
              <w:textAlignment w:val="center"/>
              <w:rPr>
                <w:rFonts w:ascii="Book Antiqua" w:eastAsia="宋体" w:hAnsi="Book Antiqua"/>
                <w:sz w:val="20"/>
                <w:szCs w:val="20"/>
              </w:rPr>
            </w:pPr>
            <w:r w:rsidRPr="00D34BE8">
              <w:rPr>
                <w:rFonts w:ascii="Book Antiqua" w:eastAsia="宋体" w:hAnsi="Book Antiqua"/>
                <w:sz w:val="20"/>
                <w:szCs w:val="20"/>
              </w:rPr>
              <w:t>18 (58.1)</w:t>
            </w:r>
          </w:p>
        </w:tc>
        <w:tc>
          <w:tcPr>
            <w:tcW w:w="1686" w:type="dxa"/>
            <w:tcMar>
              <w:top w:w="0" w:type="dxa"/>
              <w:left w:w="57" w:type="dxa"/>
              <w:bottom w:w="0" w:type="dxa"/>
              <w:right w:w="57" w:type="dxa"/>
            </w:tcMar>
            <w:vAlign w:val="center"/>
          </w:tcPr>
          <w:p w:rsidR="00C7222A" w:rsidRPr="00D34BE8" w:rsidRDefault="00C7222A" w:rsidP="00D34BE8">
            <w:pPr>
              <w:spacing w:after="0" w:line="360" w:lineRule="auto"/>
              <w:jc w:val="both"/>
              <w:textAlignment w:val="center"/>
              <w:rPr>
                <w:rFonts w:ascii="Book Antiqua" w:eastAsia="宋体" w:hAnsi="Book Antiqua"/>
                <w:sz w:val="20"/>
                <w:szCs w:val="20"/>
              </w:rPr>
            </w:pPr>
            <w:r w:rsidRPr="00D34BE8">
              <w:rPr>
                <w:rFonts w:ascii="Book Antiqua" w:eastAsia="宋体" w:hAnsi="Book Antiqua"/>
                <w:sz w:val="20"/>
                <w:szCs w:val="20"/>
              </w:rPr>
              <w:t>10 (62.6)</w:t>
            </w:r>
          </w:p>
        </w:tc>
        <w:tc>
          <w:tcPr>
            <w:tcW w:w="1556" w:type="dxa"/>
            <w:tcMar>
              <w:top w:w="0" w:type="dxa"/>
              <w:left w:w="57" w:type="dxa"/>
              <w:bottom w:w="0" w:type="dxa"/>
              <w:right w:w="57" w:type="dxa"/>
            </w:tcMar>
            <w:vAlign w:val="center"/>
          </w:tcPr>
          <w:p w:rsidR="00C7222A" w:rsidRPr="00D34BE8" w:rsidRDefault="00C7222A" w:rsidP="00D34BE8">
            <w:pPr>
              <w:spacing w:after="0" w:line="360" w:lineRule="auto"/>
              <w:jc w:val="both"/>
              <w:textAlignment w:val="center"/>
              <w:rPr>
                <w:rFonts w:ascii="Book Antiqua" w:eastAsia="宋体" w:hAnsi="Book Antiqua"/>
                <w:sz w:val="20"/>
                <w:szCs w:val="20"/>
              </w:rPr>
            </w:pPr>
            <w:r w:rsidRPr="00D34BE8">
              <w:rPr>
                <w:rFonts w:ascii="Book Antiqua" w:eastAsia="宋体" w:hAnsi="Book Antiqua"/>
                <w:sz w:val="20"/>
                <w:szCs w:val="20"/>
              </w:rPr>
              <w:t>28 (56.0)</w:t>
            </w:r>
          </w:p>
        </w:tc>
        <w:tc>
          <w:tcPr>
            <w:tcW w:w="906" w:type="dxa"/>
            <w:tcMar>
              <w:top w:w="0" w:type="dxa"/>
              <w:left w:w="57" w:type="dxa"/>
              <w:bottom w:w="0" w:type="dxa"/>
              <w:right w:w="57" w:type="dxa"/>
            </w:tcMar>
            <w:vAlign w:val="center"/>
          </w:tcPr>
          <w:p w:rsidR="00C7222A" w:rsidRPr="00D34BE8" w:rsidRDefault="00C7222A" w:rsidP="00D34BE8">
            <w:pPr>
              <w:spacing w:after="0" w:line="360" w:lineRule="auto"/>
              <w:jc w:val="both"/>
              <w:rPr>
                <w:rFonts w:ascii="Book Antiqua" w:eastAsia="宋体" w:hAnsi="Book Antiqua"/>
                <w:sz w:val="20"/>
                <w:szCs w:val="20"/>
              </w:rPr>
            </w:pPr>
            <w:r w:rsidRPr="00D34BE8">
              <w:rPr>
                <w:rFonts w:ascii="Book Antiqua" w:eastAsia="宋体" w:hAnsi="Book Antiqua"/>
                <w:sz w:val="20"/>
                <w:szCs w:val="20"/>
              </w:rPr>
              <w:t>0.46</w:t>
            </w:r>
          </w:p>
        </w:tc>
      </w:tr>
      <w:tr w:rsidR="00CE008D" w:rsidRPr="00D34BE8" w:rsidTr="00CE008D">
        <w:trPr>
          <w:trHeight w:val="468"/>
          <w:jc w:val="center"/>
        </w:trPr>
        <w:tc>
          <w:tcPr>
            <w:tcW w:w="2963" w:type="dxa"/>
            <w:tcMar>
              <w:top w:w="0" w:type="dxa"/>
              <w:left w:w="57" w:type="dxa"/>
              <w:bottom w:w="0" w:type="dxa"/>
              <w:right w:w="57" w:type="dxa"/>
            </w:tcMar>
            <w:vAlign w:val="center"/>
          </w:tcPr>
          <w:p w:rsidR="00C7222A" w:rsidRPr="00D34BE8" w:rsidRDefault="00C7222A" w:rsidP="00D34BE8">
            <w:pPr>
              <w:spacing w:after="0" w:line="360" w:lineRule="auto"/>
              <w:jc w:val="both"/>
              <w:textAlignment w:val="center"/>
              <w:rPr>
                <w:rFonts w:ascii="Book Antiqua" w:eastAsia="宋体" w:hAnsi="Book Antiqua"/>
                <w:sz w:val="20"/>
                <w:szCs w:val="20"/>
              </w:rPr>
            </w:pPr>
            <w:r w:rsidRPr="00D34BE8">
              <w:rPr>
                <w:rFonts w:ascii="Book Antiqua" w:eastAsia="宋体" w:hAnsi="Book Antiqua"/>
                <w:sz w:val="20"/>
                <w:szCs w:val="20"/>
              </w:rPr>
              <w:t>Etiology,</w:t>
            </w:r>
            <w:r w:rsidR="00CE008D" w:rsidRPr="00D34BE8">
              <w:rPr>
                <w:rFonts w:ascii="Book Antiqua" w:eastAsia="宋体" w:hAnsi="Book Antiqua"/>
                <w:sz w:val="20"/>
                <w:szCs w:val="20"/>
              </w:rPr>
              <w:t xml:space="preserve"> </w:t>
            </w:r>
            <w:r w:rsidRPr="00D34BE8">
              <w:rPr>
                <w:rFonts w:ascii="Book Antiqua" w:eastAsia="宋体" w:hAnsi="Book Antiqua"/>
                <w:sz w:val="20"/>
                <w:szCs w:val="20"/>
              </w:rPr>
              <w:t>HBV/HCV</w:t>
            </w:r>
          </w:p>
        </w:tc>
        <w:tc>
          <w:tcPr>
            <w:tcW w:w="1686" w:type="dxa"/>
            <w:tcMar>
              <w:top w:w="0" w:type="dxa"/>
              <w:left w:w="57" w:type="dxa"/>
              <w:bottom w:w="0" w:type="dxa"/>
              <w:right w:w="57" w:type="dxa"/>
            </w:tcMar>
            <w:vAlign w:val="center"/>
          </w:tcPr>
          <w:p w:rsidR="00C7222A" w:rsidRPr="00D34BE8" w:rsidRDefault="00C7222A" w:rsidP="00D34BE8">
            <w:pPr>
              <w:spacing w:after="0" w:line="360" w:lineRule="auto"/>
              <w:jc w:val="both"/>
              <w:textAlignment w:val="center"/>
              <w:rPr>
                <w:rFonts w:ascii="Book Antiqua" w:eastAsia="宋体" w:hAnsi="Book Antiqua"/>
                <w:sz w:val="20"/>
                <w:szCs w:val="20"/>
              </w:rPr>
            </w:pPr>
            <w:r w:rsidRPr="00D34BE8">
              <w:rPr>
                <w:rFonts w:ascii="Book Antiqua" w:eastAsia="宋体" w:hAnsi="Book Antiqua"/>
                <w:sz w:val="20"/>
                <w:szCs w:val="20"/>
              </w:rPr>
              <w:t>21/10</w:t>
            </w:r>
          </w:p>
        </w:tc>
        <w:tc>
          <w:tcPr>
            <w:tcW w:w="1686" w:type="dxa"/>
            <w:tcMar>
              <w:top w:w="0" w:type="dxa"/>
              <w:left w:w="57" w:type="dxa"/>
              <w:bottom w:w="0" w:type="dxa"/>
              <w:right w:w="57" w:type="dxa"/>
            </w:tcMar>
            <w:vAlign w:val="center"/>
          </w:tcPr>
          <w:p w:rsidR="00C7222A" w:rsidRPr="00D34BE8" w:rsidRDefault="00C7222A" w:rsidP="00D34BE8">
            <w:pPr>
              <w:spacing w:after="0" w:line="360" w:lineRule="auto"/>
              <w:jc w:val="both"/>
              <w:textAlignment w:val="center"/>
              <w:rPr>
                <w:rFonts w:ascii="Book Antiqua" w:eastAsia="宋体" w:hAnsi="Book Antiqua"/>
                <w:sz w:val="20"/>
                <w:szCs w:val="20"/>
              </w:rPr>
            </w:pPr>
            <w:r w:rsidRPr="00D34BE8">
              <w:rPr>
                <w:rFonts w:ascii="Book Antiqua" w:eastAsia="宋体" w:hAnsi="Book Antiqua"/>
                <w:sz w:val="20"/>
                <w:szCs w:val="20"/>
              </w:rPr>
              <w:t>16/3</w:t>
            </w:r>
          </w:p>
        </w:tc>
        <w:tc>
          <w:tcPr>
            <w:tcW w:w="1556" w:type="dxa"/>
            <w:tcMar>
              <w:top w:w="0" w:type="dxa"/>
              <w:left w:w="57" w:type="dxa"/>
              <w:bottom w:w="0" w:type="dxa"/>
              <w:right w:w="57" w:type="dxa"/>
            </w:tcMar>
            <w:vAlign w:val="center"/>
          </w:tcPr>
          <w:p w:rsidR="00C7222A" w:rsidRPr="00D34BE8" w:rsidRDefault="00C7222A" w:rsidP="00D34BE8">
            <w:pPr>
              <w:spacing w:after="0" w:line="360" w:lineRule="auto"/>
              <w:jc w:val="both"/>
              <w:textAlignment w:val="center"/>
              <w:rPr>
                <w:rFonts w:ascii="Book Antiqua" w:eastAsia="宋体" w:hAnsi="Book Antiqua"/>
                <w:sz w:val="20"/>
                <w:szCs w:val="20"/>
              </w:rPr>
            </w:pPr>
            <w:r w:rsidRPr="00D34BE8">
              <w:rPr>
                <w:rFonts w:ascii="Book Antiqua" w:eastAsia="宋体" w:hAnsi="Book Antiqua"/>
                <w:sz w:val="20"/>
                <w:szCs w:val="20"/>
              </w:rPr>
              <w:t>37/13</w:t>
            </w:r>
          </w:p>
        </w:tc>
        <w:tc>
          <w:tcPr>
            <w:tcW w:w="906" w:type="dxa"/>
            <w:tcMar>
              <w:top w:w="0" w:type="dxa"/>
              <w:left w:w="57" w:type="dxa"/>
              <w:bottom w:w="0" w:type="dxa"/>
              <w:right w:w="57" w:type="dxa"/>
            </w:tcMar>
            <w:vAlign w:val="center"/>
          </w:tcPr>
          <w:p w:rsidR="00C7222A" w:rsidRPr="00D34BE8" w:rsidRDefault="00C7222A" w:rsidP="00D34BE8">
            <w:pPr>
              <w:spacing w:after="0" w:line="360" w:lineRule="auto"/>
              <w:jc w:val="both"/>
              <w:rPr>
                <w:rFonts w:ascii="Book Antiqua" w:eastAsia="宋体" w:hAnsi="Book Antiqua"/>
                <w:sz w:val="20"/>
                <w:szCs w:val="20"/>
              </w:rPr>
            </w:pPr>
            <w:r w:rsidRPr="00D34BE8">
              <w:rPr>
                <w:rFonts w:ascii="Book Antiqua" w:eastAsia="宋体" w:hAnsi="Book Antiqua"/>
                <w:sz w:val="20"/>
                <w:szCs w:val="20"/>
              </w:rPr>
              <w:t>0.51</w:t>
            </w:r>
          </w:p>
        </w:tc>
      </w:tr>
      <w:tr w:rsidR="00CE008D" w:rsidRPr="00D34BE8" w:rsidTr="00CE008D">
        <w:trPr>
          <w:trHeight w:val="468"/>
          <w:jc w:val="center"/>
        </w:trPr>
        <w:tc>
          <w:tcPr>
            <w:tcW w:w="2963" w:type="dxa"/>
            <w:tcMar>
              <w:top w:w="0" w:type="dxa"/>
              <w:left w:w="57" w:type="dxa"/>
              <w:bottom w:w="0" w:type="dxa"/>
              <w:right w:w="57" w:type="dxa"/>
            </w:tcMar>
            <w:vAlign w:val="center"/>
          </w:tcPr>
          <w:p w:rsidR="00C7222A" w:rsidRPr="00D34BE8" w:rsidRDefault="00C7222A" w:rsidP="00D34BE8">
            <w:pPr>
              <w:spacing w:after="0" w:line="360" w:lineRule="auto"/>
              <w:jc w:val="both"/>
              <w:textAlignment w:val="center"/>
              <w:rPr>
                <w:rFonts w:ascii="Book Antiqua" w:eastAsia="宋体" w:hAnsi="Book Antiqua"/>
                <w:sz w:val="20"/>
                <w:szCs w:val="20"/>
              </w:rPr>
            </w:pPr>
            <w:r w:rsidRPr="00D34BE8">
              <w:rPr>
                <w:rFonts w:ascii="Book Antiqua" w:eastAsia="宋体" w:hAnsi="Book Antiqua"/>
                <w:sz w:val="20"/>
                <w:szCs w:val="20"/>
              </w:rPr>
              <w:t xml:space="preserve">Course of disease </w:t>
            </w:r>
            <w:r w:rsidR="003648E7">
              <w:rPr>
                <w:rFonts w:ascii="Book Antiqua" w:eastAsia="宋体" w:hAnsi="Book Antiqua"/>
                <w:sz w:val="20"/>
                <w:szCs w:val="20"/>
              </w:rPr>
              <w:t xml:space="preserve">in </w:t>
            </w:r>
            <w:r w:rsidRPr="00D34BE8">
              <w:rPr>
                <w:rFonts w:ascii="Book Antiqua" w:eastAsia="宋体" w:hAnsi="Book Antiqua"/>
                <w:sz w:val="20"/>
                <w:szCs w:val="20"/>
              </w:rPr>
              <w:t>mo</w:t>
            </w:r>
          </w:p>
        </w:tc>
        <w:tc>
          <w:tcPr>
            <w:tcW w:w="1686" w:type="dxa"/>
            <w:tcMar>
              <w:top w:w="0" w:type="dxa"/>
              <w:left w:w="57" w:type="dxa"/>
              <w:bottom w:w="0" w:type="dxa"/>
              <w:right w:w="57" w:type="dxa"/>
            </w:tcMar>
            <w:vAlign w:val="center"/>
          </w:tcPr>
          <w:p w:rsidR="00C7222A" w:rsidRPr="00D34BE8" w:rsidRDefault="00C7222A" w:rsidP="00D34BE8">
            <w:pPr>
              <w:spacing w:after="0" w:line="360" w:lineRule="auto"/>
              <w:jc w:val="both"/>
              <w:textAlignment w:val="center"/>
              <w:rPr>
                <w:rFonts w:ascii="Book Antiqua" w:eastAsia="宋体" w:hAnsi="Book Antiqua"/>
                <w:sz w:val="20"/>
                <w:szCs w:val="20"/>
              </w:rPr>
            </w:pPr>
            <w:r w:rsidRPr="00D34BE8">
              <w:rPr>
                <w:rFonts w:ascii="Book Antiqua" w:eastAsia="宋体" w:hAnsi="Book Antiqua"/>
                <w:sz w:val="20"/>
                <w:szCs w:val="20"/>
              </w:rPr>
              <w:t>47.6</w:t>
            </w:r>
            <w:r w:rsidR="00CE008D" w:rsidRPr="00D34BE8">
              <w:rPr>
                <w:rFonts w:ascii="Book Antiqua" w:eastAsia="宋体" w:hAnsi="Book Antiqua"/>
                <w:sz w:val="20"/>
                <w:szCs w:val="20"/>
              </w:rPr>
              <w:t xml:space="preserve"> </w:t>
            </w:r>
            <w:r w:rsidRPr="00D34BE8">
              <w:rPr>
                <w:rFonts w:ascii="Book Antiqua" w:eastAsia="宋体" w:hAnsi="Book Antiqua"/>
                <w:sz w:val="20"/>
                <w:szCs w:val="20"/>
              </w:rPr>
              <w:t>±</w:t>
            </w:r>
            <w:r w:rsidR="00CE008D" w:rsidRPr="00D34BE8">
              <w:rPr>
                <w:rFonts w:ascii="Book Antiqua" w:eastAsia="宋体" w:hAnsi="Book Antiqua"/>
                <w:sz w:val="20"/>
                <w:szCs w:val="20"/>
              </w:rPr>
              <w:t xml:space="preserve"> </w:t>
            </w:r>
            <w:r w:rsidRPr="00D34BE8">
              <w:rPr>
                <w:rFonts w:ascii="Book Antiqua" w:eastAsia="宋体" w:hAnsi="Book Antiqua"/>
                <w:sz w:val="20"/>
                <w:szCs w:val="20"/>
              </w:rPr>
              <w:t>11.3</w:t>
            </w:r>
          </w:p>
        </w:tc>
        <w:tc>
          <w:tcPr>
            <w:tcW w:w="1686" w:type="dxa"/>
            <w:tcMar>
              <w:top w:w="0" w:type="dxa"/>
              <w:left w:w="57" w:type="dxa"/>
              <w:bottom w:w="0" w:type="dxa"/>
              <w:right w:w="57" w:type="dxa"/>
            </w:tcMar>
            <w:vAlign w:val="center"/>
          </w:tcPr>
          <w:p w:rsidR="00C7222A" w:rsidRPr="00D34BE8" w:rsidRDefault="00C7222A" w:rsidP="00D34BE8">
            <w:pPr>
              <w:spacing w:after="0" w:line="360" w:lineRule="auto"/>
              <w:jc w:val="both"/>
              <w:textAlignment w:val="center"/>
              <w:rPr>
                <w:rFonts w:ascii="Book Antiqua" w:eastAsia="宋体" w:hAnsi="Book Antiqua"/>
                <w:sz w:val="20"/>
                <w:szCs w:val="20"/>
              </w:rPr>
            </w:pPr>
            <w:r w:rsidRPr="00D34BE8">
              <w:rPr>
                <w:rFonts w:ascii="Book Antiqua" w:eastAsia="宋体" w:hAnsi="Book Antiqua"/>
                <w:sz w:val="20"/>
                <w:szCs w:val="20"/>
              </w:rPr>
              <w:t>45.8</w:t>
            </w:r>
            <w:r w:rsidR="00CE008D" w:rsidRPr="00D34BE8">
              <w:rPr>
                <w:rFonts w:ascii="Book Antiqua" w:eastAsia="宋体" w:hAnsi="Book Antiqua"/>
                <w:sz w:val="20"/>
                <w:szCs w:val="20"/>
              </w:rPr>
              <w:t xml:space="preserve"> </w:t>
            </w:r>
            <w:r w:rsidRPr="00D34BE8">
              <w:rPr>
                <w:rFonts w:ascii="Book Antiqua" w:eastAsia="宋体" w:hAnsi="Book Antiqua"/>
                <w:sz w:val="20"/>
                <w:szCs w:val="20"/>
              </w:rPr>
              <w:t>±</w:t>
            </w:r>
            <w:r w:rsidR="00CE008D" w:rsidRPr="00D34BE8">
              <w:rPr>
                <w:rFonts w:ascii="Book Antiqua" w:eastAsia="宋体" w:hAnsi="Book Antiqua"/>
                <w:sz w:val="20"/>
                <w:szCs w:val="20"/>
              </w:rPr>
              <w:t xml:space="preserve"> </w:t>
            </w:r>
            <w:r w:rsidRPr="00D34BE8">
              <w:rPr>
                <w:rFonts w:ascii="Book Antiqua" w:eastAsia="宋体" w:hAnsi="Book Antiqua"/>
                <w:sz w:val="20"/>
                <w:szCs w:val="20"/>
              </w:rPr>
              <w:t>12.1</w:t>
            </w:r>
          </w:p>
        </w:tc>
        <w:tc>
          <w:tcPr>
            <w:tcW w:w="1556" w:type="dxa"/>
            <w:tcMar>
              <w:top w:w="0" w:type="dxa"/>
              <w:left w:w="57" w:type="dxa"/>
              <w:bottom w:w="0" w:type="dxa"/>
              <w:right w:w="57" w:type="dxa"/>
            </w:tcMar>
            <w:vAlign w:val="center"/>
          </w:tcPr>
          <w:p w:rsidR="00C7222A" w:rsidRPr="00D34BE8" w:rsidRDefault="00C7222A" w:rsidP="00D34BE8">
            <w:pPr>
              <w:spacing w:after="0" w:line="360" w:lineRule="auto"/>
              <w:jc w:val="both"/>
              <w:textAlignment w:val="center"/>
              <w:rPr>
                <w:rFonts w:ascii="Book Antiqua" w:eastAsia="宋体" w:hAnsi="Book Antiqua"/>
                <w:sz w:val="20"/>
                <w:szCs w:val="20"/>
              </w:rPr>
            </w:pPr>
            <w:r w:rsidRPr="00D34BE8">
              <w:rPr>
                <w:rFonts w:ascii="Book Antiqua" w:eastAsia="宋体" w:hAnsi="Book Antiqua"/>
                <w:sz w:val="20"/>
                <w:szCs w:val="20"/>
              </w:rPr>
              <w:t>46.9</w:t>
            </w:r>
            <w:r w:rsidR="00CE008D" w:rsidRPr="00D34BE8">
              <w:rPr>
                <w:rFonts w:ascii="Book Antiqua" w:eastAsia="宋体" w:hAnsi="Book Antiqua"/>
                <w:sz w:val="20"/>
                <w:szCs w:val="20"/>
              </w:rPr>
              <w:t xml:space="preserve"> </w:t>
            </w:r>
            <w:r w:rsidRPr="00D34BE8">
              <w:rPr>
                <w:rFonts w:ascii="Book Antiqua" w:eastAsia="宋体" w:hAnsi="Book Antiqua"/>
                <w:sz w:val="20"/>
                <w:szCs w:val="20"/>
              </w:rPr>
              <w:t>±</w:t>
            </w:r>
            <w:r w:rsidR="00CE008D" w:rsidRPr="00D34BE8">
              <w:rPr>
                <w:rFonts w:ascii="Book Antiqua" w:eastAsia="宋体" w:hAnsi="Book Antiqua"/>
                <w:sz w:val="20"/>
                <w:szCs w:val="20"/>
              </w:rPr>
              <w:t xml:space="preserve"> </w:t>
            </w:r>
            <w:r w:rsidRPr="00D34BE8">
              <w:rPr>
                <w:rFonts w:ascii="Book Antiqua" w:eastAsia="宋体" w:hAnsi="Book Antiqua"/>
                <w:sz w:val="20"/>
                <w:szCs w:val="20"/>
              </w:rPr>
              <w:t>10.9</w:t>
            </w:r>
          </w:p>
        </w:tc>
        <w:tc>
          <w:tcPr>
            <w:tcW w:w="906" w:type="dxa"/>
            <w:tcMar>
              <w:top w:w="0" w:type="dxa"/>
              <w:left w:w="57" w:type="dxa"/>
              <w:bottom w:w="0" w:type="dxa"/>
              <w:right w:w="57" w:type="dxa"/>
            </w:tcMar>
            <w:vAlign w:val="center"/>
          </w:tcPr>
          <w:p w:rsidR="00C7222A" w:rsidRPr="00D34BE8" w:rsidRDefault="00C7222A" w:rsidP="00D34BE8">
            <w:pPr>
              <w:spacing w:after="0" w:line="360" w:lineRule="auto"/>
              <w:jc w:val="both"/>
              <w:rPr>
                <w:rFonts w:ascii="Book Antiqua" w:eastAsia="宋体" w:hAnsi="Book Antiqua"/>
                <w:sz w:val="20"/>
                <w:szCs w:val="20"/>
              </w:rPr>
            </w:pPr>
            <w:r w:rsidRPr="00D34BE8">
              <w:rPr>
                <w:rFonts w:ascii="Book Antiqua" w:eastAsia="宋体" w:hAnsi="Book Antiqua"/>
                <w:sz w:val="20"/>
                <w:szCs w:val="20"/>
              </w:rPr>
              <w:t>0.43</w:t>
            </w:r>
          </w:p>
        </w:tc>
      </w:tr>
      <w:tr w:rsidR="00CE008D" w:rsidRPr="00D34BE8" w:rsidTr="00CE008D">
        <w:trPr>
          <w:trHeight w:val="468"/>
          <w:jc w:val="center"/>
        </w:trPr>
        <w:tc>
          <w:tcPr>
            <w:tcW w:w="2963" w:type="dxa"/>
            <w:tcBorders>
              <w:top w:val="nil"/>
              <w:left w:val="nil"/>
              <w:bottom w:val="nil"/>
              <w:right w:val="nil"/>
            </w:tcBorders>
            <w:tcMar>
              <w:top w:w="0" w:type="dxa"/>
              <w:left w:w="57" w:type="dxa"/>
              <w:bottom w:w="0" w:type="dxa"/>
              <w:right w:w="57" w:type="dxa"/>
            </w:tcMar>
            <w:vAlign w:val="center"/>
          </w:tcPr>
          <w:p w:rsidR="00C7222A" w:rsidRPr="00D34BE8" w:rsidRDefault="00C7222A" w:rsidP="00D34BE8">
            <w:pPr>
              <w:spacing w:after="0" w:line="360" w:lineRule="auto"/>
              <w:jc w:val="both"/>
              <w:textAlignment w:val="center"/>
              <w:rPr>
                <w:rStyle w:val="font41"/>
                <w:rFonts w:ascii="Book Antiqua" w:eastAsia="宋体" w:hAnsi="Book Antiqua"/>
                <w:color w:val="auto"/>
                <w:sz w:val="20"/>
                <w:szCs w:val="20"/>
              </w:rPr>
            </w:pPr>
            <w:r w:rsidRPr="00D34BE8">
              <w:rPr>
                <w:rFonts w:ascii="Book Antiqua" w:eastAsia="宋体" w:hAnsi="Book Antiqua"/>
                <w:sz w:val="20"/>
                <w:szCs w:val="20"/>
              </w:rPr>
              <w:t>Child-Pugh class, A/B/C</w:t>
            </w:r>
          </w:p>
        </w:tc>
        <w:tc>
          <w:tcPr>
            <w:tcW w:w="1686" w:type="dxa"/>
            <w:tcBorders>
              <w:top w:val="nil"/>
              <w:left w:val="nil"/>
              <w:bottom w:val="nil"/>
              <w:right w:val="nil"/>
            </w:tcBorders>
            <w:tcMar>
              <w:top w:w="0" w:type="dxa"/>
              <w:left w:w="57" w:type="dxa"/>
              <w:bottom w:w="0" w:type="dxa"/>
              <w:right w:w="57" w:type="dxa"/>
            </w:tcMar>
            <w:vAlign w:val="center"/>
          </w:tcPr>
          <w:p w:rsidR="00C7222A" w:rsidRPr="00D34BE8" w:rsidRDefault="00C7222A" w:rsidP="00D34BE8">
            <w:pPr>
              <w:spacing w:after="0" w:line="360" w:lineRule="auto"/>
              <w:jc w:val="both"/>
              <w:textAlignment w:val="center"/>
              <w:rPr>
                <w:rFonts w:ascii="Book Antiqua" w:eastAsia="宋体" w:hAnsi="Book Antiqua"/>
                <w:sz w:val="20"/>
                <w:szCs w:val="20"/>
              </w:rPr>
            </w:pPr>
            <w:r w:rsidRPr="00D34BE8">
              <w:rPr>
                <w:rFonts w:ascii="Book Antiqua" w:eastAsia="宋体" w:hAnsi="Book Antiqua"/>
                <w:sz w:val="20"/>
                <w:szCs w:val="20"/>
              </w:rPr>
              <w:t>11/18/2</w:t>
            </w:r>
          </w:p>
        </w:tc>
        <w:tc>
          <w:tcPr>
            <w:tcW w:w="1686" w:type="dxa"/>
            <w:tcBorders>
              <w:top w:val="nil"/>
              <w:left w:val="nil"/>
              <w:bottom w:val="nil"/>
              <w:right w:val="nil"/>
            </w:tcBorders>
            <w:tcMar>
              <w:top w:w="0" w:type="dxa"/>
              <w:left w:w="57" w:type="dxa"/>
              <w:bottom w:w="0" w:type="dxa"/>
              <w:right w:w="57" w:type="dxa"/>
            </w:tcMar>
            <w:vAlign w:val="center"/>
          </w:tcPr>
          <w:p w:rsidR="00C7222A" w:rsidRPr="00D34BE8" w:rsidRDefault="00C7222A" w:rsidP="00D34BE8">
            <w:pPr>
              <w:spacing w:after="0" w:line="360" w:lineRule="auto"/>
              <w:jc w:val="both"/>
              <w:textAlignment w:val="center"/>
              <w:rPr>
                <w:rFonts w:ascii="Book Antiqua" w:eastAsia="宋体" w:hAnsi="Book Antiqua"/>
                <w:sz w:val="20"/>
                <w:szCs w:val="20"/>
              </w:rPr>
            </w:pPr>
            <w:r w:rsidRPr="00D34BE8">
              <w:rPr>
                <w:rFonts w:ascii="Book Antiqua" w:eastAsia="宋体" w:hAnsi="Book Antiqua"/>
                <w:sz w:val="20"/>
                <w:szCs w:val="20"/>
              </w:rPr>
              <w:t>7/12/0</w:t>
            </w:r>
          </w:p>
        </w:tc>
        <w:tc>
          <w:tcPr>
            <w:tcW w:w="1556" w:type="dxa"/>
            <w:tcBorders>
              <w:top w:val="nil"/>
              <w:left w:val="nil"/>
              <w:bottom w:val="nil"/>
              <w:right w:val="nil"/>
            </w:tcBorders>
            <w:tcMar>
              <w:top w:w="0" w:type="dxa"/>
              <w:left w:w="57" w:type="dxa"/>
              <w:bottom w:w="0" w:type="dxa"/>
              <w:right w:w="57" w:type="dxa"/>
            </w:tcMar>
            <w:vAlign w:val="center"/>
          </w:tcPr>
          <w:p w:rsidR="00C7222A" w:rsidRPr="00D34BE8" w:rsidRDefault="00C7222A" w:rsidP="00D34BE8">
            <w:pPr>
              <w:spacing w:after="0" w:line="360" w:lineRule="auto"/>
              <w:jc w:val="both"/>
              <w:textAlignment w:val="center"/>
              <w:rPr>
                <w:rFonts w:ascii="Book Antiqua" w:eastAsia="宋体" w:hAnsi="Book Antiqua"/>
                <w:sz w:val="20"/>
                <w:szCs w:val="20"/>
              </w:rPr>
            </w:pPr>
            <w:r w:rsidRPr="00D34BE8">
              <w:rPr>
                <w:rFonts w:ascii="Book Antiqua" w:eastAsia="宋体" w:hAnsi="Book Antiqua"/>
                <w:sz w:val="20"/>
                <w:szCs w:val="20"/>
              </w:rPr>
              <w:t>18/30/2</w:t>
            </w:r>
          </w:p>
        </w:tc>
        <w:tc>
          <w:tcPr>
            <w:tcW w:w="906" w:type="dxa"/>
            <w:tcBorders>
              <w:top w:val="nil"/>
              <w:left w:val="nil"/>
              <w:bottom w:val="nil"/>
              <w:right w:val="nil"/>
            </w:tcBorders>
            <w:tcMar>
              <w:top w:w="0" w:type="dxa"/>
              <w:left w:w="57" w:type="dxa"/>
              <w:bottom w:w="0" w:type="dxa"/>
              <w:right w:w="57" w:type="dxa"/>
            </w:tcMar>
            <w:vAlign w:val="center"/>
          </w:tcPr>
          <w:p w:rsidR="00C7222A" w:rsidRPr="00D34BE8" w:rsidRDefault="009A7541" w:rsidP="00D34BE8">
            <w:pPr>
              <w:spacing w:after="0" w:line="360" w:lineRule="auto"/>
              <w:jc w:val="both"/>
              <w:rPr>
                <w:rFonts w:ascii="Book Antiqua" w:eastAsia="宋体" w:hAnsi="Book Antiqua"/>
                <w:sz w:val="20"/>
                <w:szCs w:val="20"/>
              </w:rPr>
            </w:pPr>
            <w:r w:rsidRPr="00D34BE8">
              <w:rPr>
                <w:rFonts w:ascii="Book Antiqua" w:eastAsia="宋体" w:hAnsi="Book Antiqua"/>
                <w:sz w:val="20"/>
                <w:szCs w:val="20"/>
              </w:rPr>
              <w:t>&lt;</w:t>
            </w:r>
            <w:r w:rsidR="00CE008D" w:rsidRPr="00D34BE8">
              <w:rPr>
                <w:rFonts w:ascii="Book Antiqua" w:eastAsia="宋体" w:hAnsi="Book Antiqua"/>
                <w:sz w:val="20"/>
                <w:szCs w:val="20"/>
              </w:rPr>
              <w:t xml:space="preserve"> </w:t>
            </w:r>
            <w:r w:rsidR="00C7222A" w:rsidRPr="00D34BE8">
              <w:rPr>
                <w:rFonts w:ascii="Book Antiqua" w:eastAsia="宋体" w:hAnsi="Book Antiqua"/>
                <w:sz w:val="20"/>
                <w:szCs w:val="20"/>
              </w:rPr>
              <w:t>0.05</w:t>
            </w:r>
          </w:p>
        </w:tc>
      </w:tr>
      <w:tr w:rsidR="00CE008D" w:rsidRPr="00D34BE8" w:rsidTr="00CE008D">
        <w:trPr>
          <w:trHeight w:val="468"/>
          <w:jc w:val="center"/>
        </w:trPr>
        <w:tc>
          <w:tcPr>
            <w:tcW w:w="2963" w:type="dxa"/>
            <w:tcBorders>
              <w:top w:val="nil"/>
              <w:left w:val="nil"/>
              <w:bottom w:val="nil"/>
              <w:right w:val="nil"/>
            </w:tcBorders>
            <w:tcMar>
              <w:top w:w="0" w:type="dxa"/>
              <w:left w:w="57" w:type="dxa"/>
              <w:bottom w:w="0" w:type="dxa"/>
              <w:right w:w="57" w:type="dxa"/>
            </w:tcMar>
            <w:vAlign w:val="center"/>
          </w:tcPr>
          <w:p w:rsidR="00C7222A" w:rsidRPr="00D34BE8" w:rsidRDefault="00CE008D" w:rsidP="00D34BE8">
            <w:pPr>
              <w:spacing w:after="0" w:line="360" w:lineRule="auto"/>
              <w:jc w:val="both"/>
              <w:textAlignment w:val="center"/>
              <w:rPr>
                <w:rFonts w:ascii="Book Antiqua" w:eastAsia="宋体" w:hAnsi="Book Antiqua"/>
                <w:sz w:val="20"/>
                <w:szCs w:val="20"/>
              </w:rPr>
            </w:pPr>
            <w:r w:rsidRPr="00D34BE8">
              <w:rPr>
                <w:rFonts w:ascii="Book Antiqua" w:eastAsia="宋体" w:hAnsi="Book Antiqua"/>
                <w:sz w:val="20"/>
                <w:szCs w:val="20"/>
              </w:rPr>
              <w:t xml:space="preserve">Diameter </w:t>
            </w:r>
            <w:r w:rsidR="00C7222A" w:rsidRPr="00D34BE8">
              <w:rPr>
                <w:rFonts w:ascii="Book Antiqua" w:eastAsia="宋体" w:hAnsi="Book Antiqua"/>
                <w:sz w:val="20"/>
                <w:szCs w:val="20"/>
              </w:rPr>
              <w:t xml:space="preserve">of EVs </w:t>
            </w:r>
            <w:r w:rsidR="003648E7">
              <w:rPr>
                <w:rFonts w:ascii="Book Antiqua" w:eastAsia="宋体" w:hAnsi="Book Antiqua"/>
                <w:sz w:val="20"/>
                <w:szCs w:val="20"/>
              </w:rPr>
              <w:t xml:space="preserve">in </w:t>
            </w:r>
            <w:r w:rsidR="00C7222A" w:rsidRPr="00D34BE8">
              <w:rPr>
                <w:rFonts w:ascii="Book Antiqua" w:eastAsia="宋体" w:hAnsi="Book Antiqua"/>
                <w:sz w:val="20"/>
                <w:szCs w:val="20"/>
              </w:rPr>
              <w:t>mm</w:t>
            </w:r>
          </w:p>
        </w:tc>
        <w:tc>
          <w:tcPr>
            <w:tcW w:w="1686" w:type="dxa"/>
            <w:tcBorders>
              <w:top w:val="nil"/>
              <w:left w:val="nil"/>
              <w:bottom w:val="nil"/>
              <w:right w:val="nil"/>
            </w:tcBorders>
            <w:tcMar>
              <w:top w:w="0" w:type="dxa"/>
              <w:left w:w="57" w:type="dxa"/>
              <w:bottom w:w="0" w:type="dxa"/>
              <w:right w:w="57" w:type="dxa"/>
            </w:tcMar>
            <w:vAlign w:val="center"/>
          </w:tcPr>
          <w:p w:rsidR="00C7222A" w:rsidRPr="00D34BE8" w:rsidRDefault="00C7222A" w:rsidP="00D34BE8">
            <w:pPr>
              <w:spacing w:after="0" w:line="360" w:lineRule="auto"/>
              <w:jc w:val="both"/>
              <w:textAlignment w:val="center"/>
              <w:rPr>
                <w:rFonts w:ascii="Book Antiqua" w:eastAsia="宋体" w:hAnsi="Book Antiqua"/>
                <w:sz w:val="20"/>
                <w:szCs w:val="20"/>
              </w:rPr>
            </w:pPr>
            <w:r w:rsidRPr="00D34BE8">
              <w:rPr>
                <w:rFonts w:ascii="Book Antiqua" w:eastAsia="宋体" w:hAnsi="Book Antiqua"/>
                <w:sz w:val="20"/>
                <w:szCs w:val="20"/>
              </w:rPr>
              <w:t>0.8 ±</w:t>
            </w:r>
            <w:r w:rsidR="00CE008D" w:rsidRPr="00D34BE8">
              <w:rPr>
                <w:rFonts w:ascii="Book Antiqua" w:eastAsia="宋体" w:hAnsi="Book Antiqua"/>
                <w:sz w:val="20"/>
                <w:szCs w:val="20"/>
              </w:rPr>
              <w:t xml:space="preserve"> </w:t>
            </w:r>
            <w:r w:rsidRPr="00D34BE8">
              <w:rPr>
                <w:rFonts w:ascii="Book Antiqua" w:eastAsia="宋体" w:hAnsi="Book Antiqua"/>
                <w:sz w:val="20"/>
                <w:szCs w:val="20"/>
              </w:rPr>
              <w:t>0.1</w:t>
            </w:r>
          </w:p>
        </w:tc>
        <w:tc>
          <w:tcPr>
            <w:tcW w:w="1686" w:type="dxa"/>
            <w:tcBorders>
              <w:top w:val="nil"/>
              <w:left w:val="nil"/>
              <w:bottom w:val="nil"/>
              <w:right w:val="nil"/>
            </w:tcBorders>
            <w:tcMar>
              <w:top w:w="0" w:type="dxa"/>
              <w:left w:w="57" w:type="dxa"/>
              <w:bottom w:w="0" w:type="dxa"/>
              <w:right w:w="57" w:type="dxa"/>
            </w:tcMar>
            <w:vAlign w:val="center"/>
          </w:tcPr>
          <w:p w:rsidR="00C7222A" w:rsidRPr="00D34BE8" w:rsidRDefault="00C7222A" w:rsidP="00D34BE8">
            <w:pPr>
              <w:spacing w:after="0" w:line="360" w:lineRule="auto"/>
              <w:jc w:val="both"/>
              <w:textAlignment w:val="center"/>
              <w:rPr>
                <w:rFonts w:ascii="Book Antiqua" w:eastAsia="宋体" w:hAnsi="Book Antiqua"/>
                <w:sz w:val="20"/>
                <w:szCs w:val="20"/>
              </w:rPr>
            </w:pPr>
            <w:r w:rsidRPr="00D34BE8">
              <w:rPr>
                <w:rFonts w:ascii="Book Antiqua" w:eastAsia="宋体" w:hAnsi="Book Antiqua"/>
                <w:sz w:val="20"/>
                <w:szCs w:val="20"/>
              </w:rPr>
              <w:t>0.4 ± 0.1</w:t>
            </w:r>
          </w:p>
        </w:tc>
        <w:tc>
          <w:tcPr>
            <w:tcW w:w="1556" w:type="dxa"/>
            <w:tcBorders>
              <w:top w:val="nil"/>
              <w:left w:val="nil"/>
              <w:bottom w:val="nil"/>
              <w:right w:val="nil"/>
            </w:tcBorders>
            <w:tcMar>
              <w:top w:w="0" w:type="dxa"/>
              <w:left w:w="57" w:type="dxa"/>
              <w:bottom w:w="0" w:type="dxa"/>
              <w:right w:w="57" w:type="dxa"/>
            </w:tcMar>
            <w:vAlign w:val="center"/>
          </w:tcPr>
          <w:p w:rsidR="00C7222A" w:rsidRPr="00D34BE8" w:rsidRDefault="00C7222A" w:rsidP="00D34BE8">
            <w:pPr>
              <w:spacing w:after="0" w:line="360" w:lineRule="auto"/>
              <w:jc w:val="both"/>
              <w:textAlignment w:val="center"/>
              <w:rPr>
                <w:rFonts w:ascii="Book Antiqua" w:eastAsia="宋体" w:hAnsi="Book Antiqua"/>
                <w:sz w:val="20"/>
                <w:szCs w:val="20"/>
              </w:rPr>
            </w:pPr>
            <w:r w:rsidRPr="00D34BE8">
              <w:rPr>
                <w:rFonts w:ascii="Book Antiqua" w:eastAsia="宋体" w:hAnsi="Book Antiqua"/>
                <w:sz w:val="20"/>
                <w:szCs w:val="20"/>
              </w:rPr>
              <w:t>0.6 ±</w:t>
            </w:r>
            <w:r w:rsidR="00CE008D" w:rsidRPr="00D34BE8">
              <w:rPr>
                <w:rFonts w:ascii="Book Antiqua" w:eastAsia="宋体" w:hAnsi="Book Antiqua"/>
                <w:sz w:val="20"/>
                <w:szCs w:val="20"/>
              </w:rPr>
              <w:t xml:space="preserve"> </w:t>
            </w:r>
            <w:r w:rsidRPr="00D34BE8">
              <w:rPr>
                <w:rFonts w:ascii="Book Antiqua" w:eastAsia="宋体" w:hAnsi="Book Antiqua"/>
                <w:sz w:val="20"/>
                <w:szCs w:val="20"/>
              </w:rPr>
              <w:t>0.2</w:t>
            </w:r>
          </w:p>
        </w:tc>
        <w:tc>
          <w:tcPr>
            <w:tcW w:w="906" w:type="dxa"/>
            <w:tcBorders>
              <w:top w:val="nil"/>
              <w:left w:val="nil"/>
              <w:bottom w:val="nil"/>
              <w:right w:val="nil"/>
            </w:tcBorders>
            <w:tcMar>
              <w:top w:w="0" w:type="dxa"/>
              <w:left w:w="57" w:type="dxa"/>
              <w:bottom w:w="0" w:type="dxa"/>
              <w:right w:w="57" w:type="dxa"/>
            </w:tcMar>
            <w:vAlign w:val="center"/>
          </w:tcPr>
          <w:p w:rsidR="00C7222A" w:rsidRPr="00D34BE8" w:rsidRDefault="009A7541" w:rsidP="00D34BE8">
            <w:pPr>
              <w:spacing w:after="0" w:line="360" w:lineRule="auto"/>
              <w:jc w:val="both"/>
              <w:rPr>
                <w:rFonts w:ascii="Book Antiqua" w:eastAsia="宋体" w:hAnsi="Book Antiqua"/>
                <w:sz w:val="20"/>
                <w:szCs w:val="20"/>
              </w:rPr>
            </w:pPr>
            <w:r w:rsidRPr="00D34BE8">
              <w:rPr>
                <w:rFonts w:ascii="Book Antiqua" w:eastAsia="宋体" w:hAnsi="Book Antiqua"/>
                <w:sz w:val="20"/>
                <w:szCs w:val="20"/>
              </w:rPr>
              <w:t>&lt;</w:t>
            </w:r>
            <w:r w:rsidR="00CE008D" w:rsidRPr="00D34BE8">
              <w:rPr>
                <w:rFonts w:ascii="Book Antiqua" w:eastAsia="宋体" w:hAnsi="Book Antiqua"/>
                <w:sz w:val="20"/>
                <w:szCs w:val="20"/>
              </w:rPr>
              <w:t xml:space="preserve"> </w:t>
            </w:r>
            <w:r w:rsidR="00C7222A" w:rsidRPr="00D34BE8">
              <w:rPr>
                <w:rFonts w:ascii="Book Antiqua" w:eastAsia="宋体" w:hAnsi="Book Antiqua"/>
                <w:sz w:val="20"/>
                <w:szCs w:val="20"/>
              </w:rPr>
              <w:t>0.01</w:t>
            </w:r>
          </w:p>
        </w:tc>
      </w:tr>
      <w:tr w:rsidR="00CE008D" w:rsidRPr="00D34BE8" w:rsidTr="00CE008D">
        <w:trPr>
          <w:trHeight w:val="315"/>
          <w:jc w:val="center"/>
        </w:trPr>
        <w:tc>
          <w:tcPr>
            <w:tcW w:w="2963" w:type="dxa"/>
            <w:tcBorders>
              <w:top w:val="nil"/>
              <w:left w:val="nil"/>
              <w:bottom w:val="single" w:sz="4" w:space="0" w:color="auto"/>
              <w:right w:val="nil"/>
            </w:tcBorders>
            <w:tcMar>
              <w:top w:w="0" w:type="dxa"/>
              <w:left w:w="57" w:type="dxa"/>
              <w:bottom w:w="0" w:type="dxa"/>
              <w:right w:w="57" w:type="dxa"/>
            </w:tcMar>
            <w:vAlign w:val="center"/>
          </w:tcPr>
          <w:p w:rsidR="00C7222A" w:rsidRPr="00D34BE8" w:rsidRDefault="00C7222A" w:rsidP="00D34BE8">
            <w:pPr>
              <w:spacing w:after="0" w:line="360" w:lineRule="auto"/>
              <w:jc w:val="both"/>
              <w:textAlignment w:val="center"/>
              <w:rPr>
                <w:rFonts w:ascii="Book Antiqua" w:eastAsia="宋体" w:hAnsi="Book Antiqua"/>
                <w:sz w:val="20"/>
                <w:szCs w:val="20"/>
              </w:rPr>
            </w:pPr>
            <w:r w:rsidRPr="00D34BE8">
              <w:rPr>
                <w:rFonts w:ascii="Book Antiqua" w:eastAsia="宋体" w:hAnsi="Book Antiqua"/>
                <w:sz w:val="20"/>
                <w:szCs w:val="20"/>
              </w:rPr>
              <w:t xml:space="preserve">Red </w:t>
            </w:r>
            <w:r w:rsidR="00CE008D" w:rsidRPr="00D34BE8">
              <w:rPr>
                <w:rFonts w:ascii="Book Antiqua" w:eastAsia="宋体" w:hAnsi="Book Antiqua"/>
                <w:sz w:val="20"/>
                <w:szCs w:val="20"/>
              </w:rPr>
              <w:t>sign</w:t>
            </w:r>
          </w:p>
        </w:tc>
        <w:tc>
          <w:tcPr>
            <w:tcW w:w="1686" w:type="dxa"/>
            <w:tcBorders>
              <w:top w:val="nil"/>
              <w:left w:val="nil"/>
              <w:bottom w:val="single" w:sz="4" w:space="0" w:color="auto"/>
              <w:right w:val="nil"/>
            </w:tcBorders>
            <w:tcMar>
              <w:top w:w="0" w:type="dxa"/>
              <w:left w:w="57" w:type="dxa"/>
              <w:bottom w:w="0" w:type="dxa"/>
              <w:right w:w="57" w:type="dxa"/>
            </w:tcMar>
            <w:vAlign w:val="center"/>
          </w:tcPr>
          <w:p w:rsidR="00C7222A" w:rsidRPr="00D34BE8" w:rsidRDefault="00C7222A" w:rsidP="00D34BE8">
            <w:pPr>
              <w:spacing w:after="0" w:line="360" w:lineRule="auto"/>
              <w:jc w:val="both"/>
              <w:textAlignment w:val="center"/>
              <w:rPr>
                <w:rFonts w:ascii="Book Antiqua" w:eastAsia="宋体" w:hAnsi="Book Antiqua"/>
                <w:sz w:val="20"/>
                <w:szCs w:val="20"/>
              </w:rPr>
            </w:pPr>
            <w:r w:rsidRPr="00D34BE8">
              <w:rPr>
                <w:rFonts w:ascii="Book Antiqua" w:eastAsia="宋体" w:hAnsi="Book Antiqua"/>
                <w:sz w:val="20"/>
                <w:szCs w:val="20"/>
              </w:rPr>
              <w:t>11</w:t>
            </w:r>
          </w:p>
        </w:tc>
        <w:tc>
          <w:tcPr>
            <w:tcW w:w="1686" w:type="dxa"/>
            <w:tcBorders>
              <w:top w:val="nil"/>
              <w:left w:val="nil"/>
              <w:bottom w:val="single" w:sz="4" w:space="0" w:color="auto"/>
              <w:right w:val="nil"/>
            </w:tcBorders>
            <w:tcMar>
              <w:top w:w="0" w:type="dxa"/>
              <w:left w:w="57" w:type="dxa"/>
              <w:bottom w:w="0" w:type="dxa"/>
              <w:right w:w="57" w:type="dxa"/>
            </w:tcMar>
            <w:vAlign w:val="center"/>
          </w:tcPr>
          <w:p w:rsidR="00C7222A" w:rsidRPr="00D34BE8" w:rsidRDefault="00C7222A" w:rsidP="00D34BE8">
            <w:pPr>
              <w:spacing w:after="0" w:line="360" w:lineRule="auto"/>
              <w:jc w:val="both"/>
              <w:textAlignment w:val="center"/>
              <w:rPr>
                <w:rFonts w:ascii="Book Antiqua" w:eastAsia="宋体" w:hAnsi="Book Antiqua"/>
                <w:sz w:val="20"/>
                <w:szCs w:val="20"/>
              </w:rPr>
            </w:pPr>
            <w:r w:rsidRPr="00D34BE8">
              <w:rPr>
                <w:rFonts w:ascii="Book Antiqua" w:eastAsia="宋体" w:hAnsi="Book Antiqua"/>
                <w:sz w:val="20"/>
                <w:szCs w:val="20"/>
              </w:rPr>
              <w:t>0</w:t>
            </w:r>
          </w:p>
        </w:tc>
        <w:tc>
          <w:tcPr>
            <w:tcW w:w="1556" w:type="dxa"/>
            <w:tcBorders>
              <w:top w:val="nil"/>
              <w:left w:val="nil"/>
              <w:bottom w:val="single" w:sz="4" w:space="0" w:color="auto"/>
              <w:right w:val="nil"/>
            </w:tcBorders>
            <w:tcMar>
              <w:top w:w="0" w:type="dxa"/>
              <w:left w:w="57" w:type="dxa"/>
              <w:bottom w:w="0" w:type="dxa"/>
              <w:right w:w="57" w:type="dxa"/>
            </w:tcMar>
            <w:vAlign w:val="center"/>
          </w:tcPr>
          <w:p w:rsidR="00C7222A" w:rsidRPr="00D34BE8" w:rsidRDefault="00C7222A" w:rsidP="00D34BE8">
            <w:pPr>
              <w:spacing w:after="0" w:line="360" w:lineRule="auto"/>
              <w:jc w:val="both"/>
              <w:textAlignment w:val="center"/>
              <w:rPr>
                <w:rFonts w:ascii="Book Antiqua" w:eastAsia="宋体" w:hAnsi="Book Antiqua"/>
                <w:sz w:val="20"/>
                <w:szCs w:val="20"/>
              </w:rPr>
            </w:pPr>
            <w:r w:rsidRPr="00D34BE8">
              <w:rPr>
                <w:rFonts w:ascii="Book Antiqua" w:eastAsia="宋体" w:hAnsi="Book Antiqua"/>
                <w:sz w:val="20"/>
                <w:szCs w:val="20"/>
              </w:rPr>
              <w:t>11</w:t>
            </w:r>
          </w:p>
        </w:tc>
        <w:tc>
          <w:tcPr>
            <w:tcW w:w="906" w:type="dxa"/>
            <w:tcBorders>
              <w:top w:val="nil"/>
              <w:left w:val="nil"/>
              <w:bottom w:val="single" w:sz="4" w:space="0" w:color="auto"/>
              <w:right w:val="nil"/>
            </w:tcBorders>
            <w:tcMar>
              <w:top w:w="0" w:type="dxa"/>
              <w:left w:w="57" w:type="dxa"/>
              <w:bottom w:w="0" w:type="dxa"/>
              <w:right w:w="57" w:type="dxa"/>
            </w:tcMar>
            <w:vAlign w:val="center"/>
          </w:tcPr>
          <w:p w:rsidR="00C7222A" w:rsidRPr="00D34BE8" w:rsidRDefault="009A7541" w:rsidP="00D34BE8">
            <w:pPr>
              <w:spacing w:after="0" w:line="360" w:lineRule="auto"/>
              <w:jc w:val="both"/>
              <w:textAlignment w:val="center"/>
              <w:rPr>
                <w:rFonts w:ascii="Book Antiqua" w:eastAsia="宋体" w:hAnsi="Book Antiqua"/>
                <w:sz w:val="20"/>
                <w:szCs w:val="20"/>
              </w:rPr>
            </w:pPr>
            <w:r w:rsidRPr="00D34BE8">
              <w:rPr>
                <w:rFonts w:ascii="Book Antiqua" w:eastAsia="宋体" w:hAnsi="Book Antiqua"/>
                <w:sz w:val="20"/>
                <w:szCs w:val="20"/>
              </w:rPr>
              <w:t>&lt;</w:t>
            </w:r>
            <w:r w:rsidR="00CE008D" w:rsidRPr="00D34BE8">
              <w:rPr>
                <w:rFonts w:ascii="Book Antiqua" w:eastAsia="宋体" w:hAnsi="Book Antiqua"/>
                <w:sz w:val="20"/>
                <w:szCs w:val="20"/>
              </w:rPr>
              <w:t xml:space="preserve"> </w:t>
            </w:r>
            <w:r w:rsidR="00C7222A" w:rsidRPr="00D34BE8">
              <w:rPr>
                <w:rFonts w:ascii="Book Antiqua" w:eastAsia="宋体" w:hAnsi="Book Antiqua"/>
                <w:sz w:val="20"/>
                <w:szCs w:val="20"/>
              </w:rPr>
              <w:t>0.01</w:t>
            </w:r>
          </w:p>
        </w:tc>
      </w:tr>
    </w:tbl>
    <w:p w:rsidR="00CE008D" w:rsidRPr="00D34BE8" w:rsidRDefault="00CE008D" w:rsidP="00D34BE8">
      <w:pPr>
        <w:spacing w:after="0" w:line="360" w:lineRule="auto"/>
        <w:jc w:val="both"/>
        <w:rPr>
          <w:rFonts w:ascii="Book Antiqua" w:hAnsi="Book Antiqua"/>
          <w:sz w:val="20"/>
          <w:szCs w:val="20"/>
        </w:rPr>
      </w:pPr>
      <w:r w:rsidRPr="00D34BE8">
        <w:rPr>
          <w:rFonts w:ascii="Book Antiqua" w:hAnsi="Book Antiqua"/>
          <w:i/>
          <w:iCs/>
          <w:sz w:val="20"/>
          <w:szCs w:val="20"/>
        </w:rPr>
        <w:t>P</w:t>
      </w:r>
      <w:r w:rsidRPr="00D34BE8">
        <w:rPr>
          <w:rFonts w:ascii="Book Antiqua" w:hAnsi="Book Antiqua"/>
          <w:sz w:val="20"/>
          <w:szCs w:val="20"/>
        </w:rPr>
        <w:t xml:space="preserve"> &lt; 0.05 is considered statistically significant.</w:t>
      </w:r>
      <w:r w:rsidRPr="00D34BE8">
        <w:rPr>
          <w:rFonts w:ascii="Book Antiqua" w:eastAsia="宋体" w:hAnsi="Book Antiqua"/>
          <w:bCs/>
          <w:sz w:val="20"/>
          <w:szCs w:val="20"/>
          <w:lang w:eastAsia="en-US"/>
        </w:rPr>
        <w:t xml:space="preserve"> HEVs: High-risk esophageal varices; LEVs: Low-risk esophageal varices; </w:t>
      </w:r>
      <w:r w:rsidRPr="00D34BE8">
        <w:rPr>
          <w:rFonts w:ascii="Book Antiqua" w:hAnsi="Book Antiqua"/>
          <w:sz w:val="20"/>
          <w:szCs w:val="20"/>
        </w:rPr>
        <w:t>HBV</w:t>
      </w:r>
      <w:r w:rsidR="000018AB" w:rsidRPr="00D34BE8">
        <w:rPr>
          <w:rFonts w:ascii="Book Antiqua" w:hAnsi="Book Antiqua"/>
          <w:sz w:val="20"/>
          <w:szCs w:val="20"/>
        </w:rPr>
        <w:t>:</w:t>
      </w:r>
      <w:r w:rsidRPr="00D34BE8">
        <w:rPr>
          <w:rFonts w:ascii="Book Antiqua" w:hAnsi="Book Antiqua"/>
          <w:sz w:val="20"/>
          <w:szCs w:val="20"/>
        </w:rPr>
        <w:t xml:space="preserve"> </w:t>
      </w:r>
      <w:r w:rsidR="000018AB" w:rsidRPr="00D34BE8">
        <w:rPr>
          <w:rFonts w:ascii="Book Antiqua" w:hAnsi="Book Antiqua"/>
          <w:sz w:val="20"/>
          <w:szCs w:val="20"/>
        </w:rPr>
        <w:t>H</w:t>
      </w:r>
      <w:r w:rsidRPr="00D34BE8">
        <w:rPr>
          <w:rFonts w:ascii="Book Antiqua" w:hAnsi="Book Antiqua"/>
          <w:sz w:val="20"/>
          <w:szCs w:val="20"/>
        </w:rPr>
        <w:t>epatitis B vir</w:t>
      </w:r>
      <w:r w:rsidR="000018AB" w:rsidRPr="00D34BE8">
        <w:rPr>
          <w:rFonts w:ascii="Book Antiqua" w:hAnsi="Book Antiqua"/>
          <w:sz w:val="20"/>
          <w:szCs w:val="20"/>
        </w:rPr>
        <w:t>us</w:t>
      </w:r>
      <w:r w:rsidRPr="00D34BE8">
        <w:rPr>
          <w:rFonts w:ascii="Book Antiqua" w:hAnsi="Book Antiqua"/>
          <w:sz w:val="20"/>
          <w:szCs w:val="20"/>
        </w:rPr>
        <w:t xml:space="preserve">; HCV; </w:t>
      </w:r>
      <w:r w:rsidR="000018AB" w:rsidRPr="00D34BE8">
        <w:rPr>
          <w:rFonts w:ascii="Book Antiqua" w:hAnsi="Book Antiqua"/>
          <w:sz w:val="20"/>
          <w:szCs w:val="20"/>
        </w:rPr>
        <w:t>H</w:t>
      </w:r>
      <w:r w:rsidRPr="00D34BE8">
        <w:rPr>
          <w:rFonts w:ascii="Book Antiqua" w:hAnsi="Book Antiqua"/>
          <w:sz w:val="20"/>
          <w:szCs w:val="20"/>
        </w:rPr>
        <w:t>epatitis C vir</w:t>
      </w:r>
      <w:r w:rsidR="000018AB" w:rsidRPr="00D34BE8">
        <w:rPr>
          <w:rFonts w:ascii="Book Antiqua" w:hAnsi="Book Antiqua"/>
          <w:sz w:val="20"/>
          <w:szCs w:val="20"/>
        </w:rPr>
        <w:t>us</w:t>
      </w:r>
      <w:r w:rsidRPr="00D34BE8">
        <w:rPr>
          <w:rFonts w:ascii="Book Antiqua" w:hAnsi="Book Antiqua"/>
          <w:sz w:val="20"/>
          <w:szCs w:val="20"/>
        </w:rPr>
        <w:t>.</w:t>
      </w:r>
    </w:p>
    <w:p w:rsidR="00C7222A" w:rsidRPr="00D34BE8" w:rsidRDefault="00C7222A" w:rsidP="00D34BE8">
      <w:pPr>
        <w:spacing w:after="0" w:line="360" w:lineRule="auto"/>
        <w:jc w:val="both"/>
        <w:rPr>
          <w:rFonts w:ascii="Book Antiqua" w:hAnsi="Book Antiqua"/>
          <w:sz w:val="20"/>
          <w:szCs w:val="20"/>
        </w:rPr>
      </w:pPr>
    </w:p>
    <w:p w:rsidR="00C7222A" w:rsidRPr="00D34BE8" w:rsidRDefault="00C7222A" w:rsidP="00D34BE8">
      <w:pPr>
        <w:spacing w:after="0" w:line="360" w:lineRule="auto"/>
        <w:jc w:val="both"/>
        <w:rPr>
          <w:rFonts w:ascii="Book Antiqua" w:hAnsi="Book Antiqua"/>
          <w:sz w:val="20"/>
          <w:szCs w:val="20"/>
        </w:rPr>
      </w:pPr>
    </w:p>
    <w:p w:rsidR="00C7222A" w:rsidRPr="00D34BE8" w:rsidRDefault="003648E7" w:rsidP="00D34BE8">
      <w:pPr>
        <w:spacing w:after="0" w:line="360" w:lineRule="auto"/>
        <w:jc w:val="both"/>
        <w:rPr>
          <w:rFonts w:ascii="Book Antiqua" w:hAnsi="Book Antiqua"/>
          <w:b/>
          <w:bCs/>
          <w:sz w:val="20"/>
          <w:szCs w:val="20"/>
        </w:rPr>
      </w:pPr>
      <w:r>
        <w:rPr>
          <w:rFonts w:ascii="Book Antiqua" w:hAnsi="Book Antiqua"/>
          <w:b/>
          <w:bCs/>
          <w:sz w:val="20"/>
          <w:szCs w:val="20"/>
        </w:rPr>
        <w:br w:type="page"/>
      </w:r>
      <w:r w:rsidR="00C7222A" w:rsidRPr="00D34BE8">
        <w:rPr>
          <w:rFonts w:ascii="Book Antiqua" w:hAnsi="Book Antiqua"/>
          <w:b/>
          <w:bCs/>
          <w:sz w:val="20"/>
          <w:szCs w:val="20"/>
        </w:rPr>
        <w:t xml:space="preserve">Table 3 Univariate analysis of parameters of patients with </w:t>
      </w:r>
      <w:r w:rsidR="00D31C86" w:rsidRPr="00D34BE8">
        <w:rPr>
          <w:rFonts w:ascii="Book Antiqua" w:hAnsi="Book Antiqua"/>
          <w:b/>
          <w:bCs/>
          <w:sz w:val="20"/>
          <w:szCs w:val="20"/>
        </w:rPr>
        <w:t>high-risk esophageal varices and low-risk esophageal varices</w:t>
      </w:r>
    </w:p>
    <w:tbl>
      <w:tblPr>
        <w:tblW w:w="0" w:type="auto"/>
        <w:jc w:val="center"/>
        <w:tblInd w:w="0" w:type="dxa"/>
        <w:tblCellMar>
          <w:top w:w="15" w:type="dxa"/>
          <w:left w:w="15" w:type="dxa"/>
          <w:bottom w:w="15" w:type="dxa"/>
          <w:right w:w="15" w:type="dxa"/>
        </w:tblCellMar>
        <w:tblLook w:val="0000" w:firstRow="0" w:lastRow="0" w:firstColumn="0" w:lastColumn="0" w:noHBand="0" w:noVBand="0"/>
      </w:tblPr>
      <w:tblGrid>
        <w:gridCol w:w="3885"/>
        <w:gridCol w:w="1842"/>
        <w:gridCol w:w="1858"/>
        <w:gridCol w:w="798"/>
      </w:tblGrid>
      <w:tr w:rsidR="00C7222A" w:rsidRPr="00D34BE8" w:rsidTr="00D31C86">
        <w:trPr>
          <w:trHeight w:val="397"/>
          <w:jc w:val="center"/>
        </w:trPr>
        <w:tc>
          <w:tcPr>
            <w:tcW w:w="3885" w:type="dxa"/>
            <w:tcBorders>
              <w:top w:val="single" w:sz="4" w:space="0" w:color="auto"/>
            </w:tcBorders>
            <w:tcMar>
              <w:top w:w="0" w:type="dxa"/>
              <w:left w:w="57" w:type="dxa"/>
              <w:bottom w:w="0" w:type="dxa"/>
              <w:right w:w="57" w:type="dxa"/>
            </w:tcMar>
            <w:vAlign w:val="center"/>
          </w:tcPr>
          <w:p w:rsidR="00C7222A" w:rsidRPr="00D34BE8" w:rsidRDefault="00C7222A" w:rsidP="00D34BE8">
            <w:pPr>
              <w:spacing w:after="0" w:line="360" w:lineRule="auto"/>
              <w:jc w:val="both"/>
              <w:textAlignment w:val="center"/>
              <w:rPr>
                <w:rFonts w:ascii="Book Antiqua" w:eastAsia="宋体" w:hAnsi="Book Antiqua"/>
                <w:b/>
                <w:sz w:val="20"/>
                <w:szCs w:val="20"/>
              </w:rPr>
            </w:pPr>
            <w:r w:rsidRPr="00D34BE8">
              <w:rPr>
                <w:rFonts w:ascii="Book Antiqua" w:eastAsia="宋体" w:hAnsi="Book Antiqua"/>
                <w:b/>
                <w:sz w:val="20"/>
                <w:szCs w:val="20"/>
              </w:rPr>
              <w:t>Parameter</w:t>
            </w:r>
          </w:p>
        </w:tc>
        <w:tc>
          <w:tcPr>
            <w:tcW w:w="1842" w:type="dxa"/>
            <w:tcBorders>
              <w:top w:val="single" w:sz="4" w:space="0" w:color="auto"/>
            </w:tcBorders>
            <w:tcMar>
              <w:top w:w="0" w:type="dxa"/>
              <w:left w:w="57" w:type="dxa"/>
              <w:bottom w:w="0" w:type="dxa"/>
              <w:right w:w="57" w:type="dxa"/>
            </w:tcMar>
            <w:vAlign w:val="center"/>
          </w:tcPr>
          <w:p w:rsidR="00C7222A" w:rsidRPr="00D34BE8" w:rsidRDefault="00C7222A" w:rsidP="00D34BE8">
            <w:pPr>
              <w:spacing w:after="0" w:line="360" w:lineRule="auto"/>
              <w:jc w:val="both"/>
              <w:textAlignment w:val="center"/>
              <w:rPr>
                <w:rFonts w:ascii="Book Antiqua" w:eastAsia="宋体" w:hAnsi="Book Antiqua"/>
                <w:b/>
                <w:sz w:val="20"/>
                <w:szCs w:val="20"/>
              </w:rPr>
            </w:pPr>
            <w:r w:rsidRPr="00D34BE8">
              <w:rPr>
                <w:rFonts w:ascii="Book Antiqua" w:eastAsia="宋体" w:hAnsi="Book Antiqua"/>
                <w:b/>
                <w:sz w:val="20"/>
                <w:szCs w:val="20"/>
              </w:rPr>
              <w:t>Patients with</w:t>
            </w:r>
            <w:r w:rsidR="00D31C86" w:rsidRPr="00D34BE8">
              <w:rPr>
                <w:rFonts w:ascii="Book Antiqua" w:eastAsia="宋体" w:hAnsi="Book Antiqua"/>
                <w:b/>
                <w:sz w:val="20"/>
                <w:szCs w:val="20"/>
              </w:rPr>
              <w:t xml:space="preserve"> </w:t>
            </w:r>
            <w:r w:rsidRPr="00D34BE8">
              <w:rPr>
                <w:rFonts w:ascii="Book Antiqua" w:eastAsia="宋体" w:hAnsi="Book Antiqua"/>
                <w:b/>
                <w:sz w:val="20"/>
                <w:szCs w:val="20"/>
              </w:rPr>
              <w:t>HEVs</w:t>
            </w:r>
            <w:r w:rsidR="003648E7">
              <w:rPr>
                <w:rFonts w:ascii="Book Antiqua" w:eastAsia="宋体" w:hAnsi="Book Antiqua"/>
                <w:b/>
                <w:sz w:val="20"/>
                <w:szCs w:val="20"/>
              </w:rPr>
              <w:t>,</w:t>
            </w:r>
            <w:r w:rsidRPr="00D34BE8">
              <w:rPr>
                <w:rFonts w:ascii="Book Antiqua" w:eastAsia="宋体" w:hAnsi="Book Antiqua"/>
                <w:b/>
                <w:sz w:val="20"/>
                <w:szCs w:val="20"/>
              </w:rPr>
              <w:t xml:space="preserve"> </w:t>
            </w:r>
            <w:r w:rsidR="00D31C86" w:rsidRPr="00D34BE8">
              <w:rPr>
                <w:rFonts w:ascii="Book Antiqua" w:eastAsia="宋体" w:hAnsi="Book Antiqua"/>
                <w:b/>
                <w:i/>
                <w:iCs/>
                <w:sz w:val="20"/>
                <w:szCs w:val="20"/>
              </w:rPr>
              <w:t xml:space="preserve">n </w:t>
            </w:r>
            <w:r w:rsidR="00D31C86" w:rsidRPr="00D34BE8">
              <w:rPr>
                <w:rFonts w:ascii="Book Antiqua" w:eastAsia="宋体" w:hAnsi="Book Antiqua"/>
                <w:b/>
                <w:sz w:val="20"/>
                <w:szCs w:val="20"/>
              </w:rPr>
              <w:t xml:space="preserve">= </w:t>
            </w:r>
            <w:r w:rsidRPr="00D34BE8">
              <w:rPr>
                <w:rFonts w:ascii="Book Antiqua" w:eastAsia="宋体" w:hAnsi="Book Antiqua"/>
                <w:b/>
                <w:sz w:val="20"/>
                <w:szCs w:val="20"/>
              </w:rPr>
              <w:t>56</w:t>
            </w:r>
          </w:p>
        </w:tc>
        <w:tc>
          <w:tcPr>
            <w:tcW w:w="1858" w:type="dxa"/>
            <w:tcBorders>
              <w:top w:val="single" w:sz="4" w:space="0" w:color="auto"/>
            </w:tcBorders>
            <w:tcMar>
              <w:top w:w="0" w:type="dxa"/>
              <w:left w:w="57" w:type="dxa"/>
              <w:bottom w:w="0" w:type="dxa"/>
              <w:right w:w="57" w:type="dxa"/>
            </w:tcMar>
            <w:vAlign w:val="center"/>
          </w:tcPr>
          <w:p w:rsidR="00C7222A" w:rsidRPr="00D34BE8" w:rsidRDefault="00C7222A" w:rsidP="00D34BE8">
            <w:pPr>
              <w:spacing w:after="0" w:line="360" w:lineRule="auto"/>
              <w:jc w:val="both"/>
              <w:textAlignment w:val="center"/>
              <w:rPr>
                <w:rFonts w:ascii="Book Antiqua" w:eastAsia="宋体" w:hAnsi="Book Antiqua"/>
                <w:b/>
                <w:sz w:val="20"/>
                <w:szCs w:val="20"/>
              </w:rPr>
            </w:pPr>
            <w:r w:rsidRPr="00D34BE8">
              <w:rPr>
                <w:rFonts w:ascii="Book Antiqua" w:eastAsia="宋体" w:hAnsi="Book Antiqua"/>
                <w:b/>
                <w:sz w:val="20"/>
                <w:szCs w:val="20"/>
              </w:rPr>
              <w:t>Patients with</w:t>
            </w:r>
            <w:r w:rsidR="00D31C86" w:rsidRPr="00D34BE8">
              <w:rPr>
                <w:rFonts w:ascii="Book Antiqua" w:eastAsia="宋体" w:hAnsi="Book Antiqua"/>
                <w:b/>
                <w:sz w:val="20"/>
                <w:szCs w:val="20"/>
              </w:rPr>
              <w:t xml:space="preserve"> </w:t>
            </w:r>
            <w:r w:rsidRPr="00D34BE8">
              <w:rPr>
                <w:rFonts w:ascii="Book Antiqua" w:eastAsia="宋体" w:hAnsi="Book Antiqua"/>
                <w:b/>
                <w:sz w:val="20"/>
                <w:szCs w:val="20"/>
              </w:rPr>
              <w:t>LEVs</w:t>
            </w:r>
            <w:r w:rsidR="003648E7">
              <w:rPr>
                <w:rFonts w:ascii="Book Antiqua" w:eastAsia="宋体" w:hAnsi="Book Antiqua"/>
                <w:b/>
                <w:sz w:val="20"/>
                <w:szCs w:val="20"/>
              </w:rPr>
              <w:t>,</w:t>
            </w:r>
            <w:r w:rsidRPr="00D34BE8">
              <w:rPr>
                <w:rFonts w:ascii="Book Antiqua" w:eastAsia="宋体" w:hAnsi="Book Antiqua"/>
                <w:b/>
                <w:sz w:val="20"/>
                <w:szCs w:val="20"/>
              </w:rPr>
              <w:t xml:space="preserve"> </w:t>
            </w:r>
            <w:r w:rsidR="00D31C86" w:rsidRPr="00D34BE8">
              <w:rPr>
                <w:rFonts w:ascii="Book Antiqua" w:eastAsia="宋体" w:hAnsi="Book Antiqua"/>
                <w:b/>
                <w:i/>
                <w:iCs/>
                <w:sz w:val="20"/>
                <w:szCs w:val="20"/>
              </w:rPr>
              <w:t xml:space="preserve">n </w:t>
            </w:r>
            <w:r w:rsidR="00D31C86" w:rsidRPr="00D34BE8">
              <w:rPr>
                <w:rFonts w:ascii="Book Antiqua" w:eastAsia="宋体" w:hAnsi="Book Antiqua"/>
                <w:b/>
                <w:sz w:val="20"/>
                <w:szCs w:val="20"/>
              </w:rPr>
              <w:t xml:space="preserve">= </w:t>
            </w:r>
            <w:r w:rsidRPr="00D34BE8">
              <w:rPr>
                <w:rFonts w:ascii="Book Antiqua" w:eastAsia="宋体" w:hAnsi="Book Antiqua"/>
                <w:b/>
                <w:sz w:val="20"/>
                <w:szCs w:val="20"/>
              </w:rPr>
              <w:t>30</w:t>
            </w:r>
          </w:p>
        </w:tc>
        <w:tc>
          <w:tcPr>
            <w:tcW w:w="0" w:type="auto"/>
            <w:tcBorders>
              <w:top w:val="single" w:sz="4" w:space="0" w:color="auto"/>
            </w:tcBorders>
            <w:tcMar>
              <w:top w:w="0" w:type="dxa"/>
              <w:left w:w="57" w:type="dxa"/>
              <w:bottom w:w="0" w:type="dxa"/>
              <w:right w:w="57" w:type="dxa"/>
            </w:tcMar>
            <w:vAlign w:val="center"/>
          </w:tcPr>
          <w:p w:rsidR="00C7222A" w:rsidRPr="00D34BE8" w:rsidRDefault="00C7222A" w:rsidP="00D34BE8">
            <w:pPr>
              <w:spacing w:after="0" w:line="360" w:lineRule="auto"/>
              <w:jc w:val="both"/>
              <w:textAlignment w:val="center"/>
              <w:rPr>
                <w:rFonts w:ascii="Book Antiqua" w:eastAsia="宋体" w:hAnsi="Book Antiqua"/>
                <w:b/>
                <w:sz w:val="20"/>
                <w:szCs w:val="20"/>
              </w:rPr>
            </w:pPr>
            <w:r w:rsidRPr="00D34BE8">
              <w:rPr>
                <w:rFonts w:ascii="Book Antiqua" w:eastAsia="宋体" w:hAnsi="Book Antiqua"/>
                <w:b/>
                <w:i/>
                <w:iCs/>
                <w:sz w:val="20"/>
                <w:szCs w:val="20"/>
              </w:rPr>
              <w:t>P</w:t>
            </w:r>
            <w:r w:rsidRPr="00D34BE8">
              <w:rPr>
                <w:rFonts w:ascii="Book Antiqua" w:eastAsia="宋体" w:hAnsi="Book Antiqua"/>
                <w:b/>
                <w:sz w:val="20"/>
                <w:szCs w:val="20"/>
              </w:rPr>
              <w:t xml:space="preserve"> value</w:t>
            </w:r>
          </w:p>
        </w:tc>
      </w:tr>
      <w:tr w:rsidR="00C7222A" w:rsidRPr="00D34BE8" w:rsidTr="00D31C86">
        <w:trPr>
          <w:trHeight w:val="397"/>
          <w:jc w:val="center"/>
        </w:trPr>
        <w:tc>
          <w:tcPr>
            <w:tcW w:w="3885" w:type="dxa"/>
            <w:tcBorders>
              <w:top w:val="single" w:sz="4" w:space="0" w:color="auto"/>
            </w:tcBorders>
            <w:tcMar>
              <w:top w:w="0" w:type="dxa"/>
              <w:left w:w="57" w:type="dxa"/>
              <w:bottom w:w="0" w:type="dxa"/>
              <w:right w:w="57" w:type="dxa"/>
            </w:tcMar>
            <w:vAlign w:val="center"/>
          </w:tcPr>
          <w:p w:rsidR="00C7222A" w:rsidRPr="00D34BE8" w:rsidRDefault="00C7222A" w:rsidP="00D34BE8">
            <w:pPr>
              <w:spacing w:after="0" w:line="360" w:lineRule="auto"/>
              <w:jc w:val="both"/>
              <w:textAlignment w:val="center"/>
              <w:rPr>
                <w:rFonts w:ascii="Book Antiqua" w:eastAsia="宋体" w:hAnsi="Book Antiqua"/>
                <w:sz w:val="20"/>
                <w:szCs w:val="20"/>
              </w:rPr>
            </w:pPr>
            <w:r w:rsidRPr="00D34BE8">
              <w:rPr>
                <w:rFonts w:ascii="Book Antiqua" w:eastAsia="宋体" w:hAnsi="Book Antiqua"/>
                <w:sz w:val="20"/>
                <w:szCs w:val="20"/>
              </w:rPr>
              <w:t>PVSA</w:t>
            </w:r>
            <w:r w:rsidR="00B5478B">
              <w:rPr>
                <w:rFonts w:ascii="Book Antiqua" w:eastAsia="宋体" w:hAnsi="Book Antiqua"/>
                <w:sz w:val="20"/>
                <w:szCs w:val="20"/>
              </w:rPr>
              <w:t>,</w:t>
            </w:r>
            <w:r w:rsidRPr="00D34BE8">
              <w:rPr>
                <w:rFonts w:ascii="Book Antiqua" w:eastAsia="宋体" w:hAnsi="Book Antiqua"/>
                <w:sz w:val="20"/>
                <w:szCs w:val="20"/>
              </w:rPr>
              <w:t xml:space="preserve"> mm</w:t>
            </w:r>
            <w:r w:rsidRPr="00D34BE8">
              <w:rPr>
                <w:rFonts w:ascii="Book Antiqua" w:eastAsia="宋体" w:hAnsi="Book Antiqua"/>
                <w:sz w:val="20"/>
                <w:szCs w:val="20"/>
                <w:vertAlign w:val="superscript"/>
              </w:rPr>
              <w:t>3</w:t>
            </w:r>
          </w:p>
        </w:tc>
        <w:tc>
          <w:tcPr>
            <w:tcW w:w="1842" w:type="dxa"/>
            <w:tcBorders>
              <w:top w:val="single" w:sz="4" w:space="0" w:color="auto"/>
            </w:tcBorders>
            <w:tcMar>
              <w:top w:w="0" w:type="dxa"/>
              <w:left w:w="57" w:type="dxa"/>
              <w:bottom w:w="0" w:type="dxa"/>
              <w:right w:w="57" w:type="dxa"/>
            </w:tcMar>
            <w:vAlign w:val="center"/>
          </w:tcPr>
          <w:p w:rsidR="00C7222A" w:rsidRPr="00D34BE8" w:rsidRDefault="00C7222A" w:rsidP="00D34BE8">
            <w:pPr>
              <w:spacing w:after="0" w:line="360" w:lineRule="auto"/>
              <w:jc w:val="both"/>
              <w:textAlignment w:val="center"/>
              <w:rPr>
                <w:rFonts w:ascii="Book Antiqua" w:eastAsia="宋体" w:hAnsi="Book Antiqua"/>
                <w:sz w:val="20"/>
                <w:szCs w:val="20"/>
              </w:rPr>
            </w:pPr>
            <w:r w:rsidRPr="00D34BE8">
              <w:rPr>
                <w:rFonts w:ascii="Book Antiqua" w:eastAsia="宋体" w:hAnsi="Book Antiqua"/>
                <w:sz w:val="20"/>
                <w:szCs w:val="20"/>
              </w:rPr>
              <w:t>227.04</w:t>
            </w:r>
            <w:r w:rsidR="00D31C86" w:rsidRPr="00D34BE8">
              <w:rPr>
                <w:rFonts w:ascii="Book Antiqua" w:eastAsia="宋体" w:hAnsi="Book Antiqua"/>
                <w:sz w:val="20"/>
                <w:szCs w:val="20"/>
              </w:rPr>
              <w:t xml:space="preserve"> </w:t>
            </w:r>
            <w:r w:rsidRPr="00D34BE8">
              <w:rPr>
                <w:rFonts w:ascii="Book Antiqua" w:eastAsia="宋体" w:hAnsi="Book Antiqua"/>
                <w:sz w:val="20"/>
                <w:szCs w:val="20"/>
              </w:rPr>
              <w:t>±</w:t>
            </w:r>
            <w:r w:rsidR="00D31C86" w:rsidRPr="00D34BE8">
              <w:rPr>
                <w:rFonts w:ascii="Book Antiqua" w:eastAsia="宋体" w:hAnsi="Book Antiqua"/>
                <w:sz w:val="20"/>
                <w:szCs w:val="20"/>
              </w:rPr>
              <w:t xml:space="preserve"> </w:t>
            </w:r>
            <w:r w:rsidRPr="00D34BE8">
              <w:rPr>
                <w:rFonts w:ascii="Book Antiqua" w:eastAsia="宋体" w:hAnsi="Book Antiqua"/>
                <w:sz w:val="20"/>
                <w:szCs w:val="20"/>
              </w:rPr>
              <w:t>76.66</w:t>
            </w:r>
          </w:p>
        </w:tc>
        <w:tc>
          <w:tcPr>
            <w:tcW w:w="1858" w:type="dxa"/>
            <w:tcBorders>
              <w:top w:val="single" w:sz="4" w:space="0" w:color="auto"/>
            </w:tcBorders>
            <w:tcMar>
              <w:top w:w="0" w:type="dxa"/>
              <w:left w:w="57" w:type="dxa"/>
              <w:bottom w:w="0" w:type="dxa"/>
              <w:right w:w="57" w:type="dxa"/>
            </w:tcMar>
            <w:vAlign w:val="center"/>
          </w:tcPr>
          <w:p w:rsidR="00C7222A" w:rsidRPr="00D34BE8" w:rsidRDefault="00C7222A" w:rsidP="00D34BE8">
            <w:pPr>
              <w:spacing w:after="0" w:line="360" w:lineRule="auto"/>
              <w:jc w:val="both"/>
              <w:textAlignment w:val="center"/>
              <w:rPr>
                <w:rFonts w:ascii="Book Antiqua" w:eastAsia="宋体" w:hAnsi="Book Antiqua"/>
                <w:sz w:val="20"/>
                <w:szCs w:val="20"/>
              </w:rPr>
            </w:pPr>
            <w:r w:rsidRPr="00D34BE8">
              <w:rPr>
                <w:rFonts w:ascii="Book Antiqua" w:eastAsia="宋体" w:hAnsi="Book Antiqua"/>
                <w:sz w:val="20"/>
                <w:szCs w:val="20"/>
              </w:rPr>
              <w:t>183.81</w:t>
            </w:r>
            <w:r w:rsidR="00D31C86" w:rsidRPr="00D34BE8">
              <w:rPr>
                <w:rFonts w:ascii="Book Antiqua" w:eastAsia="宋体" w:hAnsi="Book Antiqua"/>
                <w:sz w:val="20"/>
                <w:szCs w:val="20"/>
              </w:rPr>
              <w:t xml:space="preserve"> ± </w:t>
            </w:r>
            <w:r w:rsidRPr="00D34BE8">
              <w:rPr>
                <w:rFonts w:ascii="Book Antiqua" w:eastAsia="宋体" w:hAnsi="Book Antiqua"/>
                <w:sz w:val="20"/>
                <w:szCs w:val="20"/>
              </w:rPr>
              <w:t>69.10</w:t>
            </w:r>
          </w:p>
        </w:tc>
        <w:tc>
          <w:tcPr>
            <w:tcW w:w="0" w:type="auto"/>
            <w:tcBorders>
              <w:top w:val="single" w:sz="4" w:space="0" w:color="auto"/>
            </w:tcBorders>
            <w:tcMar>
              <w:top w:w="0" w:type="dxa"/>
              <w:left w:w="57" w:type="dxa"/>
              <w:bottom w:w="0" w:type="dxa"/>
              <w:right w:w="57" w:type="dxa"/>
            </w:tcMar>
            <w:vAlign w:val="center"/>
          </w:tcPr>
          <w:p w:rsidR="00C7222A" w:rsidRPr="00D34BE8" w:rsidRDefault="009A7541" w:rsidP="00D34BE8">
            <w:pPr>
              <w:spacing w:after="0" w:line="360" w:lineRule="auto"/>
              <w:jc w:val="both"/>
              <w:textAlignment w:val="center"/>
              <w:rPr>
                <w:rFonts w:ascii="Book Antiqua" w:eastAsia="宋体" w:hAnsi="Book Antiqua"/>
                <w:sz w:val="20"/>
                <w:szCs w:val="20"/>
              </w:rPr>
            </w:pPr>
            <w:r w:rsidRPr="00D34BE8">
              <w:rPr>
                <w:rFonts w:ascii="Book Antiqua" w:eastAsia="宋体" w:hAnsi="Book Antiqua"/>
                <w:sz w:val="20"/>
                <w:szCs w:val="20"/>
              </w:rPr>
              <w:t>&lt;</w:t>
            </w:r>
            <w:r w:rsidR="00D31C86" w:rsidRPr="00D34BE8">
              <w:rPr>
                <w:rFonts w:ascii="Book Antiqua" w:eastAsia="宋体" w:hAnsi="Book Antiqua"/>
                <w:sz w:val="20"/>
                <w:szCs w:val="20"/>
              </w:rPr>
              <w:t xml:space="preserve"> </w:t>
            </w:r>
            <w:r w:rsidR="00C7222A" w:rsidRPr="00D34BE8">
              <w:rPr>
                <w:rFonts w:ascii="Book Antiqua" w:eastAsia="宋体" w:hAnsi="Book Antiqua"/>
                <w:sz w:val="20"/>
                <w:szCs w:val="20"/>
              </w:rPr>
              <w:t>0.01</w:t>
            </w:r>
          </w:p>
        </w:tc>
      </w:tr>
      <w:tr w:rsidR="00C7222A" w:rsidRPr="00D34BE8" w:rsidTr="00D31C86">
        <w:trPr>
          <w:trHeight w:val="397"/>
          <w:jc w:val="center"/>
        </w:trPr>
        <w:tc>
          <w:tcPr>
            <w:tcW w:w="3885" w:type="dxa"/>
            <w:tcMar>
              <w:top w:w="0" w:type="dxa"/>
              <w:left w:w="57" w:type="dxa"/>
              <w:bottom w:w="0" w:type="dxa"/>
              <w:right w:w="57" w:type="dxa"/>
            </w:tcMar>
            <w:vAlign w:val="center"/>
          </w:tcPr>
          <w:p w:rsidR="00C7222A" w:rsidRPr="00D34BE8" w:rsidRDefault="00C7222A" w:rsidP="00D34BE8">
            <w:pPr>
              <w:spacing w:after="0" w:line="360" w:lineRule="auto"/>
              <w:jc w:val="both"/>
              <w:textAlignment w:val="center"/>
              <w:rPr>
                <w:rFonts w:ascii="Book Antiqua" w:eastAsia="宋体" w:hAnsi="Book Antiqua"/>
                <w:sz w:val="20"/>
                <w:szCs w:val="20"/>
              </w:rPr>
            </w:pPr>
            <w:r w:rsidRPr="00D34BE8">
              <w:rPr>
                <w:rFonts w:ascii="Book Antiqua" w:eastAsia="宋体" w:hAnsi="Book Antiqua"/>
                <w:sz w:val="20"/>
                <w:szCs w:val="20"/>
              </w:rPr>
              <w:t>PVD</w:t>
            </w:r>
            <w:r w:rsidR="00B5478B">
              <w:rPr>
                <w:rFonts w:ascii="Book Antiqua" w:eastAsia="宋体" w:hAnsi="Book Antiqua"/>
                <w:sz w:val="20"/>
                <w:szCs w:val="20"/>
              </w:rPr>
              <w:t xml:space="preserve">, </w:t>
            </w:r>
            <w:r w:rsidRPr="00D34BE8">
              <w:rPr>
                <w:rFonts w:ascii="Book Antiqua" w:eastAsia="宋体" w:hAnsi="Book Antiqua"/>
                <w:sz w:val="20"/>
                <w:szCs w:val="20"/>
              </w:rPr>
              <w:t>mm</w:t>
            </w:r>
          </w:p>
        </w:tc>
        <w:tc>
          <w:tcPr>
            <w:tcW w:w="1842" w:type="dxa"/>
            <w:tcMar>
              <w:top w:w="0" w:type="dxa"/>
              <w:left w:w="57" w:type="dxa"/>
              <w:bottom w:w="0" w:type="dxa"/>
              <w:right w:w="57" w:type="dxa"/>
            </w:tcMar>
            <w:vAlign w:val="center"/>
          </w:tcPr>
          <w:p w:rsidR="00C7222A" w:rsidRPr="00D34BE8" w:rsidRDefault="00C7222A" w:rsidP="00D34BE8">
            <w:pPr>
              <w:spacing w:after="0" w:line="360" w:lineRule="auto"/>
              <w:jc w:val="both"/>
              <w:textAlignment w:val="center"/>
              <w:rPr>
                <w:rFonts w:ascii="Book Antiqua" w:eastAsia="宋体" w:hAnsi="Book Antiqua"/>
                <w:sz w:val="20"/>
                <w:szCs w:val="20"/>
              </w:rPr>
            </w:pPr>
            <w:r w:rsidRPr="00D34BE8">
              <w:rPr>
                <w:rFonts w:ascii="Book Antiqua" w:eastAsia="宋体" w:hAnsi="Book Antiqua"/>
                <w:sz w:val="20"/>
                <w:szCs w:val="20"/>
              </w:rPr>
              <w:t>14.35</w:t>
            </w:r>
            <w:r w:rsidR="00D31C86" w:rsidRPr="00D34BE8">
              <w:rPr>
                <w:rFonts w:ascii="Book Antiqua" w:eastAsia="宋体" w:hAnsi="Book Antiqua"/>
                <w:sz w:val="20"/>
                <w:szCs w:val="20"/>
              </w:rPr>
              <w:t xml:space="preserve"> ± </w:t>
            </w:r>
            <w:r w:rsidRPr="00D34BE8">
              <w:rPr>
                <w:rFonts w:ascii="Book Antiqua" w:eastAsia="宋体" w:hAnsi="Book Antiqua"/>
                <w:sz w:val="20"/>
                <w:szCs w:val="20"/>
              </w:rPr>
              <w:t>2.64</w:t>
            </w:r>
          </w:p>
        </w:tc>
        <w:tc>
          <w:tcPr>
            <w:tcW w:w="1858" w:type="dxa"/>
            <w:tcMar>
              <w:top w:w="0" w:type="dxa"/>
              <w:left w:w="57" w:type="dxa"/>
              <w:bottom w:w="0" w:type="dxa"/>
              <w:right w:w="57" w:type="dxa"/>
            </w:tcMar>
            <w:vAlign w:val="center"/>
          </w:tcPr>
          <w:p w:rsidR="00C7222A" w:rsidRPr="00D34BE8" w:rsidRDefault="00C7222A" w:rsidP="00D34BE8">
            <w:pPr>
              <w:spacing w:after="0" w:line="360" w:lineRule="auto"/>
              <w:jc w:val="both"/>
              <w:textAlignment w:val="center"/>
              <w:rPr>
                <w:rFonts w:ascii="Book Antiqua" w:eastAsia="宋体" w:hAnsi="Book Antiqua"/>
                <w:sz w:val="20"/>
                <w:szCs w:val="20"/>
              </w:rPr>
            </w:pPr>
            <w:r w:rsidRPr="00D34BE8">
              <w:rPr>
                <w:rFonts w:ascii="Book Antiqua" w:eastAsia="宋体" w:hAnsi="Book Antiqua"/>
                <w:sz w:val="20"/>
                <w:szCs w:val="20"/>
              </w:rPr>
              <w:t>12.67</w:t>
            </w:r>
            <w:r w:rsidR="00D31C86" w:rsidRPr="00D34BE8">
              <w:rPr>
                <w:rFonts w:ascii="Book Antiqua" w:eastAsia="宋体" w:hAnsi="Book Antiqua"/>
                <w:sz w:val="20"/>
                <w:szCs w:val="20"/>
              </w:rPr>
              <w:t xml:space="preserve"> ± </w:t>
            </w:r>
            <w:r w:rsidRPr="00D34BE8">
              <w:rPr>
                <w:rFonts w:ascii="Book Antiqua" w:eastAsia="宋体" w:hAnsi="Book Antiqua"/>
                <w:sz w:val="20"/>
                <w:szCs w:val="20"/>
              </w:rPr>
              <w:t>2.58</w:t>
            </w:r>
          </w:p>
        </w:tc>
        <w:tc>
          <w:tcPr>
            <w:tcW w:w="0" w:type="auto"/>
            <w:tcMar>
              <w:top w:w="0" w:type="dxa"/>
              <w:left w:w="57" w:type="dxa"/>
              <w:bottom w:w="0" w:type="dxa"/>
              <w:right w:w="57" w:type="dxa"/>
            </w:tcMar>
            <w:vAlign w:val="center"/>
          </w:tcPr>
          <w:p w:rsidR="00C7222A" w:rsidRPr="00D34BE8" w:rsidRDefault="009A7541" w:rsidP="00D34BE8">
            <w:pPr>
              <w:spacing w:after="0" w:line="360" w:lineRule="auto"/>
              <w:jc w:val="both"/>
              <w:rPr>
                <w:rFonts w:ascii="Book Antiqua" w:eastAsia="宋体" w:hAnsi="Book Antiqua"/>
                <w:sz w:val="20"/>
                <w:szCs w:val="20"/>
              </w:rPr>
            </w:pPr>
            <w:r w:rsidRPr="00D34BE8">
              <w:rPr>
                <w:rFonts w:ascii="Book Antiqua" w:eastAsia="宋体" w:hAnsi="Book Antiqua"/>
                <w:sz w:val="20"/>
                <w:szCs w:val="20"/>
              </w:rPr>
              <w:t>&lt;</w:t>
            </w:r>
            <w:r w:rsidR="00D31C86" w:rsidRPr="00D34BE8">
              <w:rPr>
                <w:rFonts w:ascii="Book Antiqua" w:eastAsia="宋体" w:hAnsi="Book Antiqua"/>
                <w:sz w:val="20"/>
                <w:szCs w:val="20"/>
              </w:rPr>
              <w:t xml:space="preserve"> </w:t>
            </w:r>
            <w:r w:rsidR="00C7222A" w:rsidRPr="00D34BE8">
              <w:rPr>
                <w:rFonts w:ascii="Book Antiqua" w:eastAsia="宋体" w:hAnsi="Book Antiqua"/>
                <w:sz w:val="20"/>
                <w:szCs w:val="20"/>
              </w:rPr>
              <w:t>0.01</w:t>
            </w:r>
          </w:p>
        </w:tc>
      </w:tr>
      <w:tr w:rsidR="00C7222A" w:rsidRPr="00D34BE8" w:rsidTr="00D31C86">
        <w:trPr>
          <w:trHeight w:val="397"/>
          <w:jc w:val="center"/>
        </w:trPr>
        <w:tc>
          <w:tcPr>
            <w:tcW w:w="3885" w:type="dxa"/>
            <w:tcMar>
              <w:top w:w="0" w:type="dxa"/>
              <w:left w:w="57" w:type="dxa"/>
              <w:bottom w:w="0" w:type="dxa"/>
              <w:right w:w="57" w:type="dxa"/>
            </w:tcMar>
            <w:vAlign w:val="center"/>
          </w:tcPr>
          <w:p w:rsidR="00C7222A" w:rsidRPr="00D34BE8" w:rsidRDefault="00C7222A" w:rsidP="00D34BE8">
            <w:pPr>
              <w:spacing w:after="0" w:line="360" w:lineRule="auto"/>
              <w:jc w:val="both"/>
              <w:textAlignment w:val="center"/>
              <w:rPr>
                <w:rFonts w:ascii="Book Antiqua" w:eastAsia="宋体" w:hAnsi="Book Antiqua"/>
                <w:sz w:val="20"/>
                <w:szCs w:val="20"/>
              </w:rPr>
            </w:pPr>
            <w:r w:rsidRPr="00D34BE8">
              <w:rPr>
                <w:rStyle w:val="font41"/>
                <w:rFonts w:ascii="Book Antiqua" w:eastAsia="宋体" w:hAnsi="Book Antiqua"/>
                <w:color w:val="auto"/>
                <w:sz w:val="20"/>
                <w:szCs w:val="20"/>
              </w:rPr>
              <w:t>SVD</w:t>
            </w:r>
            <w:r w:rsidR="00B5478B">
              <w:rPr>
                <w:rStyle w:val="font41"/>
                <w:rFonts w:ascii="Book Antiqua" w:eastAsia="宋体" w:hAnsi="Book Antiqua"/>
                <w:color w:val="auto"/>
                <w:sz w:val="20"/>
                <w:szCs w:val="20"/>
              </w:rPr>
              <w:t xml:space="preserve">, </w:t>
            </w:r>
            <w:r w:rsidRPr="00D34BE8">
              <w:rPr>
                <w:rStyle w:val="font41"/>
                <w:rFonts w:ascii="Book Antiqua" w:eastAsia="宋体" w:hAnsi="Book Antiqua"/>
                <w:color w:val="auto"/>
                <w:sz w:val="20"/>
                <w:szCs w:val="20"/>
              </w:rPr>
              <w:t>mm</w:t>
            </w:r>
          </w:p>
        </w:tc>
        <w:tc>
          <w:tcPr>
            <w:tcW w:w="1842" w:type="dxa"/>
            <w:tcMar>
              <w:top w:w="0" w:type="dxa"/>
              <w:left w:w="57" w:type="dxa"/>
              <w:bottom w:w="0" w:type="dxa"/>
              <w:right w:w="57" w:type="dxa"/>
            </w:tcMar>
            <w:vAlign w:val="center"/>
          </w:tcPr>
          <w:p w:rsidR="00C7222A" w:rsidRPr="00D34BE8" w:rsidRDefault="00C7222A" w:rsidP="00D34BE8">
            <w:pPr>
              <w:spacing w:after="0" w:line="360" w:lineRule="auto"/>
              <w:jc w:val="both"/>
              <w:textAlignment w:val="center"/>
              <w:rPr>
                <w:rFonts w:ascii="Book Antiqua" w:eastAsia="宋体" w:hAnsi="Book Antiqua"/>
                <w:sz w:val="20"/>
                <w:szCs w:val="20"/>
              </w:rPr>
            </w:pPr>
            <w:r w:rsidRPr="00D34BE8">
              <w:rPr>
                <w:rFonts w:ascii="Book Antiqua" w:eastAsia="宋体" w:hAnsi="Book Antiqua"/>
                <w:sz w:val="20"/>
                <w:szCs w:val="20"/>
              </w:rPr>
              <w:t>10.08</w:t>
            </w:r>
            <w:r w:rsidR="00D31C86" w:rsidRPr="00D34BE8">
              <w:rPr>
                <w:rFonts w:ascii="Book Antiqua" w:eastAsia="宋体" w:hAnsi="Book Antiqua"/>
                <w:sz w:val="20"/>
                <w:szCs w:val="20"/>
              </w:rPr>
              <w:t xml:space="preserve"> ± </w:t>
            </w:r>
            <w:r w:rsidRPr="00D34BE8">
              <w:rPr>
                <w:rFonts w:ascii="Book Antiqua" w:eastAsia="宋体" w:hAnsi="Book Antiqua"/>
                <w:sz w:val="20"/>
                <w:szCs w:val="20"/>
              </w:rPr>
              <w:t>3.36</w:t>
            </w:r>
          </w:p>
        </w:tc>
        <w:tc>
          <w:tcPr>
            <w:tcW w:w="1858" w:type="dxa"/>
            <w:tcMar>
              <w:top w:w="0" w:type="dxa"/>
              <w:left w:w="57" w:type="dxa"/>
              <w:bottom w:w="0" w:type="dxa"/>
              <w:right w:w="57" w:type="dxa"/>
            </w:tcMar>
            <w:vAlign w:val="center"/>
          </w:tcPr>
          <w:p w:rsidR="00C7222A" w:rsidRPr="00D34BE8" w:rsidRDefault="00C7222A" w:rsidP="00D34BE8">
            <w:pPr>
              <w:spacing w:after="0" w:line="360" w:lineRule="auto"/>
              <w:jc w:val="both"/>
              <w:textAlignment w:val="center"/>
              <w:rPr>
                <w:rFonts w:ascii="Book Antiqua" w:eastAsia="宋体" w:hAnsi="Book Antiqua"/>
                <w:sz w:val="20"/>
                <w:szCs w:val="20"/>
              </w:rPr>
            </w:pPr>
            <w:r w:rsidRPr="00D34BE8">
              <w:rPr>
                <w:rFonts w:ascii="Book Antiqua" w:eastAsia="宋体" w:hAnsi="Book Antiqua"/>
                <w:sz w:val="20"/>
                <w:szCs w:val="20"/>
              </w:rPr>
              <w:t>8.52</w:t>
            </w:r>
            <w:r w:rsidR="00D31C86" w:rsidRPr="00D34BE8">
              <w:rPr>
                <w:rFonts w:ascii="Book Antiqua" w:eastAsia="宋体" w:hAnsi="Book Antiqua"/>
                <w:sz w:val="20"/>
                <w:szCs w:val="20"/>
              </w:rPr>
              <w:t xml:space="preserve"> ± </w:t>
            </w:r>
            <w:r w:rsidRPr="00D34BE8">
              <w:rPr>
                <w:rFonts w:ascii="Book Antiqua" w:eastAsia="宋体" w:hAnsi="Book Antiqua"/>
                <w:sz w:val="20"/>
                <w:szCs w:val="20"/>
              </w:rPr>
              <w:t>2.67</w:t>
            </w:r>
          </w:p>
        </w:tc>
        <w:tc>
          <w:tcPr>
            <w:tcW w:w="0" w:type="auto"/>
            <w:tcMar>
              <w:top w:w="0" w:type="dxa"/>
              <w:left w:w="57" w:type="dxa"/>
              <w:bottom w:w="0" w:type="dxa"/>
              <w:right w:w="57" w:type="dxa"/>
            </w:tcMar>
            <w:vAlign w:val="center"/>
          </w:tcPr>
          <w:p w:rsidR="00C7222A" w:rsidRPr="00D34BE8" w:rsidRDefault="00C7222A" w:rsidP="00D34BE8">
            <w:pPr>
              <w:spacing w:after="0" w:line="360" w:lineRule="auto"/>
              <w:jc w:val="both"/>
              <w:rPr>
                <w:rFonts w:ascii="Book Antiqua" w:eastAsia="宋体" w:hAnsi="Book Antiqua"/>
                <w:sz w:val="20"/>
                <w:szCs w:val="20"/>
              </w:rPr>
            </w:pPr>
            <w:r w:rsidRPr="00D34BE8">
              <w:rPr>
                <w:rFonts w:ascii="Book Antiqua" w:eastAsia="宋体" w:hAnsi="Book Antiqua"/>
                <w:sz w:val="20"/>
                <w:szCs w:val="20"/>
              </w:rPr>
              <w:t>0.02</w:t>
            </w:r>
          </w:p>
        </w:tc>
      </w:tr>
      <w:tr w:rsidR="00C7222A" w:rsidRPr="00D34BE8" w:rsidTr="00D31C86">
        <w:trPr>
          <w:trHeight w:val="397"/>
          <w:jc w:val="center"/>
        </w:trPr>
        <w:tc>
          <w:tcPr>
            <w:tcW w:w="3885" w:type="dxa"/>
            <w:tcBorders>
              <w:bottom w:val="nil"/>
            </w:tcBorders>
            <w:tcMar>
              <w:top w:w="0" w:type="dxa"/>
              <w:left w:w="57" w:type="dxa"/>
              <w:bottom w:w="0" w:type="dxa"/>
              <w:right w:w="57" w:type="dxa"/>
            </w:tcMar>
            <w:vAlign w:val="center"/>
          </w:tcPr>
          <w:p w:rsidR="00C7222A" w:rsidRPr="00D34BE8" w:rsidRDefault="00C7222A" w:rsidP="00D34BE8">
            <w:pPr>
              <w:spacing w:after="0" w:line="360" w:lineRule="auto"/>
              <w:jc w:val="both"/>
              <w:textAlignment w:val="center"/>
              <w:rPr>
                <w:rFonts w:ascii="Book Antiqua" w:eastAsia="宋体" w:hAnsi="Book Antiqua"/>
                <w:sz w:val="20"/>
                <w:szCs w:val="20"/>
              </w:rPr>
            </w:pPr>
            <w:r w:rsidRPr="00D34BE8">
              <w:rPr>
                <w:rStyle w:val="font41"/>
                <w:rFonts w:ascii="Book Antiqua" w:eastAsia="宋体" w:hAnsi="Book Antiqua"/>
                <w:color w:val="auto"/>
                <w:sz w:val="20"/>
                <w:szCs w:val="20"/>
              </w:rPr>
              <w:t>CTLV</w:t>
            </w:r>
            <w:r w:rsidR="00B5478B">
              <w:rPr>
                <w:rStyle w:val="font41"/>
                <w:rFonts w:ascii="Book Antiqua" w:eastAsia="宋体" w:hAnsi="Book Antiqua"/>
                <w:color w:val="auto"/>
                <w:sz w:val="20"/>
                <w:szCs w:val="20"/>
              </w:rPr>
              <w:t xml:space="preserve">, </w:t>
            </w:r>
            <w:r w:rsidRPr="00D34BE8">
              <w:rPr>
                <w:rStyle w:val="font41"/>
                <w:rFonts w:ascii="Book Antiqua" w:eastAsia="宋体" w:hAnsi="Book Antiqua"/>
                <w:color w:val="auto"/>
                <w:sz w:val="20"/>
                <w:szCs w:val="20"/>
              </w:rPr>
              <w:t>cm</w:t>
            </w:r>
            <w:r w:rsidRPr="00D34BE8">
              <w:rPr>
                <w:rStyle w:val="font41"/>
                <w:rFonts w:ascii="Book Antiqua" w:eastAsia="宋体" w:hAnsi="Book Antiqua"/>
                <w:color w:val="auto"/>
                <w:sz w:val="20"/>
                <w:szCs w:val="20"/>
                <w:vertAlign w:val="superscript"/>
              </w:rPr>
              <w:t>3</w:t>
            </w:r>
          </w:p>
        </w:tc>
        <w:tc>
          <w:tcPr>
            <w:tcW w:w="1842" w:type="dxa"/>
            <w:tcBorders>
              <w:bottom w:val="nil"/>
            </w:tcBorders>
            <w:tcMar>
              <w:top w:w="0" w:type="dxa"/>
              <w:left w:w="57" w:type="dxa"/>
              <w:bottom w:w="0" w:type="dxa"/>
              <w:right w:w="57" w:type="dxa"/>
            </w:tcMar>
            <w:vAlign w:val="center"/>
          </w:tcPr>
          <w:p w:rsidR="00C7222A" w:rsidRPr="00D34BE8" w:rsidRDefault="00C7222A" w:rsidP="00D34BE8">
            <w:pPr>
              <w:spacing w:after="0" w:line="360" w:lineRule="auto"/>
              <w:jc w:val="both"/>
              <w:textAlignment w:val="center"/>
              <w:rPr>
                <w:rFonts w:ascii="Book Antiqua" w:eastAsia="宋体" w:hAnsi="Book Antiqua"/>
                <w:sz w:val="20"/>
                <w:szCs w:val="20"/>
              </w:rPr>
            </w:pPr>
            <w:r w:rsidRPr="00D34BE8">
              <w:rPr>
                <w:rFonts w:ascii="Book Antiqua" w:eastAsia="宋体" w:hAnsi="Book Antiqua"/>
                <w:sz w:val="20"/>
                <w:szCs w:val="20"/>
              </w:rPr>
              <w:t>901.95</w:t>
            </w:r>
            <w:r w:rsidR="00D31C86" w:rsidRPr="00D34BE8">
              <w:rPr>
                <w:rFonts w:ascii="Book Antiqua" w:eastAsia="宋体" w:hAnsi="Book Antiqua"/>
                <w:sz w:val="20"/>
                <w:szCs w:val="20"/>
              </w:rPr>
              <w:t xml:space="preserve"> ± </w:t>
            </w:r>
            <w:r w:rsidRPr="00D34BE8">
              <w:rPr>
                <w:rFonts w:ascii="Book Antiqua" w:eastAsia="宋体" w:hAnsi="Book Antiqua"/>
                <w:sz w:val="20"/>
                <w:szCs w:val="20"/>
              </w:rPr>
              <w:t>219.00</w:t>
            </w:r>
          </w:p>
        </w:tc>
        <w:tc>
          <w:tcPr>
            <w:tcW w:w="1858" w:type="dxa"/>
            <w:tcBorders>
              <w:bottom w:val="nil"/>
            </w:tcBorders>
            <w:tcMar>
              <w:top w:w="0" w:type="dxa"/>
              <w:left w:w="57" w:type="dxa"/>
              <w:bottom w:w="0" w:type="dxa"/>
              <w:right w:w="57" w:type="dxa"/>
            </w:tcMar>
            <w:vAlign w:val="center"/>
          </w:tcPr>
          <w:p w:rsidR="00C7222A" w:rsidRPr="00D34BE8" w:rsidRDefault="00C7222A" w:rsidP="00D34BE8">
            <w:pPr>
              <w:spacing w:after="0" w:line="360" w:lineRule="auto"/>
              <w:jc w:val="both"/>
              <w:textAlignment w:val="center"/>
              <w:rPr>
                <w:rFonts w:ascii="Book Antiqua" w:eastAsia="宋体" w:hAnsi="Book Antiqua"/>
                <w:sz w:val="20"/>
                <w:szCs w:val="20"/>
              </w:rPr>
            </w:pPr>
            <w:r w:rsidRPr="00D34BE8">
              <w:rPr>
                <w:rFonts w:ascii="Book Antiqua" w:eastAsia="宋体" w:hAnsi="Book Antiqua"/>
                <w:sz w:val="20"/>
                <w:szCs w:val="20"/>
              </w:rPr>
              <w:t>935.18</w:t>
            </w:r>
            <w:r w:rsidR="00D31C86" w:rsidRPr="00D34BE8">
              <w:rPr>
                <w:rFonts w:ascii="Book Antiqua" w:eastAsia="宋体" w:hAnsi="Book Antiqua"/>
                <w:sz w:val="20"/>
                <w:szCs w:val="20"/>
              </w:rPr>
              <w:t xml:space="preserve"> ± </w:t>
            </w:r>
            <w:r w:rsidRPr="00D34BE8">
              <w:rPr>
                <w:rFonts w:ascii="Book Antiqua" w:eastAsia="宋体" w:hAnsi="Book Antiqua"/>
                <w:sz w:val="20"/>
                <w:szCs w:val="20"/>
              </w:rPr>
              <w:t>299.83</w:t>
            </w:r>
          </w:p>
        </w:tc>
        <w:tc>
          <w:tcPr>
            <w:tcW w:w="0" w:type="auto"/>
            <w:tcBorders>
              <w:bottom w:val="nil"/>
            </w:tcBorders>
            <w:tcMar>
              <w:top w:w="0" w:type="dxa"/>
              <w:left w:w="57" w:type="dxa"/>
              <w:bottom w:w="0" w:type="dxa"/>
              <w:right w:w="57" w:type="dxa"/>
            </w:tcMar>
            <w:vAlign w:val="center"/>
          </w:tcPr>
          <w:p w:rsidR="00C7222A" w:rsidRPr="00D34BE8" w:rsidRDefault="00C7222A" w:rsidP="00D34BE8">
            <w:pPr>
              <w:spacing w:after="0" w:line="360" w:lineRule="auto"/>
              <w:jc w:val="both"/>
              <w:rPr>
                <w:rFonts w:ascii="Book Antiqua" w:eastAsia="宋体" w:hAnsi="Book Antiqua"/>
                <w:sz w:val="20"/>
                <w:szCs w:val="20"/>
              </w:rPr>
            </w:pPr>
            <w:r w:rsidRPr="00D34BE8">
              <w:rPr>
                <w:rFonts w:ascii="Book Antiqua" w:eastAsia="宋体" w:hAnsi="Book Antiqua"/>
                <w:sz w:val="20"/>
                <w:szCs w:val="20"/>
              </w:rPr>
              <w:t>0.66</w:t>
            </w:r>
          </w:p>
        </w:tc>
      </w:tr>
      <w:tr w:rsidR="00C7222A" w:rsidRPr="00D34BE8" w:rsidTr="00D31C86">
        <w:trPr>
          <w:trHeight w:val="397"/>
          <w:jc w:val="center"/>
        </w:trPr>
        <w:tc>
          <w:tcPr>
            <w:tcW w:w="3885" w:type="dxa"/>
            <w:tcBorders>
              <w:top w:val="nil"/>
              <w:left w:val="nil"/>
              <w:bottom w:val="nil"/>
              <w:right w:val="nil"/>
            </w:tcBorders>
            <w:tcMar>
              <w:top w:w="0" w:type="dxa"/>
              <w:left w:w="57" w:type="dxa"/>
              <w:bottom w:w="0" w:type="dxa"/>
              <w:right w:w="57" w:type="dxa"/>
            </w:tcMar>
            <w:vAlign w:val="center"/>
          </w:tcPr>
          <w:p w:rsidR="00C7222A" w:rsidRPr="00D34BE8" w:rsidRDefault="00C7222A" w:rsidP="00D34BE8">
            <w:pPr>
              <w:spacing w:after="0" w:line="360" w:lineRule="auto"/>
              <w:jc w:val="both"/>
              <w:textAlignment w:val="center"/>
              <w:rPr>
                <w:rStyle w:val="font41"/>
                <w:rFonts w:ascii="Book Antiqua" w:eastAsia="宋体" w:hAnsi="Book Antiqua"/>
                <w:color w:val="auto"/>
                <w:sz w:val="20"/>
                <w:szCs w:val="20"/>
              </w:rPr>
            </w:pPr>
            <w:r w:rsidRPr="00D34BE8">
              <w:rPr>
                <w:rStyle w:val="font41"/>
                <w:rFonts w:ascii="Book Antiqua" w:eastAsia="宋体" w:hAnsi="Book Antiqua"/>
                <w:color w:val="auto"/>
                <w:sz w:val="20"/>
                <w:szCs w:val="20"/>
              </w:rPr>
              <w:t>CTSV</w:t>
            </w:r>
            <w:r w:rsidR="00B5478B">
              <w:rPr>
                <w:rStyle w:val="font41"/>
                <w:rFonts w:ascii="Book Antiqua" w:eastAsia="宋体" w:hAnsi="Book Antiqua"/>
                <w:color w:val="auto"/>
                <w:sz w:val="20"/>
                <w:szCs w:val="20"/>
              </w:rPr>
              <w:t xml:space="preserve">, </w:t>
            </w:r>
            <w:r w:rsidRPr="00D34BE8">
              <w:rPr>
                <w:rStyle w:val="font41"/>
                <w:rFonts w:ascii="Book Antiqua" w:eastAsia="宋体" w:hAnsi="Book Antiqua"/>
                <w:color w:val="auto"/>
                <w:sz w:val="20"/>
                <w:szCs w:val="20"/>
              </w:rPr>
              <w:t>cm</w:t>
            </w:r>
            <w:r w:rsidRPr="00D34BE8">
              <w:rPr>
                <w:rStyle w:val="font41"/>
                <w:rFonts w:ascii="Book Antiqua" w:eastAsia="宋体" w:hAnsi="Book Antiqua"/>
                <w:color w:val="auto"/>
                <w:sz w:val="20"/>
                <w:szCs w:val="20"/>
                <w:vertAlign w:val="superscript"/>
              </w:rPr>
              <w:t>3</w:t>
            </w:r>
          </w:p>
        </w:tc>
        <w:tc>
          <w:tcPr>
            <w:tcW w:w="1842" w:type="dxa"/>
            <w:tcBorders>
              <w:top w:val="nil"/>
              <w:left w:val="nil"/>
              <w:bottom w:val="nil"/>
              <w:right w:val="nil"/>
            </w:tcBorders>
            <w:tcMar>
              <w:top w:w="0" w:type="dxa"/>
              <w:left w:w="57" w:type="dxa"/>
              <w:bottom w:w="0" w:type="dxa"/>
              <w:right w:w="57" w:type="dxa"/>
            </w:tcMar>
            <w:vAlign w:val="center"/>
          </w:tcPr>
          <w:p w:rsidR="00C7222A" w:rsidRPr="00D34BE8" w:rsidRDefault="00C7222A" w:rsidP="00D34BE8">
            <w:pPr>
              <w:spacing w:after="0" w:line="360" w:lineRule="auto"/>
              <w:jc w:val="both"/>
              <w:textAlignment w:val="center"/>
              <w:rPr>
                <w:rFonts w:ascii="Book Antiqua" w:eastAsia="宋体" w:hAnsi="Book Antiqua"/>
                <w:sz w:val="20"/>
                <w:szCs w:val="20"/>
              </w:rPr>
            </w:pPr>
            <w:r w:rsidRPr="00D34BE8">
              <w:rPr>
                <w:rFonts w:ascii="Book Antiqua" w:eastAsia="宋体" w:hAnsi="Book Antiqua"/>
                <w:sz w:val="20"/>
                <w:szCs w:val="20"/>
              </w:rPr>
              <w:t>917.30</w:t>
            </w:r>
            <w:r w:rsidR="00D31C86" w:rsidRPr="00D34BE8">
              <w:rPr>
                <w:rFonts w:ascii="Book Antiqua" w:eastAsia="宋体" w:hAnsi="Book Antiqua"/>
                <w:sz w:val="20"/>
                <w:szCs w:val="20"/>
              </w:rPr>
              <w:t xml:space="preserve"> ± </w:t>
            </w:r>
            <w:r w:rsidRPr="00D34BE8">
              <w:rPr>
                <w:rFonts w:ascii="Book Antiqua" w:eastAsia="宋体" w:hAnsi="Book Antiqua"/>
                <w:sz w:val="20"/>
                <w:szCs w:val="20"/>
              </w:rPr>
              <w:t>394.37</w:t>
            </w:r>
          </w:p>
        </w:tc>
        <w:tc>
          <w:tcPr>
            <w:tcW w:w="1858" w:type="dxa"/>
            <w:tcBorders>
              <w:top w:val="nil"/>
              <w:left w:val="nil"/>
              <w:bottom w:val="nil"/>
              <w:right w:val="nil"/>
            </w:tcBorders>
            <w:tcMar>
              <w:top w:w="0" w:type="dxa"/>
              <w:left w:w="57" w:type="dxa"/>
              <w:bottom w:w="0" w:type="dxa"/>
              <w:right w:w="57" w:type="dxa"/>
            </w:tcMar>
            <w:vAlign w:val="center"/>
          </w:tcPr>
          <w:p w:rsidR="00C7222A" w:rsidRPr="00D34BE8" w:rsidRDefault="00C7222A" w:rsidP="00D34BE8">
            <w:pPr>
              <w:spacing w:after="0" w:line="360" w:lineRule="auto"/>
              <w:jc w:val="both"/>
              <w:textAlignment w:val="center"/>
              <w:rPr>
                <w:rFonts w:ascii="Book Antiqua" w:eastAsia="宋体" w:hAnsi="Book Antiqua"/>
                <w:sz w:val="20"/>
                <w:szCs w:val="20"/>
              </w:rPr>
            </w:pPr>
            <w:r w:rsidRPr="00D34BE8">
              <w:rPr>
                <w:rFonts w:ascii="Book Antiqua" w:eastAsia="宋体" w:hAnsi="Book Antiqua"/>
                <w:sz w:val="20"/>
                <w:szCs w:val="20"/>
              </w:rPr>
              <w:t>546.00</w:t>
            </w:r>
            <w:r w:rsidR="00D31C86" w:rsidRPr="00D34BE8">
              <w:rPr>
                <w:rFonts w:ascii="Book Antiqua" w:eastAsia="宋体" w:hAnsi="Book Antiqua"/>
                <w:sz w:val="20"/>
                <w:szCs w:val="20"/>
              </w:rPr>
              <w:t xml:space="preserve"> ± </w:t>
            </w:r>
            <w:r w:rsidRPr="00D34BE8">
              <w:rPr>
                <w:rFonts w:ascii="Book Antiqua" w:eastAsia="宋体" w:hAnsi="Book Antiqua"/>
                <w:sz w:val="20"/>
                <w:szCs w:val="20"/>
              </w:rPr>
              <w:t>375.35</w:t>
            </w:r>
          </w:p>
        </w:tc>
        <w:tc>
          <w:tcPr>
            <w:tcW w:w="0" w:type="auto"/>
            <w:tcBorders>
              <w:top w:val="nil"/>
              <w:left w:val="nil"/>
              <w:bottom w:val="nil"/>
              <w:right w:val="nil"/>
            </w:tcBorders>
            <w:tcMar>
              <w:top w:w="0" w:type="dxa"/>
              <w:left w:w="57" w:type="dxa"/>
              <w:bottom w:w="0" w:type="dxa"/>
              <w:right w:w="57" w:type="dxa"/>
            </w:tcMar>
            <w:vAlign w:val="center"/>
          </w:tcPr>
          <w:p w:rsidR="00C7222A" w:rsidRPr="00D34BE8" w:rsidRDefault="009A7541" w:rsidP="00D34BE8">
            <w:pPr>
              <w:spacing w:after="0" w:line="360" w:lineRule="auto"/>
              <w:jc w:val="both"/>
              <w:rPr>
                <w:rFonts w:ascii="Book Antiqua" w:eastAsia="宋体" w:hAnsi="Book Antiqua"/>
                <w:sz w:val="20"/>
                <w:szCs w:val="20"/>
              </w:rPr>
            </w:pPr>
            <w:r w:rsidRPr="00D34BE8">
              <w:rPr>
                <w:rFonts w:ascii="Book Antiqua" w:eastAsia="宋体" w:hAnsi="Book Antiqua"/>
                <w:sz w:val="20"/>
                <w:szCs w:val="20"/>
              </w:rPr>
              <w:t>&lt;</w:t>
            </w:r>
            <w:r w:rsidR="00D31C86" w:rsidRPr="00D34BE8">
              <w:rPr>
                <w:rFonts w:ascii="Book Antiqua" w:eastAsia="宋体" w:hAnsi="Book Antiqua"/>
                <w:sz w:val="20"/>
                <w:szCs w:val="20"/>
              </w:rPr>
              <w:t xml:space="preserve"> </w:t>
            </w:r>
            <w:r w:rsidR="00C7222A" w:rsidRPr="00D34BE8">
              <w:rPr>
                <w:rFonts w:ascii="Book Antiqua" w:eastAsia="宋体" w:hAnsi="Book Antiqua"/>
                <w:sz w:val="20"/>
                <w:szCs w:val="20"/>
              </w:rPr>
              <w:t>0.01</w:t>
            </w:r>
          </w:p>
        </w:tc>
      </w:tr>
      <w:tr w:rsidR="00C7222A" w:rsidRPr="00D34BE8" w:rsidTr="00D31C86">
        <w:trPr>
          <w:trHeight w:val="397"/>
          <w:jc w:val="center"/>
        </w:trPr>
        <w:tc>
          <w:tcPr>
            <w:tcW w:w="3885" w:type="dxa"/>
            <w:tcBorders>
              <w:top w:val="nil"/>
              <w:left w:val="nil"/>
              <w:bottom w:val="nil"/>
              <w:right w:val="nil"/>
            </w:tcBorders>
            <w:tcMar>
              <w:top w:w="0" w:type="dxa"/>
              <w:left w:w="57" w:type="dxa"/>
              <w:bottom w:w="0" w:type="dxa"/>
              <w:right w:w="57" w:type="dxa"/>
            </w:tcMar>
            <w:vAlign w:val="center"/>
          </w:tcPr>
          <w:p w:rsidR="00C7222A" w:rsidRPr="00D34BE8" w:rsidRDefault="00C7222A" w:rsidP="00D34BE8">
            <w:pPr>
              <w:spacing w:after="0" w:line="360" w:lineRule="auto"/>
              <w:jc w:val="both"/>
              <w:textAlignment w:val="center"/>
              <w:rPr>
                <w:rStyle w:val="font41"/>
                <w:rFonts w:ascii="Book Antiqua" w:eastAsia="宋体" w:hAnsi="Book Antiqua"/>
                <w:color w:val="auto"/>
                <w:sz w:val="20"/>
                <w:szCs w:val="20"/>
              </w:rPr>
            </w:pPr>
            <w:r w:rsidRPr="00D34BE8">
              <w:rPr>
                <w:rStyle w:val="font41"/>
                <w:rFonts w:ascii="Book Antiqua" w:eastAsia="宋体" w:hAnsi="Book Antiqua"/>
                <w:color w:val="auto"/>
                <w:sz w:val="20"/>
                <w:szCs w:val="20"/>
              </w:rPr>
              <w:t>Ratio of liver and spleen volume</w:t>
            </w:r>
          </w:p>
        </w:tc>
        <w:tc>
          <w:tcPr>
            <w:tcW w:w="1842" w:type="dxa"/>
            <w:tcBorders>
              <w:top w:val="nil"/>
              <w:left w:val="nil"/>
              <w:bottom w:val="nil"/>
              <w:right w:val="nil"/>
            </w:tcBorders>
            <w:tcMar>
              <w:top w:w="0" w:type="dxa"/>
              <w:left w:w="57" w:type="dxa"/>
              <w:bottom w:w="0" w:type="dxa"/>
              <w:right w:w="57" w:type="dxa"/>
            </w:tcMar>
            <w:vAlign w:val="center"/>
          </w:tcPr>
          <w:p w:rsidR="00C7222A" w:rsidRPr="00D34BE8" w:rsidRDefault="00C7222A" w:rsidP="00D34BE8">
            <w:pPr>
              <w:spacing w:after="0" w:line="360" w:lineRule="auto"/>
              <w:jc w:val="both"/>
              <w:textAlignment w:val="center"/>
              <w:rPr>
                <w:rFonts w:ascii="Book Antiqua" w:eastAsia="宋体" w:hAnsi="Book Antiqua"/>
                <w:sz w:val="20"/>
                <w:szCs w:val="20"/>
              </w:rPr>
            </w:pPr>
            <w:r w:rsidRPr="00D34BE8">
              <w:rPr>
                <w:rFonts w:ascii="Book Antiqua" w:eastAsia="宋体" w:hAnsi="Book Antiqua"/>
                <w:sz w:val="20"/>
                <w:szCs w:val="20"/>
              </w:rPr>
              <w:t>1.18</w:t>
            </w:r>
            <w:r w:rsidR="00D31C86" w:rsidRPr="00D34BE8">
              <w:rPr>
                <w:rFonts w:ascii="Book Antiqua" w:eastAsia="宋体" w:hAnsi="Book Antiqua"/>
                <w:sz w:val="20"/>
                <w:szCs w:val="20"/>
              </w:rPr>
              <w:t xml:space="preserve"> ± </w:t>
            </w:r>
            <w:r w:rsidRPr="00D34BE8">
              <w:rPr>
                <w:rFonts w:ascii="Book Antiqua" w:eastAsia="宋体" w:hAnsi="Book Antiqua"/>
                <w:sz w:val="20"/>
                <w:szCs w:val="20"/>
              </w:rPr>
              <w:t>0.57</w:t>
            </w:r>
          </w:p>
        </w:tc>
        <w:tc>
          <w:tcPr>
            <w:tcW w:w="1858" w:type="dxa"/>
            <w:tcBorders>
              <w:top w:val="nil"/>
              <w:left w:val="nil"/>
              <w:bottom w:val="nil"/>
              <w:right w:val="nil"/>
            </w:tcBorders>
            <w:tcMar>
              <w:top w:w="0" w:type="dxa"/>
              <w:left w:w="57" w:type="dxa"/>
              <w:bottom w:w="0" w:type="dxa"/>
              <w:right w:w="57" w:type="dxa"/>
            </w:tcMar>
            <w:vAlign w:val="center"/>
          </w:tcPr>
          <w:p w:rsidR="00C7222A" w:rsidRPr="00D34BE8" w:rsidRDefault="00C7222A" w:rsidP="00D34BE8">
            <w:pPr>
              <w:spacing w:after="0" w:line="360" w:lineRule="auto"/>
              <w:jc w:val="both"/>
              <w:textAlignment w:val="center"/>
              <w:rPr>
                <w:rFonts w:ascii="Book Antiqua" w:eastAsia="宋体" w:hAnsi="Book Antiqua"/>
                <w:sz w:val="20"/>
                <w:szCs w:val="20"/>
              </w:rPr>
            </w:pPr>
            <w:r w:rsidRPr="00D34BE8">
              <w:rPr>
                <w:rFonts w:ascii="Book Antiqua" w:eastAsia="宋体" w:hAnsi="Book Antiqua"/>
                <w:sz w:val="20"/>
                <w:szCs w:val="20"/>
              </w:rPr>
              <w:t>3.16</w:t>
            </w:r>
            <w:r w:rsidR="00D31C86" w:rsidRPr="00D34BE8">
              <w:rPr>
                <w:rFonts w:ascii="Book Antiqua" w:eastAsia="宋体" w:hAnsi="Book Antiqua"/>
                <w:sz w:val="20"/>
                <w:szCs w:val="20"/>
              </w:rPr>
              <w:t xml:space="preserve"> ± </w:t>
            </w:r>
            <w:r w:rsidRPr="00D34BE8">
              <w:rPr>
                <w:rFonts w:ascii="Book Antiqua" w:eastAsia="宋体" w:hAnsi="Book Antiqua"/>
                <w:sz w:val="20"/>
                <w:szCs w:val="20"/>
              </w:rPr>
              <w:t>5.25</w:t>
            </w:r>
          </w:p>
        </w:tc>
        <w:tc>
          <w:tcPr>
            <w:tcW w:w="0" w:type="auto"/>
            <w:tcBorders>
              <w:top w:val="nil"/>
              <w:left w:val="nil"/>
              <w:bottom w:val="nil"/>
              <w:right w:val="nil"/>
            </w:tcBorders>
            <w:tcMar>
              <w:top w:w="0" w:type="dxa"/>
              <w:left w:w="57" w:type="dxa"/>
              <w:bottom w:w="0" w:type="dxa"/>
              <w:right w:w="57" w:type="dxa"/>
            </w:tcMar>
            <w:vAlign w:val="center"/>
          </w:tcPr>
          <w:p w:rsidR="00C7222A" w:rsidRPr="00D34BE8" w:rsidRDefault="009A7541" w:rsidP="00D34BE8">
            <w:pPr>
              <w:spacing w:after="0" w:line="360" w:lineRule="auto"/>
              <w:jc w:val="both"/>
              <w:rPr>
                <w:rFonts w:ascii="Book Antiqua" w:eastAsia="宋体" w:hAnsi="Book Antiqua"/>
                <w:sz w:val="20"/>
                <w:szCs w:val="20"/>
              </w:rPr>
            </w:pPr>
            <w:r w:rsidRPr="00D34BE8">
              <w:rPr>
                <w:rFonts w:ascii="Book Antiqua" w:eastAsia="宋体" w:hAnsi="Book Antiqua"/>
                <w:sz w:val="20"/>
                <w:szCs w:val="20"/>
              </w:rPr>
              <w:t>&lt;</w:t>
            </w:r>
            <w:r w:rsidR="00D31C86" w:rsidRPr="00D34BE8">
              <w:rPr>
                <w:rFonts w:ascii="Book Antiqua" w:eastAsia="宋体" w:hAnsi="Book Antiqua"/>
                <w:sz w:val="20"/>
                <w:szCs w:val="20"/>
              </w:rPr>
              <w:t xml:space="preserve"> </w:t>
            </w:r>
            <w:r w:rsidR="00C7222A" w:rsidRPr="00D34BE8">
              <w:rPr>
                <w:rFonts w:ascii="Book Antiqua" w:eastAsia="宋体" w:hAnsi="Book Antiqua"/>
                <w:sz w:val="20"/>
                <w:szCs w:val="20"/>
              </w:rPr>
              <w:t>0.01</w:t>
            </w:r>
          </w:p>
        </w:tc>
      </w:tr>
      <w:tr w:rsidR="00C7222A" w:rsidRPr="00D34BE8" w:rsidTr="00D31C86">
        <w:trPr>
          <w:trHeight w:val="314"/>
          <w:jc w:val="center"/>
        </w:trPr>
        <w:tc>
          <w:tcPr>
            <w:tcW w:w="3885" w:type="dxa"/>
            <w:tcBorders>
              <w:top w:val="nil"/>
              <w:left w:val="nil"/>
              <w:right w:val="nil"/>
            </w:tcBorders>
            <w:tcMar>
              <w:top w:w="0" w:type="dxa"/>
              <w:left w:w="57" w:type="dxa"/>
              <w:bottom w:w="0" w:type="dxa"/>
              <w:right w:w="57" w:type="dxa"/>
            </w:tcMar>
            <w:vAlign w:val="center"/>
          </w:tcPr>
          <w:p w:rsidR="00C7222A" w:rsidRPr="00D34BE8" w:rsidRDefault="00C7222A" w:rsidP="00D34BE8">
            <w:pPr>
              <w:spacing w:after="0" w:line="360" w:lineRule="auto"/>
              <w:jc w:val="both"/>
              <w:textAlignment w:val="center"/>
              <w:rPr>
                <w:rStyle w:val="font41"/>
                <w:rFonts w:ascii="Book Antiqua" w:eastAsia="宋体" w:hAnsi="Book Antiqua"/>
                <w:color w:val="auto"/>
                <w:sz w:val="20"/>
                <w:szCs w:val="20"/>
              </w:rPr>
            </w:pPr>
            <w:r w:rsidRPr="00D34BE8">
              <w:rPr>
                <w:rFonts w:ascii="Book Antiqua" w:eastAsia="宋体" w:hAnsi="Book Antiqua"/>
                <w:sz w:val="20"/>
                <w:szCs w:val="20"/>
              </w:rPr>
              <w:t>SSV</w:t>
            </w:r>
            <w:r w:rsidR="00B5478B">
              <w:rPr>
                <w:rFonts w:ascii="Book Antiqua" w:eastAsia="宋体" w:hAnsi="Book Antiqua"/>
                <w:sz w:val="20"/>
                <w:szCs w:val="20"/>
              </w:rPr>
              <w:t xml:space="preserve">, </w:t>
            </w:r>
            <w:r w:rsidRPr="00D34BE8">
              <w:rPr>
                <w:rStyle w:val="font41"/>
                <w:rFonts w:ascii="Book Antiqua" w:eastAsia="宋体" w:hAnsi="Book Antiqua"/>
                <w:color w:val="auto"/>
                <w:sz w:val="20"/>
                <w:szCs w:val="20"/>
              </w:rPr>
              <w:t>cm</w:t>
            </w:r>
            <w:r w:rsidRPr="00D34BE8">
              <w:rPr>
                <w:rStyle w:val="font41"/>
                <w:rFonts w:ascii="Book Antiqua" w:eastAsia="宋体" w:hAnsi="Book Antiqua"/>
                <w:color w:val="auto"/>
                <w:sz w:val="20"/>
                <w:szCs w:val="20"/>
                <w:vertAlign w:val="superscript"/>
              </w:rPr>
              <w:t>3</w:t>
            </w:r>
          </w:p>
        </w:tc>
        <w:tc>
          <w:tcPr>
            <w:tcW w:w="1842" w:type="dxa"/>
            <w:tcBorders>
              <w:top w:val="nil"/>
              <w:left w:val="nil"/>
              <w:right w:val="nil"/>
            </w:tcBorders>
            <w:tcMar>
              <w:top w:w="0" w:type="dxa"/>
              <w:left w:w="57" w:type="dxa"/>
              <w:bottom w:w="0" w:type="dxa"/>
              <w:right w:w="57" w:type="dxa"/>
            </w:tcMar>
            <w:vAlign w:val="center"/>
          </w:tcPr>
          <w:p w:rsidR="00C7222A" w:rsidRPr="00D34BE8" w:rsidRDefault="00C7222A" w:rsidP="00D34BE8">
            <w:pPr>
              <w:spacing w:after="0" w:line="360" w:lineRule="auto"/>
              <w:jc w:val="both"/>
              <w:textAlignment w:val="center"/>
              <w:rPr>
                <w:rFonts w:ascii="Book Antiqua" w:eastAsia="宋体" w:hAnsi="Book Antiqua"/>
                <w:sz w:val="20"/>
                <w:szCs w:val="20"/>
              </w:rPr>
            </w:pPr>
            <w:r w:rsidRPr="00D34BE8">
              <w:rPr>
                <w:rFonts w:ascii="Book Antiqua" w:eastAsia="宋体" w:hAnsi="Book Antiqua"/>
                <w:sz w:val="20"/>
                <w:szCs w:val="20"/>
              </w:rPr>
              <w:t>177.03</w:t>
            </w:r>
            <w:r w:rsidR="00D31C86" w:rsidRPr="00D34BE8">
              <w:rPr>
                <w:rFonts w:ascii="Book Antiqua" w:eastAsia="宋体" w:hAnsi="Book Antiqua"/>
                <w:sz w:val="20"/>
                <w:szCs w:val="20"/>
              </w:rPr>
              <w:t xml:space="preserve"> ± </w:t>
            </w:r>
            <w:r w:rsidRPr="00D34BE8">
              <w:rPr>
                <w:rFonts w:ascii="Book Antiqua" w:eastAsia="宋体" w:hAnsi="Book Antiqua"/>
                <w:sz w:val="20"/>
                <w:szCs w:val="20"/>
              </w:rPr>
              <w:t>33.41</w:t>
            </w:r>
          </w:p>
        </w:tc>
        <w:tc>
          <w:tcPr>
            <w:tcW w:w="1858" w:type="dxa"/>
            <w:tcBorders>
              <w:top w:val="nil"/>
              <w:left w:val="nil"/>
              <w:right w:val="nil"/>
            </w:tcBorders>
            <w:tcMar>
              <w:top w:w="0" w:type="dxa"/>
              <w:left w:w="57" w:type="dxa"/>
              <w:bottom w:w="0" w:type="dxa"/>
              <w:right w:w="57" w:type="dxa"/>
            </w:tcMar>
            <w:vAlign w:val="center"/>
          </w:tcPr>
          <w:p w:rsidR="00C7222A" w:rsidRPr="00D34BE8" w:rsidRDefault="00C7222A" w:rsidP="00D34BE8">
            <w:pPr>
              <w:spacing w:after="0" w:line="360" w:lineRule="auto"/>
              <w:jc w:val="both"/>
              <w:textAlignment w:val="center"/>
              <w:rPr>
                <w:rFonts w:ascii="Book Antiqua" w:eastAsia="宋体" w:hAnsi="Book Antiqua"/>
                <w:sz w:val="20"/>
                <w:szCs w:val="20"/>
              </w:rPr>
            </w:pPr>
            <w:r w:rsidRPr="00D34BE8">
              <w:rPr>
                <w:rFonts w:ascii="Book Antiqua" w:eastAsia="宋体" w:hAnsi="Book Antiqua"/>
                <w:sz w:val="20"/>
                <w:szCs w:val="20"/>
              </w:rPr>
              <w:t>175.34</w:t>
            </w:r>
            <w:r w:rsidR="00D31C86" w:rsidRPr="00D34BE8">
              <w:rPr>
                <w:rFonts w:ascii="Book Antiqua" w:eastAsia="宋体" w:hAnsi="Book Antiqua"/>
                <w:sz w:val="20"/>
                <w:szCs w:val="20"/>
              </w:rPr>
              <w:t xml:space="preserve"> ± </w:t>
            </w:r>
            <w:r w:rsidRPr="00D34BE8">
              <w:rPr>
                <w:rFonts w:ascii="Book Antiqua" w:eastAsia="宋体" w:hAnsi="Book Antiqua"/>
                <w:sz w:val="20"/>
                <w:szCs w:val="20"/>
              </w:rPr>
              <w:t>29.76</w:t>
            </w:r>
          </w:p>
        </w:tc>
        <w:tc>
          <w:tcPr>
            <w:tcW w:w="0" w:type="auto"/>
            <w:tcBorders>
              <w:top w:val="nil"/>
              <w:left w:val="nil"/>
              <w:right w:val="nil"/>
            </w:tcBorders>
            <w:tcMar>
              <w:top w:w="0" w:type="dxa"/>
              <w:left w:w="57" w:type="dxa"/>
              <w:bottom w:w="0" w:type="dxa"/>
              <w:right w:w="57" w:type="dxa"/>
            </w:tcMar>
            <w:vAlign w:val="center"/>
          </w:tcPr>
          <w:p w:rsidR="00C7222A" w:rsidRPr="00D34BE8" w:rsidRDefault="00C7222A" w:rsidP="00D34BE8">
            <w:pPr>
              <w:spacing w:after="0" w:line="360" w:lineRule="auto"/>
              <w:jc w:val="both"/>
              <w:rPr>
                <w:rFonts w:ascii="Book Antiqua" w:eastAsia="宋体" w:hAnsi="Book Antiqua"/>
                <w:sz w:val="20"/>
                <w:szCs w:val="20"/>
              </w:rPr>
            </w:pPr>
            <w:r w:rsidRPr="00D34BE8">
              <w:rPr>
                <w:rFonts w:ascii="Book Antiqua" w:eastAsia="宋体" w:hAnsi="Book Antiqua"/>
                <w:sz w:val="20"/>
                <w:szCs w:val="20"/>
              </w:rPr>
              <w:t>0.81</w:t>
            </w:r>
          </w:p>
        </w:tc>
      </w:tr>
      <w:tr w:rsidR="00D31C86" w:rsidRPr="00D34BE8" w:rsidTr="00D31C86">
        <w:trPr>
          <w:trHeight w:val="265"/>
          <w:jc w:val="center"/>
        </w:trPr>
        <w:tc>
          <w:tcPr>
            <w:tcW w:w="3885" w:type="dxa"/>
            <w:tcBorders>
              <w:left w:val="nil"/>
              <w:right w:val="nil"/>
            </w:tcBorders>
            <w:tcMar>
              <w:top w:w="0" w:type="dxa"/>
              <w:left w:w="57" w:type="dxa"/>
              <w:bottom w:w="0" w:type="dxa"/>
              <w:right w:w="57" w:type="dxa"/>
            </w:tcMar>
            <w:vAlign w:val="center"/>
          </w:tcPr>
          <w:p w:rsidR="00D31C86" w:rsidRPr="00D34BE8" w:rsidRDefault="00D31C86" w:rsidP="00D34BE8">
            <w:pPr>
              <w:spacing w:after="0" w:line="360" w:lineRule="auto"/>
              <w:jc w:val="both"/>
              <w:textAlignment w:val="center"/>
              <w:rPr>
                <w:rFonts w:ascii="Book Antiqua" w:eastAsia="宋体" w:hAnsi="Book Antiqua"/>
                <w:sz w:val="20"/>
                <w:szCs w:val="20"/>
              </w:rPr>
            </w:pPr>
            <w:r w:rsidRPr="00D34BE8">
              <w:rPr>
                <w:rFonts w:ascii="Book Antiqua" w:eastAsia="宋体" w:hAnsi="Book Antiqua"/>
                <w:sz w:val="20"/>
                <w:szCs w:val="20"/>
              </w:rPr>
              <w:t>SLV</w:t>
            </w:r>
            <w:r w:rsidR="00B5478B">
              <w:rPr>
                <w:rFonts w:ascii="Book Antiqua" w:eastAsia="宋体" w:hAnsi="Book Antiqua"/>
                <w:sz w:val="20"/>
                <w:szCs w:val="20"/>
              </w:rPr>
              <w:t xml:space="preserve">, </w:t>
            </w:r>
            <w:r w:rsidRPr="00D34BE8">
              <w:rPr>
                <w:rStyle w:val="font41"/>
                <w:rFonts w:ascii="Book Antiqua" w:eastAsia="宋体" w:hAnsi="Book Antiqua"/>
                <w:color w:val="auto"/>
                <w:sz w:val="20"/>
                <w:szCs w:val="20"/>
              </w:rPr>
              <w:t>cm</w:t>
            </w:r>
            <w:r w:rsidRPr="00D34BE8">
              <w:rPr>
                <w:rStyle w:val="font41"/>
                <w:rFonts w:ascii="Book Antiqua" w:eastAsia="宋体" w:hAnsi="Book Antiqua"/>
                <w:color w:val="auto"/>
                <w:sz w:val="20"/>
                <w:szCs w:val="20"/>
                <w:vertAlign w:val="superscript"/>
              </w:rPr>
              <w:t>3</w:t>
            </w:r>
          </w:p>
        </w:tc>
        <w:tc>
          <w:tcPr>
            <w:tcW w:w="1842" w:type="dxa"/>
            <w:tcBorders>
              <w:left w:val="nil"/>
              <w:right w:val="nil"/>
            </w:tcBorders>
            <w:tcMar>
              <w:top w:w="0" w:type="dxa"/>
              <w:left w:w="57" w:type="dxa"/>
              <w:bottom w:w="0" w:type="dxa"/>
              <w:right w:w="57" w:type="dxa"/>
            </w:tcMar>
            <w:vAlign w:val="center"/>
          </w:tcPr>
          <w:p w:rsidR="00D31C86" w:rsidRPr="00D34BE8" w:rsidRDefault="00D31C86" w:rsidP="00D34BE8">
            <w:pPr>
              <w:spacing w:after="0" w:line="360" w:lineRule="auto"/>
              <w:jc w:val="both"/>
              <w:textAlignment w:val="center"/>
              <w:rPr>
                <w:rFonts w:ascii="Book Antiqua" w:eastAsia="宋体" w:hAnsi="Book Antiqua"/>
                <w:sz w:val="20"/>
                <w:szCs w:val="20"/>
              </w:rPr>
            </w:pPr>
            <w:r w:rsidRPr="00D34BE8">
              <w:rPr>
                <w:rFonts w:ascii="Book Antiqua" w:eastAsia="宋体" w:hAnsi="Book Antiqua"/>
                <w:sz w:val="20"/>
                <w:szCs w:val="20"/>
              </w:rPr>
              <w:t>1052.08 ± 151.88</w:t>
            </w:r>
          </w:p>
        </w:tc>
        <w:tc>
          <w:tcPr>
            <w:tcW w:w="1858" w:type="dxa"/>
            <w:tcBorders>
              <w:left w:val="nil"/>
              <w:right w:val="nil"/>
            </w:tcBorders>
            <w:tcMar>
              <w:top w:w="0" w:type="dxa"/>
              <w:left w:w="57" w:type="dxa"/>
              <w:bottom w:w="0" w:type="dxa"/>
              <w:right w:w="57" w:type="dxa"/>
            </w:tcMar>
            <w:vAlign w:val="center"/>
          </w:tcPr>
          <w:p w:rsidR="00D31C86" w:rsidRPr="00D34BE8" w:rsidRDefault="00D31C86" w:rsidP="00D34BE8">
            <w:pPr>
              <w:spacing w:after="0" w:line="360" w:lineRule="auto"/>
              <w:jc w:val="both"/>
              <w:textAlignment w:val="center"/>
              <w:rPr>
                <w:rFonts w:ascii="Book Antiqua" w:eastAsia="宋体" w:hAnsi="Book Antiqua"/>
                <w:sz w:val="20"/>
                <w:szCs w:val="20"/>
              </w:rPr>
            </w:pPr>
            <w:r w:rsidRPr="00D34BE8">
              <w:rPr>
                <w:rFonts w:ascii="Book Antiqua" w:eastAsia="宋体" w:hAnsi="Book Antiqua"/>
                <w:sz w:val="20"/>
                <w:szCs w:val="20"/>
              </w:rPr>
              <w:t>1044.40 ± 135.25</w:t>
            </w:r>
          </w:p>
        </w:tc>
        <w:tc>
          <w:tcPr>
            <w:tcW w:w="0" w:type="auto"/>
            <w:tcBorders>
              <w:left w:val="nil"/>
              <w:right w:val="nil"/>
            </w:tcBorders>
            <w:tcMar>
              <w:top w:w="0" w:type="dxa"/>
              <w:left w:w="57" w:type="dxa"/>
              <w:bottom w:w="0" w:type="dxa"/>
              <w:right w:w="57" w:type="dxa"/>
            </w:tcMar>
            <w:vAlign w:val="center"/>
          </w:tcPr>
          <w:p w:rsidR="00D31C86" w:rsidRPr="00D34BE8" w:rsidRDefault="00D31C86" w:rsidP="00D34BE8">
            <w:pPr>
              <w:spacing w:after="0" w:line="360" w:lineRule="auto"/>
              <w:jc w:val="both"/>
              <w:rPr>
                <w:rFonts w:ascii="Book Antiqua" w:eastAsia="宋体" w:hAnsi="Book Antiqua"/>
                <w:sz w:val="20"/>
                <w:szCs w:val="20"/>
              </w:rPr>
            </w:pPr>
            <w:r w:rsidRPr="00D34BE8">
              <w:rPr>
                <w:rFonts w:ascii="Book Antiqua" w:eastAsia="宋体" w:hAnsi="Book Antiqua"/>
                <w:sz w:val="20"/>
                <w:szCs w:val="20"/>
              </w:rPr>
              <w:t>0.80</w:t>
            </w:r>
          </w:p>
        </w:tc>
      </w:tr>
      <w:tr w:rsidR="00D31C86" w:rsidRPr="00D34BE8" w:rsidTr="00D31C86">
        <w:trPr>
          <w:trHeight w:val="554"/>
          <w:jc w:val="center"/>
        </w:trPr>
        <w:tc>
          <w:tcPr>
            <w:tcW w:w="3885" w:type="dxa"/>
            <w:tcBorders>
              <w:left w:val="nil"/>
              <w:right w:val="nil"/>
            </w:tcBorders>
            <w:tcMar>
              <w:top w:w="0" w:type="dxa"/>
              <w:left w:w="57" w:type="dxa"/>
              <w:bottom w:w="0" w:type="dxa"/>
              <w:right w:w="57" w:type="dxa"/>
            </w:tcMar>
            <w:vAlign w:val="center"/>
          </w:tcPr>
          <w:p w:rsidR="00D31C86" w:rsidRPr="00D34BE8" w:rsidRDefault="00D31C86" w:rsidP="00D34BE8">
            <w:pPr>
              <w:spacing w:after="0" w:line="360" w:lineRule="auto"/>
              <w:jc w:val="both"/>
              <w:textAlignment w:val="center"/>
              <w:rPr>
                <w:rFonts w:ascii="Book Antiqua" w:eastAsia="宋体" w:hAnsi="Book Antiqua"/>
                <w:sz w:val="20"/>
                <w:szCs w:val="20"/>
              </w:rPr>
            </w:pPr>
            <w:r w:rsidRPr="00D34BE8">
              <w:rPr>
                <w:rFonts w:ascii="Book Antiqua" w:eastAsia="宋体" w:hAnsi="Book Antiqua"/>
                <w:sz w:val="20"/>
                <w:szCs w:val="20"/>
              </w:rPr>
              <w:t xml:space="preserve">Rate of change of liver volume, % </w:t>
            </w:r>
          </w:p>
        </w:tc>
        <w:tc>
          <w:tcPr>
            <w:tcW w:w="1842" w:type="dxa"/>
            <w:tcBorders>
              <w:left w:val="nil"/>
              <w:right w:val="nil"/>
            </w:tcBorders>
            <w:tcMar>
              <w:top w:w="0" w:type="dxa"/>
              <w:left w:w="57" w:type="dxa"/>
              <w:bottom w:w="0" w:type="dxa"/>
              <w:right w:w="57" w:type="dxa"/>
            </w:tcMar>
            <w:vAlign w:val="center"/>
          </w:tcPr>
          <w:p w:rsidR="00D31C86" w:rsidRPr="00D34BE8" w:rsidRDefault="00D31C86" w:rsidP="00D34BE8">
            <w:pPr>
              <w:spacing w:after="0" w:line="360" w:lineRule="auto"/>
              <w:jc w:val="both"/>
              <w:textAlignment w:val="center"/>
              <w:rPr>
                <w:rFonts w:ascii="Book Antiqua" w:eastAsia="宋体" w:hAnsi="Book Antiqua"/>
                <w:sz w:val="20"/>
                <w:szCs w:val="20"/>
              </w:rPr>
            </w:pPr>
            <w:r w:rsidRPr="00D34BE8">
              <w:rPr>
                <w:rFonts w:ascii="Book Antiqua" w:eastAsia="宋体" w:hAnsi="Book Antiqua"/>
                <w:sz w:val="20"/>
                <w:szCs w:val="20"/>
              </w:rPr>
              <w:t>-0.14 ± 0.20</w:t>
            </w:r>
          </w:p>
        </w:tc>
        <w:tc>
          <w:tcPr>
            <w:tcW w:w="1858" w:type="dxa"/>
            <w:tcBorders>
              <w:left w:val="nil"/>
              <w:right w:val="nil"/>
            </w:tcBorders>
            <w:tcMar>
              <w:top w:w="0" w:type="dxa"/>
              <w:left w:w="57" w:type="dxa"/>
              <w:bottom w:w="0" w:type="dxa"/>
              <w:right w:w="57" w:type="dxa"/>
            </w:tcMar>
            <w:vAlign w:val="center"/>
          </w:tcPr>
          <w:p w:rsidR="00D31C86" w:rsidRPr="00D34BE8" w:rsidRDefault="00D31C86" w:rsidP="00D34BE8">
            <w:pPr>
              <w:spacing w:after="0" w:line="360" w:lineRule="auto"/>
              <w:jc w:val="both"/>
              <w:textAlignment w:val="center"/>
              <w:rPr>
                <w:rFonts w:ascii="Book Antiqua" w:eastAsia="宋体" w:hAnsi="Book Antiqua"/>
                <w:sz w:val="20"/>
                <w:szCs w:val="20"/>
              </w:rPr>
            </w:pPr>
            <w:r w:rsidRPr="00D34BE8">
              <w:rPr>
                <w:rFonts w:ascii="Book Antiqua" w:eastAsia="宋体" w:hAnsi="Book Antiqua"/>
                <w:sz w:val="20"/>
                <w:szCs w:val="20"/>
              </w:rPr>
              <w:t>-0.10 ± 0.29</w:t>
            </w:r>
          </w:p>
        </w:tc>
        <w:tc>
          <w:tcPr>
            <w:tcW w:w="0" w:type="auto"/>
            <w:tcBorders>
              <w:left w:val="nil"/>
              <w:right w:val="nil"/>
            </w:tcBorders>
            <w:tcMar>
              <w:top w:w="0" w:type="dxa"/>
              <w:left w:w="57" w:type="dxa"/>
              <w:bottom w:w="0" w:type="dxa"/>
              <w:right w:w="57" w:type="dxa"/>
            </w:tcMar>
            <w:vAlign w:val="center"/>
          </w:tcPr>
          <w:p w:rsidR="00D31C86" w:rsidRPr="00D34BE8" w:rsidRDefault="00D31C86" w:rsidP="00D34BE8">
            <w:pPr>
              <w:spacing w:after="0" w:line="360" w:lineRule="auto"/>
              <w:jc w:val="both"/>
              <w:rPr>
                <w:rFonts w:ascii="Book Antiqua" w:eastAsia="宋体" w:hAnsi="Book Antiqua"/>
                <w:sz w:val="20"/>
                <w:szCs w:val="20"/>
              </w:rPr>
            </w:pPr>
            <w:r w:rsidRPr="00D34BE8">
              <w:rPr>
                <w:rFonts w:ascii="Book Antiqua" w:eastAsia="宋体" w:hAnsi="Book Antiqua"/>
                <w:sz w:val="20"/>
                <w:szCs w:val="20"/>
              </w:rPr>
              <w:t>0.68</w:t>
            </w:r>
          </w:p>
        </w:tc>
      </w:tr>
      <w:tr w:rsidR="00C7222A" w:rsidRPr="00D34BE8" w:rsidTr="00D31C86">
        <w:trPr>
          <w:trHeight w:val="397"/>
          <w:jc w:val="center"/>
        </w:trPr>
        <w:tc>
          <w:tcPr>
            <w:tcW w:w="3885" w:type="dxa"/>
            <w:tcBorders>
              <w:top w:val="nil"/>
              <w:left w:val="nil"/>
              <w:bottom w:val="nil"/>
              <w:right w:val="nil"/>
            </w:tcBorders>
            <w:tcMar>
              <w:top w:w="0" w:type="dxa"/>
              <w:left w:w="57" w:type="dxa"/>
              <w:bottom w:w="0" w:type="dxa"/>
              <w:right w:w="57" w:type="dxa"/>
            </w:tcMar>
            <w:vAlign w:val="center"/>
          </w:tcPr>
          <w:p w:rsidR="00C7222A" w:rsidRPr="00D34BE8" w:rsidRDefault="00C7222A" w:rsidP="00D34BE8">
            <w:pPr>
              <w:spacing w:after="0" w:line="360" w:lineRule="auto"/>
              <w:jc w:val="both"/>
              <w:textAlignment w:val="center"/>
              <w:rPr>
                <w:rFonts w:ascii="Book Antiqua" w:eastAsia="宋体" w:hAnsi="Book Antiqua"/>
                <w:sz w:val="20"/>
                <w:szCs w:val="20"/>
              </w:rPr>
            </w:pPr>
            <w:r w:rsidRPr="00D34BE8">
              <w:rPr>
                <w:rFonts w:ascii="Book Antiqua" w:eastAsia="宋体" w:hAnsi="Book Antiqua"/>
                <w:sz w:val="20"/>
                <w:szCs w:val="20"/>
              </w:rPr>
              <w:t>Rate of change of spleen volume</w:t>
            </w:r>
            <w:r w:rsidR="00D31C86" w:rsidRPr="00D34BE8">
              <w:rPr>
                <w:rFonts w:ascii="Book Antiqua" w:eastAsia="宋体" w:hAnsi="Book Antiqua"/>
                <w:sz w:val="20"/>
                <w:szCs w:val="20"/>
              </w:rPr>
              <w:t xml:space="preserve">, </w:t>
            </w:r>
            <w:r w:rsidRPr="00D34BE8">
              <w:rPr>
                <w:rFonts w:ascii="Book Antiqua" w:eastAsia="宋体" w:hAnsi="Book Antiqua"/>
                <w:sz w:val="20"/>
                <w:szCs w:val="20"/>
              </w:rPr>
              <w:t>%</w:t>
            </w:r>
          </w:p>
        </w:tc>
        <w:tc>
          <w:tcPr>
            <w:tcW w:w="1842" w:type="dxa"/>
            <w:tcBorders>
              <w:top w:val="nil"/>
              <w:left w:val="nil"/>
              <w:bottom w:val="nil"/>
              <w:right w:val="nil"/>
            </w:tcBorders>
            <w:tcMar>
              <w:top w:w="0" w:type="dxa"/>
              <w:left w:w="57" w:type="dxa"/>
              <w:bottom w:w="0" w:type="dxa"/>
              <w:right w:w="57" w:type="dxa"/>
            </w:tcMar>
            <w:vAlign w:val="center"/>
          </w:tcPr>
          <w:p w:rsidR="00C7222A" w:rsidRPr="00D34BE8" w:rsidRDefault="00C7222A" w:rsidP="00D34BE8">
            <w:pPr>
              <w:spacing w:after="0" w:line="360" w:lineRule="auto"/>
              <w:jc w:val="both"/>
              <w:textAlignment w:val="center"/>
              <w:rPr>
                <w:rFonts w:ascii="Book Antiqua" w:eastAsia="宋体" w:hAnsi="Book Antiqua"/>
                <w:sz w:val="20"/>
                <w:szCs w:val="20"/>
              </w:rPr>
            </w:pPr>
            <w:r w:rsidRPr="00D34BE8">
              <w:rPr>
                <w:rFonts w:ascii="Book Antiqua" w:eastAsia="宋体" w:hAnsi="Book Antiqua"/>
                <w:sz w:val="20"/>
                <w:szCs w:val="20"/>
              </w:rPr>
              <w:t>4.21</w:t>
            </w:r>
            <w:r w:rsidR="00D31C86" w:rsidRPr="00D34BE8">
              <w:rPr>
                <w:rFonts w:ascii="Book Antiqua" w:eastAsia="宋体" w:hAnsi="Book Antiqua"/>
                <w:sz w:val="20"/>
                <w:szCs w:val="20"/>
              </w:rPr>
              <w:t xml:space="preserve"> ± </w:t>
            </w:r>
            <w:r w:rsidRPr="00D34BE8">
              <w:rPr>
                <w:rFonts w:ascii="Book Antiqua" w:eastAsia="宋体" w:hAnsi="Book Antiqua"/>
                <w:sz w:val="20"/>
                <w:szCs w:val="20"/>
              </w:rPr>
              <w:t>2.11</w:t>
            </w:r>
          </w:p>
        </w:tc>
        <w:tc>
          <w:tcPr>
            <w:tcW w:w="1858" w:type="dxa"/>
            <w:tcBorders>
              <w:top w:val="nil"/>
              <w:left w:val="nil"/>
              <w:bottom w:val="nil"/>
              <w:right w:val="nil"/>
            </w:tcBorders>
            <w:tcMar>
              <w:top w:w="0" w:type="dxa"/>
              <w:left w:w="57" w:type="dxa"/>
              <w:bottom w:w="0" w:type="dxa"/>
              <w:right w:w="57" w:type="dxa"/>
            </w:tcMar>
            <w:vAlign w:val="center"/>
          </w:tcPr>
          <w:p w:rsidR="00C7222A" w:rsidRPr="00D34BE8" w:rsidRDefault="00C7222A" w:rsidP="00D34BE8">
            <w:pPr>
              <w:spacing w:after="0" w:line="360" w:lineRule="auto"/>
              <w:jc w:val="both"/>
              <w:textAlignment w:val="center"/>
              <w:rPr>
                <w:rFonts w:ascii="Book Antiqua" w:eastAsia="宋体" w:hAnsi="Book Antiqua"/>
                <w:sz w:val="20"/>
                <w:szCs w:val="20"/>
              </w:rPr>
            </w:pPr>
            <w:r w:rsidRPr="00D34BE8">
              <w:rPr>
                <w:rFonts w:ascii="Book Antiqua" w:eastAsia="宋体" w:hAnsi="Book Antiqua"/>
                <w:sz w:val="20"/>
                <w:szCs w:val="20"/>
              </w:rPr>
              <w:t>2.06</w:t>
            </w:r>
            <w:r w:rsidR="00D31C86" w:rsidRPr="00D34BE8">
              <w:rPr>
                <w:rFonts w:ascii="Book Antiqua" w:eastAsia="宋体" w:hAnsi="Book Antiqua"/>
                <w:sz w:val="20"/>
                <w:szCs w:val="20"/>
              </w:rPr>
              <w:t xml:space="preserve"> ± </w:t>
            </w:r>
            <w:r w:rsidRPr="00D34BE8">
              <w:rPr>
                <w:rFonts w:ascii="Book Antiqua" w:eastAsia="宋体" w:hAnsi="Book Antiqua"/>
                <w:sz w:val="20"/>
                <w:szCs w:val="20"/>
              </w:rPr>
              <w:t>2.07</w:t>
            </w:r>
          </w:p>
        </w:tc>
        <w:tc>
          <w:tcPr>
            <w:tcW w:w="0" w:type="auto"/>
            <w:tcBorders>
              <w:top w:val="nil"/>
              <w:left w:val="nil"/>
              <w:bottom w:val="nil"/>
              <w:right w:val="nil"/>
            </w:tcBorders>
            <w:tcMar>
              <w:top w:w="0" w:type="dxa"/>
              <w:left w:w="57" w:type="dxa"/>
              <w:bottom w:w="0" w:type="dxa"/>
              <w:right w:w="57" w:type="dxa"/>
            </w:tcMar>
            <w:vAlign w:val="center"/>
          </w:tcPr>
          <w:p w:rsidR="00C7222A" w:rsidRPr="00D34BE8" w:rsidRDefault="009A7541" w:rsidP="00D34BE8">
            <w:pPr>
              <w:spacing w:after="0" w:line="360" w:lineRule="auto"/>
              <w:jc w:val="both"/>
              <w:rPr>
                <w:rFonts w:ascii="Book Antiqua" w:eastAsia="宋体" w:hAnsi="Book Antiqua"/>
                <w:sz w:val="20"/>
                <w:szCs w:val="20"/>
              </w:rPr>
            </w:pPr>
            <w:r w:rsidRPr="00D34BE8">
              <w:rPr>
                <w:rFonts w:ascii="Book Antiqua" w:eastAsia="宋体" w:hAnsi="Book Antiqua"/>
                <w:sz w:val="20"/>
                <w:szCs w:val="20"/>
              </w:rPr>
              <w:t>&lt;</w:t>
            </w:r>
            <w:r w:rsidR="00D31C86" w:rsidRPr="00D34BE8">
              <w:rPr>
                <w:rFonts w:ascii="Book Antiqua" w:eastAsia="宋体" w:hAnsi="Book Antiqua"/>
                <w:sz w:val="20"/>
                <w:szCs w:val="20"/>
              </w:rPr>
              <w:t xml:space="preserve"> </w:t>
            </w:r>
            <w:r w:rsidR="00C7222A" w:rsidRPr="00D34BE8">
              <w:rPr>
                <w:rFonts w:ascii="Book Antiqua" w:eastAsia="宋体" w:hAnsi="Book Antiqua"/>
                <w:sz w:val="20"/>
                <w:szCs w:val="20"/>
              </w:rPr>
              <w:t>0.01</w:t>
            </w:r>
          </w:p>
        </w:tc>
      </w:tr>
      <w:tr w:rsidR="00C7222A" w:rsidRPr="00D34BE8" w:rsidTr="00D31C86">
        <w:trPr>
          <w:trHeight w:val="315"/>
          <w:jc w:val="center"/>
        </w:trPr>
        <w:tc>
          <w:tcPr>
            <w:tcW w:w="3885" w:type="dxa"/>
            <w:tcBorders>
              <w:top w:val="nil"/>
              <w:left w:val="nil"/>
              <w:right w:val="nil"/>
            </w:tcBorders>
            <w:tcMar>
              <w:top w:w="0" w:type="dxa"/>
              <w:left w:w="57" w:type="dxa"/>
              <w:bottom w:w="0" w:type="dxa"/>
              <w:right w:w="57" w:type="dxa"/>
            </w:tcMar>
            <w:vAlign w:val="center"/>
          </w:tcPr>
          <w:p w:rsidR="00C7222A" w:rsidRPr="00D34BE8" w:rsidRDefault="00C7222A" w:rsidP="00D34BE8">
            <w:pPr>
              <w:spacing w:after="0" w:line="360" w:lineRule="auto"/>
              <w:jc w:val="both"/>
              <w:textAlignment w:val="center"/>
              <w:rPr>
                <w:rFonts w:ascii="Book Antiqua" w:eastAsia="宋体" w:hAnsi="Book Antiqua"/>
                <w:sz w:val="20"/>
                <w:szCs w:val="20"/>
              </w:rPr>
            </w:pPr>
            <w:r w:rsidRPr="00D34BE8">
              <w:rPr>
                <w:rFonts w:ascii="Book Antiqua" w:eastAsia="宋体" w:hAnsi="Book Antiqua"/>
                <w:sz w:val="20"/>
                <w:szCs w:val="20"/>
              </w:rPr>
              <w:t>Change of liver volume</w:t>
            </w:r>
            <w:r w:rsidR="00B5478B">
              <w:rPr>
                <w:rFonts w:ascii="Book Antiqua" w:eastAsia="宋体" w:hAnsi="Book Antiqua"/>
                <w:sz w:val="20"/>
                <w:szCs w:val="20"/>
              </w:rPr>
              <w:t xml:space="preserve">, </w:t>
            </w:r>
            <w:r w:rsidRPr="00D34BE8">
              <w:rPr>
                <w:rStyle w:val="font41"/>
                <w:rFonts w:ascii="Book Antiqua" w:eastAsia="宋体" w:hAnsi="Book Antiqua"/>
                <w:color w:val="auto"/>
                <w:sz w:val="20"/>
                <w:szCs w:val="20"/>
              </w:rPr>
              <w:t>cm</w:t>
            </w:r>
            <w:r w:rsidRPr="00D34BE8">
              <w:rPr>
                <w:rStyle w:val="font41"/>
                <w:rFonts w:ascii="Book Antiqua" w:eastAsia="宋体" w:hAnsi="Book Antiqua"/>
                <w:color w:val="auto"/>
                <w:sz w:val="20"/>
                <w:szCs w:val="20"/>
                <w:vertAlign w:val="superscript"/>
              </w:rPr>
              <w:t>3</w:t>
            </w:r>
          </w:p>
        </w:tc>
        <w:tc>
          <w:tcPr>
            <w:tcW w:w="1842" w:type="dxa"/>
            <w:tcBorders>
              <w:top w:val="nil"/>
              <w:left w:val="nil"/>
              <w:right w:val="nil"/>
            </w:tcBorders>
            <w:tcMar>
              <w:top w:w="0" w:type="dxa"/>
              <w:left w:w="57" w:type="dxa"/>
              <w:bottom w:w="0" w:type="dxa"/>
              <w:right w:w="57" w:type="dxa"/>
            </w:tcMar>
            <w:vAlign w:val="center"/>
          </w:tcPr>
          <w:p w:rsidR="00C7222A" w:rsidRPr="00D34BE8" w:rsidRDefault="00C7222A" w:rsidP="00D34BE8">
            <w:pPr>
              <w:spacing w:after="0" w:line="360" w:lineRule="auto"/>
              <w:jc w:val="both"/>
              <w:textAlignment w:val="center"/>
              <w:rPr>
                <w:rFonts w:ascii="Book Antiqua" w:eastAsia="宋体" w:hAnsi="Book Antiqua"/>
                <w:sz w:val="20"/>
                <w:szCs w:val="20"/>
              </w:rPr>
            </w:pPr>
            <w:r w:rsidRPr="00D34BE8">
              <w:rPr>
                <w:rFonts w:ascii="Book Antiqua" w:eastAsia="宋体" w:hAnsi="Book Antiqua"/>
                <w:sz w:val="20"/>
                <w:szCs w:val="20"/>
              </w:rPr>
              <w:t>-150.13</w:t>
            </w:r>
            <w:r w:rsidR="00D31C86" w:rsidRPr="00D34BE8">
              <w:rPr>
                <w:rFonts w:ascii="Book Antiqua" w:eastAsia="宋体" w:hAnsi="Book Antiqua"/>
                <w:sz w:val="20"/>
                <w:szCs w:val="20"/>
              </w:rPr>
              <w:t xml:space="preserve"> ± </w:t>
            </w:r>
            <w:r w:rsidRPr="00D34BE8">
              <w:rPr>
                <w:rFonts w:ascii="Book Antiqua" w:eastAsia="宋体" w:hAnsi="Book Antiqua"/>
                <w:sz w:val="20"/>
                <w:szCs w:val="20"/>
              </w:rPr>
              <w:t>224.10</w:t>
            </w:r>
          </w:p>
        </w:tc>
        <w:tc>
          <w:tcPr>
            <w:tcW w:w="1858" w:type="dxa"/>
            <w:tcBorders>
              <w:top w:val="nil"/>
              <w:left w:val="nil"/>
              <w:right w:val="nil"/>
            </w:tcBorders>
            <w:tcMar>
              <w:top w:w="0" w:type="dxa"/>
              <w:left w:w="57" w:type="dxa"/>
              <w:bottom w:w="0" w:type="dxa"/>
              <w:right w:w="57" w:type="dxa"/>
            </w:tcMar>
            <w:vAlign w:val="center"/>
          </w:tcPr>
          <w:p w:rsidR="00C7222A" w:rsidRPr="00D34BE8" w:rsidRDefault="00C7222A" w:rsidP="00D34BE8">
            <w:pPr>
              <w:spacing w:after="0" w:line="360" w:lineRule="auto"/>
              <w:jc w:val="both"/>
              <w:textAlignment w:val="center"/>
              <w:rPr>
                <w:rFonts w:ascii="Book Antiqua" w:eastAsia="宋体" w:hAnsi="Book Antiqua"/>
                <w:sz w:val="20"/>
                <w:szCs w:val="20"/>
              </w:rPr>
            </w:pPr>
            <w:r w:rsidRPr="00D34BE8">
              <w:rPr>
                <w:rFonts w:ascii="Book Antiqua" w:eastAsia="宋体" w:hAnsi="Book Antiqua"/>
                <w:sz w:val="20"/>
                <w:szCs w:val="20"/>
              </w:rPr>
              <w:t>-109.22</w:t>
            </w:r>
            <w:r w:rsidR="00D31C86" w:rsidRPr="00D34BE8">
              <w:rPr>
                <w:rFonts w:ascii="Book Antiqua" w:eastAsia="宋体" w:hAnsi="Book Antiqua"/>
                <w:sz w:val="20"/>
                <w:szCs w:val="20"/>
              </w:rPr>
              <w:t xml:space="preserve"> ± </w:t>
            </w:r>
            <w:r w:rsidRPr="00D34BE8">
              <w:rPr>
                <w:rFonts w:ascii="Book Antiqua" w:eastAsia="宋体" w:hAnsi="Book Antiqua"/>
                <w:sz w:val="20"/>
                <w:szCs w:val="20"/>
              </w:rPr>
              <w:t>300.13</w:t>
            </w:r>
          </w:p>
        </w:tc>
        <w:tc>
          <w:tcPr>
            <w:tcW w:w="0" w:type="auto"/>
            <w:tcBorders>
              <w:top w:val="nil"/>
              <w:left w:val="nil"/>
              <w:right w:val="nil"/>
            </w:tcBorders>
            <w:tcMar>
              <w:top w:w="0" w:type="dxa"/>
              <w:left w:w="57" w:type="dxa"/>
              <w:bottom w:w="0" w:type="dxa"/>
              <w:right w:w="57" w:type="dxa"/>
            </w:tcMar>
            <w:vAlign w:val="center"/>
          </w:tcPr>
          <w:p w:rsidR="00C7222A" w:rsidRPr="00D34BE8" w:rsidRDefault="00C7222A" w:rsidP="00D34BE8">
            <w:pPr>
              <w:spacing w:after="0" w:line="360" w:lineRule="auto"/>
              <w:jc w:val="both"/>
              <w:rPr>
                <w:rFonts w:ascii="Book Antiqua" w:eastAsia="宋体" w:hAnsi="Book Antiqua"/>
                <w:sz w:val="20"/>
                <w:szCs w:val="20"/>
              </w:rPr>
            </w:pPr>
            <w:r w:rsidRPr="00D34BE8">
              <w:rPr>
                <w:rFonts w:ascii="Book Antiqua" w:eastAsia="宋体" w:hAnsi="Book Antiqua"/>
                <w:sz w:val="20"/>
                <w:szCs w:val="20"/>
              </w:rPr>
              <w:t>0.56</w:t>
            </w:r>
          </w:p>
        </w:tc>
      </w:tr>
      <w:tr w:rsidR="00D31C86" w:rsidRPr="00D34BE8" w:rsidTr="00D31C86">
        <w:trPr>
          <w:trHeight w:val="109"/>
          <w:jc w:val="center"/>
        </w:trPr>
        <w:tc>
          <w:tcPr>
            <w:tcW w:w="3885" w:type="dxa"/>
            <w:tcBorders>
              <w:left w:val="nil"/>
              <w:right w:val="nil"/>
            </w:tcBorders>
            <w:tcMar>
              <w:top w:w="0" w:type="dxa"/>
              <w:left w:w="57" w:type="dxa"/>
              <w:bottom w:w="0" w:type="dxa"/>
              <w:right w:w="57" w:type="dxa"/>
            </w:tcMar>
            <w:vAlign w:val="center"/>
          </w:tcPr>
          <w:p w:rsidR="00D31C86" w:rsidRPr="00D34BE8" w:rsidRDefault="00D31C86" w:rsidP="00D34BE8">
            <w:pPr>
              <w:spacing w:after="0" w:line="360" w:lineRule="auto"/>
              <w:jc w:val="both"/>
              <w:textAlignment w:val="center"/>
              <w:rPr>
                <w:rFonts w:ascii="Book Antiqua" w:eastAsia="宋体" w:hAnsi="Book Antiqua"/>
                <w:sz w:val="20"/>
                <w:szCs w:val="20"/>
              </w:rPr>
            </w:pPr>
            <w:r w:rsidRPr="00D34BE8">
              <w:rPr>
                <w:rFonts w:ascii="Book Antiqua" w:eastAsia="宋体" w:hAnsi="Book Antiqua"/>
                <w:sz w:val="20"/>
                <w:szCs w:val="20"/>
              </w:rPr>
              <w:t>Change of spleen volume</w:t>
            </w:r>
            <w:r w:rsidR="00B5478B">
              <w:rPr>
                <w:rFonts w:ascii="Book Antiqua" w:eastAsia="宋体" w:hAnsi="Book Antiqua"/>
                <w:sz w:val="20"/>
                <w:szCs w:val="20"/>
              </w:rPr>
              <w:t xml:space="preserve">, </w:t>
            </w:r>
            <w:r w:rsidRPr="00D34BE8">
              <w:rPr>
                <w:rStyle w:val="font41"/>
                <w:rFonts w:ascii="Book Antiqua" w:eastAsia="宋体" w:hAnsi="Book Antiqua"/>
                <w:color w:val="auto"/>
                <w:sz w:val="20"/>
                <w:szCs w:val="20"/>
              </w:rPr>
              <w:t>cm</w:t>
            </w:r>
            <w:r w:rsidRPr="00D34BE8">
              <w:rPr>
                <w:rStyle w:val="font41"/>
                <w:rFonts w:ascii="Book Antiqua" w:eastAsia="宋体" w:hAnsi="Book Antiqua"/>
                <w:color w:val="auto"/>
                <w:sz w:val="20"/>
                <w:szCs w:val="20"/>
                <w:vertAlign w:val="superscript"/>
              </w:rPr>
              <w:t>3</w:t>
            </w:r>
          </w:p>
        </w:tc>
        <w:tc>
          <w:tcPr>
            <w:tcW w:w="1842" w:type="dxa"/>
            <w:tcBorders>
              <w:left w:val="nil"/>
              <w:right w:val="nil"/>
            </w:tcBorders>
            <w:tcMar>
              <w:top w:w="0" w:type="dxa"/>
              <w:left w:w="57" w:type="dxa"/>
              <w:bottom w:w="0" w:type="dxa"/>
              <w:right w:w="57" w:type="dxa"/>
            </w:tcMar>
            <w:vAlign w:val="center"/>
          </w:tcPr>
          <w:p w:rsidR="00D31C86" w:rsidRPr="00D34BE8" w:rsidRDefault="00D31C86" w:rsidP="00D34BE8">
            <w:pPr>
              <w:spacing w:after="0" w:line="360" w:lineRule="auto"/>
              <w:jc w:val="both"/>
              <w:textAlignment w:val="center"/>
              <w:rPr>
                <w:rFonts w:ascii="Book Antiqua" w:eastAsia="宋体" w:hAnsi="Book Antiqua"/>
                <w:sz w:val="20"/>
                <w:szCs w:val="20"/>
              </w:rPr>
            </w:pPr>
            <w:r w:rsidRPr="00D34BE8">
              <w:rPr>
                <w:rFonts w:ascii="Book Antiqua" w:eastAsia="宋体" w:hAnsi="Book Antiqua"/>
                <w:sz w:val="20"/>
                <w:szCs w:val="20"/>
              </w:rPr>
              <w:t>740.27 ± 382.77</w:t>
            </w:r>
          </w:p>
        </w:tc>
        <w:tc>
          <w:tcPr>
            <w:tcW w:w="1858" w:type="dxa"/>
            <w:tcBorders>
              <w:left w:val="nil"/>
              <w:right w:val="nil"/>
            </w:tcBorders>
            <w:tcMar>
              <w:top w:w="0" w:type="dxa"/>
              <w:left w:w="57" w:type="dxa"/>
              <w:bottom w:w="0" w:type="dxa"/>
              <w:right w:w="57" w:type="dxa"/>
            </w:tcMar>
            <w:vAlign w:val="center"/>
          </w:tcPr>
          <w:p w:rsidR="00D31C86" w:rsidRPr="00D34BE8" w:rsidRDefault="00D31C86" w:rsidP="00D34BE8">
            <w:pPr>
              <w:spacing w:after="0" w:line="360" w:lineRule="auto"/>
              <w:jc w:val="both"/>
              <w:textAlignment w:val="center"/>
              <w:rPr>
                <w:rFonts w:ascii="Book Antiqua" w:eastAsia="宋体" w:hAnsi="Book Antiqua"/>
                <w:sz w:val="20"/>
                <w:szCs w:val="20"/>
              </w:rPr>
            </w:pPr>
            <w:r w:rsidRPr="00D34BE8">
              <w:rPr>
                <w:rFonts w:ascii="Book Antiqua" w:eastAsia="宋体" w:hAnsi="Book Antiqua"/>
                <w:sz w:val="20"/>
                <w:szCs w:val="20"/>
              </w:rPr>
              <w:t>370.66 ± 365.27</w:t>
            </w:r>
          </w:p>
        </w:tc>
        <w:tc>
          <w:tcPr>
            <w:tcW w:w="0" w:type="auto"/>
            <w:tcBorders>
              <w:left w:val="nil"/>
              <w:right w:val="nil"/>
            </w:tcBorders>
            <w:tcMar>
              <w:top w:w="0" w:type="dxa"/>
              <w:left w:w="57" w:type="dxa"/>
              <w:bottom w:w="0" w:type="dxa"/>
              <w:right w:w="57" w:type="dxa"/>
            </w:tcMar>
            <w:vAlign w:val="center"/>
          </w:tcPr>
          <w:p w:rsidR="00D31C86" w:rsidRPr="00D34BE8" w:rsidRDefault="00D31C86" w:rsidP="00D34BE8">
            <w:pPr>
              <w:spacing w:after="0" w:line="360" w:lineRule="auto"/>
              <w:jc w:val="both"/>
              <w:rPr>
                <w:rFonts w:ascii="Book Antiqua" w:eastAsia="宋体" w:hAnsi="Book Antiqua"/>
                <w:sz w:val="20"/>
                <w:szCs w:val="20"/>
              </w:rPr>
            </w:pPr>
            <w:r w:rsidRPr="00D34BE8">
              <w:rPr>
                <w:rFonts w:ascii="Book Antiqua" w:eastAsia="宋体" w:hAnsi="Book Antiqua"/>
                <w:sz w:val="20"/>
                <w:szCs w:val="20"/>
              </w:rPr>
              <w:t>&lt; 0.01</w:t>
            </w:r>
          </w:p>
        </w:tc>
      </w:tr>
      <w:tr w:rsidR="00C7222A" w:rsidRPr="00D34BE8" w:rsidTr="00D31C86">
        <w:trPr>
          <w:trHeight w:val="397"/>
          <w:jc w:val="center"/>
        </w:trPr>
        <w:tc>
          <w:tcPr>
            <w:tcW w:w="3885" w:type="dxa"/>
            <w:tcBorders>
              <w:left w:val="nil"/>
              <w:bottom w:val="nil"/>
              <w:right w:val="nil"/>
            </w:tcBorders>
            <w:tcMar>
              <w:top w:w="0" w:type="dxa"/>
              <w:left w:w="57" w:type="dxa"/>
              <w:bottom w:w="0" w:type="dxa"/>
              <w:right w:w="57" w:type="dxa"/>
            </w:tcMar>
            <w:vAlign w:val="center"/>
          </w:tcPr>
          <w:p w:rsidR="00C7222A" w:rsidRPr="00D34BE8" w:rsidRDefault="00C7222A" w:rsidP="00D34BE8">
            <w:pPr>
              <w:spacing w:after="0" w:line="360" w:lineRule="auto"/>
              <w:jc w:val="both"/>
              <w:textAlignment w:val="center"/>
              <w:rPr>
                <w:rFonts w:ascii="Book Antiqua" w:eastAsia="宋体" w:hAnsi="Book Antiqua"/>
                <w:sz w:val="20"/>
                <w:szCs w:val="20"/>
              </w:rPr>
            </w:pPr>
            <w:r w:rsidRPr="00D34BE8">
              <w:rPr>
                <w:rFonts w:ascii="Book Antiqua" w:eastAsia="宋体" w:hAnsi="Book Antiqua"/>
                <w:sz w:val="20"/>
                <w:szCs w:val="20"/>
              </w:rPr>
              <w:t>Spleen diameter</w:t>
            </w:r>
            <w:r w:rsidR="00B5478B">
              <w:rPr>
                <w:rFonts w:ascii="Book Antiqua" w:eastAsia="宋体" w:hAnsi="Book Antiqua"/>
                <w:sz w:val="20"/>
                <w:szCs w:val="20"/>
              </w:rPr>
              <w:t xml:space="preserve">, </w:t>
            </w:r>
            <w:r w:rsidRPr="00D34BE8">
              <w:rPr>
                <w:rFonts w:ascii="Book Antiqua" w:eastAsia="宋体" w:hAnsi="Book Antiqua"/>
                <w:sz w:val="20"/>
                <w:szCs w:val="20"/>
              </w:rPr>
              <w:t>cm</w:t>
            </w:r>
          </w:p>
        </w:tc>
        <w:tc>
          <w:tcPr>
            <w:tcW w:w="1842" w:type="dxa"/>
            <w:tcBorders>
              <w:left w:val="nil"/>
              <w:bottom w:val="nil"/>
              <w:right w:val="nil"/>
            </w:tcBorders>
            <w:tcMar>
              <w:top w:w="0" w:type="dxa"/>
              <w:left w:w="57" w:type="dxa"/>
              <w:bottom w:w="0" w:type="dxa"/>
              <w:right w:w="57" w:type="dxa"/>
            </w:tcMar>
            <w:vAlign w:val="center"/>
          </w:tcPr>
          <w:p w:rsidR="00C7222A" w:rsidRPr="00D34BE8" w:rsidRDefault="00C7222A" w:rsidP="00D34BE8">
            <w:pPr>
              <w:spacing w:after="0" w:line="360" w:lineRule="auto"/>
              <w:jc w:val="both"/>
              <w:textAlignment w:val="center"/>
              <w:rPr>
                <w:rFonts w:ascii="Book Antiqua" w:eastAsia="宋体" w:hAnsi="Book Antiqua"/>
                <w:sz w:val="20"/>
                <w:szCs w:val="20"/>
              </w:rPr>
            </w:pPr>
            <w:r w:rsidRPr="00D34BE8">
              <w:rPr>
                <w:rFonts w:ascii="Book Antiqua" w:eastAsia="宋体" w:hAnsi="Book Antiqua"/>
                <w:sz w:val="20"/>
                <w:szCs w:val="20"/>
              </w:rPr>
              <w:t>15.81</w:t>
            </w:r>
            <w:r w:rsidR="00D31C86" w:rsidRPr="00D34BE8">
              <w:rPr>
                <w:rFonts w:ascii="Book Antiqua" w:eastAsia="宋体" w:hAnsi="Book Antiqua"/>
                <w:sz w:val="20"/>
                <w:szCs w:val="20"/>
              </w:rPr>
              <w:t xml:space="preserve"> ± </w:t>
            </w:r>
            <w:r w:rsidRPr="00D34BE8">
              <w:rPr>
                <w:rFonts w:ascii="Book Antiqua" w:eastAsia="宋体" w:hAnsi="Book Antiqua"/>
                <w:sz w:val="20"/>
                <w:szCs w:val="20"/>
              </w:rPr>
              <w:t>2.67</w:t>
            </w:r>
          </w:p>
        </w:tc>
        <w:tc>
          <w:tcPr>
            <w:tcW w:w="1858" w:type="dxa"/>
            <w:tcBorders>
              <w:left w:val="nil"/>
              <w:bottom w:val="nil"/>
              <w:right w:val="nil"/>
            </w:tcBorders>
            <w:tcMar>
              <w:top w:w="0" w:type="dxa"/>
              <w:left w:w="57" w:type="dxa"/>
              <w:bottom w:w="0" w:type="dxa"/>
              <w:right w:w="57" w:type="dxa"/>
            </w:tcMar>
            <w:vAlign w:val="center"/>
          </w:tcPr>
          <w:p w:rsidR="00C7222A" w:rsidRPr="00D34BE8" w:rsidRDefault="00C7222A" w:rsidP="00D34BE8">
            <w:pPr>
              <w:spacing w:after="0" w:line="360" w:lineRule="auto"/>
              <w:jc w:val="both"/>
              <w:textAlignment w:val="center"/>
              <w:rPr>
                <w:rFonts w:ascii="Book Antiqua" w:eastAsia="宋体" w:hAnsi="Book Antiqua"/>
                <w:sz w:val="20"/>
                <w:szCs w:val="20"/>
              </w:rPr>
            </w:pPr>
            <w:r w:rsidRPr="00D34BE8">
              <w:rPr>
                <w:rFonts w:ascii="Book Antiqua" w:eastAsia="宋体" w:hAnsi="Book Antiqua"/>
                <w:sz w:val="20"/>
                <w:szCs w:val="20"/>
              </w:rPr>
              <w:t>12.67</w:t>
            </w:r>
            <w:r w:rsidR="00D31C86" w:rsidRPr="00D34BE8">
              <w:rPr>
                <w:rFonts w:ascii="Book Antiqua" w:eastAsia="宋体" w:hAnsi="Book Antiqua"/>
                <w:sz w:val="20"/>
                <w:szCs w:val="20"/>
              </w:rPr>
              <w:t xml:space="preserve"> ± </w:t>
            </w:r>
            <w:r w:rsidRPr="00D34BE8">
              <w:rPr>
                <w:rFonts w:ascii="Book Antiqua" w:eastAsia="宋体" w:hAnsi="Book Antiqua"/>
                <w:sz w:val="20"/>
                <w:szCs w:val="20"/>
              </w:rPr>
              <w:t>2.58</w:t>
            </w:r>
          </w:p>
        </w:tc>
        <w:tc>
          <w:tcPr>
            <w:tcW w:w="0" w:type="auto"/>
            <w:tcBorders>
              <w:left w:val="nil"/>
              <w:bottom w:val="nil"/>
              <w:right w:val="nil"/>
            </w:tcBorders>
            <w:tcMar>
              <w:top w:w="0" w:type="dxa"/>
              <w:left w:w="57" w:type="dxa"/>
              <w:bottom w:w="0" w:type="dxa"/>
              <w:right w:w="57" w:type="dxa"/>
            </w:tcMar>
            <w:vAlign w:val="center"/>
          </w:tcPr>
          <w:p w:rsidR="00C7222A" w:rsidRPr="00D34BE8" w:rsidRDefault="009A7541" w:rsidP="00D34BE8">
            <w:pPr>
              <w:spacing w:after="0" w:line="360" w:lineRule="auto"/>
              <w:jc w:val="both"/>
              <w:rPr>
                <w:rFonts w:ascii="Book Antiqua" w:eastAsia="宋体" w:hAnsi="Book Antiqua"/>
                <w:sz w:val="20"/>
                <w:szCs w:val="20"/>
              </w:rPr>
            </w:pPr>
            <w:r w:rsidRPr="00D34BE8">
              <w:rPr>
                <w:rFonts w:ascii="Book Antiqua" w:eastAsia="宋体" w:hAnsi="Book Antiqua"/>
                <w:sz w:val="20"/>
                <w:szCs w:val="20"/>
              </w:rPr>
              <w:t>&lt;</w:t>
            </w:r>
            <w:r w:rsidR="00C7222A" w:rsidRPr="00D34BE8">
              <w:rPr>
                <w:rFonts w:ascii="Book Antiqua" w:eastAsia="宋体" w:hAnsi="Book Antiqua"/>
                <w:sz w:val="20"/>
                <w:szCs w:val="20"/>
              </w:rPr>
              <w:t>0.01</w:t>
            </w:r>
          </w:p>
        </w:tc>
      </w:tr>
      <w:tr w:rsidR="00C7222A" w:rsidRPr="00D34BE8" w:rsidTr="00D31C86">
        <w:trPr>
          <w:trHeight w:val="397"/>
          <w:jc w:val="center"/>
        </w:trPr>
        <w:tc>
          <w:tcPr>
            <w:tcW w:w="3885" w:type="dxa"/>
            <w:tcBorders>
              <w:top w:val="nil"/>
              <w:left w:val="nil"/>
              <w:bottom w:val="nil"/>
              <w:right w:val="nil"/>
            </w:tcBorders>
            <w:tcMar>
              <w:top w:w="0" w:type="dxa"/>
              <w:left w:w="57" w:type="dxa"/>
              <w:bottom w:w="0" w:type="dxa"/>
              <w:right w:w="57" w:type="dxa"/>
            </w:tcMar>
            <w:vAlign w:val="center"/>
          </w:tcPr>
          <w:p w:rsidR="00C7222A" w:rsidRPr="00D34BE8" w:rsidRDefault="00C7222A" w:rsidP="00D34BE8">
            <w:pPr>
              <w:spacing w:after="0" w:line="360" w:lineRule="auto"/>
              <w:jc w:val="both"/>
              <w:textAlignment w:val="center"/>
              <w:rPr>
                <w:rFonts w:ascii="Book Antiqua" w:eastAsia="宋体" w:hAnsi="Book Antiqua"/>
                <w:sz w:val="20"/>
                <w:szCs w:val="20"/>
              </w:rPr>
            </w:pPr>
            <w:r w:rsidRPr="00D34BE8">
              <w:rPr>
                <w:rFonts w:ascii="Book Antiqua" w:eastAsia="宋体" w:hAnsi="Book Antiqua"/>
                <w:sz w:val="20"/>
                <w:szCs w:val="20"/>
              </w:rPr>
              <w:t>ALT</w:t>
            </w:r>
            <w:r w:rsidR="00B5478B">
              <w:rPr>
                <w:rFonts w:ascii="Book Antiqua" w:eastAsia="宋体" w:hAnsi="Book Antiqua"/>
                <w:sz w:val="20"/>
                <w:szCs w:val="20"/>
              </w:rPr>
              <w:t xml:space="preserve">, </w:t>
            </w:r>
            <w:r w:rsidRPr="00D34BE8">
              <w:rPr>
                <w:rFonts w:ascii="Book Antiqua" w:eastAsia="宋体" w:hAnsi="Book Antiqua"/>
                <w:sz w:val="20"/>
                <w:szCs w:val="20"/>
              </w:rPr>
              <w:t>IU/L</w:t>
            </w:r>
          </w:p>
        </w:tc>
        <w:tc>
          <w:tcPr>
            <w:tcW w:w="1842" w:type="dxa"/>
            <w:tcBorders>
              <w:top w:val="nil"/>
              <w:left w:val="nil"/>
              <w:bottom w:val="nil"/>
              <w:right w:val="nil"/>
            </w:tcBorders>
            <w:tcMar>
              <w:top w:w="0" w:type="dxa"/>
              <w:left w:w="57" w:type="dxa"/>
              <w:bottom w:w="0" w:type="dxa"/>
              <w:right w:w="57" w:type="dxa"/>
            </w:tcMar>
            <w:vAlign w:val="center"/>
          </w:tcPr>
          <w:p w:rsidR="00C7222A" w:rsidRPr="00D34BE8" w:rsidRDefault="00C7222A" w:rsidP="00D34BE8">
            <w:pPr>
              <w:spacing w:after="0" w:line="360" w:lineRule="auto"/>
              <w:jc w:val="both"/>
              <w:textAlignment w:val="center"/>
              <w:rPr>
                <w:rFonts w:ascii="Book Antiqua" w:eastAsia="宋体" w:hAnsi="Book Antiqua"/>
                <w:sz w:val="20"/>
                <w:szCs w:val="20"/>
              </w:rPr>
            </w:pPr>
            <w:r w:rsidRPr="00D34BE8">
              <w:rPr>
                <w:rFonts w:ascii="Book Antiqua" w:eastAsia="宋体" w:hAnsi="Book Antiqua"/>
                <w:sz w:val="20"/>
                <w:szCs w:val="20"/>
              </w:rPr>
              <w:t>57.68</w:t>
            </w:r>
            <w:r w:rsidR="000018AB" w:rsidRPr="00D34BE8">
              <w:rPr>
                <w:rFonts w:ascii="Book Antiqua" w:eastAsia="宋体" w:hAnsi="Book Antiqua"/>
                <w:sz w:val="20"/>
                <w:szCs w:val="20"/>
              </w:rPr>
              <w:t xml:space="preserve"> </w:t>
            </w:r>
            <w:r w:rsidRPr="00D34BE8">
              <w:rPr>
                <w:rFonts w:ascii="Book Antiqua" w:eastAsia="宋体" w:hAnsi="Book Antiqua"/>
                <w:sz w:val="20"/>
                <w:szCs w:val="20"/>
              </w:rPr>
              <w:t>(15-176)</w:t>
            </w:r>
          </w:p>
        </w:tc>
        <w:tc>
          <w:tcPr>
            <w:tcW w:w="1858" w:type="dxa"/>
            <w:tcBorders>
              <w:top w:val="nil"/>
              <w:left w:val="nil"/>
              <w:bottom w:val="nil"/>
              <w:right w:val="nil"/>
            </w:tcBorders>
            <w:tcMar>
              <w:top w:w="0" w:type="dxa"/>
              <w:left w:w="57" w:type="dxa"/>
              <w:bottom w:w="0" w:type="dxa"/>
              <w:right w:w="57" w:type="dxa"/>
            </w:tcMar>
            <w:vAlign w:val="center"/>
          </w:tcPr>
          <w:p w:rsidR="00C7222A" w:rsidRPr="00D34BE8" w:rsidRDefault="00C7222A" w:rsidP="00D34BE8">
            <w:pPr>
              <w:spacing w:after="0" w:line="360" w:lineRule="auto"/>
              <w:jc w:val="both"/>
              <w:textAlignment w:val="center"/>
              <w:rPr>
                <w:rFonts w:ascii="Book Antiqua" w:eastAsia="宋体" w:hAnsi="Book Antiqua"/>
                <w:sz w:val="20"/>
                <w:szCs w:val="20"/>
              </w:rPr>
            </w:pPr>
            <w:r w:rsidRPr="00D34BE8">
              <w:rPr>
                <w:rFonts w:ascii="Book Antiqua" w:eastAsia="宋体" w:hAnsi="Book Antiqua"/>
                <w:sz w:val="20"/>
                <w:szCs w:val="20"/>
              </w:rPr>
              <w:t>40.97</w:t>
            </w:r>
            <w:r w:rsidR="000018AB" w:rsidRPr="00D34BE8">
              <w:rPr>
                <w:rFonts w:ascii="Book Antiqua" w:eastAsia="宋体" w:hAnsi="Book Antiqua"/>
                <w:sz w:val="20"/>
                <w:szCs w:val="20"/>
              </w:rPr>
              <w:t xml:space="preserve"> </w:t>
            </w:r>
            <w:r w:rsidRPr="00D34BE8">
              <w:rPr>
                <w:rFonts w:ascii="Book Antiqua" w:eastAsia="宋体" w:hAnsi="Book Antiqua"/>
                <w:sz w:val="20"/>
                <w:szCs w:val="20"/>
              </w:rPr>
              <w:t>(13-88)</w:t>
            </w:r>
          </w:p>
        </w:tc>
        <w:tc>
          <w:tcPr>
            <w:tcW w:w="0" w:type="auto"/>
            <w:tcBorders>
              <w:top w:val="nil"/>
              <w:left w:val="nil"/>
              <w:bottom w:val="nil"/>
              <w:right w:val="nil"/>
            </w:tcBorders>
            <w:tcMar>
              <w:top w:w="0" w:type="dxa"/>
              <w:left w:w="57" w:type="dxa"/>
              <w:bottom w:w="0" w:type="dxa"/>
              <w:right w:w="57" w:type="dxa"/>
            </w:tcMar>
            <w:vAlign w:val="center"/>
          </w:tcPr>
          <w:p w:rsidR="00C7222A" w:rsidRPr="00D34BE8" w:rsidRDefault="009A7541" w:rsidP="00D34BE8">
            <w:pPr>
              <w:spacing w:after="0" w:line="360" w:lineRule="auto"/>
              <w:jc w:val="both"/>
              <w:rPr>
                <w:rFonts w:ascii="Book Antiqua" w:eastAsia="宋体" w:hAnsi="Book Antiqua"/>
                <w:sz w:val="20"/>
                <w:szCs w:val="20"/>
              </w:rPr>
            </w:pPr>
            <w:r w:rsidRPr="00D34BE8">
              <w:rPr>
                <w:rFonts w:ascii="Book Antiqua" w:eastAsia="宋体" w:hAnsi="Book Antiqua"/>
                <w:sz w:val="20"/>
                <w:szCs w:val="20"/>
              </w:rPr>
              <w:t>&lt;</w:t>
            </w:r>
            <w:r w:rsidR="00C7222A" w:rsidRPr="00D34BE8">
              <w:rPr>
                <w:rFonts w:ascii="Book Antiqua" w:eastAsia="宋体" w:hAnsi="Book Antiqua"/>
                <w:sz w:val="20"/>
                <w:szCs w:val="20"/>
              </w:rPr>
              <w:t>0.01</w:t>
            </w:r>
          </w:p>
        </w:tc>
      </w:tr>
      <w:tr w:rsidR="00C7222A" w:rsidRPr="00D34BE8" w:rsidTr="00D31C86">
        <w:trPr>
          <w:trHeight w:val="397"/>
          <w:jc w:val="center"/>
        </w:trPr>
        <w:tc>
          <w:tcPr>
            <w:tcW w:w="3885" w:type="dxa"/>
            <w:tcBorders>
              <w:top w:val="nil"/>
              <w:left w:val="nil"/>
              <w:bottom w:val="nil"/>
              <w:right w:val="nil"/>
            </w:tcBorders>
            <w:tcMar>
              <w:top w:w="0" w:type="dxa"/>
              <w:left w:w="57" w:type="dxa"/>
              <w:bottom w:w="0" w:type="dxa"/>
              <w:right w:w="57" w:type="dxa"/>
            </w:tcMar>
            <w:vAlign w:val="center"/>
          </w:tcPr>
          <w:p w:rsidR="00C7222A" w:rsidRPr="00D34BE8" w:rsidRDefault="00C7222A" w:rsidP="00D34BE8">
            <w:pPr>
              <w:spacing w:after="0" w:line="360" w:lineRule="auto"/>
              <w:jc w:val="both"/>
              <w:textAlignment w:val="center"/>
              <w:rPr>
                <w:rFonts w:ascii="Book Antiqua" w:eastAsia="宋体" w:hAnsi="Book Antiqua"/>
                <w:sz w:val="20"/>
                <w:szCs w:val="20"/>
              </w:rPr>
            </w:pPr>
            <w:r w:rsidRPr="00D34BE8">
              <w:rPr>
                <w:rFonts w:ascii="Book Antiqua" w:eastAsia="宋体" w:hAnsi="Book Antiqua"/>
                <w:sz w:val="20"/>
                <w:szCs w:val="20"/>
              </w:rPr>
              <w:t>AST</w:t>
            </w:r>
            <w:r w:rsidR="00B5478B">
              <w:rPr>
                <w:rFonts w:ascii="Book Antiqua" w:eastAsia="宋体" w:hAnsi="Book Antiqua"/>
                <w:sz w:val="20"/>
                <w:szCs w:val="20"/>
              </w:rPr>
              <w:t xml:space="preserve">, </w:t>
            </w:r>
            <w:r w:rsidRPr="00D34BE8">
              <w:rPr>
                <w:rFonts w:ascii="Book Antiqua" w:eastAsia="宋体" w:hAnsi="Book Antiqua"/>
                <w:sz w:val="20"/>
                <w:szCs w:val="20"/>
              </w:rPr>
              <w:t>IU/L</w:t>
            </w:r>
          </w:p>
        </w:tc>
        <w:tc>
          <w:tcPr>
            <w:tcW w:w="1842" w:type="dxa"/>
            <w:tcBorders>
              <w:top w:val="nil"/>
              <w:left w:val="nil"/>
              <w:bottom w:val="nil"/>
              <w:right w:val="nil"/>
            </w:tcBorders>
            <w:tcMar>
              <w:top w:w="0" w:type="dxa"/>
              <w:left w:w="57" w:type="dxa"/>
              <w:bottom w:w="0" w:type="dxa"/>
              <w:right w:w="57" w:type="dxa"/>
            </w:tcMar>
            <w:vAlign w:val="center"/>
          </w:tcPr>
          <w:p w:rsidR="00C7222A" w:rsidRPr="00D34BE8" w:rsidRDefault="00C7222A" w:rsidP="00D34BE8">
            <w:pPr>
              <w:spacing w:after="0" w:line="360" w:lineRule="auto"/>
              <w:jc w:val="both"/>
              <w:textAlignment w:val="center"/>
              <w:rPr>
                <w:rFonts w:ascii="Book Antiqua" w:eastAsia="宋体" w:hAnsi="Book Antiqua"/>
                <w:sz w:val="20"/>
                <w:szCs w:val="20"/>
              </w:rPr>
            </w:pPr>
            <w:r w:rsidRPr="00D34BE8">
              <w:rPr>
                <w:rFonts w:ascii="Book Antiqua" w:eastAsia="宋体" w:hAnsi="Book Antiqua"/>
                <w:sz w:val="20"/>
                <w:szCs w:val="20"/>
              </w:rPr>
              <w:t>36.38</w:t>
            </w:r>
            <w:r w:rsidR="000018AB" w:rsidRPr="00D34BE8">
              <w:rPr>
                <w:rFonts w:ascii="Book Antiqua" w:eastAsia="宋体" w:hAnsi="Book Antiqua"/>
                <w:sz w:val="20"/>
                <w:szCs w:val="20"/>
              </w:rPr>
              <w:t xml:space="preserve"> </w:t>
            </w:r>
            <w:r w:rsidRPr="00D34BE8">
              <w:rPr>
                <w:rFonts w:ascii="Book Antiqua" w:eastAsia="宋体" w:hAnsi="Book Antiqua"/>
                <w:sz w:val="20"/>
                <w:szCs w:val="20"/>
              </w:rPr>
              <w:t>(10-81)</w:t>
            </w:r>
          </w:p>
        </w:tc>
        <w:tc>
          <w:tcPr>
            <w:tcW w:w="1858" w:type="dxa"/>
            <w:tcBorders>
              <w:top w:val="nil"/>
              <w:left w:val="nil"/>
              <w:bottom w:val="nil"/>
              <w:right w:val="nil"/>
            </w:tcBorders>
            <w:tcMar>
              <w:top w:w="0" w:type="dxa"/>
              <w:left w:w="57" w:type="dxa"/>
              <w:bottom w:w="0" w:type="dxa"/>
              <w:right w:w="57" w:type="dxa"/>
            </w:tcMar>
            <w:vAlign w:val="center"/>
          </w:tcPr>
          <w:p w:rsidR="00C7222A" w:rsidRPr="00D34BE8" w:rsidRDefault="00C7222A" w:rsidP="00D34BE8">
            <w:pPr>
              <w:spacing w:after="0" w:line="360" w:lineRule="auto"/>
              <w:jc w:val="both"/>
              <w:textAlignment w:val="center"/>
              <w:rPr>
                <w:rFonts w:ascii="Book Antiqua" w:eastAsia="宋体" w:hAnsi="Book Antiqua"/>
                <w:sz w:val="20"/>
                <w:szCs w:val="20"/>
              </w:rPr>
            </w:pPr>
            <w:r w:rsidRPr="00D34BE8">
              <w:rPr>
                <w:rFonts w:ascii="Book Antiqua" w:eastAsia="宋体" w:hAnsi="Book Antiqua"/>
                <w:sz w:val="20"/>
                <w:szCs w:val="20"/>
              </w:rPr>
              <w:t>61.26</w:t>
            </w:r>
            <w:r w:rsidR="000018AB" w:rsidRPr="00D34BE8">
              <w:rPr>
                <w:rFonts w:ascii="Book Antiqua" w:eastAsia="宋体" w:hAnsi="Book Antiqua"/>
                <w:sz w:val="20"/>
                <w:szCs w:val="20"/>
              </w:rPr>
              <w:t xml:space="preserve"> </w:t>
            </w:r>
            <w:r w:rsidRPr="00D34BE8">
              <w:rPr>
                <w:rFonts w:ascii="Book Antiqua" w:eastAsia="宋体" w:hAnsi="Book Antiqua"/>
                <w:sz w:val="20"/>
                <w:szCs w:val="20"/>
              </w:rPr>
              <w:t>(18-164)</w:t>
            </w:r>
          </w:p>
        </w:tc>
        <w:tc>
          <w:tcPr>
            <w:tcW w:w="0" w:type="auto"/>
            <w:tcBorders>
              <w:top w:val="nil"/>
              <w:left w:val="nil"/>
              <w:bottom w:val="nil"/>
              <w:right w:val="nil"/>
            </w:tcBorders>
            <w:tcMar>
              <w:top w:w="0" w:type="dxa"/>
              <w:left w:w="57" w:type="dxa"/>
              <w:bottom w:w="0" w:type="dxa"/>
              <w:right w:w="57" w:type="dxa"/>
            </w:tcMar>
            <w:vAlign w:val="center"/>
          </w:tcPr>
          <w:p w:rsidR="00C7222A" w:rsidRPr="00D34BE8" w:rsidRDefault="009A7541" w:rsidP="00D34BE8">
            <w:pPr>
              <w:spacing w:after="0" w:line="360" w:lineRule="auto"/>
              <w:jc w:val="both"/>
              <w:rPr>
                <w:rFonts w:ascii="Book Antiqua" w:eastAsia="宋体" w:hAnsi="Book Antiqua"/>
                <w:sz w:val="20"/>
                <w:szCs w:val="20"/>
              </w:rPr>
            </w:pPr>
            <w:r w:rsidRPr="00D34BE8">
              <w:rPr>
                <w:rFonts w:ascii="Book Antiqua" w:eastAsia="宋体" w:hAnsi="Book Antiqua"/>
                <w:sz w:val="20"/>
                <w:szCs w:val="20"/>
              </w:rPr>
              <w:t>&lt;</w:t>
            </w:r>
            <w:r w:rsidR="00C7222A" w:rsidRPr="00D34BE8">
              <w:rPr>
                <w:rFonts w:ascii="Book Antiqua" w:eastAsia="宋体" w:hAnsi="Book Antiqua"/>
                <w:sz w:val="20"/>
                <w:szCs w:val="20"/>
              </w:rPr>
              <w:t>0.01</w:t>
            </w:r>
          </w:p>
        </w:tc>
      </w:tr>
      <w:tr w:rsidR="00C7222A" w:rsidRPr="00D34BE8" w:rsidTr="00D31C86">
        <w:trPr>
          <w:trHeight w:val="397"/>
          <w:jc w:val="center"/>
        </w:trPr>
        <w:tc>
          <w:tcPr>
            <w:tcW w:w="3885" w:type="dxa"/>
            <w:tcBorders>
              <w:top w:val="nil"/>
              <w:left w:val="nil"/>
              <w:bottom w:val="nil"/>
              <w:right w:val="nil"/>
            </w:tcBorders>
            <w:tcMar>
              <w:top w:w="0" w:type="dxa"/>
              <w:left w:w="57" w:type="dxa"/>
              <w:bottom w:w="0" w:type="dxa"/>
              <w:right w:w="57" w:type="dxa"/>
            </w:tcMar>
            <w:vAlign w:val="center"/>
          </w:tcPr>
          <w:p w:rsidR="00C7222A" w:rsidRPr="00D34BE8" w:rsidRDefault="00C7222A" w:rsidP="00D34BE8">
            <w:pPr>
              <w:spacing w:after="0" w:line="360" w:lineRule="auto"/>
              <w:jc w:val="both"/>
              <w:textAlignment w:val="center"/>
              <w:rPr>
                <w:rFonts w:ascii="Book Antiqua" w:eastAsia="宋体" w:hAnsi="Book Antiqua"/>
                <w:sz w:val="20"/>
                <w:szCs w:val="20"/>
              </w:rPr>
            </w:pPr>
            <w:r w:rsidRPr="00D34BE8">
              <w:rPr>
                <w:rFonts w:ascii="Book Antiqua" w:eastAsia="宋体" w:hAnsi="Book Antiqua"/>
                <w:sz w:val="20"/>
                <w:szCs w:val="20"/>
              </w:rPr>
              <w:t>TBIL</w:t>
            </w:r>
            <w:r w:rsidR="00B5478B">
              <w:rPr>
                <w:rFonts w:ascii="Book Antiqua" w:eastAsia="宋体" w:hAnsi="Book Antiqua"/>
                <w:sz w:val="20"/>
                <w:szCs w:val="20"/>
              </w:rPr>
              <w:t xml:space="preserve">, </w:t>
            </w:r>
            <w:r w:rsidR="00D31C86" w:rsidRPr="0027639A">
              <w:rPr>
                <w:rFonts w:ascii="Times New Roman" w:eastAsia="宋体" w:hAnsi="Times New Roman"/>
                <w:sz w:val="20"/>
                <w:szCs w:val="20"/>
              </w:rPr>
              <w:t>μ</w:t>
            </w:r>
            <w:r w:rsidRPr="00D34BE8">
              <w:rPr>
                <w:rFonts w:ascii="Book Antiqua" w:eastAsia="宋体" w:hAnsi="Book Antiqua"/>
                <w:sz w:val="20"/>
                <w:szCs w:val="20"/>
              </w:rPr>
              <w:t>mol/L</w:t>
            </w:r>
          </w:p>
        </w:tc>
        <w:tc>
          <w:tcPr>
            <w:tcW w:w="1842" w:type="dxa"/>
            <w:tcBorders>
              <w:top w:val="nil"/>
              <w:left w:val="nil"/>
              <w:bottom w:val="nil"/>
              <w:right w:val="nil"/>
            </w:tcBorders>
            <w:tcMar>
              <w:top w:w="0" w:type="dxa"/>
              <w:left w:w="57" w:type="dxa"/>
              <w:bottom w:w="0" w:type="dxa"/>
              <w:right w:w="57" w:type="dxa"/>
            </w:tcMar>
            <w:vAlign w:val="center"/>
          </w:tcPr>
          <w:p w:rsidR="00C7222A" w:rsidRPr="00D34BE8" w:rsidRDefault="00C7222A" w:rsidP="00D34BE8">
            <w:pPr>
              <w:spacing w:after="0" w:line="360" w:lineRule="auto"/>
              <w:jc w:val="both"/>
              <w:textAlignment w:val="center"/>
              <w:rPr>
                <w:rFonts w:ascii="Book Antiqua" w:eastAsia="宋体" w:hAnsi="Book Antiqua"/>
                <w:sz w:val="20"/>
                <w:szCs w:val="20"/>
              </w:rPr>
            </w:pPr>
            <w:r w:rsidRPr="00D34BE8">
              <w:rPr>
                <w:rFonts w:ascii="Book Antiqua" w:eastAsia="宋体" w:hAnsi="Book Antiqua"/>
                <w:sz w:val="20"/>
                <w:szCs w:val="20"/>
              </w:rPr>
              <w:t>27.89</w:t>
            </w:r>
            <w:r w:rsidR="000018AB" w:rsidRPr="00D34BE8">
              <w:rPr>
                <w:rFonts w:ascii="Book Antiqua" w:eastAsia="宋体" w:hAnsi="Book Antiqua"/>
                <w:sz w:val="20"/>
                <w:szCs w:val="20"/>
              </w:rPr>
              <w:t xml:space="preserve"> </w:t>
            </w:r>
            <w:r w:rsidRPr="00D34BE8">
              <w:rPr>
                <w:rFonts w:ascii="Book Antiqua" w:eastAsia="宋体" w:hAnsi="Book Antiqua"/>
                <w:sz w:val="20"/>
                <w:szCs w:val="20"/>
              </w:rPr>
              <w:t>(3.5-73.69)</w:t>
            </w:r>
          </w:p>
        </w:tc>
        <w:tc>
          <w:tcPr>
            <w:tcW w:w="1858" w:type="dxa"/>
            <w:tcBorders>
              <w:top w:val="nil"/>
              <w:left w:val="nil"/>
              <w:bottom w:val="nil"/>
              <w:right w:val="nil"/>
            </w:tcBorders>
            <w:tcMar>
              <w:top w:w="0" w:type="dxa"/>
              <w:left w:w="57" w:type="dxa"/>
              <w:bottom w:w="0" w:type="dxa"/>
              <w:right w:w="57" w:type="dxa"/>
            </w:tcMar>
            <w:vAlign w:val="center"/>
          </w:tcPr>
          <w:p w:rsidR="00C7222A" w:rsidRPr="00D34BE8" w:rsidRDefault="00C7222A" w:rsidP="00D34BE8">
            <w:pPr>
              <w:spacing w:after="0" w:line="360" w:lineRule="auto"/>
              <w:jc w:val="both"/>
              <w:textAlignment w:val="center"/>
              <w:rPr>
                <w:rFonts w:ascii="Book Antiqua" w:eastAsia="宋体" w:hAnsi="Book Antiqua"/>
                <w:sz w:val="20"/>
                <w:szCs w:val="20"/>
              </w:rPr>
            </w:pPr>
            <w:r w:rsidRPr="00D34BE8">
              <w:rPr>
                <w:rFonts w:ascii="Book Antiqua" w:eastAsia="宋体" w:hAnsi="Book Antiqua"/>
                <w:sz w:val="20"/>
                <w:szCs w:val="20"/>
              </w:rPr>
              <w:t>34.12</w:t>
            </w:r>
            <w:r w:rsidR="000018AB" w:rsidRPr="00D34BE8">
              <w:rPr>
                <w:rFonts w:ascii="Book Antiqua" w:eastAsia="宋体" w:hAnsi="Book Antiqua"/>
                <w:sz w:val="20"/>
                <w:szCs w:val="20"/>
              </w:rPr>
              <w:t xml:space="preserve"> </w:t>
            </w:r>
            <w:r w:rsidRPr="00D34BE8">
              <w:rPr>
                <w:rFonts w:ascii="Book Antiqua" w:eastAsia="宋体" w:hAnsi="Book Antiqua"/>
                <w:sz w:val="20"/>
                <w:szCs w:val="20"/>
              </w:rPr>
              <w:t>(6-119.7)</w:t>
            </w:r>
          </w:p>
        </w:tc>
        <w:tc>
          <w:tcPr>
            <w:tcW w:w="0" w:type="auto"/>
            <w:tcBorders>
              <w:top w:val="nil"/>
              <w:left w:val="nil"/>
              <w:bottom w:val="nil"/>
              <w:right w:val="nil"/>
            </w:tcBorders>
            <w:tcMar>
              <w:top w:w="0" w:type="dxa"/>
              <w:left w:w="57" w:type="dxa"/>
              <w:bottom w:w="0" w:type="dxa"/>
              <w:right w:w="57" w:type="dxa"/>
            </w:tcMar>
            <w:vAlign w:val="center"/>
          </w:tcPr>
          <w:p w:rsidR="00C7222A" w:rsidRPr="00D34BE8" w:rsidRDefault="00C7222A" w:rsidP="00D34BE8">
            <w:pPr>
              <w:spacing w:after="0" w:line="360" w:lineRule="auto"/>
              <w:jc w:val="both"/>
              <w:rPr>
                <w:rFonts w:ascii="Book Antiqua" w:eastAsia="宋体" w:hAnsi="Book Antiqua"/>
                <w:sz w:val="20"/>
                <w:szCs w:val="20"/>
              </w:rPr>
            </w:pPr>
            <w:r w:rsidRPr="00D34BE8">
              <w:rPr>
                <w:rFonts w:ascii="Book Antiqua" w:eastAsia="宋体" w:hAnsi="Book Antiqua"/>
                <w:sz w:val="20"/>
                <w:szCs w:val="20"/>
              </w:rPr>
              <w:t>0.59</w:t>
            </w:r>
          </w:p>
        </w:tc>
      </w:tr>
      <w:tr w:rsidR="00C7222A" w:rsidRPr="00D34BE8" w:rsidTr="00D31C86">
        <w:trPr>
          <w:trHeight w:val="397"/>
          <w:jc w:val="center"/>
        </w:trPr>
        <w:tc>
          <w:tcPr>
            <w:tcW w:w="3885" w:type="dxa"/>
            <w:tcBorders>
              <w:top w:val="nil"/>
              <w:left w:val="nil"/>
              <w:bottom w:val="nil"/>
              <w:right w:val="nil"/>
            </w:tcBorders>
            <w:tcMar>
              <w:top w:w="0" w:type="dxa"/>
              <w:left w:w="57" w:type="dxa"/>
              <w:bottom w:w="0" w:type="dxa"/>
              <w:right w:w="57" w:type="dxa"/>
            </w:tcMar>
            <w:vAlign w:val="center"/>
          </w:tcPr>
          <w:p w:rsidR="00C7222A" w:rsidRPr="00D34BE8" w:rsidRDefault="00C7222A" w:rsidP="00D34BE8">
            <w:pPr>
              <w:spacing w:after="0" w:line="360" w:lineRule="auto"/>
              <w:jc w:val="both"/>
              <w:textAlignment w:val="center"/>
              <w:rPr>
                <w:rFonts w:ascii="Book Antiqua" w:eastAsia="宋体" w:hAnsi="Book Antiqua"/>
                <w:sz w:val="20"/>
                <w:szCs w:val="20"/>
              </w:rPr>
            </w:pPr>
            <w:r w:rsidRPr="00D34BE8">
              <w:rPr>
                <w:rFonts w:ascii="Book Antiqua" w:eastAsia="宋体" w:hAnsi="Book Antiqua"/>
                <w:sz w:val="20"/>
                <w:szCs w:val="20"/>
              </w:rPr>
              <w:t xml:space="preserve">PT </w:t>
            </w:r>
            <w:r w:rsidR="00B5478B">
              <w:rPr>
                <w:rFonts w:ascii="Book Antiqua" w:eastAsia="宋体" w:hAnsi="Book Antiqua"/>
                <w:sz w:val="20"/>
                <w:szCs w:val="20"/>
              </w:rPr>
              <w:t xml:space="preserve">in </w:t>
            </w:r>
            <w:r w:rsidRPr="00D34BE8">
              <w:rPr>
                <w:rFonts w:ascii="Book Antiqua" w:eastAsia="宋体" w:hAnsi="Book Antiqua"/>
                <w:sz w:val="20"/>
                <w:szCs w:val="20"/>
              </w:rPr>
              <w:t>s</w:t>
            </w:r>
          </w:p>
        </w:tc>
        <w:tc>
          <w:tcPr>
            <w:tcW w:w="1842" w:type="dxa"/>
            <w:tcBorders>
              <w:top w:val="nil"/>
              <w:left w:val="nil"/>
              <w:bottom w:val="nil"/>
              <w:right w:val="nil"/>
            </w:tcBorders>
            <w:tcMar>
              <w:top w:w="0" w:type="dxa"/>
              <w:left w:w="57" w:type="dxa"/>
              <w:bottom w:w="0" w:type="dxa"/>
              <w:right w:w="57" w:type="dxa"/>
            </w:tcMar>
            <w:vAlign w:val="center"/>
          </w:tcPr>
          <w:p w:rsidR="00C7222A" w:rsidRPr="00D34BE8" w:rsidRDefault="00C7222A" w:rsidP="00D34BE8">
            <w:pPr>
              <w:spacing w:after="0" w:line="360" w:lineRule="auto"/>
              <w:jc w:val="both"/>
              <w:textAlignment w:val="center"/>
              <w:rPr>
                <w:rFonts w:ascii="Book Antiqua" w:eastAsia="宋体" w:hAnsi="Book Antiqua"/>
                <w:sz w:val="20"/>
                <w:szCs w:val="20"/>
              </w:rPr>
            </w:pPr>
            <w:r w:rsidRPr="00D34BE8">
              <w:rPr>
                <w:rFonts w:ascii="Book Antiqua" w:eastAsia="宋体" w:hAnsi="Book Antiqua"/>
                <w:sz w:val="20"/>
                <w:szCs w:val="20"/>
              </w:rPr>
              <w:t>13.69</w:t>
            </w:r>
            <w:r w:rsidR="000018AB" w:rsidRPr="00D34BE8">
              <w:rPr>
                <w:rFonts w:ascii="Book Antiqua" w:eastAsia="宋体" w:hAnsi="Book Antiqua"/>
                <w:sz w:val="20"/>
                <w:szCs w:val="20"/>
              </w:rPr>
              <w:t xml:space="preserve"> </w:t>
            </w:r>
            <w:r w:rsidRPr="00D34BE8">
              <w:rPr>
                <w:rFonts w:ascii="Book Antiqua" w:eastAsia="宋体" w:hAnsi="Book Antiqua"/>
                <w:sz w:val="20"/>
                <w:szCs w:val="20"/>
              </w:rPr>
              <w:t>(9.9-24)</w:t>
            </w:r>
          </w:p>
        </w:tc>
        <w:tc>
          <w:tcPr>
            <w:tcW w:w="1858" w:type="dxa"/>
            <w:tcBorders>
              <w:top w:val="nil"/>
              <w:left w:val="nil"/>
              <w:bottom w:val="nil"/>
              <w:right w:val="nil"/>
            </w:tcBorders>
            <w:tcMar>
              <w:top w:w="0" w:type="dxa"/>
              <w:left w:w="57" w:type="dxa"/>
              <w:bottom w:w="0" w:type="dxa"/>
              <w:right w:w="57" w:type="dxa"/>
            </w:tcMar>
            <w:vAlign w:val="center"/>
          </w:tcPr>
          <w:p w:rsidR="00C7222A" w:rsidRPr="00D34BE8" w:rsidRDefault="00C7222A" w:rsidP="00D34BE8">
            <w:pPr>
              <w:spacing w:after="0" w:line="360" w:lineRule="auto"/>
              <w:jc w:val="both"/>
              <w:textAlignment w:val="center"/>
              <w:rPr>
                <w:rFonts w:ascii="Book Antiqua" w:eastAsia="宋体" w:hAnsi="Book Antiqua"/>
                <w:sz w:val="20"/>
                <w:szCs w:val="20"/>
              </w:rPr>
            </w:pPr>
            <w:r w:rsidRPr="00D34BE8">
              <w:rPr>
                <w:rFonts w:ascii="Book Antiqua" w:eastAsia="宋体" w:hAnsi="Book Antiqua"/>
                <w:sz w:val="20"/>
                <w:szCs w:val="20"/>
              </w:rPr>
              <w:t>13.50</w:t>
            </w:r>
            <w:r w:rsidR="000018AB" w:rsidRPr="00D34BE8">
              <w:rPr>
                <w:rFonts w:ascii="Book Antiqua" w:eastAsia="宋体" w:hAnsi="Book Antiqua"/>
                <w:sz w:val="20"/>
                <w:szCs w:val="20"/>
              </w:rPr>
              <w:t xml:space="preserve"> </w:t>
            </w:r>
            <w:r w:rsidRPr="00D34BE8">
              <w:rPr>
                <w:rFonts w:ascii="Book Antiqua" w:eastAsia="宋体" w:hAnsi="Book Antiqua"/>
                <w:sz w:val="20"/>
                <w:szCs w:val="20"/>
              </w:rPr>
              <w:t>(9.1-18.2)</w:t>
            </w:r>
          </w:p>
        </w:tc>
        <w:tc>
          <w:tcPr>
            <w:tcW w:w="0" w:type="auto"/>
            <w:tcBorders>
              <w:top w:val="nil"/>
              <w:left w:val="nil"/>
              <w:bottom w:val="nil"/>
              <w:right w:val="nil"/>
            </w:tcBorders>
            <w:tcMar>
              <w:top w:w="0" w:type="dxa"/>
              <w:left w:w="57" w:type="dxa"/>
              <w:bottom w:w="0" w:type="dxa"/>
              <w:right w:w="57" w:type="dxa"/>
            </w:tcMar>
            <w:vAlign w:val="center"/>
          </w:tcPr>
          <w:p w:rsidR="00C7222A" w:rsidRPr="00D34BE8" w:rsidRDefault="00C7222A" w:rsidP="00D34BE8">
            <w:pPr>
              <w:spacing w:after="0" w:line="360" w:lineRule="auto"/>
              <w:jc w:val="both"/>
              <w:rPr>
                <w:rFonts w:ascii="Book Antiqua" w:eastAsia="宋体" w:hAnsi="Book Antiqua"/>
                <w:sz w:val="20"/>
                <w:szCs w:val="20"/>
              </w:rPr>
            </w:pPr>
            <w:r w:rsidRPr="00D34BE8">
              <w:rPr>
                <w:rFonts w:ascii="Book Antiqua" w:eastAsia="宋体" w:hAnsi="Book Antiqua"/>
                <w:sz w:val="20"/>
                <w:szCs w:val="20"/>
              </w:rPr>
              <w:t>0.85</w:t>
            </w:r>
          </w:p>
        </w:tc>
      </w:tr>
      <w:tr w:rsidR="00C7222A" w:rsidRPr="00D34BE8" w:rsidTr="00D31C86">
        <w:trPr>
          <w:trHeight w:val="397"/>
          <w:jc w:val="center"/>
        </w:trPr>
        <w:tc>
          <w:tcPr>
            <w:tcW w:w="3885" w:type="dxa"/>
            <w:tcBorders>
              <w:top w:val="nil"/>
              <w:left w:val="nil"/>
              <w:bottom w:val="nil"/>
              <w:right w:val="nil"/>
            </w:tcBorders>
            <w:tcMar>
              <w:top w:w="0" w:type="dxa"/>
              <w:left w:w="57" w:type="dxa"/>
              <w:bottom w:w="0" w:type="dxa"/>
              <w:right w:w="57" w:type="dxa"/>
            </w:tcMar>
            <w:vAlign w:val="center"/>
          </w:tcPr>
          <w:p w:rsidR="00C7222A" w:rsidRPr="00D34BE8" w:rsidRDefault="00C7222A" w:rsidP="00D34BE8">
            <w:pPr>
              <w:spacing w:after="0" w:line="360" w:lineRule="auto"/>
              <w:jc w:val="both"/>
              <w:textAlignment w:val="center"/>
              <w:rPr>
                <w:rFonts w:ascii="Book Antiqua" w:eastAsia="宋体" w:hAnsi="Book Antiqua"/>
                <w:sz w:val="20"/>
                <w:szCs w:val="20"/>
              </w:rPr>
            </w:pPr>
            <w:r w:rsidRPr="00D34BE8">
              <w:rPr>
                <w:rFonts w:ascii="Book Antiqua" w:eastAsia="宋体" w:hAnsi="Book Antiqua"/>
                <w:sz w:val="20"/>
                <w:szCs w:val="20"/>
              </w:rPr>
              <w:t xml:space="preserve">TT </w:t>
            </w:r>
            <w:r w:rsidR="00B5478B">
              <w:rPr>
                <w:rFonts w:ascii="Book Antiqua" w:eastAsia="宋体" w:hAnsi="Book Antiqua"/>
                <w:sz w:val="20"/>
                <w:szCs w:val="20"/>
              </w:rPr>
              <w:t xml:space="preserve">in </w:t>
            </w:r>
            <w:r w:rsidRPr="00D34BE8">
              <w:rPr>
                <w:rFonts w:ascii="Book Antiqua" w:eastAsia="宋体" w:hAnsi="Book Antiqua"/>
                <w:sz w:val="20"/>
                <w:szCs w:val="20"/>
              </w:rPr>
              <w:t>s</w:t>
            </w:r>
          </w:p>
        </w:tc>
        <w:tc>
          <w:tcPr>
            <w:tcW w:w="1842" w:type="dxa"/>
            <w:tcBorders>
              <w:top w:val="nil"/>
              <w:left w:val="nil"/>
              <w:bottom w:val="nil"/>
              <w:right w:val="nil"/>
            </w:tcBorders>
            <w:tcMar>
              <w:top w:w="0" w:type="dxa"/>
              <w:left w:w="57" w:type="dxa"/>
              <w:bottom w:w="0" w:type="dxa"/>
              <w:right w:w="57" w:type="dxa"/>
            </w:tcMar>
            <w:vAlign w:val="center"/>
          </w:tcPr>
          <w:p w:rsidR="00C7222A" w:rsidRPr="00D34BE8" w:rsidRDefault="00C7222A" w:rsidP="00D34BE8">
            <w:pPr>
              <w:spacing w:after="0" w:line="360" w:lineRule="auto"/>
              <w:jc w:val="both"/>
              <w:textAlignment w:val="center"/>
              <w:rPr>
                <w:rFonts w:ascii="Book Antiqua" w:eastAsia="宋体" w:hAnsi="Book Antiqua"/>
                <w:sz w:val="20"/>
                <w:szCs w:val="20"/>
              </w:rPr>
            </w:pPr>
            <w:r w:rsidRPr="00D34BE8">
              <w:rPr>
                <w:rFonts w:ascii="Book Antiqua" w:eastAsia="宋体" w:hAnsi="Book Antiqua"/>
                <w:sz w:val="20"/>
                <w:szCs w:val="20"/>
              </w:rPr>
              <w:t>20.44</w:t>
            </w:r>
            <w:r w:rsidR="000018AB" w:rsidRPr="00D34BE8">
              <w:rPr>
                <w:rFonts w:ascii="Book Antiqua" w:eastAsia="宋体" w:hAnsi="Book Antiqua"/>
                <w:sz w:val="20"/>
                <w:szCs w:val="20"/>
              </w:rPr>
              <w:t xml:space="preserve"> </w:t>
            </w:r>
            <w:r w:rsidRPr="00D34BE8">
              <w:rPr>
                <w:rFonts w:ascii="Book Antiqua" w:eastAsia="宋体" w:hAnsi="Book Antiqua"/>
                <w:sz w:val="20"/>
                <w:szCs w:val="20"/>
              </w:rPr>
              <w:t>(17.2-27.9)</w:t>
            </w:r>
          </w:p>
        </w:tc>
        <w:tc>
          <w:tcPr>
            <w:tcW w:w="1858" w:type="dxa"/>
            <w:tcBorders>
              <w:top w:val="nil"/>
              <w:left w:val="nil"/>
              <w:bottom w:val="nil"/>
              <w:right w:val="nil"/>
            </w:tcBorders>
            <w:tcMar>
              <w:top w:w="0" w:type="dxa"/>
              <w:left w:w="57" w:type="dxa"/>
              <w:bottom w:w="0" w:type="dxa"/>
              <w:right w:w="57" w:type="dxa"/>
            </w:tcMar>
            <w:vAlign w:val="center"/>
          </w:tcPr>
          <w:p w:rsidR="00C7222A" w:rsidRPr="00D34BE8" w:rsidRDefault="00C7222A" w:rsidP="00D34BE8">
            <w:pPr>
              <w:spacing w:after="0" w:line="360" w:lineRule="auto"/>
              <w:jc w:val="both"/>
              <w:textAlignment w:val="center"/>
              <w:rPr>
                <w:rFonts w:ascii="Book Antiqua" w:eastAsia="宋体" w:hAnsi="Book Antiqua"/>
                <w:sz w:val="20"/>
                <w:szCs w:val="20"/>
              </w:rPr>
            </w:pPr>
            <w:r w:rsidRPr="00D34BE8">
              <w:rPr>
                <w:rFonts w:ascii="Book Antiqua" w:eastAsia="宋体" w:hAnsi="Book Antiqua"/>
                <w:sz w:val="20"/>
                <w:szCs w:val="20"/>
              </w:rPr>
              <w:t>20.28</w:t>
            </w:r>
            <w:r w:rsidR="000018AB" w:rsidRPr="00D34BE8">
              <w:rPr>
                <w:rFonts w:ascii="Book Antiqua" w:eastAsia="宋体" w:hAnsi="Book Antiqua"/>
                <w:sz w:val="20"/>
                <w:szCs w:val="20"/>
              </w:rPr>
              <w:t xml:space="preserve"> </w:t>
            </w:r>
            <w:r w:rsidRPr="00D34BE8">
              <w:rPr>
                <w:rFonts w:ascii="Book Antiqua" w:eastAsia="宋体" w:hAnsi="Book Antiqua"/>
                <w:sz w:val="20"/>
                <w:szCs w:val="20"/>
              </w:rPr>
              <w:t>(16.9-23.1)</w:t>
            </w:r>
          </w:p>
        </w:tc>
        <w:tc>
          <w:tcPr>
            <w:tcW w:w="0" w:type="auto"/>
            <w:tcBorders>
              <w:top w:val="nil"/>
              <w:left w:val="nil"/>
              <w:bottom w:val="nil"/>
              <w:right w:val="nil"/>
            </w:tcBorders>
            <w:tcMar>
              <w:top w:w="0" w:type="dxa"/>
              <w:left w:w="57" w:type="dxa"/>
              <w:bottom w:w="0" w:type="dxa"/>
              <w:right w:w="57" w:type="dxa"/>
            </w:tcMar>
            <w:vAlign w:val="center"/>
          </w:tcPr>
          <w:p w:rsidR="00C7222A" w:rsidRPr="00D34BE8" w:rsidRDefault="00C7222A" w:rsidP="00D34BE8">
            <w:pPr>
              <w:spacing w:after="0" w:line="360" w:lineRule="auto"/>
              <w:jc w:val="both"/>
              <w:rPr>
                <w:rFonts w:ascii="Book Antiqua" w:eastAsia="宋体" w:hAnsi="Book Antiqua"/>
                <w:sz w:val="20"/>
                <w:szCs w:val="20"/>
              </w:rPr>
            </w:pPr>
            <w:r w:rsidRPr="00D34BE8">
              <w:rPr>
                <w:rFonts w:ascii="Book Antiqua" w:eastAsia="宋体" w:hAnsi="Book Antiqua"/>
                <w:sz w:val="20"/>
                <w:szCs w:val="20"/>
              </w:rPr>
              <w:t>0.01</w:t>
            </w:r>
          </w:p>
        </w:tc>
      </w:tr>
      <w:tr w:rsidR="00C7222A" w:rsidRPr="00D34BE8" w:rsidTr="00D31C86">
        <w:trPr>
          <w:trHeight w:val="397"/>
          <w:jc w:val="center"/>
        </w:trPr>
        <w:tc>
          <w:tcPr>
            <w:tcW w:w="3885" w:type="dxa"/>
            <w:tcBorders>
              <w:top w:val="nil"/>
              <w:left w:val="nil"/>
              <w:bottom w:val="nil"/>
              <w:right w:val="nil"/>
            </w:tcBorders>
            <w:tcMar>
              <w:top w:w="0" w:type="dxa"/>
              <w:left w:w="57" w:type="dxa"/>
              <w:bottom w:w="0" w:type="dxa"/>
              <w:right w:w="57" w:type="dxa"/>
            </w:tcMar>
            <w:vAlign w:val="center"/>
          </w:tcPr>
          <w:p w:rsidR="00C7222A" w:rsidRPr="00D34BE8" w:rsidRDefault="00C7222A" w:rsidP="00D34BE8">
            <w:pPr>
              <w:spacing w:after="0" w:line="360" w:lineRule="auto"/>
              <w:jc w:val="both"/>
              <w:textAlignment w:val="center"/>
              <w:rPr>
                <w:rFonts w:ascii="Book Antiqua" w:eastAsia="宋体" w:hAnsi="Book Antiqua"/>
                <w:sz w:val="20"/>
                <w:szCs w:val="20"/>
              </w:rPr>
            </w:pPr>
            <w:r w:rsidRPr="00D34BE8">
              <w:rPr>
                <w:rFonts w:ascii="Book Antiqua" w:eastAsia="宋体" w:hAnsi="Book Antiqua"/>
                <w:sz w:val="20"/>
                <w:szCs w:val="20"/>
              </w:rPr>
              <w:t>PLT</w:t>
            </w:r>
            <w:r w:rsidR="00B5478B">
              <w:rPr>
                <w:rFonts w:ascii="Book Antiqua" w:eastAsia="宋体" w:hAnsi="Book Antiqua"/>
                <w:sz w:val="20"/>
                <w:szCs w:val="20"/>
              </w:rPr>
              <w:t xml:space="preserve">, </w:t>
            </w:r>
            <w:r w:rsidR="00D31C86" w:rsidRPr="00D34BE8">
              <w:rPr>
                <w:rFonts w:ascii="Book Antiqua" w:eastAsia="宋体" w:hAnsi="Book Antiqua"/>
                <w:sz w:val="20"/>
                <w:szCs w:val="20"/>
              </w:rPr>
              <w:t xml:space="preserve">× </w:t>
            </w:r>
            <w:r w:rsidRPr="00D34BE8">
              <w:rPr>
                <w:rFonts w:ascii="Book Antiqua" w:eastAsia="宋体" w:hAnsi="Book Antiqua"/>
                <w:sz w:val="20"/>
                <w:szCs w:val="20"/>
              </w:rPr>
              <w:t>10</w:t>
            </w:r>
            <w:r w:rsidRPr="00D34BE8">
              <w:rPr>
                <w:rFonts w:ascii="Book Antiqua" w:eastAsia="宋体" w:hAnsi="Book Antiqua"/>
                <w:sz w:val="20"/>
                <w:szCs w:val="20"/>
                <w:vertAlign w:val="superscript"/>
              </w:rPr>
              <w:t>9</w:t>
            </w:r>
            <w:r w:rsidRPr="00D34BE8">
              <w:rPr>
                <w:rFonts w:ascii="Book Antiqua" w:eastAsia="宋体" w:hAnsi="Book Antiqua"/>
                <w:sz w:val="20"/>
                <w:szCs w:val="20"/>
              </w:rPr>
              <w:t>/L</w:t>
            </w:r>
          </w:p>
        </w:tc>
        <w:tc>
          <w:tcPr>
            <w:tcW w:w="1842" w:type="dxa"/>
            <w:tcBorders>
              <w:top w:val="nil"/>
              <w:left w:val="nil"/>
              <w:bottom w:val="nil"/>
              <w:right w:val="nil"/>
            </w:tcBorders>
            <w:tcMar>
              <w:top w:w="0" w:type="dxa"/>
              <w:left w:w="57" w:type="dxa"/>
              <w:bottom w:w="0" w:type="dxa"/>
              <w:right w:w="57" w:type="dxa"/>
            </w:tcMar>
            <w:vAlign w:val="center"/>
          </w:tcPr>
          <w:p w:rsidR="00C7222A" w:rsidRPr="00D34BE8" w:rsidRDefault="00C7222A" w:rsidP="00D34BE8">
            <w:pPr>
              <w:spacing w:after="0" w:line="360" w:lineRule="auto"/>
              <w:jc w:val="both"/>
              <w:textAlignment w:val="center"/>
              <w:rPr>
                <w:rFonts w:ascii="Book Antiqua" w:eastAsia="宋体" w:hAnsi="Book Antiqua"/>
                <w:sz w:val="20"/>
                <w:szCs w:val="20"/>
              </w:rPr>
            </w:pPr>
            <w:r w:rsidRPr="00D34BE8">
              <w:rPr>
                <w:rFonts w:ascii="Book Antiqua" w:eastAsia="宋体" w:hAnsi="Book Antiqua"/>
                <w:sz w:val="20"/>
                <w:szCs w:val="20"/>
              </w:rPr>
              <w:t>57.68</w:t>
            </w:r>
            <w:r w:rsidR="000018AB" w:rsidRPr="00D34BE8">
              <w:rPr>
                <w:rFonts w:ascii="Book Antiqua" w:eastAsia="宋体" w:hAnsi="Book Antiqua"/>
                <w:sz w:val="20"/>
                <w:szCs w:val="20"/>
              </w:rPr>
              <w:t xml:space="preserve"> </w:t>
            </w:r>
            <w:r w:rsidRPr="00D34BE8">
              <w:rPr>
                <w:rFonts w:ascii="Book Antiqua" w:eastAsia="宋体" w:hAnsi="Book Antiqua"/>
                <w:sz w:val="20"/>
                <w:szCs w:val="20"/>
              </w:rPr>
              <w:t>(15-176)</w:t>
            </w:r>
          </w:p>
        </w:tc>
        <w:tc>
          <w:tcPr>
            <w:tcW w:w="1858" w:type="dxa"/>
            <w:tcBorders>
              <w:top w:val="nil"/>
              <w:left w:val="nil"/>
              <w:bottom w:val="nil"/>
              <w:right w:val="nil"/>
            </w:tcBorders>
            <w:tcMar>
              <w:top w:w="0" w:type="dxa"/>
              <w:left w:w="57" w:type="dxa"/>
              <w:bottom w:w="0" w:type="dxa"/>
              <w:right w:w="57" w:type="dxa"/>
            </w:tcMar>
            <w:vAlign w:val="center"/>
          </w:tcPr>
          <w:p w:rsidR="00C7222A" w:rsidRPr="00D34BE8" w:rsidRDefault="00C7222A" w:rsidP="00D34BE8">
            <w:pPr>
              <w:spacing w:after="0" w:line="360" w:lineRule="auto"/>
              <w:jc w:val="both"/>
              <w:textAlignment w:val="center"/>
              <w:rPr>
                <w:rFonts w:ascii="Book Antiqua" w:eastAsia="宋体" w:hAnsi="Book Antiqua"/>
                <w:sz w:val="20"/>
                <w:szCs w:val="20"/>
              </w:rPr>
            </w:pPr>
            <w:r w:rsidRPr="00D34BE8">
              <w:rPr>
                <w:rFonts w:ascii="Book Antiqua" w:eastAsia="宋体" w:hAnsi="Book Antiqua"/>
                <w:sz w:val="20"/>
                <w:szCs w:val="20"/>
              </w:rPr>
              <w:t>73.77</w:t>
            </w:r>
            <w:r w:rsidR="000018AB" w:rsidRPr="00D34BE8">
              <w:rPr>
                <w:rFonts w:ascii="Book Antiqua" w:eastAsia="宋体" w:hAnsi="Book Antiqua"/>
                <w:sz w:val="20"/>
                <w:szCs w:val="20"/>
              </w:rPr>
              <w:t xml:space="preserve"> </w:t>
            </w:r>
            <w:r w:rsidRPr="00D34BE8">
              <w:rPr>
                <w:rFonts w:ascii="Book Antiqua" w:eastAsia="宋体" w:hAnsi="Book Antiqua"/>
                <w:sz w:val="20"/>
                <w:szCs w:val="20"/>
              </w:rPr>
              <w:t>(29-159)</w:t>
            </w:r>
          </w:p>
        </w:tc>
        <w:tc>
          <w:tcPr>
            <w:tcW w:w="0" w:type="auto"/>
            <w:tcBorders>
              <w:top w:val="nil"/>
              <w:left w:val="nil"/>
              <w:bottom w:val="nil"/>
              <w:right w:val="nil"/>
            </w:tcBorders>
            <w:tcMar>
              <w:top w:w="0" w:type="dxa"/>
              <w:left w:w="57" w:type="dxa"/>
              <w:bottom w:w="0" w:type="dxa"/>
              <w:right w:w="57" w:type="dxa"/>
            </w:tcMar>
            <w:vAlign w:val="center"/>
          </w:tcPr>
          <w:p w:rsidR="00C7222A" w:rsidRPr="00D34BE8" w:rsidRDefault="00C7222A" w:rsidP="00D34BE8">
            <w:pPr>
              <w:spacing w:after="0" w:line="360" w:lineRule="auto"/>
              <w:jc w:val="both"/>
              <w:rPr>
                <w:rFonts w:ascii="Book Antiqua" w:eastAsia="宋体" w:hAnsi="Book Antiqua"/>
                <w:sz w:val="20"/>
                <w:szCs w:val="20"/>
              </w:rPr>
            </w:pPr>
            <w:r w:rsidRPr="00D34BE8">
              <w:rPr>
                <w:rFonts w:ascii="Book Antiqua" w:eastAsia="宋体" w:hAnsi="Book Antiqua"/>
                <w:sz w:val="20"/>
                <w:szCs w:val="20"/>
              </w:rPr>
              <w:t>0.05</w:t>
            </w:r>
          </w:p>
        </w:tc>
      </w:tr>
      <w:tr w:rsidR="00C7222A" w:rsidRPr="00D34BE8" w:rsidTr="00D31C86">
        <w:trPr>
          <w:trHeight w:val="397"/>
          <w:jc w:val="center"/>
        </w:trPr>
        <w:tc>
          <w:tcPr>
            <w:tcW w:w="3885" w:type="dxa"/>
            <w:tcBorders>
              <w:top w:val="nil"/>
              <w:left w:val="nil"/>
              <w:bottom w:val="single" w:sz="4" w:space="0" w:color="auto"/>
              <w:right w:val="nil"/>
            </w:tcBorders>
            <w:tcMar>
              <w:top w:w="0" w:type="dxa"/>
              <w:left w:w="57" w:type="dxa"/>
              <w:bottom w:w="0" w:type="dxa"/>
              <w:right w:w="57" w:type="dxa"/>
            </w:tcMar>
            <w:vAlign w:val="center"/>
          </w:tcPr>
          <w:p w:rsidR="00C7222A" w:rsidRPr="00D34BE8" w:rsidRDefault="00C7222A" w:rsidP="00D34BE8">
            <w:pPr>
              <w:spacing w:after="0" w:line="360" w:lineRule="auto"/>
              <w:jc w:val="both"/>
              <w:textAlignment w:val="center"/>
              <w:rPr>
                <w:rFonts w:ascii="Book Antiqua" w:eastAsia="宋体" w:hAnsi="Book Antiqua"/>
                <w:sz w:val="20"/>
                <w:szCs w:val="20"/>
              </w:rPr>
            </w:pPr>
            <w:r w:rsidRPr="00D34BE8">
              <w:rPr>
                <w:rFonts w:ascii="Book Antiqua" w:eastAsia="宋体" w:hAnsi="Book Antiqua"/>
                <w:sz w:val="20"/>
                <w:szCs w:val="20"/>
              </w:rPr>
              <w:t>LSM</w:t>
            </w:r>
            <w:r w:rsidR="00B5478B">
              <w:rPr>
                <w:rFonts w:ascii="Book Antiqua" w:eastAsia="宋体" w:hAnsi="Book Antiqua"/>
                <w:sz w:val="20"/>
                <w:szCs w:val="20"/>
              </w:rPr>
              <w:t xml:space="preserve">, </w:t>
            </w:r>
            <w:r w:rsidRPr="00D34BE8">
              <w:rPr>
                <w:rFonts w:ascii="Book Antiqua" w:eastAsia="宋体" w:hAnsi="Book Antiqua"/>
                <w:sz w:val="20"/>
                <w:szCs w:val="20"/>
              </w:rPr>
              <w:t>kPa</w:t>
            </w:r>
          </w:p>
        </w:tc>
        <w:tc>
          <w:tcPr>
            <w:tcW w:w="1842" w:type="dxa"/>
            <w:tcBorders>
              <w:top w:val="nil"/>
              <w:left w:val="nil"/>
              <w:bottom w:val="single" w:sz="4" w:space="0" w:color="auto"/>
              <w:right w:val="nil"/>
            </w:tcBorders>
            <w:tcMar>
              <w:top w:w="0" w:type="dxa"/>
              <w:left w:w="57" w:type="dxa"/>
              <w:bottom w:w="0" w:type="dxa"/>
              <w:right w:w="57" w:type="dxa"/>
            </w:tcMar>
            <w:vAlign w:val="center"/>
          </w:tcPr>
          <w:p w:rsidR="00C7222A" w:rsidRPr="00D34BE8" w:rsidRDefault="00C7222A" w:rsidP="00D34BE8">
            <w:pPr>
              <w:spacing w:after="0" w:line="360" w:lineRule="auto"/>
              <w:jc w:val="both"/>
              <w:textAlignment w:val="center"/>
              <w:rPr>
                <w:rFonts w:ascii="Book Antiqua" w:eastAsia="宋体" w:hAnsi="Book Antiqua"/>
                <w:sz w:val="20"/>
                <w:szCs w:val="20"/>
              </w:rPr>
            </w:pPr>
            <w:r w:rsidRPr="00D34BE8">
              <w:rPr>
                <w:rFonts w:ascii="Book Antiqua" w:eastAsia="宋体" w:hAnsi="Book Antiqua"/>
                <w:sz w:val="20"/>
                <w:szCs w:val="20"/>
              </w:rPr>
              <w:t>20.45</w:t>
            </w:r>
            <w:r w:rsidR="000018AB" w:rsidRPr="00D34BE8">
              <w:rPr>
                <w:rFonts w:ascii="Book Antiqua" w:eastAsia="宋体" w:hAnsi="Book Antiqua"/>
                <w:sz w:val="20"/>
                <w:szCs w:val="20"/>
              </w:rPr>
              <w:t xml:space="preserve"> </w:t>
            </w:r>
            <w:r w:rsidRPr="00D34BE8">
              <w:rPr>
                <w:rFonts w:ascii="Book Antiqua" w:eastAsia="宋体" w:hAnsi="Book Antiqua"/>
                <w:sz w:val="20"/>
                <w:szCs w:val="20"/>
              </w:rPr>
              <w:t>(9.4-36.1)</w:t>
            </w:r>
          </w:p>
        </w:tc>
        <w:tc>
          <w:tcPr>
            <w:tcW w:w="1858" w:type="dxa"/>
            <w:tcBorders>
              <w:top w:val="nil"/>
              <w:left w:val="nil"/>
              <w:bottom w:val="single" w:sz="4" w:space="0" w:color="auto"/>
              <w:right w:val="nil"/>
            </w:tcBorders>
            <w:tcMar>
              <w:top w:w="0" w:type="dxa"/>
              <w:left w:w="57" w:type="dxa"/>
              <w:bottom w:w="0" w:type="dxa"/>
              <w:right w:w="57" w:type="dxa"/>
            </w:tcMar>
            <w:vAlign w:val="center"/>
          </w:tcPr>
          <w:p w:rsidR="00C7222A" w:rsidRPr="00D34BE8" w:rsidRDefault="00C7222A" w:rsidP="00D34BE8">
            <w:pPr>
              <w:spacing w:after="0" w:line="360" w:lineRule="auto"/>
              <w:jc w:val="both"/>
              <w:textAlignment w:val="center"/>
              <w:rPr>
                <w:rFonts w:ascii="Book Antiqua" w:eastAsia="宋体" w:hAnsi="Book Antiqua"/>
                <w:sz w:val="20"/>
                <w:szCs w:val="20"/>
              </w:rPr>
            </w:pPr>
            <w:r w:rsidRPr="00D34BE8">
              <w:rPr>
                <w:rFonts w:ascii="Book Antiqua" w:eastAsia="宋体" w:hAnsi="Book Antiqua"/>
                <w:sz w:val="20"/>
                <w:szCs w:val="20"/>
              </w:rPr>
              <w:t>26.8</w:t>
            </w:r>
            <w:r w:rsidR="000018AB" w:rsidRPr="00D34BE8">
              <w:rPr>
                <w:rFonts w:ascii="Book Antiqua" w:eastAsia="宋体" w:hAnsi="Book Antiqua"/>
                <w:sz w:val="20"/>
                <w:szCs w:val="20"/>
              </w:rPr>
              <w:t xml:space="preserve"> </w:t>
            </w:r>
            <w:r w:rsidRPr="00D34BE8">
              <w:rPr>
                <w:rFonts w:ascii="Book Antiqua" w:eastAsia="宋体" w:hAnsi="Book Antiqua"/>
                <w:sz w:val="20"/>
                <w:szCs w:val="20"/>
              </w:rPr>
              <w:t>(7.6-75)</w:t>
            </w:r>
          </w:p>
        </w:tc>
        <w:tc>
          <w:tcPr>
            <w:tcW w:w="0" w:type="auto"/>
            <w:tcBorders>
              <w:top w:val="nil"/>
              <w:left w:val="nil"/>
              <w:bottom w:val="single" w:sz="4" w:space="0" w:color="auto"/>
              <w:right w:val="nil"/>
            </w:tcBorders>
            <w:tcMar>
              <w:top w:w="0" w:type="dxa"/>
              <w:left w:w="57" w:type="dxa"/>
              <w:bottom w:w="0" w:type="dxa"/>
              <w:right w:w="57" w:type="dxa"/>
            </w:tcMar>
            <w:vAlign w:val="center"/>
          </w:tcPr>
          <w:p w:rsidR="00C7222A" w:rsidRPr="00D34BE8" w:rsidRDefault="00C7222A" w:rsidP="00D34BE8">
            <w:pPr>
              <w:spacing w:after="0" w:line="360" w:lineRule="auto"/>
              <w:jc w:val="both"/>
              <w:rPr>
                <w:rFonts w:ascii="Book Antiqua" w:eastAsia="宋体" w:hAnsi="Book Antiqua"/>
                <w:sz w:val="20"/>
                <w:szCs w:val="20"/>
              </w:rPr>
            </w:pPr>
            <w:r w:rsidRPr="00D34BE8">
              <w:rPr>
                <w:rFonts w:ascii="Book Antiqua" w:eastAsia="宋体" w:hAnsi="Book Antiqua"/>
                <w:sz w:val="20"/>
                <w:szCs w:val="20"/>
              </w:rPr>
              <w:t>0.26</w:t>
            </w:r>
          </w:p>
        </w:tc>
      </w:tr>
    </w:tbl>
    <w:p w:rsidR="00C7222A" w:rsidRPr="00D34BE8" w:rsidRDefault="00D31C86" w:rsidP="00D34BE8">
      <w:pPr>
        <w:spacing w:after="0" w:line="360" w:lineRule="auto"/>
        <w:jc w:val="both"/>
        <w:rPr>
          <w:rFonts w:ascii="Book Antiqua" w:hAnsi="Book Antiqua"/>
          <w:sz w:val="20"/>
          <w:szCs w:val="20"/>
        </w:rPr>
      </w:pPr>
      <w:r w:rsidRPr="00D34BE8">
        <w:rPr>
          <w:rFonts w:ascii="Book Antiqua" w:hAnsi="Book Antiqua"/>
          <w:i/>
          <w:iCs/>
          <w:sz w:val="20"/>
          <w:szCs w:val="20"/>
        </w:rPr>
        <w:t>P</w:t>
      </w:r>
      <w:r w:rsidRPr="00D34BE8">
        <w:rPr>
          <w:rFonts w:ascii="Book Antiqua" w:hAnsi="Book Antiqua"/>
          <w:sz w:val="20"/>
          <w:szCs w:val="20"/>
        </w:rPr>
        <w:t xml:space="preserve"> &lt; 0.05 is considered statistically significant. </w:t>
      </w:r>
      <w:r w:rsidR="00E02175" w:rsidRPr="00D34BE8">
        <w:rPr>
          <w:rFonts w:ascii="Book Antiqua" w:eastAsia="宋体" w:hAnsi="Book Antiqua"/>
          <w:bCs/>
          <w:sz w:val="20"/>
          <w:szCs w:val="20"/>
          <w:lang w:eastAsia="en-US"/>
        </w:rPr>
        <w:t xml:space="preserve">HEVs: High-risk esophageal varices; LEVs: Low-risk esophageal varices; </w:t>
      </w:r>
      <w:r w:rsidR="00C7222A" w:rsidRPr="00D34BE8">
        <w:rPr>
          <w:rFonts w:ascii="Book Antiqua" w:hAnsi="Book Antiqua"/>
          <w:sz w:val="20"/>
          <w:szCs w:val="20"/>
        </w:rPr>
        <w:t xml:space="preserve">PVSA: </w:t>
      </w:r>
      <w:r w:rsidR="00CE5296" w:rsidRPr="00D34BE8">
        <w:rPr>
          <w:rFonts w:ascii="Book Antiqua" w:hAnsi="Book Antiqua"/>
          <w:sz w:val="20"/>
          <w:szCs w:val="20"/>
        </w:rPr>
        <w:t xml:space="preserve">Portal </w:t>
      </w:r>
      <w:r w:rsidR="00C7222A" w:rsidRPr="00D34BE8">
        <w:rPr>
          <w:rFonts w:ascii="Book Antiqua" w:hAnsi="Book Antiqua"/>
          <w:sz w:val="20"/>
          <w:szCs w:val="20"/>
        </w:rPr>
        <w:t xml:space="preserve">vein surface area; PVD: </w:t>
      </w:r>
      <w:r w:rsidR="00CE5296" w:rsidRPr="00D34BE8">
        <w:rPr>
          <w:rFonts w:ascii="Book Antiqua" w:hAnsi="Book Antiqua"/>
          <w:sz w:val="20"/>
          <w:szCs w:val="20"/>
        </w:rPr>
        <w:t xml:space="preserve">Portal </w:t>
      </w:r>
      <w:r w:rsidR="00C7222A" w:rsidRPr="00D34BE8">
        <w:rPr>
          <w:rFonts w:ascii="Book Antiqua" w:hAnsi="Book Antiqua"/>
          <w:sz w:val="20"/>
          <w:szCs w:val="20"/>
        </w:rPr>
        <w:t xml:space="preserve">vein diameter; SVD: </w:t>
      </w:r>
      <w:r w:rsidR="00CE5296" w:rsidRPr="00D34BE8">
        <w:rPr>
          <w:rFonts w:ascii="Book Antiqua" w:hAnsi="Book Antiqua"/>
          <w:sz w:val="20"/>
          <w:szCs w:val="20"/>
        </w:rPr>
        <w:t xml:space="preserve">Splenic </w:t>
      </w:r>
      <w:r w:rsidR="00C7222A" w:rsidRPr="00D34BE8">
        <w:rPr>
          <w:rFonts w:ascii="Book Antiqua" w:hAnsi="Book Antiqua"/>
          <w:sz w:val="20"/>
          <w:szCs w:val="20"/>
        </w:rPr>
        <w:t xml:space="preserve">vein diameter; CTLV: </w:t>
      </w:r>
      <w:r w:rsidR="00CE5296" w:rsidRPr="00D34BE8">
        <w:rPr>
          <w:rFonts w:ascii="Book Antiqua" w:hAnsi="Book Antiqua"/>
          <w:sz w:val="20"/>
          <w:szCs w:val="20"/>
        </w:rPr>
        <w:t xml:space="preserve">Actual </w:t>
      </w:r>
      <w:r w:rsidR="00C7222A" w:rsidRPr="00D34BE8">
        <w:rPr>
          <w:rFonts w:ascii="Book Antiqua" w:hAnsi="Book Antiqua"/>
          <w:sz w:val="20"/>
          <w:szCs w:val="20"/>
        </w:rPr>
        <w:t xml:space="preserve">liver volume measured by CT; CTSV: </w:t>
      </w:r>
      <w:r w:rsidR="00CE5296" w:rsidRPr="00D34BE8">
        <w:rPr>
          <w:rFonts w:ascii="Book Antiqua" w:hAnsi="Book Antiqua"/>
          <w:sz w:val="20"/>
          <w:szCs w:val="20"/>
        </w:rPr>
        <w:t xml:space="preserve">Actual </w:t>
      </w:r>
      <w:r w:rsidR="00C7222A" w:rsidRPr="00D34BE8">
        <w:rPr>
          <w:rFonts w:ascii="Book Antiqua" w:hAnsi="Book Antiqua"/>
          <w:sz w:val="20"/>
          <w:szCs w:val="20"/>
        </w:rPr>
        <w:t xml:space="preserve">spleen volume measured by CT; SSV: </w:t>
      </w:r>
      <w:r w:rsidR="00CE5296" w:rsidRPr="00D34BE8">
        <w:rPr>
          <w:rFonts w:ascii="Book Antiqua" w:hAnsi="Book Antiqua"/>
          <w:sz w:val="20"/>
          <w:szCs w:val="20"/>
        </w:rPr>
        <w:t xml:space="preserve">Standard </w:t>
      </w:r>
      <w:r w:rsidR="00C7222A" w:rsidRPr="00D34BE8">
        <w:rPr>
          <w:rFonts w:ascii="Book Antiqua" w:hAnsi="Book Antiqua"/>
          <w:sz w:val="20"/>
          <w:szCs w:val="20"/>
        </w:rPr>
        <w:t xml:space="preserve">spleen volume calculated by equation; SLV: </w:t>
      </w:r>
      <w:r w:rsidR="00CE5296" w:rsidRPr="00D34BE8">
        <w:rPr>
          <w:rFonts w:ascii="Book Antiqua" w:hAnsi="Book Antiqua"/>
          <w:sz w:val="20"/>
          <w:szCs w:val="20"/>
        </w:rPr>
        <w:t xml:space="preserve">Standard </w:t>
      </w:r>
      <w:r w:rsidR="00C7222A" w:rsidRPr="00D34BE8">
        <w:rPr>
          <w:rFonts w:ascii="Book Antiqua" w:hAnsi="Book Antiqua"/>
          <w:sz w:val="20"/>
          <w:szCs w:val="20"/>
        </w:rPr>
        <w:t xml:space="preserve">liver volume calculated by equation; ALT: </w:t>
      </w:r>
      <w:r w:rsidR="00CE5296" w:rsidRPr="00D34BE8">
        <w:rPr>
          <w:rFonts w:ascii="Book Antiqua" w:hAnsi="Book Antiqua"/>
          <w:sz w:val="20"/>
          <w:szCs w:val="20"/>
        </w:rPr>
        <w:t xml:space="preserve">Alanine </w:t>
      </w:r>
      <w:r w:rsidR="00C7222A" w:rsidRPr="00D34BE8">
        <w:rPr>
          <w:rFonts w:ascii="Book Antiqua" w:hAnsi="Book Antiqua"/>
          <w:sz w:val="20"/>
          <w:szCs w:val="20"/>
        </w:rPr>
        <w:t xml:space="preserve">aminotransferase; AST: </w:t>
      </w:r>
      <w:r w:rsidR="00CE5296" w:rsidRPr="00D34BE8">
        <w:rPr>
          <w:rFonts w:ascii="Book Antiqua" w:hAnsi="Book Antiqua"/>
          <w:sz w:val="20"/>
          <w:szCs w:val="20"/>
        </w:rPr>
        <w:t xml:space="preserve">Aspartate </w:t>
      </w:r>
      <w:r w:rsidR="00C7222A" w:rsidRPr="00D34BE8">
        <w:rPr>
          <w:rFonts w:ascii="Book Antiqua" w:hAnsi="Book Antiqua"/>
          <w:sz w:val="20"/>
          <w:szCs w:val="20"/>
        </w:rPr>
        <w:t xml:space="preserve">aminotransferase; TBIL: </w:t>
      </w:r>
      <w:r w:rsidR="00CE5296" w:rsidRPr="00D34BE8">
        <w:rPr>
          <w:rFonts w:ascii="Book Antiqua" w:hAnsi="Book Antiqua"/>
          <w:sz w:val="20"/>
          <w:szCs w:val="20"/>
        </w:rPr>
        <w:t xml:space="preserve">Total </w:t>
      </w:r>
      <w:r w:rsidR="00C7222A" w:rsidRPr="00D34BE8">
        <w:rPr>
          <w:rFonts w:ascii="Book Antiqua" w:hAnsi="Book Antiqua"/>
          <w:sz w:val="20"/>
          <w:szCs w:val="20"/>
        </w:rPr>
        <w:t xml:space="preserve">bilirubin; PT: </w:t>
      </w:r>
      <w:r w:rsidR="00CE5296" w:rsidRPr="00D34BE8">
        <w:rPr>
          <w:rFonts w:ascii="Book Antiqua" w:hAnsi="Book Antiqua"/>
          <w:sz w:val="20"/>
          <w:szCs w:val="20"/>
        </w:rPr>
        <w:t xml:space="preserve">Prothrombin </w:t>
      </w:r>
      <w:r w:rsidR="00C7222A" w:rsidRPr="00D34BE8">
        <w:rPr>
          <w:rFonts w:ascii="Book Antiqua" w:hAnsi="Book Antiqua"/>
          <w:sz w:val="20"/>
          <w:szCs w:val="20"/>
        </w:rPr>
        <w:t xml:space="preserve">time; TT: </w:t>
      </w:r>
      <w:r w:rsidR="00CE5296" w:rsidRPr="00D34BE8">
        <w:rPr>
          <w:rFonts w:ascii="Book Antiqua" w:hAnsi="Book Antiqua"/>
          <w:sz w:val="20"/>
          <w:szCs w:val="20"/>
        </w:rPr>
        <w:t xml:space="preserve">Thrombin </w:t>
      </w:r>
      <w:r w:rsidR="00C7222A" w:rsidRPr="00D34BE8">
        <w:rPr>
          <w:rFonts w:ascii="Book Antiqua" w:hAnsi="Book Antiqua"/>
          <w:sz w:val="20"/>
          <w:szCs w:val="20"/>
        </w:rPr>
        <w:t xml:space="preserve">time; LSM: </w:t>
      </w:r>
      <w:r w:rsidR="00CE5296" w:rsidRPr="00D34BE8">
        <w:rPr>
          <w:rFonts w:ascii="Book Antiqua" w:hAnsi="Book Antiqua"/>
          <w:sz w:val="20"/>
          <w:szCs w:val="20"/>
        </w:rPr>
        <w:t xml:space="preserve">Liver </w:t>
      </w:r>
      <w:r w:rsidR="00C7222A" w:rsidRPr="00D34BE8">
        <w:rPr>
          <w:rFonts w:ascii="Book Antiqua" w:hAnsi="Book Antiqua"/>
          <w:sz w:val="20"/>
          <w:szCs w:val="20"/>
        </w:rPr>
        <w:t>stiff measurement</w:t>
      </w:r>
      <w:r w:rsidRPr="00D34BE8">
        <w:rPr>
          <w:rFonts w:ascii="Book Antiqua" w:hAnsi="Book Antiqua"/>
          <w:sz w:val="20"/>
          <w:szCs w:val="20"/>
        </w:rPr>
        <w:t>.</w:t>
      </w:r>
      <w:r w:rsidR="00C7222A" w:rsidRPr="00D34BE8">
        <w:rPr>
          <w:rFonts w:ascii="Book Antiqua" w:hAnsi="Book Antiqua"/>
          <w:sz w:val="20"/>
          <w:szCs w:val="20"/>
        </w:rPr>
        <w:t xml:space="preserve"> </w:t>
      </w:r>
    </w:p>
    <w:p w:rsidR="00E02175" w:rsidRPr="00D34BE8" w:rsidRDefault="00E02175" w:rsidP="00D34BE8">
      <w:pPr>
        <w:spacing w:after="0" w:line="360" w:lineRule="auto"/>
        <w:jc w:val="both"/>
        <w:rPr>
          <w:rFonts w:ascii="Book Antiqua" w:hAnsi="Book Antiqua"/>
          <w:sz w:val="20"/>
          <w:szCs w:val="20"/>
        </w:rPr>
      </w:pPr>
    </w:p>
    <w:p w:rsidR="00BA4D17" w:rsidRPr="00D34BE8" w:rsidRDefault="00BA4D17" w:rsidP="00D34BE8">
      <w:pPr>
        <w:spacing w:after="0" w:line="360" w:lineRule="auto"/>
        <w:jc w:val="both"/>
        <w:rPr>
          <w:rFonts w:ascii="Book Antiqua" w:hAnsi="Book Antiqua"/>
          <w:sz w:val="20"/>
          <w:szCs w:val="20"/>
        </w:rPr>
      </w:pPr>
    </w:p>
    <w:p w:rsidR="00BA4D17" w:rsidRPr="00D34BE8" w:rsidRDefault="00BA4D17" w:rsidP="00D34BE8">
      <w:pPr>
        <w:spacing w:after="0" w:line="360" w:lineRule="auto"/>
        <w:jc w:val="both"/>
        <w:rPr>
          <w:rFonts w:ascii="Book Antiqua" w:hAnsi="Book Antiqua"/>
          <w:b/>
          <w:bCs/>
          <w:sz w:val="20"/>
          <w:szCs w:val="20"/>
        </w:rPr>
      </w:pPr>
    </w:p>
    <w:p w:rsidR="00C7222A" w:rsidRPr="00D34BE8" w:rsidRDefault="00B5478B" w:rsidP="00D34BE8">
      <w:pPr>
        <w:spacing w:after="0" w:line="360" w:lineRule="auto"/>
        <w:jc w:val="both"/>
        <w:rPr>
          <w:rFonts w:ascii="Book Antiqua" w:hAnsi="Book Antiqua"/>
          <w:b/>
          <w:bCs/>
          <w:sz w:val="20"/>
          <w:szCs w:val="20"/>
        </w:rPr>
      </w:pPr>
      <w:r>
        <w:rPr>
          <w:rFonts w:ascii="Book Antiqua" w:hAnsi="Book Antiqua"/>
          <w:b/>
          <w:bCs/>
          <w:sz w:val="20"/>
          <w:szCs w:val="20"/>
        </w:rPr>
        <w:br w:type="page"/>
      </w:r>
      <w:r w:rsidR="00C7222A" w:rsidRPr="00D34BE8">
        <w:rPr>
          <w:rFonts w:ascii="Book Antiqua" w:hAnsi="Book Antiqua"/>
          <w:b/>
          <w:bCs/>
          <w:sz w:val="20"/>
          <w:szCs w:val="20"/>
        </w:rPr>
        <w:t xml:space="preserve">Table 4 Multivariate analysis of parameters of patients with </w:t>
      </w:r>
      <w:r w:rsidR="00E02175" w:rsidRPr="00D34BE8">
        <w:rPr>
          <w:rFonts w:ascii="Book Antiqua" w:hAnsi="Book Antiqua"/>
          <w:b/>
          <w:bCs/>
          <w:sz w:val="20"/>
          <w:szCs w:val="20"/>
        </w:rPr>
        <w:t>high-risk esophageal varices and low-risk esophageal varices</w:t>
      </w:r>
    </w:p>
    <w:tbl>
      <w:tblPr>
        <w:tblW w:w="5050" w:type="pct"/>
        <w:jc w:val="center"/>
        <w:tblInd w:w="-85" w:type="dxa"/>
        <w:tblCellMar>
          <w:top w:w="15" w:type="dxa"/>
          <w:left w:w="15" w:type="dxa"/>
          <w:bottom w:w="15" w:type="dxa"/>
          <w:right w:w="15" w:type="dxa"/>
        </w:tblCellMar>
        <w:tblLook w:val="0000" w:firstRow="0" w:lastRow="0" w:firstColumn="0" w:lastColumn="0" w:noHBand="0" w:noVBand="0"/>
      </w:tblPr>
      <w:tblGrid>
        <w:gridCol w:w="4312"/>
        <w:gridCol w:w="1999"/>
        <w:gridCol w:w="1999"/>
        <w:gridCol w:w="921"/>
      </w:tblGrid>
      <w:tr w:rsidR="00E02175" w:rsidRPr="00D34BE8" w:rsidTr="00E02175">
        <w:trPr>
          <w:trHeight w:val="397"/>
          <w:jc w:val="center"/>
        </w:trPr>
        <w:tc>
          <w:tcPr>
            <w:tcW w:w="2335" w:type="pct"/>
            <w:tcBorders>
              <w:top w:val="single" w:sz="4" w:space="0" w:color="auto"/>
              <w:bottom w:val="single" w:sz="4" w:space="0" w:color="auto"/>
            </w:tcBorders>
            <w:tcMar>
              <w:top w:w="0" w:type="dxa"/>
              <w:left w:w="57" w:type="dxa"/>
              <w:bottom w:w="0" w:type="dxa"/>
              <w:right w:w="57" w:type="dxa"/>
            </w:tcMar>
            <w:vAlign w:val="center"/>
          </w:tcPr>
          <w:p w:rsidR="00E02175" w:rsidRPr="00D34BE8" w:rsidRDefault="00E02175" w:rsidP="00D34BE8">
            <w:pPr>
              <w:spacing w:after="0" w:line="360" w:lineRule="auto"/>
              <w:jc w:val="both"/>
              <w:textAlignment w:val="center"/>
              <w:rPr>
                <w:rFonts w:ascii="Book Antiqua" w:eastAsia="宋体" w:hAnsi="Book Antiqua"/>
                <w:b/>
                <w:sz w:val="20"/>
                <w:szCs w:val="20"/>
              </w:rPr>
            </w:pPr>
            <w:r w:rsidRPr="00D34BE8">
              <w:rPr>
                <w:rFonts w:ascii="Book Antiqua" w:eastAsia="宋体" w:hAnsi="Book Antiqua"/>
                <w:b/>
                <w:sz w:val="20"/>
                <w:szCs w:val="20"/>
              </w:rPr>
              <w:t>Parameter</w:t>
            </w:r>
          </w:p>
        </w:tc>
        <w:tc>
          <w:tcPr>
            <w:tcW w:w="1083" w:type="pct"/>
            <w:tcBorders>
              <w:top w:val="single" w:sz="4" w:space="0" w:color="auto"/>
              <w:bottom w:val="single" w:sz="4" w:space="0" w:color="auto"/>
            </w:tcBorders>
            <w:tcMar>
              <w:top w:w="0" w:type="dxa"/>
              <w:left w:w="57" w:type="dxa"/>
              <w:bottom w:w="0" w:type="dxa"/>
              <w:right w:w="57" w:type="dxa"/>
            </w:tcMar>
            <w:vAlign w:val="center"/>
          </w:tcPr>
          <w:p w:rsidR="00E02175" w:rsidRPr="00D34BE8" w:rsidRDefault="00E02175" w:rsidP="00D34BE8">
            <w:pPr>
              <w:spacing w:after="0" w:line="360" w:lineRule="auto"/>
              <w:jc w:val="both"/>
              <w:textAlignment w:val="center"/>
              <w:rPr>
                <w:rFonts w:ascii="Book Antiqua" w:eastAsia="宋体" w:hAnsi="Book Antiqua"/>
                <w:b/>
                <w:sz w:val="20"/>
                <w:szCs w:val="20"/>
              </w:rPr>
            </w:pPr>
            <w:r w:rsidRPr="00D34BE8">
              <w:rPr>
                <w:rFonts w:ascii="Book Antiqua" w:eastAsia="宋体" w:hAnsi="Book Antiqua"/>
                <w:b/>
                <w:sz w:val="20"/>
                <w:szCs w:val="20"/>
              </w:rPr>
              <w:t>Patients with HEVs</w:t>
            </w:r>
            <w:r w:rsidR="00B5478B">
              <w:rPr>
                <w:rFonts w:ascii="Book Antiqua" w:eastAsia="宋体" w:hAnsi="Book Antiqua"/>
                <w:b/>
                <w:sz w:val="20"/>
                <w:szCs w:val="20"/>
              </w:rPr>
              <w:t>,</w:t>
            </w:r>
            <w:r w:rsidRPr="00D34BE8">
              <w:rPr>
                <w:rFonts w:ascii="Book Antiqua" w:eastAsia="宋体" w:hAnsi="Book Antiqua"/>
                <w:b/>
                <w:sz w:val="20"/>
                <w:szCs w:val="20"/>
              </w:rPr>
              <w:t xml:space="preserve"> </w:t>
            </w:r>
            <w:r w:rsidRPr="00D34BE8">
              <w:rPr>
                <w:rFonts w:ascii="Book Antiqua" w:eastAsia="宋体" w:hAnsi="Book Antiqua"/>
                <w:b/>
                <w:i/>
                <w:iCs/>
                <w:sz w:val="20"/>
                <w:szCs w:val="20"/>
              </w:rPr>
              <w:t xml:space="preserve">n </w:t>
            </w:r>
            <w:r w:rsidRPr="00D34BE8">
              <w:rPr>
                <w:rFonts w:ascii="Book Antiqua" w:eastAsia="宋体" w:hAnsi="Book Antiqua"/>
                <w:b/>
                <w:sz w:val="20"/>
                <w:szCs w:val="20"/>
              </w:rPr>
              <w:t>= 56</w:t>
            </w:r>
          </w:p>
        </w:tc>
        <w:tc>
          <w:tcPr>
            <w:tcW w:w="1083" w:type="pct"/>
            <w:tcBorders>
              <w:top w:val="single" w:sz="4" w:space="0" w:color="auto"/>
              <w:bottom w:val="single" w:sz="4" w:space="0" w:color="auto"/>
            </w:tcBorders>
            <w:tcMar>
              <w:top w:w="0" w:type="dxa"/>
              <w:left w:w="57" w:type="dxa"/>
              <w:bottom w:w="0" w:type="dxa"/>
              <w:right w:w="57" w:type="dxa"/>
            </w:tcMar>
            <w:vAlign w:val="center"/>
          </w:tcPr>
          <w:p w:rsidR="00E02175" w:rsidRPr="00D34BE8" w:rsidRDefault="00E02175" w:rsidP="00D34BE8">
            <w:pPr>
              <w:spacing w:after="0" w:line="360" w:lineRule="auto"/>
              <w:jc w:val="both"/>
              <w:textAlignment w:val="center"/>
              <w:rPr>
                <w:rFonts w:ascii="Book Antiqua" w:eastAsia="宋体" w:hAnsi="Book Antiqua"/>
                <w:b/>
                <w:sz w:val="20"/>
                <w:szCs w:val="20"/>
              </w:rPr>
            </w:pPr>
            <w:r w:rsidRPr="00D34BE8">
              <w:rPr>
                <w:rFonts w:ascii="Book Antiqua" w:eastAsia="宋体" w:hAnsi="Book Antiqua"/>
                <w:b/>
                <w:sz w:val="20"/>
                <w:szCs w:val="20"/>
              </w:rPr>
              <w:t>Patients with LEVs</w:t>
            </w:r>
            <w:r w:rsidR="00B5478B">
              <w:rPr>
                <w:rFonts w:ascii="Book Antiqua" w:eastAsia="宋体" w:hAnsi="Book Antiqua"/>
                <w:b/>
                <w:sz w:val="20"/>
                <w:szCs w:val="20"/>
              </w:rPr>
              <w:t>,</w:t>
            </w:r>
            <w:r w:rsidRPr="00D34BE8">
              <w:rPr>
                <w:rFonts w:ascii="Book Antiqua" w:eastAsia="宋体" w:hAnsi="Book Antiqua"/>
                <w:b/>
                <w:sz w:val="20"/>
                <w:szCs w:val="20"/>
              </w:rPr>
              <w:t xml:space="preserve"> </w:t>
            </w:r>
            <w:r w:rsidRPr="00D34BE8">
              <w:rPr>
                <w:rFonts w:ascii="Book Antiqua" w:eastAsia="宋体" w:hAnsi="Book Antiqua"/>
                <w:b/>
                <w:i/>
                <w:iCs/>
                <w:sz w:val="20"/>
                <w:szCs w:val="20"/>
              </w:rPr>
              <w:t xml:space="preserve">n </w:t>
            </w:r>
            <w:r w:rsidRPr="00D34BE8">
              <w:rPr>
                <w:rFonts w:ascii="Book Antiqua" w:eastAsia="宋体" w:hAnsi="Book Antiqua"/>
                <w:b/>
                <w:sz w:val="20"/>
                <w:szCs w:val="20"/>
              </w:rPr>
              <w:t>= 30</w:t>
            </w:r>
          </w:p>
        </w:tc>
        <w:tc>
          <w:tcPr>
            <w:tcW w:w="499" w:type="pct"/>
            <w:tcBorders>
              <w:top w:val="single" w:sz="4" w:space="0" w:color="auto"/>
              <w:bottom w:val="single" w:sz="4" w:space="0" w:color="auto"/>
            </w:tcBorders>
            <w:tcMar>
              <w:top w:w="0" w:type="dxa"/>
              <w:left w:w="57" w:type="dxa"/>
              <w:bottom w:w="0" w:type="dxa"/>
              <w:right w:w="57" w:type="dxa"/>
            </w:tcMar>
            <w:vAlign w:val="center"/>
          </w:tcPr>
          <w:p w:rsidR="00E02175" w:rsidRPr="00D34BE8" w:rsidRDefault="00E02175" w:rsidP="00D34BE8">
            <w:pPr>
              <w:spacing w:after="0" w:line="360" w:lineRule="auto"/>
              <w:jc w:val="both"/>
              <w:textAlignment w:val="center"/>
              <w:rPr>
                <w:rFonts w:ascii="Book Antiqua" w:eastAsia="宋体" w:hAnsi="Book Antiqua"/>
                <w:b/>
                <w:sz w:val="20"/>
                <w:szCs w:val="20"/>
              </w:rPr>
            </w:pPr>
            <w:r w:rsidRPr="00D34BE8">
              <w:rPr>
                <w:rFonts w:ascii="Book Antiqua" w:eastAsia="宋体" w:hAnsi="Book Antiqua"/>
                <w:b/>
                <w:i/>
                <w:iCs/>
                <w:sz w:val="20"/>
                <w:szCs w:val="20"/>
              </w:rPr>
              <w:t>P</w:t>
            </w:r>
            <w:r w:rsidRPr="00D34BE8">
              <w:rPr>
                <w:rFonts w:ascii="Book Antiqua" w:eastAsia="宋体" w:hAnsi="Book Antiqua"/>
                <w:b/>
                <w:sz w:val="20"/>
                <w:szCs w:val="20"/>
              </w:rPr>
              <w:t xml:space="preserve"> value</w:t>
            </w:r>
          </w:p>
        </w:tc>
      </w:tr>
      <w:tr w:rsidR="00C7222A" w:rsidRPr="00D34BE8" w:rsidTr="00E02175">
        <w:trPr>
          <w:trHeight w:val="397"/>
          <w:jc w:val="center"/>
        </w:trPr>
        <w:tc>
          <w:tcPr>
            <w:tcW w:w="2335" w:type="pct"/>
            <w:tcBorders>
              <w:top w:val="single" w:sz="4" w:space="0" w:color="auto"/>
            </w:tcBorders>
            <w:tcMar>
              <w:top w:w="0" w:type="dxa"/>
              <w:left w:w="57" w:type="dxa"/>
              <w:bottom w:w="0" w:type="dxa"/>
              <w:right w:w="57" w:type="dxa"/>
            </w:tcMar>
            <w:vAlign w:val="center"/>
          </w:tcPr>
          <w:p w:rsidR="00C7222A" w:rsidRPr="00D34BE8" w:rsidRDefault="00C7222A" w:rsidP="00D34BE8">
            <w:pPr>
              <w:spacing w:after="0" w:line="360" w:lineRule="auto"/>
              <w:jc w:val="both"/>
              <w:textAlignment w:val="center"/>
              <w:rPr>
                <w:rFonts w:ascii="Book Antiqua" w:eastAsia="宋体" w:hAnsi="Book Antiqua"/>
                <w:sz w:val="20"/>
                <w:szCs w:val="20"/>
              </w:rPr>
            </w:pPr>
            <w:r w:rsidRPr="00D34BE8">
              <w:rPr>
                <w:rFonts w:ascii="Book Antiqua" w:eastAsia="宋体" w:hAnsi="Book Antiqua"/>
                <w:sz w:val="20"/>
                <w:szCs w:val="20"/>
              </w:rPr>
              <w:t>PVSA</w:t>
            </w:r>
            <w:r w:rsidR="00B5478B">
              <w:rPr>
                <w:rFonts w:ascii="Book Antiqua" w:eastAsia="宋体" w:hAnsi="Book Antiqua"/>
                <w:sz w:val="20"/>
                <w:szCs w:val="20"/>
              </w:rPr>
              <w:t xml:space="preserve">, </w:t>
            </w:r>
            <w:r w:rsidRPr="00D34BE8">
              <w:rPr>
                <w:rFonts w:ascii="Book Antiqua" w:eastAsia="宋体" w:hAnsi="Book Antiqua"/>
                <w:sz w:val="20"/>
                <w:szCs w:val="20"/>
              </w:rPr>
              <w:t>mm</w:t>
            </w:r>
            <w:r w:rsidRPr="00D34BE8">
              <w:rPr>
                <w:rFonts w:ascii="Book Antiqua" w:eastAsia="宋体" w:hAnsi="Book Antiqua"/>
                <w:sz w:val="20"/>
                <w:szCs w:val="20"/>
                <w:vertAlign w:val="superscript"/>
              </w:rPr>
              <w:t>3</w:t>
            </w:r>
          </w:p>
        </w:tc>
        <w:tc>
          <w:tcPr>
            <w:tcW w:w="1083" w:type="pct"/>
            <w:tcBorders>
              <w:top w:val="single" w:sz="4" w:space="0" w:color="auto"/>
            </w:tcBorders>
            <w:tcMar>
              <w:top w:w="0" w:type="dxa"/>
              <w:left w:w="57" w:type="dxa"/>
              <w:bottom w:w="0" w:type="dxa"/>
              <w:right w:w="57" w:type="dxa"/>
            </w:tcMar>
            <w:vAlign w:val="center"/>
          </w:tcPr>
          <w:p w:rsidR="00C7222A" w:rsidRPr="00D34BE8" w:rsidRDefault="00C7222A" w:rsidP="00D34BE8">
            <w:pPr>
              <w:spacing w:after="0" w:line="360" w:lineRule="auto"/>
              <w:jc w:val="both"/>
              <w:textAlignment w:val="center"/>
              <w:rPr>
                <w:rFonts w:ascii="Book Antiqua" w:eastAsia="宋体" w:hAnsi="Book Antiqua"/>
                <w:sz w:val="20"/>
                <w:szCs w:val="20"/>
              </w:rPr>
            </w:pPr>
            <w:r w:rsidRPr="00D34BE8">
              <w:rPr>
                <w:rFonts w:ascii="Book Antiqua" w:eastAsia="宋体" w:hAnsi="Book Antiqua"/>
                <w:sz w:val="20"/>
                <w:szCs w:val="20"/>
              </w:rPr>
              <w:t>227.04</w:t>
            </w:r>
            <w:r w:rsidR="00D31C86" w:rsidRPr="00D34BE8">
              <w:rPr>
                <w:rFonts w:ascii="Book Antiqua" w:eastAsia="宋体" w:hAnsi="Book Antiqua"/>
                <w:sz w:val="20"/>
                <w:szCs w:val="20"/>
              </w:rPr>
              <w:t xml:space="preserve"> ± </w:t>
            </w:r>
            <w:r w:rsidRPr="00D34BE8">
              <w:rPr>
                <w:rFonts w:ascii="Book Antiqua" w:eastAsia="宋体" w:hAnsi="Book Antiqua"/>
                <w:sz w:val="20"/>
                <w:szCs w:val="20"/>
              </w:rPr>
              <w:t>76.66</w:t>
            </w:r>
          </w:p>
        </w:tc>
        <w:tc>
          <w:tcPr>
            <w:tcW w:w="1083" w:type="pct"/>
            <w:tcBorders>
              <w:top w:val="single" w:sz="4" w:space="0" w:color="auto"/>
            </w:tcBorders>
            <w:tcMar>
              <w:top w:w="0" w:type="dxa"/>
              <w:left w:w="57" w:type="dxa"/>
              <w:bottom w:w="0" w:type="dxa"/>
              <w:right w:w="57" w:type="dxa"/>
            </w:tcMar>
            <w:vAlign w:val="center"/>
          </w:tcPr>
          <w:p w:rsidR="00C7222A" w:rsidRPr="00D34BE8" w:rsidRDefault="00C7222A" w:rsidP="00D34BE8">
            <w:pPr>
              <w:spacing w:after="0" w:line="360" w:lineRule="auto"/>
              <w:jc w:val="both"/>
              <w:textAlignment w:val="center"/>
              <w:rPr>
                <w:rFonts w:ascii="Book Antiqua" w:eastAsia="宋体" w:hAnsi="Book Antiqua"/>
                <w:sz w:val="20"/>
                <w:szCs w:val="20"/>
              </w:rPr>
            </w:pPr>
            <w:r w:rsidRPr="00D34BE8">
              <w:rPr>
                <w:rFonts w:ascii="Book Antiqua" w:eastAsia="宋体" w:hAnsi="Book Antiqua"/>
                <w:sz w:val="20"/>
                <w:szCs w:val="20"/>
              </w:rPr>
              <w:t>183.81</w:t>
            </w:r>
            <w:r w:rsidR="00D31C86" w:rsidRPr="00D34BE8">
              <w:rPr>
                <w:rFonts w:ascii="Book Antiqua" w:eastAsia="宋体" w:hAnsi="Book Antiqua"/>
                <w:sz w:val="20"/>
                <w:szCs w:val="20"/>
              </w:rPr>
              <w:t xml:space="preserve"> ± </w:t>
            </w:r>
            <w:r w:rsidRPr="00D34BE8">
              <w:rPr>
                <w:rFonts w:ascii="Book Antiqua" w:eastAsia="宋体" w:hAnsi="Book Antiqua"/>
                <w:sz w:val="20"/>
                <w:szCs w:val="20"/>
              </w:rPr>
              <w:t>69.10</w:t>
            </w:r>
          </w:p>
        </w:tc>
        <w:tc>
          <w:tcPr>
            <w:tcW w:w="499" w:type="pct"/>
            <w:tcBorders>
              <w:top w:val="single" w:sz="4" w:space="0" w:color="auto"/>
            </w:tcBorders>
            <w:tcMar>
              <w:top w:w="0" w:type="dxa"/>
              <w:left w:w="57" w:type="dxa"/>
              <w:bottom w:w="0" w:type="dxa"/>
              <w:right w:w="57" w:type="dxa"/>
            </w:tcMar>
            <w:vAlign w:val="center"/>
          </w:tcPr>
          <w:p w:rsidR="00C7222A" w:rsidRPr="00D34BE8" w:rsidRDefault="00C7222A" w:rsidP="00D34BE8">
            <w:pPr>
              <w:spacing w:after="0" w:line="360" w:lineRule="auto"/>
              <w:jc w:val="both"/>
              <w:textAlignment w:val="center"/>
              <w:rPr>
                <w:rFonts w:ascii="Book Antiqua" w:eastAsia="宋体" w:hAnsi="Book Antiqua"/>
                <w:sz w:val="20"/>
                <w:szCs w:val="20"/>
              </w:rPr>
            </w:pPr>
            <w:r w:rsidRPr="00D34BE8">
              <w:rPr>
                <w:rFonts w:ascii="Book Antiqua" w:eastAsia="宋体" w:hAnsi="Book Antiqua"/>
                <w:sz w:val="20"/>
                <w:szCs w:val="20"/>
              </w:rPr>
              <w:t>0.52</w:t>
            </w:r>
          </w:p>
        </w:tc>
      </w:tr>
      <w:tr w:rsidR="00C7222A" w:rsidRPr="00D34BE8" w:rsidTr="00E02175">
        <w:trPr>
          <w:trHeight w:val="397"/>
          <w:jc w:val="center"/>
        </w:trPr>
        <w:tc>
          <w:tcPr>
            <w:tcW w:w="2335" w:type="pct"/>
            <w:tcMar>
              <w:top w:w="0" w:type="dxa"/>
              <w:left w:w="57" w:type="dxa"/>
              <w:bottom w:w="0" w:type="dxa"/>
              <w:right w:w="57" w:type="dxa"/>
            </w:tcMar>
            <w:vAlign w:val="center"/>
          </w:tcPr>
          <w:p w:rsidR="00C7222A" w:rsidRPr="00D34BE8" w:rsidRDefault="00C7222A" w:rsidP="00D34BE8">
            <w:pPr>
              <w:spacing w:after="0" w:line="360" w:lineRule="auto"/>
              <w:jc w:val="both"/>
              <w:textAlignment w:val="center"/>
              <w:rPr>
                <w:rFonts w:ascii="Book Antiqua" w:eastAsia="宋体" w:hAnsi="Book Antiqua"/>
                <w:sz w:val="20"/>
                <w:szCs w:val="20"/>
              </w:rPr>
            </w:pPr>
            <w:r w:rsidRPr="00D34BE8">
              <w:rPr>
                <w:rFonts w:ascii="Book Antiqua" w:eastAsia="宋体" w:hAnsi="Book Antiqua"/>
                <w:sz w:val="20"/>
                <w:szCs w:val="20"/>
              </w:rPr>
              <w:t>PVD</w:t>
            </w:r>
            <w:r w:rsidR="00B5478B">
              <w:rPr>
                <w:rFonts w:ascii="Book Antiqua" w:eastAsia="宋体" w:hAnsi="Book Antiqua"/>
                <w:sz w:val="20"/>
                <w:szCs w:val="20"/>
              </w:rPr>
              <w:t xml:space="preserve">, </w:t>
            </w:r>
            <w:r w:rsidRPr="00D34BE8">
              <w:rPr>
                <w:rFonts w:ascii="Book Antiqua" w:eastAsia="宋体" w:hAnsi="Book Antiqua"/>
                <w:sz w:val="20"/>
                <w:szCs w:val="20"/>
              </w:rPr>
              <w:t>mm</w:t>
            </w:r>
          </w:p>
        </w:tc>
        <w:tc>
          <w:tcPr>
            <w:tcW w:w="1083" w:type="pct"/>
            <w:tcMar>
              <w:top w:w="0" w:type="dxa"/>
              <w:left w:w="57" w:type="dxa"/>
              <w:bottom w:w="0" w:type="dxa"/>
              <w:right w:w="57" w:type="dxa"/>
            </w:tcMar>
            <w:vAlign w:val="center"/>
          </w:tcPr>
          <w:p w:rsidR="00C7222A" w:rsidRPr="00D34BE8" w:rsidRDefault="00C7222A" w:rsidP="00D34BE8">
            <w:pPr>
              <w:spacing w:after="0" w:line="360" w:lineRule="auto"/>
              <w:jc w:val="both"/>
              <w:textAlignment w:val="center"/>
              <w:rPr>
                <w:rFonts w:ascii="Book Antiqua" w:eastAsia="宋体" w:hAnsi="Book Antiqua"/>
                <w:sz w:val="20"/>
                <w:szCs w:val="20"/>
              </w:rPr>
            </w:pPr>
            <w:r w:rsidRPr="00D34BE8">
              <w:rPr>
                <w:rFonts w:ascii="Book Antiqua" w:eastAsia="宋体" w:hAnsi="Book Antiqua"/>
                <w:sz w:val="20"/>
                <w:szCs w:val="20"/>
              </w:rPr>
              <w:t>14.35</w:t>
            </w:r>
            <w:r w:rsidR="00D31C86" w:rsidRPr="00D34BE8">
              <w:rPr>
                <w:rFonts w:ascii="Book Antiqua" w:eastAsia="宋体" w:hAnsi="Book Antiqua"/>
                <w:sz w:val="20"/>
                <w:szCs w:val="20"/>
              </w:rPr>
              <w:t xml:space="preserve"> ± </w:t>
            </w:r>
            <w:r w:rsidRPr="00D34BE8">
              <w:rPr>
                <w:rFonts w:ascii="Book Antiqua" w:eastAsia="宋体" w:hAnsi="Book Antiqua"/>
                <w:sz w:val="20"/>
                <w:szCs w:val="20"/>
              </w:rPr>
              <w:t>2.64</w:t>
            </w:r>
          </w:p>
        </w:tc>
        <w:tc>
          <w:tcPr>
            <w:tcW w:w="1083" w:type="pct"/>
            <w:tcMar>
              <w:top w:w="0" w:type="dxa"/>
              <w:left w:w="57" w:type="dxa"/>
              <w:bottom w:w="0" w:type="dxa"/>
              <w:right w:w="57" w:type="dxa"/>
            </w:tcMar>
            <w:vAlign w:val="center"/>
          </w:tcPr>
          <w:p w:rsidR="00C7222A" w:rsidRPr="00D34BE8" w:rsidRDefault="00C7222A" w:rsidP="00D34BE8">
            <w:pPr>
              <w:spacing w:after="0" w:line="360" w:lineRule="auto"/>
              <w:jc w:val="both"/>
              <w:textAlignment w:val="center"/>
              <w:rPr>
                <w:rFonts w:ascii="Book Antiqua" w:eastAsia="宋体" w:hAnsi="Book Antiqua"/>
                <w:sz w:val="20"/>
                <w:szCs w:val="20"/>
              </w:rPr>
            </w:pPr>
            <w:r w:rsidRPr="00D34BE8">
              <w:rPr>
                <w:rFonts w:ascii="Book Antiqua" w:eastAsia="宋体" w:hAnsi="Book Antiqua"/>
                <w:sz w:val="20"/>
                <w:szCs w:val="20"/>
              </w:rPr>
              <w:t>12.67</w:t>
            </w:r>
            <w:r w:rsidR="00D31C86" w:rsidRPr="00D34BE8">
              <w:rPr>
                <w:rFonts w:ascii="Book Antiqua" w:eastAsia="宋体" w:hAnsi="Book Antiqua"/>
                <w:sz w:val="20"/>
                <w:szCs w:val="20"/>
              </w:rPr>
              <w:t xml:space="preserve"> ± </w:t>
            </w:r>
            <w:r w:rsidRPr="00D34BE8">
              <w:rPr>
                <w:rFonts w:ascii="Book Antiqua" w:eastAsia="宋体" w:hAnsi="Book Antiqua"/>
                <w:sz w:val="20"/>
                <w:szCs w:val="20"/>
              </w:rPr>
              <w:t>2.58</w:t>
            </w:r>
          </w:p>
        </w:tc>
        <w:tc>
          <w:tcPr>
            <w:tcW w:w="499" w:type="pct"/>
            <w:tcMar>
              <w:top w:w="0" w:type="dxa"/>
              <w:left w:w="57" w:type="dxa"/>
              <w:bottom w:w="0" w:type="dxa"/>
              <w:right w:w="57" w:type="dxa"/>
            </w:tcMar>
            <w:vAlign w:val="center"/>
          </w:tcPr>
          <w:p w:rsidR="00C7222A" w:rsidRPr="00D34BE8" w:rsidRDefault="00C7222A" w:rsidP="00D34BE8">
            <w:pPr>
              <w:spacing w:after="0" w:line="360" w:lineRule="auto"/>
              <w:jc w:val="both"/>
              <w:rPr>
                <w:rFonts w:ascii="Book Antiqua" w:eastAsia="宋体" w:hAnsi="Book Antiqua"/>
                <w:sz w:val="20"/>
                <w:szCs w:val="20"/>
              </w:rPr>
            </w:pPr>
            <w:r w:rsidRPr="00D34BE8">
              <w:rPr>
                <w:rFonts w:ascii="Book Antiqua" w:eastAsia="宋体" w:hAnsi="Book Antiqua"/>
                <w:sz w:val="20"/>
                <w:szCs w:val="20"/>
              </w:rPr>
              <w:t>0.60</w:t>
            </w:r>
          </w:p>
        </w:tc>
      </w:tr>
      <w:tr w:rsidR="00C7222A" w:rsidRPr="00D34BE8" w:rsidTr="00E02175">
        <w:trPr>
          <w:trHeight w:val="397"/>
          <w:jc w:val="center"/>
        </w:trPr>
        <w:tc>
          <w:tcPr>
            <w:tcW w:w="2335" w:type="pct"/>
            <w:tcMar>
              <w:top w:w="0" w:type="dxa"/>
              <w:left w:w="57" w:type="dxa"/>
              <w:bottom w:w="0" w:type="dxa"/>
              <w:right w:w="57" w:type="dxa"/>
            </w:tcMar>
            <w:vAlign w:val="center"/>
          </w:tcPr>
          <w:p w:rsidR="00C7222A" w:rsidRPr="00D34BE8" w:rsidRDefault="00C7222A" w:rsidP="00D34BE8">
            <w:pPr>
              <w:spacing w:after="0" w:line="360" w:lineRule="auto"/>
              <w:jc w:val="both"/>
              <w:textAlignment w:val="center"/>
              <w:rPr>
                <w:rFonts w:ascii="Book Antiqua" w:eastAsia="宋体" w:hAnsi="Book Antiqua"/>
                <w:sz w:val="20"/>
                <w:szCs w:val="20"/>
              </w:rPr>
            </w:pPr>
            <w:r w:rsidRPr="00D34BE8">
              <w:rPr>
                <w:rStyle w:val="font41"/>
                <w:rFonts w:ascii="Book Antiqua" w:eastAsia="宋体" w:hAnsi="Book Antiqua"/>
                <w:color w:val="auto"/>
                <w:sz w:val="20"/>
                <w:szCs w:val="20"/>
              </w:rPr>
              <w:t>SVD</w:t>
            </w:r>
            <w:r w:rsidR="00B5478B">
              <w:rPr>
                <w:rStyle w:val="font41"/>
                <w:rFonts w:ascii="Book Antiqua" w:eastAsia="宋体" w:hAnsi="Book Antiqua"/>
                <w:color w:val="auto"/>
                <w:sz w:val="20"/>
                <w:szCs w:val="20"/>
              </w:rPr>
              <w:t xml:space="preserve">, </w:t>
            </w:r>
            <w:r w:rsidRPr="00D34BE8">
              <w:rPr>
                <w:rStyle w:val="font41"/>
                <w:rFonts w:ascii="Book Antiqua" w:eastAsia="宋体" w:hAnsi="Book Antiqua"/>
                <w:color w:val="auto"/>
                <w:sz w:val="20"/>
                <w:szCs w:val="20"/>
              </w:rPr>
              <w:t>mm</w:t>
            </w:r>
          </w:p>
        </w:tc>
        <w:tc>
          <w:tcPr>
            <w:tcW w:w="1083" w:type="pct"/>
            <w:tcMar>
              <w:top w:w="0" w:type="dxa"/>
              <w:left w:w="57" w:type="dxa"/>
              <w:bottom w:w="0" w:type="dxa"/>
              <w:right w:w="57" w:type="dxa"/>
            </w:tcMar>
            <w:vAlign w:val="center"/>
          </w:tcPr>
          <w:p w:rsidR="00C7222A" w:rsidRPr="00D34BE8" w:rsidRDefault="00C7222A" w:rsidP="00D34BE8">
            <w:pPr>
              <w:spacing w:after="0" w:line="360" w:lineRule="auto"/>
              <w:jc w:val="both"/>
              <w:textAlignment w:val="center"/>
              <w:rPr>
                <w:rFonts w:ascii="Book Antiqua" w:eastAsia="宋体" w:hAnsi="Book Antiqua"/>
                <w:sz w:val="20"/>
                <w:szCs w:val="20"/>
              </w:rPr>
            </w:pPr>
            <w:r w:rsidRPr="00D34BE8">
              <w:rPr>
                <w:rFonts w:ascii="Book Antiqua" w:eastAsia="宋体" w:hAnsi="Book Antiqua"/>
                <w:sz w:val="20"/>
                <w:szCs w:val="20"/>
              </w:rPr>
              <w:t>10.08</w:t>
            </w:r>
            <w:r w:rsidR="00D31C86" w:rsidRPr="00D34BE8">
              <w:rPr>
                <w:rFonts w:ascii="Book Antiqua" w:eastAsia="宋体" w:hAnsi="Book Antiqua"/>
                <w:sz w:val="20"/>
                <w:szCs w:val="20"/>
              </w:rPr>
              <w:t xml:space="preserve"> ± </w:t>
            </w:r>
            <w:r w:rsidRPr="00D34BE8">
              <w:rPr>
                <w:rFonts w:ascii="Book Antiqua" w:eastAsia="宋体" w:hAnsi="Book Antiqua"/>
                <w:sz w:val="20"/>
                <w:szCs w:val="20"/>
              </w:rPr>
              <w:t>3.36</w:t>
            </w:r>
          </w:p>
        </w:tc>
        <w:tc>
          <w:tcPr>
            <w:tcW w:w="1083" w:type="pct"/>
            <w:tcMar>
              <w:top w:w="0" w:type="dxa"/>
              <w:left w:w="57" w:type="dxa"/>
              <w:bottom w:w="0" w:type="dxa"/>
              <w:right w:w="57" w:type="dxa"/>
            </w:tcMar>
            <w:vAlign w:val="center"/>
          </w:tcPr>
          <w:p w:rsidR="00C7222A" w:rsidRPr="00D34BE8" w:rsidRDefault="00C7222A" w:rsidP="00D34BE8">
            <w:pPr>
              <w:spacing w:after="0" w:line="360" w:lineRule="auto"/>
              <w:jc w:val="both"/>
              <w:textAlignment w:val="center"/>
              <w:rPr>
                <w:rFonts w:ascii="Book Antiqua" w:eastAsia="宋体" w:hAnsi="Book Antiqua"/>
                <w:sz w:val="20"/>
                <w:szCs w:val="20"/>
              </w:rPr>
            </w:pPr>
            <w:r w:rsidRPr="00D34BE8">
              <w:rPr>
                <w:rFonts w:ascii="Book Antiqua" w:eastAsia="宋体" w:hAnsi="Book Antiqua"/>
                <w:sz w:val="20"/>
                <w:szCs w:val="20"/>
              </w:rPr>
              <w:t>8.52</w:t>
            </w:r>
            <w:r w:rsidR="00D31C86" w:rsidRPr="00D34BE8">
              <w:rPr>
                <w:rFonts w:ascii="Book Antiqua" w:eastAsia="宋体" w:hAnsi="Book Antiqua"/>
                <w:sz w:val="20"/>
                <w:szCs w:val="20"/>
              </w:rPr>
              <w:t xml:space="preserve"> ± </w:t>
            </w:r>
            <w:r w:rsidRPr="00D34BE8">
              <w:rPr>
                <w:rFonts w:ascii="Book Antiqua" w:eastAsia="宋体" w:hAnsi="Book Antiqua"/>
                <w:sz w:val="20"/>
                <w:szCs w:val="20"/>
              </w:rPr>
              <w:t>2.67</w:t>
            </w:r>
          </w:p>
        </w:tc>
        <w:tc>
          <w:tcPr>
            <w:tcW w:w="499" w:type="pct"/>
            <w:tcMar>
              <w:top w:w="0" w:type="dxa"/>
              <w:left w:w="57" w:type="dxa"/>
              <w:bottom w:w="0" w:type="dxa"/>
              <w:right w:w="57" w:type="dxa"/>
            </w:tcMar>
            <w:vAlign w:val="center"/>
          </w:tcPr>
          <w:p w:rsidR="00C7222A" w:rsidRPr="00D34BE8" w:rsidRDefault="00C7222A" w:rsidP="00D34BE8">
            <w:pPr>
              <w:spacing w:after="0" w:line="360" w:lineRule="auto"/>
              <w:jc w:val="both"/>
              <w:rPr>
                <w:rFonts w:ascii="Book Antiqua" w:eastAsia="宋体" w:hAnsi="Book Antiqua"/>
                <w:sz w:val="20"/>
                <w:szCs w:val="20"/>
              </w:rPr>
            </w:pPr>
            <w:r w:rsidRPr="00D34BE8">
              <w:rPr>
                <w:rFonts w:ascii="Book Antiqua" w:eastAsia="宋体" w:hAnsi="Book Antiqua"/>
                <w:sz w:val="20"/>
                <w:szCs w:val="20"/>
              </w:rPr>
              <w:t>0.20</w:t>
            </w:r>
          </w:p>
        </w:tc>
      </w:tr>
      <w:tr w:rsidR="00C7222A" w:rsidRPr="00D34BE8" w:rsidTr="00E02175">
        <w:trPr>
          <w:trHeight w:val="397"/>
          <w:jc w:val="center"/>
        </w:trPr>
        <w:tc>
          <w:tcPr>
            <w:tcW w:w="2335" w:type="pct"/>
            <w:tcBorders>
              <w:top w:val="nil"/>
              <w:left w:val="nil"/>
              <w:bottom w:val="nil"/>
              <w:right w:val="nil"/>
            </w:tcBorders>
            <w:tcMar>
              <w:top w:w="0" w:type="dxa"/>
              <w:left w:w="57" w:type="dxa"/>
              <w:bottom w:w="0" w:type="dxa"/>
              <w:right w:w="57" w:type="dxa"/>
            </w:tcMar>
            <w:vAlign w:val="center"/>
          </w:tcPr>
          <w:p w:rsidR="00C7222A" w:rsidRPr="00D34BE8" w:rsidRDefault="00C7222A" w:rsidP="00D34BE8">
            <w:pPr>
              <w:spacing w:after="0" w:line="360" w:lineRule="auto"/>
              <w:jc w:val="both"/>
              <w:textAlignment w:val="center"/>
              <w:rPr>
                <w:rStyle w:val="font41"/>
                <w:rFonts w:ascii="Book Antiqua" w:eastAsia="宋体" w:hAnsi="Book Antiqua"/>
                <w:color w:val="auto"/>
                <w:sz w:val="20"/>
                <w:szCs w:val="20"/>
              </w:rPr>
            </w:pPr>
            <w:r w:rsidRPr="00D34BE8">
              <w:rPr>
                <w:rStyle w:val="font41"/>
                <w:rFonts w:ascii="Book Antiqua" w:eastAsia="宋体" w:hAnsi="Book Antiqua"/>
                <w:color w:val="auto"/>
                <w:sz w:val="20"/>
                <w:szCs w:val="20"/>
              </w:rPr>
              <w:t>CTSV</w:t>
            </w:r>
            <w:r w:rsidR="00B5478B">
              <w:rPr>
                <w:rStyle w:val="font41"/>
                <w:rFonts w:ascii="Book Antiqua" w:eastAsia="宋体" w:hAnsi="Book Antiqua"/>
                <w:color w:val="auto"/>
                <w:sz w:val="20"/>
                <w:szCs w:val="20"/>
              </w:rPr>
              <w:t xml:space="preserve">, </w:t>
            </w:r>
            <w:r w:rsidRPr="00D34BE8">
              <w:rPr>
                <w:rStyle w:val="font41"/>
                <w:rFonts w:ascii="Book Antiqua" w:eastAsia="宋体" w:hAnsi="Book Antiqua"/>
                <w:color w:val="auto"/>
                <w:sz w:val="20"/>
                <w:szCs w:val="20"/>
              </w:rPr>
              <w:t>cm</w:t>
            </w:r>
            <w:r w:rsidRPr="00D34BE8">
              <w:rPr>
                <w:rStyle w:val="font41"/>
                <w:rFonts w:ascii="Book Antiqua" w:eastAsia="宋体" w:hAnsi="Book Antiqua"/>
                <w:color w:val="auto"/>
                <w:sz w:val="20"/>
                <w:szCs w:val="20"/>
                <w:vertAlign w:val="superscript"/>
              </w:rPr>
              <w:t>3</w:t>
            </w:r>
          </w:p>
        </w:tc>
        <w:tc>
          <w:tcPr>
            <w:tcW w:w="1083" w:type="pct"/>
            <w:tcBorders>
              <w:top w:val="nil"/>
              <w:left w:val="nil"/>
              <w:bottom w:val="nil"/>
              <w:right w:val="nil"/>
            </w:tcBorders>
            <w:tcMar>
              <w:top w:w="0" w:type="dxa"/>
              <w:left w:w="57" w:type="dxa"/>
              <w:bottom w:w="0" w:type="dxa"/>
              <w:right w:w="57" w:type="dxa"/>
            </w:tcMar>
            <w:vAlign w:val="center"/>
          </w:tcPr>
          <w:p w:rsidR="00C7222A" w:rsidRPr="00D34BE8" w:rsidRDefault="00C7222A" w:rsidP="00D34BE8">
            <w:pPr>
              <w:spacing w:after="0" w:line="360" w:lineRule="auto"/>
              <w:jc w:val="both"/>
              <w:textAlignment w:val="center"/>
              <w:rPr>
                <w:rFonts w:ascii="Book Antiqua" w:eastAsia="宋体" w:hAnsi="Book Antiqua"/>
                <w:sz w:val="20"/>
                <w:szCs w:val="20"/>
              </w:rPr>
            </w:pPr>
            <w:r w:rsidRPr="00D34BE8">
              <w:rPr>
                <w:rFonts w:ascii="Book Antiqua" w:eastAsia="宋体" w:hAnsi="Book Antiqua"/>
                <w:sz w:val="20"/>
                <w:szCs w:val="20"/>
              </w:rPr>
              <w:t>917.30</w:t>
            </w:r>
            <w:r w:rsidR="00D31C86" w:rsidRPr="00D34BE8">
              <w:rPr>
                <w:rFonts w:ascii="Book Antiqua" w:eastAsia="宋体" w:hAnsi="Book Antiqua"/>
                <w:sz w:val="20"/>
                <w:szCs w:val="20"/>
              </w:rPr>
              <w:t xml:space="preserve"> ± </w:t>
            </w:r>
            <w:r w:rsidRPr="00D34BE8">
              <w:rPr>
                <w:rFonts w:ascii="Book Antiqua" w:eastAsia="宋体" w:hAnsi="Book Antiqua"/>
                <w:sz w:val="20"/>
                <w:szCs w:val="20"/>
              </w:rPr>
              <w:t>394.37</w:t>
            </w:r>
          </w:p>
        </w:tc>
        <w:tc>
          <w:tcPr>
            <w:tcW w:w="1083" w:type="pct"/>
            <w:tcBorders>
              <w:top w:val="nil"/>
              <w:left w:val="nil"/>
              <w:bottom w:val="nil"/>
              <w:right w:val="nil"/>
            </w:tcBorders>
            <w:tcMar>
              <w:top w:w="0" w:type="dxa"/>
              <w:left w:w="57" w:type="dxa"/>
              <w:bottom w:w="0" w:type="dxa"/>
              <w:right w:w="57" w:type="dxa"/>
            </w:tcMar>
            <w:vAlign w:val="center"/>
          </w:tcPr>
          <w:p w:rsidR="00C7222A" w:rsidRPr="00D34BE8" w:rsidRDefault="00C7222A" w:rsidP="00D34BE8">
            <w:pPr>
              <w:spacing w:after="0" w:line="360" w:lineRule="auto"/>
              <w:jc w:val="both"/>
              <w:textAlignment w:val="center"/>
              <w:rPr>
                <w:rFonts w:ascii="Book Antiqua" w:eastAsia="宋体" w:hAnsi="Book Antiqua"/>
                <w:sz w:val="20"/>
                <w:szCs w:val="20"/>
              </w:rPr>
            </w:pPr>
            <w:r w:rsidRPr="00D34BE8">
              <w:rPr>
                <w:rFonts w:ascii="Book Antiqua" w:eastAsia="宋体" w:hAnsi="Book Antiqua"/>
                <w:sz w:val="20"/>
                <w:szCs w:val="20"/>
              </w:rPr>
              <w:t>546.00</w:t>
            </w:r>
            <w:r w:rsidR="00D31C86" w:rsidRPr="00D34BE8">
              <w:rPr>
                <w:rFonts w:ascii="Book Antiqua" w:eastAsia="宋体" w:hAnsi="Book Antiqua"/>
                <w:sz w:val="20"/>
                <w:szCs w:val="20"/>
              </w:rPr>
              <w:t xml:space="preserve"> ± </w:t>
            </w:r>
            <w:r w:rsidRPr="00D34BE8">
              <w:rPr>
                <w:rFonts w:ascii="Book Antiqua" w:eastAsia="宋体" w:hAnsi="Book Antiqua"/>
                <w:sz w:val="20"/>
                <w:szCs w:val="20"/>
              </w:rPr>
              <w:t>375.35</w:t>
            </w:r>
          </w:p>
        </w:tc>
        <w:tc>
          <w:tcPr>
            <w:tcW w:w="499" w:type="pct"/>
            <w:tcBorders>
              <w:top w:val="nil"/>
              <w:left w:val="nil"/>
              <w:bottom w:val="nil"/>
              <w:right w:val="nil"/>
            </w:tcBorders>
            <w:tcMar>
              <w:top w:w="0" w:type="dxa"/>
              <w:left w:w="57" w:type="dxa"/>
              <w:bottom w:w="0" w:type="dxa"/>
              <w:right w:w="57" w:type="dxa"/>
            </w:tcMar>
            <w:vAlign w:val="center"/>
          </w:tcPr>
          <w:p w:rsidR="00C7222A" w:rsidRPr="00D34BE8" w:rsidRDefault="00C7222A" w:rsidP="00D34BE8">
            <w:pPr>
              <w:spacing w:after="0" w:line="360" w:lineRule="auto"/>
              <w:jc w:val="both"/>
              <w:rPr>
                <w:rFonts w:ascii="Book Antiqua" w:eastAsia="宋体" w:hAnsi="Book Antiqua"/>
                <w:sz w:val="20"/>
                <w:szCs w:val="20"/>
              </w:rPr>
            </w:pPr>
            <w:r w:rsidRPr="00D34BE8">
              <w:rPr>
                <w:rFonts w:ascii="Book Antiqua" w:eastAsia="宋体" w:hAnsi="Book Antiqua"/>
                <w:sz w:val="20"/>
                <w:szCs w:val="20"/>
              </w:rPr>
              <w:t>0.26</w:t>
            </w:r>
          </w:p>
        </w:tc>
      </w:tr>
      <w:tr w:rsidR="00C7222A" w:rsidRPr="00D34BE8" w:rsidTr="00E02175">
        <w:trPr>
          <w:trHeight w:val="397"/>
          <w:jc w:val="center"/>
        </w:trPr>
        <w:tc>
          <w:tcPr>
            <w:tcW w:w="2335" w:type="pct"/>
            <w:tcBorders>
              <w:top w:val="nil"/>
              <w:left w:val="nil"/>
              <w:bottom w:val="nil"/>
              <w:right w:val="nil"/>
            </w:tcBorders>
            <w:tcMar>
              <w:top w:w="0" w:type="dxa"/>
              <w:left w:w="57" w:type="dxa"/>
              <w:bottom w:w="0" w:type="dxa"/>
              <w:right w:w="57" w:type="dxa"/>
            </w:tcMar>
            <w:vAlign w:val="center"/>
          </w:tcPr>
          <w:p w:rsidR="00C7222A" w:rsidRPr="00D34BE8" w:rsidRDefault="00C7222A" w:rsidP="00D34BE8">
            <w:pPr>
              <w:spacing w:after="0" w:line="360" w:lineRule="auto"/>
              <w:jc w:val="both"/>
              <w:textAlignment w:val="center"/>
              <w:rPr>
                <w:rStyle w:val="font41"/>
                <w:rFonts w:ascii="Book Antiqua" w:eastAsia="宋体" w:hAnsi="Book Antiqua"/>
                <w:color w:val="auto"/>
                <w:sz w:val="20"/>
                <w:szCs w:val="20"/>
              </w:rPr>
            </w:pPr>
            <w:r w:rsidRPr="00D34BE8">
              <w:rPr>
                <w:rStyle w:val="font41"/>
                <w:rFonts w:ascii="Book Antiqua" w:eastAsia="宋体" w:hAnsi="Book Antiqua"/>
                <w:color w:val="auto"/>
                <w:sz w:val="20"/>
                <w:szCs w:val="20"/>
              </w:rPr>
              <w:t>Ratio of liver and spleen volume</w:t>
            </w:r>
            <w:r w:rsidR="00E02175" w:rsidRPr="00D34BE8">
              <w:rPr>
                <w:rFonts w:ascii="Book Antiqua" w:eastAsia="宋体" w:hAnsi="Book Antiqua"/>
                <w:sz w:val="20"/>
                <w:szCs w:val="20"/>
              </w:rPr>
              <w:t>, %</w:t>
            </w:r>
          </w:p>
        </w:tc>
        <w:tc>
          <w:tcPr>
            <w:tcW w:w="1083" w:type="pct"/>
            <w:tcBorders>
              <w:top w:val="nil"/>
              <w:left w:val="nil"/>
              <w:bottom w:val="nil"/>
              <w:right w:val="nil"/>
            </w:tcBorders>
            <w:tcMar>
              <w:top w:w="0" w:type="dxa"/>
              <w:left w:w="57" w:type="dxa"/>
              <w:bottom w:w="0" w:type="dxa"/>
              <w:right w:w="57" w:type="dxa"/>
            </w:tcMar>
            <w:vAlign w:val="center"/>
          </w:tcPr>
          <w:p w:rsidR="00C7222A" w:rsidRPr="00D34BE8" w:rsidRDefault="00C7222A" w:rsidP="00D34BE8">
            <w:pPr>
              <w:spacing w:after="0" w:line="360" w:lineRule="auto"/>
              <w:jc w:val="both"/>
              <w:textAlignment w:val="center"/>
              <w:rPr>
                <w:rFonts w:ascii="Book Antiqua" w:eastAsia="宋体" w:hAnsi="Book Antiqua"/>
                <w:sz w:val="20"/>
                <w:szCs w:val="20"/>
              </w:rPr>
            </w:pPr>
            <w:r w:rsidRPr="00D34BE8">
              <w:rPr>
                <w:rFonts w:ascii="Book Antiqua" w:eastAsia="宋体" w:hAnsi="Book Antiqua"/>
                <w:sz w:val="20"/>
                <w:szCs w:val="20"/>
              </w:rPr>
              <w:t>1.18</w:t>
            </w:r>
            <w:r w:rsidR="00D31C86" w:rsidRPr="00D34BE8">
              <w:rPr>
                <w:rFonts w:ascii="Book Antiqua" w:eastAsia="宋体" w:hAnsi="Book Antiqua"/>
                <w:sz w:val="20"/>
                <w:szCs w:val="20"/>
              </w:rPr>
              <w:t xml:space="preserve"> ± </w:t>
            </w:r>
            <w:r w:rsidRPr="00D34BE8">
              <w:rPr>
                <w:rFonts w:ascii="Book Antiqua" w:eastAsia="宋体" w:hAnsi="Book Antiqua"/>
                <w:sz w:val="20"/>
                <w:szCs w:val="20"/>
              </w:rPr>
              <w:t>0.57</w:t>
            </w:r>
          </w:p>
        </w:tc>
        <w:tc>
          <w:tcPr>
            <w:tcW w:w="1083" w:type="pct"/>
            <w:tcBorders>
              <w:top w:val="nil"/>
              <w:left w:val="nil"/>
              <w:bottom w:val="nil"/>
              <w:right w:val="nil"/>
            </w:tcBorders>
            <w:tcMar>
              <w:top w:w="0" w:type="dxa"/>
              <w:left w:w="57" w:type="dxa"/>
              <w:bottom w:w="0" w:type="dxa"/>
              <w:right w:w="57" w:type="dxa"/>
            </w:tcMar>
            <w:vAlign w:val="center"/>
          </w:tcPr>
          <w:p w:rsidR="00C7222A" w:rsidRPr="00D34BE8" w:rsidRDefault="00C7222A" w:rsidP="00D34BE8">
            <w:pPr>
              <w:spacing w:after="0" w:line="360" w:lineRule="auto"/>
              <w:jc w:val="both"/>
              <w:textAlignment w:val="center"/>
              <w:rPr>
                <w:rFonts w:ascii="Book Antiqua" w:eastAsia="宋体" w:hAnsi="Book Antiqua"/>
                <w:sz w:val="20"/>
                <w:szCs w:val="20"/>
              </w:rPr>
            </w:pPr>
            <w:r w:rsidRPr="00D34BE8">
              <w:rPr>
                <w:rFonts w:ascii="Book Antiqua" w:eastAsia="宋体" w:hAnsi="Book Antiqua"/>
                <w:sz w:val="20"/>
                <w:szCs w:val="20"/>
              </w:rPr>
              <w:t>3.16</w:t>
            </w:r>
            <w:r w:rsidR="00D31C86" w:rsidRPr="00D34BE8">
              <w:rPr>
                <w:rFonts w:ascii="Book Antiqua" w:eastAsia="宋体" w:hAnsi="Book Antiqua"/>
                <w:sz w:val="20"/>
                <w:szCs w:val="20"/>
              </w:rPr>
              <w:t xml:space="preserve"> ± </w:t>
            </w:r>
            <w:r w:rsidRPr="00D34BE8">
              <w:rPr>
                <w:rFonts w:ascii="Book Antiqua" w:eastAsia="宋体" w:hAnsi="Book Antiqua"/>
                <w:sz w:val="20"/>
                <w:szCs w:val="20"/>
              </w:rPr>
              <w:t>5.25</w:t>
            </w:r>
          </w:p>
        </w:tc>
        <w:tc>
          <w:tcPr>
            <w:tcW w:w="499" w:type="pct"/>
            <w:tcBorders>
              <w:top w:val="nil"/>
              <w:left w:val="nil"/>
              <w:bottom w:val="nil"/>
              <w:right w:val="nil"/>
            </w:tcBorders>
            <w:tcMar>
              <w:top w:w="0" w:type="dxa"/>
              <w:left w:w="57" w:type="dxa"/>
              <w:bottom w:w="0" w:type="dxa"/>
              <w:right w:w="57" w:type="dxa"/>
            </w:tcMar>
            <w:vAlign w:val="center"/>
          </w:tcPr>
          <w:p w:rsidR="00C7222A" w:rsidRPr="00D34BE8" w:rsidRDefault="009A7541" w:rsidP="00D34BE8">
            <w:pPr>
              <w:spacing w:after="0" w:line="360" w:lineRule="auto"/>
              <w:jc w:val="both"/>
              <w:rPr>
                <w:rFonts w:ascii="Book Antiqua" w:eastAsia="宋体" w:hAnsi="Book Antiqua"/>
                <w:sz w:val="20"/>
                <w:szCs w:val="20"/>
              </w:rPr>
            </w:pPr>
            <w:r w:rsidRPr="00D34BE8">
              <w:rPr>
                <w:rFonts w:ascii="Book Antiqua" w:eastAsia="宋体" w:hAnsi="Book Antiqua"/>
                <w:sz w:val="20"/>
                <w:szCs w:val="20"/>
              </w:rPr>
              <w:t>&lt;</w:t>
            </w:r>
            <w:r w:rsidR="00E02175" w:rsidRPr="00D34BE8">
              <w:rPr>
                <w:rFonts w:ascii="Book Antiqua" w:eastAsia="宋体" w:hAnsi="Book Antiqua"/>
                <w:sz w:val="20"/>
                <w:szCs w:val="20"/>
              </w:rPr>
              <w:t xml:space="preserve"> </w:t>
            </w:r>
            <w:r w:rsidR="00C7222A" w:rsidRPr="00D34BE8">
              <w:rPr>
                <w:rFonts w:ascii="Book Antiqua" w:eastAsia="宋体" w:hAnsi="Book Antiqua"/>
                <w:sz w:val="20"/>
                <w:szCs w:val="20"/>
              </w:rPr>
              <w:t>0.01</w:t>
            </w:r>
          </w:p>
        </w:tc>
      </w:tr>
      <w:tr w:rsidR="00C7222A" w:rsidRPr="00D34BE8" w:rsidTr="00E02175">
        <w:trPr>
          <w:trHeight w:val="397"/>
          <w:jc w:val="center"/>
        </w:trPr>
        <w:tc>
          <w:tcPr>
            <w:tcW w:w="2335" w:type="pct"/>
            <w:tcBorders>
              <w:top w:val="nil"/>
              <w:left w:val="nil"/>
              <w:bottom w:val="nil"/>
              <w:right w:val="nil"/>
            </w:tcBorders>
            <w:tcMar>
              <w:top w:w="0" w:type="dxa"/>
              <w:left w:w="57" w:type="dxa"/>
              <w:bottom w:w="0" w:type="dxa"/>
              <w:right w:w="57" w:type="dxa"/>
            </w:tcMar>
            <w:vAlign w:val="center"/>
          </w:tcPr>
          <w:p w:rsidR="00C7222A" w:rsidRPr="00D34BE8" w:rsidRDefault="00C7222A" w:rsidP="00D34BE8">
            <w:pPr>
              <w:spacing w:after="0" w:line="360" w:lineRule="auto"/>
              <w:jc w:val="both"/>
              <w:textAlignment w:val="center"/>
              <w:rPr>
                <w:rFonts w:ascii="Book Antiqua" w:eastAsia="宋体" w:hAnsi="Book Antiqua"/>
                <w:sz w:val="20"/>
                <w:szCs w:val="20"/>
              </w:rPr>
            </w:pPr>
            <w:r w:rsidRPr="00D34BE8">
              <w:rPr>
                <w:rFonts w:ascii="Book Antiqua" w:eastAsia="宋体" w:hAnsi="Book Antiqua"/>
                <w:sz w:val="20"/>
                <w:szCs w:val="20"/>
              </w:rPr>
              <w:t>Rate of change of spleen volume, %</w:t>
            </w:r>
          </w:p>
        </w:tc>
        <w:tc>
          <w:tcPr>
            <w:tcW w:w="1083" w:type="pct"/>
            <w:tcBorders>
              <w:top w:val="nil"/>
              <w:left w:val="nil"/>
              <w:bottom w:val="nil"/>
              <w:right w:val="nil"/>
            </w:tcBorders>
            <w:tcMar>
              <w:top w:w="0" w:type="dxa"/>
              <w:left w:w="57" w:type="dxa"/>
              <w:bottom w:w="0" w:type="dxa"/>
              <w:right w:w="57" w:type="dxa"/>
            </w:tcMar>
            <w:vAlign w:val="center"/>
          </w:tcPr>
          <w:p w:rsidR="00C7222A" w:rsidRPr="00D34BE8" w:rsidRDefault="00C7222A" w:rsidP="00D34BE8">
            <w:pPr>
              <w:spacing w:after="0" w:line="360" w:lineRule="auto"/>
              <w:jc w:val="both"/>
              <w:textAlignment w:val="center"/>
              <w:rPr>
                <w:rFonts w:ascii="Book Antiqua" w:eastAsia="宋体" w:hAnsi="Book Antiqua"/>
                <w:sz w:val="20"/>
                <w:szCs w:val="20"/>
              </w:rPr>
            </w:pPr>
            <w:r w:rsidRPr="00D34BE8">
              <w:rPr>
                <w:rFonts w:ascii="Book Antiqua" w:eastAsia="宋体" w:hAnsi="Book Antiqua"/>
                <w:sz w:val="20"/>
                <w:szCs w:val="20"/>
              </w:rPr>
              <w:t>4.21</w:t>
            </w:r>
            <w:r w:rsidR="00D31C86" w:rsidRPr="00D34BE8">
              <w:rPr>
                <w:rFonts w:ascii="Book Antiqua" w:eastAsia="宋体" w:hAnsi="Book Antiqua"/>
                <w:sz w:val="20"/>
                <w:szCs w:val="20"/>
              </w:rPr>
              <w:t xml:space="preserve"> ± </w:t>
            </w:r>
            <w:r w:rsidRPr="00D34BE8">
              <w:rPr>
                <w:rFonts w:ascii="Book Antiqua" w:eastAsia="宋体" w:hAnsi="Book Antiqua"/>
                <w:sz w:val="20"/>
                <w:szCs w:val="20"/>
              </w:rPr>
              <w:t>2.11</w:t>
            </w:r>
          </w:p>
        </w:tc>
        <w:tc>
          <w:tcPr>
            <w:tcW w:w="1083" w:type="pct"/>
            <w:tcBorders>
              <w:top w:val="nil"/>
              <w:left w:val="nil"/>
              <w:bottom w:val="nil"/>
              <w:right w:val="nil"/>
            </w:tcBorders>
            <w:tcMar>
              <w:top w:w="0" w:type="dxa"/>
              <w:left w:w="57" w:type="dxa"/>
              <w:bottom w:w="0" w:type="dxa"/>
              <w:right w:w="57" w:type="dxa"/>
            </w:tcMar>
            <w:vAlign w:val="center"/>
          </w:tcPr>
          <w:p w:rsidR="00C7222A" w:rsidRPr="00D34BE8" w:rsidRDefault="00C7222A" w:rsidP="00D34BE8">
            <w:pPr>
              <w:spacing w:after="0" w:line="360" w:lineRule="auto"/>
              <w:jc w:val="both"/>
              <w:textAlignment w:val="center"/>
              <w:rPr>
                <w:rFonts w:ascii="Book Antiqua" w:eastAsia="宋体" w:hAnsi="Book Antiqua"/>
                <w:sz w:val="20"/>
                <w:szCs w:val="20"/>
              </w:rPr>
            </w:pPr>
            <w:r w:rsidRPr="00D34BE8">
              <w:rPr>
                <w:rFonts w:ascii="Book Antiqua" w:eastAsia="宋体" w:hAnsi="Book Antiqua"/>
                <w:sz w:val="20"/>
                <w:szCs w:val="20"/>
              </w:rPr>
              <w:t>2.06</w:t>
            </w:r>
            <w:r w:rsidR="00D31C86" w:rsidRPr="00D34BE8">
              <w:rPr>
                <w:rFonts w:ascii="Book Antiqua" w:eastAsia="宋体" w:hAnsi="Book Antiqua"/>
                <w:sz w:val="20"/>
                <w:szCs w:val="20"/>
              </w:rPr>
              <w:t xml:space="preserve"> ± </w:t>
            </w:r>
            <w:r w:rsidRPr="00D34BE8">
              <w:rPr>
                <w:rFonts w:ascii="Book Antiqua" w:eastAsia="宋体" w:hAnsi="Book Antiqua"/>
                <w:sz w:val="20"/>
                <w:szCs w:val="20"/>
              </w:rPr>
              <w:t>2.07</w:t>
            </w:r>
          </w:p>
        </w:tc>
        <w:tc>
          <w:tcPr>
            <w:tcW w:w="499" w:type="pct"/>
            <w:tcBorders>
              <w:top w:val="nil"/>
              <w:left w:val="nil"/>
              <w:bottom w:val="nil"/>
              <w:right w:val="nil"/>
            </w:tcBorders>
            <w:tcMar>
              <w:top w:w="0" w:type="dxa"/>
              <w:left w:w="57" w:type="dxa"/>
              <w:bottom w:w="0" w:type="dxa"/>
              <w:right w:w="57" w:type="dxa"/>
            </w:tcMar>
            <w:vAlign w:val="center"/>
          </w:tcPr>
          <w:p w:rsidR="00C7222A" w:rsidRPr="00D34BE8" w:rsidRDefault="00C7222A" w:rsidP="00D34BE8">
            <w:pPr>
              <w:spacing w:after="0" w:line="360" w:lineRule="auto"/>
              <w:jc w:val="both"/>
              <w:rPr>
                <w:rFonts w:ascii="Book Antiqua" w:eastAsia="宋体" w:hAnsi="Book Antiqua"/>
                <w:sz w:val="20"/>
                <w:szCs w:val="20"/>
              </w:rPr>
            </w:pPr>
            <w:r w:rsidRPr="00D34BE8">
              <w:rPr>
                <w:rFonts w:ascii="Book Antiqua" w:eastAsia="宋体" w:hAnsi="Book Antiqua"/>
                <w:sz w:val="20"/>
                <w:szCs w:val="20"/>
              </w:rPr>
              <w:t>0.047</w:t>
            </w:r>
          </w:p>
        </w:tc>
      </w:tr>
      <w:tr w:rsidR="00C7222A" w:rsidRPr="00D34BE8" w:rsidTr="00E02175">
        <w:trPr>
          <w:trHeight w:val="397"/>
          <w:jc w:val="center"/>
        </w:trPr>
        <w:tc>
          <w:tcPr>
            <w:tcW w:w="2335" w:type="pct"/>
            <w:tcBorders>
              <w:top w:val="nil"/>
              <w:left w:val="nil"/>
              <w:bottom w:val="nil"/>
              <w:right w:val="nil"/>
            </w:tcBorders>
            <w:tcMar>
              <w:top w:w="0" w:type="dxa"/>
              <w:left w:w="57" w:type="dxa"/>
              <w:bottom w:w="0" w:type="dxa"/>
              <w:right w:w="57" w:type="dxa"/>
            </w:tcMar>
            <w:vAlign w:val="center"/>
          </w:tcPr>
          <w:p w:rsidR="00C7222A" w:rsidRPr="00D34BE8" w:rsidRDefault="00C7222A" w:rsidP="00D34BE8">
            <w:pPr>
              <w:spacing w:after="0" w:line="360" w:lineRule="auto"/>
              <w:jc w:val="both"/>
              <w:textAlignment w:val="center"/>
              <w:rPr>
                <w:rFonts w:ascii="Book Antiqua" w:eastAsia="宋体" w:hAnsi="Book Antiqua"/>
                <w:sz w:val="20"/>
                <w:szCs w:val="20"/>
              </w:rPr>
            </w:pPr>
            <w:r w:rsidRPr="00D34BE8">
              <w:rPr>
                <w:rFonts w:ascii="Book Antiqua" w:eastAsia="宋体" w:hAnsi="Book Antiqua"/>
                <w:sz w:val="20"/>
                <w:szCs w:val="20"/>
              </w:rPr>
              <w:t>Change of spleen volume</w:t>
            </w:r>
            <w:r w:rsidR="00B5478B">
              <w:rPr>
                <w:rFonts w:ascii="Book Antiqua" w:eastAsia="宋体" w:hAnsi="Book Antiqua"/>
                <w:sz w:val="20"/>
                <w:szCs w:val="20"/>
              </w:rPr>
              <w:t xml:space="preserve">, </w:t>
            </w:r>
            <w:r w:rsidRPr="00D34BE8">
              <w:rPr>
                <w:rStyle w:val="font41"/>
                <w:rFonts w:ascii="Book Antiqua" w:eastAsia="宋体" w:hAnsi="Book Antiqua"/>
                <w:color w:val="auto"/>
                <w:sz w:val="20"/>
                <w:szCs w:val="20"/>
              </w:rPr>
              <w:t>cm</w:t>
            </w:r>
            <w:r w:rsidRPr="00D34BE8">
              <w:rPr>
                <w:rStyle w:val="font41"/>
                <w:rFonts w:ascii="Book Antiqua" w:eastAsia="宋体" w:hAnsi="Book Antiqua"/>
                <w:color w:val="auto"/>
                <w:sz w:val="20"/>
                <w:szCs w:val="20"/>
                <w:vertAlign w:val="superscript"/>
              </w:rPr>
              <w:t>3</w:t>
            </w:r>
          </w:p>
        </w:tc>
        <w:tc>
          <w:tcPr>
            <w:tcW w:w="1083" w:type="pct"/>
            <w:tcBorders>
              <w:top w:val="nil"/>
              <w:left w:val="nil"/>
              <w:bottom w:val="nil"/>
              <w:right w:val="nil"/>
            </w:tcBorders>
            <w:tcMar>
              <w:top w:w="0" w:type="dxa"/>
              <w:left w:w="57" w:type="dxa"/>
              <w:bottom w:w="0" w:type="dxa"/>
              <w:right w:w="57" w:type="dxa"/>
            </w:tcMar>
            <w:vAlign w:val="center"/>
          </w:tcPr>
          <w:p w:rsidR="00C7222A" w:rsidRPr="00D34BE8" w:rsidRDefault="00C7222A" w:rsidP="00D34BE8">
            <w:pPr>
              <w:spacing w:after="0" w:line="360" w:lineRule="auto"/>
              <w:jc w:val="both"/>
              <w:textAlignment w:val="center"/>
              <w:rPr>
                <w:rFonts w:ascii="Book Antiqua" w:eastAsia="宋体" w:hAnsi="Book Antiqua"/>
                <w:sz w:val="20"/>
                <w:szCs w:val="20"/>
              </w:rPr>
            </w:pPr>
            <w:r w:rsidRPr="00D34BE8">
              <w:rPr>
                <w:rFonts w:ascii="Book Antiqua" w:eastAsia="宋体" w:hAnsi="Book Antiqua"/>
                <w:sz w:val="20"/>
                <w:szCs w:val="20"/>
              </w:rPr>
              <w:t>740.27</w:t>
            </w:r>
            <w:r w:rsidR="00D31C86" w:rsidRPr="00D34BE8">
              <w:rPr>
                <w:rFonts w:ascii="Book Antiqua" w:eastAsia="宋体" w:hAnsi="Book Antiqua"/>
                <w:sz w:val="20"/>
                <w:szCs w:val="20"/>
              </w:rPr>
              <w:t xml:space="preserve"> ± </w:t>
            </w:r>
            <w:r w:rsidRPr="00D34BE8">
              <w:rPr>
                <w:rFonts w:ascii="Book Antiqua" w:eastAsia="宋体" w:hAnsi="Book Antiqua"/>
                <w:sz w:val="20"/>
                <w:szCs w:val="20"/>
              </w:rPr>
              <w:t>382.77</w:t>
            </w:r>
          </w:p>
        </w:tc>
        <w:tc>
          <w:tcPr>
            <w:tcW w:w="1083" w:type="pct"/>
            <w:tcBorders>
              <w:top w:val="nil"/>
              <w:left w:val="nil"/>
              <w:bottom w:val="nil"/>
              <w:right w:val="nil"/>
            </w:tcBorders>
            <w:tcMar>
              <w:top w:w="0" w:type="dxa"/>
              <w:left w:w="57" w:type="dxa"/>
              <w:bottom w:w="0" w:type="dxa"/>
              <w:right w:w="57" w:type="dxa"/>
            </w:tcMar>
            <w:vAlign w:val="center"/>
          </w:tcPr>
          <w:p w:rsidR="00C7222A" w:rsidRPr="00D34BE8" w:rsidRDefault="00C7222A" w:rsidP="00D34BE8">
            <w:pPr>
              <w:spacing w:after="0" w:line="360" w:lineRule="auto"/>
              <w:jc w:val="both"/>
              <w:textAlignment w:val="center"/>
              <w:rPr>
                <w:rFonts w:ascii="Book Antiqua" w:eastAsia="宋体" w:hAnsi="Book Antiqua"/>
                <w:sz w:val="20"/>
                <w:szCs w:val="20"/>
              </w:rPr>
            </w:pPr>
            <w:r w:rsidRPr="00D34BE8">
              <w:rPr>
                <w:rFonts w:ascii="Book Antiqua" w:eastAsia="宋体" w:hAnsi="Book Antiqua"/>
                <w:sz w:val="20"/>
                <w:szCs w:val="20"/>
              </w:rPr>
              <w:t>370.66</w:t>
            </w:r>
            <w:r w:rsidR="00D31C86" w:rsidRPr="00D34BE8">
              <w:rPr>
                <w:rFonts w:ascii="Book Antiqua" w:eastAsia="宋体" w:hAnsi="Book Antiqua"/>
                <w:sz w:val="20"/>
                <w:szCs w:val="20"/>
              </w:rPr>
              <w:t xml:space="preserve"> ± </w:t>
            </w:r>
            <w:r w:rsidRPr="00D34BE8">
              <w:rPr>
                <w:rFonts w:ascii="Book Antiqua" w:eastAsia="宋体" w:hAnsi="Book Antiqua"/>
                <w:sz w:val="20"/>
                <w:szCs w:val="20"/>
              </w:rPr>
              <w:t>365.27</w:t>
            </w:r>
          </w:p>
        </w:tc>
        <w:tc>
          <w:tcPr>
            <w:tcW w:w="499" w:type="pct"/>
            <w:tcBorders>
              <w:top w:val="nil"/>
              <w:left w:val="nil"/>
              <w:bottom w:val="nil"/>
              <w:right w:val="nil"/>
            </w:tcBorders>
            <w:tcMar>
              <w:top w:w="0" w:type="dxa"/>
              <w:left w:w="57" w:type="dxa"/>
              <w:bottom w:w="0" w:type="dxa"/>
              <w:right w:w="57" w:type="dxa"/>
            </w:tcMar>
            <w:vAlign w:val="center"/>
          </w:tcPr>
          <w:p w:rsidR="00C7222A" w:rsidRPr="00D34BE8" w:rsidRDefault="00C7222A" w:rsidP="00D34BE8">
            <w:pPr>
              <w:spacing w:after="0" w:line="360" w:lineRule="auto"/>
              <w:jc w:val="both"/>
              <w:rPr>
                <w:rFonts w:ascii="Book Antiqua" w:eastAsia="宋体" w:hAnsi="Book Antiqua"/>
                <w:sz w:val="20"/>
                <w:szCs w:val="20"/>
              </w:rPr>
            </w:pPr>
            <w:r w:rsidRPr="00D34BE8">
              <w:rPr>
                <w:rFonts w:ascii="Book Antiqua" w:eastAsia="宋体" w:hAnsi="Book Antiqua"/>
                <w:sz w:val="20"/>
                <w:szCs w:val="20"/>
              </w:rPr>
              <w:t>0.30</w:t>
            </w:r>
          </w:p>
        </w:tc>
      </w:tr>
      <w:tr w:rsidR="00C7222A" w:rsidRPr="00D34BE8" w:rsidTr="00E02175">
        <w:trPr>
          <w:trHeight w:val="397"/>
          <w:jc w:val="center"/>
        </w:trPr>
        <w:tc>
          <w:tcPr>
            <w:tcW w:w="2335" w:type="pct"/>
            <w:tcBorders>
              <w:top w:val="nil"/>
              <w:left w:val="nil"/>
              <w:bottom w:val="nil"/>
              <w:right w:val="nil"/>
            </w:tcBorders>
            <w:tcMar>
              <w:top w:w="0" w:type="dxa"/>
              <w:left w:w="57" w:type="dxa"/>
              <w:bottom w:w="0" w:type="dxa"/>
              <w:right w:w="57" w:type="dxa"/>
            </w:tcMar>
            <w:vAlign w:val="center"/>
          </w:tcPr>
          <w:p w:rsidR="00C7222A" w:rsidRPr="00D34BE8" w:rsidRDefault="00C7222A" w:rsidP="00D34BE8">
            <w:pPr>
              <w:spacing w:after="0" w:line="360" w:lineRule="auto"/>
              <w:jc w:val="both"/>
              <w:textAlignment w:val="center"/>
              <w:rPr>
                <w:rFonts w:ascii="Book Antiqua" w:eastAsia="宋体" w:hAnsi="Book Antiqua"/>
                <w:sz w:val="20"/>
                <w:szCs w:val="20"/>
              </w:rPr>
            </w:pPr>
            <w:r w:rsidRPr="00D34BE8">
              <w:rPr>
                <w:rFonts w:ascii="Book Antiqua" w:eastAsia="宋体" w:hAnsi="Book Antiqua"/>
                <w:sz w:val="20"/>
                <w:szCs w:val="20"/>
              </w:rPr>
              <w:t>Spleen diameter</w:t>
            </w:r>
            <w:r w:rsidR="00B5478B">
              <w:rPr>
                <w:rFonts w:ascii="Book Antiqua" w:eastAsia="宋体" w:hAnsi="Book Antiqua"/>
                <w:sz w:val="20"/>
                <w:szCs w:val="20"/>
              </w:rPr>
              <w:t xml:space="preserve">, </w:t>
            </w:r>
            <w:r w:rsidRPr="00D34BE8">
              <w:rPr>
                <w:rFonts w:ascii="Book Antiqua" w:eastAsia="宋体" w:hAnsi="Book Antiqua"/>
                <w:sz w:val="20"/>
                <w:szCs w:val="20"/>
              </w:rPr>
              <w:t>cm</w:t>
            </w:r>
          </w:p>
        </w:tc>
        <w:tc>
          <w:tcPr>
            <w:tcW w:w="1083" w:type="pct"/>
            <w:tcBorders>
              <w:top w:val="nil"/>
              <w:left w:val="nil"/>
              <w:bottom w:val="nil"/>
              <w:right w:val="nil"/>
            </w:tcBorders>
            <w:tcMar>
              <w:top w:w="0" w:type="dxa"/>
              <w:left w:w="57" w:type="dxa"/>
              <w:bottom w:w="0" w:type="dxa"/>
              <w:right w:w="57" w:type="dxa"/>
            </w:tcMar>
            <w:vAlign w:val="center"/>
          </w:tcPr>
          <w:p w:rsidR="00C7222A" w:rsidRPr="00D34BE8" w:rsidRDefault="00C7222A" w:rsidP="00D34BE8">
            <w:pPr>
              <w:spacing w:after="0" w:line="360" w:lineRule="auto"/>
              <w:jc w:val="both"/>
              <w:textAlignment w:val="center"/>
              <w:rPr>
                <w:rFonts w:ascii="Book Antiqua" w:eastAsia="宋体" w:hAnsi="Book Antiqua"/>
                <w:sz w:val="20"/>
                <w:szCs w:val="20"/>
              </w:rPr>
            </w:pPr>
            <w:r w:rsidRPr="00D34BE8">
              <w:rPr>
                <w:rFonts w:ascii="Book Antiqua" w:eastAsia="宋体" w:hAnsi="Book Antiqua"/>
                <w:sz w:val="20"/>
                <w:szCs w:val="20"/>
              </w:rPr>
              <w:t>15.81</w:t>
            </w:r>
            <w:r w:rsidR="00D31C86" w:rsidRPr="00D34BE8">
              <w:rPr>
                <w:rFonts w:ascii="Book Antiqua" w:eastAsia="宋体" w:hAnsi="Book Antiqua"/>
                <w:sz w:val="20"/>
                <w:szCs w:val="20"/>
              </w:rPr>
              <w:t xml:space="preserve"> ± </w:t>
            </w:r>
            <w:r w:rsidRPr="00D34BE8">
              <w:rPr>
                <w:rFonts w:ascii="Book Antiqua" w:eastAsia="宋体" w:hAnsi="Book Antiqua"/>
                <w:sz w:val="20"/>
                <w:szCs w:val="20"/>
              </w:rPr>
              <w:t>2.67</w:t>
            </w:r>
          </w:p>
        </w:tc>
        <w:tc>
          <w:tcPr>
            <w:tcW w:w="1083" w:type="pct"/>
            <w:tcBorders>
              <w:top w:val="nil"/>
              <w:left w:val="nil"/>
              <w:bottom w:val="nil"/>
              <w:right w:val="nil"/>
            </w:tcBorders>
            <w:tcMar>
              <w:top w:w="0" w:type="dxa"/>
              <w:left w:w="57" w:type="dxa"/>
              <w:bottom w:w="0" w:type="dxa"/>
              <w:right w:w="57" w:type="dxa"/>
            </w:tcMar>
            <w:vAlign w:val="center"/>
          </w:tcPr>
          <w:p w:rsidR="00C7222A" w:rsidRPr="00D34BE8" w:rsidRDefault="00C7222A" w:rsidP="00D34BE8">
            <w:pPr>
              <w:spacing w:after="0" w:line="360" w:lineRule="auto"/>
              <w:jc w:val="both"/>
              <w:textAlignment w:val="center"/>
              <w:rPr>
                <w:rFonts w:ascii="Book Antiqua" w:eastAsia="宋体" w:hAnsi="Book Antiqua"/>
                <w:sz w:val="20"/>
                <w:szCs w:val="20"/>
              </w:rPr>
            </w:pPr>
            <w:r w:rsidRPr="00D34BE8">
              <w:rPr>
                <w:rFonts w:ascii="Book Antiqua" w:eastAsia="宋体" w:hAnsi="Book Antiqua"/>
                <w:sz w:val="20"/>
                <w:szCs w:val="20"/>
              </w:rPr>
              <w:t>12.67</w:t>
            </w:r>
            <w:r w:rsidR="00D31C86" w:rsidRPr="00D34BE8">
              <w:rPr>
                <w:rFonts w:ascii="Book Antiqua" w:eastAsia="宋体" w:hAnsi="Book Antiqua"/>
                <w:sz w:val="20"/>
                <w:szCs w:val="20"/>
              </w:rPr>
              <w:t xml:space="preserve"> ± </w:t>
            </w:r>
            <w:r w:rsidRPr="00D34BE8">
              <w:rPr>
                <w:rFonts w:ascii="Book Antiqua" w:eastAsia="宋体" w:hAnsi="Book Antiqua"/>
                <w:sz w:val="20"/>
                <w:szCs w:val="20"/>
              </w:rPr>
              <w:t>2.58</w:t>
            </w:r>
          </w:p>
        </w:tc>
        <w:tc>
          <w:tcPr>
            <w:tcW w:w="499" w:type="pct"/>
            <w:tcBorders>
              <w:top w:val="nil"/>
              <w:left w:val="nil"/>
              <w:bottom w:val="nil"/>
              <w:right w:val="nil"/>
            </w:tcBorders>
            <w:tcMar>
              <w:top w:w="0" w:type="dxa"/>
              <w:left w:w="57" w:type="dxa"/>
              <w:bottom w:w="0" w:type="dxa"/>
              <w:right w:w="57" w:type="dxa"/>
            </w:tcMar>
            <w:vAlign w:val="center"/>
          </w:tcPr>
          <w:p w:rsidR="00C7222A" w:rsidRPr="00D34BE8" w:rsidRDefault="00C7222A" w:rsidP="00D34BE8">
            <w:pPr>
              <w:spacing w:after="0" w:line="360" w:lineRule="auto"/>
              <w:jc w:val="both"/>
              <w:rPr>
                <w:rFonts w:ascii="Book Antiqua" w:eastAsia="宋体" w:hAnsi="Book Antiqua"/>
                <w:sz w:val="20"/>
                <w:szCs w:val="20"/>
              </w:rPr>
            </w:pPr>
            <w:r w:rsidRPr="00D34BE8">
              <w:rPr>
                <w:rFonts w:ascii="Book Antiqua" w:eastAsia="宋体" w:hAnsi="Book Antiqua"/>
                <w:sz w:val="20"/>
                <w:szCs w:val="20"/>
              </w:rPr>
              <w:t>0.58</w:t>
            </w:r>
          </w:p>
        </w:tc>
      </w:tr>
      <w:tr w:rsidR="00C7222A" w:rsidRPr="00D34BE8" w:rsidTr="00E02175">
        <w:trPr>
          <w:trHeight w:val="397"/>
          <w:jc w:val="center"/>
        </w:trPr>
        <w:tc>
          <w:tcPr>
            <w:tcW w:w="2335" w:type="pct"/>
            <w:tcBorders>
              <w:top w:val="nil"/>
              <w:left w:val="nil"/>
              <w:bottom w:val="nil"/>
              <w:right w:val="nil"/>
            </w:tcBorders>
            <w:tcMar>
              <w:top w:w="0" w:type="dxa"/>
              <w:left w:w="57" w:type="dxa"/>
              <w:bottom w:w="0" w:type="dxa"/>
              <w:right w:w="57" w:type="dxa"/>
            </w:tcMar>
            <w:vAlign w:val="center"/>
          </w:tcPr>
          <w:p w:rsidR="00C7222A" w:rsidRPr="00D34BE8" w:rsidRDefault="00C7222A" w:rsidP="00D34BE8">
            <w:pPr>
              <w:spacing w:after="0" w:line="360" w:lineRule="auto"/>
              <w:jc w:val="both"/>
              <w:textAlignment w:val="center"/>
              <w:rPr>
                <w:rFonts w:ascii="Book Antiqua" w:eastAsia="宋体" w:hAnsi="Book Antiqua"/>
                <w:sz w:val="20"/>
                <w:szCs w:val="20"/>
              </w:rPr>
            </w:pPr>
            <w:r w:rsidRPr="00D34BE8">
              <w:rPr>
                <w:rFonts w:ascii="Book Antiqua" w:eastAsia="宋体" w:hAnsi="Book Antiqua"/>
                <w:sz w:val="20"/>
                <w:szCs w:val="20"/>
              </w:rPr>
              <w:t>ALT</w:t>
            </w:r>
            <w:r w:rsidR="00B5478B">
              <w:rPr>
                <w:rFonts w:ascii="Book Antiqua" w:eastAsia="宋体" w:hAnsi="Book Antiqua"/>
                <w:sz w:val="20"/>
                <w:szCs w:val="20"/>
              </w:rPr>
              <w:t xml:space="preserve">, </w:t>
            </w:r>
            <w:r w:rsidRPr="00D34BE8">
              <w:rPr>
                <w:rFonts w:ascii="Book Antiqua" w:eastAsia="宋体" w:hAnsi="Book Antiqua"/>
                <w:sz w:val="20"/>
                <w:szCs w:val="20"/>
              </w:rPr>
              <w:t>IU/L</w:t>
            </w:r>
          </w:p>
        </w:tc>
        <w:tc>
          <w:tcPr>
            <w:tcW w:w="1083" w:type="pct"/>
            <w:tcBorders>
              <w:top w:val="nil"/>
              <w:left w:val="nil"/>
              <w:bottom w:val="nil"/>
              <w:right w:val="nil"/>
            </w:tcBorders>
            <w:tcMar>
              <w:top w:w="0" w:type="dxa"/>
              <w:left w:w="57" w:type="dxa"/>
              <w:bottom w:w="0" w:type="dxa"/>
              <w:right w:w="57" w:type="dxa"/>
            </w:tcMar>
            <w:vAlign w:val="center"/>
          </w:tcPr>
          <w:p w:rsidR="00C7222A" w:rsidRPr="00D34BE8" w:rsidRDefault="00C7222A" w:rsidP="00D34BE8">
            <w:pPr>
              <w:spacing w:after="0" w:line="360" w:lineRule="auto"/>
              <w:jc w:val="both"/>
              <w:textAlignment w:val="center"/>
              <w:rPr>
                <w:rFonts w:ascii="Book Antiqua" w:eastAsia="宋体" w:hAnsi="Book Antiqua"/>
                <w:sz w:val="20"/>
                <w:szCs w:val="20"/>
              </w:rPr>
            </w:pPr>
            <w:r w:rsidRPr="00D34BE8">
              <w:rPr>
                <w:rFonts w:ascii="Book Antiqua" w:eastAsia="宋体" w:hAnsi="Book Antiqua"/>
                <w:sz w:val="20"/>
                <w:szCs w:val="20"/>
              </w:rPr>
              <w:t>57.68</w:t>
            </w:r>
            <w:r w:rsidR="00E02175" w:rsidRPr="00D34BE8">
              <w:rPr>
                <w:rFonts w:ascii="Book Antiqua" w:eastAsia="宋体" w:hAnsi="Book Antiqua"/>
                <w:sz w:val="20"/>
                <w:szCs w:val="20"/>
              </w:rPr>
              <w:t xml:space="preserve"> </w:t>
            </w:r>
            <w:r w:rsidRPr="00D34BE8">
              <w:rPr>
                <w:rFonts w:ascii="Book Antiqua" w:eastAsia="宋体" w:hAnsi="Book Antiqua"/>
                <w:sz w:val="20"/>
                <w:szCs w:val="20"/>
              </w:rPr>
              <w:t>(15-176)</w:t>
            </w:r>
          </w:p>
        </w:tc>
        <w:tc>
          <w:tcPr>
            <w:tcW w:w="1083" w:type="pct"/>
            <w:tcBorders>
              <w:top w:val="nil"/>
              <w:left w:val="nil"/>
              <w:bottom w:val="nil"/>
              <w:right w:val="nil"/>
            </w:tcBorders>
            <w:tcMar>
              <w:top w:w="0" w:type="dxa"/>
              <w:left w:w="57" w:type="dxa"/>
              <w:bottom w:w="0" w:type="dxa"/>
              <w:right w:w="57" w:type="dxa"/>
            </w:tcMar>
            <w:vAlign w:val="center"/>
          </w:tcPr>
          <w:p w:rsidR="00C7222A" w:rsidRPr="00D34BE8" w:rsidRDefault="00C7222A" w:rsidP="00D34BE8">
            <w:pPr>
              <w:spacing w:after="0" w:line="360" w:lineRule="auto"/>
              <w:jc w:val="both"/>
              <w:textAlignment w:val="center"/>
              <w:rPr>
                <w:rFonts w:ascii="Book Antiqua" w:eastAsia="宋体" w:hAnsi="Book Antiqua"/>
                <w:sz w:val="20"/>
                <w:szCs w:val="20"/>
              </w:rPr>
            </w:pPr>
            <w:r w:rsidRPr="00D34BE8">
              <w:rPr>
                <w:rFonts w:ascii="Book Antiqua" w:eastAsia="宋体" w:hAnsi="Book Antiqua"/>
                <w:sz w:val="20"/>
                <w:szCs w:val="20"/>
              </w:rPr>
              <w:t>40.97</w:t>
            </w:r>
            <w:r w:rsidR="00E02175" w:rsidRPr="00D34BE8">
              <w:rPr>
                <w:rFonts w:ascii="Book Antiqua" w:eastAsia="宋体" w:hAnsi="Book Antiqua"/>
                <w:sz w:val="20"/>
                <w:szCs w:val="20"/>
              </w:rPr>
              <w:t xml:space="preserve"> </w:t>
            </w:r>
            <w:r w:rsidRPr="00D34BE8">
              <w:rPr>
                <w:rFonts w:ascii="Book Antiqua" w:eastAsia="宋体" w:hAnsi="Book Antiqua"/>
                <w:sz w:val="20"/>
                <w:szCs w:val="20"/>
              </w:rPr>
              <w:t>(13-88)</w:t>
            </w:r>
          </w:p>
        </w:tc>
        <w:tc>
          <w:tcPr>
            <w:tcW w:w="499" w:type="pct"/>
            <w:tcBorders>
              <w:top w:val="nil"/>
              <w:left w:val="nil"/>
              <w:bottom w:val="nil"/>
              <w:right w:val="nil"/>
            </w:tcBorders>
            <w:tcMar>
              <w:top w:w="0" w:type="dxa"/>
              <w:left w:w="57" w:type="dxa"/>
              <w:bottom w:w="0" w:type="dxa"/>
              <w:right w:w="57" w:type="dxa"/>
            </w:tcMar>
            <w:vAlign w:val="center"/>
          </w:tcPr>
          <w:p w:rsidR="00C7222A" w:rsidRPr="00D34BE8" w:rsidRDefault="00C7222A" w:rsidP="00D34BE8">
            <w:pPr>
              <w:spacing w:after="0" w:line="360" w:lineRule="auto"/>
              <w:jc w:val="both"/>
              <w:rPr>
                <w:rFonts w:ascii="Book Antiqua" w:eastAsia="宋体" w:hAnsi="Book Antiqua"/>
                <w:sz w:val="20"/>
                <w:szCs w:val="20"/>
              </w:rPr>
            </w:pPr>
            <w:r w:rsidRPr="00D34BE8">
              <w:rPr>
                <w:rFonts w:ascii="Book Antiqua" w:eastAsia="宋体" w:hAnsi="Book Antiqua"/>
                <w:sz w:val="20"/>
                <w:szCs w:val="20"/>
              </w:rPr>
              <w:t>0.71</w:t>
            </w:r>
          </w:p>
        </w:tc>
      </w:tr>
      <w:tr w:rsidR="00C7222A" w:rsidRPr="00D34BE8" w:rsidTr="00E02175">
        <w:trPr>
          <w:trHeight w:val="397"/>
          <w:jc w:val="center"/>
        </w:trPr>
        <w:tc>
          <w:tcPr>
            <w:tcW w:w="2335" w:type="pct"/>
            <w:tcBorders>
              <w:top w:val="nil"/>
              <w:left w:val="nil"/>
              <w:bottom w:val="nil"/>
              <w:right w:val="nil"/>
            </w:tcBorders>
            <w:tcMar>
              <w:top w:w="0" w:type="dxa"/>
              <w:left w:w="57" w:type="dxa"/>
              <w:bottom w:w="0" w:type="dxa"/>
              <w:right w:w="57" w:type="dxa"/>
            </w:tcMar>
            <w:vAlign w:val="center"/>
          </w:tcPr>
          <w:p w:rsidR="00C7222A" w:rsidRPr="00D34BE8" w:rsidRDefault="00C7222A" w:rsidP="00D34BE8">
            <w:pPr>
              <w:spacing w:after="0" w:line="360" w:lineRule="auto"/>
              <w:jc w:val="both"/>
              <w:textAlignment w:val="center"/>
              <w:rPr>
                <w:rFonts w:ascii="Book Antiqua" w:eastAsia="宋体" w:hAnsi="Book Antiqua"/>
                <w:sz w:val="20"/>
                <w:szCs w:val="20"/>
              </w:rPr>
            </w:pPr>
            <w:r w:rsidRPr="00D34BE8">
              <w:rPr>
                <w:rFonts w:ascii="Book Antiqua" w:eastAsia="宋体" w:hAnsi="Book Antiqua"/>
                <w:sz w:val="20"/>
                <w:szCs w:val="20"/>
              </w:rPr>
              <w:t>AST</w:t>
            </w:r>
            <w:r w:rsidR="00B5478B">
              <w:rPr>
                <w:rFonts w:ascii="Book Antiqua" w:eastAsia="宋体" w:hAnsi="Book Antiqua"/>
                <w:sz w:val="20"/>
                <w:szCs w:val="20"/>
              </w:rPr>
              <w:t xml:space="preserve">, </w:t>
            </w:r>
            <w:r w:rsidRPr="00D34BE8">
              <w:rPr>
                <w:rFonts w:ascii="Book Antiqua" w:eastAsia="宋体" w:hAnsi="Book Antiqua"/>
                <w:sz w:val="20"/>
                <w:szCs w:val="20"/>
              </w:rPr>
              <w:t>IU/L</w:t>
            </w:r>
          </w:p>
        </w:tc>
        <w:tc>
          <w:tcPr>
            <w:tcW w:w="1083" w:type="pct"/>
            <w:tcBorders>
              <w:top w:val="nil"/>
              <w:left w:val="nil"/>
              <w:bottom w:val="nil"/>
              <w:right w:val="nil"/>
            </w:tcBorders>
            <w:tcMar>
              <w:top w:w="0" w:type="dxa"/>
              <w:left w:w="57" w:type="dxa"/>
              <w:bottom w:w="0" w:type="dxa"/>
              <w:right w:w="57" w:type="dxa"/>
            </w:tcMar>
            <w:vAlign w:val="center"/>
          </w:tcPr>
          <w:p w:rsidR="00C7222A" w:rsidRPr="00D34BE8" w:rsidRDefault="00C7222A" w:rsidP="00D34BE8">
            <w:pPr>
              <w:spacing w:after="0" w:line="360" w:lineRule="auto"/>
              <w:jc w:val="both"/>
              <w:textAlignment w:val="center"/>
              <w:rPr>
                <w:rFonts w:ascii="Book Antiqua" w:eastAsia="宋体" w:hAnsi="Book Antiqua"/>
                <w:sz w:val="20"/>
                <w:szCs w:val="20"/>
              </w:rPr>
            </w:pPr>
            <w:r w:rsidRPr="00D34BE8">
              <w:rPr>
                <w:rFonts w:ascii="Book Antiqua" w:eastAsia="宋体" w:hAnsi="Book Antiqua"/>
                <w:sz w:val="20"/>
                <w:szCs w:val="20"/>
              </w:rPr>
              <w:t>36.38</w:t>
            </w:r>
            <w:r w:rsidR="00E02175" w:rsidRPr="00D34BE8">
              <w:rPr>
                <w:rFonts w:ascii="Book Antiqua" w:eastAsia="宋体" w:hAnsi="Book Antiqua"/>
                <w:sz w:val="20"/>
                <w:szCs w:val="20"/>
              </w:rPr>
              <w:t xml:space="preserve"> </w:t>
            </w:r>
            <w:r w:rsidRPr="00D34BE8">
              <w:rPr>
                <w:rFonts w:ascii="Book Antiqua" w:eastAsia="宋体" w:hAnsi="Book Antiqua"/>
                <w:sz w:val="20"/>
                <w:szCs w:val="20"/>
              </w:rPr>
              <w:t>(10-81)</w:t>
            </w:r>
          </w:p>
        </w:tc>
        <w:tc>
          <w:tcPr>
            <w:tcW w:w="1083" w:type="pct"/>
            <w:tcBorders>
              <w:top w:val="nil"/>
              <w:left w:val="nil"/>
              <w:bottom w:val="nil"/>
              <w:right w:val="nil"/>
            </w:tcBorders>
            <w:tcMar>
              <w:top w:w="0" w:type="dxa"/>
              <w:left w:w="57" w:type="dxa"/>
              <w:bottom w:w="0" w:type="dxa"/>
              <w:right w:w="57" w:type="dxa"/>
            </w:tcMar>
            <w:vAlign w:val="center"/>
          </w:tcPr>
          <w:p w:rsidR="00C7222A" w:rsidRPr="00D34BE8" w:rsidRDefault="00C7222A" w:rsidP="00D34BE8">
            <w:pPr>
              <w:spacing w:after="0" w:line="360" w:lineRule="auto"/>
              <w:jc w:val="both"/>
              <w:textAlignment w:val="center"/>
              <w:rPr>
                <w:rFonts w:ascii="Book Antiqua" w:eastAsia="宋体" w:hAnsi="Book Antiqua"/>
                <w:sz w:val="20"/>
                <w:szCs w:val="20"/>
              </w:rPr>
            </w:pPr>
            <w:r w:rsidRPr="00D34BE8">
              <w:rPr>
                <w:rFonts w:ascii="Book Antiqua" w:eastAsia="宋体" w:hAnsi="Book Antiqua"/>
                <w:sz w:val="20"/>
                <w:szCs w:val="20"/>
              </w:rPr>
              <w:t>61.26</w:t>
            </w:r>
            <w:r w:rsidR="00E02175" w:rsidRPr="00D34BE8">
              <w:rPr>
                <w:rFonts w:ascii="Book Antiqua" w:eastAsia="宋体" w:hAnsi="Book Antiqua"/>
                <w:sz w:val="20"/>
                <w:szCs w:val="20"/>
              </w:rPr>
              <w:t xml:space="preserve"> </w:t>
            </w:r>
            <w:r w:rsidRPr="00D34BE8">
              <w:rPr>
                <w:rFonts w:ascii="Book Antiqua" w:eastAsia="宋体" w:hAnsi="Book Antiqua"/>
                <w:sz w:val="20"/>
                <w:szCs w:val="20"/>
              </w:rPr>
              <w:t>(18-164)</w:t>
            </w:r>
          </w:p>
        </w:tc>
        <w:tc>
          <w:tcPr>
            <w:tcW w:w="499" w:type="pct"/>
            <w:tcBorders>
              <w:top w:val="nil"/>
              <w:left w:val="nil"/>
              <w:bottom w:val="nil"/>
              <w:right w:val="nil"/>
            </w:tcBorders>
            <w:tcMar>
              <w:top w:w="0" w:type="dxa"/>
              <w:left w:w="57" w:type="dxa"/>
              <w:bottom w:w="0" w:type="dxa"/>
              <w:right w:w="57" w:type="dxa"/>
            </w:tcMar>
            <w:vAlign w:val="center"/>
          </w:tcPr>
          <w:p w:rsidR="00C7222A" w:rsidRPr="00D34BE8" w:rsidRDefault="009A7541" w:rsidP="00D34BE8">
            <w:pPr>
              <w:spacing w:after="0" w:line="360" w:lineRule="auto"/>
              <w:jc w:val="both"/>
              <w:rPr>
                <w:rFonts w:ascii="Book Antiqua" w:eastAsia="宋体" w:hAnsi="Book Antiqua"/>
                <w:sz w:val="20"/>
                <w:szCs w:val="20"/>
              </w:rPr>
            </w:pPr>
            <w:r w:rsidRPr="00D34BE8">
              <w:rPr>
                <w:rFonts w:ascii="Book Antiqua" w:eastAsia="宋体" w:hAnsi="Book Antiqua"/>
                <w:sz w:val="20"/>
                <w:szCs w:val="20"/>
              </w:rPr>
              <w:t>&lt;</w:t>
            </w:r>
            <w:r w:rsidR="00E02175" w:rsidRPr="00D34BE8">
              <w:rPr>
                <w:rFonts w:ascii="Book Antiqua" w:eastAsia="宋体" w:hAnsi="Book Antiqua"/>
                <w:sz w:val="20"/>
                <w:szCs w:val="20"/>
              </w:rPr>
              <w:t xml:space="preserve"> </w:t>
            </w:r>
            <w:r w:rsidR="00C7222A" w:rsidRPr="00D34BE8">
              <w:rPr>
                <w:rFonts w:ascii="Book Antiqua" w:eastAsia="宋体" w:hAnsi="Book Antiqua"/>
                <w:sz w:val="20"/>
                <w:szCs w:val="20"/>
              </w:rPr>
              <w:t>0.01</w:t>
            </w:r>
          </w:p>
        </w:tc>
      </w:tr>
      <w:tr w:rsidR="00C7222A" w:rsidRPr="00D34BE8" w:rsidTr="00E02175">
        <w:trPr>
          <w:trHeight w:val="397"/>
          <w:jc w:val="center"/>
        </w:trPr>
        <w:tc>
          <w:tcPr>
            <w:tcW w:w="2335" w:type="pct"/>
            <w:tcBorders>
              <w:top w:val="nil"/>
              <w:left w:val="nil"/>
              <w:bottom w:val="single" w:sz="4" w:space="0" w:color="auto"/>
              <w:right w:val="nil"/>
            </w:tcBorders>
            <w:tcMar>
              <w:top w:w="0" w:type="dxa"/>
              <w:left w:w="57" w:type="dxa"/>
              <w:bottom w:w="0" w:type="dxa"/>
              <w:right w:w="57" w:type="dxa"/>
            </w:tcMar>
            <w:vAlign w:val="center"/>
          </w:tcPr>
          <w:p w:rsidR="00C7222A" w:rsidRPr="00D34BE8" w:rsidRDefault="00C7222A" w:rsidP="00D34BE8">
            <w:pPr>
              <w:spacing w:after="0" w:line="360" w:lineRule="auto"/>
              <w:jc w:val="both"/>
              <w:textAlignment w:val="center"/>
              <w:rPr>
                <w:rFonts w:ascii="Book Antiqua" w:eastAsia="宋体" w:hAnsi="Book Antiqua"/>
                <w:sz w:val="20"/>
                <w:szCs w:val="20"/>
              </w:rPr>
            </w:pPr>
            <w:r w:rsidRPr="00D34BE8">
              <w:rPr>
                <w:rFonts w:ascii="Book Antiqua" w:eastAsia="宋体" w:hAnsi="Book Antiqua"/>
                <w:sz w:val="20"/>
                <w:szCs w:val="20"/>
              </w:rPr>
              <w:t xml:space="preserve">TT </w:t>
            </w:r>
            <w:r w:rsidR="00B5478B">
              <w:rPr>
                <w:rFonts w:ascii="Book Antiqua" w:eastAsia="宋体" w:hAnsi="Book Antiqua"/>
                <w:sz w:val="20"/>
                <w:szCs w:val="20"/>
              </w:rPr>
              <w:t xml:space="preserve">in </w:t>
            </w:r>
            <w:r w:rsidRPr="00D34BE8">
              <w:rPr>
                <w:rFonts w:ascii="Book Antiqua" w:eastAsia="宋体" w:hAnsi="Book Antiqua"/>
                <w:sz w:val="20"/>
                <w:szCs w:val="20"/>
              </w:rPr>
              <w:t>s</w:t>
            </w:r>
          </w:p>
        </w:tc>
        <w:tc>
          <w:tcPr>
            <w:tcW w:w="1083" w:type="pct"/>
            <w:tcBorders>
              <w:top w:val="nil"/>
              <w:left w:val="nil"/>
              <w:bottom w:val="single" w:sz="4" w:space="0" w:color="auto"/>
              <w:right w:val="nil"/>
            </w:tcBorders>
            <w:tcMar>
              <w:top w:w="0" w:type="dxa"/>
              <w:left w:w="57" w:type="dxa"/>
              <w:bottom w:w="0" w:type="dxa"/>
              <w:right w:w="57" w:type="dxa"/>
            </w:tcMar>
            <w:vAlign w:val="center"/>
          </w:tcPr>
          <w:p w:rsidR="00C7222A" w:rsidRPr="00D34BE8" w:rsidRDefault="00C7222A" w:rsidP="00D34BE8">
            <w:pPr>
              <w:spacing w:after="0" w:line="360" w:lineRule="auto"/>
              <w:jc w:val="both"/>
              <w:textAlignment w:val="center"/>
              <w:rPr>
                <w:rFonts w:ascii="Book Antiqua" w:eastAsia="宋体" w:hAnsi="Book Antiqua"/>
                <w:sz w:val="20"/>
                <w:szCs w:val="20"/>
              </w:rPr>
            </w:pPr>
            <w:r w:rsidRPr="00D34BE8">
              <w:rPr>
                <w:rFonts w:ascii="Book Antiqua" w:eastAsia="宋体" w:hAnsi="Book Antiqua"/>
                <w:sz w:val="20"/>
                <w:szCs w:val="20"/>
              </w:rPr>
              <w:t>20.44</w:t>
            </w:r>
            <w:r w:rsidR="00E02175" w:rsidRPr="00D34BE8">
              <w:rPr>
                <w:rFonts w:ascii="Book Antiqua" w:eastAsia="宋体" w:hAnsi="Book Antiqua"/>
                <w:sz w:val="20"/>
                <w:szCs w:val="20"/>
              </w:rPr>
              <w:t xml:space="preserve"> </w:t>
            </w:r>
            <w:r w:rsidRPr="00D34BE8">
              <w:rPr>
                <w:rFonts w:ascii="Book Antiqua" w:eastAsia="宋体" w:hAnsi="Book Antiqua"/>
                <w:sz w:val="20"/>
                <w:szCs w:val="20"/>
              </w:rPr>
              <w:t>(17.2-27.9)</w:t>
            </w:r>
          </w:p>
        </w:tc>
        <w:tc>
          <w:tcPr>
            <w:tcW w:w="1083" w:type="pct"/>
            <w:tcBorders>
              <w:top w:val="nil"/>
              <w:left w:val="nil"/>
              <w:bottom w:val="single" w:sz="4" w:space="0" w:color="auto"/>
              <w:right w:val="nil"/>
            </w:tcBorders>
            <w:tcMar>
              <w:top w:w="0" w:type="dxa"/>
              <w:left w:w="57" w:type="dxa"/>
              <w:bottom w:w="0" w:type="dxa"/>
              <w:right w:w="57" w:type="dxa"/>
            </w:tcMar>
            <w:vAlign w:val="center"/>
          </w:tcPr>
          <w:p w:rsidR="00C7222A" w:rsidRPr="00D34BE8" w:rsidRDefault="00C7222A" w:rsidP="00D34BE8">
            <w:pPr>
              <w:spacing w:after="0" w:line="360" w:lineRule="auto"/>
              <w:jc w:val="both"/>
              <w:textAlignment w:val="center"/>
              <w:rPr>
                <w:rFonts w:ascii="Book Antiqua" w:eastAsia="宋体" w:hAnsi="Book Antiqua"/>
                <w:sz w:val="20"/>
                <w:szCs w:val="20"/>
              </w:rPr>
            </w:pPr>
            <w:r w:rsidRPr="00D34BE8">
              <w:rPr>
                <w:rFonts w:ascii="Book Antiqua" w:eastAsia="宋体" w:hAnsi="Book Antiqua"/>
                <w:sz w:val="20"/>
                <w:szCs w:val="20"/>
              </w:rPr>
              <w:t>20.28</w:t>
            </w:r>
            <w:r w:rsidR="00E02175" w:rsidRPr="00D34BE8">
              <w:rPr>
                <w:rFonts w:ascii="Book Antiqua" w:eastAsia="宋体" w:hAnsi="Book Antiqua"/>
                <w:sz w:val="20"/>
                <w:szCs w:val="20"/>
              </w:rPr>
              <w:t xml:space="preserve"> </w:t>
            </w:r>
            <w:r w:rsidRPr="00D34BE8">
              <w:rPr>
                <w:rFonts w:ascii="Book Antiqua" w:eastAsia="宋体" w:hAnsi="Book Antiqua"/>
                <w:sz w:val="20"/>
                <w:szCs w:val="20"/>
              </w:rPr>
              <w:t>(16.9-23.1)</w:t>
            </w:r>
          </w:p>
        </w:tc>
        <w:tc>
          <w:tcPr>
            <w:tcW w:w="499" w:type="pct"/>
            <w:tcBorders>
              <w:top w:val="nil"/>
              <w:left w:val="nil"/>
              <w:bottom w:val="single" w:sz="4" w:space="0" w:color="auto"/>
              <w:right w:val="nil"/>
            </w:tcBorders>
            <w:tcMar>
              <w:top w:w="0" w:type="dxa"/>
              <w:left w:w="57" w:type="dxa"/>
              <w:bottom w:w="0" w:type="dxa"/>
              <w:right w:w="57" w:type="dxa"/>
            </w:tcMar>
            <w:vAlign w:val="center"/>
          </w:tcPr>
          <w:p w:rsidR="00C7222A" w:rsidRPr="00D34BE8" w:rsidRDefault="00C7222A" w:rsidP="00D34BE8">
            <w:pPr>
              <w:spacing w:after="0" w:line="360" w:lineRule="auto"/>
              <w:jc w:val="both"/>
              <w:rPr>
                <w:rFonts w:ascii="Book Antiqua" w:eastAsia="宋体" w:hAnsi="Book Antiqua"/>
                <w:sz w:val="20"/>
                <w:szCs w:val="20"/>
              </w:rPr>
            </w:pPr>
            <w:r w:rsidRPr="00D34BE8">
              <w:rPr>
                <w:rFonts w:ascii="Book Antiqua" w:eastAsia="宋体" w:hAnsi="Book Antiqua"/>
                <w:sz w:val="20"/>
                <w:szCs w:val="20"/>
              </w:rPr>
              <w:t>0.93</w:t>
            </w:r>
          </w:p>
        </w:tc>
      </w:tr>
    </w:tbl>
    <w:p w:rsidR="00C7222A" w:rsidRPr="00D34BE8" w:rsidRDefault="00E02175" w:rsidP="00D34BE8">
      <w:pPr>
        <w:spacing w:after="0" w:line="360" w:lineRule="auto"/>
        <w:jc w:val="both"/>
        <w:rPr>
          <w:rFonts w:ascii="Book Antiqua" w:hAnsi="Book Antiqua"/>
          <w:sz w:val="20"/>
          <w:szCs w:val="20"/>
        </w:rPr>
      </w:pPr>
      <w:r w:rsidRPr="00D34BE8">
        <w:rPr>
          <w:rFonts w:ascii="Book Antiqua" w:hAnsi="Book Antiqua"/>
          <w:i/>
          <w:iCs/>
          <w:sz w:val="20"/>
          <w:szCs w:val="20"/>
        </w:rPr>
        <w:t>P</w:t>
      </w:r>
      <w:r w:rsidRPr="00D34BE8">
        <w:rPr>
          <w:rFonts w:ascii="Book Antiqua" w:hAnsi="Book Antiqua"/>
          <w:sz w:val="20"/>
          <w:szCs w:val="20"/>
        </w:rPr>
        <w:t xml:space="preserve"> &lt; 0.05 is considered statistically significant. </w:t>
      </w:r>
      <w:r w:rsidRPr="00D34BE8">
        <w:rPr>
          <w:rFonts w:ascii="Book Antiqua" w:eastAsia="宋体" w:hAnsi="Book Antiqua"/>
          <w:bCs/>
          <w:sz w:val="20"/>
          <w:szCs w:val="20"/>
          <w:lang w:eastAsia="en-US"/>
        </w:rPr>
        <w:t xml:space="preserve">HEVs: High-risk esophageal varices; LEVs: Low-risk esophageal varices; </w:t>
      </w:r>
      <w:r w:rsidR="00C7222A" w:rsidRPr="00D34BE8">
        <w:rPr>
          <w:rFonts w:ascii="Book Antiqua" w:hAnsi="Book Antiqua"/>
          <w:sz w:val="20"/>
          <w:szCs w:val="20"/>
        </w:rPr>
        <w:t xml:space="preserve">PVSA: </w:t>
      </w:r>
      <w:r w:rsidR="00CE5296" w:rsidRPr="00D34BE8">
        <w:rPr>
          <w:rFonts w:ascii="Book Antiqua" w:hAnsi="Book Antiqua"/>
          <w:sz w:val="20"/>
          <w:szCs w:val="20"/>
        </w:rPr>
        <w:t xml:space="preserve">Portal </w:t>
      </w:r>
      <w:r w:rsidR="00C7222A" w:rsidRPr="00D34BE8">
        <w:rPr>
          <w:rFonts w:ascii="Book Antiqua" w:hAnsi="Book Antiqua"/>
          <w:sz w:val="20"/>
          <w:szCs w:val="20"/>
        </w:rPr>
        <w:t xml:space="preserve">vein surface area; PVD: </w:t>
      </w:r>
      <w:r w:rsidR="00CE5296" w:rsidRPr="00D34BE8">
        <w:rPr>
          <w:rFonts w:ascii="Book Antiqua" w:hAnsi="Book Antiqua"/>
          <w:sz w:val="20"/>
          <w:szCs w:val="20"/>
        </w:rPr>
        <w:t xml:space="preserve">Portal </w:t>
      </w:r>
      <w:r w:rsidR="00C7222A" w:rsidRPr="00D34BE8">
        <w:rPr>
          <w:rFonts w:ascii="Book Antiqua" w:hAnsi="Book Antiqua"/>
          <w:sz w:val="20"/>
          <w:szCs w:val="20"/>
        </w:rPr>
        <w:t xml:space="preserve">vein diameter; SVD: </w:t>
      </w:r>
      <w:r w:rsidR="00CE5296" w:rsidRPr="00D34BE8">
        <w:rPr>
          <w:rFonts w:ascii="Book Antiqua" w:hAnsi="Book Antiqua"/>
          <w:sz w:val="20"/>
          <w:szCs w:val="20"/>
        </w:rPr>
        <w:t xml:space="preserve">Splenic </w:t>
      </w:r>
      <w:r w:rsidR="00C7222A" w:rsidRPr="00D34BE8">
        <w:rPr>
          <w:rFonts w:ascii="Book Antiqua" w:hAnsi="Book Antiqua"/>
          <w:sz w:val="20"/>
          <w:szCs w:val="20"/>
        </w:rPr>
        <w:t xml:space="preserve">vein diameter; ALT: </w:t>
      </w:r>
      <w:r w:rsidR="00CE5296" w:rsidRPr="00D34BE8">
        <w:rPr>
          <w:rFonts w:ascii="Book Antiqua" w:hAnsi="Book Antiqua"/>
          <w:sz w:val="20"/>
          <w:szCs w:val="20"/>
        </w:rPr>
        <w:t xml:space="preserve">Alanine </w:t>
      </w:r>
      <w:r w:rsidR="00C7222A" w:rsidRPr="00D34BE8">
        <w:rPr>
          <w:rFonts w:ascii="Book Antiqua" w:hAnsi="Book Antiqua"/>
          <w:sz w:val="20"/>
          <w:szCs w:val="20"/>
        </w:rPr>
        <w:t xml:space="preserve">aminotransferase; AST: </w:t>
      </w:r>
      <w:r w:rsidR="00CE5296" w:rsidRPr="00D34BE8">
        <w:rPr>
          <w:rFonts w:ascii="Book Antiqua" w:hAnsi="Book Antiqua"/>
          <w:sz w:val="20"/>
          <w:szCs w:val="20"/>
        </w:rPr>
        <w:t xml:space="preserve">Aspartate </w:t>
      </w:r>
      <w:r w:rsidR="00C7222A" w:rsidRPr="00D34BE8">
        <w:rPr>
          <w:rFonts w:ascii="Book Antiqua" w:hAnsi="Book Antiqua"/>
          <w:sz w:val="20"/>
          <w:szCs w:val="20"/>
        </w:rPr>
        <w:t xml:space="preserve">aminotransferase; PT: </w:t>
      </w:r>
      <w:r w:rsidR="00CE5296" w:rsidRPr="00D34BE8">
        <w:rPr>
          <w:rFonts w:ascii="Book Antiqua" w:hAnsi="Book Antiqua"/>
          <w:sz w:val="20"/>
          <w:szCs w:val="20"/>
        </w:rPr>
        <w:t xml:space="preserve">Prothrombin </w:t>
      </w:r>
      <w:r w:rsidR="00C7222A" w:rsidRPr="00D34BE8">
        <w:rPr>
          <w:rFonts w:ascii="Book Antiqua" w:hAnsi="Book Antiqua"/>
          <w:sz w:val="20"/>
          <w:szCs w:val="20"/>
        </w:rPr>
        <w:t xml:space="preserve">time; TT: </w:t>
      </w:r>
      <w:r w:rsidR="00CE5296" w:rsidRPr="00D34BE8">
        <w:rPr>
          <w:rFonts w:ascii="Book Antiqua" w:hAnsi="Book Antiqua"/>
          <w:sz w:val="20"/>
          <w:szCs w:val="20"/>
        </w:rPr>
        <w:t xml:space="preserve">Thrombin </w:t>
      </w:r>
      <w:r w:rsidR="00C7222A" w:rsidRPr="00D34BE8">
        <w:rPr>
          <w:rFonts w:ascii="Book Antiqua" w:hAnsi="Book Antiqua"/>
          <w:sz w:val="20"/>
          <w:szCs w:val="20"/>
        </w:rPr>
        <w:t>time.</w:t>
      </w:r>
    </w:p>
    <w:p w:rsidR="00C7222A" w:rsidRPr="00D34BE8" w:rsidRDefault="00C7222A" w:rsidP="00D34BE8">
      <w:pPr>
        <w:spacing w:after="0" w:line="360" w:lineRule="auto"/>
        <w:jc w:val="both"/>
        <w:rPr>
          <w:rFonts w:ascii="Book Antiqua" w:hAnsi="Book Antiqua"/>
          <w:sz w:val="20"/>
          <w:szCs w:val="20"/>
        </w:rPr>
      </w:pPr>
    </w:p>
    <w:p w:rsidR="00C7222A" w:rsidRPr="00D34BE8" w:rsidRDefault="00C7222A" w:rsidP="00D34BE8">
      <w:pPr>
        <w:spacing w:after="0" w:line="360" w:lineRule="auto"/>
        <w:jc w:val="both"/>
        <w:rPr>
          <w:rFonts w:ascii="Book Antiqua" w:hAnsi="Book Antiqua"/>
          <w:sz w:val="20"/>
          <w:szCs w:val="20"/>
        </w:rPr>
      </w:pPr>
    </w:p>
    <w:p w:rsidR="00C7222A" w:rsidRPr="00D34BE8" w:rsidRDefault="00C7222A" w:rsidP="00D34BE8">
      <w:pPr>
        <w:spacing w:after="0" w:line="360" w:lineRule="auto"/>
        <w:jc w:val="both"/>
        <w:rPr>
          <w:rFonts w:ascii="Book Antiqua" w:hAnsi="Book Antiqua"/>
          <w:sz w:val="20"/>
          <w:szCs w:val="20"/>
        </w:rPr>
      </w:pPr>
    </w:p>
    <w:p w:rsidR="00C95D06" w:rsidRPr="00D34BE8" w:rsidRDefault="00C95D06" w:rsidP="00D34BE8">
      <w:pPr>
        <w:spacing w:after="0" w:line="360" w:lineRule="auto"/>
        <w:jc w:val="both"/>
        <w:rPr>
          <w:rFonts w:ascii="Book Antiqua" w:hAnsi="Book Antiqua"/>
          <w:b/>
          <w:bCs/>
          <w:sz w:val="20"/>
          <w:szCs w:val="20"/>
        </w:rPr>
      </w:pPr>
    </w:p>
    <w:p w:rsidR="00C7222A" w:rsidRPr="00D34BE8" w:rsidRDefault="00B5478B" w:rsidP="00D34BE8">
      <w:pPr>
        <w:spacing w:after="0" w:line="360" w:lineRule="auto"/>
        <w:jc w:val="both"/>
        <w:rPr>
          <w:rFonts w:ascii="Book Antiqua" w:hAnsi="Book Antiqua"/>
          <w:b/>
          <w:bCs/>
          <w:sz w:val="20"/>
          <w:szCs w:val="20"/>
        </w:rPr>
      </w:pPr>
      <w:r>
        <w:rPr>
          <w:rFonts w:ascii="Book Antiqua" w:hAnsi="Book Antiqua"/>
          <w:b/>
          <w:bCs/>
          <w:sz w:val="20"/>
          <w:szCs w:val="20"/>
        </w:rPr>
        <w:br w:type="page"/>
      </w:r>
      <w:r w:rsidR="00C95D06" w:rsidRPr="00D34BE8">
        <w:rPr>
          <w:rFonts w:ascii="Book Antiqua" w:hAnsi="Book Antiqua"/>
          <w:b/>
          <w:bCs/>
          <w:sz w:val="20"/>
          <w:szCs w:val="20"/>
        </w:rPr>
        <w:t>Table 5 Parameters used to establish the non-invasive prediction model</w:t>
      </w:r>
    </w:p>
    <w:tbl>
      <w:tblPr>
        <w:tblW w:w="0" w:type="auto"/>
        <w:tblInd w:w="0" w:type="dxa"/>
        <w:tblBorders>
          <w:top w:val="single" w:sz="4" w:space="0" w:color="auto"/>
          <w:bottom w:val="single" w:sz="4" w:space="0" w:color="auto"/>
        </w:tblBorders>
        <w:tblCellMar>
          <w:left w:w="30" w:type="dxa"/>
          <w:right w:w="30" w:type="dxa"/>
        </w:tblCellMar>
        <w:tblLook w:val="0000" w:firstRow="0" w:lastRow="0" w:firstColumn="0" w:lastColumn="0" w:noHBand="0" w:noVBand="0"/>
      </w:tblPr>
      <w:tblGrid>
        <w:gridCol w:w="2940"/>
        <w:gridCol w:w="577"/>
        <w:gridCol w:w="510"/>
        <w:gridCol w:w="610"/>
        <w:gridCol w:w="260"/>
        <w:gridCol w:w="510"/>
        <w:gridCol w:w="810"/>
        <w:gridCol w:w="1842"/>
      </w:tblGrid>
      <w:tr w:rsidR="00C95D06" w:rsidRPr="00D34BE8" w:rsidTr="00C95D06">
        <w:trPr>
          <w:cantSplit/>
          <w:trHeight w:val="378"/>
          <w:tblHeader/>
        </w:trPr>
        <w:tc>
          <w:tcPr>
            <w:tcW w:w="0" w:type="auto"/>
            <w:tcBorders>
              <w:top w:val="single" w:sz="4" w:space="0" w:color="auto"/>
            </w:tcBorders>
            <w:shd w:val="clear" w:color="auto" w:fill="FFFFFF"/>
            <w:tcMar>
              <w:top w:w="30" w:type="dxa"/>
              <w:left w:w="30" w:type="dxa"/>
              <w:bottom w:w="30" w:type="dxa"/>
              <w:right w:w="30" w:type="dxa"/>
            </w:tcMar>
          </w:tcPr>
          <w:p w:rsidR="00C95D06" w:rsidRPr="00D34BE8" w:rsidRDefault="00C95D06" w:rsidP="00D34BE8">
            <w:pPr>
              <w:spacing w:after="0" w:line="360" w:lineRule="auto"/>
              <w:jc w:val="both"/>
              <w:rPr>
                <w:rFonts w:ascii="Book Antiqua" w:hAnsi="Book Antiqua"/>
                <w:b/>
                <w:sz w:val="20"/>
                <w:szCs w:val="20"/>
              </w:rPr>
            </w:pPr>
            <w:r w:rsidRPr="00D34BE8">
              <w:rPr>
                <w:rFonts w:ascii="Book Antiqua" w:eastAsia="宋体" w:hAnsi="Book Antiqua"/>
                <w:b/>
                <w:sz w:val="20"/>
                <w:szCs w:val="20"/>
              </w:rPr>
              <w:t>Parameter</w:t>
            </w:r>
          </w:p>
        </w:tc>
        <w:tc>
          <w:tcPr>
            <w:tcW w:w="0" w:type="auto"/>
            <w:tcBorders>
              <w:top w:val="single" w:sz="4" w:space="0" w:color="auto"/>
              <w:bottom w:val="single" w:sz="4" w:space="0" w:color="auto"/>
            </w:tcBorders>
            <w:shd w:val="clear" w:color="auto" w:fill="FFFFFF"/>
            <w:tcMar>
              <w:top w:w="30" w:type="dxa"/>
              <w:left w:w="30" w:type="dxa"/>
              <w:bottom w:w="30" w:type="dxa"/>
              <w:right w:w="30" w:type="dxa"/>
            </w:tcMar>
          </w:tcPr>
          <w:p w:rsidR="00C95D06" w:rsidRPr="00D34BE8" w:rsidRDefault="00C95D06" w:rsidP="00D34BE8">
            <w:pPr>
              <w:spacing w:after="0" w:line="360" w:lineRule="auto"/>
              <w:jc w:val="both"/>
              <w:rPr>
                <w:rFonts w:ascii="Book Antiqua" w:hAnsi="Book Antiqua"/>
                <w:b/>
                <w:sz w:val="20"/>
                <w:szCs w:val="20"/>
              </w:rPr>
            </w:pPr>
            <w:r w:rsidRPr="00D34BE8">
              <w:rPr>
                <w:rFonts w:ascii="Book Antiqua" w:hAnsi="Book Antiqua"/>
                <w:b/>
                <w:sz w:val="20"/>
                <w:szCs w:val="20"/>
              </w:rPr>
              <w:t>B</w:t>
            </w:r>
          </w:p>
        </w:tc>
        <w:tc>
          <w:tcPr>
            <w:tcW w:w="0" w:type="auto"/>
            <w:tcBorders>
              <w:top w:val="single" w:sz="4" w:space="0" w:color="auto"/>
              <w:bottom w:val="single" w:sz="4" w:space="0" w:color="auto"/>
            </w:tcBorders>
            <w:shd w:val="clear" w:color="auto" w:fill="FFFFFF"/>
            <w:tcMar>
              <w:top w:w="30" w:type="dxa"/>
              <w:left w:w="30" w:type="dxa"/>
              <w:bottom w:w="30" w:type="dxa"/>
              <w:right w:w="30" w:type="dxa"/>
            </w:tcMar>
          </w:tcPr>
          <w:p w:rsidR="00C95D06" w:rsidRPr="00D34BE8" w:rsidRDefault="00C95D06" w:rsidP="00D34BE8">
            <w:pPr>
              <w:spacing w:after="0" w:line="360" w:lineRule="auto"/>
              <w:jc w:val="both"/>
              <w:rPr>
                <w:rFonts w:ascii="Book Antiqua" w:hAnsi="Book Antiqua"/>
                <w:b/>
                <w:sz w:val="20"/>
                <w:szCs w:val="20"/>
              </w:rPr>
            </w:pPr>
            <w:r w:rsidRPr="00D34BE8">
              <w:rPr>
                <w:rFonts w:ascii="Book Antiqua" w:hAnsi="Book Antiqua"/>
                <w:b/>
                <w:sz w:val="20"/>
                <w:szCs w:val="20"/>
              </w:rPr>
              <w:t>SE</w:t>
            </w:r>
          </w:p>
        </w:tc>
        <w:tc>
          <w:tcPr>
            <w:tcW w:w="0" w:type="auto"/>
            <w:tcBorders>
              <w:top w:val="single" w:sz="4" w:space="0" w:color="auto"/>
              <w:bottom w:val="single" w:sz="4" w:space="0" w:color="auto"/>
            </w:tcBorders>
            <w:shd w:val="clear" w:color="auto" w:fill="FFFFFF"/>
            <w:tcMar>
              <w:top w:w="30" w:type="dxa"/>
              <w:left w:w="30" w:type="dxa"/>
              <w:bottom w:w="30" w:type="dxa"/>
              <w:right w:w="30" w:type="dxa"/>
            </w:tcMar>
          </w:tcPr>
          <w:p w:rsidR="00C95D06" w:rsidRPr="00D34BE8" w:rsidRDefault="00C95D06" w:rsidP="00D34BE8">
            <w:pPr>
              <w:spacing w:after="0" w:line="360" w:lineRule="auto"/>
              <w:jc w:val="both"/>
              <w:rPr>
                <w:rFonts w:ascii="Book Antiqua" w:hAnsi="Book Antiqua"/>
                <w:b/>
                <w:sz w:val="20"/>
                <w:szCs w:val="20"/>
              </w:rPr>
            </w:pPr>
            <w:r w:rsidRPr="00D34BE8">
              <w:rPr>
                <w:rFonts w:ascii="Book Antiqua" w:hAnsi="Book Antiqua"/>
                <w:b/>
                <w:sz w:val="20"/>
                <w:szCs w:val="20"/>
              </w:rPr>
              <w:t>Wals</w:t>
            </w:r>
          </w:p>
        </w:tc>
        <w:tc>
          <w:tcPr>
            <w:tcW w:w="0" w:type="auto"/>
            <w:tcBorders>
              <w:top w:val="single" w:sz="4" w:space="0" w:color="auto"/>
              <w:bottom w:val="single" w:sz="4" w:space="0" w:color="auto"/>
            </w:tcBorders>
            <w:shd w:val="clear" w:color="auto" w:fill="FFFFFF"/>
            <w:tcMar>
              <w:top w:w="30" w:type="dxa"/>
              <w:left w:w="30" w:type="dxa"/>
              <w:bottom w:w="30" w:type="dxa"/>
              <w:right w:w="30" w:type="dxa"/>
            </w:tcMar>
          </w:tcPr>
          <w:p w:rsidR="00C95D06" w:rsidRPr="00D34BE8" w:rsidRDefault="00C95D06" w:rsidP="00D34BE8">
            <w:pPr>
              <w:spacing w:after="0" w:line="360" w:lineRule="auto"/>
              <w:jc w:val="both"/>
              <w:rPr>
                <w:rFonts w:ascii="Book Antiqua" w:hAnsi="Book Antiqua"/>
                <w:b/>
                <w:sz w:val="20"/>
                <w:szCs w:val="20"/>
              </w:rPr>
            </w:pPr>
            <w:r w:rsidRPr="00D34BE8">
              <w:rPr>
                <w:rFonts w:ascii="Book Antiqua" w:hAnsi="Book Antiqua"/>
                <w:b/>
                <w:sz w:val="20"/>
                <w:szCs w:val="20"/>
              </w:rPr>
              <w:t>df</w:t>
            </w:r>
          </w:p>
        </w:tc>
        <w:tc>
          <w:tcPr>
            <w:tcW w:w="0" w:type="auto"/>
            <w:tcBorders>
              <w:top w:val="single" w:sz="4" w:space="0" w:color="auto"/>
              <w:bottom w:val="single" w:sz="4" w:space="0" w:color="auto"/>
            </w:tcBorders>
            <w:shd w:val="clear" w:color="auto" w:fill="FFFFFF"/>
            <w:tcMar>
              <w:top w:w="30" w:type="dxa"/>
              <w:left w:w="30" w:type="dxa"/>
              <w:bottom w:w="30" w:type="dxa"/>
              <w:right w:w="30" w:type="dxa"/>
            </w:tcMar>
          </w:tcPr>
          <w:p w:rsidR="00C95D06" w:rsidRPr="00D34BE8" w:rsidRDefault="00C95D06" w:rsidP="00D34BE8">
            <w:pPr>
              <w:spacing w:after="0" w:line="360" w:lineRule="auto"/>
              <w:jc w:val="both"/>
              <w:rPr>
                <w:rFonts w:ascii="Book Antiqua" w:hAnsi="Book Antiqua"/>
                <w:b/>
                <w:sz w:val="20"/>
                <w:szCs w:val="20"/>
              </w:rPr>
            </w:pPr>
            <w:r w:rsidRPr="00D34BE8">
              <w:rPr>
                <w:rFonts w:ascii="Book Antiqua" w:hAnsi="Book Antiqua"/>
                <w:b/>
                <w:sz w:val="20"/>
                <w:szCs w:val="20"/>
              </w:rPr>
              <w:t>Sig</w:t>
            </w:r>
          </w:p>
        </w:tc>
        <w:tc>
          <w:tcPr>
            <w:tcW w:w="0" w:type="auto"/>
            <w:tcBorders>
              <w:top w:val="single" w:sz="4" w:space="0" w:color="auto"/>
              <w:bottom w:val="single" w:sz="4" w:space="0" w:color="auto"/>
            </w:tcBorders>
            <w:shd w:val="clear" w:color="auto" w:fill="FFFFFF"/>
            <w:tcMar>
              <w:top w:w="30" w:type="dxa"/>
              <w:left w:w="30" w:type="dxa"/>
              <w:bottom w:w="30" w:type="dxa"/>
              <w:right w:w="30" w:type="dxa"/>
            </w:tcMar>
          </w:tcPr>
          <w:p w:rsidR="00C95D06" w:rsidRPr="00D34BE8" w:rsidRDefault="00C95D06" w:rsidP="00D34BE8">
            <w:pPr>
              <w:spacing w:after="0" w:line="360" w:lineRule="auto"/>
              <w:jc w:val="both"/>
              <w:rPr>
                <w:rFonts w:ascii="Book Antiqua" w:hAnsi="Book Antiqua"/>
                <w:b/>
                <w:sz w:val="20"/>
                <w:szCs w:val="20"/>
              </w:rPr>
            </w:pPr>
            <w:r w:rsidRPr="00D34BE8">
              <w:rPr>
                <w:rFonts w:ascii="Book Antiqua" w:hAnsi="Book Antiqua"/>
                <w:b/>
                <w:sz w:val="20"/>
                <w:szCs w:val="20"/>
              </w:rPr>
              <w:t>Exp (B)</w:t>
            </w:r>
          </w:p>
        </w:tc>
        <w:tc>
          <w:tcPr>
            <w:tcW w:w="0" w:type="auto"/>
            <w:tcBorders>
              <w:top w:val="single" w:sz="4" w:space="0" w:color="auto"/>
            </w:tcBorders>
            <w:shd w:val="clear" w:color="auto" w:fill="FFFFFF"/>
            <w:tcMar>
              <w:top w:w="30" w:type="dxa"/>
              <w:left w:w="30" w:type="dxa"/>
              <w:bottom w:w="30" w:type="dxa"/>
              <w:right w:w="30" w:type="dxa"/>
            </w:tcMar>
          </w:tcPr>
          <w:p w:rsidR="00C95D06" w:rsidRPr="00D34BE8" w:rsidRDefault="00C95D06" w:rsidP="00D34BE8">
            <w:pPr>
              <w:spacing w:after="0" w:line="360" w:lineRule="auto"/>
              <w:jc w:val="both"/>
              <w:rPr>
                <w:rFonts w:ascii="Book Antiqua" w:hAnsi="Book Antiqua"/>
                <w:b/>
                <w:sz w:val="20"/>
                <w:szCs w:val="20"/>
              </w:rPr>
            </w:pPr>
            <w:r w:rsidRPr="00D34BE8">
              <w:rPr>
                <w:rFonts w:ascii="Book Antiqua" w:hAnsi="Book Antiqua"/>
                <w:b/>
                <w:sz w:val="20"/>
                <w:szCs w:val="20"/>
              </w:rPr>
              <w:t xml:space="preserve">95%CI of </w:t>
            </w:r>
            <w:r w:rsidR="00572411" w:rsidRPr="00D34BE8">
              <w:rPr>
                <w:rFonts w:ascii="Book Antiqua" w:hAnsi="Book Antiqua"/>
                <w:b/>
                <w:sz w:val="20"/>
                <w:szCs w:val="20"/>
              </w:rPr>
              <w:t>exp</w:t>
            </w:r>
            <w:r w:rsidR="002F081B" w:rsidRPr="00D34BE8">
              <w:rPr>
                <w:rFonts w:ascii="Book Antiqua" w:hAnsi="Book Antiqua"/>
                <w:b/>
                <w:sz w:val="20"/>
                <w:szCs w:val="20"/>
              </w:rPr>
              <w:t xml:space="preserve"> </w:t>
            </w:r>
            <w:r w:rsidRPr="00D34BE8">
              <w:rPr>
                <w:rFonts w:ascii="Book Antiqua" w:hAnsi="Book Antiqua"/>
                <w:b/>
                <w:sz w:val="20"/>
                <w:szCs w:val="20"/>
              </w:rPr>
              <w:t>(B)</w:t>
            </w:r>
          </w:p>
        </w:tc>
      </w:tr>
      <w:tr w:rsidR="00572411" w:rsidRPr="00D34BE8" w:rsidTr="00287045">
        <w:trPr>
          <w:cantSplit/>
          <w:trHeight w:val="325"/>
          <w:tblHeader/>
        </w:trPr>
        <w:tc>
          <w:tcPr>
            <w:tcW w:w="0" w:type="auto"/>
            <w:tcBorders>
              <w:top w:val="single" w:sz="4" w:space="0" w:color="auto"/>
              <w:bottom w:val="nil"/>
            </w:tcBorders>
            <w:shd w:val="clear" w:color="auto" w:fill="FFFFFF"/>
            <w:tcMar>
              <w:top w:w="30" w:type="dxa"/>
              <w:left w:w="30" w:type="dxa"/>
              <w:bottom w:w="30" w:type="dxa"/>
              <w:right w:w="30" w:type="dxa"/>
            </w:tcMar>
          </w:tcPr>
          <w:p w:rsidR="00572411" w:rsidRPr="00D34BE8" w:rsidRDefault="00572411" w:rsidP="00D34BE8">
            <w:pPr>
              <w:spacing w:after="0" w:line="360" w:lineRule="auto"/>
              <w:jc w:val="both"/>
              <w:rPr>
                <w:rFonts w:ascii="Book Antiqua" w:hAnsi="Book Antiqua"/>
                <w:sz w:val="20"/>
                <w:szCs w:val="20"/>
              </w:rPr>
            </w:pPr>
            <w:r w:rsidRPr="00D34BE8">
              <w:rPr>
                <w:rFonts w:ascii="Book Antiqua" w:hAnsi="Book Antiqua"/>
                <w:sz w:val="20"/>
                <w:szCs w:val="20"/>
              </w:rPr>
              <w:t>Ratio of liver and spleen volume</w:t>
            </w:r>
          </w:p>
        </w:tc>
        <w:tc>
          <w:tcPr>
            <w:tcW w:w="0" w:type="auto"/>
            <w:tcBorders>
              <w:top w:val="single" w:sz="4" w:space="0" w:color="auto"/>
              <w:bottom w:val="nil"/>
            </w:tcBorders>
            <w:shd w:val="clear" w:color="auto" w:fill="FFFFFF"/>
            <w:tcMar>
              <w:top w:w="30" w:type="dxa"/>
              <w:left w:w="30" w:type="dxa"/>
              <w:bottom w:w="30" w:type="dxa"/>
              <w:right w:w="30" w:type="dxa"/>
            </w:tcMar>
          </w:tcPr>
          <w:p w:rsidR="00572411" w:rsidRPr="00D34BE8" w:rsidRDefault="00572411" w:rsidP="00D34BE8">
            <w:pPr>
              <w:spacing w:after="0" w:line="360" w:lineRule="auto"/>
              <w:jc w:val="both"/>
              <w:rPr>
                <w:rFonts w:ascii="Book Antiqua" w:hAnsi="Book Antiqua"/>
                <w:sz w:val="20"/>
                <w:szCs w:val="20"/>
              </w:rPr>
            </w:pPr>
            <w:r w:rsidRPr="00D34BE8">
              <w:rPr>
                <w:rFonts w:ascii="Book Antiqua" w:hAnsi="Book Antiqua"/>
                <w:sz w:val="20"/>
                <w:szCs w:val="20"/>
              </w:rPr>
              <w:t>-2.162</w:t>
            </w:r>
          </w:p>
        </w:tc>
        <w:tc>
          <w:tcPr>
            <w:tcW w:w="0" w:type="auto"/>
            <w:tcBorders>
              <w:top w:val="single" w:sz="4" w:space="0" w:color="auto"/>
              <w:bottom w:val="nil"/>
            </w:tcBorders>
            <w:shd w:val="clear" w:color="auto" w:fill="FFFFFF"/>
            <w:tcMar>
              <w:top w:w="30" w:type="dxa"/>
              <w:left w:w="30" w:type="dxa"/>
              <w:bottom w:w="30" w:type="dxa"/>
              <w:right w:w="30" w:type="dxa"/>
            </w:tcMar>
          </w:tcPr>
          <w:p w:rsidR="00572411" w:rsidRPr="00D34BE8" w:rsidRDefault="00572411" w:rsidP="00D34BE8">
            <w:pPr>
              <w:spacing w:after="0" w:line="360" w:lineRule="auto"/>
              <w:jc w:val="both"/>
              <w:rPr>
                <w:rFonts w:ascii="Book Antiqua" w:hAnsi="Book Antiqua"/>
                <w:sz w:val="20"/>
                <w:szCs w:val="20"/>
              </w:rPr>
            </w:pPr>
            <w:r w:rsidRPr="00D34BE8">
              <w:rPr>
                <w:rFonts w:ascii="Book Antiqua" w:hAnsi="Book Antiqua"/>
                <w:sz w:val="20"/>
                <w:szCs w:val="20"/>
              </w:rPr>
              <w:t>0.683</w:t>
            </w:r>
          </w:p>
        </w:tc>
        <w:tc>
          <w:tcPr>
            <w:tcW w:w="0" w:type="auto"/>
            <w:tcBorders>
              <w:top w:val="single" w:sz="4" w:space="0" w:color="auto"/>
              <w:bottom w:val="nil"/>
            </w:tcBorders>
            <w:shd w:val="clear" w:color="auto" w:fill="FFFFFF"/>
            <w:tcMar>
              <w:top w:w="30" w:type="dxa"/>
              <w:left w:w="30" w:type="dxa"/>
              <w:bottom w:w="30" w:type="dxa"/>
              <w:right w:w="30" w:type="dxa"/>
            </w:tcMar>
          </w:tcPr>
          <w:p w:rsidR="00572411" w:rsidRPr="00D34BE8" w:rsidRDefault="00572411" w:rsidP="00D34BE8">
            <w:pPr>
              <w:spacing w:after="0" w:line="360" w:lineRule="auto"/>
              <w:jc w:val="both"/>
              <w:rPr>
                <w:rFonts w:ascii="Book Antiqua" w:hAnsi="Book Antiqua"/>
                <w:sz w:val="20"/>
                <w:szCs w:val="20"/>
              </w:rPr>
            </w:pPr>
            <w:r w:rsidRPr="00D34BE8">
              <w:rPr>
                <w:rFonts w:ascii="Book Antiqua" w:hAnsi="Book Antiqua"/>
                <w:sz w:val="20"/>
                <w:szCs w:val="20"/>
              </w:rPr>
              <w:t>10.028</w:t>
            </w:r>
          </w:p>
        </w:tc>
        <w:tc>
          <w:tcPr>
            <w:tcW w:w="0" w:type="auto"/>
            <w:tcBorders>
              <w:top w:val="single" w:sz="4" w:space="0" w:color="auto"/>
              <w:bottom w:val="nil"/>
            </w:tcBorders>
            <w:shd w:val="clear" w:color="auto" w:fill="FFFFFF"/>
            <w:tcMar>
              <w:top w:w="30" w:type="dxa"/>
              <w:left w:w="30" w:type="dxa"/>
              <w:bottom w:w="30" w:type="dxa"/>
              <w:right w:w="30" w:type="dxa"/>
            </w:tcMar>
          </w:tcPr>
          <w:p w:rsidR="00572411" w:rsidRPr="00D34BE8" w:rsidRDefault="00572411" w:rsidP="00D34BE8">
            <w:pPr>
              <w:spacing w:after="0" w:line="360" w:lineRule="auto"/>
              <w:jc w:val="both"/>
              <w:rPr>
                <w:rFonts w:ascii="Book Antiqua" w:hAnsi="Book Antiqua"/>
                <w:sz w:val="20"/>
                <w:szCs w:val="20"/>
              </w:rPr>
            </w:pPr>
            <w:r w:rsidRPr="00D34BE8">
              <w:rPr>
                <w:rFonts w:ascii="Book Antiqua" w:hAnsi="Book Antiqua"/>
                <w:sz w:val="20"/>
                <w:szCs w:val="20"/>
              </w:rPr>
              <w:t>1</w:t>
            </w:r>
          </w:p>
        </w:tc>
        <w:tc>
          <w:tcPr>
            <w:tcW w:w="0" w:type="auto"/>
            <w:tcBorders>
              <w:top w:val="single" w:sz="4" w:space="0" w:color="auto"/>
              <w:bottom w:val="nil"/>
            </w:tcBorders>
            <w:shd w:val="clear" w:color="auto" w:fill="FFFFFF"/>
            <w:tcMar>
              <w:top w:w="30" w:type="dxa"/>
              <w:left w:w="30" w:type="dxa"/>
              <w:bottom w:w="30" w:type="dxa"/>
              <w:right w:w="30" w:type="dxa"/>
            </w:tcMar>
          </w:tcPr>
          <w:p w:rsidR="00572411" w:rsidRPr="00D34BE8" w:rsidRDefault="00572411" w:rsidP="00D34BE8">
            <w:pPr>
              <w:spacing w:after="0" w:line="360" w:lineRule="auto"/>
              <w:jc w:val="both"/>
              <w:rPr>
                <w:rFonts w:ascii="Book Antiqua" w:hAnsi="Book Antiqua"/>
                <w:sz w:val="20"/>
                <w:szCs w:val="20"/>
              </w:rPr>
            </w:pPr>
            <w:r w:rsidRPr="00D34BE8">
              <w:rPr>
                <w:rFonts w:ascii="Book Antiqua" w:hAnsi="Book Antiqua"/>
                <w:sz w:val="20"/>
                <w:szCs w:val="20"/>
              </w:rPr>
              <w:t>0.002</w:t>
            </w:r>
          </w:p>
        </w:tc>
        <w:tc>
          <w:tcPr>
            <w:tcW w:w="0" w:type="auto"/>
            <w:tcBorders>
              <w:top w:val="single" w:sz="4" w:space="0" w:color="auto"/>
              <w:bottom w:val="nil"/>
            </w:tcBorders>
            <w:shd w:val="clear" w:color="auto" w:fill="FFFFFF"/>
            <w:tcMar>
              <w:top w:w="30" w:type="dxa"/>
              <w:left w:w="30" w:type="dxa"/>
              <w:bottom w:w="30" w:type="dxa"/>
              <w:right w:w="30" w:type="dxa"/>
            </w:tcMar>
          </w:tcPr>
          <w:p w:rsidR="00572411" w:rsidRPr="00D34BE8" w:rsidRDefault="00572411" w:rsidP="00D34BE8">
            <w:pPr>
              <w:spacing w:after="0" w:line="360" w:lineRule="auto"/>
              <w:jc w:val="both"/>
              <w:rPr>
                <w:rFonts w:ascii="Book Antiqua" w:hAnsi="Book Antiqua"/>
                <w:sz w:val="20"/>
                <w:szCs w:val="20"/>
              </w:rPr>
            </w:pPr>
            <w:r w:rsidRPr="00D34BE8">
              <w:rPr>
                <w:rFonts w:ascii="Book Antiqua" w:hAnsi="Book Antiqua"/>
                <w:sz w:val="20"/>
                <w:szCs w:val="20"/>
              </w:rPr>
              <w:t>0.115</w:t>
            </w:r>
          </w:p>
        </w:tc>
        <w:tc>
          <w:tcPr>
            <w:tcW w:w="1842" w:type="dxa"/>
            <w:tcBorders>
              <w:top w:val="single" w:sz="4" w:space="0" w:color="auto"/>
              <w:bottom w:val="nil"/>
            </w:tcBorders>
            <w:shd w:val="clear" w:color="auto" w:fill="FFFFFF"/>
            <w:tcMar>
              <w:top w:w="30" w:type="dxa"/>
              <w:left w:w="30" w:type="dxa"/>
              <w:bottom w:w="30" w:type="dxa"/>
              <w:right w:w="30" w:type="dxa"/>
            </w:tcMar>
          </w:tcPr>
          <w:p w:rsidR="00572411" w:rsidRPr="00D34BE8" w:rsidRDefault="00572411" w:rsidP="00D34BE8">
            <w:pPr>
              <w:spacing w:after="0" w:line="360" w:lineRule="auto"/>
              <w:jc w:val="both"/>
              <w:rPr>
                <w:rFonts w:ascii="Book Antiqua" w:hAnsi="Book Antiqua"/>
                <w:sz w:val="20"/>
                <w:szCs w:val="20"/>
              </w:rPr>
            </w:pPr>
            <w:r w:rsidRPr="00D34BE8">
              <w:rPr>
                <w:rFonts w:ascii="Book Antiqua" w:hAnsi="Book Antiqua"/>
                <w:sz w:val="20"/>
                <w:szCs w:val="20"/>
              </w:rPr>
              <w:t>0.030-0.439</w:t>
            </w:r>
          </w:p>
        </w:tc>
      </w:tr>
      <w:tr w:rsidR="00572411" w:rsidRPr="00D34BE8" w:rsidTr="00287045">
        <w:trPr>
          <w:cantSplit/>
          <w:trHeight w:val="325"/>
          <w:tblHeader/>
        </w:trPr>
        <w:tc>
          <w:tcPr>
            <w:tcW w:w="0" w:type="auto"/>
            <w:tcBorders>
              <w:top w:val="nil"/>
            </w:tcBorders>
            <w:shd w:val="clear" w:color="auto" w:fill="FFFFFF"/>
            <w:tcMar>
              <w:top w:w="30" w:type="dxa"/>
              <w:left w:w="30" w:type="dxa"/>
              <w:bottom w:w="30" w:type="dxa"/>
              <w:right w:w="30" w:type="dxa"/>
            </w:tcMar>
          </w:tcPr>
          <w:p w:rsidR="00572411" w:rsidRPr="00D34BE8" w:rsidRDefault="00572411" w:rsidP="00D34BE8">
            <w:pPr>
              <w:spacing w:after="0" w:line="360" w:lineRule="auto"/>
              <w:jc w:val="both"/>
              <w:rPr>
                <w:rFonts w:ascii="Book Antiqua" w:hAnsi="Book Antiqua"/>
                <w:sz w:val="20"/>
                <w:szCs w:val="20"/>
              </w:rPr>
            </w:pPr>
            <w:r w:rsidRPr="00D34BE8">
              <w:rPr>
                <w:rFonts w:ascii="Book Antiqua" w:hAnsi="Book Antiqua"/>
                <w:sz w:val="20"/>
                <w:szCs w:val="20"/>
              </w:rPr>
              <w:t>Rate of spleen volume change</w:t>
            </w:r>
          </w:p>
        </w:tc>
        <w:tc>
          <w:tcPr>
            <w:tcW w:w="0" w:type="auto"/>
            <w:tcBorders>
              <w:top w:val="nil"/>
            </w:tcBorders>
            <w:shd w:val="clear" w:color="auto" w:fill="FFFFFF"/>
            <w:tcMar>
              <w:top w:w="30" w:type="dxa"/>
              <w:left w:w="30" w:type="dxa"/>
              <w:bottom w:w="30" w:type="dxa"/>
              <w:right w:w="30" w:type="dxa"/>
            </w:tcMar>
          </w:tcPr>
          <w:p w:rsidR="00572411" w:rsidRPr="00D34BE8" w:rsidRDefault="00572411" w:rsidP="00D34BE8">
            <w:pPr>
              <w:spacing w:after="0" w:line="360" w:lineRule="auto"/>
              <w:jc w:val="both"/>
              <w:rPr>
                <w:rFonts w:ascii="Book Antiqua" w:hAnsi="Book Antiqua"/>
                <w:sz w:val="20"/>
                <w:szCs w:val="20"/>
              </w:rPr>
            </w:pPr>
            <w:r w:rsidRPr="00D34BE8">
              <w:rPr>
                <w:rFonts w:ascii="Book Antiqua" w:hAnsi="Book Antiqua"/>
                <w:sz w:val="20"/>
                <w:szCs w:val="20"/>
              </w:rPr>
              <w:t>-0.314</w:t>
            </w:r>
          </w:p>
        </w:tc>
        <w:tc>
          <w:tcPr>
            <w:tcW w:w="0" w:type="auto"/>
            <w:tcBorders>
              <w:top w:val="nil"/>
            </w:tcBorders>
            <w:shd w:val="clear" w:color="auto" w:fill="FFFFFF"/>
            <w:tcMar>
              <w:top w:w="30" w:type="dxa"/>
              <w:left w:w="30" w:type="dxa"/>
              <w:bottom w:w="30" w:type="dxa"/>
              <w:right w:w="30" w:type="dxa"/>
            </w:tcMar>
          </w:tcPr>
          <w:p w:rsidR="00572411" w:rsidRPr="00D34BE8" w:rsidRDefault="00572411" w:rsidP="00D34BE8">
            <w:pPr>
              <w:spacing w:after="0" w:line="360" w:lineRule="auto"/>
              <w:jc w:val="both"/>
              <w:rPr>
                <w:rFonts w:ascii="Book Antiqua" w:hAnsi="Book Antiqua"/>
                <w:sz w:val="20"/>
                <w:szCs w:val="20"/>
              </w:rPr>
            </w:pPr>
            <w:r w:rsidRPr="00D34BE8">
              <w:rPr>
                <w:rFonts w:ascii="Book Antiqua" w:hAnsi="Book Antiqua"/>
                <w:sz w:val="20"/>
                <w:szCs w:val="20"/>
              </w:rPr>
              <w:t>0.246</w:t>
            </w:r>
          </w:p>
        </w:tc>
        <w:tc>
          <w:tcPr>
            <w:tcW w:w="0" w:type="auto"/>
            <w:tcBorders>
              <w:top w:val="nil"/>
            </w:tcBorders>
            <w:shd w:val="clear" w:color="auto" w:fill="FFFFFF"/>
            <w:tcMar>
              <w:top w:w="30" w:type="dxa"/>
              <w:left w:w="30" w:type="dxa"/>
              <w:bottom w:w="30" w:type="dxa"/>
              <w:right w:w="30" w:type="dxa"/>
            </w:tcMar>
          </w:tcPr>
          <w:p w:rsidR="00572411" w:rsidRPr="00D34BE8" w:rsidRDefault="00572411" w:rsidP="00D34BE8">
            <w:pPr>
              <w:spacing w:after="0" w:line="360" w:lineRule="auto"/>
              <w:jc w:val="both"/>
              <w:rPr>
                <w:rFonts w:ascii="Book Antiqua" w:hAnsi="Book Antiqua"/>
                <w:sz w:val="20"/>
                <w:szCs w:val="20"/>
              </w:rPr>
            </w:pPr>
            <w:r w:rsidRPr="00D34BE8">
              <w:rPr>
                <w:rFonts w:ascii="Book Antiqua" w:hAnsi="Book Antiqua"/>
                <w:sz w:val="20"/>
                <w:szCs w:val="20"/>
              </w:rPr>
              <w:t>1.619</w:t>
            </w:r>
          </w:p>
        </w:tc>
        <w:tc>
          <w:tcPr>
            <w:tcW w:w="0" w:type="auto"/>
            <w:tcBorders>
              <w:top w:val="nil"/>
            </w:tcBorders>
            <w:shd w:val="clear" w:color="auto" w:fill="FFFFFF"/>
            <w:tcMar>
              <w:top w:w="30" w:type="dxa"/>
              <w:left w:w="30" w:type="dxa"/>
              <w:bottom w:w="30" w:type="dxa"/>
              <w:right w:w="30" w:type="dxa"/>
            </w:tcMar>
          </w:tcPr>
          <w:p w:rsidR="00572411" w:rsidRPr="00D34BE8" w:rsidRDefault="00572411" w:rsidP="00D34BE8">
            <w:pPr>
              <w:spacing w:after="0" w:line="360" w:lineRule="auto"/>
              <w:jc w:val="both"/>
              <w:rPr>
                <w:rFonts w:ascii="Book Antiqua" w:hAnsi="Book Antiqua"/>
                <w:sz w:val="20"/>
                <w:szCs w:val="20"/>
              </w:rPr>
            </w:pPr>
            <w:r w:rsidRPr="00D34BE8">
              <w:rPr>
                <w:rFonts w:ascii="Book Antiqua" w:hAnsi="Book Antiqua"/>
                <w:sz w:val="20"/>
                <w:szCs w:val="20"/>
              </w:rPr>
              <w:t>1</w:t>
            </w:r>
          </w:p>
        </w:tc>
        <w:tc>
          <w:tcPr>
            <w:tcW w:w="0" w:type="auto"/>
            <w:tcBorders>
              <w:top w:val="nil"/>
            </w:tcBorders>
            <w:shd w:val="clear" w:color="auto" w:fill="FFFFFF"/>
            <w:tcMar>
              <w:top w:w="30" w:type="dxa"/>
              <w:left w:w="30" w:type="dxa"/>
              <w:bottom w:w="30" w:type="dxa"/>
              <w:right w:w="30" w:type="dxa"/>
            </w:tcMar>
          </w:tcPr>
          <w:p w:rsidR="00572411" w:rsidRPr="00D34BE8" w:rsidRDefault="00572411" w:rsidP="00D34BE8">
            <w:pPr>
              <w:spacing w:after="0" w:line="360" w:lineRule="auto"/>
              <w:jc w:val="both"/>
              <w:rPr>
                <w:rFonts w:ascii="Book Antiqua" w:hAnsi="Book Antiqua"/>
                <w:sz w:val="20"/>
                <w:szCs w:val="20"/>
              </w:rPr>
            </w:pPr>
            <w:r w:rsidRPr="00D34BE8">
              <w:rPr>
                <w:rFonts w:ascii="Book Antiqua" w:hAnsi="Book Antiqua"/>
                <w:sz w:val="20"/>
                <w:szCs w:val="20"/>
              </w:rPr>
              <w:t>0.203</w:t>
            </w:r>
          </w:p>
        </w:tc>
        <w:tc>
          <w:tcPr>
            <w:tcW w:w="0" w:type="auto"/>
            <w:tcBorders>
              <w:top w:val="nil"/>
            </w:tcBorders>
            <w:shd w:val="clear" w:color="auto" w:fill="FFFFFF"/>
            <w:tcMar>
              <w:top w:w="30" w:type="dxa"/>
              <w:left w:w="30" w:type="dxa"/>
              <w:bottom w:w="30" w:type="dxa"/>
              <w:right w:w="30" w:type="dxa"/>
            </w:tcMar>
          </w:tcPr>
          <w:p w:rsidR="00572411" w:rsidRPr="00D34BE8" w:rsidRDefault="00572411" w:rsidP="00D34BE8">
            <w:pPr>
              <w:spacing w:after="0" w:line="360" w:lineRule="auto"/>
              <w:jc w:val="both"/>
              <w:rPr>
                <w:rFonts w:ascii="Book Antiqua" w:hAnsi="Book Antiqua"/>
                <w:sz w:val="20"/>
                <w:szCs w:val="20"/>
              </w:rPr>
            </w:pPr>
            <w:r w:rsidRPr="00D34BE8">
              <w:rPr>
                <w:rFonts w:ascii="Book Antiqua" w:hAnsi="Book Antiqua"/>
                <w:sz w:val="20"/>
                <w:szCs w:val="20"/>
              </w:rPr>
              <w:t>0.731</w:t>
            </w:r>
          </w:p>
        </w:tc>
        <w:tc>
          <w:tcPr>
            <w:tcW w:w="1842" w:type="dxa"/>
            <w:tcBorders>
              <w:top w:val="nil"/>
            </w:tcBorders>
            <w:shd w:val="clear" w:color="auto" w:fill="FFFFFF"/>
            <w:tcMar>
              <w:top w:w="30" w:type="dxa"/>
              <w:left w:w="30" w:type="dxa"/>
              <w:bottom w:w="30" w:type="dxa"/>
              <w:right w:w="30" w:type="dxa"/>
            </w:tcMar>
          </w:tcPr>
          <w:p w:rsidR="00572411" w:rsidRPr="00D34BE8" w:rsidRDefault="00572411" w:rsidP="00D34BE8">
            <w:pPr>
              <w:spacing w:after="0" w:line="360" w:lineRule="auto"/>
              <w:jc w:val="both"/>
              <w:rPr>
                <w:rFonts w:ascii="Book Antiqua" w:hAnsi="Book Antiqua"/>
                <w:sz w:val="20"/>
                <w:szCs w:val="20"/>
              </w:rPr>
            </w:pPr>
            <w:r w:rsidRPr="00D34BE8">
              <w:rPr>
                <w:rFonts w:ascii="Book Antiqua" w:hAnsi="Book Antiqua"/>
                <w:sz w:val="20"/>
                <w:szCs w:val="20"/>
              </w:rPr>
              <w:t>0.451-1.185</w:t>
            </w:r>
          </w:p>
        </w:tc>
      </w:tr>
      <w:tr w:rsidR="00572411" w:rsidRPr="00D34BE8" w:rsidTr="00287045">
        <w:trPr>
          <w:cantSplit/>
          <w:trHeight w:val="325"/>
          <w:tblHeader/>
        </w:trPr>
        <w:tc>
          <w:tcPr>
            <w:tcW w:w="0" w:type="auto"/>
            <w:shd w:val="clear" w:color="auto" w:fill="FFFFFF"/>
            <w:tcMar>
              <w:top w:w="30" w:type="dxa"/>
              <w:left w:w="30" w:type="dxa"/>
              <w:bottom w:w="30" w:type="dxa"/>
              <w:right w:w="30" w:type="dxa"/>
            </w:tcMar>
          </w:tcPr>
          <w:p w:rsidR="00572411" w:rsidRPr="00D34BE8" w:rsidRDefault="00572411" w:rsidP="00D34BE8">
            <w:pPr>
              <w:spacing w:after="0" w:line="360" w:lineRule="auto"/>
              <w:jc w:val="both"/>
              <w:rPr>
                <w:rFonts w:ascii="Book Antiqua" w:hAnsi="Book Antiqua"/>
                <w:sz w:val="20"/>
                <w:szCs w:val="20"/>
              </w:rPr>
            </w:pPr>
            <w:r w:rsidRPr="00D34BE8">
              <w:rPr>
                <w:rFonts w:ascii="Book Antiqua" w:hAnsi="Book Antiqua"/>
                <w:sz w:val="20"/>
                <w:szCs w:val="20"/>
              </w:rPr>
              <w:t>AST</w:t>
            </w:r>
          </w:p>
        </w:tc>
        <w:tc>
          <w:tcPr>
            <w:tcW w:w="0" w:type="auto"/>
            <w:shd w:val="clear" w:color="auto" w:fill="FFFFFF"/>
            <w:tcMar>
              <w:top w:w="30" w:type="dxa"/>
              <w:left w:w="30" w:type="dxa"/>
              <w:bottom w:w="30" w:type="dxa"/>
              <w:right w:w="30" w:type="dxa"/>
            </w:tcMar>
          </w:tcPr>
          <w:p w:rsidR="00572411" w:rsidRPr="00D34BE8" w:rsidRDefault="00572411" w:rsidP="00D34BE8">
            <w:pPr>
              <w:spacing w:after="0" w:line="360" w:lineRule="auto"/>
              <w:jc w:val="both"/>
              <w:rPr>
                <w:rFonts w:ascii="Book Antiqua" w:hAnsi="Book Antiqua"/>
                <w:sz w:val="20"/>
                <w:szCs w:val="20"/>
              </w:rPr>
            </w:pPr>
            <w:r w:rsidRPr="00D34BE8">
              <w:rPr>
                <w:rFonts w:ascii="Book Antiqua" w:hAnsi="Book Antiqua"/>
                <w:sz w:val="20"/>
                <w:szCs w:val="20"/>
              </w:rPr>
              <w:t>-0.070</w:t>
            </w:r>
          </w:p>
        </w:tc>
        <w:tc>
          <w:tcPr>
            <w:tcW w:w="0" w:type="auto"/>
            <w:shd w:val="clear" w:color="auto" w:fill="FFFFFF"/>
            <w:tcMar>
              <w:top w:w="30" w:type="dxa"/>
              <w:left w:w="30" w:type="dxa"/>
              <w:bottom w:w="30" w:type="dxa"/>
              <w:right w:w="30" w:type="dxa"/>
            </w:tcMar>
          </w:tcPr>
          <w:p w:rsidR="00572411" w:rsidRPr="00D34BE8" w:rsidRDefault="00572411" w:rsidP="00D34BE8">
            <w:pPr>
              <w:spacing w:after="0" w:line="360" w:lineRule="auto"/>
              <w:jc w:val="both"/>
              <w:rPr>
                <w:rFonts w:ascii="Book Antiqua" w:hAnsi="Book Antiqua"/>
                <w:sz w:val="20"/>
                <w:szCs w:val="20"/>
              </w:rPr>
            </w:pPr>
            <w:r w:rsidRPr="00D34BE8">
              <w:rPr>
                <w:rFonts w:ascii="Book Antiqua" w:hAnsi="Book Antiqua"/>
                <w:sz w:val="20"/>
                <w:szCs w:val="20"/>
              </w:rPr>
              <w:t>0.020</w:t>
            </w:r>
          </w:p>
        </w:tc>
        <w:tc>
          <w:tcPr>
            <w:tcW w:w="0" w:type="auto"/>
            <w:shd w:val="clear" w:color="auto" w:fill="FFFFFF"/>
            <w:tcMar>
              <w:top w:w="30" w:type="dxa"/>
              <w:left w:w="30" w:type="dxa"/>
              <w:bottom w:w="30" w:type="dxa"/>
              <w:right w:w="30" w:type="dxa"/>
            </w:tcMar>
          </w:tcPr>
          <w:p w:rsidR="00572411" w:rsidRPr="00D34BE8" w:rsidRDefault="00572411" w:rsidP="00D34BE8">
            <w:pPr>
              <w:spacing w:after="0" w:line="360" w:lineRule="auto"/>
              <w:jc w:val="both"/>
              <w:rPr>
                <w:rFonts w:ascii="Book Antiqua" w:hAnsi="Book Antiqua"/>
                <w:sz w:val="20"/>
                <w:szCs w:val="20"/>
              </w:rPr>
            </w:pPr>
            <w:r w:rsidRPr="00D34BE8">
              <w:rPr>
                <w:rFonts w:ascii="Book Antiqua" w:hAnsi="Book Antiqua"/>
                <w:sz w:val="20"/>
                <w:szCs w:val="20"/>
              </w:rPr>
              <w:t>12.672</w:t>
            </w:r>
          </w:p>
        </w:tc>
        <w:tc>
          <w:tcPr>
            <w:tcW w:w="0" w:type="auto"/>
            <w:shd w:val="clear" w:color="auto" w:fill="FFFFFF"/>
            <w:tcMar>
              <w:top w:w="30" w:type="dxa"/>
              <w:left w:w="30" w:type="dxa"/>
              <w:bottom w:w="30" w:type="dxa"/>
              <w:right w:w="30" w:type="dxa"/>
            </w:tcMar>
          </w:tcPr>
          <w:p w:rsidR="00572411" w:rsidRPr="00D34BE8" w:rsidRDefault="00572411" w:rsidP="00D34BE8">
            <w:pPr>
              <w:spacing w:after="0" w:line="360" w:lineRule="auto"/>
              <w:jc w:val="both"/>
              <w:rPr>
                <w:rFonts w:ascii="Book Antiqua" w:hAnsi="Book Antiqua"/>
                <w:sz w:val="20"/>
                <w:szCs w:val="20"/>
              </w:rPr>
            </w:pPr>
            <w:r w:rsidRPr="00D34BE8">
              <w:rPr>
                <w:rFonts w:ascii="Book Antiqua" w:hAnsi="Book Antiqua"/>
                <w:sz w:val="20"/>
                <w:szCs w:val="20"/>
              </w:rPr>
              <w:t>1</w:t>
            </w:r>
          </w:p>
        </w:tc>
        <w:tc>
          <w:tcPr>
            <w:tcW w:w="0" w:type="auto"/>
            <w:shd w:val="clear" w:color="auto" w:fill="FFFFFF"/>
            <w:tcMar>
              <w:top w:w="30" w:type="dxa"/>
              <w:left w:w="30" w:type="dxa"/>
              <w:bottom w:w="30" w:type="dxa"/>
              <w:right w:w="30" w:type="dxa"/>
            </w:tcMar>
          </w:tcPr>
          <w:p w:rsidR="00572411" w:rsidRPr="00D34BE8" w:rsidRDefault="00572411" w:rsidP="00D34BE8">
            <w:pPr>
              <w:spacing w:after="0" w:line="360" w:lineRule="auto"/>
              <w:jc w:val="both"/>
              <w:rPr>
                <w:rFonts w:ascii="Book Antiqua" w:hAnsi="Book Antiqua"/>
                <w:sz w:val="20"/>
                <w:szCs w:val="20"/>
              </w:rPr>
            </w:pPr>
            <w:r w:rsidRPr="00D34BE8">
              <w:rPr>
                <w:rFonts w:ascii="Book Antiqua" w:hAnsi="Book Antiqua"/>
                <w:sz w:val="20"/>
                <w:szCs w:val="20"/>
              </w:rPr>
              <w:t>0.000</w:t>
            </w:r>
          </w:p>
        </w:tc>
        <w:tc>
          <w:tcPr>
            <w:tcW w:w="0" w:type="auto"/>
            <w:shd w:val="clear" w:color="auto" w:fill="FFFFFF"/>
            <w:tcMar>
              <w:top w:w="30" w:type="dxa"/>
              <w:left w:w="30" w:type="dxa"/>
              <w:bottom w:w="30" w:type="dxa"/>
              <w:right w:w="30" w:type="dxa"/>
            </w:tcMar>
          </w:tcPr>
          <w:p w:rsidR="00572411" w:rsidRPr="00D34BE8" w:rsidRDefault="00572411" w:rsidP="00D34BE8">
            <w:pPr>
              <w:spacing w:after="0" w:line="360" w:lineRule="auto"/>
              <w:jc w:val="both"/>
              <w:rPr>
                <w:rFonts w:ascii="Book Antiqua" w:hAnsi="Book Antiqua"/>
                <w:sz w:val="20"/>
                <w:szCs w:val="20"/>
              </w:rPr>
            </w:pPr>
            <w:r w:rsidRPr="00D34BE8">
              <w:rPr>
                <w:rFonts w:ascii="Book Antiqua" w:hAnsi="Book Antiqua"/>
                <w:sz w:val="20"/>
                <w:szCs w:val="20"/>
              </w:rPr>
              <w:t>0.933</w:t>
            </w:r>
          </w:p>
        </w:tc>
        <w:tc>
          <w:tcPr>
            <w:tcW w:w="1842" w:type="dxa"/>
            <w:shd w:val="clear" w:color="auto" w:fill="FFFFFF"/>
            <w:tcMar>
              <w:top w:w="30" w:type="dxa"/>
              <w:left w:w="30" w:type="dxa"/>
              <w:bottom w:w="30" w:type="dxa"/>
              <w:right w:w="30" w:type="dxa"/>
            </w:tcMar>
          </w:tcPr>
          <w:p w:rsidR="00572411" w:rsidRPr="00D34BE8" w:rsidRDefault="00572411" w:rsidP="00D34BE8">
            <w:pPr>
              <w:spacing w:after="0" w:line="360" w:lineRule="auto"/>
              <w:jc w:val="both"/>
              <w:rPr>
                <w:rFonts w:ascii="Book Antiqua" w:hAnsi="Book Antiqua"/>
                <w:sz w:val="20"/>
                <w:szCs w:val="20"/>
              </w:rPr>
            </w:pPr>
            <w:r w:rsidRPr="00D34BE8">
              <w:rPr>
                <w:rFonts w:ascii="Book Antiqua" w:hAnsi="Book Antiqua"/>
                <w:sz w:val="20"/>
                <w:szCs w:val="20"/>
              </w:rPr>
              <w:t>0.898-0.969</w:t>
            </w:r>
          </w:p>
        </w:tc>
      </w:tr>
      <w:tr w:rsidR="00572411" w:rsidRPr="00D34BE8" w:rsidTr="00287045">
        <w:trPr>
          <w:cantSplit/>
          <w:trHeight w:val="325"/>
          <w:tblHeader/>
        </w:trPr>
        <w:tc>
          <w:tcPr>
            <w:tcW w:w="0" w:type="auto"/>
            <w:shd w:val="clear" w:color="auto" w:fill="FFFFFF"/>
            <w:tcMar>
              <w:top w:w="30" w:type="dxa"/>
              <w:left w:w="30" w:type="dxa"/>
              <w:bottom w:w="30" w:type="dxa"/>
              <w:right w:w="30" w:type="dxa"/>
            </w:tcMar>
          </w:tcPr>
          <w:p w:rsidR="00572411" w:rsidRPr="00D34BE8" w:rsidRDefault="00572411" w:rsidP="00D34BE8">
            <w:pPr>
              <w:spacing w:after="0" w:line="360" w:lineRule="auto"/>
              <w:jc w:val="both"/>
              <w:rPr>
                <w:rFonts w:ascii="Book Antiqua" w:hAnsi="Book Antiqua"/>
                <w:sz w:val="20"/>
                <w:szCs w:val="20"/>
              </w:rPr>
            </w:pPr>
            <w:r w:rsidRPr="00D34BE8">
              <w:rPr>
                <w:rFonts w:ascii="Book Antiqua" w:hAnsi="Book Antiqua"/>
                <w:sz w:val="20"/>
                <w:szCs w:val="20"/>
              </w:rPr>
              <w:t>Constant</w:t>
            </w:r>
          </w:p>
        </w:tc>
        <w:tc>
          <w:tcPr>
            <w:tcW w:w="0" w:type="auto"/>
            <w:shd w:val="clear" w:color="auto" w:fill="FFFFFF"/>
            <w:tcMar>
              <w:top w:w="30" w:type="dxa"/>
              <w:left w:w="30" w:type="dxa"/>
              <w:bottom w:w="30" w:type="dxa"/>
              <w:right w:w="30" w:type="dxa"/>
            </w:tcMar>
          </w:tcPr>
          <w:p w:rsidR="00572411" w:rsidRPr="00D34BE8" w:rsidRDefault="00572411" w:rsidP="00D34BE8">
            <w:pPr>
              <w:spacing w:after="0" w:line="360" w:lineRule="auto"/>
              <w:jc w:val="both"/>
              <w:rPr>
                <w:rFonts w:ascii="Book Antiqua" w:hAnsi="Book Antiqua"/>
                <w:sz w:val="20"/>
                <w:szCs w:val="20"/>
              </w:rPr>
            </w:pPr>
            <w:r w:rsidRPr="00D34BE8">
              <w:rPr>
                <w:rFonts w:ascii="Book Antiqua" w:hAnsi="Book Antiqua"/>
                <w:sz w:val="20"/>
                <w:szCs w:val="20"/>
              </w:rPr>
              <w:t>8.342</w:t>
            </w:r>
          </w:p>
        </w:tc>
        <w:tc>
          <w:tcPr>
            <w:tcW w:w="0" w:type="auto"/>
            <w:shd w:val="clear" w:color="auto" w:fill="FFFFFF"/>
            <w:tcMar>
              <w:top w:w="30" w:type="dxa"/>
              <w:left w:w="30" w:type="dxa"/>
              <w:bottom w:w="30" w:type="dxa"/>
              <w:right w:w="30" w:type="dxa"/>
            </w:tcMar>
          </w:tcPr>
          <w:p w:rsidR="00572411" w:rsidRPr="00D34BE8" w:rsidRDefault="00572411" w:rsidP="00D34BE8">
            <w:pPr>
              <w:spacing w:after="0" w:line="360" w:lineRule="auto"/>
              <w:jc w:val="both"/>
              <w:rPr>
                <w:rFonts w:ascii="Book Antiqua" w:hAnsi="Book Antiqua"/>
                <w:sz w:val="20"/>
                <w:szCs w:val="20"/>
              </w:rPr>
            </w:pPr>
            <w:r w:rsidRPr="00D34BE8">
              <w:rPr>
                <w:rFonts w:ascii="Book Antiqua" w:hAnsi="Book Antiqua"/>
                <w:sz w:val="20"/>
                <w:szCs w:val="20"/>
              </w:rPr>
              <w:t>2.413</w:t>
            </w:r>
          </w:p>
        </w:tc>
        <w:tc>
          <w:tcPr>
            <w:tcW w:w="0" w:type="auto"/>
            <w:shd w:val="clear" w:color="auto" w:fill="FFFFFF"/>
            <w:tcMar>
              <w:top w:w="30" w:type="dxa"/>
              <w:left w:w="30" w:type="dxa"/>
              <w:bottom w:w="30" w:type="dxa"/>
              <w:right w:w="30" w:type="dxa"/>
            </w:tcMar>
          </w:tcPr>
          <w:p w:rsidR="00572411" w:rsidRPr="00D34BE8" w:rsidRDefault="00572411" w:rsidP="00D34BE8">
            <w:pPr>
              <w:spacing w:after="0" w:line="360" w:lineRule="auto"/>
              <w:jc w:val="both"/>
              <w:rPr>
                <w:rFonts w:ascii="Book Antiqua" w:hAnsi="Book Antiqua"/>
                <w:sz w:val="20"/>
                <w:szCs w:val="20"/>
              </w:rPr>
            </w:pPr>
            <w:r w:rsidRPr="00D34BE8">
              <w:rPr>
                <w:rFonts w:ascii="Book Antiqua" w:hAnsi="Book Antiqua"/>
                <w:sz w:val="20"/>
                <w:szCs w:val="20"/>
              </w:rPr>
              <w:t>11.946</w:t>
            </w:r>
          </w:p>
        </w:tc>
        <w:tc>
          <w:tcPr>
            <w:tcW w:w="0" w:type="auto"/>
            <w:shd w:val="clear" w:color="auto" w:fill="FFFFFF"/>
            <w:tcMar>
              <w:top w:w="30" w:type="dxa"/>
              <w:left w:w="30" w:type="dxa"/>
              <w:bottom w:w="30" w:type="dxa"/>
              <w:right w:w="30" w:type="dxa"/>
            </w:tcMar>
          </w:tcPr>
          <w:p w:rsidR="00572411" w:rsidRPr="00D34BE8" w:rsidRDefault="00572411" w:rsidP="00D34BE8">
            <w:pPr>
              <w:spacing w:after="0" w:line="360" w:lineRule="auto"/>
              <w:jc w:val="both"/>
              <w:rPr>
                <w:rFonts w:ascii="Book Antiqua" w:hAnsi="Book Antiqua"/>
                <w:sz w:val="20"/>
                <w:szCs w:val="20"/>
              </w:rPr>
            </w:pPr>
            <w:r w:rsidRPr="00D34BE8">
              <w:rPr>
                <w:rFonts w:ascii="Book Antiqua" w:hAnsi="Book Antiqua"/>
                <w:sz w:val="20"/>
                <w:szCs w:val="20"/>
              </w:rPr>
              <w:t>1</w:t>
            </w:r>
          </w:p>
        </w:tc>
        <w:tc>
          <w:tcPr>
            <w:tcW w:w="0" w:type="auto"/>
            <w:shd w:val="clear" w:color="auto" w:fill="FFFFFF"/>
            <w:tcMar>
              <w:top w:w="30" w:type="dxa"/>
              <w:left w:w="30" w:type="dxa"/>
              <w:bottom w:w="30" w:type="dxa"/>
              <w:right w:w="30" w:type="dxa"/>
            </w:tcMar>
          </w:tcPr>
          <w:p w:rsidR="00572411" w:rsidRPr="00D34BE8" w:rsidRDefault="00572411" w:rsidP="00D34BE8">
            <w:pPr>
              <w:spacing w:after="0" w:line="360" w:lineRule="auto"/>
              <w:jc w:val="both"/>
              <w:rPr>
                <w:rFonts w:ascii="Book Antiqua" w:hAnsi="Book Antiqua"/>
                <w:sz w:val="20"/>
                <w:szCs w:val="20"/>
              </w:rPr>
            </w:pPr>
            <w:r w:rsidRPr="00D34BE8">
              <w:rPr>
                <w:rFonts w:ascii="Book Antiqua" w:hAnsi="Book Antiqua"/>
                <w:sz w:val="20"/>
                <w:szCs w:val="20"/>
              </w:rPr>
              <w:t>0.001</w:t>
            </w:r>
          </w:p>
        </w:tc>
        <w:tc>
          <w:tcPr>
            <w:tcW w:w="0" w:type="auto"/>
            <w:shd w:val="clear" w:color="auto" w:fill="FFFFFF"/>
            <w:tcMar>
              <w:top w:w="30" w:type="dxa"/>
              <w:left w:w="30" w:type="dxa"/>
              <w:bottom w:w="30" w:type="dxa"/>
              <w:right w:w="30" w:type="dxa"/>
            </w:tcMar>
          </w:tcPr>
          <w:p w:rsidR="00572411" w:rsidRPr="00D34BE8" w:rsidRDefault="00572411" w:rsidP="00D34BE8">
            <w:pPr>
              <w:spacing w:after="0" w:line="360" w:lineRule="auto"/>
              <w:jc w:val="both"/>
              <w:rPr>
                <w:rFonts w:ascii="Book Antiqua" w:hAnsi="Book Antiqua"/>
                <w:sz w:val="20"/>
                <w:szCs w:val="20"/>
              </w:rPr>
            </w:pPr>
            <w:r w:rsidRPr="00D34BE8">
              <w:rPr>
                <w:rFonts w:ascii="Book Antiqua" w:hAnsi="Book Antiqua"/>
                <w:sz w:val="20"/>
                <w:szCs w:val="20"/>
              </w:rPr>
              <w:t>4194.879</w:t>
            </w:r>
          </w:p>
        </w:tc>
        <w:tc>
          <w:tcPr>
            <w:tcW w:w="1842" w:type="dxa"/>
            <w:shd w:val="clear" w:color="auto" w:fill="FFFFFF"/>
            <w:tcMar>
              <w:top w:w="30" w:type="dxa"/>
              <w:left w:w="30" w:type="dxa"/>
              <w:bottom w:w="30" w:type="dxa"/>
              <w:right w:w="30" w:type="dxa"/>
            </w:tcMar>
            <w:vAlign w:val="center"/>
          </w:tcPr>
          <w:p w:rsidR="00572411" w:rsidRPr="00D34BE8" w:rsidRDefault="00572411" w:rsidP="00D34BE8">
            <w:pPr>
              <w:spacing w:after="0" w:line="360" w:lineRule="auto"/>
              <w:jc w:val="both"/>
              <w:rPr>
                <w:rFonts w:ascii="Book Antiqua" w:hAnsi="Book Antiqua"/>
                <w:sz w:val="20"/>
                <w:szCs w:val="20"/>
              </w:rPr>
            </w:pPr>
          </w:p>
        </w:tc>
      </w:tr>
    </w:tbl>
    <w:p w:rsidR="00C7222A" w:rsidRPr="00D34BE8" w:rsidRDefault="00572411" w:rsidP="00D34BE8">
      <w:pPr>
        <w:spacing w:after="0" w:line="360" w:lineRule="auto"/>
        <w:jc w:val="both"/>
        <w:rPr>
          <w:rFonts w:ascii="Book Antiqua" w:hAnsi="Book Antiqua"/>
          <w:sz w:val="20"/>
          <w:szCs w:val="20"/>
        </w:rPr>
      </w:pPr>
      <w:r w:rsidRPr="00D34BE8">
        <w:rPr>
          <w:rFonts w:ascii="Book Antiqua" w:hAnsi="Book Antiqua"/>
          <w:sz w:val="20"/>
          <w:szCs w:val="20"/>
        </w:rPr>
        <w:t xml:space="preserve">AST: Aspartate aminotransferase; </w:t>
      </w:r>
      <w:r w:rsidR="002F081B" w:rsidRPr="00D34BE8">
        <w:rPr>
          <w:rFonts w:ascii="Book Antiqua" w:hAnsi="Book Antiqua"/>
          <w:sz w:val="20"/>
          <w:szCs w:val="20"/>
        </w:rPr>
        <w:t xml:space="preserve">df: </w:t>
      </w:r>
      <w:r w:rsidR="000018AB" w:rsidRPr="00D34BE8">
        <w:rPr>
          <w:rFonts w:ascii="Book Antiqua" w:hAnsi="Book Antiqua"/>
          <w:sz w:val="20"/>
          <w:szCs w:val="20"/>
        </w:rPr>
        <w:t>D</w:t>
      </w:r>
      <w:r w:rsidR="002F081B" w:rsidRPr="00D34BE8">
        <w:rPr>
          <w:rFonts w:ascii="Book Antiqua" w:hAnsi="Book Antiqua"/>
          <w:sz w:val="20"/>
          <w:szCs w:val="20"/>
        </w:rPr>
        <w:t xml:space="preserve">egree of freedom; </w:t>
      </w:r>
      <w:r w:rsidRPr="00D34BE8">
        <w:rPr>
          <w:rFonts w:ascii="Book Antiqua" w:hAnsi="Book Antiqua"/>
          <w:sz w:val="20"/>
          <w:szCs w:val="20"/>
        </w:rPr>
        <w:t>CI: Confidence interval.</w:t>
      </w:r>
    </w:p>
    <w:p w:rsidR="002F081B" w:rsidRPr="00D34BE8" w:rsidRDefault="002F081B" w:rsidP="00D34BE8">
      <w:pPr>
        <w:spacing w:after="0" w:line="360" w:lineRule="auto"/>
        <w:jc w:val="both"/>
        <w:rPr>
          <w:rFonts w:ascii="Book Antiqua" w:hAnsi="Book Antiqua"/>
          <w:sz w:val="20"/>
          <w:szCs w:val="20"/>
        </w:rPr>
      </w:pPr>
    </w:p>
    <w:p w:rsidR="00572411" w:rsidRPr="00D34BE8" w:rsidRDefault="00B5478B" w:rsidP="00D34BE8">
      <w:pPr>
        <w:spacing w:after="0" w:line="360" w:lineRule="auto"/>
        <w:jc w:val="both"/>
        <w:rPr>
          <w:rFonts w:ascii="Book Antiqua" w:hAnsi="Book Antiqua"/>
          <w:b/>
          <w:bCs/>
          <w:sz w:val="20"/>
          <w:szCs w:val="20"/>
        </w:rPr>
      </w:pPr>
      <w:r>
        <w:rPr>
          <w:rFonts w:ascii="Book Antiqua" w:hAnsi="Book Antiqua"/>
          <w:b/>
          <w:bCs/>
          <w:sz w:val="20"/>
          <w:szCs w:val="20"/>
        </w:rPr>
        <w:br w:type="page"/>
      </w:r>
      <w:r w:rsidR="002F081B" w:rsidRPr="00D34BE8">
        <w:rPr>
          <w:rFonts w:ascii="Book Antiqua" w:hAnsi="Book Antiqua"/>
          <w:b/>
          <w:bCs/>
          <w:sz w:val="20"/>
          <w:szCs w:val="20"/>
        </w:rPr>
        <w:t>Table 6 Comparison of various parameters of each model</w:t>
      </w:r>
    </w:p>
    <w:tbl>
      <w:tblPr>
        <w:tblW w:w="10065" w:type="dxa"/>
        <w:tblInd w:w="-3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30" w:type="dxa"/>
          <w:right w:w="30" w:type="dxa"/>
        </w:tblCellMar>
        <w:tblLook w:val="0000" w:firstRow="0" w:lastRow="0" w:firstColumn="0" w:lastColumn="0" w:noHBand="0" w:noVBand="0"/>
      </w:tblPr>
      <w:tblGrid>
        <w:gridCol w:w="1977"/>
        <w:gridCol w:w="600"/>
        <w:gridCol w:w="848"/>
        <w:gridCol w:w="600"/>
        <w:gridCol w:w="1964"/>
        <w:gridCol w:w="1247"/>
        <w:gridCol w:w="1233"/>
        <w:gridCol w:w="1596"/>
      </w:tblGrid>
      <w:tr w:rsidR="002F081B" w:rsidRPr="00D34BE8" w:rsidTr="002F081B">
        <w:trPr>
          <w:cantSplit/>
          <w:trHeight w:val="530"/>
          <w:tblHeader/>
        </w:trPr>
        <w:tc>
          <w:tcPr>
            <w:tcW w:w="1977"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2F081B" w:rsidRPr="00D34BE8" w:rsidRDefault="002F081B" w:rsidP="00D34BE8">
            <w:pPr>
              <w:spacing w:after="0" w:line="360" w:lineRule="auto"/>
              <w:jc w:val="both"/>
              <w:rPr>
                <w:rFonts w:ascii="Book Antiqua" w:hAnsi="Book Antiqua" w:cs="宋体"/>
                <w:b/>
                <w:bCs/>
                <w:sz w:val="20"/>
                <w:szCs w:val="20"/>
              </w:rPr>
            </w:pPr>
          </w:p>
        </w:tc>
        <w:tc>
          <w:tcPr>
            <w:tcW w:w="0" w:type="auto"/>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2F081B" w:rsidRPr="00D34BE8" w:rsidRDefault="002F081B" w:rsidP="00D34BE8">
            <w:pPr>
              <w:spacing w:after="0" w:line="360" w:lineRule="auto"/>
              <w:jc w:val="both"/>
              <w:rPr>
                <w:rFonts w:ascii="Book Antiqua" w:hAnsi="Book Antiqua"/>
                <w:b/>
                <w:bCs/>
                <w:sz w:val="20"/>
                <w:szCs w:val="20"/>
              </w:rPr>
            </w:pPr>
            <w:r w:rsidRPr="00D34BE8">
              <w:rPr>
                <w:rFonts w:ascii="Book Antiqua" w:hAnsi="Book Antiqua"/>
                <w:b/>
                <w:bCs/>
                <w:sz w:val="20"/>
                <w:szCs w:val="20"/>
              </w:rPr>
              <w:t>Area</w:t>
            </w:r>
          </w:p>
        </w:tc>
        <w:tc>
          <w:tcPr>
            <w:tcW w:w="848"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2F081B" w:rsidRPr="00D34BE8" w:rsidRDefault="002F081B" w:rsidP="00D34BE8">
            <w:pPr>
              <w:spacing w:after="0" w:line="360" w:lineRule="auto"/>
              <w:jc w:val="both"/>
              <w:rPr>
                <w:rFonts w:ascii="Book Antiqua" w:hAnsi="Book Antiqua"/>
                <w:b/>
                <w:bCs/>
                <w:sz w:val="20"/>
                <w:szCs w:val="20"/>
              </w:rPr>
            </w:pPr>
            <w:r w:rsidRPr="00D34BE8">
              <w:rPr>
                <w:rFonts w:ascii="Book Antiqua" w:hAnsi="Book Antiqua"/>
                <w:b/>
                <w:bCs/>
                <w:sz w:val="20"/>
                <w:szCs w:val="20"/>
              </w:rPr>
              <w:t>SE</w:t>
            </w:r>
          </w:p>
        </w:tc>
        <w:tc>
          <w:tcPr>
            <w:tcW w:w="60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2F081B" w:rsidRPr="00D34BE8" w:rsidRDefault="002F081B" w:rsidP="00D34BE8">
            <w:pPr>
              <w:spacing w:after="0" w:line="360" w:lineRule="auto"/>
              <w:jc w:val="both"/>
              <w:rPr>
                <w:rFonts w:ascii="Book Antiqua" w:hAnsi="Book Antiqua" w:cs="宋体"/>
                <w:b/>
                <w:bCs/>
                <w:sz w:val="20"/>
                <w:szCs w:val="20"/>
              </w:rPr>
            </w:pPr>
            <w:r w:rsidRPr="00D34BE8">
              <w:rPr>
                <w:rFonts w:ascii="Book Antiqua" w:hAnsi="Book Antiqua" w:cs="宋体"/>
                <w:b/>
                <w:bCs/>
                <w:sz w:val="20"/>
                <w:szCs w:val="20"/>
              </w:rPr>
              <w:t>Sig</w:t>
            </w:r>
          </w:p>
        </w:tc>
        <w:tc>
          <w:tcPr>
            <w:tcW w:w="1964"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2F081B" w:rsidRPr="00D34BE8" w:rsidRDefault="002F081B" w:rsidP="00D34BE8">
            <w:pPr>
              <w:spacing w:after="0" w:line="360" w:lineRule="auto"/>
              <w:jc w:val="both"/>
              <w:rPr>
                <w:rFonts w:ascii="Book Antiqua" w:hAnsi="Book Antiqua"/>
                <w:b/>
                <w:bCs/>
                <w:sz w:val="20"/>
                <w:szCs w:val="20"/>
              </w:rPr>
            </w:pPr>
            <w:r w:rsidRPr="00D34BE8">
              <w:rPr>
                <w:rFonts w:ascii="Book Antiqua" w:hAnsi="Book Antiqua"/>
                <w:b/>
                <w:bCs/>
                <w:sz w:val="20"/>
                <w:szCs w:val="20"/>
              </w:rPr>
              <w:t>95%CI of exp (B)</w:t>
            </w:r>
          </w:p>
        </w:tc>
        <w:tc>
          <w:tcPr>
            <w:tcW w:w="1247"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2F081B" w:rsidRPr="00D34BE8" w:rsidRDefault="002F081B" w:rsidP="00D34BE8">
            <w:pPr>
              <w:spacing w:after="0" w:line="360" w:lineRule="auto"/>
              <w:jc w:val="both"/>
              <w:rPr>
                <w:rFonts w:ascii="Book Antiqua" w:hAnsi="Book Antiqua"/>
                <w:b/>
                <w:bCs/>
                <w:sz w:val="20"/>
                <w:szCs w:val="20"/>
              </w:rPr>
            </w:pPr>
            <w:r w:rsidRPr="00D34BE8">
              <w:rPr>
                <w:rFonts w:ascii="Book Antiqua" w:hAnsi="Book Antiqua"/>
                <w:b/>
                <w:bCs/>
                <w:sz w:val="20"/>
                <w:szCs w:val="20"/>
              </w:rPr>
              <w:t>Sensitivity</w:t>
            </w:r>
          </w:p>
        </w:tc>
        <w:tc>
          <w:tcPr>
            <w:tcW w:w="1233"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2F081B" w:rsidRPr="00D34BE8" w:rsidRDefault="002F081B" w:rsidP="00D34BE8">
            <w:pPr>
              <w:spacing w:after="0" w:line="360" w:lineRule="auto"/>
              <w:jc w:val="both"/>
              <w:rPr>
                <w:rFonts w:ascii="Book Antiqua" w:hAnsi="Book Antiqua" w:cs="宋体"/>
                <w:b/>
                <w:bCs/>
                <w:sz w:val="20"/>
                <w:szCs w:val="20"/>
              </w:rPr>
            </w:pPr>
            <w:r w:rsidRPr="00D34BE8">
              <w:rPr>
                <w:rFonts w:ascii="Book Antiqua" w:hAnsi="Book Antiqua"/>
                <w:b/>
                <w:bCs/>
                <w:sz w:val="20"/>
                <w:szCs w:val="20"/>
              </w:rPr>
              <w:t>Specificity</w:t>
            </w:r>
          </w:p>
        </w:tc>
        <w:tc>
          <w:tcPr>
            <w:tcW w:w="1596"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2F081B" w:rsidRPr="00D34BE8" w:rsidRDefault="002F081B" w:rsidP="00D34BE8">
            <w:pPr>
              <w:spacing w:after="0" w:line="360" w:lineRule="auto"/>
              <w:jc w:val="both"/>
              <w:rPr>
                <w:rFonts w:ascii="Book Antiqua" w:hAnsi="Book Antiqua" w:cs="宋体"/>
                <w:b/>
                <w:bCs/>
                <w:sz w:val="20"/>
                <w:szCs w:val="20"/>
              </w:rPr>
            </w:pPr>
            <w:r w:rsidRPr="00D34BE8">
              <w:rPr>
                <w:rFonts w:ascii="Book Antiqua" w:hAnsi="Book Antiqua"/>
                <w:b/>
                <w:bCs/>
                <w:sz w:val="20"/>
                <w:szCs w:val="20"/>
              </w:rPr>
              <w:t>Youden</w:t>
            </w:r>
            <w:r w:rsidR="00B5478B">
              <w:rPr>
                <w:rFonts w:ascii="Book Antiqua" w:hAnsi="Book Antiqua"/>
                <w:b/>
                <w:bCs/>
                <w:sz w:val="20"/>
                <w:szCs w:val="20"/>
              </w:rPr>
              <w:t>’s</w:t>
            </w:r>
            <w:r w:rsidRPr="00D34BE8">
              <w:rPr>
                <w:rFonts w:ascii="Book Antiqua" w:hAnsi="Book Antiqua"/>
                <w:b/>
                <w:bCs/>
                <w:sz w:val="20"/>
                <w:szCs w:val="20"/>
              </w:rPr>
              <w:t xml:space="preserve"> index</w:t>
            </w:r>
          </w:p>
        </w:tc>
      </w:tr>
      <w:tr w:rsidR="002F081B" w:rsidRPr="00D34BE8" w:rsidTr="002F081B">
        <w:trPr>
          <w:cantSplit/>
          <w:tblHeader/>
        </w:trPr>
        <w:tc>
          <w:tcPr>
            <w:tcW w:w="1977" w:type="dxa"/>
            <w:tcBorders>
              <w:top w:val="single" w:sz="4" w:space="0" w:color="auto"/>
              <w:left w:val="nil"/>
              <w:bottom w:val="nil"/>
              <w:right w:val="nil"/>
            </w:tcBorders>
            <w:shd w:val="clear" w:color="auto" w:fill="FFFFFF"/>
            <w:tcMar>
              <w:top w:w="30" w:type="dxa"/>
              <w:left w:w="30" w:type="dxa"/>
              <w:bottom w:w="30" w:type="dxa"/>
              <w:right w:w="30" w:type="dxa"/>
            </w:tcMar>
          </w:tcPr>
          <w:p w:rsidR="002F081B" w:rsidRPr="00D34BE8" w:rsidRDefault="002F081B" w:rsidP="00D34BE8">
            <w:pPr>
              <w:spacing w:after="0" w:line="360" w:lineRule="auto"/>
              <w:jc w:val="both"/>
              <w:rPr>
                <w:rFonts w:ascii="Book Antiqua" w:hAnsi="Book Antiqua"/>
                <w:sz w:val="20"/>
                <w:szCs w:val="20"/>
              </w:rPr>
            </w:pPr>
            <w:r w:rsidRPr="00D34BE8">
              <w:rPr>
                <w:rFonts w:ascii="Book Antiqua" w:hAnsi="Book Antiqua"/>
                <w:sz w:val="20"/>
                <w:szCs w:val="20"/>
              </w:rPr>
              <w:t>The new model</w:t>
            </w:r>
          </w:p>
        </w:tc>
        <w:tc>
          <w:tcPr>
            <w:tcW w:w="0" w:type="auto"/>
            <w:tcBorders>
              <w:top w:val="single" w:sz="4" w:space="0" w:color="auto"/>
              <w:left w:val="nil"/>
              <w:bottom w:val="nil"/>
              <w:right w:val="nil"/>
            </w:tcBorders>
            <w:shd w:val="clear" w:color="auto" w:fill="FFFFFF"/>
            <w:tcMar>
              <w:top w:w="30" w:type="dxa"/>
              <w:left w:w="30" w:type="dxa"/>
              <w:bottom w:w="30" w:type="dxa"/>
              <w:right w:w="30" w:type="dxa"/>
            </w:tcMar>
          </w:tcPr>
          <w:p w:rsidR="002F081B" w:rsidRPr="00D34BE8" w:rsidRDefault="002F081B" w:rsidP="00D34BE8">
            <w:pPr>
              <w:spacing w:after="0" w:line="360" w:lineRule="auto"/>
              <w:jc w:val="both"/>
              <w:rPr>
                <w:rFonts w:ascii="Book Antiqua" w:hAnsi="Book Antiqua"/>
                <w:sz w:val="20"/>
                <w:szCs w:val="20"/>
              </w:rPr>
            </w:pPr>
            <w:r w:rsidRPr="00D34BE8">
              <w:rPr>
                <w:rFonts w:ascii="Book Antiqua" w:hAnsi="Book Antiqua"/>
                <w:sz w:val="20"/>
                <w:szCs w:val="20"/>
              </w:rPr>
              <w:t>0.865</w:t>
            </w:r>
          </w:p>
        </w:tc>
        <w:tc>
          <w:tcPr>
            <w:tcW w:w="848" w:type="dxa"/>
            <w:tcBorders>
              <w:top w:val="single" w:sz="4" w:space="0" w:color="auto"/>
              <w:left w:val="nil"/>
              <w:bottom w:val="nil"/>
              <w:right w:val="nil"/>
            </w:tcBorders>
            <w:shd w:val="clear" w:color="auto" w:fill="FFFFFF"/>
            <w:tcMar>
              <w:top w:w="30" w:type="dxa"/>
              <w:left w:w="30" w:type="dxa"/>
              <w:bottom w:w="30" w:type="dxa"/>
              <w:right w:w="30" w:type="dxa"/>
            </w:tcMar>
          </w:tcPr>
          <w:p w:rsidR="002F081B" w:rsidRPr="00D34BE8" w:rsidRDefault="002F081B" w:rsidP="00D34BE8">
            <w:pPr>
              <w:spacing w:after="0" w:line="360" w:lineRule="auto"/>
              <w:jc w:val="both"/>
              <w:rPr>
                <w:rFonts w:ascii="Book Antiqua" w:hAnsi="Book Antiqua"/>
                <w:sz w:val="20"/>
                <w:szCs w:val="20"/>
              </w:rPr>
            </w:pPr>
            <w:r w:rsidRPr="00D34BE8">
              <w:rPr>
                <w:rFonts w:ascii="Book Antiqua" w:hAnsi="Book Antiqua"/>
                <w:sz w:val="20"/>
                <w:szCs w:val="20"/>
              </w:rPr>
              <w:t>0.054</w:t>
            </w:r>
          </w:p>
        </w:tc>
        <w:tc>
          <w:tcPr>
            <w:tcW w:w="600" w:type="dxa"/>
            <w:tcBorders>
              <w:top w:val="single" w:sz="4" w:space="0" w:color="auto"/>
              <w:left w:val="nil"/>
              <w:bottom w:val="nil"/>
              <w:right w:val="nil"/>
            </w:tcBorders>
            <w:shd w:val="clear" w:color="auto" w:fill="FFFFFF"/>
            <w:tcMar>
              <w:top w:w="30" w:type="dxa"/>
              <w:left w:w="30" w:type="dxa"/>
              <w:bottom w:w="30" w:type="dxa"/>
              <w:right w:w="30" w:type="dxa"/>
            </w:tcMar>
          </w:tcPr>
          <w:p w:rsidR="002F081B" w:rsidRPr="00D34BE8" w:rsidRDefault="002F081B" w:rsidP="00D34BE8">
            <w:pPr>
              <w:spacing w:after="0" w:line="360" w:lineRule="auto"/>
              <w:jc w:val="both"/>
              <w:rPr>
                <w:rFonts w:ascii="Book Antiqua" w:hAnsi="Book Antiqua"/>
                <w:sz w:val="20"/>
                <w:szCs w:val="20"/>
              </w:rPr>
            </w:pPr>
            <w:r w:rsidRPr="00D34BE8">
              <w:rPr>
                <w:rFonts w:ascii="Book Antiqua" w:hAnsi="Book Antiqua"/>
                <w:sz w:val="20"/>
                <w:szCs w:val="20"/>
              </w:rPr>
              <w:t>0.000</w:t>
            </w:r>
          </w:p>
        </w:tc>
        <w:tc>
          <w:tcPr>
            <w:tcW w:w="1964" w:type="dxa"/>
            <w:tcBorders>
              <w:top w:val="single" w:sz="4" w:space="0" w:color="auto"/>
              <w:left w:val="nil"/>
              <w:bottom w:val="nil"/>
              <w:right w:val="nil"/>
            </w:tcBorders>
            <w:shd w:val="clear" w:color="auto" w:fill="FFFFFF"/>
            <w:tcMar>
              <w:top w:w="30" w:type="dxa"/>
              <w:left w:w="30" w:type="dxa"/>
              <w:bottom w:w="30" w:type="dxa"/>
              <w:right w:w="30" w:type="dxa"/>
            </w:tcMar>
          </w:tcPr>
          <w:p w:rsidR="002F081B" w:rsidRPr="00D34BE8" w:rsidRDefault="002F081B" w:rsidP="00D34BE8">
            <w:pPr>
              <w:spacing w:after="0" w:line="360" w:lineRule="auto"/>
              <w:jc w:val="both"/>
              <w:rPr>
                <w:rFonts w:ascii="Book Antiqua" w:hAnsi="Book Antiqua"/>
                <w:sz w:val="20"/>
                <w:szCs w:val="20"/>
              </w:rPr>
            </w:pPr>
            <w:r w:rsidRPr="00D34BE8">
              <w:rPr>
                <w:rFonts w:ascii="Book Antiqua" w:hAnsi="Book Antiqua"/>
                <w:sz w:val="20"/>
                <w:szCs w:val="20"/>
              </w:rPr>
              <w:t>0.759-0.970</w:t>
            </w:r>
          </w:p>
        </w:tc>
        <w:tc>
          <w:tcPr>
            <w:tcW w:w="1247" w:type="dxa"/>
            <w:tcBorders>
              <w:top w:val="single" w:sz="4" w:space="0" w:color="auto"/>
              <w:left w:val="nil"/>
              <w:bottom w:val="nil"/>
              <w:right w:val="nil"/>
            </w:tcBorders>
            <w:shd w:val="clear" w:color="auto" w:fill="FFFFFF"/>
            <w:tcMar>
              <w:top w:w="30" w:type="dxa"/>
              <w:left w:w="30" w:type="dxa"/>
              <w:bottom w:w="30" w:type="dxa"/>
              <w:right w:w="30" w:type="dxa"/>
            </w:tcMar>
          </w:tcPr>
          <w:p w:rsidR="002F081B" w:rsidRPr="00D34BE8" w:rsidRDefault="002F081B" w:rsidP="00D34BE8">
            <w:pPr>
              <w:spacing w:after="0" w:line="360" w:lineRule="auto"/>
              <w:jc w:val="both"/>
              <w:rPr>
                <w:rFonts w:ascii="Book Antiqua" w:hAnsi="Book Antiqua"/>
                <w:sz w:val="20"/>
                <w:szCs w:val="20"/>
              </w:rPr>
            </w:pPr>
            <w:r w:rsidRPr="00D34BE8">
              <w:rPr>
                <w:rFonts w:ascii="Book Antiqua" w:hAnsi="Book Antiqua"/>
                <w:sz w:val="20"/>
                <w:szCs w:val="20"/>
              </w:rPr>
              <w:t>0.91</w:t>
            </w:r>
          </w:p>
        </w:tc>
        <w:tc>
          <w:tcPr>
            <w:tcW w:w="1233" w:type="dxa"/>
            <w:tcBorders>
              <w:top w:val="single" w:sz="4" w:space="0" w:color="auto"/>
              <w:left w:val="nil"/>
              <w:bottom w:val="nil"/>
              <w:right w:val="nil"/>
            </w:tcBorders>
            <w:shd w:val="clear" w:color="auto" w:fill="FFFFFF"/>
            <w:tcMar>
              <w:top w:w="30" w:type="dxa"/>
              <w:left w:w="30" w:type="dxa"/>
              <w:bottom w:w="30" w:type="dxa"/>
              <w:right w:w="30" w:type="dxa"/>
            </w:tcMar>
          </w:tcPr>
          <w:p w:rsidR="002F081B" w:rsidRPr="00D34BE8" w:rsidRDefault="002F081B" w:rsidP="00D34BE8">
            <w:pPr>
              <w:spacing w:after="0" w:line="360" w:lineRule="auto"/>
              <w:jc w:val="both"/>
              <w:rPr>
                <w:rFonts w:ascii="Book Antiqua" w:hAnsi="Book Antiqua"/>
                <w:sz w:val="20"/>
                <w:szCs w:val="20"/>
              </w:rPr>
            </w:pPr>
            <w:r w:rsidRPr="00D34BE8">
              <w:rPr>
                <w:rFonts w:ascii="Book Antiqua" w:hAnsi="Book Antiqua"/>
                <w:sz w:val="20"/>
                <w:szCs w:val="20"/>
              </w:rPr>
              <w:t>0.80</w:t>
            </w:r>
          </w:p>
        </w:tc>
        <w:tc>
          <w:tcPr>
            <w:tcW w:w="1596" w:type="dxa"/>
            <w:tcBorders>
              <w:top w:val="single" w:sz="4" w:space="0" w:color="auto"/>
              <w:left w:val="nil"/>
              <w:bottom w:val="nil"/>
              <w:right w:val="nil"/>
            </w:tcBorders>
            <w:shd w:val="clear" w:color="auto" w:fill="FFFFFF"/>
            <w:tcMar>
              <w:top w:w="30" w:type="dxa"/>
              <w:left w:w="30" w:type="dxa"/>
              <w:bottom w:w="30" w:type="dxa"/>
              <w:right w:w="30" w:type="dxa"/>
            </w:tcMar>
          </w:tcPr>
          <w:p w:rsidR="002F081B" w:rsidRPr="00D34BE8" w:rsidRDefault="002F081B" w:rsidP="00D34BE8">
            <w:pPr>
              <w:spacing w:after="0" w:line="360" w:lineRule="auto"/>
              <w:jc w:val="both"/>
              <w:rPr>
                <w:rFonts w:ascii="Book Antiqua" w:hAnsi="Book Antiqua"/>
                <w:sz w:val="20"/>
                <w:szCs w:val="20"/>
              </w:rPr>
            </w:pPr>
            <w:r w:rsidRPr="00D34BE8">
              <w:rPr>
                <w:rFonts w:ascii="Book Antiqua" w:hAnsi="Book Antiqua"/>
                <w:sz w:val="20"/>
                <w:szCs w:val="20"/>
              </w:rPr>
              <w:t>0.71</w:t>
            </w:r>
          </w:p>
        </w:tc>
      </w:tr>
      <w:tr w:rsidR="002F081B" w:rsidRPr="00D34BE8" w:rsidTr="002F081B">
        <w:trPr>
          <w:cantSplit/>
          <w:tblHeader/>
        </w:trPr>
        <w:tc>
          <w:tcPr>
            <w:tcW w:w="1977" w:type="dxa"/>
            <w:tcBorders>
              <w:top w:val="nil"/>
              <w:left w:val="nil"/>
              <w:bottom w:val="nil"/>
              <w:right w:val="nil"/>
            </w:tcBorders>
            <w:shd w:val="clear" w:color="auto" w:fill="FFFFFF"/>
            <w:tcMar>
              <w:top w:w="30" w:type="dxa"/>
              <w:left w:w="30" w:type="dxa"/>
              <w:bottom w:w="30" w:type="dxa"/>
              <w:right w:w="30" w:type="dxa"/>
            </w:tcMar>
          </w:tcPr>
          <w:p w:rsidR="002F081B" w:rsidRPr="00D34BE8" w:rsidRDefault="002F081B" w:rsidP="00D34BE8">
            <w:pPr>
              <w:spacing w:after="0" w:line="360" w:lineRule="auto"/>
              <w:jc w:val="both"/>
              <w:rPr>
                <w:rFonts w:ascii="Book Antiqua" w:hAnsi="Book Antiqua"/>
                <w:sz w:val="20"/>
                <w:szCs w:val="20"/>
              </w:rPr>
            </w:pPr>
            <w:r w:rsidRPr="00D34BE8">
              <w:rPr>
                <w:rFonts w:ascii="Book Antiqua" w:hAnsi="Book Antiqua"/>
                <w:sz w:val="20"/>
                <w:szCs w:val="20"/>
              </w:rPr>
              <w:t>LSPS</w:t>
            </w:r>
          </w:p>
        </w:tc>
        <w:tc>
          <w:tcPr>
            <w:tcW w:w="0" w:type="auto"/>
            <w:tcBorders>
              <w:top w:val="nil"/>
              <w:left w:val="nil"/>
              <w:bottom w:val="nil"/>
              <w:right w:val="nil"/>
            </w:tcBorders>
            <w:shd w:val="clear" w:color="auto" w:fill="FFFFFF"/>
            <w:tcMar>
              <w:top w:w="30" w:type="dxa"/>
              <w:left w:w="30" w:type="dxa"/>
              <w:bottom w:w="30" w:type="dxa"/>
              <w:right w:w="30" w:type="dxa"/>
            </w:tcMar>
          </w:tcPr>
          <w:p w:rsidR="002F081B" w:rsidRPr="00D34BE8" w:rsidRDefault="002F081B" w:rsidP="00D34BE8">
            <w:pPr>
              <w:spacing w:after="0" w:line="360" w:lineRule="auto"/>
              <w:jc w:val="both"/>
              <w:rPr>
                <w:rFonts w:ascii="Book Antiqua" w:hAnsi="Book Antiqua"/>
                <w:sz w:val="20"/>
                <w:szCs w:val="20"/>
              </w:rPr>
            </w:pPr>
            <w:r w:rsidRPr="00D34BE8">
              <w:rPr>
                <w:rFonts w:ascii="Book Antiqua" w:hAnsi="Book Antiqua"/>
                <w:sz w:val="20"/>
                <w:szCs w:val="20"/>
              </w:rPr>
              <w:t>0.591</w:t>
            </w:r>
          </w:p>
        </w:tc>
        <w:tc>
          <w:tcPr>
            <w:tcW w:w="848" w:type="dxa"/>
            <w:tcBorders>
              <w:top w:val="nil"/>
              <w:left w:val="nil"/>
              <w:bottom w:val="nil"/>
              <w:right w:val="nil"/>
            </w:tcBorders>
            <w:shd w:val="clear" w:color="auto" w:fill="FFFFFF"/>
            <w:tcMar>
              <w:top w:w="30" w:type="dxa"/>
              <w:left w:w="30" w:type="dxa"/>
              <w:bottom w:w="30" w:type="dxa"/>
              <w:right w:w="30" w:type="dxa"/>
            </w:tcMar>
          </w:tcPr>
          <w:p w:rsidR="002F081B" w:rsidRPr="00D34BE8" w:rsidRDefault="002F081B" w:rsidP="00D34BE8">
            <w:pPr>
              <w:spacing w:after="0" w:line="360" w:lineRule="auto"/>
              <w:jc w:val="both"/>
              <w:rPr>
                <w:rFonts w:ascii="Book Antiqua" w:hAnsi="Book Antiqua"/>
                <w:sz w:val="20"/>
                <w:szCs w:val="20"/>
              </w:rPr>
            </w:pPr>
            <w:r w:rsidRPr="00D34BE8">
              <w:rPr>
                <w:rFonts w:ascii="Book Antiqua" w:hAnsi="Book Antiqua"/>
                <w:sz w:val="20"/>
                <w:szCs w:val="20"/>
              </w:rPr>
              <w:t>0.072</w:t>
            </w:r>
          </w:p>
        </w:tc>
        <w:tc>
          <w:tcPr>
            <w:tcW w:w="600" w:type="dxa"/>
            <w:tcBorders>
              <w:top w:val="nil"/>
              <w:left w:val="nil"/>
              <w:bottom w:val="nil"/>
              <w:right w:val="nil"/>
            </w:tcBorders>
            <w:shd w:val="clear" w:color="auto" w:fill="FFFFFF"/>
            <w:tcMar>
              <w:top w:w="30" w:type="dxa"/>
              <w:left w:w="30" w:type="dxa"/>
              <w:bottom w:w="30" w:type="dxa"/>
              <w:right w:w="30" w:type="dxa"/>
            </w:tcMar>
          </w:tcPr>
          <w:p w:rsidR="002F081B" w:rsidRPr="00D34BE8" w:rsidRDefault="002F081B" w:rsidP="00D34BE8">
            <w:pPr>
              <w:spacing w:after="0" w:line="360" w:lineRule="auto"/>
              <w:jc w:val="both"/>
              <w:rPr>
                <w:rFonts w:ascii="Book Antiqua" w:hAnsi="Book Antiqua"/>
                <w:sz w:val="20"/>
                <w:szCs w:val="20"/>
              </w:rPr>
            </w:pPr>
            <w:r w:rsidRPr="00D34BE8">
              <w:rPr>
                <w:rFonts w:ascii="Book Antiqua" w:hAnsi="Book Antiqua"/>
                <w:sz w:val="20"/>
                <w:szCs w:val="20"/>
              </w:rPr>
              <w:t>0.210</w:t>
            </w:r>
          </w:p>
        </w:tc>
        <w:tc>
          <w:tcPr>
            <w:tcW w:w="1964" w:type="dxa"/>
            <w:tcBorders>
              <w:top w:val="nil"/>
              <w:left w:val="nil"/>
              <w:bottom w:val="nil"/>
              <w:right w:val="nil"/>
            </w:tcBorders>
            <w:shd w:val="clear" w:color="auto" w:fill="FFFFFF"/>
            <w:tcMar>
              <w:top w:w="30" w:type="dxa"/>
              <w:left w:w="30" w:type="dxa"/>
              <w:bottom w:w="30" w:type="dxa"/>
              <w:right w:w="30" w:type="dxa"/>
            </w:tcMar>
          </w:tcPr>
          <w:p w:rsidR="002F081B" w:rsidRPr="00D34BE8" w:rsidRDefault="002F081B" w:rsidP="00D34BE8">
            <w:pPr>
              <w:spacing w:after="0" w:line="360" w:lineRule="auto"/>
              <w:jc w:val="both"/>
              <w:rPr>
                <w:rFonts w:ascii="Book Antiqua" w:hAnsi="Book Antiqua"/>
                <w:sz w:val="20"/>
                <w:szCs w:val="20"/>
              </w:rPr>
            </w:pPr>
            <w:r w:rsidRPr="00D34BE8">
              <w:rPr>
                <w:rFonts w:ascii="Book Antiqua" w:hAnsi="Book Antiqua"/>
                <w:sz w:val="20"/>
                <w:szCs w:val="20"/>
              </w:rPr>
              <w:t>0.450-0.732</w:t>
            </w:r>
          </w:p>
        </w:tc>
        <w:tc>
          <w:tcPr>
            <w:tcW w:w="1247" w:type="dxa"/>
            <w:tcBorders>
              <w:top w:val="nil"/>
              <w:left w:val="nil"/>
              <w:bottom w:val="nil"/>
              <w:right w:val="nil"/>
            </w:tcBorders>
            <w:shd w:val="clear" w:color="auto" w:fill="FFFFFF"/>
            <w:tcMar>
              <w:top w:w="30" w:type="dxa"/>
              <w:left w:w="30" w:type="dxa"/>
              <w:bottom w:w="30" w:type="dxa"/>
              <w:right w:w="30" w:type="dxa"/>
            </w:tcMar>
          </w:tcPr>
          <w:p w:rsidR="002F081B" w:rsidRPr="00D34BE8" w:rsidRDefault="002F081B" w:rsidP="00D34BE8">
            <w:pPr>
              <w:spacing w:after="0" w:line="360" w:lineRule="auto"/>
              <w:jc w:val="both"/>
              <w:rPr>
                <w:rFonts w:ascii="Book Antiqua" w:hAnsi="Book Antiqua"/>
                <w:sz w:val="20"/>
                <w:szCs w:val="20"/>
              </w:rPr>
            </w:pPr>
            <w:r w:rsidRPr="00D34BE8">
              <w:rPr>
                <w:rFonts w:ascii="Book Antiqua" w:hAnsi="Book Antiqua"/>
                <w:sz w:val="20"/>
                <w:szCs w:val="20"/>
              </w:rPr>
              <w:t>0.85</w:t>
            </w:r>
          </w:p>
        </w:tc>
        <w:tc>
          <w:tcPr>
            <w:tcW w:w="1233" w:type="dxa"/>
            <w:tcBorders>
              <w:top w:val="nil"/>
              <w:left w:val="nil"/>
              <w:bottom w:val="nil"/>
              <w:right w:val="nil"/>
            </w:tcBorders>
            <w:shd w:val="clear" w:color="auto" w:fill="FFFFFF"/>
            <w:tcMar>
              <w:top w:w="30" w:type="dxa"/>
              <w:left w:w="30" w:type="dxa"/>
              <w:bottom w:w="30" w:type="dxa"/>
              <w:right w:w="30" w:type="dxa"/>
            </w:tcMar>
          </w:tcPr>
          <w:p w:rsidR="002F081B" w:rsidRPr="00D34BE8" w:rsidRDefault="002F081B" w:rsidP="00D34BE8">
            <w:pPr>
              <w:spacing w:after="0" w:line="360" w:lineRule="auto"/>
              <w:jc w:val="both"/>
              <w:rPr>
                <w:rFonts w:ascii="Book Antiqua" w:hAnsi="Book Antiqua"/>
                <w:sz w:val="20"/>
                <w:szCs w:val="20"/>
              </w:rPr>
            </w:pPr>
            <w:r w:rsidRPr="00D34BE8">
              <w:rPr>
                <w:rFonts w:ascii="Book Antiqua" w:hAnsi="Book Antiqua"/>
                <w:sz w:val="20"/>
                <w:szCs w:val="20"/>
              </w:rPr>
              <w:t>0.37</w:t>
            </w:r>
          </w:p>
        </w:tc>
        <w:tc>
          <w:tcPr>
            <w:tcW w:w="1596" w:type="dxa"/>
            <w:tcBorders>
              <w:top w:val="nil"/>
              <w:left w:val="nil"/>
              <w:bottom w:val="nil"/>
              <w:right w:val="nil"/>
            </w:tcBorders>
            <w:shd w:val="clear" w:color="auto" w:fill="FFFFFF"/>
            <w:tcMar>
              <w:top w:w="30" w:type="dxa"/>
              <w:left w:w="30" w:type="dxa"/>
              <w:bottom w:w="30" w:type="dxa"/>
              <w:right w:w="30" w:type="dxa"/>
            </w:tcMar>
          </w:tcPr>
          <w:p w:rsidR="002F081B" w:rsidRPr="00D34BE8" w:rsidRDefault="002F081B" w:rsidP="00D34BE8">
            <w:pPr>
              <w:spacing w:after="0" w:line="360" w:lineRule="auto"/>
              <w:jc w:val="both"/>
              <w:rPr>
                <w:rFonts w:ascii="Book Antiqua" w:hAnsi="Book Antiqua"/>
                <w:sz w:val="20"/>
                <w:szCs w:val="20"/>
              </w:rPr>
            </w:pPr>
            <w:r w:rsidRPr="00D34BE8">
              <w:rPr>
                <w:rFonts w:ascii="Book Antiqua" w:hAnsi="Book Antiqua"/>
                <w:sz w:val="20"/>
                <w:szCs w:val="20"/>
              </w:rPr>
              <w:t>0.22</w:t>
            </w:r>
          </w:p>
        </w:tc>
      </w:tr>
      <w:tr w:rsidR="002F081B" w:rsidRPr="00D34BE8" w:rsidTr="002F081B">
        <w:trPr>
          <w:cantSplit/>
          <w:tblHeader/>
        </w:trPr>
        <w:tc>
          <w:tcPr>
            <w:tcW w:w="1977" w:type="dxa"/>
            <w:tcBorders>
              <w:top w:val="nil"/>
              <w:left w:val="nil"/>
              <w:bottom w:val="nil"/>
              <w:right w:val="nil"/>
            </w:tcBorders>
            <w:shd w:val="clear" w:color="auto" w:fill="FFFFFF"/>
            <w:tcMar>
              <w:top w:w="30" w:type="dxa"/>
              <w:left w:w="30" w:type="dxa"/>
              <w:bottom w:w="30" w:type="dxa"/>
              <w:right w:w="30" w:type="dxa"/>
            </w:tcMar>
          </w:tcPr>
          <w:p w:rsidR="002F081B" w:rsidRPr="00D34BE8" w:rsidRDefault="002F081B" w:rsidP="00D34BE8">
            <w:pPr>
              <w:spacing w:after="0" w:line="360" w:lineRule="auto"/>
              <w:jc w:val="both"/>
              <w:rPr>
                <w:rFonts w:ascii="Book Antiqua" w:hAnsi="Book Antiqua"/>
                <w:sz w:val="20"/>
                <w:szCs w:val="20"/>
              </w:rPr>
            </w:pPr>
            <w:r w:rsidRPr="00D34BE8">
              <w:rPr>
                <w:rFonts w:ascii="Book Antiqua" w:hAnsi="Book Antiqua"/>
                <w:sz w:val="20"/>
                <w:szCs w:val="20"/>
              </w:rPr>
              <w:t>VRI</w:t>
            </w:r>
          </w:p>
        </w:tc>
        <w:tc>
          <w:tcPr>
            <w:tcW w:w="0" w:type="auto"/>
            <w:tcBorders>
              <w:top w:val="nil"/>
              <w:left w:val="nil"/>
              <w:bottom w:val="nil"/>
              <w:right w:val="nil"/>
            </w:tcBorders>
            <w:shd w:val="clear" w:color="auto" w:fill="FFFFFF"/>
            <w:tcMar>
              <w:top w:w="30" w:type="dxa"/>
              <w:left w:w="30" w:type="dxa"/>
              <w:bottom w:w="30" w:type="dxa"/>
              <w:right w:w="30" w:type="dxa"/>
            </w:tcMar>
          </w:tcPr>
          <w:p w:rsidR="002F081B" w:rsidRPr="00D34BE8" w:rsidRDefault="002F081B" w:rsidP="00D34BE8">
            <w:pPr>
              <w:spacing w:after="0" w:line="360" w:lineRule="auto"/>
              <w:jc w:val="both"/>
              <w:rPr>
                <w:rFonts w:ascii="Book Antiqua" w:hAnsi="Book Antiqua"/>
                <w:sz w:val="20"/>
                <w:szCs w:val="20"/>
              </w:rPr>
            </w:pPr>
            <w:r w:rsidRPr="00D34BE8">
              <w:rPr>
                <w:rFonts w:ascii="Book Antiqua" w:hAnsi="Book Antiqua"/>
                <w:sz w:val="20"/>
                <w:szCs w:val="20"/>
              </w:rPr>
              <w:t>0.717</w:t>
            </w:r>
          </w:p>
        </w:tc>
        <w:tc>
          <w:tcPr>
            <w:tcW w:w="848" w:type="dxa"/>
            <w:tcBorders>
              <w:top w:val="nil"/>
              <w:left w:val="nil"/>
              <w:bottom w:val="nil"/>
              <w:right w:val="nil"/>
            </w:tcBorders>
            <w:shd w:val="clear" w:color="auto" w:fill="FFFFFF"/>
            <w:tcMar>
              <w:top w:w="30" w:type="dxa"/>
              <w:left w:w="30" w:type="dxa"/>
              <w:bottom w:w="30" w:type="dxa"/>
              <w:right w:w="30" w:type="dxa"/>
            </w:tcMar>
          </w:tcPr>
          <w:p w:rsidR="002F081B" w:rsidRPr="00D34BE8" w:rsidRDefault="002F081B" w:rsidP="00D34BE8">
            <w:pPr>
              <w:spacing w:after="0" w:line="360" w:lineRule="auto"/>
              <w:jc w:val="both"/>
              <w:rPr>
                <w:rFonts w:ascii="Book Antiqua" w:hAnsi="Book Antiqua"/>
                <w:sz w:val="20"/>
                <w:szCs w:val="20"/>
              </w:rPr>
            </w:pPr>
            <w:r w:rsidRPr="00D34BE8">
              <w:rPr>
                <w:rFonts w:ascii="Book Antiqua" w:hAnsi="Book Antiqua"/>
                <w:sz w:val="20"/>
                <w:szCs w:val="20"/>
              </w:rPr>
              <w:t>0.065</w:t>
            </w:r>
          </w:p>
        </w:tc>
        <w:tc>
          <w:tcPr>
            <w:tcW w:w="600" w:type="dxa"/>
            <w:tcBorders>
              <w:top w:val="nil"/>
              <w:left w:val="nil"/>
              <w:bottom w:val="nil"/>
              <w:right w:val="nil"/>
            </w:tcBorders>
            <w:shd w:val="clear" w:color="auto" w:fill="FFFFFF"/>
            <w:tcMar>
              <w:top w:w="30" w:type="dxa"/>
              <w:left w:w="30" w:type="dxa"/>
              <w:bottom w:w="30" w:type="dxa"/>
              <w:right w:w="30" w:type="dxa"/>
            </w:tcMar>
          </w:tcPr>
          <w:p w:rsidR="002F081B" w:rsidRPr="00D34BE8" w:rsidRDefault="002F081B" w:rsidP="00D34BE8">
            <w:pPr>
              <w:spacing w:after="0" w:line="360" w:lineRule="auto"/>
              <w:jc w:val="both"/>
              <w:rPr>
                <w:rFonts w:ascii="Book Antiqua" w:hAnsi="Book Antiqua"/>
                <w:sz w:val="20"/>
                <w:szCs w:val="20"/>
              </w:rPr>
            </w:pPr>
            <w:r w:rsidRPr="00D34BE8">
              <w:rPr>
                <w:rFonts w:ascii="Book Antiqua" w:hAnsi="Book Antiqua"/>
                <w:sz w:val="20"/>
                <w:szCs w:val="20"/>
              </w:rPr>
              <w:t>0.003</w:t>
            </w:r>
          </w:p>
        </w:tc>
        <w:tc>
          <w:tcPr>
            <w:tcW w:w="1964" w:type="dxa"/>
            <w:tcBorders>
              <w:top w:val="nil"/>
              <w:left w:val="nil"/>
              <w:bottom w:val="nil"/>
              <w:right w:val="nil"/>
            </w:tcBorders>
            <w:shd w:val="clear" w:color="auto" w:fill="FFFFFF"/>
            <w:tcMar>
              <w:top w:w="30" w:type="dxa"/>
              <w:left w:w="30" w:type="dxa"/>
              <w:bottom w:w="30" w:type="dxa"/>
              <w:right w:w="30" w:type="dxa"/>
            </w:tcMar>
          </w:tcPr>
          <w:p w:rsidR="002F081B" w:rsidRPr="00D34BE8" w:rsidRDefault="002F081B" w:rsidP="00D34BE8">
            <w:pPr>
              <w:spacing w:after="0" w:line="360" w:lineRule="auto"/>
              <w:jc w:val="both"/>
              <w:rPr>
                <w:rFonts w:ascii="Book Antiqua" w:hAnsi="Book Antiqua"/>
                <w:sz w:val="20"/>
                <w:szCs w:val="20"/>
              </w:rPr>
            </w:pPr>
            <w:r w:rsidRPr="00D34BE8">
              <w:rPr>
                <w:rFonts w:ascii="Book Antiqua" w:hAnsi="Book Antiqua"/>
                <w:sz w:val="20"/>
                <w:szCs w:val="20"/>
              </w:rPr>
              <w:t>0.589-0.844</w:t>
            </w:r>
          </w:p>
        </w:tc>
        <w:tc>
          <w:tcPr>
            <w:tcW w:w="1247" w:type="dxa"/>
            <w:tcBorders>
              <w:top w:val="nil"/>
              <w:left w:val="nil"/>
              <w:bottom w:val="nil"/>
              <w:right w:val="nil"/>
            </w:tcBorders>
            <w:shd w:val="clear" w:color="auto" w:fill="FFFFFF"/>
            <w:tcMar>
              <w:top w:w="30" w:type="dxa"/>
              <w:left w:w="30" w:type="dxa"/>
              <w:bottom w:w="30" w:type="dxa"/>
              <w:right w:w="30" w:type="dxa"/>
            </w:tcMar>
          </w:tcPr>
          <w:p w:rsidR="002F081B" w:rsidRPr="00D34BE8" w:rsidRDefault="002F081B" w:rsidP="00D34BE8">
            <w:pPr>
              <w:spacing w:after="0" w:line="360" w:lineRule="auto"/>
              <w:jc w:val="both"/>
              <w:rPr>
                <w:rFonts w:ascii="Book Antiqua" w:hAnsi="Book Antiqua"/>
                <w:sz w:val="20"/>
                <w:szCs w:val="20"/>
              </w:rPr>
            </w:pPr>
            <w:r w:rsidRPr="00D34BE8">
              <w:rPr>
                <w:rFonts w:ascii="Book Antiqua" w:hAnsi="Book Antiqua"/>
                <w:sz w:val="20"/>
                <w:szCs w:val="20"/>
              </w:rPr>
              <w:t>0.70</w:t>
            </w:r>
          </w:p>
        </w:tc>
        <w:tc>
          <w:tcPr>
            <w:tcW w:w="1233" w:type="dxa"/>
            <w:tcBorders>
              <w:top w:val="nil"/>
              <w:left w:val="nil"/>
              <w:bottom w:val="nil"/>
              <w:right w:val="nil"/>
            </w:tcBorders>
            <w:shd w:val="clear" w:color="auto" w:fill="FFFFFF"/>
            <w:tcMar>
              <w:top w:w="30" w:type="dxa"/>
              <w:left w:w="30" w:type="dxa"/>
              <w:bottom w:w="30" w:type="dxa"/>
              <w:right w:w="30" w:type="dxa"/>
            </w:tcMar>
          </w:tcPr>
          <w:p w:rsidR="002F081B" w:rsidRPr="00D34BE8" w:rsidRDefault="002F081B" w:rsidP="00D34BE8">
            <w:pPr>
              <w:spacing w:after="0" w:line="360" w:lineRule="auto"/>
              <w:jc w:val="both"/>
              <w:rPr>
                <w:rFonts w:ascii="Book Antiqua" w:hAnsi="Book Antiqua"/>
                <w:sz w:val="20"/>
                <w:szCs w:val="20"/>
              </w:rPr>
            </w:pPr>
            <w:r w:rsidRPr="00D34BE8">
              <w:rPr>
                <w:rFonts w:ascii="Book Antiqua" w:hAnsi="Book Antiqua"/>
                <w:sz w:val="20"/>
                <w:szCs w:val="20"/>
              </w:rPr>
              <w:t>0.74</w:t>
            </w:r>
          </w:p>
        </w:tc>
        <w:tc>
          <w:tcPr>
            <w:tcW w:w="1596" w:type="dxa"/>
            <w:tcBorders>
              <w:top w:val="nil"/>
              <w:left w:val="nil"/>
              <w:bottom w:val="nil"/>
              <w:right w:val="nil"/>
            </w:tcBorders>
            <w:shd w:val="clear" w:color="auto" w:fill="FFFFFF"/>
            <w:tcMar>
              <w:top w:w="30" w:type="dxa"/>
              <w:left w:w="30" w:type="dxa"/>
              <w:bottom w:w="30" w:type="dxa"/>
              <w:right w:w="30" w:type="dxa"/>
            </w:tcMar>
          </w:tcPr>
          <w:p w:rsidR="002F081B" w:rsidRPr="00D34BE8" w:rsidRDefault="002F081B" w:rsidP="00D34BE8">
            <w:pPr>
              <w:spacing w:after="0" w:line="360" w:lineRule="auto"/>
              <w:jc w:val="both"/>
              <w:rPr>
                <w:rFonts w:ascii="Book Antiqua" w:hAnsi="Book Antiqua"/>
                <w:sz w:val="20"/>
                <w:szCs w:val="20"/>
              </w:rPr>
            </w:pPr>
            <w:r w:rsidRPr="00D34BE8">
              <w:rPr>
                <w:rFonts w:ascii="Book Antiqua" w:hAnsi="Book Antiqua"/>
                <w:sz w:val="20"/>
                <w:szCs w:val="20"/>
              </w:rPr>
              <w:t>0.44</w:t>
            </w:r>
          </w:p>
        </w:tc>
      </w:tr>
      <w:tr w:rsidR="002F081B" w:rsidRPr="00D34BE8" w:rsidTr="002F081B">
        <w:trPr>
          <w:cantSplit/>
          <w:tblHeader/>
        </w:trPr>
        <w:tc>
          <w:tcPr>
            <w:tcW w:w="1977" w:type="dxa"/>
            <w:tcBorders>
              <w:top w:val="nil"/>
              <w:left w:val="nil"/>
              <w:bottom w:val="nil"/>
              <w:right w:val="nil"/>
            </w:tcBorders>
            <w:shd w:val="clear" w:color="auto" w:fill="FFFFFF"/>
            <w:tcMar>
              <w:top w:w="30" w:type="dxa"/>
              <w:left w:w="30" w:type="dxa"/>
              <w:bottom w:w="30" w:type="dxa"/>
              <w:right w:w="30" w:type="dxa"/>
            </w:tcMar>
          </w:tcPr>
          <w:p w:rsidR="002F081B" w:rsidRPr="00D34BE8" w:rsidRDefault="002F081B" w:rsidP="00D34BE8">
            <w:pPr>
              <w:spacing w:after="0" w:line="360" w:lineRule="auto"/>
              <w:jc w:val="both"/>
              <w:rPr>
                <w:rFonts w:ascii="Book Antiqua" w:hAnsi="Book Antiqua"/>
                <w:sz w:val="20"/>
                <w:szCs w:val="20"/>
              </w:rPr>
            </w:pPr>
            <w:r w:rsidRPr="00D34BE8">
              <w:rPr>
                <w:rFonts w:ascii="Book Antiqua" w:hAnsi="Book Antiqua"/>
                <w:sz w:val="20"/>
                <w:szCs w:val="20"/>
              </w:rPr>
              <w:t>APRI</w:t>
            </w:r>
          </w:p>
        </w:tc>
        <w:tc>
          <w:tcPr>
            <w:tcW w:w="0" w:type="auto"/>
            <w:tcBorders>
              <w:top w:val="nil"/>
              <w:left w:val="nil"/>
              <w:bottom w:val="nil"/>
              <w:right w:val="nil"/>
            </w:tcBorders>
            <w:shd w:val="clear" w:color="auto" w:fill="FFFFFF"/>
            <w:tcMar>
              <w:top w:w="30" w:type="dxa"/>
              <w:left w:w="30" w:type="dxa"/>
              <w:bottom w:w="30" w:type="dxa"/>
              <w:right w:w="30" w:type="dxa"/>
            </w:tcMar>
          </w:tcPr>
          <w:p w:rsidR="002F081B" w:rsidRPr="00D34BE8" w:rsidRDefault="002F081B" w:rsidP="00D34BE8">
            <w:pPr>
              <w:spacing w:after="0" w:line="360" w:lineRule="auto"/>
              <w:jc w:val="both"/>
              <w:rPr>
                <w:rFonts w:ascii="Book Antiqua" w:hAnsi="Book Antiqua"/>
                <w:sz w:val="20"/>
                <w:szCs w:val="20"/>
              </w:rPr>
            </w:pPr>
            <w:r w:rsidRPr="00D34BE8">
              <w:rPr>
                <w:rFonts w:ascii="Book Antiqua" w:hAnsi="Book Antiqua"/>
                <w:sz w:val="20"/>
                <w:szCs w:val="20"/>
              </w:rPr>
              <w:t>0.431</w:t>
            </w:r>
          </w:p>
        </w:tc>
        <w:tc>
          <w:tcPr>
            <w:tcW w:w="848" w:type="dxa"/>
            <w:tcBorders>
              <w:top w:val="nil"/>
              <w:left w:val="nil"/>
              <w:bottom w:val="nil"/>
              <w:right w:val="nil"/>
            </w:tcBorders>
            <w:shd w:val="clear" w:color="auto" w:fill="FFFFFF"/>
            <w:tcMar>
              <w:top w:w="30" w:type="dxa"/>
              <w:left w:w="30" w:type="dxa"/>
              <w:bottom w:w="30" w:type="dxa"/>
              <w:right w:w="30" w:type="dxa"/>
            </w:tcMar>
          </w:tcPr>
          <w:p w:rsidR="002F081B" w:rsidRPr="00D34BE8" w:rsidRDefault="002F081B" w:rsidP="00D34BE8">
            <w:pPr>
              <w:spacing w:after="0" w:line="360" w:lineRule="auto"/>
              <w:jc w:val="both"/>
              <w:rPr>
                <w:rFonts w:ascii="Book Antiqua" w:hAnsi="Book Antiqua"/>
                <w:sz w:val="20"/>
                <w:szCs w:val="20"/>
              </w:rPr>
            </w:pPr>
            <w:r w:rsidRPr="00D34BE8">
              <w:rPr>
                <w:rFonts w:ascii="Book Antiqua" w:hAnsi="Book Antiqua"/>
                <w:sz w:val="20"/>
                <w:szCs w:val="20"/>
              </w:rPr>
              <w:t>0.074</w:t>
            </w:r>
          </w:p>
        </w:tc>
        <w:tc>
          <w:tcPr>
            <w:tcW w:w="600" w:type="dxa"/>
            <w:tcBorders>
              <w:top w:val="nil"/>
              <w:left w:val="nil"/>
              <w:bottom w:val="nil"/>
              <w:right w:val="nil"/>
            </w:tcBorders>
            <w:shd w:val="clear" w:color="auto" w:fill="FFFFFF"/>
            <w:tcMar>
              <w:top w:w="30" w:type="dxa"/>
              <w:left w:w="30" w:type="dxa"/>
              <w:bottom w:w="30" w:type="dxa"/>
              <w:right w:w="30" w:type="dxa"/>
            </w:tcMar>
          </w:tcPr>
          <w:p w:rsidR="002F081B" w:rsidRPr="00D34BE8" w:rsidRDefault="002F081B" w:rsidP="00D34BE8">
            <w:pPr>
              <w:spacing w:after="0" w:line="360" w:lineRule="auto"/>
              <w:jc w:val="both"/>
              <w:rPr>
                <w:rFonts w:ascii="Book Antiqua" w:hAnsi="Book Antiqua"/>
                <w:sz w:val="20"/>
                <w:szCs w:val="20"/>
              </w:rPr>
            </w:pPr>
            <w:r w:rsidRPr="00D34BE8">
              <w:rPr>
                <w:rFonts w:ascii="Book Antiqua" w:hAnsi="Book Antiqua"/>
                <w:sz w:val="20"/>
                <w:szCs w:val="20"/>
              </w:rPr>
              <w:t>0.344</w:t>
            </w:r>
          </w:p>
        </w:tc>
        <w:tc>
          <w:tcPr>
            <w:tcW w:w="1964" w:type="dxa"/>
            <w:tcBorders>
              <w:top w:val="nil"/>
              <w:left w:val="nil"/>
              <w:bottom w:val="nil"/>
              <w:right w:val="nil"/>
            </w:tcBorders>
            <w:shd w:val="clear" w:color="auto" w:fill="FFFFFF"/>
            <w:tcMar>
              <w:top w:w="30" w:type="dxa"/>
              <w:left w:w="30" w:type="dxa"/>
              <w:bottom w:w="30" w:type="dxa"/>
              <w:right w:w="30" w:type="dxa"/>
            </w:tcMar>
          </w:tcPr>
          <w:p w:rsidR="002F081B" w:rsidRPr="00D34BE8" w:rsidRDefault="002F081B" w:rsidP="00D34BE8">
            <w:pPr>
              <w:spacing w:after="0" w:line="360" w:lineRule="auto"/>
              <w:jc w:val="both"/>
              <w:rPr>
                <w:rFonts w:ascii="Book Antiqua" w:hAnsi="Book Antiqua"/>
                <w:sz w:val="20"/>
                <w:szCs w:val="20"/>
              </w:rPr>
            </w:pPr>
            <w:r w:rsidRPr="00D34BE8">
              <w:rPr>
                <w:rFonts w:ascii="Book Antiqua" w:hAnsi="Book Antiqua"/>
                <w:sz w:val="20"/>
                <w:szCs w:val="20"/>
              </w:rPr>
              <w:t>0.285-0.577</w:t>
            </w:r>
          </w:p>
        </w:tc>
        <w:tc>
          <w:tcPr>
            <w:tcW w:w="1247" w:type="dxa"/>
            <w:tcBorders>
              <w:top w:val="nil"/>
              <w:left w:val="nil"/>
              <w:bottom w:val="nil"/>
              <w:right w:val="nil"/>
            </w:tcBorders>
            <w:shd w:val="clear" w:color="auto" w:fill="FFFFFF"/>
            <w:tcMar>
              <w:top w:w="30" w:type="dxa"/>
              <w:left w:w="30" w:type="dxa"/>
              <w:bottom w:w="30" w:type="dxa"/>
              <w:right w:w="30" w:type="dxa"/>
            </w:tcMar>
          </w:tcPr>
          <w:p w:rsidR="002F081B" w:rsidRPr="00D34BE8" w:rsidRDefault="002F081B" w:rsidP="00D34BE8">
            <w:pPr>
              <w:spacing w:after="0" w:line="360" w:lineRule="auto"/>
              <w:jc w:val="both"/>
              <w:rPr>
                <w:rFonts w:ascii="Book Antiqua" w:hAnsi="Book Antiqua"/>
                <w:sz w:val="20"/>
                <w:szCs w:val="20"/>
              </w:rPr>
            </w:pPr>
            <w:r w:rsidRPr="00D34BE8">
              <w:rPr>
                <w:rFonts w:ascii="Book Antiqua" w:hAnsi="Book Antiqua"/>
                <w:sz w:val="20"/>
                <w:szCs w:val="20"/>
              </w:rPr>
              <w:t>0.95</w:t>
            </w:r>
          </w:p>
        </w:tc>
        <w:tc>
          <w:tcPr>
            <w:tcW w:w="1233" w:type="dxa"/>
            <w:tcBorders>
              <w:top w:val="nil"/>
              <w:left w:val="nil"/>
              <w:bottom w:val="nil"/>
              <w:right w:val="nil"/>
            </w:tcBorders>
            <w:shd w:val="clear" w:color="auto" w:fill="FFFFFF"/>
            <w:tcMar>
              <w:top w:w="30" w:type="dxa"/>
              <w:left w:w="30" w:type="dxa"/>
              <w:bottom w:w="30" w:type="dxa"/>
              <w:right w:w="30" w:type="dxa"/>
            </w:tcMar>
          </w:tcPr>
          <w:p w:rsidR="002F081B" w:rsidRPr="00D34BE8" w:rsidRDefault="002F081B" w:rsidP="00D34BE8">
            <w:pPr>
              <w:spacing w:after="0" w:line="360" w:lineRule="auto"/>
              <w:jc w:val="both"/>
              <w:rPr>
                <w:rFonts w:ascii="Book Antiqua" w:hAnsi="Book Antiqua"/>
                <w:sz w:val="20"/>
                <w:szCs w:val="20"/>
              </w:rPr>
            </w:pPr>
            <w:r w:rsidRPr="00D34BE8">
              <w:rPr>
                <w:rFonts w:ascii="Book Antiqua" w:hAnsi="Book Antiqua"/>
                <w:sz w:val="20"/>
                <w:szCs w:val="20"/>
              </w:rPr>
              <w:t>0.15</w:t>
            </w:r>
          </w:p>
        </w:tc>
        <w:tc>
          <w:tcPr>
            <w:tcW w:w="1596" w:type="dxa"/>
            <w:tcBorders>
              <w:top w:val="nil"/>
              <w:left w:val="nil"/>
              <w:bottom w:val="nil"/>
              <w:right w:val="nil"/>
            </w:tcBorders>
            <w:shd w:val="clear" w:color="auto" w:fill="FFFFFF"/>
            <w:tcMar>
              <w:top w:w="30" w:type="dxa"/>
              <w:left w:w="30" w:type="dxa"/>
              <w:bottom w:w="30" w:type="dxa"/>
              <w:right w:w="30" w:type="dxa"/>
            </w:tcMar>
          </w:tcPr>
          <w:p w:rsidR="002F081B" w:rsidRPr="00D34BE8" w:rsidRDefault="002F081B" w:rsidP="00D34BE8">
            <w:pPr>
              <w:spacing w:after="0" w:line="360" w:lineRule="auto"/>
              <w:jc w:val="both"/>
              <w:rPr>
                <w:rFonts w:ascii="Book Antiqua" w:hAnsi="Book Antiqua"/>
                <w:sz w:val="20"/>
                <w:szCs w:val="20"/>
              </w:rPr>
            </w:pPr>
            <w:r w:rsidRPr="00D34BE8">
              <w:rPr>
                <w:rFonts w:ascii="Book Antiqua" w:hAnsi="Book Antiqua"/>
                <w:sz w:val="20"/>
                <w:szCs w:val="20"/>
              </w:rPr>
              <w:t>0.10</w:t>
            </w:r>
          </w:p>
        </w:tc>
      </w:tr>
      <w:tr w:rsidR="002F081B" w:rsidRPr="00D34BE8" w:rsidTr="002F081B">
        <w:trPr>
          <w:cantSplit/>
          <w:tblHeader/>
        </w:trPr>
        <w:tc>
          <w:tcPr>
            <w:tcW w:w="1977" w:type="dxa"/>
            <w:tcBorders>
              <w:top w:val="nil"/>
              <w:left w:val="nil"/>
              <w:bottom w:val="single" w:sz="4" w:space="0" w:color="auto"/>
              <w:right w:val="nil"/>
            </w:tcBorders>
            <w:shd w:val="clear" w:color="auto" w:fill="FFFFFF"/>
            <w:tcMar>
              <w:top w:w="30" w:type="dxa"/>
              <w:left w:w="30" w:type="dxa"/>
              <w:bottom w:w="30" w:type="dxa"/>
              <w:right w:w="30" w:type="dxa"/>
            </w:tcMar>
          </w:tcPr>
          <w:p w:rsidR="002F081B" w:rsidRPr="00D34BE8" w:rsidRDefault="002F081B" w:rsidP="00D34BE8">
            <w:pPr>
              <w:spacing w:after="0" w:line="360" w:lineRule="auto"/>
              <w:jc w:val="both"/>
              <w:rPr>
                <w:rFonts w:ascii="Book Antiqua" w:hAnsi="Book Antiqua"/>
                <w:sz w:val="20"/>
                <w:szCs w:val="20"/>
              </w:rPr>
            </w:pPr>
            <w:r w:rsidRPr="00D34BE8">
              <w:rPr>
                <w:rFonts w:ascii="Book Antiqua" w:hAnsi="Book Antiqua"/>
                <w:sz w:val="20"/>
                <w:szCs w:val="20"/>
              </w:rPr>
              <w:t>AAR</w:t>
            </w:r>
          </w:p>
        </w:tc>
        <w:tc>
          <w:tcPr>
            <w:tcW w:w="0" w:type="auto"/>
            <w:tcBorders>
              <w:top w:val="nil"/>
              <w:left w:val="nil"/>
              <w:bottom w:val="single" w:sz="4" w:space="0" w:color="auto"/>
              <w:right w:val="nil"/>
            </w:tcBorders>
            <w:shd w:val="clear" w:color="auto" w:fill="FFFFFF"/>
            <w:tcMar>
              <w:top w:w="30" w:type="dxa"/>
              <w:left w:w="30" w:type="dxa"/>
              <w:bottom w:w="30" w:type="dxa"/>
              <w:right w:w="30" w:type="dxa"/>
            </w:tcMar>
          </w:tcPr>
          <w:p w:rsidR="002F081B" w:rsidRPr="00D34BE8" w:rsidRDefault="002F081B" w:rsidP="00D34BE8">
            <w:pPr>
              <w:spacing w:after="0" w:line="360" w:lineRule="auto"/>
              <w:jc w:val="both"/>
              <w:rPr>
                <w:rFonts w:ascii="Book Antiqua" w:hAnsi="Book Antiqua"/>
                <w:sz w:val="20"/>
                <w:szCs w:val="20"/>
              </w:rPr>
            </w:pPr>
            <w:r w:rsidRPr="00D34BE8">
              <w:rPr>
                <w:rFonts w:ascii="Book Antiqua" w:hAnsi="Book Antiqua"/>
                <w:sz w:val="20"/>
                <w:szCs w:val="20"/>
              </w:rPr>
              <w:t>0.445</w:t>
            </w:r>
          </w:p>
        </w:tc>
        <w:tc>
          <w:tcPr>
            <w:tcW w:w="848" w:type="dxa"/>
            <w:tcBorders>
              <w:top w:val="nil"/>
              <w:left w:val="nil"/>
              <w:bottom w:val="single" w:sz="4" w:space="0" w:color="auto"/>
              <w:right w:val="nil"/>
            </w:tcBorders>
            <w:shd w:val="clear" w:color="auto" w:fill="FFFFFF"/>
            <w:tcMar>
              <w:top w:w="30" w:type="dxa"/>
              <w:left w:w="30" w:type="dxa"/>
              <w:bottom w:w="30" w:type="dxa"/>
              <w:right w:w="30" w:type="dxa"/>
            </w:tcMar>
          </w:tcPr>
          <w:p w:rsidR="002F081B" w:rsidRPr="00D34BE8" w:rsidRDefault="002F081B" w:rsidP="00D34BE8">
            <w:pPr>
              <w:spacing w:after="0" w:line="360" w:lineRule="auto"/>
              <w:jc w:val="both"/>
              <w:rPr>
                <w:rFonts w:ascii="Book Antiqua" w:hAnsi="Book Antiqua"/>
                <w:sz w:val="20"/>
                <w:szCs w:val="20"/>
              </w:rPr>
            </w:pPr>
            <w:r w:rsidRPr="00D34BE8">
              <w:rPr>
                <w:rFonts w:ascii="Book Antiqua" w:hAnsi="Book Antiqua"/>
                <w:sz w:val="20"/>
                <w:szCs w:val="20"/>
              </w:rPr>
              <w:t>0.080</w:t>
            </w:r>
          </w:p>
        </w:tc>
        <w:tc>
          <w:tcPr>
            <w:tcW w:w="600" w:type="dxa"/>
            <w:tcBorders>
              <w:top w:val="nil"/>
              <w:left w:val="nil"/>
              <w:bottom w:val="single" w:sz="4" w:space="0" w:color="auto"/>
              <w:right w:val="nil"/>
            </w:tcBorders>
            <w:shd w:val="clear" w:color="auto" w:fill="FFFFFF"/>
            <w:tcMar>
              <w:top w:w="30" w:type="dxa"/>
              <w:left w:w="30" w:type="dxa"/>
              <w:bottom w:w="30" w:type="dxa"/>
              <w:right w:w="30" w:type="dxa"/>
            </w:tcMar>
          </w:tcPr>
          <w:p w:rsidR="002F081B" w:rsidRPr="00D34BE8" w:rsidRDefault="002F081B" w:rsidP="00D34BE8">
            <w:pPr>
              <w:spacing w:after="0" w:line="360" w:lineRule="auto"/>
              <w:jc w:val="both"/>
              <w:rPr>
                <w:rFonts w:ascii="Book Antiqua" w:hAnsi="Book Antiqua"/>
                <w:sz w:val="20"/>
                <w:szCs w:val="20"/>
              </w:rPr>
            </w:pPr>
            <w:r w:rsidRPr="00D34BE8">
              <w:rPr>
                <w:rFonts w:ascii="Book Antiqua" w:hAnsi="Book Antiqua"/>
                <w:sz w:val="20"/>
                <w:szCs w:val="20"/>
              </w:rPr>
              <w:t>0.447</w:t>
            </w:r>
          </w:p>
        </w:tc>
        <w:tc>
          <w:tcPr>
            <w:tcW w:w="1964" w:type="dxa"/>
            <w:tcBorders>
              <w:top w:val="nil"/>
              <w:left w:val="nil"/>
              <w:bottom w:val="single" w:sz="4" w:space="0" w:color="auto"/>
              <w:right w:val="nil"/>
            </w:tcBorders>
            <w:shd w:val="clear" w:color="auto" w:fill="FFFFFF"/>
            <w:tcMar>
              <w:top w:w="30" w:type="dxa"/>
              <w:left w:w="30" w:type="dxa"/>
              <w:bottom w:w="30" w:type="dxa"/>
              <w:right w:w="30" w:type="dxa"/>
            </w:tcMar>
          </w:tcPr>
          <w:p w:rsidR="002F081B" w:rsidRPr="00D34BE8" w:rsidRDefault="002F081B" w:rsidP="00D34BE8">
            <w:pPr>
              <w:spacing w:after="0" w:line="360" w:lineRule="auto"/>
              <w:jc w:val="both"/>
              <w:rPr>
                <w:rFonts w:ascii="Book Antiqua" w:hAnsi="Book Antiqua"/>
                <w:sz w:val="20"/>
                <w:szCs w:val="20"/>
              </w:rPr>
            </w:pPr>
            <w:r w:rsidRPr="00D34BE8">
              <w:rPr>
                <w:rFonts w:ascii="Book Antiqua" w:hAnsi="Book Antiqua"/>
                <w:sz w:val="20"/>
                <w:szCs w:val="20"/>
              </w:rPr>
              <w:t>0.288-0.601</w:t>
            </w:r>
          </w:p>
        </w:tc>
        <w:tc>
          <w:tcPr>
            <w:tcW w:w="1247" w:type="dxa"/>
            <w:tcBorders>
              <w:top w:val="nil"/>
              <w:left w:val="nil"/>
              <w:bottom w:val="single" w:sz="4" w:space="0" w:color="auto"/>
              <w:right w:val="nil"/>
            </w:tcBorders>
            <w:shd w:val="clear" w:color="auto" w:fill="FFFFFF"/>
            <w:tcMar>
              <w:top w:w="30" w:type="dxa"/>
              <w:left w:w="30" w:type="dxa"/>
              <w:bottom w:w="30" w:type="dxa"/>
              <w:right w:w="30" w:type="dxa"/>
            </w:tcMar>
          </w:tcPr>
          <w:p w:rsidR="002F081B" w:rsidRPr="00D34BE8" w:rsidRDefault="002F081B" w:rsidP="00D34BE8">
            <w:pPr>
              <w:spacing w:after="0" w:line="360" w:lineRule="auto"/>
              <w:jc w:val="both"/>
              <w:rPr>
                <w:rFonts w:ascii="Book Antiqua" w:hAnsi="Book Antiqua"/>
                <w:sz w:val="20"/>
                <w:szCs w:val="20"/>
              </w:rPr>
            </w:pPr>
            <w:r w:rsidRPr="00D34BE8">
              <w:rPr>
                <w:rFonts w:ascii="Book Antiqua" w:hAnsi="Book Antiqua"/>
                <w:sz w:val="20"/>
                <w:szCs w:val="20"/>
              </w:rPr>
              <w:t>0.93</w:t>
            </w:r>
          </w:p>
        </w:tc>
        <w:tc>
          <w:tcPr>
            <w:tcW w:w="1233" w:type="dxa"/>
            <w:tcBorders>
              <w:top w:val="nil"/>
              <w:left w:val="nil"/>
              <w:bottom w:val="single" w:sz="4" w:space="0" w:color="auto"/>
              <w:right w:val="nil"/>
            </w:tcBorders>
            <w:shd w:val="clear" w:color="auto" w:fill="FFFFFF"/>
            <w:tcMar>
              <w:top w:w="30" w:type="dxa"/>
              <w:left w:w="30" w:type="dxa"/>
              <w:bottom w:w="30" w:type="dxa"/>
              <w:right w:w="30" w:type="dxa"/>
            </w:tcMar>
          </w:tcPr>
          <w:p w:rsidR="002F081B" w:rsidRPr="00D34BE8" w:rsidRDefault="002F081B" w:rsidP="00D34BE8">
            <w:pPr>
              <w:spacing w:after="0" w:line="360" w:lineRule="auto"/>
              <w:jc w:val="both"/>
              <w:rPr>
                <w:rFonts w:ascii="Book Antiqua" w:hAnsi="Book Antiqua"/>
                <w:sz w:val="20"/>
                <w:szCs w:val="20"/>
              </w:rPr>
            </w:pPr>
            <w:r w:rsidRPr="00D34BE8">
              <w:rPr>
                <w:rFonts w:ascii="Book Antiqua" w:hAnsi="Book Antiqua"/>
                <w:sz w:val="20"/>
                <w:szCs w:val="20"/>
              </w:rPr>
              <w:t>0.33</w:t>
            </w:r>
          </w:p>
        </w:tc>
        <w:tc>
          <w:tcPr>
            <w:tcW w:w="1596" w:type="dxa"/>
            <w:tcBorders>
              <w:top w:val="nil"/>
              <w:left w:val="nil"/>
              <w:bottom w:val="single" w:sz="4" w:space="0" w:color="auto"/>
              <w:right w:val="nil"/>
            </w:tcBorders>
            <w:shd w:val="clear" w:color="auto" w:fill="FFFFFF"/>
            <w:tcMar>
              <w:top w:w="30" w:type="dxa"/>
              <w:left w:w="30" w:type="dxa"/>
              <w:bottom w:w="30" w:type="dxa"/>
              <w:right w:w="30" w:type="dxa"/>
            </w:tcMar>
          </w:tcPr>
          <w:p w:rsidR="002F081B" w:rsidRPr="00D34BE8" w:rsidRDefault="002F081B" w:rsidP="00D34BE8">
            <w:pPr>
              <w:spacing w:after="0" w:line="360" w:lineRule="auto"/>
              <w:jc w:val="both"/>
              <w:rPr>
                <w:rFonts w:ascii="Book Antiqua" w:hAnsi="Book Antiqua"/>
                <w:sz w:val="20"/>
                <w:szCs w:val="20"/>
              </w:rPr>
            </w:pPr>
            <w:r w:rsidRPr="00D34BE8">
              <w:rPr>
                <w:rFonts w:ascii="Book Antiqua" w:hAnsi="Book Antiqua"/>
                <w:sz w:val="20"/>
                <w:szCs w:val="20"/>
              </w:rPr>
              <w:t>0.26</w:t>
            </w:r>
          </w:p>
        </w:tc>
      </w:tr>
    </w:tbl>
    <w:p w:rsidR="00C7222A" w:rsidRPr="00D34BE8" w:rsidRDefault="002F081B" w:rsidP="00D34BE8">
      <w:pPr>
        <w:spacing w:after="0" w:line="360" w:lineRule="auto"/>
        <w:jc w:val="both"/>
        <w:rPr>
          <w:rFonts w:ascii="Book Antiqua" w:hAnsi="Book Antiqua"/>
          <w:sz w:val="20"/>
          <w:szCs w:val="20"/>
        </w:rPr>
      </w:pPr>
      <w:r w:rsidRPr="00D34BE8">
        <w:rPr>
          <w:rFonts w:ascii="Book Antiqua" w:hAnsi="Book Antiqua"/>
          <w:sz w:val="20"/>
          <w:szCs w:val="20"/>
        </w:rPr>
        <w:t>CI: Confidence interval.</w:t>
      </w:r>
    </w:p>
    <w:p w:rsidR="002F081B" w:rsidRPr="00D34BE8" w:rsidRDefault="002F081B" w:rsidP="00D34BE8">
      <w:pPr>
        <w:spacing w:after="0" w:line="360" w:lineRule="auto"/>
        <w:jc w:val="both"/>
        <w:rPr>
          <w:rFonts w:ascii="Book Antiqua" w:hAnsi="Book Antiqua"/>
          <w:b/>
          <w:bCs/>
          <w:sz w:val="20"/>
          <w:szCs w:val="20"/>
        </w:rPr>
      </w:pPr>
    </w:p>
    <w:p w:rsidR="00C7222A" w:rsidRPr="00D34BE8" w:rsidRDefault="00B5478B" w:rsidP="00D34BE8">
      <w:pPr>
        <w:spacing w:after="0" w:line="360" w:lineRule="auto"/>
        <w:jc w:val="both"/>
        <w:rPr>
          <w:rFonts w:ascii="Book Antiqua" w:hAnsi="Book Antiqua"/>
          <w:b/>
          <w:bCs/>
          <w:sz w:val="20"/>
          <w:szCs w:val="20"/>
        </w:rPr>
      </w:pPr>
      <w:r>
        <w:rPr>
          <w:rFonts w:ascii="Book Antiqua" w:hAnsi="Book Antiqua"/>
          <w:b/>
          <w:bCs/>
          <w:sz w:val="20"/>
          <w:szCs w:val="20"/>
        </w:rPr>
        <w:br w:type="page"/>
      </w:r>
      <w:r w:rsidR="00C7222A" w:rsidRPr="00D34BE8">
        <w:rPr>
          <w:rFonts w:ascii="Book Antiqua" w:hAnsi="Book Antiqua"/>
          <w:b/>
          <w:bCs/>
          <w:sz w:val="20"/>
          <w:szCs w:val="20"/>
        </w:rPr>
        <w:t xml:space="preserve">Table 7 Comparison of accuracy of each model in predicting </w:t>
      </w:r>
      <w:r w:rsidR="002F081B" w:rsidRPr="00D34BE8">
        <w:rPr>
          <w:rFonts w:ascii="Book Antiqua" w:hAnsi="Book Antiqua"/>
          <w:b/>
          <w:bCs/>
          <w:sz w:val="20"/>
          <w:szCs w:val="20"/>
        </w:rPr>
        <w:t xml:space="preserve">high-risk esophageal varices </w:t>
      </w:r>
      <w:r w:rsidR="00C7222A" w:rsidRPr="00D34BE8">
        <w:rPr>
          <w:rFonts w:ascii="Book Antiqua" w:hAnsi="Book Antiqua"/>
          <w:b/>
          <w:bCs/>
          <w:sz w:val="20"/>
          <w:szCs w:val="20"/>
        </w:rPr>
        <w:t>of patients in the modeling group</w:t>
      </w:r>
    </w:p>
    <w:p w:rsidR="005A7B79" w:rsidRPr="005A7B79" w:rsidRDefault="005A7B79" w:rsidP="005A7B79">
      <w:pPr>
        <w:spacing w:after="0"/>
        <w:rPr>
          <w:vanish/>
        </w:rPr>
      </w:pPr>
    </w:p>
    <w:tbl>
      <w:tblPr>
        <w:tblpPr w:leftFromText="180" w:rightFromText="180" w:vertAnchor="page" w:horzAnchor="margin" w:tblpY="2565"/>
        <w:tblW w:w="8901" w:type="dxa"/>
        <w:tblInd w:w="0" w:type="dxa"/>
        <w:tblBorders>
          <w:top w:val="single" w:sz="4" w:space="0" w:color="auto"/>
          <w:bottom w:val="single" w:sz="4" w:space="0" w:color="auto"/>
        </w:tblBorders>
        <w:tblLook w:val="0000" w:firstRow="0" w:lastRow="0" w:firstColumn="0" w:lastColumn="0" w:noHBand="0" w:noVBand="0"/>
      </w:tblPr>
      <w:tblGrid>
        <w:gridCol w:w="1559"/>
        <w:gridCol w:w="1702"/>
        <w:gridCol w:w="2130"/>
        <w:gridCol w:w="2070"/>
        <w:gridCol w:w="1440"/>
      </w:tblGrid>
      <w:tr w:rsidR="00B5478B" w:rsidRPr="00D34BE8" w:rsidTr="00B5478B">
        <w:trPr>
          <w:trHeight w:val="339"/>
        </w:trPr>
        <w:tc>
          <w:tcPr>
            <w:tcW w:w="1559" w:type="dxa"/>
            <w:tcBorders>
              <w:top w:val="single" w:sz="4" w:space="0" w:color="auto"/>
              <w:bottom w:val="single" w:sz="4" w:space="0" w:color="auto"/>
            </w:tcBorders>
          </w:tcPr>
          <w:p w:rsidR="00B5478B" w:rsidRPr="00D34BE8" w:rsidRDefault="00B5478B" w:rsidP="00B5478B">
            <w:pPr>
              <w:widowControl w:val="0"/>
              <w:spacing w:after="0" w:line="360" w:lineRule="auto"/>
              <w:jc w:val="both"/>
              <w:rPr>
                <w:rFonts w:ascii="Book Antiqua" w:eastAsia="宋体" w:hAnsi="Book Antiqua"/>
                <w:b/>
                <w:bCs/>
                <w:sz w:val="20"/>
                <w:szCs w:val="20"/>
              </w:rPr>
            </w:pPr>
          </w:p>
        </w:tc>
        <w:tc>
          <w:tcPr>
            <w:tcW w:w="1702" w:type="dxa"/>
            <w:tcBorders>
              <w:top w:val="single" w:sz="4" w:space="0" w:color="auto"/>
              <w:bottom w:val="single" w:sz="4" w:space="0" w:color="auto"/>
            </w:tcBorders>
          </w:tcPr>
          <w:p w:rsidR="00B5478B" w:rsidRPr="00D34BE8" w:rsidRDefault="00B5478B" w:rsidP="00B5478B">
            <w:pPr>
              <w:widowControl w:val="0"/>
              <w:spacing w:after="0" w:line="360" w:lineRule="auto"/>
              <w:jc w:val="both"/>
              <w:rPr>
                <w:rFonts w:ascii="Book Antiqua" w:eastAsia="宋体" w:hAnsi="Book Antiqua"/>
                <w:b/>
                <w:bCs/>
                <w:sz w:val="20"/>
                <w:szCs w:val="20"/>
              </w:rPr>
            </w:pPr>
            <w:r w:rsidRPr="00D34BE8">
              <w:rPr>
                <w:rFonts w:ascii="Book Antiqua" w:eastAsia="宋体" w:hAnsi="Book Antiqua"/>
                <w:b/>
                <w:bCs/>
                <w:sz w:val="20"/>
                <w:szCs w:val="20"/>
              </w:rPr>
              <w:t>Accuracy</w:t>
            </w:r>
            <w:r>
              <w:rPr>
                <w:rFonts w:ascii="Book Antiqua" w:eastAsia="宋体" w:hAnsi="Book Antiqua"/>
                <w:b/>
                <w:bCs/>
                <w:sz w:val="20"/>
                <w:szCs w:val="20"/>
              </w:rPr>
              <w:t>,</w:t>
            </w:r>
            <w:r w:rsidRPr="00D34BE8">
              <w:rPr>
                <w:rFonts w:ascii="Book Antiqua" w:eastAsia="宋体" w:hAnsi="Book Antiqua"/>
                <w:b/>
                <w:bCs/>
                <w:sz w:val="20"/>
                <w:szCs w:val="20"/>
              </w:rPr>
              <w:t xml:space="preserve"> %</w:t>
            </w:r>
          </w:p>
        </w:tc>
        <w:tc>
          <w:tcPr>
            <w:tcW w:w="2130" w:type="dxa"/>
            <w:tcBorders>
              <w:top w:val="single" w:sz="4" w:space="0" w:color="auto"/>
              <w:bottom w:val="single" w:sz="4" w:space="0" w:color="auto"/>
            </w:tcBorders>
          </w:tcPr>
          <w:p w:rsidR="00B5478B" w:rsidRPr="00D34BE8" w:rsidRDefault="00B5478B" w:rsidP="00B5478B">
            <w:pPr>
              <w:widowControl w:val="0"/>
              <w:spacing w:after="0" w:line="360" w:lineRule="auto"/>
              <w:jc w:val="both"/>
              <w:rPr>
                <w:rFonts w:ascii="Book Antiqua" w:eastAsia="宋体" w:hAnsi="Book Antiqua"/>
                <w:b/>
                <w:bCs/>
                <w:sz w:val="20"/>
                <w:szCs w:val="20"/>
              </w:rPr>
            </w:pPr>
            <w:r w:rsidRPr="00D34BE8">
              <w:rPr>
                <w:rFonts w:ascii="Book Antiqua" w:eastAsia="宋体" w:hAnsi="Book Antiqua"/>
                <w:b/>
                <w:bCs/>
                <w:sz w:val="20"/>
                <w:szCs w:val="20"/>
              </w:rPr>
              <w:t>Positive predictive value</w:t>
            </w:r>
            <w:r>
              <w:rPr>
                <w:rFonts w:ascii="Book Antiqua" w:eastAsia="宋体" w:hAnsi="Book Antiqua"/>
                <w:b/>
                <w:bCs/>
                <w:sz w:val="20"/>
                <w:szCs w:val="20"/>
              </w:rPr>
              <w:t>,</w:t>
            </w:r>
            <w:r w:rsidRPr="00D34BE8">
              <w:rPr>
                <w:rFonts w:ascii="Book Antiqua" w:eastAsia="宋体" w:hAnsi="Book Antiqua"/>
                <w:b/>
                <w:bCs/>
                <w:sz w:val="20"/>
                <w:szCs w:val="20"/>
              </w:rPr>
              <w:t xml:space="preserve"> %</w:t>
            </w:r>
          </w:p>
        </w:tc>
        <w:tc>
          <w:tcPr>
            <w:tcW w:w="2070" w:type="dxa"/>
            <w:tcBorders>
              <w:top w:val="single" w:sz="4" w:space="0" w:color="auto"/>
              <w:bottom w:val="single" w:sz="4" w:space="0" w:color="auto"/>
            </w:tcBorders>
          </w:tcPr>
          <w:p w:rsidR="00B5478B" w:rsidRPr="00D34BE8" w:rsidRDefault="00B5478B" w:rsidP="00B5478B">
            <w:pPr>
              <w:widowControl w:val="0"/>
              <w:spacing w:after="0" w:line="360" w:lineRule="auto"/>
              <w:jc w:val="both"/>
              <w:rPr>
                <w:rFonts w:ascii="Book Antiqua" w:eastAsia="宋体" w:hAnsi="Book Antiqua"/>
                <w:b/>
                <w:bCs/>
                <w:sz w:val="20"/>
                <w:szCs w:val="20"/>
              </w:rPr>
            </w:pPr>
            <w:r w:rsidRPr="00D34BE8">
              <w:rPr>
                <w:rFonts w:ascii="Book Antiqua" w:eastAsia="宋体" w:hAnsi="Book Antiqua"/>
                <w:b/>
                <w:bCs/>
                <w:sz w:val="20"/>
                <w:szCs w:val="20"/>
              </w:rPr>
              <w:t>Negative predictive value</w:t>
            </w:r>
            <w:r>
              <w:rPr>
                <w:rFonts w:ascii="Book Antiqua" w:eastAsia="宋体" w:hAnsi="Book Antiqua"/>
                <w:b/>
                <w:bCs/>
                <w:sz w:val="20"/>
                <w:szCs w:val="20"/>
              </w:rPr>
              <w:t>,</w:t>
            </w:r>
            <w:r w:rsidRPr="00D34BE8">
              <w:rPr>
                <w:rFonts w:ascii="Book Antiqua" w:eastAsia="宋体" w:hAnsi="Book Antiqua"/>
                <w:b/>
                <w:bCs/>
                <w:sz w:val="20"/>
                <w:szCs w:val="20"/>
              </w:rPr>
              <w:t xml:space="preserve"> %</w:t>
            </w:r>
          </w:p>
        </w:tc>
        <w:tc>
          <w:tcPr>
            <w:tcW w:w="1440" w:type="dxa"/>
            <w:tcBorders>
              <w:top w:val="single" w:sz="4" w:space="0" w:color="auto"/>
              <w:bottom w:val="single" w:sz="4" w:space="0" w:color="auto"/>
            </w:tcBorders>
          </w:tcPr>
          <w:p w:rsidR="00B5478B" w:rsidRPr="00D34BE8" w:rsidRDefault="00B5478B" w:rsidP="00B5478B">
            <w:pPr>
              <w:widowControl w:val="0"/>
              <w:spacing w:after="0" w:line="360" w:lineRule="auto"/>
              <w:jc w:val="both"/>
              <w:rPr>
                <w:rFonts w:ascii="Book Antiqua" w:eastAsia="宋体" w:hAnsi="Book Antiqua"/>
                <w:b/>
                <w:bCs/>
                <w:sz w:val="20"/>
                <w:szCs w:val="20"/>
              </w:rPr>
            </w:pPr>
            <w:r w:rsidRPr="00D34BE8">
              <w:rPr>
                <w:rFonts w:ascii="Book Antiqua" w:eastAsia="宋体" w:hAnsi="Book Antiqua"/>
                <w:b/>
                <w:bCs/>
                <w:sz w:val="20"/>
                <w:szCs w:val="20"/>
              </w:rPr>
              <w:t>Cutoff value</w:t>
            </w:r>
          </w:p>
        </w:tc>
      </w:tr>
      <w:tr w:rsidR="00B5478B" w:rsidRPr="00D34BE8" w:rsidTr="00B5478B">
        <w:trPr>
          <w:trHeight w:val="402"/>
        </w:trPr>
        <w:tc>
          <w:tcPr>
            <w:tcW w:w="1559" w:type="dxa"/>
            <w:tcBorders>
              <w:top w:val="single" w:sz="4" w:space="0" w:color="auto"/>
            </w:tcBorders>
          </w:tcPr>
          <w:p w:rsidR="00B5478B" w:rsidRPr="00D34BE8" w:rsidRDefault="00B5478B" w:rsidP="00B5478B">
            <w:pPr>
              <w:widowControl w:val="0"/>
              <w:spacing w:after="0" w:line="360" w:lineRule="auto"/>
              <w:jc w:val="both"/>
              <w:rPr>
                <w:rFonts w:ascii="Book Antiqua" w:eastAsia="宋体" w:hAnsi="Book Antiqua"/>
                <w:sz w:val="20"/>
                <w:szCs w:val="20"/>
              </w:rPr>
            </w:pPr>
            <w:r w:rsidRPr="00D34BE8">
              <w:rPr>
                <w:rFonts w:ascii="Book Antiqua" w:eastAsia="宋体" w:hAnsi="Book Antiqua"/>
                <w:sz w:val="20"/>
                <w:szCs w:val="20"/>
              </w:rPr>
              <w:t>New model</w:t>
            </w:r>
          </w:p>
        </w:tc>
        <w:tc>
          <w:tcPr>
            <w:tcW w:w="1702" w:type="dxa"/>
            <w:tcBorders>
              <w:top w:val="single" w:sz="4" w:space="0" w:color="auto"/>
            </w:tcBorders>
          </w:tcPr>
          <w:p w:rsidR="00B5478B" w:rsidRPr="00D34BE8" w:rsidRDefault="00B5478B" w:rsidP="00B5478B">
            <w:pPr>
              <w:widowControl w:val="0"/>
              <w:spacing w:after="0" w:line="360" w:lineRule="auto"/>
              <w:jc w:val="both"/>
              <w:rPr>
                <w:rFonts w:ascii="Book Antiqua" w:eastAsia="宋体" w:hAnsi="Book Antiqua"/>
                <w:sz w:val="20"/>
                <w:szCs w:val="20"/>
              </w:rPr>
            </w:pPr>
            <w:r w:rsidRPr="00D34BE8">
              <w:rPr>
                <w:rFonts w:ascii="Book Antiqua" w:eastAsia="宋体" w:hAnsi="Book Antiqua"/>
                <w:sz w:val="20"/>
                <w:szCs w:val="20"/>
              </w:rPr>
              <w:t>84.9</w:t>
            </w:r>
          </w:p>
        </w:tc>
        <w:tc>
          <w:tcPr>
            <w:tcW w:w="2130" w:type="dxa"/>
            <w:tcBorders>
              <w:top w:val="single" w:sz="4" w:space="0" w:color="auto"/>
            </w:tcBorders>
          </w:tcPr>
          <w:p w:rsidR="00B5478B" w:rsidRPr="00D34BE8" w:rsidRDefault="00B5478B" w:rsidP="00B5478B">
            <w:pPr>
              <w:widowControl w:val="0"/>
              <w:spacing w:after="0" w:line="360" w:lineRule="auto"/>
              <w:jc w:val="both"/>
              <w:rPr>
                <w:rFonts w:ascii="Book Antiqua" w:eastAsia="宋体" w:hAnsi="Book Antiqua"/>
                <w:sz w:val="20"/>
                <w:szCs w:val="20"/>
              </w:rPr>
            </w:pPr>
            <w:r w:rsidRPr="00D34BE8">
              <w:rPr>
                <w:rFonts w:ascii="Book Antiqua" w:eastAsia="宋体" w:hAnsi="Book Antiqua"/>
                <w:sz w:val="20"/>
                <w:szCs w:val="20"/>
              </w:rPr>
              <w:t>96.4</w:t>
            </w:r>
          </w:p>
        </w:tc>
        <w:tc>
          <w:tcPr>
            <w:tcW w:w="2070" w:type="dxa"/>
            <w:tcBorders>
              <w:top w:val="single" w:sz="4" w:space="0" w:color="auto"/>
            </w:tcBorders>
          </w:tcPr>
          <w:p w:rsidR="00B5478B" w:rsidRPr="00D34BE8" w:rsidRDefault="00B5478B" w:rsidP="00B5478B">
            <w:pPr>
              <w:widowControl w:val="0"/>
              <w:spacing w:after="0" w:line="360" w:lineRule="auto"/>
              <w:jc w:val="both"/>
              <w:rPr>
                <w:rFonts w:ascii="Book Antiqua" w:eastAsia="宋体" w:hAnsi="Book Antiqua"/>
                <w:sz w:val="20"/>
                <w:szCs w:val="20"/>
              </w:rPr>
            </w:pPr>
            <w:r w:rsidRPr="00D34BE8">
              <w:rPr>
                <w:rFonts w:ascii="Book Antiqua" w:eastAsia="宋体" w:hAnsi="Book Antiqua"/>
                <w:sz w:val="20"/>
                <w:szCs w:val="20"/>
              </w:rPr>
              <w:t>63.3</w:t>
            </w:r>
          </w:p>
        </w:tc>
        <w:tc>
          <w:tcPr>
            <w:tcW w:w="1440" w:type="dxa"/>
            <w:tcBorders>
              <w:top w:val="single" w:sz="4" w:space="0" w:color="auto"/>
            </w:tcBorders>
          </w:tcPr>
          <w:p w:rsidR="00B5478B" w:rsidRPr="00D34BE8" w:rsidRDefault="00B5478B" w:rsidP="00B5478B">
            <w:pPr>
              <w:widowControl w:val="0"/>
              <w:spacing w:after="0" w:line="360" w:lineRule="auto"/>
              <w:jc w:val="both"/>
              <w:rPr>
                <w:rFonts w:ascii="Book Antiqua" w:eastAsia="宋体" w:hAnsi="Book Antiqua"/>
                <w:sz w:val="20"/>
                <w:szCs w:val="20"/>
              </w:rPr>
            </w:pPr>
            <w:r w:rsidRPr="00D34BE8">
              <w:rPr>
                <w:rFonts w:ascii="Book Antiqua" w:eastAsia="宋体" w:hAnsi="Book Antiqua"/>
                <w:sz w:val="20"/>
                <w:szCs w:val="20"/>
              </w:rPr>
              <w:t>0.5713638</w:t>
            </w:r>
          </w:p>
        </w:tc>
      </w:tr>
      <w:tr w:rsidR="00B5478B" w:rsidRPr="00D34BE8" w:rsidTr="00B5478B">
        <w:trPr>
          <w:trHeight w:val="392"/>
        </w:trPr>
        <w:tc>
          <w:tcPr>
            <w:tcW w:w="1559" w:type="dxa"/>
          </w:tcPr>
          <w:p w:rsidR="00B5478B" w:rsidRPr="00D34BE8" w:rsidRDefault="00B5478B" w:rsidP="00B5478B">
            <w:pPr>
              <w:widowControl w:val="0"/>
              <w:spacing w:after="0" w:line="360" w:lineRule="auto"/>
              <w:jc w:val="both"/>
              <w:rPr>
                <w:rFonts w:ascii="Book Antiqua" w:eastAsia="宋体" w:hAnsi="Book Antiqua"/>
                <w:sz w:val="20"/>
                <w:szCs w:val="20"/>
              </w:rPr>
            </w:pPr>
            <w:r w:rsidRPr="00D34BE8">
              <w:rPr>
                <w:rFonts w:ascii="Book Antiqua" w:eastAsia="宋体" w:hAnsi="Book Antiqua"/>
                <w:sz w:val="20"/>
                <w:szCs w:val="20"/>
              </w:rPr>
              <w:t>LSPS</w:t>
            </w:r>
          </w:p>
        </w:tc>
        <w:tc>
          <w:tcPr>
            <w:tcW w:w="1702" w:type="dxa"/>
          </w:tcPr>
          <w:p w:rsidR="00B5478B" w:rsidRPr="00D34BE8" w:rsidRDefault="00B5478B" w:rsidP="00B5478B">
            <w:pPr>
              <w:widowControl w:val="0"/>
              <w:spacing w:after="0" w:line="360" w:lineRule="auto"/>
              <w:jc w:val="both"/>
              <w:rPr>
                <w:rFonts w:ascii="Book Antiqua" w:eastAsia="宋体" w:hAnsi="Book Antiqua"/>
                <w:sz w:val="20"/>
                <w:szCs w:val="20"/>
              </w:rPr>
            </w:pPr>
            <w:r w:rsidRPr="00D34BE8">
              <w:rPr>
                <w:rFonts w:ascii="Book Antiqua" w:eastAsia="宋体" w:hAnsi="Book Antiqua"/>
                <w:sz w:val="20"/>
                <w:szCs w:val="20"/>
              </w:rPr>
              <w:t>82.1</w:t>
            </w:r>
          </w:p>
        </w:tc>
        <w:tc>
          <w:tcPr>
            <w:tcW w:w="2130" w:type="dxa"/>
          </w:tcPr>
          <w:p w:rsidR="00B5478B" w:rsidRPr="00D34BE8" w:rsidRDefault="00B5478B" w:rsidP="00B5478B">
            <w:pPr>
              <w:widowControl w:val="0"/>
              <w:spacing w:after="0" w:line="360" w:lineRule="auto"/>
              <w:jc w:val="both"/>
              <w:rPr>
                <w:rFonts w:ascii="Book Antiqua" w:eastAsia="宋体" w:hAnsi="Book Antiqua"/>
                <w:sz w:val="20"/>
                <w:szCs w:val="20"/>
              </w:rPr>
            </w:pPr>
            <w:r w:rsidRPr="00D34BE8">
              <w:rPr>
                <w:rFonts w:ascii="Book Antiqua" w:eastAsia="宋体" w:hAnsi="Book Antiqua"/>
                <w:sz w:val="20"/>
                <w:szCs w:val="20"/>
              </w:rPr>
              <w:t>85.0</w:t>
            </w:r>
          </w:p>
        </w:tc>
        <w:tc>
          <w:tcPr>
            <w:tcW w:w="2070" w:type="dxa"/>
          </w:tcPr>
          <w:p w:rsidR="00B5478B" w:rsidRPr="00D34BE8" w:rsidRDefault="00B5478B" w:rsidP="00B5478B">
            <w:pPr>
              <w:widowControl w:val="0"/>
              <w:spacing w:after="0" w:line="360" w:lineRule="auto"/>
              <w:jc w:val="both"/>
              <w:rPr>
                <w:rFonts w:ascii="Book Antiqua" w:eastAsia="宋体" w:hAnsi="Book Antiqua"/>
                <w:sz w:val="20"/>
                <w:szCs w:val="20"/>
              </w:rPr>
            </w:pPr>
            <w:r w:rsidRPr="00D34BE8">
              <w:rPr>
                <w:rFonts w:ascii="Book Antiqua" w:eastAsia="宋体" w:hAnsi="Book Antiqua"/>
                <w:sz w:val="20"/>
                <w:szCs w:val="20"/>
              </w:rPr>
              <w:t>37.0</w:t>
            </w:r>
          </w:p>
        </w:tc>
        <w:tc>
          <w:tcPr>
            <w:tcW w:w="1440" w:type="dxa"/>
          </w:tcPr>
          <w:p w:rsidR="00B5478B" w:rsidRPr="00D34BE8" w:rsidRDefault="00B5478B" w:rsidP="00B5478B">
            <w:pPr>
              <w:widowControl w:val="0"/>
              <w:spacing w:after="0" w:line="360" w:lineRule="auto"/>
              <w:jc w:val="both"/>
              <w:rPr>
                <w:rFonts w:ascii="Book Antiqua" w:eastAsia="宋体" w:hAnsi="Book Antiqua"/>
                <w:sz w:val="20"/>
                <w:szCs w:val="20"/>
              </w:rPr>
            </w:pPr>
            <w:r w:rsidRPr="00D34BE8">
              <w:rPr>
                <w:rFonts w:ascii="Book Antiqua" w:eastAsia="宋体" w:hAnsi="Book Antiqua"/>
                <w:sz w:val="20"/>
                <w:szCs w:val="20"/>
              </w:rPr>
              <w:t>3.0852585</w:t>
            </w:r>
          </w:p>
        </w:tc>
      </w:tr>
      <w:tr w:rsidR="00B5478B" w:rsidRPr="00D34BE8" w:rsidTr="00B5478B">
        <w:trPr>
          <w:trHeight w:val="392"/>
        </w:trPr>
        <w:tc>
          <w:tcPr>
            <w:tcW w:w="1559" w:type="dxa"/>
          </w:tcPr>
          <w:p w:rsidR="00B5478B" w:rsidRPr="00D34BE8" w:rsidRDefault="00B5478B" w:rsidP="00B5478B">
            <w:pPr>
              <w:widowControl w:val="0"/>
              <w:spacing w:after="0" w:line="360" w:lineRule="auto"/>
              <w:jc w:val="both"/>
              <w:rPr>
                <w:rFonts w:ascii="Book Antiqua" w:eastAsia="宋体" w:hAnsi="Book Antiqua"/>
                <w:sz w:val="20"/>
                <w:szCs w:val="20"/>
              </w:rPr>
            </w:pPr>
            <w:r w:rsidRPr="00D34BE8">
              <w:rPr>
                <w:rFonts w:ascii="Book Antiqua" w:eastAsia="宋体" w:hAnsi="Book Antiqua"/>
                <w:sz w:val="20"/>
                <w:szCs w:val="20"/>
              </w:rPr>
              <w:t>VRI</w:t>
            </w:r>
          </w:p>
        </w:tc>
        <w:tc>
          <w:tcPr>
            <w:tcW w:w="1702" w:type="dxa"/>
          </w:tcPr>
          <w:p w:rsidR="00B5478B" w:rsidRPr="00D34BE8" w:rsidRDefault="00B5478B" w:rsidP="00B5478B">
            <w:pPr>
              <w:widowControl w:val="0"/>
              <w:spacing w:after="0" w:line="360" w:lineRule="auto"/>
              <w:jc w:val="both"/>
              <w:rPr>
                <w:rFonts w:ascii="Book Antiqua" w:eastAsia="宋体" w:hAnsi="Book Antiqua"/>
                <w:sz w:val="20"/>
                <w:szCs w:val="20"/>
              </w:rPr>
            </w:pPr>
            <w:r w:rsidRPr="00D34BE8">
              <w:rPr>
                <w:rFonts w:ascii="Book Antiqua" w:eastAsia="宋体" w:hAnsi="Book Antiqua"/>
                <w:sz w:val="20"/>
                <w:szCs w:val="20"/>
              </w:rPr>
              <w:t>70.1</w:t>
            </w:r>
          </w:p>
        </w:tc>
        <w:tc>
          <w:tcPr>
            <w:tcW w:w="2130" w:type="dxa"/>
          </w:tcPr>
          <w:p w:rsidR="00B5478B" w:rsidRPr="00D34BE8" w:rsidRDefault="00B5478B" w:rsidP="00B5478B">
            <w:pPr>
              <w:widowControl w:val="0"/>
              <w:spacing w:after="0" w:line="360" w:lineRule="auto"/>
              <w:jc w:val="both"/>
              <w:rPr>
                <w:rFonts w:ascii="Book Antiqua" w:eastAsia="宋体" w:hAnsi="Book Antiqua"/>
                <w:sz w:val="20"/>
                <w:szCs w:val="20"/>
              </w:rPr>
            </w:pPr>
            <w:r w:rsidRPr="00D34BE8">
              <w:rPr>
                <w:rFonts w:ascii="Book Antiqua" w:eastAsia="宋体" w:hAnsi="Book Antiqua"/>
                <w:sz w:val="20"/>
                <w:szCs w:val="20"/>
              </w:rPr>
              <w:t>70.0</w:t>
            </w:r>
          </w:p>
        </w:tc>
        <w:tc>
          <w:tcPr>
            <w:tcW w:w="2070" w:type="dxa"/>
          </w:tcPr>
          <w:p w:rsidR="00B5478B" w:rsidRPr="00D34BE8" w:rsidRDefault="00B5478B" w:rsidP="00B5478B">
            <w:pPr>
              <w:widowControl w:val="0"/>
              <w:spacing w:after="0" w:line="360" w:lineRule="auto"/>
              <w:jc w:val="both"/>
              <w:rPr>
                <w:rFonts w:ascii="Book Antiqua" w:eastAsia="宋体" w:hAnsi="Book Antiqua"/>
                <w:sz w:val="20"/>
                <w:szCs w:val="20"/>
              </w:rPr>
            </w:pPr>
            <w:r w:rsidRPr="00D34BE8">
              <w:rPr>
                <w:rFonts w:ascii="Book Antiqua" w:eastAsia="宋体" w:hAnsi="Book Antiqua"/>
                <w:sz w:val="20"/>
                <w:szCs w:val="20"/>
              </w:rPr>
              <w:t>74.1</w:t>
            </w:r>
          </w:p>
        </w:tc>
        <w:tc>
          <w:tcPr>
            <w:tcW w:w="1440" w:type="dxa"/>
          </w:tcPr>
          <w:p w:rsidR="00B5478B" w:rsidRPr="00D34BE8" w:rsidRDefault="00B5478B" w:rsidP="00B5478B">
            <w:pPr>
              <w:widowControl w:val="0"/>
              <w:spacing w:after="0" w:line="360" w:lineRule="auto"/>
              <w:jc w:val="both"/>
              <w:rPr>
                <w:rFonts w:ascii="Book Antiqua" w:eastAsia="宋体" w:hAnsi="Book Antiqua"/>
                <w:sz w:val="20"/>
                <w:szCs w:val="20"/>
              </w:rPr>
            </w:pPr>
            <w:r w:rsidRPr="00D34BE8">
              <w:rPr>
                <w:rFonts w:ascii="Book Antiqua" w:eastAsia="宋体" w:hAnsi="Book Antiqua"/>
                <w:sz w:val="20"/>
                <w:szCs w:val="20"/>
              </w:rPr>
              <w:t>0.52695</w:t>
            </w:r>
          </w:p>
        </w:tc>
      </w:tr>
      <w:tr w:rsidR="00B5478B" w:rsidRPr="00D34BE8" w:rsidTr="00B5478B">
        <w:trPr>
          <w:trHeight w:val="392"/>
        </w:trPr>
        <w:tc>
          <w:tcPr>
            <w:tcW w:w="1559" w:type="dxa"/>
          </w:tcPr>
          <w:p w:rsidR="00B5478B" w:rsidRPr="00D34BE8" w:rsidRDefault="00B5478B" w:rsidP="00B5478B">
            <w:pPr>
              <w:widowControl w:val="0"/>
              <w:spacing w:after="0" w:line="360" w:lineRule="auto"/>
              <w:jc w:val="both"/>
              <w:rPr>
                <w:rFonts w:ascii="Book Antiqua" w:eastAsia="宋体" w:hAnsi="Book Antiqua"/>
                <w:sz w:val="20"/>
                <w:szCs w:val="20"/>
              </w:rPr>
            </w:pPr>
            <w:r w:rsidRPr="00D34BE8">
              <w:rPr>
                <w:rFonts w:ascii="Book Antiqua" w:eastAsia="宋体" w:hAnsi="Book Antiqua"/>
                <w:sz w:val="20"/>
                <w:szCs w:val="20"/>
              </w:rPr>
              <w:t>APRI</w:t>
            </w:r>
          </w:p>
        </w:tc>
        <w:tc>
          <w:tcPr>
            <w:tcW w:w="1702" w:type="dxa"/>
          </w:tcPr>
          <w:p w:rsidR="00B5478B" w:rsidRPr="00D34BE8" w:rsidRDefault="00B5478B" w:rsidP="00B5478B">
            <w:pPr>
              <w:widowControl w:val="0"/>
              <w:spacing w:after="0" w:line="360" w:lineRule="auto"/>
              <w:jc w:val="both"/>
              <w:rPr>
                <w:rFonts w:ascii="Book Antiqua" w:eastAsia="宋体" w:hAnsi="Book Antiqua"/>
                <w:sz w:val="20"/>
                <w:szCs w:val="20"/>
              </w:rPr>
            </w:pPr>
            <w:r w:rsidRPr="00D34BE8">
              <w:rPr>
                <w:rFonts w:ascii="Book Antiqua" w:eastAsia="宋体" w:hAnsi="Book Antiqua"/>
                <w:sz w:val="20"/>
                <w:szCs w:val="20"/>
              </w:rPr>
              <w:t>67.4</w:t>
            </w:r>
          </w:p>
        </w:tc>
        <w:tc>
          <w:tcPr>
            <w:tcW w:w="2130" w:type="dxa"/>
          </w:tcPr>
          <w:p w:rsidR="00B5478B" w:rsidRPr="00D34BE8" w:rsidRDefault="00B5478B" w:rsidP="00B5478B">
            <w:pPr>
              <w:widowControl w:val="0"/>
              <w:spacing w:after="0" w:line="360" w:lineRule="auto"/>
              <w:jc w:val="both"/>
              <w:rPr>
                <w:rFonts w:ascii="Book Antiqua" w:eastAsia="宋体" w:hAnsi="Book Antiqua"/>
                <w:sz w:val="20"/>
                <w:szCs w:val="20"/>
              </w:rPr>
            </w:pPr>
            <w:r w:rsidRPr="00D34BE8">
              <w:rPr>
                <w:rFonts w:ascii="Book Antiqua" w:eastAsia="宋体" w:hAnsi="Book Antiqua"/>
                <w:sz w:val="20"/>
                <w:szCs w:val="20"/>
              </w:rPr>
              <w:t>96.4</w:t>
            </w:r>
          </w:p>
        </w:tc>
        <w:tc>
          <w:tcPr>
            <w:tcW w:w="2070" w:type="dxa"/>
          </w:tcPr>
          <w:p w:rsidR="00B5478B" w:rsidRPr="00D34BE8" w:rsidRDefault="00B5478B" w:rsidP="00B5478B">
            <w:pPr>
              <w:widowControl w:val="0"/>
              <w:spacing w:after="0" w:line="360" w:lineRule="auto"/>
              <w:jc w:val="both"/>
              <w:rPr>
                <w:rFonts w:ascii="Book Antiqua" w:eastAsia="宋体" w:hAnsi="Book Antiqua"/>
                <w:sz w:val="20"/>
                <w:szCs w:val="20"/>
              </w:rPr>
            </w:pPr>
            <w:r w:rsidRPr="00D34BE8">
              <w:rPr>
                <w:rFonts w:ascii="Book Antiqua" w:eastAsia="宋体" w:hAnsi="Book Antiqua"/>
                <w:sz w:val="20"/>
                <w:szCs w:val="20"/>
              </w:rPr>
              <w:t>13.3</w:t>
            </w:r>
          </w:p>
        </w:tc>
        <w:tc>
          <w:tcPr>
            <w:tcW w:w="1440" w:type="dxa"/>
          </w:tcPr>
          <w:p w:rsidR="00B5478B" w:rsidRPr="00D34BE8" w:rsidRDefault="00B5478B" w:rsidP="00B5478B">
            <w:pPr>
              <w:widowControl w:val="0"/>
              <w:spacing w:after="0" w:line="360" w:lineRule="auto"/>
              <w:jc w:val="both"/>
              <w:rPr>
                <w:rFonts w:ascii="Book Antiqua" w:eastAsia="宋体" w:hAnsi="Book Antiqua"/>
                <w:sz w:val="20"/>
                <w:szCs w:val="20"/>
              </w:rPr>
            </w:pPr>
            <w:r w:rsidRPr="00D34BE8">
              <w:rPr>
                <w:rFonts w:ascii="Book Antiqua" w:eastAsia="宋体" w:hAnsi="Book Antiqua"/>
                <w:sz w:val="20"/>
                <w:szCs w:val="20"/>
              </w:rPr>
              <w:t>0.5671263</w:t>
            </w:r>
          </w:p>
        </w:tc>
      </w:tr>
      <w:tr w:rsidR="00B5478B" w:rsidRPr="00D34BE8" w:rsidTr="00B5478B">
        <w:trPr>
          <w:trHeight w:val="402"/>
        </w:trPr>
        <w:tc>
          <w:tcPr>
            <w:tcW w:w="1559" w:type="dxa"/>
          </w:tcPr>
          <w:p w:rsidR="00B5478B" w:rsidRPr="00D34BE8" w:rsidRDefault="00B5478B" w:rsidP="00B5478B">
            <w:pPr>
              <w:widowControl w:val="0"/>
              <w:spacing w:after="0" w:line="360" w:lineRule="auto"/>
              <w:jc w:val="both"/>
              <w:rPr>
                <w:rFonts w:ascii="Book Antiqua" w:eastAsia="宋体" w:hAnsi="Book Antiqua"/>
                <w:sz w:val="20"/>
                <w:szCs w:val="20"/>
              </w:rPr>
            </w:pPr>
            <w:r w:rsidRPr="00D34BE8">
              <w:rPr>
                <w:rFonts w:ascii="Book Antiqua" w:eastAsia="宋体" w:hAnsi="Book Antiqua"/>
                <w:sz w:val="20"/>
                <w:szCs w:val="20"/>
              </w:rPr>
              <w:t>AAR</w:t>
            </w:r>
          </w:p>
        </w:tc>
        <w:tc>
          <w:tcPr>
            <w:tcW w:w="1702" w:type="dxa"/>
          </w:tcPr>
          <w:p w:rsidR="00B5478B" w:rsidRPr="00D34BE8" w:rsidRDefault="00B5478B" w:rsidP="00B5478B">
            <w:pPr>
              <w:widowControl w:val="0"/>
              <w:spacing w:after="0" w:line="360" w:lineRule="auto"/>
              <w:jc w:val="both"/>
              <w:rPr>
                <w:rFonts w:ascii="Book Antiqua" w:eastAsia="宋体" w:hAnsi="Book Antiqua"/>
                <w:sz w:val="20"/>
                <w:szCs w:val="20"/>
              </w:rPr>
            </w:pPr>
            <w:r w:rsidRPr="00D34BE8">
              <w:rPr>
                <w:rFonts w:ascii="Book Antiqua" w:eastAsia="宋体" w:hAnsi="Book Antiqua"/>
                <w:sz w:val="20"/>
                <w:szCs w:val="20"/>
              </w:rPr>
              <w:t>68.6</w:t>
            </w:r>
          </w:p>
        </w:tc>
        <w:tc>
          <w:tcPr>
            <w:tcW w:w="2130" w:type="dxa"/>
          </w:tcPr>
          <w:p w:rsidR="00B5478B" w:rsidRPr="00D34BE8" w:rsidRDefault="00B5478B" w:rsidP="00B5478B">
            <w:pPr>
              <w:widowControl w:val="0"/>
              <w:spacing w:after="0" w:line="360" w:lineRule="auto"/>
              <w:jc w:val="both"/>
              <w:rPr>
                <w:rFonts w:ascii="Book Antiqua" w:eastAsia="宋体" w:hAnsi="Book Antiqua"/>
                <w:sz w:val="20"/>
                <w:szCs w:val="20"/>
              </w:rPr>
            </w:pPr>
            <w:r w:rsidRPr="00D34BE8">
              <w:rPr>
                <w:rFonts w:ascii="Book Antiqua" w:eastAsia="宋体" w:hAnsi="Book Antiqua"/>
                <w:sz w:val="20"/>
                <w:szCs w:val="20"/>
              </w:rPr>
              <w:t>89.3</w:t>
            </w:r>
          </w:p>
        </w:tc>
        <w:tc>
          <w:tcPr>
            <w:tcW w:w="2070" w:type="dxa"/>
          </w:tcPr>
          <w:p w:rsidR="00B5478B" w:rsidRPr="00D34BE8" w:rsidRDefault="00B5478B" w:rsidP="00B5478B">
            <w:pPr>
              <w:widowControl w:val="0"/>
              <w:spacing w:after="0" w:line="360" w:lineRule="auto"/>
              <w:jc w:val="both"/>
              <w:rPr>
                <w:rFonts w:ascii="Book Antiqua" w:eastAsia="宋体" w:hAnsi="Book Antiqua"/>
                <w:sz w:val="20"/>
                <w:szCs w:val="20"/>
              </w:rPr>
            </w:pPr>
            <w:r w:rsidRPr="00D34BE8">
              <w:rPr>
                <w:rFonts w:ascii="Book Antiqua" w:eastAsia="宋体" w:hAnsi="Book Antiqua"/>
                <w:sz w:val="20"/>
                <w:szCs w:val="20"/>
              </w:rPr>
              <w:t>30</w:t>
            </w:r>
          </w:p>
        </w:tc>
        <w:tc>
          <w:tcPr>
            <w:tcW w:w="1440" w:type="dxa"/>
          </w:tcPr>
          <w:p w:rsidR="00B5478B" w:rsidRPr="00D34BE8" w:rsidRDefault="00B5478B" w:rsidP="00B5478B">
            <w:pPr>
              <w:widowControl w:val="0"/>
              <w:spacing w:after="0" w:line="360" w:lineRule="auto"/>
              <w:jc w:val="both"/>
              <w:rPr>
                <w:rFonts w:ascii="Book Antiqua" w:eastAsia="宋体" w:hAnsi="Book Antiqua"/>
                <w:sz w:val="20"/>
                <w:szCs w:val="20"/>
              </w:rPr>
            </w:pPr>
            <w:r w:rsidRPr="00D34BE8">
              <w:rPr>
                <w:rFonts w:ascii="Book Antiqua" w:eastAsia="宋体" w:hAnsi="Book Antiqua"/>
                <w:sz w:val="20"/>
                <w:szCs w:val="20"/>
              </w:rPr>
              <w:t>0.9861111</w:t>
            </w:r>
          </w:p>
        </w:tc>
      </w:tr>
    </w:tbl>
    <w:p w:rsidR="00C7222A" w:rsidRDefault="00C7222A" w:rsidP="00D34BE8">
      <w:pPr>
        <w:spacing w:after="0" w:line="360" w:lineRule="auto"/>
        <w:jc w:val="both"/>
        <w:rPr>
          <w:rFonts w:ascii="Book Antiqua" w:hAnsi="Book Antiqua"/>
          <w:sz w:val="20"/>
          <w:szCs w:val="20"/>
        </w:rPr>
      </w:pPr>
    </w:p>
    <w:p w:rsidR="00B5478B" w:rsidRDefault="00B5478B" w:rsidP="00D34BE8">
      <w:pPr>
        <w:spacing w:after="0" w:line="360" w:lineRule="auto"/>
        <w:jc w:val="both"/>
        <w:rPr>
          <w:rFonts w:ascii="Book Antiqua" w:hAnsi="Book Antiqua"/>
          <w:sz w:val="20"/>
          <w:szCs w:val="20"/>
        </w:rPr>
      </w:pPr>
    </w:p>
    <w:p w:rsidR="00B5478B" w:rsidRPr="00D34BE8" w:rsidRDefault="00B5478B" w:rsidP="00D34BE8">
      <w:pPr>
        <w:spacing w:after="0" w:line="360" w:lineRule="auto"/>
        <w:jc w:val="both"/>
        <w:rPr>
          <w:rFonts w:ascii="Book Antiqua" w:hAnsi="Book Antiqua"/>
          <w:sz w:val="20"/>
          <w:szCs w:val="20"/>
        </w:rPr>
      </w:pPr>
      <w:r>
        <w:rPr>
          <w:rFonts w:ascii="Book Antiqua" w:hAnsi="Book Antiqua"/>
          <w:sz w:val="20"/>
          <w:szCs w:val="20"/>
        </w:rPr>
        <w:t xml:space="preserve">LSPS: </w:t>
      </w:r>
      <w:r>
        <w:rPr>
          <w:rFonts w:ascii="Book Antiqua" w:eastAsia="等线" w:hAnsi="Book Antiqua"/>
          <w:bCs/>
          <w:sz w:val="20"/>
          <w:szCs w:val="20"/>
        </w:rPr>
        <w:t>L</w:t>
      </w:r>
      <w:r w:rsidRPr="00A85135">
        <w:rPr>
          <w:rFonts w:ascii="Book Antiqua" w:eastAsia="Times New Roman" w:hAnsi="Book Antiqua"/>
          <w:sz w:val="20"/>
          <w:szCs w:val="20"/>
        </w:rPr>
        <w:t>iver stiffness-spleen diameter to platelet</w:t>
      </w:r>
      <w:r w:rsidRPr="00D34BE8">
        <w:rPr>
          <w:rFonts w:ascii="Book Antiqua" w:eastAsia="Times New Roman" w:hAnsi="Book Antiqua"/>
          <w:sz w:val="20"/>
          <w:szCs w:val="20"/>
        </w:rPr>
        <w:t xml:space="preserve"> </w:t>
      </w:r>
      <w:r w:rsidRPr="00A85135">
        <w:rPr>
          <w:rFonts w:ascii="Book Antiqua" w:eastAsia="Times New Roman" w:hAnsi="Book Antiqua"/>
          <w:sz w:val="20"/>
          <w:szCs w:val="20"/>
        </w:rPr>
        <w:t>ratio score</w:t>
      </w:r>
      <w:r>
        <w:rPr>
          <w:rFonts w:ascii="Book Antiqua" w:eastAsia="Times New Roman" w:hAnsi="Book Antiqua"/>
          <w:sz w:val="20"/>
          <w:szCs w:val="20"/>
        </w:rPr>
        <w:t xml:space="preserve">; VRI: </w:t>
      </w:r>
      <w:r>
        <w:rPr>
          <w:rStyle w:val="st"/>
          <w:rFonts w:ascii="Book Antiqua" w:eastAsia="Times New Roman" w:hAnsi="Book Antiqua"/>
          <w:sz w:val="20"/>
          <w:szCs w:val="20"/>
        </w:rPr>
        <w:t>V</w:t>
      </w:r>
      <w:r w:rsidRPr="00A85135">
        <w:rPr>
          <w:rStyle w:val="st"/>
          <w:rFonts w:ascii="Book Antiqua" w:eastAsia="Times New Roman" w:hAnsi="Book Antiqua"/>
          <w:sz w:val="20"/>
          <w:szCs w:val="20"/>
        </w:rPr>
        <w:t>ariceal risk index</w:t>
      </w:r>
      <w:r>
        <w:rPr>
          <w:rStyle w:val="st"/>
          <w:rFonts w:ascii="Book Antiqua" w:eastAsia="Times New Roman" w:hAnsi="Book Antiqua"/>
          <w:sz w:val="20"/>
          <w:szCs w:val="20"/>
        </w:rPr>
        <w:t xml:space="preserve">; APRI: </w:t>
      </w:r>
      <w:r>
        <w:rPr>
          <w:rStyle w:val="e24kjd"/>
          <w:rFonts w:ascii="Book Antiqua" w:eastAsia="Times New Roman" w:hAnsi="Book Antiqua"/>
          <w:sz w:val="20"/>
          <w:szCs w:val="20"/>
        </w:rPr>
        <w:t>A</w:t>
      </w:r>
      <w:r w:rsidRPr="00A85135">
        <w:rPr>
          <w:rStyle w:val="e24kjd"/>
          <w:rFonts w:ascii="Book Antiqua" w:eastAsia="Times New Roman" w:hAnsi="Book Antiqua"/>
          <w:sz w:val="20"/>
          <w:szCs w:val="20"/>
        </w:rPr>
        <w:t>spartate transaminase</w:t>
      </w:r>
      <w:r w:rsidRPr="00D34BE8">
        <w:rPr>
          <w:rStyle w:val="e24kjd"/>
          <w:rFonts w:ascii="Book Antiqua" w:eastAsia="Times New Roman" w:hAnsi="Book Antiqua"/>
          <w:sz w:val="20"/>
          <w:szCs w:val="20"/>
        </w:rPr>
        <w:t xml:space="preserve"> </w:t>
      </w:r>
      <w:r w:rsidRPr="00A85135">
        <w:rPr>
          <w:rStyle w:val="e24kjd"/>
          <w:rFonts w:ascii="Book Antiqua" w:eastAsia="Times New Roman" w:hAnsi="Book Antiqua"/>
          <w:sz w:val="20"/>
          <w:szCs w:val="20"/>
        </w:rPr>
        <w:t xml:space="preserve">to </w:t>
      </w:r>
      <w:r>
        <w:rPr>
          <w:rStyle w:val="e24kjd"/>
          <w:rFonts w:ascii="Book Antiqua" w:eastAsia="Times New Roman" w:hAnsi="Book Antiqua"/>
          <w:sz w:val="20"/>
          <w:szCs w:val="20"/>
        </w:rPr>
        <w:t>platelet</w:t>
      </w:r>
      <w:r w:rsidRPr="00D34BE8">
        <w:rPr>
          <w:rStyle w:val="e24kjd"/>
          <w:rFonts w:ascii="Book Antiqua" w:eastAsia="Times New Roman" w:hAnsi="Book Antiqua"/>
          <w:sz w:val="20"/>
          <w:szCs w:val="20"/>
        </w:rPr>
        <w:t xml:space="preserve"> r</w:t>
      </w:r>
      <w:r w:rsidRPr="00A85135">
        <w:rPr>
          <w:rStyle w:val="e24kjd"/>
          <w:rFonts w:ascii="Book Antiqua" w:eastAsia="Times New Roman" w:hAnsi="Book Antiqua"/>
          <w:sz w:val="20"/>
          <w:szCs w:val="20"/>
        </w:rPr>
        <w:t xml:space="preserve">atio </w:t>
      </w:r>
      <w:r w:rsidRPr="00D34BE8">
        <w:rPr>
          <w:rStyle w:val="e24kjd"/>
          <w:rFonts w:ascii="Book Antiqua" w:eastAsia="Times New Roman" w:hAnsi="Book Antiqua"/>
          <w:bCs/>
          <w:sz w:val="20"/>
          <w:szCs w:val="20"/>
        </w:rPr>
        <w:t>i</w:t>
      </w:r>
      <w:r w:rsidRPr="00A85135">
        <w:rPr>
          <w:rStyle w:val="e24kjd"/>
          <w:rFonts w:ascii="Book Antiqua" w:eastAsia="Times New Roman" w:hAnsi="Book Antiqua"/>
          <w:bCs/>
          <w:sz w:val="20"/>
          <w:szCs w:val="20"/>
        </w:rPr>
        <w:t>ndex</w:t>
      </w:r>
      <w:r>
        <w:rPr>
          <w:rFonts w:ascii="Book Antiqua" w:hAnsi="Book Antiqua"/>
          <w:bCs/>
          <w:sz w:val="20"/>
          <w:szCs w:val="20"/>
        </w:rPr>
        <w:t>; AAR:</w:t>
      </w:r>
      <w:r w:rsidRPr="00D34BE8">
        <w:rPr>
          <w:rFonts w:ascii="Book Antiqua" w:hAnsi="Book Antiqua"/>
          <w:sz w:val="20"/>
          <w:szCs w:val="20"/>
        </w:rPr>
        <w:t xml:space="preserve"> </w:t>
      </w:r>
      <w:r>
        <w:rPr>
          <w:rStyle w:val="e24kjd"/>
          <w:rFonts w:ascii="Book Antiqua" w:eastAsia="Times New Roman" w:hAnsi="Book Antiqua"/>
          <w:sz w:val="20"/>
          <w:szCs w:val="20"/>
        </w:rPr>
        <w:t>A</w:t>
      </w:r>
      <w:r w:rsidRPr="00A85135">
        <w:rPr>
          <w:rStyle w:val="e24kjd"/>
          <w:rFonts w:ascii="Book Antiqua" w:eastAsia="Times New Roman" w:hAnsi="Book Antiqua"/>
          <w:sz w:val="20"/>
          <w:szCs w:val="20"/>
        </w:rPr>
        <w:t>spartate transaminase</w:t>
      </w:r>
      <w:r w:rsidRPr="00A85135">
        <w:rPr>
          <w:rStyle w:val="st"/>
          <w:rFonts w:ascii="Book Antiqua" w:eastAsia="Times New Roman" w:hAnsi="Book Antiqua"/>
          <w:i/>
          <w:sz w:val="20"/>
          <w:szCs w:val="20"/>
        </w:rPr>
        <w:t>/</w:t>
      </w:r>
      <w:r w:rsidRPr="00D34BE8">
        <w:rPr>
          <w:rStyle w:val="e24kjd"/>
          <w:rFonts w:ascii="Book Antiqua" w:eastAsia="Times New Roman" w:hAnsi="Book Antiqua"/>
          <w:sz w:val="20"/>
          <w:szCs w:val="20"/>
        </w:rPr>
        <w:t>alanine aminotransferase</w:t>
      </w:r>
      <w:r w:rsidRPr="00A85135">
        <w:rPr>
          <w:rStyle w:val="st"/>
          <w:rFonts w:ascii="Book Antiqua" w:eastAsia="Times New Roman" w:hAnsi="Book Antiqua"/>
          <w:sz w:val="20"/>
          <w:szCs w:val="20"/>
        </w:rPr>
        <w:t xml:space="preserve"> ratio</w:t>
      </w:r>
      <w:r>
        <w:rPr>
          <w:rStyle w:val="st"/>
          <w:rFonts w:ascii="Book Antiqua" w:eastAsia="Times New Roman" w:hAnsi="Book Antiqua"/>
          <w:sz w:val="20"/>
          <w:szCs w:val="20"/>
        </w:rPr>
        <w:t>.</w:t>
      </w:r>
    </w:p>
    <w:sectPr w:rsidR="00B5478B" w:rsidRPr="00D34BE8" w:rsidSect="00D34BE8">
      <w:footerReference w:type="even" r:id="rId15"/>
      <w:footerReference w:type="default" r:id="rId16"/>
      <w:pgSz w:w="11906" w:h="16838"/>
      <w:pgMar w:top="1440" w:right="1440" w:bottom="1440" w:left="1440" w:header="850" w:footer="994"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8BD" w:rsidRDefault="00A808BD" w:rsidP="00925F52">
      <w:pPr>
        <w:spacing w:after="0"/>
      </w:pPr>
      <w:r>
        <w:separator/>
      </w:r>
    </w:p>
  </w:endnote>
  <w:endnote w:type="continuationSeparator" w:id="0">
    <w:p w:rsidR="00A808BD" w:rsidRDefault="00A808BD" w:rsidP="00925F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等线">
    <w:altName w:val="SimSun"/>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53D" w:rsidRDefault="0035053D" w:rsidP="0027639A">
    <w:pPr>
      <w:pStyle w:val="a7"/>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35053D" w:rsidRDefault="0035053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53D" w:rsidRPr="0027639A" w:rsidRDefault="0035053D" w:rsidP="0027639A">
    <w:pPr>
      <w:pStyle w:val="a7"/>
      <w:framePr w:wrap="around" w:vAnchor="text" w:hAnchor="margin" w:xAlign="center" w:y="1"/>
      <w:rPr>
        <w:rStyle w:val="ac"/>
        <w:rFonts w:ascii="Book Antiqua" w:hAnsi="Book Antiqua"/>
        <w:sz w:val="20"/>
        <w:szCs w:val="20"/>
      </w:rPr>
    </w:pPr>
    <w:r w:rsidRPr="0027639A">
      <w:rPr>
        <w:rStyle w:val="ac"/>
        <w:rFonts w:ascii="Book Antiqua" w:hAnsi="Book Antiqua"/>
        <w:sz w:val="20"/>
        <w:szCs w:val="20"/>
      </w:rPr>
      <w:fldChar w:fldCharType="begin"/>
    </w:r>
    <w:r w:rsidRPr="0027639A">
      <w:rPr>
        <w:rStyle w:val="ac"/>
        <w:rFonts w:ascii="Book Antiqua" w:hAnsi="Book Antiqua"/>
        <w:sz w:val="20"/>
        <w:szCs w:val="20"/>
      </w:rPr>
      <w:instrText xml:space="preserve">PAGE  </w:instrText>
    </w:r>
    <w:r w:rsidRPr="0027639A">
      <w:rPr>
        <w:rStyle w:val="ac"/>
        <w:rFonts w:ascii="Book Antiqua" w:hAnsi="Book Antiqua"/>
        <w:sz w:val="20"/>
        <w:szCs w:val="20"/>
      </w:rPr>
      <w:fldChar w:fldCharType="separate"/>
    </w:r>
    <w:r w:rsidR="0082385A">
      <w:rPr>
        <w:rStyle w:val="ac"/>
        <w:rFonts w:ascii="Book Antiqua" w:hAnsi="Book Antiqua"/>
        <w:noProof/>
        <w:sz w:val="20"/>
        <w:szCs w:val="20"/>
      </w:rPr>
      <w:t>1</w:t>
    </w:r>
    <w:r w:rsidRPr="0027639A">
      <w:rPr>
        <w:rStyle w:val="ac"/>
        <w:rFonts w:ascii="Book Antiqua" w:hAnsi="Book Antiqua"/>
        <w:sz w:val="20"/>
        <w:szCs w:val="20"/>
      </w:rPr>
      <w:fldChar w:fldCharType="end"/>
    </w:r>
  </w:p>
  <w:p w:rsidR="0035053D" w:rsidRDefault="0035053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8BD" w:rsidRDefault="00A808BD" w:rsidP="00925F52">
      <w:pPr>
        <w:spacing w:after="0"/>
      </w:pPr>
      <w:r>
        <w:separator/>
      </w:r>
    </w:p>
  </w:footnote>
  <w:footnote w:type="continuationSeparator" w:id="0">
    <w:p w:rsidR="00A808BD" w:rsidRDefault="00A808BD" w:rsidP="00925F5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8307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09F219A"/>
    <w:multiLevelType w:val="hybridMultilevel"/>
    <w:tmpl w:val="8B2466B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F52"/>
    <w:rsid w:val="000018AB"/>
    <w:rsid w:val="00007AA3"/>
    <w:rsid w:val="00025B81"/>
    <w:rsid w:val="00027842"/>
    <w:rsid w:val="000C3A58"/>
    <w:rsid w:val="000D2727"/>
    <w:rsid w:val="000E185A"/>
    <w:rsid w:val="001023E7"/>
    <w:rsid w:val="00115E3E"/>
    <w:rsid w:val="00117DBC"/>
    <w:rsid w:val="0017102F"/>
    <w:rsid w:val="001D3680"/>
    <w:rsid w:val="001E4694"/>
    <w:rsid w:val="00247CFE"/>
    <w:rsid w:val="0025437C"/>
    <w:rsid w:val="00272685"/>
    <w:rsid w:val="0027639A"/>
    <w:rsid w:val="00287045"/>
    <w:rsid w:val="00297098"/>
    <w:rsid w:val="002B3485"/>
    <w:rsid w:val="002D6B31"/>
    <w:rsid w:val="002F081B"/>
    <w:rsid w:val="00322529"/>
    <w:rsid w:val="003234B3"/>
    <w:rsid w:val="003454F7"/>
    <w:rsid w:val="0035053D"/>
    <w:rsid w:val="003506EB"/>
    <w:rsid w:val="003648E7"/>
    <w:rsid w:val="003C311B"/>
    <w:rsid w:val="003F7B7A"/>
    <w:rsid w:val="0041570C"/>
    <w:rsid w:val="004339B3"/>
    <w:rsid w:val="00482C03"/>
    <w:rsid w:val="004B1DA7"/>
    <w:rsid w:val="004C23D4"/>
    <w:rsid w:val="004D3F15"/>
    <w:rsid w:val="00505C80"/>
    <w:rsid w:val="00511417"/>
    <w:rsid w:val="005237E8"/>
    <w:rsid w:val="00523957"/>
    <w:rsid w:val="0053228D"/>
    <w:rsid w:val="00532567"/>
    <w:rsid w:val="00535931"/>
    <w:rsid w:val="005678A3"/>
    <w:rsid w:val="00572274"/>
    <w:rsid w:val="00572411"/>
    <w:rsid w:val="005A7B79"/>
    <w:rsid w:val="00621B83"/>
    <w:rsid w:val="006720B8"/>
    <w:rsid w:val="006B4ECE"/>
    <w:rsid w:val="006C3AE7"/>
    <w:rsid w:val="006E5B29"/>
    <w:rsid w:val="006F4516"/>
    <w:rsid w:val="007328D2"/>
    <w:rsid w:val="0075310D"/>
    <w:rsid w:val="0079074C"/>
    <w:rsid w:val="0079578F"/>
    <w:rsid w:val="007B30FD"/>
    <w:rsid w:val="0082385A"/>
    <w:rsid w:val="0082692D"/>
    <w:rsid w:val="00884B15"/>
    <w:rsid w:val="008A6871"/>
    <w:rsid w:val="009074BF"/>
    <w:rsid w:val="00925F52"/>
    <w:rsid w:val="00937EFF"/>
    <w:rsid w:val="00944C81"/>
    <w:rsid w:val="0096490E"/>
    <w:rsid w:val="00980DCF"/>
    <w:rsid w:val="009A7541"/>
    <w:rsid w:val="00A21C90"/>
    <w:rsid w:val="00A24F89"/>
    <w:rsid w:val="00A808BD"/>
    <w:rsid w:val="00A82C43"/>
    <w:rsid w:val="00A91E4B"/>
    <w:rsid w:val="00AA495B"/>
    <w:rsid w:val="00AA4AB2"/>
    <w:rsid w:val="00AC56EE"/>
    <w:rsid w:val="00AE28F5"/>
    <w:rsid w:val="00B03B26"/>
    <w:rsid w:val="00B5478B"/>
    <w:rsid w:val="00B56140"/>
    <w:rsid w:val="00B60B5F"/>
    <w:rsid w:val="00B664F2"/>
    <w:rsid w:val="00BA4D17"/>
    <w:rsid w:val="00BE3660"/>
    <w:rsid w:val="00C14BCD"/>
    <w:rsid w:val="00C229BD"/>
    <w:rsid w:val="00C7222A"/>
    <w:rsid w:val="00C758B4"/>
    <w:rsid w:val="00C95D06"/>
    <w:rsid w:val="00CB2273"/>
    <w:rsid w:val="00CD18BD"/>
    <w:rsid w:val="00CE008D"/>
    <w:rsid w:val="00CE5296"/>
    <w:rsid w:val="00D31C86"/>
    <w:rsid w:val="00D34BE8"/>
    <w:rsid w:val="00D41E30"/>
    <w:rsid w:val="00DB614A"/>
    <w:rsid w:val="00E00C22"/>
    <w:rsid w:val="00E00DC7"/>
    <w:rsid w:val="00E02175"/>
    <w:rsid w:val="00E21808"/>
    <w:rsid w:val="00E63A11"/>
    <w:rsid w:val="00E67A7F"/>
    <w:rsid w:val="00E96D37"/>
    <w:rsid w:val="00F729C3"/>
    <w:rsid w:val="00F732AE"/>
    <w:rsid w:val="038B61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微软雅黑"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semiHidden="1" w:uiPriority="99" w:unhideWhenUsed="1" w:qFormat="1"/>
    <w:lsdException w:name="Title" w:qFormat="1"/>
    <w:lsdException w:name="Default Paragraph Font" w:semiHidden="1"/>
    <w:lsdException w:name="Subtitle" w:qFormat="1"/>
    <w:lsdException w:name="Hyperlink" w:uiPriority="99" w:unhideWhenUsed="1"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adjustRightInd w:val="0"/>
      <w:snapToGrid w:val="0"/>
      <w:spacing w:after="200"/>
    </w:pPr>
    <w:rPr>
      <w:rFonts w:ascii="Tahoma" w:hAnsi="Tahoma"/>
      <w:sz w:val="22"/>
      <w:szCs w:val="22"/>
    </w:rPr>
  </w:style>
  <w:style w:type="paragraph" w:styleId="1">
    <w:name w:val="heading 1"/>
    <w:basedOn w:val="a"/>
    <w:next w:val="a"/>
    <w:uiPriority w:val="9"/>
    <w:qFormat/>
    <w:pPr>
      <w:adjustRightInd/>
      <w:snapToGrid/>
      <w:spacing w:before="100" w:beforeAutospacing="1" w:after="100" w:afterAutospacing="1"/>
      <w:outlineLvl w:val="0"/>
    </w:pPr>
    <w:rPr>
      <w:rFonts w:ascii="宋体" w:eastAsia="宋体" w:hAnsi="宋体" w:cs="宋体"/>
      <w:b/>
      <w:bCs/>
      <w:kern w:val="36"/>
      <w:sz w:val="48"/>
      <w:szCs w:val="48"/>
    </w:rPr>
  </w:style>
  <w:style w:type="paragraph" w:styleId="3">
    <w:name w:val="heading 3"/>
    <w:basedOn w:val="a"/>
    <w:next w:val="a"/>
    <w:link w:val="3Char"/>
    <w:qFormat/>
    <w:rsid w:val="00572411"/>
    <w:pPr>
      <w:keepNext/>
      <w:keepLines/>
      <w:spacing w:before="260" w:after="260" w:line="416" w:lineRule="auto"/>
      <w:outlineLvl w:val="2"/>
    </w:pPr>
    <w:rPr>
      <w:b/>
      <w:bCs/>
      <w:sz w:val="32"/>
      <w:szCs w:val="32"/>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unhideWhenUsed/>
    <w:qFormat/>
    <w:rPr>
      <w:sz w:val="21"/>
      <w:szCs w:val="21"/>
    </w:rPr>
  </w:style>
  <w:style w:type="character" w:styleId="a4">
    <w:name w:val="Hyperlink"/>
    <w:uiPriority w:val="99"/>
    <w:unhideWhenUsed/>
    <w:qFormat/>
    <w:rPr>
      <w:color w:val="0000FF"/>
      <w:u w:val="single"/>
    </w:rPr>
  </w:style>
  <w:style w:type="character" w:styleId="a5">
    <w:name w:val="Emphasis"/>
    <w:uiPriority w:val="20"/>
    <w:qFormat/>
    <w:rPr>
      <w:i/>
      <w:iCs/>
    </w:rPr>
  </w:style>
  <w:style w:type="character" w:customStyle="1" w:styleId="font41">
    <w:name w:val="font41"/>
    <w:qFormat/>
    <w:rPr>
      <w:rFonts w:ascii="Times New Roman" w:hAnsi="Times New Roman" w:cs="Times New Roman" w:hint="default"/>
      <w:color w:val="000000"/>
      <w:sz w:val="22"/>
      <w:szCs w:val="22"/>
      <w:u w:val="none"/>
    </w:rPr>
  </w:style>
  <w:style w:type="paragraph" w:styleId="a6">
    <w:name w:val="header"/>
    <w:basedOn w:val="a"/>
    <w:link w:val="Char"/>
    <w:rsid w:val="00925F52"/>
    <w:pPr>
      <w:pBdr>
        <w:bottom w:val="single" w:sz="6" w:space="1" w:color="auto"/>
      </w:pBdr>
      <w:tabs>
        <w:tab w:val="center" w:pos="4153"/>
        <w:tab w:val="right" w:pos="8306"/>
      </w:tabs>
      <w:jc w:val="center"/>
    </w:pPr>
    <w:rPr>
      <w:sz w:val="18"/>
      <w:szCs w:val="18"/>
    </w:rPr>
  </w:style>
  <w:style w:type="character" w:customStyle="1" w:styleId="Char">
    <w:name w:val="页眉 Char"/>
    <w:link w:val="a6"/>
    <w:rsid w:val="00925F52"/>
    <w:rPr>
      <w:rFonts w:ascii="Tahoma" w:hAnsi="Tahoma"/>
      <w:sz w:val="18"/>
      <w:szCs w:val="18"/>
    </w:rPr>
  </w:style>
  <w:style w:type="paragraph" w:styleId="a7">
    <w:name w:val="footer"/>
    <w:basedOn w:val="a"/>
    <w:link w:val="Char0"/>
    <w:rsid w:val="00925F52"/>
    <w:pPr>
      <w:tabs>
        <w:tab w:val="center" w:pos="4153"/>
        <w:tab w:val="right" w:pos="8306"/>
      </w:tabs>
    </w:pPr>
    <w:rPr>
      <w:sz w:val="18"/>
      <w:szCs w:val="18"/>
    </w:rPr>
  </w:style>
  <w:style w:type="character" w:customStyle="1" w:styleId="Char0">
    <w:name w:val="页脚 Char"/>
    <w:link w:val="a7"/>
    <w:rsid w:val="00925F52"/>
    <w:rPr>
      <w:rFonts w:ascii="Tahoma" w:hAnsi="Tahoma"/>
      <w:sz w:val="18"/>
      <w:szCs w:val="18"/>
    </w:rPr>
  </w:style>
  <w:style w:type="character" w:customStyle="1" w:styleId="a8">
    <w:name w:val="未处理的提及"/>
    <w:uiPriority w:val="99"/>
    <w:semiHidden/>
    <w:unhideWhenUsed/>
    <w:rsid w:val="00272685"/>
    <w:rPr>
      <w:color w:val="605E5C"/>
      <w:shd w:val="clear" w:color="auto" w:fill="E1DFDD"/>
    </w:rPr>
  </w:style>
  <w:style w:type="paragraph" w:styleId="a9">
    <w:name w:val="Balloon Text"/>
    <w:basedOn w:val="a"/>
    <w:link w:val="Char1"/>
    <w:rsid w:val="00272685"/>
    <w:pPr>
      <w:spacing w:after="0"/>
    </w:pPr>
    <w:rPr>
      <w:sz w:val="18"/>
      <w:szCs w:val="18"/>
    </w:rPr>
  </w:style>
  <w:style w:type="character" w:customStyle="1" w:styleId="Char1">
    <w:name w:val="批注框文本 Char"/>
    <w:link w:val="a9"/>
    <w:rsid w:val="00272685"/>
    <w:rPr>
      <w:rFonts w:ascii="Tahoma" w:hAnsi="Tahoma"/>
      <w:sz w:val="18"/>
      <w:szCs w:val="18"/>
    </w:rPr>
  </w:style>
  <w:style w:type="paragraph" w:styleId="aa">
    <w:name w:val="annotation text"/>
    <w:basedOn w:val="a"/>
    <w:link w:val="Char2"/>
    <w:rsid w:val="00E00DC7"/>
  </w:style>
  <w:style w:type="character" w:customStyle="1" w:styleId="Char2">
    <w:name w:val="批注文字 Char"/>
    <w:link w:val="aa"/>
    <w:rsid w:val="00E00DC7"/>
    <w:rPr>
      <w:rFonts w:ascii="Tahoma" w:hAnsi="Tahoma"/>
      <w:sz w:val="22"/>
      <w:szCs w:val="22"/>
    </w:rPr>
  </w:style>
  <w:style w:type="paragraph" w:styleId="ab">
    <w:name w:val="annotation subject"/>
    <w:basedOn w:val="aa"/>
    <w:next w:val="aa"/>
    <w:link w:val="Char3"/>
    <w:rsid w:val="00E00DC7"/>
    <w:rPr>
      <w:b/>
      <w:bCs/>
    </w:rPr>
  </w:style>
  <w:style w:type="character" w:customStyle="1" w:styleId="Char3">
    <w:name w:val="批注主题 Char"/>
    <w:link w:val="ab"/>
    <w:rsid w:val="00E00DC7"/>
    <w:rPr>
      <w:rFonts w:ascii="Tahoma" w:hAnsi="Tahoma"/>
      <w:b/>
      <w:bCs/>
      <w:sz w:val="22"/>
      <w:szCs w:val="22"/>
    </w:rPr>
  </w:style>
  <w:style w:type="character" w:customStyle="1" w:styleId="3Char">
    <w:name w:val="标题 3 Char"/>
    <w:link w:val="3"/>
    <w:semiHidden/>
    <w:rsid w:val="00572411"/>
    <w:rPr>
      <w:rFonts w:ascii="Tahoma" w:hAnsi="Tahoma"/>
      <w:b/>
      <w:bCs/>
      <w:sz w:val="32"/>
      <w:szCs w:val="32"/>
    </w:rPr>
  </w:style>
  <w:style w:type="character" w:styleId="ac">
    <w:name w:val="page number"/>
    <w:rsid w:val="006720B8"/>
  </w:style>
  <w:style w:type="character" w:customStyle="1" w:styleId="st">
    <w:name w:val="st"/>
    <w:rsid w:val="003454F7"/>
  </w:style>
  <w:style w:type="character" w:customStyle="1" w:styleId="e24kjd">
    <w:name w:val="e24kjd"/>
    <w:rsid w:val="00B03B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微软雅黑"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semiHidden="1" w:uiPriority="99" w:unhideWhenUsed="1" w:qFormat="1"/>
    <w:lsdException w:name="Title" w:qFormat="1"/>
    <w:lsdException w:name="Default Paragraph Font" w:semiHidden="1"/>
    <w:lsdException w:name="Subtitle" w:qFormat="1"/>
    <w:lsdException w:name="Hyperlink" w:uiPriority="99" w:unhideWhenUsed="1"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adjustRightInd w:val="0"/>
      <w:snapToGrid w:val="0"/>
      <w:spacing w:after="200"/>
    </w:pPr>
    <w:rPr>
      <w:rFonts w:ascii="Tahoma" w:hAnsi="Tahoma"/>
      <w:sz w:val="22"/>
      <w:szCs w:val="22"/>
    </w:rPr>
  </w:style>
  <w:style w:type="paragraph" w:styleId="1">
    <w:name w:val="heading 1"/>
    <w:basedOn w:val="a"/>
    <w:next w:val="a"/>
    <w:uiPriority w:val="9"/>
    <w:qFormat/>
    <w:pPr>
      <w:adjustRightInd/>
      <w:snapToGrid/>
      <w:spacing w:before="100" w:beforeAutospacing="1" w:after="100" w:afterAutospacing="1"/>
      <w:outlineLvl w:val="0"/>
    </w:pPr>
    <w:rPr>
      <w:rFonts w:ascii="宋体" w:eastAsia="宋体" w:hAnsi="宋体" w:cs="宋体"/>
      <w:b/>
      <w:bCs/>
      <w:kern w:val="36"/>
      <w:sz w:val="48"/>
      <w:szCs w:val="48"/>
    </w:rPr>
  </w:style>
  <w:style w:type="paragraph" w:styleId="3">
    <w:name w:val="heading 3"/>
    <w:basedOn w:val="a"/>
    <w:next w:val="a"/>
    <w:link w:val="3Char"/>
    <w:qFormat/>
    <w:rsid w:val="00572411"/>
    <w:pPr>
      <w:keepNext/>
      <w:keepLines/>
      <w:spacing w:before="260" w:after="260" w:line="416" w:lineRule="auto"/>
      <w:outlineLvl w:val="2"/>
    </w:pPr>
    <w:rPr>
      <w:b/>
      <w:bCs/>
      <w:sz w:val="32"/>
      <w:szCs w:val="32"/>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unhideWhenUsed/>
    <w:qFormat/>
    <w:rPr>
      <w:sz w:val="21"/>
      <w:szCs w:val="21"/>
    </w:rPr>
  </w:style>
  <w:style w:type="character" w:styleId="a4">
    <w:name w:val="Hyperlink"/>
    <w:uiPriority w:val="99"/>
    <w:unhideWhenUsed/>
    <w:qFormat/>
    <w:rPr>
      <w:color w:val="0000FF"/>
      <w:u w:val="single"/>
    </w:rPr>
  </w:style>
  <w:style w:type="character" w:styleId="a5">
    <w:name w:val="Emphasis"/>
    <w:uiPriority w:val="20"/>
    <w:qFormat/>
    <w:rPr>
      <w:i/>
      <w:iCs/>
    </w:rPr>
  </w:style>
  <w:style w:type="character" w:customStyle="1" w:styleId="font41">
    <w:name w:val="font41"/>
    <w:qFormat/>
    <w:rPr>
      <w:rFonts w:ascii="Times New Roman" w:hAnsi="Times New Roman" w:cs="Times New Roman" w:hint="default"/>
      <w:color w:val="000000"/>
      <w:sz w:val="22"/>
      <w:szCs w:val="22"/>
      <w:u w:val="none"/>
    </w:rPr>
  </w:style>
  <w:style w:type="paragraph" w:styleId="a6">
    <w:name w:val="header"/>
    <w:basedOn w:val="a"/>
    <w:link w:val="Char"/>
    <w:rsid w:val="00925F52"/>
    <w:pPr>
      <w:pBdr>
        <w:bottom w:val="single" w:sz="6" w:space="1" w:color="auto"/>
      </w:pBdr>
      <w:tabs>
        <w:tab w:val="center" w:pos="4153"/>
        <w:tab w:val="right" w:pos="8306"/>
      </w:tabs>
      <w:jc w:val="center"/>
    </w:pPr>
    <w:rPr>
      <w:sz w:val="18"/>
      <w:szCs w:val="18"/>
    </w:rPr>
  </w:style>
  <w:style w:type="character" w:customStyle="1" w:styleId="Char">
    <w:name w:val="页眉 Char"/>
    <w:link w:val="a6"/>
    <w:rsid w:val="00925F52"/>
    <w:rPr>
      <w:rFonts w:ascii="Tahoma" w:hAnsi="Tahoma"/>
      <w:sz w:val="18"/>
      <w:szCs w:val="18"/>
    </w:rPr>
  </w:style>
  <w:style w:type="paragraph" w:styleId="a7">
    <w:name w:val="footer"/>
    <w:basedOn w:val="a"/>
    <w:link w:val="Char0"/>
    <w:rsid w:val="00925F52"/>
    <w:pPr>
      <w:tabs>
        <w:tab w:val="center" w:pos="4153"/>
        <w:tab w:val="right" w:pos="8306"/>
      </w:tabs>
    </w:pPr>
    <w:rPr>
      <w:sz w:val="18"/>
      <w:szCs w:val="18"/>
    </w:rPr>
  </w:style>
  <w:style w:type="character" w:customStyle="1" w:styleId="Char0">
    <w:name w:val="页脚 Char"/>
    <w:link w:val="a7"/>
    <w:rsid w:val="00925F52"/>
    <w:rPr>
      <w:rFonts w:ascii="Tahoma" w:hAnsi="Tahoma"/>
      <w:sz w:val="18"/>
      <w:szCs w:val="18"/>
    </w:rPr>
  </w:style>
  <w:style w:type="character" w:customStyle="1" w:styleId="a8">
    <w:name w:val="未处理的提及"/>
    <w:uiPriority w:val="99"/>
    <w:semiHidden/>
    <w:unhideWhenUsed/>
    <w:rsid w:val="00272685"/>
    <w:rPr>
      <w:color w:val="605E5C"/>
      <w:shd w:val="clear" w:color="auto" w:fill="E1DFDD"/>
    </w:rPr>
  </w:style>
  <w:style w:type="paragraph" w:styleId="a9">
    <w:name w:val="Balloon Text"/>
    <w:basedOn w:val="a"/>
    <w:link w:val="Char1"/>
    <w:rsid w:val="00272685"/>
    <w:pPr>
      <w:spacing w:after="0"/>
    </w:pPr>
    <w:rPr>
      <w:sz w:val="18"/>
      <w:szCs w:val="18"/>
    </w:rPr>
  </w:style>
  <w:style w:type="character" w:customStyle="1" w:styleId="Char1">
    <w:name w:val="批注框文本 Char"/>
    <w:link w:val="a9"/>
    <w:rsid w:val="00272685"/>
    <w:rPr>
      <w:rFonts w:ascii="Tahoma" w:hAnsi="Tahoma"/>
      <w:sz w:val="18"/>
      <w:szCs w:val="18"/>
    </w:rPr>
  </w:style>
  <w:style w:type="paragraph" w:styleId="aa">
    <w:name w:val="annotation text"/>
    <w:basedOn w:val="a"/>
    <w:link w:val="Char2"/>
    <w:rsid w:val="00E00DC7"/>
  </w:style>
  <w:style w:type="character" w:customStyle="1" w:styleId="Char2">
    <w:name w:val="批注文字 Char"/>
    <w:link w:val="aa"/>
    <w:rsid w:val="00E00DC7"/>
    <w:rPr>
      <w:rFonts w:ascii="Tahoma" w:hAnsi="Tahoma"/>
      <w:sz w:val="22"/>
      <w:szCs w:val="22"/>
    </w:rPr>
  </w:style>
  <w:style w:type="paragraph" w:styleId="ab">
    <w:name w:val="annotation subject"/>
    <w:basedOn w:val="aa"/>
    <w:next w:val="aa"/>
    <w:link w:val="Char3"/>
    <w:rsid w:val="00E00DC7"/>
    <w:rPr>
      <w:b/>
      <w:bCs/>
    </w:rPr>
  </w:style>
  <w:style w:type="character" w:customStyle="1" w:styleId="Char3">
    <w:name w:val="批注主题 Char"/>
    <w:link w:val="ab"/>
    <w:rsid w:val="00E00DC7"/>
    <w:rPr>
      <w:rFonts w:ascii="Tahoma" w:hAnsi="Tahoma"/>
      <w:b/>
      <w:bCs/>
      <w:sz w:val="22"/>
      <w:szCs w:val="22"/>
    </w:rPr>
  </w:style>
  <w:style w:type="character" w:customStyle="1" w:styleId="3Char">
    <w:name w:val="标题 3 Char"/>
    <w:link w:val="3"/>
    <w:semiHidden/>
    <w:rsid w:val="00572411"/>
    <w:rPr>
      <w:rFonts w:ascii="Tahoma" w:hAnsi="Tahoma"/>
      <w:b/>
      <w:bCs/>
      <w:sz w:val="32"/>
      <w:szCs w:val="32"/>
    </w:rPr>
  </w:style>
  <w:style w:type="character" w:styleId="ac">
    <w:name w:val="page number"/>
    <w:rsid w:val="006720B8"/>
  </w:style>
  <w:style w:type="character" w:customStyle="1" w:styleId="st">
    <w:name w:val="st"/>
    <w:rsid w:val="003454F7"/>
  </w:style>
  <w:style w:type="character" w:customStyle="1" w:styleId="e24kjd">
    <w:name w:val="e24kjd"/>
    <w:rsid w:val="00B03B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360363">
      <w:bodyDiv w:val="1"/>
      <w:marLeft w:val="0"/>
      <w:marRight w:val="0"/>
      <w:marTop w:val="0"/>
      <w:marBottom w:val="0"/>
      <w:divBdr>
        <w:top w:val="none" w:sz="0" w:space="0" w:color="auto"/>
        <w:left w:val="none" w:sz="0" w:space="0" w:color="auto"/>
        <w:bottom w:val="none" w:sz="0" w:space="0" w:color="auto"/>
        <w:right w:val="none" w:sz="0" w:space="0" w:color="auto"/>
      </w:divBdr>
    </w:div>
    <w:div w:id="242759005">
      <w:bodyDiv w:val="1"/>
      <w:marLeft w:val="0"/>
      <w:marRight w:val="0"/>
      <w:marTop w:val="0"/>
      <w:marBottom w:val="0"/>
      <w:divBdr>
        <w:top w:val="none" w:sz="0" w:space="0" w:color="auto"/>
        <w:left w:val="none" w:sz="0" w:space="0" w:color="auto"/>
        <w:bottom w:val="none" w:sz="0" w:space="0" w:color="auto"/>
        <w:right w:val="none" w:sz="0" w:space="0" w:color="auto"/>
      </w:divBdr>
    </w:div>
    <w:div w:id="281960584">
      <w:bodyDiv w:val="1"/>
      <w:marLeft w:val="0"/>
      <w:marRight w:val="0"/>
      <w:marTop w:val="0"/>
      <w:marBottom w:val="0"/>
      <w:divBdr>
        <w:top w:val="none" w:sz="0" w:space="0" w:color="auto"/>
        <w:left w:val="none" w:sz="0" w:space="0" w:color="auto"/>
        <w:bottom w:val="none" w:sz="0" w:space="0" w:color="auto"/>
        <w:right w:val="none" w:sz="0" w:space="0" w:color="auto"/>
      </w:divBdr>
    </w:div>
    <w:div w:id="434786833">
      <w:bodyDiv w:val="1"/>
      <w:marLeft w:val="0"/>
      <w:marRight w:val="0"/>
      <w:marTop w:val="0"/>
      <w:marBottom w:val="0"/>
      <w:divBdr>
        <w:top w:val="none" w:sz="0" w:space="0" w:color="auto"/>
        <w:left w:val="none" w:sz="0" w:space="0" w:color="auto"/>
        <w:bottom w:val="none" w:sz="0" w:space="0" w:color="auto"/>
        <w:right w:val="none" w:sz="0" w:space="0" w:color="auto"/>
      </w:divBdr>
    </w:div>
    <w:div w:id="633340759">
      <w:bodyDiv w:val="1"/>
      <w:marLeft w:val="0"/>
      <w:marRight w:val="0"/>
      <w:marTop w:val="0"/>
      <w:marBottom w:val="0"/>
      <w:divBdr>
        <w:top w:val="none" w:sz="0" w:space="0" w:color="auto"/>
        <w:left w:val="none" w:sz="0" w:space="0" w:color="auto"/>
        <w:bottom w:val="none" w:sz="0" w:space="0" w:color="auto"/>
        <w:right w:val="none" w:sz="0" w:space="0" w:color="auto"/>
      </w:divBdr>
    </w:div>
    <w:div w:id="640815492">
      <w:bodyDiv w:val="1"/>
      <w:marLeft w:val="0"/>
      <w:marRight w:val="0"/>
      <w:marTop w:val="0"/>
      <w:marBottom w:val="0"/>
      <w:divBdr>
        <w:top w:val="none" w:sz="0" w:space="0" w:color="auto"/>
        <w:left w:val="none" w:sz="0" w:space="0" w:color="auto"/>
        <w:bottom w:val="none" w:sz="0" w:space="0" w:color="auto"/>
        <w:right w:val="none" w:sz="0" w:space="0" w:color="auto"/>
      </w:divBdr>
    </w:div>
    <w:div w:id="1592735368">
      <w:bodyDiv w:val="1"/>
      <w:marLeft w:val="0"/>
      <w:marRight w:val="0"/>
      <w:marTop w:val="0"/>
      <w:marBottom w:val="0"/>
      <w:divBdr>
        <w:top w:val="none" w:sz="0" w:space="0" w:color="auto"/>
        <w:left w:val="none" w:sz="0" w:space="0" w:color="auto"/>
        <w:bottom w:val="none" w:sz="0" w:space="0" w:color="auto"/>
        <w:right w:val="none" w:sz="0" w:space="0" w:color="auto"/>
      </w:divBdr>
    </w:div>
    <w:div w:id="1605266289">
      <w:bodyDiv w:val="1"/>
      <w:marLeft w:val="0"/>
      <w:marRight w:val="0"/>
      <w:marTop w:val="0"/>
      <w:marBottom w:val="0"/>
      <w:divBdr>
        <w:top w:val="none" w:sz="0" w:space="0" w:color="auto"/>
        <w:left w:val="none" w:sz="0" w:space="0" w:color="auto"/>
        <w:bottom w:val="none" w:sz="0" w:space="0" w:color="auto"/>
        <w:right w:val="none" w:sz="0" w:space="0" w:color="auto"/>
      </w:divBdr>
    </w:div>
    <w:div w:id="206263618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0C6DD-6136-4295-9D68-043F7C9FC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7147</Words>
  <Characters>40739</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2</cp:revision>
  <dcterms:created xsi:type="dcterms:W3CDTF">2020-06-06T09:38:00Z</dcterms:created>
  <dcterms:modified xsi:type="dcterms:W3CDTF">2020-06-06T09:38:00Z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