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57DB" w14:textId="77777777" w:rsidR="0020144E" w:rsidRPr="00825E2B" w:rsidRDefault="0020144E" w:rsidP="00A921B8">
      <w:pPr>
        <w:adjustRightInd w:val="0"/>
        <w:snapToGrid w:val="0"/>
        <w:spacing w:after="0" w:line="360" w:lineRule="auto"/>
        <w:jc w:val="both"/>
        <w:textAlignment w:val="baseline"/>
        <w:rPr>
          <w:rFonts w:ascii="Book Antiqua" w:eastAsia="MS Mincho" w:hAnsi="Book Antiqua" w:cs="Times New Roman"/>
          <w:b/>
          <w:bCs/>
          <w:i/>
          <w:sz w:val="24"/>
          <w:szCs w:val="24"/>
          <w:lang w:val="en-US"/>
        </w:rPr>
      </w:pPr>
      <w:r w:rsidRPr="00825E2B">
        <w:rPr>
          <w:rFonts w:ascii="Book Antiqua" w:eastAsia="MS Mincho" w:hAnsi="Book Antiqua" w:cs="Times New Roman"/>
          <w:b/>
          <w:bCs/>
          <w:sz w:val="24"/>
          <w:szCs w:val="24"/>
          <w:lang w:val="en-US"/>
        </w:rPr>
        <w:t xml:space="preserve">Name of Journal: </w:t>
      </w:r>
      <w:r w:rsidRPr="00825E2B">
        <w:rPr>
          <w:rFonts w:ascii="Book Antiqua" w:eastAsia="MS Mincho" w:hAnsi="Book Antiqua" w:cs="Times New Roman"/>
          <w:i/>
          <w:sz w:val="24"/>
          <w:szCs w:val="24"/>
          <w:lang w:val="en-US"/>
        </w:rPr>
        <w:t>World Journal of Gastroenterology</w:t>
      </w:r>
    </w:p>
    <w:p w14:paraId="1BE960A0" w14:textId="77777777" w:rsidR="0020144E" w:rsidRPr="00825E2B" w:rsidRDefault="0020144E" w:rsidP="00A921B8">
      <w:pPr>
        <w:adjustRightInd w:val="0"/>
        <w:snapToGrid w:val="0"/>
        <w:spacing w:after="0" w:line="360" w:lineRule="auto"/>
        <w:jc w:val="both"/>
        <w:textAlignment w:val="baseline"/>
        <w:rPr>
          <w:rFonts w:ascii="Book Antiqua" w:eastAsia="MS Mincho" w:hAnsi="Book Antiqua" w:cs="Times New Roman"/>
          <w:b/>
          <w:bCs/>
          <w:sz w:val="24"/>
          <w:szCs w:val="24"/>
          <w:lang w:val="en-US"/>
        </w:rPr>
      </w:pPr>
      <w:r w:rsidRPr="00825E2B">
        <w:rPr>
          <w:rFonts w:ascii="Book Antiqua" w:eastAsia="MS Mincho" w:hAnsi="Book Antiqua" w:cs="Times New Roman"/>
          <w:b/>
          <w:bCs/>
          <w:sz w:val="24"/>
          <w:szCs w:val="24"/>
          <w:lang w:val="en-US"/>
        </w:rPr>
        <w:t xml:space="preserve">Manuscript NO: </w:t>
      </w:r>
      <w:r w:rsidRPr="00825E2B">
        <w:rPr>
          <w:rFonts w:ascii="Book Antiqua" w:eastAsia="MS Mincho" w:hAnsi="Book Antiqua" w:cs="Times New Roman"/>
          <w:sz w:val="24"/>
          <w:szCs w:val="24"/>
          <w:lang w:val="en-US"/>
        </w:rPr>
        <w:t>55458</w:t>
      </w:r>
    </w:p>
    <w:p w14:paraId="6168A6BA" w14:textId="4154E6B1" w:rsidR="0020144E" w:rsidRPr="00825E2B" w:rsidRDefault="0020144E" w:rsidP="00A921B8">
      <w:pPr>
        <w:adjustRightInd w:val="0"/>
        <w:snapToGrid w:val="0"/>
        <w:spacing w:after="0" w:line="360" w:lineRule="auto"/>
        <w:jc w:val="both"/>
        <w:textAlignment w:val="baseline"/>
        <w:rPr>
          <w:rFonts w:ascii="Book Antiqua" w:eastAsia="MS Mincho" w:hAnsi="Book Antiqua" w:cs="Times New Roman"/>
          <w:b/>
          <w:bCs/>
          <w:sz w:val="24"/>
          <w:szCs w:val="24"/>
          <w:lang w:val="en-US"/>
        </w:rPr>
      </w:pPr>
      <w:r w:rsidRPr="00825E2B">
        <w:rPr>
          <w:rFonts w:ascii="Book Antiqua" w:eastAsia="MS Mincho" w:hAnsi="Book Antiqua" w:cs="Times New Roman"/>
          <w:b/>
          <w:bCs/>
          <w:sz w:val="24"/>
          <w:szCs w:val="24"/>
          <w:lang w:val="en-US"/>
        </w:rPr>
        <w:t xml:space="preserve">Manuscript Type: </w:t>
      </w:r>
      <w:r w:rsidRPr="00825E2B">
        <w:rPr>
          <w:rFonts w:ascii="Book Antiqua" w:eastAsia="MS Mincho" w:hAnsi="Book Antiqua" w:cs="Times New Roman"/>
          <w:sz w:val="24"/>
          <w:szCs w:val="24"/>
          <w:lang w:val="en-US"/>
        </w:rPr>
        <w:t>MINIREVIEWS</w:t>
      </w:r>
    </w:p>
    <w:p w14:paraId="7122F28F" w14:textId="77777777" w:rsidR="0020144E" w:rsidRPr="00825E2B" w:rsidRDefault="0020144E" w:rsidP="00A921B8">
      <w:pPr>
        <w:adjustRightInd w:val="0"/>
        <w:snapToGrid w:val="0"/>
        <w:spacing w:after="0" w:line="360" w:lineRule="auto"/>
        <w:jc w:val="both"/>
        <w:textAlignment w:val="baseline"/>
        <w:rPr>
          <w:rFonts w:ascii="Book Antiqua" w:eastAsia="MS Mincho" w:hAnsi="Book Antiqua" w:cs="Times New Roman"/>
          <w:b/>
          <w:bCs/>
          <w:sz w:val="24"/>
          <w:szCs w:val="24"/>
          <w:lang w:val="en-US"/>
        </w:rPr>
      </w:pPr>
    </w:p>
    <w:p w14:paraId="5BAE95B9" w14:textId="74A79DC4" w:rsidR="00847DD3" w:rsidRPr="00825E2B" w:rsidRDefault="00847DD3" w:rsidP="00A921B8">
      <w:pPr>
        <w:adjustRightInd w:val="0"/>
        <w:snapToGrid w:val="0"/>
        <w:spacing w:after="0" w:line="360" w:lineRule="auto"/>
        <w:jc w:val="both"/>
        <w:textAlignment w:val="baseline"/>
        <w:rPr>
          <w:rFonts w:ascii="Book Antiqua" w:hAnsi="Book Antiqua" w:cs="Times New Roman"/>
          <w:sz w:val="24"/>
          <w:szCs w:val="24"/>
          <w:lang w:val="en-US" w:eastAsia="zh-CN"/>
        </w:rPr>
      </w:pPr>
      <w:r w:rsidRPr="00825E2B">
        <w:rPr>
          <w:rFonts w:ascii="Book Antiqua" w:eastAsia="MS Mincho" w:hAnsi="Book Antiqua" w:cs="Times New Roman"/>
          <w:b/>
          <w:bCs/>
          <w:sz w:val="24"/>
          <w:szCs w:val="24"/>
          <w:lang w:val="en-US"/>
        </w:rPr>
        <w:t>Monoacylglycerol lipase reprograms lipid precursors signaling in liver disease</w:t>
      </w:r>
      <w:r w:rsidR="00EB0F0B" w:rsidRPr="00825E2B">
        <w:rPr>
          <w:rFonts w:ascii="Book Antiqua" w:eastAsia="MS Mincho" w:hAnsi="Book Antiqua" w:cs="Times New Roman"/>
          <w:b/>
          <w:bCs/>
          <w:sz w:val="24"/>
          <w:szCs w:val="24"/>
          <w:lang w:val="en-US"/>
        </w:rPr>
        <w:t xml:space="preserve"> </w:t>
      </w:r>
    </w:p>
    <w:p w14:paraId="42732831" w14:textId="77777777" w:rsidR="00184B69" w:rsidRPr="00825E2B" w:rsidRDefault="00184B69" w:rsidP="00A921B8">
      <w:pPr>
        <w:adjustRightInd w:val="0"/>
        <w:snapToGrid w:val="0"/>
        <w:spacing w:after="0" w:line="360" w:lineRule="auto"/>
        <w:jc w:val="both"/>
        <w:rPr>
          <w:rFonts w:ascii="Book Antiqua" w:hAnsi="Book Antiqua" w:cs="Arial"/>
          <w:sz w:val="24"/>
          <w:szCs w:val="24"/>
          <w:lang w:val="en-US" w:eastAsia="zh-CN"/>
        </w:rPr>
      </w:pPr>
    </w:p>
    <w:p w14:paraId="76E64542" w14:textId="65ABCC3F" w:rsidR="00184B69" w:rsidRPr="00825E2B" w:rsidRDefault="00435EE7" w:rsidP="00A921B8">
      <w:pPr>
        <w:adjustRightInd w:val="0"/>
        <w:snapToGrid w:val="0"/>
        <w:spacing w:after="0" w:line="360" w:lineRule="auto"/>
        <w:jc w:val="both"/>
        <w:rPr>
          <w:rFonts w:ascii="Book Antiqua" w:hAnsi="Book Antiqua" w:cs="Arial"/>
          <w:sz w:val="24"/>
          <w:szCs w:val="24"/>
          <w:lang w:val="en-US" w:eastAsia="zh-CN"/>
        </w:rPr>
      </w:pPr>
      <w:proofErr w:type="spellStart"/>
      <w:r w:rsidRPr="00825E2B">
        <w:rPr>
          <w:rFonts w:ascii="Book Antiqua" w:hAnsi="Book Antiqua" w:cs="Arial"/>
          <w:sz w:val="24"/>
          <w:szCs w:val="24"/>
          <w:lang w:val="en-US"/>
        </w:rPr>
        <w:t>Tardelli</w:t>
      </w:r>
      <w:proofErr w:type="spellEnd"/>
      <w:r w:rsidRPr="00825E2B">
        <w:rPr>
          <w:rFonts w:ascii="Book Antiqua" w:hAnsi="Book Antiqua" w:cs="Arial"/>
          <w:sz w:val="24"/>
          <w:szCs w:val="24"/>
          <w:lang w:val="en-US" w:eastAsia="zh-CN"/>
        </w:rPr>
        <w:t xml:space="preserve"> M. </w:t>
      </w:r>
      <w:r w:rsidR="00184B69" w:rsidRPr="00825E2B">
        <w:rPr>
          <w:rFonts w:ascii="Book Antiqua" w:hAnsi="Book Antiqua" w:cs="Arial"/>
          <w:sz w:val="24"/>
          <w:szCs w:val="24"/>
          <w:lang w:val="en-US" w:eastAsia="zh-CN"/>
        </w:rPr>
        <w:t>MGL</w:t>
      </w:r>
      <w:r w:rsidR="003B4662" w:rsidRPr="00825E2B">
        <w:rPr>
          <w:rFonts w:ascii="Book Antiqua" w:hAnsi="Book Antiqua" w:cs="Arial"/>
          <w:sz w:val="24"/>
          <w:szCs w:val="24"/>
          <w:lang w:val="en-US" w:eastAsia="zh-CN"/>
        </w:rPr>
        <w:t xml:space="preserve"> </w:t>
      </w:r>
      <w:r w:rsidR="003B4662" w:rsidRPr="00825E2B">
        <w:rPr>
          <w:rFonts w:ascii="Book Antiqua" w:eastAsia="MS Mincho" w:hAnsi="Book Antiqua" w:cs="Times New Roman"/>
          <w:bCs/>
          <w:sz w:val="24"/>
          <w:szCs w:val="24"/>
          <w:lang w:val="en-US"/>
        </w:rPr>
        <w:t>reprograms lipid precursors signaling in liver disease</w:t>
      </w:r>
    </w:p>
    <w:p w14:paraId="7AFBE67D" w14:textId="77777777" w:rsidR="00184B69" w:rsidRPr="00825E2B" w:rsidRDefault="00184B69" w:rsidP="00A921B8">
      <w:pPr>
        <w:adjustRightInd w:val="0"/>
        <w:snapToGrid w:val="0"/>
        <w:spacing w:after="0" w:line="360" w:lineRule="auto"/>
        <w:jc w:val="both"/>
        <w:rPr>
          <w:rFonts w:ascii="Book Antiqua" w:hAnsi="Book Antiqua" w:cs="Arial"/>
          <w:sz w:val="24"/>
          <w:szCs w:val="24"/>
          <w:lang w:val="en-US" w:eastAsia="zh-CN"/>
        </w:rPr>
      </w:pPr>
    </w:p>
    <w:p w14:paraId="217A8EE9" w14:textId="76A1D4B9" w:rsidR="00634DEA" w:rsidRPr="00825E2B" w:rsidRDefault="00184B69" w:rsidP="00A921B8">
      <w:pPr>
        <w:adjustRightInd w:val="0"/>
        <w:snapToGrid w:val="0"/>
        <w:spacing w:after="0" w:line="360" w:lineRule="auto"/>
        <w:jc w:val="both"/>
        <w:rPr>
          <w:rFonts w:ascii="Book Antiqua" w:hAnsi="Book Antiqua" w:cs="Arial"/>
          <w:sz w:val="24"/>
          <w:szCs w:val="24"/>
          <w:vertAlign w:val="superscript"/>
          <w:lang w:val="en-US" w:eastAsia="zh-CN"/>
        </w:rPr>
      </w:pPr>
      <w:r w:rsidRPr="00825E2B">
        <w:rPr>
          <w:rFonts w:ascii="Book Antiqua" w:hAnsi="Book Antiqua" w:cs="Arial"/>
          <w:sz w:val="24"/>
          <w:szCs w:val="24"/>
          <w:lang w:val="en-US"/>
        </w:rPr>
        <w:t xml:space="preserve">Matteo </w:t>
      </w:r>
      <w:bookmarkStart w:id="0" w:name="OLE_LINK2"/>
      <w:proofErr w:type="spellStart"/>
      <w:r w:rsidRPr="00825E2B">
        <w:rPr>
          <w:rFonts w:ascii="Book Antiqua" w:hAnsi="Book Antiqua" w:cs="Arial"/>
          <w:sz w:val="24"/>
          <w:szCs w:val="24"/>
          <w:lang w:val="en-US"/>
        </w:rPr>
        <w:t>Tardelli</w:t>
      </w:r>
      <w:bookmarkEnd w:id="0"/>
      <w:proofErr w:type="spellEnd"/>
    </w:p>
    <w:p w14:paraId="42A4FDA6" w14:textId="77777777" w:rsidR="0075692A" w:rsidRPr="00825E2B" w:rsidRDefault="0075692A" w:rsidP="00A921B8">
      <w:pPr>
        <w:adjustRightInd w:val="0"/>
        <w:snapToGrid w:val="0"/>
        <w:spacing w:after="0" w:line="360" w:lineRule="auto"/>
        <w:jc w:val="both"/>
        <w:rPr>
          <w:rFonts w:ascii="Book Antiqua" w:hAnsi="Book Antiqua" w:cs="Arial"/>
          <w:sz w:val="24"/>
          <w:szCs w:val="24"/>
          <w:lang w:val="en-US"/>
        </w:rPr>
      </w:pPr>
    </w:p>
    <w:p w14:paraId="0FC655B2" w14:textId="2088AC02" w:rsidR="00847DD3" w:rsidRPr="00825E2B" w:rsidRDefault="00184B69" w:rsidP="00A921B8">
      <w:pPr>
        <w:adjustRightInd w:val="0"/>
        <w:snapToGrid w:val="0"/>
        <w:spacing w:after="0" w:line="360" w:lineRule="auto"/>
        <w:jc w:val="both"/>
        <w:rPr>
          <w:rFonts w:ascii="Book Antiqua" w:hAnsi="Book Antiqua" w:cs="Arial"/>
          <w:sz w:val="24"/>
          <w:szCs w:val="24"/>
          <w:vertAlign w:val="superscript"/>
          <w:lang w:val="en-US" w:eastAsia="zh-CN"/>
        </w:rPr>
      </w:pPr>
      <w:bookmarkStart w:id="1" w:name="OLE_LINK1"/>
      <w:r w:rsidRPr="00825E2B">
        <w:rPr>
          <w:rFonts w:ascii="Book Antiqua" w:hAnsi="Book Antiqua" w:cs="Arial"/>
          <w:b/>
          <w:sz w:val="24"/>
          <w:szCs w:val="24"/>
          <w:lang w:val="en-US"/>
        </w:rPr>
        <w:t xml:space="preserve">Matteo </w:t>
      </w:r>
      <w:proofErr w:type="spellStart"/>
      <w:r w:rsidRPr="00825E2B">
        <w:rPr>
          <w:rFonts w:ascii="Book Antiqua" w:hAnsi="Book Antiqua" w:cs="Arial"/>
          <w:b/>
          <w:sz w:val="24"/>
          <w:szCs w:val="24"/>
          <w:lang w:val="en-US"/>
        </w:rPr>
        <w:t>Tardelli</w:t>
      </w:r>
      <w:proofErr w:type="spellEnd"/>
      <w:r w:rsidRPr="00825E2B">
        <w:rPr>
          <w:rFonts w:ascii="Book Antiqua" w:hAnsi="Book Antiqua" w:cs="Arial"/>
          <w:b/>
          <w:sz w:val="24"/>
          <w:szCs w:val="24"/>
          <w:lang w:val="en-US" w:eastAsia="zh-CN"/>
        </w:rPr>
        <w:t>,</w:t>
      </w:r>
      <w:bookmarkEnd w:id="1"/>
      <w:r w:rsidRPr="00825E2B">
        <w:rPr>
          <w:rFonts w:ascii="Book Antiqua" w:hAnsi="Book Antiqua" w:cs="Arial"/>
          <w:sz w:val="24"/>
          <w:szCs w:val="24"/>
          <w:lang w:val="en-US" w:eastAsia="zh-CN"/>
        </w:rPr>
        <w:t xml:space="preserve"> </w:t>
      </w:r>
      <w:bookmarkStart w:id="2" w:name="OLE_LINK3"/>
      <w:r w:rsidR="00847DD3" w:rsidRPr="00825E2B">
        <w:rPr>
          <w:rFonts w:ascii="Book Antiqua" w:eastAsia="MS Mincho" w:hAnsi="Book Antiqua" w:cs="Times New Roman"/>
          <w:sz w:val="24"/>
          <w:szCs w:val="24"/>
          <w:lang w:val="en-US"/>
        </w:rPr>
        <w:t xml:space="preserve">Division of Gastroenterology and Hepatology, Joan </w:t>
      </w:r>
      <w:r w:rsidR="00435EE7" w:rsidRPr="00825E2B">
        <w:rPr>
          <w:rFonts w:ascii="Book Antiqua" w:hAnsi="Book Antiqua" w:cs="Times New Roman"/>
          <w:sz w:val="24"/>
          <w:szCs w:val="24"/>
          <w:lang w:val="en-US" w:eastAsia="zh-CN"/>
        </w:rPr>
        <w:t>and</w:t>
      </w:r>
      <w:r w:rsidR="00435EE7" w:rsidRPr="00825E2B">
        <w:rPr>
          <w:rFonts w:ascii="Book Antiqua" w:eastAsia="MS Mincho" w:hAnsi="Book Antiqua" w:cs="Times New Roman"/>
          <w:sz w:val="24"/>
          <w:szCs w:val="24"/>
          <w:lang w:val="en-US"/>
        </w:rPr>
        <w:t xml:space="preserve"> Sanford I</w:t>
      </w:r>
      <w:r w:rsidR="00847DD3" w:rsidRPr="00825E2B">
        <w:rPr>
          <w:rFonts w:ascii="Book Antiqua" w:eastAsia="MS Mincho" w:hAnsi="Book Antiqua" w:cs="Times New Roman"/>
          <w:sz w:val="24"/>
          <w:szCs w:val="24"/>
          <w:lang w:val="en-US"/>
        </w:rPr>
        <w:t xml:space="preserve"> Weill Cornell Department of Medicine</w:t>
      </w:r>
      <w:bookmarkEnd w:id="2"/>
      <w:r w:rsidR="00847DD3" w:rsidRPr="00825E2B">
        <w:rPr>
          <w:rFonts w:ascii="Book Antiqua" w:eastAsia="MS Mincho" w:hAnsi="Book Antiqua" w:cs="Times New Roman"/>
          <w:sz w:val="24"/>
          <w:szCs w:val="24"/>
          <w:lang w:val="en-US"/>
        </w:rPr>
        <w:t xml:space="preserve">, Weill Cornell </w:t>
      </w:r>
      <w:r w:rsidR="003B4662" w:rsidRPr="00825E2B">
        <w:rPr>
          <w:rFonts w:ascii="Book Antiqua" w:eastAsia="MS Mincho" w:hAnsi="Book Antiqua" w:cs="Times New Roman"/>
          <w:sz w:val="24"/>
          <w:szCs w:val="24"/>
          <w:lang w:val="en-US"/>
        </w:rPr>
        <w:t xml:space="preserve">Medical College, New York, </w:t>
      </w:r>
      <w:r w:rsidR="00435EE7" w:rsidRPr="00825E2B">
        <w:rPr>
          <w:rFonts w:ascii="Book Antiqua" w:hAnsi="Book Antiqua" w:cs="Times New Roman"/>
          <w:sz w:val="24"/>
          <w:szCs w:val="24"/>
          <w:lang w:val="en-US" w:eastAsia="zh-CN"/>
        </w:rPr>
        <w:t xml:space="preserve">NY 10013, </w:t>
      </w:r>
      <w:r w:rsidR="003B4662" w:rsidRPr="00825E2B">
        <w:rPr>
          <w:rFonts w:ascii="Book Antiqua" w:eastAsia="MS Mincho" w:hAnsi="Book Antiqua" w:cs="Times New Roman"/>
          <w:sz w:val="24"/>
          <w:szCs w:val="24"/>
          <w:lang w:val="en-US"/>
        </w:rPr>
        <w:t>U</w:t>
      </w:r>
      <w:r w:rsidR="003B4662" w:rsidRPr="00825E2B">
        <w:rPr>
          <w:rFonts w:ascii="Book Antiqua" w:hAnsi="Book Antiqua" w:cs="Times New Roman"/>
          <w:sz w:val="24"/>
          <w:szCs w:val="24"/>
          <w:lang w:val="en-US" w:eastAsia="zh-CN"/>
        </w:rPr>
        <w:t xml:space="preserve">nited </w:t>
      </w:r>
      <w:r w:rsidR="003B4662" w:rsidRPr="00825E2B">
        <w:rPr>
          <w:rFonts w:ascii="Book Antiqua" w:eastAsia="MS Mincho" w:hAnsi="Book Antiqua" w:cs="Times New Roman"/>
          <w:sz w:val="24"/>
          <w:szCs w:val="24"/>
          <w:lang w:val="en-US"/>
        </w:rPr>
        <w:t>S</w:t>
      </w:r>
      <w:r w:rsidR="003B4662" w:rsidRPr="00825E2B">
        <w:rPr>
          <w:rFonts w:ascii="Book Antiqua" w:hAnsi="Book Antiqua" w:cs="Times New Roman"/>
          <w:sz w:val="24"/>
          <w:szCs w:val="24"/>
          <w:lang w:val="en-US" w:eastAsia="zh-CN"/>
        </w:rPr>
        <w:t>tates</w:t>
      </w:r>
    </w:p>
    <w:p w14:paraId="36875773" w14:textId="77777777" w:rsidR="006750B3" w:rsidRPr="00825E2B" w:rsidRDefault="006750B3" w:rsidP="00A921B8">
      <w:pPr>
        <w:adjustRightInd w:val="0"/>
        <w:snapToGrid w:val="0"/>
        <w:spacing w:after="0" w:line="360" w:lineRule="auto"/>
        <w:jc w:val="both"/>
        <w:textAlignment w:val="baseline"/>
        <w:rPr>
          <w:rFonts w:ascii="Book Antiqua" w:eastAsia="MS Mincho" w:hAnsi="Book Antiqua" w:cs="Times New Roman"/>
          <w:sz w:val="24"/>
          <w:szCs w:val="24"/>
          <w:lang w:val="en-US"/>
        </w:rPr>
      </w:pPr>
    </w:p>
    <w:p w14:paraId="46D258E4" w14:textId="00BE199F" w:rsidR="00847DD3" w:rsidRPr="00825E2B" w:rsidRDefault="00184B69" w:rsidP="00A921B8">
      <w:pPr>
        <w:adjustRightInd w:val="0"/>
        <w:snapToGrid w:val="0"/>
        <w:spacing w:after="0" w:line="360" w:lineRule="auto"/>
        <w:jc w:val="both"/>
        <w:textAlignment w:val="baseline"/>
        <w:rPr>
          <w:rFonts w:ascii="Book Antiqua" w:hAnsi="Book Antiqua" w:cs="Times New Roman"/>
          <w:sz w:val="24"/>
          <w:szCs w:val="24"/>
          <w:lang w:val="en-US" w:eastAsia="zh-CN"/>
        </w:rPr>
      </w:pPr>
      <w:r w:rsidRPr="00825E2B">
        <w:rPr>
          <w:rFonts w:ascii="Book Antiqua" w:hAnsi="Book Antiqua" w:cs="Arial"/>
          <w:b/>
          <w:sz w:val="24"/>
          <w:szCs w:val="24"/>
          <w:lang w:val="en-US"/>
        </w:rPr>
        <w:t xml:space="preserve">Matteo </w:t>
      </w:r>
      <w:proofErr w:type="spellStart"/>
      <w:r w:rsidRPr="00825E2B">
        <w:rPr>
          <w:rFonts w:ascii="Book Antiqua" w:hAnsi="Book Antiqua" w:cs="Arial"/>
          <w:b/>
          <w:sz w:val="24"/>
          <w:szCs w:val="24"/>
          <w:lang w:val="en-US"/>
        </w:rPr>
        <w:t>Tardelli</w:t>
      </w:r>
      <w:proofErr w:type="spellEnd"/>
      <w:r w:rsidRPr="00825E2B">
        <w:rPr>
          <w:rFonts w:ascii="Book Antiqua" w:hAnsi="Book Antiqua" w:cs="Arial"/>
          <w:b/>
          <w:sz w:val="24"/>
          <w:szCs w:val="24"/>
          <w:lang w:val="en-US" w:eastAsia="zh-CN"/>
        </w:rPr>
        <w:t xml:space="preserve">, </w:t>
      </w:r>
      <w:r w:rsidR="00847DD3" w:rsidRPr="00825E2B">
        <w:rPr>
          <w:rFonts w:ascii="Book Antiqua" w:eastAsia="MS Mincho" w:hAnsi="Book Antiqua" w:cs="Times New Roman"/>
          <w:sz w:val="24"/>
          <w:szCs w:val="24"/>
          <w:lang w:val="en-US"/>
        </w:rPr>
        <w:t xml:space="preserve">Hans Popper Laboratory of Molecular Hepatology, Division of Gastroenterology </w:t>
      </w:r>
      <w:r w:rsidR="003B4662" w:rsidRPr="00825E2B">
        <w:rPr>
          <w:rFonts w:ascii="Book Antiqua" w:hAnsi="Book Antiqua" w:cs="Times New Roman"/>
          <w:sz w:val="24"/>
          <w:szCs w:val="24"/>
          <w:lang w:val="en-US" w:eastAsia="zh-CN"/>
        </w:rPr>
        <w:t>and</w:t>
      </w:r>
      <w:r w:rsidR="00847DD3" w:rsidRPr="00825E2B">
        <w:rPr>
          <w:rFonts w:ascii="Book Antiqua" w:eastAsia="MS Mincho" w:hAnsi="Book Antiqua" w:cs="Times New Roman"/>
          <w:sz w:val="24"/>
          <w:szCs w:val="24"/>
          <w:lang w:val="en-US"/>
        </w:rPr>
        <w:t xml:space="preserve"> Hepatology, Internal Medicine III, Medical Univers</w:t>
      </w:r>
      <w:r w:rsidRPr="00825E2B">
        <w:rPr>
          <w:rFonts w:ascii="Book Antiqua" w:eastAsia="MS Mincho" w:hAnsi="Book Antiqua" w:cs="Times New Roman"/>
          <w:sz w:val="24"/>
          <w:szCs w:val="24"/>
          <w:lang w:val="en-US"/>
        </w:rPr>
        <w:t xml:space="preserve">ity of Vienna, </w:t>
      </w:r>
      <w:bookmarkStart w:id="3" w:name="OLE_LINK4"/>
      <w:r w:rsidRPr="00825E2B">
        <w:rPr>
          <w:rFonts w:ascii="Book Antiqua" w:eastAsia="MS Mincho" w:hAnsi="Book Antiqua" w:cs="Times New Roman"/>
          <w:sz w:val="24"/>
          <w:szCs w:val="24"/>
          <w:lang w:val="en-US"/>
        </w:rPr>
        <w:t>Vienna</w:t>
      </w:r>
      <w:bookmarkEnd w:id="3"/>
      <w:r w:rsidR="006069C5" w:rsidRPr="00825E2B">
        <w:rPr>
          <w:rFonts w:ascii="Book Antiqua" w:hAnsi="Book Antiqua" w:cs="Times New Roman"/>
          <w:sz w:val="24"/>
          <w:szCs w:val="24"/>
          <w:lang w:val="en-US" w:eastAsia="zh-CN"/>
        </w:rPr>
        <w:t xml:space="preserve"> 1040</w:t>
      </w:r>
      <w:r w:rsidRPr="00825E2B">
        <w:rPr>
          <w:rFonts w:ascii="Book Antiqua" w:eastAsia="MS Mincho" w:hAnsi="Book Antiqua" w:cs="Times New Roman"/>
          <w:sz w:val="24"/>
          <w:szCs w:val="24"/>
          <w:lang w:val="en-US"/>
        </w:rPr>
        <w:t>, Austria</w:t>
      </w:r>
    </w:p>
    <w:p w14:paraId="0EA90AC2" w14:textId="544DEFCD" w:rsidR="00847DD3" w:rsidRPr="00825E2B" w:rsidRDefault="00847DD3" w:rsidP="00A921B8">
      <w:pPr>
        <w:adjustRightInd w:val="0"/>
        <w:snapToGrid w:val="0"/>
        <w:spacing w:after="0" w:line="360" w:lineRule="auto"/>
        <w:jc w:val="both"/>
        <w:textAlignment w:val="baseline"/>
        <w:rPr>
          <w:rFonts w:ascii="Book Antiqua" w:eastAsia="MS Mincho" w:hAnsi="Book Antiqua" w:cs="Times New Roman"/>
          <w:sz w:val="24"/>
          <w:szCs w:val="24"/>
          <w:lang w:val="en-US"/>
        </w:rPr>
      </w:pPr>
    </w:p>
    <w:p w14:paraId="011C331F" w14:textId="7B074A9B" w:rsidR="008074E9" w:rsidRPr="00825E2B" w:rsidRDefault="008074E9" w:rsidP="00A921B8">
      <w:pPr>
        <w:adjustRightInd w:val="0"/>
        <w:snapToGrid w:val="0"/>
        <w:spacing w:after="0" w:line="360" w:lineRule="auto"/>
        <w:jc w:val="both"/>
        <w:rPr>
          <w:rFonts w:ascii="Book Antiqua" w:hAnsi="Book Antiqua" w:cs="Arial"/>
          <w:bCs/>
          <w:sz w:val="24"/>
          <w:szCs w:val="24"/>
          <w:lang w:val="en-US"/>
        </w:rPr>
      </w:pPr>
      <w:r w:rsidRPr="00825E2B">
        <w:rPr>
          <w:rFonts w:ascii="Book Antiqua" w:hAnsi="Book Antiqua" w:cs="Arial"/>
          <w:b/>
          <w:sz w:val="24"/>
          <w:szCs w:val="24"/>
          <w:lang w:val="en-US"/>
        </w:rPr>
        <w:t xml:space="preserve">Author </w:t>
      </w:r>
      <w:r w:rsidR="00184B69" w:rsidRPr="00825E2B">
        <w:rPr>
          <w:rFonts w:ascii="Book Antiqua" w:hAnsi="Book Antiqua" w:cs="Arial"/>
          <w:b/>
          <w:sz w:val="24"/>
          <w:szCs w:val="24"/>
          <w:lang w:val="en-US"/>
        </w:rPr>
        <w:t>contribution</w:t>
      </w:r>
      <w:r w:rsidR="00E049A1" w:rsidRPr="00825E2B">
        <w:rPr>
          <w:rFonts w:ascii="Book Antiqua" w:hAnsi="Book Antiqua" w:cs="Arial"/>
          <w:b/>
          <w:sz w:val="24"/>
          <w:szCs w:val="24"/>
          <w:lang w:val="en-US"/>
        </w:rPr>
        <w:t>s</w:t>
      </w:r>
      <w:r w:rsidRPr="00825E2B">
        <w:rPr>
          <w:rFonts w:ascii="Book Antiqua" w:hAnsi="Book Antiqua" w:cs="Arial"/>
          <w:b/>
          <w:sz w:val="24"/>
          <w:szCs w:val="24"/>
          <w:lang w:val="en-US"/>
        </w:rPr>
        <w:t xml:space="preserve">: </w:t>
      </w:r>
      <w:proofErr w:type="spellStart"/>
      <w:r w:rsidRPr="00825E2B">
        <w:rPr>
          <w:rFonts w:ascii="Book Antiqua" w:hAnsi="Book Antiqua" w:cs="Arial"/>
          <w:bCs/>
          <w:sz w:val="24"/>
          <w:szCs w:val="24"/>
          <w:lang w:val="en-US"/>
        </w:rPr>
        <w:t>Tardelli</w:t>
      </w:r>
      <w:proofErr w:type="spellEnd"/>
      <w:r w:rsidRPr="00825E2B">
        <w:rPr>
          <w:rFonts w:ascii="Book Antiqua" w:hAnsi="Book Antiqua" w:cs="Arial"/>
          <w:bCs/>
          <w:sz w:val="24"/>
          <w:szCs w:val="24"/>
          <w:lang w:val="en-US"/>
        </w:rPr>
        <w:t xml:space="preserve"> M wrote, ideated, and proofread this manuscript.</w:t>
      </w:r>
    </w:p>
    <w:p w14:paraId="4CF57F29" w14:textId="77777777" w:rsidR="008074E9" w:rsidRPr="00825E2B" w:rsidRDefault="008074E9" w:rsidP="00A921B8">
      <w:pPr>
        <w:adjustRightInd w:val="0"/>
        <w:snapToGrid w:val="0"/>
        <w:spacing w:after="0" w:line="360" w:lineRule="auto"/>
        <w:jc w:val="both"/>
        <w:textAlignment w:val="baseline"/>
        <w:rPr>
          <w:rFonts w:ascii="Book Antiqua" w:eastAsia="MS Mincho" w:hAnsi="Book Antiqua" w:cs="Times New Roman"/>
          <w:sz w:val="24"/>
          <w:szCs w:val="24"/>
          <w:lang w:val="en-US"/>
        </w:rPr>
      </w:pPr>
    </w:p>
    <w:p w14:paraId="060E657C" w14:textId="49DA5194" w:rsidR="00847DD3" w:rsidRPr="00825E2B" w:rsidRDefault="00847DD3" w:rsidP="00A921B8">
      <w:pPr>
        <w:adjustRightInd w:val="0"/>
        <w:snapToGrid w:val="0"/>
        <w:spacing w:after="0" w:line="360" w:lineRule="auto"/>
        <w:jc w:val="both"/>
        <w:textAlignment w:val="baseline"/>
        <w:rPr>
          <w:rFonts w:ascii="Book Antiqua" w:hAnsi="Book Antiqua" w:cs="Times New Roman"/>
          <w:sz w:val="24"/>
          <w:szCs w:val="24"/>
          <w:lang w:val="en-US" w:eastAsia="zh-CN"/>
        </w:rPr>
      </w:pPr>
      <w:r w:rsidRPr="00825E2B">
        <w:rPr>
          <w:rFonts w:ascii="Book Antiqua" w:eastAsia="MS Mincho" w:hAnsi="Book Antiqua" w:cs="Times New Roman"/>
          <w:b/>
          <w:bCs/>
          <w:sz w:val="24"/>
          <w:szCs w:val="24"/>
          <w:lang w:val="en-US"/>
        </w:rPr>
        <w:t>Corresponding author:</w:t>
      </w:r>
      <w:r w:rsidRPr="00825E2B">
        <w:rPr>
          <w:rFonts w:ascii="Book Antiqua" w:eastAsia="MS Mincho" w:hAnsi="Book Antiqua" w:cs="Times New Roman"/>
          <w:sz w:val="24"/>
          <w:szCs w:val="24"/>
          <w:lang w:val="en-US"/>
        </w:rPr>
        <w:t> </w:t>
      </w:r>
      <w:r w:rsidRPr="00825E2B">
        <w:rPr>
          <w:rFonts w:ascii="Book Antiqua" w:eastAsia="MS Mincho" w:hAnsi="Book Antiqua" w:cs="Times New Roman"/>
          <w:b/>
          <w:sz w:val="24"/>
          <w:szCs w:val="24"/>
          <w:lang w:val="en-US"/>
        </w:rPr>
        <w:t xml:space="preserve">Matteo </w:t>
      </w:r>
      <w:proofErr w:type="spellStart"/>
      <w:r w:rsidRPr="00825E2B">
        <w:rPr>
          <w:rFonts w:ascii="Book Antiqua" w:eastAsia="MS Mincho" w:hAnsi="Book Antiqua" w:cs="Times New Roman"/>
          <w:b/>
          <w:sz w:val="24"/>
          <w:szCs w:val="24"/>
          <w:lang w:val="en-US"/>
        </w:rPr>
        <w:t>Tardelli</w:t>
      </w:r>
      <w:proofErr w:type="spellEnd"/>
      <w:r w:rsidRPr="00825E2B">
        <w:rPr>
          <w:rFonts w:ascii="Book Antiqua" w:eastAsia="MS Mincho" w:hAnsi="Book Antiqua" w:cs="Times New Roman"/>
          <w:b/>
          <w:sz w:val="24"/>
          <w:szCs w:val="24"/>
          <w:lang w:val="en-US"/>
        </w:rPr>
        <w:t xml:space="preserve">, </w:t>
      </w:r>
      <w:r w:rsidR="001E1DD6" w:rsidRPr="00825E2B">
        <w:rPr>
          <w:rFonts w:ascii="Book Antiqua" w:eastAsia="MS Mincho" w:hAnsi="Book Antiqua" w:cs="Times New Roman"/>
          <w:b/>
          <w:sz w:val="24"/>
          <w:szCs w:val="24"/>
          <w:lang w:val="en-US"/>
        </w:rPr>
        <w:t>MSc,</w:t>
      </w:r>
      <w:r w:rsidR="001E1DD6" w:rsidRPr="00825E2B">
        <w:rPr>
          <w:rFonts w:ascii="Book Antiqua" w:hAnsi="Book Antiqua" w:cs="Times New Roman"/>
          <w:b/>
          <w:sz w:val="24"/>
          <w:szCs w:val="24"/>
          <w:lang w:val="en-US" w:eastAsia="zh-CN"/>
        </w:rPr>
        <w:t xml:space="preserve"> </w:t>
      </w:r>
      <w:r w:rsidR="001E1DD6" w:rsidRPr="00825E2B">
        <w:rPr>
          <w:rFonts w:ascii="Book Antiqua" w:eastAsia="MS Mincho" w:hAnsi="Book Antiqua" w:cs="Times New Roman"/>
          <w:b/>
          <w:sz w:val="24"/>
          <w:szCs w:val="24"/>
          <w:lang w:val="en-US"/>
        </w:rPr>
        <w:t>PhD</w:t>
      </w:r>
      <w:r w:rsidRPr="00825E2B">
        <w:rPr>
          <w:rFonts w:ascii="Book Antiqua" w:eastAsia="MS Mincho" w:hAnsi="Book Antiqua" w:cs="Times New Roman"/>
          <w:b/>
          <w:sz w:val="24"/>
          <w:szCs w:val="24"/>
          <w:lang w:val="en-US"/>
        </w:rPr>
        <w:t>, </w:t>
      </w:r>
      <w:r w:rsidR="001E1DD6" w:rsidRPr="00825E2B">
        <w:rPr>
          <w:rFonts w:ascii="Book Antiqua" w:eastAsia="MS Mincho" w:hAnsi="Book Antiqua" w:cs="Times New Roman"/>
          <w:b/>
          <w:sz w:val="24"/>
          <w:szCs w:val="24"/>
          <w:lang w:val="en-US"/>
        </w:rPr>
        <w:t>Lecturer,</w:t>
      </w:r>
      <w:r w:rsidR="001E1DD6" w:rsidRPr="00825E2B">
        <w:rPr>
          <w:rFonts w:ascii="Book Antiqua" w:hAnsi="Book Antiqua" w:cs="Times New Roman"/>
          <w:b/>
          <w:sz w:val="24"/>
          <w:szCs w:val="24"/>
          <w:lang w:val="en-US" w:eastAsia="zh-CN"/>
        </w:rPr>
        <w:t xml:space="preserve"> </w:t>
      </w:r>
      <w:bookmarkStart w:id="4" w:name="_Hlk43795630"/>
      <w:bookmarkStart w:id="5" w:name="OLE_LINK5"/>
      <w:r w:rsidR="001E1DD6" w:rsidRPr="00825E2B">
        <w:rPr>
          <w:rFonts w:ascii="Book Antiqua" w:eastAsia="MS Mincho" w:hAnsi="Book Antiqua" w:cs="Times New Roman"/>
          <w:b/>
          <w:sz w:val="24"/>
          <w:szCs w:val="24"/>
          <w:lang w:val="en-US"/>
        </w:rPr>
        <w:t>Postdoctoral Fellow</w:t>
      </w:r>
      <w:bookmarkEnd w:id="4"/>
      <w:bookmarkEnd w:id="5"/>
      <w:r w:rsidR="001E1DD6" w:rsidRPr="00825E2B">
        <w:rPr>
          <w:rFonts w:ascii="Book Antiqua" w:hAnsi="Book Antiqua" w:cs="Times New Roman"/>
          <w:b/>
          <w:sz w:val="24"/>
          <w:szCs w:val="24"/>
          <w:lang w:val="en-US" w:eastAsia="zh-CN"/>
        </w:rPr>
        <w:t>,</w:t>
      </w:r>
      <w:r w:rsidR="001E1DD6" w:rsidRPr="00825E2B">
        <w:rPr>
          <w:rFonts w:ascii="Book Antiqua" w:eastAsia="MS Mincho" w:hAnsi="Book Antiqua" w:cs="Times New Roman"/>
          <w:b/>
          <w:sz w:val="24"/>
          <w:szCs w:val="24"/>
          <w:lang w:val="en-US"/>
        </w:rPr>
        <w:t xml:space="preserve"> </w:t>
      </w:r>
      <w:r w:rsidRPr="00825E2B">
        <w:rPr>
          <w:rFonts w:ascii="Book Antiqua" w:eastAsia="MS Mincho" w:hAnsi="Book Antiqua" w:cs="Times New Roman"/>
          <w:sz w:val="24"/>
          <w:szCs w:val="24"/>
          <w:lang w:val="en-US"/>
        </w:rPr>
        <w:t xml:space="preserve">Division of Gastroenterology and Hepatology, Joan </w:t>
      </w:r>
      <w:r w:rsidR="001E1DD6" w:rsidRPr="00825E2B">
        <w:rPr>
          <w:rFonts w:ascii="Book Antiqua" w:hAnsi="Book Antiqua" w:cs="Times New Roman"/>
          <w:sz w:val="24"/>
          <w:szCs w:val="24"/>
          <w:lang w:val="en-US" w:eastAsia="zh-CN"/>
        </w:rPr>
        <w:t>and</w:t>
      </w:r>
      <w:r w:rsidR="001E1DD6" w:rsidRPr="00825E2B">
        <w:rPr>
          <w:rFonts w:ascii="Book Antiqua" w:eastAsia="MS Mincho" w:hAnsi="Book Antiqua" w:cs="Times New Roman"/>
          <w:sz w:val="24"/>
          <w:szCs w:val="24"/>
          <w:lang w:val="en-US"/>
        </w:rPr>
        <w:t xml:space="preserve"> Sanford I</w:t>
      </w:r>
      <w:r w:rsidRPr="00825E2B">
        <w:rPr>
          <w:rFonts w:ascii="Book Antiqua" w:eastAsia="MS Mincho" w:hAnsi="Book Antiqua" w:cs="Times New Roman"/>
          <w:sz w:val="24"/>
          <w:szCs w:val="24"/>
          <w:lang w:val="en-US"/>
        </w:rPr>
        <w:t xml:space="preserve"> Weill Department of Medicine, Weill Cornell Medical College, 413 E. </w:t>
      </w:r>
      <w:r w:rsidR="001E1DD6" w:rsidRPr="00825E2B">
        <w:rPr>
          <w:rFonts w:ascii="Book Antiqua" w:eastAsia="MS Mincho" w:hAnsi="Book Antiqua" w:cs="Times New Roman"/>
          <w:sz w:val="24"/>
          <w:szCs w:val="24"/>
          <w:lang w:val="en-US"/>
        </w:rPr>
        <w:t>69</w:t>
      </w:r>
      <w:r w:rsidR="001E1DD6" w:rsidRPr="00825E2B">
        <w:rPr>
          <w:rFonts w:ascii="Book Antiqua" w:eastAsia="MS Mincho" w:hAnsi="Book Antiqua" w:cs="Times New Roman"/>
          <w:sz w:val="24"/>
          <w:szCs w:val="24"/>
          <w:vertAlign w:val="superscript"/>
          <w:lang w:val="en-US"/>
        </w:rPr>
        <w:t>th</w:t>
      </w:r>
      <w:r w:rsidR="001E1DD6" w:rsidRPr="00825E2B">
        <w:rPr>
          <w:rFonts w:ascii="Book Antiqua" w:eastAsia="MS Mincho" w:hAnsi="Book Antiqua" w:cs="Times New Roman"/>
          <w:sz w:val="24"/>
          <w:szCs w:val="24"/>
          <w:lang w:val="en-US"/>
        </w:rPr>
        <w:t xml:space="preserve"> Street, New York, NY 10021</w:t>
      </w:r>
      <w:r w:rsidR="001E1DD6" w:rsidRPr="00825E2B">
        <w:rPr>
          <w:rFonts w:ascii="Book Antiqua" w:hAnsi="Book Antiqua" w:cs="Times New Roman"/>
          <w:sz w:val="24"/>
          <w:szCs w:val="24"/>
          <w:lang w:val="en-US" w:eastAsia="zh-CN"/>
        </w:rPr>
        <w:t>,</w:t>
      </w:r>
      <w:r w:rsidRPr="00825E2B">
        <w:rPr>
          <w:rFonts w:ascii="Book Antiqua" w:eastAsia="MS Mincho" w:hAnsi="Book Antiqua" w:cs="Times New Roman"/>
          <w:sz w:val="24"/>
          <w:szCs w:val="24"/>
          <w:lang w:val="en-US"/>
        </w:rPr>
        <w:t xml:space="preserve"> </w:t>
      </w:r>
      <w:r w:rsidR="001E1DD6" w:rsidRPr="00825E2B">
        <w:rPr>
          <w:rFonts w:ascii="Book Antiqua" w:eastAsia="MS Mincho" w:hAnsi="Book Antiqua" w:cs="Times New Roman"/>
          <w:sz w:val="24"/>
          <w:szCs w:val="24"/>
          <w:lang w:val="en-US"/>
        </w:rPr>
        <w:t>U</w:t>
      </w:r>
      <w:r w:rsidR="001E1DD6" w:rsidRPr="00825E2B">
        <w:rPr>
          <w:rFonts w:ascii="Book Antiqua" w:hAnsi="Book Antiqua" w:cs="Times New Roman"/>
          <w:sz w:val="24"/>
          <w:szCs w:val="24"/>
          <w:lang w:val="en-US" w:eastAsia="zh-CN"/>
        </w:rPr>
        <w:t xml:space="preserve">nited </w:t>
      </w:r>
      <w:r w:rsidR="001E1DD6" w:rsidRPr="00825E2B">
        <w:rPr>
          <w:rFonts w:ascii="Book Antiqua" w:eastAsia="MS Mincho" w:hAnsi="Book Antiqua" w:cs="Times New Roman"/>
          <w:sz w:val="24"/>
          <w:szCs w:val="24"/>
          <w:lang w:val="en-US"/>
        </w:rPr>
        <w:t>S</w:t>
      </w:r>
      <w:r w:rsidR="001E1DD6" w:rsidRPr="00825E2B">
        <w:rPr>
          <w:rFonts w:ascii="Book Antiqua" w:hAnsi="Book Antiqua" w:cs="Times New Roman"/>
          <w:sz w:val="24"/>
          <w:szCs w:val="24"/>
          <w:lang w:val="en-US" w:eastAsia="zh-CN"/>
        </w:rPr>
        <w:t>tates.</w:t>
      </w:r>
      <w:r w:rsidR="001E1DD6" w:rsidRPr="00825E2B">
        <w:rPr>
          <w:rFonts w:ascii="Book Antiqua" w:eastAsia="MS Mincho" w:hAnsi="Book Antiqua" w:cs="Times New Roman"/>
          <w:sz w:val="24"/>
          <w:szCs w:val="24"/>
          <w:lang w:val="en-US"/>
        </w:rPr>
        <w:t xml:space="preserve"> </w:t>
      </w:r>
      <w:r w:rsidR="001E1DD6" w:rsidRPr="00825E2B">
        <w:rPr>
          <w:rFonts w:ascii="Book Antiqua" w:eastAsia="MS Mincho" w:hAnsi="Book Antiqua" w:cs="Times New Roman"/>
          <w:sz w:val="24"/>
          <w:szCs w:val="24"/>
          <w:u w:val="single"/>
          <w:lang w:val="en-US"/>
        </w:rPr>
        <w:t>mat4005@med.cornell.edu</w:t>
      </w:r>
    </w:p>
    <w:p w14:paraId="0132AA40" w14:textId="77777777" w:rsidR="006750B3" w:rsidRPr="00825E2B" w:rsidRDefault="006750B3" w:rsidP="00A921B8">
      <w:pPr>
        <w:adjustRightInd w:val="0"/>
        <w:snapToGrid w:val="0"/>
        <w:spacing w:after="0" w:line="360" w:lineRule="auto"/>
        <w:jc w:val="both"/>
        <w:textAlignment w:val="baseline"/>
        <w:rPr>
          <w:rFonts w:ascii="Book Antiqua" w:eastAsia="MS Mincho" w:hAnsi="Book Antiqua" w:cs="Times New Roman"/>
          <w:sz w:val="24"/>
          <w:szCs w:val="24"/>
          <w:lang w:val="en-US"/>
        </w:rPr>
      </w:pPr>
    </w:p>
    <w:p w14:paraId="72D8F0C6" w14:textId="77777777" w:rsidR="008074E9" w:rsidRPr="00825E2B" w:rsidRDefault="008074E9" w:rsidP="00A921B8">
      <w:pPr>
        <w:adjustRightInd w:val="0"/>
        <w:snapToGrid w:val="0"/>
        <w:spacing w:after="0" w:line="360" w:lineRule="auto"/>
        <w:jc w:val="both"/>
        <w:rPr>
          <w:rFonts w:ascii="Book Antiqua" w:hAnsi="Book Antiqua" w:cs="Arial"/>
          <w:sz w:val="24"/>
          <w:szCs w:val="24"/>
          <w:lang w:val="en-US"/>
        </w:rPr>
      </w:pPr>
      <w:r w:rsidRPr="00825E2B">
        <w:rPr>
          <w:rFonts w:ascii="Book Antiqua" w:hAnsi="Book Antiqua" w:cs="Arial"/>
          <w:b/>
          <w:bCs/>
          <w:sz w:val="24"/>
          <w:szCs w:val="24"/>
          <w:lang w:val="en-US"/>
        </w:rPr>
        <w:t>Received:</w:t>
      </w:r>
      <w:r w:rsidRPr="00825E2B">
        <w:rPr>
          <w:rFonts w:ascii="Book Antiqua" w:hAnsi="Book Antiqua" w:cs="Arial"/>
          <w:sz w:val="24"/>
          <w:szCs w:val="24"/>
          <w:lang w:val="en-US"/>
        </w:rPr>
        <w:t xml:space="preserve"> March 18, 2020</w:t>
      </w:r>
    </w:p>
    <w:p w14:paraId="0799D95D" w14:textId="590D2263" w:rsidR="008074E9" w:rsidRPr="00825E2B" w:rsidRDefault="008074E9" w:rsidP="00A921B8">
      <w:pPr>
        <w:adjustRightInd w:val="0"/>
        <w:snapToGrid w:val="0"/>
        <w:spacing w:after="0" w:line="360" w:lineRule="auto"/>
        <w:jc w:val="both"/>
        <w:rPr>
          <w:rFonts w:ascii="Book Antiqua" w:hAnsi="Book Antiqua" w:cs="Arial"/>
          <w:sz w:val="24"/>
          <w:szCs w:val="24"/>
          <w:lang w:val="en-US"/>
        </w:rPr>
      </w:pPr>
      <w:r w:rsidRPr="00825E2B">
        <w:rPr>
          <w:rFonts w:ascii="Book Antiqua" w:hAnsi="Book Antiqua" w:cs="Arial"/>
          <w:b/>
          <w:bCs/>
          <w:sz w:val="24"/>
          <w:szCs w:val="24"/>
          <w:lang w:val="en-US"/>
        </w:rPr>
        <w:t>Revised:</w:t>
      </w:r>
      <w:r w:rsidRPr="00825E2B">
        <w:rPr>
          <w:rFonts w:ascii="Book Antiqua" w:hAnsi="Book Antiqua" w:cs="Arial"/>
          <w:sz w:val="24"/>
          <w:szCs w:val="24"/>
          <w:lang w:val="en-US"/>
        </w:rPr>
        <w:t xml:space="preserve"> </w:t>
      </w:r>
      <w:r w:rsidR="006069C5" w:rsidRPr="00825E2B">
        <w:rPr>
          <w:rFonts w:ascii="Book Antiqua" w:hAnsi="Book Antiqua" w:cs="Arial"/>
          <w:sz w:val="24"/>
          <w:szCs w:val="24"/>
          <w:lang w:val="en-US" w:eastAsia="zh-CN"/>
        </w:rPr>
        <w:t>June</w:t>
      </w:r>
      <w:r w:rsidRPr="00825E2B">
        <w:rPr>
          <w:rFonts w:ascii="Book Antiqua" w:hAnsi="Book Antiqua" w:cs="Arial"/>
          <w:sz w:val="24"/>
          <w:szCs w:val="24"/>
          <w:lang w:val="en-US"/>
        </w:rPr>
        <w:t xml:space="preserve"> </w:t>
      </w:r>
      <w:r w:rsidR="006069C5" w:rsidRPr="00825E2B">
        <w:rPr>
          <w:rFonts w:ascii="Book Antiqua" w:hAnsi="Book Antiqua" w:cs="Arial"/>
          <w:sz w:val="24"/>
          <w:szCs w:val="24"/>
          <w:lang w:val="en-US" w:eastAsia="zh-CN"/>
        </w:rPr>
        <w:t>18</w:t>
      </w:r>
      <w:r w:rsidRPr="00825E2B">
        <w:rPr>
          <w:rFonts w:ascii="Book Antiqua" w:hAnsi="Book Antiqua" w:cs="Arial"/>
          <w:sz w:val="24"/>
          <w:szCs w:val="24"/>
          <w:lang w:val="en-US"/>
        </w:rPr>
        <w:t>, 2020</w:t>
      </w:r>
    </w:p>
    <w:p w14:paraId="34347AF6" w14:textId="623D3524" w:rsidR="008074E9" w:rsidRPr="00825E2B" w:rsidRDefault="008074E9" w:rsidP="00A921B8">
      <w:pPr>
        <w:adjustRightInd w:val="0"/>
        <w:snapToGrid w:val="0"/>
        <w:spacing w:after="0" w:line="360" w:lineRule="auto"/>
        <w:jc w:val="both"/>
        <w:rPr>
          <w:rFonts w:ascii="Book Antiqua" w:hAnsi="Book Antiqua" w:cs="Arial"/>
          <w:b/>
          <w:bCs/>
          <w:sz w:val="24"/>
          <w:szCs w:val="24"/>
          <w:lang w:val="en-US"/>
        </w:rPr>
      </w:pPr>
      <w:r w:rsidRPr="00825E2B">
        <w:rPr>
          <w:rFonts w:ascii="Book Antiqua" w:hAnsi="Book Antiqua" w:cs="Arial"/>
          <w:b/>
          <w:bCs/>
          <w:sz w:val="24"/>
          <w:szCs w:val="24"/>
          <w:lang w:val="en-US"/>
        </w:rPr>
        <w:t xml:space="preserve">Accepted: </w:t>
      </w:r>
      <w:r w:rsidR="008D6C64" w:rsidRPr="00825E2B">
        <w:rPr>
          <w:rFonts w:ascii="Book Antiqua" w:hAnsi="Book Antiqua" w:cs="Arial"/>
          <w:sz w:val="24"/>
          <w:szCs w:val="24"/>
          <w:lang w:val="en-US"/>
        </w:rPr>
        <w:t>June 23, 2020</w:t>
      </w:r>
    </w:p>
    <w:p w14:paraId="5C5DEF5B" w14:textId="7B98D7F1" w:rsidR="008074E9" w:rsidRPr="00825E2B" w:rsidRDefault="008074E9" w:rsidP="00A921B8">
      <w:pPr>
        <w:adjustRightInd w:val="0"/>
        <w:snapToGrid w:val="0"/>
        <w:spacing w:after="0" w:line="360" w:lineRule="auto"/>
        <w:jc w:val="both"/>
        <w:rPr>
          <w:rFonts w:ascii="Book Antiqua" w:hAnsi="Book Antiqua" w:cs="Arial" w:hint="eastAsia"/>
          <w:b/>
          <w:bCs/>
          <w:sz w:val="24"/>
          <w:szCs w:val="24"/>
          <w:lang w:val="en-US" w:eastAsia="zh-CN"/>
        </w:rPr>
      </w:pPr>
      <w:r w:rsidRPr="00825E2B">
        <w:rPr>
          <w:rFonts w:ascii="Book Antiqua" w:hAnsi="Book Antiqua" w:cs="Arial"/>
          <w:b/>
          <w:bCs/>
          <w:sz w:val="24"/>
          <w:szCs w:val="24"/>
          <w:lang w:val="en-US"/>
        </w:rPr>
        <w:t>Published online:</w:t>
      </w:r>
      <w:r w:rsidR="007E0CCD" w:rsidRPr="00825E2B">
        <w:rPr>
          <w:rFonts w:ascii="Book Antiqua" w:hAnsi="Book Antiqua" w:cs="Arial" w:hint="eastAsia"/>
          <w:b/>
          <w:bCs/>
          <w:sz w:val="24"/>
          <w:szCs w:val="24"/>
          <w:lang w:val="en-US" w:eastAsia="zh-CN"/>
        </w:rPr>
        <w:t xml:space="preserve"> </w:t>
      </w:r>
      <w:r w:rsidR="007E0CCD" w:rsidRPr="00825E2B">
        <w:rPr>
          <w:rFonts w:ascii="Book Antiqua" w:hAnsi="Book Antiqua" w:cs="Arial" w:hint="eastAsia"/>
          <w:bCs/>
          <w:sz w:val="24"/>
          <w:szCs w:val="24"/>
          <w:lang w:val="en-US" w:eastAsia="zh-CN"/>
        </w:rPr>
        <w:t>July 7, 2020</w:t>
      </w:r>
    </w:p>
    <w:p w14:paraId="516EF08D" w14:textId="0E2A7827" w:rsidR="008074E9" w:rsidRPr="00825E2B" w:rsidRDefault="006069C5" w:rsidP="00A921B8">
      <w:pPr>
        <w:adjustRightInd w:val="0"/>
        <w:snapToGrid w:val="0"/>
        <w:spacing w:after="0" w:line="360" w:lineRule="auto"/>
        <w:jc w:val="both"/>
        <w:rPr>
          <w:rFonts w:ascii="Book Antiqua" w:hAnsi="Book Antiqua" w:cs="Arial"/>
          <w:b/>
          <w:sz w:val="24"/>
          <w:szCs w:val="24"/>
          <w:lang w:val="en-US" w:eastAsia="zh-CN"/>
        </w:rPr>
      </w:pPr>
      <w:r w:rsidRPr="00825E2B">
        <w:rPr>
          <w:rFonts w:ascii="Book Antiqua" w:hAnsi="Book Antiqua" w:cs="Arial"/>
          <w:b/>
          <w:sz w:val="24"/>
          <w:szCs w:val="24"/>
          <w:lang w:val="en-US"/>
        </w:rPr>
        <w:lastRenderedPageBreak/>
        <w:t>Abstract</w:t>
      </w:r>
    </w:p>
    <w:p w14:paraId="130D75C1" w14:textId="194323B1" w:rsidR="00847DD3" w:rsidRPr="00825E2B" w:rsidRDefault="00847DD3" w:rsidP="00A921B8">
      <w:pPr>
        <w:adjustRightInd w:val="0"/>
        <w:snapToGrid w:val="0"/>
        <w:spacing w:after="0" w:line="360" w:lineRule="auto"/>
        <w:jc w:val="both"/>
        <w:rPr>
          <w:rFonts w:ascii="Book Antiqua" w:hAnsi="Book Antiqua" w:cs="Arial"/>
          <w:bCs/>
          <w:sz w:val="24"/>
          <w:szCs w:val="24"/>
          <w:lang w:val="en-US" w:eastAsia="zh-CN"/>
        </w:rPr>
      </w:pPr>
      <w:r w:rsidRPr="00825E2B">
        <w:rPr>
          <w:rFonts w:ascii="Book Antiqua" w:hAnsi="Book Antiqua" w:cs="Arial"/>
          <w:bCs/>
          <w:sz w:val="24"/>
          <w:szCs w:val="24"/>
          <w:lang w:val="en-US"/>
        </w:rPr>
        <w:t xml:space="preserve">Dietary </w:t>
      </w:r>
      <w:r w:rsidR="006069C5" w:rsidRPr="00825E2B">
        <w:rPr>
          <w:rFonts w:ascii="Book Antiqua" w:hAnsi="Book Antiqua" w:cs="Arial"/>
          <w:bCs/>
          <w:sz w:val="24"/>
          <w:szCs w:val="24"/>
          <w:lang w:val="en-US"/>
        </w:rPr>
        <w:t>oversupply of triglycerides</w:t>
      </w:r>
      <w:r w:rsidRPr="00825E2B">
        <w:rPr>
          <w:rFonts w:ascii="Book Antiqua" w:hAnsi="Book Antiqua" w:cs="Arial"/>
          <w:bCs/>
          <w:sz w:val="24"/>
          <w:szCs w:val="24"/>
          <w:lang w:val="en-US"/>
        </w:rPr>
        <w:t xml:space="preserve"> represent the hallmark of obesity and connected complications in the liver such as no</w:t>
      </w:r>
      <w:r w:rsidR="006069C5" w:rsidRPr="00825E2B">
        <w:rPr>
          <w:rFonts w:ascii="Book Antiqua" w:hAnsi="Book Antiqua" w:cs="Arial"/>
          <w:bCs/>
          <w:sz w:val="24"/>
          <w:szCs w:val="24"/>
          <w:lang w:val="en-US"/>
        </w:rPr>
        <w:t>n-alcoholic fatty liver disease</w:t>
      </w:r>
      <w:r w:rsidRPr="00825E2B">
        <w:rPr>
          <w:rFonts w:ascii="Book Antiqua" w:hAnsi="Book Antiqua" w:cs="Arial"/>
          <w:bCs/>
          <w:sz w:val="24"/>
          <w:szCs w:val="24"/>
          <w:lang w:val="en-US"/>
        </w:rPr>
        <w:t xml:space="preserve"> and non-alcoholic steatohepatitis, which eventually progress to cirrhosis and hepatocellular carcinoma</w:t>
      </w:r>
      <w:r w:rsidR="008F2C56" w:rsidRPr="00825E2B">
        <w:rPr>
          <w:rFonts w:ascii="Book Antiqua" w:hAnsi="Book Antiqua" w:cs="Arial"/>
          <w:bCs/>
          <w:sz w:val="24"/>
          <w:szCs w:val="24"/>
          <w:lang w:val="en-US"/>
        </w:rPr>
        <w:t>. Monoacylglycerol lipase</w:t>
      </w:r>
      <w:r w:rsidRPr="00825E2B">
        <w:rPr>
          <w:rFonts w:ascii="Book Antiqua" w:hAnsi="Book Antiqua" w:cs="Arial"/>
          <w:bCs/>
          <w:sz w:val="24"/>
          <w:szCs w:val="24"/>
          <w:lang w:val="en-US"/>
        </w:rPr>
        <w:t xml:space="preserve"> is the last enzymatic step in the hydrolysis of </w:t>
      </w:r>
      <w:r w:rsidR="006069C5" w:rsidRPr="00825E2B">
        <w:rPr>
          <w:rFonts w:ascii="Book Antiqua" w:hAnsi="Book Antiqua" w:cs="Arial"/>
          <w:bCs/>
          <w:sz w:val="24"/>
          <w:szCs w:val="24"/>
          <w:lang w:val="en-US"/>
        </w:rPr>
        <w:t>triglycerides</w:t>
      </w:r>
      <w:r w:rsidRPr="00825E2B">
        <w:rPr>
          <w:rFonts w:ascii="Book Antiqua" w:hAnsi="Book Antiqua" w:cs="Arial"/>
          <w:bCs/>
          <w:sz w:val="24"/>
          <w:szCs w:val="24"/>
          <w:lang w:val="en-US"/>
        </w:rPr>
        <w:t xml:space="preserve">, generating glycerol and </w:t>
      </w:r>
      <w:r w:rsidR="008F2C56" w:rsidRPr="00825E2B">
        <w:rPr>
          <w:rFonts w:ascii="Book Antiqua" w:hAnsi="Book Antiqua" w:cs="Arial"/>
          <w:bCs/>
          <w:sz w:val="24"/>
          <w:szCs w:val="24"/>
          <w:lang w:val="en-US"/>
        </w:rPr>
        <w:t>fatty acids</w:t>
      </w:r>
      <w:r w:rsidR="008F2C56" w:rsidRPr="00825E2B">
        <w:rPr>
          <w:rFonts w:ascii="Book Antiqua" w:hAnsi="Book Antiqua" w:cs="Arial"/>
          <w:bCs/>
          <w:sz w:val="24"/>
          <w:szCs w:val="24"/>
          <w:lang w:val="en-US" w:eastAsia="zh-CN"/>
        </w:rPr>
        <w:t xml:space="preserve"> </w:t>
      </w:r>
      <w:r w:rsidR="008F2C56" w:rsidRPr="00825E2B">
        <w:rPr>
          <w:rFonts w:ascii="Book Antiqua" w:hAnsi="Book Antiqua" w:cs="Times New Roman"/>
          <w:sz w:val="24"/>
          <w:szCs w:val="24"/>
          <w:lang w:val="en-US" w:eastAsia="zh-CN"/>
        </w:rPr>
        <w:t>(FAs)</w:t>
      </w:r>
      <w:r w:rsidRPr="00825E2B">
        <w:rPr>
          <w:rFonts w:ascii="Book Antiqua" w:hAnsi="Book Antiqua" w:cs="Arial"/>
          <w:bCs/>
          <w:sz w:val="24"/>
          <w:szCs w:val="24"/>
          <w:lang w:val="en-US"/>
        </w:rPr>
        <w:t xml:space="preserve">, which are signaling precursors in physiology and disease. Notably, </w:t>
      </w:r>
      <w:r w:rsidR="004263D3" w:rsidRPr="00825E2B">
        <w:rPr>
          <w:rFonts w:ascii="Book Antiqua" w:hAnsi="Book Antiqua" w:cs="Arial"/>
          <w:bCs/>
          <w:sz w:val="24"/>
          <w:szCs w:val="24"/>
          <w:lang w:val="en-US"/>
        </w:rPr>
        <w:t xml:space="preserve">monoacylglycerol </w:t>
      </w:r>
      <w:r w:rsidR="008F2C56" w:rsidRPr="00825E2B">
        <w:rPr>
          <w:rFonts w:ascii="Book Antiqua" w:hAnsi="Book Antiqua" w:cs="Arial"/>
          <w:bCs/>
          <w:sz w:val="24"/>
          <w:szCs w:val="24"/>
          <w:lang w:val="en-US"/>
        </w:rPr>
        <w:t xml:space="preserve">lipase </w:t>
      </w:r>
      <w:r w:rsidR="008F2C56" w:rsidRPr="00825E2B">
        <w:rPr>
          <w:rFonts w:ascii="Book Antiqua" w:hAnsi="Book Antiqua" w:cs="Arial"/>
          <w:bCs/>
          <w:sz w:val="24"/>
          <w:szCs w:val="24"/>
          <w:lang w:val="en-US" w:eastAsia="zh-CN"/>
        </w:rPr>
        <w:t>(</w:t>
      </w:r>
      <w:r w:rsidRPr="00825E2B">
        <w:rPr>
          <w:rFonts w:ascii="Book Antiqua" w:hAnsi="Book Antiqua" w:cs="Arial"/>
          <w:bCs/>
          <w:sz w:val="24"/>
          <w:szCs w:val="24"/>
          <w:lang w:val="en-US"/>
        </w:rPr>
        <w:t>MGL</w:t>
      </w:r>
      <w:r w:rsidR="008F2C56" w:rsidRPr="00825E2B">
        <w:rPr>
          <w:rFonts w:ascii="Book Antiqua" w:hAnsi="Book Antiqua" w:cs="Arial"/>
          <w:bCs/>
          <w:sz w:val="24"/>
          <w:szCs w:val="24"/>
          <w:lang w:val="en-US" w:eastAsia="zh-CN"/>
        </w:rPr>
        <w:t>)</w:t>
      </w:r>
      <w:r w:rsidRPr="00825E2B">
        <w:rPr>
          <w:rFonts w:ascii="Book Antiqua" w:hAnsi="Book Antiqua" w:cs="Arial"/>
          <w:bCs/>
          <w:sz w:val="24"/>
          <w:szCs w:val="24"/>
          <w:lang w:val="en-US"/>
        </w:rPr>
        <w:t xml:space="preserve"> also hydrolyzes 2-arachidonoylglycerol, which is a potent ligand within the endocannabinoi</w:t>
      </w:r>
      <w:r w:rsidR="00772F25" w:rsidRPr="00825E2B">
        <w:rPr>
          <w:rFonts w:ascii="Book Antiqua" w:hAnsi="Book Antiqua" w:cs="Arial"/>
          <w:bCs/>
          <w:sz w:val="24"/>
          <w:szCs w:val="24"/>
          <w:lang w:val="en-US"/>
        </w:rPr>
        <w:t>d system, into arachidonic acid</w:t>
      </w:r>
      <w:r w:rsidR="00204097" w:rsidRPr="00825E2B">
        <w:rPr>
          <w:rFonts w:ascii="Book Antiqua" w:hAnsi="Book Antiqua" w:cs="Arial"/>
          <w:bCs/>
          <w:sz w:val="24"/>
          <w:szCs w:val="24"/>
          <w:lang w:val="en-US"/>
        </w:rPr>
        <w:t xml:space="preserve"> -</w:t>
      </w:r>
      <w:r w:rsidRPr="00825E2B">
        <w:rPr>
          <w:rFonts w:ascii="Book Antiqua" w:hAnsi="Book Antiqua" w:cs="Arial"/>
          <w:bCs/>
          <w:sz w:val="24"/>
          <w:szCs w:val="24"/>
          <w:lang w:val="en-US"/>
        </w:rPr>
        <w:t xml:space="preserve"> a precursor for prostaglandin synthesis; thus representing a pivotal substrates provider in multiple organs for several intersecting biological pathways ranging from FA metabolism to inflammation, pain and appetite. MGL inhibition has been shown protective in limiting several liver diseases as FAs may drive hepatocyte injury, fibrogenesis and de- activate immune cells, however the complexity of MGL network system still needs further and deeper understanding. The present review will focus on MGL function and FA partitioning in </w:t>
      </w:r>
      <w:r w:rsidR="008F2C56" w:rsidRPr="00825E2B">
        <w:rPr>
          <w:rFonts w:ascii="Book Antiqua" w:hAnsi="Book Antiqua" w:cs="Arial"/>
          <w:bCs/>
          <w:sz w:val="24"/>
          <w:szCs w:val="24"/>
          <w:lang w:val="en-US"/>
        </w:rPr>
        <w:t xml:space="preserve">the horizons of liver disease. </w:t>
      </w:r>
    </w:p>
    <w:p w14:paraId="066B2EAE" w14:textId="77777777" w:rsidR="00847DD3" w:rsidRPr="00825E2B" w:rsidRDefault="00847DD3" w:rsidP="00A921B8">
      <w:pPr>
        <w:adjustRightInd w:val="0"/>
        <w:snapToGrid w:val="0"/>
        <w:spacing w:after="0" w:line="360" w:lineRule="auto"/>
        <w:jc w:val="both"/>
        <w:rPr>
          <w:rFonts w:ascii="Book Antiqua" w:hAnsi="Book Antiqua" w:cs="Arial"/>
          <w:bCs/>
          <w:sz w:val="24"/>
          <w:szCs w:val="24"/>
          <w:lang w:val="en-US"/>
        </w:rPr>
      </w:pPr>
    </w:p>
    <w:p w14:paraId="58EA7A36" w14:textId="2AEB9550" w:rsidR="00847DD3" w:rsidRPr="00825E2B" w:rsidRDefault="00847DD3" w:rsidP="00A921B8">
      <w:pPr>
        <w:adjustRightInd w:val="0"/>
        <w:snapToGrid w:val="0"/>
        <w:spacing w:after="0" w:line="360" w:lineRule="auto"/>
        <w:jc w:val="both"/>
        <w:rPr>
          <w:rFonts w:ascii="Book Antiqua" w:hAnsi="Book Antiqua" w:cs="Arial"/>
          <w:bCs/>
          <w:sz w:val="24"/>
          <w:szCs w:val="24"/>
          <w:lang w:val="en-US" w:eastAsia="zh-CN"/>
        </w:rPr>
      </w:pPr>
      <w:r w:rsidRPr="00825E2B">
        <w:rPr>
          <w:rFonts w:ascii="Book Antiqua" w:hAnsi="Book Antiqua" w:cs="Arial"/>
          <w:b/>
          <w:bCs/>
          <w:sz w:val="24"/>
          <w:szCs w:val="24"/>
          <w:lang w:val="en-US"/>
        </w:rPr>
        <w:t>Key words:</w:t>
      </w:r>
      <w:r w:rsidRPr="00825E2B">
        <w:rPr>
          <w:rFonts w:ascii="Book Antiqua" w:hAnsi="Book Antiqua" w:cs="Arial"/>
          <w:bCs/>
          <w:sz w:val="24"/>
          <w:szCs w:val="24"/>
          <w:lang w:val="en-US"/>
        </w:rPr>
        <w:t xml:space="preserve"> </w:t>
      </w:r>
      <w:r w:rsidR="008F2C56" w:rsidRPr="00825E2B">
        <w:rPr>
          <w:rFonts w:ascii="Book Antiqua" w:hAnsi="Book Antiqua" w:cs="Arial"/>
          <w:bCs/>
          <w:sz w:val="24"/>
          <w:szCs w:val="24"/>
          <w:lang w:val="en-US"/>
        </w:rPr>
        <w:t xml:space="preserve">Lipid </w:t>
      </w:r>
      <w:r w:rsidRPr="00825E2B">
        <w:rPr>
          <w:rFonts w:ascii="Book Antiqua" w:hAnsi="Book Antiqua" w:cs="Arial"/>
          <w:bCs/>
          <w:sz w:val="24"/>
          <w:szCs w:val="24"/>
          <w:lang w:val="en-US"/>
        </w:rPr>
        <w:t>metabolism</w:t>
      </w:r>
      <w:r w:rsidR="008F2C56" w:rsidRPr="00825E2B">
        <w:rPr>
          <w:rFonts w:ascii="Book Antiqua" w:hAnsi="Book Antiqua" w:cs="Arial"/>
          <w:bCs/>
          <w:sz w:val="24"/>
          <w:szCs w:val="24"/>
          <w:lang w:val="en-US" w:eastAsia="zh-CN"/>
        </w:rPr>
        <w:t>;</w:t>
      </w:r>
      <w:r w:rsidR="00CF448B" w:rsidRPr="00825E2B">
        <w:rPr>
          <w:rFonts w:ascii="Book Antiqua" w:hAnsi="Book Antiqua" w:cs="Arial"/>
          <w:bCs/>
          <w:sz w:val="24"/>
          <w:szCs w:val="24"/>
          <w:lang w:val="en-US" w:eastAsia="zh-CN"/>
        </w:rPr>
        <w:t xml:space="preserve"> </w:t>
      </w:r>
      <w:r w:rsidR="008F2C56" w:rsidRPr="00825E2B">
        <w:rPr>
          <w:rFonts w:ascii="Book Antiqua" w:hAnsi="Book Antiqua" w:cs="Arial"/>
          <w:bCs/>
          <w:sz w:val="24"/>
          <w:szCs w:val="24"/>
          <w:lang w:val="en-US"/>
        </w:rPr>
        <w:t>Monoacylglycerol lipase</w:t>
      </w:r>
      <w:r w:rsidR="008F2C56" w:rsidRPr="00825E2B">
        <w:rPr>
          <w:rFonts w:ascii="Book Antiqua" w:hAnsi="Book Antiqua" w:cs="Arial"/>
          <w:bCs/>
          <w:sz w:val="24"/>
          <w:szCs w:val="24"/>
          <w:lang w:val="en-US" w:eastAsia="zh-CN"/>
        </w:rPr>
        <w:t>;</w:t>
      </w:r>
      <w:r w:rsidRPr="00825E2B">
        <w:rPr>
          <w:rFonts w:ascii="Book Antiqua" w:hAnsi="Book Antiqua" w:cs="Arial"/>
          <w:bCs/>
          <w:sz w:val="24"/>
          <w:szCs w:val="24"/>
          <w:lang w:val="en-US"/>
        </w:rPr>
        <w:t xml:space="preserve"> </w:t>
      </w:r>
      <w:r w:rsidR="008F2C56" w:rsidRPr="00825E2B">
        <w:rPr>
          <w:rFonts w:ascii="Book Antiqua" w:hAnsi="Book Antiqua" w:cs="Arial"/>
          <w:bCs/>
          <w:sz w:val="24"/>
          <w:szCs w:val="24"/>
          <w:lang w:val="en-US"/>
        </w:rPr>
        <w:t>Non</w:t>
      </w:r>
      <w:r w:rsidR="006069C5" w:rsidRPr="00825E2B">
        <w:rPr>
          <w:rFonts w:ascii="Book Antiqua" w:hAnsi="Book Antiqua" w:cs="Arial"/>
          <w:bCs/>
          <w:sz w:val="24"/>
          <w:szCs w:val="24"/>
          <w:lang w:val="en-US"/>
        </w:rPr>
        <w:t>-alcoholic steatohepatitis</w:t>
      </w:r>
      <w:r w:rsidR="008F2C56" w:rsidRPr="00825E2B">
        <w:rPr>
          <w:rFonts w:ascii="Book Antiqua" w:hAnsi="Book Antiqua" w:cs="Arial"/>
          <w:bCs/>
          <w:sz w:val="24"/>
          <w:szCs w:val="24"/>
          <w:lang w:val="en-US" w:eastAsia="zh-CN"/>
        </w:rPr>
        <w:t>;</w:t>
      </w:r>
      <w:r w:rsidRPr="00825E2B">
        <w:rPr>
          <w:rFonts w:ascii="Book Antiqua" w:hAnsi="Book Antiqua" w:cs="Arial"/>
          <w:bCs/>
          <w:sz w:val="24"/>
          <w:szCs w:val="24"/>
          <w:lang w:val="en-US"/>
        </w:rPr>
        <w:t xml:space="preserve"> </w:t>
      </w:r>
      <w:r w:rsidR="008F2C56" w:rsidRPr="00825E2B">
        <w:rPr>
          <w:rFonts w:ascii="Book Antiqua" w:hAnsi="Book Antiqua" w:cs="Arial"/>
          <w:bCs/>
          <w:sz w:val="24"/>
          <w:szCs w:val="24"/>
          <w:lang w:val="en-US"/>
        </w:rPr>
        <w:t>Non</w:t>
      </w:r>
      <w:r w:rsidR="006069C5" w:rsidRPr="00825E2B">
        <w:rPr>
          <w:rFonts w:ascii="Book Antiqua" w:hAnsi="Book Antiqua" w:cs="Arial"/>
          <w:bCs/>
          <w:sz w:val="24"/>
          <w:szCs w:val="24"/>
          <w:lang w:val="en-US"/>
        </w:rPr>
        <w:t>-alcoholic fatty liver disease</w:t>
      </w:r>
      <w:r w:rsidR="008F2C56" w:rsidRPr="00825E2B">
        <w:rPr>
          <w:rFonts w:ascii="Book Antiqua" w:hAnsi="Book Antiqua" w:cs="Arial"/>
          <w:bCs/>
          <w:sz w:val="24"/>
          <w:szCs w:val="24"/>
          <w:lang w:val="en-US" w:eastAsia="zh-CN"/>
        </w:rPr>
        <w:t>;</w:t>
      </w:r>
      <w:r w:rsidRPr="00825E2B">
        <w:rPr>
          <w:rFonts w:ascii="Book Antiqua" w:hAnsi="Book Antiqua" w:cs="Arial"/>
          <w:bCs/>
          <w:sz w:val="24"/>
          <w:szCs w:val="24"/>
          <w:lang w:val="en-US"/>
        </w:rPr>
        <w:t xml:space="preserve"> </w:t>
      </w:r>
      <w:r w:rsidR="008F2C56" w:rsidRPr="00825E2B">
        <w:rPr>
          <w:rFonts w:ascii="Book Antiqua" w:hAnsi="Book Antiqua" w:cs="Arial"/>
          <w:bCs/>
          <w:sz w:val="24"/>
          <w:szCs w:val="24"/>
          <w:lang w:val="en-US"/>
        </w:rPr>
        <w:t>Cannabinoid</w:t>
      </w:r>
      <w:r w:rsidR="008F2C56" w:rsidRPr="00825E2B">
        <w:rPr>
          <w:rFonts w:ascii="Book Antiqua" w:hAnsi="Book Antiqua" w:cs="Arial"/>
          <w:bCs/>
          <w:sz w:val="24"/>
          <w:szCs w:val="24"/>
          <w:lang w:val="en-US" w:eastAsia="zh-CN"/>
        </w:rPr>
        <w:t>;</w:t>
      </w:r>
      <w:r w:rsidR="008F2C56" w:rsidRPr="00825E2B">
        <w:rPr>
          <w:rFonts w:ascii="Book Antiqua" w:hAnsi="Book Antiqua" w:cs="Arial"/>
          <w:bCs/>
          <w:sz w:val="24"/>
          <w:szCs w:val="24"/>
          <w:lang w:val="en-US"/>
        </w:rPr>
        <w:t xml:space="preserve"> Nuclear receptors</w:t>
      </w:r>
    </w:p>
    <w:p w14:paraId="365F61E1" w14:textId="77777777" w:rsidR="00847DD3" w:rsidRPr="00825E2B" w:rsidRDefault="00847DD3" w:rsidP="00A921B8">
      <w:pPr>
        <w:adjustRightInd w:val="0"/>
        <w:snapToGrid w:val="0"/>
        <w:spacing w:after="0" w:line="360" w:lineRule="auto"/>
        <w:jc w:val="both"/>
        <w:rPr>
          <w:rFonts w:ascii="Book Antiqua" w:hAnsi="Book Antiqua" w:cs="Arial"/>
          <w:bCs/>
          <w:sz w:val="24"/>
          <w:szCs w:val="24"/>
          <w:lang w:val="en-US" w:eastAsia="zh-CN"/>
        </w:rPr>
      </w:pPr>
    </w:p>
    <w:p w14:paraId="294E4B90" w14:textId="77777777" w:rsidR="007E0CCD" w:rsidRPr="00825E2B" w:rsidRDefault="007E0CCD" w:rsidP="007E0CCD">
      <w:pPr>
        <w:adjustRightInd w:val="0"/>
        <w:snapToGrid w:val="0"/>
        <w:spacing w:line="360" w:lineRule="auto"/>
        <w:textAlignment w:val="baseline"/>
        <w:rPr>
          <w:rFonts w:ascii="Book Antiqua" w:hAnsi="Book Antiqua" w:cs="Times New Roman" w:hint="eastAsia"/>
          <w:bCs/>
          <w:sz w:val="24"/>
          <w:szCs w:val="24"/>
          <w:lang w:eastAsia="zh-CN"/>
        </w:rPr>
      </w:pPr>
      <w:r w:rsidRPr="00825E2B">
        <w:rPr>
          <w:rFonts w:ascii="Book Antiqua" w:hAnsi="Book Antiqua" w:cs="Arial" w:hint="eastAsia"/>
          <w:b/>
          <w:sz w:val="24"/>
          <w:szCs w:val="24"/>
          <w:lang w:eastAsia="zh-CN"/>
        </w:rPr>
        <w:t xml:space="preserve">Citation: </w:t>
      </w:r>
      <w:r w:rsidRPr="00825E2B">
        <w:rPr>
          <w:rFonts w:ascii="Book Antiqua" w:hAnsi="Book Antiqua" w:cs="Arial"/>
          <w:sz w:val="24"/>
          <w:szCs w:val="24"/>
        </w:rPr>
        <w:t xml:space="preserve">Tardelli M. </w:t>
      </w:r>
      <w:r w:rsidRPr="00825E2B">
        <w:rPr>
          <w:rFonts w:ascii="Book Antiqua" w:eastAsia="MS Mincho" w:hAnsi="Book Antiqua" w:cs="Times New Roman"/>
          <w:bCs/>
          <w:sz w:val="24"/>
          <w:szCs w:val="24"/>
        </w:rPr>
        <w:t>Monoacylglycerol lipase reprograms lipid precursors signaling in liver disease</w:t>
      </w:r>
      <w:r w:rsidRPr="00825E2B">
        <w:rPr>
          <w:rFonts w:ascii="Book Antiqua" w:hAnsi="Book Antiqua" w:cs="Times New Roman"/>
          <w:bCs/>
          <w:sz w:val="24"/>
          <w:szCs w:val="24"/>
        </w:rPr>
        <w:t xml:space="preserve">. </w:t>
      </w:r>
      <w:r w:rsidRPr="00825E2B">
        <w:rPr>
          <w:rFonts w:ascii="Book Antiqua" w:hAnsi="Book Antiqua" w:cs="Times New Roman"/>
          <w:bCs/>
          <w:i/>
          <w:sz w:val="24"/>
          <w:szCs w:val="24"/>
        </w:rPr>
        <w:t xml:space="preserve">World J Gastroenterol </w:t>
      </w:r>
      <w:r w:rsidRPr="00825E2B">
        <w:rPr>
          <w:rFonts w:ascii="Book Antiqua" w:hAnsi="Book Antiqua" w:cs="Times New Roman"/>
          <w:bCs/>
          <w:sz w:val="24"/>
          <w:szCs w:val="24"/>
        </w:rPr>
        <w:t xml:space="preserve">2020; 26(25): </w:t>
      </w:r>
      <w:r w:rsidRPr="00825E2B">
        <w:rPr>
          <w:rFonts w:ascii="Book Antiqua" w:hAnsi="Book Antiqua" w:cs="Times New Roman" w:hint="eastAsia"/>
          <w:bCs/>
          <w:sz w:val="24"/>
          <w:szCs w:val="24"/>
        </w:rPr>
        <w:t>3577</w:t>
      </w:r>
      <w:r w:rsidRPr="00825E2B">
        <w:rPr>
          <w:rFonts w:ascii="Book Antiqua" w:hAnsi="Book Antiqua" w:cs="Times New Roman"/>
          <w:bCs/>
          <w:sz w:val="24"/>
          <w:szCs w:val="24"/>
        </w:rPr>
        <w:t>-</w:t>
      </w:r>
      <w:r w:rsidRPr="00825E2B">
        <w:rPr>
          <w:rFonts w:ascii="Book Antiqua" w:hAnsi="Book Antiqua" w:cs="Times New Roman" w:hint="eastAsia"/>
          <w:bCs/>
          <w:sz w:val="24"/>
          <w:szCs w:val="24"/>
        </w:rPr>
        <w:t>3585</w:t>
      </w:r>
      <w:r w:rsidRPr="00825E2B">
        <w:rPr>
          <w:rFonts w:ascii="Book Antiqua" w:hAnsi="Book Antiqua" w:cs="Times New Roman"/>
          <w:bCs/>
          <w:sz w:val="24"/>
          <w:szCs w:val="24"/>
        </w:rPr>
        <w:t xml:space="preserve">  </w:t>
      </w:r>
    </w:p>
    <w:p w14:paraId="41A13B48" w14:textId="77777777" w:rsidR="007E0CCD" w:rsidRPr="00825E2B" w:rsidRDefault="007E0CCD" w:rsidP="007E0CCD">
      <w:pPr>
        <w:adjustRightInd w:val="0"/>
        <w:snapToGrid w:val="0"/>
        <w:spacing w:line="360" w:lineRule="auto"/>
        <w:textAlignment w:val="baseline"/>
        <w:rPr>
          <w:rFonts w:ascii="Book Antiqua" w:hAnsi="Book Antiqua" w:cs="Times New Roman" w:hint="eastAsia"/>
          <w:bCs/>
          <w:sz w:val="24"/>
          <w:szCs w:val="24"/>
          <w:lang w:eastAsia="zh-CN"/>
        </w:rPr>
      </w:pPr>
      <w:r w:rsidRPr="00825E2B">
        <w:rPr>
          <w:rFonts w:ascii="Book Antiqua" w:hAnsi="Book Antiqua" w:cs="Times New Roman"/>
          <w:b/>
          <w:bCs/>
          <w:sz w:val="24"/>
          <w:szCs w:val="24"/>
        </w:rPr>
        <w:t xml:space="preserve">URL: </w:t>
      </w:r>
      <w:r w:rsidRPr="00825E2B">
        <w:rPr>
          <w:rFonts w:ascii="Book Antiqua" w:hAnsi="Book Antiqua" w:cs="Times New Roman"/>
          <w:bCs/>
          <w:sz w:val="24"/>
          <w:szCs w:val="24"/>
        </w:rPr>
        <w:t>https://www.wjgnet.com/1007-9327/full/v26/i25/</w:t>
      </w:r>
      <w:r w:rsidRPr="00825E2B">
        <w:rPr>
          <w:rFonts w:ascii="Book Antiqua" w:hAnsi="Book Antiqua" w:cs="Times New Roman" w:hint="eastAsia"/>
          <w:bCs/>
          <w:sz w:val="24"/>
          <w:szCs w:val="24"/>
        </w:rPr>
        <w:t>3577</w:t>
      </w:r>
      <w:r w:rsidRPr="00825E2B">
        <w:rPr>
          <w:rFonts w:ascii="Book Antiqua" w:hAnsi="Book Antiqua" w:cs="Times New Roman"/>
          <w:bCs/>
          <w:sz w:val="24"/>
          <w:szCs w:val="24"/>
        </w:rPr>
        <w:t xml:space="preserve">.htm  </w:t>
      </w:r>
    </w:p>
    <w:p w14:paraId="0D9B7D70" w14:textId="616C1E28" w:rsidR="007E0CCD" w:rsidRPr="00825E2B" w:rsidRDefault="007E0CCD" w:rsidP="007E0CCD">
      <w:pPr>
        <w:adjustRightInd w:val="0"/>
        <w:snapToGrid w:val="0"/>
        <w:spacing w:line="360" w:lineRule="auto"/>
        <w:textAlignment w:val="baseline"/>
        <w:rPr>
          <w:rFonts w:ascii="Book Antiqua" w:hAnsi="Book Antiqua" w:cs="Times New Roman"/>
          <w:sz w:val="24"/>
          <w:szCs w:val="24"/>
        </w:rPr>
      </w:pPr>
      <w:r w:rsidRPr="00825E2B">
        <w:rPr>
          <w:rFonts w:ascii="Book Antiqua" w:hAnsi="Book Antiqua" w:cs="Times New Roman"/>
          <w:b/>
          <w:bCs/>
          <w:sz w:val="24"/>
          <w:szCs w:val="24"/>
        </w:rPr>
        <w:t>DOI:</w:t>
      </w:r>
      <w:r w:rsidRPr="00825E2B">
        <w:rPr>
          <w:rFonts w:ascii="Book Antiqua" w:hAnsi="Book Antiqua" w:cs="Times New Roman"/>
          <w:bCs/>
          <w:sz w:val="24"/>
          <w:szCs w:val="24"/>
        </w:rPr>
        <w:t xml:space="preserve"> https://dx.doi.org/10.3748/wjg.v26.i25.</w:t>
      </w:r>
      <w:r w:rsidRPr="00825E2B">
        <w:rPr>
          <w:rFonts w:ascii="Book Antiqua" w:hAnsi="Book Antiqua" w:cs="Times New Roman" w:hint="eastAsia"/>
          <w:bCs/>
          <w:sz w:val="24"/>
          <w:szCs w:val="24"/>
        </w:rPr>
        <w:t>3577</w:t>
      </w:r>
    </w:p>
    <w:p w14:paraId="2DA0BE7E" w14:textId="77777777" w:rsidR="008F2C56" w:rsidRPr="00825E2B" w:rsidRDefault="008F2C56" w:rsidP="00A921B8">
      <w:pPr>
        <w:adjustRightInd w:val="0"/>
        <w:snapToGrid w:val="0"/>
        <w:spacing w:after="0" w:line="360" w:lineRule="auto"/>
        <w:jc w:val="both"/>
        <w:rPr>
          <w:rFonts w:ascii="Book Antiqua" w:hAnsi="Book Antiqua" w:cs="Arial"/>
          <w:bCs/>
          <w:sz w:val="24"/>
          <w:szCs w:val="24"/>
          <w:lang w:eastAsia="zh-CN"/>
        </w:rPr>
      </w:pPr>
    </w:p>
    <w:p w14:paraId="23332736" w14:textId="03D8086E" w:rsidR="00847DD3" w:rsidRPr="00825E2B" w:rsidRDefault="00847DD3" w:rsidP="00A921B8">
      <w:pPr>
        <w:adjustRightInd w:val="0"/>
        <w:snapToGrid w:val="0"/>
        <w:spacing w:after="0" w:line="360" w:lineRule="auto"/>
        <w:jc w:val="both"/>
        <w:rPr>
          <w:rFonts w:ascii="Book Antiqua" w:hAnsi="Book Antiqua" w:cs="Arial"/>
          <w:bCs/>
          <w:sz w:val="24"/>
          <w:szCs w:val="24"/>
          <w:lang w:val="en-US"/>
        </w:rPr>
      </w:pPr>
      <w:r w:rsidRPr="00825E2B">
        <w:rPr>
          <w:rFonts w:ascii="Book Antiqua" w:hAnsi="Book Antiqua" w:cs="Arial"/>
          <w:b/>
          <w:bCs/>
          <w:sz w:val="24"/>
          <w:szCs w:val="24"/>
          <w:lang w:val="en-US"/>
        </w:rPr>
        <w:lastRenderedPageBreak/>
        <w:t>Core tip:</w:t>
      </w:r>
      <w:r w:rsidRPr="00825E2B">
        <w:rPr>
          <w:rFonts w:ascii="Book Antiqua" w:hAnsi="Book Antiqua" w:cs="Arial"/>
          <w:bCs/>
          <w:sz w:val="24"/>
          <w:szCs w:val="24"/>
          <w:lang w:val="en-US"/>
        </w:rPr>
        <w:t xml:space="preserve"> </w:t>
      </w:r>
      <w:proofErr w:type="spellStart"/>
      <w:r w:rsidR="008F2C56" w:rsidRPr="00825E2B">
        <w:rPr>
          <w:rFonts w:ascii="Book Antiqua" w:hAnsi="Book Antiqua" w:cs="Arial"/>
          <w:bCs/>
          <w:sz w:val="24"/>
          <w:szCs w:val="24"/>
          <w:lang w:val="en-US"/>
        </w:rPr>
        <w:t>Monoacylglycerol</w:t>
      </w:r>
      <w:proofErr w:type="spellEnd"/>
      <w:r w:rsidR="008F2C56" w:rsidRPr="00825E2B">
        <w:rPr>
          <w:rFonts w:ascii="Book Antiqua" w:hAnsi="Book Antiqua" w:cs="Arial"/>
          <w:bCs/>
          <w:sz w:val="24"/>
          <w:szCs w:val="24"/>
          <w:lang w:val="en-US"/>
        </w:rPr>
        <w:t xml:space="preserve"> lipase</w:t>
      </w:r>
      <w:r w:rsidRPr="00825E2B">
        <w:rPr>
          <w:rFonts w:ascii="Book Antiqua" w:hAnsi="Book Antiqua" w:cs="Arial"/>
          <w:bCs/>
          <w:sz w:val="24"/>
          <w:szCs w:val="24"/>
          <w:lang w:val="en-US"/>
        </w:rPr>
        <w:t xml:space="preserve"> inhibition/modulation is yet unappreciated however attractive therapeutic concept to limit liver disease as </w:t>
      </w:r>
      <w:r w:rsidR="008F2C56" w:rsidRPr="00825E2B">
        <w:rPr>
          <w:rFonts w:ascii="Book Antiqua" w:hAnsi="Book Antiqua" w:cs="Arial"/>
          <w:bCs/>
          <w:sz w:val="24"/>
          <w:szCs w:val="24"/>
          <w:lang w:val="en-US"/>
        </w:rPr>
        <w:t>fatty acids</w:t>
      </w:r>
      <w:r w:rsidRPr="00825E2B">
        <w:rPr>
          <w:rFonts w:ascii="Book Antiqua" w:hAnsi="Book Antiqua" w:cs="Arial"/>
          <w:bCs/>
          <w:sz w:val="24"/>
          <w:szCs w:val="24"/>
          <w:lang w:val="en-US"/>
        </w:rPr>
        <w:t xml:space="preserve"> may drive hepatocyte injury, fibrogenesis and change immune cells phenotype. </w:t>
      </w:r>
    </w:p>
    <w:p w14:paraId="36EC7AA7" w14:textId="77777777" w:rsidR="006069C5" w:rsidRPr="00825E2B" w:rsidRDefault="006069C5" w:rsidP="00A921B8">
      <w:pPr>
        <w:adjustRightInd w:val="0"/>
        <w:snapToGrid w:val="0"/>
        <w:spacing w:after="0" w:line="360" w:lineRule="auto"/>
        <w:jc w:val="both"/>
        <w:rPr>
          <w:rFonts w:ascii="Book Antiqua" w:hAnsi="Book Antiqua" w:cs="Arial"/>
          <w:b/>
          <w:sz w:val="24"/>
          <w:szCs w:val="24"/>
          <w:lang w:val="en-US"/>
        </w:rPr>
      </w:pPr>
      <w:r w:rsidRPr="00825E2B">
        <w:rPr>
          <w:rFonts w:ascii="Book Antiqua" w:hAnsi="Book Antiqua" w:cs="Arial"/>
          <w:b/>
          <w:sz w:val="24"/>
          <w:szCs w:val="24"/>
          <w:lang w:val="en-US"/>
        </w:rPr>
        <w:br w:type="page"/>
      </w:r>
    </w:p>
    <w:p w14:paraId="4F4E5BCA" w14:textId="77777777" w:rsidR="008F2C56" w:rsidRPr="00825E2B" w:rsidRDefault="008F2C56" w:rsidP="00A921B8">
      <w:pPr>
        <w:adjustRightInd w:val="0"/>
        <w:snapToGrid w:val="0"/>
        <w:spacing w:after="0" w:line="360" w:lineRule="auto"/>
        <w:jc w:val="both"/>
        <w:rPr>
          <w:rFonts w:ascii="Book Antiqua" w:hAnsi="Book Antiqua"/>
          <w:sz w:val="24"/>
          <w:szCs w:val="24"/>
        </w:rPr>
      </w:pPr>
      <w:r w:rsidRPr="00825E2B">
        <w:rPr>
          <w:rFonts w:ascii="Book Antiqua" w:hAnsi="Book Antiqua"/>
          <w:b/>
          <w:bCs/>
          <w:sz w:val="24"/>
          <w:szCs w:val="24"/>
          <w:u w:val="single"/>
        </w:rPr>
        <w:lastRenderedPageBreak/>
        <w:t>INTRODUCTION</w:t>
      </w:r>
    </w:p>
    <w:p w14:paraId="6DB42212" w14:textId="666BB511" w:rsidR="006750B3" w:rsidRPr="00825E2B" w:rsidRDefault="00C0560F" w:rsidP="00A921B8">
      <w:pPr>
        <w:adjustRightInd w:val="0"/>
        <w:snapToGrid w:val="0"/>
        <w:spacing w:after="0" w:line="360" w:lineRule="auto"/>
        <w:jc w:val="both"/>
        <w:rPr>
          <w:rFonts w:ascii="Book Antiqua" w:hAnsi="Book Antiqua" w:cs="Arial"/>
          <w:sz w:val="24"/>
          <w:szCs w:val="24"/>
          <w:lang w:val="en-US" w:eastAsia="zh-CN"/>
        </w:rPr>
      </w:pPr>
      <w:r w:rsidRPr="00825E2B">
        <w:rPr>
          <w:rFonts w:ascii="Book Antiqua" w:eastAsia="MS Mincho" w:hAnsi="Book Antiqua" w:cs="Times New Roman"/>
          <w:sz w:val="24"/>
          <w:szCs w:val="24"/>
          <w:lang w:val="en-US"/>
        </w:rPr>
        <w:t>Dietary lipids are major sources of energy in the body and serve a variety of vital functions</w:t>
      </w:r>
      <w:r w:rsidR="0008508E" w:rsidRPr="00825E2B">
        <w:rPr>
          <w:rFonts w:ascii="Book Antiqua" w:hAnsi="Book Antiqua" w:cs="Arial"/>
          <w:sz w:val="24"/>
          <w:szCs w:val="24"/>
          <w:lang w:val="en-US"/>
        </w:rPr>
        <w:fldChar w:fldCharType="begin" w:fldLock="1"/>
      </w:r>
      <w:r w:rsidRPr="00825E2B">
        <w:rPr>
          <w:rFonts w:ascii="Book Antiqua" w:hAnsi="Book Antiqua" w:cs="Arial"/>
          <w:sz w:val="24"/>
          <w:szCs w:val="24"/>
          <w:lang w:val="en-US"/>
        </w:rPr>
        <w:instrText>ADDIN CSL_CITATION {"citationItems":[{"id":"ITEM-1","itemData":{"DOI":"10.1159/000365423","ISBN":"9781461453802 | 1461453798 | 9781461453796","ISSN":"16623975","PMID":"25471798","abstract":"The purpose of this article is to describe the structure, function and metabolism of fatty acids and lipids that are of particular importance in the context of parenteral nutrition. Lipids are a heterogeneous group of molecules that share the common property of hydrophobicity. Lipids range in structure from simple short hydrocarbon chains to more complex molecules, including triacylglycerols, phospholipids and sterols and their esters. Lipids within each class may differ structurally. Fatty acids are common components of complex lipids, and these differ according to chain length and the presence, number and position of double bonds in the hydrocarbon chain. Structural variation among complex lipids and among fatty acids gives rise to functional differences that result in different impacts upon metabolism and upon cell and tissue responses. Fatty acids and complex lipids exhibit a variety of structural variations that influence their metabolism and their functional effects.","author":[{"dropping-particle":"","family":"Burdge","given":"Graham C.","non-dropping-particle":"","parse-names":false,"suffix":""},{"dropping-particle":"","family":"Calder","given":"Philip C.","non-dropping-particle":"","parse-names":false,"suffix":""}],"container-title":"World Review of Nutrition and Dietetics","id":"ITEM-1","issued":{"date-parts":[["2015"]]},"title":"Introduction to fatty acids and lipids","type":"article"},"uris":["http://www.mendeley.com/documents/?uuid=a37cdadc-6b4d-45b4-ae7d-0ecf8bbdc6bd"]}],"mendeley":{"formattedCitation":"&lt;sup&gt;[1]&lt;/sup&gt;","plainTextFormattedCitation":"[1]","previouslyFormattedCitation":"&lt;sup&gt;[1]&lt;/sup&gt;"},"properties":{"noteIndex":0},"schema":"https://github.com/citation-style-language/schema/raw/master/csl-citation.json"}</w:instrText>
      </w:r>
      <w:r w:rsidR="0008508E" w:rsidRPr="00825E2B">
        <w:rPr>
          <w:rFonts w:ascii="Book Antiqua" w:hAnsi="Book Antiqua" w:cs="Arial"/>
          <w:sz w:val="24"/>
          <w:szCs w:val="24"/>
          <w:lang w:val="en-US"/>
        </w:rPr>
        <w:fldChar w:fldCharType="separate"/>
      </w:r>
      <w:r w:rsidR="00A037ED" w:rsidRPr="00825E2B">
        <w:rPr>
          <w:rFonts w:ascii="Book Antiqua" w:hAnsi="Book Antiqua" w:cs="Arial"/>
          <w:noProof/>
          <w:sz w:val="24"/>
          <w:szCs w:val="24"/>
          <w:vertAlign w:val="superscript"/>
          <w:lang w:val="en-US"/>
        </w:rPr>
        <w:t>[1]</w:t>
      </w:r>
      <w:r w:rsidR="0008508E" w:rsidRPr="00825E2B">
        <w:rPr>
          <w:rFonts w:ascii="Book Antiqua" w:hAnsi="Book Antiqua" w:cs="Arial"/>
          <w:sz w:val="24"/>
          <w:szCs w:val="24"/>
          <w:lang w:val="en-US"/>
        </w:rPr>
        <w:fldChar w:fldCharType="end"/>
      </w:r>
      <w:r w:rsidR="008F2C56" w:rsidRPr="00825E2B">
        <w:rPr>
          <w:rFonts w:ascii="Book Antiqua" w:hAnsi="Book Antiqua" w:cs="Arial"/>
          <w:sz w:val="24"/>
          <w:szCs w:val="24"/>
          <w:lang w:val="en-US"/>
        </w:rPr>
        <w:t>.</w:t>
      </w:r>
      <w:r w:rsidR="00BD6802" w:rsidRPr="00825E2B">
        <w:rPr>
          <w:rFonts w:ascii="Book Antiqua" w:hAnsi="Book Antiqua" w:cs="Arial"/>
          <w:sz w:val="24"/>
          <w:szCs w:val="24"/>
          <w:lang w:val="en-US" w:eastAsia="zh-CN"/>
        </w:rPr>
        <w:t xml:space="preserve"> </w:t>
      </w:r>
      <w:r w:rsidRPr="00825E2B">
        <w:rPr>
          <w:rFonts w:ascii="Book Antiqua" w:eastAsia="MS Mincho" w:hAnsi="Book Antiqua" w:cs="Times New Roman"/>
          <w:sz w:val="24"/>
          <w:szCs w:val="24"/>
          <w:lang w:val="en-US"/>
        </w:rPr>
        <w:t>They represent pivotal substrates for beta oxidation</w:t>
      </w:r>
      <w:r w:rsidR="007E02F1" w:rsidRPr="00825E2B">
        <w:rPr>
          <w:rFonts w:ascii="Book Antiqua" w:eastAsia="MS Mincho" w:hAnsi="Book Antiqua" w:cs="Times New Roman"/>
          <w:sz w:val="24"/>
          <w:szCs w:val="24"/>
          <w:lang w:val="en-US"/>
        </w:rPr>
        <w:t>,</w:t>
      </w:r>
      <w:r w:rsidR="007E02F1" w:rsidRPr="00825E2B">
        <w:rPr>
          <w:rFonts w:ascii="Book Antiqua" w:hAnsi="Book Antiqua" w:cs="Times New Roman"/>
          <w:sz w:val="24"/>
          <w:szCs w:val="24"/>
          <w:lang w:val="en-US" w:eastAsia="zh-CN"/>
        </w:rPr>
        <w:t xml:space="preserve"> </w:t>
      </w:r>
      <w:r w:rsidR="00C73D5D" w:rsidRPr="00825E2B">
        <w:rPr>
          <w:rFonts w:ascii="Book Antiqua" w:eastAsia="MS Mincho" w:hAnsi="Book Antiqua" w:cs="Times New Roman"/>
          <w:sz w:val="24"/>
          <w:szCs w:val="24"/>
          <w:lang w:val="en-US"/>
        </w:rPr>
        <w:t>fueling</w:t>
      </w:r>
      <w:r w:rsidRPr="00825E2B">
        <w:rPr>
          <w:rFonts w:ascii="Book Antiqua" w:eastAsia="MS Mincho" w:hAnsi="Book Antiqua" w:cs="Times New Roman"/>
          <w:sz w:val="24"/>
          <w:szCs w:val="24"/>
          <w:lang w:val="en-US"/>
        </w:rPr>
        <w:t> </w:t>
      </w:r>
      <w:r w:rsidR="00C73D5D" w:rsidRPr="00825E2B">
        <w:rPr>
          <w:rFonts w:ascii="Book Antiqua" w:eastAsia="MS Mincho" w:hAnsi="Book Antiqua" w:cs="Times New Roman"/>
          <w:sz w:val="24"/>
          <w:szCs w:val="24"/>
          <w:lang w:val="en-US"/>
        </w:rPr>
        <w:t xml:space="preserve">the </w:t>
      </w:r>
      <w:r w:rsidRPr="00825E2B">
        <w:rPr>
          <w:rFonts w:ascii="Book Antiqua" w:eastAsia="MS Mincho" w:hAnsi="Book Antiqua" w:cs="Times New Roman"/>
          <w:sz w:val="24"/>
          <w:szCs w:val="24"/>
          <w:lang w:val="en-US"/>
        </w:rPr>
        <w:t xml:space="preserve">production of cellular energy as well as </w:t>
      </w:r>
      <w:r w:rsidR="00C73D5D" w:rsidRPr="00825E2B">
        <w:rPr>
          <w:rFonts w:ascii="Book Antiqua" w:eastAsia="MS Mincho" w:hAnsi="Book Antiqua" w:cs="Times New Roman"/>
          <w:sz w:val="24"/>
          <w:szCs w:val="24"/>
          <w:lang w:val="en-US"/>
        </w:rPr>
        <w:t xml:space="preserve">being </w:t>
      </w:r>
      <w:r w:rsidRPr="00825E2B">
        <w:rPr>
          <w:rFonts w:ascii="Book Antiqua" w:eastAsia="MS Mincho" w:hAnsi="Book Antiqua" w:cs="Times New Roman"/>
          <w:sz w:val="24"/>
          <w:szCs w:val="24"/>
          <w:lang w:val="en-US"/>
        </w:rPr>
        <w:t>precursors </w:t>
      </w:r>
      <w:r w:rsidR="00204097" w:rsidRPr="00825E2B">
        <w:rPr>
          <w:rFonts w:ascii="Book Antiqua" w:eastAsia="MS Mincho" w:hAnsi="Book Antiqua" w:cs="Times New Roman"/>
          <w:sz w:val="24"/>
          <w:szCs w:val="24"/>
          <w:lang w:val="en-US"/>
        </w:rPr>
        <w:t>of</w:t>
      </w:r>
      <w:r w:rsidRPr="00825E2B">
        <w:rPr>
          <w:rFonts w:ascii="Book Antiqua" w:eastAsia="MS Mincho" w:hAnsi="Book Antiqua" w:cs="Times New Roman"/>
          <w:sz w:val="24"/>
          <w:szCs w:val="24"/>
          <w:lang w:val="en-US"/>
        </w:rPr>
        <w:t xml:space="preserve"> all lipid classes, including prostaglandins, steroid hormones and those that form biological membranes</w:t>
      </w:r>
      <w:r w:rsidR="00FE2F99" w:rsidRPr="00825E2B">
        <w:rPr>
          <w:rFonts w:ascii="Book Antiqua" w:hAnsi="Book Antiqua" w:cs="Arial"/>
          <w:sz w:val="24"/>
          <w:szCs w:val="24"/>
          <w:lang w:val="en-US"/>
        </w:rPr>
        <w:fldChar w:fldCharType="begin" w:fldLock="1"/>
      </w:r>
      <w:r w:rsidRPr="00825E2B">
        <w:rPr>
          <w:rFonts w:ascii="Book Antiqua" w:hAnsi="Book Antiqua" w:cs="Arial"/>
          <w:sz w:val="24"/>
          <w:szCs w:val="24"/>
          <w:lang w:val="en-US"/>
        </w:rPr>
        <w:instrText>ADDIN CSL_CITATION {"citationItems":[{"id":"ITEM-1","itemData":{"DOI":"10.1159/000365423","ISBN":"9781461453802 | 1461453798 | 9781461453796","ISSN":"16623975","PMID":"25471798","abstract":"The purpose of this article is to describe the structure, function and metabolism of fatty acids and lipids that are of particular importance in the context of parenteral nutrition. Lipids are a heterogeneous group of molecules that share the common property of hydrophobicity. Lipids range in structure from simple short hydrocarbon chains to more complex molecules, including triacylglycerols, phospholipids and sterols and their esters. Lipids within each class may differ structurally. Fatty acids are common components of complex lipids, and these differ according to chain length and the presence, number and position of double bonds in the hydrocarbon chain. Structural variation among complex lipids and among fatty acids gives rise to functional differences that result in different impacts upon metabolism and upon cell and tissue responses. Fatty acids and complex lipids exhibit a variety of structural variations that influence their metabolism and their functional effects.","author":[{"dropping-particle":"","family":"Burdge","given":"Graham C.","non-dropping-particle":"","parse-names":false,"suffix":""},{"dropping-particle":"","family":"Calder","given":"Philip C.","non-dropping-particle":"","parse-names":false,"suffix":""}],"container-title":"World Review of Nutrition and Dietetics","id":"ITEM-1","issued":{"date-parts":[["2015"]]},"title":"Introduction to fatty acids and lipids","type":"article"},"uris":["http://www.mendeley.com/documents/?uuid=a37cdadc-6b4d-45b4-ae7d-0ecf8bbdc6bd"]}],"mendeley":{"formattedCitation":"&lt;sup&gt;[1]&lt;/sup&gt;","plainTextFormattedCitation":"[1]","previouslyFormattedCitation":"&lt;sup&gt;[1]&lt;/sup&gt;"},"properties":{"noteIndex":0},"schema":"https://github.com/citation-style-language/schema/raw/master/csl-citation.json"}</w:instrText>
      </w:r>
      <w:r w:rsidR="00FE2F99" w:rsidRPr="00825E2B">
        <w:rPr>
          <w:rFonts w:ascii="Book Antiqua" w:hAnsi="Book Antiqua" w:cs="Arial"/>
          <w:sz w:val="24"/>
          <w:szCs w:val="24"/>
          <w:lang w:val="en-US"/>
        </w:rPr>
        <w:fldChar w:fldCharType="separate"/>
      </w:r>
      <w:r w:rsidR="00A037ED" w:rsidRPr="00825E2B">
        <w:rPr>
          <w:rFonts w:ascii="Book Antiqua" w:hAnsi="Book Antiqua" w:cs="Arial"/>
          <w:noProof/>
          <w:sz w:val="24"/>
          <w:szCs w:val="24"/>
          <w:vertAlign w:val="superscript"/>
          <w:lang w:val="en-US"/>
        </w:rPr>
        <w:t>[1]</w:t>
      </w:r>
      <w:r w:rsidR="00FE2F99" w:rsidRPr="00825E2B">
        <w:rPr>
          <w:rFonts w:ascii="Book Antiqua" w:hAnsi="Book Antiqua" w:cs="Arial"/>
          <w:sz w:val="24"/>
          <w:szCs w:val="24"/>
          <w:lang w:val="en-US"/>
        </w:rPr>
        <w:fldChar w:fldCharType="end"/>
      </w:r>
      <w:r w:rsidR="00CF0C93" w:rsidRPr="00825E2B">
        <w:rPr>
          <w:rFonts w:ascii="Book Antiqua" w:hAnsi="Book Antiqua" w:cs="Arial"/>
          <w:sz w:val="24"/>
          <w:szCs w:val="24"/>
          <w:lang w:val="en-US"/>
        </w:rPr>
        <w:t xml:space="preserve">. </w:t>
      </w:r>
      <w:r w:rsidRPr="00825E2B">
        <w:rPr>
          <w:rFonts w:ascii="Book Antiqua" w:eastAsia="MS Mincho" w:hAnsi="Book Antiqua" w:cs="Times New Roman"/>
          <w:sz w:val="24"/>
          <w:szCs w:val="24"/>
          <w:lang w:val="en-US"/>
        </w:rPr>
        <w:t>Notwithstanding their key roles, aberrant lipid metabolism may become harmful to cells, as free fatty acids (FAs) are known to be powerful signaling molecules</w:t>
      </w:r>
      <w:r w:rsidR="00B42037" w:rsidRPr="00825E2B">
        <w:rPr>
          <w:rFonts w:ascii="Book Antiqua" w:hAnsi="Book Antiqua" w:cs="Arial"/>
          <w:sz w:val="24"/>
          <w:szCs w:val="24"/>
          <w:lang w:val="en-US"/>
        </w:rPr>
        <w:fldChar w:fldCharType="begin" w:fldLock="1"/>
      </w:r>
      <w:r w:rsidRPr="00825E2B">
        <w:rPr>
          <w:rFonts w:ascii="Book Antiqua" w:hAnsi="Book Antiqua" w:cs="Arial"/>
          <w:sz w:val="24"/>
          <w:szCs w:val="24"/>
          <w:lang w:val="en-US"/>
        </w:rPr>
        <w:instrText>ADDIN CSL_CITATION {"citationItems":[{"id":"ITEM-1","itemData":{"DOI":"10.1016/j.bbalip.2009.10.007","ISBN":"1388-1981","ISSN":"13881981","PMID":"19857603","abstract":"Fatty liver disease comprises a spectrum ranging from simple steatosis to steatohepatitis which can progress to liver cirrhosis and hepatocellular cancer. Hepatic lipotoxicity may ensue when the hepatic capacity to utilize, store and export fatty acids (FA) as triglycerides is overwhelmed. Additional mechanisms of hepatic lipotoxicity include abnormal FA oxidation with formation of reactive oxygen species, disturbances in cellular membrane FA and phospholipid composition, alterations of cholesterol content and ceramide signalling. Lipotoxicity is a key factor for the progression of fatty liver disease by inducing hepatocellular death, activating Kupffer cells and an inflammatory response, impairing hepatic insulin signalling resulting in insulin resistance, and activation of a fibrogenic response in hepatic stellate cells that can ultimately lead to cirrhosis. Therefore, the concept of hepatic lipotoxicity should be considered in future therapeutic concepts for fatty liver disease. © 2009 Elsevier B.V. All rights reserved.","author":[{"dropping-particle":"","family":"Trauner","given":"Michael","non-dropping-particle":"","parse-names":false,"suffix":""},{"dropping-particle":"","family":"Arrese","given":"Marco","non-dropping-particle":"","parse-names":false,"suffix":""},{"dropping-particle":"","family":"Wagner","given":"Martin","non-dropping-particle":"","parse-names":false,"suffix":""}],"container-title":"Biochimica et Biophysica Acta - Molecular and Cell Biology of Lipids","id":"ITEM-1","issued":{"date-parts":[["2010"]]},"title":"Fatty liver and lipotoxicity","type":"article"},"uris":["http://www.mendeley.com/documents/?uuid=b73e9e82-d36f-4cb8-86fc-a86462536dde"]},{"id":"ITEM-2","itemData":{"DOI":"10.1016/j.cmet.2011.12.018","ISBN":"1550-4131","ISSN":"15504131","PMID":"22405066","abstract":"Lipolysis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Metabolism","id":"ITEM-2","issue":"3","issued":{"date-parts":[["2012"]]},"page":"279-291","title":"FAT SIGNALS - Lipases and lipolysis in lipid metabolism and signaling","type":"article","volume":"15"},"uris":["http://www.mendeley.com/documents/?uuid=42299c37-2960-4a9a-96a0-6195e3d6884d"]}],"mendeley":{"formattedCitation":"&lt;sup&gt;[2,3]&lt;/sup&gt;","plainTextFormattedCitation":"[2,3]","previouslyFormattedCitation":"&lt;sup&gt;[2,3]&lt;/sup&gt;"},"properties":{"noteIndex":0},"schema":"https://github.com/citation-style-language/schema/raw/master/csl-citation.json"}</w:instrText>
      </w:r>
      <w:r w:rsidR="00B42037" w:rsidRPr="00825E2B">
        <w:rPr>
          <w:rFonts w:ascii="Book Antiqua" w:hAnsi="Book Antiqua" w:cs="Arial"/>
          <w:sz w:val="24"/>
          <w:szCs w:val="24"/>
          <w:lang w:val="en-US"/>
        </w:rPr>
        <w:fldChar w:fldCharType="separate"/>
      </w:r>
      <w:r w:rsidR="00A037ED" w:rsidRPr="00825E2B">
        <w:rPr>
          <w:rFonts w:ascii="Book Antiqua" w:hAnsi="Book Antiqua" w:cs="Arial"/>
          <w:noProof/>
          <w:sz w:val="24"/>
          <w:szCs w:val="24"/>
          <w:vertAlign w:val="superscript"/>
          <w:lang w:val="en-US"/>
        </w:rPr>
        <w:t>[2,3]</w:t>
      </w:r>
      <w:r w:rsidR="00B42037" w:rsidRPr="00825E2B">
        <w:rPr>
          <w:rFonts w:ascii="Book Antiqua" w:hAnsi="Book Antiqua" w:cs="Arial"/>
          <w:sz w:val="24"/>
          <w:szCs w:val="24"/>
          <w:lang w:val="en-US"/>
        </w:rPr>
        <w:fldChar w:fldCharType="end"/>
      </w:r>
      <w:r w:rsidR="0033487B" w:rsidRPr="00825E2B">
        <w:rPr>
          <w:rFonts w:ascii="Book Antiqua" w:hAnsi="Book Antiqua" w:cs="Arial"/>
          <w:sz w:val="24"/>
          <w:szCs w:val="24"/>
          <w:lang w:val="en-US"/>
        </w:rPr>
        <w:t xml:space="preserve">. </w:t>
      </w:r>
      <w:r w:rsidRPr="00825E2B">
        <w:rPr>
          <w:rFonts w:ascii="Book Antiqua" w:eastAsia="MS Mincho" w:hAnsi="Book Antiqua" w:cs="Times New Roman"/>
          <w:sz w:val="24"/>
          <w:szCs w:val="24"/>
          <w:lang w:val="en-US"/>
        </w:rPr>
        <w:t xml:space="preserve">FAs and their metabolites regulate </w:t>
      </w:r>
      <w:r w:rsidR="00246ADA" w:rsidRPr="00825E2B">
        <w:rPr>
          <w:rFonts w:ascii="Book Antiqua" w:eastAsia="MS Mincho" w:hAnsi="Book Antiqua" w:cs="Times New Roman"/>
          <w:sz w:val="24"/>
          <w:szCs w:val="24"/>
          <w:lang w:val="en-US"/>
        </w:rPr>
        <w:t xml:space="preserve">several </w:t>
      </w:r>
      <w:r w:rsidRPr="00825E2B">
        <w:rPr>
          <w:rFonts w:ascii="Book Antiqua" w:eastAsia="MS Mincho" w:hAnsi="Book Antiqua" w:cs="Times New Roman"/>
          <w:sz w:val="24"/>
          <w:szCs w:val="24"/>
          <w:lang w:val="en-US"/>
        </w:rPr>
        <w:t xml:space="preserve">intracellular </w:t>
      </w:r>
      <w:r w:rsidR="00246ADA" w:rsidRPr="00825E2B">
        <w:rPr>
          <w:rFonts w:ascii="Book Antiqua" w:eastAsia="MS Mincho" w:hAnsi="Book Antiqua" w:cs="Times New Roman"/>
          <w:sz w:val="24"/>
          <w:szCs w:val="24"/>
          <w:lang w:val="en-US"/>
        </w:rPr>
        <w:t>processes</w:t>
      </w:r>
      <w:r w:rsidRPr="00825E2B">
        <w:rPr>
          <w:rFonts w:ascii="Book Antiqua" w:eastAsia="MS Mincho" w:hAnsi="Book Antiqua" w:cs="Times New Roman"/>
          <w:sz w:val="24"/>
          <w:szCs w:val="24"/>
          <w:lang w:val="en-US"/>
        </w:rPr>
        <w:t> such</w:t>
      </w:r>
      <w:r w:rsidR="00246ADA" w:rsidRPr="00825E2B">
        <w:rPr>
          <w:rFonts w:ascii="Book Antiqua" w:eastAsia="MS Mincho" w:hAnsi="Book Antiqua" w:cs="Times New Roman"/>
          <w:sz w:val="24"/>
          <w:szCs w:val="24"/>
          <w:lang w:val="en-US"/>
        </w:rPr>
        <w:t xml:space="preserve"> </w:t>
      </w:r>
      <w:r w:rsidRPr="00825E2B">
        <w:rPr>
          <w:rFonts w:ascii="Book Antiqua" w:eastAsia="MS Mincho" w:hAnsi="Book Antiqua" w:cs="Times New Roman"/>
          <w:sz w:val="24"/>
          <w:szCs w:val="24"/>
          <w:lang w:val="en-US"/>
        </w:rPr>
        <w:t>as gene transcription</w:t>
      </w:r>
      <w:r w:rsidR="00246ADA" w:rsidRPr="00825E2B">
        <w:rPr>
          <w:rFonts w:ascii="Book Antiqua" w:eastAsia="MS Mincho" w:hAnsi="Book Antiqua" w:cs="Times New Roman"/>
          <w:sz w:val="24"/>
          <w:szCs w:val="24"/>
          <w:lang w:val="en-US"/>
        </w:rPr>
        <w:t xml:space="preserve"> and expression</w:t>
      </w:r>
      <w:r w:rsidRPr="00825E2B">
        <w:rPr>
          <w:rFonts w:ascii="Book Antiqua" w:eastAsia="MS Mincho" w:hAnsi="Book Antiqua" w:cs="Times New Roman"/>
          <w:sz w:val="24"/>
          <w:szCs w:val="24"/>
          <w:lang w:val="en-US"/>
        </w:rPr>
        <w:t>, post-transcriptional/translational modification of proteins</w:t>
      </w:r>
      <w:r w:rsidR="00246ADA" w:rsidRPr="00825E2B">
        <w:rPr>
          <w:rFonts w:ascii="Book Antiqua" w:eastAsia="MS Mincho" w:hAnsi="Book Antiqua" w:cs="Times New Roman"/>
          <w:sz w:val="24"/>
          <w:szCs w:val="24"/>
          <w:lang w:val="en-US"/>
        </w:rPr>
        <w:t>, also</w:t>
      </w:r>
      <w:r w:rsidRPr="00825E2B">
        <w:rPr>
          <w:rFonts w:ascii="Book Antiqua" w:eastAsia="MS Mincho" w:hAnsi="Book Antiqua" w:cs="Times New Roman"/>
          <w:sz w:val="24"/>
          <w:szCs w:val="24"/>
          <w:lang w:val="en-US"/>
        </w:rPr>
        <w:t xml:space="preserve"> direct</w:t>
      </w:r>
      <w:r w:rsidR="00246ADA" w:rsidRPr="00825E2B">
        <w:rPr>
          <w:rFonts w:ascii="Book Antiqua" w:eastAsia="MS Mincho" w:hAnsi="Book Antiqua" w:cs="Times New Roman"/>
          <w:sz w:val="24"/>
          <w:szCs w:val="24"/>
          <w:lang w:val="en-US"/>
        </w:rPr>
        <w:t>ly</w:t>
      </w:r>
      <w:r w:rsidRPr="00825E2B">
        <w:rPr>
          <w:rFonts w:ascii="Book Antiqua" w:eastAsia="MS Mincho" w:hAnsi="Book Antiqua" w:cs="Times New Roman"/>
          <w:sz w:val="24"/>
          <w:szCs w:val="24"/>
          <w:lang w:val="en-US"/>
        </w:rPr>
        <w:t xml:space="preserve"> modulati</w:t>
      </w:r>
      <w:r w:rsidR="00246ADA" w:rsidRPr="00825E2B">
        <w:rPr>
          <w:rFonts w:ascii="Book Antiqua" w:eastAsia="MS Mincho" w:hAnsi="Book Antiqua" w:cs="Times New Roman"/>
          <w:sz w:val="24"/>
          <w:szCs w:val="24"/>
          <w:lang w:val="en-US"/>
        </w:rPr>
        <w:t>ng an array</w:t>
      </w:r>
      <w:r w:rsidRPr="00825E2B">
        <w:rPr>
          <w:rFonts w:ascii="Book Antiqua" w:eastAsia="MS Mincho" w:hAnsi="Book Antiqua" w:cs="Times New Roman"/>
          <w:sz w:val="24"/>
          <w:szCs w:val="24"/>
          <w:lang w:val="en-US"/>
        </w:rPr>
        <w:t xml:space="preserve"> of enzyme activities as co-activators</w:t>
      </w:r>
      <w:r w:rsidR="00FE2F99"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{"citationItems":[{"id":"ITEM-1","itemData":{"DOI":"10.3390/ijms16023831","ISBN":"1422-0067 (Electronic) 1422-0067 (Linking)","ISSN":"14220067","PMID":"25674855","abstract":"Until recently, intracellular triacylglycerols (TAG) stored in the form of cytoplasmic lipid droplets have been considered to be only passive “energy conserves”. Nevertheless, degradation of TAG gives rise to a pleiotropic spectrum of bioactive intermediates, which may function as potent co-factors of transcription factors or enzymes and contribute to the regulation of numerous cellular processes. From this point of view, the process of lipolysis not only provides energy-rich equivalents but also acquires a new regulatory function. In this review, we will concentrate on the role that fatty acids liberated from intracellular TAG stores play as signaling molecules. The first part provides an overview of the transcription factors, which are regulated by fatty acids derived from intracellular stores. The second part is devoted to the role of fatty acid signaling in different organs/tissues. The specific contribution of free fatty acids released by particular lipases, hormone-sensitive lipase, adipose triacylglycerol lipase and lysosomal lipase will also be discussed.","author":[{"dropping-particle":"","family":"Papackova","given":"Zuzana","non-dropping-particle":"","parse-names":false,"suffix":""},{"dropping-particle":"","family":"Cahova","given":"Monika","non-dropping-particle":"","parse-names":false,"suffix":""}],"container-title":"International Journal of Molecular Sciences","id":"ITEM-1","issued":{"date-parts":[["2015"]]},"title":"Fatty acid signaling: The new function of intracellular lipases","type":"article"},"uris":["http://www.mendeley.com/documents/?uuid=d8e633d7-e1cd-4872-9d6b-cba41ebbe5fd"]},{"id":"ITEM-2","itemData":{"DOI":"10.3390/ijms19061777","ISBN":"4314040047410","ISSN":"14220067","abstract":"© 2018 by the authors. Licensee MDPI, Basel, Switzerland. Nuclear receptors, such as the farnesoid X receptor (FXR) and the peroxisome proliferator-activated receptors gamma and alpha (PPAR-γ,-α), are major metabolic regulators in adipose tissue and the liver, where they govern lipid, glucose, and bile acid homeostasis, as well as inflammatory cascades. Glycerol and free fatty acids are the end products of lipid droplet catabolism driven by PPARs. Aquaporins (AQPs), a family of 13 small transmembrane proteins, facilitate the shuttling of water, urea, and/or glycerol. The peculiar role of AQPs in glycerol transport makes them pivotal targets in lipid metabolism, especially considering their tissue-specific regulation by the nuclear receptors PPARγ and PPARα. Here, we review the role of nuclear receptors in the regulation of glycerol shuttling in liver and adipose tissue through the function and expression of AQPs.","author":[{"dropping-particle":"","family":"Tardelli","given":"Matteo","non-dropping-particle":"","parse-names":false,"suffix":""},{"dropping-particle":"","family":"Claudel","given":"Thierry","non-dropping-particle":"","parse-names":false,"suffix":""},{"dropping-particle":"","family":"Bruschi","given":"Francesca Virginia","non-dropping-particle":"","parse-names":false,"suffix":""},{"dropping-particle":"","family":"Trauner","given":"Michael","non-dropping-particle":"","parse-names":false,"suffix":""}],"container-title":"International Journal of Molecular Sciences","id":"ITEM-2","issued":{"date-parts":[["2018"]]},"title":"Nuclear receptor regulation of aquaglyceroporins in metabolic organs","type":"article"},"uris":["http://www.mendeley.com/documents/?uuid=4de26a94-a881-4ee9-8883-e2525729d42a"]}],"mendeley":{"formattedCitation":"&lt;sup&gt;[4,5]&lt;/sup&gt;","plainTextFormattedCitation":"[4,5]","previouslyFormattedCitation":"&lt;sup&gt;[4,5]&lt;/sup&gt;"},"properties":{"noteIndex":0},"schema":"https://github.com/citation-style-language/schema/raw/master/csl-citation.json"}</w:instrText>
      </w:r>
      <w:r w:rsidR="00FE2F99" w:rsidRPr="00825E2B">
        <w:rPr>
          <w:rFonts w:ascii="Book Antiqua" w:hAnsi="Book Antiqua" w:cs="Arial"/>
          <w:sz w:val="24"/>
          <w:szCs w:val="24"/>
          <w:lang w:val="en-US"/>
        </w:rPr>
        <w:fldChar w:fldCharType="separate"/>
      </w:r>
      <w:r w:rsidRPr="00825E2B">
        <w:rPr>
          <w:rFonts w:ascii="Book Antiqua" w:hAnsi="Book Antiqua" w:cs="Arial"/>
          <w:noProof/>
          <w:sz w:val="24"/>
          <w:szCs w:val="24"/>
          <w:vertAlign w:val="superscript"/>
          <w:lang w:val="en-US"/>
        </w:rPr>
        <w:t>[4,5]</w:t>
      </w:r>
      <w:r w:rsidR="00FE2F99" w:rsidRPr="00825E2B">
        <w:rPr>
          <w:rFonts w:ascii="Book Antiqua" w:hAnsi="Book Antiqua" w:cs="Arial"/>
          <w:sz w:val="24"/>
          <w:szCs w:val="24"/>
          <w:lang w:val="en-US"/>
        </w:rPr>
        <w:fldChar w:fldCharType="end"/>
      </w:r>
      <w:r w:rsidRPr="00825E2B">
        <w:rPr>
          <w:rFonts w:ascii="Book Antiqua" w:hAnsi="Book Antiqua" w:cs="Arial"/>
          <w:sz w:val="24"/>
          <w:szCs w:val="24"/>
          <w:lang w:val="en-US"/>
        </w:rPr>
        <w:t xml:space="preserve">. </w:t>
      </w:r>
      <w:r w:rsidRPr="00825E2B">
        <w:rPr>
          <w:rFonts w:ascii="Book Antiqua" w:eastAsia="MS Mincho" w:hAnsi="Book Antiqua" w:cs="Times New Roman"/>
          <w:sz w:val="24"/>
          <w:szCs w:val="24"/>
          <w:lang w:val="en-US"/>
        </w:rPr>
        <w:t>Fat stores in the adipose tissue (AT) are the major energy reserves in mammals. Upon food intake,</w:t>
      </w:r>
      <w:r w:rsidR="00246ADA" w:rsidRPr="00825E2B">
        <w:rPr>
          <w:rFonts w:ascii="Book Antiqua" w:eastAsia="MS Mincho" w:hAnsi="Book Antiqua" w:cs="Times New Roman"/>
          <w:sz w:val="24"/>
          <w:szCs w:val="24"/>
          <w:lang w:val="en-US"/>
        </w:rPr>
        <w:t xml:space="preserve"> lipid species are absorbed in the intestine and delivered to the circulation</w:t>
      </w:r>
      <w:r w:rsidR="00204097" w:rsidRPr="00825E2B">
        <w:rPr>
          <w:rFonts w:ascii="Book Antiqua" w:eastAsia="MS Mincho" w:hAnsi="Book Antiqua" w:cs="Times New Roman"/>
          <w:sz w:val="24"/>
          <w:szCs w:val="24"/>
          <w:lang w:val="en-US"/>
        </w:rPr>
        <w:t xml:space="preserve">; </w:t>
      </w:r>
      <w:r w:rsidRPr="00825E2B">
        <w:rPr>
          <w:rFonts w:ascii="Book Antiqua" w:eastAsia="MS Mincho" w:hAnsi="Book Antiqua" w:cs="Times New Roman"/>
          <w:sz w:val="24"/>
          <w:szCs w:val="24"/>
          <w:lang w:val="en-US"/>
        </w:rPr>
        <w:t>the </w:t>
      </w:r>
      <w:r w:rsidR="00204097" w:rsidRPr="00825E2B">
        <w:rPr>
          <w:rFonts w:ascii="Book Antiqua" w:eastAsia="MS Mincho" w:hAnsi="Book Antiqua" w:cs="Times New Roman"/>
          <w:sz w:val="24"/>
          <w:szCs w:val="24"/>
          <w:lang w:val="en-US"/>
        </w:rPr>
        <w:t>surplus</w:t>
      </w:r>
      <w:r w:rsidRPr="00825E2B">
        <w:rPr>
          <w:rFonts w:ascii="Book Antiqua" w:eastAsia="MS Mincho" w:hAnsi="Book Antiqua" w:cs="Times New Roman"/>
          <w:sz w:val="24"/>
          <w:szCs w:val="24"/>
          <w:lang w:val="en-US"/>
        </w:rPr>
        <w:t xml:space="preserve"> of dietary non-esterified fatty acids (NEFAs) </w:t>
      </w:r>
      <w:r w:rsidR="00204097" w:rsidRPr="00825E2B">
        <w:rPr>
          <w:rFonts w:ascii="Book Antiqua" w:eastAsia="MS Mincho" w:hAnsi="Book Antiqua" w:cs="Times New Roman"/>
          <w:sz w:val="24"/>
          <w:szCs w:val="24"/>
          <w:lang w:val="en-US"/>
        </w:rPr>
        <w:t xml:space="preserve">which are not immediately needed by the body, </w:t>
      </w:r>
      <w:r w:rsidRPr="00825E2B">
        <w:rPr>
          <w:rFonts w:ascii="Book Antiqua" w:eastAsia="MS Mincho" w:hAnsi="Book Antiqua" w:cs="Times New Roman"/>
          <w:sz w:val="24"/>
          <w:szCs w:val="24"/>
          <w:lang w:val="en-US"/>
        </w:rPr>
        <w:t>are re-esterified into triglycerides (TG) that are subsequently stored in cytosolic lipid droplets of the adipocytes</w:t>
      </w:r>
      <w:r w:rsidR="002B5892" w:rsidRPr="00825E2B">
        <w:rPr>
          <w:rFonts w:ascii="Book Antiqua" w:hAnsi="Book Antiqua" w:cs="Arial"/>
          <w:sz w:val="24"/>
          <w:szCs w:val="24"/>
          <w:lang w:val="en-US"/>
        </w:rPr>
        <w:fldChar w:fldCharType="begin" w:fldLock="1"/>
      </w:r>
      <w:r w:rsidRPr="00825E2B">
        <w:rPr>
          <w:rFonts w:ascii="Book Antiqua" w:hAnsi="Book Antiqua" w:cs="Arial"/>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mendeley":{"formattedCitation":"&lt;sup&gt;[3]&lt;/sup&gt;","plainTextFormattedCitation":"[3]","previouslyFormattedCitation":"&lt;sup&gt;[3]&lt;/sup&gt;"},"properties":{"noteIndex":0},"schema":"https://github.com/citation-style-language/schema/raw/master/csl-citation.json"}</w:instrText>
      </w:r>
      <w:r w:rsidR="002B5892" w:rsidRPr="00825E2B">
        <w:rPr>
          <w:rFonts w:ascii="Book Antiqua" w:hAnsi="Book Antiqua" w:cs="Arial"/>
          <w:sz w:val="24"/>
          <w:szCs w:val="24"/>
          <w:lang w:val="en-US"/>
        </w:rPr>
        <w:fldChar w:fldCharType="separate"/>
      </w:r>
      <w:r w:rsidR="00A037ED" w:rsidRPr="00825E2B">
        <w:rPr>
          <w:rFonts w:ascii="Book Antiqua" w:hAnsi="Book Antiqua" w:cs="Arial"/>
          <w:noProof/>
          <w:sz w:val="24"/>
          <w:szCs w:val="24"/>
          <w:vertAlign w:val="superscript"/>
          <w:lang w:val="en-US"/>
        </w:rPr>
        <w:t>[3]</w:t>
      </w:r>
      <w:r w:rsidR="002B5892" w:rsidRPr="00825E2B">
        <w:rPr>
          <w:rFonts w:ascii="Book Antiqua" w:hAnsi="Book Antiqua" w:cs="Arial"/>
          <w:sz w:val="24"/>
          <w:szCs w:val="24"/>
          <w:lang w:val="en-US"/>
        </w:rPr>
        <w:fldChar w:fldCharType="end"/>
      </w:r>
      <w:r w:rsidR="001C3EE7" w:rsidRPr="00825E2B">
        <w:rPr>
          <w:rFonts w:ascii="Book Antiqua" w:hAnsi="Book Antiqua" w:cs="Arial"/>
          <w:sz w:val="24"/>
          <w:szCs w:val="24"/>
          <w:lang w:val="en-US"/>
        </w:rPr>
        <w:t xml:space="preserve">. </w:t>
      </w:r>
      <w:r w:rsidR="00204097" w:rsidRPr="00825E2B">
        <w:rPr>
          <w:rFonts w:ascii="Book Antiqua" w:hAnsi="Book Antiqua" w:cs="Arial"/>
          <w:sz w:val="24"/>
          <w:szCs w:val="24"/>
          <w:lang w:val="en-US"/>
        </w:rPr>
        <w:t>During fasting</w:t>
      </w:r>
      <w:r w:rsidR="0072220B" w:rsidRPr="00825E2B">
        <w:rPr>
          <w:rFonts w:ascii="Book Antiqua" w:hAnsi="Book Antiqua" w:cs="Arial"/>
          <w:sz w:val="24"/>
          <w:szCs w:val="24"/>
          <w:lang w:val="en-US"/>
        </w:rPr>
        <w:t xml:space="preserve"> for instance</w:t>
      </w:r>
      <w:r w:rsidR="00204097" w:rsidRPr="00825E2B">
        <w:rPr>
          <w:rFonts w:ascii="Book Antiqua" w:hAnsi="Book Antiqua" w:cs="Arial"/>
          <w:sz w:val="24"/>
          <w:szCs w:val="24"/>
          <w:lang w:val="en-US"/>
        </w:rPr>
        <w:t xml:space="preserve">, </w:t>
      </w:r>
      <w:r w:rsidR="00204097" w:rsidRPr="00825E2B">
        <w:rPr>
          <w:rFonts w:ascii="Book Antiqua" w:eastAsia="MS Mincho" w:hAnsi="Book Antiqua" w:cs="Times New Roman"/>
          <w:sz w:val="24"/>
          <w:szCs w:val="24"/>
          <w:lang w:val="en-US"/>
        </w:rPr>
        <w:t>t</w:t>
      </w:r>
      <w:r w:rsidRPr="00825E2B">
        <w:rPr>
          <w:rFonts w:ascii="Book Antiqua" w:eastAsia="MS Mincho" w:hAnsi="Book Antiqua" w:cs="Times New Roman"/>
          <w:sz w:val="24"/>
          <w:szCs w:val="24"/>
          <w:lang w:val="en-US"/>
        </w:rPr>
        <w:t>hese TG stores in the AT can be released by hydrolytic cleavage</w:t>
      </w:r>
      <w:r w:rsidR="0072220B" w:rsidRPr="00825E2B">
        <w:rPr>
          <w:rFonts w:ascii="Book Antiqua" w:eastAsia="MS Mincho" w:hAnsi="Book Antiqua" w:cs="Times New Roman"/>
          <w:sz w:val="24"/>
          <w:szCs w:val="24"/>
          <w:lang w:val="en-US"/>
        </w:rPr>
        <w:t>,</w:t>
      </w:r>
      <w:r w:rsidRPr="00825E2B">
        <w:rPr>
          <w:rFonts w:ascii="Book Antiqua" w:eastAsia="MS Mincho" w:hAnsi="Book Antiqua" w:cs="Times New Roman"/>
          <w:sz w:val="24"/>
          <w:szCs w:val="24"/>
          <w:lang w:val="en-US"/>
        </w:rPr>
        <w:t xml:space="preserve"> and the resulting NEFAs reach peripheral tissues such as</w:t>
      </w:r>
      <w:r w:rsidR="0072220B" w:rsidRPr="00825E2B">
        <w:rPr>
          <w:rFonts w:ascii="Book Antiqua" w:eastAsia="MS Mincho" w:hAnsi="Book Antiqua" w:cs="Times New Roman"/>
          <w:sz w:val="24"/>
          <w:szCs w:val="24"/>
          <w:lang w:val="en-US"/>
        </w:rPr>
        <w:t xml:space="preserve"> </w:t>
      </w:r>
      <w:r w:rsidRPr="00825E2B">
        <w:rPr>
          <w:rFonts w:ascii="Book Antiqua" w:eastAsia="MS Mincho" w:hAnsi="Book Antiqua" w:cs="Times New Roman"/>
          <w:sz w:val="24"/>
          <w:szCs w:val="24"/>
          <w:lang w:val="en-US"/>
        </w:rPr>
        <w:t>l</w:t>
      </w:r>
      <w:r w:rsidR="006750B3" w:rsidRPr="00825E2B">
        <w:rPr>
          <w:rFonts w:ascii="Book Antiqua" w:eastAsia="MS Mincho" w:hAnsi="Book Antiqua" w:cs="Times New Roman"/>
          <w:sz w:val="24"/>
          <w:szCs w:val="24"/>
          <w:lang w:val="en-US"/>
        </w:rPr>
        <w:t>iver and muscle</w:t>
      </w:r>
      <w:r w:rsidR="0072220B" w:rsidRPr="00825E2B">
        <w:rPr>
          <w:rFonts w:ascii="Book Antiqua" w:eastAsia="MS Mincho" w:hAnsi="Book Antiqua" w:cs="Times New Roman"/>
          <w:sz w:val="24"/>
          <w:szCs w:val="24"/>
          <w:lang w:val="en-US"/>
        </w:rPr>
        <w:t xml:space="preserve"> to be processed</w:t>
      </w:r>
      <w:r w:rsidR="006750B3" w:rsidRPr="00825E2B">
        <w:rPr>
          <w:rFonts w:ascii="Book Antiqua" w:eastAsia="MS Mincho" w:hAnsi="Book Antiqua" w:cs="Times New Roman"/>
          <w:sz w:val="24"/>
          <w:szCs w:val="24"/>
          <w:lang w:val="en-US"/>
        </w:rPr>
        <w:t xml:space="preserve"> for β-oxidation </w:t>
      </w:r>
      <w:r w:rsidRPr="00825E2B">
        <w:rPr>
          <w:rFonts w:ascii="Book Antiqua" w:eastAsia="MS Mincho" w:hAnsi="Book Antiqua" w:cs="Times New Roman"/>
          <w:sz w:val="24"/>
          <w:szCs w:val="24"/>
          <w:lang w:val="en-US"/>
        </w:rPr>
        <w:t>and</w:t>
      </w:r>
      <w:r w:rsidR="0072220B" w:rsidRPr="00825E2B">
        <w:rPr>
          <w:rFonts w:ascii="Book Antiqua" w:eastAsia="MS Mincho" w:hAnsi="Book Antiqua" w:cs="Times New Roman"/>
          <w:sz w:val="24"/>
          <w:szCs w:val="24"/>
          <w:lang w:val="en-US"/>
        </w:rPr>
        <w:t xml:space="preserve"> therefore</w:t>
      </w:r>
      <w:r w:rsidRPr="00825E2B">
        <w:rPr>
          <w:rFonts w:ascii="Book Antiqua" w:eastAsia="MS Mincho" w:hAnsi="Book Antiqua" w:cs="Times New Roman"/>
          <w:sz w:val="24"/>
          <w:szCs w:val="24"/>
          <w:lang w:val="en-US"/>
        </w:rPr>
        <w:t> energy/ATP production</w:t>
      </w:r>
      <w:r w:rsidR="002B5892"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{"citationItems":[{"id":"ITEM-1","itemData":{"DOI":"10.1016/j.plipres.2010.10.004","ISBN":"1873-2194 (Electronic) 0163-7827 (Linking)","ISSN":"01637827","PMID":"21087632","abstract":"Lipolysis is the biochemical pathway responsible for the catabolism of triacylglycerol (TAG) stored in cellular lipid droplets. The hydrolytic cleavage of TAG generates non-esterified fatty acids, which are subsequently used as energy substrates, essential precursors for lipid and membrane synthesis, or mediators in cell signaling processes. Consistent with its central importance in lipid and energy homeostasis, lipolysis occurs in essentially all tissues and cell types, it is most abundant, however, in white and brown adipose tissue. Over the last 5 years, important enzymes and regulatory protein factors involved in lipolysis have been identified. These include an essential TAG hydrolase named adipose triglyceride lipase (ATGL) [annotated as patatin-like phospholipase domain-containing protein A2], the ATGL activator comparative gene identification-58 [annotated as α/β hydrolase containing protein 5], and the ATGL inhibitor G0/G1 switch gene 2. Together with the established hormone-sensitive lipase [annotated as lipase E] and monoglyceride lipase, these proteins constitute the basic \"lipolytic machinery\". Additionally, a large number of hormonal signaling pathways and lipid droplet-associated protein factors regulate substrate access and the activity of the \" lipolysome\". This review summarizes the current knowledge concerning the enzymes and regulatory processes governing lipolysis of fat stores in adipose and non-adipose tissues. Special emphasis will be given to ATGL, its regulation, and physiological function. © 2010 Elsevier Ltd. All rights reserved.","author":[{"dropping-particle":"","family":"Lass","given":"Achim","non-dropping-particle":"","parse-names":false,"suffix":""},{"dropping-particle":"","family":"Zimmermann","given":"Robert","non-dropping-particle":"","parse-names":false,"suffix":""},{"dropping-particle":"","family":"Oberer","given":"Monika","non-dropping-particle":"","parse-names":false,"suffix":""},{"dropping-particle":"","family":"Zechner","given":"Rudolf","non-dropping-particle":"","parse-names":false,"suffix":""}],"container-title":"Progress in Lipid Research","id":"ITEM-1","issued":{"date-parts":[["2011"]]},"title":"Lipolysis - A highly regulated multi-enzyme complex mediates the catabolism of cellular fat stores","type":"article-journal"},"uris":["http://www.mendeley.com/documents/?uuid=d49ba7be-9c32-4b4e-b400-655d67a4f3c2"]}],"mendeley":{"formattedCitation":"&lt;sup&gt;[6]&lt;/sup&gt;","plainTextFormattedCitation":"[6]","previouslyFormattedCitation":"&lt;sup&gt;[6]&lt;/sup&gt;"},"properties":{"noteIndex":0},"schema":"https://github.com/citation-style-language/schema/raw/master/csl-citation.json"}</w:instrText>
      </w:r>
      <w:r w:rsidR="002B5892" w:rsidRPr="00825E2B">
        <w:rPr>
          <w:rFonts w:ascii="Book Antiqua" w:hAnsi="Book Antiqua" w:cs="Arial"/>
          <w:sz w:val="24"/>
          <w:szCs w:val="24"/>
          <w:lang w:val="en-US"/>
        </w:rPr>
        <w:fldChar w:fldCharType="separate"/>
      </w:r>
      <w:r w:rsidRPr="00825E2B">
        <w:rPr>
          <w:rFonts w:ascii="Book Antiqua" w:hAnsi="Book Antiqua" w:cs="Arial"/>
          <w:noProof/>
          <w:sz w:val="24"/>
          <w:szCs w:val="24"/>
          <w:vertAlign w:val="superscript"/>
          <w:lang w:val="en-US"/>
        </w:rPr>
        <w:t>[6]</w:t>
      </w:r>
      <w:r w:rsidR="002B5892" w:rsidRPr="00825E2B">
        <w:rPr>
          <w:rFonts w:ascii="Book Antiqua" w:hAnsi="Book Antiqua" w:cs="Arial"/>
          <w:sz w:val="24"/>
          <w:szCs w:val="24"/>
          <w:lang w:val="en-US"/>
        </w:rPr>
        <w:fldChar w:fldCharType="end"/>
      </w:r>
      <w:r w:rsidR="00A65429" w:rsidRPr="00825E2B">
        <w:rPr>
          <w:rFonts w:ascii="Book Antiqua" w:hAnsi="Book Antiqua" w:cs="Arial"/>
          <w:sz w:val="24"/>
          <w:szCs w:val="24"/>
          <w:lang w:val="en-US"/>
        </w:rPr>
        <w:t>.</w:t>
      </w:r>
      <w:r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Of interest, also non-adipose organs can </w:t>
      </w:r>
      <w:r w:rsidR="0072220B" w:rsidRPr="00825E2B">
        <w:rPr>
          <w:rFonts w:ascii="Book Antiqua" w:eastAsia="MS Mincho" w:hAnsi="Book Antiqua"/>
          <w:sz w:val="24"/>
          <w:szCs w:val="24"/>
          <w:lang w:val="en-US"/>
        </w:rPr>
        <w:t xml:space="preserve">effectively </w:t>
      </w:r>
      <w:r w:rsidRPr="00825E2B">
        <w:rPr>
          <w:rFonts w:ascii="Book Antiqua" w:eastAsia="MS Mincho" w:hAnsi="Book Antiqua"/>
          <w:sz w:val="24"/>
          <w:szCs w:val="24"/>
          <w:lang w:val="en-US"/>
        </w:rPr>
        <w:t>esterify NEFAs into TG and re-hydrolyze them back into NEFAs according to the energy</w:t>
      </w:r>
      <w:r w:rsidR="00BD6802"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demands</w:t>
      </w:r>
      <w:r w:rsidR="006750B3" w:rsidRPr="00825E2B">
        <w:rPr>
          <w:rFonts w:ascii="Book Antiqua" w:hAnsi="Book Antiqua" w:cs="Arial"/>
          <w:sz w:val="24"/>
          <w:szCs w:val="24"/>
          <w:lang w:val="en-US"/>
        </w:rPr>
        <w:fldChar w:fldCharType="begin" w:fldLock="1"/>
      </w:r>
      <w:r w:rsidR="006750B3" w:rsidRPr="00825E2B">
        <w:rPr>
          <w:rFonts w:ascii="Book Antiqua" w:hAnsi="Book Antiqua" w:cs="Arial"/>
          <w:sz w:val="24"/>
          <w:szCs w:val="24"/>
          <w:lang w:val="en-US"/>
        </w:rPr>
        <w:instrText>ADDIN CSL_CITATION {"citationItems":[{"id":"ITEM-1","itemData":{"DOI":"10.1016/j.plipres.2010.10.004","ISBN":"1873-2194 (Electronic) 0163-7827 (Linking)","ISSN":"01637827","PMID":"21087632","abstract":"Lipolysis is the biochemical pathway responsible for the catabolism of triacylglycerol (TAG) stored in cellular lipid droplets. The hydrolytic cleavage of TAG generates non-esterified fatty acids, which are subsequently used as energy substrates, essential precursors for lipid and membrane synthesis, or mediators in cell signaling processes. Consistent with its central importance in lipid and energy homeostasis, lipolysis occurs in essentially all tissues and cell types, it is most abundant, however, in white and brown adipose tissue. Over the last 5 years, important enzymes and regulatory protein factors involved in lipolysis have been identified. These include an essential TAG hydrolase named adipose triglyceride lipase (ATGL) [annotated as patatin-like phospholipase domain-containing protein A2], the ATGL activator comparative gene identification-58 [annotated as α/β hydrolase containing protein 5], and the ATGL inhibitor G0/G1 switch gene 2. Together with the established hormone-sensitive lipase [annotated as lipase E] and monoglyceride lipase, these proteins constitute the basic \"lipolytic machinery\". Additionally, a large number of hormonal signaling pathways and lipid droplet-associated protein factors regulate substrate access and the activity of the \" lipolysome\". This review summarizes the current knowledge concerning the enzymes and regulatory processes governing lipolysis of fat stores in adipose and non-adipose tissues. Special emphasis will be given to ATGL, its regulation, and physiological function. © 2010 Elsevier Ltd. All rights reserved.","author":[{"dropping-particle":"","family":"Lass","given":"Achim","non-dropping-particle":"","parse-names":false,"suffix":""},{"dropping-particle":"","family":"Zimmermann","given":"Robert","non-dropping-particle":"","parse-names":false,"suffix":""},{"dropping-particle":"","family":"Oberer","given":"Monika","non-dropping-particle":"","parse-names":false,"suffix":""},{"dropping-particle":"","family":"Zechner","given":"Rudolf","non-dropping-particle":"","parse-names":false,"suffix":""}],"container-title":"Progress in Lipid Research","id":"ITEM-1","issued":{"date-parts":[["2011"]]},"title":"Lipolysis - A highly regulated multi-enzyme complex mediates the catabolism of cellular fat stores","type":"article-journal"},"uris":["http://www.mendeley.com/documents/?uuid=d49ba7be-9c32-4b4e-b400-655d67a4f3c2"]}],"mendeley":{"formattedCitation":"&lt;sup&gt;[6]&lt;/sup&gt;","plainTextFormattedCitation":"[6]","previouslyFormattedCitation":"&lt;sup&gt;[6]&lt;/sup&gt;"},"properties":{"noteIndex":0},"schema":"https://github.com/citation-style-language/schema/raw/master/csl-citation.json"}</w:instrText>
      </w:r>
      <w:r w:rsidR="006750B3" w:rsidRPr="00825E2B">
        <w:rPr>
          <w:rFonts w:ascii="Book Antiqua" w:hAnsi="Book Antiqua" w:cs="Arial"/>
          <w:sz w:val="24"/>
          <w:szCs w:val="24"/>
          <w:lang w:val="en-US"/>
        </w:rPr>
        <w:fldChar w:fldCharType="separate"/>
      </w:r>
      <w:r w:rsidR="006750B3" w:rsidRPr="00825E2B">
        <w:rPr>
          <w:rFonts w:ascii="Book Antiqua" w:hAnsi="Book Antiqua" w:cs="Arial"/>
          <w:noProof/>
          <w:sz w:val="24"/>
          <w:szCs w:val="24"/>
          <w:vertAlign w:val="superscript"/>
          <w:lang w:val="en-US"/>
        </w:rPr>
        <w:t>[6]</w:t>
      </w:r>
      <w:r w:rsidR="006750B3" w:rsidRPr="00825E2B">
        <w:rPr>
          <w:rFonts w:ascii="Book Antiqua" w:hAnsi="Book Antiqua" w:cs="Arial"/>
          <w:sz w:val="24"/>
          <w:szCs w:val="24"/>
          <w:lang w:val="en-US"/>
        </w:rPr>
        <w:fldChar w:fldCharType="end"/>
      </w:r>
      <w:r w:rsidRPr="00825E2B">
        <w:rPr>
          <w:rFonts w:ascii="Book Antiqua" w:eastAsia="MS Mincho" w:hAnsi="Book Antiqua"/>
          <w:sz w:val="24"/>
          <w:szCs w:val="24"/>
          <w:lang w:val="en-US"/>
        </w:rPr>
        <w:t>.</w:t>
      </w:r>
      <w:r w:rsidR="00BD6802"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Excessive</w:t>
      </w:r>
      <w:r w:rsidR="00BD6802"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amounts of TGs stor</w:t>
      </w:r>
      <w:r w:rsidR="0072220B" w:rsidRPr="00825E2B">
        <w:rPr>
          <w:rFonts w:ascii="Book Antiqua" w:eastAsia="MS Mincho" w:hAnsi="Book Antiqua"/>
          <w:sz w:val="24"/>
          <w:szCs w:val="24"/>
          <w:lang w:val="en-US"/>
        </w:rPr>
        <w:t>e</w:t>
      </w:r>
      <w:r w:rsidRPr="00825E2B">
        <w:rPr>
          <w:rFonts w:ascii="Book Antiqua" w:eastAsia="MS Mincho" w:hAnsi="Book Antiqua"/>
          <w:sz w:val="24"/>
          <w:szCs w:val="24"/>
          <w:lang w:val="en-US"/>
        </w:rPr>
        <w:t xml:space="preserve"> into AT and other organs such as liver leading to </w:t>
      </w:r>
      <w:proofErr w:type="spellStart"/>
      <w:r w:rsidRPr="00825E2B">
        <w:rPr>
          <w:rFonts w:ascii="Book Antiqua" w:eastAsia="MS Mincho" w:hAnsi="Book Antiqua"/>
          <w:sz w:val="24"/>
          <w:szCs w:val="24"/>
          <w:lang w:val="en-US"/>
        </w:rPr>
        <w:t>lipotoxicity</w:t>
      </w:r>
      <w:proofErr w:type="spellEnd"/>
      <w:r w:rsidRPr="00825E2B">
        <w:rPr>
          <w:rFonts w:ascii="Book Antiqua" w:eastAsia="MS Mincho" w:hAnsi="Book Antiqua"/>
          <w:sz w:val="24"/>
          <w:szCs w:val="24"/>
          <w:lang w:val="en-US"/>
        </w:rPr>
        <w:t> as well as non</w:t>
      </w:r>
      <w:r w:rsidR="00246ADA" w:rsidRPr="00825E2B">
        <w:rPr>
          <w:rFonts w:ascii="Book Antiqua" w:eastAsia="MS Mincho" w:hAnsi="Book Antiqua"/>
          <w:sz w:val="24"/>
          <w:szCs w:val="24"/>
          <w:lang w:val="en-US"/>
        </w:rPr>
        <w:t>-</w:t>
      </w:r>
      <w:r w:rsidR="006069C5" w:rsidRPr="00825E2B">
        <w:rPr>
          <w:rFonts w:ascii="Book Antiqua" w:eastAsia="MS Mincho" w:hAnsi="Book Antiqua"/>
          <w:sz w:val="24"/>
          <w:szCs w:val="24"/>
          <w:lang w:val="en-US"/>
        </w:rPr>
        <w:t>alcoholic fatty liver disease</w:t>
      </w:r>
      <w:r w:rsidRPr="00825E2B">
        <w:rPr>
          <w:rFonts w:ascii="Book Antiqua" w:eastAsia="MS Mincho" w:hAnsi="Book Antiqua"/>
          <w:sz w:val="24"/>
          <w:szCs w:val="24"/>
          <w:lang w:val="en-US"/>
        </w:rPr>
        <w:t> and</w:t>
      </w:r>
      <w:r w:rsidR="00BD6802"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type 2</w:t>
      </w:r>
      <w:r w:rsidR="00BD6802"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diabetes</w:t>
      </w:r>
      <w:r w:rsidR="002B5892"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{"citationItems":[{"id":"ITEM-1","itemData":{"DOI":"10.1194/jlr.R800079-JLR200","ISBN":"0022-2275","ISSN":"0022-2275","PMID":"19047759","abstract":"Fatty acids are a major energy source and important constituents of membrane lipids, and they serve as cellular signaling molecules that play an important role in the etiology of the metabolic syndrome. Acetyl-CoA carboxylases 1 and 2 (ACC1 and ACC2) catalyze the synthesis of malonyl-CoA, the substrate for fatty acid synthesis and the regulator of fatty acid oxidation. They are highly regulated and play important roles in the energy metabolism of fatty acids in animals, including humans. They are presently considered as an attractive target to regulate the human diseases of obesity, diabetes, cancer, and cardiovascular complications. In this review we discuss the role of fatty acid metabolism and its key players, ACC1 and ACC2, in animal evolution and physiology, as related to health and disease.","author":[{"dropping-particle":"","family":"Wakil","given":"Salih J.","non-dropping-particle":"","parse-names":false,"suffix":""},{"dropping-particle":"","family":"Abu-Elheiga","given":"Lutfi A.","non-dropping-particle":"","parse-names":false,"suffix":""}],"container-title":"Journal of Lipid Research","id":"ITEM-1","issued":{"date-parts":[["2009"]]},"title":"Fatty acid metabolism: target for metabolic syndrome","type":"article-journal"},"uris":["http://www.mendeley.com/documents/?uuid=92bd2ce4-c3ef-49cf-bbdf-c77b26e34d00"]}],"mendeley":{"formattedCitation":"&lt;sup&gt;[7]&lt;/sup&gt;","plainTextFormattedCitation":"[7]","previouslyFormattedCitation":"&lt;sup&gt;[7]&lt;/sup&gt;"},"properties":{"noteIndex":0},"schema":"https://github.com/citation-style-language/schema/raw/master/csl-citation.json"}</w:instrText>
      </w:r>
      <w:r w:rsidR="002B5892" w:rsidRPr="00825E2B">
        <w:rPr>
          <w:rFonts w:ascii="Book Antiqua" w:hAnsi="Book Antiqua" w:cs="Arial"/>
          <w:sz w:val="24"/>
          <w:szCs w:val="24"/>
          <w:lang w:val="en-US"/>
        </w:rPr>
        <w:fldChar w:fldCharType="separate"/>
      </w:r>
      <w:r w:rsidRPr="00825E2B">
        <w:rPr>
          <w:rFonts w:ascii="Book Antiqua" w:hAnsi="Book Antiqua" w:cs="Arial"/>
          <w:noProof/>
          <w:sz w:val="24"/>
          <w:szCs w:val="24"/>
          <w:vertAlign w:val="superscript"/>
          <w:lang w:val="en-US"/>
        </w:rPr>
        <w:t>[7]</w:t>
      </w:r>
      <w:r w:rsidR="002B5892" w:rsidRPr="00825E2B">
        <w:rPr>
          <w:rFonts w:ascii="Book Antiqua" w:hAnsi="Book Antiqua" w:cs="Arial"/>
          <w:sz w:val="24"/>
          <w:szCs w:val="24"/>
          <w:lang w:val="en-US"/>
        </w:rPr>
        <w:fldChar w:fldCharType="end"/>
      </w:r>
      <w:r w:rsidR="001C3EE7" w:rsidRPr="00825E2B">
        <w:rPr>
          <w:rFonts w:ascii="Book Antiqua" w:hAnsi="Book Antiqua" w:cs="Arial"/>
          <w:sz w:val="24"/>
          <w:szCs w:val="24"/>
          <w:lang w:val="en-US"/>
        </w:rPr>
        <w:t>.</w:t>
      </w:r>
      <w:r w:rsidR="006069C5" w:rsidRPr="00825E2B">
        <w:rPr>
          <w:rFonts w:ascii="Book Antiqua" w:hAnsi="Book Antiqua" w:cs="Arial"/>
          <w:sz w:val="24"/>
          <w:szCs w:val="24"/>
          <w:lang w:val="en-US" w:eastAsia="zh-CN"/>
        </w:rPr>
        <w:t xml:space="preserve"> </w:t>
      </w:r>
      <w:r w:rsidRPr="00825E2B">
        <w:rPr>
          <w:rFonts w:ascii="Book Antiqua" w:eastAsia="MS Mincho" w:hAnsi="Book Antiqua"/>
          <w:sz w:val="24"/>
          <w:szCs w:val="24"/>
          <w:lang w:val="en-US"/>
        </w:rPr>
        <w:t>The cleavage of primary/secondary ester bonds between long chain FAs and glycerol backbone that form TGs, depends on specific hydrolases commonly called </w:t>
      </w:r>
      <w:r w:rsidR="0072220B" w:rsidRPr="00825E2B">
        <w:rPr>
          <w:rFonts w:ascii="Book Antiqua" w:eastAsia="MS Mincho" w:hAnsi="Book Antiqua"/>
          <w:sz w:val="24"/>
          <w:szCs w:val="24"/>
          <w:lang w:val="en-US"/>
        </w:rPr>
        <w:t xml:space="preserve">neutral </w:t>
      </w:r>
      <w:r w:rsidRPr="00825E2B">
        <w:rPr>
          <w:rFonts w:ascii="Book Antiqua" w:eastAsia="MS Mincho" w:hAnsi="Book Antiqua"/>
          <w:sz w:val="24"/>
          <w:szCs w:val="24"/>
          <w:lang w:val="en-US"/>
        </w:rPr>
        <w:t>lipases</w:t>
      </w:r>
      <w:r w:rsidR="0072220B" w:rsidRPr="00825E2B">
        <w:rPr>
          <w:rFonts w:ascii="Book Antiqua" w:eastAsia="MS Mincho" w:hAnsi="Book Antiqua"/>
          <w:sz w:val="24"/>
          <w:szCs w:val="24"/>
          <w:lang w:val="en-US"/>
        </w:rPr>
        <w:t xml:space="preserve"> (to be differentiated from lysosomal acid lipases)</w:t>
      </w:r>
      <w:r w:rsidR="002B5892"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signaling","type":"article","volume":"15"},"uris":["http://www.mendeley.com/documents/?uuid=42299c37-2960-4a9a-96a0-6195e3d6884d"]},{"id":"ITEM-2","itemData":{"DOI":"10.2337/db06-0263","ISBN":"0012-1797 (Print)\\n0012-1797 (Linking)","ISSN":"00121797","PMID":"16731815","abstract":"Adipose tissue, when carried around in excessive amounts, predisposes to a large number of diseases. Epidemiological data show that the prevalence of obesity has significantly increased over the past 20 years and continues to do so at an alarming rate. Here, some molecular aspects of the key constituent of adipose tissue, the adipocyte, are reviewed. While the adipocyte has been studied for many years and remarkable insights have been gained about some processes, many areas of the physiology of the fat cell remain unexplored. Our understanding of how cellular events in the adipocyte affect the local environment through paracrine interactions and how systemic effects are achieved through endocrine interactions is rudimentary. While storage and release of lipids are major functions of adipocytes, the adipocyte also uses specific lipid molecules for intracellular signaling and uses a host of protein factors to communicate with essentially every organ system in the body. The intensity and complexity of these signals are highly regulated, differ in each fat pad, and are dramatically affected by various disease states.","author":[{"dropping-particle":"","family":"Scherer","given":"Philipp E.","non-dropping-particle":"","parse-names":false,"suffix":""}],"container-title":"Diabetes","id":"ITEM-2","issue":"6","issued":{"date-parts":[["2006"]]},"page":"1537-1545","title":"Adipose tissue: From lipid storage compartment to endocrine organ","type":"paper-conference","volume":"55"},"uris":["http://www.mendeley.com/documents/?uuid=b136b8b9-36ce-4a8a-8e17-2725d7cd2a8a"]}],"mendeley":{"formattedCitation":"&lt;sup&gt;[3,8]&lt;/sup&gt;","plainTextFormattedCitation":"[3,8]","previouslyFormattedCitation":"&lt;sup&gt;[3,8]&lt;/sup&gt;"},"properties":{"noteIndex":0},"schema":"https://github.com/citation-style-language/schema/raw/master/csl-citation.json"}</w:instrText>
      </w:r>
      <w:r w:rsidR="002B5892" w:rsidRPr="00825E2B">
        <w:rPr>
          <w:rFonts w:ascii="Book Antiqua" w:hAnsi="Book Antiqua" w:cs="Arial"/>
          <w:sz w:val="24"/>
          <w:szCs w:val="24"/>
          <w:lang w:val="en-US"/>
        </w:rPr>
        <w:fldChar w:fldCharType="separate"/>
      </w:r>
      <w:r w:rsidRPr="00825E2B">
        <w:rPr>
          <w:rFonts w:ascii="Book Antiqua" w:hAnsi="Book Antiqua" w:cs="Arial"/>
          <w:noProof/>
          <w:sz w:val="24"/>
          <w:szCs w:val="24"/>
          <w:vertAlign w:val="superscript"/>
          <w:lang w:val="en-US"/>
        </w:rPr>
        <w:t>[3,8]</w:t>
      </w:r>
      <w:r w:rsidR="002B5892" w:rsidRPr="00825E2B">
        <w:rPr>
          <w:rFonts w:ascii="Book Antiqua" w:hAnsi="Book Antiqua" w:cs="Arial"/>
          <w:sz w:val="24"/>
          <w:szCs w:val="24"/>
          <w:lang w:val="en-US"/>
        </w:rPr>
        <w:fldChar w:fldCharType="end"/>
      </w:r>
      <w:r w:rsidR="006750B3" w:rsidRPr="00825E2B">
        <w:rPr>
          <w:rFonts w:ascii="Book Antiqua" w:hAnsi="Book Antiqua" w:cs="Arial"/>
          <w:sz w:val="24"/>
          <w:szCs w:val="24"/>
          <w:lang w:val="en-US"/>
        </w:rPr>
        <w:t>.</w:t>
      </w:r>
      <w:r w:rsidR="00246ADA" w:rsidRPr="00825E2B">
        <w:rPr>
          <w:rFonts w:ascii="Book Antiqua" w:hAnsi="Book Antiqua" w:cs="Arial"/>
          <w:sz w:val="24"/>
          <w:szCs w:val="24"/>
          <w:lang w:val="en-US"/>
        </w:rPr>
        <w:t xml:space="preserve"> </w:t>
      </w:r>
      <w:r w:rsidR="007205B5" w:rsidRPr="00825E2B">
        <w:rPr>
          <w:rFonts w:ascii="Book Antiqua" w:eastAsia="MS Mincho" w:hAnsi="Book Antiqua"/>
          <w:sz w:val="24"/>
          <w:szCs w:val="24"/>
          <w:lang w:val="en-US"/>
        </w:rPr>
        <w:t>Three main enzymes are involved in the thorough</w:t>
      </w:r>
      <w:r w:rsidR="00BD6802"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hydrolysis</w:t>
      </w:r>
      <w:r w:rsidR="00BD6802"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of TGs in cellular lipid stores: adipose triglyceride lipase</w:t>
      </w:r>
      <w:r w:rsidR="00BD6802"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exclusively</w:t>
      </w:r>
      <w:r w:rsidR="00BD6802"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performs the first step hydrolyzing TGs to generate diacylglycerols</w:t>
      </w:r>
      <w:r w:rsidR="00BD6802"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(DGs) and FAs</w:t>
      </w:r>
      <w:r w:rsidR="00B42037" w:rsidRPr="00825E2B">
        <w:rPr>
          <w:rFonts w:ascii="Book Antiqua" w:hAnsi="Book Antiqua" w:cs="Arial"/>
          <w:sz w:val="24"/>
          <w:szCs w:val="24"/>
          <w:lang w:val="en-US"/>
        </w:rPr>
        <w:fldChar w:fldCharType="begin" w:fldLock="1"/>
      </w:r>
      <w:r w:rsidRPr="00825E2B">
        <w:rPr>
          <w:rFonts w:ascii="Book Antiqua" w:hAnsi="Book Antiqua" w:cs="Arial"/>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mendeley":{"formattedCitation":"&lt;sup&gt;[3]&lt;/sup&gt;","plainTextFormattedCitation":"[3]","previouslyFormattedCitation":"&lt;sup&gt;[3]&lt;/sup&gt;"},"properties":{"noteIndex":0},"schema":"https://github.com/citation-style-language/schema/raw/master/csl-citation.json"}</w:instrText>
      </w:r>
      <w:r w:rsidR="00B42037" w:rsidRPr="00825E2B">
        <w:rPr>
          <w:rFonts w:ascii="Book Antiqua" w:hAnsi="Book Antiqua" w:cs="Arial"/>
          <w:sz w:val="24"/>
          <w:szCs w:val="24"/>
          <w:lang w:val="en-US"/>
        </w:rPr>
        <w:fldChar w:fldCharType="separate"/>
      </w:r>
      <w:r w:rsidR="00A037ED" w:rsidRPr="00825E2B">
        <w:rPr>
          <w:rFonts w:ascii="Book Antiqua" w:hAnsi="Book Antiqua" w:cs="Arial"/>
          <w:noProof/>
          <w:sz w:val="24"/>
          <w:szCs w:val="24"/>
          <w:vertAlign w:val="superscript"/>
          <w:lang w:val="en-US"/>
        </w:rPr>
        <w:t>[3]</w:t>
      </w:r>
      <w:r w:rsidR="00B42037" w:rsidRPr="00825E2B">
        <w:rPr>
          <w:rFonts w:ascii="Book Antiqua" w:hAnsi="Book Antiqua" w:cs="Arial"/>
          <w:sz w:val="24"/>
          <w:szCs w:val="24"/>
          <w:lang w:val="en-US"/>
        </w:rPr>
        <w:fldChar w:fldCharType="end"/>
      </w:r>
      <w:r w:rsidR="000C3452" w:rsidRPr="00825E2B">
        <w:rPr>
          <w:rFonts w:ascii="Book Antiqua" w:hAnsi="Book Antiqua" w:cs="Arial"/>
          <w:sz w:val="24"/>
          <w:szCs w:val="24"/>
          <w:lang w:val="en-US"/>
        </w:rPr>
        <w:t xml:space="preserve">. </w:t>
      </w:r>
      <w:r w:rsidR="007205B5" w:rsidRPr="00825E2B">
        <w:rPr>
          <w:rFonts w:ascii="Book Antiqua" w:eastAsia="MS Mincho" w:hAnsi="Book Antiqua"/>
          <w:sz w:val="24"/>
          <w:szCs w:val="24"/>
          <w:lang w:val="en-US"/>
        </w:rPr>
        <w:t xml:space="preserve">Hormone-sensitive lipase instead is capable </w:t>
      </w:r>
      <w:r w:rsidR="007205B5" w:rsidRPr="00825E2B">
        <w:rPr>
          <w:rFonts w:ascii="Book Antiqua" w:eastAsia="MS Mincho" w:hAnsi="Book Antiqua"/>
          <w:sz w:val="24"/>
          <w:szCs w:val="24"/>
          <w:lang w:val="en-US"/>
        </w:rPr>
        <w:lastRenderedPageBreak/>
        <w:t>of hydrolyzing several </w:t>
      </w:r>
      <w:proofErr w:type="spellStart"/>
      <w:r w:rsidR="007205B5" w:rsidRPr="00825E2B">
        <w:rPr>
          <w:rFonts w:ascii="Book Antiqua" w:eastAsia="MS Mincho" w:hAnsi="Book Antiqua"/>
          <w:sz w:val="24"/>
          <w:szCs w:val="24"/>
          <w:lang w:val="en-US"/>
        </w:rPr>
        <w:t>acylesters</w:t>
      </w:r>
      <w:proofErr w:type="spellEnd"/>
      <w:r w:rsidR="007205B5" w:rsidRPr="00825E2B">
        <w:rPr>
          <w:rFonts w:ascii="Book Antiqua" w:eastAsia="MS Mincho" w:hAnsi="Book Antiqua"/>
          <w:sz w:val="24"/>
          <w:szCs w:val="24"/>
          <w:lang w:val="en-US"/>
        </w:rPr>
        <w:t> including TGs, DGs, and monoacylglycerols (MGs)</w:t>
      </w:r>
      <w:r w:rsidR="00871696"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signaling","type":"article","volume":"15"},"uris":["http://www.mendeley.com/documents/?uuid=42299c37-2960-4a9a-96a0-6195e3d6884d"]},{"id":"ITEM-2","itemData":{"DOI":"10.1016/j.plipres.2010.10.004","ISBN":"1873-2194 (Electronic) 0163-7827 (Linking)","ISSN":"01637827","PMID":"21087632","abstract":"Lipolysis is the biochemical pathway responsible for the catabolism of triacylglycerol (TAG) stored in cellular lipid droplets. The hydrolytic cleavage of TAG generates non-esterified fatty acids, which are subsequently used as energy substrates, essential precursors for lipid and membrane synthesis, or mediators in cell signaling processes. Consistent with its central importance in lipid and energy homeostasis, lipolysis occurs in essentially all tissues and cell types, it is most abundant, however, in white and brown adipose tissue. Over the last 5 years, important enzymes and regulatory protein factors involved in lipolysis have been identified. These include an essential TAG hydrolase named adipose triglyceride lipase (ATGL) [annotated as patatin-like phospholipase domain-containing protein A2], the ATGL activator comparative gene identification-58 [annotated as α/β hydrolase containing protein 5], and the ATGL inhibitor G0/G1 switch gene 2. Together with the established hormone-sensitive lipase [annotated as lipase E] and monoglyceride lipase, these proteins constitute the basic \"lipolytic machinery\". Additionally, a large number of hormonal signaling pathways and lipid droplet-associated protein factors regulate substrate access and the activity of the \" lipolysome\". This review summarizes the current knowledge concerning the enzymes and regulatory processes governing lipolysis of fat stores in adipose and non-adipose tissues. Special emphasis will be given to ATGL, its regulation, and physiological function. © 2010 Elsevier Ltd. All rights reserved.","author":[{"dropping-particle":"","family":"Lass","given":"Achim","non-dropping-particle":"","parse-names":false,"suffix":""},{"dropping-particle":"","family":"Zimmermann","given":"Robert","non-dropping-particle":"","parse-names":false,"suffix":""},{"dropping-particle":"","family":"Oberer","given":"Monika","non-dropping-particle":"","parse-names":false,"suffix":""},{"dropping-particle":"","family":"Zechner","given":"Rudolf","non-dropping-particle":"","parse-names":false,"suffix":""}],"container-title":"Progress in Lipid Research","id":"ITEM-2","issued":{"date-parts":[["2011"]]},"title":"Lipolysis - A highly regulated multi-enzyme complex mediates the catabolism of cellular fat stores","type":"article-journal"},"uris":["http://www.mendeley.com/documents/?uuid=d49ba7be-9c32-4b4e-b400-655d67a4f3c2"]}],"mendeley":{"formattedCitation":"&lt;sup&gt;[3,6]&lt;/sup&gt;","plainTextFormattedCitation":"[3,6]","previouslyFormattedCitation":"&lt;sup&gt;[3,6]&lt;/sup&gt;"},"properties":{"noteIndex":0},"schema":"https://github.com/citation-style-language/schema/raw/master/csl-citation.json"}</w:instrText>
      </w:r>
      <w:r w:rsidR="00871696" w:rsidRPr="00825E2B">
        <w:rPr>
          <w:rFonts w:ascii="Book Antiqua" w:hAnsi="Book Antiqua" w:cs="Arial"/>
          <w:sz w:val="24"/>
          <w:szCs w:val="24"/>
          <w:lang w:val="en-US"/>
        </w:rPr>
        <w:fldChar w:fldCharType="separate"/>
      </w:r>
      <w:r w:rsidRPr="00825E2B">
        <w:rPr>
          <w:rFonts w:ascii="Book Antiqua" w:hAnsi="Book Antiqua" w:cs="Arial"/>
          <w:noProof/>
          <w:sz w:val="24"/>
          <w:szCs w:val="24"/>
          <w:vertAlign w:val="superscript"/>
          <w:lang w:val="en-US"/>
        </w:rPr>
        <w:t>[3,6]</w:t>
      </w:r>
      <w:r w:rsidR="00871696" w:rsidRPr="00825E2B">
        <w:rPr>
          <w:rFonts w:ascii="Book Antiqua" w:hAnsi="Book Antiqua" w:cs="Arial"/>
          <w:sz w:val="24"/>
          <w:szCs w:val="24"/>
          <w:lang w:val="en-US"/>
        </w:rPr>
        <w:fldChar w:fldCharType="end"/>
      </w:r>
      <w:r w:rsidR="007E02F1" w:rsidRPr="00825E2B">
        <w:rPr>
          <w:rFonts w:ascii="Book Antiqua" w:hAnsi="Book Antiqua" w:cs="Arial"/>
          <w:sz w:val="24"/>
          <w:szCs w:val="24"/>
          <w:lang w:val="en-US"/>
        </w:rPr>
        <w:t>.</w:t>
      </w:r>
      <w:r w:rsidR="007E02F1" w:rsidRPr="00825E2B">
        <w:rPr>
          <w:rFonts w:ascii="Book Antiqua" w:hAnsi="Book Antiqua" w:cs="Arial"/>
          <w:sz w:val="24"/>
          <w:szCs w:val="24"/>
          <w:lang w:val="en-US" w:eastAsia="zh-CN"/>
        </w:rPr>
        <w:t xml:space="preserve"> </w:t>
      </w:r>
      <w:r w:rsidR="000C3452" w:rsidRPr="00825E2B">
        <w:rPr>
          <w:rFonts w:ascii="Book Antiqua" w:hAnsi="Book Antiqua" w:cs="Arial"/>
          <w:sz w:val="24"/>
          <w:szCs w:val="24"/>
          <w:lang w:val="en-US"/>
        </w:rPr>
        <w:t>Finally, mono</w:t>
      </w:r>
      <w:r w:rsidR="00871696" w:rsidRPr="00825E2B">
        <w:rPr>
          <w:rFonts w:ascii="Book Antiqua" w:hAnsi="Book Antiqua" w:cs="Arial"/>
          <w:sz w:val="24"/>
          <w:szCs w:val="24"/>
          <w:lang w:val="en-US"/>
        </w:rPr>
        <w:t>acylglycerol</w:t>
      </w:r>
      <w:r w:rsidR="000C3452" w:rsidRPr="00825E2B">
        <w:rPr>
          <w:rFonts w:ascii="Book Antiqua" w:hAnsi="Book Antiqua" w:cs="Arial"/>
          <w:sz w:val="24"/>
          <w:szCs w:val="24"/>
          <w:lang w:val="en-US"/>
        </w:rPr>
        <w:t xml:space="preserve"> lip</w:t>
      </w:r>
      <w:r w:rsidR="00EB5008" w:rsidRPr="00825E2B">
        <w:rPr>
          <w:rFonts w:ascii="Book Antiqua" w:hAnsi="Book Antiqua" w:cs="Arial"/>
          <w:sz w:val="24"/>
          <w:szCs w:val="24"/>
          <w:lang w:val="en-US"/>
        </w:rPr>
        <w:t>ase (MGL) efficiently cleaves M</w:t>
      </w:r>
      <w:r w:rsidR="00B51966" w:rsidRPr="00825E2B">
        <w:rPr>
          <w:rFonts w:ascii="Book Antiqua" w:hAnsi="Book Antiqua" w:cs="Arial"/>
          <w:sz w:val="24"/>
          <w:szCs w:val="24"/>
          <w:lang w:val="en-US"/>
        </w:rPr>
        <w:t>G</w:t>
      </w:r>
      <w:r w:rsidR="00A761A4" w:rsidRPr="00825E2B">
        <w:rPr>
          <w:rFonts w:ascii="Book Antiqua" w:hAnsi="Book Antiqua" w:cs="Arial"/>
          <w:sz w:val="24"/>
          <w:szCs w:val="24"/>
          <w:lang w:val="en-US"/>
        </w:rPr>
        <w:t>s</w:t>
      </w:r>
      <w:r w:rsidR="00B51966" w:rsidRPr="00825E2B">
        <w:rPr>
          <w:rFonts w:ascii="Book Antiqua" w:hAnsi="Book Antiqua" w:cs="Arial"/>
          <w:sz w:val="24"/>
          <w:szCs w:val="24"/>
          <w:lang w:val="en-US"/>
        </w:rPr>
        <w:t xml:space="preserve"> into glycerol and </w:t>
      </w:r>
      <w:r w:rsidR="00DB1F66" w:rsidRPr="00825E2B">
        <w:rPr>
          <w:rFonts w:ascii="Book Antiqua" w:hAnsi="Book Antiqua" w:cs="Arial"/>
          <w:sz w:val="24"/>
          <w:szCs w:val="24"/>
          <w:lang w:val="en-US"/>
        </w:rPr>
        <w:t>F</w:t>
      </w:r>
      <w:r w:rsidR="000C3452" w:rsidRPr="00825E2B">
        <w:rPr>
          <w:rFonts w:ascii="Book Antiqua" w:hAnsi="Book Antiqua" w:cs="Arial"/>
          <w:sz w:val="24"/>
          <w:szCs w:val="24"/>
          <w:lang w:val="en-US"/>
        </w:rPr>
        <w:t>A</w:t>
      </w:r>
      <w:r w:rsidR="00B42037" w:rsidRPr="00825E2B">
        <w:rPr>
          <w:rFonts w:ascii="Book Antiqua" w:hAnsi="Book Antiqua" w:cs="Arial"/>
          <w:sz w:val="24"/>
          <w:szCs w:val="24"/>
          <w:lang w:val="en-US"/>
        </w:rPr>
        <w:t>s</w:t>
      </w:r>
      <w:r w:rsidR="002B5892"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{"citationItems":[{"id":"ITEM-1","itemData":{"DOI":"10.1016/j.pharmthera.2017.02.033","ISBN":"1471-003X","ISSN":"1879016X","PMID":"28213089","abstract":"Monoglyerides (MGs) are short-lived, intermediary lipids deriving from the degradation of phospho- and neutral lipids, and monoglyceride lipase (MGL), also designated as monoacylglycerol lipase (MAGL), is the major enzyme catalyzing the hydrolysis of MGs into glycerol and fatty acids. This distinct function enables MGL to regulate a number of physiological and pathophysiological processes since both MGs and fatty acids can act as signaling lipids or precursors thereof. The most prominent MG species acting as signaling lipid is 2-arachidonoyl glycerol (2-AG) which is the most abundant endogenous agonist of cannabinoid receptors in the body. Importantly, recent observations demonstrate that 2-AG represents a quantitatively important source for arachidonic acid, the precursor of prostaglandins and other inflammatory mediators. Accordingly, MGL-mediated 2-AG degradation affects lipid signaling by cannabinoid receptor-dependent and independent mechanisms. Recent genetic and pharmacological studies gave important insights into MGL's role in (patho-)physiological processes, and the enzyme is now considered as a promising drug target for a number of disorders including cancer, neurodegenerative and inflammatory diseases. This review summarizes the basics of MG (2-AG) metabolism and provides an overview on the therapeutic potential of MGL.","author":[{"dropping-particle":"","family":"Grabner","given":"Gernot F.","non-dropping-particle":"","parse-names":false,"suffix":""},{"dropping-particle":"","family":"Zimmermann","given":"Robert","non-dropping-particle":"","parse-names":false,"suffix":""},{"dropping-particle":"","family":"Schicho","given":"Rudolf","non-dropping-particle":"","parse-names":false,"suffix":""},{"dropping-particle":"","family":"Taschler","given":"Ulrike","non-dropping-particle":"","parse-names":false,"suffix":""}],"container-title":"Pharmacology and Therapeutics","id":"ITEM-1","issued":{"date-parts":[["2017"]]},"title":"Monoglyceride lipase as a drug target: At the crossroads of arachidonic acid metabolism and endocannabinoid signaling","type":"article"},"uris":["http://www.mendeley.com/documents/?uuid=f4f6c4ea-3d09-4cb1-b312-a3816d3ebfcc"]}],"mendeley":{"formattedCitation":"&lt;sup&gt;[9]&lt;/sup&gt;","plainTextFormattedCitation":"[9]","previouslyFormattedCitation":"&lt;sup&gt;[9]&lt;/sup&gt;"},"properties":{"noteIndex":0},"schema":"https://github.com/citation-style-language/schema/raw/master/csl-citation.json"}</w:instrText>
      </w:r>
      <w:r w:rsidR="002B5892" w:rsidRPr="00825E2B">
        <w:rPr>
          <w:rFonts w:ascii="Book Antiqua" w:hAnsi="Book Antiqua" w:cs="Arial"/>
          <w:sz w:val="24"/>
          <w:szCs w:val="24"/>
          <w:lang w:val="en-US"/>
        </w:rPr>
        <w:fldChar w:fldCharType="separate"/>
      </w:r>
      <w:r w:rsidRPr="00825E2B">
        <w:rPr>
          <w:rFonts w:ascii="Book Antiqua" w:hAnsi="Book Antiqua" w:cs="Arial"/>
          <w:noProof/>
          <w:sz w:val="24"/>
          <w:szCs w:val="24"/>
          <w:vertAlign w:val="superscript"/>
          <w:lang w:val="en-US"/>
        </w:rPr>
        <w:t>[9]</w:t>
      </w:r>
      <w:r w:rsidR="002B5892" w:rsidRPr="00825E2B">
        <w:rPr>
          <w:rFonts w:ascii="Book Antiqua" w:hAnsi="Book Antiqua" w:cs="Arial"/>
          <w:sz w:val="24"/>
          <w:szCs w:val="24"/>
          <w:lang w:val="en-US"/>
        </w:rPr>
        <w:fldChar w:fldCharType="end"/>
      </w:r>
      <w:r w:rsidR="007E02F1" w:rsidRPr="00825E2B">
        <w:rPr>
          <w:rFonts w:ascii="Book Antiqua" w:hAnsi="Book Antiqua" w:cs="Arial"/>
          <w:sz w:val="24"/>
          <w:szCs w:val="24"/>
          <w:lang w:val="en-US"/>
        </w:rPr>
        <w:t xml:space="preserve"> (Fig</w:t>
      </w:r>
      <w:r w:rsidR="007E02F1" w:rsidRPr="00825E2B">
        <w:rPr>
          <w:rFonts w:ascii="Book Antiqua" w:hAnsi="Book Antiqua" w:cs="Arial"/>
          <w:sz w:val="24"/>
          <w:szCs w:val="24"/>
          <w:lang w:val="en-US" w:eastAsia="zh-CN"/>
        </w:rPr>
        <w:t>ure</w:t>
      </w:r>
      <w:r w:rsidR="00900807" w:rsidRPr="00825E2B">
        <w:rPr>
          <w:rFonts w:ascii="Book Antiqua" w:hAnsi="Book Antiqua" w:cs="Arial"/>
          <w:sz w:val="24"/>
          <w:szCs w:val="24"/>
          <w:lang w:val="en-US"/>
        </w:rPr>
        <w:t xml:space="preserve"> 1)</w:t>
      </w:r>
      <w:r w:rsidR="005E599E" w:rsidRPr="00825E2B">
        <w:rPr>
          <w:rFonts w:ascii="Book Antiqua" w:hAnsi="Book Antiqua" w:cs="Arial"/>
          <w:sz w:val="24"/>
          <w:szCs w:val="24"/>
          <w:lang w:val="en-US"/>
        </w:rPr>
        <w:t xml:space="preserve">. </w:t>
      </w:r>
      <w:r w:rsidR="00B42037" w:rsidRPr="00825E2B">
        <w:rPr>
          <w:rFonts w:ascii="Book Antiqua" w:hAnsi="Book Antiqua" w:cs="Arial"/>
          <w:sz w:val="24"/>
          <w:szCs w:val="24"/>
          <w:lang w:val="en-US"/>
        </w:rPr>
        <w:t>This process is aided by comparative gene identification-58 (CGI-58</w:t>
      </w:r>
      <w:r w:rsidR="0072220B" w:rsidRPr="00825E2B">
        <w:rPr>
          <w:rFonts w:ascii="Book Antiqua" w:hAnsi="Book Antiqua" w:cs="Arial"/>
          <w:sz w:val="24"/>
          <w:szCs w:val="24"/>
          <w:lang w:val="en-US"/>
        </w:rPr>
        <w:t>,</w:t>
      </w:r>
      <w:r w:rsidR="00B42037" w:rsidRPr="00825E2B">
        <w:rPr>
          <w:rFonts w:ascii="Book Antiqua" w:hAnsi="Book Antiqua" w:cs="Arial"/>
          <w:sz w:val="24"/>
          <w:szCs w:val="24"/>
          <w:lang w:val="en-US"/>
        </w:rPr>
        <w:t xml:space="preserve"> </w:t>
      </w:r>
      <w:r w:rsidR="0072220B" w:rsidRPr="00825E2B">
        <w:rPr>
          <w:rFonts w:ascii="Book Antiqua" w:hAnsi="Book Antiqua" w:cs="Arial"/>
          <w:sz w:val="24"/>
          <w:szCs w:val="24"/>
          <w:lang w:val="en-US"/>
        </w:rPr>
        <w:t>also known as</w:t>
      </w:r>
      <w:r w:rsidR="00B42037" w:rsidRPr="00825E2B">
        <w:rPr>
          <w:rFonts w:ascii="Book Antiqua" w:hAnsi="Book Antiqua" w:cs="Arial"/>
          <w:sz w:val="24"/>
          <w:szCs w:val="24"/>
          <w:lang w:val="en-US"/>
        </w:rPr>
        <w:t xml:space="preserve"> ABHD5)</w:t>
      </w:r>
      <w:r w:rsidR="00B95D12" w:rsidRPr="00825E2B">
        <w:rPr>
          <w:rFonts w:ascii="Book Antiqua" w:hAnsi="Book Antiqua" w:cs="Arial"/>
          <w:sz w:val="24"/>
          <w:szCs w:val="24"/>
          <w:lang w:val="en-US"/>
        </w:rPr>
        <w:t xml:space="preserve">, which interacts with perilipin, </w:t>
      </w:r>
      <w:r w:rsidR="005E599E" w:rsidRPr="00825E2B">
        <w:rPr>
          <w:rFonts w:ascii="Book Antiqua" w:hAnsi="Book Antiqua" w:cs="Arial"/>
          <w:sz w:val="24"/>
          <w:szCs w:val="24"/>
          <w:lang w:val="en-US"/>
        </w:rPr>
        <w:t>protect</w:t>
      </w:r>
      <w:r w:rsidR="00B95D12" w:rsidRPr="00825E2B">
        <w:rPr>
          <w:rFonts w:ascii="Book Antiqua" w:hAnsi="Book Antiqua" w:cs="Arial"/>
          <w:sz w:val="24"/>
          <w:szCs w:val="24"/>
          <w:lang w:val="en-US"/>
        </w:rPr>
        <w:t>ing</w:t>
      </w:r>
      <w:r w:rsidR="00246ADA" w:rsidRPr="00825E2B">
        <w:rPr>
          <w:rFonts w:ascii="Book Antiqua" w:hAnsi="Book Antiqua" w:cs="Arial"/>
          <w:sz w:val="24"/>
          <w:szCs w:val="24"/>
          <w:lang w:val="en-US"/>
        </w:rPr>
        <w:t xml:space="preserve"> or </w:t>
      </w:r>
      <w:r w:rsidR="005E599E" w:rsidRPr="00825E2B">
        <w:rPr>
          <w:rFonts w:ascii="Book Antiqua" w:hAnsi="Book Antiqua" w:cs="Arial"/>
          <w:sz w:val="24"/>
          <w:szCs w:val="24"/>
          <w:lang w:val="en-US"/>
        </w:rPr>
        <w:t>expos</w:t>
      </w:r>
      <w:r w:rsidR="00B95D12" w:rsidRPr="00825E2B">
        <w:rPr>
          <w:rFonts w:ascii="Book Antiqua" w:hAnsi="Book Antiqua" w:cs="Arial"/>
          <w:sz w:val="24"/>
          <w:szCs w:val="24"/>
          <w:lang w:val="en-US"/>
        </w:rPr>
        <w:t>ing</w:t>
      </w:r>
      <w:r w:rsidR="005E599E" w:rsidRPr="00825E2B">
        <w:rPr>
          <w:rFonts w:ascii="Book Antiqua" w:hAnsi="Book Antiqua" w:cs="Arial"/>
          <w:sz w:val="24"/>
          <w:szCs w:val="24"/>
          <w:lang w:val="en-US"/>
        </w:rPr>
        <w:t xml:space="preserve"> the TG core of a lipid droplet to lipases</w:t>
      </w:r>
      <w:r w:rsidR="0072220B" w:rsidRPr="00825E2B">
        <w:rPr>
          <w:rFonts w:ascii="Book Antiqua" w:hAnsi="Book Antiqua" w:cs="Arial"/>
          <w:sz w:val="24"/>
          <w:szCs w:val="24"/>
          <w:lang w:val="en-US"/>
        </w:rPr>
        <w:t xml:space="preserve"> (mainly </w:t>
      </w:r>
      <w:r w:rsidR="007E02F1" w:rsidRPr="00825E2B">
        <w:rPr>
          <w:rFonts w:ascii="Book Antiqua" w:eastAsia="MS Mincho" w:hAnsi="Book Antiqua"/>
          <w:sz w:val="24"/>
          <w:szCs w:val="24"/>
          <w:lang w:val="en-US"/>
        </w:rPr>
        <w:t>adipose triglyceride lipase</w:t>
      </w:r>
      <w:r w:rsidR="0072220B" w:rsidRPr="00825E2B">
        <w:rPr>
          <w:rFonts w:ascii="Book Antiqua" w:hAnsi="Book Antiqua" w:cs="Arial"/>
          <w:sz w:val="24"/>
          <w:szCs w:val="24"/>
          <w:lang w:val="en-US"/>
        </w:rPr>
        <w:t>)</w:t>
      </w:r>
      <w:r w:rsidR="00B95D12" w:rsidRPr="00825E2B">
        <w:rPr>
          <w:rFonts w:ascii="Book Antiqua" w:hAnsi="Book Antiqua" w:cs="Arial"/>
          <w:sz w:val="24"/>
          <w:szCs w:val="24"/>
          <w:lang w:val="en-US"/>
        </w:rPr>
        <w:fldChar w:fldCharType="begin" w:fldLock="1"/>
      </w:r>
      <w:r w:rsidR="00B95D12" w:rsidRPr="00825E2B">
        <w:rPr>
          <w:rFonts w:ascii="Book Antiqua" w:hAnsi="Book Antiqua" w:cs="Arial"/>
          <w:sz w:val="24"/>
          <w:szCs w:val="24"/>
          <w:lang w:val="en-US"/>
        </w:rPr>
        <w:instrText>ADDIN CSL_CITATION {"citationItems":[{"id":"ITEM-1","itemData":{"DOI":"10.1194/jlr.M600493-JLR200","ISBN":"0022-2275","ISSN":"0022-2275","PMID":"17308334","abstract":"A lipid droplet (LD)-associated protein, perilipin, is a critical regulator of lipolysis in adipocytes. We previously showed that Comparative Gene Identification-58 (CGI-58), a product of the causal gene of Chanarin-Dorfman syndrome, interacts with perilipin on LDs. In this study, we investigated the function of CGI-58 using RNA interference. Notably, CGI-58 knockdown caused an abnormal accumulation of LDs in both 3T3-L1 preadipocytes and Hepa1 hepatoma cells. CGI-58 knockdown did not influence the differentiation of 3T3-L1 adipocytes but reduced the activity of both basal and cAMP-dependent protein kinase-stimulated lipolysis. In vitro studies showed that CGI-58 itself does not have lipase/esterase activity, but it enhanced the activity of adipose triglyceride lipase. Upon lipolytic stimulation, endogenous CGI-58 was rapidly dispersed from LDs into the cytosol along with small particulate structures. This shift in localization depends on the phosphorylation of perilipin, because phosphorylated perilipin lost the ability to bind CGI-58. During lipolytic activation, LDs in adipocytes vesiculate into micro-LDs. Using coherent anti-Stokes Raman scattering microscopy, we pursued the formation of micro-LDs in single cells, which seemed to occur in cytoplasmic regions distant from the large central LDs. CGI-58 is not required for this process. Thus, CGI-58 facilitates lipolysis in cooperation with perilipin and other factors, including lipases.","author":[{"dropping-particle":"","family":"Yamaguchi","given":"Tomohiro","non-dropping-particle":"","parse-names":false,"suffix":""},{"dropping-particle":"","family":"Omatsu","given":"Naoto","non-dropping-particle":"","parse-names":false,"suffix":""},{"dropping-particle":"","family":"Morimoto","given":"Emi","non-dropping-particle":"","parse-names":false,"suffix":""},{"dropping-particle":"","family":"Nakashima","given":"Hiromi","non-dropping-particle":"","parse-names":false,"suffix":""},{"dropping-particle":"","family":"Ueno","given":"Kanki","non-dropping-particle":"","parse-names":false,"suffix":""},{"dropping-particle":"","family":"Tanaka","given":"Tamotsu","non-dropping-particle":"","parse-names":false,"suffix":""},{"dropping-particle":"","family":"Satouchi","given":"Kiyoshi","non-dropping-particle":"","parse-names":false,"suffix":""},{"dropping-particle":"","family":"Hirose","given":"Fumiko","non-dropping-particle":"","parse-names":false,"suffix":""},{"dropping-particle":"","family":"Osumi","given":"Takashi","non-dropping-particle":"","parse-names":false,"suffix":""}],"container-title":"Journal of Lipid Research","id":"ITEM-1","issued":{"date-parts":[["2007"]]},"title":"CGI-58 facilitates lipolysis on lipid droplets but is not involved in the vesiculation of lipid droplets caused by hormonal stimulation","type":"article-journal"},"uris":["http://www.mendeley.com/documents/?uuid=6a5fe1c2-f52e-42df-bb32-585b631a280d"]}],"mendeley":{"formattedCitation":"&lt;sup&gt;[10]&lt;/sup&gt;","plainTextFormattedCitation":"[10]","previouslyFormattedCitation":"&lt;sup&gt;[10]&lt;/sup&gt;"},"properties":{"noteIndex":0},"schema":"https://github.com/citation-style-language/schema/raw/master/csl-citation.json"}</w:instrText>
      </w:r>
      <w:r w:rsidR="00B95D12" w:rsidRPr="00825E2B">
        <w:rPr>
          <w:rFonts w:ascii="Book Antiqua" w:hAnsi="Book Antiqua" w:cs="Arial"/>
          <w:sz w:val="24"/>
          <w:szCs w:val="24"/>
          <w:lang w:val="en-US"/>
        </w:rPr>
        <w:fldChar w:fldCharType="separate"/>
      </w:r>
      <w:r w:rsidR="00B95D12" w:rsidRPr="00825E2B">
        <w:rPr>
          <w:rFonts w:ascii="Book Antiqua" w:hAnsi="Book Antiqua" w:cs="Arial"/>
          <w:noProof/>
          <w:sz w:val="24"/>
          <w:szCs w:val="24"/>
          <w:vertAlign w:val="superscript"/>
          <w:lang w:val="en-US"/>
        </w:rPr>
        <w:t>[10]</w:t>
      </w:r>
      <w:r w:rsidR="00B95D12" w:rsidRPr="00825E2B">
        <w:rPr>
          <w:rFonts w:ascii="Book Antiqua" w:hAnsi="Book Antiqua" w:cs="Arial"/>
          <w:sz w:val="24"/>
          <w:szCs w:val="24"/>
          <w:lang w:val="en-US"/>
        </w:rPr>
        <w:fldChar w:fldCharType="end"/>
      </w:r>
      <w:r w:rsidR="00B42037" w:rsidRPr="00825E2B">
        <w:rPr>
          <w:rFonts w:ascii="Book Antiqua" w:hAnsi="Book Antiqua"/>
          <w:sz w:val="24"/>
          <w:szCs w:val="24"/>
          <w:lang w:val="en-US"/>
        </w:rPr>
        <w:t xml:space="preserve"> </w:t>
      </w:r>
      <w:r w:rsidR="00B42037" w:rsidRPr="00825E2B">
        <w:rPr>
          <w:rFonts w:ascii="Book Antiqua" w:hAnsi="Book Antiqua" w:cs="Arial"/>
          <w:sz w:val="24"/>
          <w:szCs w:val="24"/>
          <w:lang w:val="en-US"/>
        </w:rPr>
        <w:t>and therefore enhancing their activity</w:t>
      </w:r>
      <w:r w:rsidR="005E599E"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{"citationItems":[{"id":"ITEM-1","itemData":{"DOI":"10.1016/j.gene.2011.01.007","ISBN":"1879-0038 (Electronic)\\r0378-1119 (Linking)","ISSN":"03781119","PMID":"21241784","abstract":"The ability to store energy in the form of energy-dense triacylglycerol and to mobilize these stores rapidly during periods of low carbohydrate availability or throughout the strong metabolic demand is a highly conserved process, absolutely essential for survival. In the industrialized world the regulation of this pathway is viewed as an important therapeutic target for disease prevention. Adipose tissue lipolysis is a catabolic process leading to the breakdown of triacylglycerols stored in fat cells, and release of fatty acids and glycerol. Mobilization of adipose tissue fat is mediated by the MGL, HSL and ATGL, similarly functioning enzymes. ATGL initiates lipolysis followed by the actions of HSL on diacylglycerol, and MGL on monoacylglycerol. HSL is regulated by reversible phosphorylation on five critical residues. Phosphorylation alone, however, is not enough to activate HSL. Probably, conformational alterations and a translocation from the cytoplasm to lipid droplets are also involved. In accordance, Perilipin functions as a master regulator of lipolysis, protecting or exposing the triacylglycerol core of a lipid droplet to lipases. The prototype processes of hormonal lipolytic control are the β-adrenergic stimulation and suppression by insulin, both of which affect cytoplasmic cyclic AMP levels. Lipolysis in adipocytes is an important process in the management of body energy reserves. Its deregulation may contribute to the symptoms of type 2 diabetes mellitus and other pathological situations. We, herein, discuss the metabolic regulation and function of lipases mediating mammalian lipolysis with a focus on HSL, quoting newly identified members of the lipolytic proteome. © 2011 Elsevier B.V.","author":[{"dropping-particle":"","family":"Lampidonis","given":"Antonis D.","non-dropping-particle":"","parse-names":false,"suffix":""},{"dropping-particle":"","family":"Rogdakis","given":"Emmanuel","non-dropping-particle":"","parse-names":false,"suffix":""},{"dropping-particle":"","family":"Voutsinas","given":"Gerassimos E.","non-dropping-particle":"","parse-names":false,"suffix":""},{"dropping-particle":"","family":"Stravopodis","given":"Dimitrios J.","non-dropping-particle":"","parse-names":false,"suffix":""}],"container-title":"Gene","id":"ITEM-1","issued":{"date-parts":[["2011"]]},"title":"The resurgence of Hormone-Sensitive Lipase (HSL) in mammalian lipolysis","type":"article"},"uris":["http://www.mendeley.com/documents/?uuid=a5fc7a7b-7eea-45f8-931e-07ee402a1dbe"]}],"mendeley":{"formattedCitation":"&lt;sup&gt;[11]&lt;/sup&gt;","plainTextFormattedCitation":"[11]","previouslyFormattedCitation":"&lt;sup&gt;[11]&lt;/sup&gt;"},"properties":{"noteIndex":0},"schema":"https://github.com/citation-style-language/schema/raw/master/csl-citation.json"}</w:instrText>
      </w:r>
      <w:r w:rsidR="005E599E" w:rsidRPr="00825E2B">
        <w:rPr>
          <w:rFonts w:ascii="Book Antiqua" w:hAnsi="Book Antiqua" w:cs="Arial"/>
          <w:sz w:val="24"/>
          <w:szCs w:val="24"/>
          <w:lang w:val="en-US"/>
        </w:rPr>
        <w:fldChar w:fldCharType="separate"/>
      </w:r>
      <w:r w:rsidRPr="00825E2B">
        <w:rPr>
          <w:rFonts w:ascii="Book Antiqua" w:hAnsi="Book Antiqua" w:cs="Arial"/>
          <w:noProof/>
          <w:sz w:val="24"/>
          <w:szCs w:val="24"/>
          <w:vertAlign w:val="superscript"/>
          <w:lang w:val="en-US"/>
        </w:rPr>
        <w:t>[11]</w:t>
      </w:r>
      <w:r w:rsidR="005E599E" w:rsidRPr="00825E2B">
        <w:rPr>
          <w:rFonts w:ascii="Book Antiqua" w:hAnsi="Book Antiqua" w:cs="Arial"/>
          <w:sz w:val="24"/>
          <w:szCs w:val="24"/>
          <w:lang w:val="en-US"/>
        </w:rPr>
        <w:fldChar w:fldCharType="end"/>
      </w:r>
      <w:r w:rsidR="00B42037" w:rsidRPr="00825E2B">
        <w:rPr>
          <w:rFonts w:ascii="Book Antiqua" w:hAnsi="Book Antiqua" w:cs="Arial"/>
          <w:sz w:val="24"/>
          <w:szCs w:val="24"/>
          <w:lang w:val="en-US"/>
        </w:rPr>
        <w:t>.</w:t>
      </w:r>
      <w:r w:rsidR="005E599E" w:rsidRPr="00825E2B">
        <w:rPr>
          <w:rFonts w:ascii="Book Antiqua" w:hAnsi="Book Antiqua" w:cs="Arial"/>
          <w:sz w:val="24"/>
          <w:szCs w:val="24"/>
          <w:lang w:val="en-US"/>
        </w:rPr>
        <w:t xml:space="preserve"> </w:t>
      </w:r>
      <w:r w:rsidR="00B95D12" w:rsidRPr="00825E2B">
        <w:rPr>
          <w:rFonts w:ascii="Book Antiqua" w:hAnsi="Book Antiqua" w:cs="Arial"/>
          <w:sz w:val="24"/>
          <w:szCs w:val="24"/>
          <w:lang w:val="en-US"/>
        </w:rPr>
        <w:t>Hydrolysis is finely</w:t>
      </w:r>
      <w:r w:rsidR="007F2E87" w:rsidRPr="00825E2B">
        <w:rPr>
          <w:rFonts w:ascii="Book Antiqua" w:hAnsi="Book Antiqua" w:cs="Arial"/>
          <w:sz w:val="24"/>
          <w:szCs w:val="24"/>
          <w:lang w:val="en-US"/>
        </w:rPr>
        <w:t xml:space="preserve"> balanced by </w:t>
      </w:r>
      <w:r w:rsidR="0062726A" w:rsidRPr="00825E2B">
        <w:rPr>
          <w:rFonts w:ascii="Book Antiqua" w:hAnsi="Book Antiqua" w:cs="Arial"/>
          <w:sz w:val="24"/>
          <w:szCs w:val="24"/>
          <w:lang w:val="en-US"/>
        </w:rPr>
        <w:t xml:space="preserve">concomitant </w:t>
      </w:r>
      <w:r w:rsidR="007F2E87" w:rsidRPr="00825E2B">
        <w:rPr>
          <w:rFonts w:ascii="Book Antiqua" w:hAnsi="Book Antiqua" w:cs="Arial"/>
          <w:sz w:val="24"/>
          <w:szCs w:val="24"/>
          <w:lang w:val="en-US"/>
        </w:rPr>
        <w:t>re-esterification of MGs</w:t>
      </w:r>
      <w:r w:rsidR="00B95D12" w:rsidRPr="00825E2B">
        <w:rPr>
          <w:rFonts w:ascii="Book Antiqua" w:hAnsi="Book Antiqua" w:cs="Arial"/>
          <w:sz w:val="24"/>
          <w:szCs w:val="24"/>
          <w:lang w:val="en-US"/>
        </w:rPr>
        <w:t>/</w:t>
      </w:r>
      <w:r w:rsidR="007F2E87" w:rsidRPr="00825E2B">
        <w:rPr>
          <w:rFonts w:ascii="Book Antiqua" w:hAnsi="Book Antiqua" w:cs="Arial"/>
          <w:sz w:val="24"/>
          <w:szCs w:val="24"/>
          <w:lang w:val="en-US"/>
        </w:rPr>
        <w:t xml:space="preserve">DGs </w:t>
      </w:r>
      <w:r w:rsidR="00B95D12" w:rsidRPr="00825E2B">
        <w:rPr>
          <w:rFonts w:ascii="Book Antiqua" w:hAnsi="Book Antiqua" w:cs="Arial"/>
          <w:sz w:val="24"/>
          <w:szCs w:val="24"/>
          <w:lang w:val="en-US"/>
        </w:rPr>
        <w:t>in</w:t>
      </w:r>
      <w:r w:rsidR="007F2E87" w:rsidRPr="00825E2B">
        <w:rPr>
          <w:rFonts w:ascii="Book Antiqua" w:hAnsi="Book Antiqua" w:cs="Arial"/>
          <w:sz w:val="24"/>
          <w:szCs w:val="24"/>
          <w:lang w:val="en-US"/>
        </w:rPr>
        <w:t xml:space="preserve">to TGs, which is performed by </w:t>
      </w:r>
      <w:proofErr w:type="spellStart"/>
      <w:r w:rsidR="007F2E87" w:rsidRPr="00825E2B">
        <w:rPr>
          <w:rFonts w:ascii="Book Antiqua" w:hAnsi="Book Antiqua" w:cs="Arial"/>
          <w:sz w:val="24"/>
          <w:szCs w:val="24"/>
          <w:lang w:val="en-US"/>
        </w:rPr>
        <w:t>m</w:t>
      </w:r>
      <w:r w:rsidR="00DB1F66" w:rsidRPr="00825E2B">
        <w:rPr>
          <w:rFonts w:ascii="Book Antiqua" w:hAnsi="Book Antiqua" w:cs="Arial"/>
          <w:sz w:val="24"/>
          <w:szCs w:val="24"/>
          <w:lang w:val="en-US"/>
        </w:rPr>
        <w:t>onoacyglycerol</w:t>
      </w:r>
      <w:proofErr w:type="spellEnd"/>
      <w:r w:rsidR="00DB1F66" w:rsidRPr="00825E2B">
        <w:rPr>
          <w:rFonts w:ascii="Book Antiqua" w:hAnsi="Book Antiqua" w:cs="Arial"/>
          <w:sz w:val="24"/>
          <w:szCs w:val="24"/>
          <w:lang w:val="en-US"/>
        </w:rPr>
        <w:t xml:space="preserve"> acyltransferases (MGAT) and diacylglycerol acyltransferase (DGAT)</w:t>
      </w:r>
      <w:r w:rsidR="007F2E87" w:rsidRPr="00825E2B">
        <w:rPr>
          <w:rFonts w:ascii="Book Antiqua" w:hAnsi="Book Antiqua" w:cs="Arial"/>
          <w:sz w:val="24"/>
          <w:szCs w:val="24"/>
          <w:lang w:val="en-US"/>
        </w:rPr>
        <w:t xml:space="preserve"> respectively</w:t>
      </w:r>
      <w:r w:rsidR="0062726A" w:rsidRPr="00825E2B">
        <w:rPr>
          <w:rFonts w:ascii="Book Antiqua" w:hAnsi="Book Antiqua" w:cs="Arial"/>
          <w:sz w:val="24"/>
          <w:szCs w:val="24"/>
          <w:lang w:val="en-US"/>
        </w:rPr>
        <w:t>,</w:t>
      </w:r>
      <w:r w:rsidR="007F2E87" w:rsidRPr="00825E2B">
        <w:rPr>
          <w:rFonts w:ascii="Book Antiqua" w:hAnsi="Book Antiqua" w:cs="Arial"/>
          <w:sz w:val="24"/>
          <w:szCs w:val="24"/>
          <w:lang w:val="en-US"/>
        </w:rPr>
        <w:t xml:space="preserve"> as s</w:t>
      </w:r>
      <w:r w:rsidR="00B95D12" w:rsidRPr="00825E2B">
        <w:rPr>
          <w:rFonts w:ascii="Book Antiqua" w:hAnsi="Book Antiqua" w:cs="Arial"/>
          <w:sz w:val="24"/>
          <w:szCs w:val="24"/>
          <w:lang w:val="en-US"/>
        </w:rPr>
        <w:t>hown</w:t>
      </w:r>
      <w:r w:rsidR="007E02F1" w:rsidRPr="00825E2B">
        <w:rPr>
          <w:rFonts w:ascii="Book Antiqua" w:hAnsi="Book Antiqua" w:cs="Arial"/>
          <w:sz w:val="24"/>
          <w:szCs w:val="24"/>
          <w:lang w:val="en-US"/>
        </w:rPr>
        <w:t xml:space="preserve"> in Fig</w:t>
      </w:r>
      <w:r w:rsidR="007E02F1" w:rsidRPr="00825E2B">
        <w:rPr>
          <w:rFonts w:ascii="Book Antiqua" w:hAnsi="Book Antiqua" w:cs="Arial"/>
          <w:sz w:val="24"/>
          <w:szCs w:val="24"/>
          <w:lang w:val="en-US" w:eastAsia="zh-CN"/>
        </w:rPr>
        <w:t xml:space="preserve">ure </w:t>
      </w:r>
      <w:r w:rsidR="002E6B94" w:rsidRPr="00825E2B">
        <w:rPr>
          <w:rFonts w:ascii="Book Antiqua" w:hAnsi="Book Antiqua" w:cs="Arial"/>
          <w:sz w:val="24"/>
          <w:szCs w:val="24"/>
          <w:lang w:val="en-US"/>
        </w:rPr>
        <w:t>1</w:t>
      </w:r>
      <w:r w:rsidR="00EB5008" w:rsidRPr="00825E2B">
        <w:rPr>
          <w:rFonts w:ascii="Book Antiqua" w:hAnsi="Book Antiqua" w:cs="Arial"/>
          <w:sz w:val="24"/>
          <w:szCs w:val="24"/>
          <w:lang w:val="en-US"/>
        </w:rPr>
        <w:t>.</w:t>
      </w:r>
    </w:p>
    <w:p w14:paraId="57DC907D" w14:textId="23E05050" w:rsidR="007205B5" w:rsidRPr="00825E2B" w:rsidRDefault="007205B5" w:rsidP="00A921B8">
      <w:pPr>
        <w:adjustRightInd w:val="0"/>
        <w:snapToGrid w:val="0"/>
        <w:spacing w:after="0" w:line="360" w:lineRule="auto"/>
        <w:ind w:firstLineChars="100" w:firstLine="240"/>
        <w:jc w:val="both"/>
        <w:rPr>
          <w:rFonts w:ascii="Book Antiqua" w:hAnsi="Book Antiqua" w:cs="Arial"/>
          <w:sz w:val="24"/>
          <w:szCs w:val="24"/>
          <w:lang w:val="en-US" w:eastAsia="zh-CN"/>
        </w:rPr>
      </w:pPr>
      <w:r w:rsidRPr="00825E2B">
        <w:rPr>
          <w:rFonts w:ascii="Book Antiqua" w:eastAsia="MS Mincho" w:hAnsi="Book Antiqua"/>
          <w:sz w:val="24"/>
          <w:szCs w:val="24"/>
          <w:lang w:val="en-US"/>
        </w:rPr>
        <w:t>MGL is a particularly interesting enzyme as substantially bridges organ-specific nutrient metabolism to central</w:t>
      </w:r>
      <w:r w:rsidR="006750B3" w:rsidRPr="00825E2B">
        <w:rPr>
          <w:rFonts w:ascii="Book Antiqua" w:eastAsia="MS Mincho" w:hAnsi="Book Antiqua"/>
          <w:sz w:val="24"/>
          <w:szCs w:val="24"/>
          <w:lang w:val="en-US"/>
        </w:rPr>
        <w:t xml:space="preserve"> and peripheral endocannabinoid </w:t>
      </w:r>
      <w:r w:rsidRPr="00825E2B">
        <w:rPr>
          <w:rFonts w:ascii="Book Antiqua" w:eastAsia="MS Mincho" w:hAnsi="Book Antiqua"/>
          <w:sz w:val="24"/>
          <w:szCs w:val="24"/>
          <w:lang w:val="en-US"/>
        </w:rPr>
        <w:t>and eicosanoid systems</w:t>
      </w:r>
      <w:r w:rsidRPr="00825E2B">
        <w:rPr>
          <w:rFonts w:ascii="Book Antiqua" w:eastAsia="MS Mincho" w:hAnsi="Book Antiqua"/>
          <w:sz w:val="24"/>
          <w:szCs w:val="24"/>
          <w:lang w:val="en-US"/>
        </w:rPr>
        <w:fldChar w:fldCharType="begin" w:fldLock="1"/>
      </w:r>
      <w:r w:rsidRPr="00825E2B">
        <w:rPr>
          <w:rFonts w:ascii="Book Antiqua" w:eastAsia="MS Mincho" w:hAnsi="Book Antiqua"/>
          <w:sz w:val="24"/>
          <w:szCs w:val="24"/>
          <w:lang w:val="en-US"/>
        </w:rPr>
        <w:instrText>ADDIN CSL_CITATION {"citationItems":[{"id":"ITEM-1","itemData":{"DOI":"10.1002/hep.31250","ISSN":"0270-9139","abstract":"Abstract Intracellular lipolysis is an enzymatic pathway responsible for the catabolism of triglycerides (TGs) that is complemented by lipophagy as autophagic breakdown of lipid droplets. The hydrolytic cleavage of TGs generates free fatty acids (FFAs), which can serve as energy substrates, precursors for lipid synthesis and mediators in cell signaling. Despite the fundamental and physiological importance of FFAs, an oversupply can trigger lipotoxicity with impaired membrane function, ER stress, mitochondrial dysfunction, cell death and inflammation. Conversely, impaired release of FFAs and other lipid mediators can also disrupt key cellular signaling functions that regulate metabolism and inflammatory processes. This review will focus on specific functions of intracellular lipases in lipid partitioning, covering basic and translational findings in the context of liver disease. In addition, the clinical relevance of genetic mutations in human disease and potential novel therapeutic opportunities will be discussed.","author":[{"dropping-particle":"","family":"Tardelli","given":"Matteo","non-dropping-particle":"","parse-names":false,"suffix":""},{"dropping-particle":"","family":"Bruschi","given":"Francesca Virginia","non-dropping-particle":"","parse-names":false,"suffix":""},{"dropping-particle":"","family":"Trauner","given":"Michael","non-dropping-particle":"","parse-names":false,"suffix":""}],"container-title":"Hepatology","id":"ITEM-1","issued":{"date-parts":[["2020"]]},"title":"The role of metabolic lipases in the pathogenesis and management of liver disease","type":"article-journal"},"uris":["http://www.mendeley.com/documents/?uuid=858f6974-2459-4829-9e29-c879591b0713"]}],"mendeley":{"formattedCitation":"&lt;sup&gt;[12]&lt;/sup&gt;","plainTextFormattedCitation":"[12]","previouslyFormattedCitation":"&lt;sup&gt;[12]&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Pr="00825E2B">
        <w:rPr>
          <w:rFonts w:ascii="Book Antiqua" w:eastAsia="MS Mincho" w:hAnsi="Book Antiqua"/>
          <w:noProof/>
          <w:sz w:val="24"/>
          <w:szCs w:val="24"/>
          <w:vertAlign w:val="superscript"/>
          <w:lang w:val="en-US"/>
        </w:rPr>
        <w:t>[12]</w:t>
      </w:r>
      <w:r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 The fact that the latter holds such a multipurpose and promiscuous role in several physiological processes is driving a resurgence of interest in this lipase as putative drug target for several different disorders</w:t>
      </w:r>
      <w:r w:rsidR="006750B3"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10.1136/gutjnl-2018-317520","ISSN":"14683288","author":[{"dropping-particle":"","family":"Hellerbrand","given":"Claus","non-dropping-particle":"","parse-names":false,"suffix":""}],"container-title":"Gut","id":"ITEM-1","issued":{"date-parts":[["2019"]]},"title":"Inhibition of monoacylglycerol lipase for the treatment of liver disease: Tempting but still playing with fire","type":"article"},"uris":["http://www.mendeley.com/documents/?uuid=a2080e94-8b3d-437d-8040-6f737ca2abf7"]}],"mendeley":{"formattedCitation":"&lt;sup&gt;[13]&lt;/sup&gt;","plainTextFormattedCitation":"[13]","previouslyFormattedCitation":"&lt;sup&gt;[13]&lt;/sup&gt;"},"properties":{"noteIndex":0},"schema":"https://github.com/citation-style-language/schema/raw/master/csl-citation.json"}</w:instrText>
      </w:r>
      <w:r w:rsidR="006750B3" w:rsidRPr="00825E2B">
        <w:rPr>
          <w:rFonts w:ascii="Book Antiqua" w:eastAsia="MS Mincho" w:hAnsi="Book Antiqua"/>
          <w:sz w:val="24"/>
          <w:szCs w:val="24"/>
          <w:lang w:val="en-US"/>
        </w:rPr>
        <w:fldChar w:fldCharType="separate"/>
      </w:r>
      <w:r w:rsidR="006750B3" w:rsidRPr="00825E2B">
        <w:rPr>
          <w:rFonts w:ascii="Book Antiqua" w:eastAsia="MS Mincho" w:hAnsi="Book Antiqua"/>
          <w:noProof/>
          <w:sz w:val="24"/>
          <w:szCs w:val="24"/>
          <w:vertAlign w:val="superscript"/>
          <w:lang w:val="en-US"/>
        </w:rPr>
        <w:t>[13]</w:t>
      </w:r>
      <w:r w:rsidR="006750B3"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w:t>
      </w:r>
      <w:r w:rsidR="00D1271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Although, very well characterized in behavioral studies and central nervous system disease models</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{"citationItems":[{"id":"ITEM-1","itemData":{"DOI":"10.1111/j.1476-5381.2012.01950.x","ISBN":"978-3-319-20824-4","ISSN":"00071188","PMID":"22428756","abstract":"The endocannabinoid (eCB) system is involved in processes as diverse as control of appetite, perception of pain and the limitation of cancer cell growth and invasion. The enzymes responsible for eCB breakdown are attractive pharmacological targets, and fatty acid amide hydrolase inhibitors, which potentiate the levels of the eCB anandamide, are now undergoing pharmaceutical development. 'Drugable' selective inhibitors of monoacylglycerol lipase, a key enzyme regulating the levels of the other main eCB, 2-arachidonoylglycerol, were however not identified until very recently. Their availability has resulted in a large expansion of our knowledge concerning the pharmacological consequences of monoacylglycerol lipase inhibition and hence the role(s) played by the enzyme in the body. In this review, the pharmacology of monoacylglycerol lipase will be discussed, together with an analysis of the therapeutic potential of monoacylglycerol lipase inhibitors as analgesics and anticancer agents.","author":[{"dropping-particle":"","family":"Fowler","given":"C. J.","non-dropping-particle":"","parse-names":false,"suffix":""}],"container-title":"British Journal of Pharmacology","id":"ITEM-1","issued":{"date-parts":[["2012"]]},"title":"Monoacylglycerol lipase - A target for drug development?","type":"article"},"uris":["http://www.mendeley.com/documents/?uuid=5bc113a4-1921-41a1-bd23-e1b777d3c7b3"]},{"id":"ITEM-2","itemData":{"DOI":"10.1038/srep35784","ISSN":"20452322","PMID":"27767105","abstract":"Monoacylglycerol lipase (MAGL) is a key enzyme in lipid metabolism that is demonstrated to be involved in tumor progression through both energy supply of fatty acid (FA) oxidation and enhancing cancer cell malignance. The aim of this study was to investigate whether MAGL could be a potential therapeutic target and prognostic indicator for hepatocellular carcinoma (HCC). To evaluate the relationship between MAGL levels and clinical characteristics, a tissue microarray (TMA) of 353 human HCC samples was performed. MAGL levels in HCC samples were closely linked to the degree of malignancy and patient prognosis. RNA interference, specific pharmacological inhibitor JZL-184 and gene knock-in of MAGL were utilized to investigate the effects of MAGL on HCC cell proliferation, apoptosis, and invasion. MAGL played important roles in both proliferation and invasion of HCC cells through mechanisms that involved prostaglandin E2 (PGE2) and lysophosphatidic acid (LPA). JZL-184 administration significantly inhibited tumor growth in mice. Furthermore, we confirmed that promoter methylation of large tumor suppressor kinase 1 (LATS1) resulted in dysfunction of the Hippo signal pathway, which induced overexpression of MAGL in HCC. These results indicate that MAGL could be a potentially novel therapeutic target and prognostic indicator for HCC.","author":[{"dropping-particle":"","family":"Zhang","given":"Junyong","non-dropping-particle":"","parse-names":false,"suffix":""},{"dropping-particle":"","family":"Liu","given":"Zuojin","non-dropping-particle":"","parse-names":false,"suffix":""},{"dropping-particle":"","family":"Lian","given":"Zhengrong","non-dropping-particle":"","parse-names":false,"suffix":""},{"dropping-particle":"","family":"Liao","given":"Rui","non-dropping-particle":"","parse-names":false,"suffix":""},{"dropping-particle":"","family":"Chen","given":"Yi","non-dropping-particle":"","parse-names":false,"suffix":""},{"dropping-particle":"","family":"Qin","given":"Yi","non-dropping-particle":"","parse-names":false,"suffix":""},{"dropping-particle":"","family":"Wang","given":"Jinlong","non-dropping-particle":"","parse-names":false,"suffix":""},{"dropping-particle":"","family":"Jiang","given":"Qing","non-dropping-particle":"","parse-names":false,"suffix":""},{"dropping-particle":"","family":"Wang","given":"Xiaobo","non-dropping-particle":"","parse-names":false,"suffix":""},{"dropping-particle":"","family":"Gong","given":"Jianping","non-dropping-particle":"","parse-names":false,"suffix":""}],"container-title":"Scientific Reports","id":"ITEM-2","issued":{"date-parts":[["2016"]]},"title":"Monoacylglycerol Lipase: A Novel Potential Therapeutic Target and Prognostic Indicator for Hepatocellular Carcinoma","type":"article-journal","volume":"6"},"uris":["http://www.mendeley.com/documents/?uuid=5309d886-d530-4fe4-89dc-9d0e81e42490"]},{"id":"ITEM-3","itemData":{"DOI":"10.1016/j.celrep.2012.09.030","ISBN":"1873-7064 (Electronic)\\r0028-3908 (Linking)","ISSN":"22111247","PMID":"1000000221","abstract":"Alzheimer@s disease (AD) is the most common cause of dementia among older people. There are no effective medications currently available to prevent and treat AD and halt disease progression. Monoacylglycerol lipase (MAGL) is the primary enzyme metabolizing the endocannabinoid 2-arachidonoylglycerol in the brain. We show here that inactivation of MAGL robustly suppressed production and accumulation of β-amyloid (Aβ) associated with reduced expression of β-site amyloid precursor protein cleaving enzyme 1 (BACE1) in a mouse model of AD. MAGL inhibition also prevented neuroinflammation, decreased neurodegeneration, maintained integrity of hippocampal synaptic structure and function, and improved long-term synaptic plasticity, spatial learning, and memory in AD animals. Although the molecular mechanisms underlying the beneficial effects produced by MAGL inhibition remain to be determined, our results suggest that MAGL, which regulates endocannabinoid and prostaglandin signaling, contributes to pathogenesis and neuropathology of AD, and thus is a promising therapeutic target for the prevention and treatment of AD.","author":[{"dropping-particle":"","family":"Chen","given":"Rongqing","non-dropping-particle":"","parse-names":false,"suffix":""},{"dropping-particle":"","family":"Zhang","given":"Jian","non-dropping-particle":"","parse-names":false,"suffix":""},{"dropping-particle":"","family":"Wu","given":"Yan","non-dropping-particle":"","parse-names":false,"suffix":""},{"dropping-particle":"","family":"Wang","given":"Dongqing","non-dropping-particle":"","parse-names":false,"suffix":""},{"dropping-particle":"","family":"Feng","given":"Guoping","non-dropping-particle":"","parse-names":false,"suffix":""},{"dropping-particle":"","family":"Tang","given":"Ya Ping","non-dropping-particle":"","parse-names":false,"suffix":""},{"dropping-particle":"","family":"Teng","given":"Zhaoqian","non-dropping-particle":"","parse-names":false,"suffix":""},{"dropping-particle":"","family":"Chen","given":"Chu","non-dropping-particle":"","parse-names":false,"suffix":""}],"container-title":"Cell Reports","id":"ITEM-3","issued":{"date-parts":[["2012"]]},"title":"Monoacylglycerol Lipase Is a Therapeutic Target for Alzheimer's Disease","type":"article-journal"},"uris":["http://www.mendeley.com/documents/?uuid=5fd1e532-80cb-4318-95e8-70c5dd548a7a"]}],"mendeley":{"formattedCitation":"&lt;sup&gt;[14–16]&lt;/sup&gt;","plainTextFormattedCitation":"[14–16]","previouslyFormattedCitation":"&lt;sup&gt;[14–16]&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6750B3" w:rsidRPr="00825E2B">
        <w:rPr>
          <w:rFonts w:ascii="Book Antiqua" w:eastAsia="MS Mincho" w:hAnsi="Book Antiqua"/>
          <w:noProof/>
          <w:sz w:val="24"/>
          <w:szCs w:val="24"/>
          <w:vertAlign w:val="superscript"/>
          <w:lang w:val="en-US"/>
        </w:rPr>
        <w:t>[14–16]</w:t>
      </w:r>
      <w:r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 (in connection to the</w:t>
      </w:r>
      <w:r w:rsidR="00D1271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endocannabinoids</w:t>
      </w:r>
      <w:r w:rsidR="00D1271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and prostaglandins network), the contribution of MGL to</w:t>
      </w:r>
      <w:r w:rsidR="00D1271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metabolic liver disease, cholestasis, inflammation, and fib</w:t>
      </w:r>
      <w:r w:rsidR="007E02F1" w:rsidRPr="00825E2B">
        <w:rPr>
          <w:rFonts w:ascii="Book Antiqua" w:eastAsia="MS Mincho" w:hAnsi="Book Antiqua"/>
          <w:sz w:val="24"/>
          <w:szCs w:val="24"/>
          <w:lang w:val="en-US"/>
        </w:rPr>
        <w:t>rosis is surprisingly unknown. </w:t>
      </w:r>
    </w:p>
    <w:p w14:paraId="1568283E" w14:textId="77777777" w:rsidR="007205B5" w:rsidRPr="00825E2B" w:rsidRDefault="007205B5" w:rsidP="00A921B8">
      <w:pPr>
        <w:adjustRightInd w:val="0"/>
        <w:snapToGrid w:val="0"/>
        <w:spacing w:after="0" w:line="360" w:lineRule="auto"/>
        <w:jc w:val="both"/>
        <w:rPr>
          <w:rFonts w:ascii="Book Antiqua" w:hAnsi="Book Antiqua" w:cs="Arial"/>
          <w:sz w:val="24"/>
          <w:szCs w:val="24"/>
          <w:lang w:val="en-US"/>
        </w:rPr>
      </w:pPr>
    </w:p>
    <w:p w14:paraId="755F38E3" w14:textId="6653EF2B" w:rsidR="001931CB" w:rsidRPr="00825E2B" w:rsidRDefault="00772F25" w:rsidP="00A921B8">
      <w:pPr>
        <w:adjustRightInd w:val="0"/>
        <w:snapToGrid w:val="0"/>
        <w:spacing w:after="0" w:line="360" w:lineRule="auto"/>
        <w:jc w:val="both"/>
        <w:rPr>
          <w:rFonts w:ascii="Book Antiqua" w:hAnsi="Book Antiqua" w:cs="Arial"/>
          <w:b/>
          <w:caps/>
          <w:sz w:val="24"/>
          <w:szCs w:val="24"/>
          <w:u w:val="single"/>
          <w:lang w:val="en-US"/>
        </w:rPr>
      </w:pPr>
      <w:r w:rsidRPr="00825E2B">
        <w:rPr>
          <w:rFonts w:ascii="Book Antiqua" w:hAnsi="Book Antiqua" w:cs="Arial"/>
          <w:b/>
          <w:caps/>
          <w:sz w:val="24"/>
          <w:szCs w:val="24"/>
          <w:u w:val="single"/>
          <w:lang w:val="en-US"/>
        </w:rPr>
        <w:t>Pre</w:t>
      </w:r>
      <w:r w:rsidR="007E02F1" w:rsidRPr="00825E2B">
        <w:rPr>
          <w:rFonts w:ascii="Book Antiqua" w:hAnsi="Book Antiqua" w:cs="Arial"/>
          <w:b/>
          <w:caps/>
          <w:sz w:val="24"/>
          <w:szCs w:val="24"/>
          <w:u w:val="single"/>
          <w:lang w:val="en-US"/>
        </w:rPr>
        <w:t xml:space="preserve">-clinical studies on </w:t>
      </w:r>
      <w:r w:rsidRPr="00825E2B">
        <w:rPr>
          <w:rFonts w:ascii="Book Antiqua" w:hAnsi="Book Antiqua" w:cs="Arial"/>
          <w:b/>
          <w:caps/>
          <w:sz w:val="24"/>
          <w:szCs w:val="24"/>
          <w:u w:val="single"/>
          <w:lang w:val="en-US"/>
        </w:rPr>
        <w:t>monoacylglycerol lipase</w:t>
      </w:r>
      <w:r w:rsidR="007E02F1" w:rsidRPr="00825E2B">
        <w:rPr>
          <w:rFonts w:ascii="Book Antiqua" w:hAnsi="Book Antiqua" w:cs="Arial"/>
          <w:b/>
          <w:caps/>
          <w:sz w:val="24"/>
          <w:szCs w:val="24"/>
          <w:u w:val="single"/>
          <w:lang w:val="en-US"/>
        </w:rPr>
        <w:t xml:space="preserve"> deletion/inhibition</w:t>
      </w:r>
    </w:p>
    <w:p w14:paraId="1329FF08" w14:textId="4D2DB341" w:rsidR="007205B5" w:rsidRPr="00825E2B" w:rsidRDefault="007205B5" w:rsidP="00A921B8">
      <w:pPr>
        <w:adjustRightInd w:val="0"/>
        <w:snapToGrid w:val="0"/>
        <w:spacing w:after="0" w:line="360" w:lineRule="auto"/>
        <w:jc w:val="both"/>
        <w:rPr>
          <w:rFonts w:ascii="Book Antiqua" w:hAnsi="Book Antiqua"/>
          <w:sz w:val="24"/>
          <w:szCs w:val="24"/>
          <w:lang w:val="en-US" w:eastAsia="zh-CN"/>
        </w:rPr>
      </w:pPr>
      <w:r w:rsidRPr="00825E2B">
        <w:rPr>
          <w:rFonts w:ascii="Book Antiqua" w:eastAsia="MS Mincho" w:hAnsi="Book Antiqua"/>
          <w:sz w:val="24"/>
          <w:szCs w:val="24"/>
          <w:lang w:val="en-US"/>
        </w:rPr>
        <w:t>MGL is the rate-limiting enzyme of MG degradation that derive from intra- /extra- cellular phospholipids or TGs</w:t>
      </w:r>
      <w:r w:rsidR="0076554C"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{"citationItems":[{"id":"ITEM-1","itemData":{"DOI":"10.1111/dom.13008","ISSN":"14631326","abstract":"Lipid metabolism dysregulation underlies chronic pathologies such as obesity, diabetes and can-cer. Besides their role in structure and energy storage, lipids are also important signalling mole-cules regulating multiple biological functions. Thus, understanding the precise lipid metabolism enzymatic steps that are altered in some pathological conditions is helpful for designing better treatment strategies. Several monoacylglycerol (MAG) species are only recently being recog-nized as signalling lipid molecules in different tissues. Recent studies indicated the importance of the ubiquitously expressed serine hydrolase α/β-hydrolase domain 6 (ABHD6), which is a MAG hydrolase, in regulating signalling competent MAG in both central and peripheral tis-sues. The central and peripheral function of the endocannabinoid 2-arachidonoylglycerol, which is a 2-MAG, and its breakdown by both ABHD6 and classical MAG lipase has been well docu-mented. ABHD6 and its substrate MAG appear to be involved in the regulation of various physiological and pathological processes including insulin secretion, adipose browning, food intake, neurotransmission, autoimmune disorders, neurological and metabolic diseases as well as cancer. Diverse cellular targets such as mammalian unc13-1 (Munc13-1), PPARs, GPR119 and CB1/2 receptors, for MAG-mediated signalling processes have been proposed in different cell types. The purpose of this review is to provide a comprehensive summary of the current state of knowledge regarding ABHD6/MAG signalling and its possible therapeutic implications.","author":[{"dropping-particle":"","family":"Poursharifi","given":"Pegah","non-dropping-particle":"","parse-names":false,"suffix":""},{"dropping-particle":"","family":"Madiraju","given":"Sri Ramachandra Murthy","non-dropping-particle":"","parse-names":false,"suffix":""},{"dropping-particle":"","family":"Prentki","given":"Marc","non-dropping-particle":"","parse-names":false,"suffix":""}],"container-title":"Diabetes, Obesity and Metabolism","id":"ITEM-1","issued":{"date-parts":[["2017"]]},"page":"76-89","title":"Monoacylglycerol signalling and ABHD6 in health and disease","type":"article","volume":"19"},"uris":["http://www.mendeley.com/documents/?uuid=9b1021f0-e00a-4ca8-88c4-18f3765f3455"]}],"mendeley":{"formattedCitation":"&lt;sup&gt;[17]&lt;/sup&gt;","plainTextFormattedCitation":"[17]","previouslyFormattedCitation":"&lt;sup&gt;[17]&lt;/sup&gt;"},"properties":{"noteIndex":0},"schema":"https://github.com/citation-style-language/schema/raw/master/csl-citation.json"}</w:instrText>
      </w:r>
      <w:r w:rsidR="0076554C" w:rsidRPr="00825E2B">
        <w:rPr>
          <w:rFonts w:ascii="Book Antiqua" w:hAnsi="Book Antiqua" w:cs="Arial"/>
          <w:sz w:val="24"/>
          <w:szCs w:val="24"/>
          <w:lang w:val="en-US"/>
        </w:rPr>
        <w:fldChar w:fldCharType="separate"/>
      </w:r>
      <w:r w:rsidR="006750B3" w:rsidRPr="00825E2B">
        <w:rPr>
          <w:rFonts w:ascii="Book Antiqua" w:hAnsi="Book Antiqua" w:cs="Arial"/>
          <w:noProof/>
          <w:sz w:val="24"/>
          <w:szCs w:val="24"/>
          <w:vertAlign w:val="superscript"/>
          <w:lang w:val="en-US"/>
        </w:rPr>
        <w:t>[17]</w:t>
      </w:r>
      <w:r w:rsidR="0076554C" w:rsidRPr="00825E2B">
        <w:rPr>
          <w:rFonts w:ascii="Book Antiqua" w:hAnsi="Book Antiqua" w:cs="Arial"/>
          <w:sz w:val="24"/>
          <w:szCs w:val="24"/>
          <w:lang w:val="en-US"/>
        </w:rPr>
        <w:fldChar w:fldCharType="end"/>
      </w:r>
      <w:r w:rsidR="0076554C"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 xml:space="preserve">The extracellular most important source of MGs is TG-rich lipoproteins such as </w:t>
      </w:r>
      <w:r w:rsidR="00A127C7" w:rsidRPr="00825E2B">
        <w:rPr>
          <w:rFonts w:ascii="Book Antiqua" w:eastAsia="MS Mincho" w:hAnsi="Book Antiqua"/>
          <w:sz w:val="24"/>
          <w:szCs w:val="24"/>
          <w:lang w:val="en-US"/>
        </w:rPr>
        <w:t xml:space="preserve">the liver-derived </w:t>
      </w:r>
      <w:r w:rsidR="00772F25" w:rsidRPr="00825E2B">
        <w:rPr>
          <w:rFonts w:ascii="Book Antiqua" w:eastAsia="MS Mincho" w:hAnsi="Book Antiqua"/>
          <w:sz w:val="24"/>
          <w:szCs w:val="24"/>
          <w:lang w:val="en-US"/>
        </w:rPr>
        <w:t>very low density lipoproteins</w:t>
      </w:r>
      <w:r w:rsidR="00F81DD4"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{"citationItems":[{"id":"ITEM-1","itemData":{"DOI":"10.1002/9781119436812.ch22","author":[{"dropping-particle":"","family":"Acuña</w:instrText>
      </w:r>
      <w:r w:rsidR="00F81DD4" w:rsidRPr="00825E2B">
        <w:rPr>
          <w:rFonts w:ascii="宋体" w:hAnsi="宋体" w:cs="宋体" w:hint="eastAsia"/>
          <w:sz w:val="24"/>
          <w:szCs w:val="24"/>
          <w:lang w:val="en-US"/>
        </w:rPr>
        <w:instrText>‐</w:instrText>
      </w:r>
      <w:r w:rsidR="00F81DD4" w:rsidRPr="00825E2B">
        <w:rPr>
          <w:rFonts w:ascii="Book Antiqua" w:eastAsia="MS Mincho" w:hAnsi="Book Antiqua"/>
          <w:sz w:val="24"/>
          <w:szCs w:val="24"/>
          <w:lang w:val="en-US"/>
        </w:rPr>
        <w:instrText>Aravena","given":"Mariana","non-dropping-particle":"","parse-names":false,"suffix":""},{"dropping-particle":"","family":"Cohen","given":"David E.","non-dropping-particle":"","parse-names":false,"suffix":""}],"container-title":"The Liver","id":"ITEM-1","issued":{"date-parts":[["2020"]]},"title":"Lipoprotein Metabolism and Cholesterol Balance","type":"chapter"},"uris":["http://www.mendeley.com/documents/?uuid=143fac68-3a0d-4df4-9b0e-000334457b50"]}],"mendeley":{"formattedCitation":"&lt;sup&gt;[18]&lt;/sup&gt;","plainTextFormattedCitation":"[18]"},"properties":{"noteIndex":0},"schema":"https://github.com/citation-style-language/schema/raw/master/csl-citation.json"}</w:instrText>
      </w:r>
      <w:r w:rsidR="00F81DD4"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[18]</w:t>
      </w:r>
      <w:r w:rsidR="00F81DD4" w:rsidRPr="00825E2B">
        <w:rPr>
          <w:rFonts w:ascii="Book Antiqua" w:eastAsia="MS Mincho" w:hAnsi="Book Antiqua"/>
          <w:sz w:val="24"/>
          <w:szCs w:val="24"/>
          <w:lang w:val="en-US"/>
        </w:rPr>
        <w:fldChar w:fldCharType="end"/>
      </w:r>
      <w:r w:rsidR="00A127C7" w:rsidRPr="00825E2B">
        <w:rPr>
          <w:rFonts w:ascii="Book Antiqua" w:eastAsia="MS Mincho" w:hAnsi="Book Antiqua"/>
          <w:sz w:val="24"/>
          <w:szCs w:val="24"/>
          <w:lang w:val="en-US"/>
        </w:rPr>
        <w:t xml:space="preserve">. TGs </w:t>
      </w:r>
      <w:r w:rsidRPr="00825E2B">
        <w:rPr>
          <w:rFonts w:ascii="Book Antiqua" w:eastAsia="MS Mincho" w:hAnsi="Book Antiqua"/>
          <w:sz w:val="24"/>
          <w:szCs w:val="24"/>
          <w:lang w:val="en-US"/>
        </w:rPr>
        <w:t>are released </w:t>
      </w:r>
      <w:r w:rsidR="00A127C7" w:rsidRPr="00825E2B">
        <w:rPr>
          <w:rFonts w:ascii="Book Antiqua" w:eastAsia="MS Mincho" w:hAnsi="Book Antiqua"/>
          <w:sz w:val="24"/>
          <w:szCs w:val="24"/>
          <w:lang w:val="en-US"/>
        </w:rPr>
        <w:t xml:space="preserve">from circulating </w:t>
      </w:r>
      <w:r w:rsidR="00772F25" w:rsidRPr="00825E2B">
        <w:rPr>
          <w:rFonts w:ascii="Book Antiqua" w:eastAsia="MS Mincho" w:hAnsi="Book Antiqua"/>
          <w:sz w:val="24"/>
          <w:szCs w:val="24"/>
          <w:lang w:val="en-US"/>
        </w:rPr>
        <w:t>very low density lipoproteins</w:t>
      </w:r>
      <w:r w:rsidR="00772F25"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by the action of </w:t>
      </w:r>
      <w:r w:rsidR="00A127C7" w:rsidRPr="00825E2B">
        <w:rPr>
          <w:rFonts w:ascii="Book Antiqua" w:eastAsia="MS Mincho" w:hAnsi="Book Antiqua"/>
          <w:sz w:val="24"/>
          <w:szCs w:val="24"/>
          <w:lang w:val="en-US"/>
        </w:rPr>
        <w:t xml:space="preserve">the endothelial </w:t>
      </w:r>
      <w:r w:rsidR="00772F25" w:rsidRPr="00825E2B">
        <w:rPr>
          <w:rFonts w:ascii="Book Antiqua" w:eastAsia="MS Mincho" w:hAnsi="Book Antiqua"/>
          <w:sz w:val="24"/>
          <w:szCs w:val="24"/>
          <w:lang w:val="en-US"/>
        </w:rPr>
        <w:t>lipoprotein lipase</w:t>
      </w:r>
      <w:r w:rsidRPr="00825E2B">
        <w:rPr>
          <w:rFonts w:ascii="Book Antiqua" w:eastAsia="MS Mincho" w:hAnsi="Book Antiqua"/>
          <w:sz w:val="24"/>
          <w:szCs w:val="24"/>
          <w:lang w:val="en-US"/>
        </w:rPr>
        <w:t> that</w:t>
      </w:r>
      <w:r w:rsidR="004B27DB" w:rsidRPr="00825E2B">
        <w:rPr>
          <w:rFonts w:ascii="Book Antiqua" w:eastAsia="MS Mincho" w:hAnsi="Book Antiqua"/>
          <w:sz w:val="24"/>
          <w:szCs w:val="24"/>
          <w:lang w:val="en-US"/>
        </w:rPr>
        <w:t xml:space="preserve"> </w:t>
      </w:r>
      <w:r w:rsidR="00A127C7" w:rsidRPr="00825E2B">
        <w:rPr>
          <w:rFonts w:ascii="Book Antiqua" w:eastAsia="MS Mincho" w:hAnsi="Book Antiqua"/>
          <w:sz w:val="24"/>
          <w:szCs w:val="24"/>
          <w:lang w:val="en-US"/>
        </w:rPr>
        <w:t xml:space="preserve">generates FAs, </w:t>
      </w:r>
      <w:r w:rsidRPr="00825E2B">
        <w:rPr>
          <w:rFonts w:ascii="Book Antiqua" w:eastAsia="MS Mincho" w:hAnsi="Book Antiqua"/>
          <w:sz w:val="24"/>
          <w:szCs w:val="24"/>
          <w:lang w:val="en-US"/>
        </w:rPr>
        <w:t>hydrolyz</w:t>
      </w:r>
      <w:r w:rsidR="00A127C7" w:rsidRPr="00825E2B">
        <w:rPr>
          <w:rFonts w:ascii="Book Antiqua" w:eastAsia="MS Mincho" w:hAnsi="Book Antiqua"/>
          <w:sz w:val="24"/>
          <w:szCs w:val="24"/>
          <w:lang w:val="en-US"/>
        </w:rPr>
        <w:t>ing</w:t>
      </w:r>
      <w:r w:rsidRPr="00825E2B">
        <w:rPr>
          <w:rFonts w:ascii="Book Antiqua" w:eastAsia="MS Mincho" w:hAnsi="Book Antiqua"/>
          <w:sz w:val="24"/>
          <w:szCs w:val="24"/>
          <w:lang w:val="en-US"/>
        </w:rPr>
        <w:t xml:space="preserve"> TGs in positions sn-1- and sn-3, thus generating</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MG species</w:t>
      </w:r>
      <w:r w:rsidR="00817058"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{"citationItems":[{"id":"ITEM-1","itemData":{"DOI":"10.2741/goldberg","ISSN":"10934715","abstract":"Lipoprotein lipase (LpL) is the primary enzyme responsible for conversion of lipoprotein triglyceride into free fatty acids and monoglyderides. This permits their uptake into muscle and adipose. The roles of this enzyme in normal and altered physiology are reviewed. In addition, the relationship of LpL activity and genetic variations of LpL and human disease are summarized.","author":[{"dropping-particle":"","family":"Goldberg","given":"I. J.","non-dropping-particle":"","parse-names":false,"suffix":""},{"dropping-particle":"","family":"Merkel","given":"M.","non-dropping-particle":"","parse-names":false,"suffix":""}],"container-title":"Frontiers in bioscience : a journal and virtual library","id":"ITEM-1","issued":{"date-parts":[["2001"]]},"title":"Lipoprotein lipase: physiology, biochemistry, and molecular biology.","type":"article"},"uris":["http://www.mendeley.com/documents/?uuid=ff0bf2ee-0dbc-4cd8-b5af-09a38cbfc419"]}],"mendeley":{"formattedCitation":"&lt;sup&gt;[19]&lt;/sup&gt;","plainTextFormattedCitation":"[19]","previouslyFormattedCitation":"&lt;sup&gt;[18]&lt;/sup&gt;"},"properties":{"noteIndex":0},"schema":"https://github.com/citation-style-language/schema/raw/master/csl-citation.json"}</w:instrText>
      </w:r>
      <w:r w:rsidR="00817058"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[19]</w:t>
      </w:r>
      <w:r w:rsidR="00817058" w:rsidRPr="00825E2B">
        <w:rPr>
          <w:rFonts w:ascii="Book Antiqua" w:hAnsi="Book Antiqua" w:cs="Arial"/>
          <w:sz w:val="24"/>
          <w:szCs w:val="24"/>
          <w:lang w:val="en-US"/>
        </w:rPr>
        <w:fldChar w:fldCharType="end"/>
      </w:r>
      <w:r w:rsidR="00C3527D" w:rsidRPr="00825E2B">
        <w:rPr>
          <w:rFonts w:ascii="Book Antiqua" w:hAnsi="Book Antiqua" w:cs="Arial"/>
          <w:sz w:val="24"/>
          <w:szCs w:val="24"/>
          <w:lang w:val="en-US"/>
        </w:rPr>
        <w:t xml:space="preserve">. </w:t>
      </w:r>
      <w:r w:rsidR="0026306E" w:rsidRPr="00825E2B">
        <w:rPr>
          <w:rFonts w:ascii="Book Antiqua" w:hAnsi="Book Antiqua" w:cs="Arial"/>
          <w:sz w:val="24"/>
          <w:szCs w:val="24"/>
          <w:lang w:val="en-US"/>
        </w:rPr>
        <w:t>D</w:t>
      </w:r>
      <w:r w:rsidR="00C3527D" w:rsidRPr="00825E2B">
        <w:rPr>
          <w:rFonts w:ascii="Book Antiqua" w:hAnsi="Book Antiqua" w:cs="Arial"/>
          <w:sz w:val="24"/>
          <w:szCs w:val="24"/>
          <w:lang w:val="en-US"/>
        </w:rPr>
        <w:t xml:space="preserve">igestion of dietary TG </w:t>
      </w:r>
      <w:r w:rsidR="00752694" w:rsidRPr="00825E2B">
        <w:rPr>
          <w:rFonts w:ascii="Book Antiqua" w:hAnsi="Book Antiqua" w:cs="Arial"/>
          <w:sz w:val="24"/>
          <w:szCs w:val="24"/>
          <w:lang w:val="en-US"/>
        </w:rPr>
        <w:t xml:space="preserve">is also aided </w:t>
      </w:r>
      <w:r w:rsidR="00C3527D" w:rsidRPr="00825E2B">
        <w:rPr>
          <w:rFonts w:ascii="Book Antiqua" w:hAnsi="Book Antiqua" w:cs="Arial"/>
          <w:sz w:val="24"/>
          <w:szCs w:val="24"/>
          <w:lang w:val="en-US"/>
        </w:rPr>
        <w:t>by</w:t>
      </w:r>
      <w:r w:rsidR="004B7950" w:rsidRPr="00825E2B">
        <w:rPr>
          <w:rFonts w:ascii="Book Antiqua" w:hAnsi="Book Antiqua" w:cs="Arial"/>
          <w:sz w:val="24"/>
          <w:szCs w:val="24"/>
          <w:lang w:val="en-US"/>
        </w:rPr>
        <w:t xml:space="preserve"> </w:t>
      </w:r>
      <w:r w:rsidR="00C3527D" w:rsidRPr="00825E2B">
        <w:rPr>
          <w:rFonts w:ascii="Book Antiqua" w:hAnsi="Book Antiqua" w:cs="Arial"/>
          <w:sz w:val="24"/>
          <w:szCs w:val="24"/>
          <w:lang w:val="en-US"/>
        </w:rPr>
        <w:t xml:space="preserve">pancreatic lipase </w:t>
      </w:r>
      <w:r w:rsidR="00752694" w:rsidRPr="00825E2B">
        <w:rPr>
          <w:rFonts w:ascii="Book Antiqua" w:hAnsi="Book Antiqua" w:cs="Arial"/>
          <w:sz w:val="24"/>
          <w:szCs w:val="24"/>
          <w:lang w:val="en-US"/>
        </w:rPr>
        <w:t>that</w:t>
      </w:r>
      <w:r w:rsidR="0026306E" w:rsidRPr="00825E2B">
        <w:rPr>
          <w:rFonts w:ascii="Book Antiqua" w:hAnsi="Book Antiqua" w:cs="Arial"/>
          <w:sz w:val="24"/>
          <w:szCs w:val="24"/>
          <w:lang w:val="en-US"/>
        </w:rPr>
        <w:t xml:space="preserve"> can </w:t>
      </w:r>
      <w:r w:rsidR="00C3527D" w:rsidRPr="00825E2B">
        <w:rPr>
          <w:rFonts w:ascii="Book Antiqua" w:hAnsi="Book Antiqua" w:cs="Arial"/>
          <w:sz w:val="24"/>
          <w:szCs w:val="24"/>
          <w:lang w:val="en-US"/>
        </w:rPr>
        <w:t>generat</w:t>
      </w:r>
      <w:r w:rsidR="0026306E" w:rsidRPr="00825E2B">
        <w:rPr>
          <w:rFonts w:ascii="Book Antiqua" w:hAnsi="Book Antiqua" w:cs="Arial"/>
          <w:sz w:val="24"/>
          <w:szCs w:val="24"/>
          <w:lang w:val="en-US"/>
        </w:rPr>
        <w:t>e</w:t>
      </w:r>
      <w:r w:rsidR="00752694" w:rsidRPr="00825E2B">
        <w:rPr>
          <w:rFonts w:ascii="Book Antiqua" w:hAnsi="Book Antiqua" w:cs="Arial"/>
          <w:sz w:val="24"/>
          <w:szCs w:val="24"/>
          <w:lang w:val="en-US"/>
        </w:rPr>
        <w:t xml:space="preserve"> in addition</w:t>
      </w:r>
      <w:r w:rsidR="0026306E" w:rsidRPr="00825E2B">
        <w:rPr>
          <w:rFonts w:ascii="Book Antiqua" w:hAnsi="Book Antiqua" w:cs="Arial"/>
          <w:sz w:val="24"/>
          <w:szCs w:val="24"/>
          <w:lang w:val="en-US"/>
        </w:rPr>
        <w:t xml:space="preserve"> fair amounts</w:t>
      </w:r>
      <w:r w:rsidR="00C3527D" w:rsidRPr="00825E2B">
        <w:rPr>
          <w:rFonts w:ascii="Book Antiqua" w:hAnsi="Book Antiqua" w:cs="Arial"/>
          <w:sz w:val="24"/>
          <w:szCs w:val="24"/>
          <w:lang w:val="en-US"/>
        </w:rPr>
        <w:t xml:space="preserve"> of MG</w:t>
      </w:r>
      <w:r w:rsidR="0026306E" w:rsidRPr="00825E2B">
        <w:rPr>
          <w:rFonts w:ascii="Book Antiqua" w:hAnsi="Book Antiqua" w:cs="Arial"/>
          <w:sz w:val="24"/>
          <w:szCs w:val="24"/>
          <w:lang w:val="en-US"/>
        </w:rPr>
        <w:t>s</w:t>
      </w:r>
      <w:r w:rsidR="00817058"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{"citationItems":[{"id":"ITEM-1","itemData":{"DOI":"10.1194/jlr.R200012-JLR200","ISSN":"00222275","abstract":"Pancreatic triglyceride lipase (PTL) and its protein cofactor, colipase, are required for efficient dietary triglyceride digestion. In addition to PTL, pancreatic acinar cells synthesize two pancreatic lipase related proteins (PLRP1 and PLRP2), which have a high degree of sequence and structural homology with PTL. PLRP1 has no known activity. PTL and PLRP2 differ in substrate specificity, behavior in bile salts and dependence on colipase. Each protein has a globular amino-terminal (N-terminal) domain, which contains the catalytic site for PTL and PLRP2, and a β-sandwich carboxyl-terminal (C-terminal) domain, which includes the predominant colipase-binding site for PTL. Inactive and active conformations of PTL have been described. They differ in the position of a surface loop, the lid domain, and of the β5-loop. In the inactive conformation, the lid covers the active site and, upon activation by bile salt micelles and colipase or by lipid-water interfaces, the lid moves dramatically to open and configure the active site. After the lid movement, PTL and colipase create a large hydrophobic plateau that can interact with the lipid-water interface. A hydrophobic surface loop in the C-terminal domain, the β5′ loop, may also contribute to the interfacial-binding domain of the PTL-colipase complex.","author":[{"dropping-particle":"","family":"Lowet","given":"Mark E.","non-dropping-particle":"","parse-names":false,"suffix":""}],"container-title":"Journal of Lipid Research","id":"ITEM-1","issued":{"date-parts":[["2002"]]},"title":"The triglyceride lipases of the pancreas","type":"article"},"uris":["http://www.mendeley.com/documents/?uuid=59bce695-67a4-4b86-86f1-41289717e549"]}],"mendeley":{"formattedCitation":"&lt;sup&gt;[20]&lt;/sup&gt;","plainTextFormattedCitation":"[20]","previouslyFormattedCitation":"&lt;sup&gt;[19]&lt;/sup&gt;"},"properties":{"noteIndex":0},"schema":"https://github.com/citation-style-language/schema/raw/master/csl-citation.json"}</w:instrText>
      </w:r>
      <w:r w:rsidR="00817058"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[20]</w:t>
      </w:r>
      <w:r w:rsidR="00817058" w:rsidRPr="00825E2B">
        <w:rPr>
          <w:rFonts w:ascii="Book Antiqua" w:hAnsi="Book Antiqua" w:cs="Arial"/>
          <w:sz w:val="24"/>
          <w:szCs w:val="24"/>
          <w:lang w:val="en-US"/>
        </w:rPr>
        <w:fldChar w:fldCharType="end"/>
      </w:r>
      <w:r w:rsidR="00C3527D"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Extracellular derived MGs are internalized by cells and may be further degraded by MGL or</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lastRenderedPageBreak/>
        <w:t>alternatively</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re-esterified to TG</w:t>
      </w:r>
      <w:r w:rsidR="00AE55A1" w:rsidRPr="00825E2B">
        <w:rPr>
          <w:rFonts w:ascii="Book Antiqua" w:eastAsia="MS Mincho" w:hAnsi="Book Antiqua"/>
          <w:sz w:val="24"/>
          <w:szCs w:val="24"/>
          <w:lang w:val="en-US"/>
        </w:rPr>
        <w:t>s</w:t>
      </w:r>
      <w:r w:rsidRPr="00825E2B">
        <w:rPr>
          <w:rFonts w:ascii="Book Antiqua" w:eastAsia="MS Mincho" w:hAnsi="Book Antiqua"/>
          <w:sz w:val="24"/>
          <w:szCs w:val="24"/>
          <w:lang w:val="en-US"/>
        </w:rPr>
        <w:t> by the enzymatic a</w:t>
      </w:r>
      <w:r w:rsidR="00772F25" w:rsidRPr="00825E2B">
        <w:rPr>
          <w:rFonts w:ascii="Book Antiqua" w:eastAsia="MS Mincho" w:hAnsi="Book Antiqua"/>
          <w:sz w:val="24"/>
          <w:szCs w:val="24"/>
          <w:lang w:val="en-US"/>
        </w:rPr>
        <w:t>ctivities of MGAT and DGAT (Fig</w:t>
      </w:r>
      <w:r w:rsidR="00772F25" w:rsidRPr="00825E2B">
        <w:rPr>
          <w:rFonts w:ascii="Book Antiqua" w:hAnsi="Book Antiqua"/>
          <w:sz w:val="24"/>
          <w:szCs w:val="24"/>
          <w:lang w:val="en-US" w:eastAsia="zh-CN"/>
        </w:rPr>
        <w:t xml:space="preserve">ure </w:t>
      </w:r>
      <w:r w:rsidRPr="00825E2B">
        <w:rPr>
          <w:rFonts w:ascii="Book Antiqua" w:eastAsia="MS Mincho" w:hAnsi="Book Antiqua"/>
          <w:sz w:val="24"/>
          <w:szCs w:val="24"/>
          <w:lang w:val="en-US"/>
        </w:rPr>
        <w:t>1). In fact, MGAT and DGAT are key players in enterocytes</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and particularly in the small intestine, where they are thought of synthesizing up to 80% of the TG incorporated into chylomicrons</w:t>
      </w:r>
      <w:r w:rsidR="008D6B5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{"citationItems":[{"id":"ITEM-1","itemData":{"DOI":"10.1152/ajpendo.90949.2008","ISSN":"01931849","abstract":"Monoacyglycerol acyltransferases (MGATs) and diacylglycerol acyltransferases (DGATs) catalyze two consecutive steps of enzyme reactions in the synthesis of triacylglycerols (TAGs). The metabolic complexity of TAG synthesis is reflected by the presence of multiple isoforms of MGAT and DGAT enzymes that differ in catalytic properties, subcellular localization, tissue distribution, and physiological functions. MGAT and DGAT enzymes play fundamental roles in the metabolism of monoacylglycerol (MAG), diacylglycerol (DAG), and triacylglycerol (TAG) that are involved in many aspects of physiological functions, such as intestinal fat absorption, lipoprotein assembly, adipose tissue formation, signal transduction, satiety, and lactation. The recent progress in the phenotypic characterization of mice deficient in MGAT and DGAT enzymes and the development of chemical inhibitors have revealed important roles of these enzymes in the regulation of energy homeostasis and insulin sensitivity. Consequently, selective inhibition of MGAT or DGAT enzymes by synthetic compounds may provide novel treatment for obesity and its related metabolic complications. Copyright © 2009 the American Physiological Society.","author":[{"dropping-particle":"","family":"Shi","given":"Yuguang","non-dropping-particle":"","parse-names":false,"suffix":""},{"dropping-particle":"","family":"Cheng","given":"Dong","non-dropping-particle":"","parse-names":false,"suffix":""}],"container-title":"American Journal of Physiology - Endocrinology and Metabolism","id":"ITEM-1","issued":{"date-parts":[["2009"]]},"title":"Beyond triglyceride synthesis: The dynamic functional roles of MGAT and DGAT enzymes in energy metabolism","type":"article"},"uris":["http://www.mendeley.com/documents/?uuid=4708b864-a37c-478b-886d-3f4e8e8f2402"]}],"mendeley":{"formattedCitation":"&lt;sup&gt;[21]&lt;/sup&gt;","plainTextFormattedCitation":"[21]","previouslyFormattedCitation":"&lt;sup&gt;[20]&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[21]</w:t>
      </w:r>
      <w:r w:rsidR="008D6B52" w:rsidRPr="00825E2B">
        <w:rPr>
          <w:rFonts w:ascii="Book Antiqua" w:hAnsi="Book Antiqua" w:cs="Arial"/>
          <w:sz w:val="24"/>
          <w:szCs w:val="24"/>
          <w:lang w:val="en-US"/>
        </w:rPr>
        <w:fldChar w:fldCharType="end"/>
      </w:r>
      <w:r w:rsidR="00C3527D"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In addition, another source of MGs can directly originate from the intracellular TGs storage in cytosolic lipid droplets</w:t>
      </w:r>
      <w:r w:rsidRPr="00825E2B">
        <w:rPr>
          <w:rFonts w:ascii="Book Antiqua" w:eastAsia="MS Mincho" w:hAnsi="Book Antiqua"/>
          <w:sz w:val="24"/>
          <w:szCs w:val="24"/>
          <w:lang w:val="en-US"/>
        </w:rPr>
        <w:fldChar w:fldCharType="begin" w:fldLock="1"/>
      </w:r>
      <w:r w:rsidR="00FF031D" w:rsidRPr="00825E2B">
        <w:rPr>
          <w:rFonts w:ascii="Book Antiqua" w:eastAsia="MS Mincho" w:hAnsi="Book Antiqua"/>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mendeley":{"formattedCitation":"&lt;sup&gt;[3]&lt;/sup&gt;","plainTextFormattedCitation":"[3]","previouslyFormattedCitation":"&lt;sup&gt;[3]&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Pr="00825E2B">
        <w:rPr>
          <w:rFonts w:ascii="Book Antiqua" w:eastAsia="MS Mincho" w:hAnsi="Book Antiqua"/>
          <w:noProof/>
          <w:sz w:val="24"/>
          <w:szCs w:val="24"/>
          <w:vertAlign w:val="superscript"/>
          <w:lang w:val="en-US"/>
        </w:rPr>
        <w:t>[3]</w:t>
      </w:r>
      <w:r w:rsidRPr="00825E2B">
        <w:rPr>
          <w:rFonts w:ascii="Book Antiqua" w:eastAsia="MS Mincho" w:hAnsi="Book Antiqua"/>
          <w:sz w:val="24"/>
          <w:szCs w:val="24"/>
          <w:lang w:val="en-US"/>
        </w:rPr>
        <w:fldChar w:fldCharType="end"/>
      </w:r>
      <w:r w:rsidR="00772F25" w:rsidRPr="00825E2B">
        <w:rPr>
          <w:rFonts w:ascii="Book Antiqua" w:eastAsia="MS Mincho" w:hAnsi="Book Antiqua"/>
          <w:sz w:val="24"/>
          <w:szCs w:val="24"/>
          <w:lang w:val="en-US"/>
        </w:rPr>
        <w:t>.</w:t>
      </w:r>
    </w:p>
    <w:p w14:paraId="18F5D13D" w14:textId="6D2902A8" w:rsidR="00772F25" w:rsidRPr="00825E2B" w:rsidRDefault="00722FB3" w:rsidP="00A921B8">
      <w:pPr>
        <w:adjustRightInd w:val="0"/>
        <w:snapToGrid w:val="0"/>
        <w:spacing w:after="0" w:line="360" w:lineRule="auto"/>
        <w:ind w:firstLineChars="100" w:firstLine="240"/>
        <w:jc w:val="both"/>
        <w:rPr>
          <w:rFonts w:ascii="Book Antiqua" w:hAnsi="Book Antiqua" w:cs="Arial"/>
          <w:sz w:val="24"/>
          <w:szCs w:val="24"/>
          <w:lang w:val="en-US" w:eastAsia="zh-CN"/>
        </w:rPr>
      </w:pPr>
      <w:r w:rsidRPr="00825E2B">
        <w:rPr>
          <w:rFonts w:ascii="Book Antiqua" w:hAnsi="Book Antiqua" w:cs="Arial"/>
          <w:sz w:val="24"/>
          <w:szCs w:val="24"/>
          <w:lang w:val="en-US"/>
        </w:rPr>
        <w:t>MGL</w:t>
      </w:r>
      <w:r w:rsidR="00AA19C8" w:rsidRPr="00825E2B">
        <w:rPr>
          <w:rFonts w:ascii="Book Antiqua" w:hAnsi="Book Antiqua" w:cs="Arial"/>
          <w:sz w:val="24"/>
          <w:szCs w:val="24"/>
          <w:lang w:val="en-US"/>
        </w:rPr>
        <w:t xml:space="preserve"> is a pivotal lipase that produces signaling lipid, notably</w:t>
      </w:r>
      <w:r w:rsidR="00CA1359" w:rsidRPr="00825E2B">
        <w:rPr>
          <w:rFonts w:ascii="Book Antiqua" w:hAnsi="Book Antiqua" w:cs="Arial"/>
          <w:sz w:val="24"/>
          <w:szCs w:val="24"/>
          <w:lang w:val="en-US"/>
        </w:rPr>
        <w:t xml:space="preserve"> hydrolyz</w:t>
      </w:r>
      <w:r w:rsidR="00AA19C8" w:rsidRPr="00825E2B">
        <w:rPr>
          <w:rFonts w:ascii="Book Antiqua" w:hAnsi="Book Antiqua" w:cs="Arial"/>
          <w:sz w:val="24"/>
          <w:szCs w:val="24"/>
          <w:lang w:val="en-US"/>
        </w:rPr>
        <w:t>ing</w:t>
      </w:r>
      <w:r w:rsidR="00CA1359" w:rsidRPr="00825E2B">
        <w:rPr>
          <w:rFonts w:ascii="Book Antiqua" w:hAnsi="Book Antiqua" w:cs="Arial"/>
          <w:sz w:val="24"/>
          <w:szCs w:val="24"/>
          <w:lang w:val="en-US"/>
        </w:rPr>
        <w:t xml:space="preserve"> 2-AG</w:t>
      </w:r>
      <w:r w:rsidR="00720466" w:rsidRPr="00825E2B">
        <w:rPr>
          <w:rFonts w:ascii="Book Antiqua" w:hAnsi="Book Antiqua" w:cs="Arial"/>
          <w:sz w:val="24"/>
          <w:szCs w:val="24"/>
          <w:lang w:val="en-US"/>
        </w:rPr>
        <w:t xml:space="preserve"> (which is a known ligand of cannabinoid receptors)</w:t>
      </w:r>
      <w:r w:rsidRPr="00825E2B">
        <w:rPr>
          <w:rFonts w:ascii="Book Antiqua" w:hAnsi="Book Antiqua" w:cs="Arial"/>
          <w:sz w:val="24"/>
          <w:szCs w:val="24"/>
          <w:lang w:val="en-US"/>
        </w:rPr>
        <w:t xml:space="preserve"> </w:t>
      </w:r>
      <w:r w:rsidR="00CA1359" w:rsidRPr="00825E2B">
        <w:rPr>
          <w:rFonts w:ascii="Book Antiqua" w:hAnsi="Book Antiqua" w:cs="Arial"/>
          <w:sz w:val="24"/>
          <w:szCs w:val="24"/>
          <w:lang w:val="en-US"/>
        </w:rPr>
        <w:t>into arachidonic acid</w:t>
      </w:r>
      <w:r w:rsidRPr="00825E2B">
        <w:rPr>
          <w:rFonts w:ascii="Book Antiqua" w:hAnsi="Book Antiqua" w:cs="Arial"/>
          <w:sz w:val="24"/>
          <w:szCs w:val="24"/>
          <w:lang w:val="en-US"/>
        </w:rPr>
        <w:t xml:space="preserve"> (AA)</w:t>
      </w:r>
      <w:r w:rsidR="008D6B52"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{"citationItems":[{"id":"ITEM-1","itemData":{"DOI":"10.1016/j.pharmthera.2017.02.033","ISBN":"1471-003X","ISSN":"1879016X","PMID":"28213089","abstract":"Monoglyerides (MGs) are short-lived, intermediary lipids deriving from the degradation of phospho- and neutral lipids, and monoglyceride lipase (MGL), also designated as monoacylglycerol lipase (MAGL), is the major enzyme catalyzing the hydrolysis of MGs into glycerol and fatty acids. This distinct function enables MGL to regulate a number of physiological and pathophysiological processes since both MGs and fatty acids can act as signaling lipids or precursors thereof. The most prominent MG species acting as signaling lipid is 2-arachidonoyl glycerol (2-AG) which is the most abundant endogenous agonist of cannabinoid receptors in the body. Importantly, recent observations demonstrate that 2-AG represents a quantitatively important source for arachidonic acid, the precursor of prostaglandins and other inflammatory mediators. Accordingly, MGL-mediated 2-AG degradation affects lipid signaling by cannabinoid receptor-dependent and independent mechanisms. Recent genetic and pharmacological studies gave important insights into MGL's role in (patho-)physiological processes, and the enzyme is now considered as a promising drug target for a number of disorders including cancer, neurodegenerative and inflammatory diseases. This review summarizes the basics of MG (2-AG) metabolism and provides an overview on the therapeutic potential of MGL.","author":[{"dropping-particle":"","family":"Grabner","given":"Gernot F.","non-dropping-particle":"","parse-names":false,"suffix":""},{"dropping-particle":"","family":"Zimmermann","given":"Robert","non-dropping-particle":"","parse-names":false,"suffix":""},{"dropping-particle":"","family":"Schicho","given":"Rudolf","non-dropping-particle":"","parse-names":false,"suffix":""},{"dropping-particle":"","family":"Taschler","given":"Ulrike","non-dropping-particle":"","parse-names":false,"suffix":""}],"container-title":"Pharmacology and Therapeutics","id":"ITEM-1","issued":{"date-parts":[["2017"]]},"title":"Monoglyceride lipase as a drug target: At the crossroads of arachidonic acid metabolism and endocannabinoid signaling","type":"article"},"uris":["http://www.mendeley.com/documents/?uuid=f4f6c4ea-3d09-4cb1-b312-a3816d3ebfcc"]}],"mendeley":{"formattedCitation":"&lt;sup&gt;[9]&lt;/sup&gt;","plainTextFormattedCitation":"[9]","previouslyFormattedCitation":"&lt;sup&gt;[9]&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C0560F" w:rsidRPr="00825E2B">
        <w:rPr>
          <w:rFonts w:ascii="Book Antiqua" w:hAnsi="Book Antiqua" w:cs="Arial"/>
          <w:noProof/>
          <w:sz w:val="24"/>
          <w:szCs w:val="24"/>
          <w:vertAlign w:val="superscript"/>
          <w:lang w:val="en-US"/>
        </w:rPr>
        <w:t>[9]</w:t>
      </w:r>
      <w:r w:rsidR="008D6B52" w:rsidRPr="00825E2B">
        <w:rPr>
          <w:rFonts w:ascii="Book Antiqua" w:hAnsi="Book Antiqua" w:cs="Arial"/>
          <w:sz w:val="24"/>
          <w:szCs w:val="24"/>
          <w:lang w:val="en-US"/>
        </w:rPr>
        <w:fldChar w:fldCharType="end"/>
      </w:r>
      <w:r w:rsidR="00CA1359" w:rsidRPr="00825E2B">
        <w:rPr>
          <w:rFonts w:ascii="Book Antiqua" w:hAnsi="Book Antiqua" w:cs="Arial"/>
          <w:sz w:val="24"/>
          <w:szCs w:val="24"/>
          <w:lang w:val="en-US"/>
        </w:rPr>
        <w:t xml:space="preserve">. </w:t>
      </w:r>
      <w:r w:rsidR="007205B5" w:rsidRPr="00825E2B">
        <w:rPr>
          <w:rFonts w:ascii="Book Antiqua" w:eastAsia="MS Mincho" w:hAnsi="Book Antiqua"/>
          <w:sz w:val="24"/>
          <w:szCs w:val="24"/>
          <w:lang w:val="en-US"/>
        </w:rPr>
        <w:t>Given the multiple roles of the cannabinoid system in regulation of several key processes in human physiology including (but not limited to) appetite, pain and even cancer, enzymes targeting the cannabinoid catabolism</w:t>
      </w:r>
      <w:r w:rsidR="004B27DB"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are potentially interesting candidates for drug discovery and</w:t>
      </w:r>
      <w:r w:rsidR="004B27DB"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pharmaceutical development</w:t>
      </w:r>
      <w:r w:rsidR="00CA1359"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{"citationItems":[{"id":"ITEM-1","itemData":{"DOI":"10.1111/j.1476-5381.2012.01950.x","ISBN":"978-3-319-20824-4","ISSN":"00071188","PMID":"22428756","abstract":"The endocannabinoid (eCB) system is involved in processes as diverse as control of appetite, perception of pain and the limitation of cancer cell growth and invasion. The enzymes responsible for eCB breakdown are attractive pharmacological targets, and fatty acid amide hydrolase inhibitors, which potentiate the levels of the eCB anandamide, are now undergoing pharmaceutical development. 'Drugable' selective inhibitors of monoacylglycerol lipase, a key enzyme regulating the levels of the other main eCB, 2-arachidonoylglycerol, were however not identified until very recently. Their availability has resulted in a large expansion of our knowledge concerning the pharmacological consequences of monoacylglycerol lipase inhibition and hence the role(s) played by the enzyme in the body. In this review, the pharmacology of monoacylglycerol lipase will be discussed, together with an analysis of the therapeutic potential of monoacylglycerol lipase inhibitors as analgesics and anticancer agents.","author":[{"dropping-particle":"","family":"Fowler","given":"C. J.","non-dropping-particle":"","parse-names":false,"suffix":""}],"container-title":"British Journal of Pharmacology","id":"ITEM-1","issued":{"date-parts":[["2012"]]},"title":"Monoacylglycerol lipase - A target for drug development?","type":"article"},"uris":["http://www.mendeley.com/documents/?uuid=5bc113a4-1921-41a1-bd23-e1b777d3c7b3"]}],"mendeley":{"formattedCitation":"&lt;sup&gt;[14]&lt;/sup&gt;","plainTextFormattedCitation":"[14]","previouslyFormattedCitation":"&lt;sup&gt;[14]&lt;/sup&gt;"},"properties":{"noteIndex":0},"schema":"https://github.com/citation-style-language/schema/raw/master/csl-citation.json"}</w:instrText>
      </w:r>
      <w:r w:rsidR="00CA1359" w:rsidRPr="00825E2B">
        <w:rPr>
          <w:rFonts w:ascii="Book Antiqua" w:hAnsi="Book Antiqua" w:cs="Arial"/>
          <w:sz w:val="24"/>
          <w:szCs w:val="24"/>
          <w:lang w:val="en-US"/>
        </w:rPr>
        <w:fldChar w:fldCharType="separate"/>
      </w:r>
      <w:r w:rsidR="006750B3" w:rsidRPr="00825E2B">
        <w:rPr>
          <w:rFonts w:ascii="Book Antiqua" w:hAnsi="Book Antiqua" w:cs="Arial"/>
          <w:noProof/>
          <w:sz w:val="24"/>
          <w:szCs w:val="24"/>
          <w:vertAlign w:val="superscript"/>
          <w:lang w:val="en-US"/>
        </w:rPr>
        <w:t>[14]</w:t>
      </w:r>
      <w:r w:rsidR="00CA1359" w:rsidRPr="00825E2B">
        <w:rPr>
          <w:rFonts w:ascii="Book Antiqua" w:hAnsi="Book Antiqua" w:cs="Arial"/>
          <w:sz w:val="24"/>
          <w:szCs w:val="24"/>
          <w:lang w:val="en-US"/>
        </w:rPr>
        <w:fldChar w:fldCharType="end"/>
      </w:r>
      <w:r w:rsidR="00CA1359" w:rsidRPr="00825E2B">
        <w:rPr>
          <w:rFonts w:ascii="Book Antiqua" w:hAnsi="Book Antiqua" w:cs="Arial"/>
          <w:sz w:val="24"/>
          <w:szCs w:val="24"/>
          <w:lang w:val="en-US"/>
        </w:rPr>
        <w:t xml:space="preserve">. </w:t>
      </w:r>
      <w:r w:rsidR="007205B5" w:rsidRPr="00825E2B">
        <w:rPr>
          <w:rFonts w:ascii="Book Antiqua" w:eastAsia="MS Mincho" w:hAnsi="Book Antiqua"/>
          <w:sz w:val="24"/>
          <w:szCs w:val="24"/>
          <w:lang w:val="en-US"/>
        </w:rPr>
        <w:t>MGL is ubiquitous </w:t>
      </w:r>
      <w:r w:rsidR="00AE55A1" w:rsidRPr="00825E2B">
        <w:rPr>
          <w:rFonts w:ascii="Book Antiqua" w:eastAsia="MS Mincho" w:hAnsi="Book Antiqua"/>
          <w:sz w:val="24"/>
          <w:szCs w:val="24"/>
          <w:lang w:val="en-US"/>
        </w:rPr>
        <w:t xml:space="preserve">in the body </w:t>
      </w:r>
      <w:r w:rsidR="007205B5" w:rsidRPr="00825E2B">
        <w:rPr>
          <w:rFonts w:ascii="Book Antiqua" w:eastAsia="MS Mincho" w:hAnsi="Book Antiqua"/>
          <w:sz w:val="24"/>
          <w:szCs w:val="24"/>
          <w:lang w:val="en-US"/>
        </w:rPr>
        <w:t>and its expression varies greatly in an organ-specific fashion, being present in brain and in peripheral tissues such as the kidney, testis, ovary, adrenal gland,</w:t>
      </w:r>
      <w:r w:rsidR="004B27DB"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AT, and heart. At the cellular level, MGL mainly localizes in the cytoplasm as well as in the plasma membrane and in the lipid droplet</w:t>
      </w:r>
      <w:r w:rsidR="008D6B5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{"citationItems":[{"id":"ITEM-1","itemData":{"DOI":"10.1152/ajpgi.90500.2008","ISBN":"01931857 (ISSN)","ISSN":"0193-1857","PMID":"18948437","abstract":"The endogenous cannabinoid system plays an important role in the regulation of gastrointestinal function in health and disease. Endocannabinoid levels are regulated by catabolic enzymes. Here, we describe the presence and localization of monoacylglycerol lipase (MGL), the major enzyme responsible for the degradation of 2-arachidonoylglycerol. We used molecular, biochemical, immunohistochemical, and functional assays to characterize the distribution and activity of MGL. MGL mRNA was present in rat ileum throughout the wall of the gut. MGL protein was distributed in the muscle and mucosal layers of the ileum and in the duodenum, proximal colon, and distal colon. We observed MGL expression in nerve cell bodies and nerve fibers of the enteric nervous system. There was extensive colocalization of MGL with PGP 9.5 and calretinin-immunoreactive neurons, but not with nitric oxide synthase. MGL was also present in the epithelium and was highly expressed in the small intestine. Enzyme activity levels were highest in the duodenum and decreased along the gut with lowest levels in the distal colon. We observed both soluble and membrane-associated enzyme activities. The MGL inhibitor URB602 significantly inhibited whole gut transit in mice, an action that was abolished in cannabinoid 1 receptor-deficient mice. In conclusion, MGL is localized in the enteric nervous system where endocannabinoids regulate intestinal motility. MGL is highly expressed in the epithelium, where this enzyme may have digestive or other functions yet to be determined.","author":[{"dropping-particle":"","family":"Duncan","given":"Marnie","non-dropping-particle":"","parse-names":false,"suffix":""},{"dropping-particle":"","family":"Thomas","given":"Adam D","non-dropping-particle":"","parse-names":false,"suffix":""},{"dropping-particle":"","family":"Cluny","given":"Nina L","non-dropping-particle":"","parse-names":false,"suffix":""},{"dropping-particle":"","family":"Patel","given":"Annie","non-dropping-particle":"","parse-names":false,"suffix":""},{"dropping-particle":"","family":"Patel","given":"Kamala D","non-dropping-particle":"","parse-names":false,"suffix":""},{"dropping-particle":"","family":"Lutz","given":"Beat","non-dropping-particle":"","parse-names":false,"suffix":""},{"dropping-particle":"","family":"Piomelli","given":"Daniele","non-dropping-particle":"","parse-names":false,"suffix":""},{"dropping-particle":"","family":"Alexander","given":"Stephen P H","non-dropping-particle":"","parse-names":false,"suffix":""},{"dropping-particle":"","family":"Sharkey","given":"Keith A","non-dropping-particle":"","parse-names":false,"suffix":""},{"dropping-particle":"","family":"Lutz","given":"Beat","non-dropping-particle":"","parse-names":false,"suffix":""},{"dropping-particle":"","family":"Piomelli","given":"Daniele","non-dropping-particle":"","parse-names":false,"suffix":""},{"dropping-particle":"","family":"Alexander","given":"Stephen P H","non-dropping-particle":"","parse-names":false,"suffix":""},{"dropping-particle":"","family":"Sharkey","given":"Keith A","non-dropping-particle":"","parse-names":false,"suffix":""}],"container-title":"American journal of physiology. Gastrointestinal and liver physiology","id":"ITEM-1","issue":"6","issued":{"date-parts":[["2008"]]},"page":"G1255-65","title":"Distribution and function of monoacylglycerol lipase in the gastrointestinal tract.","type":"article-journal","volume":"295"},"uris":["http://www.mendeley.com/documents/?uuid=4a9b8640-d9e3-4cd8-88b2-6042bccb7596"]}],"mendeley":{"formattedCitation":"&lt;sup&gt;[22]&lt;/sup&gt;","plainTextFormattedCitation":"[22]","previouslyFormattedCitation":"&lt;sup&gt;[21]&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[22]</w:t>
      </w:r>
      <w:r w:rsidR="008D6B52" w:rsidRPr="00825E2B">
        <w:rPr>
          <w:rFonts w:ascii="Book Antiqua" w:hAnsi="Book Antiqua" w:cs="Arial"/>
          <w:sz w:val="24"/>
          <w:szCs w:val="24"/>
          <w:lang w:val="en-US"/>
        </w:rPr>
        <w:fldChar w:fldCharType="end"/>
      </w:r>
      <w:r w:rsidR="00CA1359" w:rsidRPr="00825E2B">
        <w:rPr>
          <w:rFonts w:ascii="Book Antiqua" w:hAnsi="Book Antiqua" w:cs="Arial"/>
          <w:sz w:val="24"/>
          <w:szCs w:val="24"/>
          <w:lang w:val="en-US"/>
        </w:rPr>
        <w:t xml:space="preserve">. </w:t>
      </w:r>
      <w:r w:rsidR="007205B5" w:rsidRPr="00825E2B">
        <w:rPr>
          <w:rFonts w:ascii="Book Antiqua" w:eastAsia="MS Mincho" w:hAnsi="Book Antiqua"/>
          <w:sz w:val="24"/>
          <w:szCs w:val="24"/>
          <w:lang w:val="en-US"/>
        </w:rPr>
        <w:t xml:space="preserve">Interestingly, </w:t>
      </w:r>
      <w:r w:rsidR="00AE55A1" w:rsidRPr="00825E2B">
        <w:rPr>
          <w:rFonts w:ascii="Book Antiqua" w:eastAsia="MS Mincho" w:hAnsi="Book Antiqua"/>
          <w:sz w:val="24"/>
          <w:szCs w:val="24"/>
          <w:lang w:val="en-US"/>
        </w:rPr>
        <w:t xml:space="preserve">molecular strategies exploiting </w:t>
      </w:r>
      <w:r w:rsidR="007205B5" w:rsidRPr="00825E2B">
        <w:rPr>
          <w:rFonts w:ascii="Book Antiqua" w:eastAsia="MS Mincho" w:hAnsi="Book Antiqua"/>
          <w:sz w:val="24"/>
          <w:szCs w:val="24"/>
          <w:lang w:val="en-US"/>
        </w:rPr>
        <w:t>genetic or pharmacological inactivation of</w:t>
      </w:r>
      <w:r w:rsidR="00AE55A1" w:rsidRPr="00825E2B">
        <w:rPr>
          <w:rFonts w:ascii="Book Antiqua" w:eastAsia="MS Mincho" w:hAnsi="Book Antiqua"/>
          <w:sz w:val="24"/>
          <w:szCs w:val="24"/>
          <w:lang w:val="en-US"/>
        </w:rPr>
        <w:t xml:space="preserve"> </w:t>
      </w:r>
      <w:r w:rsidR="007205B5" w:rsidRPr="00825E2B">
        <w:rPr>
          <w:rFonts w:ascii="Book Antiqua" w:eastAsia="MS Mincho" w:hAnsi="Book Antiqua"/>
          <w:sz w:val="24"/>
          <w:szCs w:val="24"/>
          <w:lang w:val="en-US"/>
        </w:rPr>
        <w:t xml:space="preserve">MGL in mice resulted in a significant accumulation of MGs in </w:t>
      </w:r>
      <w:r w:rsidR="004E2C6C" w:rsidRPr="00825E2B">
        <w:rPr>
          <w:rFonts w:ascii="Book Antiqua" w:eastAsia="MS Mincho" w:hAnsi="Book Antiqua"/>
          <w:sz w:val="24"/>
          <w:szCs w:val="24"/>
          <w:lang w:val="en-US"/>
        </w:rPr>
        <w:t>several</w:t>
      </w:r>
      <w:r w:rsidR="007205B5" w:rsidRPr="00825E2B">
        <w:rPr>
          <w:rFonts w:ascii="Book Antiqua" w:eastAsia="MS Mincho" w:hAnsi="Book Antiqua"/>
          <w:sz w:val="24"/>
          <w:szCs w:val="24"/>
          <w:lang w:val="en-US"/>
        </w:rPr>
        <w:t xml:space="preserve"> tissues demonstrating it</w:t>
      </w:r>
      <w:r w:rsidR="00A84899" w:rsidRPr="00825E2B">
        <w:rPr>
          <w:rFonts w:ascii="Book Antiqua" w:eastAsia="MS Mincho" w:hAnsi="Book Antiqua"/>
          <w:sz w:val="24"/>
          <w:szCs w:val="24"/>
          <w:lang w:val="en-US"/>
        </w:rPr>
        <w:t>s central role in MG catabolism</w:t>
      </w:r>
      <w:r w:rsidR="008D6B52" w:rsidRPr="00825E2B">
        <w:rPr>
          <w:rFonts w:ascii="Book Antiqua" w:hAnsi="Book Antiqua" w:cs="Arial"/>
          <w:sz w:val="24"/>
          <w:szCs w:val="24"/>
          <w:lang w:val="en-US"/>
        </w:rPr>
        <w:fldChar w:fldCharType="begin" w:fldLock="1"/>
      </w:r>
      <w:r w:rsidR="007205B5" w:rsidRPr="00825E2B">
        <w:rPr>
          <w:rFonts w:ascii="Book Antiqua" w:hAnsi="Book Antiqua" w:cs="Arial"/>
          <w:sz w:val="24"/>
          <w:szCs w:val="24"/>
          <w:lang w:val="en-US"/>
        </w:rPr>
        <w:instrText>ADDIN CSL_CITATION {"citationItems":[{"id":"ITEM-1","itemData":{"DOI":"10.1016/j.pharmthera.2017.02.033","ISBN":"1471-003X","ISSN":"1879016X","PMID":"28213089","abstract":"Monoglyerides (MGs) are short-lived, intermediary lipids deriving from the degradation of phospho- and neutral lipids, and monoglyceride lipase (MGL), also designated as monoacylglycerol lipase (MAGL), is the major enzyme catalyzing the hydrolysis of MGs into glycerol and fatty acids. This distinct function enables MGL to regulate a number of physiological and pathophysiological processes since both MGs and fatty acids can act as signaling lipids or precursors thereof. The most prominent MG species acting as signaling lipid is 2-arachidonoyl glycerol (2-AG) which is the most abundant endogenous agonist of cannabinoid receptors in the body. Importantly, recent observations demonstrate that 2-AG represents a quantitatively important source for arachidonic acid, the precursor of prostaglandins and other inflammatory mediators. Accordingly, MGL-mediated 2-AG degradation affects lipid signaling by cannabinoid receptor-dependent and independent mechanisms. Recent genetic and pharmacological studies gave important insights into MGL's role in (patho-)physiological processes, and the enzyme is now considered as a promising drug target for a number of disorders including cancer, neurodegenerative and inflammatory diseases. This review summarizes the basics of MG (2-AG) metabolism and provides an overview on the therapeutic potential of MGL.","author":[{"dropping-particle":"","family":"Grabner","given":"Gernot F.","non-dropping-particle":"","parse-names":false,"suffix":""},{"dropping-particle":"","family":"Zimmermann","given":"Robert","non-dropping-particle":"","parse-names":false,"suffix":""},{"dropping-particle":"","family":"Schicho","given":"Rudolf","non-dropping-particle":"","parse-names":false,"suffix":""},{"dropping-particle":"","family":"Taschler","given":"Ulrike","non-dropping-particle":"","parse-names":false,"suffix":""}],"container-title":"Pharmacology and Therapeutics","id":"ITEM-1","issued":{"date-parts":[["2017"]]},"title":"Monoglyceride lipase as a drug target: At the crossroads of arachidonic acid metabolism and endocannabinoid signaling","type":"article"},"uris":["http://www.mendeley.com/documents/?uuid=f4f6c4ea-3d09-4cb1-b312-a3816d3ebfcc"]}],"mendeley":{"formattedCitation":"&lt;sup&gt;[9]&lt;/sup&gt;","plainTextFormattedCitation":"[9]","previouslyFormattedCitation":"&lt;sup&gt;[9]&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C0560F" w:rsidRPr="00825E2B">
        <w:rPr>
          <w:rFonts w:ascii="Book Antiqua" w:hAnsi="Book Antiqua" w:cs="Arial"/>
          <w:noProof/>
          <w:sz w:val="24"/>
          <w:szCs w:val="24"/>
          <w:vertAlign w:val="superscript"/>
          <w:lang w:val="en-US"/>
        </w:rPr>
        <w:t>[9]</w:t>
      </w:r>
      <w:r w:rsidR="008D6B52" w:rsidRPr="00825E2B">
        <w:rPr>
          <w:rFonts w:ascii="Book Antiqua" w:hAnsi="Book Antiqua" w:cs="Arial"/>
          <w:sz w:val="24"/>
          <w:szCs w:val="24"/>
          <w:lang w:val="en-US"/>
        </w:rPr>
        <w:fldChar w:fldCharType="end"/>
      </w:r>
      <w:r w:rsidR="007A29A3" w:rsidRPr="00825E2B">
        <w:rPr>
          <w:rFonts w:ascii="Book Antiqua" w:hAnsi="Book Antiqua" w:cs="Arial"/>
          <w:sz w:val="24"/>
          <w:szCs w:val="24"/>
          <w:lang w:val="en-US"/>
        </w:rPr>
        <w:t>.</w:t>
      </w:r>
      <w:r w:rsidR="00FE2DE7" w:rsidRPr="00825E2B">
        <w:rPr>
          <w:rFonts w:ascii="Book Antiqua" w:hAnsi="Book Antiqua" w:cs="Arial"/>
          <w:sz w:val="24"/>
          <w:szCs w:val="24"/>
          <w:lang w:val="en-US"/>
        </w:rPr>
        <w:t xml:space="preserve"> </w:t>
      </w:r>
      <w:r w:rsidR="00772F25" w:rsidRPr="00825E2B">
        <w:rPr>
          <w:rFonts w:ascii="Book Antiqua" w:hAnsi="Book Antiqua" w:cs="Arial"/>
          <w:sz w:val="24"/>
          <w:szCs w:val="24"/>
          <w:lang w:val="en-US"/>
        </w:rPr>
        <w:t>In diet induced obesity</w:t>
      </w:r>
      <w:r w:rsidR="006E2075" w:rsidRPr="00825E2B">
        <w:rPr>
          <w:rFonts w:ascii="Book Antiqua" w:hAnsi="Book Antiqua" w:cs="Arial"/>
          <w:sz w:val="24"/>
          <w:szCs w:val="24"/>
          <w:lang w:val="en-US"/>
        </w:rPr>
        <w:t xml:space="preserve"> models, </w:t>
      </w:r>
      <w:r w:rsidR="00FE2DE7" w:rsidRPr="00825E2B">
        <w:rPr>
          <w:rFonts w:ascii="Book Antiqua" w:hAnsi="Book Antiqua" w:cs="Arial"/>
          <w:sz w:val="24"/>
          <w:szCs w:val="24"/>
          <w:lang w:val="en-US"/>
        </w:rPr>
        <w:t xml:space="preserve">MGL </w:t>
      </w:r>
      <w:r w:rsidR="006E2075" w:rsidRPr="00825E2B">
        <w:rPr>
          <w:rFonts w:ascii="Book Antiqua" w:hAnsi="Book Antiqua" w:cs="Arial"/>
          <w:sz w:val="24"/>
          <w:szCs w:val="24"/>
          <w:lang w:val="en-US"/>
        </w:rPr>
        <w:t>ablation</w:t>
      </w:r>
      <w:r w:rsidR="00CA1359" w:rsidRPr="00825E2B">
        <w:rPr>
          <w:rFonts w:ascii="Book Antiqua" w:hAnsi="Book Antiqua" w:cs="Arial"/>
          <w:sz w:val="24"/>
          <w:szCs w:val="24"/>
          <w:lang w:val="en-US"/>
        </w:rPr>
        <w:t xml:space="preserve"> showed to be protect</w:t>
      </w:r>
      <w:r w:rsidR="006E2075" w:rsidRPr="00825E2B">
        <w:rPr>
          <w:rFonts w:ascii="Book Antiqua" w:hAnsi="Book Antiqua" w:cs="Arial"/>
          <w:sz w:val="24"/>
          <w:szCs w:val="24"/>
          <w:lang w:val="en-US"/>
        </w:rPr>
        <w:t>ive</w:t>
      </w:r>
      <w:r w:rsidR="00CA1359" w:rsidRPr="00825E2B">
        <w:rPr>
          <w:rFonts w:ascii="Book Antiqua" w:hAnsi="Book Antiqua" w:cs="Arial"/>
          <w:sz w:val="24"/>
          <w:szCs w:val="24"/>
          <w:lang w:val="en-US"/>
        </w:rPr>
        <w:t xml:space="preserve"> </w:t>
      </w:r>
      <w:r w:rsidR="006E2075" w:rsidRPr="00825E2B">
        <w:rPr>
          <w:rFonts w:ascii="Book Antiqua" w:hAnsi="Book Antiqua" w:cs="Arial"/>
          <w:sz w:val="24"/>
          <w:szCs w:val="24"/>
          <w:lang w:val="en-US"/>
        </w:rPr>
        <w:t>in</w:t>
      </w:r>
      <w:r w:rsidR="00CA1359" w:rsidRPr="00825E2B">
        <w:rPr>
          <w:rFonts w:ascii="Book Antiqua" w:hAnsi="Book Antiqua" w:cs="Arial"/>
          <w:sz w:val="24"/>
          <w:szCs w:val="24"/>
          <w:lang w:val="en-US"/>
        </w:rPr>
        <w:t xml:space="preserve"> the development of glucose intolerance and insulin resistance</w:t>
      </w:r>
      <w:r w:rsidR="00FE2DE7" w:rsidRPr="00825E2B">
        <w:rPr>
          <w:rFonts w:ascii="Book Antiqua" w:hAnsi="Book Antiqua" w:cs="Arial"/>
          <w:sz w:val="24"/>
          <w:szCs w:val="24"/>
          <w:lang w:val="en-US"/>
        </w:rPr>
        <w:t xml:space="preserve">, although </w:t>
      </w:r>
      <w:r w:rsidR="00CA1359" w:rsidRPr="00825E2B">
        <w:rPr>
          <w:rFonts w:ascii="Book Antiqua" w:hAnsi="Book Antiqua" w:cs="Arial"/>
          <w:sz w:val="24"/>
          <w:szCs w:val="24"/>
          <w:lang w:val="en-US"/>
        </w:rPr>
        <w:t xml:space="preserve">reduced MGL activity </w:t>
      </w:r>
      <w:r w:rsidR="00F14E0D" w:rsidRPr="00825E2B">
        <w:rPr>
          <w:rFonts w:ascii="Book Antiqua" w:hAnsi="Book Antiqua" w:cs="Arial"/>
          <w:sz w:val="24"/>
          <w:szCs w:val="24"/>
          <w:lang w:val="en-US"/>
        </w:rPr>
        <w:t>wa</w:t>
      </w:r>
      <w:r w:rsidR="00CA1359" w:rsidRPr="00825E2B">
        <w:rPr>
          <w:rFonts w:ascii="Book Antiqua" w:hAnsi="Book Antiqua" w:cs="Arial"/>
          <w:sz w:val="24"/>
          <w:szCs w:val="24"/>
          <w:lang w:val="en-US"/>
        </w:rPr>
        <w:t xml:space="preserve">s partially reverted by </w:t>
      </w:r>
      <w:r w:rsidR="007E02F1" w:rsidRPr="00825E2B">
        <w:rPr>
          <w:rFonts w:ascii="Book Antiqua" w:eastAsia="MS Mincho" w:hAnsi="Book Antiqua"/>
          <w:sz w:val="24"/>
          <w:szCs w:val="24"/>
          <w:lang w:val="en-US"/>
        </w:rPr>
        <w:t>hormone-sensitive lipase</w:t>
      </w:r>
      <w:r w:rsidR="00D12EA3"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D12EA3"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[23]</w:t>
      </w:r>
      <w:r w:rsidR="00D12EA3" w:rsidRPr="00825E2B">
        <w:rPr>
          <w:rFonts w:ascii="Book Antiqua" w:hAnsi="Book Antiqua" w:cs="Arial"/>
          <w:sz w:val="24"/>
          <w:szCs w:val="24"/>
          <w:lang w:val="en-US"/>
        </w:rPr>
        <w:fldChar w:fldCharType="end"/>
      </w:r>
      <w:r w:rsidR="00CA1359" w:rsidRPr="00825E2B">
        <w:rPr>
          <w:rFonts w:ascii="Book Antiqua" w:hAnsi="Book Antiqua" w:cs="Arial"/>
          <w:sz w:val="24"/>
          <w:szCs w:val="24"/>
          <w:lang w:val="en-US"/>
        </w:rPr>
        <w:t xml:space="preserve">. </w:t>
      </w:r>
      <w:r w:rsidR="00A84899" w:rsidRPr="00825E2B">
        <w:rPr>
          <w:rFonts w:ascii="Book Antiqua" w:eastAsia="MS Mincho" w:hAnsi="Book Antiqua"/>
          <w:sz w:val="24"/>
          <w:szCs w:val="24"/>
          <w:lang w:val="en-US"/>
        </w:rPr>
        <w:t>This phenotype was shown to be influenced by the effects of MGL on the central nervous system and derived behavioral changes triggered by the endocannabinoid</w:t>
      </w:r>
      <w:r w:rsidR="004B27DB" w:rsidRPr="00825E2B">
        <w:rPr>
          <w:rFonts w:ascii="Book Antiqua" w:eastAsia="MS Mincho" w:hAnsi="Book Antiqua"/>
          <w:sz w:val="24"/>
          <w:szCs w:val="24"/>
          <w:lang w:val="en-US"/>
        </w:rPr>
        <w:t xml:space="preserve"> </w:t>
      </w:r>
      <w:r w:rsidR="00A84899" w:rsidRPr="00825E2B">
        <w:rPr>
          <w:rFonts w:ascii="Book Antiqua" w:eastAsia="MS Mincho" w:hAnsi="Book Antiqua"/>
          <w:sz w:val="24"/>
          <w:szCs w:val="24"/>
          <w:lang w:val="en-US"/>
        </w:rPr>
        <w:t>pathway</w:t>
      </w:r>
      <w:r w:rsidR="00CA1359"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CA1359"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[23]</w:t>
      </w:r>
      <w:r w:rsidR="00CA1359" w:rsidRPr="00825E2B">
        <w:rPr>
          <w:rFonts w:ascii="Book Antiqua" w:hAnsi="Book Antiqua" w:cs="Arial"/>
          <w:sz w:val="24"/>
          <w:szCs w:val="24"/>
          <w:lang w:val="en-US"/>
        </w:rPr>
        <w:fldChar w:fldCharType="end"/>
      </w:r>
      <w:r w:rsidR="00CA1359" w:rsidRPr="00825E2B">
        <w:rPr>
          <w:rFonts w:ascii="Book Antiqua" w:hAnsi="Book Antiqua" w:cs="Arial"/>
          <w:sz w:val="24"/>
          <w:szCs w:val="24"/>
          <w:lang w:val="en-US"/>
        </w:rPr>
        <w:t xml:space="preserve">. </w:t>
      </w:r>
      <w:r w:rsidR="00A84899" w:rsidRPr="00825E2B">
        <w:rPr>
          <w:rFonts w:ascii="Book Antiqua" w:eastAsia="MS Mincho" w:hAnsi="Book Antiqua"/>
          <w:sz w:val="24"/>
          <w:szCs w:val="24"/>
          <w:lang w:val="en-US"/>
        </w:rPr>
        <w:t>Importantly,</w:t>
      </w:r>
      <w:r w:rsidR="004E2C6C" w:rsidRPr="00825E2B">
        <w:rPr>
          <w:rFonts w:ascii="Book Antiqua" w:eastAsia="MS Mincho" w:hAnsi="Book Antiqua"/>
          <w:sz w:val="24"/>
          <w:szCs w:val="24"/>
          <w:lang w:val="en-US"/>
        </w:rPr>
        <w:t xml:space="preserve"> MGL knockout mice</w:t>
      </w:r>
      <w:r w:rsidR="00A84899" w:rsidRPr="00825E2B">
        <w:rPr>
          <w:rFonts w:ascii="Book Antiqua" w:eastAsia="MS Mincho" w:hAnsi="Book Antiqua"/>
          <w:sz w:val="24"/>
          <w:szCs w:val="24"/>
          <w:lang w:val="en-US"/>
        </w:rPr>
        <w:t> </w:t>
      </w:r>
      <w:r w:rsidR="004E2C6C" w:rsidRPr="00825E2B">
        <w:rPr>
          <w:rFonts w:ascii="Book Antiqua" w:eastAsia="MS Mincho" w:hAnsi="Book Antiqua"/>
          <w:sz w:val="24"/>
          <w:szCs w:val="24"/>
          <w:lang w:val="en-US"/>
        </w:rPr>
        <w:t>(</w:t>
      </w:r>
      <w:proofErr w:type="spellStart"/>
      <w:r w:rsidR="00A84899" w:rsidRPr="00825E2B">
        <w:rPr>
          <w:rFonts w:ascii="Book Antiqua" w:eastAsia="MS Mincho" w:hAnsi="Book Antiqua"/>
          <w:i/>
          <w:iCs/>
          <w:sz w:val="24"/>
          <w:szCs w:val="24"/>
          <w:lang w:val="en-US"/>
        </w:rPr>
        <w:t>Mgl</w:t>
      </w:r>
      <w:proofErr w:type="spellEnd"/>
      <w:r w:rsidR="00A84899" w:rsidRPr="00825E2B">
        <w:rPr>
          <w:rFonts w:ascii="Book Antiqua" w:eastAsia="MS Mincho" w:hAnsi="Book Antiqua"/>
          <w:i/>
          <w:sz w:val="24"/>
          <w:szCs w:val="24"/>
          <w:vertAlign w:val="superscript"/>
          <w:lang w:val="en-US"/>
        </w:rPr>
        <w:t>-/-</w:t>
      </w:r>
      <w:r w:rsidR="004E2C6C" w:rsidRPr="00825E2B">
        <w:rPr>
          <w:rFonts w:ascii="Book Antiqua" w:eastAsia="MS Mincho" w:hAnsi="Book Antiqua"/>
          <w:sz w:val="24"/>
          <w:szCs w:val="24"/>
          <w:lang w:val="en-US"/>
        </w:rPr>
        <w:t xml:space="preserve">) </w:t>
      </w:r>
      <w:r w:rsidR="00A84899" w:rsidRPr="00825E2B">
        <w:rPr>
          <w:rFonts w:ascii="Book Antiqua" w:eastAsia="MS Mincho" w:hAnsi="Book Antiqua"/>
          <w:sz w:val="24"/>
          <w:szCs w:val="24"/>
          <w:lang w:val="en-US"/>
        </w:rPr>
        <w:t>showed</w:t>
      </w:r>
      <w:r w:rsidR="004B27DB" w:rsidRPr="00825E2B">
        <w:rPr>
          <w:rFonts w:ascii="Book Antiqua" w:eastAsia="MS Mincho" w:hAnsi="Book Antiqua"/>
          <w:sz w:val="24"/>
          <w:szCs w:val="24"/>
          <w:lang w:val="en-US"/>
        </w:rPr>
        <w:t xml:space="preserve"> </w:t>
      </w:r>
      <w:r w:rsidR="00A84899" w:rsidRPr="00825E2B">
        <w:rPr>
          <w:rFonts w:ascii="Book Antiqua" w:eastAsia="MS Mincho" w:hAnsi="Book Antiqua"/>
          <w:sz w:val="24"/>
          <w:szCs w:val="24"/>
          <w:lang w:val="en-US"/>
        </w:rPr>
        <w:t>neuroprotective</w:t>
      </w:r>
      <w:r w:rsidR="004B27DB" w:rsidRPr="00825E2B">
        <w:rPr>
          <w:rFonts w:ascii="Book Antiqua" w:eastAsia="MS Mincho" w:hAnsi="Book Antiqua"/>
          <w:sz w:val="24"/>
          <w:szCs w:val="24"/>
          <w:lang w:val="en-US"/>
        </w:rPr>
        <w:t xml:space="preserve"> </w:t>
      </w:r>
      <w:r w:rsidR="00A84899" w:rsidRPr="00825E2B">
        <w:rPr>
          <w:rFonts w:ascii="Book Antiqua" w:eastAsia="MS Mincho" w:hAnsi="Book Antiqua"/>
          <w:sz w:val="24"/>
          <w:szCs w:val="24"/>
          <w:lang w:val="en-US"/>
        </w:rPr>
        <w:t>properties in a parkinsonian mouse model, with consequent reduction of multiple prostaglandins and eicosanoids</w:t>
      </w:r>
      <w:r w:rsidR="004B27DB" w:rsidRPr="00825E2B">
        <w:rPr>
          <w:rFonts w:ascii="Book Antiqua" w:eastAsia="MS Mincho" w:hAnsi="Book Antiqua"/>
          <w:sz w:val="24"/>
          <w:szCs w:val="24"/>
          <w:lang w:val="en-US"/>
        </w:rPr>
        <w:t xml:space="preserve"> </w:t>
      </w:r>
      <w:r w:rsidR="00A84899" w:rsidRPr="00825E2B">
        <w:rPr>
          <w:rFonts w:ascii="Book Antiqua" w:eastAsia="MS Mincho" w:hAnsi="Book Antiqua"/>
          <w:sz w:val="24"/>
          <w:szCs w:val="24"/>
          <w:lang w:val="en-US"/>
        </w:rPr>
        <w:t xml:space="preserve">mediators in the brain, including prostaglandin -E2, -D2, -F2, and </w:t>
      </w:r>
      <w:r w:rsidR="00772F25" w:rsidRPr="00825E2B">
        <w:rPr>
          <w:rFonts w:ascii="Book Antiqua" w:eastAsia="MS Mincho" w:hAnsi="Book Antiqua"/>
          <w:sz w:val="24"/>
          <w:szCs w:val="24"/>
          <w:lang w:val="en-US"/>
        </w:rPr>
        <w:t>thromboxane</w:t>
      </w:r>
      <w:r w:rsidR="004B27DB" w:rsidRPr="00825E2B">
        <w:rPr>
          <w:rFonts w:ascii="Book Antiqua" w:eastAsia="MS Mincho" w:hAnsi="Book Antiqua"/>
          <w:sz w:val="24"/>
          <w:szCs w:val="24"/>
          <w:lang w:val="en-US"/>
        </w:rPr>
        <w:t xml:space="preserve"> </w:t>
      </w:r>
      <w:r w:rsidR="00772F25" w:rsidRPr="00825E2B">
        <w:rPr>
          <w:rFonts w:ascii="Book Antiqua" w:eastAsia="MS Mincho" w:hAnsi="Book Antiqua"/>
          <w:sz w:val="24"/>
          <w:szCs w:val="24"/>
          <w:lang w:val="en-US"/>
        </w:rPr>
        <w:t>B2</w:t>
      </w:r>
      <w:r w:rsidR="00E0587A"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{"citationItems":[{"id":"ITEM-1","itemData":{"DOI":"10.1126/science.1209200","ISBN":"1095-9203 (Electronic)\\r0036-8075 (Linking)","ISSN":"10959203","PMID":"22021672","abstract":"Phospholipase A(2)(PLA(2)) enzymes are considered the primary source of arachidonic acid for cyclooxygenase (COX)-mediated biosynthesis of prostaglandins. Here, we show that a distinct pathway exists in brain, where monoacylglycerol lipase (MAGL) hydrolyzes the endocannabinoid 2-arachidonoylglycerol to generate a major arachidonate precursor pool for neuroinflammatory prostaglandins. MAGL-disrupted animals show neuroprotection in a parkinsonian mouse model. These animals are spared the hemorrhaging caused by COX inhibitors in the gut, where prostaglandins are instead regulated by cytosolic PLA(2). These findings identify MAGL as a distinct metabolic node that couples endocannabinoid to prostaglandin signaling networks in the nervous system and suggest that inhibition of this enzyme may be a new and potentially safer way to suppress the proinflammatory cascades that underlie neurodegenerative disorders.","author":[{"dropping-particle":"","family":"Nomura","given":"Daniel K.","non-dropping-particle":"","parse-names":false,"suffix":""},{"dropping-particle":"","family":"Morrison","given":"Bradley E.","non-dropping-particle":"","parse-names":false,"suffix":""},{"dropping-particle":"","family":"Blankman","given":"Jacqueline L.","non-dropping-particle":"","parse-names":false,"suffix":""},{"dropping-particle":"","family":"Long","given":"Jonathan Z.","non-dropping-particle":"","parse-names":false,"suffix":""},{"dropping-particle":"","family":"Kinsey","given":"Steven G.","non-dropping-particle":"","parse-names":false,"suffix":""},{"dropping-particle":"","family":"Marcondes","given":"Maria Cecilia G","non-dropping-particle":"","parse-names":false,"suffix":""},{"dropping-particle":"","family":"Ward","given":"Anna M.","non-dropping-particle":"","parse-names":false,"suffix":""},{"dropping-particle":"","family":"Hahn","given":"Yun Kyung","non-dropping-particle":"","parse-names":false,"suffix":""},{"dropping-particle":"","family":"Lichtman","given":"Aron H.","non-dropping-particle":"","parse-names":false,"suffix":""},{"dropping-particle":"","family":"Conti","given":"Bruno","non-dropping-particle":"","parse-names":false,"suffix":""},{"dropping-particle":"","family":"Cravatt","given":"Benjamin F.","non-dropping-particle":"","parse-names":false,"suffix":""}],"container-title":"Science","id":"ITEM-1","issue":"6057","issued":{"date-parts":[["2011"]]},"page":"809-813","title":"Endocannabinoid hydrolysis generates brain prostaglandins that promote neuroinflammation","type":"article-journal","volume":"334"},"uris":["http://www.mendeley.com/documents/?uuid=f55f6f15-4026-43d6-a57d-b7dd8877ad3e"]}],"mendeley":{"formattedCitation":"&lt;sup&gt;[24]&lt;/sup&gt;","plainTextFormattedCitation":"[24]","previouslyFormattedCitation":"&lt;sup&gt;[23]&lt;/sup&gt;"},"properties":{"noteIndex":0},"schema":"https://github.com/citation-style-language/schema/raw/master/csl-citation.json"}</w:instrText>
      </w:r>
      <w:r w:rsidR="00E0587A"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[24]</w:t>
      </w:r>
      <w:r w:rsidR="00E0587A" w:rsidRPr="00825E2B">
        <w:rPr>
          <w:rFonts w:ascii="Book Antiqua" w:hAnsi="Book Antiqua" w:cs="Arial"/>
          <w:sz w:val="24"/>
          <w:szCs w:val="24"/>
          <w:lang w:val="en-US"/>
        </w:rPr>
        <w:fldChar w:fldCharType="end"/>
      </w:r>
      <w:r w:rsidR="00E0587A" w:rsidRPr="00825E2B">
        <w:rPr>
          <w:rFonts w:ascii="Book Antiqua" w:hAnsi="Book Antiqua" w:cs="Arial"/>
          <w:sz w:val="24"/>
          <w:szCs w:val="24"/>
          <w:lang w:val="en-US"/>
        </w:rPr>
        <w:t xml:space="preserve">. </w:t>
      </w:r>
      <w:r w:rsidR="00A84899" w:rsidRPr="00825E2B">
        <w:rPr>
          <w:rFonts w:ascii="Book Antiqua" w:eastAsia="MS Mincho" w:hAnsi="Book Antiqua"/>
          <w:sz w:val="24"/>
          <w:szCs w:val="24"/>
          <w:lang w:val="en-US"/>
        </w:rPr>
        <w:t xml:space="preserve">In keeping with this parkinsonian mouse models, MGL´s network of endocannabinoid and prostaglandin regulation was also </w:t>
      </w:r>
      <w:r w:rsidR="00A84899" w:rsidRPr="00825E2B">
        <w:rPr>
          <w:rFonts w:ascii="Book Antiqua" w:eastAsia="MS Mincho" w:hAnsi="Book Antiqua"/>
          <w:sz w:val="24"/>
          <w:szCs w:val="24"/>
          <w:lang w:val="en-US"/>
        </w:rPr>
        <w:lastRenderedPageBreak/>
        <w:t>demonstrated to contribute to the pathogenesis of Alzheimer´s disease, representing a promising target for its prevention/treatment</w:t>
      </w:r>
      <w:r w:rsidR="00014227"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{"citationItems":[{"id":"ITEM-1","itemData":{"DOI":"10.1016/j.celrep.2012.09.030","ISBN":"1873-7064 (Electronic)\\r0028-3908 (Linking)","ISSN":"22111247","PMID":"1000000221","abstract":"Alzheimer@s disease (AD) is the most common cause of dementia among older people. There are no effective medications currently available to prevent and treat AD and halt disease progression. Monoacylglycerol lipase (MAGL) is the primary enzyme metabolizing the endocannabinoid 2-arachidonoylglycerol in the brain. We show here that inactivation of MAGL robustly suppressed production and accumulation of β-amyloid (Aβ) associated with reduced expression of β-site amyloid precursor protein cleaving enzyme 1 (BACE1) in a mouse model of AD. MAGL inhibition also prevented neuroinflammation, decreased neurodegeneration, maintained integrity of hippocampal synaptic structure and function, and improved long-term synaptic plasticity, spatial learning, and memory in AD animals. Although the molecular mechanisms underlying the beneficial effects produced by MAGL inhibition remain to be determined, our results suggest that MAGL, which regulates endocannabinoid and prostaglandin signaling, contributes to pathogenesis and neuropathology of AD, and thus is a promising therapeutic target for the prevention and treatment of AD.","author":[{"dropping-particle":"","family":"Chen","given":"Rongqing","non-dropping-particle":"","parse-names":false,"suffix":""},{"dropping-particle":"","family":"Zhang","given":"Jian","non-dropping-particle":"","parse-names":false,"suffix":""},{"dropping-particle":"","family":"Wu","given":"Yan","non-dropping-particle":"","parse-names":false,"suffix":""},{"dropping-particle":"","family":"Wang","given":"Dongqing","non-dropping-particle":"","parse-names":false,"suffix":""},{"dropping-particle":"","family":"Feng","given":"Guoping","non-dropping-particle":"","parse-names":false,"suffix":""},{"dropping-particle":"","family":"Tang","given":"Ya Ping","non-dropping-particle":"","parse-names":false,"suffix":""},{"dropping-particle":"","family":"Teng","given":"Zhaoqian","non-dropping-particle":"","parse-names":false,"suffix":""},{"dropping-particle":"","family":"Chen","given":"Chu","non-dropping-particle":"","parse-names":false,"suffix":""}],"container-title":"Cell Reports","id":"ITEM-1","issued":{"date-parts":[["2012"]]},"title":"Monoacylglycerol Lipase Is a Therapeutic Target for Alzheimer's Disease","type":"article-journal"},"uris":["http://www.mendeley.com/documents/?uuid=5fd1e532-80cb-4318-95e8-70c5dd548a7a"]}],"mendeley":{"formattedCitation":"&lt;sup&gt;[16]&lt;/sup&gt;","plainTextFormattedCitation":"[16]","previouslyFormattedCitation":"&lt;sup&gt;[16]&lt;/sup&gt;"},"properties":{"noteIndex":0},"schema":"https://github.com/citation-style-language/schema/raw/master/csl-citation.json"}</w:instrText>
      </w:r>
      <w:r w:rsidR="00014227" w:rsidRPr="00825E2B">
        <w:rPr>
          <w:rFonts w:ascii="Book Antiqua" w:hAnsi="Book Antiqua" w:cs="Arial"/>
          <w:sz w:val="24"/>
          <w:szCs w:val="24"/>
          <w:lang w:val="en-US"/>
        </w:rPr>
        <w:fldChar w:fldCharType="separate"/>
      </w:r>
      <w:r w:rsidR="006750B3" w:rsidRPr="00825E2B">
        <w:rPr>
          <w:rFonts w:ascii="Book Antiqua" w:hAnsi="Book Antiqua" w:cs="Arial"/>
          <w:noProof/>
          <w:sz w:val="24"/>
          <w:szCs w:val="24"/>
          <w:vertAlign w:val="superscript"/>
          <w:lang w:val="en-US"/>
        </w:rPr>
        <w:t>[16]</w:t>
      </w:r>
      <w:r w:rsidR="00014227" w:rsidRPr="00825E2B">
        <w:rPr>
          <w:rFonts w:ascii="Book Antiqua" w:hAnsi="Book Antiqua" w:cs="Arial"/>
          <w:sz w:val="24"/>
          <w:szCs w:val="24"/>
          <w:lang w:val="en-US"/>
        </w:rPr>
        <w:fldChar w:fldCharType="end"/>
      </w:r>
      <w:r w:rsidR="00014227" w:rsidRPr="00825E2B">
        <w:rPr>
          <w:rFonts w:ascii="Book Antiqua" w:hAnsi="Book Antiqua" w:cs="Arial"/>
          <w:sz w:val="24"/>
          <w:szCs w:val="24"/>
          <w:lang w:val="en-US"/>
        </w:rPr>
        <w:t xml:space="preserve">. </w:t>
      </w:r>
      <w:r w:rsidR="00FF031D" w:rsidRPr="00825E2B">
        <w:rPr>
          <w:rFonts w:ascii="Book Antiqua" w:eastAsia="MS Mincho" w:hAnsi="Book Antiqua"/>
          <w:sz w:val="24"/>
          <w:szCs w:val="24"/>
          <w:lang w:val="en-US"/>
        </w:rPr>
        <w:t>Chronic inactivation of MGL in the central nervous system was shown to lead to a 2-AG oversupply and consecutive desensitization of cannabinoid 1 receptor (CB1r) signaling</w:t>
      </w:r>
      <w:r w:rsidR="008D6B5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[23]</w:t>
      </w:r>
      <w:r w:rsidR="008D6B52" w:rsidRPr="00825E2B">
        <w:rPr>
          <w:rFonts w:ascii="Book Antiqua" w:hAnsi="Book Antiqua" w:cs="Arial"/>
          <w:sz w:val="24"/>
          <w:szCs w:val="24"/>
          <w:lang w:val="en-US"/>
        </w:rPr>
        <w:fldChar w:fldCharType="end"/>
      </w:r>
      <w:r w:rsidRPr="00825E2B">
        <w:rPr>
          <w:rFonts w:ascii="Book Antiqua" w:hAnsi="Book Antiqua" w:cs="Arial"/>
          <w:sz w:val="24"/>
          <w:szCs w:val="24"/>
          <w:lang w:val="en-US"/>
        </w:rPr>
        <w:t xml:space="preserve">. </w:t>
      </w:r>
      <w:r w:rsidR="00FF031D" w:rsidRPr="00825E2B">
        <w:rPr>
          <w:rFonts w:ascii="Book Antiqua" w:eastAsia="MS Mincho" w:hAnsi="Book Antiqua"/>
          <w:sz w:val="24"/>
          <w:szCs w:val="24"/>
          <w:lang w:val="en-US"/>
        </w:rPr>
        <w:t>Intriguingly, central CB1r inactivation was correlated to a higher incidence of depression and several other psychiatric side effects in patients</w:t>
      </w:r>
      <w:r w:rsidR="00DB0BFC"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{"citationItems":[{"id":"ITEM-1","itemData":{"DOI":"10.2174/13816128113196660735","ISSN":"13816128","PMID":"24180398","abstract":"The purpose of this review is to examine human and preclinical data that are relevant to the following hypotheses. The first hypothesis is that deficient CB1R-mediated signaling results in symptoms that mimic those seen in depression. The second hypothesis is that activation of CB1R-mediated signaling results in behavioral, endocrine and other effects that are similar to those produced by currently used antidepressants. The third hypothesis is that conventional antidepressant therapies act through enhanced CB1R mediated signaling. Together the available data indicate that activators of CB1R signaling, particularly inhibitors of fatty acid amide hydrolase, should be considered for clinical trials for the treatment of depression.","author":[{"dropping-particle":"","family":"Hillard","given":"Cecilia","non-dropping-particle":"","parse-names":false,"suffix":""},{"dropping-particle":"","family":"Liu","given":"Qing-song","non-dropping-particle":"","parse-names":false,"suffix":""}],"container-title":"Current Pharmaceutical Design","id":"ITEM-1","issued":{"date-parts":[["2014"]]},"title":"Endocannabinoid Signaling in the Etiology and Treatment of Major Depressive Illness","type":"article-journal"},"uris":["http://www.mendeley.com/documents/?uuid=b91ba0f2-6426-4230-b831-2ecbe45f4d62"]}],"mendeley":{"formattedCitation":"&lt;sup&gt;[25]&lt;/sup&gt;","plainTextFormattedCitation":"[25]","previouslyFormattedCitation":"&lt;sup&gt;[24]&lt;/sup&gt;"},"properties":{"noteIndex":0},"schema":"https://github.com/citation-style-language/schema/raw/master/csl-citation.json"}</w:instrText>
      </w:r>
      <w:r w:rsidR="00DB0BFC"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[25]</w:t>
      </w:r>
      <w:r w:rsidR="00DB0BFC" w:rsidRPr="00825E2B">
        <w:rPr>
          <w:rFonts w:ascii="Book Antiqua" w:eastAsia="MS Mincho" w:hAnsi="Book Antiqua"/>
          <w:sz w:val="24"/>
          <w:szCs w:val="24"/>
          <w:lang w:val="en-US"/>
        </w:rPr>
        <w:fldChar w:fldCharType="end"/>
      </w:r>
      <w:r w:rsidR="00FF031D" w:rsidRPr="00825E2B">
        <w:rPr>
          <w:rFonts w:ascii="Book Antiqua" w:eastAsia="MS Mincho" w:hAnsi="Book Antiqua"/>
          <w:sz w:val="24"/>
          <w:szCs w:val="24"/>
          <w:lang w:val="en-US"/>
        </w:rPr>
        <w:t>, which led to consequent withdrawal of the anti-obesity drug rimonabant, an inverse CB1r agonist</w:t>
      </w:r>
      <w:r w:rsidR="00F14E0D"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F14E0D"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[23]</w:t>
      </w:r>
      <w:r w:rsidR="00F14E0D" w:rsidRPr="00825E2B">
        <w:rPr>
          <w:rFonts w:ascii="Book Antiqua" w:hAnsi="Book Antiqua" w:cs="Arial"/>
          <w:sz w:val="24"/>
          <w:szCs w:val="24"/>
          <w:lang w:val="en-US"/>
        </w:rPr>
        <w:fldChar w:fldCharType="end"/>
      </w:r>
      <w:r w:rsidRPr="00825E2B">
        <w:rPr>
          <w:rFonts w:ascii="Book Antiqua" w:hAnsi="Book Antiqua" w:cs="Arial"/>
          <w:sz w:val="24"/>
          <w:szCs w:val="24"/>
          <w:lang w:val="en-US"/>
        </w:rPr>
        <w:t xml:space="preserve">. </w:t>
      </w:r>
      <w:r w:rsidR="00FF031D" w:rsidRPr="00825E2B">
        <w:rPr>
          <w:rFonts w:ascii="Book Antiqua" w:eastAsia="MS Mincho" w:hAnsi="Book Antiqua"/>
          <w:sz w:val="24"/>
          <w:szCs w:val="24"/>
          <w:lang w:val="en-US"/>
        </w:rPr>
        <w:t>Experiments with CB1r/MGL double-KO mice revealed that oral but not intraperitoneal lipid administration strongly suppressed the appetites of </w:t>
      </w:r>
      <w:proofErr w:type="spellStart"/>
      <w:r w:rsidR="00FF031D" w:rsidRPr="00825E2B">
        <w:rPr>
          <w:rFonts w:ascii="Book Antiqua" w:eastAsia="MS Mincho" w:hAnsi="Book Antiqua"/>
          <w:i/>
          <w:iCs/>
          <w:sz w:val="24"/>
          <w:szCs w:val="24"/>
          <w:lang w:val="en-US"/>
        </w:rPr>
        <w:t>Mgl</w:t>
      </w:r>
      <w:proofErr w:type="spellEnd"/>
      <w:r w:rsidR="00FF031D" w:rsidRPr="00825E2B">
        <w:rPr>
          <w:rFonts w:ascii="Book Antiqua" w:eastAsia="MS Mincho" w:hAnsi="Book Antiqua"/>
          <w:sz w:val="24"/>
          <w:szCs w:val="24"/>
          <w:vertAlign w:val="superscript"/>
          <w:lang w:val="en-US"/>
        </w:rPr>
        <w:t>-/-</w:t>
      </w:r>
      <w:r w:rsidR="00FF031D" w:rsidRPr="00825E2B">
        <w:rPr>
          <w:rFonts w:ascii="Book Antiqua" w:eastAsia="MS Mincho" w:hAnsi="Book Antiqua"/>
          <w:sz w:val="24"/>
          <w:szCs w:val="24"/>
          <w:lang w:val="en-US"/>
        </w:rPr>
        <w:t xml:space="preserve"> and CB1r/MGL DKO mice, but not </w:t>
      </w:r>
      <w:r w:rsidR="006E2075" w:rsidRPr="00825E2B">
        <w:rPr>
          <w:rFonts w:ascii="Book Antiqua" w:eastAsia="MS Mincho" w:hAnsi="Book Antiqua"/>
          <w:sz w:val="24"/>
          <w:szCs w:val="24"/>
          <w:lang w:val="en-US"/>
        </w:rPr>
        <w:t xml:space="preserve">affecting </w:t>
      </w:r>
      <w:r w:rsidR="00FF031D" w:rsidRPr="00825E2B">
        <w:rPr>
          <w:rFonts w:ascii="Book Antiqua" w:eastAsia="MS Mincho" w:hAnsi="Book Antiqua"/>
          <w:sz w:val="24"/>
          <w:szCs w:val="24"/>
          <w:lang w:val="en-US"/>
        </w:rPr>
        <w:t>wild-type and CB1r</w:t>
      </w:r>
      <w:r w:rsidR="00FF031D" w:rsidRPr="00825E2B">
        <w:rPr>
          <w:rFonts w:ascii="Book Antiqua" w:eastAsia="MS Mincho" w:hAnsi="Book Antiqua"/>
          <w:sz w:val="24"/>
          <w:szCs w:val="24"/>
          <w:vertAlign w:val="superscript"/>
          <w:lang w:val="en-US"/>
        </w:rPr>
        <w:t>-/- </w:t>
      </w:r>
      <w:r w:rsidR="00FF031D" w:rsidRPr="00825E2B">
        <w:rPr>
          <w:rFonts w:ascii="Book Antiqua" w:eastAsia="MS Mincho" w:hAnsi="Book Antiqua"/>
          <w:sz w:val="24"/>
          <w:szCs w:val="24"/>
          <w:lang w:val="en-US"/>
        </w:rPr>
        <w:t>mice</w:t>
      </w:r>
      <w:r w:rsidR="00FF031D"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{"citationItems":[{"id":"ITEM-1","itemData":{"DOI":"10.1096/fj.201801203R","ISSN":"15306860","abstract":"Excess energy intake causes obesity,which leads to insulin resistance and various other complications of metabolic syndrome, including diabetes, atherosclerosis, dyslipidemia, and nonalcoholic fatty liver disease. Although recent studies have depicted altered lipidmetabolismas an underlying feature, the detailedmechanisms are still unclear. Here we describe a possible role in high-fat diet (HFD)-induced obesity for monoacylglycerol lipase (MGL), an enzyme that is also known to hydrolyze the endocannabinoid 2-arachidonoylglycerol in brain. MGLdeficient [MGL-knockout (KO)] mice fed a HFD gained less body weight than wild-type mice and were protected from insulin resistance and hepatic steatosis. Food intake and energy expenditure were not altered in MGL-KO mice,butblood triglyceride levels after oral olive oil gavagewere suppressed, indicating a role forMGL in intestinal fat absorption. Experiments with cannabinoid receptor type 1 (CB1)/MGL double-KO mice revealed that these phenotypesmay include mechanisms that are independent of CB1-receptor-mediated endocannabinoid functions. We also noted thatMGL-KOmice had less preference forHFD over normal chow diet.Oral but not intraperitoneal lipid administration strongly suppressed the appetites ofMGL-KOandCB1/MGLdouble-KOmice, but not ofwildtype and CB1-KO mice. Appetite suppression was reversed by vagotomy, suggesting involvement of MGL in the gut-brain axis regulation of appetite. Our results provide mechanistic insights of MGL's role in diet-induced obesity, lipid metabolic disorder, and regulation of appetite.","author":[{"dropping-particle":"","family":"Yoshida","given":"Kenji","non-dropping-particle":"","parse-names":false,"suffix":""},{"dropping-particle":"","family":"Kita","given":"Yoshihiro","non-dropping-particle":"","parse-names":false,"suffix":""},{"dropping-particle":"","family":"Tokuoka","given":"Suzumi M.","non-dropping-particle":"","parse-names":false,"suffix":""},{"dropping-particle":"","family":"Hamano","given":"Fumie","non-dropping-particle":"","parse-names":false,"suffix":""},{"dropping-particle":"","family":"Yamazaki","given":"Maya","non-dropping-particle":"","parse-names":false,"suffix":""},{"dropping-particle":"","family":"Sakimura","given":"Kenji","non-dropping-particle":"","parse-names":false,"suffix":""},{"dropping-particle":"","family":"Kano","given":"Masanobu","non-dropping-particle":"","parse-names":false,"suffix":""},{"dropping-particle":"","family":"Shimizu","given":"Takao","non-dropping-particle":"","parse-names":false,"suffix":""}],"container-title":"FASEB Journal","id":"ITEM-1","issued":{"date-parts":[["2019"]]},"title":"Monoacylglycerol lipase deficiency affects diet-induced obesity, fat absorption, and feeding behavior in CB1 cannabinoid receptor-deficient mice","type":"article-journal"},"uris":["http://www.mendeley.com/documents/?uuid=19f2dd6c-85be-4c64-9633-998f0d743e1e"]}],"mendeley":{"formattedCitation":"&lt;sup&gt;[26]&lt;/sup&gt;","plainTextFormattedCitation":"[26]","previouslyFormattedCitation":"&lt;sup&gt;[25]&lt;/sup&gt;"},"properties":{"noteIndex":0},"schema":"https://github.com/citation-style-language/schema/raw/master/csl-citation.json"}</w:instrText>
      </w:r>
      <w:r w:rsidR="00FF031D"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[26]</w:t>
      </w:r>
      <w:r w:rsidR="00FF031D" w:rsidRPr="00825E2B">
        <w:rPr>
          <w:rFonts w:ascii="Book Antiqua" w:eastAsia="MS Mincho" w:hAnsi="Book Antiqua"/>
          <w:sz w:val="24"/>
          <w:szCs w:val="24"/>
          <w:lang w:val="en-US"/>
        </w:rPr>
        <w:fldChar w:fldCharType="end"/>
      </w:r>
      <w:r w:rsidR="00A02E0D" w:rsidRPr="00825E2B">
        <w:rPr>
          <w:rFonts w:ascii="Book Antiqua" w:hAnsi="Book Antiqua" w:cs="Arial"/>
          <w:sz w:val="24"/>
          <w:szCs w:val="24"/>
          <w:lang w:val="en-US"/>
        </w:rPr>
        <w:t xml:space="preserve">. </w:t>
      </w:r>
      <w:r w:rsidR="00FF031D" w:rsidRPr="00825E2B">
        <w:rPr>
          <w:rFonts w:ascii="Book Antiqua" w:eastAsia="MS Mincho" w:hAnsi="Book Antiqua"/>
          <w:sz w:val="24"/>
          <w:szCs w:val="24"/>
          <w:lang w:val="en-US"/>
        </w:rPr>
        <w:t>In this study, appetite suppression was reversed by vagotomy, suggesting </w:t>
      </w:r>
      <w:r w:rsidR="00BB5079" w:rsidRPr="00825E2B">
        <w:rPr>
          <w:rFonts w:ascii="Book Antiqua" w:eastAsia="MS Mincho" w:hAnsi="Book Antiqua"/>
          <w:sz w:val="24"/>
          <w:szCs w:val="24"/>
          <w:lang w:val="en-US"/>
        </w:rPr>
        <w:t>a mechanistical</w:t>
      </w:r>
      <w:r w:rsidR="00FF031D" w:rsidRPr="00825E2B">
        <w:rPr>
          <w:rFonts w:ascii="Book Antiqua" w:eastAsia="MS Mincho" w:hAnsi="Book Antiqua"/>
          <w:sz w:val="24"/>
          <w:szCs w:val="24"/>
          <w:lang w:val="en-US"/>
        </w:rPr>
        <w:t> involvement of MGL in the gut-brain axis regulation of appetite</w:t>
      </w:r>
      <w:r w:rsidR="00FF031D"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{"citationItems":[{"id":"ITEM-1","itemData":{"DOI":"10.1096/fj.201801203R","ISSN":"15306860","abstract":"Excess energy intake causes obesity,which leads to insulin resistance and various other complications of metabolic syndrome, including diabetes, atherosclerosis, dyslipidemia, and nonalcoholic fatty liver disease. Although recent studies have depicted altered lipidmetabolismas an underlying feature, the detailedmechanisms are still unclear. Here we describe a possible role in high-fat diet (HFD)-induced obesity for monoacylglycerol lipase (MGL), an enzyme that is also known to hydrolyze the endocannabinoid 2-arachidonoylglycerol in brain. MGLdeficient [MGL-knockout (KO)] mice fed a HFD gained less body weight than wild-type mice and were protected from insulin resistance and hepatic steatosis. Food intake and energy expenditure were not altered in MGL-KO mice,butblood triglyceride levels after oral olive oil gavagewere suppressed, indicating a role forMGL in intestinal fat absorption. Experiments with cannabinoid receptor type 1 (CB1)/MGL double-KO mice revealed that these phenotypesmay include mechanisms that are independent of CB1-receptor-mediated endocannabinoid functions. We also noted thatMGL-KOmice had less preference forHFD over normal chow diet.Oral but not intraperitoneal lipid administration strongly suppressed the appetites ofMGL-KOandCB1/MGLdouble-KOmice, but not ofwildtype and CB1-KO mice. Appetite suppression was reversed by vagotomy, suggesting involvement of MGL in the gut-brain axis regulation of appetite. Our results provide mechanistic insights of MGL's role in diet-induced obesity, lipid metabolic disorder, and regulation of appetite.","author":[{"dropping-particle":"","family":"Yoshida","given":"Kenji","non-dropping-particle":"","parse-names":false,"suffix":""},{"dropping-particle":"","family":"Kita","given":"Yoshihiro","non-dropping-particle":"","parse-names":false,"suffix":""},{"dropping-particle":"","family":"Tokuoka","given":"Suzumi M.","non-dropping-particle":"","parse-names":false,"suffix":""},{"dropping-particle":"","family":"Hamano","given":"Fumie","non-dropping-particle":"","parse-names":false,"suffix":""},{"dropping-particle":"","family":"Yamazaki","given":"Maya","non-dropping-particle":"","parse-names":false,"suffix":""},{"dropping-particle":"","family":"Sakimura","given":"Kenji","non-dropping-particle":"","parse-names":false,"suffix":""},{"dropping-particle":"","family":"Kano","given":"Masanobu","non-dropping-particle":"","parse-names":false,"suffix":""},{"dropping-particle":"","family":"Shimizu","given":"Takao","non-dropping-particle":"","parse-names":false,"suffix":""}],"container-title":"FASEB Journal","id":"ITEM-1","issued":{"date-parts":[["2019"]]},"title":"Monoacylglycerol lipase deficiency affects diet-induced obesity, fat absorption, and feeding behavior in CB1 cannabinoid receptor-deficient mice","type":"article-journal"},"uris":["http://www.mendeley.com/documents/?uuid=19f2dd6c-85be-4c64-9633-998f0d743e1e"]}],"mendeley":{"formattedCitation":"&lt;sup&gt;[26]&lt;/sup&gt;","plainTextFormattedCitation":"[26]","previouslyFormattedCitation":"&lt;sup&gt;[25]&lt;/sup&gt;"},"properties":{"noteIndex":0},"schema":"https://github.com/citation-style-language/schema/raw/master/csl-citation.json"}</w:instrText>
      </w:r>
      <w:r w:rsidR="00FF031D"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[26]</w:t>
      </w:r>
      <w:r w:rsidR="00FF031D" w:rsidRPr="00825E2B">
        <w:rPr>
          <w:rFonts w:ascii="Book Antiqua" w:eastAsia="MS Mincho" w:hAnsi="Book Antiqua"/>
          <w:sz w:val="24"/>
          <w:szCs w:val="24"/>
          <w:lang w:val="en-US"/>
        </w:rPr>
        <w:fldChar w:fldCharType="end"/>
      </w:r>
      <w:r w:rsidR="00A02E0D" w:rsidRPr="00825E2B">
        <w:rPr>
          <w:rFonts w:ascii="Book Antiqua" w:hAnsi="Book Antiqua" w:cs="Arial"/>
          <w:sz w:val="24"/>
          <w:szCs w:val="24"/>
          <w:lang w:val="en-US"/>
        </w:rPr>
        <w:t>.</w:t>
      </w:r>
      <w:r w:rsidR="0098594E" w:rsidRPr="00825E2B">
        <w:rPr>
          <w:rFonts w:ascii="Book Antiqua" w:hAnsi="Book Antiqua" w:cs="Arial"/>
          <w:sz w:val="24"/>
          <w:szCs w:val="24"/>
          <w:lang w:val="en-US"/>
        </w:rPr>
        <w:t xml:space="preserve"> In keeping, administration of an MGL inhibitor </w:t>
      </w:r>
      <w:r w:rsidR="006E2075" w:rsidRPr="00825E2B">
        <w:rPr>
          <w:rFonts w:ascii="Book Antiqua" w:hAnsi="Book Antiqua" w:cs="Arial"/>
          <w:sz w:val="24"/>
          <w:szCs w:val="24"/>
          <w:lang w:val="en-US"/>
        </w:rPr>
        <w:t xml:space="preserve">called </w:t>
      </w:r>
      <w:r w:rsidR="0098594E" w:rsidRPr="00825E2B">
        <w:rPr>
          <w:rFonts w:ascii="Book Antiqua" w:hAnsi="Book Antiqua" w:cs="Arial"/>
          <w:sz w:val="24"/>
          <w:szCs w:val="24"/>
          <w:lang w:val="en-US"/>
        </w:rPr>
        <w:t>MJN110</w:t>
      </w:r>
      <w:r w:rsidR="00BB5079" w:rsidRPr="00825E2B">
        <w:rPr>
          <w:rFonts w:ascii="Book Antiqua" w:hAnsi="Book Antiqua" w:cs="Arial"/>
          <w:sz w:val="24"/>
          <w:szCs w:val="24"/>
          <w:lang w:val="en-US"/>
        </w:rPr>
        <w:t>,</w:t>
      </w:r>
      <w:r w:rsidR="0098594E" w:rsidRPr="00825E2B">
        <w:rPr>
          <w:rFonts w:ascii="Book Antiqua" w:hAnsi="Book Antiqua" w:cs="Arial"/>
          <w:sz w:val="24"/>
          <w:szCs w:val="24"/>
          <w:lang w:val="en-US"/>
        </w:rPr>
        <w:t xml:space="preserve"> reduced food intake in rats</w:t>
      </w:r>
      <w:r w:rsidR="00330B99"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{"citationItems":[{"id":"ITEM-1","itemData":{"DOI":"10.1111/bph.14453","ISSN":"14765381","abstract":"Background and Purpose: Stress is known to reduce food intake. Many aspects of the stress response and feeding are regulated by the endocannabinoid system, but the roles of anandamide (AEA) and 2-arachidonoyl glycerol (2-AG) in stress-induced anorexia are unclear. Experimental Approach: Effects of acute restraint stress on endocannabinoids were investigated in male Sprague–Dawley rats. Systemic and central pharmacological inhibition of fatty acid amide hydrolase (FAAH) or monoacylglycerol lipase (MAGL) was used to assess the effects of elevated AEA and 2-AG on homeostatic feeding and on food consumption after stress. Animals were pretreated with the FAAH inhibitor, PF-04457845, or the MAGL inhibitor, MJN110, before 2 h acute restraint stress or 2 h homecage period without food. Key Results: Restraint stress decreased hypothalamic and circulating AEA, with no effect in the gastrointestinal tract, while 2-AG content in the jejunum (but not duodenum) was reduced. PF-04457845 (30 μg), given i.c.v., attenuated stress-induced anorexia via CB1 receptors, but reduced homeostatic feeding in unstressed animals through an unknown mechanism. On the other hand, systemic administration of MJN110 (10 mg·kg−1) reduced feeding, regardless of stress or feeding status and inhibited basal intestinal transit in unstressed rats. The ability of MAGL inhibition to reduce feeding in combination with stress was independent of CB1 receptor signalling in the gut as the peripherally restricted CB1 receptor antagonist, AM6545 did not block this effect. Conclusions and Implications: Our data reveal diverse roles for 2-AG and AEA in homeostatic feeding and changes in energy intake following stress. Linked Articles: This article is part of a themed section on 8th European Workshop on Cannabinoid Research. To view the other articles in this section visit http://onlinelibrary.wiley.com/doi/10.1111/bph.v176.10/issuetoc.","author":[{"dropping-particle":"","family":"Sticht","given":"Martin A.","non-dropping-particle":"","parse-names":false,"suffix":""},{"dropping-particle":"","family":"Lau","given":"David J.","non-dropping-particle":"","parse-names":false,"suffix":""},{"dropping-particle":"","family":"Keenan","given":"Catherine M.","non-dropping-particle":"","parse-names":false,"suffix":""},{"dropping-particle":"","family":"Cavin","given":"Jean Baptiste","non-dropping-particle":"","parse-names":false,"suffix":""},{"dropping-particle":"","family":"Morena","given":"Maria","non-dropping-particle":"","parse-names":false,"suffix":""},{"dropping-particle":"","family":"Vemuri","given":"Venkata Kiran","non-dropping-particle":"","parse-names":false,"suffix":""},{"dropping-particle":"","family":"Makriyannis","given":"Alexandros","non-dropping-particle":"","parse-names":false,"suffix":""},{"dropping-particle":"","family":"Cravatt","given":"Benjamin F.","non-dropping-particle":"","parse-names":false,"suffix":""},{"dropping-particle":"","family":"Sharkey","given":"Keith A.","non-dropping-particle":"","parse-names":false,"suffix":""},{"dropping-particle":"","family":"Hill","given":"Matthew N.","non-dropping-particle":"","parse-names":false,"suffix":""}],"container-title":"British Journal of Pharmacology","id":"ITEM-1","issued":{"date-parts":[["2019"]]},"title":"Endocannabinoid regulation of homeostatic feeding and stress-induced alterations in food intake in male rats","type":"article-journal"},"uris":["http://www.mendeley.com/documents/?uuid=a3e49dd5-f9dd-4f81-9fc7-d3fe3805da82"]}],"mendeley":{"formattedCitation":"&lt;sup&gt;[27]&lt;/sup&gt;","plainTextFormattedCitation":"[27]","previouslyFormattedCitation":"&lt;sup&gt;[26]&lt;/sup&gt;"},"properties":{"noteIndex":0},"schema":"https://github.com/citation-style-language/schema/raw/master/csl-citation.json"}</w:instrText>
      </w:r>
      <w:r w:rsidR="00330B99"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[27]</w:t>
      </w:r>
      <w:r w:rsidR="00330B99" w:rsidRPr="00825E2B">
        <w:rPr>
          <w:rFonts w:ascii="Book Antiqua" w:hAnsi="Book Antiqua" w:cs="Arial"/>
          <w:sz w:val="24"/>
          <w:szCs w:val="24"/>
          <w:lang w:val="en-US"/>
        </w:rPr>
        <w:fldChar w:fldCharType="end"/>
      </w:r>
      <w:r w:rsidR="0098594E" w:rsidRPr="00825E2B">
        <w:rPr>
          <w:rFonts w:ascii="Book Antiqua" w:hAnsi="Book Antiqua" w:cs="Arial"/>
          <w:sz w:val="24"/>
          <w:szCs w:val="24"/>
          <w:lang w:val="en-US"/>
        </w:rPr>
        <w:t xml:space="preserve">. </w:t>
      </w:r>
      <w:r w:rsidR="00330B99" w:rsidRPr="00825E2B">
        <w:rPr>
          <w:rFonts w:ascii="Book Antiqua" w:eastAsia="MS Mincho" w:hAnsi="Book Antiqua"/>
          <w:sz w:val="24"/>
          <w:szCs w:val="24"/>
          <w:lang w:val="en-US"/>
        </w:rPr>
        <w:t>Notably, pharmacological blockade of MGL with JZL184 caused increased systemic 2-AG levels in a mouse model of myocardial infarction</w:t>
      </w:r>
      <w:r w:rsidR="00330B99"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{"citationItems":[{"id":"ITEM-1","itemData":{"DOI":"10.1093/cvr/cvy242","ISSN":"17553245","abstract":"Aims Myocardial infarction (MI) leads to an enhanced release of endocannabinoids and a massive accumulation of neutrophils and monocytes within the ischaemic myocardium. These myeloid cells originate from haematopoietic precursors in the bone marrow and are rapidly mobilized in response to MI. We aimed to determine whether endocannabinoid signalling is involved in myeloid cell mobilization and cardiac recruitment after ischaemia onset. Methods and results Intravenous administration of endocannabinoid 2-arachidonoylglycerol (2-AG) into wild type (WT) C57BL6 mice induced a rapid increase of blood neutrophil and monocyte counts as measured by flow cytometry. This effect was blunted when using cannabinoid receptor 2 knockout mice. In response to MI induced in WT mice, the lipidomic analysis revealed significantly elevated plasma and cardiac levels of the endocannabinoid 2-AG 24 h after infarction, but no changes in anandamide, palmitoylethanolamide, and oleoylethanolamide. This was a consequence of an increased expression of 2-AG synthesizing enzyme diacylglycerol lipase and a decrease of metabolizing enzyme monoacylglycerol lipase (MAGL) in infarcted hearts, as determined by quantitative RT-PCR analysis. The opposite mRNA expression pattern was observed in bone marrow. Pharmacological blockade of MAGL with JZL184 and thus increased systemic 2-AG levels in WT mice subjected to MI resulted in elevated cardiac CXCL1, CXCL2, and MMP9 protein levels as well as higher cardiac neutrophil and monocyte counts 24 h after infarction compared with vehicle-treated mice. Increased post-MI inflammation in these mice led to an increased infarct size, an impaired ventricular scar formation assessed by histology and a worsened cardiac function in echocardiography evaluations up to 21 days. Likewise, JZL184-administration in a myocardial ischaemia-reperfusion model increased cardiac myeloid cell recruitment and resulted in a larger fibrotic scar size. Conclusion These findings suggest that changes in endocannabinoid gradients due to altered tissue levels contribute to myeloid cell recruitment from the bone marrow to the infarcted heart, with crucial consequences on cardiac healing and function.","author":[{"dropping-particle":"","family":"Schloss","given":"Maximilian J.","non-dropping-particle":"","parse-names":false,"suffix":""},{"dropping-particle":"","family":"Horckmans","given":"Michael","non-dropping-particle":"","parse-names":false,"suffix":""},{"dropping-particle":"","family":"Guillamat-Prats","given":"Raquel","non-dropping-particle":"","parse-names":false,"suffix":""},{"dropping-particle":"","family":"Hering","given":"Daniel","non-dropping-particle":"","parse-names":false,"suffix":""},{"dropping-particle":"","family":"Lauer","given":"Estelle","non-dropping-particle":"","parse-names":false,"suffix":""},{"dropping-particle":"","family":"Lenglet","given":"Sebastien","non-dropping-particle":"","parse-names":false,"suffix":""},{"dropping-particle":"","family":"Weber","given":"Christian","non-dropping-particle":"","parse-names":false,"suffix":""},{"dropping-particle":"","family":"Thomas","given":"Aurelien","non-dropping-particle":"","parse-names":false,"suffix":""},{"dropping-particle":"","family":"Steffens","given":"Sabine","non-dropping-particle":"","parse-names":false,"suffix":""}],"container-title":"Cardiovascular Research","id":"ITEM-1","issued":{"date-parts":[["2019"]]},"title":"2-Arachidonoylglycerol mobilizes myeloid cells and worsens heart function after acute myocardial infarction","type":"article-journal"},"uris":["http://www.mendeley.com/documents/?uuid=57ecb543-9ecd-4bfa-a158-e90d72032e97"]}],"mendeley":{"formattedCitation":"&lt;sup&gt;[28]&lt;/sup&gt;","plainTextFormattedCitation":"[28]","previouslyFormattedCitation":"&lt;sup&gt;[27]&lt;/sup&gt;"},"properties":{"noteIndex":0},"schema":"https://github.com/citation-style-language/schema/raw/master/csl-citation.json"}</w:instrText>
      </w:r>
      <w:r w:rsidR="00330B99"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[28]</w:t>
      </w:r>
      <w:r w:rsidR="00330B99" w:rsidRPr="00825E2B">
        <w:rPr>
          <w:rFonts w:ascii="Book Antiqua" w:eastAsia="MS Mincho" w:hAnsi="Book Antiqua"/>
          <w:sz w:val="24"/>
          <w:szCs w:val="24"/>
          <w:lang w:val="en-US"/>
        </w:rPr>
        <w:fldChar w:fldCharType="end"/>
      </w:r>
      <w:r w:rsidR="0098594E" w:rsidRPr="00825E2B">
        <w:rPr>
          <w:rFonts w:ascii="Book Antiqua" w:hAnsi="Book Antiqua" w:cs="Arial"/>
          <w:sz w:val="24"/>
          <w:szCs w:val="24"/>
          <w:lang w:val="en-US"/>
        </w:rPr>
        <w:t xml:space="preserve">. </w:t>
      </w:r>
      <w:r w:rsidR="00330B99" w:rsidRPr="00825E2B">
        <w:rPr>
          <w:rFonts w:ascii="Book Antiqua" w:eastAsia="MS Mincho" w:hAnsi="Book Antiqua"/>
          <w:sz w:val="24"/>
          <w:szCs w:val="24"/>
          <w:lang w:val="en-US"/>
        </w:rPr>
        <w:t>This resulted in elevated cardi</w:t>
      </w:r>
      <w:r w:rsidR="00772F25" w:rsidRPr="00825E2B">
        <w:rPr>
          <w:rFonts w:ascii="Book Antiqua" w:eastAsia="MS Mincho" w:hAnsi="Book Antiqua"/>
          <w:sz w:val="24"/>
          <w:szCs w:val="24"/>
          <w:lang w:val="en-US"/>
        </w:rPr>
        <w:t>ac C-X-C motif chemokine ligand</w:t>
      </w:r>
      <w:r w:rsidR="00330B99" w:rsidRPr="00825E2B">
        <w:rPr>
          <w:rFonts w:ascii="Book Antiqua" w:eastAsia="MS Mincho" w:hAnsi="Book Antiqua"/>
          <w:sz w:val="24"/>
          <w:szCs w:val="24"/>
          <w:lang w:val="en-US"/>
        </w:rPr>
        <w:t xml:space="preserve">-1, </w:t>
      </w:r>
      <w:r w:rsidR="00772F25" w:rsidRPr="00825E2B">
        <w:rPr>
          <w:rFonts w:ascii="Book Antiqua" w:eastAsia="MS Mincho" w:hAnsi="Book Antiqua"/>
          <w:sz w:val="24"/>
          <w:szCs w:val="24"/>
          <w:lang w:val="en-US"/>
        </w:rPr>
        <w:t>-2, and matrix metallopeptidase</w:t>
      </w:r>
      <w:r w:rsidR="00330B99" w:rsidRPr="00825E2B">
        <w:rPr>
          <w:rFonts w:ascii="Book Antiqua" w:eastAsia="MS Mincho" w:hAnsi="Book Antiqua"/>
          <w:sz w:val="24"/>
          <w:szCs w:val="24"/>
          <w:lang w:val="en-US"/>
        </w:rPr>
        <w:t>-9 levels as well as increased cardiac neutrophil/monocyte counts 24</w:t>
      </w:r>
      <w:r w:rsidR="00330B99" w:rsidRPr="00825E2B">
        <w:rPr>
          <w:rFonts w:ascii="Times New Roman" w:eastAsia="MS Mincho" w:hAnsi="Times New Roman" w:cs="Times New Roman"/>
          <w:sz w:val="24"/>
          <w:szCs w:val="24"/>
          <w:lang w:val="en-US"/>
        </w:rPr>
        <w:t> </w:t>
      </w:r>
      <w:r w:rsidR="00330B99" w:rsidRPr="00825E2B">
        <w:rPr>
          <w:rFonts w:ascii="Book Antiqua" w:eastAsia="MS Mincho" w:hAnsi="Book Antiqua"/>
          <w:sz w:val="24"/>
          <w:szCs w:val="24"/>
          <w:lang w:val="en-US"/>
        </w:rPr>
        <w:t>h after infarction compared to vehicle-treated mice</w:t>
      </w:r>
      <w:r w:rsidR="00330B99"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{"citationItems":[{"id":"ITEM-1","itemData":{"DOI":"10.1093/cvr/cvy242","ISSN":"17553245","abstract":"Aims Myocardial infarction (MI) leads to an enhanced release of endocannabinoids and a massive accumulation of neutrophils and monocytes within the ischaemic myocardium. These myeloid cells originate from haematopoietic precursors in the bone marrow and are rapidly mobilized in response to MI. We aimed to determine whether endocannabinoid signalling is involved in myeloid cell mobilization and cardiac recruitment after ischaemia onset. Methods and results Intravenous administration of endocannabinoid 2-arachidonoylglycerol (2-AG) into wild type (WT) C57BL6 mice induced a rapid increase of blood neutrophil and monocyte counts as measured by flow cytometry. This effect was blunted when using cannabinoid receptor 2 knockout mice. In response to MI induced in WT mice, the lipidomic analysis revealed significantly elevated plasma and cardiac levels of the endocannabinoid 2-AG 24 h after infarction, but no changes in anandamide, palmitoylethanolamide, and oleoylethanolamide. This was a consequence of an increased expression of 2-AG synthesizing enzyme diacylglycerol lipase and a decrease of metabolizing enzyme monoacylglycerol lipase (MAGL) in infarcted hearts, as determined by quantitative RT-PCR analysis. The opposite mRNA expression pattern was observed in bone marrow. Pharmacological blockade of MAGL with JZL184 and thus increased systemic 2-AG levels in WT mice subjected to MI resulted in elevated cardiac CXCL1, CXCL2, and MMP9 protein levels as well as higher cardiac neutrophil and monocyte counts 24 h after infarction compared with vehicle-treated mice. Increased post-MI inflammation in these mice led to an increased infarct size, an impaired ventricular scar formation assessed by histology and a worsened cardiac function in echocardiography evaluations up to 21 days. Likewise, JZL184-administration in a myocardial ischaemia-reperfusion model increased cardiac myeloid cell recruitment and resulted in a larger fibrotic scar size. Conclusion These findings suggest that changes in endocannabinoid gradients due to altered tissue levels contribute to myeloid cell recruitment from the bone marrow to the infarcted heart, with crucial consequences on cardiac healing and function.","author":[{"dropping-particle":"","family":"Schloss","given":"Maximilian J.","non-dropping-particle":"","parse-names":false,"suffix":""},{"dropping-particle":"","family":"Horckmans","given":"Michael","non-dropping-particle":"","parse-names":false,"suffix":""},{"dropping-particle":"","family":"Guillamat-Prats","given":"Raquel","non-dropping-particle":"","parse-names":false,"suffix":""},{"dropping-particle":"","family":"Hering","given":"Daniel","non-dropping-particle":"","parse-names":false,"suffix":""},{"dropping-particle":"","family":"Lauer","given":"Estelle","non-dropping-particle":"","parse-names":false,"suffix":""},{"dropping-particle":"","family":"Lenglet","given":"Sebastien","non-dropping-particle":"","parse-names":false,"suffix":""},{"dropping-particle":"","family":"Weber","given":"Christian","non-dropping-particle":"","parse-names":false,"suffix":""},{"dropping-particle":"","family":"Thomas","given":"Aurelien","non-dropping-particle":"","parse-names":false,"suffix":""},{"dropping-particle":"","family":"Steffens","given":"Sabine","non-dropping-particle":"","parse-names":false,"suffix":""}],"container-title":"Cardiovascular Research","id":"ITEM-1","issued":{"date-parts":[["2019"]]},"title":"2-Arachidonoylglycerol mobilizes myeloid cells and worsens heart function after acute myocardial infarction","type":"article-journal"},"uris":["http://www.mendeley.com/documents/?uuid=57ecb543-9ecd-4bfa-a158-e90d72032e97"]}],"mendeley":{"formattedCitation":"&lt;sup&gt;[28]&lt;/sup&gt;","plainTextFormattedCitation":"[28]","previouslyFormattedCitation":"&lt;sup&gt;[27]&lt;/sup&gt;"},"properties":{"noteIndex":0},"schema":"https://github.com/citation-style-language/schema/raw/master/csl-citation.json"}</w:instrText>
      </w:r>
      <w:r w:rsidR="00330B99"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[28]</w:t>
      </w:r>
      <w:r w:rsidR="00330B99" w:rsidRPr="00825E2B">
        <w:rPr>
          <w:rFonts w:ascii="Book Antiqua" w:eastAsia="MS Mincho" w:hAnsi="Book Antiqua"/>
          <w:sz w:val="24"/>
          <w:szCs w:val="24"/>
          <w:lang w:val="en-US"/>
        </w:rPr>
        <w:fldChar w:fldCharType="end"/>
      </w:r>
      <w:r w:rsidR="00330B99" w:rsidRPr="00825E2B">
        <w:rPr>
          <w:rFonts w:ascii="Book Antiqua" w:eastAsia="MS Mincho" w:hAnsi="Book Antiqua"/>
          <w:sz w:val="24"/>
          <w:szCs w:val="24"/>
          <w:lang w:val="en-US"/>
        </w:rPr>
        <w:t>. In another study, dietary</w:t>
      </w:r>
      <w:r w:rsidR="004B27DB" w:rsidRPr="00825E2B">
        <w:rPr>
          <w:rFonts w:ascii="Book Antiqua" w:eastAsia="MS Mincho" w:hAnsi="Book Antiqua"/>
          <w:sz w:val="24"/>
          <w:szCs w:val="24"/>
          <w:lang w:val="en-US"/>
        </w:rPr>
        <w:t xml:space="preserve"> </w:t>
      </w:r>
      <w:r w:rsidR="00330B99" w:rsidRPr="00825E2B">
        <w:rPr>
          <w:rFonts w:ascii="Book Antiqua" w:eastAsia="MS Mincho" w:hAnsi="Book Antiqua"/>
          <w:sz w:val="24"/>
          <w:szCs w:val="24"/>
          <w:lang w:val="en-US"/>
        </w:rPr>
        <w:t>supplementation</w:t>
      </w:r>
      <w:r w:rsidR="004B27DB" w:rsidRPr="00825E2B">
        <w:rPr>
          <w:rFonts w:ascii="Book Antiqua" w:eastAsia="MS Mincho" w:hAnsi="Book Antiqua"/>
          <w:sz w:val="24"/>
          <w:szCs w:val="24"/>
          <w:lang w:val="en-US"/>
        </w:rPr>
        <w:t xml:space="preserve"> </w:t>
      </w:r>
      <w:r w:rsidR="00330B99" w:rsidRPr="00825E2B">
        <w:rPr>
          <w:rFonts w:ascii="Book Antiqua" w:eastAsia="MS Mincho" w:hAnsi="Book Antiqua"/>
          <w:sz w:val="24"/>
          <w:szCs w:val="24"/>
          <w:lang w:val="en-US"/>
        </w:rPr>
        <w:t>of linoleic acid in a range of 1% to 8% significantly increased 2-AG in the liver and small bowel, suggesting possible dietary tools to modulate endocannabinoid ligands</w:t>
      </w:r>
      <w:r w:rsidR="00330B99"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{"citationItems":[{"id":"ITEM-1","itemData":{"DOI":"10.1002/osp4.344","ISSN":"20552238","abstract":"Aim: Linoleic acid (LA) is an essential fatty acid involved in the biosynthesis of arachidonic acid and prostaglandins. LA is known to induce obesity and insulin resistance. In this study, two concentrations of LA with or without added glucose (G) were fed to mice to investigate their effects on endocannabinoid (EC) biology. Materials and Methods: Four groups of C57BL/6 mice were provided with diets containing 1% or 8% LA with or without added G (LAG) for 8 weeks. Body weights, food intake, circulating glucose and insulin levels were measured throughout the study. Following euthanasia, plasma, bowel and hepatic ECs, monoacylglycerol lipase and fatty acid amide hydroxylase protein levels (enzymes responsible for EC degradation) and transcriptional activity of PPARα in liver were quantified. Liver was probed for evidence of insulin receptor activity perturbation. Results: Increasing dietary LA from 1% to 8% significantly increased circulating, small bowel and hepatic ECs. 1%LAG fed mice had lowest feed efficiency, and only liver levels of both ECs were reduced by addition of G. Addition of G to 1% LA diets resulted in elevated monoacylglycerol lipase and fatty acid amide hydroxylase protein levels (p &lt; 0.001 and p &lt; 0.001, respectively) in liver due to increased transcriptional activity of PPARα (p &lt; 0.05). The reduced EC levels with addition of G also correlated with a measure of enhanced insulin action. Conclusion: In conclusion, body weight of mice is influenced by the source of calorie intake. Furthermore, tissue EC/g are dependent on tissue-specific synthesis and degradation that are modulated by dietary LA and G which also influence food efficiency, and down-stream insulin signalling pathways. The findings could potentially be useful information for weight management efforts in humans.","author":[{"dropping-particle":"","family":"Ghosh","given":"S.","non-dropping-particle":"","parse-names":false,"suffix":""},{"dropping-particle":"","family":"O'Connell","given":"J. F.","non-dropping-particle":"","parse-names":false,"suffix":""},{"dropping-particle":"","family":"Carlson","given":"O. D.","non-dropping-particle":"","parse-names":false,"suffix":""},{"dropping-particle":"","family":"González-Mariscal","given":"I.","non-dropping-particle":"","parse-names":false,"suffix":""},{"dropping-particle":"","family":"Kim","given":"Y.","non-dropping-particle":"","parse-names":false,"suffix":""},{"dropping-particle":"","family":"Moaddel","given":"R.","non-dropping-particle":"","parse-names":false,"suffix":""},{"dropping-particle":"","family":"Ghosh","given":"P.","non-dropping-particle":"","parse-names":false,"suffix":""},{"dropping-particle":"","family":"Egan","given":"J. M.","non-dropping-particle":"","parse-names":false,"suffix":""}],"container-title":"Obesity Science and Practice","id":"ITEM-1","issued":{"date-parts":[["2019"]]},"title":"Linoleic acid in diets of mice increases total endocannabinoid levels in bowel and liver: modification by dietary glucose","type":"article-journal"},"uris":["http://www.mendeley.com/documents/?uuid=0d56aad1-1507-405e-b510-b54230ad7442"]}],"mendeley":{"formattedCitation":"&lt;sup&gt;[29]&lt;/sup&gt;","plainTextFormattedCitation":"[29]","previouslyFormattedCitation":"&lt;sup&gt;[28]&lt;/sup&gt;"},"properties":{"noteIndex":0},"schema":"https://github.com/citation-style-language/schema/raw/master/csl-citation.json"}</w:instrText>
      </w:r>
      <w:r w:rsidR="00330B99"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[29]</w:t>
      </w:r>
      <w:r w:rsidR="00330B99" w:rsidRPr="00825E2B">
        <w:rPr>
          <w:rFonts w:ascii="Book Antiqua" w:eastAsia="MS Mincho" w:hAnsi="Book Antiqua"/>
          <w:sz w:val="24"/>
          <w:szCs w:val="24"/>
          <w:lang w:val="en-US"/>
        </w:rPr>
        <w:fldChar w:fldCharType="end"/>
      </w:r>
      <w:r w:rsidR="00330B99" w:rsidRPr="00825E2B">
        <w:rPr>
          <w:rFonts w:ascii="Book Antiqua" w:eastAsia="MS Mincho" w:hAnsi="Book Antiqua"/>
          <w:sz w:val="24"/>
          <w:szCs w:val="24"/>
          <w:lang w:val="en-US"/>
        </w:rPr>
        <w:t>. </w:t>
      </w:r>
    </w:p>
    <w:p w14:paraId="645815E4" w14:textId="43F9ECC2" w:rsidR="00DB0BFC" w:rsidRPr="00825E2B" w:rsidRDefault="00DB0BFC" w:rsidP="00A921B8">
      <w:pPr>
        <w:adjustRightInd w:val="0"/>
        <w:snapToGrid w:val="0"/>
        <w:spacing w:after="0" w:line="360" w:lineRule="auto"/>
        <w:ind w:firstLineChars="100" w:firstLine="240"/>
        <w:jc w:val="both"/>
        <w:rPr>
          <w:rFonts w:ascii="Book Antiqua" w:hAnsi="Book Antiqua" w:cs="Arial"/>
          <w:sz w:val="24"/>
          <w:szCs w:val="24"/>
          <w:lang w:val="en-US"/>
        </w:rPr>
      </w:pPr>
      <w:r w:rsidRPr="00825E2B">
        <w:rPr>
          <w:rFonts w:ascii="Book Antiqua" w:eastAsia="MS Mincho" w:hAnsi="Book Antiqua"/>
          <w:sz w:val="24"/>
          <w:szCs w:val="24"/>
          <w:lang w:val="en-US"/>
        </w:rPr>
        <w:t>Of interest, a recent study characterized a unique population of human</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bone marrow adipocytes</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{"citationItems":[{"id":"ITEM-1","itemData":{"DOI":"10.1016/j.celrep.2019.12.089","ISSN":"22111247","abstract":"Attané et al. show that, although human bone marrow adipocytes (BM-Ads) resemble classic white adipocytes on a morphological level, their lipid metabolism is highly specific. They are devoid of lipolytic activity, one of the main metabolic functions of white adipocytes, which explains why they behave like a preserved lipid source under energy-demanding conditions.","author":[{"dropping-particle":"","family":"Attané","given":"Camille","non-dropping-particle":"","parse-names":false,"suffix":""},{"dropping-particle":"","family":"Estève","given":"David","non-dropping-particle":"","parse-names":false,"suffix":""},{"dropping-particle":"","family":"Chaoui","given":"Karima","non-dropping-particle":"","parse-names":false,"suffix":""},{"dropping-particle":"","family":"Iacovoni","given":"Jason S.","non-dropping-particle":"","parse-names":false,"suffix":""},{"dropping-particle":"","family":"Corre","given":"Jill","non-dropping-particle":"","parse-names":false,"suffix":""},{"dropping-particle":"","family":"Moutahir","given":"Mohamed","non-dropping-particle":"","parse-names":false,"suffix":""},{"dropping-particle":"","family":"Valet","given":"Philippe","non-dropping-particle":"","parse-names":false,"suffix":""},{"dropping-particle":"","family":"Schiltz","given":"Odile","non-dropping-particle":"","parse-names":false,"suffix":""},{"dropping-particle":"","family":"Reina","given":"Nicolas","non-dropping-particle":"","parse-names":false,"suffix":""},{"dropping-particle":"","family":"Muller","given":"Catherine","non-dropping-particle":"","parse-names":false,"suffix":""}],"container-title":"Cell Reports","id":"ITEM-1","issued":{"date-parts":[["2020"]]},"title":"Human Bone Marrow Is Comprised of Adipocytes with Specific Lipid Metabolism","type":"article-journal"},"uris":["http://www.mendeley.com/documents/?uuid=4b2b28e1-80a7-4a6d-91b1-94d9e4c70f25"]}],"mendeley":{"formattedCitation":"&lt;sup&gt;[30]&lt;/sup&gt;","plainTextFormattedCitation":"[30]","previouslyFormattedCitation":"&lt;sup&gt;[29]&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[30]</w:t>
      </w:r>
      <w:r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 discovering a profound downregulation</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of MGL expression which was shown to underlie the</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metabolic differences in the phenotype/lipid metabolism, also justifying bone marrow adipocytes’</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resistance to caloric restrictions</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{"citationItems":[{"id":"ITEM-1","itemData":{"DOI":"10.1016/j.celrep.2019.12.089","ISSN":"22111247","abstract":"Attané et al. show that, although human bone marrow adipocytes (BM-Ads) resemble classic white adipocytes on a morphological level, their lipid metabolism is highly specific. They are devoid of lipolytic activity, one of the main metabolic functions of white adipocytes, which explains why they behave like a preserved lipid source under energy-demanding conditions.","author":[{"dropping-particle":"","family":"Attané","given":"Camille","non-dropping-particle":"","parse-names":false,"suffix":""},{"dropping-particle":"","family":"Estève","given":"David","non-dropping-particle":"","parse-names":false,"suffix":""},{"dropping-particle":"","family":"Chaoui","given":"Karima","non-dropping-particle":"","parse-names":false,"suffix":""},{"dropping-particle":"","family":"Iacovoni","given":"Jason S.","non-dropping-particle":"","parse-names":false,"suffix":""},{"dropping-particle":"","family":"Corre","given":"Jill","non-dropping-particle":"","parse-names":false,"suffix":""},{"dropping-particle":"","family":"Moutahir","given":"Mohamed","non-dropping-particle":"","parse-names":false,"suffix":""},{"dropping-particle":"","family":"Valet","given":"Philippe","non-dropping-particle":"","parse-names":false,"suffix":""},{"dropping-particle":"","family":"Schiltz","given":"Odile","non-dropping-particle":"","parse-names":false,"suffix":""},{"dropping-particle":"","family":"Reina","given":"Nicolas","non-dropping-particle":"","parse-names":false,"suffix":""},{"dropping-particle":"","family":"Muller","given":"Catherine","non-dropping-particle":"","parse-names":false,"suffix":""}],"container-title":"Cell Reports","id":"ITEM-1","issued":{"date-parts":[["2020"]]},"title":"Human Bone Marrow Is Comprised of Adipocytes with Specific Lipid Metabolism","type":"article-journal"},"uris":["http://www.mendeley.com/documents/?uuid=4b2b28e1-80a7-4a6d-91b1-94d9e4c70f25"]}],"mendeley":{"formattedCitation":"&lt;sup&gt;[30]&lt;/sup&gt;","plainTextFormattedCitation":"[30]","previouslyFormattedCitation":"&lt;sup&gt;[29]&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[30]</w:t>
      </w:r>
      <w:r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w:t>
      </w:r>
      <w:r w:rsidR="00306442"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Further studies</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showed</w:t>
      </w:r>
      <w:r w:rsidR="004B27DB"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that when </w:t>
      </w:r>
      <w:proofErr w:type="spellStart"/>
      <w:r w:rsidRPr="00825E2B">
        <w:rPr>
          <w:rFonts w:ascii="Book Antiqua" w:eastAsia="MS Mincho" w:hAnsi="Book Antiqua"/>
          <w:i/>
          <w:iCs/>
          <w:sz w:val="24"/>
          <w:szCs w:val="24"/>
          <w:lang w:val="en-US"/>
        </w:rPr>
        <w:t>Mgl</w:t>
      </w:r>
      <w:proofErr w:type="spellEnd"/>
      <w:r w:rsidRPr="00825E2B">
        <w:rPr>
          <w:rFonts w:ascii="Book Antiqua" w:eastAsia="MS Mincho" w:hAnsi="Book Antiqua"/>
          <w:sz w:val="24"/>
          <w:szCs w:val="24"/>
          <w:vertAlign w:val="superscript"/>
          <w:lang w:val="en-US"/>
        </w:rPr>
        <w:t>-/-</w:t>
      </w:r>
      <w:r w:rsidRPr="00825E2B">
        <w:rPr>
          <w:rFonts w:ascii="Book Antiqua" w:eastAsia="MS Mincho" w:hAnsi="Book Antiqua"/>
          <w:sz w:val="24"/>
          <w:szCs w:val="24"/>
          <w:lang w:val="en-US"/>
        </w:rPr>
        <w:t xml:space="preserve"> animals were challenged with high fat diet feeding, great amounts of 2-AG were detected in the brain, </w:t>
      </w:r>
      <w:r w:rsidR="00BB5079" w:rsidRPr="00825E2B">
        <w:rPr>
          <w:rFonts w:ascii="Book Antiqua" w:eastAsia="MS Mincho" w:hAnsi="Book Antiqua"/>
          <w:sz w:val="24"/>
          <w:szCs w:val="24"/>
          <w:lang w:val="en-US"/>
        </w:rPr>
        <w:t>al</w:t>
      </w:r>
      <w:r w:rsidRPr="00825E2B">
        <w:rPr>
          <w:rFonts w:ascii="Book Antiqua" w:eastAsia="MS Mincho" w:hAnsi="Book Antiqua"/>
          <w:sz w:val="24"/>
          <w:szCs w:val="24"/>
          <w:lang w:val="en-US"/>
        </w:rPr>
        <w:t>though affecting neither food consumption nor</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body</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 xml:space="preserve">weight, therefore evidencing cannabinoid receptors desensitizing </w:t>
      </w:r>
      <w:r w:rsidRPr="00825E2B">
        <w:rPr>
          <w:rFonts w:ascii="Book Antiqua" w:eastAsia="MS Mincho" w:hAnsi="Book Antiqua"/>
          <w:sz w:val="24"/>
          <w:szCs w:val="24"/>
          <w:lang w:val="en-US"/>
        </w:rPr>
        <w:lastRenderedPageBreak/>
        <w:t>effects</w:t>
      </w:r>
      <w:r w:rsidR="0076554C"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76554C"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[23]</w:t>
      </w:r>
      <w:r w:rsidR="0076554C" w:rsidRPr="00825E2B">
        <w:rPr>
          <w:rFonts w:ascii="Book Antiqua" w:hAnsi="Book Antiqua" w:cs="Arial"/>
          <w:sz w:val="24"/>
          <w:szCs w:val="24"/>
          <w:lang w:val="en-US"/>
        </w:rPr>
        <w:fldChar w:fldCharType="end"/>
      </w:r>
      <w:r w:rsidR="0076554C" w:rsidRPr="00825E2B">
        <w:rPr>
          <w:rFonts w:ascii="Book Antiqua" w:hAnsi="Book Antiqua" w:cs="Arial"/>
          <w:sz w:val="24"/>
          <w:szCs w:val="24"/>
          <w:lang w:val="en-US"/>
        </w:rPr>
        <w:t>.</w:t>
      </w:r>
      <w:r w:rsidR="00700BA8" w:rsidRPr="00825E2B">
        <w:rPr>
          <w:rFonts w:ascii="Book Antiqua" w:hAnsi="Book Antiqua" w:cs="Arial"/>
          <w:sz w:val="24"/>
          <w:szCs w:val="24"/>
          <w:lang w:val="en-US"/>
        </w:rPr>
        <w:t xml:space="preserve"> </w:t>
      </w:r>
      <w:r w:rsidR="00FF45A2" w:rsidRPr="00825E2B">
        <w:rPr>
          <w:rFonts w:ascii="Book Antiqua" w:eastAsia="MS Mincho" w:hAnsi="Book Antiqua"/>
          <w:sz w:val="24"/>
          <w:szCs w:val="24"/>
          <w:lang w:val="en-US"/>
        </w:rPr>
        <w:t>Notably</w:t>
      </w:r>
      <w:r w:rsidRPr="00825E2B">
        <w:rPr>
          <w:rFonts w:ascii="Book Antiqua" w:eastAsia="MS Mincho" w:hAnsi="Book Antiqua"/>
          <w:sz w:val="24"/>
          <w:szCs w:val="24"/>
          <w:lang w:val="en-US"/>
        </w:rPr>
        <w:t>, the liver content of certain species of saturated and unsaturated MGs were highly enriched in </w:t>
      </w:r>
      <w:proofErr w:type="spellStart"/>
      <w:r w:rsidRPr="00825E2B">
        <w:rPr>
          <w:rFonts w:ascii="Book Antiqua" w:eastAsia="MS Mincho" w:hAnsi="Book Antiqua"/>
          <w:i/>
          <w:iCs/>
          <w:sz w:val="24"/>
          <w:szCs w:val="24"/>
          <w:lang w:val="en-US"/>
        </w:rPr>
        <w:t>Mgl</w:t>
      </w:r>
      <w:proofErr w:type="spellEnd"/>
      <w:r w:rsidRPr="00825E2B">
        <w:rPr>
          <w:rFonts w:ascii="Book Antiqua" w:eastAsia="MS Mincho" w:hAnsi="Book Antiqua"/>
          <w:sz w:val="24"/>
          <w:szCs w:val="24"/>
          <w:vertAlign w:val="superscript"/>
          <w:lang w:val="en-US"/>
        </w:rPr>
        <w:t>-/-</w:t>
      </w:r>
      <w:r w:rsidR="00700BA8" w:rsidRPr="00825E2B">
        <w:rPr>
          <w:rFonts w:ascii="Book Antiqua" w:eastAsia="MS Mincho" w:hAnsi="Book Antiqua"/>
          <w:sz w:val="24"/>
          <w:szCs w:val="24"/>
          <w:lang w:val="en-US"/>
        </w:rPr>
        <w:t>,</w:t>
      </w:r>
      <w:r w:rsidR="00126620" w:rsidRPr="00825E2B">
        <w:rPr>
          <w:rFonts w:ascii="Book Antiqua" w:eastAsia="MS Mincho" w:hAnsi="Book Antiqua"/>
          <w:sz w:val="24"/>
          <w:szCs w:val="24"/>
          <w:lang w:val="en-US"/>
        </w:rPr>
        <w:t xml:space="preserve"> showing after 12 </w:t>
      </w:r>
      <w:proofErr w:type="spellStart"/>
      <w:r w:rsidR="00126620" w:rsidRPr="00825E2B">
        <w:rPr>
          <w:rFonts w:ascii="Book Antiqua" w:eastAsia="MS Mincho" w:hAnsi="Book Antiqua"/>
          <w:sz w:val="24"/>
          <w:szCs w:val="24"/>
          <w:lang w:val="en-US"/>
        </w:rPr>
        <w:t>wk</w:t>
      </w:r>
      <w:proofErr w:type="spellEnd"/>
      <w:r w:rsidRPr="00825E2B">
        <w:rPr>
          <w:rFonts w:ascii="Book Antiqua" w:eastAsia="MS Mincho" w:hAnsi="Book Antiqua"/>
          <w:sz w:val="24"/>
          <w:szCs w:val="24"/>
          <w:lang w:val="en-US"/>
        </w:rPr>
        <w:t xml:space="preserve"> </w:t>
      </w:r>
      <w:r w:rsidR="00126620" w:rsidRPr="00825E2B">
        <w:rPr>
          <w:rFonts w:ascii="Book Antiqua" w:eastAsia="MS Mincho" w:hAnsi="Book Antiqua"/>
          <w:sz w:val="24"/>
          <w:szCs w:val="24"/>
          <w:lang w:val="en-US"/>
        </w:rPr>
        <w:t>high fat diet</w:t>
      </w:r>
      <w:r w:rsidRPr="00825E2B">
        <w:rPr>
          <w:rFonts w:ascii="Book Antiqua" w:eastAsia="MS Mincho" w:hAnsi="Book Antiqua"/>
          <w:sz w:val="24"/>
          <w:szCs w:val="24"/>
          <w:lang w:val="en-US"/>
        </w:rPr>
        <w:t xml:space="preserve"> better insulin sensitivity and glucose tolerance</w:t>
      </w:r>
      <w:r w:rsidR="008D6B5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{"citationItems":[{"id":"ITEM-1","itemData":{"DOI":"10.1194/jlr.M058586","ISSN":"0022-2275","PMID":"25842377","abstract":"Monoacylglycerol lipase (MGL) is a ubiquitously expressed enzyme that catalyzes the hydrolysis of monoacylglycerols (MGs) to yield FFAs and glycerol. MGL contributes to energy homeostasis through the mobilization of fat stores and also via the degradation of the endocannabinoid 2-arachidonoyl glycerol. To further examine the role of MG metabolism in energy homeostasis, MGL(-/-) mice were fed either a 10% (kilocalories) low-fat diet (LFD) or a 45% (kilocalories) high-fat diet (HFD) for 12 weeks. Profound increases of MG species in the MGL(-/-) mice compared with WT control mice were found. Weight gain over the 12 weeks was blunted in both diet groups. MGL(-/-) mice were leaner than WT mice at both baseline and after 12 weeks of LFD feeding. Circulating lipids were decreased in HFD-fed MGL(-/-) mice, as were the levels of several plasma peptides involved in glucose homeostasis and energy balance. Interestingly, MGL(-/-) mice had markedly reduced intestinal TG secretion following an oral fat challenge, suggesting delayed lipid absorption. Overall, the results indicate that global MGL deletion leads to systemic changes that produce a leaner phenotype and an improved serum metabolic profile.","author":[{"dropping-particle":"","family":"Douglass","given":"John D.","non-dropping-particle":"","parse-names":false,"suffix":""},{"dropping-particle":"","family":"Zhou","given":"Yin Xiu","non-dropping-particle":"","parse-names":false,"suffix":""},{"dropping-particle":"","family":"Wu","given":"Amy","non-dropping-particle":"","parse-names":false,"suffix":""},{"dropping-particle":"","family":"Zadrogra","given":"John A.","non-dropping-particle":"","parse-names":false,"suffix":""},{"dropping-particle":"","family":"Gajda","given":"Angela M.","non-dropping-particle":"","parse-names":false,"suffix":""},{"dropping-particle":"","family":"Lackey","given":"Atreju I.","non-dropping-particle":"","parse-names":false,"suffix":""},{"dropping-particle":"","family":"Lang","given":"Wensheng","non-dropping-particle":"","parse-names":false,"suffix":""},{"dropping-particle":"","family":"Chevalier","given":"Kristen M.","non-dropping-particle":"","parse-names":false,"suffix":""},{"dropping-particle":"","family":"Sutton","given":"Steven W.","non-dropping-particle":"","parse-names":false,"suffix":""},{"dropping-particle":"","family":"Zhang","given":"Sui-Po","non-dropping-particle":"","parse-names":false,"suffix":""},{"dropping-particle":"","family":"Flores","given":"Christopher M.","non-dropping-particle":"","parse-names":false,"suffix":""},{"dropping-particle":"","family":"Connelly","given":"Margery A.","non-dropping-particle":"","parse-names":false,"suffix":""},{"dropping-particle":"","family":"Storch","given":"Judith","non-dropping-particle":"","parse-names":false,"suffix":""}],"container-title":"Journal of Lipid Research","id":"ITEM-1","issue":"6","issued":{"date-parts":[["2015"]]},"page":"1153-1171","title":"Global deletion of MGL in mice delays lipid absorption and alters energy homeostasis and diet-induced obesity","type":"article-journal","volume":"56"},"uris":["http://www.mendeley.com/documents/?uuid=709c7a6b-b3a7-479a-9074-8f8d6c6ca6b0"]},{"id":"ITEM-2","itemData":{"DOI":"10.1194/jlr.M093369","ISSN":"15397262","abstract":"Monoacylglycerol lipase (MGL) is the rate-limiting enzyme in the degradation of monoacylglycerols. To examine the role of MGL in hepatic steatosis, wild type (WT) and MGL knockout (MGL-/-) mice were challenged with western diet (WD) over 12 weeks. Lipid metabolism, inflammation and fibrosis were assessed by serum biochemistry, histology and gene expression profiling of liver and adipose depots. Intestinal fat absorption was measured by gas chromatography. Primary adipocyte and 3T3-L1 were analyzed by flow cytometry and western blot. Human hepatocytes were treated with MGL inhibitor JZL184. Absence of MGL protected mice from hepatic steatosis repressing key lipogenic enzymes in liver (Srebp1c, Pparγ2, Dgat1), while promoting FA oxidation. Liver inflammation was diminished in MGL-/- fed WD, as evidenced by diminished F4/80 staining and Ccl2 gene expression, while fibrosis remained unchanged. Absence of MGL promoted fat storage in gonadal white adipose tissue (gWAT) with increased lipogenesis and unchanged lipolysis, diminished inflammation in gWAT and subcutaneous AT. Intestinal fat malabsorption prevented ectopic lipid accumulation in livers of MGL-/- fed WD. In vitro experiments demonstrated increased adipocyte size/lipid content driven by PPARγ. In conclusion our data uncover that MGL deletion improves some aspects of NAFLD by promoting lipid storage in gWAT and fat malabsorption.","author":[{"dropping-particle":"","family":"Tardelli","given":"Matteo","non-dropping-particle":"","parse-names":false,"suffix":""},{"dropping-particle":"V.","family":"Bruschi","given":"Francesca","non-dropping-particle":"","parse-names":false,"suffix":""},{"dropping-particle":"","family":"Claudel","given":"Thierry","non-dropping-particle":"","parse-names":false,"suffix":""},{"dropping-particle":"","family":"Fuchs","given":"Claudia D.","non-dropping-particle":"","parse-names":false,"suffix":""},{"dropping-particle":"","family":"Auer","given":"Nicole","non-dropping-particle":"","parse-names":false,"suffix":""},{"dropping-particle":"","family":"Kunczer","given":"Victoria","non-dropping-particle":"","parse-names":false,"suffix":""},{"dropping-particle":"","family":"Stojakovic","given":"Tatjana","non-dropping-particle":"","parse-names":false,"suffix":""},{"dropping-particle":"","family":"Scharnagl","given":"Hubert","non-dropping-particle":"","parse-names":false,"suffix":""},{"dropping-particle":"","family":"Habib","given":"Aida","non-dropping-particle":"","parse-names":false,"suffix":""},{"dropping-particle":"","family":"Grabner","given":"Gernot F.","non-dropping-particle":"","parse-names":false,"suffix":""},{"dropping-particle":"","family":"Zimmermann","given":"Robert","non-dropping-particle":"","parse-names":false,"suffix":""},{"dropping-particle":"","family":"Lotersztajn","given":"Sophie","non-dropping-particle":"","parse-names":false,"suffix":""},{"dropping-particle":"","family":"Trauner","given":"Michael","non-dropping-particle":"","parse-names":false,"suffix":""}],"container-title":"Journal of Lipid Research","id":"ITEM-2","issued":{"date-parts":[["2019"]]},"title":"Lack of monoacylglycerol lipase prevents hepatic steatosis by favoring lipid storage in adipose tissue and intestinal malabsorption","type":"article-journal"},"uris":["http://www.mendeley.com/documents/?uuid=49514fd3-a108-46f6-ab48-c2ae6bc6cb60"]}],"mendeley":{"formattedCitation":"&lt;sup&gt;[31,32]&lt;/sup&gt;","plainTextFormattedCitation":"[31,32]","previouslyFormattedCitation":"&lt;sup&gt;[30,31]&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[31,32]</w:t>
      </w:r>
      <w:r w:rsidR="008D6B52" w:rsidRPr="00825E2B">
        <w:rPr>
          <w:rFonts w:ascii="Book Antiqua" w:hAnsi="Book Antiqua" w:cs="Arial"/>
          <w:sz w:val="24"/>
          <w:szCs w:val="24"/>
          <w:lang w:val="en-US"/>
        </w:rPr>
        <w:fldChar w:fldCharType="end"/>
      </w:r>
      <w:r w:rsidRPr="00825E2B">
        <w:rPr>
          <w:rFonts w:ascii="Book Antiqua" w:eastAsia="MS Mincho" w:hAnsi="Book Antiqua"/>
          <w:sz w:val="24"/>
          <w:szCs w:val="24"/>
          <w:lang w:val="en-US"/>
        </w:rPr>
        <w:t>; although whether adipose depots or skeletal muscle were the main players in determining this phenotype</w:t>
      </w:r>
      <w:r w:rsidR="00FF45A2" w:rsidRPr="00825E2B">
        <w:rPr>
          <w:rFonts w:ascii="Book Antiqua" w:eastAsia="MS Mincho" w:hAnsi="Book Antiqua"/>
          <w:sz w:val="24"/>
          <w:szCs w:val="24"/>
          <w:lang w:val="en-US"/>
        </w:rPr>
        <w:t>,</w:t>
      </w:r>
      <w:r w:rsidRPr="00825E2B">
        <w:rPr>
          <w:rFonts w:ascii="Book Antiqua" w:eastAsia="MS Mincho" w:hAnsi="Book Antiqua"/>
          <w:sz w:val="24"/>
          <w:szCs w:val="24"/>
          <w:lang w:val="en-US"/>
        </w:rPr>
        <w:t> was not thoroughly investigated. Several </w:t>
      </w:r>
      <w:r w:rsidR="00FF45A2" w:rsidRPr="00825E2B">
        <w:rPr>
          <w:rFonts w:ascii="Book Antiqua" w:eastAsia="MS Mincho" w:hAnsi="Book Antiqua"/>
          <w:sz w:val="24"/>
          <w:szCs w:val="24"/>
          <w:lang w:val="en-US"/>
        </w:rPr>
        <w:t>other works</w:t>
      </w:r>
      <w:r w:rsidRPr="00825E2B">
        <w:rPr>
          <w:rFonts w:ascii="Book Antiqua" w:eastAsia="MS Mincho" w:hAnsi="Book Antiqua"/>
          <w:sz w:val="24"/>
          <w:szCs w:val="24"/>
          <w:lang w:val="en-US"/>
        </w:rPr>
        <w:t> evidenced</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 role</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of MGL in tumor growth/metabolism</w:t>
      </w:r>
      <w:r w:rsidR="00FF45A2" w:rsidRPr="00825E2B">
        <w:rPr>
          <w:rFonts w:ascii="Book Antiqua" w:eastAsia="MS Mincho" w:hAnsi="Book Antiqua"/>
          <w:sz w:val="24"/>
          <w:szCs w:val="24"/>
          <w:lang w:val="en-US"/>
        </w:rPr>
        <w:t xml:space="preserve"> as well as </w:t>
      </w:r>
      <w:r w:rsidRPr="00825E2B">
        <w:rPr>
          <w:rFonts w:ascii="Book Antiqua" w:eastAsia="MS Mincho" w:hAnsi="Book Antiqua"/>
          <w:sz w:val="24"/>
          <w:szCs w:val="24"/>
          <w:lang w:val="en-US"/>
        </w:rPr>
        <w:t>oncogenic signaling</w:t>
      </w:r>
      <w:r w:rsidR="0076554C"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{"citationItems":[{"id":"ITEM-1","itemData":{"DOI":"10.1016/j.cell.2009.11.027","ISBN":"0092-8674","ISSN":"00928674","PMID":"20079333","abstract":"Tumor cells display progressive changes in metabolism that correlate with malignancy, including development of a lipogenic phenotype. How stored fats are liberated and remodeled to support cancer pathogenesis, however, remains unknown. Here, we show that the enzyme monoacylglycerol lipase (MAGL) is highly expressed in aggressive human cancer cells and primary tumors, where it regulates a fatty acid network enriched in oncogenic signaling lipids that promotes migration, invasion, survival, and in vivo tumor growth. Overexpression of MAGL in nonaggressive cancer cells recapitulates this fatty acid network and increases their pathogenicity-phenotypes that are reversed by an MAGL inhibitor. Impairments in MAGL-dependent tumor growth are rescued by a high-fat diet, indicating that exogenous sources of fatty acids can contribute to malignancy in cancers lacking MAGL activity. Together, these findings reveal how cancer cells can co-opt a lipolytic enzyme to translate their lipogenic state into an array of protumorigenic signals. PaperFlick: {An electronic component is presented}. © 2010 Elsevier Inc. All rights reserved.","author":[{"dropping-particle":"","family":"Nomura","given":"Daniel K.","non-dropping-particle":"","parse-names":false,"suffix":""},{"dropping-particle":"","family":"Long","given":"Jonathan Z.","non-dropping-particle":"","parse-names":false,"suffix":""},{"dropping-particle":"","family":"Niessen","given":"Sherry","non-dropping-particle":"","parse-names":false,"suffix":""},{"dropping-particle":"","family":"Hoover","given":"Heather S.","non-dropping-particle":"","parse-names":false,"suffix":""},{"dropping-particle":"","family":"Ng","given":"Shu Wing","non-dropping-particle":"","parse-names":false,"suffix":""},{"dropping-particle":"","family":"Cravatt","given":"Benjamin F.","non-dropping-particle":"","parse-names":false,"suffix":""}],"container-title":"Cell","id":"ITEM-1","issue":"1","issued":{"date-parts":[["2010"]]},"page":"49-61","title":"Monoacylglycerol Lipase Regulates a Fatty Acid Network that Promotes Cancer Pathogenesis","type":"article-journal","volume":"140"},"uris":["http://www.mendeley.com/documents/?uuid=a442e780-bc33-4e2a-a592-b53bd3c1b2c8"]}],"mendeley":{"formattedCitation":"&lt;sup&gt;[33]&lt;/sup&gt;","plainTextFormattedCitation":"[33]","previouslyFormattedCitation":"&lt;sup&gt;[32]&lt;/sup&gt;"},"properties":{"noteIndex":0},"schema":"https://github.com/citation-style-language/schema/raw/master/csl-citation.json"}</w:instrText>
      </w:r>
      <w:r w:rsidR="0076554C"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[33]</w:t>
      </w:r>
      <w:r w:rsidR="0076554C" w:rsidRPr="00825E2B">
        <w:rPr>
          <w:rFonts w:ascii="Book Antiqua" w:hAnsi="Book Antiqua" w:cs="Arial"/>
          <w:sz w:val="24"/>
          <w:szCs w:val="24"/>
          <w:lang w:val="en-US"/>
        </w:rPr>
        <w:fldChar w:fldCharType="end"/>
      </w:r>
      <w:r w:rsidR="00FF45A2" w:rsidRPr="00825E2B">
        <w:rPr>
          <w:rFonts w:ascii="Book Antiqua" w:hAnsi="Book Antiqua" w:cs="Arial"/>
          <w:sz w:val="24"/>
          <w:szCs w:val="24"/>
          <w:lang w:val="en-US"/>
        </w:rPr>
        <w:t>,</w:t>
      </w:r>
      <w:r w:rsidR="00812704"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being associated with gastrointestinal stromal tumors</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{"citationItems":[{"id":"ITEM-1","itemData":{"DOI":"10.18632/oncotarget.10304","ISSN":"19492553","abstract":"The role of deregulated cellular metabolism, particularly lipid metabolism, in gastrointestinal stromal tumors (GISTs) remains unclear. Through data mining of published transcriptomes, we examined lipid metabolism-regulating drivers differentially upregulated in high-risk cases and identified monoglyceride lipase (MGLL) as the top-ranking candidate involved in GIST progression. MGLL expression status was examined in three GIST cell lines and two independent sets of primary localized GISTs. MGLL mRNA abundance and immunoexpression was determined in 70 cases through the QuantiGene assay and H-scoring on whole sections, respectively. H-scoring was extended to another cohort for evaluating MGLL immunoexpression on tissue microarrays, yielding 350 informative cases, with KIT/PDGFRA mutation genotypes noted in 213 of them. Both imatinib-sensitive (GIST882) and -resistant (GIST48 and GIST430) cell lines exhibited increased MGLL expression. MGLL mRNA levels significantly increased from adjacent normal tissue to the non-highrisk group (p = 0.030) and from the non-high-risk group to high-risk GISTs (p = 0.012), and were associated with immunoexpression levels (p &lt; 0.001, r = 0.536). MGLL overexpression was associated with the nongastric location (p = 0.022) and increased size (p = 0.017), and was strongly related to mitosis and risk levels defined by NIH and NCCN criteria (all p = 0.001). Univariately, MGLL overexpression was strongly predictive of poorer disease-free and overall survival (both p &lt; 0.001), which remained prognostically independent for both endpoints, along with higher risk levels. Conclusively, MGLL is a lipid metabolic enzyme causatively implicated in GIST progression given its association with unfavorable clincopathological factors and independent negative prognostic effects.","author":[{"dropping-particle":"","family":"Li","given":"Chien Feng","non-dropping-particle":"","parse-names":false,"suffix":""},{"dropping-particle":"","family":"Chuang","given":"I. Chieh","non-dropping-particle":"","parse-names":false,"suffix":""},{"dropping-particle":"","family":"Liu","given":"Ting Ting","non-dropping-particle":"","parse-names":false,"suffix":""},{"dropping-particle":"","family":"Chen","given":"Ko Chin","non-dropping-particle":"","parse-names":false,"suffix":""},{"dropping-particle":"","family":"Chen","given":"Yen Yang","non-dropping-particle":"","parse-names":false,"suffix":""},{"dropping-particle":"","family":"Fang","given":"Fu Min","non-dropping-particle":"","parse-names":false,"suffix":""},{"dropping-particle":"","family":"Li","given":"Shau Hsuan","non-dropping-particle":"","parse-names":false,"suffix":""},{"dropping-particle":"","family":"Chen","given":"Tzu Ju","non-dropping-particle":"","parse-names":false,"suffix":""},{"dropping-particle":"","family":"Yu","given":"Shih Chen","non-dropping-particle":"","parse-names":false,"suffix":""},{"dropping-particle":"","family":"Lan","given":"Jui","non-dropping-particle":"","parse-names":false,"suffix":""},{"dropping-particle":"","family":"Huang","given":"Hsuan Ying","non-dropping-particle":"","parse-names":false,"suffix":""}],"container-title":"Oncotarget","id":"ITEM-1","issued":{"date-parts":[["2016"]]},"title":"Transcriptomic reappraisal identifies MGLL overexpression as an unfavorable prognosticator in primary gastrointestinal stromal tumors","type":"article-journal"},"uris":["http://www.mendeley.com/documents/?uuid=bcf829ce-5b83-430f-8add-18fe6a22b312"]}],"mendeley":{"formattedCitation":"&lt;sup&gt;[34]&lt;/sup&gt;","plainTextFormattedCitation":"[34]","previouslyFormattedCitation":"&lt;sup&gt;[33]&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[34]</w:t>
      </w:r>
      <w:r w:rsidRPr="00825E2B">
        <w:rPr>
          <w:rFonts w:ascii="Book Antiqua" w:eastAsia="MS Mincho" w:hAnsi="Book Antiqua"/>
          <w:sz w:val="24"/>
          <w:szCs w:val="24"/>
          <w:lang w:val="en-US"/>
        </w:rPr>
        <w:fldChar w:fldCharType="end"/>
      </w:r>
      <w:r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and hepatocellular carcinoma (HCC); others instead showed that MGL deletion resulted into significant colorectal cancer growth inhibition</w:t>
      </w:r>
      <w:r w:rsidR="0076554C"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{"citationItems":[{"id":"ITEM-1","itemData":{"DOI":"10.1016/j.canlet.2011.03.007","ISBN":"0304-3835","ISSN":"03043835","PMID":"21543155","abstract":"Objectives: Obesity has been reported to increase the risk of colorectal cancer, which may due to aberrant lipid metabolism. And recently findings of monoacylglycerol lipase provide a novel evidence in the correlation of obesity and cancer. So in this study, we investigated the effect of MAGL in regulation of tumor growth in colorectal cancer. Methods: MAGL expression in tumor tissues was estimated, and then JZL184 and siRNA were used to knockdown the expression of MAGL in colorectal cancer cells. Cell viability and invasion were detected to estimate the influence of MAGL knocked down in vitro and vivo. Then cell proliferation, apoptosis, cell cycle transition and screening of candidate genes were performed for further exploring of the effect mediated by MAGL knocked down. Results: It was noted that the expression of MAGL was highly elevated in tumor tissues, however, it was found only significantly correlated with the BMI index. Tumor cells' growth and invasion was significantly inhibited in vitro and in vivo induced by pharmacological and siRNA mediated MAGL knocked down. Cell proliferation was reduced and apoptosis was increased. And two target genes Cyclin D1 and Bcl-2 seemed to be repressed by MAGL knocked down. Conclusions: This study demonstrated colorectal cancer cells growth can be inhibited via knockdown of MAGL, which manipulate tumor cells proliferation and apoptosis by downregulation of Cyclin D1 and Bcl-2. It provides a novel therapeutic target in treatment of colorectal cancer and a further support for the correlation of obesity and colorectal cancer. © 2011 Elsevier Ireland Ltd.","author":[{"dropping-particle":"","family":"Ye","given":"Lin","non-dropping-particle":"","parse-names":false,"suffix":""},{"dropping-particle":"","family":"Zhang","given":"Bo","non-dropping-particle":"","parse-names":false,"suffix":""},{"dropping-particle":"","family":"Seviour","given":"Elena G.","non-dropping-particle":"","parse-names":false,"suffix":""},{"dropping-particle":"","family":"Tao","given":"Kai xiong","non-dropping-particle":"","parse-names":false,"suffix":""},{"dropping-particle":"","family":"Liu","given":"Xing hua","non-dropping-particle":"","parse-names":false,"suffix":""},{"dropping-particle":"","family":"Ling","given":"Yan","non-dropping-particle":"","parse-names":false,"suffix":""},{"dropping-particle":"","family":"Chen","given":"Jian ying","non-dropping-particle":"","parse-names":false,"suffix":""},{"dropping-particle":"bin","family":"Wang","given":"Guo","non-dropping-particle":"","parse-names":false,"suffix":""}],"container-title":"Cancer Letters","id":"ITEM-1","issue":"1","issued":{"date-parts":[["2011"]]},"page":"6-17","title":"Monoacylglycerol lipase (MAGL) knockdown inhibits tumor cells growth in colorectal cancer","type":"article-journal","volume":"307"},"uris":["http://www.mendeley.com/documents/?uuid=ae8da040-5b8b-4437-9f07-a996e11ab0b7"]}],"mendeley":{"formattedCitation":"&lt;sup&gt;[35]&lt;/sup&gt;","plainTextFormattedCitation":"[35]","previouslyFormattedCitation":"&lt;sup&gt;[34]&lt;/sup&gt;"},"properties":{"noteIndex":0},"schema":"https://github.com/citation-style-language/schema/raw/master/csl-citation.json"}</w:instrText>
      </w:r>
      <w:r w:rsidR="0076554C"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[35]</w:t>
      </w:r>
      <w:r w:rsidR="0076554C" w:rsidRPr="00825E2B">
        <w:rPr>
          <w:rFonts w:ascii="Book Antiqua" w:hAnsi="Book Antiqua" w:cs="Arial"/>
          <w:sz w:val="24"/>
          <w:szCs w:val="24"/>
          <w:lang w:val="en-US"/>
        </w:rPr>
        <w:fldChar w:fldCharType="end"/>
      </w:r>
      <w:r w:rsidR="0076554C" w:rsidRPr="00825E2B">
        <w:rPr>
          <w:rFonts w:ascii="Book Antiqua" w:hAnsi="Book Antiqua" w:cs="Arial"/>
          <w:sz w:val="24"/>
          <w:szCs w:val="24"/>
          <w:lang w:val="en-US"/>
        </w:rPr>
        <w:t xml:space="preserve"> </w:t>
      </w:r>
      <w:r w:rsidR="00FF45A2" w:rsidRPr="00825E2B">
        <w:rPr>
          <w:rFonts w:ascii="Book Antiqua" w:hAnsi="Book Antiqua" w:cs="Arial"/>
          <w:sz w:val="24"/>
          <w:szCs w:val="24"/>
          <w:lang w:val="en-US"/>
        </w:rPr>
        <w:t>while also</w:t>
      </w:r>
      <w:r w:rsidRPr="00825E2B">
        <w:rPr>
          <w:rFonts w:ascii="Book Antiqua" w:eastAsia="MS Mincho" w:hAnsi="Book Antiqua"/>
          <w:sz w:val="24"/>
          <w:szCs w:val="24"/>
          <w:lang w:val="en-US"/>
        </w:rPr>
        <w:t> reducing</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ischemia/reperfusion-induced lung injury and inflammation</w:t>
      </w:r>
      <w:r w:rsidR="0076554C"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{"citationItems":[{"id":"ITEM-1","itemData":{"DOI":"10.1371/journal.pone.0077706","ISSN":"19326203","PMID":"24204926","abstract":"Endocannabinoid signaling is terminated by enzymatic hydrolysis, a process that, for 2-Arachidonoylglycerol (2-AG), is mediated by monoacylglycerol lipase (MAGL). The piperidine carbamate, 4-nitrophenyl- 4-(dibenzo[d] [1,3]dioxol-5-yl (hydroxy) methyl) piperidine- 1-carboxylate (JZL184), is a drug that inhibits MAGL and presents high potency and selectivity. Thus, JZL184 increases the levels of 2-AG, an endocannabinoid that acts on the CB1 and CB2 cannabinoid receptors. Here, we investigated the effects of MAGL inhibition, with a single dose (16 mg/kg, intraperitoneally (i.p.)) of JZL184, in a murine model of lipopolysaccharide (LPS) -induced acute lung injury (ALI) 6, 24 and 48 hours after the inflammatory insult. Treatment with JZL184 decreased the leukocyte migration into the lungs as well as the vascular permeability measured through the bronchoalveolar lavage fluid (BAL) and histological analysis. JZL184 also reduced the cytokine and chemokine levels in the BAL and adhesion molecule expression in the blood and BAL. The CB1 and CB2 receptors were considered involved in the anti-inflammatory effects of JZL184 because the AM281 selective CB1 receptor antagonist (1-(2,4-dichlorophenyl)-5-(4-iodophenyl)-4-methyl-N-4-morpholinyl-1H-pyrazole-3-carboxamide) and the AM630 selective CB2 receptor antagonist ([6-iodo-2-methyl-1-[2-(4-morpholinyl)ethyl]-1H-indol-3-yl](4-methoxyphenyl)-methanone) blocked the anti-inflammatory effects previously described for JZL184. It was concluded that MAGL inhibition, and consequently the increase in 2-AG levels, produced anti-inflammatory effects in a murine model of LPS-induced ALI, a finding that was considered a consequence of the activation of the CB1 and CB2 receptors.","author":[{"dropping-particle":"","family":"Costola-de-Souza","given":"Carolina","non-dropping-particle":"","parse-names":false,"suffix":""},{"dropping-particle":"","family":"Ribeiro","given":"Alison","non-dropping-particle":"","parse-names":false,"suffix":""},{"dropping-particle":"","family":"Ferraz-de-Paula","given":"Viviane","non-dropping-particle":"","parse-names":false,"suffix":""},{"dropping-particle":"","family":"Calefi","given":"Atilio Sersun","non-dropping-particle":"","parse-names":false,"suffix":""},{"dropping-particle":"","family":"Aloia","given":"Thiago Pinheiro Arrais","non-dropping-particle":"","parse-names":false,"suffix":""},{"dropping-particle":"","family":"Gimenes-Júnior","given":"João Antonio","non-dropping-particle":"","parse-names":false,"suffix":""},{"dropping-particle":"","family":"Almeida","given":"Vinicius Izidio","non-dropping-particle":"de","parse-names":false,"suffix":""},{"dropping-particle":"","family":"Pinheiro","given":"Milena Lobão","non-dropping-particle":"","parse-names":false,"suffix":""},{"dropping-particle":"","family":"Palermo-Neto","given":"João","non-dropping-particle":"","parse-names":false,"suffix":""}],"container-title":"PLoS ONE","id":"ITEM-1","issue":"10","issued":{"date-parts":[["2013"]]},"title":"Monoacylglycerol Lipase (MAGL) Inhibition Attenuates Acute Lung Injury in Mice","type":"article-journal","volume":"8"},"uris":["http://www.mendeley.com/documents/?uuid=c524fa37-713c-4688-8469-86cc4fc3d0b4"]},{"id":"ITEM-2","itemData":{"DOI":"10.1016/j.bbrc.2018.10.098","ISSN":"10902104","abstract":"Lung ischemia-reperfusion injury (LIRI) is a common and severe postoperative pathologic complication that often occurs when the oxygen supply disrupted to the lung tissue fallowed by reperfusion period, in most cases after lung transplantation and cardiopulmonary bypass. Endocannabinoids such as 2-arachidonoylglycerol (2-AG) have very important role as regulators of inflammation. Monoacylglycerol lipase (MAGL) is the main 2-AG-degrading enzyme, and the downstream metabolites of 2-AG play a role in the inflammation. Ischemia reperfusion (IR) was induced by clamping the left pulmonary hilum for 60 min, followed by 120 min of reperfusion in male C57BL/6 mice. Effects of URB602, a MAGL inhibitor, were evaluated in a preventive or therapeutic regimen (5 min before ischemia or reperfusion, respectively). Oxygenation index, wet-to-dry weight ratio and lung injury score were analyzed. Endocannabinoids including 2-AG, anandamide (AEA) and arachidonic acid (AA) levels, metabolites such as Prostaglandin I2 (PGI2), Thromboxane B2 (TXB2) and Leukotrienes B4 (LTB4) and inflammatory markers (Interleukin 6 (IL-6) andTumor necrosis factor-α (TNF-α)) in lung tissues were measured by using mass spectrometry or ELISA analyses. We found that IR increased the wet-to-dry weight ratio of lung and lung injury score and decreased oxygenation index as compared to the sham group. Moreover, treatment with URB602 in preventive or therapeutic regimen reduced the wet-to-dry weight ratio and lung injury score while increased oxygenation index when compared with the IR group, with a more improvement in the preventive regimen group. In addition, treatment with URB602 before ischemia increased 2-AG level but decreased metabolites (AA, PGI2, TXB2, LTB4) and inflammatory markers (IL-6, TNF-α). Thus, our study demonstrated that a pretreatment with URB602 significantly reduced IR-induced lung injury and inflammation. URB602 inhibited LIRI and inflammation by increasing 2-AG level and reducing downstream metabolites from AA to PGI2, TXB2 and LTB4 in lung tissues.","author":[{"dropping-particle":"","family":"Xiong","given":"Yaqin","non-dropping-particle":"","parse-names":false,"suffix":""},{"dropping-particle":"","family":"Yao","given":"Huan","non-dropping-particle":"","parse-names":false,"suffix":""},{"dropping-particle":"","family":"Cheng","given":"Yan","non-dropping-particle":"","parse-names":false,"suffix":""},{"dropping-particle":"","family":"Gong","given":"Deying","non-dropping-particle":"","parse-names":false,"suffix":""},{"dropping-particle":"","family":"Liao","given":"Xin","non-dropping-particle":"","parse-names":false,"suffix":""},{"dropping-particle":"","family":"Wang","given":"Rurong","non-dropping-particle":"","parse-names":false,"suffix":""}],"container-title":"Biochemical and Biophysical Research Communications","id":"ITEM-2","issued":{"date-parts":[["2018"]]},"title":"Effects of monoacylglycerol lipase inhibitor URB602 on lung ischemia-reperfusion injury in mice","type":"article-journal"},"uris":["http://www.mendeley.com/documents/?uuid=320f7427-00a0-4c12-81cb-85a890c6aa1f"]}],"mendeley":{"formattedCitation":"&lt;sup&gt;[36,37]&lt;/sup&gt;","plainTextFormattedCitation":"[36,37]","previouslyFormattedCitation":"&lt;sup&gt;[35,36]&lt;/sup&gt;"},"properties":{"noteIndex":0},"schema":"https://github.com/citation-style-language/schema/raw/master/csl-citation.json"}</w:instrText>
      </w:r>
      <w:r w:rsidR="0076554C"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[36,37]</w:t>
      </w:r>
      <w:r w:rsidR="0076554C" w:rsidRPr="00825E2B">
        <w:rPr>
          <w:rFonts w:ascii="Book Antiqua" w:hAnsi="Book Antiqua" w:cs="Arial"/>
          <w:sz w:val="24"/>
          <w:szCs w:val="24"/>
          <w:lang w:val="en-US"/>
        </w:rPr>
        <w:fldChar w:fldCharType="end"/>
      </w:r>
      <w:r w:rsidR="0076554C"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Additionally, MGL was found to be part of a gene signature determining</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stem-like properties of cancer cells in prostate cancer</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{"citationItems":[{"id":"ITEM-1","itemData":{"DOI":"10.1158/1541-7786.MCR-18-0347","ISSN":"15573125","abstract":"Prostate cancer cells exhibit altered cellular metabolism but, notably, not the hallmarks of Warburg metabolism. Prostate cancer cells exhibit increased de novo synthesis of fatty acids (FA); however, little is known about how extracellular FAs, such as those in the circulation, may support prostate cancer progression. Here, we show that increasing FA availability increased intracellular triacylglycerol content in cultured patient-derived tumor explants, LNCaP and C4-2B spheroids, a range of prostate cancer cells (LNCaP, C4-2B, 22Rv1, PC-3), and prostate epithelial cells (PNT1). Extracellular FAs are the major source (83%) of carbons to the total lipid pool in all cell lines, compared with glucose (13%) and glutamine (4%), and FA oxidation rates are greater in prostate cancer cells compared with PNT1 cells, which preferentially partitioned extracellular FAs into triacylglycerols. Because of the higher rates of FA oxidation in C4-2B cells, cells remained viable when challenged by the addition of palmitate to culture media and inhibition of mitochondrial FA oxidation sensitized C4-2B cells to palmitate-induced apoptosis. Whereas in PC-3 cells, palmitate induced apoptosis, which was prevented by pretreatment of PC-3 cells with FAs, and this protective effect required DGAT-1-mediated triacylglycerol synthesis. These outcomes highlight for the first-time heterogeneity of lipid metabolism in prostate cancer cells and the potential influence that obesity-associated dyslipidemia or host circulating has on prostate cancer progression. Implications: Extracellular-derived FAs are primary building blocks for complex lipids and heterogeneity in FA metabolism exists in prostate cancer that can influence tumor cell behavior.","author":[{"dropping-particle":"","family":"Balaban","given":"Seher","non-dropping-particle":"","parse-names":false,"suffix":""},{"dropping-particle":"","family":"Nassar","given":"Zeyad D.","non-dropping-particle":"","parse-names":false,"suffix":""},{"dropping-particle":"","family":"Zhang","given":"Alison Y.","non-dropping-particle":"","parse-names":false,"suffix":""},{"dropping-particle":"","family":"Hosseini-Beheshti","given":"Elham","non-dropping-particle":"","parse-names":false,"suffix":""},{"dropping-particle":"","family":"Centenera","given":"Margaret M.","non-dropping-particle":"","parse-names":false,"suffix":""},{"dropping-particle":"","family":"Schreuder","given":"Mark","non-dropping-particle":"","parse-names":false,"suffix":""},{"dropping-particle":"","family":"Lin","given":"Hui Ming","non-dropping-particle":"","parse-names":false,"suffix":""},{"dropping-particle":"","family":"Aishah","given":"Atqiya","non-dropping-particle":"","parse-names":false,"suffix":""},{"dropping-particle":"","family":"Varney","given":"Bianca","non-dropping-particle":"","parse-names":false,"suffix":""},{"dropping-particle":"","family":"Liu-Fu","given":"Frank","non-dropping-particle":"","parse-names":false,"suffix":""},{"dropping-particle":"","family":"Lee","given":"Lisa S.","non-dropping-particle":"","parse-names":false,"suffix":""},{"dropping-particle":"","family":"Nagarajan","given":"Shilpa R.","non-dropping-particle":"","parse-names":false,"suffix":""},{"dropping-particle":"","family":"Shearer","given":"Robert F.","non-dropping-particle":"","parse-names":false,"suffix":""},{"dropping-particle":"","family":"Hardie","given":"Rae Anne","non-dropping-particle":"","parse-names":false,"suffix":""},{"dropping-particle":"","family":"Raftopulos","given":"Nikki L.","non-dropping-particle":"","parse-names":false,"suffix":""},{"dropping-particle":"","family":"Kakani","given":"Meghna S.","non-dropping-particle":"","parse-names":false,"suffix":""},{"dropping-particle":"","family":"Saunders","given":"Darren N.","non-dropping-particle":"","parse-names":false,"suffix":""},{"dropping-particle":"","family":"Holst","given":"Jeff","non-dropping-particle":"","parse-names":false,"suffix":""},{"dropping-particle":"","family":"Horvath","given":"Lisa G.","non-dropping-particle":"","parse-names":false,"suffix":""},{"dropping-particle":"","family":"Butler","given":"Lisa M.","non-dropping-particle":"","parse-names":false,"suffix":""},{"dropping-particle":"","family":"Hoy","given":"Andrew J.","non-dropping-particle":"","parse-names":false,"suffix":""}],"container-title":"Molecular Cancer Research","id":"ITEM-1","issued":{"date-parts":[["2019"]]},"title":"Extracellular fatty acids are the major contributor to lipid synthesis in prostate cancer","type":"article-journal"},"uris":["http://www.mendeley.com/documents/?uuid=11bbd6c6-f2f1-49b9-a611-cb9bd02f8f09"]}],"mendeley":{"formattedCitation":"&lt;sup&gt;[38]&lt;/sup&gt;","plainTextFormattedCitation":"[38]","previouslyFormattedCitation":"&lt;sup&gt;[37]&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[38]</w:t>
      </w:r>
      <w:r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 this further</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supported</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 role for this enzyme in pro-tumorigenic metabolism,</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involving</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the dual control of endocannabinoid and FA pathways</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{"citationItems":[{"id":"ITEM-1","itemData":{"DOI":"10.1016/j.chembiol.2011.05.009","ISSN":"10745521","abstract":"Cancer cells couple heightened lipogenesis with lipolysis to produce fatty acid networks that support malignancy. Monoacylglycerol lipase (MAGL) plays a principal role in this process by converting monoglycerides, including the endocannabinoid 2-arachidonoylglycerol (2-AG), to free fatty acids. Here, we show that MAGL is elevated in androgen-independent versus androgen-dependent human prostate cancer cell lines, and that pharmacological or RNA-interference disruption of this enzyme impairs prostate cancer aggressiveness. These effects were partially reversed by treatment with fatty acids or a cannabinoid receptor-1 (CB1) antagonist, and fully reversed by cotreatment with both agents. We further show that MAGL is part of a gene signature correlated with epithelial-to-mesenchymal transition and the stem-like properties of cancer cells, supporting a role for this enzyme in protumorigenic metabolism that, for prostate cancer, involves the dual control of endocannabinoid and fatty acid pathways. © 2011 Elsevier Ltd. All rights reserved.","author":[{"dropping-particle":"","family":"Nomura","given":"Daniel K.","non-dropping-particle":"","parse-names":false,"suffix":""},{"dropping-particle":"","family":"Lombardi","given":"Donald P.","non-dropping-particle":"","parse-names":false,"suffix":""},{"dropping-particle":"","family":"Chang","given":"Jae Won","non-dropping-particle":"","parse-names":false,"suffix":""},{"dropping-particle":"","family":"Niessen","given":"Sherry","non-dropping-particle":"","parse-names":false,"suffix":""},{"dropping-particle":"","family":"Ward","given":"Anna M.","non-dropping-particle":"","parse-names":false,"suffix":""},{"dropping-particle":"","family":"Long","given":"Jonathan Z.","non-dropping-particle":"","parse-names":false,"suffix":""},{"dropping-particle":"","family":"Hoover","given":"Heather H.","non-dropping-particle":"","parse-names":false,"suffix":""},{"dropping-particle":"","family":"Cravatt","given":"Benjamin F.","non-dropping-particle":"","parse-names":false,"suffix":""}],"container-title":"Chemistry and Biology","id":"ITEM-1","issued":{"date-parts":[["2011"]]},"title":"Monoacylglycerol lipase exerts dual control over endocannabinoid and fatty acid pathways to support prostate cancer","type":"article-journal"},"uris":["http://www.mendeley.com/documents/?uuid=047bf1a0-0e77-459b-a067-c579fe63abb3"]},{"id":"ITEM-2","itemData":{"DOI":"10.1158/1541-7786.MCR-18-0347","ISSN":"15573125","abstract":"Prostate cancer cells exhibit altered cellular metabolism but, notably, not the hallmarks of Warburg metabolism. Prostate cancer cells exhibit increased de novo synthesis of fatty acids (FA); however, little is known about how extracellular FAs, such as those in the circulation, may support prostate cancer progression. Here, we show that increasing FA availability increased intracellular triacylglycerol content in cultured patient-derived tumor explants, LNCaP and C4-2B spheroids, a range of prostate cancer cells (LNCaP, C4-2B, 22Rv1, PC-3), and prostate epithelial cells (PNT1). Extracellular FAs are the major source (83%) of carbons to the total lipid pool in all cell lines, compared with glucose (13%) and glutamine (4%), and FA oxidation rates are greater in prostate cancer cells compared with PNT1 cells, which preferentially partitioned extracellular FAs into triacylglycerols. Because of the higher rates of FA oxidation in C4-2B cells, cells remained viable when challenged by the addition of palmitate to culture media and inhibition of mitochondrial FA oxidation sensitized C4-2B cells to palmitate-induced apoptosis. Whereas in PC-3 cells, palmitate induced apoptosis, which was prevented by pretreatment of PC-3 cells with FAs, and this protective effect required DGAT-1-mediated triacylglycerol synthesis. These outcomes highlight for the first-time heterogeneity of lipid metabolism in prostate cancer cells and the potential influence that obesity-associated dyslipidemia or host circulating has on prostate cancer progression. Implications: Extracellular-derived FAs are primary building blocks for complex lipids and heterogeneity in FA metabolism exists in prostate cancer that can influence tumor cell behavior.","author":[{"dropping-particle":"","family":"Balaban","given":"Seher","non-dropping-particle":"","parse-names":false,"suffix":""},{"dropping-particle":"","family":"Nassar","given":"Zeyad D.","non-dropping-particle":"","parse-names":false,"suffix":""},{"dropping-particle":"","family":"Zhang","given":"Alison Y.","non-dropping-particle":"","parse-names":false,"suffix":""},{"dropping-particle":"","family":"Hosseini-Beheshti","given":"Elham","non-dropping-particle":"","parse-names":false,"suffix":""},{"dropping-particle":"","family":"Centenera","given":"Margaret M.","non-dropping-particle":"","parse-names":false,"suffix":""},{"dropping-particle":"","family":"Schreuder","given":"Mark","non-dropping-particle":"","parse-names":false,"suffix":""},{"dropping-particle":"","family":"Lin","given":"Hui Ming","non-dropping-particle":"","parse-names":false,"suffix":""},{"dropping-particle":"","family":"Aishah","given":"Atqiya","non-dropping-particle":"","parse-names":false,"suffix":""},{"dropping-particle":"","family":"Varney","given":"Bianca","non-dropping-particle":"","parse-names":false,"suffix":""},{"dropping-particle":"","family":"Liu-Fu","given":"Frank","non-dropping-particle":"","parse-names":false,"suffix":""},{"dropping-particle":"","family":"Lee","given":"Lisa S.","non-dropping-particle":"","parse-names":false,"suffix":""},{"dropping-particle":"","family":"Nagarajan","given":"Shilpa R.","non-dropping-particle":"","parse-names":false,"suffix":""},{"dropping-particle":"","family":"Shearer","given":"Robert F.","non-dropping-particle":"","parse-names":false,"suffix":""},{"dropping-particle":"","family":"Hardie","given":"Rae Anne","non-dropping-particle":"","parse-names":false,"suffix":""},{"dropping-particle":"","family":"Raftopulos","given":"Nikki L.","non-dropping-particle":"","parse-names":false,"suffix":""},{"dropping-particle":"","family":"Kakani","given":"Meghna S.","non-dropping-particle":"","parse-names":false,"suffix":""},{"dropping-particle":"","family":"Saunders","given":"Darren N.","non-dropping-particle":"","parse-names":false,"suffix":""},{"dropping-particle":"","family":"Holst","given":"Jeff","non-dropping-particle":"","parse-names":false,"suffix":""},{"dropping-particle":"","family":"Horvath","given":"Lisa G.","non-dropping-particle":"","parse-names":false,"suffix":""},{"dropping-particle":"","family":"Butler","given":"Lisa M.","non-dropping-particle":"","parse-names":false,"suffix":""},{"dropping-particle":"","family":"Hoy","given":"Andrew J.","non-dropping-particle":"","parse-names":false,"suffix":""}],"container-title":"Molecular Cancer Research","id":"ITEM-2","issued":{"date-parts":[["2019"]]},"title":"Extracellular fatty acids are the major contributor to lipid synthesis in prostate cancer","type":"article-journal"},"uris":["http://www.mendeley.com/documents/?uuid=11bbd6c6-f2f1-49b9-a611-cb9bd02f8f09"]}],"mendeley":{"formattedCitation":"&lt;sup&gt;[38,39]&lt;/sup&gt;","plainTextFormattedCitation":"[38,39]","previouslyFormattedCitation":"&lt;sup&gt;[37,38]&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[38,39]</w:t>
      </w:r>
      <w:r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w:t>
      </w:r>
    </w:p>
    <w:p w14:paraId="627D9B5B" w14:textId="0ED79913" w:rsidR="002412F8" w:rsidRPr="00825E2B" w:rsidRDefault="00DB0BFC" w:rsidP="00A921B8">
      <w:pPr>
        <w:adjustRightInd w:val="0"/>
        <w:snapToGrid w:val="0"/>
        <w:spacing w:after="0" w:line="360" w:lineRule="auto"/>
        <w:ind w:firstLineChars="100" w:firstLine="240"/>
        <w:jc w:val="both"/>
        <w:rPr>
          <w:rFonts w:ascii="Book Antiqua" w:hAnsi="Book Antiqua" w:cs="Arial"/>
          <w:sz w:val="24"/>
          <w:szCs w:val="24"/>
          <w:lang w:val="en-US"/>
        </w:rPr>
      </w:pPr>
      <w:r w:rsidRPr="00825E2B">
        <w:rPr>
          <w:rFonts w:ascii="Book Antiqua" w:eastAsia="MS Mincho" w:hAnsi="Book Antiqua"/>
          <w:sz w:val="24"/>
          <w:szCs w:val="24"/>
          <w:lang w:val="en-US"/>
        </w:rPr>
        <w:t xml:space="preserve">Xiang </w:t>
      </w:r>
      <w:r w:rsidRPr="00825E2B">
        <w:rPr>
          <w:rFonts w:ascii="Book Antiqua" w:eastAsia="MS Mincho" w:hAnsi="Book Antiqua"/>
          <w:i/>
          <w:sz w:val="24"/>
          <w:szCs w:val="24"/>
          <w:lang w:val="en-US"/>
        </w:rPr>
        <w:t>et al</w:t>
      </w:r>
      <w:r w:rsidR="00126620" w:rsidRPr="00825E2B">
        <w:rPr>
          <w:rFonts w:ascii="Book Antiqua" w:hAnsi="Book Antiqua"/>
          <w:sz w:val="24"/>
          <w:szCs w:val="24"/>
          <w:vertAlign w:val="superscript"/>
          <w:lang w:val="en-US" w:eastAsia="zh-CN"/>
        </w:rPr>
        <w:t>[40]</w:t>
      </w:r>
      <w:r w:rsidRPr="00825E2B">
        <w:rPr>
          <w:rFonts w:ascii="Book Antiqua" w:eastAsia="MS Mincho" w:hAnsi="Book Antiqua"/>
          <w:sz w:val="24"/>
          <w:szCs w:val="24"/>
          <w:lang w:val="en-US"/>
        </w:rPr>
        <w:t> elegantly showed that MGL deficiency caused lipid overload in tumor associated macrophages</w:t>
      </w:r>
      <w:r w:rsidR="002412F8"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{"citationItems":[{"id":"ITEM-1","itemData":{"DOI":"10.1038/s41467-018-04999-8","ISSN":"20411723","PMID":"29968710","abstract":"Metabolic reprogramming greatly contributes to the regulation of macrophage activation. However, the mechanism of lipid accumulation and the corresponding function in tumor-associated macrophages (TAMs) remain unclear. With primary investigation in colon cancer and confirmation in other cancer models, here we determine that deficiency of monoacylglycerol lipase (MGLL) results in lipid overload in TAMs. Functionally, macrophage MGLL inhibits CB2 cannabinoid receptor-dependent tumor progression in inoculated and genetic cancer models. Mechanistically, MGLL deficiency promotes CB2/TLR4-dependent macrophage activation, which further suppresses the function of tumor-associated CD8+ T cells. Treatment with CB2 antagonists delays tumor progression in inoculated and genetic cancer models. Finally, we verify that expression of macrophage MGLL is decreased in cancer tissues and positively correlated with the survival of cancer patients. Taken together, our findings identify MGLL as a switch for CB2/TLR4-dependent macrophage activation and provide potential targets for cancer therapy.","author":[{"dropping-particle":"","family":"Xiang","given":"Wei","non-dropping-particle":"","parse-names":false,"suffix":""},{"dropping-particle":"","family":"Shi","given":"Rongchen","non-dropping-particle":"","parse-names":false,"suffix":""},{"dropping-particle":"","family":"Kang","given":"Xia","non-dropping-particle":"","parse-names":false,"suffix":""},{"dropping-particle":"","family":"Zhang","given":"Xuan","non-dropping-particle":"","parse-names":false,"suffix":""},{"dropping-particle":"","family":"Chen","given":"Peng","non-dropping-particle":"","parse-names":false,"suffix":""},{"dropping-particle":"","family":"Zhang","given":"Lili","non-dropping-particle":"","parse-names":false,"suffix":""},{"dropping-particle":"","family":"Hou","given":"Along","non-dropping-particle":"","parse-names":false,"suffix":""},{"dropping-particle":"","family":"Wang","given":"Rui","non-dropping-particle":"","parse-names":false,"suffix":""},{"dropping-particle":"","family":"Zhao","given":"Yuanyin","non-dropping-particle":"","parse-names":false,"suffix":""},{"dropping-particle":"","family":"Zhao","given":"Kun","non-dropping-particle":"","parse-names":false,"suffix":""},{"dropping-particle":"","family":"Liu","given":"Yingzhe","non-dropping-particle":"","parse-names":false,"suffix":""},{"dropping-particle":"","family":"Ma","given":"Yue","non-dropping-particle":"","parse-names":false,"suffix":""},{"dropping-particle":"","family":"Luo","given":"Huan","non-dropping-particle":"","parse-names":false,"suffix":""},{"dropping-particle":"","family":"Shang","given":"Shenglan","non-dropping-particle":"","parse-names":false,"suffix":""},{"dropping-particle":"","family":"Zhang","given":"Jinyu","non-dropping-particle":"","parse-names":false,"suffix":""},{"dropping-particle":"","family":"He","given":"Fengtian","non-dropping-particle":"","parse-names":false,"suffix":""},{"dropping-particle":"","family":"Yu","given":"Songtao","non-dropping-particle":"","parse-names":false,"suffix":""},{"dropping-particle":"","family":"Gan","given":"Lixia","non-dropping-particle":"","parse-names":false,"suffix":""},{"dropping-particle":"","family":"Shi","given":"Chunmeng","non-dropping-particle":"","parse-names":false,"suffix":""},{"dropping-particle":"","family":"Li","given":"Yongsheng","non-dropping-particle":"","parse-names":false,"suffix":""},{"dropping-particle":"","family":"Yang","given":"Wei","non-dropping-particle":"","parse-names":false,"suffix":""},{"dropping-particle":"","family":"Liang","given":"Houjie","non-dropping-particle":"","parse-names":false,"suffix":""},{"dropping-particle":"","family":"Miao","given":"Hongming","non-dropping-particle":"","parse-names":false,"suffix":""}],"container-title":"Nature Communications","id":"ITEM-1","issued":{"date-parts":[["2018"]]},"title":"Monoacylglycerol lipase regulates cannabinoid receptor 2-dependent macrophage activation and cancer progression","type":"article-journal"},"uris":["http://www.mendeley.com/documents/?uuid=e23ea2ab-2ff8-494f-9e4f-56b269f58cd9"]}],"mendeley":{"formattedCitation":"&lt;sup&gt;[40]&lt;/sup&gt;","plainTextFormattedCitation":"[40]","previouslyFormattedCitation":"&lt;sup&gt;[39]&lt;/sup&gt;"},"properties":{"noteIndex":0},"schema":"https://github.com/citation-style-language/schema/raw/master/csl-citation.json"}</w:instrText>
      </w:r>
      <w:r w:rsidR="002412F8"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[40]</w:t>
      </w:r>
      <w:r w:rsidR="002412F8" w:rsidRPr="00825E2B">
        <w:rPr>
          <w:rFonts w:ascii="Book Antiqua" w:hAnsi="Book Antiqua" w:cs="Arial"/>
          <w:sz w:val="24"/>
          <w:szCs w:val="24"/>
          <w:lang w:val="en-US"/>
        </w:rPr>
        <w:fldChar w:fldCharType="end"/>
      </w:r>
      <w:r w:rsidR="002412F8"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Intriguingly, MGL</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expression</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in macrophages was strongly decreased in cancer tissues and positively correlated with the overall survival of cancer patients</w:t>
      </w:r>
      <w:r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{"citationItems":[{"id":"ITEM-1","itemData":{"DOI":"10.1038/s41467-018-04999-8","ISSN":"20411723","PMID":"29968710","abstract":"Metabolic reprogramming greatly contributes to the regulation of macrophage activation. However, the mechanism of lipid accumulation and the corresponding function in tumor-associated macrophages (TAMs) remain unclear. With primary investigation in colon cancer and confirmation in other cancer models, here we determine that deficiency of monoacylglycerol lipase (MGLL) results in lipid overload in TAMs. Functionally, macrophage MGLL inhibits CB2 cannabinoid receptor-dependent tumor progression in inoculated and genetic cancer models. Mechanistically, MGLL deficiency promotes CB2/TLR4-dependent macrophage activation, which further suppresses the function of tumor-associated CD8+ T cells. Treatment with CB2 antagonists delays tumor progression in inoculated and genetic cancer models. Finally, we verify that expression of macrophage MGLL is decreased in cancer tissues and positively correlated with the survival of cancer patients. Taken together, our findings identify MGLL as a switch for CB2/TLR4-dependent macrophage activation and provide potential targets for cancer therapy.","author":[{"dropping-particle":"","family":"Xiang","given":"Wei","non-dropping-particle":"","parse-names":false,"suffix":""},{"dropping-particle":"","family":"Shi","given":"Rongchen","non-dropping-particle":"","parse-names":false,"suffix":""},{"dropping-particle":"","family":"Kang","given":"Xia","non-dropping-particle":"","parse-names":false,"suffix":""},{"dropping-particle":"","family":"Zhang","given":"Xuan","non-dropping-particle":"","parse-names":false,"suffix":""},{"dropping-particle":"","family":"Chen","given":"Peng","non-dropping-particle":"","parse-names":false,"suffix":""},{"dropping-particle":"","family":"Zhang","given":"Lili","non-dropping-particle":"","parse-names":false,"suffix":""},{"dropping-particle":"","family":"Hou","given":"Along","non-dropping-particle":"","parse-names":false,"suffix":""},{"dropping-particle":"","family":"Wang","given":"Rui","non-dropping-particle":"","parse-names":false,"suffix":""},{"dropping-particle":"","family":"Zhao","given":"Yuanyin","non-dropping-particle":"","parse-names":false,"suffix":""},{"dropping-particle":"","family":"Zhao","given":"Kun","non-dropping-particle":"","parse-names":false,"suffix":""},{"dropping-particle":"","family":"Liu","given":"Yingzhe","non-dropping-particle":"","parse-names":false,"suffix":""},{"dropping-particle":"","family":"Ma","given":"Yue","non-dropping-particle":"","parse-names":false,"suffix":""},{"dropping-particle":"","family":"Luo","given":"Huan","non-dropping-particle":"","parse-names":false,"suffix":""},{"dropping-particle":"","family":"Shang","given":"Shenglan","non-dropping-particle":"","parse-names":false,"suffix":""},{"dropping-particle":"","family":"Zhang","given":"Jinyu","non-dropping-particle":"","parse-names":false,"suffix":""},{"dropping-particle":"","family":"He","given":"Fengtian","non-dropping-particle":"","parse-names":false,"suffix":""},{"dropping-particle":"","family":"Yu","given":"Songtao","non-dropping-particle":"","parse-names":false,"suffix":""},{"dropping-particle":"","family":"Gan","given":"Lixia","non-dropping-particle":"","parse-names":false,"suffix":""},{"dropping-particle":"","family":"Shi","given":"Chunmeng","non-dropping-particle":"","parse-names":false,"suffix":""},{"dropping-particle":"","family":"Li","given":"Yongsheng","non-dropping-particle":"","parse-names":false,"suffix":""},{"dropping-particle":"","family":"Yang","given":"Wei","non-dropping-particle":"","parse-names":false,"suffix":""},{"dropping-particle":"","family":"Liang","given":"Houjie","non-dropping-particle":"","parse-names":false,"suffix":""},{"dropping-particle":"","family":"Miao","given":"Hongming","non-dropping-particle":"","parse-names":false,"suffix":""}],"container-title":"Nature Communications","id":"ITEM-1","issued":{"date-parts":[["2018"]]},"title":"Monoacylglycerol lipase regulates cannabinoid receptor 2-dependent macrophage activation and cancer progression","type":"article-journal"},"uris":["http://www.mendeley.com/documents/?uuid=e23ea2ab-2ff8-494f-9e4f-56b269f58cd9"]}],"mendeley":{"formattedCitation":"&lt;sup&gt;[40]&lt;/sup&gt;","plainTextFormattedCitation":"[40]","previouslyFormattedCitation":"&lt;sup&gt;[39]&lt;/sup&gt;"},"properties":{"noteIndex":0},"schema":"https://github.com/citation-style-language/schema/raw/master/csl-citation.json"}</w:instrText>
      </w:r>
      <w:r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[40]</w:t>
      </w:r>
      <w:r w:rsidRPr="00825E2B">
        <w:rPr>
          <w:rFonts w:ascii="Book Antiqua" w:hAnsi="Book Antiqua" w:cs="Arial"/>
          <w:sz w:val="24"/>
          <w:szCs w:val="24"/>
          <w:lang w:val="en-US"/>
        </w:rPr>
        <w:fldChar w:fldCharType="end"/>
      </w:r>
      <w:r w:rsidRPr="00825E2B">
        <w:rPr>
          <w:rFonts w:ascii="Book Antiqua" w:eastAsia="MS Mincho" w:hAnsi="Book Antiqua"/>
          <w:sz w:val="24"/>
          <w:szCs w:val="24"/>
          <w:lang w:val="en-US"/>
        </w:rPr>
        <w:t>. Mechanistically, MGL deficiency was shown to promote CB2r/TLR4 </w:t>
      </w:r>
      <w:r w:rsidR="00D84240" w:rsidRPr="00825E2B">
        <w:rPr>
          <w:rFonts w:ascii="Book Antiqua" w:eastAsia="MS Mincho" w:hAnsi="Book Antiqua"/>
          <w:sz w:val="24"/>
          <w:szCs w:val="24"/>
          <w:lang w:val="en-US"/>
        </w:rPr>
        <w:t>axis and subsequent</w:t>
      </w:r>
      <w:r w:rsidRPr="00825E2B">
        <w:rPr>
          <w:rFonts w:ascii="Book Antiqua" w:eastAsia="MS Mincho" w:hAnsi="Book Antiqua"/>
          <w:sz w:val="24"/>
          <w:szCs w:val="24"/>
          <w:lang w:val="en-US"/>
        </w:rPr>
        <w:t xml:space="preserve"> macrophage activation, which in turn suppressed the function of tumor associated CD8+ T cells. In addition, treatment with CB2r antagonist drugs delayed tumor progression in inoculated</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and genetic cancer models</w:t>
      </w:r>
      <w:r w:rsidR="002412F8"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{"citationItems":[{"id":"ITEM-1","itemData":{"DOI":"10.1038/s41467-018-04999-8","ISSN":"20411723","PMID":"29968710","abstract":"Metabolic reprogramming greatly contributes to the regulation of macrophage activation. However, the mechanism of lipid accumulation and the corresponding function in tumor-associated macrophages (TAMs) remain unclear. With primary investigation in colon cancer and confirmation in other cancer models, here we determine that deficiency of monoacylglycerol lipase (MGLL) results in lipid overload in TAMs. Functionally, macrophage MGLL inhibits CB2 cannabinoid receptor-dependent tumor progression in inoculated and genetic cancer models. Mechanistically, MGLL deficiency promotes CB2/TLR4-dependent macrophage activation, which further suppresses the function of tumor-associated CD8+ T cells. Treatment with CB2 antagonists delays tumor progression in inoculated and genetic cancer models. Finally, we verify that expression of macrophage MGLL is decreased in cancer tissues and positively correlated with the survival of cancer patients. Taken together, our findings identify MGLL as a switch for CB2/TLR4-dependent macrophage activation and provide potential targets for cancer therapy.","author":[{"dropping-particle":"","family":"Xiang","given":"Wei","non-dropping-particle":"","parse-names":false,"suffix":""},{"dropping-particle":"","family":"Shi","given":"Rongchen","non-dropping-particle":"","parse-names":false,"suffix":""},{"dropping-particle":"","family":"Kang","given":"Xia","non-dropping-particle":"","parse-names":false,"suffix":""},{"dropping-particle":"","family":"Zhang","given":"Xuan","non-dropping-particle":"","parse-names":false,"suffix":""},{"dropping-particle":"","family":"Chen","given":"Peng","non-dropping-particle":"","parse-names":false,"suffix":""},{"dropping-particle":"","family":"Zhang","given":"Lili","non-dropping-particle":"","parse-names":false,"suffix":""},{"dropping-particle":"","family":"Hou","given":"Along","non-dropping-particle":"","parse-names":false,"suffix":""},{"dropping-particle":"","family":"Wang","given":"Rui","non-dropping-particle":"","parse-names":false,"suffix":""},{"dropping-particle":"","family":"Zhao","given":"Yuanyin","non-dropping-particle":"","parse-names":false,"suffix":""},{"dropping-particle":"","family":"Zhao","given":"Kun","non-dropping-particle":"","parse-names":false,"suffix":""},{"dropping-particle":"","family":"Liu","given":"Yingzhe","non-dropping-particle":"","parse-names":false,"suffix":""},{"dropping-particle":"","family":"Ma","given":"Yue","non-dropping-particle":"","parse-names":false,"suffix":""},{"dropping-particle":"","family":"Luo","given":"Huan","non-dropping-particle":"","parse-names":false,"suffix":""},{"dropping-particle":"","family":"Shang","given":"Shenglan","non-dropping-particle":"","parse-names":false,"suffix":""},{"dropping-particle":"","family":"Zhang","given":"Jinyu","non-dropping-particle":"","parse-names":false,"suffix":""},{"dropping-particle":"","family":"He","given":"Fengtian","non-dropping-particle":"","parse-names":false,"suffix":""},{"dropping-particle":"","family":"Yu","given":"Songtao","non-dropping-particle":"","parse-names":false,"suffix":""},{"dropping-particle":"","family":"Gan","given":"Lixia","non-dropping-particle":"","parse-names":false,"suffix":""},{"dropping-particle":"","family":"Shi","given":"Chunmeng","non-dropping-particle":"","parse-names":false,"suffix":""},{"dropping-particle":"","family":"Li","given":"Yongsheng","non-dropping-particle":"","parse-names":false,"suffix":""},{"dropping-particle":"","family":"Yang","given":"Wei","non-dropping-particle":"","parse-names":false,"suffix":""},{"dropping-particle":"","family":"Liang","given":"Houjie","non-dropping-particle":"","parse-names":false,"suffix":""},{"dropping-particle":"","family":"Miao","given":"Hongming","non-dropping-particle":"","parse-names":false,"suffix":""}],"container-title":"Nature Communications","id":"ITEM-1","issued":{"date-parts":[["2018"]]},"title":"Monoacylglycerol lipase regulates cannabinoid receptor 2-dependent macrophage activation and cancer progression","type":"article-journal"},"uris":["http://www.mendeley.com/documents/?uuid=e23ea2ab-2ff8-494f-9e4f-56b269f58cd9"]}],"mendeley":{"formattedCitation":"&lt;sup&gt;[40]&lt;/sup&gt;","plainTextFormattedCitation":"[40]","previouslyFormattedCitation":"&lt;sup&gt;[39]&lt;/sup&gt;"},"properties":{"noteIndex":0},"schema":"https://github.com/citation-style-language/schema/raw/master/csl-citation.json"}</w:instrText>
      </w:r>
      <w:r w:rsidR="002412F8"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[40]</w:t>
      </w:r>
      <w:r w:rsidR="002412F8" w:rsidRPr="00825E2B">
        <w:rPr>
          <w:rFonts w:ascii="Book Antiqua" w:hAnsi="Book Antiqua" w:cs="Arial"/>
          <w:sz w:val="24"/>
          <w:szCs w:val="24"/>
          <w:lang w:val="en-US"/>
        </w:rPr>
        <w:fldChar w:fldCharType="end"/>
      </w:r>
      <w:r w:rsidR="002412F8" w:rsidRPr="00825E2B">
        <w:rPr>
          <w:rFonts w:ascii="Book Antiqua" w:hAnsi="Book Antiqua" w:cs="Arial"/>
          <w:sz w:val="24"/>
          <w:szCs w:val="24"/>
          <w:lang w:val="en-US"/>
        </w:rPr>
        <w:t xml:space="preserve">. </w:t>
      </w:r>
    </w:p>
    <w:p w14:paraId="05F64994" w14:textId="1928F9E4" w:rsidR="00DB0BFC" w:rsidRPr="00825E2B" w:rsidRDefault="00DB0BFC" w:rsidP="00A921B8">
      <w:pPr>
        <w:adjustRightInd w:val="0"/>
        <w:snapToGrid w:val="0"/>
        <w:spacing w:after="0" w:line="360" w:lineRule="auto"/>
        <w:ind w:firstLineChars="100" w:firstLine="240"/>
        <w:jc w:val="both"/>
        <w:rPr>
          <w:rFonts w:ascii="Book Antiqua" w:eastAsia="MS Mincho" w:hAnsi="Book Antiqua"/>
          <w:sz w:val="24"/>
          <w:szCs w:val="24"/>
          <w:lang w:val="en-US"/>
        </w:rPr>
      </w:pPr>
      <w:r w:rsidRPr="00825E2B">
        <w:rPr>
          <w:rFonts w:ascii="Book Antiqua" w:eastAsia="MS Mincho" w:hAnsi="Book Antiqua"/>
          <w:sz w:val="24"/>
          <w:szCs w:val="24"/>
          <w:lang w:val="en-US"/>
        </w:rPr>
        <w:t>In the liver, MGL ablation</w:t>
      </w:r>
      <w:r w:rsidR="00D84240" w:rsidRPr="00825E2B">
        <w:rPr>
          <w:rFonts w:ascii="Book Antiqua" w:eastAsia="MS Mincho" w:hAnsi="Book Antiqua"/>
          <w:sz w:val="24"/>
          <w:szCs w:val="24"/>
          <w:lang w:val="en-US"/>
        </w:rPr>
        <w:t xml:space="preserve"> was demonstrated to</w:t>
      </w:r>
      <w:r w:rsidRPr="00825E2B">
        <w:rPr>
          <w:rFonts w:ascii="Book Antiqua" w:eastAsia="MS Mincho" w:hAnsi="Book Antiqua"/>
          <w:sz w:val="24"/>
          <w:szCs w:val="24"/>
          <w:lang w:val="en-US"/>
        </w:rPr>
        <w:t xml:space="preserve"> attenuate LPS-induced inflammation </w:t>
      </w:r>
      <w:r w:rsidR="00D84240" w:rsidRPr="00825E2B">
        <w:rPr>
          <w:rFonts w:ascii="Book Antiqua" w:eastAsia="MS Mincho" w:hAnsi="Book Antiqua"/>
          <w:sz w:val="24"/>
          <w:szCs w:val="24"/>
          <w:lang w:val="en-US"/>
        </w:rPr>
        <w:t xml:space="preserve">whilst </w:t>
      </w:r>
      <w:r w:rsidRPr="00825E2B">
        <w:rPr>
          <w:rFonts w:ascii="Book Antiqua" w:eastAsia="MS Mincho" w:hAnsi="Book Antiqua"/>
          <w:sz w:val="24"/>
          <w:szCs w:val="24"/>
          <w:lang w:val="en-US"/>
        </w:rPr>
        <w:t>whole body genetic and pharmacological inhibition protected against inflammation and liver lesions provoked by</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ischemia/reperfusion injury</w:t>
      </w:r>
      <w:r w:rsidR="0076554C"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{"citationItems":[{"id":"ITEM-1","itemData":{"DOI":"10.1053/j.gastro.2012.12.028","ISBN":"2122633255","ISSN":"00165085","PMID":"23295443","abstract":"Background &amp; Aims: The endocannabinoid and eicosanoid lipid signaling pathways have important roles in inflammatory syndromes. Monoacylglycerol lipase (MAGL) links these pathways, hydrolyzing the endocannabinoid 2-arachidonoylglycerol to generate the arachidonic acid precursor pool for prostaglandin production. We investigated whether blocking MAGL protects against inflammation and damage from hepatic ischemia/reperfusion (I/R) and other insults. Methods: We analyzed the effects of hepatic I/R in mice given the selective MAGL inhibitor JZL184, in Mgll-/-mice, fatty acid amide hydrolase-/-mice, and in cannabinoid receptor type 1-/-(CB1-/-) and cannabinoid receptor type 2-/-(CB2-/-). Liver tissues were collected and analyzed, along with cultured hepatocytes and Kupffer cells. We measured endocannabinoids, eicosanoids, and markers of inflammation, oxidative stress, and cell death using molecular biology, biochemistry, and mass spectrometry analyses. Results: Wild-type mice given JZL184 and Mgll-/-mice were protected from hepatic I/R injury by a mechanism that involved increased endocannabinoid signaling via CB2and reduced production of eicosanoids in the liver. JZL184 suppressed the inflammation and oxidative stress that mediate hepatic I/R injury. Hepatocytes were the major source of hepatic MAGL activity and endocannabinoid and eicosanoid production. JZL184 also protected from induction of liver injury by D-(+)-galactosamine and lipopolysaccharides or CCl4. Conclusions: MAGL modulates hepatic injury via endocannabinoid and eicosanoid signaling; blockade of this pathway protects mice from liver injury. MAGL inhibitors might be developed to treat conditions that expose the liver to oxidative stress and inflammatory damage. © 2013 AGA Institute.","author":[{"dropping-particle":"","family":"Cao","given":"Zongxian","non-dropping-particle":"","parse-names":false,"suffix":""},{"dropping-particle":"","family":"Mulvihill","given":"Melinda M.","non-dropping-particle":"","parse-names":false,"suffix":""},{"dropping-particle":"","family":"Mukhopadhyay","given":"Partha","non-dropping-particle":"","parse-names":false,"suffix":""},{"dropping-particle":"","family":"Xu","given":"Huan","non-dropping-particle":"","parse-names":false,"suffix":""},{"dropping-particle":"","family":"Erdélyi","given":"Katalin","non-dropping-particle":"","parse-names":false,"suffix":""},{"dropping-particle":"","family":"Hao","given":"Enkui","non-dropping-particle":"","parse-names":false,"suffix":""},{"dropping-particle":"","family":"Holovac","given":"Eileen","non-dropping-particle":"","parse-names":false,"suffix":""},{"dropping-particle":"","family":"Haskó","given":"György","non-dropping-particle":"","parse-names":false,"suffix":""},{"dropping-particle":"","family":"Cravatt","given":"Benjamin F.","non-dropping-particle":"","parse-names":false,"suffix":""},{"dropping-particle":"","family":"Nomura","given":"Daniel K.","non-dropping-particle":"","parse-names":false,"suffix":""},{"dropping-particle":"","family":"Pacher","given":"Pál","non-dropping-particle":"","parse-names":false,"suffix":""}],"container-title":"Gastroenterology","id":"ITEM-1","issue":"4","issued":{"date-parts":[["2013"]]},"title":"Monoacylglycerol lipase controls endocannabinoid and eicosanoid signaling and hepatic injury in mice","type":"article-journal","volume":"144"},"uris":["http://www.mendeley.com/documents/?uuid=8f983008-cbbe-4118-8990-3dd54d753267"]}],"mendeley":{"formattedCitation":"&lt;sup&gt;[41]&lt;/sup&gt;","plainTextFormattedCitation":"[41]","previouslyFormattedCitation":"&lt;sup&gt;[40]&lt;/sup&gt;"},"properties":{"noteIndex":0},"schema":"https://github.com/citation-style-language/schema/raw/master/csl-citation.json"}</w:instrText>
      </w:r>
      <w:r w:rsidR="0076554C"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[41]</w:t>
      </w:r>
      <w:r w:rsidR="0076554C" w:rsidRPr="00825E2B">
        <w:rPr>
          <w:rFonts w:ascii="Book Antiqua" w:hAnsi="Book Antiqua" w:cs="Arial"/>
          <w:sz w:val="24"/>
          <w:szCs w:val="24"/>
          <w:lang w:val="en-US"/>
        </w:rPr>
        <w:fldChar w:fldCharType="end"/>
      </w:r>
      <w:r w:rsidR="0076554C" w:rsidRPr="00825E2B">
        <w:rPr>
          <w:rFonts w:ascii="Book Antiqua" w:hAnsi="Book Antiqua" w:cs="Arial"/>
          <w:sz w:val="24"/>
          <w:szCs w:val="24"/>
          <w:lang w:val="en-US"/>
        </w:rPr>
        <w:t>.</w:t>
      </w:r>
      <w:r w:rsidR="00126620" w:rsidRPr="00825E2B">
        <w:rPr>
          <w:rFonts w:ascii="Book Antiqua" w:hAnsi="Book Antiqua" w:cs="Arial"/>
          <w:sz w:val="24"/>
          <w:szCs w:val="24"/>
          <w:lang w:val="en-US" w:eastAsia="zh-CN"/>
        </w:rPr>
        <w:t xml:space="preserve"> </w:t>
      </w:r>
      <w:r w:rsidR="00D84240" w:rsidRPr="00825E2B">
        <w:rPr>
          <w:rFonts w:ascii="Book Antiqua" w:hAnsi="Book Antiqua" w:cs="Arial"/>
          <w:sz w:val="24"/>
          <w:szCs w:val="24"/>
          <w:lang w:val="en-US"/>
        </w:rPr>
        <w:t xml:space="preserve">Intriguingly, </w:t>
      </w:r>
      <w:r w:rsidR="00D84240" w:rsidRPr="00825E2B">
        <w:rPr>
          <w:rFonts w:ascii="Book Antiqua" w:eastAsia="MS Mincho" w:hAnsi="Book Antiqua"/>
          <w:sz w:val="24"/>
          <w:szCs w:val="24"/>
          <w:lang w:val="en-US"/>
        </w:rPr>
        <w:t>h</w:t>
      </w:r>
      <w:r w:rsidRPr="00825E2B">
        <w:rPr>
          <w:rFonts w:ascii="Book Antiqua" w:eastAsia="MS Mincho" w:hAnsi="Book Antiqua"/>
          <w:sz w:val="24"/>
          <w:szCs w:val="24"/>
          <w:lang w:val="en-US"/>
        </w:rPr>
        <w:t>ypoxia training was</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demonstrated</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to induce MGL expression and ameliorate hepatic steatosis in obese mice</w:t>
      </w:r>
      <w:r w:rsidR="00D84240" w:rsidRPr="00825E2B">
        <w:rPr>
          <w:rFonts w:ascii="Book Antiqua" w:eastAsia="MS Mincho" w:hAnsi="Book Antiqua"/>
          <w:sz w:val="24"/>
          <w:szCs w:val="24"/>
          <w:lang w:val="en-US"/>
        </w:rPr>
        <w:t>,</w:t>
      </w:r>
      <w:r w:rsidRPr="00825E2B">
        <w:rPr>
          <w:rFonts w:ascii="Book Antiqua" w:eastAsia="MS Mincho" w:hAnsi="Book Antiqua"/>
          <w:sz w:val="24"/>
          <w:szCs w:val="24"/>
          <w:lang w:val="en-US"/>
        </w:rPr>
        <w:t> showing decreased 2-AG levels and expression of CB1r</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{"citationItems":[{"id":"ITEM-1","itemData":{"DOI":"10.1016/j.bbrc.2020.02.134","ISSN":"10902104","abstract":"Hypoxia training (HT) can reduce body weight and improve fatty liver. However, the mechanism is not clear. A previous study indicated that HT-induced weight loss might be associated with the endocannabinoid system (ECS), which has also been reported recently to be involved in the persistent lipid mediators after weight loss. The present study investigated the effects of HT, a new prospective weight-loss method, on nutritionally obese mice and demonstrated that HT significantly reduced body weight, fat mass, transcriptional expression of liver endocannabinoid receptor 1 (CB1), biosynthetic enzyme diacylglycerol lipase α (DAGLα) and improved the transcriptional expression of degrading enzyme monoacylglycerol lipase (MAGL). Liver endocannabinoids 2-arachidonoylglycerol (2-AG) but not anandamide (AEA) was evidently decreased in response to HT. Simultaneously, HT significantly reduced liver index, serum alanine aminotransferase (ALT) and liver fat contents. Western blot showed decreased expression of liver CB1, sterol regulatory element-binding protein-1 (SREBP-1), peroxisome proliferator-activated receptor γ (PPARγ) and increased expression of adipose triglyceride lipase (ATGL) and carnitine palmitoyltransferase-1 (CPT-1) levels after HT. However, intraperitoneal injection of CB1 receptor agonist WIN55212-2 offset the benefits by which HT reduced hepatic fat synthesis, with significant increased protein expression of SREBP-1 and PPARγ. Taken together, these findings reported the alleviation of obesity and hepatic steatosis through HT and provided a putative molecular mechanism by inhibiting the CB1-mediated fat synthesis.","author":[{"dropping-particle":"","family":"Yang","given":"Qin","non-dropping-particle":"","parse-names":false,"suffix":""},{"dropping-particle":"","family":"Sun","given":"Shunli","non-dropping-particle":"","parse-names":false,"suffix":""},{"dropping-particle":"","family":"Liu","given":"Wei","non-dropping-particle":"","parse-names":false,"suffix":""},{"dropping-particle":"","family":"Liu","given":"Qingguang","non-dropping-particle":"","parse-names":false,"suffix":""},{"dropping-particle":"","family":"Wang","given":"Jibing","non-dropping-particle":"","parse-names":false,"suffix":""}],"container-title":"Biochemical and Biophysical Research Communications","id":"ITEM-1","issued":{"date-parts":[["2020"]]},"title":"Hypoxia training improves hepatic steatosis partly by downregulation of CB1 receptor in obese mice","type":"article-journal"},"uris":["http://www.mendeley.com/documents/?uuid=15ad5bcd-7aae-47ca-8f49-dfb492b37561"]}],"mendeley":{"formattedCitation":"&lt;sup&gt;[42]&lt;/sup&gt;","plainTextFormattedCitation":"[42]","previouslyFormattedCitation":"&lt;sup&gt;[41]&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[42]</w:t>
      </w:r>
      <w:r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w:t>
      </w:r>
    </w:p>
    <w:p w14:paraId="72D28934" w14:textId="2AE61D6B" w:rsidR="00B61F85" w:rsidRPr="00825E2B" w:rsidRDefault="00DB0BFC" w:rsidP="00A921B8">
      <w:pPr>
        <w:adjustRightInd w:val="0"/>
        <w:snapToGrid w:val="0"/>
        <w:spacing w:after="0" w:line="360" w:lineRule="auto"/>
        <w:ind w:firstLineChars="100" w:firstLine="240"/>
        <w:jc w:val="both"/>
        <w:rPr>
          <w:rFonts w:ascii="Book Antiqua" w:hAnsi="Book Antiqua" w:cs="Arial"/>
          <w:sz w:val="24"/>
          <w:szCs w:val="24"/>
          <w:lang w:val="en-US"/>
        </w:rPr>
      </w:pPr>
      <w:r w:rsidRPr="00825E2B">
        <w:rPr>
          <w:rFonts w:ascii="Book Antiqua" w:eastAsia="MS Mincho" w:hAnsi="Book Antiqua"/>
          <w:sz w:val="24"/>
          <w:szCs w:val="24"/>
          <w:lang w:val="en-US"/>
        </w:rPr>
        <w:t>2-AG accumulation in the liver has been shown to have anti-inflammatory and anti</w:t>
      </w:r>
      <w:r w:rsidR="00700BA8" w:rsidRPr="00825E2B">
        <w:rPr>
          <w:rFonts w:ascii="Book Antiqua" w:eastAsia="MS Mincho" w:hAnsi="Book Antiqua"/>
          <w:sz w:val="24"/>
          <w:szCs w:val="24"/>
          <w:lang w:val="en-US"/>
        </w:rPr>
        <w:t>-</w:t>
      </w:r>
      <w:r w:rsidRPr="00825E2B">
        <w:rPr>
          <w:rFonts w:ascii="Book Antiqua" w:eastAsia="MS Mincho" w:hAnsi="Book Antiqua"/>
          <w:sz w:val="24"/>
          <w:szCs w:val="24"/>
          <w:lang w:val="en-US"/>
        </w:rPr>
        <w:t>fibrotic effects through </w:t>
      </w:r>
      <w:r w:rsidR="00126620" w:rsidRPr="00825E2B">
        <w:rPr>
          <w:rFonts w:ascii="Book Antiqua" w:eastAsia="MS Mincho" w:hAnsi="Book Antiqua"/>
          <w:sz w:val="24"/>
          <w:szCs w:val="24"/>
          <w:lang w:val="en-US"/>
        </w:rPr>
        <w:t>CB2r signaling, conversely CB1r</w:t>
      </w:r>
      <w:r w:rsidR="00126620"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 xml:space="preserve">activation </w:t>
      </w:r>
      <w:r w:rsidRPr="00825E2B">
        <w:rPr>
          <w:rFonts w:ascii="Book Antiqua" w:eastAsia="MS Mincho" w:hAnsi="Book Antiqua"/>
          <w:sz w:val="24"/>
          <w:szCs w:val="24"/>
          <w:lang w:val="en-US"/>
        </w:rPr>
        <w:lastRenderedPageBreak/>
        <w:t>associates with increased liver damage and fibrosis in different models of liver injury</w:t>
      </w:r>
      <w:r w:rsidR="0030644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10.1136/gutjnl-2018-316137","ISSN":"0017-5749","PMID":"30301768","author":[{"dropping-particle":"","family":"Habib","given":"Aida","non-dropping-particle":"","parse-names":false,"suffix":""},{"dropping-particle":"","family":"Chokr","given":"Dina","non-dropping-particle":"","parse-names":false,"suffix":""},{"dropping-particle":"","family":"Wan","given":"JingHong","non-dropping-particle":"","parse-names":false,"suffix":""},{"dropping-particle":"","family":"Hegde","given":"Pushpa","non-dropping-particle":"","parse-names":false,"suffix":""},{"dropping-particle":"","family":"Mabire","given":"Morgane","non-dropping-particle":"","parse-names":false,"suffix":""},{"dropping-particle":"","family":"Siebert","given":"Matthieu","non-dropping-particle":"","parse-names":false,"suffix":""},{"dropping-particle":"","family":"Ribeiro-Parenti","given":"Lara","non-dropping-particle":"","parse-names":false,"suffix":""},{"dropping-particle":"","family":"Gall","given":"Maude","non-dropping-particle":"Le","parse-names":false,"suffix":""},{"dropping-particle":"","family":"Lettéron","given":"Philippe","non-dropping-particle":"","parse-names":false,"suffix":""},{"dropping-particle":"","family":"Pilard","given":"Nathalie","non-dropping-particle":"","parse-names":false,"suffix":""},{"dropping-particle":"","family":"Mansouri","given":"Abdellah","non-dropping-particle":"","parse-names":false,"suffix":""},{"dropping-particle":"","family":"Brouillet","given":"Arthur","non-dropping-particle":"","parse-names":false,"suffix":""},{"dropping-particle":"","family":"Tardelli","given":"Matteo","non-dropping-particle":"","parse-names":false,"suffix":""},{"dropping-particle":"","family":"Weiss","given":"Emmanuel","non-dropping-particle":"","parse-names":false,"suffix":""},{"dropping-particle":"","family":"Faouder","given":"Pauline","non-dropping-particle":"Le","parse-names":false,"suffix":""},{"dropping-particle":"","family":"Guillou","given":"Hervé","non-dropping-particle":"","parse-names":false,"suffix":""},{"dropping-particle":"","family":"Cravatt","given":"Benjamin F","non-dropping-particle":"","parse-names":false,"suffix":""},{"dropping-particle":"","family":"Moreau","given":"Richard","non-dropping-particle":"","parse-names":false,"suffix":""},{"dropping-particle":"","family":"Trauner","given":"Michael","non-dropping-particle":"","parse-names":false,"suffix":""},{"dropping-particle":"","family":"Lotersztajn","given":"Sophie","non-dropping-particle":"","parse-names":false,"suffix":""}],"container-title":"Gut","id":"ITEM-1","issued":{"date-parts":[["2018"]]},"page":"gutjnl-2018-316137","title":"Inhibition of monoacylglycerol lipase, an anti-inflammatory and antifibrogenic strategy in the liver","type":"article-journal"},"uris":["http://www.mendeley.com/documents/?uuid=a92c61b1-58a5-44fd-ad0f-a76af9182f0e"]}],"mendeley":{"formattedCitation":"&lt;sup&gt;[43]&lt;/sup&gt;","plainTextFormattedCitation":"[43]","previouslyFormattedCitation":"&lt;sup&gt;[42]&lt;/sup&gt;"},"properties":{"noteIndex":0},"schema":"https://github.com/citation-style-language/schema/raw/master/csl-citation.json"}</w:instrText>
      </w:r>
      <w:r w:rsidR="0030644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[43]</w:t>
      </w:r>
      <w:r w:rsidR="00306442" w:rsidRPr="00825E2B">
        <w:rPr>
          <w:rFonts w:ascii="Book Antiqua" w:hAnsi="Book Antiqua" w:cs="Arial"/>
          <w:sz w:val="24"/>
          <w:szCs w:val="24"/>
          <w:lang w:val="en-US"/>
        </w:rPr>
        <w:fldChar w:fldCharType="end"/>
      </w:r>
      <w:r w:rsidR="00126620" w:rsidRPr="00825E2B">
        <w:rPr>
          <w:rFonts w:ascii="Book Antiqua" w:hAnsi="Book Antiqua" w:cs="Arial"/>
          <w:sz w:val="24"/>
          <w:szCs w:val="24"/>
          <w:lang w:val="en-US" w:eastAsia="zh-CN"/>
        </w:rPr>
        <w:t xml:space="preserve"> </w:t>
      </w:r>
      <w:r w:rsidR="00126620" w:rsidRPr="00825E2B">
        <w:rPr>
          <w:rFonts w:ascii="Book Antiqua" w:hAnsi="Book Antiqua" w:cs="Arial"/>
          <w:sz w:val="24"/>
          <w:szCs w:val="24"/>
          <w:lang w:val="en-US"/>
        </w:rPr>
        <w:t>(Fig</w:t>
      </w:r>
      <w:r w:rsidR="00126620" w:rsidRPr="00825E2B">
        <w:rPr>
          <w:rFonts w:ascii="Book Antiqua" w:hAnsi="Book Antiqua" w:cs="Arial"/>
          <w:sz w:val="24"/>
          <w:szCs w:val="24"/>
          <w:lang w:val="en-US" w:eastAsia="zh-CN"/>
        </w:rPr>
        <w:t xml:space="preserve">ure </w:t>
      </w:r>
      <w:r w:rsidRPr="00825E2B">
        <w:rPr>
          <w:rFonts w:ascii="Book Antiqua" w:hAnsi="Book Antiqua" w:cs="Arial"/>
          <w:sz w:val="24"/>
          <w:szCs w:val="24"/>
          <w:lang w:val="en-US"/>
        </w:rPr>
        <w:t>2)</w:t>
      </w:r>
      <w:r w:rsidR="00306442" w:rsidRPr="00825E2B">
        <w:rPr>
          <w:rFonts w:ascii="Book Antiqua" w:hAnsi="Book Antiqua" w:cs="Arial"/>
          <w:sz w:val="24"/>
          <w:szCs w:val="24"/>
          <w:lang w:val="en-US"/>
        </w:rPr>
        <w:t>.</w:t>
      </w:r>
      <w:r w:rsidRPr="00825E2B">
        <w:rPr>
          <w:rFonts w:ascii="Book Antiqua" w:eastAsia="MS Mincho" w:hAnsi="Book Antiqua"/>
          <w:sz w:val="24"/>
          <w:szCs w:val="24"/>
          <w:lang w:val="en-US"/>
        </w:rPr>
        <w:t xml:space="preserve"> Habib </w:t>
      </w:r>
      <w:r w:rsidRPr="00825E2B">
        <w:rPr>
          <w:rFonts w:ascii="Book Antiqua" w:eastAsia="MS Mincho" w:hAnsi="Book Antiqua"/>
          <w:i/>
          <w:sz w:val="24"/>
          <w:szCs w:val="24"/>
          <w:lang w:val="en-US"/>
        </w:rPr>
        <w:t>et al</w:t>
      </w:r>
      <w:r w:rsidR="00126620" w:rsidRPr="00825E2B">
        <w:rPr>
          <w:rFonts w:ascii="Book Antiqua" w:hAnsi="Book Antiqua"/>
          <w:sz w:val="24"/>
          <w:szCs w:val="24"/>
          <w:vertAlign w:val="superscript"/>
          <w:lang w:val="en-US" w:eastAsia="zh-CN"/>
        </w:rPr>
        <w:t>[43]</w:t>
      </w:r>
      <w:r w:rsidRPr="00825E2B">
        <w:rPr>
          <w:rFonts w:ascii="Book Antiqua" w:eastAsia="MS Mincho" w:hAnsi="Book Antiqua"/>
          <w:sz w:val="24"/>
          <w:szCs w:val="24"/>
          <w:lang w:val="en-US"/>
        </w:rPr>
        <w:t> suggested that the increased 2-AG levels following MGL blockade selectively stimulate CB2r but not CB1r, thus</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resulting in hepato-protective effects</w:t>
      </w:r>
      <w:r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10.1136/gutjnl-2018-316137","ISSN":"0017-5749","PMID":"30301768","author":[{"dropping-particle":"","family":"Habib","given":"Aida","non-dropping-particle":"","parse-names":false,"suffix":""},{"dropping-particle":"","family":"Chokr","given":"Dina","non-dropping-particle":"","parse-names":false,"suffix":""},{"dropping-particle":"","family":"Wan","given":"JingHong","non-dropping-particle":"","parse-names":false,"suffix":""},{"dropping-particle":"","family":"Hegde","given":"Pushpa","non-dropping-particle":"","parse-names":false,"suffix":""},{"dropping-particle":"","family":"Mabire","given":"Morgane","non-dropping-particle":"","parse-names":false,"suffix":""},{"dropping-particle":"","family":"Siebert","given":"Matthieu","non-dropping-particle":"","parse-names":false,"suffix":""},{"dropping-particle":"","family":"Ribeiro-Parenti","given":"Lara","non-dropping-particle":"","parse-names":false,"suffix":""},{"dropping-particle":"","family":"Gall","given":"Maude","non-dropping-particle":"Le","parse-names":false,"suffix":""},{"dropping-particle":"","family":"Lettéron","given":"Philippe","non-dropping-particle":"","parse-names":false,"suffix":""},{"dropping-particle":"","family":"Pilard","given":"Nathalie","non-dropping-particle":"","parse-names":false,"suffix":""},{"dropping-particle":"","family":"Mansouri","given":"Abdellah","non-dropping-particle":"","parse-names":false,"suffix":""},{"dropping-particle":"","family":"Brouillet","given":"Arthur","non-dropping-particle":"","parse-names":false,"suffix":""},{"dropping-particle":"","family":"Tardelli","given":"Matteo","non-dropping-particle":"","parse-names":false,"suffix":""},{"dropping-particle":"","family":"Weiss","given":"Emmanuel","non-dropping-particle":"","parse-names":false,"suffix":""},{"dropping-particle":"","family":"Faouder","given":"Pauline","non-dropping-particle":"Le","parse-names":false,"suffix":""},{"dropping-particle":"","family":"Guillou","given":"Hervé","non-dropping-particle":"","parse-names":false,"suffix":""},{"dropping-particle":"","family":"Cravatt","given":"Benjamin F","non-dropping-particle":"","parse-names":false,"suffix":""},{"dropping-particle":"","family":"Moreau","given":"Richard","non-dropping-particle":"","parse-names":false,"suffix":""},{"dropping-particle":"","family":"Trauner","given":"Michael","non-dropping-particle":"","parse-names":false,"suffix":""},{"dropping-particle":"","family":"Lotersztajn","given":"Sophie","non-dropping-particle":"","parse-names":false,"suffix":""}],"container-title":"Gut","id":"ITEM-1","issued":{"date-parts":[["2018"]]},"page":"gutjnl-2018-316137","title":"Inhibition of monoacylglycerol lipase, an anti-inflammatory and antifibrogenic strategy in the liver","type":"article-journal"},"uris":["http://www.mendeley.com/documents/?uuid=a92c61b1-58a5-44fd-ad0f-a76af9182f0e"]}],"mendeley":{"formattedCitation":"&lt;sup&gt;[43]&lt;/sup&gt;","plainTextFormattedCitation":"[43]","previouslyFormattedCitation":"&lt;sup&gt;[42]&lt;/sup&gt;"},"properties":{"noteIndex":0},"schema":"https://github.com/citation-style-language/schema/raw/master/csl-citation.json"}</w:instrText>
      </w:r>
      <w:r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[43]</w:t>
      </w:r>
      <w:r w:rsidRPr="00825E2B">
        <w:rPr>
          <w:rFonts w:ascii="Book Antiqua" w:hAnsi="Book Antiqua" w:cs="Arial"/>
          <w:sz w:val="24"/>
          <w:szCs w:val="24"/>
          <w:lang w:val="en-US"/>
        </w:rPr>
        <w:fldChar w:fldCharType="end"/>
      </w:r>
      <w:r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In their study, lack of MGL</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prompted fibrosis regression due to autophagy</w:t>
      </w:r>
      <w:r w:rsidR="00E913FD" w:rsidRPr="00825E2B">
        <w:rPr>
          <w:rFonts w:ascii="Book Antiqua" w:eastAsia="MS Mincho" w:hAnsi="Book Antiqua"/>
          <w:sz w:val="24"/>
          <w:szCs w:val="24"/>
          <w:lang w:val="en-US"/>
        </w:rPr>
        <w:t>-</w:t>
      </w:r>
      <w:r w:rsidRPr="00825E2B">
        <w:rPr>
          <w:rFonts w:ascii="Book Antiqua" w:eastAsia="MS Mincho" w:hAnsi="Book Antiqua"/>
          <w:sz w:val="24"/>
          <w:szCs w:val="24"/>
          <w:lang w:val="en-US"/>
        </w:rPr>
        <w:t>mediated anti-inflammatory</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mechanisms in macrophages</w:t>
      </w:r>
      <w:r w:rsidR="0030644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10.1136/gutjnl-2018-316137","ISSN":"0017-5749","PMID":"30301768","author":[{"dropping-particle":"","family":"Habib","given":"Aida","non-dropping-particle":"","parse-names":false,"suffix":""},{"dropping-particle":"","family":"Chokr","given":"Dina","non-dropping-particle":"","parse-names":false,"suffix":""},{"dropping-particle":"","family":"Wan","given":"JingHong","non-dropping-particle":"","parse-names":false,"suffix":""},{"dropping-particle":"","family":"Hegde","given":"Pushpa","non-dropping-particle":"","parse-names":false,"suffix":""},{"dropping-particle":"","family":"Mabire","given":"Morgane","non-dropping-particle":"","parse-names":false,"suffix":""},{"dropping-particle":"","family":"Siebert","given":"Matthieu","non-dropping-particle":"","parse-names":false,"suffix":""},{"dropping-particle":"","family":"Ribeiro-Parenti","given":"Lara","non-dropping-particle":"","parse-names":false,"suffix":""},{"dropping-particle":"","family":"Gall","given":"Maude","non-dropping-particle":"Le","parse-names":false,"suffix":""},{"dropping-particle":"","family":"Lettéron","given":"Philippe","non-dropping-particle":"","parse-names":false,"suffix":""},{"dropping-particle":"","family":"Pilard","given":"Nathalie","non-dropping-particle":"","parse-names":false,"suffix":""},{"dropping-particle":"","family":"Mansouri","given":"Abdellah","non-dropping-particle":"","parse-names":false,"suffix":""},{"dropping-particle":"","family":"Brouillet","given":"Arthur","non-dropping-particle":"","parse-names":false,"suffix":""},{"dropping-particle":"","family":"Tardelli","given":"Matteo","non-dropping-particle":"","parse-names":false,"suffix":""},{"dropping-particle":"","family":"Weiss","given":"Emmanuel","non-dropping-particle":"","parse-names":false,"suffix":""},{"dropping-particle":"","family":"Faouder","given":"Pauline","non-dropping-particle":"Le","parse-names":false,"suffix":""},{"dropping-particle":"","family":"Guillou","given":"Hervé","non-dropping-particle":"","parse-names":false,"suffix":""},{"dropping-particle":"","family":"Cravatt","given":"Benjamin F","non-dropping-particle":"","parse-names":false,"suffix":""},{"dropping-particle":"","family":"Moreau","given":"Richard","non-dropping-particle":"","parse-names":false,"suffix":""},{"dropping-particle":"","family":"Trauner","given":"Michael","non-dropping-particle":"","parse-names":false,"suffix":""},{"dropping-particle":"","family":"Lotersztajn","given":"Sophie","non-dropping-particle":"","parse-names":false,"suffix":""}],"container-title":"Gut","id":"ITEM-1","issued":{"date-parts":[["2018"]]},"page":"gutjnl-2018-316137","title":"Inhibition of monoacylglycerol lipase, an anti-inflammatory and antifibrogenic strategy in the liver","type":"article-journal"},"uris":["http://www.mendeley.com/documents/?uuid=a92c61b1-58a5-44fd-ad0f-a76af9182f0e"]}],"mendeley":{"formattedCitation":"&lt;sup&gt;[43]&lt;/sup&gt;","plainTextFormattedCitation":"[43]","previouslyFormattedCitation":"&lt;sup&gt;[42]&lt;/sup&gt;"},"properties":{"noteIndex":0},"schema":"https://github.com/citation-style-language/schema/raw/master/csl-citation.json"}</w:instrText>
      </w:r>
      <w:r w:rsidR="0030644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[43]</w:t>
      </w:r>
      <w:r w:rsidR="00306442" w:rsidRPr="00825E2B">
        <w:rPr>
          <w:rFonts w:ascii="Book Antiqua" w:hAnsi="Book Antiqua" w:cs="Arial"/>
          <w:sz w:val="24"/>
          <w:szCs w:val="24"/>
          <w:lang w:val="en-US"/>
        </w:rPr>
        <w:fldChar w:fldCharType="end"/>
      </w:r>
      <w:r w:rsidR="00306442"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In details, using a mouse model lacking MGL in the myeloid lineage (</w:t>
      </w:r>
      <w:proofErr w:type="spellStart"/>
      <w:r w:rsidRPr="00825E2B">
        <w:rPr>
          <w:rFonts w:ascii="Book Antiqua" w:eastAsia="MS Mincho" w:hAnsi="Book Antiqua"/>
          <w:i/>
          <w:iCs/>
          <w:sz w:val="24"/>
          <w:szCs w:val="24"/>
          <w:lang w:val="en-US"/>
        </w:rPr>
        <w:t>Mgl</w:t>
      </w:r>
      <w:r w:rsidRPr="00825E2B">
        <w:rPr>
          <w:rFonts w:ascii="Book Antiqua" w:eastAsia="MS Mincho" w:hAnsi="Book Antiqua"/>
          <w:i/>
          <w:iCs/>
          <w:sz w:val="24"/>
          <w:szCs w:val="24"/>
          <w:vertAlign w:val="superscript"/>
          <w:lang w:val="en-US"/>
        </w:rPr>
        <w:t>Mye</w:t>
      </w:r>
      <w:proofErr w:type="spellEnd"/>
      <w:r w:rsidRPr="00825E2B">
        <w:rPr>
          <w:rFonts w:ascii="Book Antiqua" w:eastAsia="MS Mincho" w:hAnsi="Book Antiqua"/>
          <w:i/>
          <w:iCs/>
          <w:sz w:val="24"/>
          <w:szCs w:val="24"/>
          <w:vertAlign w:val="superscript"/>
          <w:lang w:val="en-US"/>
        </w:rPr>
        <w:t>-/-</w:t>
      </w:r>
      <w:r w:rsidRPr="00825E2B">
        <w:rPr>
          <w:rFonts w:ascii="Book Antiqua" w:eastAsia="MS Mincho" w:hAnsi="Book Antiqua"/>
          <w:sz w:val="24"/>
          <w:szCs w:val="24"/>
          <w:lang w:val="en-US"/>
        </w:rPr>
        <w:t>), authors demonstrated that MGL inhibition in immune cells is sufficient to reduce hepatic fibrosis and inflammation after carbon tetrachloride (CCL4) injection</w:t>
      </w:r>
      <w:r w:rsidR="0030644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10.1136/gutjnl-2018-316137","ISSN":"0017-5749","PMID":"30301768","author":[{"dropping-particle":"","family":"Habib","given":"Aida","non-dropping-particle":"","parse-names":false,"suffix":""},{"dropping-particle":"","family":"Chokr","given":"Dina","non-dropping-particle":"","parse-names":false,"suffix":""},{"dropping-particle":"","family":"Wan","given":"JingHong","non-dropping-particle":"","parse-names":false,"suffix":""},{"dropping-particle":"","family":"Hegde","given":"Pushpa","non-dropping-particle":"","parse-names":false,"suffix":""},{"dropping-particle":"","family":"Mabire","given":"Morgane","non-dropping-particle":"","parse-names":false,"suffix":""},{"dropping-particle":"","family":"Siebert","given":"Matthieu","non-dropping-particle":"","parse-names":false,"suffix":""},{"dropping-particle":"","family":"Ribeiro-Parenti","given":"Lara","non-dropping-particle":"","parse-names":false,"suffix":""},{"dropping-particle":"","family":"Gall","given":"Maude","non-dropping-particle":"Le","parse-names":false,"suffix":""},{"dropping-particle":"","family":"Lettéron","given":"Philippe","non-dropping-particle":"","parse-names":false,"suffix":""},{"dropping-particle":"","family":"Pilard","given":"Nathalie","non-dropping-particle":"","parse-names":false,"suffix":""},{"dropping-particle":"","family":"Mansouri","given":"Abdellah","non-dropping-particle":"","parse-names":false,"suffix":""},{"dropping-particle":"","family":"Brouillet","given":"Arthur","non-dropping-particle":"","parse-names":false,"suffix":""},{"dropping-particle":"","family":"Tardelli","given":"Matteo","non-dropping-particle":"","parse-names":false,"suffix":""},{"dropping-particle":"","family":"Weiss","given":"Emmanuel","non-dropping-particle":"","parse-names":false,"suffix":""},{"dropping-particle":"","family":"Faouder","given":"Pauline","non-dropping-particle":"Le","parse-names":false,"suffix":""},{"dropping-particle":"","family":"Guillou","given":"Hervé","non-dropping-particle":"","parse-names":false,"suffix":""},{"dropping-particle":"","family":"Cravatt","given":"Benjamin F","non-dropping-particle":"","parse-names":false,"suffix":""},{"dropping-particle":"","family":"Moreau","given":"Richard","non-dropping-particle":"","parse-names":false,"suffix":""},{"dropping-particle":"","family":"Trauner","given":"Michael","non-dropping-particle":"","parse-names":false,"suffix":""},{"dropping-particle":"","family":"Lotersztajn","given":"Sophie","non-dropping-particle":"","parse-names":false,"suffix":""}],"container-title":"Gut","id":"ITEM-1","issued":{"date-parts":[["2018"]]},"page":"gutjnl-2018-316137","title":"Inhibition of monoacylglycerol lipase, an anti-inflammatory and antifibrogenic strategy in the liver","type":"article-journal"},"uris":["http://www.mendeley.com/documents/?uuid=a92c61b1-58a5-44fd-ad0f-a76af9182f0e"]}],"mendeley":{"formattedCitation":"&lt;sup&gt;[43]&lt;/sup&gt;","plainTextFormattedCitation":"[43]","previouslyFormattedCitation":"&lt;sup&gt;[42]&lt;/sup&gt;"},"properties":{"noteIndex":0},"schema":"https://github.com/citation-style-language/schema/raw/master/csl-citation.json"}</w:instrText>
      </w:r>
      <w:r w:rsidR="0030644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[43]</w:t>
      </w:r>
      <w:r w:rsidR="00306442" w:rsidRPr="00825E2B">
        <w:rPr>
          <w:rFonts w:ascii="Book Antiqua" w:hAnsi="Book Antiqua" w:cs="Arial"/>
          <w:sz w:val="24"/>
          <w:szCs w:val="24"/>
          <w:lang w:val="en-US"/>
        </w:rPr>
        <w:fldChar w:fldCharType="end"/>
      </w:r>
      <w:r w:rsidR="00306442"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In line</w:t>
      </w:r>
      <w:r w:rsidR="00E913FD" w:rsidRPr="00825E2B">
        <w:rPr>
          <w:rFonts w:ascii="Book Antiqua" w:eastAsia="MS Mincho" w:hAnsi="Book Antiqua"/>
          <w:sz w:val="24"/>
          <w:szCs w:val="24"/>
          <w:lang w:val="en-US"/>
        </w:rPr>
        <w:t xml:space="preserve"> with what </w:t>
      </w:r>
      <w:r w:rsidRPr="00825E2B">
        <w:rPr>
          <w:rFonts w:ascii="Book Antiqua" w:eastAsia="MS Mincho" w:hAnsi="Book Antiqua"/>
          <w:sz w:val="24"/>
          <w:szCs w:val="24"/>
          <w:lang w:val="en-US"/>
        </w:rPr>
        <w:t xml:space="preserve">Cao </w:t>
      </w:r>
      <w:r w:rsidRPr="00825E2B">
        <w:rPr>
          <w:rFonts w:ascii="Book Antiqua" w:eastAsia="MS Mincho" w:hAnsi="Book Antiqua"/>
          <w:i/>
          <w:sz w:val="24"/>
          <w:szCs w:val="24"/>
          <w:lang w:val="en-US"/>
        </w:rPr>
        <w:t xml:space="preserve">et </w:t>
      </w:r>
      <w:proofErr w:type="gramStart"/>
      <w:r w:rsidRPr="00825E2B">
        <w:rPr>
          <w:rFonts w:ascii="Book Antiqua" w:eastAsia="MS Mincho" w:hAnsi="Book Antiqua"/>
          <w:i/>
          <w:sz w:val="24"/>
          <w:szCs w:val="24"/>
          <w:lang w:val="en-US"/>
        </w:rPr>
        <w:t>al</w:t>
      </w:r>
      <w:r w:rsidR="00126620" w:rsidRPr="00825E2B">
        <w:rPr>
          <w:rFonts w:ascii="Book Antiqua" w:hAnsi="Book Antiqua"/>
          <w:sz w:val="24"/>
          <w:szCs w:val="24"/>
          <w:vertAlign w:val="superscript"/>
          <w:lang w:val="en-US" w:eastAsia="zh-CN"/>
        </w:rPr>
        <w:t>[</w:t>
      </w:r>
      <w:proofErr w:type="gramEnd"/>
      <w:r w:rsidR="00126620" w:rsidRPr="00825E2B">
        <w:rPr>
          <w:rFonts w:ascii="Book Antiqua" w:hAnsi="Book Antiqua"/>
          <w:sz w:val="24"/>
          <w:szCs w:val="24"/>
          <w:vertAlign w:val="superscript"/>
          <w:lang w:val="en-US" w:eastAsia="zh-CN"/>
        </w:rPr>
        <w:t>41]</w:t>
      </w:r>
      <w:r w:rsidRPr="00825E2B">
        <w:rPr>
          <w:rFonts w:ascii="Book Antiqua" w:eastAsia="MS Mincho" w:hAnsi="Book Antiqua"/>
          <w:sz w:val="24"/>
          <w:szCs w:val="24"/>
          <w:lang w:val="en-US"/>
        </w:rPr>
        <w:t> </w:t>
      </w:r>
      <w:r w:rsidR="00E913FD" w:rsidRPr="00825E2B">
        <w:rPr>
          <w:rFonts w:ascii="Book Antiqua" w:eastAsia="MS Mincho" w:hAnsi="Book Antiqua"/>
          <w:sz w:val="24"/>
          <w:szCs w:val="24"/>
          <w:lang w:val="en-US"/>
        </w:rPr>
        <w:t xml:space="preserve">previously </w:t>
      </w:r>
      <w:r w:rsidRPr="00825E2B">
        <w:rPr>
          <w:rFonts w:ascii="Book Antiqua" w:eastAsia="MS Mincho" w:hAnsi="Book Antiqua"/>
          <w:sz w:val="24"/>
          <w:szCs w:val="24"/>
          <w:lang w:val="en-US"/>
        </w:rPr>
        <w:t>showed</w:t>
      </w:r>
      <w:r w:rsidR="00E913FD" w:rsidRPr="00825E2B">
        <w:rPr>
          <w:rFonts w:ascii="Book Antiqua" w:eastAsia="MS Mincho" w:hAnsi="Book Antiqua"/>
          <w:sz w:val="24"/>
          <w:szCs w:val="24"/>
          <w:lang w:val="en-US"/>
        </w:rPr>
        <w:t>,</w:t>
      </w:r>
      <w:r w:rsidRPr="00825E2B">
        <w:rPr>
          <w:rFonts w:ascii="Book Antiqua" w:eastAsia="MS Mincho" w:hAnsi="Book Antiqua"/>
          <w:sz w:val="24"/>
          <w:szCs w:val="24"/>
          <w:lang w:val="en-US"/>
        </w:rPr>
        <w:t> that systemic MGL inhibition had protective effects on hepatocytes in different models of acute liver injury</w:t>
      </w:r>
      <w:r w:rsidR="00E913FD" w:rsidRPr="00825E2B">
        <w:rPr>
          <w:rFonts w:ascii="Book Antiqua" w:eastAsia="MS Mincho" w:hAnsi="Book Antiqua"/>
          <w:sz w:val="24"/>
          <w:szCs w:val="24"/>
          <w:lang w:val="en-US"/>
        </w:rPr>
        <w:t>. These evidence was dependent on</w:t>
      </w:r>
      <w:r w:rsidRPr="00825E2B">
        <w:rPr>
          <w:rFonts w:ascii="Book Antiqua" w:eastAsia="MS Mincho" w:hAnsi="Book Antiqua"/>
          <w:sz w:val="24"/>
          <w:szCs w:val="24"/>
          <w:lang w:val="en-US"/>
        </w:rPr>
        <w:t xml:space="preserve"> </w:t>
      </w:r>
      <w:r w:rsidR="00E913FD" w:rsidRPr="00825E2B">
        <w:rPr>
          <w:rFonts w:ascii="Book Antiqua" w:eastAsia="MS Mincho" w:hAnsi="Book Antiqua"/>
          <w:sz w:val="24"/>
          <w:szCs w:val="24"/>
          <w:lang w:val="en-US"/>
        </w:rPr>
        <w:t xml:space="preserve">the </w:t>
      </w:r>
      <w:r w:rsidRPr="00825E2B">
        <w:rPr>
          <w:rFonts w:ascii="Book Antiqua" w:eastAsia="MS Mincho" w:hAnsi="Book Antiqua"/>
          <w:sz w:val="24"/>
          <w:szCs w:val="24"/>
          <w:lang w:val="en-US"/>
        </w:rPr>
        <w:t>enhanced CB2r activation and modulation of</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eicosanoid</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pathways, resulting into diminished neutrophil infiltration and neutrophil-mediated liver damage</w:t>
      </w:r>
      <w:r w:rsidR="0030644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{"citationItems":[{"id":"ITEM-1","itemData":{"DOI":"10.1053/j.gastro.2012.12.028","ISBN":"2122633255","ISSN":"00165085","PMID":"23295443","abstract":"Background &amp; Aims: The endocannabinoid and eicosanoid lipid signaling pathways have important roles in inflammatory syndromes. Monoacylglycerol lipase (MAGL) links these pathways, hydrolyzing the endocannabinoid 2-arachidonoylglycerol to generate the arachidonic acid precursor pool for prostaglandin production. We investigated whether blocking MAGL protects against inflammation and damage from hepatic ischemia/reperfusion (I/R) and other insults. Methods: We analyzed the effects of hepatic I/R in mice given the selective MAGL inhibitor JZL184, in Mgll-/-mice, fatty acid amide hydrolase-/-mice, and in cannabinoid receptor type 1-/-(CB1-/-) and cannabinoid receptor type 2-/-(CB2-/-). Liver tissues were collected and analyzed, along with cultured hepatocytes and Kupffer cells. We measured endocannabinoids, eicosanoids, and markers of inflammation, oxidative stress, and cell death using molecular biology, biochemistry, and mass spectrometry analyses. Results: Wild-type mice given JZL184 and Mgll-/-mice were protected from hepatic I/R injury by a mechanism that involved increased endocannabinoid signaling via CB2and reduced production of eicosanoids in the liver. JZL184 suppressed the inflammation and oxidative stress that mediate hepatic I/R injury. Hepatocytes were the major source of hepatic MAGL activity and endocannabinoid and eicosanoid production. JZL184 also protected from induction of liver injury by D-(+)-galactosamine and lipopolysaccharides or CCl4. Conclusions: MAGL modulates hepatic injury via endocannabinoid and eicosanoid signaling; blockade of this pathway protects mice from liver injury. MAGL inhibitors might be developed to treat conditions that expose the liver to oxidative stress and inflammatory damage. © 2013 AGA Institute.","author":[{"dropping-particle":"","family":"Cao","given":"Zongxian","non-dropping-particle":"","parse-names":false,"suffix":""},{"dropping-particle":"","family":"Mulvihill","given":"Melinda M.","non-dropping-particle":"","parse-names":false,"suffix":""},{"dropping-particle":"","family":"Mukhopadhyay","given":"Partha","non-dropping-particle":"","parse-names":false,"suffix":""},{"dropping-particle":"","family":"Xu","given":"Huan","non-dropping-particle":"","parse-names":false,"suffix":""},{"dropping-particle":"","family":"Erdélyi","given":"Katalin","non-dropping-particle":"","parse-names":false,"suffix":""},{"dropping-particle":"","family":"Hao","given":"Enkui","non-dropping-particle":"","parse-names":false,"suffix":""},{"dropping-particle":"","family":"Holovac","given":"Eileen","non-dropping-particle":"","parse-names":false,"suffix":""},{"dropping-particle":"","family":"Haskó","given":"György","non-dropping-particle":"","parse-names":false,"suffix":""},{"dropping-particle":"","family":"Cravatt","given":"Benjamin F.","non-dropping-particle":"","parse-names":false,"suffix":""},{"dropping-particle":"","family":"Nomura","given":"Daniel K.","non-dropping-particle":"","parse-names":false,"suffix":""},{"dropping-particle":"","family":"Pacher","given":"Pál","non-dropping-particle":"","parse-names":false,"suffix":""}],"container-title":"Gastroenterology","id":"ITEM-1","issue":"4","issued":{"date-parts":[["2013"]]},"title":"Monoacylglycerol lipase controls endocannabinoid and eicosanoid signaling and hepatic injury in mice","type":"article-journal","volume":"144"},"uris":["http://www.mendeley.com/documents/?uuid=8f983008-cbbe-4118-8990-3dd54d753267"]}],"mendeley":{"formattedCitation":"&lt;sup&gt;[41]&lt;/sup&gt;","plainTextFormattedCitation":"[41]","previouslyFormattedCitation":"&lt;sup&gt;[40]&lt;/sup&gt;"},"properties":{"noteIndex":0},"schema":"https://github.com/citation-style-language/schema/raw/master/csl-citation.json"}</w:instrText>
      </w:r>
      <w:r w:rsidR="0030644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[41]</w:t>
      </w:r>
      <w:r w:rsidR="00306442" w:rsidRPr="00825E2B">
        <w:rPr>
          <w:rFonts w:ascii="Book Antiqua" w:hAnsi="Book Antiqua" w:cs="Arial"/>
          <w:sz w:val="24"/>
          <w:szCs w:val="24"/>
          <w:lang w:val="en-US"/>
        </w:rPr>
        <w:fldChar w:fldCharType="end"/>
      </w:r>
      <w:r w:rsidR="00306442" w:rsidRPr="00825E2B">
        <w:rPr>
          <w:rFonts w:ascii="Book Antiqua" w:hAnsi="Book Antiqua" w:cs="Arial"/>
          <w:sz w:val="24"/>
          <w:szCs w:val="24"/>
          <w:lang w:val="en-US"/>
        </w:rPr>
        <w:t>.</w:t>
      </w:r>
    </w:p>
    <w:p w14:paraId="07BDCD8D" w14:textId="54538412" w:rsidR="0089157E" w:rsidRPr="00825E2B" w:rsidRDefault="00C524EA" w:rsidP="00A921B8">
      <w:pPr>
        <w:adjustRightInd w:val="0"/>
        <w:snapToGrid w:val="0"/>
        <w:spacing w:after="0" w:line="360" w:lineRule="auto"/>
        <w:ind w:firstLineChars="100" w:firstLine="240"/>
        <w:jc w:val="both"/>
        <w:rPr>
          <w:rFonts w:ascii="Book Antiqua" w:hAnsi="Book Antiqua" w:cs="Arial"/>
          <w:sz w:val="24"/>
          <w:szCs w:val="24"/>
          <w:lang w:val="en-US"/>
        </w:rPr>
      </w:pPr>
      <w:r w:rsidRPr="00825E2B">
        <w:rPr>
          <w:rFonts w:ascii="Book Antiqua" w:eastAsia="MS Mincho" w:hAnsi="Book Antiqua"/>
          <w:sz w:val="24"/>
          <w:szCs w:val="24"/>
          <w:lang w:val="en-US"/>
        </w:rPr>
        <w:t>In a microarray study, the expression of MGL was shown to be enriched in HCC tumors than in matched non-tumor tissues</w:t>
      </w:r>
      <w:r w:rsidR="00CE72E7"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{"citationItems":[{"id":"ITEM-1","itemData":{"DOI":"10.1186/s13045-016-0361-3","ISBN":"1756-8722","ISSN":"17568722","PMID":"27884159","abstract":"Monoacylglycerol lipase (MAGL), a critical lipolytic enzyme, has emerged as a key regulator of tumor progression, yet its biological function and clinical significance in hepatocellular carcinoma (HCC) is still unknown. In this study, we used a tissue microarray containing samples from 170 HCC patients to evaluate the expression of MAGL and its correlation with other clinicopathologic characteristics. In addition, we investigated the regulating effects of MAGL on various HCC lines. Finally, we identified the NF-κB signaling pathway participated in MAGL-mediated epithelial-mesenchymal transition (EMT) using HCC cell lines with different metastatic potentials. The expression of MAGL was significantly higher in HCC tumors than in matched peritumor tissues. Specifically, high MAGL expression was found in tumors with larger tumor size, microvascular invasion, poor differentiation, or advanced TNM stage. In addition, the clinical prognosis for the MAGLhigh group was markedly poorer than that for the MAGLlow group in the 1-, 3-, and 5-year overall survival times and recurrence rates of HCC patients. MAGL expression was an independent prognostic factor for both survival and recurrence after curative resection. Furthermore, the upregulation of MAGL in HCC cells promoted cell growth and invasiveness abilities, and accompanied by EMT. In contrast, downregulation of MAGL obviously inhibited these characteristics. Moreover, further investigations verified that MAGL facilitates HCC progression via NF-κB-mediated EMT process. Our findings demonstrate MAGL could promote HCC progression by the induction of EMT and suggest a potential therapeutic target, as well as a biomarker for prognosis, in patients with HCC.","author":[{"dropping-particle":"","family":"Wang","given":"Lu","non-dropping-particle":"","parse-names":false,"suffix":""},{"dropping-particle":"","family":"Zhu","given":"Weiping","non-dropping-particle":"","parse-names":false,"suffix":""},{"dropping-particle":"","family":"Zhao","given":"Yiming","non-dropping-particle":"","parse-names":false,"suffix":""},{"dropping-particle":"","family":"Zhou","given":"Jiamin","non-dropping-particle":"","parse-names":false,"suffix":""},{"dropping-particle":"","family":"Wang","given":"Xin","non-dropping-particle":"","parse-names":false,"suffix":""},{"dropping-particle":"","family":"Pan","given":"Qi","non-dropping-particle":"","parse-names":false,"suffix":""},{"dropping-particle":"","family":"Zhang","given":"Ning","non-dropping-particle":"","parse-names":false,"suffix":""},{"dropping-particle":"","family":"Wang","given":"Longrong","non-dropping-particle":"","parse-names":false,"suffix":""},{"dropping-particle":"","family":"Wang","given":"Miao","non-dropping-particle":"","parse-names":false,"suffix":""},{"dropping-particle":"","family":"Zhan","given":"Dihua","non-dropping-particle":"","parse-names":false,"suffix":""},{"dropping-particle":"","family":"Liu","given":"Zeyang","non-dropping-particle":"","parse-names":false,"suffix":""},{"dropping-particle":"","family":"He","given":"Xigan","non-dropping-particle":"","parse-names":false,"suffix":""},{"dropping-particle":"","family":"Ma","given":"Dening","non-dropping-particle":"","parse-names":false,"suffix":""},{"dropping-particle":"","family":"Liu","given":"Shuang","non-dropping-particle":"","parse-names":false,"suffix":""}],"container-title":"Journal of Hematology and Oncology","id":"ITEM-1","issued":{"date-parts":[["2016"]]},"title":"Monoacylglycerol lipase promotes progression of hepatocellular carcinoma via NF-κB-mediated epithelial-mesenchymal transition","type":"article-journal"},"uris":["http://www.mendeley.com/documents/?uuid=70fdaa84-79d4-4555-b8f1-913bc3d55414"]}],"mendeley":{"formattedCitation":"&lt;sup&gt;[44]&lt;/sup&gt;","plainTextFormattedCitation":"[44]","previouslyFormattedCitation":"&lt;sup&gt;[43]&lt;/sup&gt;"},"properties":{"noteIndex":0},"schema":"https://github.com/citation-style-language/schema/raw/master/csl-citation.json"}</w:instrText>
      </w:r>
      <w:r w:rsidR="00CE72E7"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[44]</w:t>
      </w:r>
      <w:r w:rsidR="00CE72E7" w:rsidRPr="00825E2B">
        <w:rPr>
          <w:rFonts w:ascii="Book Antiqua" w:hAnsi="Book Antiqua" w:cs="Arial"/>
          <w:sz w:val="24"/>
          <w:szCs w:val="24"/>
          <w:lang w:val="en-US"/>
        </w:rPr>
        <w:fldChar w:fldCharType="end"/>
      </w:r>
      <w:r w:rsidR="00CE72E7"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The upregulation of MGL in HCC cells promoted cell growth and invasion through pro-tumorigenic lipid signaling</w:t>
      </w:r>
      <w:r w:rsidR="00595CD4"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{"citationItems":[{"id":"ITEM-1","itemData":{"DOI":"10.1186/s13045-016-0361-3","ISBN":"1756-8722","ISSN":"17568722","PMID":"27884159","abstract":"Monoacylglycerol lipase (MAGL), a critical lipolytic enzyme, has emerged as a key regulator of tumor progression, yet its biological function and clinical significance in hepatocellular carcinoma (HCC) is still unknown. In this study, we used a tissue microarray containing samples from 170 HCC patients to evaluate the expression of MAGL and its correlation with other clinicopathologic characteristics. In addition, we investigated the regulating effects of MAGL on various HCC lines. Finally, we identified the NF-κB signaling pathway participated in MAGL-mediated epithelial-mesenchymal transition (EMT) using HCC cell lines with different metastatic potentials. The expression of MAGL was significantly higher in HCC tumors than in matched peritumor tissues. Specifically, high MAGL expression was found in tumors with larger tumor size, microvascular invasion, poor differentiation, or advanced TNM stage. In addition, the clinical prognosis for the MAGLhigh group was markedly poorer than that for the MAGLlow group in the 1-, 3-, and 5-year overall survival times and recurrence rates of HCC patients. MAGL expression was an independent prognostic factor for both survival and recurrence after curative resection. Furthermore, the upregulation of MAGL in HCC cells promoted cell growth and invasiveness abilities, and accompanied by EMT. In contrast, downregulation of MAGL obviously inhibited these characteristics. Moreover, further investigations verified that MAGL facilitates HCC progression via NF-κB-mediated EMT process. Our findings demonstrate MAGL could promote HCC progression by the induction of EMT and suggest a potential therapeutic target, as well as a biomarker for prognosis, in patients with HCC.","author":[{"dropping-particle":"","family":"Wang","given":"Lu","non-dropping-particle":"","parse-names":false,"suffix":""},{"dropping-particle":"","family":"Zhu","given":"Weiping","non-dropping-particle":"","parse-names":false,"suffix":""},{"dropping-particle":"","family":"Zhao","given":"Yiming","non-dropping-particle":"","parse-names":false,"suffix":""},{"dropping-particle":"","family":"Zhou","given":"Jiamin","non-dropping-particle":"","parse-names":false,"suffix":""},{"dropping-particle":"","family":"Wang","given":"Xin","non-dropping-particle":"","parse-names":false,"suffix":""},{"dropping-particle":"","family":"Pan","given":"Qi","non-dropping-particle":"","parse-names":false,"suffix":""},{"dropping-particle":"","family":"Zhang","given":"Ning","non-dropping-particle":"","parse-names":false,"suffix":""},{"dropping-particle":"","family":"Wang","given":"Longrong","non-dropping-particle":"","parse-names":false,"suffix":""},{"dropping-particle":"","family":"Wang","given":"Miao","non-dropping-particle":"","parse-names":false,"suffix":""},{"dropping-particle":"","family":"Zhan","given":"Dihua","non-dropping-particle":"","parse-names":false,"suffix":""},{"dropping-particle":"","family":"Liu","given":"Zeyang","non-dropping-particle":"","parse-names":false,"suffix":""},{"dropping-particle":"","family":"He","given":"Xigan","non-dropping-particle":"","parse-names":false,"suffix":""},{"dropping-particle":"","family":"Ma","given":"Dening","non-dropping-particle":"","parse-names":false,"suffix":""},{"dropping-particle":"","family":"Liu","given":"Shuang","non-dropping-particle":"","parse-names":false,"suffix":""}],"container-title":"Journal of Hematology and Oncology","id":"ITEM-1","issued":{"date-parts":[["2016"]]},"title":"Monoacylglycerol lipase promotes progression of hepatocellular carcinoma via NF-κB-mediated epithelial-mesenchymal transition","type":"article-journal"},"uris":["http://www.mendeley.com/documents/?uuid=70fdaa84-79d4-4555-b8f1-913bc3d55414"]}],"mendeley":{"formattedCitation":"&lt;sup&gt;[44]&lt;/sup&gt;","plainTextFormattedCitation":"[44]","previouslyFormattedCitation":"&lt;sup&gt;[43]&lt;/sup&gt;"},"properties":{"noteIndex":0},"schema":"https://github.com/citation-style-language/schema/raw/master/csl-citation.json"}</w:instrText>
      </w:r>
      <w:r w:rsidR="00595CD4"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[44]</w:t>
      </w:r>
      <w:r w:rsidR="00595CD4" w:rsidRPr="00825E2B">
        <w:rPr>
          <w:rFonts w:ascii="Book Antiqua" w:hAnsi="Book Antiqua" w:cs="Arial"/>
          <w:sz w:val="24"/>
          <w:szCs w:val="24"/>
          <w:lang w:val="en-US"/>
        </w:rPr>
        <w:fldChar w:fldCharType="end"/>
      </w:r>
      <w:r w:rsidR="00042097"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Importantly, MGL was demonstrated</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 xml:space="preserve">to facilitate HCC progression </w:t>
      </w:r>
      <w:r w:rsidRPr="00825E2B">
        <w:rPr>
          <w:rFonts w:ascii="Book Antiqua" w:eastAsia="MS Mincho" w:hAnsi="Book Antiqua"/>
          <w:i/>
          <w:sz w:val="24"/>
          <w:szCs w:val="24"/>
          <w:lang w:val="en-US"/>
        </w:rPr>
        <w:t>via</w:t>
      </w:r>
      <w:r w:rsidRPr="00825E2B">
        <w:rPr>
          <w:rFonts w:ascii="Book Antiqua" w:eastAsia="MS Mincho" w:hAnsi="Book Antiqua"/>
          <w:sz w:val="24"/>
          <w:szCs w:val="24"/>
          <w:lang w:val="en-US"/>
        </w:rPr>
        <w:t> nuclear factor kappa light</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chai</w:t>
      </w:r>
      <w:r w:rsidR="00126620" w:rsidRPr="00825E2B">
        <w:rPr>
          <w:rFonts w:ascii="Book Antiqua" w:eastAsia="MS Mincho" w:hAnsi="Book Antiqua"/>
          <w:sz w:val="24"/>
          <w:szCs w:val="24"/>
          <w:lang w:val="en-US"/>
        </w:rPr>
        <w:t>n</w:t>
      </w:r>
      <w:r w:rsidR="002D0F65" w:rsidRPr="00825E2B">
        <w:rPr>
          <w:rFonts w:ascii="Book Antiqua" w:eastAsia="MS Mincho" w:hAnsi="Book Antiqua"/>
          <w:sz w:val="24"/>
          <w:szCs w:val="24"/>
          <w:lang w:val="en-US"/>
        </w:rPr>
        <w:t xml:space="preserve"> </w:t>
      </w:r>
      <w:r w:rsidR="00126620" w:rsidRPr="00825E2B">
        <w:rPr>
          <w:rFonts w:ascii="Book Antiqua" w:eastAsia="MS Mincho" w:hAnsi="Book Antiqua"/>
          <w:sz w:val="24"/>
          <w:szCs w:val="24"/>
          <w:lang w:val="en-US"/>
        </w:rPr>
        <w:t>enhancer of activated B cells</w:t>
      </w:r>
      <w:r w:rsidRPr="00825E2B">
        <w:rPr>
          <w:rFonts w:ascii="Book Antiqua" w:eastAsia="MS Mincho" w:hAnsi="Book Antiqua"/>
          <w:sz w:val="24"/>
          <w:szCs w:val="24"/>
          <w:lang w:val="en-US"/>
        </w:rPr>
        <w:t>-mediated epithelial-mesenchymal transition</w:t>
      </w:r>
      <w:r w:rsidR="00042097"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{"citationItems":[{"id":"ITEM-1","itemData":{"DOI":"10.1186/s13045-016-0361-3","ISBN":"1756-8722","ISSN":"17568722","PMID":"27884159","abstract":"Monoacylglycerol lipase (MAGL), a critical lipolytic enzyme, has emerged as a key regulator of tumor progression, yet its biological function and clinical significance in hepatocellular carcinoma (HCC) is still unknown. In this study, we used a tissue microarray containing samples from 170 HCC patients to evaluate the expression of MAGL and its correlation with other clinicopathologic characteristics. In addition, we investigated the regulating effects of MAGL on various HCC lines. Finally, we identified the NF-κB signaling pathway participated in MAGL-mediated epithelial-mesenchymal transition (EMT) using HCC cell lines with different metastatic potentials. The expression of MAGL was significantly higher in HCC tumors than in matched peritumor tissues. Specifically, high MAGL expression was found in tumors with larger tumor size, microvascular invasion, poor differentiation, or advanced TNM stage. In addition, the clinical prognosis for the MAGLhigh group was markedly poorer than that for the MAGLlow group in the 1-, 3-, and 5-year overall survival times and recurrence rates of HCC patients. MAGL expression was an independent prognostic factor for both survival and recurrence after curative resection. Furthermore, the upregulation of MAGL in HCC cells promoted cell growth and invasiveness abilities, and accompanied by EMT. In contrast, downregulation of MAGL obviously inhibited these characteristics. Moreover, further investigations verified that MAGL facilitates HCC progression via NF-κB-mediated EMT process. Our findings demonstrate MAGL could promote HCC progression by the induction of EMT and suggest a potential therapeutic target, as well as a biomarker for prognosis, in patients with HCC.","author":[{"dropping-particle":"","family":"Wang","given":"Lu","non-dropping-particle":"","parse-names":false,"suffix":""},{"dropping-particle":"","family":"Zhu","given":"Weiping","non-dropping-particle":"","parse-names":false,"suffix":""},{"dropping-particle":"","family":"Zhao","given":"Yiming","non-dropping-particle":"","parse-names":false,"suffix":""},{"dropping-particle":"","family":"Zhou","given":"Jiamin","non-dropping-particle":"","parse-names":false,"suffix":""},{"dropping-particle":"","family":"Wang","given":"Xin","non-dropping-particle":"","parse-names":false,"suffix":""},{"dropping-particle":"","family":"Pan","given":"Qi","non-dropping-particle":"","parse-names":false,"suffix":""},{"dropping-particle":"","family":"Zhang","given":"Ning","non-dropping-particle":"","parse-names":false,"suffix":""},{"dropping-particle":"","family":"Wang","given":"Longrong","non-dropping-particle":"","parse-names":false,"suffix":""},{"dropping-particle":"","family":"Wang","given":"Miao","non-dropping-particle":"","parse-names":false,"suffix":""},{"dropping-particle":"","family":"Zhan","given":"Dihua","non-dropping-particle":"","parse-names":false,"suffix":""},{"dropping-particle":"","family":"Liu","given":"Zeyang","non-dropping-particle":"","parse-names":false,"suffix":""},{"dropping-particle":"","family":"He","given":"Xigan","non-dropping-particle":"","parse-names":false,"suffix":""},{"dropping-particle":"","family":"Ma","given":"Dening","non-dropping-particle":"","parse-names":false,"suffix":""},{"dropping-particle":"","family":"Liu","given":"Shuang","non-dropping-particle":"","parse-names":false,"suffix":""}],"container-title":"Journal of Hematology and Oncology","id":"ITEM-1","issued":{"date-parts":[["2016"]]},"title":"Monoacylglycerol lipase promotes progression of hepatocellular carcinoma via NF-κB-mediated epithelial-mesenchymal transition","type":"article-journal"},"uris":["http://www.mendeley.com/documents/?uuid=70fdaa84-79d4-4555-b8f1-913bc3d55414"]}],"mendeley":{"formattedCitation":"&lt;sup&gt;[44]&lt;/sup&gt;","plainTextFormattedCitation":"[44]","previouslyFormattedCitation":"&lt;sup&gt;[43]&lt;/sup&gt;"},"properties":{"noteIndex":0},"schema":"https://github.com/citation-style-language/schema/raw/master/csl-citation.json"}</w:instrText>
      </w:r>
      <w:r w:rsidR="00042097"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[44]</w:t>
      </w:r>
      <w:r w:rsidR="00042097" w:rsidRPr="00825E2B">
        <w:rPr>
          <w:rFonts w:ascii="Book Antiqua" w:hAnsi="Book Antiqua" w:cs="Arial"/>
          <w:sz w:val="24"/>
          <w:szCs w:val="24"/>
          <w:lang w:val="en-US"/>
        </w:rPr>
        <w:fldChar w:fldCharType="end"/>
      </w:r>
      <w:r w:rsidR="00CE72E7"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A recent work from our group strongly demonstrated a central role of MGL inhibition in the pathophysiology of cholestatic liver disease</w:t>
      </w:r>
      <w:r w:rsidR="008D6B5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10.1002/hep.30929","ISSN":"0270-9139","author":[{"dropping-particle":"","family":"Tardelli","given":"Matteo","non-dropping-particle":"","parse-names":false,"suffix":""},{"dropping-particle":"V.","family":"Bruschi","given":"Francesca","non-dropping-particle":"","parse-names":false,"suffix":""},{"dropping-particle":"","family":"Fuchs","given":"Claudia D.","non-dropping-particle":"","parse-names":false,"suffix":""},{"dropping-particle":"","family":"Claudel","given":"Thierry","non-dropping-particle":"","parse-names":false,"suffix":""},{"dropping-particle":"","family":"Auer","given":"Nicole","non-dropping-particle":"","parse-names":false,"suffix":""},{"dropping-particle":"","family":"Kunczer","given":"Victoria","non-dropping-particle":"","parse-names":false,"suffix":""},{"dropping-particle":"","family":"Baumgartner","given":"Maximilian","non-dropping-particle":"","parse-names":false,"suffix":""},{"dropping-particle":"","family":"Ronda","given":"Onne A.H.O.","non-dropping-particle":"","parse-names":false,"suffix":""},{"dropping-particle":"","family":"Jan Verkade","given":"Henk","non-dropping-particle":"","parse-names":false,"suffix":""},{"dropping-particle":"","family":"Stojakovic","given":"Tatjana","non-dropping-particle":"","parse-names":false,"suffix":""},{"dropping-particle":"","family":"Scharnagl","given":"Hubert","non-dropping-particle":"","parse-names":false,"suffix":""},{"dropping-particle":"","family":"Habib","given":"Aida","non-dropping-particle":"","parse-names":false,"suffix":""},{"dropping-particle":"","family":"Zimmermann","given":"Robert","non-dropping-particle":"","parse-names":false,"suffix":""},{"dropping-particle":"","family":"Lotersztajn","given":"Sophie","non-dropping-particle":"","parse-names":false,"suffix":""},{"dropping-particle":"","family":"Trauner","given":"Michael","non-dropping-particle":"","parse-names":false,"suffix":""}],"container-title":"Hepatology","id":"ITEM-1","issued":{"date-parts":[["2019"]]},"title":"Monoacylglycerol lipase inhibition protects from liver injury in mouse models of sclerosing cholangitis","type":"article-journal"},"uris":["http://www.mendeley.com/documents/?uuid=74edc7f3-5d1c-4c46-8187-832eba8b8c42"]}],"mendeley":{"formattedCitation":"&lt;sup&gt;[45]&lt;/sup&gt;","plainTextFormattedCitation":"[45]","previouslyFormattedCitation":"&lt;sup&gt;[44]&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[45]</w:t>
      </w:r>
      <w:r w:rsidR="008D6B52" w:rsidRPr="00825E2B">
        <w:rPr>
          <w:rFonts w:ascii="Book Antiqua" w:hAnsi="Book Antiqua" w:cs="Arial"/>
          <w:sz w:val="24"/>
          <w:szCs w:val="24"/>
          <w:lang w:val="en-US"/>
        </w:rPr>
        <w:fldChar w:fldCharType="end"/>
      </w:r>
      <w:r w:rsidR="00EF1BB4" w:rsidRPr="00825E2B">
        <w:rPr>
          <w:rFonts w:ascii="Book Antiqua" w:hAnsi="Book Antiqua" w:cs="Arial"/>
          <w:sz w:val="24"/>
          <w:szCs w:val="24"/>
          <w:lang w:val="en-US"/>
        </w:rPr>
        <w:t xml:space="preserve">. </w:t>
      </w:r>
      <w:r w:rsidR="00F433B6" w:rsidRPr="00825E2B">
        <w:rPr>
          <w:rFonts w:ascii="Book Antiqua" w:eastAsia="MS Mincho" w:hAnsi="Book Antiqua"/>
          <w:sz w:val="24"/>
          <w:szCs w:val="24"/>
          <w:lang w:val="en-US"/>
        </w:rPr>
        <w:t>Using total body knockout mice ch</w:t>
      </w:r>
      <w:r w:rsidR="00126620" w:rsidRPr="00825E2B">
        <w:rPr>
          <w:rFonts w:ascii="Book Antiqua" w:eastAsia="MS Mincho" w:hAnsi="Book Antiqua"/>
          <w:sz w:val="24"/>
          <w:szCs w:val="24"/>
          <w:lang w:val="en-US"/>
        </w:rPr>
        <w:t xml:space="preserve">allenged with cholestatic diet </w:t>
      </w:r>
      <w:r w:rsidR="00126620" w:rsidRPr="00825E2B">
        <w:rPr>
          <w:rFonts w:ascii="Book Antiqua" w:hAnsi="Book Antiqua"/>
          <w:sz w:val="24"/>
          <w:szCs w:val="24"/>
          <w:lang w:val="en-US" w:eastAsia="zh-CN"/>
        </w:rPr>
        <w:t>[</w:t>
      </w:r>
      <w:r w:rsidR="00F433B6" w:rsidRPr="00825E2B">
        <w:rPr>
          <w:rFonts w:ascii="Book Antiqua" w:eastAsia="MS Mincho" w:hAnsi="Book Antiqua"/>
          <w:sz w:val="24"/>
          <w:szCs w:val="24"/>
          <w:lang w:val="en-US"/>
        </w:rPr>
        <w:t>3,5-dietho</w:t>
      </w:r>
      <w:r w:rsidR="00126620" w:rsidRPr="00825E2B">
        <w:rPr>
          <w:rFonts w:ascii="Book Antiqua" w:eastAsia="MS Mincho" w:hAnsi="Book Antiqua"/>
          <w:sz w:val="24"/>
          <w:szCs w:val="24"/>
          <w:lang w:val="en-US"/>
        </w:rPr>
        <w:t>xycarbonyl-1,4-dihydrocollidine</w:t>
      </w:r>
      <w:r w:rsidR="00F433B6" w:rsidRPr="00825E2B">
        <w:rPr>
          <w:rFonts w:ascii="Book Antiqua" w:eastAsia="MS Mincho" w:hAnsi="Book Antiqua"/>
          <w:sz w:val="24"/>
          <w:szCs w:val="24"/>
          <w:lang w:val="en-US"/>
        </w:rPr>
        <w:t> </w:t>
      </w:r>
      <w:r w:rsidR="00126620" w:rsidRPr="00825E2B">
        <w:rPr>
          <w:rFonts w:ascii="Book Antiqua" w:hAnsi="Book Antiqua"/>
          <w:sz w:val="24"/>
          <w:szCs w:val="24"/>
          <w:lang w:val="en-US" w:eastAsia="zh-CN"/>
        </w:rPr>
        <w:t>(</w:t>
      </w:r>
      <w:r w:rsidR="00F433B6" w:rsidRPr="00825E2B">
        <w:rPr>
          <w:rFonts w:ascii="Book Antiqua" w:eastAsia="MS Mincho" w:hAnsi="Book Antiqua"/>
          <w:sz w:val="24"/>
          <w:szCs w:val="24"/>
          <w:lang w:val="en-US"/>
        </w:rPr>
        <w:t>DDC)</w:t>
      </w:r>
      <w:r w:rsidR="00126620" w:rsidRPr="00825E2B">
        <w:rPr>
          <w:rFonts w:ascii="Book Antiqua" w:hAnsi="Book Antiqua"/>
          <w:sz w:val="24"/>
          <w:szCs w:val="24"/>
          <w:lang w:val="en-US" w:eastAsia="zh-CN"/>
        </w:rPr>
        <w:t>]</w:t>
      </w:r>
      <w:r w:rsidR="00F433B6" w:rsidRPr="00825E2B">
        <w:rPr>
          <w:rFonts w:ascii="Book Antiqua" w:eastAsia="MS Mincho" w:hAnsi="Book Antiqua"/>
          <w:sz w:val="24"/>
          <w:szCs w:val="24"/>
          <w:lang w:val="en-US"/>
        </w:rPr>
        <w:t xml:space="preserve"> and pharmacological inhibition (JZL184) of MGL in Mdr2 (Abcb4) knock out - </w:t>
      </w:r>
      <w:r w:rsidR="00F433B6" w:rsidRPr="00825E2B">
        <w:rPr>
          <w:rFonts w:ascii="Book Antiqua" w:eastAsia="MS Mincho" w:hAnsi="Book Antiqua"/>
          <w:i/>
          <w:iCs/>
          <w:sz w:val="24"/>
          <w:szCs w:val="24"/>
          <w:lang w:val="en-US"/>
        </w:rPr>
        <w:t>Mdr2</w:t>
      </w:r>
      <w:r w:rsidR="00F433B6" w:rsidRPr="00825E2B">
        <w:rPr>
          <w:rFonts w:ascii="Book Antiqua" w:eastAsia="MS Mincho" w:hAnsi="Book Antiqua"/>
          <w:sz w:val="24"/>
          <w:szCs w:val="24"/>
          <w:vertAlign w:val="superscript"/>
          <w:lang w:val="en-US"/>
        </w:rPr>
        <w:t>-/-</w:t>
      </w:r>
      <w:r w:rsidR="00F433B6" w:rsidRPr="00825E2B">
        <w:rPr>
          <w:rFonts w:ascii="Book Antiqua" w:eastAsia="MS Mincho" w:hAnsi="Book Antiqua"/>
          <w:sz w:val="24"/>
          <w:szCs w:val="24"/>
          <w:lang w:val="en-US"/>
        </w:rPr>
        <w:t> (an established</w:t>
      </w:r>
      <w:r w:rsidR="002D0F65" w:rsidRPr="00825E2B">
        <w:rPr>
          <w:rFonts w:ascii="Book Antiqua" w:eastAsia="MS Mincho" w:hAnsi="Book Antiqua"/>
          <w:sz w:val="24"/>
          <w:szCs w:val="24"/>
          <w:lang w:val="en-US"/>
        </w:rPr>
        <w:t xml:space="preserve"> </w:t>
      </w:r>
      <w:r w:rsidR="00F433B6" w:rsidRPr="00825E2B">
        <w:rPr>
          <w:rFonts w:ascii="Book Antiqua" w:eastAsia="MS Mincho" w:hAnsi="Book Antiqua"/>
          <w:sz w:val="24"/>
          <w:szCs w:val="24"/>
          <w:lang w:val="en-US"/>
        </w:rPr>
        <w:t>mouse model that develops spontaneous cholestasis</w:t>
      </w:r>
      <w:r w:rsidR="008D6B5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{"citationItems":[{"id":"ITEM-1","itemData":{"DOI":"10.1016/j.jhep.2005.06.025","ISBN":"0168-8278 (Print)","ISSN":"01688278","PMID":"16223543","abstract":"Background/Aims: Mdr2 (Abcb4)-/- mice develop hepatic lesions resembling primary sclerosing cholangitis. Our aim was to characterize the evolution of fibrosis in Mdr2-/- mice. Methods: Mdr2-/-mice and their wild-type littermates were sacrificed at 2, 4 and 8 weeks after birth. Hepatic collagen was determined biochemically. Fibrosis related transcript levels were quantified from livers by real-time RT-PCR, and MMP activities determined by substrate assays. Liver histology was assessed by connective tissue staining and immunohistochemistry for α-smooth muscle actin (α-SMA). Results: Mdr2-/- mice demonstrated a time-dependent increase of relative and total hepatic collagen (fivefold at 8 weeks, compared to wildtype controls), and maximal α-SMA immunoreactivity at 4 weeks. Compared to wildtype controls profibrogenic mRNA levels for procollagen α1(I), TGFβ1, TGFβ2, MMP-2 and -13, TIMP-1, PDGFβ receptor, and PAI-1 were upregulated up to 27-fold. Most transcripts peaked at 4 weeks, but procollagen α1(I) mRNA increased steadily, TIMP-1 mRNA was constantly elevated (20-fold), MMP-13 mRNA was suppressed and interstitial collagenase and gelatinase activities were downregulated. Conclusions: Mdr2-/- mice spontaneously progress to severe biliary fibrosis. This is due to a characteristic temporal pattern of upregulated profibrogenic and downregulated fibrolytic genes and activities. These mice are an attractive model to test potential antifibrotics for the treatment of (biliary) liver fibrosis. © 2005 European Association for the Study of the Liver. Published by Elsevier B.V. All rights reserved.","author":[{"dropping-particle":"","family":"Popov","given":"Yury","non-dropping-particle":"","parse-names":false,"suffix":""},{"dropping-particle":"","family":"Patsenker","given":"Eleonora","non-dropping-particle":"","parse-names":false,"suffix":""},{"dropping-particle":"","family":"Fickert","given":"Peter","non-dropping-particle":"","parse-names":false,"suffix":""},{"dropping-particle":"","family":"Trauner","given":"Michael","non-dropping-particle":"","parse-names":false,"suffix":""},{"dropping-particle":"","family":"Schuppan","given":"Detlef","non-dropping-particle":"","parse-names":false,"suffix":""}],"container-title":"Journal of Hepatology","id":"ITEM-1","issue":"6","issued":{"date-parts":[["2005"]]},"page":"1045-1054","title":"Mdr2 (Abcb4)-/- mice spontaneously develop severe biliary fibrosis via massive dysregulation of pro- and antifibrogenic genes","type":"article-journal","volume":"43"},"uris":["http://www.mendeley.com/documents/?uuid=0a4a4bb6-fd42-488e-9cea-b3f1360e76e2"]}],"mendeley":{"formattedCitation":"&lt;sup&gt;[46]&lt;/sup&gt;","plainTextFormattedCitation":"[46]","previouslyFormattedCitation":"&lt;sup&gt;[45]&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[46]</w:t>
      </w:r>
      <w:r w:rsidR="008D6B52" w:rsidRPr="00825E2B">
        <w:rPr>
          <w:rFonts w:ascii="Book Antiqua" w:hAnsi="Book Antiqua" w:cs="Arial"/>
          <w:sz w:val="24"/>
          <w:szCs w:val="24"/>
          <w:lang w:val="en-US"/>
        </w:rPr>
        <w:fldChar w:fldCharType="end"/>
      </w:r>
      <w:r w:rsidR="004C247C" w:rsidRPr="00825E2B">
        <w:rPr>
          <w:rFonts w:ascii="Book Antiqua" w:hAnsi="Book Antiqua" w:cs="Arial"/>
          <w:sz w:val="24"/>
          <w:szCs w:val="24"/>
          <w:lang w:val="en-US"/>
        </w:rPr>
        <w:t>)</w:t>
      </w:r>
      <w:r w:rsidR="00F44E74" w:rsidRPr="00825E2B">
        <w:rPr>
          <w:rFonts w:ascii="Book Antiqua" w:hAnsi="Book Antiqua" w:cs="Arial"/>
          <w:sz w:val="24"/>
          <w:szCs w:val="24"/>
          <w:lang w:val="en-US"/>
        </w:rPr>
        <w:t>,</w:t>
      </w:r>
      <w:r w:rsidR="00F433B6" w:rsidRPr="00825E2B">
        <w:rPr>
          <w:rFonts w:ascii="Book Antiqua" w:hAnsi="Book Antiqua" w:cs="Arial"/>
          <w:sz w:val="24"/>
          <w:szCs w:val="24"/>
          <w:lang w:val="en-US"/>
        </w:rPr>
        <w:t xml:space="preserve"> </w:t>
      </w:r>
      <w:r w:rsidR="00F433B6" w:rsidRPr="00825E2B">
        <w:rPr>
          <w:rFonts w:ascii="Book Antiqua" w:eastAsia="MS Mincho" w:hAnsi="Book Antiqua"/>
          <w:sz w:val="24"/>
          <w:szCs w:val="24"/>
          <w:lang w:val="en-US"/>
        </w:rPr>
        <w:t>we evidenced beneficial effects in sclerosing cholangitis development and resolution</w:t>
      </w:r>
      <w:r w:rsidR="008D6B5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10.1002/hep.30929","ISSN":"0270-9139","author":[{"dropping-particle":"","family":"Tardelli","given":"Matteo","non-dropping-particle":"","parse-names":false,"suffix":""},{"dropping-particle":"V.","family":"Bruschi","given":"Francesca","non-dropping-particle":"","parse-names":false,"suffix":""},{"dropping-particle":"","family":"Fuchs","given":"Claudia D.","non-dropping-particle":"","parse-names":false,"suffix":""},{"dropping-particle":"","family":"Claudel","given":"Thierry","non-dropping-particle":"","parse-names":false,"suffix":""},{"dropping-particle":"","family":"Auer","given":"Nicole","non-dropping-particle":"","parse-names":false,"suffix":""},{"dropping-particle":"","family":"Kunczer","given":"Victoria","non-dropping-particle":"","parse-names":false,"suffix":""},{"dropping-particle":"","family":"Baumgartner","given":"Maximilian","non-dropping-particle":"","parse-names":false,"suffix":""},{"dropping-particle":"","family":"Ronda","given":"Onne A.H.O.","non-dropping-particle":"","parse-names":false,"suffix":""},{"dropping-particle":"","family":"Jan Verkade","given":"Henk","non-dropping-particle":"","parse-names":false,"suffix":""},{"dropping-particle":"","family":"Stojakovic","given":"Tatjana","non-dropping-particle":"","parse-names":false,"suffix":""},{"dropping-particle":"","family":"Scharnagl","given":"Hubert","non-dropping-particle":"","parse-names":false,"suffix":""},{"dropping-particle":"","family":"Habib","given":"Aida","non-dropping-particle":"","parse-names":false,"suffix":""},{"dropping-particle":"","family":"Zimmermann","given":"Robert","non-dropping-particle":"","parse-names":false,"suffix":""},{"dropping-particle":"","family":"Lotersztajn","given":"Sophie","non-dropping-particle":"","parse-names":false,"suffix":""},{"dropping-particle":"","family":"Trauner","given":"Michael","non-dropping-particle":"","parse-names":false,"suffix":""}],"container-title":"Hepatology","id":"ITEM-1","issued":{"date-parts":[["2019"]]},"title":"Monoacylglycerol lipase inhibition protects from liver injury in mouse models of sclerosing cholangitis","type":"article-journal"},"uris":["http://www.mendeley.com/documents/?uuid=74edc7f3-5d1c-4c46-8187-832eba8b8c42"]}],"mendeley":{"formattedCitation":"&lt;sup&gt;[45]&lt;/sup&gt;","plainTextFormattedCitation":"[45]","previouslyFormattedCitation":"&lt;sup&gt;[44]&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[45]</w:t>
      </w:r>
      <w:r w:rsidR="008D6B52" w:rsidRPr="00825E2B">
        <w:rPr>
          <w:rFonts w:ascii="Book Antiqua" w:hAnsi="Book Antiqua" w:cs="Arial"/>
          <w:sz w:val="24"/>
          <w:szCs w:val="24"/>
          <w:lang w:val="en-US"/>
        </w:rPr>
        <w:fldChar w:fldCharType="end"/>
      </w:r>
      <w:r w:rsidR="00EF1BB4" w:rsidRPr="00825E2B">
        <w:rPr>
          <w:rFonts w:ascii="Book Antiqua" w:hAnsi="Book Antiqua" w:cs="Arial"/>
          <w:sz w:val="24"/>
          <w:szCs w:val="24"/>
          <w:lang w:val="en-US"/>
        </w:rPr>
        <w:t xml:space="preserve">. </w:t>
      </w:r>
      <w:r w:rsidR="004C247C" w:rsidRPr="00825E2B">
        <w:rPr>
          <w:rFonts w:ascii="Book Antiqua" w:eastAsia="MS Mincho" w:hAnsi="Book Antiqua"/>
          <w:sz w:val="24"/>
          <w:szCs w:val="24"/>
          <w:lang w:val="en-US"/>
        </w:rPr>
        <w:t>We showed that both</w:t>
      </w:r>
      <w:r w:rsidR="00F433B6" w:rsidRPr="00825E2B">
        <w:rPr>
          <w:rFonts w:ascii="Book Antiqua" w:eastAsia="MS Mincho" w:hAnsi="Book Antiqua"/>
          <w:sz w:val="24"/>
          <w:szCs w:val="24"/>
          <w:lang w:val="en-US"/>
        </w:rPr>
        <w:t xml:space="preserve"> mouse models were protected from cholestatic liver disease due to a </w:t>
      </w:r>
      <w:r w:rsidR="00BB5079" w:rsidRPr="00825E2B">
        <w:rPr>
          <w:rFonts w:ascii="Book Antiqua" w:eastAsia="MS Mincho" w:hAnsi="Book Antiqua"/>
          <w:sz w:val="24"/>
          <w:szCs w:val="24"/>
          <w:lang w:val="en-US"/>
        </w:rPr>
        <w:t>crosstalk</w:t>
      </w:r>
      <w:r w:rsidR="00F433B6" w:rsidRPr="00825E2B">
        <w:rPr>
          <w:rFonts w:ascii="Book Antiqua" w:eastAsia="MS Mincho" w:hAnsi="Book Antiqua"/>
          <w:sz w:val="24"/>
          <w:szCs w:val="24"/>
          <w:lang w:val="en-US"/>
        </w:rPr>
        <w:t> mechanism involving the gut-liver axis, microbiome modulation and substrate (AA) accumulation in the intestine (Fig</w:t>
      </w:r>
      <w:r w:rsidR="00126620" w:rsidRPr="00825E2B">
        <w:rPr>
          <w:rFonts w:ascii="Book Antiqua" w:hAnsi="Book Antiqua"/>
          <w:sz w:val="24"/>
          <w:szCs w:val="24"/>
          <w:lang w:val="en-US" w:eastAsia="zh-CN"/>
        </w:rPr>
        <w:t>ure</w:t>
      </w:r>
      <w:r w:rsidR="00F433B6" w:rsidRPr="00825E2B">
        <w:rPr>
          <w:rFonts w:ascii="Book Antiqua" w:eastAsia="MS Mincho" w:hAnsi="Book Antiqua"/>
          <w:sz w:val="24"/>
          <w:szCs w:val="24"/>
          <w:lang w:val="en-US"/>
        </w:rPr>
        <w:t xml:space="preserve"> 3). Notwithstanding that AA is a known precursor of pro-</w:t>
      </w:r>
      <w:r w:rsidR="00F433B6" w:rsidRPr="00825E2B">
        <w:rPr>
          <w:rFonts w:ascii="Book Antiqua" w:eastAsia="MS Mincho" w:hAnsi="Book Antiqua"/>
          <w:sz w:val="24"/>
          <w:szCs w:val="24"/>
          <w:lang w:val="en-US"/>
        </w:rPr>
        <w:lastRenderedPageBreak/>
        <w:t>inflammatory mediators, in this study </w:t>
      </w:r>
      <w:r w:rsidR="00FF336B" w:rsidRPr="00825E2B">
        <w:rPr>
          <w:rFonts w:ascii="Book Antiqua" w:eastAsia="MS Mincho" w:hAnsi="Book Antiqua"/>
          <w:sz w:val="24"/>
          <w:szCs w:val="24"/>
          <w:lang w:val="en-US"/>
        </w:rPr>
        <w:t>it</w:t>
      </w:r>
      <w:r w:rsidR="00F433B6" w:rsidRPr="00825E2B">
        <w:rPr>
          <w:rFonts w:ascii="Book Antiqua" w:eastAsia="MS Mincho" w:hAnsi="Book Antiqua"/>
          <w:sz w:val="24"/>
          <w:szCs w:val="24"/>
          <w:lang w:val="en-US"/>
        </w:rPr>
        <w:t> was demonstrated to bind nuclear receptors</w:t>
      </w:r>
      <w:r w:rsidR="00F433B6" w:rsidRPr="00825E2B">
        <w:rPr>
          <w:rFonts w:ascii="Book Antiqua" w:eastAsia="MS Mincho" w:hAnsi="Book Antiqua"/>
          <w:sz w:val="24"/>
          <w:szCs w:val="24"/>
        </w:rPr>
        <w:t> </w:t>
      </w:r>
      <w:r w:rsidR="00F433B6" w:rsidRPr="00825E2B">
        <w:rPr>
          <w:rFonts w:ascii="Book Antiqua" w:eastAsia="MS Mincho" w:hAnsi="Book Antiqua"/>
          <w:sz w:val="24"/>
          <w:szCs w:val="24"/>
          <w:lang w:val="en-US"/>
        </w:rPr>
        <w:t>such as peroxisome proliferator activated receptor alpha and gamma (PPAR-</w:t>
      </w:r>
      <w:r w:rsidR="00126620" w:rsidRPr="00825E2B">
        <w:rPr>
          <w:rFonts w:ascii="Book Antiqua" w:eastAsia="MS Mincho" w:hAnsi="Book Antiqua"/>
          <w:sz w:val="24"/>
          <w:szCs w:val="24"/>
          <w:lang w:val="en-US"/>
        </w:rPr>
        <w:t>α, -γ) and </w:t>
      </w:r>
      <w:proofErr w:type="spellStart"/>
      <w:r w:rsidR="00126620" w:rsidRPr="00825E2B">
        <w:rPr>
          <w:rFonts w:ascii="Book Antiqua" w:eastAsia="MS Mincho" w:hAnsi="Book Antiqua"/>
          <w:sz w:val="24"/>
          <w:szCs w:val="24"/>
          <w:lang w:val="en-US"/>
        </w:rPr>
        <w:t>farnesoid</w:t>
      </w:r>
      <w:proofErr w:type="spellEnd"/>
      <w:r w:rsidR="00126620" w:rsidRPr="00825E2B">
        <w:rPr>
          <w:rFonts w:ascii="Book Antiqua" w:eastAsia="MS Mincho" w:hAnsi="Book Antiqua"/>
          <w:sz w:val="24"/>
          <w:szCs w:val="24"/>
          <w:lang w:val="en-US"/>
        </w:rPr>
        <w:t> X receptor</w:t>
      </w:r>
      <w:r w:rsidR="00F433B6" w:rsidRPr="00825E2B">
        <w:rPr>
          <w:rFonts w:ascii="Book Antiqua" w:eastAsia="MS Mincho" w:hAnsi="Book Antiqua"/>
          <w:sz w:val="24"/>
          <w:szCs w:val="24"/>
          <w:lang w:val="en-US"/>
        </w:rPr>
        <w:t xml:space="preserve"> diminishing intestinal inflammation and consequently impacting liver bile acid synthesis </w:t>
      </w:r>
      <w:r w:rsidR="00126620" w:rsidRPr="00825E2B">
        <w:rPr>
          <w:rFonts w:ascii="Book Antiqua" w:eastAsia="MS Mincho" w:hAnsi="Book Antiqua"/>
          <w:i/>
          <w:sz w:val="24"/>
          <w:szCs w:val="24"/>
          <w:lang w:val="en-US"/>
        </w:rPr>
        <w:t>via</w:t>
      </w:r>
      <w:r w:rsidR="00126620" w:rsidRPr="00825E2B">
        <w:rPr>
          <w:rFonts w:ascii="Book Antiqua" w:eastAsia="MS Mincho" w:hAnsi="Book Antiqua"/>
          <w:sz w:val="24"/>
          <w:szCs w:val="24"/>
          <w:lang w:val="en-US"/>
        </w:rPr>
        <w:t> fibroblast growth factor 15</w:t>
      </w:r>
      <w:r w:rsidR="008D6B52"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10.1002/hep.30929","ISSN":"0270-9139","author":[{"dropping-particle":"","family":"Tardelli","given":"Matteo","non-dropping-particle":"","parse-names":false,"suffix":""},{"dropping-particle":"V.","family":"Bruschi","given":"Francesca","non-dropping-particle":"","parse-names":false,"suffix":""},{"dropping-particle":"","family":"Fuchs","given":"Claudia D.","non-dropping-particle":"","parse-names":false,"suffix":""},{"dropping-particle":"","family":"Claudel","given":"Thierry","non-dropping-particle":"","parse-names":false,"suffix":""},{"dropping-particle":"","family":"Auer","given":"Nicole","non-dropping-particle":"","parse-names":false,"suffix":""},{"dropping-particle":"","family":"Kunczer","given":"Victoria","non-dropping-particle":"","parse-names":false,"suffix":""},{"dropping-particle":"","family":"Baumgartner","given":"Maximilian","non-dropping-particle":"","parse-names":false,"suffix":""},{"dropping-particle":"","family":"Ronda","given":"Onne A.H.O.","non-dropping-particle":"","parse-names":false,"suffix":""},{"dropping-particle":"","family":"Jan Verkade","given":"Henk","non-dropping-particle":"","parse-names":false,"suffix":""},{"dropping-particle":"","family":"Stojakovic","given":"Tatjana","non-dropping-particle":"","parse-names":false,"suffix":""},{"dropping-particle":"","family":"Scharnagl","given":"Hubert","non-dropping-particle":"","parse-names":false,"suffix":""},{"dropping-particle":"","family":"Habib","given":"Aida","non-dropping-particle":"","parse-names":false,"suffix":""},{"dropping-particle":"","family":"Zimmermann","given":"Robert","non-dropping-particle":"","parse-names":false,"suffix":""},{"dropping-particle":"","family":"Lotersztajn","given":"Sophie","non-dropping-particle":"","parse-names":false,"suffix":""},{"dropping-particle":"","family":"Trauner","given":"Michael","non-dropping-particle":"","parse-names":false,"suffix":""}],"container-title":"Hepatology","id":"ITEM-1","issued":{"date-parts":[["2019"]]},"title":"Monoacylglycerol lipase inhibition protects from liver injury in mouse models of sclerosing cholangitis","type":"article-journal"},"uris":["http://www.mendeley.com/documents/?uuid=74edc7f3-5d1c-4c46-8187-832eba8b8c42"]}],"mendeley":{"formattedCitation":"&lt;sup&gt;[45]&lt;/sup&gt;","plainTextFormattedCitation":"[45]","previouslyFormattedCitation":"&lt;sup&gt;[44]&lt;/sup&gt;"},"properties":{"noteIndex":0},"schema":"https://github.com/citation-style-language/schema/raw/master/csl-citation.json"}</w:instrText>
      </w:r>
      <w:r w:rsidR="008D6B52"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[45]</w:t>
      </w:r>
      <w:r w:rsidR="008D6B52" w:rsidRPr="00825E2B">
        <w:rPr>
          <w:rFonts w:ascii="Book Antiqua" w:hAnsi="Book Antiqua" w:cs="Arial"/>
          <w:sz w:val="24"/>
          <w:szCs w:val="24"/>
          <w:lang w:val="en-US"/>
        </w:rPr>
        <w:fldChar w:fldCharType="end"/>
      </w:r>
      <w:r w:rsidR="00EF1BB4" w:rsidRPr="00825E2B">
        <w:rPr>
          <w:rFonts w:ascii="Book Antiqua" w:hAnsi="Book Antiqua" w:cs="Arial"/>
          <w:sz w:val="24"/>
          <w:szCs w:val="24"/>
          <w:lang w:val="en-US"/>
        </w:rPr>
        <w:t xml:space="preserve">. </w:t>
      </w:r>
      <w:r w:rsidR="0085314F" w:rsidRPr="00825E2B">
        <w:rPr>
          <w:rFonts w:ascii="Book Antiqua" w:hAnsi="Book Antiqua" w:cs="Arial"/>
          <w:sz w:val="24"/>
          <w:szCs w:val="24"/>
          <w:lang w:val="en-US"/>
        </w:rPr>
        <w:t>Nevertheless, the</w:t>
      </w:r>
      <w:r w:rsidR="00EF1BB4" w:rsidRPr="00825E2B">
        <w:rPr>
          <w:rFonts w:ascii="Book Antiqua" w:hAnsi="Book Antiqua" w:cs="Arial"/>
          <w:sz w:val="24"/>
          <w:szCs w:val="24"/>
          <w:lang w:val="en-US"/>
        </w:rPr>
        <w:t xml:space="preserve"> development of tissue specific </w:t>
      </w:r>
      <w:r w:rsidR="0085314F" w:rsidRPr="00825E2B">
        <w:rPr>
          <w:rFonts w:ascii="Book Antiqua" w:hAnsi="Book Antiqua" w:cs="Arial"/>
          <w:sz w:val="24"/>
          <w:szCs w:val="24"/>
          <w:lang w:val="en-US"/>
        </w:rPr>
        <w:t>and</w:t>
      </w:r>
      <w:r w:rsidR="00EF1BB4" w:rsidRPr="00825E2B">
        <w:rPr>
          <w:rFonts w:ascii="Book Antiqua" w:hAnsi="Book Antiqua" w:cs="Arial"/>
          <w:sz w:val="24"/>
          <w:szCs w:val="24"/>
          <w:lang w:val="en-US"/>
        </w:rPr>
        <w:t xml:space="preserve"> inducible knockout models </w:t>
      </w:r>
      <w:r w:rsidR="0085314F" w:rsidRPr="00825E2B">
        <w:rPr>
          <w:rFonts w:ascii="Book Antiqua" w:hAnsi="Book Antiqua" w:cs="Arial"/>
          <w:sz w:val="24"/>
          <w:szCs w:val="24"/>
          <w:lang w:val="en-US"/>
        </w:rPr>
        <w:t>w</w:t>
      </w:r>
      <w:r w:rsidR="00082E51" w:rsidRPr="00825E2B">
        <w:rPr>
          <w:rFonts w:ascii="Book Antiqua" w:hAnsi="Book Antiqua" w:cs="Arial"/>
          <w:sz w:val="24"/>
          <w:szCs w:val="24"/>
          <w:lang w:val="en-US"/>
        </w:rPr>
        <w:t>ould deliver better</w:t>
      </w:r>
      <w:r w:rsidR="0085314F" w:rsidRPr="00825E2B">
        <w:rPr>
          <w:rFonts w:ascii="Book Antiqua" w:hAnsi="Book Antiqua" w:cs="Arial"/>
          <w:sz w:val="24"/>
          <w:szCs w:val="24"/>
          <w:lang w:val="en-US"/>
        </w:rPr>
        <w:t xml:space="preserve"> mechanistic</w:t>
      </w:r>
      <w:r w:rsidR="00082E51" w:rsidRPr="00825E2B">
        <w:rPr>
          <w:rFonts w:ascii="Book Antiqua" w:hAnsi="Book Antiqua" w:cs="Arial"/>
          <w:sz w:val="24"/>
          <w:szCs w:val="24"/>
          <w:lang w:val="en-US"/>
        </w:rPr>
        <w:t xml:space="preserve"> understanding on </w:t>
      </w:r>
      <w:r w:rsidR="0085314F" w:rsidRPr="00825E2B">
        <w:rPr>
          <w:rFonts w:ascii="Book Antiqua" w:hAnsi="Book Antiqua" w:cs="Arial"/>
          <w:sz w:val="24"/>
          <w:szCs w:val="24"/>
          <w:lang w:val="en-US"/>
        </w:rPr>
        <w:t>which organ</w:t>
      </w:r>
      <w:r w:rsidR="00082E51" w:rsidRPr="00825E2B">
        <w:rPr>
          <w:rFonts w:ascii="Book Antiqua" w:hAnsi="Book Antiqua" w:cs="Arial"/>
          <w:sz w:val="24"/>
          <w:szCs w:val="24"/>
          <w:lang w:val="en-US"/>
        </w:rPr>
        <w:t xml:space="preserve"> </w:t>
      </w:r>
      <w:r w:rsidR="0085314F" w:rsidRPr="00825E2B">
        <w:rPr>
          <w:rFonts w:ascii="Book Antiqua" w:hAnsi="Book Antiqua" w:cs="Arial"/>
          <w:sz w:val="24"/>
          <w:szCs w:val="24"/>
          <w:lang w:val="en-US"/>
        </w:rPr>
        <w:t>is</w:t>
      </w:r>
      <w:r w:rsidR="00082E51" w:rsidRPr="00825E2B">
        <w:rPr>
          <w:rFonts w:ascii="Book Antiqua" w:hAnsi="Book Antiqua" w:cs="Arial"/>
          <w:sz w:val="24"/>
          <w:szCs w:val="24"/>
          <w:lang w:val="en-US"/>
        </w:rPr>
        <w:t xml:space="preserve"> playing </w:t>
      </w:r>
      <w:r w:rsidR="0085314F" w:rsidRPr="00825E2B">
        <w:rPr>
          <w:rFonts w:ascii="Book Antiqua" w:hAnsi="Book Antiqua" w:cs="Arial"/>
          <w:sz w:val="24"/>
          <w:szCs w:val="24"/>
          <w:lang w:val="en-US"/>
        </w:rPr>
        <w:t xml:space="preserve">the most </w:t>
      </w:r>
      <w:r w:rsidR="00885CB9" w:rsidRPr="00825E2B">
        <w:rPr>
          <w:rFonts w:ascii="Book Antiqua" w:hAnsi="Book Antiqua" w:cs="Arial"/>
          <w:sz w:val="24"/>
          <w:szCs w:val="24"/>
          <w:lang w:val="en-US"/>
        </w:rPr>
        <w:t xml:space="preserve">relevant role in the </w:t>
      </w:r>
      <w:r w:rsidR="00EF1BB4" w:rsidRPr="00825E2B">
        <w:rPr>
          <w:rFonts w:ascii="Book Antiqua" w:hAnsi="Book Antiqua" w:cs="Arial"/>
          <w:sz w:val="24"/>
          <w:szCs w:val="24"/>
          <w:lang w:val="en-US"/>
        </w:rPr>
        <w:t>development of cholestasis</w:t>
      </w:r>
      <w:r w:rsidR="00C23ED3" w:rsidRPr="00825E2B">
        <w:rPr>
          <w:rFonts w:ascii="Book Antiqua" w:hAnsi="Book Antiqua" w:cs="Arial"/>
          <w:sz w:val="24"/>
          <w:szCs w:val="24"/>
          <w:lang w:val="en-US"/>
        </w:rPr>
        <w:t xml:space="preserve"> and other liver diseases</w:t>
      </w:r>
      <w:r w:rsidR="00885CB9" w:rsidRPr="00825E2B">
        <w:rPr>
          <w:rFonts w:ascii="Book Antiqua" w:hAnsi="Book Antiqua" w:cs="Arial"/>
          <w:sz w:val="24"/>
          <w:szCs w:val="24"/>
          <w:lang w:val="en-US"/>
        </w:rPr>
        <w:t xml:space="preserve"> after MGL invalidation</w:t>
      </w:r>
      <w:r w:rsidR="00EF1BB4" w:rsidRPr="00825E2B">
        <w:rPr>
          <w:rFonts w:ascii="Book Antiqua" w:hAnsi="Book Antiqua" w:cs="Arial"/>
          <w:sz w:val="24"/>
          <w:szCs w:val="24"/>
          <w:lang w:val="en-US"/>
        </w:rPr>
        <w:t>.</w:t>
      </w:r>
    </w:p>
    <w:p w14:paraId="17834562" w14:textId="41364961" w:rsidR="00AE2545" w:rsidRPr="00825E2B" w:rsidRDefault="009914DF" w:rsidP="00A921B8">
      <w:pPr>
        <w:adjustRightInd w:val="0"/>
        <w:snapToGrid w:val="0"/>
        <w:spacing w:after="0" w:line="360" w:lineRule="auto"/>
        <w:ind w:firstLineChars="100" w:firstLine="240"/>
        <w:jc w:val="both"/>
        <w:rPr>
          <w:rFonts w:ascii="Book Antiqua" w:hAnsi="Book Antiqua" w:cs="Arial"/>
          <w:sz w:val="24"/>
          <w:szCs w:val="24"/>
          <w:lang w:val="en-US"/>
        </w:rPr>
      </w:pPr>
      <w:r w:rsidRPr="00825E2B">
        <w:rPr>
          <w:rFonts w:ascii="Book Antiqua" w:hAnsi="Book Antiqua" w:cs="Arial"/>
          <w:sz w:val="24"/>
          <w:szCs w:val="24"/>
          <w:lang w:val="en-US"/>
        </w:rPr>
        <w:t>Although</w:t>
      </w:r>
      <w:r w:rsidR="00402896" w:rsidRPr="00825E2B">
        <w:rPr>
          <w:rFonts w:ascii="Book Antiqua" w:hAnsi="Book Antiqua" w:cs="Arial"/>
          <w:sz w:val="24"/>
          <w:szCs w:val="24"/>
          <w:lang w:val="en-US"/>
        </w:rPr>
        <w:t xml:space="preserve"> several </w:t>
      </w:r>
      <w:r w:rsidR="002B3C3C" w:rsidRPr="00825E2B">
        <w:rPr>
          <w:rFonts w:ascii="Book Antiqua" w:hAnsi="Book Antiqua" w:cs="Arial"/>
          <w:sz w:val="24"/>
          <w:szCs w:val="24"/>
          <w:lang w:val="en-US"/>
        </w:rPr>
        <w:t xml:space="preserve">pre-clinical </w:t>
      </w:r>
      <w:r w:rsidR="00402896" w:rsidRPr="00825E2B">
        <w:rPr>
          <w:rFonts w:ascii="Book Antiqua" w:hAnsi="Book Antiqua" w:cs="Arial"/>
          <w:sz w:val="24"/>
          <w:szCs w:val="24"/>
          <w:lang w:val="en-US"/>
        </w:rPr>
        <w:t xml:space="preserve">studies </w:t>
      </w:r>
      <w:r w:rsidRPr="00825E2B">
        <w:rPr>
          <w:rFonts w:ascii="Book Antiqua" w:hAnsi="Book Antiqua" w:cs="Arial"/>
          <w:sz w:val="24"/>
          <w:szCs w:val="24"/>
          <w:lang w:val="en-US"/>
        </w:rPr>
        <w:t>showed</w:t>
      </w:r>
      <w:r w:rsidR="00402896" w:rsidRPr="00825E2B">
        <w:rPr>
          <w:rFonts w:ascii="Book Antiqua" w:hAnsi="Book Antiqua" w:cs="Arial"/>
          <w:sz w:val="24"/>
          <w:szCs w:val="24"/>
          <w:lang w:val="en-US"/>
        </w:rPr>
        <w:t xml:space="preserve"> </w:t>
      </w:r>
      <w:r w:rsidRPr="00825E2B">
        <w:rPr>
          <w:rFonts w:ascii="Book Antiqua" w:hAnsi="Book Antiqua" w:cs="Arial"/>
          <w:sz w:val="24"/>
          <w:szCs w:val="24"/>
          <w:lang w:val="en-US"/>
        </w:rPr>
        <w:t>promising/</w:t>
      </w:r>
      <w:r w:rsidR="00402896" w:rsidRPr="00825E2B">
        <w:rPr>
          <w:rFonts w:ascii="Book Antiqua" w:hAnsi="Book Antiqua" w:cs="Arial"/>
          <w:sz w:val="24"/>
          <w:szCs w:val="24"/>
          <w:lang w:val="en-US"/>
        </w:rPr>
        <w:t>beneficial effects of MGL</w:t>
      </w:r>
      <w:r w:rsidR="0085314F" w:rsidRPr="00825E2B">
        <w:rPr>
          <w:rFonts w:ascii="Book Antiqua" w:hAnsi="Book Antiqua" w:cs="Arial"/>
          <w:sz w:val="24"/>
          <w:szCs w:val="24"/>
          <w:lang w:val="en-US"/>
        </w:rPr>
        <w:t xml:space="preserve"> blockade</w:t>
      </w:r>
      <w:r w:rsidRPr="00825E2B">
        <w:rPr>
          <w:rFonts w:ascii="Book Antiqua" w:hAnsi="Book Antiqua" w:cs="Arial"/>
          <w:sz w:val="24"/>
          <w:szCs w:val="24"/>
          <w:lang w:val="en-US"/>
        </w:rPr>
        <w:t xml:space="preserve"> in </w:t>
      </w:r>
      <w:r w:rsidR="002B3C3C" w:rsidRPr="00825E2B">
        <w:rPr>
          <w:rFonts w:ascii="Book Antiqua" w:hAnsi="Book Antiqua" w:cs="Arial"/>
          <w:sz w:val="24"/>
          <w:szCs w:val="24"/>
          <w:lang w:val="en-US"/>
        </w:rPr>
        <w:t>multiple disease models</w:t>
      </w:r>
      <w:r w:rsidR="00402896" w:rsidRPr="00825E2B">
        <w:rPr>
          <w:rFonts w:ascii="Book Antiqua" w:hAnsi="Book Antiqua" w:cs="Arial"/>
          <w:sz w:val="24"/>
          <w:szCs w:val="24"/>
          <w:lang w:val="en-US"/>
        </w:rPr>
        <w:t xml:space="preserve">, inhibition of this key metabolic enzyme requires cautious evaluation. </w:t>
      </w:r>
      <w:r w:rsidR="00595CD4" w:rsidRPr="00825E2B">
        <w:rPr>
          <w:rFonts w:ascii="Book Antiqua" w:hAnsi="Book Antiqua" w:cs="Arial"/>
          <w:sz w:val="24"/>
          <w:szCs w:val="24"/>
          <w:lang w:val="en-US"/>
        </w:rPr>
        <w:t>On the one hand, t</w:t>
      </w:r>
      <w:r w:rsidR="00680FFB" w:rsidRPr="00825E2B">
        <w:rPr>
          <w:rFonts w:ascii="Book Antiqua" w:hAnsi="Book Antiqua" w:cs="Arial"/>
          <w:sz w:val="24"/>
          <w:szCs w:val="24"/>
          <w:lang w:val="en-US"/>
        </w:rPr>
        <w:t xml:space="preserve">he </w:t>
      </w:r>
      <w:r w:rsidR="00402896" w:rsidRPr="00825E2B">
        <w:rPr>
          <w:rFonts w:ascii="Book Antiqua" w:hAnsi="Book Antiqua" w:cs="Arial"/>
          <w:sz w:val="24"/>
          <w:szCs w:val="24"/>
          <w:lang w:val="en-US"/>
        </w:rPr>
        <w:t>MGL inhibitor named JZL184</w:t>
      </w:r>
      <w:r w:rsidR="00B54859" w:rsidRPr="00825E2B">
        <w:rPr>
          <w:rFonts w:ascii="Book Antiqua" w:hAnsi="Book Antiqua" w:cs="Arial"/>
          <w:sz w:val="24"/>
          <w:szCs w:val="24"/>
          <w:lang w:val="en-US"/>
        </w:rPr>
        <w:t xml:space="preserve"> (</w:t>
      </w:r>
      <w:r w:rsidR="001C37D7" w:rsidRPr="00825E2B">
        <w:rPr>
          <w:rFonts w:ascii="Book Antiqua" w:hAnsi="Book Antiqua" w:cs="Arial"/>
          <w:sz w:val="24"/>
          <w:szCs w:val="24"/>
          <w:lang w:val="en-US"/>
        </w:rPr>
        <w:t xml:space="preserve">firstly characterized </w:t>
      </w:r>
      <w:r w:rsidR="00126620" w:rsidRPr="00825E2B">
        <w:rPr>
          <w:rFonts w:ascii="Book Antiqua" w:hAnsi="Book Antiqua" w:cs="Arial"/>
          <w:sz w:val="24"/>
          <w:szCs w:val="24"/>
          <w:lang w:val="en-US"/>
        </w:rPr>
        <w:t xml:space="preserve">by Long </w:t>
      </w:r>
      <w:r w:rsidR="00126620" w:rsidRPr="00825E2B">
        <w:rPr>
          <w:rFonts w:ascii="Book Antiqua" w:hAnsi="Book Antiqua" w:cs="Arial"/>
          <w:i/>
          <w:sz w:val="24"/>
          <w:szCs w:val="24"/>
          <w:lang w:val="en-US"/>
        </w:rPr>
        <w:t>et al</w:t>
      </w:r>
      <w:r w:rsidR="00C5022A"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{"citationItems":[{"id":"ITEM-1","itemData":{"DOI":"10.1038/nchembio.129","ISSN":"15524469","abstract":"2-Arachidonoylglycerol (2-AG) and anandamide are endocannabinoids that activate the cannabinoid receptors CB1 and CB2. Endocannabinoid signaling is terminated by enzymatic hydrolysis, a process that for anandamide is mediated by fatty acid amide hydrolase (FAAH), and for 2-AG is thought to involve monoacylglycerol lipase (MAGL). FAAH inhibitors produce a select subset of the behavioral effects observed with CB1 agonists, which suggests a functional segregation of endocannabinoid signaling pathways in vivo. Testing this hypothesis, however, requires specific tools to independently block anandamide and 2-AG metabolism. Here, we report a potent and selective inhibitor of MAGL called JZL184 that, upon administration to mice, raises brain 2-AG by eight-fold without altering anandamide. JZL184-treated mice exhibited a broad array of CB1-dependent behavioral effects, including analgesia, hypothermia and hypomotility. These data indicate that 2-AG endogenously modulates several behavioral processes classically associated with the pharmacology of cannabinoids and point to overlapping and unique functions for 2-AG and anandamide in vivo. © 2009 Nature America, Inc. All rights reserved.","author":[{"dropping-particle":"","family":"Long","given":"Jonathan Z.","non-dropping-particle":"","parse-names":false,"suffix":""},{"dropping-particle":"","family":"Li","given":"Weiwei","non-dropping-particle":"","parse-names":false,"suffix":""},{"dropping-particle":"","family":"Booker","given":"Lamont","non-dropping-particle":"","parse-names":false,"suffix":""},{"dropping-particle":"","family":"Burston","given":"James J.","non-dropping-particle":"","parse-names":false,"suffix":""},{"dropping-particle":"","family":"Kinsey","given":"Steven G.","non-dropping-particle":"","parse-names":false,"suffix":""},{"dropping-particle":"","family":"Schlosburg","given":"Joel E.","non-dropping-particle":"","parse-names":false,"suffix":""},{"dropping-particle":"","family":"Pavón","given":"Franciso J.","non-dropping-particle":"","parse-names":false,"suffix":""},{"dropping-particle":"","family":"Serrano","given":"Antonia M.","non-dropping-particle":"","parse-names":false,"suffix":""},{"dropping-particle":"","family":"Selley","given":"Dana E.","non-dropping-particle":"","parse-names":false,"suffix":""},{"dropping-particle":"","family":"Parsons","given":"Loren H.","non-dropping-particle":"","parse-names":false,"suffix":""},{"dropping-particle":"","family":"Lichtman","given":"Aron H.","non-dropping-particle":"","parse-names":false,"suffix":""},{"dropping-particle":"","family":"Cravatt","given":"Benjamin F.","non-dropping-particle":"","parse-names":false,"suffix":""}],"container-title":"Nature Chemical Biology","id":"ITEM-1","issued":{"date-parts":[["2009"]]},"title":"Selective blockade of 2-arachidonoylglycerol hydrolysis produces cannabinoid behavioral effects","type":"article-journal"},"uris":["http://www.mendeley.com/documents/?uuid=05f0c77d-e5e2-4ccc-982c-5af6400dd720"]}],"mendeley":{"formattedCitation":"&lt;sup&gt;[47]&lt;/sup&gt;","plainTextFormattedCitation":"[47]","previouslyFormattedCitation":"&lt;sup&gt;[46]&lt;/sup&gt;"},"properties":{"noteIndex":0},"schema":"https://github.com/citation-style-language/schema/raw/master/csl-citation.json"}</w:instrText>
      </w:r>
      <w:r w:rsidR="00C5022A"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[47]</w:t>
      </w:r>
      <w:r w:rsidR="00C5022A" w:rsidRPr="00825E2B">
        <w:rPr>
          <w:rFonts w:ascii="Book Antiqua" w:hAnsi="Book Antiqua" w:cs="Arial"/>
          <w:sz w:val="24"/>
          <w:szCs w:val="24"/>
          <w:lang w:val="en-US"/>
        </w:rPr>
        <w:fldChar w:fldCharType="end"/>
      </w:r>
      <w:r w:rsidR="00B54859" w:rsidRPr="00825E2B">
        <w:rPr>
          <w:rFonts w:ascii="Book Antiqua" w:hAnsi="Book Antiqua" w:cs="Arial"/>
          <w:sz w:val="24"/>
          <w:szCs w:val="24"/>
          <w:lang w:val="en-US"/>
        </w:rPr>
        <w:t>)</w:t>
      </w:r>
      <w:r w:rsidR="00211D8F" w:rsidRPr="00825E2B">
        <w:rPr>
          <w:rFonts w:ascii="Book Antiqua" w:hAnsi="Book Antiqua" w:cs="Arial"/>
          <w:sz w:val="24"/>
          <w:szCs w:val="24"/>
          <w:lang w:val="en-US"/>
        </w:rPr>
        <w:t xml:space="preserve"> has been shown to</w:t>
      </w:r>
      <w:r w:rsidR="00402896" w:rsidRPr="00825E2B">
        <w:rPr>
          <w:rFonts w:ascii="Book Antiqua" w:hAnsi="Book Antiqua" w:cs="Arial"/>
          <w:sz w:val="24"/>
          <w:szCs w:val="24"/>
          <w:lang w:val="en-US"/>
        </w:rPr>
        <w:t xml:space="preserve"> have low specificity and </w:t>
      </w:r>
      <w:r w:rsidR="00211D8F" w:rsidRPr="00825E2B">
        <w:rPr>
          <w:rFonts w:ascii="Book Antiqua" w:hAnsi="Book Antiqua" w:cs="Arial"/>
          <w:sz w:val="24"/>
          <w:szCs w:val="24"/>
          <w:lang w:val="en-US"/>
        </w:rPr>
        <w:t>thus blocking</w:t>
      </w:r>
      <w:r w:rsidR="00402896" w:rsidRPr="00825E2B">
        <w:rPr>
          <w:rFonts w:ascii="Book Antiqua" w:hAnsi="Book Antiqua" w:cs="Arial"/>
          <w:sz w:val="24"/>
          <w:szCs w:val="24"/>
          <w:lang w:val="en-US"/>
        </w:rPr>
        <w:t xml:space="preserve"> activities of other hydrolases such as fatty acid amide hydrolase and carboxylesterases. </w:t>
      </w:r>
      <w:r w:rsidR="00595CD4" w:rsidRPr="00825E2B">
        <w:rPr>
          <w:rFonts w:ascii="Book Antiqua" w:hAnsi="Book Antiqua" w:cs="Arial"/>
          <w:sz w:val="24"/>
          <w:szCs w:val="24"/>
          <w:lang w:val="en-US"/>
        </w:rPr>
        <w:t>On the other hand</w:t>
      </w:r>
      <w:r w:rsidR="00402896" w:rsidRPr="00825E2B">
        <w:rPr>
          <w:rFonts w:ascii="Book Antiqua" w:hAnsi="Book Antiqua" w:cs="Arial"/>
          <w:sz w:val="24"/>
          <w:szCs w:val="24"/>
          <w:lang w:val="en-US"/>
        </w:rPr>
        <w:t xml:space="preserve">, </w:t>
      </w:r>
      <w:r w:rsidR="007645CA" w:rsidRPr="00825E2B">
        <w:rPr>
          <w:rFonts w:ascii="Book Antiqua" w:hAnsi="Book Antiqua" w:cs="Arial"/>
          <w:sz w:val="24"/>
          <w:szCs w:val="24"/>
          <w:lang w:val="en-US"/>
        </w:rPr>
        <w:t xml:space="preserve">another inhibitor called </w:t>
      </w:r>
      <w:r w:rsidR="00402896" w:rsidRPr="00825E2B">
        <w:rPr>
          <w:rFonts w:ascii="Book Antiqua" w:hAnsi="Book Antiqua" w:cs="Arial"/>
          <w:sz w:val="24"/>
          <w:szCs w:val="24"/>
          <w:lang w:val="en-US"/>
        </w:rPr>
        <w:t>MJN110</w:t>
      </w:r>
      <w:r w:rsidR="000034EC" w:rsidRPr="00825E2B">
        <w:rPr>
          <w:rFonts w:ascii="Book Antiqua" w:hAnsi="Book Antiqua" w:cs="Arial"/>
          <w:sz w:val="24"/>
          <w:szCs w:val="24"/>
          <w:lang w:val="en-US"/>
        </w:rPr>
        <w:t xml:space="preserve"> was shown to</w:t>
      </w:r>
      <w:r w:rsidR="007645CA" w:rsidRPr="00825E2B">
        <w:rPr>
          <w:rFonts w:ascii="Book Antiqua" w:hAnsi="Book Antiqua" w:cs="Arial"/>
          <w:sz w:val="24"/>
          <w:szCs w:val="24"/>
          <w:lang w:val="en-US"/>
        </w:rPr>
        <w:t xml:space="preserve"> ha</w:t>
      </w:r>
      <w:r w:rsidR="000034EC" w:rsidRPr="00825E2B">
        <w:rPr>
          <w:rFonts w:ascii="Book Antiqua" w:hAnsi="Book Antiqua" w:cs="Arial"/>
          <w:sz w:val="24"/>
          <w:szCs w:val="24"/>
          <w:lang w:val="en-US"/>
        </w:rPr>
        <w:t>ve</w:t>
      </w:r>
      <w:r w:rsidR="00D7344E" w:rsidRPr="00825E2B">
        <w:rPr>
          <w:rFonts w:ascii="Book Antiqua" w:hAnsi="Book Antiqua" w:cs="Arial"/>
          <w:sz w:val="24"/>
          <w:szCs w:val="24"/>
          <w:lang w:val="en-US"/>
        </w:rPr>
        <w:t xml:space="preserve"> less activity towards other serine hydrolase systems, also being more eff</w:t>
      </w:r>
      <w:r w:rsidR="003E680F" w:rsidRPr="00825E2B">
        <w:rPr>
          <w:rFonts w:ascii="Book Antiqua" w:hAnsi="Book Antiqua" w:cs="Arial"/>
          <w:sz w:val="24"/>
          <w:szCs w:val="24"/>
          <w:lang w:val="en-US"/>
        </w:rPr>
        <w:t>ective</w:t>
      </w:r>
      <w:r w:rsidR="00D7344E" w:rsidRPr="00825E2B">
        <w:rPr>
          <w:rFonts w:ascii="Book Antiqua" w:hAnsi="Book Antiqua" w:cs="Arial"/>
          <w:sz w:val="24"/>
          <w:szCs w:val="24"/>
          <w:lang w:val="en-US"/>
        </w:rPr>
        <w:t xml:space="preserve"> at enhancing 2-AG levels in the brain than JZL184</w:t>
      </w:r>
      <w:r w:rsidR="00C5022A"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{"citationItems":[{"id":"ITEM-1","itemData":{"DOI":"10.1016/j.chembiol.2009.05.009","ISSN":"10745521","abstract":"Monoacylglycerol lipase (MAGL) is a principal degradative enzyme for the endocannabinoid 2-arachidonoylglycerol (2-AG). We recently reported a piperidine carbamate, JZL184, that inhibits MAGL with high potency and selectivity. Here, we describe a comprehensive mechanistic characterization of JZL184. We provide evidence that JZL184 irreversibly inhibits MAGL via carbamoylation of the enzyme's serine nucleophile. Functional proteomic analysis of mice treated with JZL184 revealed that this inhibitor maintains good selectivity for MAGL across a wide range of central and peripheral tissues. Interestingly, MAGL blockade produced marked, tissue-specific differences in monoglyceride metabolism, with brain showing the most dramatic elevations in 2-AG and peripheral tissues often showing greater changes in other monoglycerides. Collectively, these studies indicate that MAGL exerts tissue-dependent control over endocannabinoid and monoglyceride metabolism and designate JZL184 as a selective tool to characterize the functions of MAGL in vivo. © 2009 Elsevier Ltd. All rights reserved.","author":[{"dropping-particle":"","family":"Long","given":"Jonathan Z.","non-dropping-particle":"","parse-names":false,"suffix":""},{"dropping-particle":"","family":"Nomura","given":"Daniel K.","non-dropping-particle":"","parse-names":false,"suffix":""},{"dropping-particle":"","family":"Cravatt","given":"Benjamin F.","non-dropping-particle":"","parse-names":false,"suffix":""}],"container-title":"Chemistry and Biology","id":"ITEM-1","issued":{"date-parts":[["2009"]]},"title":"Characterization of Monoacylglycerol Lipase Inhibition Reveals Differences in Central and Peripheral Endocannabinoid Metabolism","type":"article-journal"},"uris":["http://www.mendeley.com/documents/?uuid=384b8cf5-b82f-435c-a54a-7f993c1805e1"]},{"id":"ITEM-2","itemData":{"DOI":"10.1021/cn400116z","ISSN":"19487193","PMID":"23731016","abstract":"Monoacylglycerol lipase (MAGL) is a principal metabolic enzyme responsible for hydrolyzing the endogenous cannabinoid (endocannabinoid) 2-arachidonoylglycerol (2-AG). Selective inhibitors of MAGL offer valuable probes to further understand the enzyme's function in biological systems and may lead to drugs for treating a variety of diseases, including psychiatric disorders, neuroinflammation, and pain. N-Hydroxysuccinimidyl (NHS) carbamates have recently been identified as a promising class of serine hydrolase inhibitors that shows minimal cross-reactivity with other proteins in the proteome. Here, we explore NHS carbamates more broadly and demonstrate their potential as inhibitors of endocannabinoid hydrolases and additional enzymes from the serine hydrolase class. We extensively characterize an NHS carbamate 1a (MJN110) as a potent, selective, and in-vivo-active MAGL inhibitor. Finally, we demonstrate that MJN110 alleviates mechanical allodynia in a rat model of diabetic neuropathy, marking NHS carbamates as a promising class of MAGL inhibitors. © 2013 American Chemical Society.","author":[{"dropping-particle":"","family":"Niphakis","given":"Micah J.","non-dropping-particle":"","parse-names":false,"suffix":""},{"dropping-particle":"","family":"Cognetta","given":"Armand B.","non-dropping-particle":"","parse-names":false,"suffix":""},{"dropping-particle":"","family":"Chang","given":"Jae Won","non-dropping-particle":"","parse-names":false,"suffix":""},{"dropping-particle":"","family":"Buczynski","given":"Matthew W.","non-dropping-particle":"","parse-names":false,"suffix":""},{"dropping-particle":"","family":"Parsons","given":"Loren H.","non-dropping-particle":"","parse-names":false,"suffix":""},{"dropping-particle":"","family":"Byrne","given":"Frederika","non-dropping-particle":"","parse-names":false,"suffix":""},{"dropping-particle":"","family":"Burston","given":"James J.","non-dropping-particle":"","parse-names":false,"suffix":""},{"dropping-particle":"","family":"Chapman","given":"Victoria","non-dropping-particle":"","parse-names":false,"suffix":""},{"dropping-particle":"","family":"Cravatt","given":"Benjamin F.","non-dropping-particle":"","parse-names":false,"suffix":""}],"container-title":"ACS Chemical Neuroscience","id":"ITEM-2","issued":{"date-parts":[["2013"]]},"title":"Evaluation of NHS carbamates as a potent and selective class of endocannabinoid hydrolase inhibitors","type":"article-journal"},"uris":["http://www.mendeley.com/documents/?uuid=1de8ce3f-495d-47bd-a053-404f42d765f9"]}],"mendeley":{"formattedCitation":"&lt;sup&gt;[48,49]&lt;/sup&gt;","plainTextFormattedCitation":"[48,49]","previouslyFormattedCitation":"&lt;sup&gt;[47,48]&lt;/sup&gt;"},"properties":{"noteIndex":0},"schema":"https://github.com/citation-style-language/schema/raw/master/csl-citation.json"}</w:instrText>
      </w:r>
      <w:r w:rsidR="00C5022A"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[48,49]</w:t>
      </w:r>
      <w:r w:rsidR="00C5022A" w:rsidRPr="00825E2B">
        <w:rPr>
          <w:rFonts w:ascii="Book Antiqua" w:hAnsi="Book Antiqua" w:cs="Arial"/>
          <w:sz w:val="24"/>
          <w:szCs w:val="24"/>
          <w:lang w:val="en-US"/>
        </w:rPr>
        <w:fldChar w:fldCharType="end"/>
      </w:r>
      <w:r w:rsidR="00D7344E" w:rsidRPr="00825E2B">
        <w:rPr>
          <w:rFonts w:ascii="Book Antiqua" w:hAnsi="Book Antiqua" w:cs="Arial"/>
          <w:sz w:val="24"/>
          <w:szCs w:val="24"/>
          <w:lang w:val="en-US"/>
        </w:rPr>
        <w:t>.</w:t>
      </w:r>
      <w:r w:rsidR="00AE2545" w:rsidRPr="00825E2B">
        <w:rPr>
          <w:rFonts w:ascii="Book Antiqua" w:hAnsi="Book Antiqua" w:cs="Arial"/>
          <w:sz w:val="24"/>
          <w:szCs w:val="24"/>
          <w:lang w:val="en-US"/>
        </w:rPr>
        <w:t xml:space="preserve"> </w:t>
      </w:r>
      <w:r w:rsidR="007B2D9D" w:rsidRPr="00825E2B">
        <w:rPr>
          <w:rFonts w:ascii="Book Antiqua" w:hAnsi="Book Antiqua" w:cs="Arial"/>
          <w:sz w:val="24"/>
          <w:szCs w:val="24"/>
          <w:lang w:val="en-US"/>
        </w:rPr>
        <w:t>In keeping with this evidence, both inhibitors are currently used in preclinical studies</w:t>
      </w:r>
      <w:r w:rsidR="00A3407F" w:rsidRPr="00825E2B">
        <w:rPr>
          <w:rFonts w:ascii="Book Antiqua" w:hAnsi="Book Antiqua" w:cs="Arial"/>
          <w:sz w:val="24"/>
          <w:szCs w:val="24"/>
          <w:lang w:val="en-US"/>
        </w:rPr>
        <w:t xml:space="preserve"> and </w:t>
      </w:r>
      <w:r w:rsidR="00A3407F" w:rsidRPr="00825E2B">
        <w:rPr>
          <w:rFonts w:ascii="Book Antiqua" w:hAnsi="Book Antiqua" w:cs="Arial"/>
          <w:i/>
          <w:iCs/>
          <w:sz w:val="24"/>
          <w:szCs w:val="24"/>
          <w:lang w:val="en-US"/>
        </w:rPr>
        <w:t>in vitro</w:t>
      </w:r>
      <w:r w:rsidR="00A3407F" w:rsidRPr="00825E2B">
        <w:rPr>
          <w:rFonts w:ascii="Book Antiqua" w:hAnsi="Book Antiqua" w:cs="Arial"/>
          <w:sz w:val="24"/>
          <w:szCs w:val="24"/>
          <w:lang w:val="en-US"/>
        </w:rPr>
        <w:t xml:space="preserve"> systems to explore the effects of MGL inhibition. </w:t>
      </w:r>
      <w:r w:rsidR="000E3A09" w:rsidRPr="00825E2B">
        <w:rPr>
          <w:rFonts w:ascii="Book Antiqua" w:hAnsi="Book Antiqua" w:cs="Arial"/>
          <w:sz w:val="24"/>
          <w:szCs w:val="24"/>
          <w:lang w:val="en-US"/>
        </w:rPr>
        <w:t>In a recent work, a new candidate JNJ-42226314 was identified as a reversible and highly selective MGL inhibitor</w:t>
      </w:r>
      <w:r w:rsidR="00650D5E" w:rsidRPr="00825E2B">
        <w:rPr>
          <w:rFonts w:ascii="Book Antiqua" w:hAnsi="Book Antiqua" w:cs="Arial"/>
          <w:sz w:val="24"/>
          <w:szCs w:val="24"/>
          <w:lang w:val="en-US"/>
        </w:rPr>
        <w:t xml:space="preserve"> and several other approaches reported developments of positron emission tomography radioligand inhibitors for MGL such as PF-06809247</w:t>
      </w:r>
      <w:r w:rsidR="001A7124"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{"citationItems":[{"id":"ITEM-1","itemData":{"DOI":"10.1124/jpet.119.262139","ISSN":"15210103","abstract":"The serine hydrolase monoacylglycerol lipase (MAGL) is the rate-limiting enzyme responsible for the degradation of the endocannabinoid 2-arachidonoylglycerol (2-AG) into arachidonic acid and glycerol. Inhibition of 2-AG degradation leads to elevation of 2-AG, the most abundant endogenous agonist of the cannabinoid receptors (CBs) CB1 and CB2. Activation of these receptors has demonstrated beneficial effects on mood, appetite, pain, and inflammation. Therefore, MAGL inhibitors have the potential to produce therapeutic effects in a vast array of complex human diseases. The present report describes the pharmacologic characterization of [1-(4-fluorophenyl)indol-5-yl]-[3-[4-(thiazole-2-carbonyl)piperazin-1-yl]azetidin-1-yl]methanone (JNJ-42226314), a reversible and highly selective MAGL inhibitor. JNJ-42226314 inhibits MAGL in a competitive mode with respect to the 2-AG substrate. In rodent brain, the compound time- and dose-dependently bound to MAGL, indirectly led to CB1 occupancy by raising 2-AG levels, and raised norepinephrine levels in cortex. In vivo, the compound exhibited antinociceptive efficacy in both the rat complete Freund's adjuvant-induced radiant heat hypersensitivity and chronic constriction injury-induced cold hypersensitivity models of inflammatory and neuropathic pain, respectively. Though 30 mg/kg induced hippocampal synaptic depression, altered sleep onset, and decreased electroencephalogram gamma power, 3 mg/kg still provided approximately 80% enzyme occupancy, significantly increased 2-AG and norepinephrine levels, and produced neuropathic antinociception without synaptic depression or decreased gamma power. Thus, it is anticipated that the profile exhibited by this compound will allow for precise modulation of 2-AG levels in vivo, supporting potential therapeutic application in several central nervous system disorders. SIGNIFICANCE STATEMENT: Potentiation of endocannabinoid signaling activity via inhibition of the serine hydrolase monoacylglycerol lipase (MAGL) is an appealing strategy in the development of treatments for several disorders, including ones related to mood, pain, and inflammation. [1-(4-Fluorophenyl)indol-5-yl]-[3-[4-(thiazole-2-carbonyl)piperazin-1-yl]azetidin-1-yl]methanone is presented in this report to be a novel, potent, selective, and reversible noncovalent MAGL inhibitor that demonstrates dose-dependent enhancement of the major endocannabinoid 2-arachidonoylglycerol as well as efficacy in models of neuropathic …","author":[{"dropping-particle":"","family":"Wyatt","given":"Ryan M.","non-dropping-particle":"","parse-names":false,"suffix":""},{"dropping-particle":"","family":"Fraser","given":"Ian","non-dropping-particle":"","parse-names":false,"suffix":""},{"dropping-particle":"","family":"Welty","given":"Natalie","non-dropping-particle":"","parse-names":false,"suffix":""},{"dropping-particle":"","family":"Lord","given":"Brian","non-dropping-particle":"","parse-names":false,"suffix":""},{"dropping-particle":"","family":"Wennerholm","given":"Michelle","non-dropping-particle":"","parse-names":false,"suffix":""},{"dropping-particle":"","family":"Sutton","given":"Steven","non-dropping-particle":"","parse-names":false,"suffix":""},{"dropping-particle":"","family":"Ameriks","given":"Michael K.","non-dropping-particle":"","parse-names":false,"suffix":""},{"dropping-particle":"","family":"Dugovic","given":"Christine","non-dropping-particle":"","parse-names":false,"suffix":""},{"dropping-particle":"","family":"Yun","given":"Sujin","non-dropping-particle":"","parse-names":false,"suffix":""},{"dropping-particle":"","family":"White","given":"Allison","non-dropping-particle":"","parse-names":false,"suffix":""},{"dropping-particle":"","family":"Nguyen","given":"Leslie","non-dropping-particle":"","parse-names":false,"suffix":""},{"dropping-particle":"","family":"Koudriakova","given":"Tatiana","non-dropping-particle":"","parse-names":false,"suffix":""},{"dropping-particle":"","family":"Tian","given":"Gaochao","non-dropping-particle":"","parse-names":false,"suffix":""},{"dropping-particle":"","family":"Suarez","given":"Javier","non-dropping-particle":"","parse-names":false,"suffix":""},{"dropping-particle":"","family":"Szewczuk","given":"Lawrence","non-dropping-particle":"","parse-names":false,"suffix":""},{"dropping-particle":"","family":"Bonnette","given":"William","non-dropping-particle":"","parse-names":false,"suffix":""},{"dropping-particle":"","family":"Ahn","given":"Kay","non-dropping-particle":"","parse-names":false,"suffix":""},{"dropping-particle":"","family":"Ghosh","given":"Brahma","non-dropping-particle":"","parse-names":false,"suffix":""},{"dropping-particle":"","family":"Flores","given":"Christopher M.","non-dropping-particle":"","parse-names":false,"suffix":""},{"dropping-particle":"","family":"Connolly","given":"Peter J.","non-dropping-particle":"","parse-names":false,"suffix":""},{"dropping-particle":"","family":"Zhu","given":"Bin","non-dropping-particle":"","parse-names":false,"suffix":""},{"dropping-particle":"","family":"Macielag","given":"Mark J.","non-dropping-particle":"","parse-names":false,"suffix":""},{"dropping-particle":"","family":"Brandt","given":"Michael R.","non-dropping-particle":"","parse-names":false,"suffix":""},{"dropping-particle":"","family":"Chevalier","given":"Kristen","non-dropping-particle":"","parse-names":false,"suffix":""},{"dropping-particle":"","family":"Zhang","given":"Sui Po","non-dropping-particle":"","parse-names":false,"suffix":""},{"dropping-particle":"","family":"Lovenberg","given":"Timothy","non-dropping-particle":"","parse-names":false,"suffix":""},{"dropping-particle":"","family":"Bonaventure","given":"Pascal","non-dropping-particle":"","parse-names":false,"suffix":""}],"container-title":"The Journal of pharmacology and experimental therapeutics","id":"ITEM-1","issued":{"date-parts":[["2020"]]},"title":"Pharmacologic Characterization of JNJ-42226314, [1-(4-Fluorophenyl)indol-5-yl]-[3-[4-(thiazole-2-carbonyl)piperazin-1-yl]azetidin-1-yl]methanone, a Reversible, Selective, and Potent Monoacylglycerol Lipase Inhibitor","type":"article-journal"},"uris":["http://www.mendeley.com/documents/?uuid=99a9ba27-689a-4a04-8e4b-cadeafad1808"]},{"id":"ITEM-2","itemData":{"DOI":"10.1021/acs.jmedchem.9b00847","ISSN":"15204804","abstract":"Monoacylglycerol lipase (MAGL), a serine hydrolase extensively expressed throughout the brain, serves as a key gatekeeper regulating the tone of endocannabinoid signaling. Preclinically, inhibition of MAGL is known to provide therapeutic benefits for a number of neurological disorders. The availability of a MAGL-specific positron emission tomography (PET) ligand would considerably facilitate the development and clinical characterization of MAGL inhibitors via noninvasive and quantitative PET imaging. Herein, we report the identification of the potent and selective irreversible MAGL inhibitor 7 (PF-06809247) as a suitable radioligand lead, which upon radiolabeling was found to exhibit a high level of MAGL specificity; this enabled cross-species measurement of MAGL brain expression (Bmax), assessment of in vivo binding in the rat, and nonhuman primate PET imaging.","author":[{"dropping-particle":"","family":"Zhang","given":"Lei","non-dropping-particle":"","parse-names":false,"suffix":""},{"dropping-particle":"","family":"Butler","given":"Christopher R.","non-dropping-particle":"","parse-names":false,"suffix":""},{"dropping-particle":"","family":"Maresca","given":"Kevin P.","non-dropping-particle":"","parse-names":false,"suffix":""},{"dropping-particle":"","family":"Takano","given":"Akihiro","non-dropping-particle":"","parse-names":false,"suffix":""},{"dropping-particle":"","family":"Nag","given":"Sangram","non-dropping-particle":"","parse-names":false,"suffix":""},{"dropping-particle":"","family":"Jia","given":"Zhisheng","non-dropping-particle":"","parse-names":false,"suffix":""},{"dropping-particle":"","family":"Arakawa","given":"Ryosuke","non-dropping-particle":"","parse-names":false,"suffix":""},{"dropping-particle":"","family":"Piro","given":"Justin R.","non-dropping-particle":"","parse-names":false,"suffix":""},{"dropping-particle":"","family":"Samad","given":"Tarek","non-dropping-particle":"","parse-names":false,"suffix":""},{"dropping-particle":"","family":"Smith","given":"Deborah L.","non-dropping-particle":"","parse-names":false,"suffix":""},{"dropping-particle":"","family":"Nason","given":"Deane M.","non-dropping-particle":"","parse-names":false,"suffix":""},{"dropping-particle":"","family":"O'Neil","given":"Steven","non-dropping-particle":"","parse-names":false,"suffix":""},{"dropping-particle":"","family":"McAllister","given":"Laura","non-dropping-particle":"","parse-names":false,"suffix":""},{"dropping-particle":"","family":"Schildknegt","given":"Klaas","non-dropping-particle":"","parse-names":false,"suffix":""},{"dropping-particle":"","family":"Trapa","given":"Patrick","non-dropping-particle":"","parse-names":false,"suffix":""},{"dropping-particle":"","family":"McCarthy","given":"Timothy J.","non-dropping-particle":"","parse-names":false,"suffix":""},{"dropping-particle":"","family":"Villalobos","given":"Anabella","non-dropping-particle":"","parse-names":false,"suffix":""},{"dropping-particle":"","family":"Halldin","given":"Christer","non-dropping-particle":"","parse-names":false,"suffix":""}],"container-title":"Journal of Medicinal Chemistry","id":"ITEM-2","issued":{"date-parts":[["2019"]]},"title":"Identification and Development of an Irreversible Monoacylglycerol Lipase (MAGL) Positron Emission Tomography (PET) Radioligand with High Specificity","type":"article-journal"},"uris":["http://www.mendeley.com/documents/?uuid=1e246f47-8191-4747-ad2b-a2ec6d7d5792"]}],"mendeley":{"formattedCitation":"&lt;sup&gt;[50,51]&lt;/sup&gt;","plainTextFormattedCitation":"[50,51]","previouslyFormattedCitation":"&lt;sup&gt;[49,50]&lt;/sup&gt;"},"properties":{"noteIndex":0},"schema":"https://github.com/citation-style-language/schema/raw/master/csl-citation.json"}</w:instrText>
      </w:r>
      <w:r w:rsidR="001A7124"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[50,51]</w:t>
      </w:r>
      <w:r w:rsidR="001A7124" w:rsidRPr="00825E2B">
        <w:rPr>
          <w:rFonts w:ascii="Book Antiqua" w:hAnsi="Book Antiqua" w:cs="Arial"/>
          <w:sz w:val="24"/>
          <w:szCs w:val="24"/>
          <w:lang w:val="en-US"/>
        </w:rPr>
        <w:fldChar w:fldCharType="end"/>
      </w:r>
      <w:r w:rsidR="00650D5E" w:rsidRPr="00825E2B">
        <w:rPr>
          <w:rFonts w:ascii="Book Antiqua" w:hAnsi="Book Antiqua" w:cs="Arial"/>
          <w:sz w:val="24"/>
          <w:szCs w:val="24"/>
          <w:lang w:val="en-US"/>
        </w:rPr>
        <w:t>.</w:t>
      </w:r>
      <w:r w:rsidR="00650D5E" w:rsidRPr="00825E2B">
        <w:rPr>
          <w:rFonts w:ascii="Book Antiqua" w:hAnsi="Book Antiqua"/>
          <w:sz w:val="24"/>
          <w:szCs w:val="24"/>
        </w:rPr>
        <w:t xml:space="preserve"> </w:t>
      </w:r>
    </w:p>
    <w:p w14:paraId="634ECB8D" w14:textId="7747E152" w:rsidR="001931CB" w:rsidRPr="00825E2B" w:rsidRDefault="00AE2545" w:rsidP="00A921B8">
      <w:pPr>
        <w:adjustRightInd w:val="0"/>
        <w:snapToGrid w:val="0"/>
        <w:spacing w:after="0" w:line="360" w:lineRule="auto"/>
        <w:ind w:firstLineChars="100" w:firstLine="240"/>
        <w:jc w:val="both"/>
        <w:rPr>
          <w:rFonts w:ascii="Book Antiqua" w:hAnsi="Book Antiqua" w:cs="Arial"/>
          <w:sz w:val="24"/>
          <w:szCs w:val="24"/>
          <w:lang w:val="en-US" w:eastAsia="zh-CN"/>
        </w:rPr>
      </w:pPr>
      <w:r w:rsidRPr="00825E2B">
        <w:rPr>
          <w:rFonts w:ascii="Book Antiqua" w:hAnsi="Book Antiqua" w:cs="Arial"/>
          <w:sz w:val="24"/>
          <w:szCs w:val="24"/>
          <w:lang w:val="en-US"/>
        </w:rPr>
        <w:t>In summary,</w:t>
      </w:r>
      <w:r w:rsidR="000034EC" w:rsidRPr="00825E2B">
        <w:rPr>
          <w:rFonts w:ascii="Book Antiqua" w:hAnsi="Book Antiqua" w:cs="Arial"/>
          <w:sz w:val="24"/>
          <w:szCs w:val="24"/>
          <w:lang w:val="en-US"/>
        </w:rPr>
        <w:t xml:space="preserve"> MGL </w:t>
      </w:r>
      <w:r w:rsidR="002C24BF" w:rsidRPr="00825E2B">
        <w:rPr>
          <w:rFonts w:ascii="Book Antiqua" w:hAnsi="Book Antiqua" w:cs="Arial"/>
          <w:sz w:val="24"/>
          <w:szCs w:val="24"/>
          <w:lang w:val="en-US"/>
        </w:rPr>
        <w:t xml:space="preserve">appears to </w:t>
      </w:r>
      <w:r w:rsidR="000034EC" w:rsidRPr="00825E2B">
        <w:rPr>
          <w:rFonts w:ascii="Book Antiqua" w:hAnsi="Book Antiqua" w:cs="Arial"/>
          <w:sz w:val="24"/>
          <w:szCs w:val="24"/>
          <w:lang w:val="en-US"/>
        </w:rPr>
        <w:t>serve as key metabolic hub for several pathways</w:t>
      </w:r>
      <w:r w:rsidRPr="00825E2B">
        <w:rPr>
          <w:rFonts w:ascii="Book Antiqua" w:hAnsi="Book Antiqua" w:cs="Arial"/>
          <w:sz w:val="24"/>
          <w:szCs w:val="24"/>
          <w:lang w:val="en-US"/>
        </w:rPr>
        <w:t xml:space="preserve"> </w:t>
      </w:r>
      <w:r w:rsidR="006B6BD1" w:rsidRPr="00825E2B">
        <w:rPr>
          <w:rFonts w:ascii="Book Antiqua" w:hAnsi="Book Antiqua" w:cs="Arial"/>
          <w:sz w:val="24"/>
          <w:szCs w:val="24"/>
          <w:lang w:val="en-US"/>
        </w:rPr>
        <w:t xml:space="preserve">within </w:t>
      </w:r>
      <w:r w:rsidRPr="00825E2B">
        <w:rPr>
          <w:rFonts w:ascii="Book Antiqua" w:hAnsi="Book Antiqua" w:cs="Arial"/>
          <w:sz w:val="24"/>
          <w:szCs w:val="24"/>
          <w:lang w:val="en-US"/>
        </w:rPr>
        <w:t>chronic liver disease</w:t>
      </w:r>
      <w:r w:rsidR="00BC6F5D" w:rsidRPr="00825E2B">
        <w:rPr>
          <w:rFonts w:ascii="Book Antiqua" w:hAnsi="Book Antiqua" w:cs="Arial"/>
          <w:sz w:val="24"/>
          <w:szCs w:val="24"/>
          <w:lang w:val="en-US"/>
        </w:rPr>
        <w:t xml:space="preserve"> </w:t>
      </w:r>
      <w:r w:rsidR="000D2AD4" w:rsidRPr="00825E2B">
        <w:rPr>
          <w:rFonts w:ascii="Book Antiqua" w:hAnsi="Book Antiqua" w:cs="Arial"/>
          <w:sz w:val="24"/>
          <w:szCs w:val="24"/>
          <w:lang w:val="en-US"/>
        </w:rPr>
        <w:t xml:space="preserve">such as </w:t>
      </w:r>
      <w:r w:rsidR="00BC6F5D" w:rsidRPr="00825E2B">
        <w:rPr>
          <w:rFonts w:ascii="Book Antiqua" w:hAnsi="Book Antiqua" w:cs="Arial"/>
          <w:sz w:val="24"/>
          <w:szCs w:val="24"/>
          <w:lang w:val="en-US"/>
        </w:rPr>
        <w:t>sclerosing cholangitis</w:t>
      </w:r>
      <w:r w:rsidR="000D2AD4" w:rsidRPr="00825E2B">
        <w:rPr>
          <w:rFonts w:ascii="Book Antiqua" w:hAnsi="Book Antiqua" w:cs="Arial"/>
          <w:sz w:val="24"/>
          <w:szCs w:val="24"/>
          <w:lang w:val="en-US"/>
        </w:rPr>
        <w:t xml:space="preserve">, </w:t>
      </w:r>
      <w:r w:rsidR="006069C5" w:rsidRPr="00825E2B">
        <w:rPr>
          <w:rFonts w:ascii="Book Antiqua" w:hAnsi="Book Antiqua" w:cs="Arial"/>
          <w:bCs/>
          <w:sz w:val="24"/>
          <w:szCs w:val="24"/>
          <w:lang w:val="en-US"/>
        </w:rPr>
        <w:t>non-alcoholic fatty liver disease</w:t>
      </w:r>
      <w:r w:rsidR="00BC6F5D" w:rsidRPr="00825E2B">
        <w:rPr>
          <w:rFonts w:ascii="Book Antiqua" w:hAnsi="Book Antiqua" w:cs="Arial"/>
          <w:sz w:val="24"/>
          <w:szCs w:val="24"/>
          <w:lang w:val="en-US"/>
        </w:rPr>
        <w:t>,</w:t>
      </w:r>
      <w:r w:rsidR="000D2AD4" w:rsidRPr="00825E2B">
        <w:rPr>
          <w:rFonts w:ascii="Book Antiqua" w:hAnsi="Book Antiqua" w:cs="Arial"/>
          <w:sz w:val="24"/>
          <w:szCs w:val="24"/>
          <w:lang w:val="en-US"/>
        </w:rPr>
        <w:t xml:space="preserve"> fibrosis and HCC</w:t>
      </w:r>
      <w:r w:rsidR="00D16BE7" w:rsidRPr="00825E2B">
        <w:rPr>
          <w:rFonts w:ascii="Book Antiqua" w:hAnsi="Book Antiqua" w:cs="Arial"/>
          <w:sz w:val="24"/>
          <w:szCs w:val="24"/>
          <w:lang w:val="en-US"/>
        </w:rPr>
        <w:t xml:space="preserve"> </w:t>
      </w:r>
      <w:r w:rsidR="000034EC" w:rsidRPr="00825E2B">
        <w:rPr>
          <w:rFonts w:ascii="Book Antiqua" w:hAnsi="Book Antiqua" w:cs="Arial"/>
          <w:sz w:val="24"/>
          <w:szCs w:val="24"/>
          <w:lang w:val="en-US"/>
        </w:rPr>
        <w:t xml:space="preserve">which are disorders </w:t>
      </w:r>
      <w:r w:rsidRPr="00825E2B">
        <w:rPr>
          <w:rFonts w:ascii="Book Antiqua" w:hAnsi="Book Antiqua" w:cs="Arial"/>
          <w:sz w:val="24"/>
          <w:szCs w:val="24"/>
          <w:lang w:val="en-US"/>
        </w:rPr>
        <w:t>affecting</w:t>
      </w:r>
      <w:r w:rsidR="00BC6F5D" w:rsidRPr="00825E2B">
        <w:rPr>
          <w:rFonts w:ascii="Book Antiqua" w:hAnsi="Book Antiqua" w:cs="Arial"/>
          <w:sz w:val="24"/>
          <w:szCs w:val="24"/>
          <w:lang w:val="en-US"/>
        </w:rPr>
        <w:t xml:space="preserve"> complex network of </w:t>
      </w:r>
      <w:r w:rsidR="000034EC" w:rsidRPr="00825E2B">
        <w:rPr>
          <w:rFonts w:ascii="Book Antiqua" w:hAnsi="Book Antiqua" w:cs="Arial"/>
          <w:sz w:val="24"/>
          <w:szCs w:val="24"/>
          <w:lang w:val="en-US"/>
        </w:rPr>
        <w:t>several</w:t>
      </w:r>
      <w:r w:rsidR="00BC6F5D" w:rsidRPr="00825E2B">
        <w:rPr>
          <w:rFonts w:ascii="Book Antiqua" w:hAnsi="Book Antiqua" w:cs="Arial"/>
          <w:sz w:val="24"/>
          <w:szCs w:val="24"/>
          <w:lang w:val="en-US"/>
        </w:rPr>
        <w:t xml:space="preserve"> cell types and molecular mechanisms</w:t>
      </w:r>
      <w:r w:rsidRPr="00825E2B">
        <w:rPr>
          <w:rFonts w:ascii="Book Antiqua" w:hAnsi="Book Antiqua" w:cs="Arial"/>
          <w:sz w:val="24"/>
          <w:szCs w:val="24"/>
          <w:lang w:val="en-US"/>
        </w:rPr>
        <w:t xml:space="preserve">. </w:t>
      </w:r>
    </w:p>
    <w:p w14:paraId="5AA9DABD" w14:textId="77777777" w:rsidR="00126620" w:rsidRPr="00825E2B" w:rsidRDefault="00126620" w:rsidP="00A921B8">
      <w:pPr>
        <w:adjustRightInd w:val="0"/>
        <w:snapToGrid w:val="0"/>
        <w:spacing w:after="0" w:line="360" w:lineRule="auto"/>
        <w:jc w:val="both"/>
        <w:rPr>
          <w:rFonts w:ascii="Book Antiqua" w:hAnsi="Book Antiqua" w:cs="Arial"/>
          <w:sz w:val="24"/>
          <w:szCs w:val="24"/>
          <w:lang w:val="en-US" w:eastAsia="zh-CN"/>
        </w:rPr>
      </w:pPr>
    </w:p>
    <w:p w14:paraId="60E3D196" w14:textId="16F82915" w:rsidR="00426A1D" w:rsidRPr="00825E2B" w:rsidRDefault="004263D3" w:rsidP="00A921B8">
      <w:pPr>
        <w:adjustRightInd w:val="0"/>
        <w:snapToGrid w:val="0"/>
        <w:spacing w:after="0" w:line="360" w:lineRule="auto"/>
        <w:jc w:val="both"/>
        <w:rPr>
          <w:rFonts w:ascii="Book Antiqua" w:hAnsi="Book Antiqua" w:cs="Arial"/>
          <w:b/>
          <w:caps/>
          <w:sz w:val="24"/>
          <w:szCs w:val="24"/>
          <w:u w:val="single"/>
          <w:lang w:val="en-US"/>
        </w:rPr>
      </w:pPr>
      <w:r w:rsidRPr="00825E2B">
        <w:rPr>
          <w:rFonts w:ascii="Book Antiqua" w:hAnsi="Book Antiqua" w:cs="Arial"/>
          <w:b/>
          <w:sz w:val="24"/>
          <w:szCs w:val="24"/>
          <w:u w:val="single"/>
          <w:lang w:val="en-US"/>
        </w:rPr>
        <w:t xml:space="preserve">CLINICAL RELEVANCE OF </w:t>
      </w:r>
      <w:r w:rsidRPr="00825E2B">
        <w:rPr>
          <w:rFonts w:ascii="Book Antiqua" w:hAnsi="Book Antiqua" w:cs="Arial"/>
          <w:b/>
          <w:bCs/>
          <w:sz w:val="24"/>
          <w:szCs w:val="24"/>
          <w:u w:val="single"/>
          <w:lang w:val="en-US"/>
        </w:rPr>
        <w:t>MONOACYLGLYCEROL LIPASE</w:t>
      </w:r>
      <w:r w:rsidRPr="00825E2B">
        <w:rPr>
          <w:rFonts w:ascii="Book Antiqua" w:hAnsi="Book Antiqua" w:cs="Arial"/>
          <w:b/>
          <w:sz w:val="24"/>
          <w:szCs w:val="24"/>
          <w:u w:val="single"/>
          <w:lang w:val="en-US"/>
        </w:rPr>
        <w:t xml:space="preserve"> AND ITS GENETIC MUTATION</w:t>
      </w:r>
    </w:p>
    <w:p w14:paraId="1EEC60E1" w14:textId="153A0155" w:rsidR="003D0B2F" w:rsidRPr="00825E2B" w:rsidRDefault="00104DC9" w:rsidP="00A921B8">
      <w:pPr>
        <w:adjustRightInd w:val="0"/>
        <w:snapToGrid w:val="0"/>
        <w:spacing w:after="0" w:line="360" w:lineRule="auto"/>
        <w:jc w:val="both"/>
        <w:rPr>
          <w:rFonts w:ascii="Book Antiqua" w:hAnsi="Book Antiqua" w:cs="Arial"/>
          <w:sz w:val="24"/>
          <w:szCs w:val="24"/>
          <w:lang w:val="en-US"/>
        </w:rPr>
      </w:pPr>
      <w:r w:rsidRPr="00825E2B">
        <w:rPr>
          <w:rFonts w:ascii="Book Antiqua" w:eastAsia="MS Mincho" w:hAnsi="Book Antiqua"/>
          <w:sz w:val="24"/>
          <w:szCs w:val="24"/>
          <w:lang w:val="en-US"/>
        </w:rPr>
        <w:t xml:space="preserve">Only a handful of studies explored the clinical relevance of MGL in human patients, and those mainly focused on rare genetic variants known </w:t>
      </w:r>
      <w:r w:rsidRPr="00825E2B">
        <w:rPr>
          <w:rFonts w:ascii="Book Antiqua" w:eastAsia="MS Mincho" w:hAnsi="Book Antiqua"/>
          <w:sz w:val="24"/>
          <w:szCs w:val="24"/>
          <w:lang w:val="en-US"/>
        </w:rPr>
        <w:lastRenderedPageBreak/>
        <w:t>as single nucleotide polymorphism (SNPs), which may in turn infl</w:t>
      </w:r>
      <w:r w:rsidR="004263D3" w:rsidRPr="00825E2B">
        <w:rPr>
          <w:rFonts w:ascii="Book Antiqua" w:eastAsia="MS Mincho" w:hAnsi="Book Antiqua"/>
          <w:sz w:val="24"/>
          <w:szCs w:val="24"/>
          <w:lang w:val="en-US"/>
        </w:rPr>
        <w:t>uence determinant lipid-related</w:t>
      </w:r>
      <w:r w:rsidR="004263D3"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traits and pathologies</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{"citationItems":[{"id":"ITEM-1","itemData":{"DOI":"10.2147/HMER.S125718","ISSN":"1179-1535","PMID":"29158695","abstract":"A single-nucleotide polymorphism occurring in the sequence of the human patatin-like phospholipase domain-containing 3 gene (PNPLA3), known as I148M variant, is one of the best characterized and deeply investigated variants in several clinical scenarios, because of its tight correlation with increased risk for developing hepatic steatosis and more aggressive part of the disease spectrum, such as nonalcoholic steatohepatitis, advanced fibrosis and cirrhosis. Further, the I148M variant is positively associated with alcoholic liver diseases, chronic hepatitis C-related cirrhosis and hepatocellular carcinoma. The native gene encodes for a protein that has not yet a fully defined role in liver lipid metabolism and, according to recent observations, seems to be divergently regulated among distinct liver cells type, such as hepatic stellate cells. Therefore, the aim of this review is to collect the latest data regarding PNPLA3 expression in human liver and to analyze the impact of its genetic variant in human hepatic pathologies. Moreover, a description of the current biochemical and metabolic data pertaining to PNPLA3 function in both animal models and in vitro studies is summarized to allow a better understanding of the relevant pathophysiological role of this enzyme in the progression of hepatic diseases.","author":[{"dropping-particle":"","family":"Bruschi","given":"Francesca Virginia","non-dropping-particle":"","parse-names":false,"suffix":""},{"dropping-particle":"","family":"Tardelli","given":"Matteo","non-dropping-particle":"","parse-names":false,"suffix":""},{"dropping-particle":"","family":"Claudel","given":"Thierry","non-dropping-particle":"","parse-names":false,"suffix":""},{"dropping-particle":"","family":"Trauner","given":"Michael","non-dropping-particle":"","parse-names":false,"suffix":""}],"container-title":"Hepatic Medicine: Evidence and Research","id":"ITEM-1","issued":{"date-parts":[["2017"]]},"title":"PNPLA3 expression and its impact on the liver: current perspectives","type":"article-journal"},"uris":["http://www.mendeley.com/documents/?uuid=cbcba665-9cf3-45d4-a337-4c77af90d553"]}],"mendeley":{"formattedCitation":"&lt;sup&gt;[52]&lt;/sup&gt;","plainTextFormattedCitation":"[52]","previouslyFormattedCitation":"&lt;sup&gt;[51]&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[52]</w:t>
      </w:r>
      <w:r w:rsidRPr="00825E2B">
        <w:rPr>
          <w:rFonts w:ascii="Book Antiqua" w:eastAsia="MS Mincho" w:hAnsi="Book Antiqua"/>
          <w:sz w:val="24"/>
          <w:szCs w:val="24"/>
          <w:lang w:val="en-US"/>
        </w:rPr>
        <w:fldChar w:fldCharType="end"/>
      </w:r>
      <w:r w:rsidRPr="00825E2B">
        <w:rPr>
          <w:rFonts w:ascii="Book Antiqua" w:eastAsia="MS Mincho" w:hAnsi="Book Antiqua"/>
          <w:sz w:val="24"/>
          <w:szCs w:val="24"/>
          <w:lang w:val="en-US"/>
        </w:rPr>
        <w:t>. Intriguingly, 4 MGL SNPs named rs13076593, rs782440, rs541855, rs549662 were associated with</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increased</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LDL particle size, whilst the rs3773159 with type 2 diabetes</w:t>
      </w:r>
      <w:r w:rsidRPr="00825E2B">
        <w:rPr>
          <w:rFonts w:ascii="Book Antiqua" w:eastAsia="MS Mincho" w:hAnsi="Book Antiqua"/>
          <w:sz w:val="24"/>
          <w:szCs w:val="24"/>
          <w:lang w:val="en-US"/>
        </w:rPr>
        <w:fldChar w:fldCharType="begin" w:fldLock="1"/>
      </w:r>
      <w:r w:rsidR="00F81DD4" w:rsidRPr="00825E2B">
        <w:rPr>
          <w:rFonts w:ascii="Book Antiqua" w:eastAsia="MS Mincho" w:hAnsi="Book Antiqua"/>
          <w:sz w:val="24"/>
          <w:szCs w:val="24"/>
          <w:lang w:val="en-US"/>
        </w:rPr>
        <w:instrText>ADDIN CSL_CITATION {"citationItems":[{"id":"ITEM-1","itemData":{"DOI":"10.1186/1476-511X-13-86","ISSN":"1476511X","abstract":"Omega-3 (n-3) polyunsaturated fatty acid (PUFA) consumption increases low-density lipoprotein (LDL) cholesterol (C) concentrations and particle size. Studies showed that individuals with large, buoyant LDL particles have decreased risk of cardiovascular diseases. However, a large inter-individual variability is observed in LDL particle size. Genetic factors may explain the variability of LDL-C concentrations and particle size after an n-3 PUFA supplementation. The monoglyceride lipase (MGLL) enzyme, encoded by the MGLL gene, plays an important role in lipid metabolism, especially lipoprotein metabolism. The aim of this study was to investigate if polymorphisms (SNPs) of the MGLL gene influence the variability of LDL-C and LDL particle size in response to an n-3 PUFA supplementation. Methods. 210 subjects completed the study. They consumed 5 g/d of a fish oil supplement (1.9-2.2 g eicosapentaenoic acid and 1.1 g docosaexaenoic acid) during 6 weeks. Plasma lipids were measured before and after the supplementation period and 18 SNPs of the MGLL gene, covering 100% of common genetic variations (minor allele frequency ≥0.05), have been genotyped using TaqMan technology (Life Technologies Inc., Burlington, ON, CA). Results: Following the n-3 PUFA supplementation, 55% of subjects increased their LDL-C levels. In a model including the supplementation, genotype and supplementation*genotype effects, gene-diet interaction effects on LDL-C concentrations (rs782440, rs6776142, rs555183, rs6780384, rs6787155 and rs1466571) and LDL particle size (rs9877819 and rs13076593) were observed for the MGLL gene SNPs (p &lt; 0.05). Conclusion: SNPs within the MGLL gene may modulate plasma LDL-C levels and particle size following an n-3 PUFA supplementation. This trial was registered at clinicaltrials.gov as NCT01343342. © 2014 Ouellette et al.; licensee BioMed Central Ltd.","author":[{"dropping-particle":"","family":"Ouellette","given":"Catherine","non-dropping-particle":"","parse-names":false,"suffix":""},{"dropping-particle":"","family":"Rudkowska","given":"Iwona","non-dropping-particle":"","parse-names":false,"suffix":""},{"dropping-particle":"","family":"Lemieux","given":"Simone","non-dropping-particle":"","parse-names":false,"suffix":""},{"dropping-particle":"","family":"Lamarche","given":"Benoit","non-dropping-particle":"","parse-names":false,"suffix":""},{"dropping-particle":"","family":"Couture","given":"Patrick","non-dropping-particle":"","parse-names":false,"suffix":""},{"dropping-particle":"","family":"Vohl","given":"Marie Claude","non-dropping-particle":"","parse-names":false,"suffix":""}],"container-title":"Lipids in Health and Disease","id":"ITEM-1","issued":{"date-parts":[["2014"]]},"title":"Gene-diet interactions with polymorphisms of the MGLL gene on plasma low-density lipoprotein cholesterol and size following an omega-3 polyunsaturated fatty acid supplementation: A clinical trial","type":"article-journal"},"uris":["http://www.mendeley.com/documents/?uuid=ca673b2b-fb2a-4c1d-974e-3d847d594379"]}],"mendeley":{"formattedCitation":"&lt;sup&gt;[53]&lt;/sup&gt;","plainTextFormattedCitation":"[53]","previouslyFormattedCitation":"&lt;sup&gt;[52]&lt;/sup&gt;"},"properties":{"noteIndex":0},"schema":"https://github.com/citation-style-language/schema/raw/master/csl-citation.json"}</w:instrText>
      </w:r>
      <w:r w:rsidRPr="00825E2B">
        <w:rPr>
          <w:rFonts w:ascii="Book Antiqua" w:eastAsia="MS Mincho" w:hAnsi="Book Antiqua"/>
          <w:sz w:val="24"/>
          <w:szCs w:val="24"/>
          <w:lang w:val="en-US"/>
        </w:rPr>
        <w:fldChar w:fldCharType="separate"/>
      </w:r>
      <w:r w:rsidR="00F81DD4" w:rsidRPr="00825E2B">
        <w:rPr>
          <w:rFonts w:ascii="Book Antiqua" w:eastAsia="MS Mincho" w:hAnsi="Book Antiqua"/>
          <w:noProof/>
          <w:sz w:val="24"/>
          <w:szCs w:val="24"/>
          <w:vertAlign w:val="superscript"/>
          <w:lang w:val="en-US"/>
        </w:rPr>
        <w:t>[53]</w:t>
      </w:r>
      <w:r w:rsidRPr="00825E2B">
        <w:rPr>
          <w:rFonts w:ascii="Book Antiqua" w:eastAsia="MS Mincho" w:hAnsi="Book Antiqua"/>
          <w:sz w:val="24"/>
          <w:szCs w:val="24"/>
          <w:lang w:val="en-US"/>
        </w:rPr>
        <w:fldChar w:fldCharType="end"/>
      </w:r>
      <w:r w:rsidR="00D601D6"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 xml:space="preserve">Moreover, 20 common variants of the </w:t>
      </w:r>
      <w:r w:rsidRPr="00825E2B">
        <w:rPr>
          <w:rFonts w:ascii="Book Antiqua" w:eastAsia="MS Mincho" w:hAnsi="Book Antiqua"/>
          <w:i/>
          <w:sz w:val="24"/>
          <w:szCs w:val="24"/>
          <w:lang w:val="en-US"/>
        </w:rPr>
        <w:t>MGL</w:t>
      </w:r>
      <w:r w:rsidRPr="00825E2B">
        <w:rPr>
          <w:rFonts w:ascii="Book Antiqua" w:eastAsia="MS Mincho" w:hAnsi="Book Antiqua"/>
          <w:sz w:val="24"/>
          <w:szCs w:val="24"/>
          <w:lang w:val="en-US"/>
        </w:rPr>
        <w:t xml:space="preserve"> gene were associated with high BMI in a cohort of 289 individuals (of which 147 controls and 142 extremely obese)</w:t>
      </w:r>
      <w:r w:rsidR="003D0B2F"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{"citationItems":[{"id":"ITEM-1","itemData":{"DOI":"10.1186/gb-2010-11-11-r118","ISBN":"1465-6914 (Electronic)\\r1465-6906 (Linking)","ISSN":"14747596","PMID":"21118518","abstract":"BACKGROUND: Targeted re-sequencing of candidate genes in individuals at the extremes of a quantitative phenotype distribution is a method of choice to gain information on the contribution of rare variants to disease susceptibility. The endocannabinoid system mediates signaling in the brain and peripheral tissues involved in the regulation of energy balance, is highly active in obese patients, and represents a strong candidate pathway to examine for genetic association with body mass index (BMI). RESULTS: We sequenced two intervals (covering 188 kb) encoding the endocannabinoid metabolic enzymes fatty-acid amide hydrolase (FAAH) and monoglyceride lipase (MGLL) in 147 normal controls and 142 extremely obese cases. After applying quality filters, we called 1,393 high quality single nucleotide variants, 55% of which are rare, and 143 indels. Using single marker tests and collapsed marker tests, we identified four intervals associated with BMI: the FAAH promoter, the MGLL promoter, MGLL intron 2, and MGLL intron 3. Two of these intervals are composed of rare variants and the majority of the associated variants are located in promoter sequences or in predicted transcriptional enhancers, suggesting a regulatory role. The set of rare variants in the FAAH promoter associated with BMI is also associated with increased level of FAAH substrate anandamide, further implicating a functional role in obesity. CONCLUSIONS: Our study, which is one of the first reports of a sequence-based association study using next-generation sequencing of candidate genes, provides insights into study design and analysis approaches and demonstrates the importance of examining regulatory elements rather than exclusively focusing on exon sequences.","author":[{"dropping-particle":"","family":"Harismendy","given":"Olivier","non-dropping-particle":"","parse-names":false,"suffix":""},{"dropping-particle":"","family":"Bansal","given":"Vikas","non-dropping-particle":"","parse-names":false,"suffix":""},{"dropping-particle":"","family":"Bhatia","given":"Gaurav","non-dropping-particle":"","parse-names":false,"suffix":""},{"dropping-particle":"","family":"Nakano","given":"Masakazu","non-dropping-particle":"","parse-names":false,"suffix":""},{"dropping-particle":"","family":"Scott","given":"Michael","non-dropping-particle":"","parse-names":false,"suffix":""},{"dropping-particle":"","family":"Wang","given":"Xiaoyun","non-dropping-particle":"","parse-names":false,"suffix":""},{"dropping-particle":"","family":"Dib","given":"Colette","non-dropping-particle":"","parse-names":false,"suffix":""},{"dropping-particle":"","family":"Turlotte","given":"Edouard","non-dropping-particle":"","parse-names":false,"suffix":""},{"dropping-particle":"","family":"Sipe","given":"Jack C.","non-dropping-particle":"","parse-names":false,"suffix":""},{"dropping-particle":"","family":"Murray","given":"Sarah S.","non-dropping-particle":"","parse-names":false,"suffix":""},{"dropping-particle":"","family":"Deleuze","given":"Jean F.","non-dropping-particle":"","parse-names":false,"suffix":""},{"dropping-particle":"","family":"Bafna","given":"Vineet","non-dropping-particle":"","parse-names":false,"suffix":""},{"dropping-particle":"","family":"Topol","given":"Eric J.","non-dropping-particle":"","parse-names":false,"suffix":""},{"dropping-particle":"","family":"Frazer","given":"Kelly A.","non-dropping-particle":"","parse-names":false,"suffix":""}],"container-title":"Genome Biology","id":"ITEM-1","issued":{"date-parts":[["2010"]]},"title":"Population sequencing of two endocannabinoid metabolic genes identifies rare and common regulatory variants associated with extreme obesity and metabolite level","type":"article-journal"},"uris":["http://www.mendeley.com/documents/?uuid=4e354706-3410-492d-b830-90e87deece0b"]}],"mendeley":{"formattedCitation":"&lt;sup&gt;[54]&lt;/sup&gt;","plainTextFormattedCitation":"[54]","previouslyFormattedCitation":"&lt;sup&gt;[53]&lt;/sup&gt;"},"properties":{"noteIndex":0},"schema":"https://github.com/citation-style-language/schema/raw/master/csl-citation.json"}</w:instrText>
      </w:r>
      <w:r w:rsidR="003D0B2F"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[54]</w:t>
      </w:r>
      <w:r w:rsidR="003D0B2F" w:rsidRPr="00825E2B">
        <w:rPr>
          <w:rFonts w:ascii="Book Antiqua" w:hAnsi="Book Antiqua" w:cs="Arial"/>
          <w:sz w:val="24"/>
          <w:szCs w:val="24"/>
          <w:lang w:val="en-US"/>
        </w:rPr>
        <w:fldChar w:fldCharType="end"/>
      </w:r>
      <w:r w:rsidR="003D0B2F" w:rsidRPr="00825E2B">
        <w:rPr>
          <w:rFonts w:ascii="Book Antiqua" w:hAnsi="Book Antiqua" w:cs="Arial"/>
          <w:sz w:val="24"/>
          <w:szCs w:val="24"/>
          <w:lang w:val="en-US"/>
        </w:rPr>
        <w:t xml:space="preserve">. </w:t>
      </w:r>
      <w:r w:rsidRPr="00825E2B">
        <w:rPr>
          <w:rFonts w:ascii="Book Antiqua" w:eastAsia="MS Mincho" w:hAnsi="Book Antiqua"/>
          <w:sz w:val="24"/>
          <w:szCs w:val="24"/>
          <w:lang w:val="en-US"/>
        </w:rPr>
        <w:t>Interestingly, the genotype rs604300 was shown to have protective effects against childhood abuse-related increases in cannabis dependence and was suggested to relate to epigenetic modulation of MGL expression</w:t>
      </w:r>
      <w:r w:rsidR="00C5022A"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{"citationItems":[{"id":"ITEM-1","itemData":{"DOI":"10.1037/abn0000079","ISSN":"19391846","abstract":"Despite evidence for heritable variation in cannabis involvement and the discovery of cannabinoid receptors and their endogenous ligands, no consistent patterns have emerged from candidate endocannabinoid (eCB) genetic association studies of cannabis involvement. Given interactions between eCB and stress systems and associations between childhood stress and cannabis involvement, it may be important to consider childhood adversity in the context of eCB-related genetic variation. We employed a system-level gene-based analysis of data from the Comorbidity and Trauma Study (N = 1,558) to examine whether genetic variation in six eCB genes (anabolism: DAGLA, DAGLB, NAPEPLD; catabolism: MGLL, FAAH; binding: CNR1; SNPs N=65) and childhood sexual abuse (CSA) predict cannabis dependence symptoms. Significant interactions with CSA emerged for MGLL at the gene level (p= .009), and for rs604300 within MGLL (ΔR2=.007, p &lt; .001), the latter of which survived SNP-level Bonferroni correction and was significant in an additional sample with similar directional effects (N = 859; ΔR2 = .005, p = .026). Furthermore, in a third sample (N = 312), there was evidence that rs604300 genotype interacts with early life adversity to predict threat-related basolateral amygdala habituation, a neural phenotype linked to the eCB system and addiction (ΔR2 = .013, p = .047). Rs604300 may be related to epigenetic modulation of MGLL expression. These results are consistent with rodent models implicating 2-arachidonoylglycerol (2-AG), an endogenous cannabinoid metabolized by the enzyme encoded by MGLL, in the etiology of stress adaptation related to cannabis dependence, but require further replication.","author":[{"dropping-particle":"","family":"Carey","given":"Caitlin E.","non-dropping-particle":"","parse-names":false,"suffix":""},{"dropping-particle":"","family":"Agrawal","given":"Arpana","non-dropping-particle":"","parse-names":false,"suffix":""},{"dropping-particle":"","family":"Zhang","given":"Bo","non-dropping-particle":"","parse-names":false,"suffix":""},{"dropping-particle":"","family":"Conley","given":"Emily D.","non-dropping-particle":"","parse-names":false,"suffix":""},{"dropping-particle":"","family":"Degenhardt","given":"Louisa","non-dropping-particle":"","parse-names":false,"suffix":""},{"dropping-particle":"","family":"Heath","given":"Andrew C.","non-dropping-particle":"","parse-names":false,"suffix":""},{"dropping-particle":"","family":"Li","given":"Daofeng","non-dropping-particle":"","parse-names":false,"suffix":""},{"dropping-particle":"","family":"Lynskey","given":"Michael T.","non-dropping-particle":"","parse-names":false,"suffix":""},{"dropping-particle":"","family":"Martin","given":"Nicholas G.","non-dropping-particle":"","parse-names":false,"suffix":""},{"dropping-particle":"","family":"Montgomery","given":"Grant W.","non-dropping-particle":"","parse-names":false,"suffix":""},{"dropping-particle":"","family":"Wang","given":"Ting","non-dropping-particle":"","parse-names":false,"suffix":""},{"dropping-particle":"","family":"Bierut","given":"Laura J.","non-dropping-particle":"","parse-names":false,"suffix":""},{"dropping-particle":"","family":"Hariri","given":"Ahmad R.","non-dropping-particle":"","parse-names":false,"suffix":""},{"dropping-particle":"","family":"Nelson","given":"Elliot C.","non-dropping-particle":"","parse-names":false,"suffix":""},{"dropping-particle":"","family":"Bogdan","given":"Ryan","non-dropping-particle":"","parse-names":false,"suffix":""}],"container-title":"Journal of Abnormal Psychology","id":"ITEM-1","issued":{"date-parts":[["2015"]]},"title":"Monoacylglycerol lipase (MGLL) polymorphism rs604300 interacts with childhood adversity to predict cannabis dependence symptoms and amygdala habituation: Evidence from an endocannabinoid system-level analysis","type":"article-journal"},"uris":["http://www.mendeley.com/documents/?uuid=ac05687d-571b-411b-9ec1-ade103ac7f90"]}],"mendeley":{"formattedCitation":"&lt;sup&gt;[55]&lt;/sup&gt;","plainTextFormattedCitation":"[55]","previouslyFormattedCitation":"&lt;sup&gt;[54]&lt;/sup&gt;"},"properties":{"noteIndex":0},"schema":"https://github.com/citation-style-language/schema/raw/master/csl-citation.json"}</w:instrText>
      </w:r>
      <w:r w:rsidR="00C5022A"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[55]</w:t>
      </w:r>
      <w:r w:rsidR="00C5022A" w:rsidRPr="00825E2B">
        <w:rPr>
          <w:rFonts w:ascii="Book Antiqua" w:hAnsi="Book Antiqua" w:cs="Arial"/>
          <w:sz w:val="24"/>
          <w:szCs w:val="24"/>
          <w:lang w:val="en-US"/>
        </w:rPr>
        <w:fldChar w:fldCharType="end"/>
      </w:r>
      <w:r w:rsidR="00C5022A" w:rsidRPr="00825E2B">
        <w:rPr>
          <w:rFonts w:ascii="Book Antiqua" w:hAnsi="Book Antiqua" w:cs="Arial"/>
          <w:sz w:val="24"/>
          <w:szCs w:val="24"/>
          <w:lang w:val="en-US"/>
        </w:rPr>
        <w:t>.</w:t>
      </w:r>
      <w:r w:rsidR="00E060DE" w:rsidRPr="00825E2B">
        <w:rPr>
          <w:rFonts w:ascii="Book Antiqua" w:hAnsi="Book Antiqua"/>
          <w:sz w:val="24"/>
          <w:szCs w:val="24"/>
        </w:rPr>
        <w:t xml:space="preserve"> </w:t>
      </w:r>
      <w:r w:rsidRPr="00825E2B">
        <w:rPr>
          <w:rFonts w:ascii="Book Antiqua" w:eastAsia="MS Mincho" w:hAnsi="Book Antiqua"/>
          <w:sz w:val="24"/>
          <w:szCs w:val="24"/>
        </w:rPr>
        <w:t>Lastly, the variant Pro129Thr of one of the endocannabinoid inactivating enzyme called fatty acid</w:t>
      </w:r>
      <w:r w:rsidR="004263D3" w:rsidRPr="00825E2B">
        <w:rPr>
          <w:rFonts w:ascii="Book Antiqua" w:eastAsia="MS Mincho" w:hAnsi="Book Antiqua"/>
          <w:sz w:val="24"/>
          <w:szCs w:val="24"/>
        </w:rPr>
        <w:t> amide hydrolase</w:t>
      </w:r>
      <w:r w:rsidRPr="00825E2B">
        <w:rPr>
          <w:rFonts w:ascii="Book Antiqua" w:eastAsia="MS Mincho" w:hAnsi="Book Antiqua"/>
          <w:sz w:val="24"/>
          <w:szCs w:val="24"/>
        </w:rPr>
        <w:t> was found to significantly associate with both street drug use and problematic drug/alcohol use</w:t>
      </w:r>
      <w:r w:rsidRPr="00825E2B">
        <w:rPr>
          <w:rFonts w:ascii="Book Antiqua" w:eastAsia="MS Mincho" w:hAnsi="Book Antiqua"/>
          <w:sz w:val="24"/>
          <w:szCs w:val="24"/>
        </w:rPr>
        <w:fldChar w:fldCharType="begin" w:fldLock="1"/>
      </w:r>
      <w:r w:rsidR="00F81DD4" w:rsidRPr="00825E2B">
        <w:rPr>
          <w:rFonts w:ascii="Book Antiqua" w:eastAsia="MS Mincho" w:hAnsi="Book Antiqua"/>
          <w:sz w:val="24"/>
          <w:szCs w:val="24"/>
        </w:rPr>
        <w:instrText>ADDIN CSL_CITATION {"citationItems":[{"id":"ITEM-1","itemData":{"DOI":"10.1073/pnas.082235799","ISSN":"00278424","abstract":"Problem drug use and dependence are neurobehavioral disorders of complex origin. Although environmental factors contribute to drug abuse and addiction, genetic factors also play a significant role estimated at 40-60% of the total risk. Nonetheless, the precise identities of human genes that confer vulnerability to problem drug use remain mostly unknown. Here, we describe a natural single nucleotide polymorphism in the human gene that encodes the principal endocannabinoid-inactivating enzyme, fatty acid amide hydrolase (FAAH), that in homozygous form is strongly associated with both street drug use and problem drug/alcohol use. This single nucleotide polymorphism results in a missense mutation (385C→A) that converts a conserved proline residue to threonine (Pro129→Thr), producing a FAAH variant that displays normal catalytic properties but an enhanced sensitivity to proteolytic degradation. Collectively, these results suggest that genetic mutations in FAAH may constitute important risk factors for problem drug use and support a potential link between functional abnormalities in the endogenous cannabinoid system and drug abuse and dependence.","author":[{"dropping-particle":"","family":"Sipe","given":"Jack C.","non-dropping-particle":"","parse-names":false,"suffix":""},{"dropping-particle":"","family":"Chiang","given":"Kyle","non-dropping-particle":"","parse-names":false,"suffix":""},{"dropping-particle":"","family":"Gerber","given":"Alexandra L.","non-dropping-particle":"","parse-names":false,"suffix":""},{"dropping-particle":"","family":"Beutler","given":"Ernest","non-dropping-particle":"","parse-names":false,"suffix":""},{"dropping-particle":"","family":"Cravatt","given":"Benjamin F.","non-dropping-particle":"","parse-names":false,"suffix":""}],"container-title":"Proceedings of the National Academy of Sciences of the United States of America","id":"ITEM-1","issued":{"date-parts":[["2002"]]},"title":"A missense mutation in human fatty acid amide hydrolase associated with problem drug use","type":"article-journal"},"uris":["http://www.mendeley.com/documents/?uuid=add4371c-ecec-496b-82b4-2a16830d684d"]}],"mendeley":{"formattedCitation":"&lt;sup&gt;[56]&lt;/sup&gt;","plainTextFormattedCitation":"[56]","previouslyFormattedCitation":"&lt;sup&gt;[55]&lt;/sup&gt;"},"properties":{"noteIndex":0},"schema":"https://github.com/citation-style-language/schema/raw/master/csl-citation.json"}</w:instrText>
      </w:r>
      <w:r w:rsidRPr="00825E2B">
        <w:rPr>
          <w:rFonts w:ascii="Book Antiqua" w:eastAsia="MS Mincho" w:hAnsi="Book Antiqua"/>
          <w:sz w:val="24"/>
          <w:szCs w:val="24"/>
        </w:rPr>
        <w:fldChar w:fldCharType="separate"/>
      </w:r>
      <w:r w:rsidR="00F81DD4" w:rsidRPr="00825E2B">
        <w:rPr>
          <w:rFonts w:ascii="Book Antiqua" w:eastAsia="MS Mincho" w:hAnsi="Book Antiqua"/>
          <w:noProof/>
          <w:sz w:val="24"/>
          <w:szCs w:val="24"/>
          <w:vertAlign w:val="superscript"/>
        </w:rPr>
        <w:t>[56]</w:t>
      </w:r>
      <w:r w:rsidRPr="00825E2B">
        <w:rPr>
          <w:rFonts w:ascii="Book Antiqua" w:eastAsia="MS Mincho" w:hAnsi="Book Antiqua"/>
          <w:sz w:val="24"/>
          <w:szCs w:val="24"/>
        </w:rPr>
        <w:fldChar w:fldCharType="end"/>
      </w:r>
      <w:r w:rsidRPr="00825E2B">
        <w:rPr>
          <w:rFonts w:ascii="Book Antiqua" w:eastAsia="MS Mincho" w:hAnsi="Book Antiqua"/>
          <w:sz w:val="24"/>
          <w:szCs w:val="24"/>
        </w:rPr>
        <w:t>.</w:t>
      </w:r>
      <w:r w:rsidR="004263D3" w:rsidRPr="00825E2B">
        <w:rPr>
          <w:rFonts w:ascii="Book Antiqua" w:hAnsi="Book Antiqua" w:cs="Arial"/>
          <w:sz w:val="24"/>
          <w:szCs w:val="24"/>
          <w:lang w:eastAsia="zh-CN"/>
        </w:rPr>
        <w:t xml:space="preserve"> </w:t>
      </w:r>
      <w:r w:rsidR="00397EC3" w:rsidRPr="00825E2B">
        <w:rPr>
          <w:rFonts w:ascii="Book Antiqua" w:hAnsi="Book Antiqua" w:cs="Arial"/>
          <w:sz w:val="24"/>
          <w:szCs w:val="24"/>
        </w:rPr>
        <w:t xml:space="preserve">However, this </w:t>
      </w:r>
      <w:r w:rsidR="00EF1966" w:rsidRPr="00825E2B">
        <w:rPr>
          <w:rFonts w:ascii="Book Antiqua" w:hAnsi="Book Antiqua" w:cs="Arial"/>
          <w:sz w:val="24"/>
          <w:szCs w:val="24"/>
        </w:rPr>
        <w:t>could</w:t>
      </w:r>
      <w:r w:rsidR="002D0F65" w:rsidRPr="00825E2B">
        <w:rPr>
          <w:rFonts w:ascii="Book Antiqua" w:hAnsi="Book Antiqua" w:cs="Arial"/>
          <w:sz w:val="24"/>
          <w:szCs w:val="24"/>
        </w:rPr>
        <w:t xml:space="preserve"> </w:t>
      </w:r>
      <w:r w:rsidR="00EF1966" w:rsidRPr="00825E2B">
        <w:rPr>
          <w:rFonts w:ascii="Book Antiqua" w:hAnsi="Book Antiqua" w:cs="Arial"/>
          <w:sz w:val="24"/>
          <w:szCs w:val="24"/>
        </w:rPr>
        <w:t>not be replicated</w:t>
      </w:r>
      <w:r w:rsidR="00397EC3" w:rsidRPr="00825E2B">
        <w:rPr>
          <w:rFonts w:ascii="Book Antiqua" w:hAnsi="Book Antiqua" w:cs="Arial"/>
          <w:sz w:val="24"/>
          <w:szCs w:val="24"/>
        </w:rPr>
        <w:t xml:space="preserve"> i</w:t>
      </w:r>
      <w:r w:rsidR="00E060DE" w:rsidRPr="00825E2B">
        <w:rPr>
          <w:rFonts w:ascii="Book Antiqua" w:hAnsi="Book Antiqua" w:cs="Arial"/>
          <w:sz w:val="24"/>
          <w:szCs w:val="24"/>
          <w:lang w:val="en-US"/>
        </w:rPr>
        <w:t xml:space="preserve">n </w:t>
      </w:r>
      <w:r w:rsidR="00EF1966" w:rsidRPr="00825E2B">
        <w:rPr>
          <w:rFonts w:ascii="Book Antiqua" w:hAnsi="Book Antiqua" w:cs="Arial"/>
          <w:sz w:val="24"/>
          <w:szCs w:val="24"/>
          <w:lang w:val="en-US"/>
        </w:rPr>
        <w:t>another</w:t>
      </w:r>
      <w:r w:rsidR="00E060DE" w:rsidRPr="00825E2B">
        <w:rPr>
          <w:rFonts w:ascii="Book Antiqua" w:hAnsi="Book Antiqua" w:cs="Arial"/>
          <w:sz w:val="24"/>
          <w:szCs w:val="24"/>
          <w:lang w:val="en-US"/>
        </w:rPr>
        <w:t xml:space="preserve"> study </w:t>
      </w:r>
      <w:r w:rsidR="00EF1966" w:rsidRPr="00825E2B">
        <w:rPr>
          <w:rFonts w:ascii="Book Antiqua" w:hAnsi="Book Antiqua" w:cs="Arial"/>
          <w:sz w:val="24"/>
          <w:szCs w:val="24"/>
          <w:lang w:val="en-US"/>
        </w:rPr>
        <w:t>in which</w:t>
      </w:r>
      <w:r w:rsidR="00E060DE" w:rsidRPr="00825E2B">
        <w:rPr>
          <w:rFonts w:ascii="Book Antiqua" w:hAnsi="Book Antiqua" w:cs="Arial"/>
          <w:sz w:val="24"/>
          <w:szCs w:val="24"/>
          <w:lang w:val="en-US"/>
        </w:rPr>
        <w:t xml:space="preserve"> no </w:t>
      </w:r>
      <w:r w:rsidR="00EF1966" w:rsidRPr="00825E2B">
        <w:rPr>
          <w:rFonts w:ascii="Book Antiqua" w:hAnsi="Book Antiqua" w:cs="Arial"/>
          <w:sz w:val="24"/>
          <w:szCs w:val="24"/>
          <w:lang w:val="en-US"/>
        </w:rPr>
        <w:t xml:space="preserve">associations were found between </w:t>
      </w:r>
      <w:r w:rsidR="00EF1966" w:rsidRPr="00825E2B">
        <w:rPr>
          <w:rFonts w:ascii="Book Antiqua" w:hAnsi="Book Antiqua" w:cs="Arial"/>
          <w:sz w:val="24"/>
          <w:szCs w:val="24"/>
        </w:rPr>
        <w:t>Pro129Thr or other MGL SNPs and alcoholism</w:t>
      </w:r>
      <w:r w:rsidR="00E060DE" w:rsidRPr="00825E2B">
        <w:rPr>
          <w:rFonts w:ascii="Book Antiqua" w:hAnsi="Book Antiqua" w:cs="Arial"/>
          <w:sz w:val="24"/>
          <w:szCs w:val="24"/>
          <w:lang w:val="en-US"/>
        </w:rPr>
        <w:t xml:space="preserve"> </w:t>
      </w:r>
      <w:r w:rsidR="00A105AA" w:rsidRPr="00825E2B">
        <w:rPr>
          <w:rFonts w:ascii="Book Antiqua" w:hAnsi="Book Antiqua" w:cs="Arial"/>
          <w:sz w:val="24"/>
          <w:szCs w:val="24"/>
          <w:lang w:val="en-US"/>
        </w:rPr>
        <w:t>in</w:t>
      </w:r>
      <w:r w:rsidR="00E060DE" w:rsidRPr="00825E2B">
        <w:rPr>
          <w:rFonts w:ascii="Book Antiqua" w:hAnsi="Book Antiqua" w:cs="Arial"/>
          <w:sz w:val="24"/>
          <w:szCs w:val="24"/>
          <w:lang w:val="en-US"/>
        </w:rPr>
        <w:t xml:space="preserve"> 729 Japanese patients with alcoholism and 799 healthy controls</w:t>
      </w:r>
      <w:r w:rsidR="00256CC6" w:rsidRPr="00825E2B">
        <w:rPr>
          <w:rFonts w:ascii="Book Antiqua" w:hAnsi="Book Antiqua" w:cs="Arial"/>
          <w:sz w:val="24"/>
          <w:szCs w:val="24"/>
          <w:lang w:val="en-US"/>
        </w:rPr>
        <w:fldChar w:fldCharType="begin" w:fldLock="1"/>
      </w:r>
      <w:r w:rsidR="00F81DD4" w:rsidRPr="00825E2B">
        <w:rPr>
          <w:rFonts w:ascii="Book Antiqua" w:hAnsi="Book Antiqua" w:cs="Arial"/>
          <w:sz w:val="24"/>
          <w:szCs w:val="24"/>
          <w:lang w:val="en-US"/>
        </w:rPr>
        <w:instrText>ADDIN CSL_CITATION {"citationItems":[{"id":"ITEM-1","itemData":{"DOI":"10.1097/YPG.0b013e32809913d8","ISSN":"09558829","abstract":"BACKGROUND: Fatty acid amide hydrolase (FAAH) and monoglyceride lipase (MGLL) are the major endocannabinoid metabolic enzymes. Owing to the importance of endocannabinoid system in addiction, the Pro129Thr polymorphism in the FAAH gene has reportedly been associated with substance abuse and dependence in a Caucasian population. OBJECTIVE: To determine whether the single nucleodtide polymorphisms of the FAAH and MGLL genes are associated with alcoholism in a Japanese population. METHODS: We conducted case-control studies for total 14 tag single nucleotide polymorphisms in those two genes using Japanese 729 patients with alcoholism and 799 healthy controls. Genotype and allele frequencies were compared between these groups. RESULTS: None of these genetic markers, however, showed significant association with alcoholism in Japanese. CONCLUSION: Whereas we examined associations in a larger sample size between alcoholism and tag single nucleotide polymorphisms that covered most regions of these endocannabinoid metabolic enzyme genes, we found that these are not associated with susceptibility to alcoholism in a Japanese population. © 2007 Lippincott Williams &amp; Wilkins, Inc.","author":[{"dropping-particle":"","family":"Iwasaki","given":"Shinya","non-dropping-particle":"","parse-names":false,"suffix":""},{"dropping-particle":"","family":"Ishiguro","given":"Hiroki","non-dropping-particle":"","parse-names":false,"suffix":""},{"dropping-particle":"","family":"Higuchi","given":"Susumu","non-dropping-particle":"","parse-names":false,"suffix":""},{"dropping-particle":"","family":"Onaivi","given":"Emmanuel S.","non-dropping-particle":"","parse-names":false,"suffix":""},{"dropping-particle":"","family":"Arinami","given":"Tadao","non-dropping-particle":"","parse-names":false,"suffix":""}],"container-title":"Psychiatric Genetics","id":"ITEM-1","issued":{"date-parts":[["2007"]]},"title":"Association study between alcoholism and endocannabinoid metabolic enzyme genes encoding fatty acid amide hydrolase and monoglyceride lipase in a Japanese population","type":"article-journal"},"uris":["http://www.mendeley.com/documents/?uuid=acb4dd0f-54b7-4e8c-b99e-80a0268ce362"]}],"mendeley":{"formattedCitation":"&lt;sup&gt;[57]&lt;/sup&gt;","plainTextFormattedCitation":"[57]","previouslyFormattedCitation":"&lt;sup&gt;[56]&lt;/sup&gt;"},"properties":{"noteIndex":0},"schema":"https://github.com/citation-style-language/schema/raw/master/csl-citation.json"}</w:instrText>
      </w:r>
      <w:r w:rsidR="00256CC6" w:rsidRPr="00825E2B">
        <w:rPr>
          <w:rFonts w:ascii="Book Antiqua" w:hAnsi="Book Antiqua" w:cs="Arial"/>
          <w:sz w:val="24"/>
          <w:szCs w:val="24"/>
          <w:lang w:val="en-US"/>
        </w:rPr>
        <w:fldChar w:fldCharType="separate"/>
      </w:r>
      <w:r w:rsidR="00F81DD4" w:rsidRPr="00825E2B">
        <w:rPr>
          <w:rFonts w:ascii="Book Antiqua" w:hAnsi="Book Antiqua" w:cs="Arial"/>
          <w:noProof/>
          <w:sz w:val="24"/>
          <w:szCs w:val="24"/>
          <w:vertAlign w:val="superscript"/>
          <w:lang w:val="en-US"/>
        </w:rPr>
        <w:t>[57]</w:t>
      </w:r>
      <w:r w:rsidR="00256CC6" w:rsidRPr="00825E2B">
        <w:rPr>
          <w:rFonts w:ascii="Book Antiqua" w:hAnsi="Book Antiqua" w:cs="Arial"/>
          <w:sz w:val="24"/>
          <w:szCs w:val="24"/>
          <w:lang w:val="en-US"/>
        </w:rPr>
        <w:fldChar w:fldCharType="end"/>
      </w:r>
      <w:r w:rsidR="00E060DE" w:rsidRPr="00825E2B">
        <w:rPr>
          <w:rFonts w:ascii="Book Antiqua" w:hAnsi="Book Antiqua" w:cs="Arial"/>
          <w:sz w:val="24"/>
          <w:szCs w:val="24"/>
          <w:lang w:val="en-US"/>
        </w:rPr>
        <w:t>.</w:t>
      </w:r>
    </w:p>
    <w:p w14:paraId="6D4D551A" w14:textId="77777777" w:rsidR="009D4840" w:rsidRPr="00825E2B" w:rsidRDefault="009D4840" w:rsidP="00A921B8">
      <w:pPr>
        <w:adjustRightInd w:val="0"/>
        <w:snapToGrid w:val="0"/>
        <w:spacing w:after="0" w:line="360" w:lineRule="auto"/>
        <w:jc w:val="both"/>
        <w:rPr>
          <w:rFonts w:ascii="Book Antiqua" w:hAnsi="Book Antiqua" w:cs="Arial"/>
          <w:sz w:val="24"/>
          <w:szCs w:val="24"/>
          <w:lang w:val="en-US"/>
        </w:rPr>
      </w:pPr>
    </w:p>
    <w:p w14:paraId="4AC6BD95" w14:textId="3719C145" w:rsidR="009D4840" w:rsidRPr="00825E2B" w:rsidRDefault="008074E9" w:rsidP="00A921B8">
      <w:pPr>
        <w:adjustRightInd w:val="0"/>
        <w:snapToGrid w:val="0"/>
        <w:spacing w:after="0" w:line="360" w:lineRule="auto"/>
        <w:jc w:val="both"/>
        <w:rPr>
          <w:rFonts w:ascii="Book Antiqua" w:hAnsi="Book Antiqua" w:cs="Arial"/>
          <w:b/>
          <w:sz w:val="24"/>
          <w:szCs w:val="24"/>
          <w:u w:val="single"/>
          <w:lang w:val="en-US"/>
        </w:rPr>
      </w:pPr>
      <w:r w:rsidRPr="00825E2B">
        <w:rPr>
          <w:rFonts w:ascii="Book Antiqua" w:hAnsi="Book Antiqua" w:cs="Arial"/>
          <w:b/>
          <w:sz w:val="24"/>
          <w:szCs w:val="24"/>
          <w:u w:val="single"/>
          <w:lang w:val="en-US"/>
        </w:rPr>
        <w:t>CONCLUSION</w:t>
      </w:r>
    </w:p>
    <w:p w14:paraId="1AB1C6FC" w14:textId="28DEA3CA" w:rsidR="00256CC6" w:rsidRPr="00825E2B" w:rsidRDefault="00256CC6" w:rsidP="00A921B8">
      <w:pPr>
        <w:adjustRightInd w:val="0"/>
        <w:snapToGrid w:val="0"/>
        <w:spacing w:after="0" w:line="360" w:lineRule="auto"/>
        <w:jc w:val="both"/>
        <w:textAlignment w:val="baseline"/>
        <w:rPr>
          <w:rFonts w:ascii="Book Antiqua" w:eastAsia="MS Mincho" w:hAnsi="Book Antiqua"/>
          <w:sz w:val="24"/>
          <w:szCs w:val="24"/>
          <w:lang w:val="en-US"/>
        </w:rPr>
      </w:pPr>
      <w:r w:rsidRPr="00825E2B">
        <w:rPr>
          <w:rFonts w:ascii="Book Antiqua" w:eastAsia="MS Mincho" w:hAnsi="Book Antiqua"/>
          <w:sz w:val="24"/>
          <w:szCs w:val="24"/>
          <w:lang w:val="en-US"/>
        </w:rPr>
        <w:t xml:space="preserve">Further work is needed to understand in detail the specific tissue/cell contribution to the beneficial effects of MGL deletion observed in many studies and disease types. Of special interest would be unveiling the role of MGL in complex cancers such as HCC </w:t>
      </w:r>
      <w:r w:rsidR="004263D3" w:rsidRPr="00825E2B">
        <w:rPr>
          <w:rFonts w:ascii="Book Antiqua" w:eastAsia="MS Mincho" w:hAnsi="Book Antiqua"/>
          <w:sz w:val="24"/>
          <w:szCs w:val="24"/>
          <w:lang w:val="en-US"/>
        </w:rPr>
        <w:t>and </w:t>
      </w:r>
      <w:proofErr w:type="spellStart"/>
      <w:r w:rsidR="004263D3" w:rsidRPr="00825E2B">
        <w:rPr>
          <w:rFonts w:ascii="Book Antiqua" w:eastAsia="MS Mincho" w:hAnsi="Book Antiqua"/>
          <w:sz w:val="24"/>
          <w:szCs w:val="24"/>
          <w:lang w:val="en-US"/>
        </w:rPr>
        <w:t>cholangiocellular</w:t>
      </w:r>
      <w:proofErr w:type="spellEnd"/>
      <w:r w:rsidR="004263D3" w:rsidRPr="00825E2B">
        <w:rPr>
          <w:rFonts w:ascii="Book Antiqua" w:eastAsia="MS Mincho" w:hAnsi="Book Antiqua"/>
          <w:sz w:val="24"/>
          <w:szCs w:val="24"/>
          <w:lang w:val="en-US"/>
        </w:rPr>
        <w:t> carcinoma</w:t>
      </w:r>
      <w:r w:rsidRPr="00825E2B">
        <w:rPr>
          <w:rFonts w:ascii="Book Antiqua" w:eastAsia="MS Mincho" w:hAnsi="Book Antiqua"/>
          <w:sz w:val="24"/>
          <w:szCs w:val="24"/>
          <w:lang w:val="en-US"/>
        </w:rPr>
        <w:t xml:space="preserve"> or other liver conditions such as alcoholic liver disease , as no data are available yet. Moreover, novel therapeutic avenues may explore functional antagonism of MGL on </w:t>
      </w:r>
      <w:r w:rsidRPr="00825E2B">
        <w:rPr>
          <w:rFonts w:ascii="Book Antiqua" w:eastAsia="MS Mincho" w:hAnsi="Book Antiqua"/>
          <w:i/>
          <w:sz w:val="24"/>
          <w:szCs w:val="24"/>
          <w:lang w:val="en-US"/>
        </w:rPr>
        <w:t>i.e.</w:t>
      </w:r>
      <w:r w:rsidR="002D0F65" w:rsidRPr="00825E2B">
        <w:rPr>
          <w:rFonts w:ascii="Book Antiqua" w:eastAsia="MS Mincho" w:hAnsi="Book Antiqua"/>
          <w:i/>
          <w:sz w:val="24"/>
          <w:szCs w:val="24"/>
          <w:lang w:val="en-US"/>
        </w:rPr>
        <w:t>,</w:t>
      </w:r>
      <w:r w:rsidRPr="00825E2B">
        <w:rPr>
          <w:rFonts w:ascii="Book Antiqua" w:eastAsia="MS Mincho" w:hAnsi="Book Antiqua"/>
          <w:i/>
          <w:sz w:val="24"/>
          <w:szCs w:val="24"/>
          <w:lang w:val="en-US"/>
        </w:rPr>
        <w:t> </w:t>
      </w:r>
      <w:r w:rsidRPr="00825E2B">
        <w:rPr>
          <w:rFonts w:ascii="Book Antiqua" w:eastAsia="MS Mincho" w:hAnsi="Book Antiqua"/>
          <w:sz w:val="24"/>
          <w:szCs w:val="24"/>
          <w:lang w:val="en-US"/>
        </w:rPr>
        <w:t>the endocannabinoid system, which could be implemented with</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temporary</w:t>
      </w:r>
      <w:r w:rsidR="002D0F65"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approaches such as reversible blockade, small </w:t>
      </w:r>
      <w:r w:rsidR="004C247C" w:rsidRPr="00825E2B">
        <w:rPr>
          <w:rFonts w:ascii="Book Antiqua" w:eastAsia="MS Mincho" w:hAnsi="Book Antiqua"/>
          <w:sz w:val="24"/>
          <w:szCs w:val="24"/>
          <w:lang w:val="en-US"/>
        </w:rPr>
        <w:t>molecules,</w:t>
      </w:r>
      <w:r w:rsidRPr="00825E2B">
        <w:rPr>
          <w:rFonts w:ascii="Book Antiqua" w:eastAsia="MS Mincho" w:hAnsi="Book Antiqua"/>
          <w:sz w:val="24"/>
          <w:szCs w:val="24"/>
          <w:lang w:val="en-US"/>
        </w:rPr>
        <w:t> or immuno-therapy</w:t>
      </w:r>
      <w:r w:rsidR="00D15F2A"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systems to study short-term efficacy. This could ultimately lead to better</w:t>
      </w:r>
      <w:r w:rsidR="00D15F2A"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speculations and understanding of the complex network of the lipid machinery</w:t>
      </w:r>
      <w:r w:rsidR="00D15F2A"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involved in the development of liver disease</w:t>
      </w:r>
      <w:r w:rsidR="004263D3" w:rsidRPr="00825E2B">
        <w:rPr>
          <w:rFonts w:ascii="Book Antiqua" w:eastAsia="MS Mincho" w:hAnsi="Book Antiqua"/>
          <w:sz w:val="24"/>
          <w:szCs w:val="24"/>
          <w:lang w:val="en-US"/>
        </w:rPr>
        <w:t>, insulin resistance and type 2</w:t>
      </w:r>
      <w:r w:rsidR="004263D3"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diabetes paving the way to novel pharmacological treatments. </w:t>
      </w:r>
    </w:p>
    <w:p w14:paraId="5B80F66D" w14:textId="77777777" w:rsidR="00FF336B" w:rsidRPr="00825E2B" w:rsidRDefault="00FF336B" w:rsidP="00A921B8">
      <w:pPr>
        <w:adjustRightInd w:val="0"/>
        <w:snapToGrid w:val="0"/>
        <w:spacing w:after="0" w:line="360" w:lineRule="auto"/>
        <w:jc w:val="both"/>
        <w:textAlignment w:val="baseline"/>
        <w:rPr>
          <w:rFonts w:ascii="Book Antiqua" w:eastAsia="MS Mincho" w:hAnsi="Book Antiqua"/>
          <w:sz w:val="24"/>
          <w:szCs w:val="24"/>
          <w:lang w:val="en-US"/>
        </w:rPr>
      </w:pPr>
    </w:p>
    <w:p w14:paraId="755A77B9" w14:textId="77777777" w:rsidR="004263D3" w:rsidRPr="00825E2B" w:rsidRDefault="004263D3" w:rsidP="00A921B8">
      <w:pPr>
        <w:autoSpaceDE w:val="0"/>
        <w:autoSpaceDN w:val="0"/>
        <w:adjustRightInd w:val="0"/>
        <w:snapToGrid w:val="0"/>
        <w:spacing w:after="0" w:line="360" w:lineRule="auto"/>
        <w:jc w:val="both"/>
        <w:rPr>
          <w:rFonts w:ascii="Book Antiqua" w:hAnsi="Book Antiqua"/>
          <w:b/>
          <w:bCs/>
          <w:sz w:val="24"/>
          <w:szCs w:val="24"/>
          <w:lang w:eastAsia="zh-CN"/>
        </w:rPr>
      </w:pPr>
      <w:r w:rsidRPr="00825E2B">
        <w:rPr>
          <w:rFonts w:ascii="Book Antiqua" w:hAnsi="Book Antiqua"/>
          <w:b/>
          <w:bCs/>
          <w:sz w:val="24"/>
          <w:szCs w:val="24"/>
        </w:rPr>
        <w:t>REFERENCES</w:t>
      </w:r>
    </w:p>
    <w:p w14:paraId="3D8913BF"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1 </w:t>
      </w:r>
      <w:r w:rsidRPr="00825E2B">
        <w:rPr>
          <w:rFonts w:ascii="Book Antiqua" w:hAnsi="Book Antiqua"/>
          <w:b/>
          <w:bCs/>
          <w:sz w:val="24"/>
          <w:szCs w:val="24"/>
        </w:rPr>
        <w:t>Burdge GC</w:t>
      </w:r>
      <w:r w:rsidRPr="00825E2B">
        <w:rPr>
          <w:rFonts w:ascii="Book Antiqua" w:hAnsi="Book Antiqua"/>
          <w:sz w:val="24"/>
          <w:szCs w:val="24"/>
        </w:rPr>
        <w:t xml:space="preserve">, Calder PC. Introduction to fatty acids and lipids. </w:t>
      </w:r>
      <w:r w:rsidRPr="00825E2B">
        <w:rPr>
          <w:rFonts w:ascii="Book Antiqua" w:hAnsi="Book Antiqua"/>
          <w:i/>
          <w:iCs/>
          <w:sz w:val="24"/>
          <w:szCs w:val="24"/>
        </w:rPr>
        <w:t>World Rev Nutr Diet</w:t>
      </w:r>
      <w:r w:rsidRPr="00825E2B">
        <w:rPr>
          <w:rFonts w:ascii="Book Antiqua" w:hAnsi="Book Antiqua"/>
          <w:sz w:val="24"/>
          <w:szCs w:val="24"/>
        </w:rPr>
        <w:t xml:space="preserve"> 2015; </w:t>
      </w:r>
      <w:r w:rsidRPr="00825E2B">
        <w:rPr>
          <w:rFonts w:ascii="Book Antiqua" w:hAnsi="Book Antiqua"/>
          <w:b/>
          <w:bCs/>
          <w:sz w:val="24"/>
          <w:szCs w:val="24"/>
        </w:rPr>
        <w:t>112</w:t>
      </w:r>
      <w:r w:rsidRPr="00825E2B">
        <w:rPr>
          <w:rFonts w:ascii="Book Antiqua" w:hAnsi="Book Antiqua"/>
          <w:sz w:val="24"/>
          <w:szCs w:val="24"/>
        </w:rPr>
        <w:t>: 1-16 [PMID: 25471798 DOI: 10.1159/000365423]</w:t>
      </w:r>
    </w:p>
    <w:p w14:paraId="4EC748E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 </w:t>
      </w:r>
      <w:r w:rsidRPr="00825E2B">
        <w:rPr>
          <w:rFonts w:ascii="Book Antiqua" w:hAnsi="Book Antiqua"/>
          <w:b/>
          <w:bCs/>
          <w:sz w:val="24"/>
          <w:szCs w:val="24"/>
        </w:rPr>
        <w:t>Trauner M</w:t>
      </w:r>
      <w:r w:rsidRPr="00825E2B">
        <w:rPr>
          <w:rFonts w:ascii="Book Antiqua" w:hAnsi="Book Antiqua"/>
          <w:sz w:val="24"/>
          <w:szCs w:val="24"/>
        </w:rPr>
        <w:t xml:space="preserve">, Arrese M, Wagner M. Fatty liver and lipotoxicity. </w:t>
      </w:r>
      <w:r w:rsidRPr="00825E2B">
        <w:rPr>
          <w:rFonts w:ascii="Book Antiqua" w:hAnsi="Book Antiqua"/>
          <w:i/>
          <w:iCs/>
          <w:sz w:val="24"/>
          <w:szCs w:val="24"/>
        </w:rPr>
        <w:t>Biochim Biophys Acta</w:t>
      </w:r>
      <w:r w:rsidRPr="00825E2B">
        <w:rPr>
          <w:rFonts w:ascii="Book Antiqua" w:hAnsi="Book Antiqua"/>
          <w:sz w:val="24"/>
          <w:szCs w:val="24"/>
        </w:rPr>
        <w:t xml:space="preserve"> 2010; </w:t>
      </w:r>
      <w:r w:rsidRPr="00825E2B">
        <w:rPr>
          <w:rFonts w:ascii="Book Antiqua" w:hAnsi="Book Antiqua"/>
          <w:b/>
          <w:bCs/>
          <w:sz w:val="24"/>
          <w:szCs w:val="24"/>
        </w:rPr>
        <w:t>1801</w:t>
      </w:r>
      <w:r w:rsidRPr="00825E2B">
        <w:rPr>
          <w:rFonts w:ascii="Book Antiqua" w:hAnsi="Book Antiqua"/>
          <w:sz w:val="24"/>
          <w:szCs w:val="24"/>
        </w:rPr>
        <w:t>: 299-310 [PMID: 19857603 DOI: 10.1016/j.bbalip.2009.10.007]</w:t>
      </w:r>
    </w:p>
    <w:p w14:paraId="4E456AF6"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 </w:t>
      </w:r>
      <w:r w:rsidRPr="00825E2B">
        <w:rPr>
          <w:rFonts w:ascii="Book Antiqua" w:hAnsi="Book Antiqua"/>
          <w:b/>
          <w:bCs/>
          <w:sz w:val="24"/>
          <w:szCs w:val="24"/>
        </w:rPr>
        <w:t>Zechner R</w:t>
      </w:r>
      <w:r w:rsidRPr="00825E2B">
        <w:rPr>
          <w:rFonts w:ascii="Book Antiqua" w:hAnsi="Book Antiqua"/>
          <w:sz w:val="24"/>
          <w:szCs w:val="24"/>
        </w:rPr>
        <w:t xml:space="preserve">, Zimmermann R, Eichmann TO, Kohlwein SD, Haemmerle G, Lass A, Madeo F. FAT SIGNALS--lipases and lipolysis in lipid metabolism and signaling. </w:t>
      </w:r>
      <w:r w:rsidRPr="00825E2B">
        <w:rPr>
          <w:rFonts w:ascii="Book Antiqua" w:hAnsi="Book Antiqua"/>
          <w:i/>
          <w:iCs/>
          <w:sz w:val="24"/>
          <w:szCs w:val="24"/>
        </w:rPr>
        <w:t>Cell Metab</w:t>
      </w:r>
      <w:r w:rsidRPr="00825E2B">
        <w:rPr>
          <w:rFonts w:ascii="Book Antiqua" w:hAnsi="Book Antiqua"/>
          <w:sz w:val="24"/>
          <w:szCs w:val="24"/>
        </w:rPr>
        <w:t xml:space="preserve"> 2012; </w:t>
      </w:r>
      <w:r w:rsidRPr="00825E2B">
        <w:rPr>
          <w:rFonts w:ascii="Book Antiqua" w:hAnsi="Book Antiqua"/>
          <w:b/>
          <w:bCs/>
          <w:sz w:val="24"/>
          <w:szCs w:val="24"/>
        </w:rPr>
        <w:t>15</w:t>
      </w:r>
      <w:r w:rsidRPr="00825E2B">
        <w:rPr>
          <w:rFonts w:ascii="Book Antiqua" w:hAnsi="Book Antiqua"/>
          <w:sz w:val="24"/>
          <w:szCs w:val="24"/>
        </w:rPr>
        <w:t>: 279-291 [PMID: 22405066 DOI: 10.1016/j.cmet.2011.12.018]</w:t>
      </w:r>
    </w:p>
    <w:p w14:paraId="5825486A"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 </w:t>
      </w:r>
      <w:r w:rsidRPr="00825E2B">
        <w:rPr>
          <w:rFonts w:ascii="Book Antiqua" w:hAnsi="Book Antiqua"/>
          <w:b/>
          <w:bCs/>
          <w:sz w:val="24"/>
          <w:szCs w:val="24"/>
        </w:rPr>
        <w:t>Papackova Z</w:t>
      </w:r>
      <w:r w:rsidRPr="00825E2B">
        <w:rPr>
          <w:rFonts w:ascii="Book Antiqua" w:hAnsi="Book Antiqua"/>
          <w:sz w:val="24"/>
          <w:szCs w:val="24"/>
        </w:rPr>
        <w:t xml:space="preserve">, Cahova M. Fatty acid signaling: the new function of intracellular lipases. </w:t>
      </w:r>
      <w:r w:rsidRPr="00825E2B">
        <w:rPr>
          <w:rFonts w:ascii="Book Antiqua" w:hAnsi="Book Antiqua"/>
          <w:i/>
          <w:iCs/>
          <w:sz w:val="24"/>
          <w:szCs w:val="24"/>
        </w:rPr>
        <w:t>Int J Mol Sci</w:t>
      </w:r>
      <w:r w:rsidRPr="00825E2B">
        <w:rPr>
          <w:rFonts w:ascii="Book Antiqua" w:hAnsi="Book Antiqua"/>
          <w:sz w:val="24"/>
          <w:szCs w:val="24"/>
        </w:rPr>
        <w:t xml:space="preserve"> 2015; </w:t>
      </w:r>
      <w:r w:rsidRPr="00825E2B">
        <w:rPr>
          <w:rFonts w:ascii="Book Antiqua" w:hAnsi="Book Antiqua"/>
          <w:b/>
          <w:bCs/>
          <w:sz w:val="24"/>
          <w:szCs w:val="24"/>
        </w:rPr>
        <w:t>16</w:t>
      </w:r>
      <w:r w:rsidRPr="00825E2B">
        <w:rPr>
          <w:rFonts w:ascii="Book Antiqua" w:hAnsi="Book Antiqua"/>
          <w:sz w:val="24"/>
          <w:szCs w:val="24"/>
        </w:rPr>
        <w:t>: 3831-3855 [PMID: 25674855 DOI: 10.3390/ijms16023831]</w:t>
      </w:r>
    </w:p>
    <w:p w14:paraId="2957FDAD" w14:textId="164FCE85"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 </w:t>
      </w:r>
      <w:r w:rsidRPr="00825E2B">
        <w:rPr>
          <w:rFonts w:ascii="Book Antiqua" w:hAnsi="Book Antiqua"/>
          <w:b/>
          <w:bCs/>
          <w:sz w:val="24"/>
          <w:szCs w:val="24"/>
        </w:rPr>
        <w:t>Tardelli M</w:t>
      </w:r>
      <w:r w:rsidRPr="00825E2B">
        <w:rPr>
          <w:rFonts w:ascii="Book Antiqua" w:hAnsi="Book Antiqua"/>
          <w:sz w:val="24"/>
          <w:szCs w:val="24"/>
        </w:rPr>
        <w:t xml:space="preserve">, Claudel T, Bruschi FV, Trauner M. Nuclear Receptor Regulation of Aquaglyceroporins in Metabolic Organs. </w:t>
      </w:r>
      <w:r w:rsidRPr="00825E2B">
        <w:rPr>
          <w:rFonts w:ascii="Book Antiqua" w:hAnsi="Book Antiqua"/>
          <w:i/>
          <w:iCs/>
          <w:sz w:val="24"/>
          <w:szCs w:val="24"/>
        </w:rPr>
        <w:t>Int J Mol Sci</w:t>
      </w:r>
      <w:r w:rsidRPr="00825E2B">
        <w:rPr>
          <w:rFonts w:ascii="Book Antiqua" w:hAnsi="Book Antiqua"/>
          <w:sz w:val="24"/>
          <w:szCs w:val="24"/>
        </w:rPr>
        <w:t xml:space="preserve"> 2018; </w:t>
      </w:r>
      <w:r w:rsidRPr="00825E2B">
        <w:rPr>
          <w:rFonts w:ascii="Book Antiqua" w:hAnsi="Book Antiqua"/>
          <w:b/>
          <w:bCs/>
          <w:sz w:val="24"/>
          <w:szCs w:val="24"/>
        </w:rPr>
        <w:t>19</w:t>
      </w:r>
      <w:r w:rsidR="001263B0" w:rsidRPr="00825E2B">
        <w:rPr>
          <w:rFonts w:ascii="Book Antiqua" w:hAnsi="Book Antiqua"/>
          <w:sz w:val="24"/>
          <w:szCs w:val="24"/>
          <w:lang w:eastAsia="zh-CN"/>
        </w:rPr>
        <w:t xml:space="preserve"> </w:t>
      </w:r>
      <w:r w:rsidRPr="00825E2B">
        <w:rPr>
          <w:rFonts w:ascii="Book Antiqua" w:hAnsi="Book Antiqua"/>
          <w:sz w:val="24"/>
          <w:szCs w:val="24"/>
        </w:rPr>
        <w:t>[PMID: 29914059 DOI: 10.3390/ijms19061777]</w:t>
      </w:r>
    </w:p>
    <w:p w14:paraId="2FAB904B"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6 </w:t>
      </w:r>
      <w:r w:rsidRPr="00825E2B">
        <w:rPr>
          <w:rFonts w:ascii="Book Antiqua" w:hAnsi="Book Antiqua"/>
          <w:b/>
          <w:bCs/>
          <w:sz w:val="24"/>
          <w:szCs w:val="24"/>
        </w:rPr>
        <w:t>Lass A</w:t>
      </w:r>
      <w:r w:rsidRPr="00825E2B">
        <w:rPr>
          <w:rFonts w:ascii="Book Antiqua" w:hAnsi="Book Antiqua"/>
          <w:sz w:val="24"/>
          <w:szCs w:val="24"/>
        </w:rPr>
        <w:t xml:space="preserve">, Zimmermann R, Oberer M, Zechner R. Lipolysis - a highly regulated multi-enzyme complex mediates the catabolism of cellular fat stores. </w:t>
      </w:r>
      <w:r w:rsidRPr="00825E2B">
        <w:rPr>
          <w:rFonts w:ascii="Book Antiqua" w:hAnsi="Book Antiqua"/>
          <w:i/>
          <w:iCs/>
          <w:sz w:val="24"/>
          <w:szCs w:val="24"/>
        </w:rPr>
        <w:t>Prog Lipid Res</w:t>
      </w:r>
      <w:r w:rsidRPr="00825E2B">
        <w:rPr>
          <w:rFonts w:ascii="Book Antiqua" w:hAnsi="Book Antiqua"/>
          <w:sz w:val="24"/>
          <w:szCs w:val="24"/>
        </w:rPr>
        <w:t xml:space="preserve"> 2011; </w:t>
      </w:r>
      <w:r w:rsidRPr="00825E2B">
        <w:rPr>
          <w:rFonts w:ascii="Book Antiqua" w:hAnsi="Book Antiqua"/>
          <w:b/>
          <w:bCs/>
          <w:sz w:val="24"/>
          <w:szCs w:val="24"/>
        </w:rPr>
        <w:t>50</w:t>
      </w:r>
      <w:r w:rsidRPr="00825E2B">
        <w:rPr>
          <w:rFonts w:ascii="Book Antiqua" w:hAnsi="Book Antiqua"/>
          <w:sz w:val="24"/>
          <w:szCs w:val="24"/>
        </w:rPr>
        <w:t>: 14-27 [PMID: 21087632 DOI: 10.1016/j.plipres.2010.10.004]</w:t>
      </w:r>
    </w:p>
    <w:p w14:paraId="63CB5AC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7 </w:t>
      </w:r>
      <w:r w:rsidRPr="00825E2B">
        <w:rPr>
          <w:rFonts w:ascii="Book Antiqua" w:hAnsi="Book Antiqua"/>
          <w:b/>
          <w:bCs/>
          <w:sz w:val="24"/>
          <w:szCs w:val="24"/>
        </w:rPr>
        <w:t>Wakil SJ</w:t>
      </w:r>
      <w:r w:rsidRPr="00825E2B">
        <w:rPr>
          <w:rFonts w:ascii="Book Antiqua" w:hAnsi="Book Antiqua"/>
          <w:sz w:val="24"/>
          <w:szCs w:val="24"/>
        </w:rPr>
        <w:t xml:space="preserve">, Abu-Elheiga LA. Fatty acid metabolism: target for metabolic syndrome. </w:t>
      </w:r>
      <w:r w:rsidRPr="00825E2B">
        <w:rPr>
          <w:rFonts w:ascii="Book Antiqua" w:hAnsi="Book Antiqua"/>
          <w:i/>
          <w:iCs/>
          <w:sz w:val="24"/>
          <w:szCs w:val="24"/>
        </w:rPr>
        <w:t>J Lipid Res</w:t>
      </w:r>
      <w:r w:rsidRPr="00825E2B">
        <w:rPr>
          <w:rFonts w:ascii="Book Antiqua" w:hAnsi="Book Antiqua"/>
          <w:sz w:val="24"/>
          <w:szCs w:val="24"/>
        </w:rPr>
        <w:t xml:space="preserve"> 2009; </w:t>
      </w:r>
      <w:r w:rsidRPr="00825E2B">
        <w:rPr>
          <w:rFonts w:ascii="Book Antiqua" w:hAnsi="Book Antiqua"/>
          <w:b/>
          <w:bCs/>
          <w:sz w:val="24"/>
          <w:szCs w:val="24"/>
        </w:rPr>
        <w:t>50 Suppl</w:t>
      </w:r>
      <w:r w:rsidRPr="00825E2B">
        <w:rPr>
          <w:rFonts w:ascii="Book Antiqua" w:hAnsi="Book Antiqua"/>
          <w:sz w:val="24"/>
          <w:szCs w:val="24"/>
        </w:rPr>
        <w:t>: S138-S143 [PMID: 19047759 DOI: 10.1194/jlr.R800079-JLR200]</w:t>
      </w:r>
    </w:p>
    <w:p w14:paraId="0B671DE1" w14:textId="57C9CBA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8 </w:t>
      </w:r>
      <w:r w:rsidRPr="00825E2B">
        <w:rPr>
          <w:rFonts w:ascii="Book Antiqua" w:hAnsi="Book Antiqua"/>
          <w:b/>
          <w:sz w:val="24"/>
          <w:szCs w:val="24"/>
        </w:rPr>
        <w:t xml:space="preserve">Scherer PE. </w:t>
      </w:r>
      <w:r w:rsidRPr="00825E2B">
        <w:rPr>
          <w:rFonts w:ascii="Book Antiqua" w:hAnsi="Book Antiqua"/>
          <w:sz w:val="24"/>
          <w:szCs w:val="24"/>
        </w:rPr>
        <w:t xml:space="preserve">Adipose tissue: from lipid storage compartment to endocrine organ. </w:t>
      </w:r>
      <w:r w:rsidRPr="00825E2B">
        <w:rPr>
          <w:rFonts w:ascii="Book Antiqua" w:hAnsi="Book Antiqua"/>
          <w:i/>
          <w:sz w:val="24"/>
          <w:szCs w:val="24"/>
        </w:rPr>
        <w:t>Diabetes</w:t>
      </w:r>
      <w:r w:rsidRPr="00825E2B">
        <w:rPr>
          <w:rFonts w:ascii="Book Antiqua" w:hAnsi="Book Antiqua"/>
          <w:sz w:val="24"/>
          <w:szCs w:val="24"/>
        </w:rPr>
        <w:t xml:space="preserve"> 2006; </w:t>
      </w:r>
      <w:r w:rsidRPr="00825E2B">
        <w:rPr>
          <w:rFonts w:ascii="Book Antiqua" w:hAnsi="Book Antiqua"/>
          <w:b/>
          <w:sz w:val="24"/>
          <w:szCs w:val="24"/>
        </w:rPr>
        <w:t>55</w:t>
      </w:r>
      <w:r w:rsidRPr="00825E2B">
        <w:rPr>
          <w:rFonts w:ascii="Book Antiqua" w:hAnsi="Book Antiqua"/>
          <w:sz w:val="24"/>
          <w:szCs w:val="24"/>
        </w:rPr>
        <w:t>: 1537-1545 [PMID: 16731815 DOI: 10.2337/db06-0263]</w:t>
      </w:r>
    </w:p>
    <w:p w14:paraId="0DF1E515"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9 </w:t>
      </w:r>
      <w:r w:rsidRPr="00825E2B">
        <w:rPr>
          <w:rFonts w:ascii="Book Antiqua" w:hAnsi="Book Antiqua"/>
          <w:b/>
          <w:bCs/>
          <w:sz w:val="24"/>
          <w:szCs w:val="24"/>
        </w:rPr>
        <w:t>Grabner GF</w:t>
      </w:r>
      <w:r w:rsidRPr="00825E2B">
        <w:rPr>
          <w:rFonts w:ascii="Book Antiqua" w:hAnsi="Book Antiqua"/>
          <w:sz w:val="24"/>
          <w:szCs w:val="24"/>
        </w:rPr>
        <w:t xml:space="preserve">, Zimmermann R, Schicho R, Taschler U. Monoglyceride lipase as a drug target: At the crossroads of arachidonic acid metabolism and endocannabinoid signaling. </w:t>
      </w:r>
      <w:r w:rsidRPr="00825E2B">
        <w:rPr>
          <w:rFonts w:ascii="Book Antiqua" w:hAnsi="Book Antiqua"/>
          <w:i/>
          <w:iCs/>
          <w:sz w:val="24"/>
          <w:szCs w:val="24"/>
        </w:rPr>
        <w:t>Pharmacol Ther</w:t>
      </w:r>
      <w:r w:rsidRPr="00825E2B">
        <w:rPr>
          <w:rFonts w:ascii="Book Antiqua" w:hAnsi="Book Antiqua"/>
          <w:sz w:val="24"/>
          <w:szCs w:val="24"/>
        </w:rPr>
        <w:t xml:space="preserve"> 2017; </w:t>
      </w:r>
      <w:r w:rsidRPr="00825E2B">
        <w:rPr>
          <w:rFonts w:ascii="Book Antiqua" w:hAnsi="Book Antiqua"/>
          <w:b/>
          <w:bCs/>
          <w:sz w:val="24"/>
          <w:szCs w:val="24"/>
        </w:rPr>
        <w:t>175</w:t>
      </w:r>
      <w:r w:rsidRPr="00825E2B">
        <w:rPr>
          <w:rFonts w:ascii="Book Antiqua" w:hAnsi="Book Antiqua"/>
          <w:sz w:val="24"/>
          <w:szCs w:val="24"/>
        </w:rPr>
        <w:t>: 35-46 [PMID: 28213089 DOI: 10.1016/j.pharmthera.2017.02.033]</w:t>
      </w:r>
    </w:p>
    <w:p w14:paraId="13EE0DC7"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lastRenderedPageBreak/>
        <w:t xml:space="preserve">10 </w:t>
      </w:r>
      <w:r w:rsidRPr="00825E2B">
        <w:rPr>
          <w:rFonts w:ascii="Book Antiqua" w:hAnsi="Book Antiqua"/>
          <w:b/>
          <w:bCs/>
          <w:sz w:val="24"/>
          <w:szCs w:val="24"/>
        </w:rPr>
        <w:t>Yamaguchi T</w:t>
      </w:r>
      <w:r w:rsidRPr="00825E2B">
        <w:rPr>
          <w:rFonts w:ascii="Book Antiqua" w:hAnsi="Book Antiqua"/>
          <w:sz w:val="24"/>
          <w:szCs w:val="24"/>
        </w:rPr>
        <w:t xml:space="preserve">, Omatsu N, Morimoto E, Nakashima H, Ueno K, Tanaka T, Satouchi K, Hirose F, Osumi T. CGI-58 facilitates lipolysis on lipid droplets but is not involved in the vesiculation of lipid droplets caused by hormonal stimulation. </w:t>
      </w:r>
      <w:r w:rsidRPr="00825E2B">
        <w:rPr>
          <w:rFonts w:ascii="Book Antiqua" w:hAnsi="Book Antiqua"/>
          <w:i/>
          <w:iCs/>
          <w:sz w:val="24"/>
          <w:szCs w:val="24"/>
        </w:rPr>
        <w:t>J Lipid Res</w:t>
      </w:r>
      <w:r w:rsidRPr="00825E2B">
        <w:rPr>
          <w:rFonts w:ascii="Book Antiqua" w:hAnsi="Book Antiqua"/>
          <w:sz w:val="24"/>
          <w:szCs w:val="24"/>
        </w:rPr>
        <w:t xml:space="preserve"> 2007; </w:t>
      </w:r>
      <w:r w:rsidRPr="00825E2B">
        <w:rPr>
          <w:rFonts w:ascii="Book Antiqua" w:hAnsi="Book Antiqua"/>
          <w:b/>
          <w:bCs/>
          <w:sz w:val="24"/>
          <w:szCs w:val="24"/>
        </w:rPr>
        <w:t>48</w:t>
      </w:r>
      <w:r w:rsidRPr="00825E2B">
        <w:rPr>
          <w:rFonts w:ascii="Book Antiqua" w:hAnsi="Book Antiqua"/>
          <w:sz w:val="24"/>
          <w:szCs w:val="24"/>
        </w:rPr>
        <w:t>: 1078-1089 [PMID: 17308334 DOI: 10.1194/jlr.M600493-JLR200]</w:t>
      </w:r>
    </w:p>
    <w:p w14:paraId="2E935925"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11 </w:t>
      </w:r>
      <w:r w:rsidRPr="00825E2B">
        <w:rPr>
          <w:rFonts w:ascii="Book Antiqua" w:hAnsi="Book Antiqua"/>
          <w:b/>
          <w:bCs/>
          <w:sz w:val="24"/>
          <w:szCs w:val="24"/>
        </w:rPr>
        <w:t>Lampidonis AD</w:t>
      </w:r>
      <w:r w:rsidRPr="00825E2B">
        <w:rPr>
          <w:rFonts w:ascii="Book Antiqua" w:hAnsi="Book Antiqua"/>
          <w:sz w:val="24"/>
          <w:szCs w:val="24"/>
        </w:rPr>
        <w:t xml:space="preserve">, Rogdakis E, Voutsinas GE, Stravopodis DJ. The resurgence of Hormone-Sensitive Lipase (HSL) in mammalian lipolysis. </w:t>
      </w:r>
      <w:r w:rsidRPr="00825E2B">
        <w:rPr>
          <w:rFonts w:ascii="Book Antiqua" w:hAnsi="Book Antiqua"/>
          <w:i/>
          <w:iCs/>
          <w:sz w:val="24"/>
          <w:szCs w:val="24"/>
        </w:rPr>
        <w:t>Gene</w:t>
      </w:r>
      <w:r w:rsidRPr="00825E2B">
        <w:rPr>
          <w:rFonts w:ascii="Book Antiqua" w:hAnsi="Book Antiqua"/>
          <w:sz w:val="24"/>
          <w:szCs w:val="24"/>
        </w:rPr>
        <w:t xml:space="preserve"> 2011; </w:t>
      </w:r>
      <w:r w:rsidRPr="00825E2B">
        <w:rPr>
          <w:rFonts w:ascii="Book Antiqua" w:hAnsi="Book Antiqua"/>
          <w:b/>
          <w:bCs/>
          <w:sz w:val="24"/>
          <w:szCs w:val="24"/>
        </w:rPr>
        <w:t>477</w:t>
      </w:r>
      <w:r w:rsidRPr="00825E2B">
        <w:rPr>
          <w:rFonts w:ascii="Book Antiqua" w:hAnsi="Book Antiqua"/>
          <w:sz w:val="24"/>
          <w:szCs w:val="24"/>
        </w:rPr>
        <w:t>: 1-11 [PMID: 21241784 DOI: 10.1016/j.gene.2011.01.007]</w:t>
      </w:r>
    </w:p>
    <w:p w14:paraId="65CFAFB7" w14:textId="49B35E6E"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12 </w:t>
      </w:r>
      <w:r w:rsidRPr="00825E2B">
        <w:rPr>
          <w:rFonts w:ascii="Book Antiqua" w:hAnsi="Book Antiqua"/>
          <w:b/>
          <w:bCs/>
          <w:sz w:val="24"/>
          <w:szCs w:val="24"/>
        </w:rPr>
        <w:t>Tardelli M</w:t>
      </w:r>
      <w:r w:rsidRPr="00825E2B">
        <w:rPr>
          <w:rFonts w:ascii="Book Antiqua" w:hAnsi="Book Antiqua"/>
          <w:sz w:val="24"/>
          <w:szCs w:val="24"/>
        </w:rPr>
        <w:t xml:space="preserve">, Bruschi FV, Trauner M. The role of metabolic lipases in the pathogenesis and management of liver disease. </w:t>
      </w:r>
      <w:r w:rsidRPr="00825E2B">
        <w:rPr>
          <w:rFonts w:ascii="Book Antiqua" w:hAnsi="Book Antiqua"/>
          <w:i/>
          <w:iCs/>
          <w:sz w:val="24"/>
          <w:szCs w:val="24"/>
        </w:rPr>
        <w:t>Hepatology</w:t>
      </w:r>
      <w:r w:rsidR="001263B0" w:rsidRPr="00825E2B">
        <w:rPr>
          <w:rFonts w:ascii="Book Antiqua" w:hAnsi="Book Antiqua"/>
          <w:sz w:val="24"/>
          <w:szCs w:val="24"/>
        </w:rPr>
        <w:t xml:space="preserve"> 2020</w:t>
      </w:r>
      <w:r w:rsidR="001263B0" w:rsidRPr="00825E2B">
        <w:rPr>
          <w:rFonts w:ascii="Book Antiqua" w:hAnsi="Book Antiqua"/>
          <w:sz w:val="24"/>
          <w:szCs w:val="24"/>
          <w:lang w:eastAsia="zh-CN"/>
        </w:rPr>
        <w:t xml:space="preserve"> </w:t>
      </w:r>
      <w:r w:rsidRPr="00825E2B">
        <w:rPr>
          <w:rFonts w:ascii="Book Antiqua" w:hAnsi="Book Antiqua"/>
          <w:sz w:val="24"/>
          <w:szCs w:val="24"/>
        </w:rPr>
        <w:t>[PMID: 32236963 DOI: 10.1002/hep.31250]</w:t>
      </w:r>
    </w:p>
    <w:p w14:paraId="6B94E010"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13 </w:t>
      </w:r>
      <w:r w:rsidRPr="00825E2B">
        <w:rPr>
          <w:rFonts w:ascii="Book Antiqua" w:hAnsi="Book Antiqua"/>
          <w:b/>
          <w:bCs/>
          <w:sz w:val="24"/>
          <w:szCs w:val="24"/>
        </w:rPr>
        <w:t>Hellerbrand C</w:t>
      </w:r>
      <w:r w:rsidRPr="00825E2B">
        <w:rPr>
          <w:rFonts w:ascii="Book Antiqua" w:hAnsi="Book Antiqua"/>
          <w:sz w:val="24"/>
          <w:szCs w:val="24"/>
        </w:rPr>
        <w:t xml:space="preserve">. Inhibition of monoacylglycerol lipase for the treatment of liver disease: tempting but still playing with fire. </w:t>
      </w:r>
      <w:r w:rsidRPr="00825E2B">
        <w:rPr>
          <w:rFonts w:ascii="Book Antiqua" w:hAnsi="Book Antiqua"/>
          <w:i/>
          <w:iCs/>
          <w:sz w:val="24"/>
          <w:szCs w:val="24"/>
        </w:rPr>
        <w:t>Gut</w:t>
      </w:r>
      <w:r w:rsidRPr="00825E2B">
        <w:rPr>
          <w:rFonts w:ascii="Book Antiqua" w:hAnsi="Book Antiqua"/>
          <w:sz w:val="24"/>
          <w:szCs w:val="24"/>
        </w:rPr>
        <w:t xml:space="preserve"> 2019; </w:t>
      </w:r>
      <w:r w:rsidRPr="00825E2B">
        <w:rPr>
          <w:rFonts w:ascii="Book Antiqua" w:hAnsi="Book Antiqua"/>
          <w:b/>
          <w:bCs/>
          <w:sz w:val="24"/>
          <w:szCs w:val="24"/>
        </w:rPr>
        <w:t>68</w:t>
      </w:r>
      <w:r w:rsidRPr="00825E2B">
        <w:rPr>
          <w:rFonts w:ascii="Book Antiqua" w:hAnsi="Book Antiqua"/>
          <w:sz w:val="24"/>
          <w:szCs w:val="24"/>
        </w:rPr>
        <w:t>: 382-384 [PMID: 30442681 DOI: 10.1136/gutjnl-2018-317520]</w:t>
      </w:r>
    </w:p>
    <w:p w14:paraId="4964A4D2"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14 </w:t>
      </w:r>
      <w:r w:rsidRPr="00825E2B">
        <w:rPr>
          <w:rFonts w:ascii="Book Antiqua" w:hAnsi="Book Antiqua"/>
          <w:b/>
          <w:bCs/>
          <w:sz w:val="24"/>
          <w:szCs w:val="24"/>
        </w:rPr>
        <w:t>Fowler CJ</w:t>
      </w:r>
      <w:r w:rsidRPr="00825E2B">
        <w:rPr>
          <w:rFonts w:ascii="Book Antiqua" w:hAnsi="Book Antiqua"/>
          <w:sz w:val="24"/>
          <w:szCs w:val="24"/>
        </w:rPr>
        <w:t xml:space="preserve">. Monoacylglycerol lipase - a target for drug development? </w:t>
      </w:r>
      <w:r w:rsidRPr="00825E2B">
        <w:rPr>
          <w:rFonts w:ascii="Book Antiqua" w:hAnsi="Book Antiqua"/>
          <w:i/>
          <w:iCs/>
          <w:sz w:val="24"/>
          <w:szCs w:val="24"/>
        </w:rPr>
        <w:t>Br J Pharmacol</w:t>
      </w:r>
      <w:r w:rsidRPr="00825E2B">
        <w:rPr>
          <w:rFonts w:ascii="Book Antiqua" w:hAnsi="Book Antiqua"/>
          <w:sz w:val="24"/>
          <w:szCs w:val="24"/>
        </w:rPr>
        <w:t xml:space="preserve"> 2012; </w:t>
      </w:r>
      <w:r w:rsidRPr="00825E2B">
        <w:rPr>
          <w:rFonts w:ascii="Book Antiqua" w:hAnsi="Book Antiqua"/>
          <w:b/>
          <w:bCs/>
          <w:sz w:val="24"/>
          <w:szCs w:val="24"/>
        </w:rPr>
        <w:t>166</w:t>
      </w:r>
      <w:r w:rsidRPr="00825E2B">
        <w:rPr>
          <w:rFonts w:ascii="Book Antiqua" w:hAnsi="Book Antiqua"/>
          <w:sz w:val="24"/>
          <w:szCs w:val="24"/>
        </w:rPr>
        <w:t>: 1568-1585 [PMID: 22428756 DOI: 10.1111/j.1476-5381.2012.01950.x]</w:t>
      </w:r>
    </w:p>
    <w:p w14:paraId="3513F26B"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15 </w:t>
      </w:r>
      <w:r w:rsidRPr="00825E2B">
        <w:rPr>
          <w:rFonts w:ascii="Book Antiqua" w:hAnsi="Book Antiqua"/>
          <w:b/>
          <w:bCs/>
          <w:sz w:val="24"/>
          <w:szCs w:val="24"/>
        </w:rPr>
        <w:t>Zhang J</w:t>
      </w:r>
      <w:r w:rsidRPr="00825E2B">
        <w:rPr>
          <w:rFonts w:ascii="Book Antiqua" w:hAnsi="Book Antiqua"/>
          <w:sz w:val="24"/>
          <w:szCs w:val="24"/>
        </w:rPr>
        <w:t xml:space="preserve">, Liu Z, Lian Z, Liao R, Chen Y, Qin Y, Wang J, Jiang Q, Wang X, Gong J. Monoacylglycerol Lipase: A Novel Potential Therapeutic Target and Prognostic Indicator for Hepatocellular Carcinoma. </w:t>
      </w:r>
      <w:r w:rsidRPr="00825E2B">
        <w:rPr>
          <w:rFonts w:ascii="Book Antiqua" w:hAnsi="Book Antiqua"/>
          <w:i/>
          <w:iCs/>
          <w:sz w:val="24"/>
          <w:szCs w:val="24"/>
        </w:rPr>
        <w:t>Sci Rep</w:t>
      </w:r>
      <w:r w:rsidRPr="00825E2B">
        <w:rPr>
          <w:rFonts w:ascii="Book Antiqua" w:hAnsi="Book Antiqua"/>
          <w:sz w:val="24"/>
          <w:szCs w:val="24"/>
        </w:rPr>
        <w:t xml:space="preserve"> 2016; </w:t>
      </w:r>
      <w:r w:rsidRPr="00825E2B">
        <w:rPr>
          <w:rFonts w:ascii="Book Antiqua" w:hAnsi="Book Antiqua"/>
          <w:b/>
          <w:bCs/>
          <w:sz w:val="24"/>
          <w:szCs w:val="24"/>
        </w:rPr>
        <w:t>6</w:t>
      </w:r>
      <w:r w:rsidRPr="00825E2B">
        <w:rPr>
          <w:rFonts w:ascii="Book Antiqua" w:hAnsi="Book Antiqua"/>
          <w:sz w:val="24"/>
          <w:szCs w:val="24"/>
        </w:rPr>
        <w:t>: 35784 [PMID: 27767105 DOI: 10.1038/srep35784]</w:t>
      </w:r>
    </w:p>
    <w:p w14:paraId="5947BC73"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16 </w:t>
      </w:r>
      <w:r w:rsidRPr="00825E2B">
        <w:rPr>
          <w:rFonts w:ascii="Book Antiqua" w:hAnsi="Book Antiqua"/>
          <w:b/>
          <w:bCs/>
          <w:sz w:val="24"/>
          <w:szCs w:val="24"/>
        </w:rPr>
        <w:t>Chen R</w:t>
      </w:r>
      <w:r w:rsidRPr="00825E2B">
        <w:rPr>
          <w:rFonts w:ascii="Book Antiqua" w:hAnsi="Book Antiqua"/>
          <w:sz w:val="24"/>
          <w:szCs w:val="24"/>
        </w:rPr>
        <w:t xml:space="preserve">, Zhang J, Wu Y, Wang D, Feng G, Tang YP, Teng Z, Chen C. Monoacylglycerol lipase is a therapeutic target for Alzheimer's disease. </w:t>
      </w:r>
      <w:r w:rsidRPr="00825E2B">
        <w:rPr>
          <w:rFonts w:ascii="Book Antiqua" w:hAnsi="Book Antiqua"/>
          <w:i/>
          <w:iCs/>
          <w:sz w:val="24"/>
          <w:szCs w:val="24"/>
        </w:rPr>
        <w:t>Cell Rep</w:t>
      </w:r>
      <w:r w:rsidRPr="00825E2B">
        <w:rPr>
          <w:rFonts w:ascii="Book Antiqua" w:hAnsi="Book Antiqua"/>
          <w:sz w:val="24"/>
          <w:szCs w:val="24"/>
        </w:rPr>
        <w:t xml:space="preserve"> 2012; </w:t>
      </w:r>
      <w:r w:rsidRPr="00825E2B">
        <w:rPr>
          <w:rFonts w:ascii="Book Antiqua" w:hAnsi="Book Antiqua"/>
          <w:b/>
          <w:bCs/>
          <w:sz w:val="24"/>
          <w:szCs w:val="24"/>
        </w:rPr>
        <w:t>2</w:t>
      </w:r>
      <w:r w:rsidRPr="00825E2B">
        <w:rPr>
          <w:rFonts w:ascii="Book Antiqua" w:hAnsi="Book Antiqua"/>
          <w:sz w:val="24"/>
          <w:szCs w:val="24"/>
        </w:rPr>
        <w:t>: 1329-1339 [PMID: 23122958 DOI: 10.1016/j.celrep.2012.09.030]</w:t>
      </w:r>
    </w:p>
    <w:p w14:paraId="30156FDB"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17 </w:t>
      </w:r>
      <w:r w:rsidRPr="00825E2B">
        <w:rPr>
          <w:rFonts w:ascii="Book Antiqua" w:hAnsi="Book Antiqua"/>
          <w:b/>
          <w:bCs/>
          <w:sz w:val="24"/>
          <w:szCs w:val="24"/>
        </w:rPr>
        <w:t>Poursharifi P</w:t>
      </w:r>
      <w:r w:rsidRPr="00825E2B">
        <w:rPr>
          <w:rFonts w:ascii="Book Antiqua" w:hAnsi="Book Antiqua"/>
          <w:sz w:val="24"/>
          <w:szCs w:val="24"/>
        </w:rPr>
        <w:t xml:space="preserve">, Madiraju SRM, Prentki M. Monoacylglycerol signalling and ABHD6 in health and disease. </w:t>
      </w:r>
      <w:r w:rsidRPr="00825E2B">
        <w:rPr>
          <w:rFonts w:ascii="Book Antiqua" w:hAnsi="Book Antiqua"/>
          <w:i/>
          <w:iCs/>
          <w:sz w:val="24"/>
          <w:szCs w:val="24"/>
        </w:rPr>
        <w:t>Diabetes Obes Metab</w:t>
      </w:r>
      <w:r w:rsidRPr="00825E2B">
        <w:rPr>
          <w:rFonts w:ascii="Book Antiqua" w:hAnsi="Book Antiqua"/>
          <w:sz w:val="24"/>
          <w:szCs w:val="24"/>
        </w:rPr>
        <w:t xml:space="preserve"> 2017; </w:t>
      </w:r>
      <w:r w:rsidRPr="00825E2B">
        <w:rPr>
          <w:rFonts w:ascii="Book Antiqua" w:hAnsi="Book Antiqua"/>
          <w:b/>
          <w:bCs/>
          <w:sz w:val="24"/>
          <w:szCs w:val="24"/>
        </w:rPr>
        <w:t>19 Suppl 1</w:t>
      </w:r>
      <w:r w:rsidRPr="00825E2B">
        <w:rPr>
          <w:rFonts w:ascii="Book Antiqua" w:hAnsi="Book Antiqua"/>
          <w:sz w:val="24"/>
          <w:szCs w:val="24"/>
        </w:rPr>
        <w:t>: 76-89 [PMID: 28880480 DOI: 10.1111/dom.13008]</w:t>
      </w:r>
    </w:p>
    <w:p w14:paraId="4170E380" w14:textId="5E31F388" w:rsidR="00871771" w:rsidRPr="00825E2B" w:rsidRDefault="00871771" w:rsidP="00A921B8">
      <w:pPr>
        <w:snapToGrid w:val="0"/>
        <w:spacing w:after="0" w:line="360" w:lineRule="auto"/>
        <w:jc w:val="both"/>
        <w:rPr>
          <w:rFonts w:ascii="Book Antiqua" w:hAnsi="Book Antiqua"/>
          <w:sz w:val="24"/>
          <w:szCs w:val="24"/>
          <w:lang w:eastAsia="zh-CN"/>
        </w:rPr>
      </w:pPr>
      <w:r w:rsidRPr="00825E2B">
        <w:rPr>
          <w:rFonts w:ascii="Book Antiqua" w:hAnsi="Book Antiqua"/>
          <w:sz w:val="24"/>
          <w:szCs w:val="24"/>
        </w:rPr>
        <w:t xml:space="preserve">18 </w:t>
      </w:r>
      <w:r w:rsidRPr="00825E2B">
        <w:rPr>
          <w:rFonts w:ascii="Book Antiqua" w:hAnsi="Book Antiqua"/>
          <w:b/>
          <w:bCs/>
          <w:sz w:val="24"/>
          <w:szCs w:val="24"/>
        </w:rPr>
        <w:t>Acuña</w:t>
      </w:r>
      <w:r w:rsidR="007731C5" w:rsidRPr="00825E2B">
        <w:rPr>
          <w:rFonts w:ascii="Book Antiqua" w:hAnsi="Book Antiqua" w:cs="宋体"/>
          <w:b/>
          <w:bCs/>
          <w:sz w:val="24"/>
          <w:szCs w:val="24"/>
          <w:lang w:eastAsia="zh-CN"/>
        </w:rPr>
        <w:t>-</w:t>
      </w:r>
      <w:r w:rsidRPr="00825E2B">
        <w:rPr>
          <w:rFonts w:ascii="Book Antiqua" w:hAnsi="Book Antiqua"/>
          <w:b/>
          <w:bCs/>
          <w:sz w:val="24"/>
          <w:szCs w:val="24"/>
        </w:rPr>
        <w:t>Aravena M,</w:t>
      </w:r>
      <w:r w:rsidR="001263B0" w:rsidRPr="00825E2B">
        <w:rPr>
          <w:rFonts w:ascii="Book Antiqua" w:hAnsi="Book Antiqua"/>
          <w:sz w:val="24"/>
          <w:szCs w:val="24"/>
        </w:rPr>
        <w:t xml:space="preserve"> </w:t>
      </w:r>
      <w:r w:rsidRPr="00825E2B">
        <w:rPr>
          <w:rFonts w:ascii="Book Antiqua" w:hAnsi="Book Antiqua"/>
          <w:sz w:val="24"/>
          <w:szCs w:val="24"/>
        </w:rPr>
        <w:t xml:space="preserve">Cohen DE. </w:t>
      </w:r>
      <w:bookmarkStart w:id="6" w:name="OLE_LINK9"/>
      <w:bookmarkStart w:id="7" w:name="OLE_LINK10"/>
      <w:r w:rsidRPr="00825E2B">
        <w:rPr>
          <w:rFonts w:ascii="Book Antiqua" w:hAnsi="Book Antiqua"/>
          <w:sz w:val="24"/>
          <w:szCs w:val="24"/>
        </w:rPr>
        <w:t>Lipoprotein Metabolism and Cholesterol Balance</w:t>
      </w:r>
      <w:bookmarkEnd w:id="6"/>
      <w:bookmarkEnd w:id="7"/>
      <w:r w:rsidRPr="00825E2B">
        <w:rPr>
          <w:rFonts w:ascii="Book Antiqua" w:hAnsi="Book Antiqua"/>
          <w:sz w:val="24"/>
          <w:szCs w:val="24"/>
        </w:rPr>
        <w:t>. In: The Liver 2020</w:t>
      </w:r>
      <w:r w:rsidRPr="00825E2B">
        <w:rPr>
          <w:rFonts w:ascii="Book Antiqua" w:hAnsi="Book Antiqua"/>
          <w:sz w:val="24"/>
          <w:szCs w:val="24"/>
          <w:lang w:eastAsia="zh-CN"/>
        </w:rPr>
        <w:t xml:space="preserve"> [DOI: 10.1002/9781119436812.ch22]</w:t>
      </w:r>
    </w:p>
    <w:p w14:paraId="22D46F28"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lastRenderedPageBreak/>
        <w:t xml:space="preserve">19 </w:t>
      </w:r>
      <w:r w:rsidRPr="00825E2B">
        <w:rPr>
          <w:rFonts w:ascii="Book Antiqua" w:hAnsi="Book Antiqua"/>
          <w:b/>
          <w:bCs/>
          <w:sz w:val="24"/>
          <w:szCs w:val="24"/>
        </w:rPr>
        <w:t>Goldberg IJ</w:t>
      </w:r>
      <w:r w:rsidRPr="00825E2B">
        <w:rPr>
          <w:rFonts w:ascii="Book Antiqua" w:hAnsi="Book Antiqua"/>
          <w:sz w:val="24"/>
          <w:szCs w:val="24"/>
        </w:rPr>
        <w:t xml:space="preserve">, Merkel M. Lipoprotein lipase: physiology, biochemistry, and molecular biology. </w:t>
      </w:r>
      <w:r w:rsidRPr="00825E2B">
        <w:rPr>
          <w:rFonts w:ascii="Book Antiqua" w:hAnsi="Book Antiqua"/>
          <w:i/>
          <w:iCs/>
          <w:sz w:val="24"/>
          <w:szCs w:val="24"/>
        </w:rPr>
        <w:t>Front Biosci</w:t>
      </w:r>
      <w:r w:rsidRPr="00825E2B">
        <w:rPr>
          <w:rFonts w:ascii="Book Antiqua" w:hAnsi="Book Antiqua"/>
          <w:sz w:val="24"/>
          <w:szCs w:val="24"/>
        </w:rPr>
        <w:t xml:space="preserve"> 2001; </w:t>
      </w:r>
      <w:r w:rsidRPr="00825E2B">
        <w:rPr>
          <w:rFonts w:ascii="Book Antiqua" w:hAnsi="Book Antiqua"/>
          <w:b/>
          <w:bCs/>
          <w:sz w:val="24"/>
          <w:szCs w:val="24"/>
        </w:rPr>
        <w:t>6</w:t>
      </w:r>
      <w:r w:rsidRPr="00825E2B">
        <w:rPr>
          <w:rFonts w:ascii="Book Antiqua" w:hAnsi="Book Antiqua"/>
          <w:sz w:val="24"/>
          <w:szCs w:val="24"/>
        </w:rPr>
        <w:t>: D388-D405 [PMID: 11229871 DOI: 10.2741/goldberg]</w:t>
      </w:r>
    </w:p>
    <w:p w14:paraId="4AB91A36"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20 </w:t>
      </w:r>
      <w:r w:rsidRPr="00825E2B">
        <w:rPr>
          <w:rFonts w:ascii="Book Antiqua" w:hAnsi="Book Antiqua"/>
          <w:b/>
          <w:bCs/>
          <w:sz w:val="24"/>
          <w:szCs w:val="24"/>
        </w:rPr>
        <w:t>Lowe ME</w:t>
      </w:r>
      <w:r w:rsidRPr="00825E2B">
        <w:rPr>
          <w:rFonts w:ascii="Book Antiqua" w:hAnsi="Book Antiqua"/>
          <w:sz w:val="24"/>
          <w:szCs w:val="24"/>
        </w:rPr>
        <w:t xml:space="preserve">. The triglyceride lipases of the pancreas. </w:t>
      </w:r>
      <w:r w:rsidRPr="00825E2B">
        <w:rPr>
          <w:rFonts w:ascii="Book Antiqua" w:hAnsi="Book Antiqua"/>
          <w:i/>
          <w:iCs/>
          <w:sz w:val="24"/>
          <w:szCs w:val="24"/>
        </w:rPr>
        <w:t>J Lipid Res</w:t>
      </w:r>
      <w:r w:rsidRPr="00825E2B">
        <w:rPr>
          <w:rFonts w:ascii="Book Antiqua" w:hAnsi="Book Antiqua"/>
          <w:sz w:val="24"/>
          <w:szCs w:val="24"/>
        </w:rPr>
        <w:t xml:space="preserve"> 2002; </w:t>
      </w:r>
      <w:r w:rsidRPr="00825E2B">
        <w:rPr>
          <w:rFonts w:ascii="Book Antiqua" w:hAnsi="Book Antiqua"/>
          <w:b/>
          <w:bCs/>
          <w:sz w:val="24"/>
          <w:szCs w:val="24"/>
        </w:rPr>
        <w:t>43</w:t>
      </w:r>
      <w:r w:rsidRPr="00825E2B">
        <w:rPr>
          <w:rFonts w:ascii="Book Antiqua" w:hAnsi="Book Antiqua"/>
          <w:sz w:val="24"/>
          <w:szCs w:val="24"/>
        </w:rPr>
        <w:t>: 2007-2016 [PMID: 12454260 DOI: 10.1194/jlr.r200012-jlr200]</w:t>
      </w:r>
    </w:p>
    <w:p w14:paraId="3A2F6ACD"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21 </w:t>
      </w:r>
      <w:r w:rsidRPr="00825E2B">
        <w:rPr>
          <w:rFonts w:ascii="Book Antiqua" w:hAnsi="Book Antiqua"/>
          <w:b/>
          <w:bCs/>
          <w:sz w:val="24"/>
          <w:szCs w:val="24"/>
        </w:rPr>
        <w:t>Shi Y</w:t>
      </w:r>
      <w:r w:rsidRPr="00825E2B">
        <w:rPr>
          <w:rFonts w:ascii="Book Antiqua" w:hAnsi="Book Antiqua"/>
          <w:sz w:val="24"/>
          <w:szCs w:val="24"/>
        </w:rPr>
        <w:t xml:space="preserve">, Cheng D. Beyond triglyceride synthesis: the dynamic functional roles of MGAT and DGAT enzymes in energy metabolism. </w:t>
      </w:r>
      <w:r w:rsidRPr="00825E2B">
        <w:rPr>
          <w:rFonts w:ascii="Book Antiqua" w:hAnsi="Book Antiqua"/>
          <w:i/>
          <w:iCs/>
          <w:sz w:val="24"/>
          <w:szCs w:val="24"/>
        </w:rPr>
        <w:t>Am J Physiol Endocrinol Metab</w:t>
      </w:r>
      <w:r w:rsidRPr="00825E2B">
        <w:rPr>
          <w:rFonts w:ascii="Book Antiqua" w:hAnsi="Book Antiqua"/>
          <w:sz w:val="24"/>
          <w:szCs w:val="24"/>
        </w:rPr>
        <w:t xml:space="preserve"> 2009; </w:t>
      </w:r>
      <w:r w:rsidRPr="00825E2B">
        <w:rPr>
          <w:rFonts w:ascii="Book Antiqua" w:hAnsi="Book Antiqua"/>
          <w:b/>
          <w:bCs/>
          <w:sz w:val="24"/>
          <w:szCs w:val="24"/>
        </w:rPr>
        <w:t>297</w:t>
      </w:r>
      <w:r w:rsidRPr="00825E2B">
        <w:rPr>
          <w:rFonts w:ascii="Book Antiqua" w:hAnsi="Book Antiqua"/>
          <w:sz w:val="24"/>
          <w:szCs w:val="24"/>
        </w:rPr>
        <w:t>: E10-E18 [PMID: 19116371 DOI: 10.1152/ajpendo.90949.2008]</w:t>
      </w:r>
    </w:p>
    <w:p w14:paraId="48210480"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22 </w:t>
      </w:r>
      <w:r w:rsidRPr="00825E2B">
        <w:rPr>
          <w:rFonts w:ascii="Book Antiqua" w:hAnsi="Book Antiqua"/>
          <w:b/>
          <w:bCs/>
          <w:sz w:val="24"/>
          <w:szCs w:val="24"/>
        </w:rPr>
        <w:t>Duncan M</w:t>
      </w:r>
      <w:r w:rsidRPr="00825E2B">
        <w:rPr>
          <w:rFonts w:ascii="Book Antiqua" w:hAnsi="Book Antiqua"/>
          <w:sz w:val="24"/>
          <w:szCs w:val="24"/>
        </w:rPr>
        <w:t xml:space="preserve">, Thomas AD, Cluny NL, Patel A, Patel KD, Lutz B, Piomelli D, Alexander SP, Sharkey KA. Distribution and function of monoacylglycerol lipase in the gastrointestinal tract. </w:t>
      </w:r>
      <w:r w:rsidRPr="00825E2B">
        <w:rPr>
          <w:rFonts w:ascii="Book Antiqua" w:hAnsi="Book Antiqua"/>
          <w:i/>
          <w:iCs/>
          <w:sz w:val="24"/>
          <w:szCs w:val="24"/>
        </w:rPr>
        <w:t>Am J Physiol Gastrointest Liver Physiol</w:t>
      </w:r>
      <w:r w:rsidRPr="00825E2B">
        <w:rPr>
          <w:rFonts w:ascii="Book Antiqua" w:hAnsi="Book Antiqua"/>
          <w:sz w:val="24"/>
          <w:szCs w:val="24"/>
        </w:rPr>
        <w:t xml:space="preserve"> 2008; </w:t>
      </w:r>
      <w:r w:rsidRPr="00825E2B">
        <w:rPr>
          <w:rFonts w:ascii="Book Antiqua" w:hAnsi="Book Antiqua"/>
          <w:b/>
          <w:bCs/>
          <w:sz w:val="24"/>
          <w:szCs w:val="24"/>
        </w:rPr>
        <w:t>295</w:t>
      </w:r>
      <w:r w:rsidRPr="00825E2B">
        <w:rPr>
          <w:rFonts w:ascii="Book Antiqua" w:hAnsi="Book Antiqua"/>
          <w:sz w:val="24"/>
          <w:szCs w:val="24"/>
        </w:rPr>
        <w:t>: G1255-G1265 [PMID: 18948437 DOI: 10.1152/ajpgi.90500.2008]</w:t>
      </w:r>
    </w:p>
    <w:p w14:paraId="35B68E06"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23 </w:t>
      </w:r>
      <w:r w:rsidRPr="00825E2B">
        <w:rPr>
          <w:rFonts w:ascii="Book Antiqua" w:hAnsi="Book Antiqua"/>
          <w:b/>
          <w:bCs/>
          <w:sz w:val="24"/>
          <w:szCs w:val="24"/>
        </w:rPr>
        <w:t>Taschler U</w:t>
      </w:r>
      <w:r w:rsidRPr="00825E2B">
        <w:rPr>
          <w:rFonts w:ascii="Book Antiqua" w:hAnsi="Book Antiqua"/>
          <w:sz w:val="24"/>
          <w:szCs w:val="24"/>
        </w:rPr>
        <w:t xml:space="preserve">, Radner FP, Heier C, Schreiber R, Schweiger M, Schoiswohl G, Preiss-Landl K, Jaeger D, Reiter B, Koefeler HC, Wojciechowski J, Theussl C, Penninger JM, Lass A, Haemmerle G, Zechner R, Zimmermann R. Monoglyceride lipase deficiency in mice impairs lipolysis and attenuates diet-induced insulin resistance. </w:t>
      </w:r>
      <w:r w:rsidRPr="00825E2B">
        <w:rPr>
          <w:rFonts w:ascii="Book Antiqua" w:hAnsi="Book Antiqua"/>
          <w:i/>
          <w:iCs/>
          <w:sz w:val="24"/>
          <w:szCs w:val="24"/>
        </w:rPr>
        <w:t>J Biol Chem</w:t>
      </w:r>
      <w:r w:rsidRPr="00825E2B">
        <w:rPr>
          <w:rFonts w:ascii="Book Antiqua" w:hAnsi="Book Antiqua"/>
          <w:sz w:val="24"/>
          <w:szCs w:val="24"/>
        </w:rPr>
        <w:t xml:space="preserve"> 2011; </w:t>
      </w:r>
      <w:r w:rsidRPr="00825E2B">
        <w:rPr>
          <w:rFonts w:ascii="Book Antiqua" w:hAnsi="Book Antiqua"/>
          <w:b/>
          <w:bCs/>
          <w:sz w:val="24"/>
          <w:szCs w:val="24"/>
        </w:rPr>
        <w:t>286</w:t>
      </w:r>
      <w:r w:rsidRPr="00825E2B">
        <w:rPr>
          <w:rFonts w:ascii="Book Antiqua" w:hAnsi="Book Antiqua"/>
          <w:sz w:val="24"/>
          <w:szCs w:val="24"/>
        </w:rPr>
        <w:t>: 17467-17477 [PMID: 21454566 DOI: 10.1074/jbc.M110.215434]</w:t>
      </w:r>
    </w:p>
    <w:p w14:paraId="377348C2"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24 </w:t>
      </w:r>
      <w:r w:rsidRPr="00825E2B">
        <w:rPr>
          <w:rFonts w:ascii="Book Antiqua" w:hAnsi="Book Antiqua"/>
          <w:b/>
          <w:bCs/>
          <w:sz w:val="24"/>
          <w:szCs w:val="24"/>
        </w:rPr>
        <w:t>Nomura DK</w:t>
      </w:r>
      <w:r w:rsidRPr="00825E2B">
        <w:rPr>
          <w:rFonts w:ascii="Book Antiqua" w:hAnsi="Book Antiqua"/>
          <w:sz w:val="24"/>
          <w:szCs w:val="24"/>
        </w:rPr>
        <w:t xml:space="preserve">, Morrison BE, Blankman JL, Long JZ, Kinsey SG, Marcondes MC, Ward AM, Hahn YK, Lichtman AH, Conti B, Cravatt BF. Endocannabinoid hydrolysis generates brain prostaglandins that promote neuroinflammation. </w:t>
      </w:r>
      <w:r w:rsidRPr="00825E2B">
        <w:rPr>
          <w:rFonts w:ascii="Book Antiqua" w:hAnsi="Book Antiqua"/>
          <w:i/>
          <w:iCs/>
          <w:sz w:val="24"/>
          <w:szCs w:val="24"/>
        </w:rPr>
        <w:t>Science</w:t>
      </w:r>
      <w:r w:rsidRPr="00825E2B">
        <w:rPr>
          <w:rFonts w:ascii="Book Antiqua" w:hAnsi="Book Antiqua"/>
          <w:sz w:val="24"/>
          <w:szCs w:val="24"/>
        </w:rPr>
        <w:t xml:space="preserve"> 2011; </w:t>
      </w:r>
      <w:r w:rsidRPr="00825E2B">
        <w:rPr>
          <w:rFonts w:ascii="Book Antiqua" w:hAnsi="Book Antiqua"/>
          <w:b/>
          <w:bCs/>
          <w:sz w:val="24"/>
          <w:szCs w:val="24"/>
        </w:rPr>
        <w:t>334</w:t>
      </w:r>
      <w:r w:rsidRPr="00825E2B">
        <w:rPr>
          <w:rFonts w:ascii="Book Antiqua" w:hAnsi="Book Antiqua"/>
          <w:sz w:val="24"/>
          <w:szCs w:val="24"/>
        </w:rPr>
        <w:t>: 809-813 [PMID: 22021672 DOI: 10.1126/science.1209200]</w:t>
      </w:r>
    </w:p>
    <w:p w14:paraId="5CBB0661"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25 </w:t>
      </w:r>
      <w:r w:rsidRPr="00825E2B">
        <w:rPr>
          <w:rFonts w:ascii="Book Antiqua" w:hAnsi="Book Antiqua"/>
          <w:b/>
          <w:bCs/>
          <w:sz w:val="24"/>
          <w:szCs w:val="24"/>
        </w:rPr>
        <w:t>Hillard CJ</w:t>
      </w:r>
      <w:r w:rsidRPr="00825E2B">
        <w:rPr>
          <w:rFonts w:ascii="Book Antiqua" w:hAnsi="Book Antiqua"/>
          <w:sz w:val="24"/>
          <w:szCs w:val="24"/>
        </w:rPr>
        <w:t xml:space="preserve">, Liu QS. Endocannabinoid signaling in the etiology and treatment of major depressive illness. </w:t>
      </w:r>
      <w:r w:rsidRPr="00825E2B">
        <w:rPr>
          <w:rFonts w:ascii="Book Antiqua" w:hAnsi="Book Antiqua"/>
          <w:i/>
          <w:iCs/>
          <w:sz w:val="24"/>
          <w:szCs w:val="24"/>
        </w:rPr>
        <w:t>Curr Pharm Des</w:t>
      </w:r>
      <w:r w:rsidRPr="00825E2B">
        <w:rPr>
          <w:rFonts w:ascii="Book Antiqua" w:hAnsi="Book Antiqua"/>
          <w:sz w:val="24"/>
          <w:szCs w:val="24"/>
        </w:rPr>
        <w:t xml:space="preserve"> 2014; </w:t>
      </w:r>
      <w:r w:rsidRPr="00825E2B">
        <w:rPr>
          <w:rFonts w:ascii="Book Antiqua" w:hAnsi="Book Antiqua"/>
          <w:b/>
          <w:bCs/>
          <w:sz w:val="24"/>
          <w:szCs w:val="24"/>
        </w:rPr>
        <w:t>20</w:t>
      </w:r>
      <w:r w:rsidRPr="00825E2B">
        <w:rPr>
          <w:rFonts w:ascii="Book Antiqua" w:hAnsi="Book Antiqua"/>
          <w:sz w:val="24"/>
          <w:szCs w:val="24"/>
        </w:rPr>
        <w:t>: 3795-3811 [PMID: 24180398 DOI: 10.2174/13816128113196660735]</w:t>
      </w:r>
    </w:p>
    <w:p w14:paraId="0DF09128"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26 </w:t>
      </w:r>
      <w:r w:rsidRPr="00825E2B">
        <w:rPr>
          <w:rFonts w:ascii="Book Antiqua" w:hAnsi="Book Antiqua"/>
          <w:b/>
          <w:bCs/>
          <w:sz w:val="24"/>
          <w:szCs w:val="24"/>
        </w:rPr>
        <w:t>Yoshida K</w:t>
      </w:r>
      <w:r w:rsidRPr="00825E2B">
        <w:rPr>
          <w:rFonts w:ascii="Book Antiqua" w:hAnsi="Book Antiqua"/>
          <w:sz w:val="24"/>
          <w:szCs w:val="24"/>
        </w:rPr>
        <w:t>, Kita Y, Tokuoka SM, Hamano F, Yamazaki M, Sakimura K, Kano M, Shimizu T. Monoacylglycerol lipase deficiency affects diet-induced obesity, fat absorption, and feeding behavior in CB</w:t>
      </w:r>
      <w:r w:rsidRPr="00825E2B">
        <w:rPr>
          <w:rFonts w:ascii="Book Antiqua" w:hAnsi="Book Antiqua"/>
          <w:sz w:val="24"/>
          <w:szCs w:val="24"/>
          <w:vertAlign w:val="subscript"/>
        </w:rPr>
        <w:t>1</w:t>
      </w:r>
      <w:r w:rsidRPr="00825E2B">
        <w:rPr>
          <w:rFonts w:ascii="Book Antiqua" w:hAnsi="Book Antiqua"/>
          <w:sz w:val="24"/>
          <w:szCs w:val="24"/>
        </w:rPr>
        <w:t xml:space="preserve"> cannabinoid receptor-</w:t>
      </w:r>
      <w:r w:rsidRPr="00825E2B">
        <w:rPr>
          <w:rFonts w:ascii="Book Antiqua" w:hAnsi="Book Antiqua"/>
          <w:sz w:val="24"/>
          <w:szCs w:val="24"/>
        </w:rPr>
        <w:lastRenderedPageBreak/>
        <w:t xml:space="preserve">deficient mice. </w:t>
      </w:r>
      <w:r w:rsidRPr="00825E2B">
        <w:rPr>
          <w:rFonts w:ascii="Book Antiqua" w:hAnsi="Book Antiqua"/>
          <w:i/>
          <w:iCs/>
          <w:sz w:val="24"/>
          <w:szCs w:val="24"/>
        </w:rPr>
        <w:t>FASEB J</w:t>
      </w:r>
      <w:r w:rsidRPr="00825E2B">
        <w:rPr>
          <w:rFonts w:ascii="Book Antiqua" w:hAnsi="Book Antiqua"/>
          <w:sz w:val="24"/>
          <w:szCs w:val="24"/>
        </w:rPr>
        <w:t xml:space="preserve"> 2019; </w:t>
      </w:r>
      <w:r w:rsidRPr="00825E2B">
        <w:rPr>
          <w:rFonts w:ascii="Book Antiqua" w:hAnsi="Book Antiqua"/>
          <w:b/>
          <w:bCs/>
          <w:sz w:val="24"/>
          <w:szCs w:val="24"/>
        </w:rPr>
        <w:t>33</w:t>
      </w:r>
      <w:r w:rsidRPr="00825E2B">
        <w:rPr>
          <w:rFonts w:ascii="Book Antiqua" w:hAnsi="Book Antiqua"/>
          <w:sz w:val="24"/>
          <w:szCs w:val="24"/>
        </w:rPr>
        <w:t>: 2484-2497 [PMID: 30265576 DOI: 10.1096/fj.201801203R]</w:t>
      </w:r>
    </w:p>
    <w:p w14:paraId="60FD5DCE"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27 </w:t>
      </w:r>
      <w:r w:rsidRPr="00825E2B">
        <w:rPr>
          <w:rFonts w:ascii="Book Antiqua" w:hAnsi="Book Antiqua"/>
          <w:b/>
          <w:bCs/>
          <w:sz w:val="24"/>
          <w:szCs w:val="24"/>
        </w:rPr>
        <w:t>Sticht MA</w:t>
      </w:r>
      <w:r w:rsidRPr="00825E2B">
        <w:rPr>
          <w:rFonts w:ascii="Book Antiqua" w:hAnsi="Book Antiqua"/>
          <w:sz w:val="24"/>
          <w:szCs w:val="24"/>
        </w:rPr>
        <w:t xml:space="preserve">, Lau DJ, Keenan CM, Cavin JB, Morena M, Vemuri VK, Makriyannis A, Cravatt BF, Sharkey KA, Hill MN. Endocannabinoid regulation of homeostatic feeding and stress-induced alterations in food intake in male rats. </w:t>
      </w:r>
      <w:r w:rsidRPr="00825E2B">
        <w:rPr>
          <w:rFonts w:ascii="Book Antiqua" w:hAnsi="Book Antiqua"/>
          <w:i/>
          <w:iCs/>
          <w:sz w:val="24"/>
          <w:szCs w:val="24"/>
        </w:rPr>
        <w:t>Br J Pharmacol</w:t>
      </w:r>
      <w:r w:rsidRPr="00825E2B">
        <w:rPr>
          <w:rFonts w:ascii="Book Antiqua" w:hAnsi="Book Antiqua"/>
          <w:sz w:val="24"/>
          <w:szCs w:val="24"/>
        </w:rPr>
        <w:t xml:space="preserve"> 2019; </w:t>
      </w:r>
      <w:r w:rsidRPr="00825E2B">
        <w:rPr>
          <w:rFonts w:ascii="Book Antiqua" w:hAnsi="Book Antiqua"/>
          <w:b/>
          <w:bCs/>
          <w:sz w:val="24"/>
          <w:szCs w:val="24"/>
        </w:rPr>
        <w:t>176</w:t>
      </w:r>
      <w:r w:rsidRPr="00825E2B">
        <w:rPr>
          <w:rFonts w:ascii="Book Antiqua" w:hAnsi="Book Antiqua"/>
          <w:sz w:val="24"/>
          <w:szCs w:val="24"/>
        </w:rPr>
        <w:t>: 1524-1540 [PMID: 30051485 DOI: 10.1111/bph.14453]</w:t>
      </w:r>
    </w:p>
    <w:p w14:paraId="7304A377"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28 </w:t>
      </w:r>
      <w:r w:rsidRPr="00825E2B">
        <w:rPr>
          <w:rFonts w:ascii="Book Antiqua" w:hAnsi="Book Antiqua"/>
          <w:b/>
          <w:bCs/>
          <w:sz w:val="24"/>
          <w:szCs w:val="24"/>
        </w:rPr>
        <w:t>Schloss MJ</w:t>
      </w:r>
      <w:r w:rsidRPr="00825E2B">
        <w:rPr>
          <w:rFonts w:ascii="Book Antiqua" w:hAnsi="Book Antiqua"/>
          <w:sz w:val="24"/>
          <w:szCs w:val="24"/>
        </w:rPr>
        <w:t xml:space="preserve">, Horckmans M, Guillamat-Prats R, Hering D, Lauer E, Lenglet S, Weber C, Thomas A, Steffens S. 2-Arachidonoylglycerol mobilizes myeloid cells and worsens heart function after acute myocardial infarction. </w:t>
      </w:r>
      <w:r w:rsidRPr="00825E2B">
        <w:rPr>
          <w:rFonts w:ascii="Book Antiqua" w:hAnsi="Book Antiqua"/>
          <w:i/>
          <w:iCs/>
          <w:sz w:val="24"/>
          <w:szCs w:val="24"/>
        </w:rPr>
        <w:t>Cardiovasc Res</w:t>
      </w:r>
      <w:r w:rsidRPr="00825E2B">
        <w:rPr>
          <w:rFonts w:ascii="Book Antiqua" w:hAnsi="Book Antiqua"/>
          <w:sz w:val="24"/>
          <w:szCs w:val="24"/>
        </w:rPr>
        <w:t xml:space="preserve"> 2019; </w:t>
      </w:r>
      <w:r w:rsidRPr="00825E2B">
        <w:rPr>
          <w:rFonts w:ascii="Book Antiqua" w:hAnsi="Book Antiqua"/>
          <w:b/>
          <w:bCs/>
          <w:sz w:val="24"/>
          <w:szCs w:val="24"/>
        </w:rPr>
        <w:t>115</w:t>
      </w:r>
      <w:r w:rsidRPr="00825E2B">
        <w:rPr>
          <w:rFonts w:ascii="Book Antiqua" w:hAnsi="Book Antiqua"/>
          <w:sz w:val="24"/>
          <w:szCs w:val="24"/>
        </w:rPr>
        <w:t>: 602-613 [PMID: 30295758 DOI: 10.1093/cvr/cvy242]</w:t>
      </w:r>
    </w:p>
    <w:p w14:paraId="14000132"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29 </w:t>
      </w:r>
      <w:r w:rsidRPr="00825E2B">
        <w:rPr>
          <w:rFonts w:ascii="Book Antiqua" w:hAnsi="Book Antiqua"/>
          <w:b/>
          <w:bCs/>
          <w:sz w:val="24"/>
          <w:szCs w:val="24"/>
        </w:rPr>
        <w:t>Ghosh S</w:t>
      </w:r>
      <w:r w:rsidRPr="00825E2B">
        <w:rPr>
          <w:rFonts w:ascii="Book Antiqua" w:hAnsi="Book Antiqua"/>
          <w:sz w:val="24"/>
          <w:szCs w:val="24"/>
        </w:rPr>
        <w:t xml:space="preserve">, O'Connell JF, Carlson OD, González-Mariscal I, Kim Y, Moaddel R, Ghosh P, Egan JM. Linoleic acid in diets of mice increases total endocannabinoid levels in bowel and liver: modification by dietary glucose. </w:t>
      </w:r>
      <w:r w:rsidRPr="00825E2B">
        <w:rPr>
          <w:rFonts w:ascii="Book Antiqua" w:hAnsi="Book Antiqua"/>
          <w:i/>
          <w:iCs/>
          <w:sz w:val="24"/>
          <w:szCs w:val="24"/>
        </w:rPr>
        <w:t>Obes Sci Pract</w:t>
      </w:r>
      <w:r w:rsidRPr="00825E2B">
        <w:rPr>
          <w:rFonts w:ascii="Book Antiqua" w:hAnsi="Book Antiqua"/>
          <w:sz w:val="24"/>
          <w:szCs w:val="24"/>
        </w:rPr>
        <w:t xml:space="preserve"> 2019; </w:t>
      </w:r>
      <w:r w:rsidRPr="00825E2B">
        <w:rPr>
          <w:rFonts w:ascii="Book Antiqua" w:hAnsi="Book Antiqua"/>
          <w:b/>
          <w:bCs/>
          <w:sz w:val="24"/>
          <w:szCs w:val="24"/>
        </w:rPr>
        <w:t>5</w:t>
      </w:r>
      <w:r w:rsidRPr="00825E2B">
        <w:rPr>
          <w:rFonts w:ascii="Book Antiqua" w:hAnsi="Book Antiqua"/>
          <w:sz w:val="24"/>
          <w:szCs w:val="24"/>
        </w:rPr>
        <w:t>: 383-394 [PMID: 31452923 DOI: 10.1002/osp4.344]</w:t>
      </w:r>
    </w:p>
    <w:p w14:paraId="5F3AA378"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30 </w:t>
      </w:r>
      <w:r w:rsidRPr="00825E2B">
        <w:rPr>
          <w:rFonts w:ascii="Book Antiqua" w:hAnsi="Book Antiqua"/>
          <w:b/>
          <w:bCs/>
          <w:sz w:val="24"/>
          <w:szCs w:val="24"/>
        </w:rPr>
        <w:t>Attané C</w:t>
      </w:r>
      <w:r w:rsidRPr="00825E2B">
        <w:rPr>
          <w:rFonts w:ascii="Book Antiqua" w:hAnsi="Book Antiqua"/>
          <w:sz w:val="24"/>
          <w:szCs w:val="24"/>
        </w:rPr>
        <w:t xml:space="preserve">, Estève D, Chaoui K, Iacovoni JS, Corre J, Moutahir M, Valet P, Schiltz O, Reina N, Muller C. Human Bone Marrow Is Comprised of Adipocytes with Specific Lipid Metabolism. </w:t>
      </w:r>
      <w:r w:rsidRPr="00825E2B">
        <w:rPr>
          <w:rFonts w:ascii="Book Antiqua" w:hAnsi="Book Antiqua"/>
          <w:i/>
          <w:iCs/>
          <w:sz w:val="24"/>
          <w:szCs w:val="24"/>
        </w:rPr>
        <w:t>Cell Rep</w:t>
      </w:r>
      <w:r w:rsidRPr="00825E2B">
        <w:rPr>
          <w:rFonts w:ascii="Book Antiqua" w:hAnsi="Book Antiqua"/>
          <w:sz w:val="24"/>
          <w:szCs w:val="24"/>
        </w:rPr>
        <w:t xml:space="preserve"> 2020; </w:t>
      </w:r>
      <w:r w:rsidRPr="00825E2B">
        <w:rPr>
          <w:rFonts w:ascii="Book Antiqua" w:hAnsi="Book Antiqua"/>
          <w:b/>
          <w:bCs/>
          <w:sz w:val="24"/>
          <w:szCs w:val="24"/>
        </w:rPr>
        <w:t>30</w:t>
      </w:r>
      <w:r w:rsidRPr="00825E2B">
        <w:rPr>
          <w:rFonts w:ascii="Book Antiqua" w:hAnsi="Book Antiqua"/>
          <w:sz w:val="24"/>
          <w:szCs w:val="24"/>
        </w:rPr>
        <w:t>: 949-958.e6 [PMID: 31995765 DOI: 10.1016/j.celrep.2019.12.089]</w:t>
      </w:r>
    </w:p>
    <w:p w14:paraId="679E174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31 </w:t>
      </w:r>
      <w:r w:rsidRPr="00825E2B">
        <w:rPr>
          <w:rFonts w:ascii="Book Antiqua" w:hAnsi="Book Antiqua"/>
          <w:b/>
          <w:bCs/>
          <w:sz w:val="24"/>
          <w:szCs w:val="24"/>
        </w:rPr>
        <w:t>Douglass JD</w:t>
      </w:r>
      <w:r w:rsidRPr="00825E2B">
        <w:rPr>
          <w:rFonts w:ascii="Book Antiqua" w:hAnsi="Book Antiqua"/>
          <w:sz w:val="24"/>
          <w:szCs w:val="24"/>
        </w:rPr>
        <w:t xml:space="preserve">, Zhou YX, Wu A, Zadroga JA, Gajda AM, Lackey AI, Lang W, Chevalier KM, Sutton SW, Zhang SP, Flores CM, Connelly MA, Storch J. Erratum: Global deletion of MGL in mice delays lipid absorption and alters energy homeostasis and diet-induced obesity. </w:t>
      </w:r>
      <w:r w:rsidRPr="00825E2B">
        <w:rPr>
          <w:rFonts w:ascii="Book Antiqua" w:hAnsi="Book Antiqua"/>
          <w:i/>
          <w:iCs/>
          <w:sz w:val="24"/>
          <w:szCs w:val="24"/>
        </w:rPr>
        <w:t>J Lipid Res</w:t>
      </w:r>
      <w:r w:rsidRPr="00825E2B">
        <w:rPr>
          <w:rFonts w:ascii="Book Antiqua" w:hAnsi="Book Antiqua"/>
          <w:sz w:val="24"/>
          <w:szCs w:val="24"/>
        </w:rPr>
        <w:t xml:space="preserve"> 2019; </w:t>
      </w:r>
      <w:r w:rsidRPr="00825E2B">
        <w:rPr>
          <w:rFonts w:ascii="Book Antiqua" w:hAnsi="Book Antiqua"/>
          <w:b/>
          <w:bCs/>
          <w:sz w:val="24"/>
          <w:szCs w:val="24"/>
        </w:rPr>
        <w:t>60</w:t>
      </w:r>
      <w:r w:rsidRPr="00825E2B">
        <w:rPr>
          <w:rFonts w:ascii="Book Antiqua" w:hAnsi="Book Antiqua"/>
          <w:sz w:val="24"/>
          <w:szCs w:val="24"/>
        </w:rPr>
        <w:t>: 717 [PMID: 30824679 DOI: 10.1194/jlr.M058586ERR]</w:t>
      </w:r>
    </w:p>
    <w:p w14:paraId="36F09D3F"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32 </w:t>
      </w:r>
      <w:r w:rsidRPr="00825E2B">
        <w:rPr>
          <w:rFonts w:ascii="Book Antiqua" w:hAnsi="Book Antiqua"/>
          <w:b/>
          <w:bCs/>
          <w:sz w:val="24"/>
          <w:szCs w:val="24"/>
        </w:rPr>
        <w:t>Tardelli M</w:t>
      </w:r>
      <w:r w:rsidRPr="00825E2B">
        <w:rPr>
          <w:rFonts w:ascii="Book Antiqua" w:hAnsi="Book Antiqua"/>
          <w:sz w:val="24"/>
          <w:szCs w:val="24"/>
        </w:rPr>
        <w:t xml:space="preserve">, Bruschi FV, Claudel T, Fuchs CD, Auer N, Kunczer V, Stojakovic T, Scharnagl H, Habib A, Grabner GF, Zimmermann R, Lotersztajn S, Trauner M. Lack of monoacylglycerol lipase prevents hepatic steatosis by favoring lipid storage in adipose tissue and intestinal malabsorption. </w:t>
      </w:r>
      <w:r w:rsidRPr="00825E2B">
        <w:rPr>
          <w:rFonts w:ascii="Book Antiqua" w:hAnsi="Book Antiqua"/>
          <w:i/>
          <w:iCs/>
          <w:sz w:val="24"/>
          <w:szCs w:val="24"/>
        </w:rPr>
        <w:t>J Lipid Res</w:t>
      </w:r>
      <w:r w:rsidRPr="00825E2B">
        <w:rPr>
          <w:rFonts w:ascii="Book Antiqua" w:hAnsi="Book Antiqua"/>
          <w:sz w:val="24"/>
          <w:szCs w:val="24"/>
        </w:rPr>
        <w:t xml:space="preserve"> 2019; </w:t>
      </w:r>
      <w:r w:rsidRPr="00825E2B">
        <w:rPr>
          <w:rFonts w:ascii="Book Antiqua" w:hAnsi="Book Antiqua"/>
          <w:b/>
          <w:bCs/>
          <w:sz w:val="24"/>
          <w:szCs w:val="24"/>
        </w:rPr>
        <w:t>60</w:t>
      </w:r>
      <w:r w:rsidRPr="00825E2B">
        <w:rPr>
          <w:rFonts w:ascii="Book Antiqua" w:hAnsi="Book Antiqua"/>
          <w:sz w:val="24"/>
          <w:szCs w:val="24"/>
        </w:rPr>
        <w:t>: 1284-1292 [PMID: 31048404 DOI: 10.1194/jlr.M093369]</w:t>
      </w:r>
    </w:p>
    <w:p w14:paraId="47CD3D2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33 </w:t>
      </w:r>
      <w:r w:rsidRPr="00825E2B">
        <w:rPr>
          <w:rFonts w:ascii="Book Antiqua" w:hAnsi="Book Antiqua"/>
          <w:b/>
          <w:bCs/>
          <w:sz w:val="24"/>
          <w:szCs w:val="24"/>
        </w:rPr>
        <w:t>Nomura DK</w:t>
      </w:r>
      <w:r w:rsidRPr="00825E2B">
        <w:rPr>
          <w:rFonts w:ascii="Book Antiqua" w:hAnsi="Book Antiqua"/>
          <w:sz w:val="24"/>
          <w:szCs w:val="24"/>
        </w:rPr>
        <w:t xml:space="preserve">, Long JZ, Niessen S, Hoover HS, Ng SW, Cravatt BF. Monoacylglycerol lipase regulates a fatty acid network that promotes cancer </w:t>
      </w:r>
      <w:r w:rsidRPr="00825E2B">
        <w:rPr>
          <w:rFonts w:ascii="Book Antiqua" w:hAnsi="Book Antiqua"/>
          <w:sz w:val="24"/>
          <w:szCs w:val="24"/>
        </w:rPr>
        <w:lastRenderedPageBreak/>
        <w:t xml:space="preserve">pathogenesis. </w:t>
      </w:r>
      <w:r w:rsidRPr="00825E2B">
        <w:rPr>
          <w:rFonts w:ascii="Book Antiqua" w:hAnsi="Book Antiqua"/>
          <w:i/>
          <w:iCs/>
          <w:sz w:val="24"/>
          <w:szCs w:val="24"/>
        </w:rPr>
        <w:t>Cell</w:t>
      </w:r>
      <w:r w:rsidRPr="00825E2B">
        <w:rPr>
          <w:rFonts w:ascii="Book Antiqua" w:hAnsi="Book Antiqua"/>
          <w:sz w:val="24"/>
          <w:szCs w:val="24"/>
        </w:rPr>
        <w:t xml:space="preserve"> 2010; </w:t>
      </w:r>
      <w:r w:rsidRPr="00825E2B">
        <w:rPr>
          <w:rFonts w:ascii="Book Antiqua" w:hAnsi="Book Antiqua"/>
          <w:b/>
          <w:bCs/>
          <w:sz w:val="24"/>
          <w:szCs w:val="24"/>
        </w:rPr>
        <w:t>140</w:t>
      </w:r>
      <w:r w:rsidRPr="00825E2B">
        <w:rPr>
          <w:rFonts w:ascii="Book Antiqua" w:hAnsi="Book Antiqua"/>
          <w:sz w:val="24"/>
          <w:szCs w:val="24"/>
        </w:rPr>
        <w:t>: 49-61 [PMID: 20079333 DOI: 10.1016/j.cell.2009.11.027]</w:t>
      </w:r>
    </w:p>
    <w:p w14:paraId="27B09F2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34 </w:t>
      </w:r>
      <w:r w:rsidRPr="00825E2B">
        <w:rPr>
          <w:rFonts w:ascii="Book Antiqua" w:hAnsi="Book Antiqua"/>
          <w:b/>
          <w:bCs/>
          <w:sz w:val="24"/>
          <w:szCs w:val="24"/>
        </w:rPr>
        <w:t>Li CF</w:t>
      </w:r>
      <w:r w:rsidRPr="00825E2B">
        <w:rPr>
          <w:rFonts w:ascii="Book Antiqua" w:hAnsi="Book Antiqua"/>
          <w:sz w:val="24"/>
          <w:szCs w:val="24"/>
        </w:rPr>
        <w:t xml:space="preserve">, Chuang IC, Liu TT, Chen KC, Chen YY, Fang FM, Li SH, Chen TJ, Yu SC, Lan J, Huang HY. Transcriptomic reappraisal identifies MGLL overexpression as an unfavorable prognosticator in primary gastrointestinal stromal tumors. </w:t>
      </w:r>
      <w:r w:rsidRPr="00825E2B">
        <w:rPr>
          <w:rFonts w:ascii="Book Antiqua" w:hAnsi="Book Antiqua"/>
          <w:i/>
          <w:iCs/>
          <w:sz w:val="24"/>
          <w:szCs w:val="24"/>
        </w:rPr>
        <w:t>Oncotarget</w:t>
      </w:r>
      <w:r w:rsidRPr="00825E2B">
        <w:rPr>
          <w:rFonts w:ascii="Book Antiqua" w:hAnsi="Book Antiqua"/>
          <w:sz w:val="24"/>
          <w:szCs w:val="24"/>
        </w:rPr>
        <w:t xml:space="preserve"> 2016; </w:t>
      </w:r>
      <w:r w:rsidRPr="00825E2B">
        <w:rPr>
          <w:rFonts w:ascii="Book Antiqua" w:hAnsi="Book Antiqua"/>
          <w:b/>
          <w:bCs/>
          <w:sz w:val="24"/>
          <w:szCs w:val="24"/>
        </w:rPr>
        <w:t>7</w:t>
      </w:r>
      <w:r w:rsidRPr="00825E2B">
        <w:rPr>
          <w:rFonts w:ascii="Book Antiqua" w:hAnsi="Book Antiqua"/>
          <w:sz w:val="24"/>
          <w:szCs w:val="24"/>
        </w:rPr>
        <w:t>: 49986-49997 [PMID: 27366945 DOI: 10.18632/oncotarget.10304]</w:t>
      </w:r>
    </w:p>
    <w:p w14:paraId="3DD71AD3"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35 </w:t>
      </w:r>
      <w:r w:rsidRPr="00825E2B">
        <w:rPr>
          <w:rFonts w:ascii="Book Antiqua" w:hAnsi="Book Antiqua"/>
          <w:b/>
          <w:bCs/>
          <w:sz w:val="24"/>
          <w:szCs w:val="24"/>
        </w:rPr>
        <w:t>Ye L</w:t>
      </w:r>
      <w:r w:rsidRPr="00825E2B">
        <w:rPr>
          <w:rFonts w:ascii="Book Antiqua" w:hAnsi="Book Antiqua"/>
          <w:sz w:val="24"/>
          <w:szCs w:val="24"/>
        </w:rPr>
        <w:t xml:space="preserve">, Zhang B, Seviour EG, Tao KX, Liu XH, Ling Y, Chen JY, Wang GB. Monoacylglycerol lipase (MAGL) knockdown inhibits tumor cells growth in colorectal cancer. </w:t>
      </w:r>
      <w:r w:rsidRPr="00825E2B">
        <w:rPr>
          <w:rFonts w:ascii="Book Antiqua" w:hAnsi="Book Antiqua"/>
          <w:i/>
          <w:iCs/>
          <w:sz w:val="24"/>
          <w:szCs w:val="24"/>
        </w:rPr>
        <w:t>Cancer Lett</w:t>
      </w:r>
      <w:r w:rsidRPr="00825E2B">
        <w:rPr>
          <w:rFonts w:ascii="Book Antiqua" w:hAnsi="Book Antiqua"/>
          <w:sz w:val="24"/>
          <w:szCs w:val="24"/>
        </w:rPr>
        <w:t xml:space="preserve"> 2011; </w:t>
      </w:r>
      <w:r w:rsidRPr="00825E2B">
        <w:rPr>
          <w:rFonts w:ascii="Book Antiqua" w:hAnsi="Book Antiqua"/>
          <w:b/>
          <w:bCs/>
          <w:sz w:val="24"/>
          <w:szCs w:val="24"/>
        </w:rPr>
        <w:t>307</w:t>
      </w:r>
      <w:r w:rsidRPr="00825E2B">
        <w:rPr>
          <w:rFonts w:ascii="Book Antiqua" w:hAnsi="Book Antiqua"/>
          <w:sz w:val="24"/>
          <w:szCs w:val="24"/>
        </w:rPr>
        <w:t>: 6-17 [PMID: 21543155 DOI: 10.1016/j.canlet.2011.03.007]</w:t>
      </w:r>
    </w:p>
    <w:p w14:paraId="002CE134"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36 </w:t>
      </w:r>
      <w:r w:rsidRPr="00825E2B">
        <w:rPr>
          <w:rFonts w:ascii="Book Antiqua" w:hAnsi="Book Antiqua"/>
          <w:b/>
          <w:bCs/>
          <w:sz w:val="24"/>
          <w:szCs w:val="24"/>
        </w:rPr>
        <w:t>Costola-de-Souza C</w:t>
      </w:r>
      <w:r w:rsidRPr="00825E2B">
        <w:rPr>
          <w:rFonts w:ascii="Book Antiqua" w:hAnsi="Book Antiqua"/>
          <w:sz w:val="24"/>
          <w:szCs w:val="24"/>
        </w:rPr>
        <w:t xml:space="preserve">, Ribeiro A, Ferraz-de-Paula V, Calefi AS, Aloia TP, Gimenes-Júnior JA, de Almeida VI, Pinheiro ML, Palermo-Neto J. Monoacylglycerol lipase (MAGL) inhibition attenuates acute lung injury in mice. </w:t>
      </w:r>
      <w:r w:rsidRPr="00825E2B">
        <w:rPr>
          <w:rFonts w:ascii="Book Antiqua" w:hAnsi="Book Antiqua"/>
          <w:i/>
          <w:iCs/>
          <w:sz w:val="24"/>
          <w:szCs w:val="24"/>
        </w:rPr>
        <w:t>PLoS One</w:t>
      </w:r>
      <w:r w:rsidRPr="00825E2B">
        <w:rPr>
          <w:rFonts w:ascii="Book Antiqua" w:hAnsi="Book Antiqua"/>
          <w:sz w:val="24"/>
          <w:szCs w:val="24"/>
        </w:rPr>
        <w:t xml:space="preserve"> 2013; </w:t>
      </w:r>
      <w:r w:rsidRPr="00825E2B">
        <w:rPr>
          <w:rFonts w:ascii="Book Antiqua" w:hAnsi="Book Antiqua"/>
          <w:b/>
          <w:bCs/>
          <w:sz w:val="24"/>
          <w:szCs w:val="24"/>
        </w:rPr>
        <w:t>8</w:t>
      </w:r>
      <w:r w:rsidRPr="00825E2B">
        <w:rPr>
          <w:rFonts w:ascii="Book Antiqua" w:hAnsi="Book Antiqua"/>
          <w:sz w:val="24"/>
          <w:szCs w:val="24"/>
        </w:rPr>
        <w:t>: e77706 [PMID: 24204926 DOI: 10.1371/journal.pone.0077706]</w:t>
      </w:r>
    </w:p>
    <w:p w14:paraId="54C8457B"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37 </w:t>
      </w:r>
      <w:r w:rsidRPr="00825E2B">
        <w:rPr>
          <w:rFonts w:ascii="Book Antiqua" w:hAnsi="Book Antiqua"/>
          <w:b/>
          <w:bCs/>
          <w:sz w:val="24"/>
          <w:szCs w:val="24"/>
        </w:rPr>
        <w:t>Xiong Y</w:t>
      </w:r>
      <w:r w:rsidRPr="00825E2B">
        <w:rPr>
          <w:rFonts w:ascii="Book Antiqua" w:hAnsi="Book Antiqua"/>
          <w:sz w:val="24"/>
          <w:szCs w:val="24"/>
        </w:rPr>
        <w:t xml:space="preserve">, Yao H, Cheng Y, Gong D, Liao X, Wang R. Effects of monoacylglycerol lipase inhibitor URB602 on lung ischemia-reperfusion injury in mice. </w:t>
      </w:r>
      <w:r w:rsidRPr="00825E2B">
        <w:rPr>
          <w:rFonts w:ascii="Book Antiqua" w:hAnsi="Book Antiqua"/>
          <w:i/>
          <w:iCs/>
          <w:sz w:val="24"/>
          <w:szCs w:val="24"/>
        </w:rPr>
        <w:t>Biochem Biophys Res Commun</w:t>
      </w:r>
      <w:r w:rsidRPr="00825E2B">
        <w:rPr>
          <w:rFonts w:ascii="Book Antiqua" w:hAnsi="Book Antiqua"/>
          <w:sz w:val="24"/>
          <w:szCs w:val="24"/>
        </w:rPr>
        <w:t xml:space="preserve"> 2018; </w:t>
      </w:r>
      <w:r w:rsidRPr="00825E2B">
        <w:rPr>
          <w:rFonts w:ascii="Book Antiqua" w:hAnsi="Book Antiqua"/>
          <w:b/>
          <w:bCs/>
          <w:sz w:val="24"/>
          <w:szCs w:val="24"/>
        </w:rPr>
        <w:t>506</w:t>
      </w:r>
      <w:r w:rsidRPr="00825E2B">
        <w:rPr>
          <w:rFonts w:ascii="Book Antiqua" w:hAnsi="Book Antiqua"/>
          <w:sz w:val="24"/>
          <w:szCs w:val="24"/>
        </w:rPr>
        <w:t>: 578-584 [PMID: 30366666 DOI: 10.1016/j.bbrc.2018.10.098]</w:t>
      </w:r>
    </w:p>
    <w:p w14:paraId="221E655D"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38 </w:t>
      </w:r>
      <w:r w:rsidRPr="00825E2B">
        <w:rPr>
          <w:rFonts w:ascii="Book Antiqua" w:hAnsi="Book Antiqua"/>
          <w:b/>
          <w:bCs/>
          <w:sz w:val="24"/>
          <w:szCs w:val="24"/>
        </w:rPr>
        <w:t>Balaban S</w:t>
      </w:r>
      <w:r w:rsidRPr="00825E2B">
        <w:rPr>
          <w:rFonts w:ascii="Book Antiqua" w:hAnsi="Book Antiqua"/>
          <w:sz w:val="24"/>
          <w:szCs w:val="24"/>
        </w:rPr>
        <w:t xml:space="preserve">, Nassar ZD, Zhang AY, Hosseini-Beheshti E, Centenera MM, Schreuder M, Lin HM, Aishah A, Varney B, Liu-Fu F, Lee LS, Nagarajan SR, Shearer RF, Hardie RA, Raftopulos NL, Kakani MS, Saunders DN, Holst J, Horvath LG, Butler LM, Hoy AJ. Extracellular Fatty Acids Are the Major Contributor to Lipid Synthesis in Prostate Cancer. </w:t>
      </w:r>
      <w:r w:rsidRPr="00825E2B">
        <w:rPr>
          <w:rFonts w:ascii="Book Antiqua" w:hAnsi="Book Antiqua"/>
          <w:i/>
          <w:iCs/>
          <w:sz w:val="24"/>
          <w:szCs w:val="24"/>
        </w:rPr>
        <w:t>Mol Cancer Res</w:t>
      </w:r>
      <w:r w:rsidRPr="00825E2B">
        <w:rPr>
          <w:rFonts w:ascii="Book Antiqua" w:hAnsi="Book Antiqua"/>
          <w:sz w:val="24"/>
          <w:szCs w:val="24"/>
        </w:rPr>
        <w:t xml:space="preserve"> 2019; </w:t>
      </w:r>
      <w:r w:rsidRPr="00825E2B">
        <w:rPr>
          <w:rFonts w:ascii="Book Antiqua" w:hAnsi="Book Antiqua"/>
          <w:b/>
          <w:bCs/>
          <w:sz w:val="24"/>
          <w:szCs w:val="24"/>
        </w:rPr>
        <w:t>17</w:t>
      </w:r>
      <w:r w:rsidRPr="00825E2B">
        <w:rPr>
          <w:rFonts w:ascii="Book Antiqua" w:hAnsi="Book Antiqua"/>
          <w:sz w:val="24"/>
          <w:szCs w:val="24"/>
        </w:rPr>
        <w:t>: 949-962 [PMID: 30647103 DOI: 10.1158/1541-7786.MCR-18-0347]</w:t>
      </w:r>
    </w:p>
    <w:p w14:paraId="0323754F"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39 </w:t>
      </w:r>
      <w:r w:rsidRPr="00825E2B">
        <w:rPr>
          <w:rFonts w:ascii="Book Antiqua" w:hAnsi="Book Antiqua"/>
          <w:b/>
          <w:bCs/>
          <w:sz w:val="24"/>
          <w:szCs w:val="24"/>
        </w:rPr>
        <w:t>Nomura DK</w:t>
      </w:r>
      <w:r w:rsidRPr="00825E2B">
        <w:rPr>
          <w:rFonts w:ascii="Book Antiqua" w:hAnsi="Book Antiqua"/>
          <w:sz w:val="24"/>
          <w:szCs w:val="24"/>
        </w:rPr>
        <w:t xml:space="preserve">, Lombardi DP, Chang JW, Niessen S, Ward AM, Long JZ, Hoover HH, Cravatt BF. Monoacylglycerol lipase exerts dual control over endocannabinoid and fatty acid pathways to support prostate cancer. </w:t>
      </w:r>
      <w:r w:rsidRPr="00825E2B">
        <w:rPr>
          <w:rFonts w:ascii="Book Antiqua" w:hAnsi="Book Antiqua"/>
          <w:i/>
          <w:iCs/>
          <w:sz w:val="24"/>
          <w:szCs w:val="24"/>
        </w:rPr>
        <w:t>Chem Biol</w:t>
      </w:r>
      <w:r w:rsidRPr="00825E2B">
        <w:rPr>
          <w:rFonts w:ascii="Book Antiqua" w:hAnsi="Book Antiqua"/>
          <w:sz w:val="24"/>
          <w:szCs w:val="24"/>
        </w:rPr>
        <w:t xml:space="preserve"> 2011; </w:t>
      </w:r>
      <w:r w:rsidRPr="00825E2B">
        <w:rPr>
          <w:rFonts w:ascii="Book Antiqua" w:hAnsi="Book Antiqua"/>
          <w:b/>
          <w:bCs/>
          <w:sz w:val="24"/>
          <w:szCs w:val="24"/>
        </w:rPr>
        <w:t>18</w:t>
      </w:r>
      <w:r w:rsidRPr="00825E2B">
        <w:rPr>
          <w:rFonts w:ascii="Book Antiqua" w:hAnsi="Book Antiqua"/>
          <w:sz w:val="24"/>
          <w:szCs w:val="24"/>
        </w:rPr>
        <w:t>: 846-856 [PMID: 21802006 DOI: 10.1016/j.chembiol.2011.05.009]</w:t>
      </w:r>
    </w:p>
    <w:p w14:paraId="025806F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lastRenderedPageBreak/>
        <w:t xml:space="preserve">40 </w:t>
      </w:r>
      <w:r w:rsidRPr="00825E2B">
        <w:rPr>
          <w:rFonts w:ascii="Book Antiqua" w:hAnsi="Book Antiqua"/>
          <w:b/>
          <w:bCs/>
          <w:sz w:val="24"/>
          <w:szCs w:val="24"/>
        </w:rPr>
        <w:t>Xiang W</w:t>
      </w:r>
      <w:r w:rsidRPr="00825E2B">
        <w:rPr>
          <w:rFonts w:ascii="Book Antiqua" w:hAnsi="Book Antiqua"/>
          <w:sz w:val="24"/>
          <w:szCs w:val="24"/>
        </w:rPr>
        <w:t xml:space="preserve">, Shi R, Kang X, Zhang X, Chen P, Zhang L, Hou A, Wang R, Zhao Y, Zhao K, Liu Y, Ma Y, Luo H, Shang S, Zhang J, He F, Yu S, Gan L, Shi C, Li Y, Yang W, Liang H, Miao H. Monoacylglycerol lipase regulates cannabinoid receptor 2-dependent macrophage activation and cancer progression. </w:t>
      </w:r>
      <w:r w:rsidRPr="00825E2B">
        <w:rPr>
          <w:rFonts w:ascii="Book Antiqua" w:hAnsi="Book Antiqua"/>
          <w:i/>
          <w:iCs/>
          <w:sz w:val="24"/>
          <w:szCs w:val="24"/>
        </w:rPr>
        <w:t>Nat Commun</w:t>
      </w:r>
      <w:r w:rsidRPr="00825E2B">
        <w:rPr>
          <w:rFonts w:ascii="Book Antiqua" w:hAnsi="Book Antiqua"/>
          <w:sz w:val="24"/>
          <w:szCs w:val="24"/>
        </w:rPr>
        <w:t xml:space="preserve"> 2018; </w:t>
      </w:r>
      <w:r w:rsidRPr="00825E2B">
        <w:rPr>
          <w:rFonts w:ascii="Book Antiqua" w:hAnsi="Book Antiqua"/>
          <w:b/>
          <w:bCs/>
          <w:sz w:val="24"/>
          <w:szCs w:val="24"/>
        </w:rPr>
        <w:t>9</w:t>
      </w:r>
      <w:r w:rsidRPr="00825E2B">
        <w:rPr>
          <w:rFonts w:ascii="Book Antiqua" w:hAnsi="Book Antiqua"/>
          <w:sz w:val="24"/>
          <w:szCs w:val="24"/>
        </w:rPr>
        <w:t>: 2574 [PMID: 29968710 DOI: 10.1038/s41467-018-04999-8]</w:t>
      </w:r>
    </w:p>
    <w:p w14:paraId="06109645"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41 </w:t>
      </w:r>
      <w:r w:rsidRPr="00825E2B">
        <w:rPr>
          <w:rFonts w:ascii="Book Antiqua" w:hAnsi="Book Antiqua"/>
          <w:b/>
          <w:bCs/>
          <w:sz w:val="24"/>
          <w:szCs w:val="24"/>
        </w:rPr>
        <w:t>Cao Z</w:t>
      </w:r>
      <w:r w:rsidRPr="00825E2B">
        <w:rPr>
          <w:rFonts w:ascii="Book Antiqua" w:hAnsi="Book Antiqua"/>
          <w:sz w:val="24"/>
          <w:szCs w:val="24"/>
        </w:rPr>
        <w:t xml:space="preserve">, Mulvihill MM, Mukhopadhyay P, Xu H, Erdélyi K, Hao E, Holovac E, Haskó G, Cravatt BF, Nomura DK, Pacher P. Monoacylglycerol lipase controls endocannabinoid and eicosanoid signaling and hepatic injury in mice. </w:t>
      </w:r>
      <w:r w:rsidRPr="00825E2B">
        <w:rPr>
          <w:rFonts w:ascii="Book Antiqua" w:hAnsi="Book Antiqua"/>
          <w:i/>
          <w:iCs/>
          <w:sz w:val="24"/>
          <w:szCs w:val="24"/>
        </w:rPr>
        <w:t>Gastroenterology</w:t>
      </w:r>
      <w:r w:rsidRPr="00825E2B">
        <w:rPr>
          <w:rFonts w:ascii="Book Antiqua" w:hAnsi="Book Antiqua"/>
          <w:sz w:val="24"/>
          <w:szCs w:val="24"/>
        </w:rPr>
        <w:t xml:space="preserve"> 2013; </w:t>
      </w:r>
      <w:r w:rsidRPr="00825E2B">
        <w:rPr>
          <w:rFonts w:ascii="Book Antiqua" w:hAnsi="Book Antiqua"/>
          <w:b/>
          <w:bCs/>
          <w:sz w:val="24"/>
          <w:szCs w:val="24"/>
        </w:rPr>
        <w:t>144</w:t>
      </w:r>
      <w:r w:rsidRPr="00825E2B">
        <w:rPr>
          <w:rFonts w:ascii="Book Antiqua" w:hAnsi="Book Antiqua"/>
          <w:sz w:val="24"/>
          <w:szCs w:val="24"/>
        </w:rPr>
        <w:t>: 808-817.e15 [PMID: 23295443 DOI: 10.1053/j.gastro.2012.12.028]</w:t>
      </w:r>
    </w:p>
    <w:p w14:paraId="45617954"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42 </w:t>
      </w:r>
      <w:r w:rsidRPr="00825E2B">
        <w:rPr>
          <w:rFonts w:ascii="Book Antiqua" w:hAnsi="Book Antiqua"/>
          <w:b/>
          <w:bCs/>
          <w:sz w:val="24"/>
          <w:szCs w:val="24"/>
        </w:rPr>
        <w:t>Yang Q</w:t>
      </w:r>
      <w:r w:rsidRPr="00825E2B">
        <w:rPr>
          <w:rFonts w:ascii="Book Antiqua" w:hAnsi="Book Antiqua"/>
          <w:sz w:val="24"/>
          <w:szCs w:val="24"/>
        </w:rPr>
        <w:t xml:space="preserve">, Sun S, Liu W, Liu Q, Wang J. Hypoxia training improves hepatic steatosis partly by downregulation of CB1 receptor in obese mice. </w:t>
      </w:r>
      <w:r w:rsidRPr="00825E2B">
        <w:rPr>
          <w:rFonts w:ascii="Book Antiqua" w:hAnsi="Book Antiqua"/>
          <w:i/>
          <w:iCs/>
          <w:sz w:val="24"/>
          <w:szCs w:val="24"/>
        </w:rPr>
        <w:t>Biochem Biophys Res Commun</w:t>
      </w:r>
      <w:r w:rsidRPr="00825E2B">
        <w:rPr>
          <w:rFonts w:ascii="Book Antiqua" w:hAnsi="Book Antiqua"/>
          <w:sz w:val="24"/>
          <w:szCs w:val="24"/>
        </w:rPr>
        <w:t xml:space="preserve"> 2020; </w:t>
      </w:r>
      <w:r w:rsidRPr="00825E2B">
        <w:rPr>
          <w:rFonts w:ascii="Book Antiqua" w:hAnsi="Book Antiqua"/>
          <w:b/>
          <w:bCs/>
          <w:sz w:val="24"/>
          <w:szCs w:val="24"/>
        </w:rPr>
        <w:t>525</w:t>
      </w:r>
      <w:r w:rsidRPr="00825E2B">
        <w:rPr>
          <w:rFonts w:ascii="Book Antiqua" w:hAnsi="Book Antiqua"/>
          <w:sz w:val="24"/>
          <w:szCs w:val="24"/>
        </w:rPr>
        <w:t>: 639-645 [PMID: 32122652 DOI: 10.1016/j.bbrc.2020.02.134]</w:t>
      </w:r>
    </w:p>
    <w:p w14:paraId="47785A6E"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43 </w:t>
      </w:r>
      <w:r w:rsidRPr="00825E2B">
        <w:rPr>
          <w:rFonts w:ascii="Book Antiqua" w:hAnsi="Book Antiqua"/>
          <w:b/>
          <w:bCs/>
          <w:sz w:val="24"/>
          <w:szCs w:val="24"/>
        </w:rPr>
        <w:t>Habib A</w:t>
      </w:r>
      <w:r w:rsidRPr="00825E2B">
        <w:rPr>
          <w:rFonts w:ascii="Book Antiqua" w:hAnsi="Book Antiqua"/>
          <w:sz w:val="24"/>
          <w:szCs w:val="24"/>
        </w:rPr>
        <w:t xml:space="preserve">, Chokr D, Wan J, Hegde P, Mabire M, Siebert M, Ribeiro-Parenti L, Le Gall M, Lettéron P, Pilard N, Mansouri A, Brouillet A, Tardelli M, Weiss E, Le Faouder P, Guillou H, Cravatt BF, Moreau R, Trauner M, Lotersztajn S. Inhibition of monoacylglycerol lipase, an anti-inflammatory and antifibrogenic strategy in the liver. </w:t>
      </w:r>
      <w:r w:rsidRPr="00825E2B">
        <w:rPr>
          <w:rFonts w:ascii="Book Antiqua" w:hAnsi="Book Antiqua"/>
          <w:i/>
          <w:iCs/>
          <w:sz w:val="24"/>
          <w:szCs w:val="24"/>
        </w:rPr>
        <w:t>Gut</w:t>
      </w:r>
      <w:r w:rsidRPr="00825E2B">
        <w:rPr>
          <w:rFonts w:ascii="Book Antiqua" w:hAnsi="Book Antiqua"/>
          <w:sz w:val="24"/>
          <w:szCs w:val="24"/>
        </w:rPr>
        <w:t xml:space="preserve"> 2019; </w:t>
      </w:r>
      <w:r w:rsidRPr="00825E2B">
        <w:rPr>
          <w:rFonts w:ascii="Book Antiqua" w:hAnsi="Book Antiqua"/>
          <w:b/>
          <w:bCs/>
          <w:sz w:val="24"/>
          <w:szCs w:val="24"/>
        </w:rPr>
        <w:t>68</w:t>
      </w:r>
      <w:r w:rsidRPr="00825E2B">
        <w:rPr>
          <w:rFonts w:ascii="Book Antiqua" w:hAnsi="Book Antiqua"/>
          <w:sz w:val="24"/>
          <w:szCs w:val="24"/>
        </w:rPr>
        <w:t>: 522-532 [PMID: 30301768 DOI: 10.1136/gutjnl-2018-316137]</w:t>
      </w:r>
    </w:p>
    <w:p w14:paraId="6F32028D"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44 </w:t>
      </w:r>
      <w:r w:rsidRPr="00825E2B">
        <w:rPr>
          <w:rFonts w:ascii="Book Antiqua" w:hAnsi="Book Antiqua"/>
          <w:b/>
          <w:bCs/>
          <w:sz w:val="24"/>
          <w:szCs w:val="24"/>
        </w:rPr>
        <w:t>Zhu W</w:t>
      </w:r>
      <w:r w:rsidRPr="00825E2B">
        <w:rPr>
          <w:rFonts w:ascii="Book Antiqua" w:hAnsi="Book Antiqua"/>
          <w:sz w:val="24"/>
          <w:szCs w:val="24"/>
        </w:rPr>
        <w:t xml:space="preserve">, Zhao Y, Zhou J, Wang X, Pan Q, Zhang N, Wang L, Wang M, Zhan D, Liu Z, He X, Ma D, Liu S, Wang L. Monoacylglycerol lipase promotes progression of hepatocellular carcinoma via NF-κB-mediated epithelial-mesenchymal transition. </w:t>
      </w:r>
      <w:r w:rsidRPr="00825E2B">
        <w:rPr>
          <w:rFonts w:ascii="Book Antiqua" w:hAnsi="Book Antiqua"/>
          <w:i/>
          <w:iCs/>
          <w:sz w:val="24"/>
          <w:szCs w:val="24"/>
        </w:rPr>
        <w:t>J Hematol Oncol</w:t>
      </w:r>
      <w:r w:rsidRPr="00825E2B">
        <w:rPr>
          <w:rFonts w:ascii="Book Antiqua" w:hAnsi="Book Antiqua"/>
          <w:sz w:val="24"/>
          <w:szCs w:val="24"/>
        </w:rPr>
        <w:t xml:space="preserve"> 2016; </w:t>
      </w:r>
      <w:r w:rsidRPr="00825E2B">
        <w:rPr>
          <w:rFonts w:ascii="Book Antiqua" w:hAnsi="Book Antiqua"/>
          <w:b/>
          <w:bCs/>
          <w:sz w:val="24"/>
          <w:szCs w:val="24"/>
        </w:rPr>
        <w:t>9</w:t>
      </w:r>
      <w:r w:rsidRPr="00825E2B">
        <w:rPr>
          <w:rFonts w:ascii="Book Antiqua" w:hAnsi="Book Antiqua"/>
          <w:sz w:val="24"/>
          <w:szCs w:val="24"/>
        </w:rPr>
        <w:t>: 127 [PMID: 27884159 DOI: 10.1186/s13045-016-0361-3]</w:t>
      </w:r>
    </w:p>
    <w:p w14:paraId="6C98DE32"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45 </w:t>
      </w:r>
      <w:r w:rsidRPr="00825E2B">
        <w:rPr>
          <w:rFonts w:ascii="Book Antiqua" w:hAnsi="Book Antiqua"/>
          <w:b/>
          <w:bCs/>
          <w:sz w:val="24"/>
          <w:szCs w:val="24"/>
        </w:rPr>
        <w:t>Tardelli M</w:t>
      </w:r>
      <w:r w:rsidRPr="00825E2B">
        <w:rPr>
          <w:rFonts w:ascii="Book Antiqua" w:hAnsi="Book Antiqua"/>
          <w:sz w:val="24"/>
          <w:szCs w:val="24"/>
        </w:rPr>
        <w:t xml:space="preserve">, Bruschi FV, Fuchs CD, Claudel T, Auer N, Kunczer V, Baumgartner M, A H O Ronda O, Verkade HJ, Stojakovic T, Scharnagl H, Habib A, Zimmermann R, Lotersztajn S, Trauner M. Monoacylglycerol Lipase Inhibition Protects From Liver Injury in Mouse Models of Sclerosing Cholangitis. </w:t>
      </w:r>
      <w:r w:rsidRPr="00825E2B">
        <w:rPr>
          <w:rFonts w:ascii="Book Antiqua" w:hAnsi="Book Antiqua"/>
          <w:i/>
          <w:iCs/>
          <w:sz w:val="24"/>
          <w:szCs w:val="24"/>
        </w:rPr>
        <w:t>Hepatology</w:t>
      </w:r>
      <w:r w:rsidRPr="00825E2B">
        <w:rPr>
          <w:rFonts w:ascii="Book Antiqua" w:hAnsi="Book Antiqua"/>
          <w:sz w:val="24"/>
          <w:szCs w:val="24"/>
        </w:rPr>
        <w:t xml:space="preserve"> 2020; </w:t>
      </w:r>
      <w:r w:rsidRPr="00825E2B">
        <w:rPr>
          <w:rFonts w:ascii="Book Antiqua" w:hAnsi="Book Antiqua"/>
          <w:b/>
          <w:bCs/>
          <w:sz w:val="24"/>
          <w:szCs w:val="24"/>
        </w:rPr>
        <w:t>71</w:t>
      </w:r>
      <w:r w:rsidRPr="00825E2B">
        <w:rPr>
          <w:rFonts w:ascii="Book Antiqua" w:hAnsi="Book Antiqua"/>
          <w:sz w:val="24"/>
          <w:szCs w:val="24"/>
        </w:rPr>
        <w:t>: 1750-1765 [PMID: 31505038 DOI: 10.1002/hep.30929]</w:t>
      </w:r>
    </w:p>
    <w:p w14:paraId="3F91117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lastRenderedPageBreak/>
        <w:t xml:space="preserve">46 </w:t>
      </w:r>
      <w:r w:rsidRPr="00825E2B">
        <w:rPr>
          <w:rFonts w:ascii="Book Antiqua" w:hAnsi="Book Antiqua"/>
          <w:b/>
          <w:bCs/>
          <w:sz w:val="24"/>
          <w:szCs w:val="24"/>
        </w:rPr>
        <w:t>Popov Y</w:t>
      </w:r>
      <w:r w:rsidRPr="00825E2B">
        <w:rPr>
          <w:rFonts w:ascii="Book Antiqua" w:hAnsi="Book Antiqua"/>
          <w:sz w:val="24"/>
          <w:szCs w:val="24"/>
        </w:rPr>
        <w:t xml:space="preserve">, Patsenker E, Fickert P, Trauner M, Schuppan D. Mdr2 (Abcb4)-/- mice spontaneously develop severe biliary fibrosis via massive dysregulation of pro- and antifibrogenic genes. </w:t>
      </w:r>
      <w:r w:rsidRPr="00825E2B">
        <w:rPr>
          <w:rFonts w:ascii="Book Antiqua" w:hAnsi="Book Antiqua"/>
          <w:i/>
          <w:iCs/>
          <w:sz w:val="24"/>
          <w:szCs w:val="24"/>
        </w:rPr>
        <w:t>J Hepatol</w:t>
      </w:r>
      <w:r w:rsidRPr="00825E2B">
        <w:rPr>
          <w:rFonts w:ascii="Book Antiqua" w:hAnsi="Book Antiqua"/>
          <w:sz w:val="24"/>
          <w:szCs w:val="24"/>
        </w:rPr>
        <w:t xml:space="preserve"> 2005; </w:t>
      </w:r>
      <w:r w:rsidRPr="00825E2B">
        <w:rPr>
          <w:rFonts w:ascii="Book Antiqua" w:hAnsi="Book Antiqua"/>
          <w:b/>
          <w:bCs/>
          <w:sz w:val="24"/>
          <w:szCs w:val="24"/>
        </w:rPr>
        <w:t>43</w:t>
      </w:r>
      <w:r w:rsidRPr="00825E2B">
        <w:rPr>
          <w:rFonts w:ascii="Book Antiqua" w:hAnsi="Book Antiqua"/>
          <w:sz w:val="24"/>
          <w:szCs w:val="24"/>
        </w:rPr>
        <w:t>: 1045-1054 [PMID: 16223543 DOI: 10.1016/j.jhep.2005.06.025]</w:t>
      </w:r>
    </w:p>
    <w:p w14:paraId="3B589C7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47 </w:t>
      </w:r>
      <w:r w:rsidRPr="00825E2B">
        <w:rPr>
          <w:rFonts w:ascii="Book Antiqua" w:hAnsi="Book Antiqua"/>
          <w:b/>
          <w:bCs/>
          <w:sz w:val="24"/>
          <w:szCs w:val="24"/>
        </w:rPr>
        <w:t>Long JZ</w:t>
      </w:r>
      <w:r w:rsidRPr="00825E2B">
        <w:rPr>
          <w:rFonts w:ascii="Book Antiqua" w:hAnsi="Book Antiqua"/>
          <w:sz w:val="24"/>
          <w:szCs w:val="24"/>
        </w:rPr>
        <w:t xml:space="preserve">, Li W, Booker L, Burston JJ, Kinsey SG, Schlosburg JE, Pavón FJ, Serrano AM, Selley DE, Parsons LH, Lichtman AH, Cravatt BF. Selective blockade of 2-arachidonoylglycerol hydrolysis produces cannabinoid behavioral effects. </w:t>
      </w:r>
      <w:r w:rsidRPr="00825E2B">
        <w:rPr>
          <w:rFonts w:ascii="Book Antiqua" w:hAnsi="Book Antiqua"/>
          <w:i/>
          <w:iCs/>
          <w:sz w:val="24"/>
          <w:szCs w:val="24"/>
        </w:rPr>
        <w:t>Nat Chem Biol</w:t>
      </w:r>
      <w:r w:rsidRPr="00825E2B">
        <w:rPr>
          <w:rFonts w:ascii="Book Antiqua" w:hAnsi="Book Antiqua"/>
          <w:sz w:val="24"/>
          <w:szCs w:val="24"/>
        </w:rPr>
        <w:t xml:space="preserve"> 2009; </w:t>
      </w:r>
      <w:r w:rsidRPr="00825E2B">
        <w:rPr>
          <w:rFonts w:ascii="Book Antiqua" w:hAnsi="Book Antiqua"/>
          <w:b/>
          <w:bCs/>
          <w:sz w:val="24"/>
          <w:szCs w:val="24"/>
        </w:rPr>
        <w:t>5</w:t>
      </w:r>
      <w:r w:rsidRPr="00825E2B">
        <w:rPr>
          <w:rFonts w:ascii="Book Antiqua" w:hAnsi="Book Antiqua"/>
          <w:sz w:val="24"/>
          <w:szCs w:val="24"/>
        </w:rPr>
        <w:t>: 37-44 [PMID: 19029917 DOI: 10.1038/nchembio.129]</w:t>
      </w:r>
    </w:p>
    <w:p w14:paraId="5178241A"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48 </w:t>
      </w:r>
      <w:r w:rsidRPr="00825E2B">
        <w:rPr>
          <w:rFonts w:ascii="Book Antiqua" w:hAnsi="Book Antiqua"/>
          <w:b/>
          <w:bCs/>
          <w:sz w:val="24"/>
          <w:szCs w:val="24"/>
        </w:rPr>
        <w:t>Long JZ</w:t>
      </w:r>
      <w:r w:rsidRPr="00825E2B">
        <w:rPr>
          <w:rFonts w:ascii="Book Antiqua" w:hAnsi="Book Antiqua"/>
          <w:sz w:val="24"/>
          <w:szCs w:val="24"/>
        </w:rPr>
        <w:t xml:space="preserve">, Nomura DK, Cravatt BF. Characterization of monoacylglycerol lipase inhibition reveals differences in central and peripheral endocannabinoid metabolism. </w:t>
      </w:r>
      <w:r w:rsidRPr="00825E2B">
        <w:rPr>
          <w:rFonts w:ascii="Book Antiqua" w:hAnsi="Book Antiqua"/>
          <w:i/>
          <w:iCs/>
          <w:sz w:val="24"/>
          <w:szCs w:val="24"/>
        </w:rPr>
        <w:t>Chem Biol</w:t>
      </w:r>
      <w:r w:rsidRPr="00825E2B">
        <w:rPr>
          <w:rFonts w:ascii="Book Antiqua" w:hAnsi="Book Antiqua"/>
          <w:sz w:val="24"/>
          <w:szCs w:val="24"/>
        </w:rPr>
        <w:t xml:space="preserve"> 2009; </w:t>
      </w:r>
      <w:r w:rsidRPr="00825E2B">
        <w:rPr>
          <w:rFonts w:ascii="Book Antiqua" w:hAnsi="Book Antiqua"/>
          <w:b/>
          <w:bCs/>
          <w:sz w:val="24"/>
          <w:szCs w:val="24"/>
        </w:rPr>
        <w:t>16</w:t>
      </w:r>
      <w:r w:rsidRPr="00825E2B">
        <w:rPr>
          <w:rFonts w:ascii="Book Antiqua" w:hAnsi="Book Antiqua"/>
          <w:sz w:val="24"/>
          <w:szCs w:val="24"/>
        </w:rPr>
        <w:t>: 744-753 [PMID: 19635411 DOI: 10.1016/j.chembiol.2009.05.009]</w:t>
      </w:r>
    </w:p>
    <w:p w14:paraId="090DD83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49 </w:t>
      </w:r>
      <w:r w:rsidRPr="00825E2B">
        <w:rPr>
          <w:rFonts w:ascii="Book Antiqua" w:hAnsi="Book Antiqua"/>
          <w:b/>
          <w:bCs/>
          <w:sz w:val="24"/>
          <w:szCs w:val="24"/>
        </w:rPr>
        <w:t>Niphakis MJ</w:t>
      </w:r>
      <w:r w:rsidRPr="00825E2B">
        <w:rPr>
          <w:rFonts w:ascii="Book Antiqua" w:hAnsi="Book Antiqua"/>
          <w:sz w:val="24"/>
          <w:szCs w:val="24"/>
        </w:rPr>
        <w:t xml:space="preserve">, Cognetta AB 3rd, Chang JW, Buczynski MW, Parsons LH, Byrne F, Burston JJ, Chapman V, Cravatt BF. Evaluation of NHS carbamates as a potent and selective class of endocannabinoid hydrolase inhibitors. </w:t>
      </w:r>
      <w:r w:rsidRPr="00825E2B">
        <w:rPr>
          <w:rFonts w:ascii="Book Antiqua" w:hAnsi="Book Antiqua"/>
          <w:i/>
          <w:iCs/>
          <w:sz w:val="24"/>
          <w:szCs w:val="24"/>
        </w:rPr>
        <w:t>ACS Chem Neurosci</w:t>
      </w:r>
      <w:r w:rsidRPr="00825E2B">
        <w:rPr>
          <w:rFonts w:ascii="Book Antiqua" w:hAnsi="Book Antiqua"/>
          <w:sz w:val="24"/>
          <w:szCs w:val="24"/>
        </w:rPr>
        <w:t xml:space="preserve"> 2013; </w:t>
      </w:r>
      <w:r w:rsidRPr="00825E2B">
        <w:rPr>
          <w:rFonts w:ascii="Book Antiqua" w:hAnsi="Book Antiqua"/>
          <w:b/>
          <w:bCs/>
          <w:sz w:val="24"/>
          <w:szCs w:val="24"/>
        </w:rPr>
        <w:t>4</w:t>
      </w:r>
      <w:r w:rsidRPr="00825E2B">
        <w:rPr>
          <w:rFonts w:ascii="Book Antiqua" w:hAnsi="Book Antiqua"/>
          <w:sz w:val="24"/>
          <w:szCs w:val="24"/>
        </w:rPr>
        <w:t>: 1322-1332 [PMID: 23731016 DOI: 10.1021/cn400116z]</w:t>
      </w:r>
    </w:p>
    <w:p w14:paraId="732D20A7"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50 </w:t>
      </w:r>
      <w:r w:rsidRPr="00825E2B">
        <w:rPr>
          <w:rFonts w:ascii="Book Antiqua" w:hAnsi="Book Antiqua"/>
          <w:b/>
          <w:bCs/>
          <w:sz w:val="24"/>
          <w:szCs w:val="24"/>
        </w:rPr>
        <w:t>Wyatt RM</w:t>
      </w:r>
      <w:r w:rsidRPr="00825E2B">
        <w:rPr>
          <w:rFonts w:ascii="Book Antiqua" w:hAnsi="Book Antiqua"/>
          <w:sz w:val="24"/>
          <w:szCs w:val="24"/>
        </w:rPr>
        <w:t xml:space="preserve">, Fraser I, Welty N, Lord B, Wennerholm M, Sutton S, Ameriks MK, Dugovic C, Yun S, White A, Nguyen L, Koudriakova T, Tian G, Suarez J, Szewczuk L, Bonnette W, Ahn K, Ghosh B, Flores CM, Connolly PJ, Zhu B, Macielag MJ, Brandt MR, Chevalier K, Zhang SP, Lovenberg T, Bonaventure P. Pharmacologic Characterization of JNJ-42226314, [1-(4-Fluorophenyl)indol-5-yl]-[3-[4-(thiazole-2-carbonyl)piperazin-1-yl]azetidin-1-yl]methanone, a Reversible, Selective, and Potent Monoacylglycerol Lipase Inhibitor. </w:t>
      </w:r>
      <w:r w:rsidRPr="00825E2B">
        <w:rPr>
          <w:rFonts w:ascii="Book Antiqua" w:hAnsi="Book Antiqua"/>
          <w:i/>
          <w:iCs/>
          <w:sz w:val="24"/>
          <w:szCs w:val="24"/>
        </w:rPr>
        <w:t>J Pharmacol Exp Ther</w:t>
      </w:r>
      <w:r w:rsidRPr="00825E2B">
        <w:rPr>
          <w:rFonts w:ascii="Book Antiqua" w:hAnsi="Book Antiqua"/>
          <w:sz w:val="24"/>
          <w:szCs w:val="24"/>
        </w:rPr>
        <w:t xml:space="preserve"> 2020; </w:t>
      </w:r>
      <w:r w:rsidRPr="00825E2B">
        <w:rPr>
          <w:rFonts w:ascii="Book Antiqua" w:hAnsi="Book Antiqua"/>
          <w:b/>
          <w:bCs/>
          <w:sz w:val="24"/>
          <w:szCs w:val="24"/>
        </w:rPr>
        <w:t>372</w:t>
      </w:r>
      <w:r w:rsidRPr="00825E2B">
        <w:rPr>
          <w:rFonts w:ascii="Book Antiqua" w:hAnsi="Book Antiqua"/>
          <w:sz w:val="24"/>
          <w:szCs w:val="24"/>
        </w:rPr>
        <w:t>: 339-353 [PMID: 31818916 DOI: 10.1124/jpet.119.262139]</w:t>
      </w:r>
    </w:p>
    <w:p w14:paraId="254AA2FA"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51 </w:t>
      </w:r>
      <w:r w:rsidRPr="00825E2B">
        <w:rPr>
          <w:rFonts w:ascii="Book Antiqua" w:hAnsi="Book Antiqua"/>
          <w:b/>
          <w:bCs/>
          <w:sz w:val="24"/>
          <w:szCs w:val="24"/>
        </w:rPr>
        <w:t>Zhang L</w:t>
      </w:r>
      <w:r w:rsidRPr="00825E2B">
        <w:rPr>
          <w:rFonts w:ascii="Book Antiqua" w:hAnsi="Book Antiqua"/>
          <w:sz w:val="24"/>
          <w:szCs w:val="24"/>
        </w:rPr>
        <w:t xml:space="preserve">, Butler CR, Maresca KP, Takano A, Nag S, Jia Z, Arakawa R, Piro JR, Samad T, Smith DL, Nason DM, O'Neil S, McAllister L, Schildknegt K, Trapa P, McCarthy TJ, Villalobos A, Halldin C. Identification and Development of an Irreversible Monoacylglycerol Lipase (MAGL) Positron </w:t>
      </w:r>
      <w:r w:rsidRPr="00825E2B">
        <w:rPr>
          <w:rFonts w:ascii="Book Antiqua" w:hAnsi="Book Antiqua"/>
          <w:sz w:val="24"/>
          <w:szCs w:val="24"/>
        </w:rPr>
        <w:lastRenderedPageBreak/>
        <w:t xml:space="preserve">Emission Tomography (PET) Radioligand with High Specificity. </w:t>
      </w:r>
      <w:r w:rsidRPr="00825E2B">
        <w:rPr>
          <w:rFonts w:ascii="Book Antiqua" w:hAnsi="Book Antiqua"/>
          <w:i/>
          <w:iCs/>
          <w:sz w:val="24"/>
          <w:szCs w:val="24"/>
        </w:rPr>
        <w:t>J Med Chem</w:t>
      </w:r>
      <w:r w:rsidRPr="00825E2B">
        <w:rPr>
          <w:rFonts w:ascii="Book Antiqua" w:hAnsi="Book Antiqua"/>
          <w:sz w:val="24"/>
          <w:szCs w:val="24"/>
        </w:rPr>
        <w:t xml:space="preserve"> 2019; </w:t>
      </w:r>
      <w:r w:rsidRPr="00825E2B">
        <w:rPr>
          <w:rFonts w:ascii="Book Antiqua" w:hAnsi="Book Antiqua"/>
          <w:b/>
          <w:bCs/>
          <w:sz w:val="24"/>
          <w:szCs w:val="24"/>
        </w:rPr>
        <w:t>62</w:t>
      </w:r>
      <w:r w:rsidRPr="00825E2B">
        <w:rPr>
          <w:rFonts w:ascii="Book Antiqua" w:hAnsi="Book Antiqua"/>
          <w:sz w:val="24"/>
          <w:szCs w:val="24"/>
        </w:rPr>
        <w:t>: 8532-8543 [PMID: 31483137 DOI: 10.1021/acs.jmedchem.9b00847]</w:t>
      </w:r>
    </w:p>
    <w:p w14:paraId="3B5B117C"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52 </w:t>
      </w:r>
      <w:r w:rsidRPr="00825E2B">
        <w:rPr>
          <w:rFonts w:ascii="Book Antiqua" w:hAnsi="Book Antiqua"/>
          <w:b/>
          <w:bCs/>
          <w:sz w:val="24"/>
          <w:szCs w:val="24"/>
        </w:rPr>
        <w:t>Bruschi FV</w:t>
      </w:r>
      <w:r w:rsidRPr="00825E2B">
        <w:rPr>
          <w:rFonts w:ascii="Book Antiqua" w:hAnsi="Book Antiqua"/>
          <w:sz w:val="24"/>
          <w:szCs w:val="24"/>
        </w:rPr>
        <w:t xml:space="preserve">, Tardelli M, Claudel T, Trauner M. PNPLA3 expression and its impact on the liver: current perspectives. </w:t>
      </w:r>
      <w:r w:rsidRPr="00825E2B">
        <w:rPr>
          <w:rFonts w:ascii="Book Antiqua" w:hAnsi="Book Antiqua"/>
          <w:i/>
          <w:iCs/>
          <w:sz w:val="24"/>
          <w:szCs w:val="24"/>
        </w:rPr>
        <w:t>Hepat Med</w:t>
      </w:r>
      <w:r w:rsidRPr="00825E2B">
        <w:rPr>
          <w:rFonts w:ascii="Book Antiqua" w:hAnsi="Book Antiqua"/>
          <w:sz w:val="24"/>
          <w:szCs w:val="24"/>
        </w:rPr>
        <w:t xml:space="preserve"> 2017; </w:t>
      </w:r>
      <w:r w:rsidRPr="00825E2B">
        <w:rPr>
          <w:rFonts w:ascii="Book Antiqua" w:hAnsi="Book Antiqua"/>
          <w:b/>
          <w:bCs/>
          <w:sz w:val="24"/>
          <w:szCs w:val="24"/>
        </w:rPr>
        <w:t>9</w:t>
      </w:r>
      <w:r w:rsidRPr="00825E2B">
        <w:rPr>
          <w:rFonts w:ascii="Book Antiqua" w:hAnsi="Book Antiqua"/>
          <w:sz w:val="24"/>
          <w:szCs w:val="24"/>
        </w:rPr>
        <w:t>: 55-66 [PMID: 29158695 DOI: 10.2147/HMER.S125718]</w:t>
      </w:r>
    </w:p>
    <w:p w14:paraId="2FBA9285"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53 </w:t>
      </w:r>
      <w:r w:rsidRPr="00825E2B">
        <w:rPr>
          <w:rFonts w:ascii="Book Antiqua" w:hAnsi="Book Antiqua"/>
          <w:b/>
          <w:bCs/>
          <w:sz w:val="24"/>
          <w:szCs w:val="24"/>
        </w:rPr>
        <w:t>Ouellette C</w:t>
      </w:r>
      <w:r w:rsidRPr="00825E2B">
        <w:rPr>
          <w:rFonts w:ascii="Book Antiqua" w:hAnsi="Book Antiqua"/>
          <w:sz w:val="24"/>
          <w:szCs w:val="24"/>
        </w:rPr>
        <w:t xml:space="preserve">, Rudkowska I, Lemieux S, Lamarche B, Couture P, Vohl MC. Gene-diet interactions with polymorphisms of the MGLL gene on plasma low-density lipoprotein cholesterol and size following an omega-3 polyunsaturated fatty acid supplementation: a clinical trial. </w:t>
      </w:r>
      <w:r w:rsidRPr="00825E2B">
        <w:rPr>
          <w:rFonts w:ascii="Book Antiqua" w:hAnsi="Book Antiqua"/>
          <w:i/>
          <w:iCs/>
          <w:sz w:val="24"/>
          <w:szCs w:val="24"/>
        </w:rPr>
        <w:t>Lipids Health Dis</w:t>
      </w:r>
      <w:r w:rsidRPr="00825E2B">
        <w:rPr>
          <w:rFonts w:ascii="Book Antiqua" w:hAnsi="Book Antiqua"/>
          <w:sz w:val="24"/>
          <w:szCs w:val="24"/>
        </w:rPr>
        <w:t xml:space="preserve"> 2014; </w:t>
      </w:r>
      <w:r w:rsidRPr="00825E2B">
        <w:rPr>
          <w:rFonts w:ascii="Book Antiqua" w:hAnsi="Book Antiqua"/>
          <w:b/>
          <w:bCs/>
          <w:sz w:val="24"/>
          <w:szCs w:val="24"/>
        </w:rPr>
        <w:t>13</w:t>
      </w:r>
      <w:r w:rsidRPr="00825E2B">
        <w:rPr>
          <w:rFonts w:ascii="Book Antiqua" w:hAnsi="Book Antiqua"/>
          <w:sz w:val="24"/>
          <w:szCs w:val="24"/>
        </w:rPr>
        <w:t>: 86 [PMID: 24884512 DOI: 10.1186/1476-511X-13-86]</w:t>
      </w:r>
    </w:p>
    <w:p w14:paraId="2393D54E"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54 </w:t>
      </w:r>
      <w:r w:rsidRPr="00825E2B">
        <w:rPr>
          <w:rFonts w:ascii="Book Antiqua" w:hAnsi="Book Antiqua"/>
          <w:b/>
          <w:bCs/>
          <w:sz w:val="24"/>
          <w:szCs w:val="24"/>
        </w:rPr>
        <w:t>Harismendy O</w:t>
      </w:r>
      <w:r w:rsidRPr="00825E2B">
        <w:rPr>
          <w:rFonts w:ascii="Book Antiqua" w:hAnsi="Book Antiqua"/>
          <w:sz w:val="24"/>
          <w:szCs w:val="24"/>
        </w:rPr>
        <w:t xml:space="preserve">, Bansal V, Bhatia G, Nakano M, Scott M, Wang X, Dib C, Turlotte E, Sipe JC, Murray SS, Deleuze JF, Bafna V, Topol EJ, Frazer KA. Population sequencing of two endocannabinoid metabolic genes identifies rare and common regulatory variants associated with extreme obesity and metabolite level. </w:t>
      </w:r>
      <w:r w:rsidRPr="00825E2B">
        <w:rPr>
          <w:rFonts w:ascii="Book Antiqua" w:hAnsi="Book Antiqua"/>
          <w:i/>
          <w:iCs/>
          <w:sz w:val="24"/>
          <w:szCs w:val="24"/>
        </w:rPr>
        <w:t>Genome Biol</w:t>
      </w:r>
      <w:r w:rsidRPr="00825E2B">
        <w:rPr>
          <w:rFonts w:ascii="Book Antiqua" w:hAnsi="Book Antiqua"/>
          <w:sz w:val="24"/>
          <w:szCs w:val="24"/>
        </w:rPr>
        <w:t xml:space="preserve"> 2010; </w:t>
      </w:r>
      <w:r w:rsidRPr="00825E2B">
        <w:rPr>
          <w:rFonts w:ascii="Book Antiqua" w:hAnsi="Book Antiqua"/>
          <w:b/>
          <w:bCs/>
          <w:sz w:val="24"/>
          <w:szCs w:val="24"/>
        </w:rPr>
        <w:t>11</w:t>
      </w:r>
      <w:r w:rsidRPr="00825E2B">
        <w:rPr>
          <w:rFonts w:ascii="Book Antiqua" w:hAnsi="Book Antiqua"/>
          <w:sz w:val="24"/>
          <w:szCs w:val="24"/>
        </w:rPr>
        <w:t>: R118 [PMID: 21118518 DOI: 10.1186/gb-2010-11-11-r118]</w:t>
      </w:r>
    </w:p>
    <w:p w14:paraId="796AD4C5"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55 </w:t>
      </w:r>
      <w:r w:rsidRPr="00825E2B">
        <w:rPr>
          <w:rFonts w:ascii="Book Antiqua" w:hAnsi="Book Antiqua"/>
          <w:b/>
          <w:bCs/>
          <w:sz w:val="24"/>
          <w:szCs w:val="24"/>
        </w:rPr>
        <w:t>Carey CE</w:t>
      </w:r>
      <w:r w:rsidRPr="00825E2B">
        <w:rPr>
          <w:rFonts w:ascii="Book Antiqua" w:hAnsi="Book Antiqua"/>
          <w:sz w:val="24"/>
          <w:szCs w:val="24"/>
        </w:rPr>
        <w:t xml:space="preserve">, Agrawal A, Zhang B, Conley ED, Degenhardt L, Heath AC, Li D, Lynskey MT, Martin NG, Montgomery GW, Wang T, Bierut LJ, Hariri AR, Nelson EC, Bogdan R. Monoacylglycerol lipase (MGLL) polymorphism rs604300 interacts with childhood adversity to predict cannabis dependence symptoms and amygdala habituation: Evidence from an endocannabinoid system-level analysis. </w:t>
      </w:r>
      <w:r w:rsidRPr="00825E2B">
        <w:rPr>
          <w:rFonts w:ascii="Book Antiqua" w:hAnsi="Book Antiqua"/>
          <w:i/>
          <w:iCs/>
          <w:sz w:val="24"/>
          <w:szCs w:val="24"/>
        </w:rPr>
        <w:t>J Abnorm Psychol</w:t>
      </w:r>
      <w:r w:rsidRPr="00825E2B">
        <w:rPr>
          <w:rFonts w:ascii="Book Antiqua" w:hAnsi="Book Antiqua"/>
          <w:sz w:val="24"/>
          <w:szCs w:val="24"/>
        </w:rPr>
        <w:t xml:space="preserve"> 2015; </w:t>
      </w:r>
      <w:r w:rsidRPr="00825E2B">
        <w:rPr>
          <w:rFonts w:ascii="Book Antiqua" w:hAnsi="Book Antiqua"/>
          <w:b/>
          <w:bCs/>
          <w:sz w:val="24"/>
          <w:szCs w:val="24"/>
        </w:rPr>
        <w:t>124</w:t>
      </w:r>
      <w:r w:rsidRPr="00825E2B">
        <w:rPr>
          <w:rFonts w:ascii="Book Antiqua" w:hAnsi="Book Antiqua"/>
          <w:sz w:val="24"/>
          <w:szCs w:val="24"/>
        </w:rPr>
        <w:t>: 860-877 [PMID: 26595473 DOI: 10.1037/abn0000079]</w:t>
      </w:r>
    </w:p>
    <w:p w14:paraId="127175B1" w14:textId="12E67929"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56 </w:t>
      </w:r>
      <w:r w:rsidRPr="00825E2B">
        <w:rPr>
          <w:rFonts w:ascii="Book Antiqua" w:hAnsi="Book Antiqua"/>
          <w:b/>
          <w:bCs/>
          <w:sz w:val="24"/>
          <w:szCs w:val="24"/>
        </w:rPr>
        <w:t>Sipe JC</w:t>
      </w:r>
      <w:r w:rsidRPr="00825E2B">
        <w:rPr>
          <w:rFonts w:ascii="Book Antiqua" w:hAnsi="Book Antiqua"/>
          <w:sz w:val="24"/>
          <w:szCs w:val="24"/>
        </w:rPr>
        <w:t xml:space="preserve">, Chiang K, Gerber AL, Beutler E, Cravatt BF. A missense mutation in human fatty acid amide hydrolase associated with problem drug use. </w:t>
      </w:r>
      <w:r w:rsidR="005D7725" w:rsidRPr="00825E2B">
        <w:rPr>
          <w:rFonts w:ascii="Book Antiqua" w:hAnsi="Book Antiqua"/>
          <w:i/>
          <w:iCs/>
          <w:sz w:val="24"/>
          <w:szCs w:val="24"/>
        </w:rPr>
        <w:t>Proc Natl Acad Sci US</w:t>
      </w:r>
      <w:r w:rsidRPr="00825E2B">
        <w:rPr>
          <w:rFonts w:ascii="Book Antiqua" w:hAnsi="Book Antiqua"/>
          <w:i/>
          <w:iCs/>
          <w:sz w:val="24"/>
          <w:szCs w:val="24"/>
        </w:rPr>
        <w:t>A</w:t>
      </w:r>
      <w:r w:rsidRPr="00825E2B">
        <w:rPr>
          <w:rFonts w:ascii="Book Antiqua" w:hAnsi="Book Antiqua"/>
          <w:sz w:val="24"/>
          <w:szCs w:val="24"/>
        </w:rPr>
        <w:t xml:space="preserve"> 2002; </w:t>
      </w:r>
      <w:r w:rsidRPr="00825E2B">
        <w:rPr>
          <w:rFonts w:ascii="Book Antiqua" w:hAnsi="Book Antiqua"/>
          <w:b/>
          <w:bCs/>
          <w:sz w:val="24"/>
          <w:szCs w:val="24"/>
        </w:rPr>
        <w:t>99</w:t>
      </w:r>
      <w:r w:rsidRPr="00825E2B">
        <w:rPr>
          <w:rFonts w:ascii="Book Antiqua" w:hAnsi="Book Antiqua"/>
          <w:sz w:val="24"/>
          <w:szCs w:val="24"/>
        </w:rPr>
        <w:t>: 8394-8399 [PMID: 12060782 DOI: 10.1073/pnas.082235799]</w:t>
      </w:r>
    </w:p>
    <w:p w14:paraId="25BCBEF9" w14:textId="77777777" w:rsidR="00871771" w:rsidRPr="00825E2B" w:rsidRDefault="00871771"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57 </w:t>
      </w:r>
      <w:r w:rsidRPr="00825E2B">
        <w:rPr>
          <w:rFonts w:ascii="Book Antiqua" w:hAnsi="Book Antiqua"/>
          <w:b/>
          <w:bCs/>
          <w:sz w:val="24"/>
          <w:szCs w:val="24"/>
        </w:rPr>
        <w:t>Iwasaki S</w:t>
      </w:r>
      <w:r w:rsidRPr="00825E2B">
        <w:rPr>
          <w:rFonts w:ascii="Book Antiqua" w:hAnsi="Book Antiqua"/>
          <w:sz w:val="24"/>
          <w:szCs w:val="24"/>
        </w:rPr>
        <w:t xml:space="preserve">, Ishiguro H, Higuchi S, Onaivi ES, Arinami T. Association study between alcoholism and endocannabinoid metabolic enzyme genes encoding fatty acid amide hydrolase and monoglyceride lipase in a Japanese </w:t>
      </w:r>
      <w:r w:rsidRPr="00825E2B">
        <w:rPr>
          <w:rFonts w:ascii="Book Antiqua" w:hAnsi="Book Antiqua"/>
          <w:sz w:val="24"/>
          <w:szCs w:val="24"/>
        </w:rPr>
        <w:lastRenderedPageBreak/>
        <w:t xml:space="preserve">population. </w:t>
      </w:r>
      <w:r w:rsidRPr="00825E2B">
        <w:rPr>
          <w:rFonts w:ascii="Book Antiqua" w:hAnsi="Book Antiqua"/>
          <w:i/>
          <w:iCs/>
          <w:sz w:val="24"/>
          <w:szCs w:val="24"/>
        </w:rPr>
        <w:t>Psychiatr Genet</w:t>
      </w:r>
      <w:r w:rsidRPr="00825E2B">
        <w:rPr>
          <w:rFonts w:ascii="Book Antiqua" w:hAnsi="Book Antiqua"/>
          <w:sz w:val="24"/>
          <w:szCs w:val="24"/>
        </w:rPr>
        <w:t xml:space="preserve"> 2007; </w:t>
      </w:r>
      <w:r w:rsidRPr="00825E2B">
        <w:rPr>
          <w:rFonts w:ascii="Book Antiqua" w:hAnsi="Book Antiqua"/>
          <w:b/>
          <w:bCs/>
          <w:sz w:val="24"/>
          <w:szCs w:val="24"/>
        </w:rPr>
        <w:t>17</w:t>
      </w:r>
      <w:r w:rsidRPr="00825E2B">
        <w:rPr>
          <w:rFonts w:ascii="Book Antiqua" w:hAnsi="Book Antiqua"/>
          <w:sz w:val="24"/>
          <w:szCs w:val="24"/>
        </w:rPr>
        <w:t>: 215-220 [PMID: 17621164 DOI: 10.1097/YPG.0b013e32809913d8]</w:t>
      </w:r>
    </w:p>
    <w:p w14:paraId="00283615" w14:textId="77777777" w:rsidR="00871771" w:rsidRPr="00825E2B" w:rsidRDefault="00871771" w:rsidP="00A921B8">
      <w:pPr>
        <w:autoSpaceDE w:val="0"/>
        <w:autoSpaceDN w:val="0"/>
        <w:adjustRightInd w:val="0"/>
        <w:snapToGrid w:val="0"/>
        <w:spacing w:after="0" w:line="360" w:lineRule="auto"/>
        <w:jc w:val="both"/>
        <w:rPr>
          <w:rFonts w:ascii="Book Antiqua" w:hAnsi="Book Antiqua"/>
          <w:b/>
          <w:bCs/>
          <w:sz w:val="24"/>
          <w:szCs w:val="24"/>
          <w:lang w:eastAsia="zh-CN"/>
        </w:rPr>
      </w:pPr>
    </w:p>
    <w:p w14:paraId="4FE5988E" w14:textId="77777777" w:rsidR="00B1098E" w:rsidRPr="00825E2B" w:rsidRDefault="00B1098E" w:rsidP="00A921B8">
      <w:pPr>
        <w:snapToGrid w:val="0"/>
        <w:spacing w:after="0" w:line="360" w:lineRule="auto"/>
        <w:jc w:val="both"/>
        <w:rPr>
          <w:rFonts w:ascii="Book Antiqua" w:hAnsi="Book Antiqua" w:cs="Arial"/>
          <w:b/>
          <w:sz w:val="24"/>
          <w:szCs w:val="24"/>
          <w:lang w:val="en-US"/>
        </w:rPr>
      </w:pPr>
      <w:r w:rsidRPr="00825E2B">
        <w:rPr>
          <w:rFonts w:ascii="Book Antiqua" w:hAnsi="Book Antiqua" w:cs="Arial"/>
          <w:b/>
          <w:sz w:val="24"/>
          <w:szCs w:val="24"/>
          <w:lang w:val="en-US"/>
        </w:rPr>
        <w:br w:type="page"/>
      </w:r>
    </w:p>
    <w:p w14:paraId="63EF1B8B" w14:textId="77777777" w:rsidR="00CF448B" w:rsidRPr="00825E2B" w:rsidRDefault="00CF448B" w:rsidP="00A921B8">
      <w:pPr>
        <w:adjustRightInd w:val="0"/>
        <w:snapToGrid w:val="0"/>
        <w:spacing w:after="0" w:line="360" w:lineRule="auto"/>
        <w:jc w:val="both"/>
        <w:rPr>
          <w:rFonts w:ascii="Book Antiqua" w:hAnsi="Book Antiqua"/>
          <w:b/>
          <w:bCs/>
          <w:sz w:val="24"/>
          <w:szCs w:val="24"/>
        </w:rPr>
      </w:pPr>
      <w:r w:rsidRPr="00825E2B">
        <w:rPr>
          <w:rFonts w:ascii="Book Antiqua" w:hAnsi="Book Antiqua"/>
          <w:b/>
          <w:bCs/>
          <w:sz w:val="24"/>
          <w:szCs w:val="24"/>
        </w:rPr>
        <w:lastRenderedPageBreak/>
        <w:t>Footnotes</w:t>
      </w:r>
    </w:p>
    <w:p w14:paraId="6700A0ED" w14:textId="77777777" w:rsidR="00CF448B" w:rsidRPr="00825E2B" w:rsidRDefault="00CF448B" w:rsidP="00A921B8">
      <w:pPr>
        <w:snapToGrid w:val="0"/>
        <w:spacing w:after="0" w:line="360" w:lineRule="auto"/>
        <w:jc w:val="both"/>
        <w:rPr>
          <w:rFonts w:ascii="Book Antiqua" w:hAnsi="Book Antiqua"/>
          <w:sz w:val="24"/>
          <w:szCs w:val="24"/>
        </w:rPr>
      </w:pPr>
      <w:r w:rsidRPr="00825E2B">
        <w:rPr>
          <w:rFonts w:ascii="Book Antiqua" w:hAnsi="Book Antiqua"/>
          <w:b/>
          <w:bCs/>
          <w:color w:val="000000"/>
          <w:sz w:val="24"/>
          <w:szCs w:val="24"/>
        </w:rPr>
        <w:t>Conflict-of-interest statement</w:t>
      </w:r>
      <w:r w:rsidRPr="00825E2B">
        <w:rPr>
          <w:rFonts w:ascii="Book Antiqua" w:hAnsi="Book Antiqua"/>
          <w:b/>
          <w:bCs/>
          <w:sz w:val="24"/>
          <w:szCs w:val="24"/>
        </w:rPr>
        <w:t xml:space="preserve">: </w:t>
      </w:r>
      <w:r w:rsidRPr="00825E2B">
        <w:rPr>
          <w:rFonts w:ascii="Book Antiqua" w:hAnsi="Book Antiqua"/>
          <w:sz w:val="24"/>
          <w:szCs w:val="24"/>
        </w:rPr>
        <w:t>There is no conflict of interest associated with any of the senior author or other coauthors contributed their efforts in this manuscript.</w:t>
      </w:r>
    </w:p>
    <w:p w14:paraId="1E2A807D" w14:textId="77777777" w:rsidR="00CF448B" w:rsidRPr="00825E2B" w:rsidRDefault="00CF448B" w:rsidP="00A921B8">
      <w:pPr>
        <w:snapToGrid w:val="0"/>
        <w:spacing w:after="0" w:line="360" w:lineRule="auto"/>
        <w:jc w:val="both"/>
        <w:rPr>
          <w:rFonts w:ascii="Book Antiqua" w:hAnsi="Book Antiqua"/>
          <w:b/>
          <w:bCs/>
          <w:color w:val="000000"/>
          <w:sz w:val="24"/>
          <w:szCs w:val="24"/>
        </w:rPr>
      </w:pPr>
      <w:r w:rsidRPr="00825E2B">
        <w:rPr>
          <w:rFonts w:ascii="Book Antiqua" w:hAnsi="Book Antiqua"/>
          <w:b/>
          <w:bCs/>
          <w:color w:val="000000"/>
          <w:sz w:val="24"/>
          <w:szCs w:val="24"/>
        </w:rPr>
        <w:t xml:space="preserve"> </w:t>
      </w:r>
    </w:p>
    <w:p w14:paraId="5F8FED76" w14:textId="77777777" w:rsidR="00CF448B" w:rsidRPr="00825E2B" w:rsidRDefault="00CF448B" w:rsidP="00A921B8">
      <w:pPr>
        <w:snapToGrid w:val="0"/>
        <w:spacing w:after="0" w:line="360" w:lineRule="auto"/>
        <w:jc w:val="both"/>
        <w:rPr>
          <w:rFonts w:ascii="Book Antiqua" w:hAnsi="Book Antiqua"/>
          <w:color w:val="000000"/>
          <w:sz w:val="24"/>
          <w:szCs w:val="24"/>
        </w:rPr>
      </w:pPr>
      <w:r w:rsidRPr="00825E2B">
        <w:rPr>
          <w:rFonts w:ascii="Book Antiqua" w:hAnsi="Book Antiqua"/>
          <w:b/>
          <w:bCs/>
          <w:color w:val="000000"/>
          <w:sz w:val="24"/>
          <w:szCs w:val="24"/>
        </w:rPr>
        <w:t>Open-Access:</w:t>
      </w:r>
      <w:r w:rsidRPr="00825E2B">
        <w:rPr>
          <w:rFonts w:ascii="Book Antiqua" w:hAnsi="Book Antiqua"/>
          <w:color w:val="000000"/>
          <w:sz w:val="24"/>
          <w:szCs w:val="24"/>
        </w:rPr>
        <w:t xml:space="preserve"> This article is an open-access </w:t>
      </w:r>
      <w:r w:rsidRPr="00825E2B">
        <w:rPr>
          <w:rFonts w:ascii="Book Antiqua" w:hAnsi="Book Antiqua"/>
          <w:sz w:val="24"/>
          <w:szCs w:val="24"/>
        </w:rPr>
        <w:t xml:space="preserve">article that was selected </w:t>
      </w:r>
      <w:r w:rsidRPr="00825E2B">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95AE98" w14:textId="77777777" w:rsidR="00CF448B" w:rsidRPr="00825E2B" w:rsidRDefault="00CF448B" w:rsidP="00A921B8">
      <w:pPr>
        <w:snapToGrid w:val="0"/>
        <w:spacing w:after="0" w:line="360" w:lineRule="auto"/>
        <w:jc w:val="both"/>
        <w:rPr>
          <w:rFonts w:ascii="Book Antiqua" w:hAnsi="Book Antiqua"/>
          <w:sz w:val="24"/>
          <w:szCs w:val="24"/>
        </w:rPr>
      </w:pPr>
      <w:r w:rsidRPr="00825E2B">
        <w:rPr>
          <w:rFonts w:ascii="Book Antiqua" w:hAnsi="Book Antiqua"/>
          <w:sz w:val="24"/>
          <w:szCs w:val="24"/>
        </w:rPr>
        <w:t xml:space="preserve"> </w:t>
      </w:r>
    </w:p>
    <w:p w14:paraId="1C57D82F" w14:textId="77777777" w:rsidR="00CF448B" w:rsidRPr="00825E2B" w:rsidRDefault="00CF448B" w:rsidP="00A921B8">
      <w:pPr>
        <w:adjustRightInd w:val="0"/>
        <w:snapToGrid w:val="0"/>
        <w:spacing w:after="0" w:line="360" w:lineRule="auto"/>
        <w:jc w:val="both"/>
        <w:rPr>
          <w:rFonts w:ascii="Book Antiqua" w:hAnsi="Book Antiqua"/>
          <w:color w:val="000000"/>
          <w:sz w:val="24"/>
          <w:szCs w:val="24"/>
        </w:rPr>
      </w:pPr>
      <w:r w:rsidRPr="00825E2B">
        <w:rPr>
          <w:rFonts w:ascii="Book Antiqua" w:hAnsi="Book Antiqua"/>
          <w:b/>
          <w:bCs/>
          <w:color w:val="000000"/>
          <w:sz w:val="24"/>
          <w:szCs w:val="24"/>
        </w:rPr>
        <w:t xml:space="preserve">Manuscript source: </w:t>
      </w:r>
      <w:r w:rsidRPr="00825E2B">
        <w:rPr>
          <w:rFonts w:ascii="Book Antiqua" w:hAnsi="Book Antiqua"/>
          <w:color w:val="000000"/>
          <w:sz w:val="24"/>
          <w:szCs w:val="24"/>
        </w:rPr>
        <w:t>Invited manuscript</w:t>
      </w:r>
    </w:p>
    <w:p w14:paraId="2ABDD9F0" w14:textId="0F7CD973" w:rsidR="00CF448B" w:rsidRPr="00825E2B" w:rsidRDefault="00CF448B" w:rsidP="00A921B8">
      <w:pPr>
        <w:adjustRightInd w:val="0"/>
        <w:snapToGrid w:val="0"/>
        <w:spacing w:after="0" w:line="360" w:lineRule="auto"/>
        <w:jc w:val="both"/>
        <w:rPr>
          <w:rFonts w:ascii="Book Antiqua" w:hAnsi="Book Antiqua"/>
          <w:b/>
          <w:bCs/>
          <w:color w:val="000000"/>
          <w:sz w:val="24"/>
          <w:szCs w:val="24"/>
          <w:lang w:eastAsia="zh-CN"/>
        </w:rPr>
      </w:pPr>
      <w:r w:rsidRPr="00825E2B">
        <w:rPr>
          <w:rFonts w:ascii="Book Antiqua" w:hAnsi="Book Antiqua"/>
          <w:b/>
          <w:bCs/>
          <w:color w:val="000000"/>
          <w:sz w:val="24"/>
          <w:szCs w:val="24"/>
        </w:rPr>
        <w:t xml:space="preserve"> </w:t>
      </w:r>
    </w:p>
    <w:p w14:paraId="505E897A" w14:textId="34BF3432" w:rsidR="00CF448B" w:rsidRPr="00825E2B" w:rsidRDefault="00CF448B" w:rsidP="00A921B8">
      <w:pPr>
        <w:snapToGrid w:val="0"/>
        <w:spacing w:after="0" w:line="360" w:lineRule="auto"/>
        <w:jc w:val="both"/>
        <w:rPr>
          <w:rFonts w:ascii="Book Antiqua" w:hAnsi="Book Antiqua"/>
          <w:b/>
          <w:bCs/>
          <w:sz w:val="24"/>
          <w:szCs w:val="24"/>
          <w:lang w:eastAsia="zh-CN"/>
        </w:rPr>
      </w:pPr>
      <w:r w:rsidRPr="00825E2B">
        <w:rPr>
          <w:rFonts w:ascii="Book Antiqua" w:hAnsi="Book Antiqua"/>
          <w:b/>
          <w:bCs/>
          <w:sz w:val="24"/>
          <w:szCs w:val="24"/>
        </w:rPr>
        <w:t>Peer-review started:</w:t>
      </w:r>
      <w:r w:rsidRPr="00825E2B">
        <w:rPr>
          <w:rFonts w:ascii="Book Antiqua" w:hAnsi="Book Antiqua"/>
          <w:sz w:val="24"/>
          <w:szCs w:val="24"/>
        </w:rPr>
        <w:t xml:space="preserve"> </w:t>
      </w:r>
      <w:r w:rsidRPr="00825E2B">
        <w:rPr>
          <w:rFonts w:ascii="Book Antiqua" w:hAnsi="Book Antiqua"/>
          <w:sz w:val="24"/>
          <w:szCs w:val="24"/>
          <w:lang w:eastAsia="zh-CN"/>
        </w:rPr>
        <w:t>March</w:t>
      </w:r>
      <w:r w:rsidRPr="00825E2B">
        <w:rPr>
          <w:rFonts w:ascii="Book Antiqua" w:hAnsi="Book Antiqua"/>
          <w:sz w:val="24"/>
          <w:szCs w:val="24"/>
        </w:rPr>
        <w:t xml:space="preserve"> 18, 2020</w:t>
      </w:r>
    </w:p>
    <w:p w14:paraId="55CCFD7D" w14:textId="0ECC9FB9" w:rsidR="00CF448B" w:rsidRPr="00825E2B" w:rsidRDefault="00CF448B" w:rsidP="00A921B8">
      <w:pPr>
        <w:snapToGrid w:val="0"/>
        <w:spacing w:after="0" w:line="360" w:lineRule="auto"/>
        <w:jc w:val="both"/>
        <w:rPr>
          <w:rFonts w:ascii="Book Antiqua" w:hAnsi="Book Antiqua"/>
          <w:sz w:val="24"/>
          <w:szCs w:val="24"/>
          <w:lang w:eastAsia="zh-CN"/>
        </w:rPr>
      </w:pPr>
      <w:r w:rsidRPr="00825E2B">
        <w:rPr>
          <w:rFonts w:ascii="Book Antiqua" w:hAnsi="Book Antiqua"/>
          <w:b/>
          <w:bCs/>
          <w:sz w:val="24"/>
          <w:szCs w:val="24"/>
        </w:rPr>
        <w:t xml:space="preserve">First decision: </w:t>
      </w:r>
      <w:r w:rsidRPr="00825E2B">
        <w:rPr>
          <w:rFonts w:ascii="Book Antiqua" w:hAnsi="Book Antiqua"/>
          <w:sz w:val="24"/>
          <w:szCs w:val="24"/>
          <w:lang w:eastAsia="zh-CN"/>
        </w:rPr>
        <w:t>M</w:t>
      </w:r>
      <w:bookmarkStart w:id="8" w:name="_GoBack"/>
      <w:bookmarkEnd w:id="8"/>
      <w:r w:rsidRPr="00825E2B">
        <w:rPr>
          <w:rFonts w:ascii="Book Antiqua" w:hAnsi="Book Antiqua"/>
          <w:sz w:val="24"/>
          <w:szCs w:val="24"/>
          <w:lang w:eastAsia="zh-CN"/>
        </w:rPr>
        <w:t>ay 15</w:t>
      </w:r>
      <w:r w:rsidRPr="00825E2B">
        <w:rPr>
          <w:rFonts w:ascii="Book Antiqua" w:hAnsi="Book Antiqua"/>
          <w:sz w:val="24"/>
          <w:szCs w:val="24"/>
        </w:rPr>
        <w:t>, 2020</w:t>
      </w:r>
    </w:p>
    <w:p w14:paraId="34257B07" w14:textId="33B880CB" w:rsidR="00CF448B" w:rsidRPr="00825E2B" w:rsidRDefault="00CF448B" w:rsidP="00A921B8">
      <w:pPr>
        <w:snapToGrid w:val="0"/>
        <w:spacing w:after="0" w:line="360" w:lineRule="auto"/>
        <w:jc w:val="both"/>
        <w:rPr>
          <w:rFonts w:ascii="Book Antiqua" w:hAnsi="Book Antiqua"/>
          <w:b/>
          <w:bCs/>
          <w:sz w:val="24"/>
          <w:szCs w:val="24"/>
        </w:rPr>
      </w:pPr>
      <w:r w:rsidRPr="00825E2B">
        <w:rPr>
          <w:rFonts w:ascii="Book Antiqua" w:hAnsi="Book Antiqua"/>
          <w:b/>
          <w:bCs/>
          <w:sz w:val="24"/>
          <w:szCs w:val="24"/>
        </w:rPr>
        <w:t>Article in press:</w:t>
      </w:r>
      <w:r w:rsidR="007E0CCD" w:rsidRPr="00825E2B">
        <w:rPr>
          <w:rFonts w:ascii="Book Antiqua" w:hAnsi="Book Antiqua" w:cs="Arial"/>
          <w:sz w:val="24"/>
          <w:szCs w:val="24"/>
          <w:lang w:val="en-US"/>
        </w:rPr>
        <w:t xml:space="preserve"> </w:t>
      </w:r>
      <w:r w:rsidR="007E0CCD" w:rsidRPr="00825E2B">
        <w:rPr>
          <w:rFonts w:ascii="Book Antiqua" w:hAnsi="Book Antiqua" w:cs="Arial"/>
          <w:sz w:val="24"/>
          <w:szCs w:val="24"/>
          <w:lang w:val="en-US"/>
        </w:rPr>
        <w:t>June 23, 2020</w:t>
      </w:r>
    </w:p>
    <w:p w14:paraId="1CED947C" w14:textId="77777777" w:rsidR="00CF448B" w:rsidRPr="00825E2B" w:rsidRDefault="00CF448B" w:rsidP="00A921B8">
      <w:pPr>
        <w:adjustRightInd w:val="0"/>
        <w:snapToGrid w:val="0"/>
        <w:spacing w:after="0" w:line="360" w:lineRule="auto"/>
        <w:jc w:val="both"/>
        <w:rPr>
          <w:rStyle w:val="16"/>
          <w:rFonts w:ascii="Book Antiqua" w:hAnsi="Book Antiqua" w:cs="Arial"/>
          <w:sz w:val="24"/>
          <w:szCs w:val="24"/>
        </w:rPr>
      </w:pPr>
      <w:r w:rsidRPr="00825E2B">
        <w:rPr>
          <w:rStyle w:val="16"/>
          <w:rFonts w:ascii="Book Antiqua" w:hAnsi="Book Antiqua" w:cs="Arial"/>
          <w:sz w:val="24"/>
          <w:szCs w:val="24"/>
        </w:rPr>
        <w:t xml:space="preserve"> </w:t>
      </w:r>
    </w:p>
    <w:p w14:paraId="616623D3" w14:textId="1A6D45B8" w:rsidR="00CF448B" w:rsidRPr="00825E2B" w:rsidRDefault="00CF448B" w:rsidP="00A921B8">
      <w:pPr>
        <w:widowControl w:val="0"/>
        <w:adjustRightInd w:val="0"/>
        <w:snapToGrid w:val="0"/>
        <w:spacing w:after="0" w:line="360" w:lineRule="auto"/>
        <w:jc w:val="both"/>
        <w:rPr>
          <w:rFonts w:ascii="Book Antiqua" w:eastAsia="微软雅黑" w:hAnsi="Book Antiqua" w:cs="宋体"/>
          <w:sz w:val="24"/>
          <w:szCs w:val="24"/>
        </w:rPr>
      </w:pPr>
      <w:r w:rsidRPr="00825E2B">
        <w:rPr>
          <w:rFonts w:ascii="Book Antiqua" w:hAnsi="Book Antiqua" w:cs="宋体"/>
          <w:b/>
          <w:bCs/>
          <w:sz w:val="24"/>
          <w:szCs w:val="24"/>
        </w:rPr>
        <w:t xml:space="preserve">Specialty type: </w:t>
      </w:r>
      <w:r w:rsidRPr="00825E2B">
        <w:rPr>
          <w:rFonts w:ascii="Book Antiqua" w:eastAsia="微软雅黑" w:hAnsi="Book Antiqua" w:cs="宋体"/>
          <w:sz w:val="24"/>
          <w:szCs w:val="24"/>
        </w:rPr>
        <w:t xml:space="preserve">Gastroenterology and </w:t>
      </w:r>
      <w:r w:rsidR="00E7797F" w:rsidRPr="00825E2B">
        <w:rPr>
          <w:rFonts w:ascii="Book Antiqua" w:eastAsia="微软雅黑" w:hAnsi="Book Antiqua" w:cs="宋体"/>
          <w:sz w:val="24"/>
          <w:szCs w:val="24"/>
        </w:rPr>
        <w:t>hepatology</w:t>
      </w:r>
    </w:p>
    <w:p w14:paraId="26793A22" w14:textId="7C4BBC18" w:rsidR="00CF448B" w:rsidRPr="00825E2B" w:rsidRDefault="00E7797F" w:rsidP="00A921B8">
      <w:pPr>
        <w:snapToGrid w:val="0"/>
        <w:spacing w:after="0" w:line="360" w:lineRule="auto"/>
        <w:jc w:val="both"/>
        <w:rPr>
          <w:rFonts w:ascii="Book Antiqua" w:hAnsi="Book Antiqua"/>
          <w:sz w:val="24"/>
          <w:szCs w:val="24"/>
        </w:rPr>
      </w:pPr>
      <w:r w:rsidRPr="00825E2B">
        <w:rPr>
          <w:rFonts w:ascii="Book Antiqua" w:hAnsi="Book Antiqua" w:cs="宋体"/>
          <w:b/>
          <w:bCs/>
          <w:sz w:val="24"/>
          <w:szCs w:val="24"/>
        </w:rPr>
        <w:t>Country/Territory of origin:</w:t>
      </w:r>
      <w:r w:rsidRPr="00825E2B">
        <w:rPr>
          <w:rFonts w:ascii="Book Antiqua" w:hAnsi="Book Antiqua"/>
          <w:sz w:val="24"/>
          <w:szCs w:val="24"/>
          <w:lang w:eastAsia="zh-CN"/>
        </w:rPr>
        <w:t xml:space="preserve"> </w:t>
      </w:r>
      <w:r w:rsidR="00CF448B" w:rsidRPr="00825E2B">
        <w:rPr>
          <w:rFonts w:ascii="Book Antiqua" w:hAnsi="Book Antiqua"/>
          <w:sz w:val="24"/>
          <w:szCs w:val="24"/>
        </w:rPr>
        <w:t>United States</w:t>
      </w:r>
    </w:p>
    <w:p w14:paraId="536941AB" w14:textId="77777777" w:rsidR="00E7797F" w:rsidRPr="00825E2B" w:rsidRDefault="00E7797F" w:rsidP="00A921B8">
      <w:pPr>
        <w:snapToGrid w:val="0"/>
        <w:spacing w:after="0" w:line="360" w:lineRule="auto"/>
        <w:jc w:val="both"/>
        <w:rPr>
          <w:rFonts w:ascii="Book Antiqua" w:hAnsi="Book Antiqua"/>
          <w:sz w:val="24"/>
          <w:szCs w:val="24"/>
        </w:rPr>
      </w:pPr>
      <w:r w:rsidRPr="00825E2B">
        <w:rPr>
          <w:rFonts w:ascii="Book Antiqua" w:hAnsi="Book Antiqua" w:cs="宋体"/>
          <w:b/>
          <w:bCs/>
          <w:sz w:val="24"/>
          <w:szCs w:val="24"/>
        </w:rPr>
        <w:t>Peer-review report’s scientific quality classification</w:t>
      </w:r>
    </w:p>
    <w:p w14:paraId="131B9948" w14:textId="6D18669A" w:rsidR="00CF448B" w:rsidRPr="00825E2B" w:rsidRDefault="00CF448B" w:rsidP="00A921B8">
      <w:pPr>
        <w:widowControl w:val="0"/>
        <w:adjustRightInd w:val="0"/>
        <w:snapToGrid w:val="0"/>
        <w:spacing w:after="0" w:line="360" w:lineRule="auto"/>
        <w:jc w:val="both"/>
        <w:rPr>
          <w:rFonts w:ascii="Book Antiqua" w:hAnsi="Book Antiqua" w:cs="宋体"/>
          <w:sz w:val="24"/>
          <w:szCs w:val="24"/>
          <w:lang w:eastAsia="zh-CN"/>
        </w:rPr>
      </w:pPr>
      <w:r w:rsidRPr="00825E2B">
        <w:rPr>
          <w:rFonts w:ascii="Book Antiqua" w:hAnsi="Book Antiqua" w:cs="宋体"/>
          <w:sz w:val="24"/>
          <w:szCs w:val="24"/>
        </w:rPr>
        <w:t>Grade A (Excellent): A</w:t>
      </w:r>
      <w:r w:rsidR="00E7797F" w:rsidRPr="00825E2B">
        <w:rPr>
          <w:rFonts w:ascii="Book Antiqua" w:hAnsi="Book Antiqua" w:cs="宋体"/>
          <w:sz w:val="24"/>
          <w:szCs w:val="24"/>
          <w:lang w:eastAsia="zh-CN"/>
        </w:rPr>
        <w:t>, A</w:t>
      </w:r>
    </w:p>
    <w:p w14:paraId="24D415DB" w14:textId="5C251C14" w:rsidR="00CF448B" w:rsidRPr="00825E2B" w:rsidRDefault="00CF448B" w:rsidP="00A921B8">
      <w:pPr>
        <w:widowControl w:val="0"/>
        <w:adjustRightInd w:val="0"/>
        <w:snapToGrid w:val="0"/>
        <w:spacing w:after="0" w:line="360" w:lineRule="auto"/>
        <w:jc w:val="both"/>
        <w:rPr>
          <w:rFonts w:ascii="Book Antiqua" w:hAnsi="Book Antiqua" w:cs="宋体"/>
          <w:sz w:val="24"/>
          <w:szCs w:val="24"/>
          <w:lang w:eastAsia="zh-CN"/>
        </w:rPr>
      </w:pPr>
      <w:r w:rsidRPr="00825E2B">
        <w:rPr>
          <w:rFonts w:ascii="Book Antiqua" w:hAnsi="Book Antiqua" w:cs="宋体"/>
          <w:sz w:val="24"/>
          <w:szCs w:val="24"/>
        </w:rPr>
        <w:t xml:space="preserve">Grade B (Very good): </w:t>
      </w:r>
      <w:r w:rsidRPr="00825E2B">
        <w:rPr>
          <w:rFonts w:ascii="Book Antiqua" w:hAnsi="Book Antiqua"/>
          <w:sz w:val="24"/>
          <w:szCs w:val="24"/>
        </w:rPr>
        <w:t>B</w:t>
      </w:r>
      <w:r w:rsidR="00E7797F" w:rsidRPr="00825E2B">
        <w:rPr>
          <w:rFonts w:ascii="Book Antiqua" w:hAnsi="Book Antiqua"/>
          <w:sz w:val="24"/>
          <w:szCs w:val="24"/>
          <w:lang w:eastAsia="zh-CN"/>
        </w:rPr>
        <w:t>, B, B, B</w:t>
      </w:r>
    </w:p>
    <w:p w14:paraId="77573CF6" w14:textId="16B3081B" w:rsidR="00CF448B" w:rsidRPr="00825E2B" w:rsidRDefault="00CF448B" w:rsidP="00A921B8">
      <w:pPr>
        <w:widowControl w:val="0"/>
        <w:adjustRightInd w:val="0"/>
        <w:snapToGrid w:val="0"/>
        <w:spacing w:after="0" w:line="360" w:lineRule="auto"/>
        <w:jc w:val="both"/>
        <w:rPr>
          <w:rFonts w:ascii="Book Antiqua" w:hAnsi="Book Antiqua" w:cs="宋体"/>
          <w:sz w:val="24"/>
          <w:szCs w:val="24"/>
          <w:lang w:eastAsia="zh-CN"/>
        </w:rPr>
      </w:pPr>
      <w:r w:rsidRPr="00825E2B">
        <w:rPr>
          <w:rFonts w:ascii="Book Antiqua" w:hAnsi="Book Antiqua" w:cs="宋体"/>
          <w:sz w:val="24"/>
          <w:szCs w:val="24"/>
        </w:rPr>
        <w:t>Grade C (Good): C</w:t>
      </w:r>
      <w:r w:rsidR="00E7797F" w:rsidRPr="00825E2B">
        <w:rPr>
          <w:rFonts w:ascii="Book Antiqua" w:hAnsi="Book Antiqua" w:cs="宋体"/>
          <w:sz w:val="24"/>
          <w:szCs w:val="24"/>
          <w:lang w:eastAsia="zh-CN"/>
        </w:rPr>
        <w:t>, C</w:t>
      </w:r>
    </w:p>
    <w:p w14:paraId="68CA915E" w14:textId="77777777" w:rsidR="00CF448B" w:rsidRPr="00825E2B" w:rsidRDefault="00CF448B" w:rsidP="00A921B8">
      <w:pPr>
        <w:widowControl w:val="0"/>
        <w:adjustRightInd w:val="0"/>
        <w:snapToGrid w:val="0"/>
        <w:spacing w:after="0" w:line="360" w:lineRule="auto"/>
        <w:jc w:val="both"/>
        <w:rPr>
          <w:rFonts w:ascii="Book Antiqua" w:hAnsi="Book Antiqua" w:cs="宋体"/>
          <w:sz w:val="24"/>
          <w:szCs w:val="24"/>
        </w:rPr>
      </w:pPr>
      <w:r w:rsidRPr="00825E2B">
        <w:rPr>
          <w:rFonts w:ascii="Book Antiqua" w:hAnsi="Book Antiqua" w:cs="宋体"/>
          <w:sz w:val="24"/>
          <w:szCs w:val="24"/>
        </w:rPr>
        <w:t>Grade D (Fair): 0</w:t>
      </w:r>
    </w:p>
    <w:p w14:paraId="3E37A17C" w14:textId="77777777" w:rsidR="00CF448B" w:rsidRPr="00825E2B" w:rsidRDefault="00CF448B" w:rsidP="00A921B8">
      <w:pPr>
        <w:widowControl w:val="0"/>
        <w:adjustRightInd w:val="0"/>
        <w:snapToGrid w:val="0"/>
        <w:spacing w:after="0" w:line="360" w:lineRule="auto"/>
        <w:jc w:val="both"/>
        <w:rPr>
          <w:rFonts w:ascii="Book Antiqua" w:eastAsia="等线" w:hAnsi="Book Antiqua" w:cs="Times New Roman"/>
          <w:kern w:val="2"/>
          <w:sz w:val="24"/>
          <w:szCs w:val="24"/>
        </w:rPr>
      </w:pPr>
      <w:r w:rsidRPr="00825E2B">
        <w:rPr>
          <w:rFonts w:ascii="Book Antiqua" w:hAnsi="Book Antiqua" w:cs="宋体"/>
          <w:sz w:val="24"/>
          <w:szCs w:val="24"/>
        </w:rPr>
        <w:t>Grade E (Poor): 0</w:t>
      </w:r>
    </w:p>
    <w:p w14:paraId="773ADFD2" w14:textId="77777777" w:rsidR="00CF448B" w:rsidRPr="00825E2B" w:rsidRDefault="00CF448B" w:rsidP="00A921B8">
      <w:pPr>
        <w:adjustRightInd w:val="0"/>
        <w:snapToGrid w:val="0"/>
        <w:spacing w:after="0" w:line="360" w:lineRule="auto"/>
        <w:jc w:val="both"/>
        <w:rPr>
          <w:rStyle w:val="16"/>
          <w:rFonts w:ascii="Book Antiqua" w:hAnsi="Book Antiqua" w:cs="Arial"/>
          <w:sz w:val="24"/>
          <w:szCs w:val="24"/>
        </w:rPr>
      </w:pPr>
      <w:r w:rsidRPr="00825E2B">
        <w:rPr>
          <w:rStyle w:val="16"/>
          <w:rFonts w:ascii="Book Antiqua" w:hAnsi="Book Antiqua" w:cs="Arial"/>
          <w:sz w:val="24"/>
          <w:szCs w:val="24"/>
        </w:rPr>
        <w:t xml:space="preserve"> </w:t>
      </w:r>
    </w:p>
    <w:p w14:paraId="28A969F6" w14:textId="7FA5D066" w:rsidR="00CF448B" w:rsidRPr="00825E2B" w:rsidRDefault="00CF448B" w:rsidP="00A921B8">
      <w:pPr>
        <w:adjustRightInd w:val="0"/>
        <w:snapToGrid w:val="0"/>
        <w:spacing w:after="0" w:line="360" w:lineRule="auto"/>
        <w:jc w:val="both"/>
        <w:rPr>
          <w:rFonts w:ascii="Book Antiqua" w:hAnsi="Book Antiqua" w:cs="Times New Roman" w:hint="eastAsia"/>
          <w:sz w:val="24"/>
          <w:szCs w:val="24"/>
          <w:lang w:eastAsia="zh-CN"/>
        </w:rPr>
      </w:pPr>
      <w:r w:rsidRPr="00825E2B">
        <w:rPr>
          <w:rStyle w:val="16"/>
          <w:rFonts w:ascii="Book Antiqua" w:hAnsi="Book Antiqua" w:cs="Arial"/>
          <w:sz w:val="24"/>
          <w:szCs w:val="24"/>
        </w:rPr>
        <w:t>P-Reviewer:</w:t>
      </w:r>
      <w:r w:rsidR="00E7797F" w:rsidRPr="00825E2B">
        <w:rPr>
          <w:rFonts w:ascii="Book Antiqua" w:hAnsi="Book Antiqua"/>
          <w:sz w:val="24"/>
          <w:szCs w:val="24"/>
        </w:rPr>
        <w:t xml:space="preserve"> </w:t>
      </w:r>
      <w:r w:rsidR="00E7797F" w:rsidRPr="00825E2B">
        <w:rPr>
          <w:rStyle w:val="16"/>
          <w:rFonts w:ascii="Book Antiqua" w:hAnsi="Book Antiqua" w:cs="Arial"/>
          <w:b w:val="0"/>
          <w:sz w:val="24"/>
          <w:szCs w:val="24"/>
        </w:rPr>
        <w:t>Balaban</w:t>
      </w:r>
      <w:r w:rsidR="00E7797F" w:rsidRPr="00825E2B">
        <w:rPr>
          <w:rStyle w:val="16"/>
          <w:rFonts w:ascii="Book Antiqua" w:hAnsi="Book Antiqua" w:cs="Arial"/>
          <w:b w:val="0"/>
          <w:sz w:val="24"/>
          <w:szCs w:val="24"/>
          <w:lang w:eastAsia="zh-CN"/>
        </w:rPr>
        <w:t xml:space="preserve"> YH,</w:t>
      </w:r>
      <w:r w:rsidR="00E7797F" w:rsidRPr="00825E2B">
        <w:rPr>
          <w:rFonts w:ascii="Book Antiqua" w:hAnsi="Book Antiqua"/>
          <w:color w:val="000000"/>
          <w:sz w:val="24"/>
          <w:szCs w:val="24"/>
          <w:lang w:eastAsia="zh-CN"/>
        </w:rPr>
        <w:t xml:space="preserve"> </w:t>
      </w:r>
      <w:r w:rsidR="00E7797F" w:rsidRPr="00825E2B">
        <w:rPr>
          <w:rFonts w:ascii="Book Antiqua" w:hAnsi="Book Antiqua"/>
          <w:color w:val="000000"/>
          <w:sz w:val="24"/>
          <w:szCs w:val="24"/>
        </w:rPr>
        <w:t>Chiu</w:t>
      </w:r>
      <w:r w:rsidR="00E7797F" w:rsidRPr="00825E2B">
        <w:rPr>
          <w:rFonts w:ascii="Book Antiqua" w:hAnsi="Book Antiqua"/>
          <w:color w:val="000000"/>
          <w:sz w:val="24"/>
          <w:szCs w:val="24"/>
          <w:lang w:eastAsia="zh-CN"/>
        </w:rPr>
        <w:t xml:space="preserve"> KW, </w:t>
      </w:r>
      <w:r w:rsidR="00E7797F" w:rsidRPr="00825E2B">
        <w:rPr>
          <w:rFonts w:ascii="Book Antiqua" w:hAnsi="Book Antiqua"/>
          <w:sz w:val="24"/>
          <w:szCs w:val="24"/>
        </w:rPr>
        <w:t>Gassler</w:t>
      </w:r>
      <w:r w:rsidR="00E7797F" w:rsidRPr="00825E2B">
        <w:rPr>
          <w:rFonts w:ascii="Book Antiqua" w:hAnsi="Book Antiqua"/>
          <w:sz w:val="24"/>
          <w:szCs w:val="24"/>
          <w:lang w:eastAsia="zh-CN"/>
        </w:rPr>
        <w:t xml:space="preserve"> N, Hashimoto N, </w:t>
      </w:r>
      <w:r w:rsidR="00F31FC2" w:rsidRPr="00825E2B">
        <w:rPr>
          <w:rFonts w:ascii="Book Antiqua" w:hAnsi="Book Antiqua"/>
          <w:sz w:val="24"/>
          <w:szCs w:val="24"/>
          <w:lang w:eastAsia="zh-CN"/>
        </w:rPr>
        <w:t xml:space="preserve">Li YY, </w:t>
      </w:r>
      <w:r w:rsidR="00E7797F" w:rsidRPr="00825E2B">
        <w:rPr>
          <w:rFonts w:ascii="Book Antiqua" w:hAnsi="Book Antiqua"/>
          <w:sz w:val="24"/>
          <w:szCs w:val="24"/>
          <w:lang w:eastAsia="zh-CN"/>
        </w:rPr>
        <w:t>Mak</w:t>
      </w:r>
      <w:r w:rsidR="00F31FC2" w:rsidRPr="00825E2B">
        <w:rPr>
          <w:rFonts w:ascii="Book Antiqua" w:hAnsi="Book Antiqua"/>
          <w:sz w:val="24"/>
          <w:szCs w:val="24"/>
          <w:lang w:eastAsia="zh-CN"/>
        </w:rPr>
        <w:t xml:space="preserve">ishima M, Niu ZS, Shimizu Y </w:t>
      </w:r>
      <w:r w:rsidRPr="00825E2B">
        <w:rPr>
          <w:rFonts w:ascii="Book Antiqua" w:hAnsi="Book Antiqua"/>
          <w:b/>
          <w:bCs/>
          <w:sz w:val="24"/>
          <w:szCs w:val="24"/>
        </w:rPr>
        <w:t>S-Editor:</w:t>
      </w:r>
      <w:r w:rsidRPr="00825E2B">
        <w:rPr>
          <w:rFonts w:ascii="Book Antiqua" w:hAnsi="Book Antiqua"/>
          <w:sz w:val="24"/>
          <w:szCs w:val="24"/>
        </w:rPr>
        <w:t xml:space="preserve"> </w:t>
      </w:r>
      <w:r w:rsidR="00E7797F" w:rsidRPr="00825E2B">
        <w:rPr>
          <w:rFonts w:ascii="Book Antiqua" w:hAnsi="Book Antiqua"/>
          <w:sz w:val="24"/>
          <w:szCs w:val="24"/>
          <w:lang w:eastAsia="zh-CN"/>
        </w:rPr>
        <w:t>Zhang L</w:t>
      </w:r>
      <w:r w:rsidRPr="00825E2B">
        <w:rPr>
          <w:rFonts w:ascii="Book Antiqua" w:hAnsi="Book Antiqua"/>
          <w:sz w:val="24"/>
          <w:szCs w:val="24"/>
        </w:rPr>
        <w:t xml:space="preserve"> </w:t>
      </w:r>
      <w:r w:rsidR="00E7797F" w:rsidRPr="00825E2B">
        <w:rPr>
          <w:rFonts w:ascii="Book Antiqua" w:hAnsi="Book Antiqua"/>
          <w:b/>
          <w:bCs/>
          <w:sz w:val="24"/>
          <w:szCs w:val="24"/>
        </w:rPr>
        <w:t xml:space="preserve">L-Editor: </w:t>
      </w:r>
      <w:r w:rsidRPr="00825E2B">
        <w:rPr>
          <w:rFonts w:ascii="Book Antiqua" w:hAnsi="Book Antiqua"/>
          <w:b/>
          <w:bCs/>
          <w:sz w:val="24"/>
          <w:szCs w:val="24"/>
        </w:rPr>
        <w:t>E-Editor:</w:t>
      </w:r>
      <w:r w:rsidR="007E0CCD" w:rsidRPr="00825E2B">
        <w:rPr>
          <w:rFonts w:ascii="Book Antiqua" w:hAnsi="Book Antiqua" w:hint="eastAsia"/>
          <w:b/>
          <w:bCs/>
          <w:sz w:val="24"/>
          <w:szCs w:val="24"/>
          <w:lang w:eastAsia="zh-CN"/>
        </w:rPr>
        <w:t xml:space="preserve"> </w:t>
      </w:r>
      <w:r w:rsidR="007E0CCD" w:rsidRPr="00825E2B">
        <w:rPr>
          <w:rFonts w:ascii="Book Antiqua" w:hAnsi="Book Antiqua" w:hint="eastAsia"/>
          <w:bCs/>
          <w:sz w:val="24"/>
          <w:szCs w:val="24"/>
          <w:lang w:eastAsia="zh-CN"/>
        </w:rPr>
        <w:t>Ma YJ</w:t>
      </w:r>
    </w:p>
    <w:p w14:paraId="54329C44" w14:textId="77777777" w:rsidR="00E7797F" w:rsidRPr="00825E2B" w:rsidRDefault="00E7797F" w:rsidP="00A921B8">
      <w:pPr>
        <w:snapToGrid w:val="0"/>
        <w:spacing w:after="0" w:line="360" w:lineRule="auto"/>
        <w:jc w:val="both"/>
        <w:rPr>
          <w:rFonts w:ascii="Book Antiqua" w:hAnsi="Book Antiqua" w:cs="Arial"/>
          <w:b/>
          <w:sz w:val="24"/>
          <w:szCs w:val="24"/>
          <w:lang w:val="en-US"/>
        </w:rPr>
      </w:pPr>
      <w:r w:rsidRPr="00825E2B">
        <w:rPr>
          <w:rFonts w:ascii="Book Antiqua" w:hAnsi="Book Antiqua" w:cs="Arial"/>
          <w:b/>
          <w:sz w:val="24"/>
          <w:szCs w:val="24"/>
          <w:lang w:val="en-US"/>
        </w:rPr>
        <w:lastRenderedPageBreak/>
        <w:br w:type="page"/>
      </w:r>
    </w:p>
    <w:p w14:paraId="3D8D32EF" w14:textId="07EE189B" w:rsidR="006B0243" w:rsidRPr="00825E2B" w:rsidRDefault="006B0243" w:rsidP="00A921B8">
      <w:pPr>
        <w:adjustRightInd w:val="0"/>
        <w:snapToGrid w:val="0"/>
        <w:spacing w:after="0" w:line="360" w:lineRule="auto"/>
        <w:jc w:val="both"/>
        <w:rPr>
          <w:rFonts w:ascii="Book Antiqua" w:hAnsi="Book Antiqua" w:cs="Arial"/>
          <w:b/>
          <w:sz w:val="24"/>
          <w:szCs w:val="24"/>
          <w:lang w:val="en-US"/>
        </w:rPr>
      </w:pPr>
      <w:r w:rsidRPr="00825E2B">
        <w:rPr>
          <w:rFonts w:ascii="Book Antiqua" w:hAnsi="Book Antiqua" w:cs="Arial"/>
          <w:b/>
          <w:sz w:val="24"/>
          <w:szCs w:val="24"/>
          <w:lang w:val="en-US"/>
        </w:rPr>
        <w:lastRenderedPageBreak/>
        <w:t>Figure</w:t>
      </w:r>
      <w:r w:rsidR="005C3023" w:rsidRPr="00825E2B">
        <w:rPr>
          <w:rFonts w:ascii="Book Antiqua" w:hAnsi="Book Antiqua" w:cs="Arial"/>
          <w:b/>
          <w:sz w:val="24"/>
          <w:szCs w:val="24"/>
          <w:lang w:val="en-US"/>
        </w:rPr>
        <w:t xml:space="preserve"> Legends</w:t>
      </w:r>
    </w:p>
    <w:p w14:paraId="2C63F695" w14:textId="1BDE519B" w:rsidR="00B1098E" w:rsidRPr="00825E2B" w:rsidRDefault="00871771" w:rsidP="00A921B8">
      <w:pPr>
        <w:adjustRightInd w:val="0"/>
        <w:snapToGrid w:val="0"/>
        <w:spacing w:after="0" w:line="360" w:lineRule="auto"/>
        <w:jc w:val="both"/>
        <w:textAlignment w:val="baseline"/>
        <w:rPr>
          <w:rFonts w:ascii="Book Antiqua" w:hAnsi="Book Antiqua"/>
          <w:b/>
          <w:bCs/>
          <w:sz w:val="24"/>
          <w:szCs w:val="24"/>
          <w:lang w:val="en-US" w:eastAsia="zh-CN"/>
        </w:rPr>
      </w:pPr>
      <w:r w:rsidRPr="00825E2B">
        <w:rPr>
          <w:rFonts w:ascii="Book Antiqua" w:hAnsi="Book Antiqua"/>
          <w:b/>
          <w:bCs/>
          <w:noProof/>
          <w:sz w:val="24"/>
          <w:szCs w:val="24"/>
          <w:lang w:val="en-US" w:eastAsia="zh-CN"/>
        </w:rPr>
        <w:drawing>
          <wp:inline distT="0" distB="0" distL="0" distR="0" wp14:anchorId="3AED5CCF" wp14:editId="41255B3B">
            <wp:extent cx="4775164" cy="4055165"/>
            <wp:effectExtent l="0" t="0" r="698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619171819.png"/>
                    <pic:cNvPicPr/>
                  </pic:nvPicPr>
                  <pic:blipFill>
                    <a:blip r:embed="rId9">
                      <a:extLst>
                        <a:ext uri="{28A0092B-C50C-407E-A947-70E740481C1C}">
                          <a14:useLocalDpi xmlns:a14="http://schemas.microsoft.com/office/drawing/2010/main" val="0"/>
                        </a:ext>
                      </a:extLst>
                    </a:blip>
                    <a:stretch>
                      <a:fillRect/>
                    </a:stretch>
                  </pic:blipFill>
                  <pic:spPr>
                    <a:xfrm>
                      <a:off x="0" y="0"/>
                      <a:ext cx="4781680" cy="4060698"/>
                    </a:xfrm>
                    <a:prstGeom prst="rect">
                      <a:avLst/>
                    </a:prstGeom>
                  </pic:spPr>
                </pic:pic>
              </a:graphicData>
            </a:graphic>
          </wp:inline>
        </w:drawing>
      </w:r>
    </w:p>
    <w:p w14:paraId="6BD4A60F" w14:textId="6EF07B8D" w:rsidR="00256CC6" w:rsidRPr="00825E2B" w:rsidRDefault="001A6483" w:rsidP="00A921B8">
      <w:pPr>
        <w:adjustRightInd w:val="0"/>
        <w:snapToGrid w:val="0"/>
        <w:spacing w:after="0" w:line="360" w:lineRule="auto"/>
        <w:jc w:val="both"/>
        <w:textAlignment w:val="baseline"/>
        <w:rPr>
          <w:rFonts w:ascii="Book Antiqua" w:hAnsi="Book Antiqua"/>
          <w:sz w:val="24"/>
          <w:szCs w:val="24"/>
          <w:lang w:val="en-US" w:eastAsia="zh-CN"/>
        </w:rPr>
      </w:pPr>
      <w:r w:rsidRPr="00825E2B">
        <w:rPr>
          <w:rFonts w:ascii="Book Antiqua" w:eastAsia="MS Mincho" w:hAnsi="Book Antiqua"/>
          <w:b/>
          <w:bCs/>
          <w:sz w:val="24"/>
          <w:szCs w:val="24"/>
          <w:lang w:val="en-US"/>
        </w:rPr>
        <w:t>Figure</w:t>
      </w:r>
      <w:r w:rsidRPr="00825E2B">
        <w:rPr>
          <w:rFonts w:ascii="Book Antiqua" w:hAnsi="Book Antiqua"/>
          <w:b/>
          <w:bCs/>
          <w:sz w:val="24"/>
          <w:szCs w:val="24"/>
          <w:lang w:val="en-US" w:eastAsia="zh-CN"/>
        </w:rPr>
        <w:t xml:space="preserve"> </w:t>
      </w:r>
      <w:r w:rsidR="00871771" w:rsidRPr="00825E2B">
        <w:rPr>
          <w:rFonts w:ascii="Book Antiqua" w:eastAsia="MS Mincho" w:hAnsi="Book Antiqua"/>
          <w:b/>
          <w:bCs/>
          <w:sz w:val="24"/>
          <w:szCs w:val="24"/>
          <w:lang w:val="en-US"/>
        </w:rPr>
        <w:t>1</w:t>
      </w:r>
      <w:r w:rsidRPr="00825E2B">
        <w:rPr>
          <w:rFonts w:ascii="Book Antiqua" w:hAnsi="Book Antiqua"/>
          <w:b/>
          <w:bCs/>
          <w:sz w:val="24"/>
          <w:szCs w:val="24"/>
          <w:lang w:val="en-US" w:eastAsia="zh-CN"/>
        </w:rPr>
        <w:t xml:space="preserve"> </w:t>
      </w:r>
      <w:r w:rsidRPr="00825E2B">
        <w:rPr>
          <w:rFonts w:ascii="Book Antiqua" w:eastAsia="MS Mincho" w:hAnsi="Book Antiqua"/>
          <w:b/>
          <w:bCs/>
          <w:sz w:val="24"/>
          <w:szCs w:val="24"/>
          <w:lang w:val="en-US"/>
        </w:rPr>
        <w:t>Catabolic</w:t>
      </w:r>
      <w:r w:rsidRPr="00825E2B">
        <w:rPr>
          <w:rFonts w:ascii="Book Antiqua" w:hAnsi="Book Antiqua"/>
          <w:b/>
          <w:bCs/>
          <w:sz w:val="24"/>
          <w:szCs w:val="24"/>
          <w:lang w:val="en-US" w:eastAsia="zh-CN"/>
        </w:rPr>
        <w:t xml:space="preserve"> </w:t>
      </w:r>
      <w:r w:rsidR="00256CC6" w:rsidRPr="00825E2B">
        <w:rPr>
          <w:rFonts w:ascii="Book Antiqua" w:eastAsia="MS Mincho" w:hAnsi="Book Antiqua"/>
          <w:b/>
          <w:bCs/>
          <w:sz w:val="24"/>
          <w:szCs w:val="24"/>
          <w:lang w:val="en-US"/>
        </w:rPr>
        <w:t xml:space="preserve">pathways regulating </w:t>
      </w:r>
      <w:r w:rsidR="00871771" w:rsidRPr="00825E2B">
        <w:rPr>
          <w:rFonts w:ascii="Book Antiqua" w:eastAsia="MS Mincho" w:hAnsi="Book Antiqua"/>
          <w:b/>
          <w:sz w:val="24"/>
          <w:szCs w:val="24"/>
          <w:lang w:val="en-US"/>
        </w:rPr>
        <w:t>triglycerides</w:t>
      </w:r>
      <w:r w:rsidR="00256CC6" w:rsidRPr="00825E2B">
        <w:rPr>
          <w:rFonts w:ascii="Book Antiqua" w:eastAsia="MS Mincho" w:hAnsi="Book Antiqua"/>
          <w:b/>
          <w:bCs/>
          <w:sz w:val="24"/>
          <w:szCs w:val="24"/>
          <w:lang w:val="en-US"/>
        </w:rPr>
        <w:t xml:space="preserve"> levels in adipocytes.</w:t>
      </w:r>
      <w:r w:rsidR="00256CC6" w:rsidRPr="00825E2B">
        <w:rPr>
          <w:rFonts w:ascii="Book Antiqua" w:eastAsia="MS Mincho" w:hAnsi="Book Antiqua"/>
          <w:sz w:val="24"/>
          <w:szCs w:val="24"/>
          <w:lang w:val="en-US"/>
        </w:rPr>
        <w:t> Adipose triglyceride lipase, hormone sensitive lipase</w:t>
      </w:r>
      <w:r w:rsidRPr="00825E2B">
        <w:rPr>
          <w:rFonts w:ascii="Book Antiqua" w:eastAsia="MS Mincho" w:hAnsi="Book Antiqua"/>
          <w:sz w:val="24"/>
          <w:szCs w:val="24"/>
          <w:lang w:val="en-US"/>
        </w:rPr>
        <w:t>, and</w:t>
      </w:r>
      <w:r w:rsidR="00412DAA"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monoacylglycerol</w:t>
      </w:r>
      <w:r w:rsidR="00412DAA"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lipase</w:t>
      </w:r>
      <w:r w:rsidR="00256CC6" w:rsidRPr="00825E2B">
        <w:rPr>
          <w:rFonts w:ascii="Book Antiqua" w:eastAsia="MS Mincho" w:hAnsi="Book Antiqua"/>
          <w:sz w:val="24"/>
          <w:szCs w:val="24"/>
          <w:lang w:val="en-US"/>
        </w:rPr>
        <w:t> act on triglycerides in a series of subsequent reactions</w:t>
      </w:r>
      <w:r w:rsidR="00412DAA" w:rsidRPr="00825E2B">
        <w:rPr>
          <w:rFonts w:ascii="Book Antiqua" w:eastAsia="MS Mincho" w:hAnsi="Book Antiqua"/>
          <w:sz w:val="24"/>
          <w:szCs w:val="24"/>
          <w:lang w:val="en-US"/>
        </w:rPr>
        <w:t xml:space="preserve"> </w:t>
      </w:r>
      <w:r w:rsidR="00256CC6" w:rsidRPr="00825E2B">
        <w:rPr>
          <w:rFonts w:ascii="Book Antiqua" w:eastAsia="MS Mincho" w:hAnsi="Book Antiqua"/>
          <w:sz w:val="24"/>
          <w:szCs w:val="24"/>
          <w:lang w:val="en-US"/>
        </w:rPr>
        <w:t>in order to ge</w:t>
      </w:r>
      <w:r w:rsidRPr="00825E2B">
        <w:rPr>
          <w:rFonts w:ascii="Book Antiqua" w:eastAsia="MS Mincho" w:hAnsi="Book Antiqua"/>
          <w:sz w:val="24"/>
          <w:szCs w:val="24"/>
          <w:lang w:val="en-US"/>
        </w:rPr>
        <w:t>nerate glycerol and fatty acids</w:t>
      </w:r>
      <w:r w:rsidR="00256CC6" w:rsidRPr="00825E2B">
        <w:rPr>
          <w:rFonts w:ascii="Book Antiqua" w:eastAsia="MS Mincho" w:hAnsi="Book Antiqua"/>
          <w:sz w:val="24"/>
          <w:szCs w:val="24"/>
          <w:lang w:val="en-US"/>
        </w:rPr>
        <w:t>. Com</w:t>
      </w:r>
      <w:r w:rsidRPr="00825E2B">
        <w:rPr>
          <w:rFonts w:ascii="Book Antiqua" w:eastAsia="MS Mincho" w:hAnsi="Book Antiqua"/>
          <w:sz w:val="24"/>
          <w:szCs w:val="24"/>
          <w:lang w:val="en-US"/>
        </w:rPr>
        <w:t>parative gene identification-58</w:t>
      </w:r>
      <w:r w:rsidR="00256CC6" w:rsidRPr="00825E2B">
        <w:rPr>
          <w:rFonts w:ascii="Book Antiqua" w:eastAsia="MS Mincho" w:hAnsi="Book Antiqua"/>
          <w:sz w:val="24"/>
          <w:szCs w:val="24"/>
          <w:lang w:val="en-US"/>
        </w:rPr>
        <w:t xml:space="preserve"> binds to perilipin facilitating lipolysis, as a known activator of </w:t>
      </w:r>
      <w:r w:rsidR="00871771" w:rsidRPr="00825E2B">
        <w:rPr>
          <w:rFonts w:ascii="Book Antiqua" w:eastAsia="MS Mincho" w:hAnsi="Book Antiqua"/>
          <w:sz w:val="24"/>
          <w:szCs w:val="24"/>
          <w:lang w:val="en-US"/>
        </w:rPr>
        <w:t>adipose triglyceride lipase</w:t>
      </w:r>
      <w:r w:rsidR="00256CC6" w:rsidRPr="00825E2B">
        <w:rPr>
          <w:rFonts w:ascii="Book Antiqua" w:eastAsia="MS Mincho" w:hAnsi="Book Antiqua"/>
          <w:sz w:val="24"/>
          <w:szCs w:val="24"/>
          <w:lang w:val="en-US"/>
        </w:rPr>
        <w:t>. Intermediates of thi</w:t>
      </w:r>
      <w:r w:rsidRPr="00825E2B">
        <w:rPr>
          <w:rFonts w:ascii="Book Antiqua" w:eastAsia="MS Mincho" w:hAnsi="Book Antiqua"/>
          <w:sz w:val="24"/>
          <w:szCs w:val="24"/>
          <w:lang w:val="en-US"/>
        </w:rPr>
        <w:t>s catabolic pathway may also be</w:t>
      </w:r>
      <w:r w:rsidRPr="00825E2B">
        <w:rPr>
          <w:rFonts w:ascii="Book Antiqua" w:hAnsi="Book Antiqua"/>
          <w:sz w:val="24"/>
          <w:szCs w:val="24"/>
          <w:lang w:val="en-US" w:eastAsia="zh-CN"/>
        </w:rPr>
        <w:t xml:space="preserve"> </w:t>
      </w:r>
      <w:r w:rsidR="00256CC6" w:rsidRPr="00825E2B">
        <w:rPr>
          <w:rFonts w:ascii="Book Antiqua" w:eastAsia="MS Mincho" w:hAnsi="Book Antiqua"/>
          <w:sz w:val="24"/>
          <w:szCs w:val="24"/>
          <w:lang w:val="en-US"/>
        </w:rPr>
        <w:t>re-esterified to phospholipids and </w:t>
      </w:r>
      <w:r w:rsidRPr="00825E2B">
        <w:rPr>
          <w:rFonts w:ascii="Book Antiqua" w:eastAsia="MS Mincho" w:hAnsi="Book Antiqua"/>
          <w:sz w:val="24"/>
          <w:szCs w:val="24"/>
          <w:lang w:val="en-US"/>
        </w:rPr>
        <w:t xml:space="preserve">triglycerides </w:t>
      </w:r>
      <w:r w:rsidR="00256CC6" w:rsidRPr="00825E2B">
        <w:rPr>
          <w:rFonts w:ascii="Book Antiqua" w:eastAsia="MS Mincho" w:hAnsi="Book Antiqua"/>
          <w:sz w:val="24"/>
          <w:szCs w:val="24"/>
          <w:lang w:val="en-US"/>
        </w:rPr>
        <w:t>by the enzymes</w:t>
      </w:r>
      <w:r w:rsidR="001751A6" w:rsidRPr="00825E2B">
        <w:rPr>
          <w:rFonts w:ascii="Book Antiqua" w:eastAsia="MS Mincho" w:hAnsi="Book Antiqua"/>
          <w:sz w:val="24"/>
          <w:szCs w:val="24"/>
          <w:lang w:val="en-US"/>
        </w:rPr>
        <w:t xml:space="preserve"> </w:t>
      </w:r>
      <w:proofErr w:type="spellStart"/>
      <w:r w:rsidR="00256CC6" w:rsidRPr="00825E2B">
        <w:rPr>
          <w:rFonts w:ascii="Book Antiqua" w:eastAsia="MS Mincho" w:hAnsi="Book Antiqua"/>
          <w:sz w:val="24"/>
          <w:szCs w:val="24"/>
          <w:lang w:val="en-US"/>
        </w:rPr>
        <w:t>monoacyglycerol</w:t>
      </w:r>
      <w:proofErr w:type="spellEnd"/>
      <w:r w:rsidR="001751A6" w:rsidRPr="00825E2B">
        <w:rPr>
          <w:rFonts w:ascii="Book Antiqua" w:eastAsia="MS Mincho" w:hAnsi="Book Antiqua"/>
          <w:sz w:val="24"/>
          <w:szCs w:val="24"/>
          <w:lang w:val="en-US"/>
        </w:rPr>
        <w:t xml:space="preserve"> </w:t>
      </w:r>
      <w:r w:rsidR="00256CC6" w:rsidRPr="00825E2B">
        <w:rPr>
          <w:rFonts w:ascii="Book Antiqua" w:eastAsia="MS Mincho" w:hAnsi="Book Antiqua"/>
          <w:sz w:val="24"/>
          <w:szCs w:val="24"/>
          <w:lang w:val="en-US"/>
        </w:rPr>
        <w:t>acyltransferases</w:t>
      </w:r>
      <w:r w:rsidRPr="00825E2B">
        <w:rPr>
          <w:rFonts w:ascii="Book Antiqua" w:eastAsia="MS Mincho" w:hAnsi="Book Antiqua"/>
          <w:sz w:val="24"/>
          <w:szCs w:val="24"/>
          <w:lang w:val="en-US"/>
        </w:rPr>
        <w:t> and diacylglycerol</w:t>
      </w:r>
      <w:r w:rsidRPr="00825E2B">
        <w:rPr>
          <w:rFonts w:ascii="Book Antiqua" w:hAnsi="Book Antiqua"/>
          <w:sz w:val="24"/>
          <w:szCs w:val="24"/>
          <w:lang w:val="en-US" w:eastAsia="zh-CN"/>
        </w:rPr>
        <w:t xml:space="preserve"> </w:t>
      </w:r>
      <w:r w:rsidR="00256CC6" w:rsidRPr="00825E2B">
        <w:rPr>
          <w:rFonts w:ascii="Book Antiqua" w:eastAsia="MS Mincho" w:hAnsi="Book Antiqua"/>
          <w:sz w:val="24"/>
          <w:szCs w:val="24"/>
          <w:lang w:val="en-US"/>
        </w:rPr>
        <w:t>acyltransferase</w:t>
      </w:r>
      <w:r w:rsidRPr="00825E2B">
        <w:rPr>
          <w:rFonts w:ascii="Book Antiqua" w:eastAsia="MS Mincho" w:hAnsi="Book Antiqua"/>
          <w:sz w:val="24"/>
          <w:szCs w:val="24"/>
          <w:lang w:val="en-US"/>
        </w:rPr>
        <w:t>.</w:t>
      </w:r>
      <w:r w:rsidR="001751A6" w:rsidRPr="00825E2B">
        <w:rPr>
          <w:rFonts w:ascii="Book Antiqua" w:eastAsia="MS Mincho" w:hAnsi="Book Antiqua"/>
          <w:sz w:val="24"/>
          <w:szCs w:val="24"/>
          <w:lang w:val="en-US"/>
        </w:rPr>
        <w:t xml:space="preserve"> </w:t>
      </w:r>
      <w:r w:rsidR="001263B0" w:rsidRPr="00825E2B">
        <w:rPr>
          <w:rFonts w:ascii="Book Antiqua" w:hAnsi="Book Antiqua"/>
          <w:sz w:val="24"/>
          <w:szCs w:val="24"/>
          <w:lang w:val="en-US" w:eastAsia="zh-CN"/>
        </w:rPr>
        <w:t xml:space="preserve">ATGL: </w:t>
      </w:r>
      <w:r w:rsidR="00871771" w:rsidRPr="00825E2B">
        <w:rPr>
          <w:rFonts w:ascii="Book Antiqua" w:eastAsia="MS Mincho" w:hAnsi="Book Antiqua"/>
          <w:sz w:val="24"/>
          <w:szCs w:val="24"/>
          <w:lang w:val="en-US"/>
        </w:rPr>
        <w:t>Adipose triglyceride lipase</w:t>
      </w:r>
      <w:r w:rsidR="00871771" w:rsidRPr="00825E2B">
        <w:rPr>
          <w:rFonts w:ascii="Book Antiqua" w:hAnsi="Book Antiqua"/>
          <w:sz w:val="24"/>
          <w:szCs w:val="24"/>
          <w:lang w:val="en-US" w:eastAsia="zh-CN"/>
        </w:rPr>
        <w:t xml:space="preserve">; </w:t>
      </w:r>
      <w:r w:rsidR="00871771" w:rsidRPr="00825E2B">
        <w:rPr>
          <w:rFonts w:ascii="Book Antiqua" w:eastAsia="MS Mincho" w:hAnsi="Book Antiqua"/>
          <w:sz w:val="24"/>
          <w:szCs w:val="24"/>
          <w:lang w:val="en-US"/>
        </w:rPr>
        <w:t>HSL</w:t>
      </w:r>
      <w:r w:rsidR="00871771" w:rsidRPr="00825E2B">
        <w:rPr>
          <w:rFonts w:ascii="Book Antiqua" w:hAnsi="Book Antiqua"/>
          <w:sz w:val="24"/>
          <w:szCs w:val="24"/>
          <w:lang w:val="en-US" w:eastAsia="zh-CN"/>
        </w:rPr>
        <w:t xml:space="preserve">: </w:t>
      </w:r>
      <w:r w:rsidR="00871771" w:rsidRPr="00825E2B">
        <w:rPr>
          <w:rFonts w:ascii="Book Antiqua" w:eastAsia="MS Mincho" w:hAnsi="Book Antiqua"/>
          <w:sz w:val="24"/>
          <w:szCs w:val="24"/>
          <w:lang w:val="en-US"/>
        </w:rPr>
        <w:t>Hormone sensitive lipase</w:t>
      </w:r>
      <w:r w:rsidR="00871771" w:rsidRPr="00825E2B">
        <w:rPr>
          <w:rFonts w:ascii="Book Antiqua" w:hAnsi="Book Antiqua"/>
          <w:sz w:val="24"/>
          <w:szCs w:val="24"/>
          <w:lang w:val="en-US" w:eastAsia="zh-CN"/>
        </w:rPr>
        <w:t xml:space="preserve">; </w:t>
      </w:r>
      <w:r w:rsidR="00871771" w:rsidRPr="00825E2B">
        <w:rPr>
          <w:rFonts w:ascii="Book Antiqua" w:eastAsia="MS Mincho" w:hAnsi="Book Antiqua"/>
          <w:sz w:val="24"/>
          <w:szCs w:val="24"/>
          <w:lang w:val="en-US"/>
        </w:rPr>
        <w:t>MGL</w:t>
      </w:r>
      <w:r w:rsidR="00871771" w:rsidRPr="00825E2B">
        <w:rPr>
          <w:rFonts w:ascii="Book Antiqua" w:hAnsi="Book Antiqua"/>
          <w:sz w:val="24"/>
          <w:szCs w:val="24"/>
          <w:lang w:val="en-US" w:eastAsia="zh-CN"/>
        </w:rPr>
        <w:t xml:space="preserve">: </w:t>
      </w:r>
      <w:r w:rsidR="00871771" w:rsidRPr="00825E2B">
        <w:rPr>
          <w:rFonts w:ascii="Book Antiqua" w:eastAsia="MS Mincho" w:hAnsi="Book Antiqua"/>
          <w:sz w:val="24"/>
          <w:szCs w:val="24"/>
          <w:lang w:val="en-US"/>
        </w:rPr>
        <w:t>Monoacylglycerol lipase</w:t>
      </w:r>
      <w:r w:rsidR="00871771" w:rsidRPr="00825E2B">
        <w:rPr>
          <w:rFonts w:ascii="Book Antiqua" w:hAnsi="Book Antiqua"/>
          <w:sz w:val="24"/>
          <w:szCs w:val="24"/>
          <w:lang w:val="en-US" w:eastAsia="zh-CN"/>
        </w:rPr>
        <w:t xml:space="preserve">; </w:t>
      </w:r>
      <w:r w:rsidR="00871771" w:rsidRPr="00825E2B">
        <w:rPr>
          <w:rFonts w:ascii="Book Antiqua" w:eastAsia="MS Mincho" w:hAnsi="Book Antiqua"/>
          <w:sz w:val="24"/>
          <w:szCs w:val="24"/>
          <w:lang w:val="en-US"/>
        </w:rPr>
        <w:t>TG</w:t>
      </w:r>
      <w:r w:rsidR="00871771" w:rsidRPr="00825E2B">
        <w:rPr>
          <w:rFonts w:ascii="Book Antiqua" w:hAnsi="Book Antiqua"/>
          <w:sz w:val="24"/>
          <w:szCs w:val="24"/>
          <w:lang w:val="en-US" w:eastAsia="zh-CN"/>
        </w:rPr>
        <w:t xml:space="preserve">s: </w:t>
      </w:r>
      <w:r w:rsidR="00871771" w:rsidRPr="00825E2B">
        <w:rPr>
          <w:rFonts w:ascii="Book Antiqua" w:eastAsia="MS Mincho" w:hAnsi="Book Antiqua"/>
          <w:sz w:val="24"/>
          <w:szCs w:val="24"/>
          <w:lang w:val="en-US"/>
        </w:rPr>
        <w:t>Triglycerides</w:t>
      </w:r>
      <w:r w:rsidR="00871771"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FA</w:t>
      </w:r>
      <w:r w:rsidRPr="00825E2B">
        <w:rPr>
          <w:rFonts w:ascii="Book Antiqua" w:hAnsi="Book Antiqua"/>
          <w:sz w:val="24"/>
          <w:szCs w:val="24"/>
          <w:lang w:val="en-US" w:eastAsia="zh-CN"/>
        </w:rPr>
        <w:t xml:space="preserve">s: </w:t>
      </w:r>
      <w:r w:rsidRPr="00825E2B">
        <w:rPr>
          <w:rFonts w:ascii="Book Antiqua" w:eastAsia="MS Mincho" w:hAnsi="Book Antiqua"/>
          <w:sz w:val="24"/>
          <w:szCs w:val="24"/>
          <w:lang w:val="en-US"/>
        </w:rPr>
        <w:t>Fatty acids</w:t>
      </w:r>
      <w:r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CGI-58</w:t>
      </w:r>
      <w:r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Comparative gene identification-58</w:t>
      </w:r>
      <w:r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MGAT</w:t>
      </w:r>
      <w:r w:rsidRPr="00825E2B">
        <w:rPr>
          <w:rFonts w:ascii="Book Antiqua" w:hAnsi="Book Antiqua"/>
          <w:sz w:val="24"/>
          <w:szCs w:val="24"/>
          <w:lang w:val="en-US" w:eastAsia="zh-CN"/>
        </w:rPr>
        <w:t xml:space="preserve">: </w:t>
      </w:r>
      <w:proofErr w:type="spellStart"/>
      <w:r w:rsidRPr="00825E2B">
        <w:rPr>
          <w:rFonts w:ascii="Book Antiqua" w:eastAsia="MS Mincho" w:hAnsi="Book Antiqua"/>
          <w:sz w:val="24"/>
          <w:szCs w:val="24"/>
          <w:lang w:val="en-US"/>
        </w:rPr>
        <w:t>Monoacyglycerol</w:t>
      </w:r>
      <w:proofErr w:type="spellEnd"/>
      <w:r w:rsidR="001751A6" w:rsidRPr="00825E2B">
        <w:rPr>
          <w:rFonts w:ascii="Book Antiqua" w:eastAsia="MS Mincho" w:hAnsi="Book Antiqua"/>
          <w:sz w:val="24"/>
          <w:szCs w:val="24"/>
          <w:lang w:val="en-US"/>
        </w:rPr>
        <w:t xml:space="preserve"> </w:t>
      </w:r>
      <w:r w:rsidRPr="00825E2B">
        <w:rPr>
          <w:rFonts w:ascii="Book Antiqua" w:eastAsia="MS Mincho" w:hAnsi="Book Antiqua"/>
          <w:sz w:val="24"/>
          <w:szCs w:val="24"/>
          <w:lang w:val="en-US"/>
        </w:rPr>
        <w:t>acyltransferases</w:t>
      </w:r>
      <w:r w:rsidRPr="00825E2B">
        <w:rPr>
          <w:rFonts w:ascii="Book Antiqua" w:hAnsi="Book Antiqua"/>
          <w:sz w:val="24"/>
          <w:szCs w:val="24"/>
          <w:lang w:val="en-US" w:eastAsia="zh-CN"/>
        </w:rPr>
        <w:t>;</w:t>
      </w:r>
      <w:r w:rsidR="001751A6"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DGAT</w:t>
      </w:r>
      <w:r w:rsidRPr="00825E2B">
        <w:rPr>
          <w:rFonts w:ascii="Book Antiqua" w:hAnsi="Book Antiqua"/>
          <w:sz w:val="24"/>
          <w:szCs w:val="24"/>
          <w:lang w:val="en-US" w:eastAsia="zh-CN"/>
        </w:rPr>
        <w:t xml:space="preserve">: </w:t>
      </w:r>
      <w:r w:rsidRPr="00825E2B">
        <w:rPr>
          <w:rFonts w:ascii="Book Antiqua" w:eastAsia="MS Mincho" w:hAnsi="Book Antiqua"/>
          <w:sz w:val="24"/>
          <w:szCs w:val="24"/>
          <w:lang w:val="en-US"/>
        </w:rPr>
        <w:t>Diacylglycerol acyltransferase</w:t>
      </w:r>
      <w:r w:rsidRPr="00825E2B">
        <w:rPr>
          <w:rFonts w:ascii="Book Antiqua" w:hAnsi="Book Antiqua"/>
          <w:sz w:val="24"/>
          <w:szCs w:val="24"/>
          <w:lang w:val="en-US" w:eastAsia="zh-CN"/>
        </w:rPr>
        <w:t>.</w:t>
      </w:r>
    </w:p>
    <w:p w14:paraId="2BE58039" w14:textId="77777777" w:rsidR="001A6483" w:rsidRPr="00825E2B" w:rsidRDefault="001A6483" w:rsidP="00A921B8">
      <w:pPr>
        <w:snapToGrid w:val="0"/>
        <w:spacing w:after="0" w:line="360" w:lineRule="auto"/>
        <w:jc w:val="both"/>
        <w:rPr>
          <w:rFonts w:ascii="Book Antiqua" w:eastAsia="MS Mincho" w:hAnsi="Book Antiqua"/>
          <w:sz w:val="24"/>
          <w:szCs w:val="24"/>
          <w:lang w:val="en-US"/>
        </w:rPr>
      </w:pPr>
      <w:r w:rsidRPr="00825E2B">
        <w:rPr>
          <w:rFonts w:ascii="Book Antiqua" w:eastAsia="MS Mincho" w:hAnsi="Book Antiqua"/>
          <w:sz w:val="24"/>
          <w:szCs w:val="24"/>
          <w:lang w:val="en-US"/>
        </w:rPr>
        <w:br w:type="page"/>
      </w:r>
    </w:p>
    <w:p w14:paraId="23EAE542" w14:textId="493C5B00" w:rsidR="00715A83" w:rsidRPr="00825E2B" w:rsidRDefault="001A6483" w:rsidP="00A921B8">
      <w:pPr>
        <w:adjustRightInd w:val="0"/>
        <w:snapToGrid w:val="0"/>
        <w:spacing w:after="0" w:line="360" w:lineRule="auto"/>
        <w:jc w:val="both"/>
        <w:rPr>
          <w:rFonts w:ascii="Book Antiqua" w:hAnsi="Book Antiqua" w:cs="Arial"/>
          <w:sz w:val="24"/>
          <w:szCs w:val="24"/>
          <w:lang w:val="en-US"/>
        </w:rPr>
      </w:pPr>
      <w:r w:rsidRPr="00825E2B">
        <w:rPr>
          <w:rFonts w:ascii="Book Antiqua" w:hAnsi="Book Antiqua" w:cs="Arial"/>
          <w:noProof/>
          <w:sz w:val="24"/>
          <w:szCs w:val="24"/>
          <w:lang w:val="en-US" w:eastAsia="zh-CN"/>
        </w:rPr>
        <w:lastRenderedPageBreak/>
        <w:drawing>
          <wp:inline distT="0" distB="0" distL="0" distR="0" wp14:anchorId="2B7BDB5A" wp14:editId="0C864851">
            <wp:extent cx="5191081" cy="3562184"/>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619172730.png"/>
                    <pic:cNvPicPr/>
                  </pic:nvPicPr>
                  <pic:blipFill>
                    <a:blip r:embed="rId10">
                      <a:extLst>
                        <a:ext uri="{28A0092B-C50C-407E-A947-70E740481C1C}">
                          <a14:useLocalDpi xmlns:a14="http://schemas.microsoft.com/office/drawing/2010/main" val="0"/>
                        </a:ext>
                      </a:extLst>
                    </a:blip>
                    <a:stretch>
                      <a:fillRect/>
                    </a:stretch>
                  </pic:blipFill>
                  <pic:spPr>
                    <a:xfrm>
                      <a:off x="0" y="0"/>
                      <a:ext cx="5203195" cy="3570497"/>
                    </a:xfrm>
                    <a:prstGeom prst="rect">
                      <a:avLst/>
                    </a:prstGeom>
                  </pic:spPr>
                </pic:pic>
              </a:graphicData>
            </a:graphic>
          </wp:inline>
        </w:drawing>
      </w:r>
    </w:p>
    <w:p w14:paraId="36152B6A" w14:textId="2CFB4B2B" w:rsidR="00256CC6" w:rsidRPr="00825E2B" w:rsidRDefault="001A6483" w:rsidP="00A921B8">
      <w:pPr>
        <w:adjustRightInd w:val="0"/>
        <w:snapToGrid w:val="0"/>
        <w:spacing w:after="0" w:line="360" w:lineRule="auto"/>
        <w:jc w:val="both"/>
        <w:textAlignment w:val="baseline"/>
        <w:rPr>
          <w:rFonts w:ascii="Book Antiqua" w:hAnsi="Book Antiqua"/>
          <w:sz w:val="24"/>
          <w:szCs w:val="24"/>
          <w:lang w:eastAsia="zh-CN"/>
        </w:rPr>
      </w:pPr>
      <w:r w:rsidRPr="00825E2B">
        <w:rPr>
          <w:rFonts w:ascii="Book Antiqua" w:eastAsia="MS Mincho" w:hAnsi="Book Antiqua"/>
          <w:b/>
          <w:bCs/>
          <w:sz w:val="24"/>
          <w:szCs w:val="24"/>
          <w:lang w:val="en-US"/>
        </w:rPr>
        <w:t>Figure 2</w:t>
      </w:r>
      <w:r w:rsidRPr="00825E2B">
        <w:rPr>
          <w:rFonts w:ascii="Book Antiqua" w:hAnsi="Book Antiqua"/>
          <w:b/>
          <w:bCs/>
          <w:sz w:val="24"/>
          <w:szCs w:val="24"/>
          <w:lang w:val="en-US" w:eastAsia="zh-CN"/>
        </w:rPr>
        <w:t xml:space="preserve"> </w:t>
      </w:r>
      <w:r w:rsidR="001D17F0" w:rsidRPr="00825E2B">
        <w:rPr>
          <w:rFonts w:ascii="Book Antiqua" w:eastAsia="MS Mincho" w:hAnsi="Book Antiqua"/>
          <w:b/>
          <w:sz w:val="24"/>
          <w:szCs w:val="24"/>
          <w:lang w:val="en-US"/>
        </w:rPr>
        <w:t>Monoacylglycerol lipase</w:t>
      </w:r>
      <w:r w:rsidR="00256CC6" w:rsidRPr="00825E2B">
        <w:rPr>
          <w:rFonts w:ascii="Book Antiqua" w:eastAsia="MS Mincho" w:hAnsi="Book Antiqua"/>
          <w:b/>
          <w:bCs/>
          <w:sz w:val="24"/>
          <w:szCs w:val="24"/>
          <w:lang w:val="en-US"/>
        </w:rPr>
        <w:t> represent a crossroad between cannabinoid and lipid signaling pathways.</w:t>
      </w:r>
      <w:r w:rsidR="00256CC6" w:rsidRPr="00825E2B">
        <w:rPr>
          <w:rFonts w:ascii="Book Antiqua" w:eastAsia="MS Mincho" w:hAnsi="Book Antiqua"/>
          <w:sz w:val="24"/>
          <w:szCs w:val="24"/>
          <w:lang w:val="en-US"/>
        </w:rPr>
        <w:t> </w:t>
      </w:r>
      <w:r w:rsidR="001D17F0" w:rsidRPr="00825E2B">
        <w:rPr>
          <w:rFonts w:ascii="Book Antiqua" w:eastAsia="MS Mincho" w:hAnsi="Book Antiqua"/>
          <w:sz w:val="24"/>
          <w:szCs w:val="24"/>
          <w:lang w:val="en-US"/>
        </w:rPr>
        <w:t>Monoacylglycerol lipase</w:t>
      </w:r>
      <w:r w:rsidR="00256CC6" w:rsidRPr="00825E2B">
        <w:rPr>
          <w:rFonts w:ascii="Book Antiqua" w:eastAsia="MS Mincho" w:hAnsi="Book Antiqua"/>
          <w:sz w:val="24"/>
          <w:szCs w:val="24"/>
          <w:lang w:val="en-US"/>
        </w:rPr>
        <w:t xml:space="preserve"> is the key enzyme degrading the endogenous cannabinoid ligand 2-AG, which in turn is able to bind either cannabinoid receptor (CB) -1r or -2r. Activation of CB1r was found to promote fibrosis whereas CB2r is involved in TLR4 activation and immune cells recruitment in cancer. </w:t>
      </w:r>
      <w:r w:rsidR="001D17F0" w:rsidRPr="00825E2B">
        <w:rPr>
          <w:rFonts w:ascii="Book Antiqua" w:eastAsia="MS Mincho" w:hAnsi="Book Antiqua"/>
          <w:sz w:val="24"/>
          <w:szCs w:val="24"/>
          <w:lang w:val="en-US"/>
        </w:rPr>
        <w:t>Monoacylglycerol lipase</w:t>
      </w:r>
      <w:r w:rsidR="00256CC6" w:rsidRPr="00825E2B">
        <w:rPr>
          <w:rFonts w:ascii="Book Antiqua" w:eastAsia="MS Mincho" w:hAnsi="Book Antiqua"/>
          <w:sz w:val="24"/>
          <w:szCs w:val="24"/>
          <w:lang w:val="en-US"/>
        </w:rPr>
        <w:t xml:space="preserve"> action further hydrolyzes 2-AG into arachidonic acid, which is a precursor of prostaglandin synthesis, the main drivers of inflammation. </w:t>
      </w:r>
      <w:r w:rsidR="001D17F0" w:rsidRPr="00825E2B">
        <w:rPr>
          <w:rFonts w:ascii="Book Antiqua" w:eastAsia="MS Mincho" w:hAnsi="Book Antiqua"/>
          <w:sz w:val="24"/>
          <w:szCs w:val="24"/>
          <w:lang w:val="en-US"/>
        </w:rPr>
        <w:t>Arachidonic acid</w:t>
      </w:r>
      <w:r w:rsidR="00256CC6" w:rsidRPr="00825E2B">
        <w:rPr>
          <w:rFonts w:ascii="Book Antiqua" w:eastAsia="MS Mincho" w:hAnsi="Book Antiqua"/>
          <w:sz w:val="24"/>
          <w:szCs w:val="24"/>
          <w:lang w:val="en-US"/>
        </w:rPr>
        <w:t xml:space="preserve"> was also </w:t>
      </w:r>
      <w:r w:rsidR="001D17F0" w:rsidRPr="00825E2B">
        <w:rPr>
          <w:rFonts w:ascii="Book Antiqua" w:eastAsia="MS Mincho" w:hAnsi="Book Antiqua"/>
          <w:sz w:val="24"/>
          <w:szCs w:val="24"/>
          <w:lang w:val="en-US"/>
        </w:rPr>
        <w:t>found to bind nuclear receptors</w:t>
      </w:r>
      <w:r w:rsidR="00256CC6" w:rsidRPr="00825E2B">
        <w:rPr>
          <w:rFonts w:ascii="Book Antiqua" w:eastAsia="MS Mincho" w:hAnsi="Book Antiqua"/>
          <w:sz w:val="24"/>
          <w:szCs w:val="24"/>
          <w:lang w:val="en-US"/>
        </w:rPr>
        <w:t xml:space="preserve"> such as </w:t>
      </w:r>
      <w:proofErr w:type="spellStart"/>
      <w:r w:rsidR="00126620" w:rsidRPr="00825E2B">
        <w:rPr>
          <w:rFonts w:ascii="Book Antiqua" w:eastAsia="MS Mincho" w:hAnsi="Book Antiqua"/>
          <w:sz w:val="24"/>
          <w:szCs w:val="24"/>
          <w:lang w:val="en-US"/>
        </w:rPr>
        <w:t>farnesoid</w:t>
      </w:r>
      <w:proofErr w:type="spellEnd"/>
      <w:r w:rsidR="00126620" w:rsidRPr="00825E2B">
        <w:rPr>
          <w:rFonts w:ascii="Book Antiqua" w:eastAsia="MS Mincho" w:hAnsi="Book Antiqua"/>
          <w:sz w:val="24"/>
          <w:szCs w:val="24"/>
          <w:lang w:val="en-US"/>
        </w:rPr>
        <w:t> X receptor</w:t>
      </w:r>
      <w:r w:rsidR="00256CC6" w:rsidRPr="00825E2B">
        <w:rPr>
          <w:rFonts w:ascii="Book Antiqua" w:eastAsia="MS Mincho" w:hAnsi="Book Antiqua"/>
          <w:sz w:val="24"/>
          <w:szCs w:val="24"/>
          <w:lang w:val="en-US"/>
        </w:rPr>
        <w:t xml:space="preserve"> and </w:t>
      </w:r>
      <w:r w:rsidR="001D17F0" w:rsidRPr="00825E2B">
        <w:rPr>
          <w:rFonts w:ascii="Book Antiqua" w:eastAsia="MS Mincho" w:hAnsi="Book Antiqua"/>
          <w:sz w:val="24"/>
          <w:szCs w:val="24"/>
          <w:lang w:val="en-US"/>
        </w:rPr>
        <w:t>peroxisome proliferator activated receptor</w:t>
      </w:r>
      <w:r w:rsidR="00256CC6" w:rsidRPr="00825E2B">
        <w:rPr>
          <w:rFonts w:ascii="Book Antiqua" w:eastAsia="MS Mincho" w:hAnsi="Book Antiqua"/>
          <w:sz w:val="24"/>
          <w:szCs w:val="24"/>
          <w:lang w:val="en-US"/>
        </w:rPr>
        <w:t>s in the intestine and ameliorate cholestatic disease.</w:t>
      </w:r>
      <w:r w:rsidR="00256CC6" w:rsidRPr="00825E2B">
        <w:rPr>
          <w:rFonts w:ascii="Book Antiqua" w:eastAsia="MS Mincho" w:hAnsi="Book Antiqua"/>
          <w:sz w:val="24"/>
          <w:szCs w:val="24"/>
        </w:rPr>
        <w:t> </w:t>
      </w:r>
      <w:r w:rsidR="001D17F0" w:rsidRPr="00825E2B">
        <w:rPr>
          <w:rFonts w:ascii="Book Antiqua" w:hAnsi="Book Antiqua"/>
          <w:sz w:val="24"/>
          <w:szCs w:val="24"/>
          <w:lang w:eastAsia="zh-CN"/>
        </w:rPr>
        <w:t xml:space="preserve">AA: </w:t>
      </w:r>
      <w:r w:rsidR="001D17F0" w:rsidRPr="00825E2B">
        <w:rPr>
          <w:rFonts w:ascii="Book Antiqua" w:eastAsia="MS Mincho" w:hAnsi="Book Antiqua"/>
          <w:sz w:val="24"/>
          <w:szCs w:val="24"/>
          <w:lang w:val="en-US"/>
        </w:rPr>
        <w:t>Arachidonic acid</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NRs</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Nuclear receptors</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CB</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Cannabinoid</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MGL</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Monoacylglycerol lipase</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HSL</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Hormone sensitive lipase</w:t>
      </w:r>
      <w:r w:rsidR="001D17F0" w:rsidRPr="00825E2B">
        <w:rPr>
          <w:rFonts w:ascii="Book Antiqua" w:hAnsi="Book Antiqua"/>
          <w:sz w:val="24"/>
          <w:szCs w:val="24"/>
          <w:lang w:val="en-US" w:eastAsia="zh-CN"/>
        </w:rPr>
        <w:t xml:space="preserve">; ATGL: </w:t>
      </w:r>
      <w:r w:rsidR="001D17F0" w:rsidRPr="00825E2B">
        <w:rPr>
          <w:rFonts w:ascii="Book Antiqua" w:eastAsia="MS Mincho" w:hAnsi="Book Antiqua"/>
          <w:sz w:val="24"/>
          <w:szCs w:val="24"/>
          <w:lang w:val="en-US"/>
        </w:rPr>
        <w:t>Adipose triglyceride lipase</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TG</w:t>
      </w:r>
      <w:r w:rsidR="001D17F0" w:rsidRPr="00825E2B">
        <w:rPr>
          <w:rFonts w:ascii="Book Antiqua" w:hAnsi="Book Antiqua"/>
          <w:sz w:val="24"/>
          <w:szCs w:val="24"/>
          <w:lang w:val="en-US" w:eastAsia="zh-CN"/>
        </w:rPr>
        <w:t xml:space="preserve">: </w:t>
      </w:r>
      <w:r w:rsidR="001D17F0" w:rsidRPr="00825E2B">
        <w:rPr>
          <w:rFonts w:ascii="Book Antiqua" w:eastAsia="MS Mincho" w:hAnsi="Book Antiqua"/>
          <w:sz w:val="24"/>
          <w:szCs w:val="24"/>
          <w:lang w:val="en-US"/>
        </w:rPr>
        <w:t>Triglyceride</w:t>
      </w:r>
      <w:r w:rsidR="001D17F0" w:rsidRPr="00825E2B">
        <w:rPr>
          <w:rFonts w:ascii="Book Antiqua" w:hAnsi="Book Antiqua"/>
          <w:sz w:val="24"/>
          <w:szCs w:val="24"/>
          <w:lang w:val="en-US" w:eastAsia="zh-CN"/>
        </w:rPr>
        <w:t xml:space="preserve">; FA: </w:t>
      </w:r>
      <w:r w:rsidR="001D17F0" w:rsidRPr="00825E2B">
        <w:rPr>
          <w:rFonts w:ascii="Book Antiqua" w:eastAsia="MS Mincho" w:hAnsi="Book Antiqua"/>
          <w:sz w:val="24"/>
          <w:szCs w:val="24"/>
          <w:lang w:val="en-US"/>
        </w:rPr>
        <w:t>Fatty acid</w:t>
      </w:r>
      <w:r w:rsidR="001263B0" w:rsidRPr="00825E2B">
        <w:rPr>
          <w:rFonts w:ascii="Book Antiqua" w:hAnsi="Book Antiqua"/>
          <w:sz w:val="24"/>
          <w:szCs w:val="24"/>
          <w:lang w:val="en-US" w:eastAsia="zh-CN"/>
        </w:rPr>
        <w:t>.</w:t>
      </w:r>
    </w:p>
    <w:p w14:paraId="290D5B4E" w14:textId="0F4B5CE4" w:rsidR="001A6483" w:rsidRPr="00825E2B" w:rsidRDefault="001A6483" w:rsidP="00A921B8">
      <w:pPr>
        <w:adjustRightInd w:val="0"/>
        <w:snapToGrid w:val="0"/>
        <w:spacing w:after="0" w:line="360" w:lineRule="auto"/>
        <w:jc w:val="both"/>
        <w:textAlignment w:val="baseline"/>
        <w:rPr>
          <w:rFonts w:ascii="Book Antiqua" w:hAnsi="Book Antiqua"/>
          <w:sz w:val="24"/>
          <w:szCs w:val="24"/>
          <w:u w:val="single"/>
          <w:lang w:val="en-US" w:eastAsia="zh-CN"/>
        </w:rPr>
      </w:pPr>
      <w:r w:rsidRPr="00825E2B">
        <w:rPr>
          <w:rFonts w:ascii="Book Antiqua" w:hAnsi="Book Antiqua"/>
          <w:noProof/>
          <w:sz w:val="24"/>
          <w:szCs w:val="24"/>
          <w:lang w:val="en-US" w:eastAsia="zh-CN"/>
        </w:rPr>
        <w:lastRenderedPageBreak/>
        <w:drawing>
          <wp:inline distT="0" distB="0" distL="0" distR="0" wp14:anchorId="59375970" wp14:editId="261B1813">
            <wp:extent cx="3927364" cy="430960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619172747.png"/>
                    <pic:cNvPicPr/>
                  </pic:nvPicPr>
                  <pic:blipFill>
                    <a:blip r:embed="rId11">
                      <a:extLst>
                        <a:ext uri="{28A0092B-C50C-407E-A947-70E740481C1C}">
                          <a14:useLocalDpi xmlns:a14="http://schemas.microsoft.com/office/drawing/2010/main" val="0"/>
                        </a:ext>
                      </a:extLst>
                    </a:blip>
                    <a:stretch>
                      <a:fillRect/>
                    </a:stretch>
                  </pic:blipFill>
                  <pic:spPr>
                    <a:xfrm>
                      <a:off x="0" y="0"/>
                      <a:ext cx="3932412" cy="4315146"/>
                    </a:xfrm>
                    <a:prstGeom prst="rect">
                      <a:avLst/>
                    </a:prstGeom>
                  </pic:spPr>
                </pic:pic>
              </a:graphicData>
            </a:graphic>
          </wp:inline>
        </w:drawing>
      </w:r>
    </w:p>
    <w:p w14:paraId="0A2B94CE" w14:textId="19A86AF6" w:rsidR="00667B11" w:rsidRPr="00A921B8" w:rsidRDefault="001A6483" w:rsidP="00A921B8">
      <w:pPr>
        <w:adjustRightInd w:val="0"/>
        <w:snapToGrid w:val="0"/>
        <w:spacing w:after="0" w:line="360" w:lineRule="auto"/>
        <w:jc w:val="both"/>
        <w:textAlignment w:val="baseline"/>
        <w:rPr>
          <w:rFonts w:ascii="Book Antiqua" w:hAnsi="Book Antiqua"/>
          <w:sz w:val="24"/>
          <w:szCs w:val="24"/>
          <w:lang w:val="en-US" w:eastAsia="zh-CN"/>
        </w:rPr>
      </w:pPr>
      <w:r w:rsidRPr="00825E2B">
        <w:rPr>
          <w:rFonts w:ascii="Book Antiqua" w:eastAsia="MS Mincho" w:hAnsi="Book Antiqua"/>
          <w:b/>
          <w:bCs/>
          <w:sz w:val="24"/>
          <w:szCs w:val="24"/>
          <w:lang w:val="en-US"/>
        </w:rPr>
        <w:t>Figure 3</w:t>
      </w:r>
      <w:r w:rsidR="00667B11" w:rsidRPr="00825E2B">
        <w:rPr>
          <w:rFonts w:ascii="Book Antiqua" w:eastAsia="MS Mincho" w:hAnsi="Book Antiqua"/>
          <w:b/>
          <w:bCs/>
          <w:sz w:val="24"/>
          <w:szCs w:val="24"/>
          <w:lang w:val="en-US"/>
        </w:rPr>
        <w:t xml:space="preserve"> </w:t>
      </w:r>
      <w:r w:rsidR="001263B0" w:rsidRPr="00825E2B">
        <w:rPr>
          <w:rFonts w:ascii="Book Antiqua" w:eastAsia="MS Mincho" w:hAnsi="Book Antiqua"/>
          <w:b/>
          <w:sz w:val="24"/>
          <w:szCs w:val="24"/>
          <w:lang w:val="en-US"/>
        </w:rPr>
        <w:t>Monoacylglycerol lipase</w:t>
      </w:r>
      <w:r w:rsidR="00667B11" w:rsidRPr="00825E2B">
        <w:rPr>
          <w:rFonts w:ascii="Book Antiqua" w:eastAsia="MS Mincho" w:hAnsi="Book Antiqua"/>
          <w:b/>
          <w:bCs/>
          <w:sz w:val="24"/>
          <w:szCs w:val="24"/>
          <w:lang w:val="en-US"/>
        </w:rPr>
        <w:t xml:space="preserve"> deletion impacts gut-liver axis </w:t>
      </w:r>
      <w:r w:rsidR="00667B11" w:rsidRPr="00825E2B">
        <w:rPr>
          <w:rFonts w:ascii="Book Antiqua" w:eastAsia="MS Mincho" w:hAnsi="Book Antiqua"/>
          <w:b/>
          <w:bCs/>
          <w:i/>
          <w:sz w:val="24"/>
          <w:szCs w:val="24"/>
          <w:lang w:val="en-US"/>
        </w:rPr>
        <w:t>via</w:t>
      </w:r>
      <w:r w:rsidR="00667B11" w:rsidRPr="00825E2B">
        <w:rPr>
          <w:rFonts w:ascii="Book Antiqua" w:eastAsia="MS Mincho" w:hAnsi="Book Antiqua"/>
          <w:b/>
          <w:bCs/>
          <w:sz w:val="24"/>
          <w:szCs w:val="24"/>
          <w:lang w:val="en-US"/>
        </w:rPr>
        <w:t xml:space="preserve"> nuclear receptor and microbiome modulation.</w:t>
      </w:r>
      <w:r w:rsidR="00667B11" w:rsidRPr="00825E2B">
        <w:rPr>
          <w:rFonts w:ascii="Book Antiqua" w:eastAsia="MS Mincho" w:hAnsi="Book Antiqua"/>
          <w:sz w:val="24"/>
          <w:szCs w:val="24"/>
          <w:lang w:val="en-US"/>
        </w:rPr>
        <w:t> </w:t>
      </w:r>
      <w:r w:rsidR="001263B0" w:rsidRPr="00825E2B">
        <w:rPr>
          <w:rFonts w:ascii="Book Antiqua" w:eastAsia="MS Mincho" w:hAnsi="Book Antiqua"/>
          <w:sz w:val="24"/>
          <w:szCs w:val="24"/>
          <w:lang w:val="en-US"/>
        </w:rPr>
        <w:t>Monoacylglycerol lipase</w:t>
      </w:r>
      <w:r w:rsidR="00667B11" w:rsidRPr="00825E2B">
        <w:rPr>
          <w:rFonts w:ascii="Book Antiqua" w:eastAsia="MS Mincho" w:hAnsi="Book Antiqua"/>
          <w:sz w:val="24"/>
          <w:szCs w:val="24"/>
          <w:lang w:val="en-US"/>
        </w:rPr>
        <w:t xml:space="preserve"> ablation ameliorates cholestatic liver disease induced by </w:t>
      </w:r>
      <w:r w:rsidR="001263B0" w:rsidRPr="00825E2B">
        <w:rPr>
          <w:rFonts w:ascii="Book Antiqua" w:eastAsia="MS Mincho" w:hAnsi="Book Antiqua"/>
          <w:sz w:val="24"/>
          <w:szCs w:val="24"/>
          <w:lang w:val="en-US"/>
        </w:rPr>
        <w:t>3,5-diethoxycarbonyl-1,4-dihydrocollidine</w:t>
      </w:r>
      <w:r w:rsidR="001263B0" w:rsidRPr="00825E2B">
        <w:rPr>
          <w:rFonts w:ascii="Book Antiqua" w:hAnsi="Book Antiqua"/>
          <w:sz w:val="24"/>
          <w:szCs w:val="24"/>
          <w:lang w:val="en-US" w:eastAsia="zh-CN"/>
        </w:rPr>
        <w:t xml:space="preserve"> </w:t>
      </w:r>
      <w:r w:rsidR="00667B11" w:rsidRPr="00825E2B">
        <w:rPr>
          <w:rFonts w:ascii="Book Antiqua" w:eastAsia="MS Mincho" w:hAnsi="Book Antiqua"/>
          <w:sz w:val="24"/>
          <w:szCs w:val="24"/>
          <w:lang w:val="en-US"/>
        </w:rPr>
        <w:t>challenge diminishing fibrosis, </w:t>
      </w:r>
      <w:r w:rsidR="00F96DF4" w:rsidRPr="00825E2B">
        <w:rPr>
          <w:rFonts w:ascii="Book Antiqua" w:eastAsia="MS Mincho" w:hAnsi="Book Antiqua"/>
          <w:sz w:val="24"/>
          <w:szCs w:val="24"/>
          <w:lang w:val="en-US"/>
        </w:rPr>
        <w:t>inflammation,</w:t>
      </w:r>
      <w:r w:rsidR="00667B11" w:rsidRPr="00825E2B">
        <w:rPr>
          <w:rFonts w:ascii="Book Antiqua" w:eastAsia="MS Mincho" w:hAnsi="Book Antiqua"/>
          <w:sz w:val="24"/>
          <w:szCs w:val="24"/>
          <w:lang w:val="en-US"/>
        </w:rPr>
        <w:t xml:space="preserve"> and </w:t>
      </w:r>
      <w:r w:rsidR="001263B0" w:rsidRPr="00825E2B">
        <w:rPr>
          <w:rFonts w:ascii="Book Antiqua" w:eastAsia="MS Mincho" w:hAnsi="Book Antiqua"/>
          <w:sz w:val="24"/>
          <w:szCs w:val="24"/>
          <w:lang w:val="en-US"/>
        </w:rPr>
        <w:t>fatty acid</w:t>
      </w:r>
      <w:r w:rsidR="00667B11" w:rsidRPr="00825E2B">
        <w:rPr>
          <w:rFonts w:ascii="Book Antiqua" w:eastAsia="MS Mincho" w:hAnsi="Book Antiqua"/>
          <w:sz w:val="24"/>
          <w:szCs w:val="24"/>
          <w:lang w:val="en-US"/>
        </w:rPr>
        <w:t xml:space="preserve"> metabolism/oxidation in the liver. A</w:t>
      </w:r>
      <w:r w:rsidR="001263B0" w:rsidRPr="00825E2B">
        <w:rPr>
          <w:rFonts w:ascii="Book Antiqua" w:eastAsia="MS Mincho" w:hAnsi="Book Antiqua"/>
          <w:sz w:val="24"/>
          <w:szCs w:val="24"/>
          <w:lang w:val="en-US"/>
        </w:rPr>
        <w:t>ccumulation of arachidonic acid</w:t>
      </w:r>
      <w:r w:rsidR="00667B11" w:rsidRPr="00825E2B">
        <w:rPr>
          <w:rFonts w:ascii="Book Antiqua" w:eastAsia="MS Mincho" w:hAnsi="Book Antiqua"/>
          <w:sz w:val="24"/>
          <w:szCs w:val="24"/>
          <w:lang w:val="en-US"/>
        </w:rPr>
        <w:t xml:space="preserve"> binds nuclear receptors</w:t>
      </w:r>
      <w:r w:rsidR="001263B0" w:rsidRPr="00825E2B">
        <w:rPr>
          <w:rFonts w:ascii="Book Antiqua" w:hAnsi="Book Antiqua"/>
          <w:sz w:val="24"/>
          <w:szCs w:val="24"/>
          <w:lang w:val="en-US" w:eastAsia="zh-CN"/>
        </w:rPr>
        <w:t xml:space="preserve"> </w:t>
      </w:r>
      <w:r w:rsidR="00667B11" w:rsidRPr="00825E2B">
        <w:rPr>
          <w:rFonts w:ascii="Book Antiqua" w:eastAsia="MS Mincho" w:hAnsi="Book Antiqua"/>
          <w:sz w:val="24"/>
          <w:szCs w:val="24"/>
          <w:lang w:val="en-US"/>
        </w:rPr>
        <w:t>such as </w:t>
      </w:r>
      <w:proofErr w:type="spellStart"/>
      <w:r w:rsidR="000C0A09" w:rsidRPr="00825E2B">
        <w:rPr>
          <w:rFonts w:ascii="Book Antiqua" w:eastAsia="MS Mincho" w:hAnsi="Book Antiqua"/>
          <w:sz w:val="24"/>
          <w:szCs w:val="24"/>
          <w:lang w:val="en-US"/>
        </w:rPr>
        <w:t>farnesoid</w:t>
      </w:r>
      <w:proofErr w:type="spellEnd"/>
      <w:r w:rsidR="000C0A09" w:rsidRPr="00825E2B">
        <w:rPr>
          <w:rFonts w:ascii="Book Antiqua" w:eastAsia="MS Mincho" w:hAnsi="Book Antiqua"/>
          <w:sz w:val="24"/>
          <w:szCs w:val="24"/>
          <w:lang w:val="en-US"/>
        </w:rPr>
        <w:t xml:space="preserve"> X receptor</w:t>
      </w:r>
      <w:r w:rsidR="00667B11" w:rsidRPr="00825E2B">
        <w:rPr>
          <w:rFonts w:ascii="Book Antiqua" w:eastAsia="MS Mincho" w:hAnsi="Book Antiqua"/>
          <w:sz w:val="24"/>
          <w:szCs w:val="24"/>
          <w:lang w:val="en-US"/>
        </w:rPr>
        <w:t>, downregulating in t</w:t>
      </w:r>
      <w:r w:rsidR="001263B0" w:rsidRPr="00825E2B">
        <w:rPr>
          <w:rFonts w:ascii="Book Antiqua" w:eastAsia="MS Mincho" w:hAnsi="Book Antiqua"/>
          <w:sz w:val="24"/>
          <w:szCs w:val="24"/>
          <w:lang w:val="en-US"/>
        </w:rPr>
        <w:t>urn fibroblast growth factor 15 and inducing bile acids</w:t>
      </w:r>
      <w:r w:rsidR="00667B11" w:rsidRPr="00825E2B">
        <w:rPr>
          <w:rFonts w:ascii="Book Antiqua" w:eastAsia="MS Mincho" w:hAnsi="Book Antiqua"/>
          <w:sz w:val="24"/>
          <w:szCs w:val="24"/>
          <w:lang w:val="en-US"/>
        </w:rPr>
        <w:t xml:space="preserve"> synthesis and detoxification as shown by Cy</w:t>
      </w:r>
      <w:r w:rsidR="000C0A09" w:rsidRPr="00825E2B">
        <w:rPr>
          <w:rFonts w:ascii="Book Antiqua" w:eastAsia="MS Mincho" w:hAnsi="Book Antiqua"/>
          <w:sz w:val="24"/>
          <w:szCs w:val="24"/>
          <w:lang w:val="en-US"/>
        </w:rPr>
        <w:t xml:space="preserve">p7a1/Cyp3a11. </w:t>
      </w:r>
      <w:r w:rsidR="00667B11" w:rsidRPr="00825E2B">
        <w:rPr>
          <w:rFonts w:ascii="Book Antiqua" w:eastAsia="MS Mincho" w:hAnsi="Book Antiqua"/>
          <w:sz w:val="24"/>
          <w:szCs w:val="24"/>
          <w:lang w:val="en-US"/>
        </w:rPr>
        <w:t xml:space="preserve">In addition, proinflammatory </w:t>
      </w:r>
      <w:r w:rsidR="00667B11" w:rsidRPr="00825E2B">
        <w:rPr>
          <w:rFonts w:ascii="Book Antiqua" w:eastAsia="MS Mincho" w:hAnsi="Book Antiqua"/>
          <w:i/>
          <w:sz w:val="24"/>
          <w:szCs w:val="24"/>
          <w:lang w:val="en-US"/>
        </w:rPr>
        <w:t>Proteobacteria</w:t>
      </w:r>
      <w:r w:rsidR="00667B11" w:rsidRPr="00825E2B">
        <w:rPr>
          <w:rFonts w:ascii="Book Antiqua" w:eastAsia="MS Mincho" w:hAnsi="Book Antiqua"/>
          <w:sz w:val="24"/>
          <w:szCs w:val="24"/>
          <w:lang w:val="en-US"/>
        </w:rPr>
        <w:t xml:space="preserve"> were diminished in feces from </w:t>
      </w:r>
      <w:proofErr w:type="spellStart"/>
      <w:r w:rsidR="00113EA0" w:rsidRPr="00825E2B">
        <w:rPr>
          <w:rFonts w:ascii="Book Antiqua" w:eastAsia="MS Mincho" w:hAnsi="Book Antiqua"/>
          <w:i/>
          <w:iCs/>
          <w:sz w:val="24"/>
          <w:szCs w:val="24"/>
          <w:lang w:val="en-US"/>
        </w:rPr>
        <w:t>Mgl</w:t>
      </w:r>
      <w:proofErr w:type="spellEnd"/>
      <w:r w:rsidR="00113EA0" w:rsidRPr="00825E2B">
        <w:rPr>
          <w:rFonts w:ascii="Book Antiqua" w:eastAsia="MS Mincho" w:hAnsi="Book Antiqua"/>
          <w:sz w:val="24"/>
          <w:szCs w:val="24"/>
          <w:vertAlign w:val="superscript"/>
          <w:lang w:val="en-US"/>
        </w:rPr>
        <w:t>-/-</w:t>
      </w:r>
      <w:r w:rsidR="00113EA0" w:rsidRPr="00825E2B">
        <w:rPr>
          <w:rFonts w:ascii="Book Antiqua" w:eastAsia="MS Mincho" w:hAnsi="Book Antiqua"/>
          <w:sz w:val="24"/>
          <w:szCs w:val="24"/>
          <w:lang w:val="en-US"/>
        </w:rPr>
        <w:t> </w:t>
      </w:r>
      <w:r w:rsidR="00667B11" w:rsidRPr="00825E2B">
        <w:rPr>
          <w:rFonts w:ascii="Book Antiqua" w:eastAsia="MS Mincho" w:hAnsi="Book Antiqua"/>
          <w:sz w:val="24"/>
          <w:szCs w:val="24"/>
          <w:lang w:val="en-US"/>
        </w:rPr>
        <w:t>mice. </w:t>
      </w:r>
      <w:r w:rsidR="001263B0" w:rsidRPr="00825E2B">
        <w:rPr>
          <w:rFonts w:ascii="Book Antiqua" w:hAnsi="Book Antiqua"/>
          <w:sz w:val="24"/>
          <w:szCs w:val="24"/>
          <w:lang w:eastAsia="zh-CN"/>
        </w:rPr>
        <w:t xml:space="preserve">AA: </w:t>
      </w:r>
      <w:r w:rsidR="001263B0" w:rsidRPr="00825E2B">
        <w:rPr>
          <w:rFonts w:ascii="Book Antiqua" w:eastAsia="MS Mincho" w:hAnsi="Book Antiqua"/>
          <w:sz w:val="24"/>
          <w:szCs w:val="24"/>
          <w:lang w:val="en-US"/>
        </w:rPr>
        <w:t>Arachidonic acid</w:t>
      </w:r>
      <w:r w:rsidR="001263B0" w:rsidRPr="00825E2B">
        <w:rPr>
          <w:rFonts w:ascii="Book Antiqua" w:hAnsi="Book Antiqua"/>
          <w:sz w:val="24"/>
          <w:szCs w:val="24"/>
          <w:lang w:val="en-US" w:eastAsia="zh-CN"/>
        </w:rPr>
        <w:t xml:space="preserve">; </w:t>
      </w:r>
      <w:r w:rsidR="001263B0" w:rsidRPr="00825E2B">
        <w:rPr>
          <w:rFonts w:ascii="Book Antiqua" w:eastAsia="MS Mincho" w:hAnsi="Book Antiqua"/>
          <w:sz w:val="24"/>
          <w:szCs w:val="24"/>
          <w:lang w:val="en-US"/>
        </w:rPr>
        <w:t>NRs</w:t>
      </w:r>
      <w:r w:rsidR="001263B0" w:rsidRPr="00825E2B">
        <w:rPr>
          <w:rFonts w:ascii="Book Antiqua" w:hAnsi="Book Antiqua"/>
          <w:sz w:val="24"/>
          <w:szCs w:val="24"/>
          <w:lang w:val="en-US" w:eastAsia="zh-CN"/>
        </w:rPr>
        <w:t xml:space="preserve">: </w:t>
      </w:r>
      <w:r w:rsidR="001263B0" w:rsidRPr="00825E2B">
        <w:rPr>
          <w:rFonts w:ascii="Book Antiqua" w:eastAsia="MS Mincho" w:hAnsi="Book Antiqua"/>
          <w:sz w:val="24"/>
          <w:szCs w:val="24"/>
          <w:lang w:val="en-US"/>
        </w:rPr>
        <w:t>Nuclear receptors</w:t>
      </w:r>
      <w:r w:rsidR="001263B0" w:rsidRPr="00825E2B">
        <w:rPr>
          <w:rFonts w:ascii="Book Antiqua" w:hAnsi="Book Antiqua"/>
          <w:sz w:val="24"/>
          <w:szCs w:val="24"/>
          <w:lang w:val="en-US" w:eastAsia="zh-CN"/>
        </w:rPr>
        <w:t xml:space="preserve">; </w:t>
      </w:r>
      <w:r w:rsidR="001263B0" w:rsidRPr="00825E2B">
        <w:rPr>
          <w:rFonts w:ascii="Book Antiqua" w:eastAsia="MS Mincho" w:hAnsi="Book Antiqua"/>
          <w:sz w:val="24"/>
          <w:szCs w:val="24"/>
          <w:lang w:val="en-US"/>
        </w:rPr>
        <w:t>FGF15</w:t>
      </w:r>
      <w:r w:rsidR="001263B0" w:rsidRPr="00825E2B">
        <w:rPr>
          <w:rFonts w:ascii="Book Antiqua" w:hAnsi="Book Antiqua"/>
          <w:sz w:val="24"/>
          <w:szCs w:val="24"/>
          <w:lang w:val="en-US" w:eastAsia="zh-CN"/>
        </w:rPr>
        <w:t xml:space="preserve">: </w:t>
      </w:r>
      <w:r w:rsidR="001263B0" w:rsidRPr="00825E2B">
        <w:rPr>
          <w:rFonts w:ascii="Book Antiqua" w:eastAsia="MS Mincho" w:hAnsi="Book Antiqua"/>
          <w:sz w:val="24"/>
          <w:szCs w:val="24"/>
          <w:lang w:val="en-US"/>
        </w:rPr>
        <w:t>Fibroblast growth factor 15</w:t>
      </w:r>
      <w:r w:rsidR="001263B0" w:rsidRPr="00825E2B">
        <w:rPr>
          <w:rFonts w:ascii="Book Antiqua" w:hAnsi="Book Antiqua"/>
          <w:sz w:val="24"/>
          <w:szCs w:val="24"/>
          <w:lang w:val="en-US" w:eastAsia="zh-CN"/>
        </w:rPr>
        <w:t>;</w:t>
      </w:r>
      <w:r w:rsidR="001263B0" w:rsidRPr="00825E2B">
        <w:rPr>
          <w:rFonts w:ascii="Book Antiqua" w:eastAsia="MS Mincho" w:hAnsi="Book Antiqua"/>
          <w:sz w:val="24"/>
          <w:szCs w:val="24"/>
          <w:lang w:val="en-US"/>
        </w:rPr>
        <w:t xml:space="preserve"> BA</w:t>
      </w:r>
      <w:r w:rsidR="001263B0" w:rsidRPr="00825E2B">
        <w:rPr>
          <w:rFonts w:ascii="Book Antiqua" w:hAnsi="Book Antiqua"/>
          <w:sz w:val="24"/>
          <w:szCs w:val="24"/>
          <w:lang w:val="en-US" w:eastAsia="zh-CN"/>
        </w:rPr>
        <w:t xml:space="preserve">: </w:t>
      </w:r>
      <w:r w:rsidR="001263B0" w:rsidRPr="00825E2B">
        <w:rPr>
          <w:rFonts w:ascii="Book Antiqua" w:eastAsia="MS Mincho" w:hAnsi="Book Antiqua"/>
          <w:sz w:val="24"/>
          <w:szCs w:val="24"/>
          <w:lang w:val="en-US"/>
        </w:rPr>
        <w:t>Bile acids</w:t>
      </w:r>
      <w:r w:rsidR="001263B0" w:rsidRPr="00825E2B">
        <w:rPr>
          <w:rFonts w:ascii="Book Antiqua" w:hAnsi="Book Antiqua"/>
          <w:sz w:val="24"/>
          <w:szCs w:val="24"/>
          <w:lang w:val="en-US" w:eastAsia="zh-CN"/>
        </w:rPr>
        <w:t>.</w:t>
      </w:r>
    </w:p>
    <w:p w14:paraId="57312BD7" w14:textId="77777777" w:rsidR="00B42037" w:rsidRPr="00A921B8" w:rsidRDefault="00B42037" w:rsidP="00A921B8">
      <w:pPr>
        <w:widowControl w:val="0"/>
        <w:autoSpaceDE w:val="0"/>
        <w:autoSpaceDN w:val="0"/>
        <w:adjustRightInd w:val="0"/>
        <w:snapToGrid w:val="0"/>
        <w:spacing w:after="0" w:line="360" w:lineRule="auto"/>
        <w:ind w:hanging="640"/>
        <w:jc w:val="both"/>
        <w:rPr>
          <w:rFonts w:ascii="Book Antiqua" w:hAnsi="Book Antiqua" w:cs="Arial"/>
          <w:sz w:val="24"/>
          <w:szCs w:val="24"/>
          <w:lang w:val="en-US"/>
        </w:rPr>
      </w:pPr>
    </w:p>
    <w:sectPr w:rsidR="00B42037" w:rsidRPr="00A921B8" w:rsidSect="00804EB1">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897DB" w14:textId="77777777" w:rsidR="001C0156" w:rsidRDefault="001C0156" w:rsidP="00804EB1">
      <w:pPr>
        <w:spacing w:after="0" w:line="240" w:lineRule="auto"/>
      </w:pPr>
      <w:r>
        <w:separator/>
      </w:r>
    </w:p>
  </w:endnote>
  <w:endnote w:type="continuationSeparator" w:id="0">
    <w:p w14:paraId="5E2F3673" w14:textId="77777777" w:rsidR="001C0156" w:rsidRDefault="001C0156" w:rsidP="0080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176353"/>
      <w:docPartObj>
        <w:docPartGallery w:val="Page Numbers (Bottom of Page)"/>
        <w:docPartUnique/>
      </w:docPartObj>
    </w:sdtPr>
    <w:sdtEndPr/>
    <w:sdtContent>
      <w:sdt>
        <w:sdtPr>
          <w:id w:val="-1705238520"/>
          <w:docPartObj>
            <w:docPartGallery w:val="Page Numbers (Top of Page)"/>
            <w:docPartUnique/>
          </w:docPartObj>
        </w:sdtPr>
        <w:sdtEndPr/>
        <w:sdtContent>
          <w:p w14:paraId="257AA9E3" w14:textId="01BF892D" w:rsidR="009D386D" w:rsidRDefault="009D386D" w:rsidP="009D386D">
            <w:pPr>
              <w:pStyle w:val="ab"/>
              <w:jc w:val="right"/>
            </w:pPr>
            <w:r w:rsidRPr="009D386D">
              <w:rPr>
                <w:sz w:val="24"/>
                <w:szCs w:val="24"/>
                <w:lang w:val="zh-CN" w:eastAsia="zh-CN"/>
              </w:rPr>
              <w:t xml:space="preserve"> </w:t>
            </w:r>
            <w:r w:rsidRPr="009D386D">
              <w:rPr>
                <w:bCs/>
                <w:sz w:val="24"/>
                <w:szCs w:val="24"/>
              </w:rPr>
              <w:fldChar w:fldCharType="begin"/>
            </w:r>
            <w:r w:rsidRPr="009D386D">
              <w:rPr>
                <w:bCs/>
                <w:sz w:val="24"/>
                <w:szCs w:val="24"/>
              </w:rPr>
              <w:instrText>PAGE</w:instrText>
            </w:r>
            <w:r w:rsidRPr="009D386D">
              <w:rPr>
                <w:bCs/>
                <w:sz w:val="24"/>
                <w:szCs w:val="24"/>
              </w:rPr>
              <w:fldChar w:fldCharType="separate"/>
            </w:r>
            <w:r w:rsidR="00825E2B">
              <w:rPr>
                <w:bCs/>
                <w:noProof/>
                <w:sz w:val="24"/>
                <w:szCs w:val="24"/>
              </w:rPr>
              <w:t>21</w:t>
            </w:r>
            <w:r w:rsidRPr="009D386D">
              <w:rPr>
                <w:bCs/>
                <w:sz w:val="24"/>
                <w:szCs w:val="24"/>
              </w:rPr>
              <w:fldChar w:fldCharType="end"/>
            </w:r>
            <w:r w:rsidRPr="009D386D">
              <w:rPr>
                <w:sz w:val="24"/>
                <w:szCs w:val="24"/>
                <w:lang w:val="zh-CN" w:eastAsia="zh-CN"/>
              </w:rPr>
              <w:t xml:space="preserve"> / </w:t>
            </w:r>
            <w:r w:rsidRPr="009D386D">
              <w:rPr>
                <w:bCs/>
                <w:sz w:val="24"/>
                <w:szCs w:val="24"/>
              </w:rPr>
              <w:fldChar w:fldCharType="begin"/>
            </w:r>
            <w:r w:rsidRPr="009D386D">
              <w:rPr>
                <w:bCs/>
                <w:sz w:val="24"/>
                <w:szCs w:val="24"/>
              </w:rPr>
              <w:instrText>NUMPAGES</w:instrText>
            </w:r>
            <w:r w:rsidRPr="009D386D">
              <w:rPr>
                <w:bCs/>
                <w:sz w:val="24"/>
                <w:szCs w:val="24"/>
              </w:rPr>
              <w:fldChar w:fldCharType="separate"/>
            </w:r>
            <w:r w:rsidR="00825E2B">
              <w:rPr>
                <w:bCs/>
                <w:noProof/>
                <w:sz w:val="24"/>
                <w:szCs w:val="24"/>
              </w:rPr>
              <w:t>25</w:t>
            </w:r>
            <w:r w:rsidRPr="009D386D">
              <w:rPr>
                <w:bCs/>
                <w:sz w:val="24"/>
                <w:szCs w:val="24"/>
              </w:rPr>
              <w:fldChar w:fldCharType="end"/>
            </w:r>
          </w:p>
        </w:sdtContent>
      </w:sdt>
    </w:sdtContent>
  </w:sdt>
  <w:p w14:paraId="1359E4E7" w14:textId="77777777" w:rsidR="009D386D" w:rsidRDefault="009D38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F7DB" w14:textId="77777777" w:rsidR="001C0156" w:rsidRDefault="001C0156" w:rsidP="00804EB1">
      <w:pPr>
        <w:spacing w:after="0" w:line="240" w:lineRule="auto"/>
      </w:pPr>
      <w:r>
        <w:separator/>
      </w:r>
    </w:p>
  </w:footnote>
  <w:footnote w:type="continuationSeparator" w:id="0">
    <w:p w14:paraId="136620A6" w14:textId="77777777" w:rsidR="001C0156" w:rsidRDefault="001C0156" w:rsidP="0080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10F9" w14:textId="77777777" w:rsidR="001A6483" w:rsidRDefault="001A6483" w:rsidP="009D386D">
    <w:pPr>
      <w:pStyle w:val="a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7EAE"/>
    <w:multiLevelType w:val="hybridMultilevel"/>
    <w:tmpl w:val="0540DB2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EA"/>
    <w:rsid w:val="000034EC"/>
    <w:rsid w:val="00014227"/>
    <w:rsid w:val="0002493C"/>
    <w:rsid w:val="00037CB9"/>
    <w:rsid w:val="000418B0"/>
    <w:rsid w:val="00042097"/>
    <w:rsid w:val="000521B6"/>
    <w:rsid w:val="0006286D"/>
    <w:rsid w:val="000666BB"/>
    <w:rsid w:val="00075F9B"/>
    <w:rsid w:val="00076807"/>
    <w:rsid w:val="0008019A"/>
    <w:rsid w:val="00082E51"/>
    <w:rsid w:val="00084483"/>
    <w:rsid w:val="0008508E"/>
    <w:rsid w:val="000A511D"/>
    <w:rsid w:val="000B420C"/>
    <w:rsid w:val="000B5511"/>
    <w:rsid w:val="000C0A09"/>
    <w:rsid w:val="000C3452"/>
    <w:rsid w:val="000D03FF"/>
    <w:rsid w:val="000D061C"/>
    <w:rsid w:val="000D1957"/>
    <w:rsid w:val="000D2AD4"/>
    <w:rsid w:val="000E3A09"/>
    <w:rsid w:val="000E5A15"/>
    <w:rsid w:val="001006B4"/>
    <w:rsid w:val="00104DC9"/>
    <w:rsid w:val="0010505C"/>
    <w:rsid w:val="00113EA0"/>
    <w:rsid w:val="00117977"/>
    <w:rsid w:val="001263B0"/>
    <w:rsid w:val="00126620"/>
    <w:rsid w:val="001440AC"/>
    <w:rsid w:val="001446DE"/>
    <w:rsid w:val="001453EE"/>
    <w:rsid w:val="001751A6"/>
    <w:rsid w:val="00184B69"/>
    <w:rsid w:val="001931CB"/>
    <w:rsid w:val="00195B3B"/>
    <w:rsid w:val="001A6483"/>
    <w:rsid w:val="001A7124"/>
    <w:rsid w:val="001A7602"/>
    <w:rsid w:val="001B779E"/>
    <w:rsid w:val="001C0156"/>
    <w:rsid w:val="001C113D"/>
    <w:rsid w:val="001C37D7"/>
    <w:rsid w:val="001C3EE7"/>
    <w:rsid w:val="001D17F0"/>
    <w:rsid w:val="001D53C5"/>
    <w:rsid w:val="001E1C95"/>
    <w:rsid w:val="001E1DD6"/>
    <w:rsid w:val="001E4606"/>
    <w:rsid w:val="001F54EE"/>
    <w:rsid w:val="0020144E"/>
    <w:rsid w:val="00201BAC"/>
    <w:rsid w:val="00201D96"/>
    <w:rsid w:val="00202927"/>
    <w:rsid w:val="00204097"/>
    <w:rsid w:val="00211AE0"/>
    <w:rsid w:val="00211D8F"/>
    <w:rsid w:val="00225FF1"/>
    <w:rsid w:val="00236C72"/>
    <w:rsid w:val="002412F8"/>
    <w:rsid w:val="00246ADA"/>
    <w:rsid w:val="00252D16"/>
    <w:rsid w:val="00256CC6"/>
    <w:rsid w:val="0026306E"/>
    <w:rsid w:val="00273E6E"/>
    <w:rsid w:val="00280DE8"/>
    <w:rsid w:val="0028738B"/>
    <w:rsid w:val="002946BE"/>
    <w:rsid w:val="002A7E2D"/>
    <w:rsid w:val="002B14F8"/>
    <w:rsid w:val="002B3C3C"/>
    <w:rsid w:val="002B5892"/>
    <w:rsid w:val="002C24BF"/>
    <w:rsid w:val="002C4EB6"/>
    <w:rsid w:val="002D0F65"/>
    <w:rsid w:val="002E6B33"/>
    <w:rsid w:val="002E6B94"/>
    <w:rsid w:val="0030076B"/>
    <w:rsid w:val="003023C5"/>
    <w:rsid w:val="00306442"/>
    <w:rsid w:val="0031177D"/>
    <w:rsid w:val="00314D9E"/>
    <w:rsid w:val="00330B99"/>
    <w:rsid w:val="0033487B"/>
    <w:rsid w:val="0033589A"/>
    <w:rsid w:val="00350CC8"/>
    <w:rsid w:val="003653B5"/>
    <w:rsid w:val="00370617"/>
    <w:rsid w:val="00397EC3"/>
    <w:rsid w:val="003B4662"/>
    <w:rsid w:val="003D0B2F"/>
    <w:rsid w:val="003D42A2"/>
    <w:rsid w:val="003D7AA0"/>
    <w:rsid w:val="003E680F"/>
    <w:rsid w:val="00402896"/>
    <w:rsid w:val="00412DAA"/>
    <w:rsid w:val="00416845"/>
    <w:rsid w:val="00421176"/>
    <w:rsid w:val="004263D3"/>
    <w:rsid w:val="00426A1D"/>
    <w:rsid w:val="00433208"/>
    <w:rsid w:val="00435EE7"/>
    <w:rsid w:val="00454CA9"/>
    <w:rsid w:val="004737C4"/>
    <w:rsid w:val="0047746C"/>
    <w:rsid w:val="00497767"/>
    <w:rsid w:val="00497D60"/>
    <w:rsid w:val="004A438A"/>
    <w:rsid w:val="004B27DB"/>
    <w:rsid w:val="004B7950"/>
    <w:rsid w:val="004C247C"/>
    <w:rsid w:val="004C2D05"/>
    <w:rsid w:val="004D5E3D"/>
    <w:rsid w:val="004E2C6C"/>
    <w:rsid w:val="004F3208"/>
    <w:rsid w:val="00537117"/>
    <w:rsid w:val="00567B2B"/>
    <w:rsid w:val="00587309"/>
    <w:rsid w:val="005944C7"/>
    <w:rsid w:val="00595CD4"/>
    <w:rsid w:val="005A3591"/>
    <w:rsid w:val="005C17FA"/>
    <w:rsid w:val="005C3023"/>
    <w:rsid w:val="005C486C"/>
    <w:rsid w:val="005D02BB"/>
    <w:rsid w:val="005D6C69"/>
    <w:rsid w:val="005D7725"/>
    <w:rsid w:val="005E180F"/>
    <w:rsid w:val="005E599E"/>
    <w:rsid w:val="005E7A8A"/>
    <w:rsid w:val="005F2B35"/>
    <w:rsid w:val="005F77F4"/>
    <w:rsid w:val="00603D03"/>
    <w:rsid w:val="006069C5"/>
    <w:rsid w:val="0062726A"/>
    <w:rsid w:val="00634DEA"/>
    <w:rsid w:val="00643E02"/>
    <w:rsid w:val="00650D5E"/>
    <w:rsid w:val="006576A9"/>
    <w:rsid w:val="00667B11"/>
    <w:rsid w:val="006750B3"/>
    <w:rsid w:val="00675861"/>
    <w:rsid w:val="00680FFB"/>
    <w:rsid w:val="00692CB2"/>
    <w:rsid w:val="00697A75"/>
    <w:rsid w:val="006A465E"/>
    <w:rsid w:val="006A71A0"/>
    <w:rsid w:val="006B0243"/>
    <w:rsid w:val="006B6BD1"/>
    <w:rsid w:val="006E2075"/>
    <w:rsid w:val="006E3013"/>
    <w:rsid w:val="006F3432"/>
    <w:rsid w:val="006F3604"/>
    <w:rsid w:val="00700BA8"/>
    <w:rsid w:val="00715A83"/>
    <w:rsid w:val="00720466"/>
    <w:rsid w:val="007205B5"/>
    <w:rsid w:val="0072220B"/>
    <w:rsid w:val="00722FB3"/>
    <w:rsid w:val="00725F5A"/>
    <w:rsid w:val="0073113A"/>
    <w:rsid w:val="00740BD7"/>
    <w:rsid w:val="00752694"/>
    <w:rsid w:val="0075692A"/>
    <w:rsid w:val="00761A41"/>
    <w:rsid w:val="007645CA"/>
    <w:rsid w:val="0076554C"/>
    <w:rsid w:val="00772F25"/>
    <w:rsid w:val="007731C5"/>
    <w:rsid w:val="00774ED4"/>
    <w:rsid w:val="00775926"/>
    <w:rsid w:val="00785611"/>
    <w:rsid w:val="007A29A3"/>
    <w:rsid w:val="007A670B"/>
    <w:rsid w:val="007B2D9D"/>
    <w:rsid w:val="007B6051"/>
    <w:rsid w:val="007C407F"/>
    <w:rsid w:val="007D136E"/>
    <w:rsid w:val="007D47D8"/>
    <w:rsid w:val="007D55FC"/>
    <w:rsid w:val="007E02F1"/>
    <w:rsid w:val="007E0CCD"/>
    <w:rsid w:val="007E4BC5"/>
    <w:rsid w:val="007E7F66"/>
    <w:rsid w:val="007F2E87"/>
    <w:rsid w:val="007F42B5"/>
    <w:rsid w:val="00804EB1"/>
    <w:rsid w:val="00806C54"/>
    <w:rsid w:val="008074E9"/>
    <w:rsid w:val="00810022"/>
    <w:rsid w:val="008101E7"/>
    <w:rsid w:val="00812704"/>
    <w:rsid w:val="00817058"/>
    <w:rsid w:val="00825E2B"/>
    <w:rsid w:val="008437D9"/>
    <w:rsid w:val="00845BEA"/>
    <w:rsid w:val="00847DD3"/>
    <w:rsid w:val="0085314F"/>
    <w:rsid w:val="00870C95"/>
    <w:rsid w:val="00871696"/>
    <w:rsid w:val="00871771"/>
    <w:rsid w:val="008808FE"/>
    <w:rsid w:val="00885CB9"/>
    <w:rsid w:val="0089157E"/>
    <w:rsid w:val="008942F7"/>
    <w:rsid w:val="00895FBA"/>
    <w:rsid w:val="00897A33"/>
    <w:rsid w:val="00897D95"/>
    <w:rsid w:val="008A07FC"/>
    <w:rsid w:val="008D6B52"/>
    <w:rsid w:val="008D6C64"/>
    <w:rsid w:val="008E0A54"/>
    <w:rsid w:val="008E5295"/>
    <w:rsid w:val="008E5C55"/>
    <w:rsid w:val="008F250E"/>
    <w:rsid w:val="008F2C56"/>
    <w:rsid w:val="00900807"/>
    <w:rsid w:val="00901E15"/>
    <w:rsid w:val="009100E9"/>
    <w:rsid w:val="0096409B"/>
    <w:rsid w:val="0097470B"/>
    <w:rsid w:val="0098594E"/>
    <w:rsid w:val="009914DF"/>
    <w:rsid w:val="0099631D"/>
    <w:rsid w:val="009B2341"/>
    <w:rsid w:val="009B518A"/>
    <w:rsid w:val="009B5F1A"/>
    <w:rsid w:val="009C1909"/>
    <w:rsid w:val="009C2E46"/>
    <w:rsid w:val="009D20F6"/>
    <w:rsid w:val="009D386D"/>
    <w:rsid w:val="009D4840"/>
    <w:rsid w:val="009D4881"/>
    <w:rsid w:val="009E43C6"/>
    <w:rsid w:val="00A02E0D"/>
    <w:rsid w:val="00A037ED"/>
    <w:rsid w:val="00A105AA"/>
    <w:rsid w:val="00A127C7"/>
    <w:rsid w:val="00A14368"/>
    <w:rsid w:val="00A3407F"/>
    <w:rsid w:val="00A351B2"/>
    <w:rsid w:val="00A65429"/>
    <w:rsid w:val="00A657CB"/>
    <w:rsid w:val="00A673C7"/>
    <w:rsid w:val="00A761A4"/>
    <w:rsid w:val="00A82F91"/>
    <w:rsid w:val="00A84899"/>
    <w:rsid w:val="00A8587F"/>
    <w:rsid w:val="00A904F3"/>
    <w:rsid w:val="00A921B8"/>
    <w:rsid w:val="00A93AA6"/>
    <w:rsid w:val="00A94EDB"/>
    <w:rsid w:val="00AA19C8"/>
    <w:rsid w:val="00AB1593"/>
    <w:rsid w:val="00AB4B1F"/>
    <w:rsid w:val="00AE2545"/>
    <w:rsid w:val="00AE55A1"/>
    <w:rsid w:val="00AE5F2B"/>
    <w:rsid w:val="00AF4034"/>
    <w:rsid w:val="00B07717"/>
    <w:rsid w:val="00B1098E"/>
    <w:rsid w:val="00B134C6"/>
    <w:rsid w:val="00B40EFE"/>
    <w:rsid w:val="00B42037"/>
    <w:rsid w:val="00B43791"/>
    <w:rsid w:val="00B51966"/>
    <w:rsid w:val="00B54859"/>
    <w:rsid w:val="00B61F85"/>
    <w:rsid w:val="00B7448A"/>
    <w:rsid w:val="00B8792B"/>
    <w:rsid w:val="00B915E9"/>
    <w:rsid w:val="00B92B2B"/>
    <w:rsid w:val="00B95D12"/>
    <w:rsid w:val="00BA5E2F"/>
    <w:rsid w:val="00BB28A4"/>
    <w:rsid w:val="00BB5079"/>
    <w:rsid w:val="00BB69AC"/>
    <w:rsid w:val="00BC6F5D"/>
    <w:rsid w:val="00BD056A"/>
    <w:rsid w:val="00BD140A"/>
    <w:rsid w:val="00BD6802"/>
    <w:rsid w:val="00BF1954"/>
    <w:rsid w:val="00BF4C91"/>
    <w:rsid w:val="00C00CD7"/>
    <w:rsid w:val="00C03AAC"/>
    <w:rsid w:val="00C0560F"/>
    <w:rsid w:val="00C075BC"/>
    <w:rsid w:val="00C15B9F"/>
    <w:rsid w:val="00C212D5"/>
    <w:rsid w:val="00C23ED3"/>
    <w:rsid w:val="00C3328E"/>
    <w:rsid w:val="00C3527D"/>
    <w:rsid w:val="00C5022A"/>
    <w:rsid w:val="00C524EA"/>
    <w:rsid w:val="00C5416B"/>
    <w:rsid w:val="00C674AB"/>
    <w:rsid w:val="00C73D5D"/>
    <w:rsid w:val="00C85AA3"/>
    <w:rsid w:val="00C8767D"/>
    <w:rsid w:val="00CA1359"/>
    <w:rsid w:val="00CE6FCE"/>
    <w:rsid w:val="00CE72E7"/>
    <w:rsid w:val="00CF0C93"/>
    <w:rsid w:val="00CF3195"/>
    <w:rsid w:val="00CF3831"/>
    <w:rsid w:val="00CF448B"/>
    <w:rsid w:val="00D00A8E"/>
    <w:rsid w:val="00D12715"/>
    <w:rsid w:val="00D12EA3"/>
    <w:rsid w:val="00D15F2A"/>
    <w:rsid w:val="00D16BE7"/>
    <w:rsid w:val="00D3422D"/>
    <w:rsid w:val="00D35CC8"/>
    <w:rsid w:val="00D546D8"/>
    <w:rsid w:val="00D601D6"/>
    <w:rsid w:val="00D64CAC"/>
    <w:rsid w:val="00D7344E"/>
    <w:rsid w:val="00D84240"/>
    <w:rsid w:val="00D905BD"/>
    <w:rsid w:val="00D92555"/>
    <w:rsid w:val="00DB0BFC"/>
    <w:rsid w:val="00DB1F66"/>
    <w:rsid w:val="00DD6410"/>
    <w:rsid w:val="00E049A1"/>
    <w:rsid w:val="00E0587A"/>
    <w:rsid w:val="00E060DE"/>
    <w:rsid w:val="00E40E9D"/>
    <w:rsid w:val="00E515C4"/>
    <w:rsid w:val="00E70103"/>
    <w:rsid w:val="00E7797F"/>
    <w:rsid w:val="00E911D3"/>
    <w:rsid w:val="00E913FD"/>
    <w:rsid w:val="00E979FF"/>
    <w:rsid w:val="00EB0F0B"/>
    <w:rsid w:val="00EB5008"/>
    <w:rsid w:val="00EC53B2"/>
    <w:rsid w:val="00ED0163"/>
    <w:rsid w:val="00ED333C"/>
    <w:rsid w:val="00ED6D3C"/>
    <w:rsid w:val="00EE303A"/>
    <w:rsid w:val="00EE544F"/>
    <w:rsid w:val="00EE74D2"/>
    <w:rsid w:val="00EF1966"/>
    <w:rsid w:val="00EF1BB4"/>
    <w:rsid w:val="00EF463D"/>
    <w:rsid w:val="00F02DC0"/>
    <w:rsid w:val="00F111C3"/>
    <w:rsid w:val="00F1317C"/>
    <w:rsid w:val="00F14E0D"/>
    <w:rsid w:val="00F31FC2"/>
    <w:rsid w:val="00F41986"/>
    <w:rsid w:val="00F433B6"/>
    <w:rsid w:val="00F44E74"/>
    <w:rsid w:val="00F50361"/>
    <w:rsid w:val="00F73378"/>
    <w:rsid w:val="00F74930"/>
    <w:rsid w:val="00F752AA"/>
    <w:rsid w:val="00F80626"/>
    <w:rsid w:val="00F81DD4"/>
    <w:rsid w:val="00F96DF4"/>
    <w:rsid w:val="00FD0A95"/>
    <w:rsid w:val="00FD6B53"/>
    <w:rsid w:val="00FD79C4"/>
    <w:rsid w:val="00FE2DE7"/>
    <w:rsid w:val="00FE2F99"/>
    <w:rsid w:val="00FE696E"/>
    <w:rsid w:val="00FF031D"/>
    <w:rsid w:val="00FF1A1D"/>
    <w:rsid w:val="00FF336B"/>
    <w:rsid w:val="00FF45A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0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61F8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DEA"/>
    <w:pPr>
      <w:ind w:left="720"/>
      <w:contextualSpacing/>
    </w:pPr>
  </w:style>
  <w:style w:type="character" w:styleId="a4">
    <w:name w:val="Hyperlink"/>
    <w:basedOn w:val="a0"/>
    <w:uiPriority w:val="99"/>
    <w:unhideWhenUsed/>
    <w:rsid w:val="00195B3B"/>
    <w:rPr>
      <w:color w:val="0000FF" w:themeColor="hyperlink"/>
      <w:u w:val="single"/>
    </w:rPr>
  </w:style>
  <w:style w:type="character" w:customStyle="1" w:styleId="UnresolvedMention1">
    <w:name w:val="Unresolved Mention1"/>
    <w:basedOn w:val="a0"/>
    <w:uiPriority w:val="99"/>
    <w:semiHidden/>
    <w:unhideWhenUsed/>
    <w:rsid w:val="0075692A"/>
    <w:rPr>
      <w:color w:val="605E5C"/>
      <w:shd w:val="clear" w:color="auto" w:fill="E1DFDD"/>
    </w:rPr>
  </w:style>
  <w:style w:type="paragraph" w:styleId="a5">
    <w:name w:val="Balloon Text"/>
    <w:basedOn w:val="a"/>
    <w:link w:val="Char"/>
    <w:uiPriority w:val="99"/>
    <w:semiHidden/>
    <w:unhideWhenUsed/>
    <w:rsid w:val="002B5892"/>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2B5892"/>
    <w:rPr>
      <w:rFonts w:ascii="lucida Grande" w:hAnsi="lucida Grande" w:cs="lucida Grande"/>
      <w:sz w:val="18"/>
      <w:szCs w:val="18"/>
    </w:rPr>
  </w:style>
  <w:style w:type="character" w:styleId="a6">
    <w:name w:val="annotation reference"/>
    <w:basedOn w:val="a0"/>
    <w:uiPriority w:val="99"/>
    <w:semiHidden/>
    <w:unhideWhenUsed/>
    <w:rsid w:val="005944C7"/>
    <w:rPr>
      <w:sz w:val="16"/>
      <w:szCs w:val="16"/>
    </w:rPr>
  </w:style>
  <w:style w:type="paragraph" w:styleId="a7">
    <w:name w:val="annotation text"/>
    <w:basedOn w:val="a"/>
    <w:link w:val="Char0"/>
    <w:uiPriority w:val="99"/>
    <w:semiHidden/>
    <w:unhideWhenUsed/>
    <w:rsid w:val="005944C7"/>
    <w:pPr>
      <w:spacing w:line="240" w:lineRule="auto"/>
    </w:pPr>
    <w:rPr>
      <w:sz w:val="20"/>
      <w:szCs w:val="20"/>
    </w:rPr>
  </w:style>
  <w:style w:type="character" w:customStyle="1" w:styleId="Char0">
    <w:name w:val="批注文字 Char"/>
    <w:basedOn w:val="a0"/>
    <w:link w:val="a7"/>
    <w:uiPriority w:val="99"/>
    <w:semiHidden/>
    <w:rsid w:val="005944C7"/>
    <w:rPr>
      <w:sz w:val="20"/>
      <w:szCs w:val="20"/>
    </w:rPr>
  </w:style>
  <w:style w:type="paragraph" w:styleId="a8">
    <w:name w:val="annotation subject"/>
    <w:basedOn w:val="a7"/>
    <w:next w:val="a7"/>
    <w:link w:val="Char1"/>
    <w:uiPriority w:val="99"/>
    <w:semiHidden/>
    <w:unhideWhenUsed/>
    <w:rsid w:val="005944C7"/>
    <w:rPr>
      <w:b/>
      <w:bCs/>
    </w:rPr>
  </w:style>
  <w:style w:type="character" w:customStyle="1" w:styleId="Char1">
    <w:name w:val="批注主题 Char"/>
    <w:basedOn w:val="Char0"/>
    <w:link w:val="a8"/>
    <w:uiPriority w:val="99"/>
    <w:semiHidden/>
    <w:rsid w:val="005944C7"/>
    <w:rPr>
      <w:b/>
      <w:bCs/>
      <w:sz w:val="20"/>
      <w:szCs w:val="20"/>
    </w:rPr>
  </w:style>
  <w:style w:type="character" w:customStyle="1" w:styleId="1Char">
    <w:name w:val="标题 1 Char"/>
    <w:basedOn w:val="a0"/>
    <w:link w:val="1"/>
    <w:uiPriority w:val="9"/>
    <w:rsid w:val="00B61F85"/>
    <w:rPr>
      <w:rFonts w:ascii="Times New Roman" w:eastAsia="Times New Roman" w:hAnsi="Times New Roman" w:cs="Times New Roman"/>
      <w:b/>
      <w:bCs/>
      <w:kern w:val="36"/>
      <w:sz w:val="48"/>
      <w:szCs w:val="48"/>
      <w:lang w:val="en-US"/>
    </w:rPr>
  </w:style>
  <w:style w:type="character" w:customStyle="1" w:styleId="highlight">
    <w:name w:val="highlight"/>
    <w:basedOn w:val="a0"/>
    <w:rsid w:val="00650D5E"/>
  </w:style>
  <w:style w:type="character" w:customStyle="1" w:styleId="title-text">
    <w:name w:val="title-text"/>
    <w:basedOn w:val="a0"/>
    <w:rsid w:val="00E70103"/>
  </w:style>
  <w:style w:type="character" w:styleId="a9">
    <w:name w:val="FollowedHyperlink"/>
    <w:basedOn w:val="a0"/>
    <w:uiPriority w:val="99"/>
    <w:semiHidden/>
    <w:unhideWhenUsed/>
    <w:rsid w:val="00DB0BFC"/>
    <w:rPr>
      <w:color w:val="800080" w:themeColor="followedHyperlink"/>
      <w:u w:val="single"/>
    </w:rPr>
  </w:style>
  <w:style w:type="paragraph" w:styleId="aa">
    <w:name w:val="header"/>
    <w:basedOn w:val="a"/>
    <w:link w:val="Char2"/>
    <w:uiPriority w:val="99"/>
    <w:unhideWhenUsed/>
    <w:rsid w:val="00804E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804EB1"/>
    <w:rPr>
      <w:sz w:val="18"/>
      <w:szCs w:val="18"/>
    </w:rPr>
  </w:style>
  <w:style w:type="paragraph" w:styleId="ab">
    <w:name w:val="footer"/>
    <w:basedOn w:val="a"/>
    <w:link w:val="Char3"/>
    <w:uiPriority w:val="99"/>
    <w:unhideWhenUsed/>
    <w:rsid w:val="00804EB1"/>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804EB1"/>
    <w:rPr>
      <w:sz w:val="18"/>
      <w:szCs w:val="18"/>
    </w:rPr>
  </w:style>
  <w:style w:type="character" w:customStyle="1" w:styleId="16">
    <w:name w:val="16"/>
    <w:basedOn w:val="a0"/>
    <w:rsid w:val="00CF448B"/>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61F8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DEA"/>
    <w:pPr>
      <w:ind w:left="720"/>
      <w:contextualSpacing/>
    </w:pPr>
  </w:style>
  <w:style w:type="character" w:styleId="a4">
    <w:name w:val="Hyperlink"/>
    <w:basedOn w:val="a0"/>
    <w:uiPriority w:val="99"/>
    <w:unhideWhenUsed/>
    <w:rsid w:val="00195B3B"/>
    <w:rPr>
      <w:color w:val="0000FF" w:themeColor="hyperlink"/>
      <w:u w:val="single"/>
    </w:rPr>
  </w:style>
  <w:style w:type="character" w:customStyle="1" w:styleId="UnresolvedMention1">
    <w:name w:val="Unresolved Mention1"/>
    <w:basedOn w:val="a0"/>
    <w:uiPriority w:val="99"/>
    <w:semiHidden/>
    <w:unhideWhenUsed/>
    <w:rsid w:val="0075692A"/>
    <w:rPr>
      <w:color w:val="605E5C"/>
      <w:shd w:val="clear" w:color="auto" w:fill="E1DFDD"/>
    </w:rPr>
  </w:style>
  <w:style w:type="paragraph" w:styleId="a5">
    <w:name w:val="Balloon Text"/>
    <w:basedOn w:val="a"/>
    <w:link w:val="Char"/>
    <w:uiPriority w:val="99"/>
    <w:semiHidden/>
    <w:unhideWhenUsed/>
    <w:rsid w:val="002B5892"/>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2B5892"/>
    <w:rPr>
      <w:rFonts w:ascii="lucida Grande" w:hAnsi="lucida Grande" w:cs="lucida Grande"/>
      <w:sz w:val="18"/>
      <w:szCs w:val="18"/>
    </w:rPr>
  </w:style>
  <w:style w:type="character" w:styleId="a6">
    <w:name w:val="annotation reference"/>
    <w:basedOn w:val="a0"/>
    <w:uiPriority w:val="99"/>
    <w:semiHidden/>
    <w:unhideWhenUsed/>
    <w:rsid w:val="005944C7"/>
    <w:rPr>
      <w:sz w:val="16"/>
      <w:szCs w:val="16"/>
    </w:rPr>
  </w:style>
  <w:style w:type="paragraph" w:styleId="a7">
    <w:name w:val="annotation text"/>
    <w:basedOn w:val="a"/>
    <w:link w:val="Char0"/>
    <w:uiPriority w:val="99"/>
    <w:semiHidden/>
    <w:unhideWhenUsed/>
    <w:rsid w:val="005944C7"/>
    <w:pPr>
      <w:spacing w:line="240" w:lineRule="auto"/>
    </w:pPr>
    <w:rPr>
      <w:sz w:val="20"/>
      <w:szCs w:val="20"/>
    </w:rPr>
  </w:style>
  <w:style w:type="character" w:customStyle="1" w:styleId="Char0">
    <w:name w:val="批注文字 Char"/>
    <w:basedOn w:val="a0"/>
    <w:link w:val="a7"/>
    <w:uiPriority w:val="99"/>
    <w:semiHidden/>
    <w:rsid w:val="005944C7"/>
    <w:rPr>
      <w:sz w:val="20"/>
      <w:szCs w:val="20"/>
    </w:rPr>
  </w:style>
  <w:style w:type="paragraph" w:styleId="a8">
    <w:name w:val="annotation subject"/>
    <w:basedOn w:val="a7"/>
    <w:next w:val="a7"/>
    <w:link w:val="Char1"/>
    <w:uiPriority w:val="99"/>
    <w:semiHidden/>
    <w:unhideWhenUsed/>
    <w:rsid w:val="005944C7"/>
    <w:rPr>
      <w:b/>
      <w:bCs/>
    </w:rPr>
  </w:style>
  <w:style w:type="character" w:customStyle="1" w:styleId="Char1">
    <w:name w:val="批注主题 Char"/>
    <w:basedOn w:val="Char0"/>
    <w:link w:val="a8"/>
    <w:uiPriority w:val="99"/>
    <w:semiHidden/>
    <w:rsid w:val="005944C7"/>
    <w:rPr>
      <w:b/>
      <w:bCs/>
      <w:sz w:val="20"/>
      <w:szCs w:val="20"/>
    </w:rPr>
  </w:style>
  <w:style w:type="character" w:customStyle="1" w:styleId="1Char">
    <w:name w:val="标题 1 Char"/>
    <w:basedOn w:val="a0"/>
    <w:link w:val="1"/>
    <w:uiPriority w:val="9"/>
    <w:rsid w:val="00B61F85"/>
    <w:rPr>
      <w:rFonts w:ascii="Times New Roman" w:eastAsia="Times New Roman" w:hAnsi="Times New Roman" w:cs="Times New Roman"/>
      <w:b/>
      <w:bCs/>
      <w:kern w:val="36"/>
      <w:sz w:val="48"/>
      <w:szCs w:val="48"/>
      <w:lang w:val="en-US"/>
    </w:rPr>
  </w:style>
  <w:style w:type="character" w:customStyle="1" w:styleId="highlight">
    <w:name w:val="highlight"/>
    <w:basedOn w:val="a0"/>
    <w:rsid w:val="00650D5E"/>
  </w:style>
  <w:style w:type="character" w:customStyle="1" w:styleId="title-text">
    <w:name w:val="title-text"/>
    <w:basedOn w:val="a0"/>
    <w:rsid w:val="00E70103"/>
  </w:style>
  <w:style w:type="character" w:styleId="a9">
    <w:name w:val="FollowedHyperlink"/>
    <w:basedOn w:val="a0"/>
    <w:uiPriority w:val="99"/>
    <w:semiHidden/>
    <w:unhideWhenUsed/>
    <w:rsid w:val="00DB0BFC"/>
    <w:rPr>
      <w:color w:val="800080" w:themeColor="followedHyperlink"/>
      <w:u w:val="single"/>
    </w:rPr>
  </w:style>
  <w:style w:type="paragraph" w:styleId="aa">
    <w:name w:val="header"/>
    <w:basedOn w:val="a"/>
    <w:link w:val="Char2"/>
    <w:uiPriority w:val="99"/>
    <w:unhideWhenUsed/>
    <w:rsid w:val="00804E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804EB1"/>
    <w:rPr>
      <w:sz w:val="18"/>
      <w:szCs w:val="18"/>
    </w:rPr>
  </w:style>
  <w:style w:type="paragraph" w:styleId="ab">
    <w:name w:val="footer"/>
    <w:basedOn w:val="a"/>
    <w:link w:val="Char3"/>
    <w:uiPriority w:val="99"/>
    <w:unhideWhenUsed/>
    <w:rsid w:val="00804EB1"/>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804EB1"/>
    <w:rPr>
      <w:sz w:val="18"/>
      <w:szCs w:val="18"/>
    </w:rPr>
  </w:style>
  <w:style w:type="character" w:customStyle="1" w:styleId="16">
    <w:name w:val="16"/>
    <w:basedOn w:val="a0"/>
    <w:rsid w:val="00CF448B"/>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56">
      <w:bodyDiv w:val="1"/>
      <w:marLeft w:val="0"/>
      <w:marRight w:val="0"/>
      <w:marTop w:val="0"/>
      <w:marBottom w:val="0"/>
      <w:divBdr>
        <w:top w:val="none" w:sz="0" w:space="0" w:color="auto"/>
        <w:left w:val="none" w:sz="0" w:space="0" w:color="auto"/>
        <w:bottom w:val="none" w:sz="0" w:space="0" w:color="auto"/>
        <w:right w:val="none" w:sz="0" w:space="0" w:color="auto"/>
      </w:divBdr>
    </w:div>
    <w:div w:id="546067590">
      <w:bodyDiv w:val="1"/>
      <w:marLeft w:val="0"/>
      <w:marRight w:val="0"/>
      <w:marTop w:val="0"/>
      <w:marBottom w:val="0"/>
      <w:divBdr>
        <w:top w:val="none" w:sz="0" w:space="0" w:color="auto"/>
        <w:left w:val="none" w:sz="0" w:space="0" w:color="auto"/>
        <w:bottom w:val="none" w:sz="0" w:space="0" w:color="auto"/>
        <w:right w:val="none" w:sz="0" w:space="0" w:color="auto"/>
      </w:divBdr>
    </w:div>
    <w:div w:id="762456654">
      <w:bodyDiv w:val="1"/>
      <w:marLeft w:val="0"/>
      <w:marRight w:val="0"/>
      <w:marTop w:val="0"/>
      <w:marBottom w:val="0"/>
      <w:divBdr>
        <w:top w:val="none" w:sz="0" w:space="0" w:color="auto"/>
        <w:left w:val="none" w:sz="0" w:space="0" w:color="auto"/>
        <w:bottom w:val="none" w:sz="0" w:space="0" w:color="auto"/>
        <w:right w:val="none" w:sz="0" w:space="0" w:color="auto"/>
      </w:divBdr>
    </w:div>
    <w:div w:id="827478263">
      <w:bodyDiv w:val="1"/>
      <w:marLeft w:val="0"/>
      <w:marRight w:val="0"/>
      <w:marTop w:val="0"/>
      <w:marBottom w:val="0"/>
      <w:divBdr>
        <w:top w:val="none" w:sz="0" w:space="0" w:color="auto"/>
        <w:left w:val="none" w:sz="0" w:space="0" w:color="auto"/>
        <w:bottom w:val="none" w:sz="0" w:space="0" w:color="auto"/>
        <w:right w:val="none" w:sz="0" w:space="0" w:color="auto"/>
      </w:divBdr>
    </w:div>
    <w:div w:id="948200160">
      <w:bodyDiv w:val="1"/>
      <w:marLeft w:val="0"/>
      <w:marRight w:val="0"/>
      <w:marTop w:val="0"/>
      <w:marBottom w:val="0"/>
      <w:divBdr>
        <w:top w:val="none" w:sz="0" w:space="0" w:color="auto"/>
        <w:left w:val="none" w:sz="0" w:space="0" w:color="auto"/>
        <w:bottom w:val="none" w:sz="0" w:space="0" w:color="auto"/>
        <w:right w:val="none" w:sz="0" w:space="0" w:color="auto"/>
      </w:divBdr>
    </w:div>
    <w:div w:id="1090852554">
      <w:bodyDiv w:val="1"/>
      <w:marLeft w:val="0"/>
      <w:marRight w:val="0"/>
      <w:marTop w:val="0"/>
      <w:marBottom w:val="0"/>
      <w:divBdr>
        <w:top w:val="none" w:sz="0" w:space="0" w:color="auto"/>
        <w:left w:val="none" w:sz="0" w:space="0" w:color="auto"/>
        <w:bottom w:val="none" w:sz="0" w:space="0" w:color="auto"/>
        <w:right w:val="none" w:sz="0" w:space="0" w:color="auto"/>
      </w:divBdr>
    </w:div>
    <w:div w:id="1163204609">
      <w:bodyDiv w:val="1"/>
      <w:marLeft w:val="0"/>
      <w:marRight w:val="0"/>
      <w:marTop w:val="0"/>
      <w:marBottom w:val="0"/>
      <w:divBdr>
        <w:top w:val="none" w:sz="0" w:space="0" w:color="auto"/>
        <w:left w:val="none" w:sz="0" w:space="0" w:color="auto"/>
        <w:bottom w:val="none" w:sz="0" w:space="0" w:color="auto"/>
        <w:right w:val="none" w:sz="0" w:space="0" w:color="auto"/>
      </w:divBdr>
    </w:div>
    <w:div w:id="1202860628">
      <w:bodyDiv w:val="1"/>
      <w:marLeft w:val="0"/>
      <w:marRight w:val="0"/>
      <w:marTop w:val="0"/>
      <w:marBottom w:val="0"/>
      <w:divBdr>
        <w:top w:val="none" w:sz="0" w:space="0" w:color="auto"/>
        <w:left w:val="none" w:sz="0" w:space="0" w:color="auto"/>
        <w:bottom w:val="none" w:sz="0" w:space="0" w:color="auto"/>
        <w:right w:val="none" w:sz="0" w:space="0" w:color="auto"/>
      </w:divBdr>
    </w:div>
    <w:div w:id="1325277505">
      <w:bodyDiv w:val="1"/>
      <w:marLeft w:val="0"/>
      <w:marRight w:val="0"/>
      <w:marTop w:val="0"/>
      <w:marBottom w:val="0"/>
      <w:divBdr>
        <w:top w:val="none" w:sz="0" w:space="0" w:color="auto"/>
        <w:left w:val="none" w:sz="0" w:space="0" w:color="auto"/>
        <w:bottom w:val="none" w:sz="0" w:space="0" w:color="auto"/>
        <w:right w:val="none" w:sz="0" w:space="0" w:color="auto"/>
      </w:divBdr>
    </w:div>
    <w:div w:id="1380975534">
      <w:bodyDiv w:val="1"/>
      <w:marLeft w:val="0"/>
      <w:marRight w:val="0"/>
      <w:marTop w:val="0"/>
      <w:marBottom w:val="0"/>
      <w:divBdr>
        <w:top w:val="none" w:sz="0" w:space="0" w:color="auto"/>
        <w:left w:val="none" w:sz="0" w:space="0" w:color="auto"/>
        <w:bottom w:val="none" w:sz="0" w:space="0" w:color="auto"/>
        <w:right w:val="none" w:sz="0" w:space="0" w:color="auto"/>
      </w:divBdr>
    </w:div>
    <w:div w:id="1512717742">
      <w:bodyDiv w:val="1"/>
      <w:marLeft w:val="0"/>
      <w:marRight w:val="0"/>
      <w:marTop w:val="0"/>
      <w:marBottom w:val="0"/>
      <w:divBdr>
        <w:top w:val="none" w:sz="0" w:space="0" w:color="auto"/>
        <w:left w:val="none" w:sz="0" w:space="0" w:color="auto"/>
        <w:bottom w:val="none" w:sz="0" w:space="0" w:color="auto"/>
        <w:right w:val="none" w:sz="0" w:space="0" w:color="auto"/>
      </w:divBdr>
    </w:div>
    <w:div w:id="1868251653">
      <w:bodyDiv w:val="1"/>
      <w:marLeft w:val="0"/>
      <w:marRight w:val="0"/>
      <w:marTop w:val="0"/>
      <w:marBottom w:val="0"/>
      <w:divBdr>
        <w:top w:val="none" w:sz="0" w:space="0" w:color="auto"/>
        <w:left w:val="none" w:sz="0" w:space="0" w:color="auto"/>
        <w:bottom w:val="none" w:sz="0" w:space="0" w:color="auto"/>
        <w:right w:val="none" w:sz="0" w:space="0" w:color="auto"/>
      </w:divBdr>
    </w:div>
    <w:div w:id="19641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AC7F-921F-44F5-9843-18BD7892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45494</Words>
  <Characters>259319</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Tardelli</dc:creator>
  <cp:lastModifiedBy>Lenovo</cp:lastModifiedBy>
  <cp:revision>4</cp:revision>
  <dcterms:created xsi:type="dcterms:W3CDTF">2020-06-23T01:12:00Z</dcterms:created>
  <dcterms:modified xsi:type="dcterms:W3CDTF">2020-07-06T10:46:00Z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http://www.zotero.org/styles/hepatology</vt:lpwstr>
  </property>
  <property fmtid="{D5CDD505-2E9C-101B-9397-08002B2CF9AE}" pid="9" name="Mendeley Recent Style Name 3_1">
    <vt:lpwstr>Hepatology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http://www.zotero.org/styles/metabolism</vt:lpwstr>
  </property>
  <property fmtid="{D5CDD505-2E9C-101B-9397-08002B2CF9AE}" pid="13" name="Mendeley Recent Style Name 5_1">
    <vt:lpwstr>Metabolism</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9eb4426a-3183-3ce4-989d-e9756ff2a8a1</vt:lpwstr>
  </property>
  <property fmtid="{D5CDD505-2E9C-101B-9397-08002B2CF9AE}" pid="24" name="Mendeley Citation Style_1">
    <vt:lpwstr>http://www.zotero.org/styles/world-journal-of-gastroenterology</vt:lpwstr>
  </property>
</Properties>
</file>