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76AE" w14:textId="77777777" w:rsidR="00B70FD0" w:rsidRPr="00FA5C8D" w:rsidRDefault="00B70FD0" w:rsidP="00FA5C8D">
      <w:pPr>
        <w:snapToGrid w:val="0"/>
        <w:spacing w:after="0" w:line="360" w:lineRule="auto"/>
        <w:jc w:val="both"/>
        <w:rPr>
          <w:rFonts w:ascii="Book Antiqua" w:hAnsi="Book Antiqua" w:cs="Times New Roman"/>
          <w:bCs/>
          <w:i/>
          <w:iCs/>
          <w:sz w:val="24"/>
          <w:szCs w:val="24"/>
        </w:rPr>
      </w:pPr>
      <w:bookmarkStart w:id="0" w:name="_Hlk30014910"/>
      <w:r w:rsidRPr="00FA5C8D">
        <w:rPr>
          <w:rFonts w:ascii="Book Antiqua" w:hAnsi="Book Antiqua" w:cs="Times New Roman"/>
          <w:b/>
          <w:sz w:val="24"/>
          <w:szCs w:val="24"/>
        </w:rPr>
        <w:t xml:space="preserve">Name of Journal: </w:t>
      </w:r>
      <w:r w:rsidRPr="00FA5C8D">
        <w:rPr>
          <w:rFonts w:ascii="Book Antiqua" w:hAnsi="Book Antiqua" w:cs="Times New Roman"/>
          <w:bCs/>
          <w:i/>
          <w:iCs/>
          <w:sz w:val="24"/>
          <w:szCs w:val="24"/>
        </w:rPr>
        <w:t>World Journal of Gastroenterology</w:t>
      </w:r>
    </w:p>
    <w:bookmarkEnd w:id="0"/>
    <w:p w14:paraId="56B1F2E9" w14:textId="77777777" w:rsidR="001B0406" w:rsidRPr="00FA5C8D" w:rsidRDefault="0058298B" w:rsidP="00FA5C8D">
      <w:pPr>
        <w:snapToGrid w:val="0"/>
        <w:spacing w:after="0" w:line="360" w:lineRule="auto"/>
        <w:jc w:val="both"/>
        <w:rPr>
          <w:rFonts w:ascii="Book Antiqua" w:hAnsi="Book Antiqua" w:cs="Times New Roman"/>
          <w:b/>
          <w:sz w:val="24"/>
          <w:szCs w:val="24"/>
        </w:rPr>
      </w:pPr>
      <w:r w:rsidRPr="00FA5C8D">
        <w:rPr>
          <w:rFonts w:ascii="Book Antiqua" w:eastAsia="宋体" w:hAnsi="Book Antiqua"/>
          <w:b/>
          <w:sz w:val="24"/>
          <w:szCs w:val="24"/>
          <w:lang w:val="en-GB" w:eastAsia="zh-CN"/>
        </w:rPr>
        <w:t xml:space="preserve">Manuscript NO: </w:t>
      </w:r>
      <w:r w:rsidR="00964AEB" w:rsidRPr="00FA5C8D">
        <w:rPr>
          <w:rFonts w:ascii="Book Antiqua" w:hAnsi="Book Antiqua" w:cs="Times New Roman"/>
          <w:bCs/>
          <w:sz w:val="24"/>
          <w:szCs w:val="24"/>
        </w:rPr>
        <w:t>54235</w:t>
      </w:r>
    </w:p>
    <w:p w14:paraId="03C0BEAC" w14:textId="77777777" w:rsidR="0058298B" w:rsidRPr="00FA5C8D" w:rsidRDefault="0058298B" w:rsidP="00FA5C8D">
      <w:pPr>
        <w:widowControl w:val="0"/>
        <w:snapToGrid w:val="0"/>
        <w:spacing w:after="0" w:line="360" w:lineRule="auto"/>
        <w:jc w:val="both"/>
        <w:rPr>
          <w:rFonts w:ascii="Book Antiqua" w:eastAsia="宋体" w:hAnsi="Book Antiqua"/>
          <w:b/>
          <w:sz w:val="24"/>
          <w:szCs w:val="24"/>
          <w:lang w:val="en-GB" w:eastAsia="zh-CN"/>
        </w:rPr>
      </w:pPr>
      <w:bookmarkStart w:id="1" w:name="OLE_LINK3"/>
      <w:bookmarkStart w:id="2" w:name="OLE_LINK4"/>
      <w:r w:rsidRPr="00FA5C8D">
        <w:rPr>
          <w:rFonts w:ascii="Book Antiqua" w:hAnsi="Book Antiqua"/>
          <w:b/>
          <w:color w:val="000000"/>
          <w:sz w:val="24"/>
          <w:szCs w:val="24"/>
          <w:shd w:val="clear" w:color="auto" w:fill="FFFFFF"/>
        </w:rPr>
        <w:t>Manuscript Type</w:t>
      </w:r>
      <w:r w:rsidRPr="00FA5C8D">
        <w:rPr>
          <w:rFonts w:ascii="Book Antiqua" w:hAnsi="Book Antiqua"/>
          <w:b/>
          <w:color w:val="000000"/>
          <w:sz w:val="24"/>
          <w:szCs w:val="24"/>
        </w:rPr>
        <w:t>:</w:t>
      </w:r>
      <w:bookmarkEnd w:id="1"/>
      <w:bookmarkEnd w:id="2"/>
      <w:r w:rsidRPr="00FA5C8D">
        <w:rPr>
          <w:rFonts w:ascii="Book Antiqua" w:eastAsia="宋体" w:hAnsi="Book Antiqua"/>
          <w:b/>
          <w:sz w:val="24"/>
          <w:szCs w:val="24"/>
          <w:lang w:val="en-GB" w:eastAsia="zh-CN"/>
        </w:rPr>
        <w:t xml:space="preserve"> </w:t>
      </w:r>
      <w:r w:rsidRPr="00FA5C8D">
        <w:rPr>
          <w:rFonts w:ascii="Book Antiqua" w:hAnsi="Book Antiqua"/>
          <w:sz w:val="24"/>
          <w:szCs w:val="24"/>
        </w:rPr>
        <w:t>ORIGINAL ARTICLE</w:t>
      </w:r>
    </w:p>
    <w:p w14:paraId="145F80CA" w14:textId="77777777" w:rsidR="0058298B" w:rsidRPr="00FA5C8D" w:rsidRDefault="0058298B" w:rsidP="00FA5C8D">
      <w:pPr>
        <w:pStyle w:val="1"/>
        <w:keepNext w:val="0"/>
        <w:widowControl w:val="0"/>
        <w:numPr>
          <w:ilvl w:val="0"/>
          <w:numId w:val="2"/>
        </w:numPr>
        <w:suppressAutoHyphens w:val="0"/>
        <w:snapToGrid w:val="0"/>
        <w:spacing w:line="360" w:lineRule="auto"/>
        <w:ind w:left="0" w:firstLine="0"/>
        <w:rPr>
          <w:rFonts w:ascii="Book Antiqua" w:hAnsi="Book Antiqua"/>
          <w:lang w:val="en-GB"/>
        </w:rPr>
      </w:pPr>
    </w:p>
    <w:p w14:paraId="2EDC709E" w14:textId="77777777" w:rsidR="0058298B" w:rsidRPr="00FA5C8D" w:rsidRDefault="0058298B" w:rsidP="00FA5C8D">
      <w:pPr>
        <w:adjustRightInd w:val="0"/>
        <w:snapToGrid w:val="0"/>
        <w:spacing w:after="0" w:line="360" w:lineRule="auto"/>
        <w:jc w:val="both"/>
        <w:rPr>
          <w:rFonts w:ascii="Book Antiqua" w:eastAsia="宋体" w:hAnsi="Book Antiqua"/>
          <w:b/>
          <w:i/>
          <w:sz w:val="24"/>
          <w:szCs w:val="24"/>
          <w:lang w:val="en-GB" w:eastAsia="zh-CN"/>
        </w:rPr>
      </w:pPr>
      <w:r w:rsidRPr="00FA5C8D">
        <w:rPr>
          <w:rFonts w:ascii="Book Antiqua" w:eastAsia="宋体" w:hAnsi="Book Antiqua"/>
          <w:b/>
          <w:i/>
          <w:sz w:val="24"/>
          <w:szCs w:val="24"/>
          <w:lang w:val="en-GB" w:eastAsia="zh-CN"/>
        </w:rPr>
        <w:t>Retrospective Cohort Study</w:t>
      </w:r>
    </w:p>
    <w:p w14:paraId="59D92FD1" w14:textId="77777777" w:rsidR="005C1556" w:rsidRPr="00FA5C8D" w:rsidRDefault="003B746D"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t>Non-invasive prediction of persistent villous atrophy in celiac disease</w:t>
      </w:r>
    </w:p>
    <w:p w14:paraId="7C0C5DA2"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01710199" w14:textId="77777777" w:rsidR="004F6B7A" w:rsidRPr="00FA5C8D" w:rsidRDefault="0047007F" w:rsidP="00FA5C8D">
      <w:pPr>
        <w:snapToGrid w:val="0"/>
        <w:spacing w:after="0" w:line="360" w:lineRule="auto"/>
        <w:jc w:val="both"/>
        <w:rPr>
          <w:rFonts w:ascii="Book Antiqua" w:hAnsi="Book Antiqua" w:cs="Times New Roman"/>
          <w:bCs/>
          <w:sz w:val="24"/>
          <w:szCs w:val="24"/>
        </w:rPr>
      </w:pPr>
      <w:proofErr w:type="spellStart"/>
      <w:r w:rsidRPr="00FA5C8D">
        <w:rPr>
          <w:rFonts w:ascii="Book Antiqua" w:hAnsi="Book Antiqua" w:cs="Times New Roman"/>
          <w:sz w:val="24"/>
          <w:szCs w:val="24"/>
        </w:rPr>
        <w:t>Packova</w:t>
      </w:r>
      <w:proofErr w:type="spellEnd"/>
      <w:r w:rsidRPr="00FA5C8D">
        <w:rPr>
          <w:rFonts w:ascii="Book Antiqua" w:hAnsi="Book Antiqua" w:cs="Times New Roman"/>
          <w:sz w:val="24"/>
          <w:szCs w:val="24"/>
        </w:rPr>
        <w:t xml:space="preserve"> B </w:t>
      </w:r>
      <w:r w:rsidRPr="00FA5C8D">
        <w:rPr>
          <w:rFonts w:ascii="Book Antiqua" w:hAnsi="Book Antiqua" w:cs="Times New Roman"/>
          <w:i/>
          <w:iCs/>
          <w:sz w:val="24"/>
          <w:szCs w:val="24"/>
        </w:rPr>
        <w:t>et al</w:t>
      </w:r>
      <w:r w:rsidRPr="00FA5C8D">
        <w:rPr>
          <w:rFonts w:ascii="Book Antiqua" w:hAnsi="Book Antiqua" w:cs="Times New Roman"/>
          <w:sz w:val="24"/>
          <w:szCs w:val="24"/>
        </w:rPr>
        <w:t>.</w:t>
      </w:r>
      <w:r w:rsidR="0051001B" w:rsidRPr="00FA5C8D">
        <w:rPr>
          <w:rFonts w:ascii="Book Antiqua" w:hAnsi="Book Antiqua" w:cs="Times New Roman"/>
          <w:bCs/>
          <w:sz w:val="24"/>
          <w:szCs w:val="24"/>
        </w:rPr>
        <w:t xml:space="preserve"> Predictors of </w:t>
      </w:r>
      <w:r w:rsidR="00360EDB" w:rsidRPr="00FA5C8D">
        <w:rPr>
          <w:rFonts w:ascii="Book Antiqua" w:hAnsi="Book Antiqua" w:cs="Times New Roman"/>
          <w:bCs/>
          <w:sz w:val="24"/>
          <w:szCs w:val="24"/>
        </w:rPr>
        <w:t>VA</w:t>
      </w:r>
      <w:r w:rsidR="0051001B" w:rsidRPr="00FA5C8D">
        <w:rPr>
          <w:rFonts w:ascii="Book Antiqua" w:hAnsi="Book Antiqua" w:cs="Times New Roman"/>
          <w:bCs/>
          <w:sz w:val="24"/>
          <w:szCs w:val="24"/>
        </w:rPr>
        <w:t xml:space="preserve"> in CD</w:t>
      </w:r>
    </w:p>
    <w:p w14:paraId="6756F3DE" w14:textId="77777777" w:rsidR="008B108D" w:rsidRPr="00FA5C8D" w:rsidRDefault="008B108D" w:rsidP="00FA5C8D">
      <w:pPr>
        <w:snapToGrid w:val="0"/>
        <w:spacing w:after="0" w:line="360" w:lineRule="auto"/>
        <w:jc w:val="both"/>
        <w:rPr>
          <w:rFonts w:ascii="Book Antiqua" w:hAnsi="Book Antiqua" w:cs="Times New Roman"/>
          <w:b/>
          <w:sz w:val="24"/>
          <w:szCs w:val="24"/>
        </w:rPr>
      </w:pPr>
    </w:p>
    <w:p w14:paraId="0DD668B7" w14:textId="77777777" w:rsidR="008B108D" w:rsidRPr="00FA5C8D" w:rsidRDefault="008B108D" w:rsidP="00FA5C8D">
      <w:pPr>
        <w:snapToGrid w:val="0"/>
        <w:spacing w:after="0" w:line="360" w:lineRule="auto"/>
        <w:jc w:val="both"/>
        <w:rPr>
          <w:rFonts w:ascii="Book Antiqua" w:hAnsi="Book Antiqua" w:cs="Times New Roman"/>
          <w:b/>
          <w:sz w:val="24"/>
          <w:szCs w:val="24"/>
        </w:rPr>
      </w:pPr>
      <w:proofErr w:type="spellStart"/>
      <w:r w:rsidRPr="00FA5C8D">
        <w:rPr>
          <w:rFonts w:ascii="Book Antiqua" w:hAnsi="Book Antiqua" w:cs="Times New Roman"/>
          <w:sz w:val="24"/>
          <w:szCs w:val="24"/>
        </w:rPr>
        <w:t>Barbora</w:t>
      </w:r>
      <w:proofErr w:type="spellEnd"/>
      <w:r w:rsidR="00AE0B14"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Packova</w:t>
      </w:r>
      <w:proofErr w:type="spellEnd"/>
      <w:r w:rsidRPr="00FA5C8D">
        <w:rPr>
          <w:rFonts w:ascii="Book Antiqua" w:hAnsi="Book Antiqua" w:cs="Times New Roman"/>
          <w:sz w:val="24"/>
          <w:szCs w:val="24"/>
        </w:rPr>
        <w:t xml:space="preserve">, Petra </w:t>
      </w:r>
      <w:proofErr w:type="spellStart"/>
      <w:r w:rsidRPr="00FA5C8D">
        <w:rPr>
          <w:rFonts w:ascii="Book Antiqua" w:hAnsi="Book Antiqua" w:cs="Times New Roman"/>
          <w:sz w:val="24"/>
          <w:szCs w:val="24"/>
        </w:rPr>
        <w:t>Kovalcikova</w:t>
      </w:r>
      <w:proofErr w:type="spellEnd"/>
      <w:r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Zdenek</w:t>
      </w:r>
      <w:proofErr w:type="spellEnd"/>
      <w:r w:rsidR="00AE0B14"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Pavlovsky</w:t>
      </w:r>
      <w:proofErr w:type="spellEnd"/>
      <w:r w:rsidRPr="00FA5C8D">
        <w:rPr>
          <w:rFonts w:ascii="Book Antiqua" w:hAnsi="Book Antiqua" w:cs="Times New Roman"/>
          <w:sz w:val="24"/>
          <w:szCs w:val="24"/>
        </w:rPr>
        <w:t xml:space="preserve">, Daniel </w:t>
      </w:r>
      <w:proofErr w:type="spellStart"/>
      <w:r w:rsidRPr="00FA5C8D">
        <w:rPr>
          <w:rFonts w:ascii="Book Antiqua" w:hAnsi="Book Antiqua" w:cs="Times New Roman"/>
          <w:sz w:val="24"/>
          <w:szCs w:val="24"/>
        </w:rPr>
        <w:t>Bartusek</w:t>
      </w:r>
      <w:proofErr w:type="spellEnd"/>
      <w:r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Jitka</w:t>
      </w:r>
      <w:proofErr w:type="spellEnd"/>
      <w:r w:rsidR="00AE0B14"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Prokesova</w:t>
      </w:r>
      <w:proofErr w:type="spellEnd"/>
      <w:r w:rsidRPr="00FA5C8D">
        <w:rPr>
          <w:rFonts w:ascii="Book Antiqua" w:hAnsi="Book Antiqua" w:cs="Times New Roman"/>
          <w:sz w:val="24"/>
          <w:szCs w:val="24"/>
        </w:rPr>
        <w:t xml:space="preserve">, Jiri </w:t>
      </w:r>
      <w:proofErr w:type="spellStart"/>
      <w:r w:rsidRPr="00FA5C8D">
        <w:rPr>
          <w:rFonts w:ascii="Book Antiqua" w:hAnsi="Book Antiqua" w:cs="Times New Roman"/>
          <w:sz w:val="24"/>
          <w:szCs w:val="24"/>
        </w:rPr>
        <w:t>Dolina</w:t>
      </w:r>
      <w:proofErr w:type="spellEnd"/>
      <w:r w:rsidRPr="00FA5C8D">
        <w:rPr>
          <w:rFonts w:ascii="Book Antiqua" w:hAnsi="Book Antiqua" w:cs="Times New Roman"/>
          <w:sz w:val="24"/>
          <w:szCs w:val="24"/>
        </w:rPr>
        <w:t xml:space="preserve"> and Radek</w:t>
      </w:r>
      <w:r w:rsidR="00AE0B14" w:rsidRPr="00FA5C8D">
        <w:rPr>
          <w:rFonts w:ascii="Book Antiqua" w:hAnsi="Book Antiqua" w:cs="Times New Roman"/>
          <w:sz w:val="24"/>
          <w:szCs w:val="24"/>
        </w:rPr>
        <w:t xml:space="preserve"> </w:t>
      </w:r>
      <w:r w:rsidRPr="00FA5C8D">
        <w:rPr>
          <w:rFonts w:ascii="Book Antiqua" w:hAnsi="Book Antiqua" w:cs="Times New Roman"/>
          <w:sz w:val="24"/>
          <w:szCs w:val="24"/>
        </w:rPr>
        <w:t>Kroupa</w:t>
      </w:r>
    </w:p>
    <w:p w14:paraId="757BE3FB" w14:textId="77777777" w:rsidR="008B108D" w:rsidRPr="00FA5C8D" w:rsidRDefault="008B108D" w:rsidP="00FA5C8D">
      <w:pPr>
        <w:snapToGrid w:val="0"/>
        <w:spacing w:after="0" w:line="360" w:lineRule="auto"/>
        <w:jc w:val="both"/>
        <w:rPr>
          <w:rFonts w:ascii="Book Antiqua" w:hAnsi="Book Antiqua" w:cs="Times New Roman"/>
          <w:b/>
          <w:sz w:val="24"/>
          <w:szCs w:val="24"/>
        </w:rPr>
      </w:pPr>
    </w:p>
    <w:p w14:paraId="2CE61A88" w14:textId="77777777" w:rsidR="00F94BB5" w:rsidRPr="00FA5C8D" w:rsidRDefault="00F94BB5" w:rsidP="00FA5C8D">
      <w:pPr>
        <w:snapToGrid w:val="0"/>
        <w:spacing w:after="0" w:line="360" w:lineRule="auto"/>
        <w:jc w:val="both"/>
        <w:rPr>
          <w:rFonts w:ascii="Book Antiqua" w:hAnsi="Book Antiqua" w:cs="Times New Roman"/>
          <w:sz w:val="24"/>
          <w:szCs w:val="24"/>
        </w:rPr>
      </w:pPr>
      <w:proofErr w:type="spellStart"/>
      <w:r w:rsidRPr="00FA5C8D">
        <w:rPr>
          <w:rFonts w:ascii="Book Antiqua" w:hAnsi="Book Antiqua" w:cs="Times New Roman"/>
          <w:b/>
          <w:sz w:val="24"/>
          <w:szCs w:val="24"/>
        </w:rPr>
        <w:t>Barbora</w:t>
      </w:r>
      <w:proofErr w:type="spellEnd"/>
      <w:r w:rsidR="009C6707" w:rsidRPr="00FA5C8D">
        <w:rPr>
          <w:rFonts w:ascii="Book Antiqua" w:hAnsi="Book Antiqua" w:cs="Times New Roman"/>
          <w:b/>
          <w:sz w:val="24"/>
          <w:szCs w:val="24"/>
        </w:rPr>
        <w:t xml:space="preserve"> </w:t>
      </w:r>
      <w:proofErr w:type="spellStart"/>
      <w:r w:rsidRPr="00FA5C8D">
        <w:rPr>
          <w:rFonts w:ascii="Book Antiqua" w:hAnsi="Book Antiqua" w:cs="Times New Roman"/>
          <w:b/>
          <w:sz w:val="24"/>
          <w:szCs w:val="24"/>
        </w:rPr>
        <w:t>Packova</w:t>
      </w:r>
      <w:proofErr w:type="spellEnd"/>
      <w:r w:rsidR="00D409E3" w:rsidRPr="00FA5C8D">
        <w:rPr>
          <w:rFonts w:ascii="Book Antiqua" w:hAnsi="Book Antiqua" w:cs="Times New Roman"/>
          <w:b/>
          <w:sz w:val="24"/>
          <w:szCs w:val="24"/>
        </w:rPr>
        <w:t xml:space="preserve">, </w:t>
      </w:r>
      <w:proofErr w:type="spellStart"/>
      <w:r w:rsidR="007205AC" w:rsidRPr="00FA5C8D">
        <w:rPr>
          <w:rFonts w:ascii="Book Antiqua" w:hAnsi="Book Antiqua" w:cs="Times New Roman"/>
          <w:b/>
          <w:sz w:val="24"/>
          <w:szCs w:val="24"/>
        </w:rPr>
        <w:t>Jitka</w:t>
      </w:r>
      <w:proofErr w:type="spellEnd"/>
      <w:r w:rsidR="009C6707" w:rsidRPr="00FA5C8D">
        <w:rPr>
          <w:rFonts w:ascii="Book Antiqua" w:hAnsi="Book Antiqua" w:cs="Times New Roman"/>
          <w:b/>
          <w:sz w:val="24"/>
          <w:szCs w:val="24"/>
        </w:rPr>
        <w:t xml:space="preserve"> </w:t>
      </w:r>
      <w:proofErr w:type="spellStart"/>
      <w:r w:rsidR="007205AC" w:rsidRPr="00FA5C8D">
        <w:rPr>
          <w:rFonts w:ascii="Book Antiqua" w:hAnsi="Book Antiqua" w:cs="Times New Roman"/>
          <w:b/>
          <w:sz w:val="24"/>
          <w:szCs w:val="24"/>
        </w:rPr>
        <w:t>Prokesova</w:t>
      </w:r>
      <w:proofErr w:type="spellEnd"/>
      <w:r w:rsidR="007205AC" w:rsidRPr="00FA5C8D">
        <w:rPr>
          <w:rFonts w:ascii="Book Antiqua" w:hAnsi="Book Antiqua" w:cs="Times New Roman"/>
          <w:b/>
          <w:sz w:val="24"/>
          <w:szCs w:val="24"/>
        </w:rPr>
        <w:t xml:space="preserve">, </w:t>
      </w:r>
      <w:r w:rsidR="00D409E3" w:rsidRPr="00FA5C8D">
        <w:rPr>
          <w:rFonts w:ascii="Book Antiqua" w:hAnsi="Book Antiqua" w:cs="Times New Roman"/>
          <w:b/>
          <w:sz w:val="24"/>
          <w:szCs w:val="24"/>
        </w:rPr>
        <w:t xml:space="preserve">Jiri </w:t>
      </w:r>
      <w:proofErr w:type="spellStart"/>
      <w:r w:rsidR="00D409E3" w:rsidRPr="00FA5C8D">
        <w:rPr>
          <w:rFonts w:ascii="Book Antiqua" w:hAnsi="Book Antiqua" w:cs="Times New Roman"/>
          <w:b/>
          <w:sz w:val="24"/>
          <w:szCs w:val="24"/>
        </w:rPr>
        <w:t>Dolina</w:t>
      </w:r>
      <w:proofErr w:type="spellEnd"/>
      <w:r w:rsidR="00D409E3" w:rsidRPr="00FA5C8D">
        <w:rPr>
          <w:rFonts w:ascii="Book Antiqua" w:hAnsi="Book Antiqua" w:cs="Times New Roman"/>
          <w:b/>
          <w:sz w:val="24"/>
          <w:szCs w:val="24"/>
        </w:rPr>
        <w:t xml:space="preserve">, </w:t>
      </w:r>
      <w:proofErr w:type="spellStart"/>
      <w:r w:rsidR="00D409E3" w:rsidRPr="00FA5C8D">
        <w:rPr>
          <w:rFonts w:ascii="Book Antiqua" w:hAnsi="Book Antiqua" w:cs="Times New Roman"/>
          <w:b/>
          <w:sz w:val="24"/>
          <w:szCs w:val="24"/>
        </w:rPr>
        <w:t>Radek</w:t>
      </w:r>
      <w:proofErr w:type="spellEnd"/>
      <w:r w:rsidR="009C6707" w:rsidRPr="00FA5C8D">
        <w:rPr>
          <w:rFonts w:ascii="Book Antiqua" w:hAnsi="Book Antiqua" w:cs="Times New Roman"/>
          <w:b/>
          <w:sz w:val="24"/>
          <w:szCs w:val="24"/>
        </w:rPr>
        <w:t xml:space="preserve"> </w:t>
      </w:r>
      <w:proofErr w:type="spellStart"/>
      <w:r w:rsidR="00D409E3" w:rsidRPr="00FA5C8D">
        <w:rPr>
          <w:rFonts w:ascii="Book Antiqua" w:hAnsi="Book Antiqua" w:cs="Times New Roman"/>
          <w:b/>
          <w:sz w:val="24"/>
          <w:szCs w:val="24"/>
        </w:rPr>
        <w:t>Kroupa</w:t>
      </w:r>
      <w:proofErr w:type="spellEnd"/>
      <w:r w:rsidR="00D409E3" w:rsidRPr="00FA5C8D">
        <w:rPr>
          <w:rFonts w:ascii="Book Antiqua" w:hAnsi="Book Antiqua" w:cs="Times New Roman"/>
          <w:b/>
          <w:sz w:val="24"/>
          <w:szCs w:val="24"/>
          <w:shd w:val="clear" w:color="auto" w:fill="FFFFFF"/>
        </w:rPr>
        <w:t xml:space="preserve">, </w:t>
      </w:r>
      <w:r w:rsidR="004C20D9" w:rsidRPr="00FA5C8D">
        <w:rPr>
          <w:rFonts w:ascii="Book Antiqua" w:hAnsi="Book Antiqua" w:cs="Times New Roman"/>
          <w:sz w:val="24"/>
          <w:szCs w:val="24"/>
        </w:rPr>
        <w:t>Department of Gastroenterology and Internal Medicine, University Hospital Brno, Faculty of Medicine, Masaryk University, Brno</w:t>
      </w:r>
      <w:r w:rsidR="004C20D9" w:rsidRPr="00FA5C8D">
        <w:rPr>
          <w:rFonts w:ascii="Book Antiqua" w:hAnsi="Book Antiqua" w:cs="Times New Roman"/>
          <w:b/>
          <w:sz w:val="24"/>
          <w:szCs w:val="24"/>
        </w:rPr>
        <w:t xml:space="preserve"> </w:t>
      </w:r>
      <w:r w:rsidR="004C20D9" w:rsidRPr="00FA5C8D">
        <w:rPr>
          <w:rFonts w:ascii="Book Antiqua" w:hAnsi="Book Antiqua" w:cs="Times New Roman"/>
          <w:sz w:val="24"/>
          <w:szCs w:val="24"/>
        </w:rPr>
        <w:t>62500, Czech Republic</w:t>
      </w:r>
    </w:p>
    <w:p w14:paraId="1294A11C"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6AF57082" w14:textId="77777777" w:rsidR="00F94BB5" w:rsidRPr="00FA5C8D" w:rsidRDefault="00F94BB5"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b/>
          <w:sz w:val="24"/>
          <w:szCs w:val="24"/>
        </w:rPr>
        <w:t xml:space="preserve">Petra </w:t>
      </w:r>
      <w:proofErr w:type="spellStart"/>
      <w:r w:rsidRPr="00FA5C8D">
        <w:rPr>
          <w:rFonts w:ascii="Book Antiqua" w:hAnsi="Book Antiqua" w:cs="Times New Roman"/>
          <w:b/>
          <w:sz w:val="24"/>
          <w:szCs w:val="24"/>
        </w:rPr>
        <w:t>Kovalcikova</w:t>
      </w:r>
      <w:proofErr w:type="spellEnd"/>
      <w:r w:rsidR="00D409E3" w:rsidRPr="00FA5C8D">
        <w:rPr>
          <w:rFonts w:ascii="Book Antiqua" w:hAnsi="Book Antiqua" w:cs="Times New Roman"/>
          <w:b/>
          <w:sz w:val="24"/>
          <w:szCs w:val="24"/>
        </w:rPr>
        <w:t>,</w:t>
      </w:r>
      <w:r w:rsidR="009C6707" w:rsidRPr="00FA5C8D">
        <w:rPr>
          <w:rFonts w:ascii="Book Antiqua" w:hAnsi="Book Antiqua" w:cs="Times New Roman"/>
          <w:b/>
          <w:sz w:val="24"/>
          <w:szCs w:val="24"/>
        </w:rPr>
        <w:t xml:space="preserve"> </w:t>
      </w:r>
      <w:r w:rsidRPr="00FA5C8D">
        <w:rPr>
          <w:rFonts w:ascii="Book Antiqua" w:hAnsi="Book Antiqua" w:cs="Times New Roman"/>
          <w:sz w:val="24"/>
          <w:szCs w:val="24"/>
        </w:rPr>
        <w:t>Institute of Biostatistics and Analyses, Faculty of Medicine, Masaryk University, Brno</w:t>
      </w:r>
      <w:r w:rsidR="007302C6" w:rsidRPr="00FA5C8D">
        <w:rPr>
          <w:rFonts w:ascii="Book Antiqua" w:hAnsi="Book Antiqua" w:cs="Times New Roman"/>
          <w:sz w:val="24"/>
          <w:szCs w:val="24"/>
        </w:rPr>
        <w:t xml:space="preserve"> 62500, </w:t>
      </w:r>
      <w:r w:rsidRPr="00FA5C8D">
        <w:rPr>
          <w:rFonts w:ascii="Book Antiqua" w:hAnsi="Book Antiqua" w:cs="Times New Roman"/>
          <w:sz w:val="24"/>
          <w:szCs w:val="24"/>
        </w:rPr>
        <w:t>Czech Republic</w:t>
      </w:r>
    </w:p>
    <w:p w14:paraId="64EA140D"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03101510" w14:textId="77777777" w:rsidR="00F94BB5" w:rsidRPr="00FA5C8D" w:rsidRDefault="00F94BB5" w:rsidP="00FA5C8D">
      <w:pPr>
        <w:snapToGrid w:val="0"/>
        <w:spacing w:after="0" w:line="360" w:lineRule="auto"/>
        <w:jc w:val="both"/>
        <w:rPr>
          <w:rFonts w:ascii="Book Antiqua" w:hAnsi="Book Antiqua" w:cs="Times New Roman"/>
          <w:sz w:val="24"/>
          <w:szCs w:val="24"/>
        </w:rPr>
      </w:pPr>
      <w:proofErr w:type="spellStart"/>
      <w:r w:rsidRPr="00FA5C8D">
        <w:rPr>
          <w:rFonts w:ascii="Book Antiqua" w:hAnsi="Book Antiqua" w:cs="Times New Roman"/>
          <w:b/>
          <w:sz w:val="24"/>
          <w:szCs w:val="24"/>
        </w:rPr>
        <w:t>Zdenek</w:t>
      </w:r>
      <w:proofErr w:type="spellEnd"/>
      <w:r w:rsidR="009C6707" w:rsidRPr="00FA5C8D">
        <w:rPr>
          <w:rFonts w:ascii="Book Antiqua" w:hAnsi="Book Antiqua" w:cs="Times New Roman"/>
          <w:b/>
          <w:sz w:val="24"/>
          <w:szCs w:val="24"/>
        </w:rPr>
        <w:t xml:space="preserve"> </w:t>
      </w:r>
      <w:proofErr w:type="spellStart"/>
      <w:r w:rsidRPr="00FA5C8D">
        <w:rPr>
          <w:rFonts w:ascii="Book Antiqua" w:hAnsi="Book Antiqua" w:cs="Times New Roman"/>
          <w:b/>
          <w:sz w:val="24"/>
          <w:szCs w:val="24"/>
        </w:rPr>
        <w:t>Pavlovsky</w:t>
      </w:r>
      <w:proofErr w:type="spellEnd"/>
      <w:r w:rsidR="00C24481" w:rsidRPr="00FA5C8D">
        <w:rPr>
          <w:rFonts w:ascii="Book Antiqua" w:hAnsi="Book Antiqua" w:cs="Times New Roman"/>
          <w:b/>
          <w:sz w:val="24"/>
          <w:szCs w:val="24"/>
        </w:rPr>
        <w:t>,</w:t>
      </w:r>
      <w:r w:rsidR="009C6707" w:rsidRPr="00FA5C8D">
        <w:rPr>
          <w:rFonts w:ascii="Book Antiqua" w:hAnsi="Book Antiqua" w:cs="Times New Roman"/>
          <w:b/>
          <w:sz w:val="24"/>
          <w:szCs w:val="24"/>
        </w:rPr>
        <w:t xml:space="preserve"> </w:t>
      </w:r>
      <w:r w:rsidRPr="00FA5C8D">
        <w:rPr>
          <w:rFonts w:ascii="Book Antiqua" w:hAnsi="Book Antiqua" w:cs="Times New Roman"/>
          <w:sz w:val="24"/>
          <w:szCs w:val="24"/>
        </w:rPr>
        <w:t>Department of Pathology, University Hospital Brno, Faculty of Medicine, Masaryk U</w:t>
      </w:r>
      <w:r w:rsidR="00D409E3" w:rsidRPr="00FA5C8D">
        <w:rPr>
          <w:rFonts w:ascii="Book Antiqua" w:hAnsi="Book Antiqua" w:cs="Times New Roman"/>
          <w:sz w:val="24"/>
          <w:szCs w:val="24"/>
        </w:rPr>
        <w:t xml:space="preserve">niversity, Brno </w:t>
      </w:r>
      <w:r w:rsidR="007302C6" w:rsidRPr="00FA5C8D">
        <w:rPr>
          <w:rFonts w:ascii="Book Antiqua" w:hAnsi="Book Antiqua" w:cs="Times New Roman"/>
          <w:sz w:val="24"/>
          <w:szCs w:val="24"/>
        </w:rPr>
        <w:t xml:space="preserve">62500, </w:t>
      </w:r>
      <w:r w:rsidR="00D409E3" w:rsidRPr="00FA5C8D">
        <w:rPr>
          <w:rFonts w:ascii="Book Antiqua" w:hAnsi="Book Antiqua" w:cs="Times New Roman"/>
          <w:sz w:val="24"/>
          <w:szCs w:val="24"/>
        </w:rPr>
        <w:t>Czech Republic</w:t>
      </w:r>
    </w:p>
    <w:p w14:paraId="1B04AE3A"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1D9CAF62" w14:textId="77777777" w:rsidR="00F94BB5" w:rsidRPr="00FA5C8D" w:rsidRDefault="00F94BB5"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b/>
          <w:sz w:val="24"/>
          <w:szCs w:val="24"/>
        </w:rPr>
        <w:t xml:space="preserve">Daniel </w:t>
      </w:r>
      <w:proofErr w:type="spellStart"/>
      <w:r w:rsidRPr="00FA5C8D">
        <w:rPr>
          <w:rFonts w:ascii="Book Antiqua" w:hAnsi="Book Antiqua" w:cs="Times New Roman"/>
          <w:b/>
          <w:sz w:val="24"/>
          <w:szCs w:val="24"/>
        </w:rPr>
        <w:t>Bartusek</w:t>
      </w:r>
      <w:proofErr w:type="spellEnd"/>
      <w:r w:rsidRPr="00FA5C8D">
        <w:rPr>
          <w:rFonts w:ascii="Book Antiqua" w:hAnsi="Book Antiqua" w:cs="Times New Roman"/>
          <w:b/>
          <w:sz w:val="24"/>
          <w:szCs w:val="24"/>
        </w:rPr>
        <w:t xml:space="preserve">, </w:t>
      </w:r>
      <w:r w:rsidRPr="00FA5C8D">
        <w:rPr>
          <w:rFonts w:ascii="Book Antiqua" w:hAnsi="Book Antiqua" w:cs="Times New Roman"/>
          <w:sz w:val="24"/>
          <w:szCs w:val="24"/>
        </w:rPr>
        <w:t xml:space="preserve">Department of Radiology and Nuclear Medicine, University Hospital Brno, Faculty of Medicine, Masaryk University, Brno </w:t>
      </w:r>
      <w:r w:rsidR="007302C6" w:rsidRPr="00FA5C8D">
        <w:rPr>
          <w:rFonts w:ascii="Book Antiqua" w:hAnsi="Book Antiqua" w:cs="Times New Roman"/>
          <w:sz w:val="24"/>
          <w:szCs w:val="24"/>
        </w:rPr>
        <w:t xml:space="preserve">62500, </w:t>
      </w:r>
      <w:r w:rsidRPr="00FA5C8D">
        <w:rPr>
          <w:rFonts w:ascii="Book Antiqua" w:hAnsi="Book Antiqua" w:cs="Times New Roman"/>
          <w:sz w:val="24"/>
          <w:szCs w:val="24"/>
        </w:rPr>
        <w:t>Czech Republic</w:t>
      </w:r>
    </w:p>
    <w:p w14:paraId="1F00F195"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0240B6B3" w14:textId="77777777" w:rsidR="008B108D" w:rsidRPr="00FA5C8D" w:rsidRDefault="0058298B" w:rsidP="00FA5C8D">
      <w:pPr>
        <w:snapToGrid w:val="0"/>
        <w:spacing w:after="0" w:line="360" w:lineRule="auto"/>
        <w:jc w:val="both"/>
        <w:rPr>
          <w:rFonts w:ascii="Book Antiqua" w:hAnsi="Book Antiqua" w:cs="Times New Roman"/>
          <w:bCs/>
          <w:sz w:val="24"/>
          <w:szCs w:val="24"/>
        </w:rPr>
      </w:pPr>
      <w:r w:rsidRPr="00FA5C8D">
        <w:rPr>
          <w:rFonts w:ascii="Book Antiqua" w:hAnsi="Book Antiqua" w:cs="Arial"/>
          <w:b/>
          <w:sz w:val="24"/>
          <w:szCs w:val="24"/>
        </w:rPr>
        <w:t>Author contributions:</w:t>
      </w:r>
      <w:r w:rsidRPr="00FA5C8D">
        <w:rPr>
          <w:rFonts w:ascii="Book Antiqua" w:eastAsia="宋体" w:hAnsi="Book Antiqua" w:cs="Arial"/>
          <w:b/>
          <w:sz w:val="24"/>
          <w:szCs w:val="24"/>
          <w:lang w:eastAsia="zh-CN"/>
        </w:rPr>
        <w:t xml:space="preserve"> </w:t>
      </w:r>
      <w:proofErr w:type="spellStart"/>
      <w:r w:rsidR="008B108D" w:rsidRPr="00FA5C8D">
        <w:rPr>
          <w:rFonts w:ascii="Book Antiqua" w:hAnsi="Book Antiqua" w:cs="Times New Roman"/>
          <w:bCs/>
          <w:sz w:val="24"/>
          <w:szCs w:val="24"/>
        </w:rPr>
        <w:t>Packova</w:t>
      </w:r>
      <w:proofErr w:type="spellEnd"/>
      <w:r w:rsidR="008B108D" w:rsidRPr="00FA5C8D">
        <w:rPr>
          <w:rFonts w:ascii="Book Antiqua" w:hAnsi="Book Antiqua" w:cs="Times New Roman"/>
          <w:bCs/>
          <w:sz w:val="24"/>
          <w:szCs w:val="24"/>
        </w:rPr>
        <w:t xml:space="preserve"> B</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 xml:space="preserve">was involved in the conceptualization, data </w:t>
      </w:r>
      <w:r w:rsidR="00AE0B14" w:rsidRPr="00FA5C8D">
        <w:rPr>
          <w:rFonts w:ascii="Book Antiqua" w:hAnsi="Book Antiqua" w:cs="Times New Roman"/>
          <w:bCs/>
          <w:sz w:val="24"/>
          <w:szCs w:val="24"/>
        </w:rPr>
        <w:t>collection</w:t>
      </w:r>
      <w:r w:rsidR="00C73B22" w:rsidRPr="00FA5C8D">
        <w:rPr>
          <w:rFonts w:ascii="Book Antiqua" w:hAnsi="Book Antiqua" w:cs="Times New Roman"/>
          <w:bCs/>
          <w:sz w:val="24"/>
          <w:szCs w:val="24"/>
        </w:rPr>
        <w:t xml:space="preserve">, investigation, </w:t>
      </w:r>
      <w:r w:rsidR="00AE0B14" w:rsidRPr="00FA5C8D">
        <w:rPr>
          <w:rFonts w:ascii="Book Antiqua" w:hAnsi="Book Antiqua" w:cs="Times New Roman"/>
          <w:bCs/>
          <w:sz w:val="24"/>
          <w:szCs w:val="24"/>
        </w:rPr>
        <w:t xml:space="preserve">project administration, writing </w:t>
      </w:r>
      <w:r w:rsidR="00C73B22" w:rsidRPr="00FA5C8D">
        <w:rPr>
          <w:rFonts w:ascii="Book Antiqua" w:hAnsi="Book Antiqua" w:cs="Times New Roman"/>
          <w:bCs/>
          <w:sz w:val="24"/>
          <w:szCs w:val="24"/>
        </w:rPr>
        <w:t xml:space="preserve">original draft; </w:t>
      </w:r>
      <w:proofErr w:type="spellStart"/>
      <w:r w:rsidR="008B108D" w:rsidRPr="00FA5C8D">
        <w:rPr>
          <w:rFonts w:ascii="Book Antiqua" w:hAnsi="Book Antiqua" w:cs="Times New Roman"/>
          <w:bCs/>
          <w:sz w:val="24"/>
          <w:szCs w:val="24"/>
        </w:rPr>
        <w:t>Kovalcikova</w:t>
      </w:r>
      <w:proofErr w:type="spellEnd"/>
      <w:r w:rsidR="008B108D" w:rsidRPr="00FA5C8D">
        <w:rPr>
          <w:rFonts w:ascii="Book Antiqua" w:hAnsi="Book Antiqua" w:cs="Times New Roman"/>
          <w:bCs/>
          <w:sz w:val="24"/>
          <w:szCs w:val="24"/>
        </w:rPr>
        <w:t xml:space="preserve"> P</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 xml:space="preserve">took part in methodology and was responsible for statistical analysis; </w:t>
      </w:r>
      <w:proofErr w:type="spellStart"/>
      <w:r w:rsidR="008B108D" w:rsidRPr="00FA5C8D">
        <w:rPr>
          <w:rFonts w:ascii="Book Antiqua" w:hAnsi="Book Antiqua" w:cs="Times New Roman"/>
          <w:bCs/>
          <w:sz w:val="24"/>
          <w:szCs w:val="24"/>
        </w:rPr>
        <w:t>Pavlovsky</w:t>
      </w:r>
      <w:proofErr w:type="spellEnd"/>
      <w:r w:rsidR="008B108D" w:rsidRPr="00FA5C8D">
        <w:rPr>
          <w:rFonts w:ascii="Book Antiqua" w:hAnsi="Book Antiqua" w:cs="Times New Roman"/>
          <w:bCs/>
          <w:sz w:val="24"/>
          <w:szCs w:val="24"/>
        </w:rPr>
        <w:t xml:space="preserve"> Z</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 xml:space="preserve">was involved in the data </w:t>
      </w:r>
      <w:r w:rsidR="00AE0B14" w:rsidRPr="00FA5C8D">
        <w:rPr>
          <w:rFonts w:ascii="Book Antiqua" w:hAnsi="Book Antiqua" w:cs="Times New Roman"/>
          <w:bCs/>
          <w:sz w:val="24"/>
          <w:szCs w:val="24"/>
        </w:rPr>
        <w:t>collection</w:t>
      </w:r>
      <w:r w:rsidR="00C73B22" w:rsidRPr="00FA5C8D">
        <w:rPr>
          <w:rFonts w:ascii="Book Antiqua" w:hAnsi="Book Antiqua" w:cs="Times New Roman"/>
          <w:bCs/>
          <w:sz w:val="24"/>
          <w:szCs w:val="24"/>
        </w:rPr>
        <w:t xml:space="preserve">, investigation; writing review and editing; </w:t>
      </w:r>
      <w:proofErr w:type="spellStart"/>
      <w:r w:rsidR="008B108D" w:rsidRPr="00FA5C8D">
        <w:rPr>
          <w:rFonts w:ascii="Book Antiqua" w:hAnsi="Book Antiqua" w:cs="Times New Roman"/>
          <w:bCs/>
          <w:sz w:val="24"/>
          <w:szCs w:val="24"/>
        </w:rPr>
        <w:t>Bartusek</w:t>
      </w:r>
      <w:proofErr w:type="spellEnd"/>
      <w:r w:rsidR="008B108D" w:rsidRPr="00FA5C8D">
        <w:rPr>
          <w:rFonts w:ascii="Book Antiqua" w:hAnsi="Book Antiqua" w:cs="Times New Roman"/>
          <w:bCs/>
          <w:sz w:val="24"/>
          <w:szCs w:val="24"/>
        </w:rPr>
        <w:t xml:space="preserve"> D</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 xml:space="preserve">was involved </w:t>
      </w:r>
      <w:r w:rsidR="00C73B22" w:rsidRPr="00FA5C8D">
        <w:rPr>
          <w:rFonts w:ascii="Book Antiqua" w:hAnsi="Book Antiqua" w:cs="Times New Roman"/>
          <w:bCs/>
          <w:sz w:val="24"/>
          <w:szCs w:val="24"/>
        </w:rPr>
        <w:lastRenderedPageBreak/>
        <w:t xml:space="preserve">in the data </w:t>
      </w:r>
      <w:r w:rsidR="00AE0B14" w:rsidRPr="00FA5C8D">
        <w:rPr>
          <w:rFonts w:ascii="Book Antiqua" w:hAnsi="Book Antiqua" w:cs="Times New Roman"/>
          <w:bCs/>
          <w:sz w:val="24"/>
          <w:szCs w:val="24"/>
        </w:rPr>
        <w:t>collection</w:t>
      </w:r>
      <w:r w:rsidR="00C73B22" w:rsidRPr="00FA5C8D">
        <w:rPr>
          <w:rFonts w:ascii="Book Antiqua" w:hAnsi="Book Antiqua" w:cs="Times New Roman"/>
          <w:bCs/>
          <w:sz w:val="24"/>
          <w:szCs w:val="24"/>
        </w:rPr>
        <w:t>, investigation; writing review and editing;</w:t>
      </w:r>
      <w:r w:rsidR="00AE0B14" w:rsidRPr="00FA5C8D">
        <w:rPr>
          <w:rFonts w:ascii="Book Antiqua" w:hAnsi="Book Antiqua" w:cs="Times New Roman"/>
          <w:bCs/>
          <w:sz w:val="24"/>
          <w:szCs w:val="24"/>
        </w:rPr>
        <w:t xml:space="preserve"> </w:t>
      </w:r>
      <w:proofErr w:type="spellStart"/>
      <w:r w:rsidR="008B108D" w:rsidRPr="00FA5C8D">
        <w:rPr>
          <w:rFonts w:ascii="Book Antiqua" w:hAnsi="Book Antiqua" w:cs="Times New Roman"/>
          <w:bCs/>
          <w:sz w:val="24"/>
          <w:szCs w:val="24"/>
        </w:rPr>
        <w:t>Prokesova</w:t>
      </w:r>
      <w:proofErr w:type="spellEnd"/>
      <w:r w:rsidR="008B108D" w:rsidRPr="00FA5C8D">
        <w:rPr>
          <w:rFonts w:ascii="Book Antiqua" w:hAnsi="Book Antiqua" w:cs="Times New Roman"/>
          <w:bCs/>
          <w:sz w:val="24"/>
          <w:szCs w:val="24"/>
        </w:rPr>
        <w:t xml:space="preserve"> J</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 xml:space="preserve">was involved in the data </w:t>
      </w:r>
      <w:r w:rsidR="00AE0B14" w:rsidRPr="00FA5C8D">
        <w:rPr>
          <w:rFonts w:ascii="Book Antiqua" w:hAnsi="Book Antiqua" w:cs="Times New Roman"/>
          <w:bCs/>
          <w:sz w:val="24"/>
          <w:szCs w:val="24"/>
        </w:rPr>
        <w:t>collection</w:t>
      </w:r>
      <w:r w:rsidR="00C73B22" w:rsidRPr="00FA5C8D">
        <w:rPr>
          <w:rFonts w:ascii="Book Antiqua" w:hAnsi="Book Antiqua" w:cs="Times New Roman"/>
          <w:bCs/>
          <w:sz w:val="24"/>
          <w:szCs w:val="24"/>
        </w:rPr>
        <w:t>, writing review and editing</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w:t>
      </w:r>
      <w:r w:rsidR="00AE0B14" w:rsidRPr="00FA5C8D">
        <w:rPr>
          <w:rFonts w:ascii="Book Antiqua" w:hAnsi="Book Antiqua" w:cs="Times New Roman"/>
          <w:bCs/>
          <w:sz w:val="24"/>
          <w:szCs w:val="24"/>
        </w:rPr>
        <w:t xml:space="preserve"> </w:t>
      </w:r>
      <w:r w:rsidR="008B108D" w:rsidRPr="00FA5C8D">
        <w:rPr>
          <w:rFonts w:ascii="Book Antiqua" w:hAnsi="Book Antiqua" w:cs="Times New Roman"/>
          <w:bCs/>
          <w:sz w:val="24"/>
          <w:szCs w:val="24"/>
        </w:rPr>
        <w:t>Dolina J</w:t>
      </w:r>
      <w:r w:rsidR="00AE0B14" w:rsidRPr="00FA5C8D">
        <w:rPr>
          <w:rFonts w:ascii="Book Antiqua" w:hAnsi="Book Antiqua" w:cs="Times New Roman"/>
          <w:bCs/>
          <w:sz w:val="24"/>
          <w:szCs w:val="24"/>
        </w:rPr>
        <w:t xml:space="preserve"> </w:t>
      </w:r>
      <w:r w:rsidR="00C73B22" w:rsidRPr="00FA5C8D">
        <w:rPr>
          <w:rFonts w:ascii="Book Antiqua" w:hAnsi="Book Antiqua" w:cs="Times New Roman"/>
          <w:bCs/>
          <w:sz w:val="24"/>
          <w:szCs w:val="24"/>
        </w:rPr>
        <w:t>took part in the supervision and editing</w:t>
      </w:r>
      <w:r w:rsidR="0047007F" w:rsidRPr="00FA5C8D">
        <w:rPr>
          <w:rFonts w:ascii="Book Antiqua" w:hAnsi="Book Antiqua" w:cs="Times New Roman"/>
          <w:bCs/>
          <w:sz w:val="24"/>
          <w:szCs w:val="24"/>
        </w:rPr>
        <w:t xml:space="preserve">; </w:t>
      </w:r>
      <w:proofErr w:type="spellStart"/>
      <w:r w:rsidR="008B108D" w:rsidRPr="00FA5C8D">
        <w:rPr>
          <w:rFonts w:ascii="Book Antiqua" w:hAnsi="Book Antiqua" w:cs="Times New Roman"/>
          <w:bCs/>
          <w:sz w:val="24"/>
          <w:szCs w:val="24"/>
        </w:rPr>
        <w:t>Kroupa</w:t>
      </w:r>
      <w:proofErr w:type="spellEnd"/>
      <w:r w:rsidR="008B108D" w:rsidRPr="00FA5C8D">
        <w:rPr>
          <w:rFonts w:ascii="Book Antiqua" w:hAnsi="Book Antiqua" w:cs="Times New Roman"/>
          <w:bCs/>
          <w:sz w:val="24"/>
          <w:szCs w:val="24"/>
        </w:rPr>
        <w:t xml:space="preserve"> R</w:t>
      </w:r>
      <w:r w:rsidR="00AE0B14" w:rsidRPr="00FA5C8D">
        <w:rPr>
          <w:rFonts w:ascii="Book Antiqua" w:hAnsi="Book Antiqua" w:cs="Times New Roman"/>
          <w:bCs/>
          <w:sz w:val="24"/>
          <w:szCs w:val="24"/>
        </w:rPr>
        <w:t xml:space="preserve"> </w:t>
      </w:r>
      <w:r w:rsidR="008B108D" w:rsidRPr="00FA5C8D">
        <w:rPr>
          <w:rFonts w:ascii="Book Antiqua" w:hAnsi="Book Antiqua" w:cs="Times New Roman"/>
          <w:bCs/>
          <w:sz w:val="24"/>
          <w:szCs w:val="24"/>
        </w:rPr>
        <w:t>performed the conceptualization, methodology, project administration, supervision, validation, visualization, writing review and editing. All authors have read and approve the final manuscript.</w:t>
      </w:r>
    </w:p>
    <w:p w14:paraId="07ADB524" w14:textId="77777777" w:rsidR="008B108D" w:rsidRPr="00FA5C8D" w:rsidRDefault="008B108D" w:rsidP="00FA5C8D">
      <w:pPr>
        <w:snapToGrid w:val="0"/>
        <w:spacing w:after="0" w:line="360" w:lineRule="auto"/>
        <w:jc w:val="both"/>
        <w:rPr>
          <w:rFonts w:ascii="Book Antiqua" w:hAnsi="Book Antiqua" w:cs="Times New Roman"/>
          <w:sz w:val="24"/>
          <w:szCs w:val="24"/>
        </w:rPr>
      </w:pPr>
    </w:p>
    <w:p w14:paraId="2E0ADDD4" w14:textId="77777777" w:rsidR="00DC6E6B" w:rsidRPr="00FA5C8D" w:rsidRDefault="0058298B" w:rsidP="00FA5C8D">
      <w:pPr>
        <w:snapToGrid w:val="0"/>
        <w:spacing w:after="0" w:line="360" w:lineRule="auto"/>
        <w:jc w:val="both"/>
        <w:rPr>
          <w:rFonts w:ascii="Book Antiqua" w:hAnsi="Book Antiqua" w:cs="Times New Roman"/>
          <w:sz w:val="24"/>
          <w:szCs w:val="24"/>
        </w:rPr>
      </w:pPr>
      <w:r w:rsidRPr="00FA5C8D">
        <w:rPr>
          <w:rFonts w:ascii="Book Antiqua" w:hAnsi="Book Antiqua" w:cs="Calibri"/>
          <w:b/>
          <w:sz w:val="24"/>
          <w:szCs w:val="24"/>
        </w:rPr>
        <w:t>Supported by</w:t>
      </w:r>
      <w:r w:rsidR="00AE0B14" w:rsidRPr="00FA5C8D">
        <w:rPr>
          <w:rFonts w:ascii="Book Antiqua" w:hAnsi="Book Antiqua" w:cs="Times New Roman"/>
          <w:sz w:val="24"/>
          <w:szCs w:val="24"/>
        </w:rPr>
        <w:t xml:space="preserve"> </w:t>
      </w:r>
      <w:r w:rsidR="00DC6E6B" w:rsidRPr="00FA5C8D">
        <w:rPr>
          <w:rFonts w:ascii="Book Antiqua" w:hAnsi="Book Antiqua" w:cs="Times New Roman"/>
          <w:sz w:val="24"/>
          <w:szCs w:val="24"/>
        </w:rPr>
        <w:t>Ministry of Health, Czech Republic – conceptual development of research organization</w:t>
      </w:r>
      <w:r w:rsidRPr="00FA5C8D">
        <w:rPr>
          <w:rFonts w:ascii="Book Antiqua" w:hAnsi="Book Antiqua" w:cs="Times New Roman"/>
          <w:sz w:val="24"/>
          <w:szCs w:val="24"/>
        </w:rPr>
        <w:t>, No.</w:t>
      </w:r>
      <w:r w:rsidR="00DC6E6B" w:rsidRPr="00FA5C8D">
        <w:rPr>
          <w:rFonts w:ascii="Book Antiqua" w:hAnsi="Book Antiqua" w:cs="Times New Roman"/>
          <w:sz w:val="24"/>
          <w:szCs w:val="24"/>
        </w:rPr>
        <w:t xml:space="preserve"> </w:t>
      </w:r>
      <w:proofErr w:type="spellStart"/>
      <w:r w:rsidR="00DC6E6B" w:rsidRPr="00FA5C8D">
        <w:rPr>
          <w:rFonts w:ascii="Book Antiqua" w:hAnsi="Book Antiqua" w:cs="Times New Roman"/>
          <w:sz w:val="24"/>
          <w:szCs w:val="24"/>
        </w:rPr>
        <w:t>FNBr</w:t>
      </w:r>
      <w:proofErr w:type="spellEnd"/>
      <w:r w:rsidR="00DC6E6B" w:rsidRPr="00FA5C8D">
        <w:rPr>
          <w:rFonts w:ascii="Book Antiqua" w:hAnsi="Book Antiqua" w:cs="Times New Roman"/>
          <w:sz w:val="24"/>
          <w:szCs w:val="24"/>
        </w:rPr>
        <w:t>, 65269705</w:t>
      </w:r>
      <w:r w:rsidR="00F85C79" w:rsidRPr="00FA5C8D">
        <w:rPr>
          <w:rFonts w:ascii="Book Antiqua" w:hAnsi="Book Antiqua" w:cs="Times New Roman"/>
          <w:sz w:val="24"/>
          <w:szCs w:val="24"/>
        </w:rPr>
        <w:t>.</w:t>
      </w:r>
    </w:p>
    <w:p w14:paraId="71ECDDE1" w14:textId="77777777" w:rsidR="00E96C66" w:rsidRPr="00FA5C8D" w:rsidRDefault="00E96C66" w:rsidP="00FA5C8D">
      <w:pPr>
        <w:snapToGrid w:val="0"/>
        <w:spacing w:after="0" w:line="360" w:lineRule="auto"/>
        <w:jc w:val="both"/>
        <w:rPr>
          <w:rFonts w:ascii="Book Antiqua" w:hAnsi="Book Antiqua" w:cs="Times New Roman"/>
          <w:sz w:val="24"/>
          <w:szCs w:val="24"/>
        </w:rPr>
      </w:pPr>
    </w:p>
    <w:p w14:paraId="2708E375" w14:textId="77777777" w:rsidR="00F962DD" w:rsidRPr="00FA5C8D" w:rsidRDefault="0058298B" w:rsidP="00FA5C8D">
      <w:pPr>
        <w:snapToGrid w:val="0"/>
        <w:spacing w:after="0" w:line="360" w:lineRule="auto"/>
        <w:jc w:val="both"/>
        <w:rPr>
          <w:rFonts w:ascii="Book Antiqua" w:hAnsi="Book Antiqua" w:cs="Times New Roman"/>
          <w:sz w:val="24"/>
          <w:szCs w:val="24"/>
        </w:rPr>
      </w:pPr>
      <w:r w:rsidRPr="00FA5C8D">
        <w:rPr>
          <w:rFonts w:ascii="Book Antiqua" w:hAnsi="Book Antiqua" w:cs="Arial"/>
          <w:b/>
          <w:sz w:val="24"/>
          <w:szCs w:val="24"/>
        </w:rPr>
        <w:t>Corresponding author:</w:t>
      </w:r>
      <w:r w:rsidRPr="00FA5C8D">
        <w:rPr>
          <w:rFonts w:ascii="Book Antiqua" w:eastAsia="宋体" w:hAnsi="Book Antiqua"/>
          <w:b/>
          <w:sz w:val="24"/>
          <w:szCs w:val="24"/>
          <w:lang w:val="en-GB" w:eastAsia="zh-CN"/>
        </w:rPr>
        <w:t xml:space="preserve"> </w:t>
      </w:r>
      <w:proofErr w:type="spellStart"/>
      <w:r w:rsidR="00E96C66" w:rsidRPr="00FA5C8D">
        <w:rPr>
          <w:rFonts w:ascii="Book Antiqua" w:hAnsi="Book Antiqua" w:cs="Times New Roman"/>
          <w:b/>
          <w:sz w:val="24"/>
          <w:szCs w:val="24"/>
        </w:rPr>
        <w:t>Radek</w:t>
      </w:r>
      <w:proofErr w:type="spellEnd"/>
      <w:r w:rsidR="009C6707" w:rsidRPr="00FA5C8D">
        <w:rPr>
          <w:rFonts w:ascii="Book Antiqua" w:hAnsi="Book Antiqua" w:cs="Times New Roman"/>
          <w:b/>
          <w:sz w:val="24"/>
          <w:szCs w:val="24"/>
        </w:rPr>
        <w:t xml:space="preserve"> </w:t>
      </w:r>
      <w:proofErr w:type="spellStart"/>
      <w:r w:rsidR="00E96C66" w:rsidRPr="00FA5C8D">
        <w:rPr>
          <w:rFonts w:ascii="Book Antiqua" w:hAnsi="Book Antiqua" w:cs="Times New Roman"/>
          <w:b/>
          <w:sz w:val="24"/>
          <w:szCs w:val="24"/>
        </w:rPr>
        <w:t>Kroupa</w:t>
      </w:r>
      <w:proofErr w:type="spellEnd"/>
      <w:r w:rsidR="00E96C66" w:rsidRPr="00FA5C8D">
        <w:rPr>
          <w:rFonts w:ascii="Book Antiqua" w:hAnsi="Book Antiqua" w:cs="Times New Roman"/>
          <w:b/>
          <w:sz w:val="24"/>
          <w:szCs w:val="24"/>
        </w:rPr>
        <w:t xml:space="preserve">, </w:t>
      </w:r>
      <w:r w:rsidR="00466F89" w:rsidRPr="00FA5C8D">
        <w:rPr>
          <w:rFonts w:ascii="Book Antiqua" w:hAnsi="Book Antiqua" w:cs="Times New Roman"/>
          <w:b/>
          <w:sz w:val="24"/>
          <w:szCs w:val="24"/>
        </w:rPr>
        <w:t>MD, PhD, Doctor, Research Assistant Professor,</w:t>
      </w:r>
      <w:r w:rsidR="000042FE" w:rsidRPr="00FA5C8D">
        <w:rPr>
          <w:rFonts w:ascii="Book Antiqua" w:hAnsi="Book Antiqua" w:cs="Times New Roman"/>
          <w:sz w:val="24"/>
          <w:szCs w:val="24"/>
        </w:rPr>
        <w:t xml:space="preserve"> </w:t>
      </w:r>
      <w:r w:rsidR="00E96C66" w:rsidRPr="00FA5C8D">
        <w:rPr>
          <w:rFonts w:ascii="Book Antiqua" w:hAnsi="Book Antiqua" w:cs="Times New Roman"/>
          <w:sz w:val="24"/>
          <w:szCs w:val="24"/>
        </w:rPr>
        <w:t xml:space="preserve">Department of Gastroenterology and Internal Medicine, University Hospital Brno, Faculty of Medicine, Masaryk University, </w:t>
      </w:r>
      <w:proofErr w:type="spellStart"/>
      <w:r w:rsidR="00E96C66" w:rsidRPr="00FA5C8D">
        <w:rPr>
          <w:rFonts w:ascii="Book Antiqua" w:hAnsi="Book Antiqua" w:cs="Times New Roman"/>
          <w:sz w:val="24"/>
          <w:szCs w:val="24"/>
        </w:rPr>
        <w:t>J</w:t>
      </w:r>
      <w:r w:rsidR="004C20D9" w:rsidRPr="00FA5C8D">
        <w:rPr>
          <w:rFonts w:ascii="Book Antiqua" w:hAnsi="Book Antiqua" w:cs="Times New Roman"/>
          <w:sz w:val="24"/>
          <w:szCs w:val="24"/>
        </w:rPr>
        <w:t>i</w:t>
      </w:r>
      <w:r w:rsidR="00E96C66" w:rsidRPr="00FA5C8D">
        <w:rPr>
          <w:rFonts w:ascii="Book Antiqua" w:hAnsi="Book Antiqua" w:cs="Times New Roman"/>
          <w:sz w:val="24"/>
          <w:szCs w:val="24"/>
        </w:rPr>
        <w:t>hlavska</w:t>
      </w:r>
      <w:proofErr w:type="spellEnd"/>
      <w:r w:rsidR="00E96C66" w:rsidRPr="00FA5C8D">
        <w:rPr>
          <w:rFonts w:ascii="Book Antiqua" w:hAnsi="Book Antiqua" w:cs="Times New Roman"/>
          <w:sz w:val="24"/>
          <w:szCs w:val="24"/>
        </w:rPr>
        <w:t xml:space="preserve"> 20, </w:t>
      </w:r>
      <w:r w:rsidRPr="00FA5C8D">
        <w:rPr>
          <w:rFonts w:ascii="Book Antiqua" w:hAnsi="Book Antiqua" w:cs="Times New Roman"/>
          <w:sz w:val="24"/>
          <w:szCs w:val="24"/>
        </w:rPr>
        <w:t>Brno 62500, Czech Republic</w:t>
      </w:r>
      <w:r w:rsidR="00E96C66" w:rsidRPr="00FA5C8D">
        <w:rPr>
          <w:rFonts w:ascii="Book Antiqua" w:hAnsi="Book Antiqua" w:cs="Times New Roman"/>
          <w:sz w:val="24"/>
          <w:szCs w:val="24"/>
        </w:rPr>
        <w:t xml:space="preserve">. </w:t>
      </w:r>
      <w:r w:rsidR="00466F89" w:rsidRPr="00FA5C8D">
        <w:rPr>
          <w:rFonts w:ascii="Book Antiqua" w:hAnsi="Book Antiqua" w:cs="Times New Roman"/>
          <w:sz w:val="24"/>
          <w:szCs w:val="24"/>
          <w:u w:val="single"/>
        </w:rPr>
        <w:t>kroupa.radek@fnbrno.cz</w:t>
      </w:r>
    </w:p>
    <w:p w14:paraId="1B0AD227" w14:textId="77777777" w:rsidR="00240169" w:rsidRPr="00FA5C8D" w:rsidRDefault="00240169" w:rsidP="00FA5C8D">
      <w:pPr>
        <w:snapToGrid w:val="0"/>
        <w:spacing w:after="0" w:line="360" w:lineRule="auto"/>
        <w:jc w:val="both"/>
        <w:rPr>
          <w:rFonts w:ascii="Book Antiqua" w:hAnsi="Book Antiqua" w:cs="Times New Roman"/>
          <w:sz w:val="24"/>
          <w:szCs w:val="24"/>
          <w:shd w:val="clear" w:color="auto" w:fill="FFFFFF"/>
        </w:rPr>
      </w:pPr>
    </w:p>
    <w:p w14:paraId="092CE30F" w14:textId="77777777" w:rsidR="0058298B" w:rsidRPr="00FA5C8D" w:rsidRDefault="0058298B" w:rsidP="00FA5C8D">
      <w:pPr>
        <w:snapToGrid w:val="0"/>
        <w:spacing w:after="0" w:line="360" w:lineRule="auto"/>
        <w:jc w:val="both"/>
        <w:rPr>
          <w:rFonts w:ascii="Book Antiqua" w:eastAsia="宋体" w:hAnsi="Book Antiqua"/>
          <w:sz w:val="24"/>
          <w:szCs w:val="24"/>
          <w:lang w:eastAsia="zh-CN"/>
        </w:rPr>
      </w:pPr>
      <w:r w:rsidRPr="00FA5C8D">
        <w:rPr>
          <w:rFonts w:ascii="Book Antiqua" w:hAnsi="Book Antiqua"/>
          <w:b/>
          <w:sz w:val="24"/>
          <w:szCs w:val="24"/>
        </w:rPr>
        <w:t xml:space="preserve">Received: </w:t>
      </w:r>
      <w:r w:rsidRPr="00FA5C8D">
        <w:rPr>
          <w:rFonts w:ascii="Book Antiqua" w:eastAsia="宋体" w:hAnsi="Book Antiqua"/>
          <w:sz w:val="24"/>
          <w:szCs w:val="24"/>
          <w:lang w:eastAsia="zh-CN"/>
        </w:rPr>
        <w:t>January 16, 2020</w:t>
      </w:r>
    </w:p>
    <w:p w14:paraId="1A0F7577" w14:textId="77777777" w:rsidR="0058298B" w:rsidRPr="00FA5C8D" w:rsidRDefault="0058298B" w:rsidP="00FA5C8D">
      <w:pPr>
        <w:widowControl w:val="0"/>
        <w:snapToGrid w:val="0"/>
        <w:spacing w:after="0" w:line="360" w:lineRule="auto"/>
        <w:jc w:val="both"/>
        <w:rPr>
          <w:rFonts w:ascii="Book Antiqua" w:hAnsi="Book Antiqua"/>
          <w:b/>
          <w:sz w:val="24"/>
          <w:szCs w:val="24"/>
        </w:rPr>
      </w:pPr>
      <w:r w:rsidRPr="00FA5C8D">
        <w:rPr>
          <w:rFonts w:ascii="Book Antiqua" w:hAnsi="Book Antiqua"/>
          <w:b/>
          <w:sz w:val="24"/>
          <w:szCs w:val="24"/>
        </w:rPr>
        <w:t xml:space="preserve">Revised: </w:t>
      </w:r>
      <w:r w:rsidRPr="00FA5C8D">
        <w:rPr>
          <w:rFonts w:ascii="Book Antiqua" w:hAnsi="Book Antiqua"/>
          <w:sz w:val="24"/>
          <w:szCs w:val="24"/>
        </w:rPr>
        <w:t>May 13, 2020</w:t>
      </w:r>
    </w:p>
    <w:p w14:paraId="5E1A26DA" w14:textId="746EF55A" w:rsidR="0058298B" w:rsidRPr="00FA5C8D" w:rsidRDefault="0058298B" w:rsidP="00FA5C8D">
      <w:pPr>
        <w:widowControl w:val="0"/>
        <w:snapToGrid w:val="0"/>
        <w:spacing w:after="0" w:line="360" w:lineRule="auto"/>
        <w:jc w:val="both"/>
        <w:rPr>
          <w:rFonts w:ascii="Book Antiqua" w:hAnsi="Book Antiqua"/>
          <w:b/>
          <w:sz w:val="24"/>
          <w:szCs w:val="24"/>
        </w:rPr>
      </w:pPr>
      <w:r w:rsidRPr="00FA5C8D">
        <w:rPr>
          <w:rFonts w:ascii="Book Antiqua" w:hAnsi="Book Antiqua"/>
          <w:b/>
          <w:sz w:val="24"/>
          <w:szCs w:val="24"/>
        </w:rPr>
        <w:t>Accepted:</w:t>
      </w:r>
      <w:r w:rsidR="00D64C57" w:rsidRPr="00D64C57">
        <w:t xml:space="preserve"> </w:t>
      </w:r>
      <w:r w:rsidR="00D64C57" w:rsidRPr="00D64C57">
        <w:rPr>
          <w:rFonts w:ascii="Book Antiqua" w:hAnsi="Book Antiqua"/>
          <w:bCs/>
          <w:sz w:val="24"/>
          <w:szCs w:val="24"/>
        </w:rPr>
        <w:t>July 1, 2020</w:t>
      </w:r>
      <w:r w:rsidRPr="00FA5C8D">
        <w:rPr>
          <w:rFonts w:ascii="Book Antiqua" w:hAnsi="Book Antiqua"/>
          <w:b/>
          <w:sz w:val="24"/>
          <w:szCs w:val="24"/>
        </w:rPr>
        <w:t xml:space="preserve"> </w:t>
      </w:r>
    </w:p>
    <w:p w14:paraId="2C51641F" w14:textId="3D3D21FC" w:rsidR="0058298B" w:rsidRPr="00FA5C8D" w:rsidRDefault="0058298B" w:rsidP="00FA5C8D">
      <w:pPr>
        <w:widowControl w:val="0"/>
        <w:snapToGrid w:val="0"/>
        <w:spacing w:after="0" w:line="360" w:lineRule="auto"/>
        <w:jc w:val="both"/>
        <w:rPr>
          <w:rFonts w:ascii="Book Antiqua" w:eastAsia="宋体" w:hAnsi="Book Antiqua" w:hint="eastAsia"/>
          <w:sz w:val="24"/>
          <w:szCs w:val="24"/>
          <w:lang w:eastAsia="zh-CN"/>
        </w:rPr>
      </w:pPr>
      <w:r w:rsidRPr="00FA5C8D">
        <w:rPr>
          <w:rFonts w:ascii="Book Antiqua" w:hAnsi="Book Antiqua"/>
          <w:b/>
          <w:sz w:val="24"/>
          <w:szCs w:val="24"/>
        </w:rPr>
        <w:t>Published online:</w:t>
      </w:r>
      <w:r w:rsidR="00B41151" w:rsidRPr="00B41151">
        <w:rPr>
          <w:rFonts w:ascii="Book Antiqua" w:hAnsi="Book Antiqua" w:hint="eastAsia"/>
          <w:sz w:val="24"/>
          <w:szCs w:val="24"/>
          <w:lang w:eastAsia="zh-CN"/>
        </w:rPr>
        <w:t xml:space="preserve"> </w:t>
      </w:r>
      <w:r w:rsidR="00B41151" w:rsidRPr="00B41151">
        <w:rPr>
          <w:rFonts w:ascii="Book Antiqua" w:hAnsi="Book Antiqua"/>
          <w:sz w:val="24"/>
          <w:szCs w:val="24"/>
          <w:lang w:eastAsia="zh-CN"/>
        </w:rPr>
        <w:t>July 14, 2020</w:t>
      </w:r>
    </w:p>
    <w:p w14:paraId="497AB474" w14:textId="77777777" w:rsidR="0047007F" w:rsidRPr="00FA5C8D" w:rsidRDefault="0047007F"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0369B304" w14:textId="77777777" w:rsidR="0058298B" w:rsidRPr="00FA5C8D" w:rsidRDefault="0058298B" w:rsidP="00FA5C8D">
      <w:pPr>
        <w:widowControl w:val="0"/>
        <w:snapToGrid w:val="0"/>
        <w:spacing w:after="0" w:line="360" w:lineRule="auto"/>
        <w:jc w:val="both"/>
        <w:rPr>
          <w:rFonts w:ascii="Book Antiqua" w:hAnsi="Book Antiqua"/>
          <w:b/>
          <w:color w:val="000000"/>
          <w:sz w:val="24"/>
          <w:szCs w:val="24"/>
        </w:rPr>
      </w:pPr>
      <w:r w:rsidRPr="00FA5C8D">
        <w:rPr>
          <w:rFonts w:ascii="Book Antiqua" w:hAnsi="Book Antiqua"/>
          <w:b/>
          <w:sz w:val="24"/>
          <w:szCs w:val="24"/>
        </w:rPr>
        <w:lastRenderedPageBreak/>
        <w:t>Abstract</w:t>
      </w:r>
    </w:p>
    <w:p w14:paraId="09055103" w14:textId="77777777" w:rsidR="0058298B" w:rsidRPr="00FA5C8D" w:rsidRDefault="0058298B" w:rsidP="00FA5C8D">
      <w:pPr>
        <w:snapToGrid w:val="0"/>
        <w:spacing w:after="0" w:line="360" w:lineRule="auto"/>
        <w:jc w:val="both"/>
        <w:rPr>
          <w:rFonts w:ascii="Book Antiqua" w:hAnsi="Book Antiqua"/>
          <w:color w:val="000000"/>
          <w:sz w:val="24"/>
          <w:szCs w:val="24"/>
        </w:rPr>
      </w:pPr>
      <w:r w:rsidRPr="00FA5C8D">
        <w:rPr>
          <w:rFonts w:ascii="Book Antiqua" w:hAnsi="Book Antiqua"/>
          <w:color w:val="000000"/>
          <w:sz w:val="24"/>
          <w:szCs w:val="24"/>
        </w:rPr>
        <w:t>BACKGROUND</w:t>
      </w:r>
      <w:r w:rsidRPr="00FA5C8D">
        <w:rPr>
          <w:rFonts w:ascii="Book Antiqua" w:eastAsia="宋体" w:hAnsi="Book Antiqua"/>
          <w:color w:val="0000FF"/>
          <w:sz w:val="24"/>
          <w:szCs w:val="24"/>
          <w:lang w:eastAsia="zh-CN"/>
        </w:rPr>
        <w:t xml:space="preserve"> </w:t>
      </w:r>
    </w:p>
    <w:p w14:paraId="2C01882E" w14:textId="77777777" w:rsidR="00C548F3" w:rsidRPr="00FA5C8D" w:rsidRDefault="000E363E"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Celiac disease</w:t>
      </w:r>
      <w:r w:rsidR="009C6707" w:rsidRPr="00FA5C8D">
        <w:rPr>
          <w:rFonts w:ascii="Book Antiqua" w:hAnsi="Book Antiqua" w:cs="Times New Roman"/>
          <w:sz w:val="24"/>
          <w:szCs w:val="24"/>
        </w:rPr>
        <w:t xml:space="preserve"> </w:t>
      </w:r>
      <w:r w:rsidR="00E66EA7" w:rsidRPr="00FA5C8D">
        <w:rPr>
          <w:rFonts w:ascii="Book Antiqua" w:hAnsi="Book Antiqua" w:cs="Times New Roman"/>
          <w:sz w:val="24"/>
          <w:szCs w:val="24"/>
        </w:rPr>
        <w:t xml:space="preserve">(CD) </w:t>
      </w:r>
      <w:r w:rsidR="00C548F3" w:rsidRPr="00FA5C8D">
        <w:rPr>
          <w:rFonts w:ascii="Book Antiqua" w:hAnsi="Book Antiqua" w:cs="Times New Roman"/>
          <w:sz w:val="24"/>
          <w:szCs w:val="24"/>
        </w:rPr>
        <w:t>is an immune</w:t>
      </w:r>
      <w:r w:rsidR="00E66EA7" w:rsidRPr="00FA5C8D">
        <w:rPr>
          <w:rFonts w:ascii="Book Antiqua" w:hAnsi="Book Antiqua" w:cs="Times New Roman"/>
          <w:sz w:val="24"/>
          <w:szCs w:val="24"/>
        </w:rPr>
        <w:t>-</w:t>
      </w:r>
      <w:r w:rsidR="00C548F3" w:rsidRPr="00FA5C8D">
        <w:rPr>
          <w:rFonts w:ascii="Book Antiqua" w:hAnsi="Book Antiqua" w:cs="Times New Roman"/>
          <w:sz w:val="24"/>
          <w:szCs w:val="24"/>
        </w:rPr>
        <w:t xml:space="preserve">mediated </w:t>
      </w:r>
      <w:r w:rsidRPr="00FA5C8D">
        <w:rPr>
          <w:rFonts w:ascii="Book Antiqua" w:hAnsi="Book Antiqua" w:cs="Times New Roman"/>
          <w:sz w:val="24"/>
          <w:szCs w:val="24"/>
        </w:rPr>
        <w:t>enteropathy</w:t>
      </w:r>
      <w:r w:rsidR="009C6707" w:rsidRPr="00FA5C8D">
        <w:rPr>
          <w:rFonts w:ascii="Book Antiqua" w:hAnsi="Book Antiqua" w:cs="Times New Roman"/>
          <w:sz w:val="24"/>
          <w:szCs w:val="24"/>
        </w:rPr>
        <w:t xml:space="preserve"> </w:t>
      </w:r>
      <w:r w:rsidR="00EB3E68" w:rsidRPr="00FA5C8D">
        <w:rPr>
          <w:rFonts w:ascii="Book Antiqua" w:hAnsi="Book Antiqua" w:cs="Times New Roman"/>
          <w:sz w:val="24"/>
          <w:szCs w:val="24"/>
        </w:rPr>
        <w:t xml:space="preserve">that is primarily </w:t>
      </w:r>
      <w:r w:rsidR="00C548F3" w:rsidRPr="00FA5C8D">
        <w:rPr>
          <w:rFonts w:ascii="Book Antiqua" w:hAnsi="Book Antiqua" w:cs="Times New Roman"/>
          <w:sz w:val="24"/>
          <w:szCs w:val="24"/>
        </w:rPr>
        <w:t xml:space="preserve">treated </w:t>
      </w:r>
      <w:r w:rsidR="00EB3E68" w:rsidRPr="00FA5C8D">
        <w:rPr>
          <w:rFonts w:ascii="Book Antiqua" w:hAnsi="Book Antiqua" w:cs="Times New Roman"/>
          <w:sz w:val="24"/>
          <w:szCs w:val="24"/>
        </w:rPr>
        <w:t>with a</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gluten</w:t>
      </w:r>
      <w:r w:rsidR="00A23FD6" w:rsidRPr="00FA5C8D">
        <w:rPr>
          <w:rFonts w:ascii="Book Antiqua" w:hAnsi="Book Antiqua" w:cs="Times New Roman"/>
          <w:sz w:val="24"/>
          <w:szCs w:val="24"/>
        </w:rPr>
        <w:t>-</w:t>
      </w:r>
      <w:r w:rsidRPr="00FA5C8D">
        <w:rPr>
          <w:rFonts w:ascii="Book Antiqua" w:hAnsi="Book Antiqua" w:cs="Times New Roman"/>
          <w:sz w:val="24"/>
          <w:szCs w:val="24"/>
        </w:rPr>
        <w:t>free diet</w:t>
      </w:r>
      <w:r w:rsidR="00A23FD6" w:rsidRPr="00FA5C8D">
        <w:rPr>
          <w:rFonts w:ascii="Book Antiqua" w:hAnsi="Book Antiqua" w:cs="Times New Roman"/>
          <w:sz w:val="24"/>
          <w:szCs w:val="24"/>
        </w:rPr>
        <w:t xml:space="preserve"> (GFD)</w:t>
      </w:r>
      <w:r w:rsidRPr="00FA5C8D">
        <w:rPr>
          <w:rFonts w:ascii="Book Antiqua" w:hAnsi="Book Antiqua" w:cs="Times New Roman"/>
          <w:sz w:val="24"/>
          <w:szCs w:val="24"/>
        </w:rPr>
        <w:t xml:space="preserve">. </w:t>
      </w:r>
      <w:r w:rsidR="00C548F3" w:rsidRPr="00FA5C8D">
        <w:rPr>
          <w:rFonts w:ascii="Book Antiqua" w:hAnsi="Book Antiqua" w:cs="Times New Roman"/>
          <w:sz w:val="24"/>
          <w:szCs w:val="24"/>
        </w:rPr>
        <w:t xml:space="preserve">Mucosal healing is </w:t>
      </w:r>
      <w:r w:rsidR="008C1CE8" w:rsidRPr="00FA5C8D">
        <w:rPr>
          <w:rFonts w:ascii="Book Antiqua" w:hAnsi="Book Antiqua" w:cs="Times New Roman"/>
          <w:sz w:val="24"/>
          <w:szCs w:val="24"/>
        </w:rPr>
        <w:t>the</w:t>
      </w:r>
      <w:r w:rsidR="009C6707" w:rsidRPr="00FA5C8D">
        <w:rPr>
          <w:rFonts w:ascii="Book Antiqua" w:hAnsi="Book Antiqua" w:cs="Times New Roman"/>
          <w:sz w:val="24"/>
          <w:szCs w:val="24"/>
        </w:rPr>
        <w:t xml:space="preserve"> </w:t>
      </w:r>
      <w:r w:rsidR="00C548F3" w:rsidRPr="00FA5C8D">
        <w:rPr>
          <w:rFonts w:ascii="Book Antiqua" w:hAnsi="Book Antiqua" w:cs="Times New Roman"/>
          <w:sz w:val="24"/>
          <w:szCs w:val="24"/>
        </w:rPr>
        <w:t xml:space="preserve">main target of </w:t>
      </w:r>
      <w:r w:rsidRPr="00FA5C8D">
        <w:rPr>
          <w:rFonts w:ascii="Book Antiqua" w:hAnsi="Book Antiqua" w:cs="Times New Roman"/>
          <w:sz w:val="24"/>
          <w:szCs w:val="24"/>
        </w:rPr>
        <w:t xml:space="preserve">the </w:t>
      </w:r>
      <w:r w:rsidR="00C548F3" w:rsidRPr="00FA5C8D">
        <w:rPr>
          <w:rFonts w:ascii="Book Antiqua" w:hAnsi="Book Antiqua" w:cs="Times New Roman"/>
          <w:sz w:val="24"/>
          <w:szCs w:val="24"/>
        </w:rPr>
        <w:t xml:space="preserve">therapy. </w:t>
      </w:r>
      <w:r w:rsidR="00B3643E" w:rsidRPr="00FA5C8D">
        <w:rPr>
          <w:rFonts w:ascii="Book Antiqua" w:hAnsi="Book Antiqua" w:cs="Times New Roman"/>
          <w:sz w:val="24"/>
          <w:szCs w:val="24"/>
        </w:rPr>
        <w:t>Currently</w:t>
      </w:r>
      <w:r w:rsidR="008C1CE8" w:rsidRPr="00FA5C8D">
        <w:rPr>
          <w:rFonts w:ascii="Book Antiqua" w:hAnsi="Book Antiqua" w:cs="Times New Roman"/>
          <w:sz w:val="24"/>
          <w:szCs w:val="24"/>
        </w:rPr>
        <w:t>,</w:t>
      </w:r>
      <w:r w:rsidR="009C6707" w:rsidRPr="00FA5C8D">
        <w:rPr>
          <w:rFonts w:ascii="Book Antiqua" w:hAnsi="Book Antiqua" w:cs="Times New Roman"/>
          <w:sz w:val="24"/>
          <w:szCs w:val="24"/>
        </w:rPr>
        <w:t xml:space="preserve"> </w:t>
      </w:r>
      <w:r w:rsidR="001339EF" w:rsidRPr="00FA5C8D">
        <w:rPr>
          <w:rFonts w:ascii="Book Antiqua" w:hAnsi="Book Antiqua" w:cs="Times New Roman"/>
          <w:sz w:val="24"/>
          <w:szCs w:val="24"/>
        </w:rPr>
        <w:t>duodenal</w:t>
      </w:r>
      <w:r w:rsidR="00B3643E" w:rsidRPr="00FA5C8D">
        <w:rPr>
          <w:rFonts w:ascii="Book Antiqua" w:hAnsi="Book Antiqua" w:cs="Times New Roman"/>
          <w:sz w:val="24"/>
          <w:szCs w:val="24"/>
        </w:rPr>
        <w:t xml:space="preserve"> biopsy is the only way to evaluate mucosa</w:t>
      </w:r>
      <w:r w:rsidR="00B77279" w:rsidRPr="00FA5C8D">
        <w:rPr>
          <w:rFonts w:ascii="Book Antiqua" w:hAnsi="Book Antiqua" w:cs="Times New Roman"/>
          <w:sz w:val="24"/>
          <w:szCs w:val="24"/>
        </w:rPr>
        <w:t>l</w:t>
      </w:r>
      <w:r w:rsidR="00B3643E" w:rsidRPr="00FA5C8D">
        <w:rPr>
          <w:rFonts w:ascii="Book Antiqua" w:hAnsi="Book Antiqua" w:cs="Times New Roman"/>
          <w:sz w:val="24"/>
          <w:szCs w:val="24"/>
        </w:rPr>
        <w:t xml:space="preserve"> healing</w:t>
      </w:r>
      <w:r w:rsidR="008C1CE8" w:rsidRPr="00FA5C8D">
        <w:rPr>
          <w:rFonts w:ascii="Book Antiqua" w:hAnsi="Book Antiqua" w:cs="Times New Roman"/>
          <w:sz w:val="24"/>
          <w:szCs w:val="24"/>
        </w:rPr>
        <w:t>,</w:t>
      </w:r>
      <w:r w:rsidR="00B3643E" w:rsidRPr="00FA5C8D">
        <w:rPr>
          <w:rFonts w:ascii="Book Antiqua" w:hAnsi="Book Antiqua" w:cs="Times New Roman"/>
          <w:sz w:val="24"/>
          <w:szCs w:val="24"/>
        </w:rPr>
        <w:t xml:space="preserve"> and non-invasive markers are </w:t>
      </w:r>
      <w:r w:rsidR="00FA41E9" w:rsidRPr="00FA5C8D">
        <w:rPr>
          <w:rFonts w:ascii="Book Antiqua" w:hAnsi="Book Antiqua" w:cs="Times New Roman"/>
          <w:sz w:val="24"/>
          <w:szCs w:val="24"/>
        </w:rPr>
        <w:t>challenging</w:t>
      </w:r>
      <w:r w:rsidR="00B3643E"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Persistent elevation of </w:t>
      </w:r>
      <w:r w:rsidR="00623748" w:rsidRPr="00FA5C8D">
        <w:rPr>
          <w:rFonts w:ascii="Book Antiqua" w:hAnsi="Book Antiqua" w:cs="Times New Roman"/>
          <w:sz w:val="24"/>
          <w:szCs w:val="24"/>
        </w:rPr>
        <w:t>anti-</w:t>
      </w:r>
      <w:r w:rsidR="009C6707" w:rsidRPr="00FA5C8D">
        <w:rPr>
          <w:rFonts w:ascii="Book Antiqua" w:hAnsi="Book Antiqua" w:cs="Times New Roman"/>
          <w:sz w:val="24"/>
          <w:szCs w:val="24"/>
        </w:rPr>
        <w:t xml:space="preserve">tissue </w:t>
      </w:r>
      <w:proofErr w:type="spellStart"/>
      <w:r w:rsidR="009C6707" w:rsidRPr="00FA5C8D">
        <w:rPr>
          <w:rFonts w:ascii="Book Antiqua" w:hAnsi="Book Antiqua" w:cs="Times New Roman"/>
          <w:sz w:val="24"/>
          <w:szCs w:val="24"/>
        </w:rPr>
        <w:t>transglutaminase</w:t>
      </w:r>
      <w:proofErr w:type="spellEnd"/>
      <w:r w:rsidRPr="00FA5C8D">
        <w:rPr>
          <w:rFonts w:ascii="Book Antiqua" w:hAnsi="Book Antiqua" w:cs="Times New Roman"/>
          <w:sz w:val="24"/>
          <w:szCs w:val="24"/>
        </w:rPr>
        <w:t xml:space="preserve"> antibodies (</w:t>
      </w:r>
      <w:proofErr w:type="spellStart"/>
      <w:r w:rsidR="00C548F3" w:rsidRPr="00FA5C8D">
        <w:rPr>
          <w:rFonts w:ascii="Book Antiqua" w:hAnsi="Book Antiqua" w:cs="Times New Roman"/>
          <w:sz w:val="24"/>
          <w:szCs w:val="24"/>
        </w:rPr>
        <w:t>aTTG</w:t>
      </w:r>
      <w:proofErr w:type="spellEnd"/>
      <w:r w:rsidRPr="00FA5C8D">
        <w:rPr>
          <w:rFonts w:ascii="Book Antiqua" w:hAnsi="Book Antiqua" w:cs="Times New Roman"/>
          <w:sz w:val="24"/>
          <w:szCs w:val="24"/>
        </w:rPr>
        <w:t>)</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is not an ideal </w:t>
      </w:r>
      <w:r w:rsidR="00C548F3" w:rsidRPr="00FA5C8D">
        <w:rPr>
          <w:rFonts w:ascii="Book Antiqua" w:hAnsi="Book Antiqua" w:cs="Times New Roman"/>
          <w:sz w:val="24"/>
          <w:szCs w:val="24"/>
        </w:rPr>
        <w:t xml:space="preserve">predictor of persistent </w:t>
      </w:r>
      <w:r w:rsidRPr="00FA5C8D">
        <w:rPr>
          <w:rFonts w:ascii="Book Antiqua" w:hAnsi="Book Antiqua" w:cs="Times New Roman"/>
          <w:sz w:val="24"/>
          <w:szCs w:val="24"/>
        </w:rPr>
        <w:t>villous atrophy</w:t>
      </w:r>
      <w:r w:rsidR="001231D9" w:rsidRPr="00FA5C8D">
        <w:rPr>
          <w:rFonts w:ascii="Book Antiqua" w:hAnsi="Book Antiqua" w:cs="Times New Roman"/>
          <w:sz w:val="24"/>
          <w:szCs w:val="24"/>
        </w:rPr>
        <w:t xml:space="preserve"> (VA)</w:t>
      </w:r>
      <w:r w:rsidRPr="00FA5C8D">
        <w:rPr>
          <w:rFonts w:ascii="Book Antiqua" w:hAnsi="Book Antiqua" w:cs="Times New Roman"/>
          <w:sz w:val="24"/>
          <w:szCs w:val="24"/>
        </w:rPr>
        <w:t>.</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Data regarding prediction of atrophy </w:t>
      </w:r>
      <w:r w:rsidR="004B15EC" w:rsidRPr="00FA5C8D">
        <w:rPr>
          <w:rFonts w:ascii="Book Antiqua" w:hAnsi="Book Antiqua" w:cs="Times New Roman"/>
          <w:sz w:val="24"/>
          <w:szCs w:val="24"/>
        </w:rPr>
        <w:t>using</w:t>
      </w:r>
      <w:r w:rsidR="009C6707" w:rsidRPr="00FA5C8D">
        <w:rPr>
          <w:rFonts w:ascii="Book Antiqua" w:hAnsi="Book Antiqua" w:cs="Times New Roman"/>
          <w:sz w:val="24"/>
          <w:szCs w:val="24"/>
        </w:rPr>
        <w:t xml:space="preserve"> </w:t>
      </w:r>
      <w:r w:rsidR="00623748" w:rsidRPr="00FA5C8D">
        <w:rPr>
          <w:rFonts w:ascii="Book Antiqua" w:hAnsi="Book Antiqua" w:cs="Times New Roman"/>
          <w:sz w:val="24"/>
          <w:szCs w:val="24"/>
        </w:rPr>
        <w:t>anti-deamidated</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gliadin peptide antibodies (</w:t>
      </w:r>
      <w:proofErr w:type="spellStart"/>
      <w:r w:rsidRPr="00FA5C8D">
        <w:rPr>
          <w:rFonts w:ascii="Book Antiqua" w:hAnsi="Book Antiqua" w:cs="Times New Roman"/>
          <w:sz w:val="24"/>
          <w:szCs w:val="24"/>
        </w:rPr>
        <w:t>a</w:t>
      </w:r>
      <w:r w:rsidR="00210F81" w:rsidRPr="00FA5C8D">
        <w:rPr>
          <w:rFonts w:ascii="Book Antiqua" w:hAnsi="Book Antiqua" w:cs="Times New Roman"/>
          <w:sz w:val="24"/>
          <w:szCs w:val="24"/>
        </w:rPr>
        <w:t>DGP</w:t>
      </w:r>
      <w:proofErr w:type="spellEnd"/>
      <w:r w:rsidRPr="00FA5C8D">
        <w:rPr>
          <w:rFonts w:ascii="Book Antiqua" w:hAnsi="Book Antiqua" w:cs="Times New Roman"/>
          <w:sz w:val="24"/>
          <w:szCs w:val="24"/>
        </w:rPr>
        <w:t>)</w:t>
      </w:r>
      <w:r w:rsidR="00210F81" w:rsidRPr="00FA5C8D">
        <w:rPr>
          <w:rFonts w:ascii="Book Antiqua" w:hAnsi="Book Antiqua" w:cs="Times New Roman"/>
          <w:sz w:val="24"/>
          <w:szCs w:val="24"/>
        </w:rPr>
        <w:t xml:space="preserve"> and abdominal ultrasonography are lacking</w:t>
      </w:r>
      <w:r w:rsidR="00C548F3" w:rsidRPr="00FA5C8D">
        <w:rPr>
          <w:rFonts w:ascii="Book Antiqua" w:hAnsi="Book Antiqua" w:cs="Times New Roman"/>
          <w:sz w:val="24"/>
          <w:szCs w:val="24"/>
        </w:rPr>
        <w:t>.</w:t>
      </w:r>
    </w:p>
    <w:p w14:paraId="51D20701"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01639758" w14:textId="77777777" w:rsidR="0058298B" w:rsidRPr="00FA5C8D" w:rsidRDefault="0058298B" w:rsidP="00FA5C8D">
      <w:pPr>
        <w:adjustRightInd w:val="0"/>
        <w:snapToGrid w:val="0"/>
        <w:spacing w:after="0" w:line="360" w:lineRule="auto"/>
        <w:jc w:val="both"/>
        <w:rPr>
          <w:rFonts w:ascii="Book Antiqua" w:hAnsi="Book Antiqua"/>
          <w:color w:val="0000FF"/>
          <w:sz w:val="24"/>
          <w:szCs w:val="24"/>
          <w:lang w:val="en" w:eastAsia="zh-CN"/>
        </w:rPr>
      </w:pPr>
      <w:r w:rsidRPr="00FA5C8D">
        <w:rPr>
          <w:rFonts w:ascii="Book Antiqua" w:hAnsi="Book Antiqua"/>
          <w:color w:val="000000"/>
          <w:sz w:val="24"/>
          <w:szCs w:val="24"/>
        </w:rPr>
        <w:t>AIM</w:t>
      </w:r>
      <w:r w:rsidRPr="00FA5C8D">
        <w:rPr>
          <w:rFonts w:ascii="Book Antiqua" w:hAnsi="Book Antiqua"/>
          <w:color w:val="0000FF"/>
          <w:sz w:val="24"/>
          <w:szCs w:val="24"/>
          <w:lang w:val="en"/>
        </w:rPr>
        <w:t xml:space="preserve"> </w:t>
      </w:r>
    </w:p>
    <w:p w14:paraId="64B1C69C" w14:textId="77777777" w:rsidR="00C548F3" w:rsidRPr="00FA5C8D" w:rsidRDefault="001F1E82"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 xml:space="preserve">To </w:t>
      </w:r>
      <w:r w:rsidR="00C548F3" w:rsidRPr="00FA5C8D">
        <w:rPr>
          <w:rFonts w:ascii="Book Antiqua" w:hAnsi="Book Antiqua" w:cs="Times New Roman"/>
          <w:sz w:val="24"/>
          <w:szCs w:val="24"/>
        </w:rPr>
        <w:t xml:space="preserve">evaluate </w:t>
      </w:r>
      <w:r w:rsidR="008C1CE8" w:rsidRPr="00FA5C8D">
        <w:rPr>
          <w:rFonts w:ascii="Book Antiqua" w:hAnsi="Book Antiqua" w:cs="Times New Roman"/>
          <w:sz w:val="24"/>
          <w:szCs w:val="24"/>
        </w:rPr>
        <w:t xml:space="preserve">the </w:t>
      </w:r>
      <w:r w:rsidR="00C548F3" w:rsidRPr="00FA5C8D">
        <w:rPr>
          <w:rFonts w:ascii="Book Antiqua" w:hAnsi="Book Antiqua" w:cs="Times New Roman"/>
          <w:sz w:val="24"/>
          <w:szCs w:val="24"/>
        </w:rPr>
        <w:t xml:space="preserve">ability of aTTG, aDGP, small bowel ultrasonography, </w:t>
      </w:r>
      <w:r w:rsidR="008C1CE8" w:rsidRPr="00FA5C8D">
        <w:rPr>
          <w:rFonts w:ascii="Book Antiqua" w:hAnsi="Book Antiqua" w:cs="Times New Roman"/>
          <w:sz w:val="24"/>
          <w:szCs w:val="24"/>
        </w:rPr>
        <w:t xml:space="preserve">and </w:t>
      </w:r>
      <w:r w:rsidR="00C548F3" w:rsidRPr="00FA5C8D">
        <w:rPr>
          <w:rFonts w:ascii="Book Antiqua" w:hAnsi="Book Antiqua" w:cs="Times New Roman"/>
          <w:sz w:val="24"/>
          <w:szCs w:val="24"/>
        </w:rPr>
        <w:t xml:space="preserve">clinical and laboratory parameters </w:t>
      </w:r>
      <w:r w:rsidR="008C1CE8" w:rsidRPr="00FA5C8D">
        <w:rPr>
          <w:rFonts w:ascii="Book Antiqua" w:hAnsi="Book Antiqua" w:cs="Times New Roman"/>
          <w:sz w:val="24"/>
          <w:szCs w:val="24"/>
        </w:rPr>
        <w:t>in</w:t>
      </w:r>
      <w:r w:rsidR="009C6707" w:rsidRPr="00FA5C8D">
        <w:rPr>
          <w:rFonts w:ascii="Book Antiqua" w:hAnsi="Book Antiqua" w:cs="Times New Roman"/>
          <w:sz w:val="24"/>
          <w:szCs w:val="24"/>
        </w:rPr>
        <w:t xml:space="preserve"> </w:t>
      </w:r>
      <w:r w:rsidR="00C548F3" w:rsidRPr="00FA5C8D">
        <w:rPr>
          <w:rFonts w:ascii="Book Antiqua" w:hAnsi="Book Antiqua" w:cs="Times New Roman"/>
          <w:sz w:val="24"/>
          <w:szCs w:val="24"/>
        </w:rPr>
        <w:t>predict</w:t>
      </w:r>
      <w:r w:rsidR="008C1CE8" w:rsidRPr="00FA5C8D">
        <w:rPr>
          <w:rFonts w:ascii="Book Antiqua" w:hAnsi="Book Antiqua" w:cs="Times New Roman"/>
          <w:sz w:val="24"/>
          <w:szCs w:val="24"/>
        </w:rPr>
        <w:t>ing</w:t>
      </w:r>
      <w:r w:rsidR="00C548F3" w:rsidRPr="00FA5C8D">
        <w:rPr>
          <w:rFonts w:ascii="Book Antiqua" w:hAnsi="Book Antiqua" w:cs="Times New Roman"/>
          <w:sz w:val="24"/>
          <w:szCs w:val="24"/>
        </w:rPr>
        <w:t xml:space="preserve"> persistent </w:t>
      </w:r>
      <w:r w:rsidR="001231D9" w:rsidRPr="00FA5C8D">
        <w:rPr>
          <w:rFonts w:ascii="Book Antiqua" w:hAnsi="Book Antiqua" w:cs="Times New Roman"/>
          <w:sz w:val="24"/>
          <w:szCs w:val="24"/>
        </w:rPr>
        <w:t>VA</w:t>
      </w:r>
      <w:r w:rsidR="009C6707" w:rsidRPr="00FA5C8D">
        <w:rPr>
          <w:rFonts w:ascii="Book Antiqua" w:hAnsi="Book Antiqua" w:cs="Times New Roman"/>
          <w:sz w:val="24"/>
          <w:szCs w:val="24"/>
        </w:rPr>
        <w:t xml:space="preserve"> </w:t>
      </w:r>
      <w:r w:rsidR="00C8602E" w:rsidRPr="00FA5C8D">
        <w:rPr>
          <w:rFonts w:ascii="Book Antiqua" w:hAnsi="Book Antiqua" w:cs="Times New Roman"/>
          <w:sz w:val="24"/>
          <w:szCs w:val="24"/>
        </w:rPr>
        <w:t>determined</w:t>
      </w:r>
      <w:r w:rsidR="009C6707" w:rsidRPr="00FA5C8D">
        <w:rPr>
          <w:rFonts w:ascii="Book Antiqua" w:hAnsi="Book Antiqua" w:cs="Times New Roman"/>
          <w:sz w:val="24"/>
          <w:szCs w:val="24"/>
        </w:rPr>
        <w:t xml:space="preserve"> </w:t>
      </w:r>
      <w:r w:rsidR="008C1CE8" w:rsidRPr="00FA5C8D">
        <w:rPr>
          <w:rFonts w:ascii="Book Antiqua" w:hAnsi="Book Antiqua" w:cs="Times New Roman"/>
          <w:sz w:val="24"/>
          <w:szCs w:val="24"/>
        </w:rPr>
        <w:t>using</w:t>
      </w:r>
      <w:r w:rsidR="009C6707" w:rsidRPr="00FA5C8D">
        <w:rPr>
          <w:rFonts w:ascii="Book Antiqua" w:hAnsi="Book Antiqua" w:cs="Times New Roman"/>
          <w:sz w:val="24"/>
          <w:szCs w:val="24"/>
        </w:rPr>
        <w:t xml:space="preserve"> </w:t>
      </w:r>
      <w:r w:rsidR="009A6B90" w:rsidRPr="00FA5C8D">
        <w:rPr>
          <w:rFonts w:ascii="Book Antiqua" w:hAnsi="Book Antiqua" w:cs="Times New Roman"/>
          <w:sz w:val="24"/>
          <w:szCs w:val="24"/>
        </w:rPr>
        <w:t>histology</w:t>
      </w:r>
      <w:r w:rsidR="00C548F3" w:rsidRPr="00FA5C8D">
        <w:rPr>
          <w:rFonts w:ascii="Book Antiqua" w:hAnsi="Book Antiqua" w:cs="Times New Roman"/>
          <w:sz w:val="24"/>
          <w:szCs w:val="24"/>
        </w:rPr>
        <w:t xml:space="preserve">. </w:t>
      </w:r>
    </w:p>
    <w:p w14:paraId="131D3EFE"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64065FED" w14:textId="77777777" w:rsidR="0058298B" w:rsidRPr="00FA5C8D" w:rsidRDefault="0058298B" w:rsidP="00FA5C8D">
      <w:pPr>
        <w:adjustRightInd w:val="0"/>
        <w:snapToGrid w:val="0"/>
        <w:spacing w:after="0" w:line="360" w:lineRule="auto"/>
        <w:jc w:val="both"/>
        <w:rPr>
          <w:rFonts w:ascii="Book Antiqua" w:hAnsi="Book Antiqua"/>
          <w:color w:val="0000FF"/>
          <w:sz w:val="24"/>
          <w:szCs w:val="24"/>
          <w:lang w:val="en" w:eastAsia="zh-CN"/>
        </w:rPr>
      </w:pPr>
      <w:r w:rsidRPr="00FA5C8D">
        <w:rPr>
          <w:rFonts w:ascii="Book Antiqua" w:hAnsi="Book Antiqua"/>
          <w:color w:val="000000"/>
          <w:sz w:val="24"/>
          <w:szCs w:val="24"/>
        </w:rPr>
        <w:t>METHODS</w:t>
      </w:r>
      <w:r w:rsidRPr="00FA5C8D">
        <w:rPr>
          <w:rFonts w:ascii="Book Antiqua" w:hAnsi="Book Antiqua"/>
          <w:color w:val="0000FF"/>
          <w:sz w:val="24"/>
          <w:szCs w:val="24"/>
          <w:lang w:val="en"/>
        </w:rPr>
        <w:t xml:space="preserve"> </w:t>
      </w:r>
    </w:p>
    <w:p w14:paraId="639AF624" w14:textId="77777777" w:rsidR="00CA6F1C" w:rsidRPr="00FA5C8D" w:rsidRDefault="00C548F3"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 xml:space="preserve">Patients with </w:t>
      </w:r>
      <w:r w:rsidR="00487EB6" w:rsidRPr="00FA5C8D">
        <w:rPr>
          <w:rFonts w:ascii="Book Antiqua" w:hAnsi="Book Antiqua" w:cs="Times New Roman"/>
          <w:sz w:val="24"/>
          <w:szCs w:val="24"/>
        </w:rPr>
        <w:t>CD</w:t>
      </w:r>
      <w:r w:rsidR="009C6707" w:rsidRPr="00FA5C8D">
        <w:rPr>
          <w:rFonts w:ascii="Book Antiqua" w:hAnsi="Book Antiqua" w:cs="Times New Roman"/>
          <w:sz w:val="24"/>
          <w:szCs w:val="24"/>
        </w:rPr>
        <w:t xml:space="preserve"> </w:t>
      </w:r>
      <w:r w:rsidR="004A4668" w:rsidRPr="00FA5C8D">
        <w:rPr>
          <w:rFonts w:ascii="Book Antiqua" w:hAnsi="Book Antiqua" w:cs="Times New Roman"/>
          <w:sz w:val="24"/>
          <w:szCs w:val="24"/>
        </w:rPr>
        <w:t xml:space="preserve">at least 1 year on </w:t>
      </w:r>
      <w:r w:rsidR="0066448D" w:rsidRPr="00FA5C8D">
        <w:rPr>
          <w:rFonts w:ascii="Book Antiqua" w:hAnsi="Book Antiqua" w:cs="Times New Roman"/>
          <w:sz w:val="24"/>
          <w:szCs w:val="24"/>
        </w:rPr>
        <w:t>a GFD</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and available </w:t>
      </w:r>
      <w:r w:rsidR="004B15EC" w:rsidRPr="00FA5C8D">
        <w:rPr>
          <w:rFonts w:ascii="Book Antiqua" w:hAnsi="Book Antiqua" w:cs="Times New Roman"/>
          <w:sz w:val="24"/>
          <w:szCs w:val="24"/>
        </w:rPr>
        <w:t>follow-up</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duodenal biopsy, </w:t>
      </w:r>
      <w:r w:rsidR="004A4668" w:rsidRPr="00FA5C8D">
        <w:rPr>
          <w:rFonts w:ascii="Book Antiqua" w:hAnsi="Book Antiqua" w:cs="Times New Roman"/>
          <w:sz w:val="24"/>
          <w:szCs w:val="24"/>
        </w:rPr>
        <w:t>level</w:t>
      </w:r>
      <w:r w:rsidR="00903AA6" w:rsidRPr="00FA5C8D">
        <w:rPr>
          <w:rFonts w:ascii="Book Antiqua" w:hAnsi="Book Antiqua" w:cs="Times New Roman"/>
          <w:sz w:val="24"/>
          <w:szCs w:val="24"/>
        </w:rPr>
        <w:t>s</w:t>
      </w:r>
      <w:r w:rsidR="004A4668" w:rsidRPr="00FA5C8D">
        <w:rPr>
          <w:rFonts w:ascii="Book Antiqua" w:hAnsi="Book Antiqua" w:cs="Times New Roman"/>
          <w:sz w:val="24"/>
          <w:szCs w:val="24"/>
        </w:rPr>
        <w:t xml:space="preserve"> of </w:t>
      </w:r>
      <w:proofErr w:type="spellStart"/>
      <w:r w:rsidRPr="00FA5C8D">
        <w:rPr>
          <w:rFonts w:ascii="Book Antiqua" w:hAnsi="Book Antiqua" w:cs="Times New Roman"/>
          <w:sz w:val="24"/>
          <w:szCs w:val="24"/>
        </w:rPr>
        <w:t>aTTG</w:t>
      </w:r>
      <w:proofErr w:type="spellEnd"/>
      <w:r w:rsidR="00AE0B14" w:rsidRPr="00FA5C8D">
        <w:rPr>
          <w:rFonts w:ascii="Book Antiqua" w:hAnsi="Book Antiqua" w:cs="Times New Roman"/>
          <w:sz w:val="24"/>
          <w:szCs w:val="24"/>
        </w:rPr>
        <w:t xml:space="preserve"> </w:t>
      </w:r>
      <w:r w:rsidR="00903AA6" w:rsidRPr="00FA5C8D">
        <w:rPr>
          <w:rFonts w:ascii="Book Antiqua" w:hAnsi="Book Antiqua" w:cs="Times New Roman"/>
          <w:sz w:val="24"/>
          <w:szCs w:val="24"/>
        </w:rPr>
        <w:t xml:space="preserve">and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w:t>
      </w:r>
      <w:r w:rsidR="00AE0B14" w:rsidRPr="00FA5C8D">
        <w:rPr>
          <w:rFonts w:ascii="Book Antiqua" w:hAnsi="Book Antiqua" w:cs="Times New Roman"/>
          <w:sz w:val="24"/>
          <w:szCs w:val="24"/>
        </w:rPr>
        <w:t xml:space="preserve"> </w:t>
      </w:r>
      <w:r w:rsidR="005C29BA" w:rsidRPr="00FA5C8D">
        <w:rPr>
          <w:rFonts w:ascii="Book Antiqua" w:hAnsi="Book Antiqua" w:cs="Times New Roman"/>
          <w:sz w:val="24"/>
          <w:szCs w:val="24"/>
        </w:rPr>
        <w:t xml:space="preserve">and </w:t>
      </w:r>
      <w:r w:rsidR="008C3D12" w:rsidRPr="00FA5C8D">
        <w:rPr>
          <w:rFonts w:ascii="Book Antiqua" w:hAnsi="Book Antiqua" w:cs="Times New Roman"/>
          <w:sz w:val="24"/>
          <w:szCs w:val="24"/>
        </w:rPr>
        <w:t xml:space="preserve">underwent </w:t>
      </w:r>
      <w:r w:rsidR="00A55CBF" w:rsidRPr="00FA5C8D">
        <w:rPr>
          <w:rFonts w:ascii="Book Antiqua" w:hAnsi="Book Antiqua" w:cs="Times New Roman"/>
          <w:sz w:val="24"/>
          <w:szCs w:val="24"/>
        </w:rPr>
        <w:t>small bowel</w:t>
      </w:r>
      <w:r w:rsidRPr="00FA5C8D">
        <w:rPr>
          <w:rFonts w:ascii="Book Antiqua" w:hAnsi="Book Antiqua" w:cs="Times New Roman"/>
          <w:sz w:val="24"/>
          <w:szCs w:val="24"/>
        </w:rPr>
        <w:t xml:space="preserve"> ultrasonography were included in </w:t>
      </w:r>
      <w:r w:rsidR="008E2957" w:rsidRPr="00FA5C8D">
        <w:rPr>
          <w:rFonts w:ascii="Book Antiqua" w:hAnsi="Book Antiqua" w:cs="Times New Roman"/>
          <w:sz w:val="24"/>
          <w:szCs w:val="24"/>
        </w:rPr>
        <w:t>th</w:t>
      </w:r>
      <w:r w:rsidR="008C3D12" w:rsidRPr="00FA5C8D">
        <w:rPr>
          <w:rFonts w:ascii="Book Antiqua" w:hAnsi="Book Antiqua" w:cs="Times New Roman"/>
          <w:sz w:val="24"/>
          <w:szCs w:val="24"/>
        </w:rPr>
        <w:t>is</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retrospective cohort study. </w:t>
      </w:r>
      <w:r w:rsidR="00CA6F1C" w:rsidRPr="00FA5C8D">
        <w:rPr>
          <w:rFonts w:ascii="Book Antiqua" w:hAnsi="Book Antiqua" w:cs="Times New Roman"/>
          <w:sz w:val="24"/>
          <w:szCs w:val="24"/>
        </w:rPr>
        <w:t>We evaluate</w:t>
      </w:r>
      <w:r w:rsidR="005C29BA" w:rsidRPr="00FA5C8D">
        <w:rPr>
          <w:rFonts w:ascii="Book Antiqua" w:hAnsi="Book Antiqua" w:cs="Times New Roman"/>
          <w:sz w:val="24"/>
          <w:szCs w:val="24"/>
        </w:rPr>
        <w:t>d</w:t>
      </w:r>
      <w:r w:rsidR="009C6707" w:rsidRPr="00FA5C8D">
        <w:rPr>
          <w:rFonts w:ascii="Book Antiqua" w:hAnsi="Book Antiqua" w:cs="Times New Roman"/>
          <w:sz w:val="24"/>
          <w:szCs w:val="24"/>
        </w:rPr>
        <w:t xml:space="preserve"> </w:t>
      </w:r>
      <w:r w:rsidR="00D457FF" w:rsidRPr="00FA5C8D">
        <w:rPr>
          <w:rFonts w:ascii="Book Antiqua" w:hAnsi="Book Antiqua" w:cs="Times New Roman"/>
          <w:sz w:val="24"/>
          <w:szCs w:val="24"/>
        </w:rPr>
        <w:t xml:space="preserve">the </w:t>
      </w:r>
      <w:r w:rsidR="00CA6F1C" w:rsidRPr="00FA5C8D">
        <w:rPr>
          <w:rFonts w:ascii="Book Antiqua" w:hAnsi="Book Antiqua" w:cs="Times New Roman"/>
          <w:sz w:val="24"/>
          <w:szCs w:val="24"/>
        </w:rPr>
        <w:t xml:space="preserve">sensitivity, specificity, </w:t>
      </w:r>
      <w:r w:rsidR="00D457FF" w:rsidRPr="00FA5C8D">
        <w:rPr>
          <w:rFonts w:ascii="Book Antiqua" w:hAnsi="Book Antiqua" w:cs="Times New Roman"/>
          <w:sz w:val="24"/>
          <w:szCs w:val="24"/>
        </w:rPr>
        <w:t xml:space="preserve">and </w:t>
      </w:r>
      <w:r w:rsidR="00CA6F1C" w:rsidRPr="00FA5C8D">
        <w:rPr>
          <w:rFonts w:ascii="Book Antiqua" w:hAnsi="Book Antiqua" w:cs="Times New Roman"/>
          <w:sz w:val="24"/>
          <w:szCs w:val="24"/>
        </w:rPr>
        <w:t>positive and negative predictive value</w:t>
      </w:r>
      <w:r w:rsidR="004A4668" w:rsidRPr="00FA5C8D">
        <w:rPr>
          <w:rFonts w:ascii="Book Antiqua" w:hAnsi="Book Antiqua" w:cs="Times New Roman"/>
          <w:sz w:val="24"/>
          <w:szCs w:val="24"/>
        </w:rPr>
        <w:t>s</w:t>
      </w:r>
      <w:r w:rsidR="00CA6F1C" w:rsidRPr="00FA5C8D">
        <w:rPr>
          <w:rFonts w:ascii="Book Antiqua" w:hAnsi="Book Antiqua" w:cs="Times New Roman"/>
          <w:sz w:val="24"/>
          <w:szCs w:val="24"/>
        </w:rPr>
        <w:t xml:space="preserve"> of </w:t>
      </w:r>
      <w:proofErr w:type="spellStart"/>
      <w:r w:rsidR="00CA6F1C" w:rsidRPr="00FA5C8D">
        <w:rPr>
          <w:rFonts w:ascii="Book Antiqua" w:hAnsi="Book Antiqua" w:cs="Times New Roman"/>
          <w:sz w:val="24"/>
          <w:szCs w:val="24"/>
        </w:rPr>
        <w:t>aTTG</w:t>
      </w:r>
      <w:proofErr w:type="spellEnd"/>
      <w:r w:rsidR="00CA6F1C" w:rsidRPr="00FA5C8D">
        <w:rPr>
          <w:rFonts w:ascii="Book Antiqua" w:hAnsi="Book Antiqua" w:cs="Times New Roman"/>
          <w:sz w:val="24"/>
          <w:szCs w:val="24"/>
        </w:rPr>
        <w:t xml:space="preserve">, </w:t>
      </w:r>
      <w:proofErr w:type="spellStart"/>
      <w:r w:rsidR="00CA6F1C" w:rsidRPr="00FA5C8D">
        <w:rPr>
          <w:rFonts w:ascii="Book Antiqua" w:hAnsi="Book Antiqua" w:cs="Times New Roman"/>
          <w:sz w:val="24"/>
          <w:szCs w:val="24"/>
        </w:rPr>
        <w:t>aDGP</w:t>
      </w:r>
      <w:proofErr w:type="spellEnd"/>
      <w:r w:rsidR="00CA6F1C" w:rsidRPr="00FA5C8D">
        <w:rPr>
          <w:rFonts w:ascii="Book Antiqua" w:hAnsi="Book Antiqua" w:cs="Times New Roman"/>
          <w:sz w:val="24"/>
          <w:szCs w:val="24"/>
        </w:rPr>
        <w:t>, small bowel ultr</w:t>
      </w:r>
      <w:r w:rsidR="004A4668" w:rsidRPr="00FA5C8D">
        <w:rPr>
          <w:rFonts w:ascii="Book Antiqua" w:hAnsi="Book Antiqua" w:cs="Times New Roman"/>
          <w:sz w:val="24"/>
          <w:szCs w:val="24"/>
        </w:rPr>
        <w:t>a</w:t>
      </w:r>
      <w:r w:rsidR="00CA6F1C" w:rsidRPr="00FA5C8D">
        <w:rPr>
          <w:rFonts w:ascii="Book Antiqua" w:hAnsi="Book Antiqua" w:cs="Times New Roman"/>
          <w:sz w:val="24"/>
          <w:szCs w:val="24"/>
        </w:rPr>
        <w:t xml:space="preserve">sonography, laboratory and clinical parameters to predict persistent </w:t>
      </w:r>
      <w:r w:rsidR="002A7182" w:rsidRPr="00FA5C8D">
        <w:rPr>
          <w:rFonts w:ascii="Book Antiqua" w:hAnsi="Book Antiqua" w:cs="Times New Roman"/>
          <w:sz w:val="24"/>
          <w:szCs w:val="24"/>
        </w:rPr>
        <w:t>VA</w:t>
      </w:r>
      <w:r w:rsidR="00CA6F1C" w:rsidRPr="00FA5C8D">
        <w:rPr>
          <w:rFonts w:ascii="Book Antiqua" w:hAnsi="Book Antiqua" w:cs="Times New Roman"/>
          <w:sz w:val="24"/>
          <w:szCs w:val="24"/>
        </w:rPr>
        <w:t xml:space="preserve">. </w:t>
      </w:r>
      <w:r w:rsidR="008F50E5" w:rsidRPr="00FA5C8D">
        <w:rPr>
          <w:rFonts w:ascii="Book Antiqua" w:hAnsi="Book Antiqua" w:cs="Times New Roman"/>
          <w:sz w:val="24"/>
          <w:szCs w:val="24"/>
        </w:rPr>
        <w:t>A r</w:t>
      </w:r>
      <w:r w:rsidR="00D457FF" w:rsidRPr="00FA5C8D">
        <w:rPr>
          <w:rFonts w:ascii="Book Antiqua" w:hAnsi="Book Antiqua" w:cs="Times New Roman"/>
          <w:sz w:val="24"/>
          <w:szCs w:val="24"/>
        </w:rPr>
        <w:t>eceiver operating characteristic</w:t>
      </w:r>
      <w:r w:rsidR="00AE0B14" w:rsidRPr="00FA5C8D">
        <w:rPr>
          <w:rFonts w:ascii="Book Antiqua" w:hAnsi="Book Antiqua" w:cs="Times New Roman"/>
          <w:sz w:val="24"/>
          <w:szCs w:val="24"/>
        </w:rPr>
        <w:t xml:space="preserve"> </w:t>
      </w:r>
      <w:r w:rsidR="00D457FF" w:rsidRPr="00FA5C8D">
        <w:rPr>
          <w:rFonts w:ascii="Book Antiqua" w:hAnsi="Book Antiqua" w:cs="Times New Roman"/>
          <w:sz w:val="24"/>
          <w:szCs w:val="24"/>
        </w:rPr>
        <w:t>(</w:t>
      </w:r>
      <w:r w:rsidR="004A4668" w:rsidRPr="00FA5C8D">
        <w:rPr>
          <w:rFonts w:ascii="Book Antiqua" w:hAnsi="Book Antiqua" w:cs="Times New Roman"/>
          <w:sz w:val="24"/>
          <w:szCs w:val="24"/>
        </w:rPr>
        <w:t>ROC</w:t>
      </w:r>
      <w:r w:rsidR="00D457FF" w:rsidRPr="00FA5C8D">
        <w:rPr>
          <w:rFonts w:ascii="Book Antiqua" w:hAnsi="Book Antiqua" w:cs="Times New Roman"/>
          <w:sz w:val="24"/>
          <w:szCs w:val="24"/>
        </w:rPr>
        <w:t>)</w:t>
      </w:r>
      <w:r w:rsidR="00AE0B14" w:rsidRPr="00FA5C8D">
        <w:rPr>
          <w:rFonts w:ascii="Book Antiqua" w:hAnsi="Book Antiqua" w:cs="Times New Roman"/>
          <w:sz w:val="24"/>
          <w:szCs w:val="24"/>
        </w:rPr>
        <w:t xml:space="preserve"> </w:t>
      </w:r>
      <w:r w:rsidR="008F50E5" w:rsidRPr="00FA5C8D">
        <w:rPr>
          <w:rFonts w:ascii="Book Antiqua" w:hAnsi="Book Antiqua" w:cs="Times New Roman"/>
          <w:sz w:val="24"/>
          <w:szCs w:val="24"/>
        </w:rPr>
        <w:t xml:space="preserve">curve </w:t>
      </w:r>
      <w:r w:rsidR="004A4668" w:rsidRPr="00FA5C8D">
        <w:rPr>
          <w:rFonts w:ascii="Book Antiqua" w:hAnsi="Book Antiqua" w:cs="Times New Roman"/>
          <w:sz w:val="24"/>
          <w:szCs w:val="24"/>
        </w:rPr>
        <w:t xml:space="preserve">analysis </w:t>
      </w:r>
      <w:r w:rsidR="00CA6F1C" w:rsidRPr="00FA5C8D">
        <w:rPr>
          <w:rFonts w:ascii="Book Antiqua" w:hAnsi="Book Antiqua" w:cs="Times New Roman"/>
          <w:sz w:val="24"/>
          <w:szCs w:val="24"/>
        </w:rPr>
        <w:t xml:space="preserve">of antibody </w:t>
      </w:r>
      <w:r w:rsidR="004A4668" w:rsidRPr="00FA5C8D">
        <w:rPr>
          <w:rFonts w:ascii="Book Antiqua" w:hAnsi="Book Antiqua" w:cs="Times New Roman"/>
          <w:sz w:val="24"/>
          <w:szCs w:val="24"/>
        </w:rPr>
        <w:t>levels</w:t>
      </w:r>
      <w:r w:rsidR="00CA6F1C" w:rsidRPr="00FA5C8D">
        <w:rPr>
          <w:rFonts w:ascii="Book Antiqua" w:hAnsi="Book Antiqua" w:cs="Times New Roman"/>
          <w:sz w:val="24"/>
          <w:szCs w:val="24"/>
        </w:rPr>
        <w:t xml:space="preserve"> w</w:t>
      </w:r>
      <w:r w:rsidR="004A4668" w:rsidRPr="00FA5C8D">
        <w:rPr>
          <w:rFonts w:ascii="Book Antiqua" w:hAnsi="Book Antiqua" w:cs="Times New Roman"/>
          <w:sz w:val="24"/>
          <w:szCs w:val="24"/>
        </w:rPr>
        <w:t>as</w:t>
      </w:r>
      <w:r w:rsidR="00CA6F1C" w:rsidRPr="00FA5C8D">
        <w:rPr>
          <w:rFonts w:ascii="Book Antiqua" w:hAnsi="Book Antiqua" w:cs="Times New Roman"/>
          <w:sz w:val="24"/>
          <w:szCs w:val="24"/>
        </w:rPr>
        <w:t xml:space="preserve"> used to calculate cut</w:t>
      </w:r>
      <w:r w:rsidR="009C6707" w:rsidRPr="00FA5C8D">
        <w:rPr>
          <w:rFonts w:ascii="Book Antiqua" w:hAnsi="Book Antiqua" w:cs="Times New Roman"/>
          <w:sz w:val="24"/>
          <w:szCs w:val="24"/>
        </w:rPr>
        <w:t xml:space="preserve"> </w:t>
      </w:r>
      <w:r w:rsidR="00CA6F1C" w:rsidRPr="00FA5C8D">
        <w:rPr>
          <w:rFonts w:ascii="Book Antiqua" w:hAnsi="Book Antiqua" w:cs="Times New Roman"/>
          <w:sz w:val="24"/>
          <w:szCs w:val="24"/>
        </w:rPr>
        <w:t xml:space="preserve">off values with </w:t>
      </w:r>
      <w:r w:rsidR="008F50E5" w:rsidRPr="00FA5C8D">
        <w:rPr>
          <w:rFonts w:ascii="Book Antiqua" w:hAnsi="Book Antiqua" w:cs="Times New Roman"/>
          <w:sz w:val="24"/>
          <w:szCs w:val="24"/>
        </w:rPr>
        <w:t xml:space="preserve">the </w:t>
      </w:r>
      <w:r w:rsidR="00CA6F1C" w:rsidRPr="00FA5C8D">
        <w:rPr>
          <w:rFonts w:ascii="Book Antiqua" w:hAnsi="Book Antiqua" w:cs="Times New Roman"/>
          <w:sz w:val="24"/>
          <w:szCs w:val="24"/>
        </w:rPr>
        <w:t xml:space="preserve">highest accuracy for </w:t>
      </w:r>
      <w:r w:rsidR="004A4668" w:rsidRPr="00FA5C8D">
        <w:rPr>
          <w:rFonts w:ascii="Book Antiqua" w:hAnsi="Book Antiqua" w:cs="Times New Roman"/>
          <w:sz w:val="24"/>
          <w:szCs w:val="24"/>
        </w:rPr>
        <w:t>atrophy</w:t>
      </w:r>
      <w:r w:rsidR="00CA6F1C" w:rsidRPr="00FA5C8D">
        <w:rPr>
          <w:rFonts w:ascii="Book Antiqua" w:hAnsi="Book Antiqua" w:cs="Times New Roman"/>
          <w:sz w:val="24"/>
          <w:szCs w:val="24"/>
        </w:rPr>
        <w:t xml:space="preserve"> prediction.</w:t>
      </w:r>
    </w:p>
    <w:p w14:paraId="4AE1A443"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4D67685E" w14:textId="77777777" w:rsidR="0058298B" w:rsidRPr="00FA5C8D" w:rsidRDefault="0058298B" w:rsidP="00FA5C8D">
      <w:pPr>
        <w:adjustRightInd w:val="0"/>
        <w:snapToGrid w:val="0"/>
        <w:spacing w:after="0" w:line="360" w:lineRule="auto"/>
        <w:jc w:val="both"/>
        <w:rPr>
          <w:rFonts w:ascii="Book Antiqua" w:hAnsi="Book Antiqua"/>
          <w:color w:val="0000FF"/>
          <w:sz w:val="24"/>
          <w:szCs w:val="24"/>
          <w:lang w:val="en" w:eastAsia="zh-CN"/>
        </w:rPr>
      </w:pPr>
      <w:r w:rsidRPr="00FA5C8D">
        <w:rPr>
          <w:rFonts w:ascii="Book Antiqua" w:hAnsi="Book Antiqua"/>
          <w:color w:val="000000"/>
          <w:sz w:val="24"/>
          <w:szCs w:val="24"/>
        </w:rPr>
        <w:t>RESULTS</w:t>
      </w:r>
      <w:r w:rsidRPr="00FA5C8D">
        <w:rPr>
          <w:rFonts w:ascii="Book Antiqua" w:hAnsi="Book Antiqua"/>
          <w:color w:val="0000FF"/>
          <w:sz w:val="24"/>
          <w:szCs w:val="24"/>
          <w:lang w:val="en"/>
        </w:rPr>
        <w:t xml:space="preserve"> </w:t>
      </w:r>
    </w:p>
    <w:p w14:paraId="131BC9AC" w14:textId="77777777" w:rsidR="00704683" w:rsidRPr="00FA5C8D" w:rsidRDefault="00F86FD8" w:rsidP="00FA5C8D">
      <w:pPr>
        <w:snapToGrid w:val="0"/>
        <w:spacing w:after="0" w:line="360" w:lineRule="auto"/>
        <w:jc w:val="both"/>
        <w:rPr>
          <w:rFonts w:ascii="Book Antiqua" w:hAnsi="Book Antiqua" w:cs="Times New Roman"/>
          <w:bCs/>
          <w:sz w:val="24"/>
          <w:szCs w:val="24"/>
        </w:rPr>
      </w:pPr>
      <w:r w:rsidRPr="00FA5C8D">
        <w:rPr>
          <w:rFonts w:ascii="Book Antiqua" w:hAnsi="Book Antiqua" w:cs="Times New Roman"/>
          <w:sz w:val="24"/>
          <w:szCs w:val="24"/>
        </w:rPr>
        <w:t>Complete d</w:t>
      </w:r>
      <w:r w:rsidR="00CA6F1C" w:rsidRPr="00FA5C8D">
        <w:rPr>
          <w:rFonts w:ascii="Book Antiqua" w:hAnsi="Book Antiqua" w:cs="Times New Roman"/>
          <w:sz w:val="24"/>
          <w:szCs w:val="24"/>
        </w:rPr>
        <w:t xml:space="preserve">ata were available </w:t>
      </w:r>
      <w:r w:rsidR="008F50E5" w:rsidRPr="00FA5C8D">
        <w:rPr>
          <w:rFonts w:ascii="Book Antiqua" w:hAnsi="Book Antiqua" w:cs="Times New Roman"/>
          <w:sz w:val="24"/>
          <w:szCs w:val="24"/>
        </w:rPr>
        <w:t>for</w:t>
      </w:r>
      <w:r w:rsidR="009C6707" w:rsidRPr="00FA5C8D">
        <w:rPr>
          <w:rFonts w:ascii="Book Antiqua" w:hAnsi="Book Antiqua" w:cs="Times New Roman"/>
          <w:sz w:val="24"/>
          <w:szCs w:val="24"/>
        </w:rPr>
        <w:t xml:space="preserve"> </w:t>
      </w:r>
      <w:r w:rsidR="00ED4D17" w:rsidRPr="00FA5C8D">
        <w:rPr>
          <w:rFonts w:ascii="Book Antiqua" w:hAnsi="Book Antiqua" w:cs="Times New Roman"/>
          <w:sz w:val="24"/>
          <w:szCs w:val="24"/>
        </w:rPr>
        <w:t>82 patients</w:t>
      </w:r>
      <w:r w:rsidR="009C6707" w:rsidRPr="00FA5C8D">
        <w:rPr>
          <w:rFonts w:ascii="Book Antiqua" w:hAnsi="Book Antiqua" w:cs="Times New Roman"/>
          <w:sz w:val="24"/>
          <w:szCs w:val="24"/>
        </w:rPr>
        <w:t xml:space="preserve"> </w:t>
      </w:r>
      <w:r w:rsidR="008F50E5" w:rsidRPr="00FA5C8D">
        <w:rPr>
          <w:rFonts w:ascii="Book Antiqua" w:hAnsi="Book Antiqua" w:cs="Times New Roman"/>
          <w:sz w:val="24"/>
          <w:szCs w:val="24"/>
        </w:rPr>
        <w:t xml:space="preserve">who </w:t>
      </w:r>
      <w:r w:rsidR="009A45E9" w:rsidRPr="00FA5C8D">
        <w:rPr>
          <w:rFonts w:ascii="Book Antiqua" w:hAnsi="Book Antiqua" w:cs="Times New Roman"/>
          <w:sz w:val="24"/>
          <w:szCs w:val="24"/>
        </w:rPr>
        <w:t xml:space="preserve">were </w:t>
      </w:r>
      <w:r w:rsidR="00C075B3" w:rsidRPr="00FA5C8D">
        <w:rPr>
          <w:rFonts w:ascii="Book Antiqua" w:hAnsi="Book Antiqua" w:cs="Times New Roman"/>
          <w:sz w:val="24"/>
          <w:szCs w:val="24"/>
        </w:rPr>
        <w:t>followed</w:t>
      </w:r>
      <w:r w:rsidR="009C6707" w:rsidRPr="00FA5C8D">
        <w:rPr>
          <w:rFonts w:ascii="Book Antiqua" w:hAnsi="Book Antiqua" w:cs="Times New Roman"/>
          <w:sz w:val="24"/>
          <w:szCs w:val="24"/>
        </w:rPr>
        <w:t xml:space="preserve"> </w:t>
      </w:r>
      <w:r w:rsidR="00CA6F1C" w:rsidRPr="00FA5C8D">
        <w:rPr>
          <w:rFonts w:ascii="Book Antiqua" w:hAnsi="Book Antiqua" w:cs="Times New Roman"/>
          <w:sz w:val="24"/>
          <w:szCs w:val="24"/>
        </w:rPr>
        <w:t xml:space="preserve">up </w:t>
      </w:r>
      <w:r w:rsidR="00253611" w:rsidRPr="00FA5C8D">
        <w:rPr>
          <w:rFonts w:ascii="Book Antiqua" w:hAnsi="Book Antiqua" w:cs="Times New Roman"/>
          <w:sz w:val="24"/>
          <w:szCs w:val="24"/>
        </w:rPr>
        <w:t>over a</w:t>
      </w:r>
      <w:r w:rsidR="009C6707" w:rsidRPr="00FA5C8D">
        <w:rPr>
          <w:rFonts w:ascii="Book Antiqua" w:hAnsi="Book Antiqua" w:cs="Times New Roman"/>
          <w:sz w:val="24"/>
          <w:szCs w:val="24"/>
        </w:rPr>
        <w:t xml:space="preserve"> </w:t>
      </w:r>
      <w:r w:rsidR="00C075B3" w:rsidRPr="00FA5C8D">
        <w:rPr>
          <w:rFonts w:ascii="Book Antiqua" w:hAnsi="Book Antiqua" w:cs="Times New Roman"/>
          <w:sz w:val="24"/>
          <w:szCs w:val="24"/>
        </w:rPr>
        <w:t>period of four years (</w:t>
      </w:r>
      <w:r w:rsidR="00CA6F1C" w:rsidRPr="00FA5C8D">
        <w:rPr>
          <w:rFonts w:ascii="Book Antiqua" w:hAnsi="Book Antiqua" w:cs="Times New Roman"/>
          <w:sz w:val="24"/>
          <w:szCs w:val="24"/>
        </w:rPr>
        <w:t>2014</w:t>
      </w:r>
      <w:r w:rsidR="00360EDB" w:rsidRPr="00FA5C8D">
        <w:rPr>
          <w:rFonts w:ascii="Book Antiqua" w:hAnsi="Book Antiqua" w:cs="Times New Roman"/>
          <w:sz w:val="24"/>
          <w:szCs w:val="24"/>
        </w:rPr>
        <w:t>-</w:t>
      </w:r>
      <w:r w:rsidR="00CA6F1C" w:rsidRPr="00FA5C8D">
        <w:rPr>
          <w:rFonts w:ascii="Book Antiqua" w:hAnsi="Book Antiqua" w:cs="Times New Roman"/>
          <w:sz w:val="24"/>
          <w:szCs w:val="24"/>
        </w:rPr>
        <w:t>2018</w:t>
      </w:r>
      <w:r w:rsidR="00C075B3" w:rsidRPr="00FA5C8D">
        <w:rPr>
          <w:rFonts w:ascii="Book Antiqua" w:hAnsi="Book Antiqua" w:cs="Times New Roman"/>
          <w:sz w:val="24"/>
          <w:szCs w:val="24"/>
        </w:rPr>
        <w:t>)</w:t>
      </w:r>
      <w:r w:rsidR="00CA6F1C" w:rsidRPr="00FA5C8D">
        <w:rPr>
          <w:rFonts w:ascii="Book Antiqua" w:hAnsi="Book Antiqua" w:cs="Times New Roman"/>
          <w:sz w:val="24"/>
          <w:szCs w:val="24"/>
        </w:rPr>
        <w:t xml:space="preserve">. </w:t>
      </w:r>
      <w:r w:rsidR="009A45E9" w:rsidRPr="00FA5C8D">
        <w:rPr>
          <w:rFonts w:ascii="Book Antiqua" w:hAnsi="Book Antiqua" w:cs="Times New Roman"/>
          <w:sz w:val="24"/>
          <w:szCs w:val="24"/>
        </w:rPr>
        <w:t>Among</w:t>
      </w:r>
      <w:r w:rsidR="009C6707" w:rsidRPr="00FA5C8D">
        <w:rPr>
          <w:rFonts w:ascii="Book Antiqua" w:hAnsi="Book Antiqua" w:cs="Times New Roman"/>
          <w:sz w:val="24"/>
          <w:szCs w:val="24"/>
        </w:rPr>
        <w:t xml:space="preserve"> </w:t>
      </w:r>
      <w:r w:rsidR="00F3585D" w:rsidRPr="00FA5C8D">
        <w:rPr>
          <w:rFonts w:ascii="Book Antiqua" w:hAnsi="Book Antiqua" w:cs="Times New Roman"/>
          <w:sz w:val="24"/>
          <w:szCs w:val="24"/>
        </w:rPr>
        <w:t xml:space="preserve">patients </w:t>
      </w:r>
      <w:r w:rsidR="009A45E9" w:rsidRPr="00FA5C8D">
        <w:rPr>
          <w:rFonts w:ascii="Book Antiqua" w:hAnsi="Book Antiqua" w:cs="Times New Roman"/>
          <w:sz w:val="24"/>
          <w:szCs w:val="24"/>
        </w:rPr>
        <w:t>included in the</w:t>
      </w:r>
      <w:r w:rsidR="009C6707" w:rsidRPr="00FA5C8D">
        <w:rPr>
          <w:rFonts w:ascii="Book Antiqua" w:hAnsi="Book Antiqua" w:cs="Times New Roman"/>
          <w:sz w:val="24"/>
          <w:szCs w:val="24"/>
        </w:rPr>
        <w:t xml:space="preserve"> </w:t>
      </w:r>
      <w:r w:rsidR="00F3585D" w:rsidRPr="00FA5C8D">
        <w:rPr>
          <w:rFonts w:ascii="Book Antiqua" w:hAnsi="Book Antiqua" w:cs="Times New Roman"/>
          <w:sz w:val="24"/>
          <w:szCs w:val="24"/>
        </w:rPr>
        <w:t>analysis</w:t>
      </w:r>
      <w:r w:rsidR="00253611" w:rsidRPr="00FA5C8D">
        <w:rPr>
          <w:rFonts w:ascii="Book Antiqua" w:hAnsi="Book Antiqua" w:cs="Times New Roman"/>
          <w:sz w:val="24"/>
          <w:szCs w:val="24"/>
        </w:rPr>
        <w:t>,</w:t>
      </w:r>
      <w:r w:rsidR="009C6707" w:rsidRPr="00FA5C8D">
        <w:rPr>
          <w:rFonts w:ascii="Book Antiqua" w:hAnsi="Book Antiqua" w:cs="Times New Roman"/>
          <w:sz w:val="24"/>
          <w:szCs w:val="24"/>
        </w:rPr>
        <w:t xml:space="preserve"> </w:t>
      </w:r>
      <w:r w:rsidR="00CA6F1C" w:rsidRPr="00FA5C8D">
        <w:rPr>
          <w:rFonts w:ascii="Book Antiqua" w:hAnsi="Book Antiqua" w:cs="Times New Roman"/>
          <w:sz w:val="24"/>
          <w:szCs w:val="24"/>
        </w:rPr>
        <w:t>women (</w:t>
      </w:r>
      <w:r w:rsidR="009A45E9" w:rsidRPr="00FA5C8D">
        <w:rPr>
          <w:rFonts w:ascii="Book Antiqua" w:hAnsi="Book Antiqua" w:cs="Times New Roman"/>
          <w:sz w:val="24"/>
          <w:szCs w:val="24"/>
        </w:rPr>
        <w:t xml:space="preserve">67, </w:t>
      </w:r>
      <w:r w:rsidR="00CA6F1C" w:rsidRPr="00FA5C8D">
        <w:rPr>
          <w:rFonts w:ascii="Book Antiqua" w:hAnsi="Book Antiqua" w:cs="Times New Roman"/>
          <w:sz w:val="24"/>
          <w:szCs w:val="24"/>
        </w:rPr>
        <w:t xml:space="preserve">81.7%) </w:t>
      </w:r>
      <w:r w:rsidR="009A45E9" w:rsidRPr="00FA5C8D">
        <w:rPr>
          <w:rFonts w:ascii="Book Antiqua" w:hAnsi="Book Antiqua" w:cs="Times New Roman"/>
          <w:sz w:val="24"/>
          <w:szCs w:val="24"/>
        </w:rPr>
        <w:t xml:space="preserve">were predominant </w:t>
      </w:r>
      <w:r w:rsidR="00253611" w:rsidRPr="00FA5C8D">
        <w:rPr>
          <w:rFonts w:ascii="Book Antiqua" w:hAnsi="Book Antiqua" w:cs="Times New Roman"/>
          <w:sz w:val="24"/>
          <w:szCs w:val="24"/>
        </w:rPr>
        <w:t xml:space="preserve">and the </w:t>
      </w:r>
      <w:r w:rsidR="00CA6F1C" w:rsidRPr="00FA5C8D">
        <w:rPr>
          <w:rFonts w:ascii="Book Antiqua" w:hAnsi="Book Antiqua" w:cs="Times New Roman"/>
          <w:sz w:val="24"/>
          <w:szCs w:val="24"/>
        </w:rPr>
        <w:t>mean ag</w:t>
      </w:r>
      <w:r w:rsidR="00C075B3" w:rsidRPr="00FA5C8D">
        <w:rPr>
          <w:rFonts w:ascii="Book Antiqua" w:hAnsi="Book Antiqua" w:cs="Times New Roman"/>
          <w:sz w:val="24"/>
          <w:szCs w:val="24"/>
        </w:rPr>
        <w:t>e at diagnosis was 33.8</w:t>
      </w:r>
      <w:r w:rsidR="00784EAC" w:rsidRPr="00FA5C8D">
        <w:rPr>
          <w:rFonts w:ascii="Book Antiqua" w:hAnsi="Book Antiqua" w:cs="Times New Roman"/>
          <w:sz w:val="24"/>
          <w:szCs w:val="24"/>
        </w:rPr>
        <w:t xml:space="preserve"> years.</w:t>
      </w:r>
      <w:r w:rsidR="00C075B3" w:rsidRPr="00FA5C8D">
        <w:rPr>
          <w:rFonts w:ascii="Book Antiqua" w:hAnsi="Book Antiqua" w:cs="Times New Roman"/>
          <w:sz w:val="24"/>
          <w:szCs w:val="24"/>
        </w:rPr>
        <w:t xml:space="preserve"> Follow-</w:t>
      </w:r>
      <w:r w:rsidR="00CA6F1C" w:rsidRPr="00FA5C8D">
        <w:rPr>
          <w:rFonts w:ascii="Book Antiqua" w:hAnsi="Book Antiqua" w:cs="Times New Roman"/>
          <w:sz w:val="24"/>
          <w:szCs w:val="24"/>
        </w:rPr>
        <w:t xml:space="preserve">up biopsy revealed persistent </w:t>
      </w:r>
      <w:r w:rsidR="00A3267B" w:rsidRPr="00FA5C8D">
        <w:rPr>
          <w:rFonts w:ascii="Book Antiqua" w:hAnsi="Book Antiqua" w:cs="Times New Roman"/>
          <w:sz w:val="24"/>
          <w:szCs w:val="24"/>
        </w:rPr>
        <w:t>VA</w:t>
      </w:r>
      <w:r w:rsidR="00CA6F1C" w:rsidRPr="00FA5C8D">
        <w:rPr>
          <w:rFonts w:ascii="Book Antiqua" w:hAnsi="Book Antiqua" w:cs="Times New Roman"/>
          <w:sz w:val="24"/>
          <w:szCs w:val="24"/>
        </w:rPr>
        <w:t xml:space="preserve"> in </w:t>
      </w:r>
      <w:r w:rsidR="00704683" w:rsidRPr="00FA5C8D">
        <w:rPr>
          <w:rFonts w:ascii="Book Antiqua" w:hAnsi="Book Antiqua" w:cs="Times New Roman"/>
          <w:sz w:val="24"/>
          <w:szCs w:val="24"/>
        </w:rPr>
        <w:t xml:space="preserve">19 patients (23.2%). </w:t>
      </w:r>
      <w:r w:rsidR="00253611" w:rsidRPr="00FA5C8D">
        <w:rPr>
          <w:rFonts w:ascii="Book Antiqua" w:hAnsi="Book Antiqua" w:cs="Times New Roman"/>
          <w:sz w:val="24"/>
          <w:szCs w:val="24"/>
        </w:rPr>
        <w:t>The s</w:t>
      </w:r>
      <w:r w:rsidR="001E58D1" w:rsidRPr="00FA5C8D">
        <w:rPr>
          <w:rFonts w:ascii="Book Antiqua" w:hAnsi="Book Antiqua" w:cs="Times New Roman"/>
          <w:sz w:val="24"/>
          <w:szCs w:val="24"/>
        </w:rPr>
        <w:t>ensitivity</w:t>
      </w:r>
      <w:r w:rsidR="00704683" w:rsidRPr="00FA5C8D">
        <w:rPr>
          <w:rFonts w:ascii="Book Antiqua" w:hAnsi="Book Antiqua" w:cs="Times New Roman"/>
          <w:sz w:val="24"/>
          <w:szCs w:val="24"/>
        </w:rPr>
        <w:t xml:space="preserve"> and specificity of </w:t>
      </w:r>
      <w:proofErr w:type="spellStart"/>
      <w:r w:rsidR="00704683" w:rsidRPr="00FA5C8D">
        <w:rPr>
          <w:rFonts w:ascii="Book Antiqua" w:hAnsi="Book Antiqua" w:cs="Times New Roman"/>
          <w:sz w:val="24"/>
          <w:szCs w:val="24"/>
        </w:rPr>
        <w:t>aTTG</w:t>
      </w:r>
      <w:proofErr w:type="spellEnd"/>
      <w:r w:rsidR="009C6707" w:rsidRPr="00FA5C8D">
        <w:rPr>
          <w:rFonts w:ascii="Book Antiqua" w:hAnsi="Book Antiqua" w:cs="Times New Roman"/>
          <w:sz w:val="24"/>
          <w:szCs w:val="24"/>
        </w:rPr>
        <w:t xml:space="preserve"> </w:t>
      </w:r>
      <w:r w:rsidR="00356E4F" w:rsidRPr="00FA5C8D">
        <w:rPr>
          <w:rFonts w:ascii="Book Antiqua" w:hAnsi="Book Antiqua" w:cs="Times New Roman"/>
          <w:sz w:val="24"/>
          <w:szCs w:val="24"/>
        </w:rPr>
        <w:t xml:space="preserve">using </w:t>
      </w:r>
      <w:r w:rsidR="007A08FB" w:rsidRPr="00FA5C8D">
        <w:rPr>
          <w:rFonts w:ascii="Book Antiqua" w:hAnsi="Book Antiqua" w:cs="Times New Roman"/>
          <w:sz w:val="24"/>
          <w:szCs w:val="24"/>
        </w:rPr>
        <w:t xml:space="preserve">the </w:t>
      </w:r>
      <w:r w:rsidR="0092487E" w:rsidRPr="00FA5C8D">
        <w:rPr>
          <w:rFonts w:ascii="Book Antiqua" w:hAnsi="Book Antiqua" w:cs="Times New Roman"/>
          <w:sz w:val="24"/>
          <w:szCs w:val="24"/>
        </w:rPr>
        <w:t xml:space="preserve">manufacturer’s </w:t>
      </w:r>
      <w:r w:rsidR="006A720D" w:rsidRPr="00FA5C8D">
        <w:rPr>
          <w:rFonts w:ascii="Book Antiqua" w:hAnsi="Book Antiqua" w:cs="Times New Roman"/>
          <w:sz w:val="24"/>
          <w:szCs w:val="24"/>
        </w:rPr>
        <w:t xml:space="preserve">diagnostic </w:t>
      </w:r>
      <w:r w:rsidR="00356E4F" w:rsidRPr="00FA5C8D">
        <w:rPr>
          <w:rFonts w:ascii="Book Antiqua" w:hAnsi="Book Antiqua" w:cs="Times New Roman"/>
          <w:sz w:val="24"/>
          <w:szCs w:val="24"/>
        </w:rPr>
        <w:t xml:space="preserve">cutoff value </w:t>
      </w:r>
      <w:r w:rsidR="00704683" w:rsidRPr="00FA5C8D">
        <w:rPr>
          <w:rFonts w:ascii="Book Antiqua" w:hAnsi="Book Antiqua" w:cs="Times New Roman"/>
          <w:sz w:val="24"/>
          <w:szCs w:val="24"/>
        </w:rPr>
        <w:t xml:space="preserve">to predict </w:t>
      </w:r>
      <w:r w:rsidR="00F3585D" w:rsidRPr="00FA5C8D">
        <w:rPr>
          <w:rFonts w:ascii="Book Antiqua" w:hAnsi="Book Antiqua" w:cs="Times New Roman"/>
          <w:sz w:val="24"/>
          <w:szCs w:val="24"/>
        </w:rPr>
        <w:t>atrophy</w:t>
      </w:r>
      <w:r w:rsidR="00704683" w:rsidRPr="00FA5C8D">
        <w:rPr>
          <w:rFonts w:ascii="Book Antiqua" w:hAnsi="Book Antiqua" w:cs="Times New Roman"/>
          <w:sz w:val="24"/>
          <w:szCs w:val="24"/>
        </w:rPr>
        <w:t xml:space="preserve"> was </w:t>
      </w:r>
      <w:r w:rsidR="00704683" w:rsidRPr="00FA5C8D">
        <w:rPr>
          <w:rFonts w:ascii="Book Antiqua" w:hAnsi="Book Antiqua" w:cs="Times New Roman"/>
          <w:bCs/>
          <w:sz w:val="24"/>
          <w:szCs w:val="24"/>
        </w:rPr>
        <w:t>50% and 85.7%</w:t>
      </w:r>
      <w:r w:rsidR="00AD5B9A" w:rsidRPr="00FA5C8D">
        <w:rPr>
          <w:rFonts w:ascii="Book Antiqua" w:hAnsi="Book Antiqua" w:cs="Times New Roman"/>
          <w:bCs/>
          <w:sz w:val="24"/>
          <w:szCs w:val="24"/>
        </w:rPr>
        <w:t>,</w:t>
      </w:r>
      <w:r w:rsidR="00704683"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lastRenderedPageBreak/>
        <w:t xml:space="preserve">respectively, while </w:t>
      </w:r>
      <w:r w:rsidR="00253611" w:rsidRPr="00FA5C8D">
        <w:rPr>
          <w:rFonts w:ascii="Book Antiqua" w:hAnsi="Book Antiqua" w:cs="Times New Roman"/>
          <w:bCs/>
          <w:sz w:val="24"/>
          <w:szCs w:val="24"/>
        </w:rPr>
        <w:t xml:space="preserve">the </w:t>
      </w:r>
      <w:r w:rsidR="00704683" w:rsidRPr="00FA5C8D">
        <w:rPr>
          <w:rFonts w:ascii="Book Antiqua" w:hAnsi="Book Antiqua" w:cs="Times New Roman"/>
          <w:bCs/>
          <w:sz w:val="24"/>
          <w:szCs w:val="24"/>
        </w:rPr>
        <w:t>sensitivity and specificity of aDGP</w:t>
      </w:r>
      <w:r w:rsidR="006A720D" w:rsidRPr="00FA5C8D">
        <w:rPr>
          <w:rFonts w:ascii="Book Antiqua" w:hAnsi="Book Antiqua" w:cs="Times New Roman"/>
          <w:bCs/>
          <w:sz w:val="24"/>
          <w:szCs w:val="24"/>
        </w:rPr>
        <w:t xml:space="preserve"> (</w:t>
      </w:r>
      <w:r w:rsidR="00C372E9" w:rsidRPr="00FA5C8D">
        <w:rPr>
          <w:rFonts w:ascii="Book Antiqua" w:hAnsi="Book Antiqua" w:cs="Times New Roman"/>
          <w:bCs/>
          <w:sz w:val="24"/>
          <w:szCs w:val="24"/>
        </w:rPr>
        <w:t xml:space="preserve">using </w:t>
      </w:r>
      <w:r w:rsidR="007A08FB" w:rsidRPr="00FA5C8D">
        <w:rPr>
          <w:rFonts w:ascii="Book Antiqua" w:hAnsi="Book Antiqua" w:cs="Times New Roman"/>
          <w:bCs/>
          <w:sz w:val="24"/>
          <w:szCs w:val="24"/>
        </w:rPr>
        <w:t xml:space="preserve">the </w:t>
      </w:r>
      <w:r w:rsidR="00C372E9" w:rsidRPr="00FA5C8D">
        <w:rPr>
          <w:rFonts w:ascii="Book Antiqua" w:hAnsi="Book Antiqua" w:cs="Times New Roman"/>
          <w:bCs/>
          <w:sz w:val="24"/>
          <w:szCs w:val="24"/>
        </w:rPr>
        <w:t>diagnostic cutoff value)</w:t>
      </w:r>
      <w:r w:rsidR="00704683" w:rsidRPr="00FA5C8D">
        <w:rPr>
          <w:rFonts w:ascii="Book Antiqua" w:hAnsi="Book Antiqua" w:cs="Times New Roman"/>
          <w:bCs/>
          <w:sz w:val="24"/>
          <w:szCs w:val="24"/>
        </w:rPr>
        <w:t xml:space="preserve"> was 77.8% and 75%</w:t>
      </w:r>
      <w:r w:rsidR="00AD5B9A" w:rsidRPr="00FA5C8D">
        <w:rPr>
          <w:rFonts w:ascii="Book Antiqua" w:hAnsi="Book Antiqua" w:cs="Times New Roman"/>
          <w:bCs/>
          <w:sz w:val="24"/>
          <w:szCs w:val="24"/>
        </w:rPr>
        <w:t>,</w:t>
      </w:r>
      <w:r w:rsidR="00704683" w:rsidRPr="00FA5C8D">
        <w:rPr>
          <w:rFonts w:ascii="Book Antiqua" w:hAnsi="Book Antiqua" w:cs="Times New Roman"/>
          <w:bCs/>
          <w:sz w:val="24"/>
          <w:szCs w:val="24"/>
        </w:rPr>
        <w:t xml:space="preserve"> respectively. Calculation of </w:t>
      </w:r>
      <w:r w:rsidR="0012567D" w:rsidRPr="00FA5C8D">
        <w:rPr>
          <w:rFonts w:ascii="Book Antiqua" w:hAnsi="Book Antiqua" w:cs="Times New Roman"/>
          <w:bCs/>
          <w:sz w:val="24"/>
          <w:szCs w:val="24"/>
        </w:rPr>
        <w:t xml:space="preserve">an </w:t>
      </w:r>
      <w:r w:rsidR="00704683" w:rsidRPr="00FA5C8D">
        <w:rPr>
          <w:rFonts w:ascii="Book Antiqua" w:hAnsi="Book Antiqua" w:cs="Times New Roman"/>
          <w:bCs/>
          <w:sz w:val="24"/>
          <w:szCs w:val="24"/>
        </w:rPr>
        <w:t xml:space="preserve">optimal cutoff value </w:t>
      </w:r>
      <w:r w:rsidR="003F153F" w:rsidRPr="00FA5C8D">
        <w:rPr>
          <w:rFonts w:ascii="Book Antiqua" w:hAnsi="Book Antiqua" w:cs="Times New Roman"/>
          <w:bCs/>
          <w:sz w:val="24"/>
          <w:szCs w:val="24"/>
        </w:rPr>
        <w:t>using</w:t>
      </w:r>
      <w:r w:rsidR="00704683" w:rsidRPr="00FA5C8D">
        <w:rPr>
          <w:rFonts w:ascii="Book Antiqua" w:hAnsi="Book Antiqua" w:cs="Times New Roman"/>
          <w:bCs/>
          <w:sz w:val="24"/>
          <w:szCs w:val="24"/>
        </w:rPr>
        <w:t xml:space="preserve"> ROC analysis (13.4</w:t>
      </w:r>
      <w:r w:rsidR="00360EDB"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t>U/m</w:t>
      </w:r>
      <w:r w:rsidR="00E06DA3" w:rsidRPr="00FA5C8D">
        <w:rPr>
          <w:rFonts w:ascii="Book Antiqua" w:hAnsi="Book Antiqua" w:cs="Times New Roman"/>
          <w:bCs/>
          <w:sz w:val="24"/>
          <w:szCs w:val="24"/>
        </w:rPr>
        <w:t>L</w:t>
      </w:r>
      <w:r w:rsidR="00704683" w:rsidRPr="00FA5C8D">
        <w:rPr>
          <w:rFonts w:ascii="Book Antiqua" w:hAnsi="Book Antiqua" w:cs="Times New Roman"/>
          <w:bCs/>
          <w:sz w:val="24"/>
          <w:szCs w:val="24"/>
        </w:rPr>
        <w:t xml:space="preserve"> for </w:t>
      </w:r>
      <w:proofErr w:type="spellStart"/>
      <w:r w:rsidR="00784EAC" w:rsidRPr="00FA5C8D">
        <w:rPr>
          <w:rFonts w:ascii="Book Antiqua" w:hAnsi="Book Antiqua" w:cs="Times New Roman"/>
          <w:bCs/>
          <w:sz w:val="24"/>
          <w:szCs w:val="24"/>
        </w:rPr>
        <w:t>a</w:t>
      </w:r>
      <w:r w:rsidR="00704683" w:rsidRPr="00FA5C8D">
        <w:rPr>
          <w:rFonts w:ascii="Book Antiqua" w:hAnsi="Book Antiqua" w:cs="Times New Roman"/>
          <w:bCs/>
          <w:sz w:val="24"/>
          <w:szCs w:val="24"/>
        </w:rPr>
        <w:t>TTG</w:t>
      </w:r>
      <w:proofErr w:type="spellEnd"/>
      <w:r w:rsidR="00704683" w:rsidRPr="00FA5C8D">
        <w:rPr>
          <w:rFonts w:ascii="Book Antiqua" w:hAnsi="Book Antiqua" w:cs="Times New Roman"/>
          <w:bCs/>
          <w:sz w:val="24"/>
          <w:szCs w:val="24"/>
        </w:rPr>
        <w:t xml:space="preserve"> IgA and 22.6</w:t>
      </w:r>
      <w:r w:rsidR="00360EDB"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t>U/m</w:t>
      </w:r>
      <w:r w:rsidR="00E06DA3" w:rsidRPr="00FA5C8D">
        <w:rPr>
          <w:rFonts w:ascii="Book Antiqua" w:hAnsi="Book Antiqua" w:cs="Times New Roman"/>
          <w:bCs/>
          <w:sz w:val="24"/>
          <w:szCs w:val="24"/>
        </w:rPr>
        <w:t>L</w:t>
      </w:r>
      <w:r w:rsidR="00704683" w:rsidRPr="00FA5C8D">
        <w:rPr>
          <w:rFonts w:ascii="Book Antiqua" w:hAnsi="Book Antiqua" w:cs="Times New Roman"/>
          <w:bCs/>
          <w:sz w:val="24"/>
          <w:szCs w:val="24"/>
        </w:rPr>
        <w:t xml:space="preserve"> for </w:t>
      </w:r>
      <w:proofErr w:type="spellStart"/>
      <w:r w:rsidR="00784EAC" w:rsidRPr="00FA5C8D">
        <w:rPr>
          <w:rFonts w:ascii="Book Antiqua" w:hAnsi="Book Antiqua" w:cs="Times New Roman"/>
          <w:bCs/>
          <w:sz w:val="24"/>
          <w:szCs w:val="24"/>
        </w:rPr>
        <w:t>a</w:t>
      </w:r>
      <w:r w:rsidR="00704683" w:rsidRPr="00FA5C8D">
        <w:rPr>
          <w:rFonts w:ascii="Book Antiqua" w:hAnsi="Book Antiqua" w:cs="Times New Roman"/>
          <w:bCs/>
          <w:sz w:val="24"/>
          <w:szCs w:val="24"/>
        </w:rPr>
        <w:t>DGP</w:t>
      </w:r>
      <w:proofErr w:type="spellEnd"/>
      <w:r w:rsidR="00704683" w:rsidRPr="00FA5C8D">
        <w:rPr>
          <w:rFonts w:ascii="Book Antiqua" w:hAnsi="Book Antiqua" w:cs="Times New Roman"/>
          <w:bCs/>
          <w:sz w:val="24"/>
          <w:szCs w:val="24"/>
        </w:rPr>
        <w:t xml:space="preserve"> IgA) increased </w:t>
      </w:r>
      <w:r w:rsidR="0012567D" w:rsidRPr="00FA5C8D">
        <w:rPr>
          <w:rFonts w:ascii="Book Antiqua" w:hAnsi="Book Antiqua" w:cs="Times New Roman"/>
          <w:bCs/>
          <w:sz w:val="24"/>
          <w:szCs w:val="24"/>
        </w:rPr>
        <w:t xml:space="preserve">the </w:t>
      </w:r>
      <w:r w:rsidR="00704683" w:rsidRPr="00FA5C8D">
        <w:rPr>
          <w:rFonts w:ascii="Book Antiqua" w:hAnsi="Book Antiqua" w:cs="Times New Roman"/>
          <w:bCs/>
          <w:sz w:val="24"/>
          <w:szCs w:val="24"/>
        </w:rPr>
        <w:t>accuracy and reached 72</w:t>
      </w:r>
      <w:r w:rsidR="00C075B3" w:rsidRPr="00FA5C8D">
        <w:rPr>
          <w:rFonts w:ascii="Book Antiqua" w:hAnsi="Book Antiqua" w:cs="Times New Roman"/>
          <w:bCs/>
          <w:sz w:val="24"/>
          <w:szCs w:val="24"/>
        </w:rPr>
        <w:t>.</w:t>
      </w:r>
      <w:r w:rsidR="00704683" w:rsidRPr="00FA5C8D">
        <w:rPr>
          <w:rFonts w:ascii="Book Antiqua" w:hAnsi="Book Antiqua" w:cs="Times New Roman"/>
          <w:bCs/>
          <w:sz w:val="24"/>
          <w:szCs w:val="24"/>
        </w:rPr>
        <w:t xml:space="preserve">2% </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95%</w:t>
      </w:r>
      <w:r w:rsidR="00360EDB" w:rsidRPr="00FA5C8D">
        <w:rPr>
          <w:rFonts w:ascii="Book Antiqua" w:hAnsi="Book Antiqua" w:cs="Times New Roman"/>
          <w:bCs/>
          <w:sz w:val="24"/>
          <w:szCs w:val="24"/>
        </w:rPr>
        <w:t xml:space="preserve"> </w:t>
      </w:r>
      <w:r w:rsidR="00360EDB" w:rsidRPr="00FA5C8D">
        <w:rPr>
          <w:rFonts w:ascii="Book Antiqua" w:hAnsi="Book Antiqua" w:cs="Times New Roman"/>
          <w:sz w:val="24"/>
          <w:szCs w:val="24"/>
        </w:rPr>
        <w:t xml:space="preserve">confidence interval </w:t>
      </w:r>
      <w:r w:rsidR="00360EDB" w:rsidRPr="00FA5C8D">
        <w:rPr>
          <w:rFonts w:ascii="Book Antiqua" w:hAnsi="Book Antiqua" w:cs="Times New Roman"/>
          <w:sz w:val="24"/>
          <w:szCs w:val="24"/>
          <w:lang w:eastAsia="zh-CN"/>
        </w:rPr>
        <w:t>(</w:t>
      </w:r>
      <w:r w:rsidR="003D41A3" w:rsidRPr="00FA5C8D">
        <w:rPr>
          <w:rFonts w:ascii="Book Antiqua" w:hAnsi="Book Antiqua" w:cs="Times New Roman"/>
          <w:bCs/>
          <w:sz w:val="24"/>
          <w:szCs w:val="24"/>
        </w:rPr>
        <w:t>CI</w:t>
      </w:r>
      <w:r w:rsidR="00360EDB" w:rsidRPr="00FA5C8D">
        <w:rPr>
          <w:rFonts w:ascii="Book Antiqua" w:hAnsi="Book Antiqua" w:cs="Times New Roman"/>
          <w:bCs/>
          <w:sz w:val="24"/>
          <w:szCs w:val="24"/>
        </w:rPr>
        <w:t>):</w:t>
      </w:r>
      <w:r w:rsidR="003D41A3" w:rsidRPr="00FA5C8D">
        <w:rPr>
          <w:rFonts w:ascii="Book Antiqua" w:hAnsi="Book Antiqua" w:cs="Times New Roman"/>
          <w:bCs/>
          <w:sz w:val="24"/>
          <w:szCs w:val="24"/>
        </w:rPr>
        <w:t xml:space="preserve"> </w:t>
      </w:r>
      <w:r w:rsidR="0075556E" w:rsidRPr="00FA5C8D">
        <w:rPr>
          <w:rFonts w:ascii="Book Antiqua" w:hAnsi="Book Antiqua" w:cs="Times New Roman"/>
          <w:bCs/>
          <w:sz w:val="24"/>
          <w:szCs w:val="24"/>
        </w:rPr>
        <w:t>46.5</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90.3</w:t>
      </w:r>
      <w:r w:rsidR="00360EDB" w:rsidRPr="00FA5C8D">
        <w:rPr>
          <w:rFonts w:ascii="Book Antiqua" w:hAnsi="Book Antiqua" w:cs="Times New Roman"/>
          <w:bCs/>
          <w:sz w:val="24"/>
          <w:szCs w:val="24"/>
        </w:rPr>
        <w:t>]</w:t>
      </w:r>
      <w:r w:rsidR="009C6707"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t xml:space="preserve">sensitivity and 90% </w:t>
      </w:r>
      <w:r w:rsidR="0075556E" w:rsidRPr="00FA5C8D">
        <w:rPr>
          <w:rFonts w:ascii="Book Antiqua" w:hAnsi="Book Antiqua" w:cs="Times New Roman"/>
          <w:bCs/>
          <w:sz w:val="24"/>
          <w:szCs w:val="24"/>
        </w:rPr>
        <w:t>(95%CI</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 xml:space="preserve"> 79.5</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96.2)</w:t>
      </w:r>
      <w:r w:rsidR="009C6707"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t xml:space="preserve">specificity for </w:t>
      </w:r>
      <w:proofErr w:type="spellStart"/>
      <w:r w:rsidR="00C075B3" w:rsidRPr="00FA5C8D">
        <w:rPr>
          <w:rFonts w:ascii="Book Antiqua" w:hAnsi="Book Antiqua" w:cs="Times New Roman"/>
          <w:bCs/>
          <w:sz w:val="24"/>
          <w:szCs w:val="24"/>
        </w:rPr>
        <w:t>aDGP</w:t>
      </w:r>
      <w:proofErr w:type="spellEnd"/>
      <w:r w:rsidR="00C075B3" w:rsidRPr="00FA5C8D">
        <w:rPr>
          <w:rFonts w:ascii="Book Antiqua" w:hAnsi="Book Antiqua" w:cs="Times New Roman"/>
          <w:bCs/>
          <w:sz w:val="24"/>
          <w:szCs w:val="24"/>
        </w:rPr>
        <w:t xml:space="preserve"> IgA </w:t>
      </w:r>
      <w:r w:rsidR="00704683" w:rsidRPr="00FA5C8D">
        <w:rPr>
          <w:rFonts w:ascii="Book Antiqua" w:hAnsi="Book Antiqua" w:cs="Times New Roman"/>
          <w:bCs/>
          <w:sz w:val="24"/>
          <w:szCs w:val="24"/>
        </w:rPr>
        <w:t xml:space="preserve">and </w:t>
      </w:r>
      <w:r w:rsidR="00784EAC" w:rsidRPr="00FA5C8D">
        <w:rPr>
          <w:rFonts w:ascii="Book Antiqua" w:hAnsi="Book Antiqua" w:cs="Times New Roman"/>
          <w:bCs/>
          <w:sz w:val="24"/>
          <w:szCs w:val="24"/>
        </w:rPr>
        <w:t xml:space="preserve">66.7% </w:t>
      </w:r>
      <w:r w:rsidR="0075556E" w:rsidRPr="00FA5C8D">
        <w:rPr>
          <w:rFonts w:ascii="Book Antiqua" w:hAnsi="Book Antiqua" w:cs="Times New Roman"/>
          <w:bCs/>
          <w:sz w:val="24"/>
          <w:szCs w:val="24"/>
        </w:rPr>
        <w:t>(95%CI</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 xml:space="preserve"> 41.0</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86.7)</w:t>
      </w:r>
      <w:r w:rsidR="009C6707" w:rsidRPr="00FA5C8D">
        <w:rPr>
          <w:rFonts w:ascii="Book Antiqua" w:hAnsi="Book Antiqua" w:cs="Times New Roman"/>
          <w:bCs/>
          <w:sz w:val="24"/>
          <w:szCs w:val="24"/>
        </w:rPr>
        <w:t xml:space="preserve"> </w:t>
      </w:r>
      <w:r w:rsidR="00F3585D" w:rsidRPr="00FA5C8D">
        <w:rPr>
          <w:rFonts w:ascii="Book Antiqua" w:hAnsi="Book Antiqua" w:cs="Times New Roman"/>
          <w:bCs/>
          <w:sz w:val="24"/>
          <w:szCs w:val="24"/>
        </w:rPr>
        <w:t>sensitivity</w:t>
      </w:r>
      <w:r w:rsidR="00704683" w:rsidRPr="00FA5C8D">
        <w:rPr>
          <w:rFonts w:ascii="Book Antiqua" w:hAnsi="Book Antiqua" w:cs="Times New Roman"/>
          <w:bCs/>
          <w:sz w:val="24"/>
          <w:szCs w:val="24"/>
        </w:rPr>
        <w:t xml:space="preserve"> and </w:t>
      </w:r>
      <w:r w:rsidR="00784EAC" w:rsidRPr="00FA5C8D">
        <w:rPr>
          <w:rFonts w:ascii="Book Antiqua" w:hAnsi="Book Antiqua" w:cs="Times New Roman"/>
          <w:bCs/>
          <w:sz w:val="24"/>
          <w:szCs w:val="24"/>
        </w:rPr>
        <w:t xml:space="preserve">93.7% </w:t>
      </w:r>
      <w:r w:rsidR="0075556E" w:rsidRPr="00FA5C8D">
        <w:rPr>
          <w:rFonts w:ascii="Book Antiqua" w:hAnsi="Book Antiqua" w:cs="Times New Roman"/>
          <w:bCs/>
          <w:sz w:val="24"/>
          <w:szCs w:val="24"/>
        </w:rPr>
        <w:t>(95%CI</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 xml:space="preserve"> 84.5</w:t>
      </w:r>
      <w:r w:rsidR="00360EDB" w:rsidRPr="00FA5C8D">
        <w:rPr>
          <w:rFonts w:ascii="Book Antiqua" w:hAnsi="Book Antiqua" w:cs="Times New Roman"/>
          <w:bCs/>
          <w:sz w:val="24"/>
          <w:szCs w:val="24"/>
        </w:rPr>
        <w:t>-</w:t>
      </w:r>
      <w:r w:rsidR="0075556E" w:rsidRPr="00FA5C8D">
        <w:rPr>
          <w:rFonts w:ascii="Book Antiqua" w:hAnsi="Book Antiqua" w:cs="Times New Roman"/>
          <w:bCs/>
          <w:sz w:val="24"/>
          <w:szCs w:val="24"/>
        </w:rPr>
        <w:t>98.2)</w:t>
      </w:r>
      <w:r w:rsidR="009C6707" w:rsidRPr="00FA5C8D">
        <w:rPr>
          <w:rFonts w:ascii="Book Antiqua" w:hAnsi="Book Antiqua" w:cs="Times New Roman"/>
          <w:bCs/>
          <w:sz w:val="24"/>
          <w:szCs w:val="24"/>
        </w:rPr>
        <w:t xml:space="preserve"> </w:t>
      </w:r>
      <w:r w:rsidR="00704683" w:rsidRPr="00FA5C8D">
        <w:rPr>
          <w:rFonts w:ascii="Book Antiqua" w:hAnsi="Book Antiqua" w:cs="Times New Roman"/>
          <w:bCs/>
          <w:sz w:val="24"/>
          <w:szCs w:val="24"/>
        </w:rPr>
        <w:t xml:space="preserve">specificity for </w:t>
      </w:r>
      <w:proofErr w:type="spellStart"/>
      <w:r w:rsidR="00704683" w:rsidRPr="00FA5C8D">
        <w:rPr>
          <w:rFonts w:ascii="Book Antiqua" w:hAnsi="Book Antiqua" w:cs="Times New Roman"/>
          <w:bCs/>
          <w:sz w:val="24"/>
          <w:szCs w:val="24"/>
        </w:rPr>
        <w:t>aTTG</w:t>
      </w:r>
      <w:proofErr w:type="spellEnd"/>
      <w:r w:rsidR="00704683" w:rsidRPr="00FA5C8D">
        <w:rPr>
          <w:rFonts w:ascii="Book Antiqua" w:hAnsi="Book Antiqua" w:cs="Times New Roman"/>
          <w:bCs/>
          <w:sz w:val="24"/>
          <w:szCs w:val="24"/>
        </w:rPr>
        <w:t xml:space="preserve"> IgA. </w:t>
      </w:r>
      <w:r w:rsidR="00155183" w:rsidRPr="00FA5C8D">
        <w:rPr>
          <w:rFonts w:ascii="Book Antiqua" w:hAnsi="Book Antiqua" w:cs="Times New Roman"/>
          <w:bCs/>
          <w:sz w:val="24"/>
          <w:szCs w:val="24"/>
        </w:rPr>
        <w:t>The s</w:t>
      </w:r>
      <w:r w:rsidR="00704683" w:rsidRPr="00FA5C8D">
        <w:rPr>
          <w:rFonts w:ascii="Book Antiqua" w:hAnsi="Book Antiqua" w:cs="Times New Roman"/>
          <w:bCs/>
          <w:sz w:val="24"/>
          <w:szCs w:val="24"/>
        </w:rPr>
        <w:t>en</w:t>
      </w:r>
      <w:r w:rsidR="004D0C3F" w:rsidRPr="00FA5C8D">
        <w:rPr>
          <w:rFonts w:ascii="Book Antiqua" w:hAnsi="Book Antiqua" w:cs="Times New Roman"/>
          <w:bCs/>
          <w:sz w:val="24"/>
          <w:szCs w:val="24"/>
        </w:rPr>
        <w:t>s</w:t>
      </w:r>
      <w:r w:rsidR="00704683" w:rsidRPr="00FA5C8D">
        <w:rPr>
          <w:rFonts w:ascii="Book Antiqua" w:hAnsi="Book Antiqua" w:cs="Times New Roman"/>
          <w:bCs/>
          <w:sz w:val="24"/>
          <w:szCs w:val="24"/>
        </w:rPr>
        <w:t>itivity and specificity of small bowel ultrasonography was 64.7% and 73.5%</w:t>
      </w:r>
      <w:r w:rsidR="007075B3" w:rsidRPr="00FA5C8D">
        <w:rPr>
          <w:rFonts w:ascii="Book Antiqua" w:hAnsi="Book Antiqua" w:cs="Times New Roman"/>
          <w:bCs/>
          <w:sz w:val="24"/>
          <w:szCs w:val="24"/>
        </w:rPr>
        <w:t>,</w:t>
      </w:r>
      <w:r w:rsidR="00704683" w:rsidRPr="00FA5C8D">
        <w:rPr>
          <w:rFonts w:ascii="Book Antiqua" w:hAnsi="Book Antiqua" w:cs="Times New Roman"/>
          <w:bCs/>
          <w:sz w:val="24"/>
          <w:szCs w:val="24"/>
        </w:rPr>
        <w:t xml:space="preserve"> respectively.</w:t>
      </w:r>
      <w:r w:rsidR="009C6707" w:rsidRPr="00FA5C8D">
        <w:rPr>
          <w:rFonts w:ascii="Book Antiqua" w:hAnsi="Book Antiqua" w:cs="Times New Roman"/>
          <w:bCs/>
          <w:sz w:val="24"/>
          <w:szCs w:val="24"/>
        </w:rPr>
        <w:t xml:space="preserve"> </w:t>
      </w:r>
      <w:r w:rsidR="007075B3" w:rsidRPr="00FA5C8D">
        <w:rPr>
          <w:rFonts w:ascii="Book Antiqua" w:hAnsi="Book Antiqua" w:cs="Times New Roman"/>
          <w:bCs/>
          <w:sz w:val="24"/>
          <w:szCs w:val="24"/>
        </w:rPr>
        <w:t>A c</w:t>
      </w:r>
      <w:r w:rsidR="00F3585D" w:rsidRPr="00FA5C8D">
        <w:rPr>
          <w:rFonts w:ascii="Book Antiqua" w:hAnsi="Book Antiqua" w:cs="Times New Roman"/>
          <w:bCs/>
          <w:sz w:val="24"/>
          <w:szCs w:val="24"/>
        </w:rPr>
        <w:t xml:space="preserve">ombination of serology with ultrasound imaging </w:t>
      </w:r>
      <w:r w:rsidR="00244E1F" w:rsidRPr="00FA5C8D">
        <w:rPr>
          <w:rFonts w:ascii="Book Antiqua" w:hAnsi="Book Antiqua" w:cs="Times New Roman"/>
          <w:bCs/>
          <w:sz w:val="24"/>
          <w:szCs w:val="24"/>
        </w:rPr>
        <w:t xml:space="preserve">to predict persistent atrophy </w:t>
      </w:r>
      <w:r w:rsidR="00F3585D" w:rsidRPr="00FA5C8D">
        <w:rPr>
          <w:rFonts w:ascii="Book Antiqua" w:hAnsi="Book Antiqua" w:cs="Times New Roman"/>
          <w:bCs/>
          <w:sz w:val="24"/>
          <w:szCs w:val="24"/>
        </w:rPr>
        <w:t xml:space="preserve">increased </w:t>
      </w:r>
      <w:r w:rsidR="00244E1F" w:rsidRPr="00FA5C8D">
        <w:rPr>
          <w:rFonts w:ascii="Book Antiqua" w:hAnsi="Book Antiqua" w:cs="Times New Roman"/>
          <w:bCs/>
          <w:sz w:val="24"/>
          <w:szCs w:val="24"/>
        </w:rPr>
        <w:t xml:space="preserve">the </w:t>
      </w:r>
      <w:r w:rsidR="003840EB" w:rsidRPr="00FA5C8D">
        <w:rPr>
          <w:rFonts w:ascii="Book Antiqua" w:hAnsi="Book Antiqua" w:cs="Times New Roman"/>
          <w:bCs/>
          <w:sz w:val="24"/>
          <w:szCs w:val="24"/>
        </w:rPr>
        <w:t>positive predictive value</w:t>
      </w:r>
      <w:r w:rsidR="009C6707" w:rsidRPr="00FA5C8D">
        <w:rPr>
          <w:rFonts w:ascii="Book Antiqua" w:hAnsi="Book Antiqua" w:cs="Times New Roman"/>
          <w:bCs/>
          <w:sz w:val="24"/>
          <w:szCs w:val="24"/>
        </w:rPr>
        <w:t xml:space="preserve"> </w:t>
      </w:r>
      <w:r w:rsidR="003840EB" w:rsidRPr="00FA5C8D">
        <w:rPr>
          <w:rFonts w:ascii="Book Antiqua" w:hAnsi="Book Antiqua" w:cs="Times New Roman"/>
          <w:bCs/>
          <w:sz w:val="24"/>
          <w:szCs w:val="24"/>
        </w:rPr>
        <w:t xml:space="preserve">and specificity </w:t>
      </w:r>
      <w:r w:rsidR="00F3585D" w:rsidRPr="00FA5C8D">
        <w:rPr>
          <w:rFonts w:ascii="Book Antiqua" w:hAnsi="Book Antiqua" w:cs="Times New Roman"/>
          <w:bCs/>
          <w:sz w:val="24"/>
          <w:szCs w:val="24"/>
        </w:rPr>
        <w:t>to 88.9% and 98% for aTTG IgA and to 90.0% and 97</w:t>
      </w:r>
      <w:r w:rsidR="004B15EC" w:rsidRPr="00FA5C8D">
        <w:rPr>
          <w:rFonts w:ascii="Book Antiqua" w:hAnsi="Book Antiqua" w:cs="Times New Roman"/>
          <w:bCs/>
          <w:sz w:val="24"/>
          <w:szCs w:val="24"/>
        </w:rPr>
        <w:t>.</w:t>
      </w:r>
      <w:r w:rsidR="00F3585D" w:rsidRPr="00FA5C8D">
        <w:rPr>
          <w:rFonts w:ascii="Book Antiqua" w:hAnsi="Book Antiqua" w:cs="Times New Roman"/>
          <w:bCs/>
          <w:sz w:val="24"/>
          <w:szCs w:val="24"/>
        </w:rPr>
        <w:t xml:space="preserve">8% for </w:t>
      </w:r>
      <w:proofErr w:type="spellStart"/>
      <w:r w:rsidR="00F3585D" w:rsidRPr="00FA5C8D">
        <w:rPr>
          <w:rFonts w:ascii="Book Antiqua" w:hAnsi="Book Antiqua" w:cs="Times New Roman"/>
          <w:bCs/>
          <w:sz w:val="24"/>
          <w:szCs w:val="24"/>
        </w:rPr>
        <w:t>aDGP</w:t>
      </w:r>
      <w:proofErr w:type="spellEnd"/>
      <w:r w:rsidR="00F3585D" w:rsidRPr="00FA5C8D">
        <w:rPr>
          <w:rFonts w:ascii="Book Antiqua" w:hAnsi="Book Antiqua" w:cs="Times New Roman"/>
          <w:bCs/>
          <w:sz w:val="24"/>
          <w:szCs w:val="24"/>
        </w:rPr>
        <w:t xml:space="preserve"> IgA. </w:t>
      </w:r>
      <w:r w:rsidR="00704683" w:rsidRPr="00FA5C8D">
        <w:rPr>
          <w:rFonts w:ascii="Book Antiqua" w:hAnsi="Book Antiqua" w:cs="Times New Roman"/>
          <w:bCs/>
          <w:sz w:val="24"/>
          <w:szCs w:val="24"/>
        </w:rPr>
        <w:t>Laboratory and cl</w:t>
      </w:r>
      <w:r w:rsidR="00432220" w:rsidRPr="00FA5C8D">
        <w:rPr>
          <w:rFonts w:ascii="Book Antiqua" w:hAnsi="Book Antiqua" w:cs="Times New Roman"/>
          <w:bCs/>
          <w:sz w:val="24"/>
          <w:szCs w:val="24"/>
        </w:rPr>
        <w:t>i</w:t>
      </w:r>
      <w:r w:rsidR="00704683" w:rsidRPr="00FA5C8D">
        <w:rPr>
          <w:rFonts w:ascii="Book Antiqua" w:hAnsi="Book Antiqua" w:cs="Times New Roman"/>
          <w:bCs/>
          <w:sz w:val="24"/>
          <w:szCs w:val="24"/>
        </w:rPr>
        <w:t>nical parameters had poor predictive value</w:t>
      </w:r>
      <w:r w:rsidR="00262469" w:rsidRPr="00FA5C8D">
        <w:rPr>
          <w:rFonts w:ascii="Book Antiqua" w:hAnsi="Book Antiqua" w:cs="Times New Roman"/>
          <w:bCs/>
          <w:sz w:val="24"/>
          <w:szCs w:val="24"/>
        </w:rPr>
        <w:t>s</w:t>
      </w:r>
      <w:r w:rsidR="00704683" w:rsidRPr="00FA5C8D">
        <w:rPr>
          <w:rFonts w:ascii="Book Antiqua" w:hAnsi="Book Antiqua" w:cs="Times New Roman"/>
          <w:bCs/>
          <w:sz w:val="24"/>
          <w:szCs w:val="24"/>
        </w:rPr>
        <w:t>.</w:t>
      </w:r>
    </w:p>
    <w:p w14:paraId="2C149810" w14:textId="77777777" w:rsidR="0047007F" w:rsidRPr="00FA5C8D" w:rsidRDefault="0047007F" w:rsidP="00FA5C8D">
      <w:pPr>
        <w:snapToGrid w:val="0"/>
        <w:spacing w:after="0" w:line="360" w:lineRule="auto"/>
        <w:jc w:val="both"/>
        <w:rPr>
          <w:rFonts w:ascii="Book Antiqua" w:hAnsi="Book Antiqua" w:cs="Times New Roman"/>
          <w:bCs/>
          <w:sz w:val="24"/>
          <w:szCs w:val="24"/>
        </w:rPr>
      </w:pPr>
    </w:p>
    <w:p w14:paraId="2D1A69B7" w14:textId="77777777" w:rsidR="0058298B" w:rsidRPr="00FA5C8D" w:rsidRDefault="0058298B" w:rsidP="00FA5C8D">
      <w:pPr>
        <w:adjustRightInd w:val="0"/>
        <w:snapToGrid w:val="0"/>
        <w:spacing w:after="0" w:line="360" w:lineRule="auto"/>
        <w:jc w:val="both"/>
        <w:rPr>
          <w:rFonts w:ascii="Book Antiqua" w:eastAsia="宋体" w:hAnsi="Book Antiqua"/>
          <w:bCs/>
          <w:iCs/>
          <w:sz w:val="24"/>
          <w:szCs w:val="24"/>
          <w:lang w:val="en" w:eastAsia="zh-CN"/>
        </w:rPr>
      </w:pPr>
      <w:r w:rsidRPr="00FA5C8D">
        <w:rPr>
          <w:rFonts w:ascii="Book Antiqua" w:hAnsi="Book Antiqua"/>
          <w:bCs/>
          <w:iCs/>
          <w:color w:val="000000"/>
          <w:sz w:val="24"/>
          <w:szCs w:val="24"/>
        </w:rPr>
        <w:t>CONCLUSION</w:t>
      </w:r>
    </w:p>
    <w:p w14:paraId="69566B64" w14:textId="77777777" w:rsidR="00EC4311" w:rsidRPr="00FA5C8D" w:rsidRDefault="004E3E2F"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T</w:t>
      </w:r>
      <w:r w:rsidR="00C76DFA" w:rsidRPr="00FA5C8D">
        <w:rPr>
          <w:rFonts w:ascii="Book Antiqua" w:hAnsi="Book Antiqua" w:cs="Times New Roman"/>
          <w:sz w:val="24"/>
          <w:szCs w:val="24"/>
        </w:rPr>
        <w:t>he sensitivity, specificity, and negative predictive value</w:t>
      </w:r>
      <w:r w:rsidRPr="00FA5C8D">
        <w:rPr>
          <w:rFonts w:ascii="Book Antiqua" w:hAnsi="Book Antiqua" w:cs="Times New Roman"/>
          <w:sz w:val="24"/>
          <w:szCs w:val="24"/>
        </w:rPr>
        <w:t xml:space="preserve"> of </w:t>
      </w: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and </w:t>
      </w:r>
      <w:proofErr w:type="spellStart"/>
      <w:r w:rsidRPr="00FA5C8D">
        <w:rPr>
          <w:rFonts w:ascii="Book Antiqua" w:hAnsi="Book Antiqua" w:cs="Times New Roman"/>
          <w:sz w:val="24"/>
          <w:szCs w:val="24"/>
        </w:rPr>
        <w:t>aDGP</w:t>
      </w:r>
      <w:proofErr w:type="spellEnd"/>
      <w:r w:rsidR="009E1E97" w:rsidRPr="00FA5C8D">
        <w:rPr>
          <w:rFonts w:ascii="Book Antiqua" w:hAnsi="Book Antiqua" w:cs="Times New Roman"/>
          <w:sz w:val="24"/>
          <w:szCs w:val="24"/>
        </w:rPr>
        <w:t xml:space="preserve"> </w:t>
      </w:r>
      <w:r w:rsidR="004B15EC" w:rsidRPr="00FA5C8D">
        <w:rPr>
          <w:rFonts w:ascii="Book Antiqua" w:hAnsi="Book Antiqua" w:cs="Times New Roman"/>
          <w:sz w:val="24"/>
          <w:szCs w:val="24"/>
        </w:rPr>
        <w:t>for</w:t>
      </w:r>
      <w:r w:rsidR="009E1E97" w:rsidRPr="00FA5C8D">
        <w:rPr>
          <w:rFonts w:ascii="Book Antiqua" w:hAnsi="Book Antiqua" w:cs="Times New Roman"/>
          <w:sz w:val="24"/>
          <w:szCs w:val="24"/>
        </w:rPr>
        <w:t xml:space="preserve"> </w:t>
      </w:r>
      <w:r w:rsidRPr="00FA5C8D">
        <w:rPr>
          <w:rFonts w:ascii="Book Antiqua" w:hAnsi="Book Antiqua" w:cs="Times New Roman"/>
          <w:sz w:val="24"/>
          <w:szCs w:val="24"/>
        </w:rPr>
        <w:t>predict</w:t>
      </w:r>
      <w:r w:rsidR="004B15EC" w:rsidRPr="00FA5C8D">
        <w:rPr>
          <w:rFonts w:ascii="Book Antiqua" w:hAnsi="Book Antiqua" w:cs="Times New Roman"/>
          <w:sz w:val="24"/>
          <w:szCs w:val="24"/>
        </w:rPr>
        <w:t>in</w:t>
      </w:r>
      <w:r w:rsidR="00262469" w:rsidRPr="00FA5C8D">
        <w:rPr>
          <w:rFonts w:ascii="Book Antiqua" w:hAnsi="Book Antiqua" w:cs="Times New Roman"/>
          <w:sz w:val="24"/>
          <w:szCs w:val="24"/>
        </w:rPr>
        <w:t>g</w:t>
      </w:r>
      <w:r w:rsidR="009E1E97" w:rsidRPr="00FA5C8D">
        <w:rPr>
          <w:rFonts w:ascii="Book Antiqua" w:hAnsi="Book Antiqua" w:cs="Times New Roman"/>
          <w:sz w:val="24"/>
          <w:szCs w:val="24"/>
        </w:rPr>
        <w:t xml:space="preserve"> </w:t>
      </w:r>
      <w:r w:rsidRPr="00FA5C8D">
        <w:rPr>
          <w:rFonts w:ascii="Book Antiqua" w:hAnsi="Book Antiqua" w:cs="Times New Roman"/>
          <w:sz w:val="24"/>
          <w:szCs w:val="24"/>
        </w:rPr>
        <w:t>persistent VA</w:t>
      </w:r>
      <w:r w:rsidR="00C76DFA" w:rsidRPr="00FA5C8D">
        <w:rPr>
          <w:rFonts w:ascii="Book Antiqua" w:hAnsi="Book Antiqua" w:cs="Times New Roman"/>
          <w:sz w:val="24"/>
          <w:szCs w:val="24"/>
        </w:rPr>
        <w:t xml:space="preserve"> improved by </w:t>
      </w:r>
      <w:r w:rsidR="007E74F9" w:rsidRPr="00FA5C8D">
        <w:rPr>
          <w:rFonts w:ascii="Book Antiqua" w:hAnsi="Book Antiqua" w:cs="Times New Roman"/>
          <w:sz w:val="24"/>
          <w:szCs w:val="24"/>
        </w:rPr>
        <w:t>calculatin</w:t>
      </w:r>
      <w:r w:rsidR="00262469" w:rsidRPr="00FA5C8D">
        <w:rPr>
          <w:rFonts w:ascii="Book Antiqua" w:hAnsi="Book Antiqua" w:cs="Times New Roman"/>
          <w:sz w:val="24"/>
          <w:szCs w:val="24"/>
        </w:rPr>
        <w:t>g</w:t>
      </w:r>
      <w:r w:rsidR="009E1E97" w:rsidRPr="00FA5C8D">
        <w:rPr>
          <w:rFonts w:ascii="Book Antiqua" w:hAnsi="Book Antiqua" w:cs="Times New Roman"/>
          <w:sz w:val="24"/>
          <w:szCs w:val="24"/>
        </w:rPr>
        <w:t xml:space="preserve"> </w:t>
      </w:r>
      <w:r w:rsidR="00262469" w:rsidRPr="00FA5C8D">
        <w:rPr>
          <w:rFonts w:ascii="Book Antiqua" w:hAnsi="Book Antiqua" w:cs="Times New Roman"/>
          <w:sz w:val="24"/>
          <w:szCs w:val="24"/>
        </w:rPr>
        <w:t>the</w:t>
      </w:r>
      <w:r w:rsidR="009E1E97" w:rsidRPr="00FA5C8D">
        <w:rPr>
          <w:rFonts w:ascii="Book Antiqua" w:hAnsi="Book Antiqua" w:cs="Times New Roman"/>
          <w:sz w:val="24"/>
          <w:szCs w:val="24"/>
        </w:rPr>
        <w:t xml:space="preserve"> </w:t>
      </w:r>
      <w:r w:rsidR="00432220" w:rsidRPr="00FA5C8D">
        <w:rPr>
          <w:rFonts w:ascii="Book Antiqua" w:hAnsi="Book Antiqua" w:cs="Times New Roman"/>
          <w:sz w:val="24"/>
          <w:szCs w:val="24"/>
        </w:rPr>
        <w:t>best cutoff values.</w:t>
      </w:r>
      <w:r w:rsidR="009E1E97" w:rsidRPr="00FA5C8D">
        <w:rPr>
          <w:rFonts w:ascii="Book Antiqua" w:hAnsi="Book Antiqua" w:cs="Times New Roman"/>
          <w:sz w:val="24"/>
          <w:szCs w:val="24"/>
        </w:rPr>
        <w:t xml:space="preserve"> </w:t>
      </w:r>
      <w:r w:rsidR="00EC4311" w:rsidRPr="00FA5C8D">
        <w:rPr>
          <w:rFonts w:ascii="Book Antiqua" w:hAnsi="Book Antiqua" w:cs="Times New Roman"/>
          <w:sz w:val="24"/>
          <w:szCs w:val="24"/>
        </w:rPr>
        <w:t xml:space="preserve">The combination of serology and experienced bowel ultrasound examination may achieve better accuracy </w:t>
      </w:r>
      <w:r w:rsidR="004B15EC" w:rsidRPr="00FA5C8D">
        <w:rPr>
          <w:rFonts w:ascii="Book Antiqua" w:hAnsi="Book Antiqua" w:cs="Times New Roman"/>
          <w:sz w:val="24"/>
          <w:szCs w:val="24"/>
        </w:rPr>
        <w:t>for</w:t>
      </w:r>
      <w:r w:rsidR="009C6707" w:rsidRPr="00FA5C8D">
        <w:rPr>
          <w:rFonts w:ascii="Book Antiqua" w:hAnsi="Book Antiqua" w:cs="Times New Roman"/>
          <w:sz w:val="24"/>
          <w:szCs w:val="24"/>
        </w:rPr>
        <w:t xml:space="preserve"> </w:t>
      </w:r>
      <w:r w:rsidR="00EC4311" w:rsidRPr="00FA5C8D">
        <w:rPr>
          <w:rFonts w:ascii="Book Antiqua" w:hAnsi="Book Antiqua" w:cs="Times New Roman"/>
          <w:sz w:val="24"/>
          <w:szCs w:val="24"/>
        </w:rPr>
        <w:t xml:space="preserve">the detection of atrophy. </w:t>
      </w:r>
    </w:p>
    <w:p w14:paraId="3362DA55" w14:textId="77777777" w:rsidR="00BD1193" w:rsidRPr="00FA5C8D" w:rsidRDefault="00BD1193" w:rsidP="00FA5C8D">
      <w:pPr>
        <w:snapToGrid w:val="0"/>
        <w:spacing w:after="0" w:line="360" w:lineRule="auto"/>
        <w:jc w:val="both"/>
        <w:rPr>
          <w:rFonts w:ascii="Book Antiqua" w:hAnsi="Book Antiqua" w:cs="Times New Roman"/>
          <w:sz w:val="24"/>
          <w:szCs w:val="24"/>
        </w:rPr>
      </w:pPr>
    </w:p>
    <w:p w14:paraId="725EC425" w14:textId="77777777" w:rsidR="00C76DFA" w:rsidRPr="00FA5C8D" w:rsidRDefault="0058298B" w:rsidP="00FA5C8D">
      <w:pPr>
        <w:snapToGrid w:val="0"/>
        <w:spacing w:after="0" w:line="360" w:lineRule="auto"/>
        <w:jc w:val="both"/>
        <w:rPr>
          <w:rFonts w:ascii="Book Antiqua" w:hAnsi="Book Antiqua" w:cs="Times New Roman"/>
          <w:b/>
          <w:sz w:val="24"/>
          <w:szCs w:val="24"/>
        </w:rPr>
      </w:pPr>
      <w:r w:rsidRPr="00FA5C8D">
        <w:rPr>
          <w:rFonts w:ascii="Book Antiqua" w:hAnsi="Book Antiqua"/>
          <w:b/>
          <w:sz w:val="24"/>
          <w:szCs w:val="24"/>
        </w:rPr>
        <w:t>Key words:</w:t>
      </w:r>
      <w:r w:rsidRPr="00FA5C8D">
        <w:rPr>
          <w:rFonts w:ascii="Book Antiqua" w:eastAsia="宋体" w:hAnsi="Book Antiqua"/>
          <w:color w:val="0000FF"/>
          <w:sz w:val="24"/>
          <w:szCs w:val="24"/>
          <w:lang w:val="en" w:eastAsia="zh-CN"/>
        </w:rPr>
        <w:t xml:space="preserve"> </w:t>
      </w:r>
      <w:r w:rsidR="00BD1193" w:rsidRPr="00FA5C8D">
        <w:rPr>
          <w:rFonts w:ascii="Book Antiqua" w:hAnsi="Book Antiqua" w:cs="Times New Roman"/>
          <w:sz w:val="24"/>
          <w:szCs w:val="24"/>
        </w:rPr>
        <w:t>Celiac disease; Villous atrophy; Anti-tissue transglutaminase antibodies; Anti-deamidated</w:t>
      </w:r>
      <w:r w:rsidR="009C6707" w:rsidRPr="00FA5C8D">
        <w:rPr>
          <w:rFonts w:ascii="Book Antiqua" w:hAnsi="Book Antiqua" w:cs="Times New Roman"/>
          <w:sz w:val="24"/>
          <w:szCs w:val="24"/>
        </w:rPr>
        <w:t xml:space="preserve"> </w:t>
      </w:r>
      <w:r w:rsidR="00BD1193" w:rsidRPr="00FA5C8D">
        <w:rPr>
          <w:rFonts w:ascii="Book Antiqua" w:hAnsi="Book Antiqua" w:cs="Times New Roman"/>
          <w:sz w:val="24"/>
          <w:szCs w:val="24"/>
        </w:rPr>
        <w:t>gliadin peptide antibodies; Abdominal ultrasound; Gluten</w:t>
      </w:r>
      <w:r w:rsidR="004B15EC" w:rsidRPr="00FA5C8D">
        <w:rPr>
          <w:rFonts w:ascii="Book Antiqua" w:hAnsi="Book Antiqua" w:cs="Times New Roman"/>
          <w:sz w:val="24"/>
          <w:szCs w:val="24"/>
        </w:rPr>
        <w:t>-</w:t>
      </w:r>
      <w:r w:rsidR="00BD1193" w:rsidRPr="00FA5C8D">
        <w:rPr>
          <w:rFonts w:ascii="Book Antiqua" w:hAnsi="Book Antiqua" w:cs="Times New Roman"/>
          <w:sz w:val="24"/>
          <w:szCs w:val="24"/>
        </w:rPr>
        <w:t>free diet</w:t>
      </w:r>
    </w:p>
    <w:p w14:paraId="3897B468" w14:textId="77777777" w:rsidR="00C3520E" w:rsidRPr="00FA5C8D" w:rsidRDefault="00C3520E" w:rsidP="00FA5C8D">
      <w:pPr>
        <w:snapToGrid w:val="0"/>
        <w:spacing w:after="0" w:line="360" w:lineRule="auto"/>
        <w:jc w:val="both"/>
        <w:rPr>
          <w:rFonts w:ascii="Book Antiqua" w:hAnsi="Book Antiqua" w:cs="Times New Roman"/>
          <w:b/>
          <w:sz w:val="24"/>
          <w:szCs w:val="24"/>
          <w:shd w:val="clear" w:color="auto" w:fill="FFFFFF"/>
        </w:rPr>
      </w:pPr>
    </w:p>
    <w:p w14:paraId="03659C20" w14:textId="1B70482A" w:rsidR="00B41151" w:rsidRDefault="00C3520E" w:rsidP="00B41151">
      <w:pPr>
        <w:adjustRightInd w:val="0"/>
        <w:snapToGrid w:val="0"/>
        <w:spacing w:after="0" w:line="360" w:lineRule="auto"/>
        <w:jc w:val="both"/>
        <w:rPr>
          <w:rFonts w:ascii="Book Antiqua" w:hAnsi="Book Antiqua" w:cs="Arial" w:hint="eastAsia"/>
          <w:sz w:val="24"/>
          <w:szCs w:val="24"/>
          <w:lang w:eastAsia="zh-CN"/>
        </w:rPr>
      </w:pPr>
      <w:proofErr w:type="spellStart"/>
      <w:r w:rsidRPr="00FA5C8D">
        <w:rPr>
          <w:rFonts w:ascii="Book Antiqua" w:hAnsi="Book Antiqua" w:cs="Times New Roman"/>
          <w:sz w:val="24"/>
          <w:szCs w:val="24"/>
        </w:rPr>
        <w:t>Packova</w:t>
      </w:r>
      <w:proofErr w:type="spellEnd"/>
      <w:r w:rsidRPr="00FA5C8D">
        <w:rPr>
          <w:rFonts w:ascii="Book Antiqua" w:hAnsi="Book Antiqua" w:cs="Times New Roman"/>
          <w:sz w:val="24"/>
          <w:szCs w:val="24"/>
        </w:rPr>
        <w:t xml:space="preserve"> B, </w:t>
      </w:r>
      <w:proofErr w:type="spellStart"/>
      <w:r w:rsidRPr="00FA5C8D">
        <w:rPr>
          <w:rFonts w:ascii="Book Antiqua" w:hAnsi="Book Antiqua" w:cs="Times New Roman"/>
          <w:sz w:val="24"/>
          <w:szCs w:val="24"/>
        </w:rPr>
        <w:t>Kovalcikova</w:t>
      </w:r>
      <w:proofErr w:type="spellEnd"/>
      <w:r w:rsidRPr="00FA5C8D">
        <w:rPr>
          <w:rFonts w:ascii="Book Antiqua" w:hAnsi="Book Antiqua" w:cs="Times New Roman"/>
          <w:sz w:val="24"/>
          <w:szCs w:val="24"/>
        </w:rPr>
        <w:t xml:space="preserve"> P, </w:t>
      </w:r>
      <w:proofErr w:type="spellStart"/>
      <w:r w:rsidRPr="00FA5C8D">
        <w:rPr>
          <w:rFonts w:ascii="Book Antiqua" w:hAnsi="Book Antiqua" w:cs="Times New Roman"/>
          <w:sz w:val="24"/>
          <w:szCs w:val="24"/>
        </w:rPr>
        <w:t>Pavlovsky</w:t>
      </w:r>
      <w:proofErr w:type="spellEnd"/>
      <w:r w:rsidRPr="00FA5C8D">
        <w:rPr>
          <w:rFonts w:ascii="Book Antiqua" w:hAnsi="Book Antiqua" w:cs="Times New Roman"/>
          <w:sz w:val="24"/>
          <w:szCs w:val="24"/>
        </w:rPr>
        <w:t xml:space="preserve"> Z, </w:t>
      </w:r>
      <w:proofErr w:type="spellStart"/>
      <w:r w:rsidRPr="00FA5C8D">
        <w:rPr>
          <w:rFonts w:ascii="Book Antiqua" w:hAnsi="Book Antiqua" w:cs="Times New Roman"/>
          <w:sz w:val="24"/>
          <w:szCs w:val="24"/>
        </w:rPr>
        <w:t>Bartusek</w:t>
      </w:r>
      <w:proofErr w:type="spellEnd"/>
      <w:r w:rsidRPr="00FA5C8D">
        <w:rPr>
          <w:rFonts w:ascii="Book Antiqua" w:hAnsi="Book Antiqua" w:cs="Times New Roman"/>
          <w:sz w:val="24"/>
          <w:szCs w:val="24"/>
        </w:rPr>
        <w:t xml:space="preserve"> D, </w:t>
      </w:r>
      <w:proofErr w:type="spellStart"/>
      <w:r w:rsidRPr="00FA5C8D">
        <w:rPr>
          <w:rFonts w:ascii="Book Antiqua" w:hAnsi="Book Antiqua" w:cs="Times New Roman"/>
          <w:sz w:val="24"/>
          <w:szCs w:val="24"/>
        </w:rPr>
        <w:t>Prokesova</w:t>
      </w:r>
      <w:proofErr w:type="spellEnd"/>
      <w:r w:rsidRPr="00FA5C8D">
        <w:rPr>
          <w:rFonts w:ascii="Book Antiqua" w:hAnsi="Book Antiqua" w:cs="Times New Roman"/>
          <w:sz w:val="24"/>
          <w:szCs w:val="24"/>
        </w:rPr>
        <w:t xml:space="preserve"> J, </w:t>
      </w:r>
      <w:proofErr w:type="spellStart"/>
      <w:r w:rsidRPr="00FA5C8D">
        <w:rPr>
          <w:rFonts w:ascii="Book Antiqua" w:hAnsi="Book Antiqua" w:cs="Times New Roman"/>
          <w:sz w:val="24"/>
          <w:szCs w:val="24"/>
        </w:rPr>
        <w:t>Dolina</w:t>
      </w:r>
      <w:proofErr w:type="spellEnd"/>
      <w:r w:rsidRPr="00FA5C8D">
        <w:rPr>
          <w:rFonts w:ascii="Book Antiqua" w:hAnsi="Book Antiqua" w:cs="Times New Roman"/>
          <w:sz w:val="24"/>
          <w:szCs w:val="24"/>
        </w:rPr>
        <w:t xml:space="preserve"> J, </w:t>
      </w:r>
      <w:proofErr w:type="spellStart"/>
      <w:r w:rsidRPr="00FA5C8D">
        <w:rPr>
          <w:rFonts w:ascii="Book Antiqua" w:hAnsi="Book Antiqua" w:cs="Times New Roman"/>
          <w:sz w:val="24"/>
          <w:szCs w:val="24"/>
        </w:rPr>
        <w:t>Kroupa</w:t>
      </w:r>
      <w:proofErr w:type="spellEnd"/>
      <w:r w:rsidRPr="00FA5C8D">
        <w:rPr>
          <w:rFonts w:ascii="Book Antiqua" w:hAnsi="Book Antiqua" w:cs="Times New Roman"/>
          <w:sz w:val="24"/>
          <w:szCs w:val="24"/>
        </w:rPr>
        <w:t xml:space="preserve"> R.</w:t>
      </w:r>
      <w:r w:rsidR="009E1E9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Non-invasive prediction of persistent villous atrophy in celiac disease. </w:t>
      </w:r>
      <w:r w:rsidRPr="00FA5C8D">
        <w:rPr>
          <w:rFonts w:ascii="Book Antiqua" w:hAnsi="Book Antiqua" w:cs="Times New Roman"/>
          <w:i/>
          <w:iCs/>
          <w:sz w:val="24"/>
          <w:szCs w:val="24"/>
        </w:rPr>
        <w:t xml:space="preserve">World J </w:t>
      </w:r>
      <w:proofErr w:type="spellStart"/>
      <w:r w:rsidRPr="00FA5C8D">
        <w:rPr>
          <w:rFonts w:ascii="Book Antiqua" w:hAnsi="Book Antiqua" w:cs="Times New Roman"/>
          <w:i/>
          <w:iCs/>
          <w:sz w:val="24"/>
          <w:szCs w:val="24"/>
        </w:rPr>
        <w:t>Gastroenterol</w:t>
      </w:r>
      <w:proofErr w:type="spellEnd"/>
      <w:r w:rsidR="000042FE" w:rsidRPr="00FA5C8D">
        <w:rPr>
          <w:rFonts w:ascii="Book Antiqua" w:hAnsi="Book Antiqua" w:cs="Times New Roman"/>
          <w:i/>
          <w:iCs/>
          <w:sz w:val="24"/>
          <w:szCs w:val="24"/>
        </w:rPr>
        <w:t xml:space="preserve"> </w:t>
      </w:r>
      <w:r w:rsidR="00B41151" w:rsidRPr="00311E97">
        <w:rPr>
          <w:rFonts w:ascii="Book Antiqua" w:hAnsi="Book Antiqua" w:cs="Arial"/>
          <w:sz w:val="24"/>
          <w:szCs w:val="24"/>
        </w:rPr>
        <w:t xml:space="preserve">2020; 26(26): </w:t>
      </w:r>
      <w:r w:rsidR="00B41151">
        <w:rPr>
          <w:rFonts w:ascii="Book Antiqua" w:hAnsi="Book Antiqua" w:cs="Arial" w:hint="eastAsia"/>
          <w:sz w:val="24"/>
          <w:szCs w:val="24"/>
          <w:lang w:eastAsia="zh-CN"/>
        </w:rPr>
        <w:t>3780</w:t>
      </w:r>
      <w:r w:rsidR="00B41151" w:rsidRPr="00311E97">
        <w:rPr>
          <w:rFonts w:ascii="Book Antiqua" w:hAnsi="Book Antiqua" w:cs="Arial"/>
          <w:sz w:val="24"/>
          <w:szCs w:val="24"/>
        </w:rPr>
        <w:t>-</w:t>
      </w:r>
      <w:r w:rsidR="00B41151">
        <w:rPr>
          <w:rFonts w:ascii="Book Antiqua" w:hAnsi="Book Antiqua" w:cs="Arial" w:hint="eastAsia"/>
          <w:sz w:val="24"/>
          <w:szCs w:val="24"/>
          <w:lang w:eastAsia="zh-CN"/>
        </w:rPr>
        <w:t>3791</w:t>
      </w:r>
    </w:p>
    <w:p w14:paraId="6C23209C" w14:textId="384BFDD0" w:rsidR="00B41151" w:rsidRDefault="00B41151" w:rsidP="00B41151">
      <w:pPr>
        <w:adjustRightInd w:val="0"/>
        <w:snapToGrid w:val="0"/>
        <w:spacing w:after="0" w:line="360" w:lineRule="auto"/>
        <w:jc w:val="both"/>
        <w:rPr>
          <w:rFonts w:ascii="Book Antiqua" w:hAnsi="Book Antiqua" w:cs="Arial" w:hint="eastAsia"/>
          <w:sz w:val="24"/>
          <w:szCs w:val="24"/>
          <w:lang w:eastAsia="zh-CN"/>
        </w:rPr>
      </w:pPr>
      <w:r w:rsidRPr="00311E97">
        <w:rPr>
          <w:rFonts w:ascii="Book Antiqua" w:hAnsi="Book Antiqua" w:cs="Arial"/>
          <w:b/>
          <w:sz w:val="24"/>
          <w:szCs w:val="24"/>
        </w:rPr>
        <w:t>URL:</w:t>
      </w:r>
      <w:r w:rsidRPr="00311E97">
        <w:rPr>
          <w:rFonts w:ascii="Book Antiqua" w:hAnsi="Book Antiqua" w:cs="Arial"/>
          <w:sz w:val="24"/>
          <w:szCs w:val="24"/>
        </w:rPr>
        <w:t xml:space="preserve"> https://www.wjgnet.com/1007-9327/full/v26/i26/</w:t>
      </w:r>
      <w:r>
        <w:rPr>
          <w:rFonts w:ascii="Book Antiqua" w:hAnsi="Book Antiqua" w:cs="Arial" w:hint="eastAsia"/>
          <w:sz w:val="24"/>
          <w:szCs w:val="24"/>
          <w:lang w:eastAsia="zh-CN"/>
        </w:rPr>
        <w:t>3780</w:t>
      </w:r>
      <w:r w:rsidRPr="00311E97">
        <w:rPr>
          <w:rFonts w:ascii="Book Antiqua" w:hAnsi="Book Antiqua" w:cs="Arial"/>
          <w:sz w:val="24"/>
          <w:szCs w:val="24"/>
        </w:rPr>
        <w:t>.htm</w:t>
      </w:r>
    </w:p>
    <w:p w14:paraId="2EF0C217" w14:textId="51A0D258" w:rsidR="00C3520E" w:rsidRPr="00FA5C8D" w:rsidRDefault="00B41151" w:rsidP="00B41151">
      <w:pPr>
        <w:snapToGrid w:val="0"/>
        <w:spacing w:after="0" w:line="360" w:lineRule="auto"/>
        <w:jc w:val="both"/>
        <w:rPr>
          <w:rFonts w:ascii="Book Antiqua" w:hAnsi="Book Antiqua" w:cs="Times New Roman"/>
          <w:sz w:val="24"/>
          <w:szCs w:val="24"/>
          <w:shd w:val="clear" w:color="auto" w:fill="FFFFFF"/>
        </w:rPr>
      </w:pPr>
      <w:r w:rsidRPr="00311E97">
        <w:rPr>
          <w:rFonts w:ascii="Book Antiqua" w:hAnsi="Book Antiqua" w:cs="Arial"/>
          <w:b/>
          <w:sz w:val="24"/>
          <w:szCs w:val="24"/>
        </w:rPr>
        <w:t>DOI:</w:t>
      </w:r>
      <w:r w:rsidRPr="00311E97">
        <w:rPr>
          <w:rFonts w:ascii="Book Antiqua" w:hAnsi="Book Antiqua" w:cs="Arial"/>
          <w:sz w:val="24"/>
          <w:szCs w:val="24"/>
        </w:rPr>
        <w:t xml:space="preserve"> https://dx.doi.org/10.3748/wjg.v26.i26.</w:t>
      </w:r>
      <w:r>
        <w:rPr>
          <w:rFonts w:ascii="Book Antiqua" w:hAnsi="Book Antiqua" w:cs="Arial" w:hint="eastAsia"/>
          <w:sz w:val="24"/>
          <w:szCs w:val="24"/>
          <w:lang w:eastAsia="zh-CN"/>
        </w:rPr>
        <w:t>3780</w:t>
      </w:r>
      <w:bookmarkStart w:id="3" w:name="_GoBack"/>
      <w:bookmarkEnd w:id="3"/>
    </w:p>
    <w:p w14:paraId="6552AAB2" w14:textId="77777777" w:rsidR="00B55682" w:rsidRPr="00FA5C8D" w:rsidRDefault="00B55682" w:rsidP="00FA5C8D">
      <w:pPr>
        <w:snapToGrid w:val="0"/>
        <w:spacing w:after="0" w:line="360" w:lineRule="auto"/>
        <w:jc w:val="both"/>
        <w:rPr>
          <w:rFonts w:ascii="Book Antiqua" w:hAnsi="Book Antiqua" w:cs="Times New Roman"/>
          <w:sz w:val="24"/>
          <w:szCs w:val="24"/>
        </w:rPr>
      </w:pPr>
    </w:p>
    <w:p w14:paraId="2F6B4D4D" w14:textId="77777777" w:rsidR="005560D7" w:rsidRPr="00FA5C8D" w:rsidRDefault="0058298B" w:rsidP="00FA5C8D">
      <w:pPr>
        <w:snapToGrid w:val="0"/>
        <w:spacing w:after="0" w:line="360" w:lineRule="auto"/>
        <w:jc w:val="both"/>
        <w:rPr>
          <w:rFonts w:ascii="Book Antiqua" w:hAnsi="Book Antiqua" w:cs="Times New Roman"/>
          <w:b/>
          <w:sz w:val="24"/>
          <w:szCs w:val="24"/>
        </w:rPr>
      </w:pPr>
      <w:r w:rsidRPr="00FA5C8D">
        <w:rPr>
          <w:rFonts w:ascii="Book Antiqua" w:hAnsi="Book Antiqua"/>
          <w:b/>
          <w:sz w:val="24"/>
          <w:szCs w:val="24"/>
        </w:rPr>
        <w:t>Co</w:t>
      </w:r>
      <w:r w:rsidRPr="00FA5C8D">
        <w:rPr>
          <w:rFonts w:ascii="Book Antiqua" w:eastAsia="宋体" w:hAnsi="Book Antiqua"/>
          <w:b/>
          <w:sz w:val="24"/>
          <w:szCs w:val="24"/>
          <w:lang w:eastAsia="zh-CN"/>
        </w:rPr>
        <w:t xml:space="preserve">re tip: </w:t>
      </w:r>
      <w:r w:rsidR="00880352" w:rsidRPr="00FA5C8D">
        <w:rPr>
          <w:rFonts w:ascii="Book Antiqua" w:hAnsi="Book Antiqua" w:cs="Times New Roman"/>
          <w:sz w:val="24"/>
          <w:szCs w:val="24"/>
        </w:rPr>
        <w:t xml:space="preserve">We attempted to determine whether indicators such as </w:t>
      </w:r>
      <w:r w:rsidR="00260692" w:rsidRPr="00FA5C8D">
        <w:rPr>
          <w:rFonts w:ascii="Book Antiqua" w:hAnsi="Book Antiqua" w:cs="Times New Roman"/>
          <w:sz w:val="24"/>
          <w:szCs w:val="24"/>
        </w:rPr>
        <w:t xml:space="preserve">anti-tissue </w:t>
      </w:r>
      <w:proofErr w:type="spellStart"/>
      <w:r w:rsidR="00260692" w:rsidRPr="00FA5C8D">
        <w:rPr>
          <w:rFonts w:ascii="Book Antiqua" w:hAnsi="Book Antiqua" w:cs="Times New Roman"/>
          <w:sz w:val="24"/>
          <w:szCs w:val="24"/>
        </w:rPr>
        <w:t>transglutaminase</w:t>
      </w:r>
      <w:proofErr w:type="spellEnd"/>
      <w:r w:rsidR="00260692" w:rsidRPr="00FA5C8D">
        <w:rPr>
          <w:rFonts w:ascii="Book Antiqua" w:hAnsi="Book Antiqua" w:cs="Times New Roman"/>
          <w:sz w:val="24"/>
          <w:szCs w:val="24"/>
        </w:rPr>
        <w:t xml:space="preserve"> antibodies (</w:t>
      </w:r>
      <w:proofErr w:type="spellStart"/>
      <w:r w:rsidR="00F70C80" w:rsidRPr="00FA5C8D">
        <w:rPr>
          <w:rFonts w:ascii="Book Antiqua" w:hAnsi="Book Antiqua" w:cs="Times New Roman"/>
          <w:sz w:val="24"/>
          <w:szCs w:val="24"/>
        </w:rPr>
        <w:t>aTTG</w:t>
      </w:r>
      <w:proofErr w:type="spellEnd"/>
      <w:r w:rsidR="00260692" w:rsidRPr="00FA5C8D">
        <w:rPr>
          <w:rFonts w:ascii="Book Antiqua" w:hAnsi="Book Antiqua" w:cs="Times New Roman"/>
          <w:sz w:val="24"/>
          <w:szCs w:val="24"/>
        </w:rPr>
        <w:t>)</w:t>
      </w:r>
      <w:r w:rsidR="00880352" w:rsidRPr="00FA5C8D">
        <w:rPr>
          <w:rFonts w:ascii="Book Antiqua" w:hAnsi="Book Antiqua" w:cs="Times New Roman"/>
          <w:sz w:val="24"/>
          <w:szCs w:val="24"/>
        </w:rPr>
        <w:t xml:space="preserve">, </w:t>
      </w:r>
      <w:r w:rsidR="00260692" w:rsidRPr="00FA5C8D">
        <w:rPr>
          <w:rFonts w:ascii="Book Antiqua" w:hAnsi="Book Antiqua" w:cs="Times New Roman"/>
          <w:sz w:val="24"/>
          <w:szCs w:val="24"/>
        </w:rPr>
        <w:t>anti-</w:t>
      </w:r>
      <w:proofErr w:type="spellStart"/>
      <w:r w:rsidR="00260692" w:rsidRPr="00FA5C8D">
        <w:rPr>
          <w:rFonts w:ascii="Book Antiqua" w:hAnsi="Book Antiqua" w:cs="Times New Roman"/>
          <w:sz w:val="24"/>
          <w:szCs w:val="24"/>
        </w:rPr>
        <w:t>deamidated</w:t>
      </w:r>
      <w:proofErr w:type="spellEnd"/>
      <w:r w:rsidR="009E1E97" w:rsidRPr="00FA5C8D">
        <w:rPr>
          <w:rFonts w:ascii="Book Antiqua" w:hAnsi="Book Antiqua" w:cs="Times New Roman"/>
          <w:sz w:val="24"/>
          <w:szCs w:val="24"/>
        </w:rPr>
        <w:t xml:space="preserve"> </w:t>
      </w:r>
      <w:proofErr w:type="spellStart"/>
      <w:r w:rsidR="00260692" w:rsidRPr="00FA5C8D">
        <w:rPr>
          <w:rFonts w:ascii="Book Antiqua" w:hAnsi="Book Antiqua" w:cs="Times New Roman"/>
          <w:sz w:val="24"/>
          <w:szCs w:val="24"/>
        </w:rPr>
        <w:t>gliadin</w:t>
      </w:r>
      <w:proofErr w:type="spellEnd"/>
      <w:r w:rsidR="00260692" w:rsidRPr="00FA5C8D">
        <w:rPr>
          <w:rFonts w:ascii="Book Antiqua" w:hAnsi="Book Antiqua" w:cs="Times New Roman"/>
          <w:sz w:val="24"/>
          <w:szCs w:val="24"/>
        </w:rPr>
        <w:t xml:space="preserve"> peptide antibodies (</w:t>
      </w:r>
      <w:proofErr w:type="spellStart"/>
      <w:r w:rsidR="00F70C80" w:rsidRPr="00FA5C8D">
        <w:rPr>
          <w:rFonts w:ascii="Book Antiqua" w:hAnsi="Book Antiqua" w:cs="Times New Roman"/>
          <w:sz w:val="24"/>
          <w:szCs w:val="24"/>
        </w:rPr>
        <w:t>aDGP</w:t>
      </w:r>
      <w:proofErr w:type="spellEnd"/>
      <w:r w:rsidR="00260692" w:rsidRPr="00FA5C8D">
        <w:rPr>
          <w:rFonts w:ascii="Book Antiqua" w:hAnsi="Book Antiqua" w:cs="Times New Roman"/>
          <w:sz w:val="24"/>
          <w:szCs w:val="24"/>
        </w:rPr>
        <w:t>)</w:t>
      </w:r>
      <w:r w:rsidR="00880352" w:rsidRPr="00FA5C8D">
        <w:rPr>
          <w:rFonts w:ascii="Book Antiqua" w:hAnsi="Book Antiqua" w:cs="Times New Roman"/>
          <w:sz w:val="24"/>
          <w:szCs w:val="24"/>
        </w:rPr>
        <w:t>, and abdominal ultrasonography could predict villous atrophy</w:t>
      </w:r>
      <w:r w:rsidR="00260692" w:rsidRPr="00FA5C8D">
        <w:rPr>
          <w:rFonts w:ascii="Book Antiqua" w:hAnsi="Book Antiqua" w:cs="Times New Roman"/>
          <w:sz w:val="24"/>
          <w:szCs w:val="24"/>
        </w:rPr>
        <w:t xml:space="preserve"> (VA)</w:t>
      </w:r>
      <w:r w:rsidR="00880352" w:rsidRPr="00FA5C8D">
        <w:rPr>
          <w:rFonts w:ascii="Book Antiqua" w:hAnsi="Book Antiqua" w:cs="Times New Roman"/>
          <w:sz w:val="24"/>
          <w:szCs w:val="24"/>
        </w:rPr>
        <w:t>.</w:t>
      </w:r>
      <w:r w:rsidR="009C6707" w:rsidRPr="00FA5C8D">
        <w:rPr>
          <w:rFonts w:ascii="Book Antiqua" w:hAnsi="Book Antiqua" w:cs="Times New Roman"/>
          <w:sz w:val="24"/>
          <w:szCs w:val="24"/>
        </w:rPr>
        <w:t xml:space="preserve"> </w:t>
      </w:r>
      <w:r w:rsidR="00880352" w:rsidRPr="00FA5C8D">
        <w:rPr>
          <w:rFonts w:ascii="Book Antiqua" w:hAnsi="Book Antiqua" w:cs="Times New Roman"/>
          <w:sz w:val="24"/>
          <w:szCs w:val="24"/>
        </w:rPr>
        <w:t xml:space="preserve">We studied </w:t>
      </w:r>
      <w:r w:rsidR="00880352" w:rsidRPr="00FA5C8D">
        <w:rPr>
          <w:rFonts w:ascii="Book Antiqua" w:hAnsi="Book Antiqua" w:cs="Times New Roman"/>
          <w:sz w:val="24"/>
          <w:szCs w:val="24"/>
        </w:rPr>
        <w:lastRenderedPageBreak/>
        <w:t xml:space="preserve">patients who were diagnosed with </w:t>
      </w:r>
      <w:r w:rsidR="00260692" w:rsidRPr="00FA5C8D">
        <w:rPr>
          <w:rFonts w:ascii="Book Antiqua" w:hAnsi="Book Antiqua" w:cs="Times New Roman"/>
          <w:sz w:val="24"/>
          <w:szCs w:val="24"/>
        </w:rPr>
        <w:t>celiac disease</w:t>
      </w:r>
      <w:r w:rsidR="00880352" w:rsidRPr="00FA5C8D">
        <w:rPr>
          <w:rFonts w:ascii="Book Antiqua" w:hAnsi="Book Antiqua" w:cs="Times New Roman"/>
          <w:sz w:val="24"/>
          <w:szCs w:val="24"/>
        </w:rPr>
        <w:t xml:space="preserve"> and were on a </w:t>
      </w:r>
      <w:r w:rsidR="00260692" w:rsidRPr="00FA5C8D">
        <w:rPr>
          <w:rFonts w:ascii="Book Antiqua" w:hAnsi="Book Antiqua" w:cs="Times New Roman"/>
          <w:sz w:val="24"/>
          <w:szCs w:val="24"/>
        </w:rPr>
        <w:t>gluten-free diet</w:t>
      </w:r>
      <w:r w:rsidR="00880352" w:rsidRPr="00FA5C8D">
        <w:rPr>
          <w:rFonts w:ascii="Book Antiqua" w:hAnsi="Book Antiqua" w:cs="Times New Roman"/>
          <w:sz w:val="24"/>
          <w:szCs w:val="24"/>
        </w:rPr>
        <w:t xml:space="preserve"> for at least one year; they were followed up for a maximum of four years. We determined that aTTG and aDGP were not optimal markers of persistent VA. However, we found that a combination of serology and bowel ultrasound examination enabled detection of VA with better accuracy.</w:t>
      </w:r>
    </w:p>
    <w:p w14:paraId="42814642" w14:textId="77777777" w:rsidR="0047007F" w:rsidRPr="00FA5C8D" w:rsidRDefault="0047007F" w:rsidP="00FA5C8D">
      <w:pPr>
        <w:snapToGrid w:val="0"/>
        <w:spacing w:after="0" w:line="360" w:lineRule="auto"/>
        <w:jc w:val="both"/>
        <w:rPr>
          <w:rFonts w:ascii="Book Antiqua" w:hAnsi="Book Antiqua" w:cs="Times New Roman"/>
          <w:b/>
          <w:sz w:val="24"/>
          <w:szCs w:val="24"/>
          <w:u w:val="single"/>
        </w:rPr>
      </w:pPr>
      <w:r w:rsidRPr="00FA5C8D">
        <w:rPr>
          <w:rFonts w:ascii="Book Antiqua" w:hAnsi="Book Antiqua" w:cs="Times New Roman"/>
          <w:b/>
          <w:sz w:val="24"/>
          <w:szCs w:val="24"/>
          <w:u w:val="single"/>
        </w:rPr>
        <w:br w:type="page"/>
      </w:r>
    </w:p>
    <w:p w14:paraId="74713029" w14:textId="77777777" w:rsidR="0058298B" w:rsidRPr="00FA5C8D" w:rsidRDefault="0058298B" w:rsidP="00FA5C8D">
      <w:pPr>
        <w:snapToGrid w:val="0"/>
        <w:spacing w:after="0" w:line="360" w:lineRule="auto"/>
        <w:jc w:val="both"/>
        <w:rPr>
          <w:rFonts w:ascii="Book Antiqua" w:hAnsi="Book Antiqua" w:cs="Times New Roman"/>
          <w:sz w:val="24"/>
          <w:szCs w:val="24"/>
        </w:rPr>
      </w:pPr>
      <w:r w:rsidRPr="00FA5C8D">
        <w:rPr>
          <w:rFonts w:ascii="Book Antiqua" w:hAnsi="Book Antiqua"/>
          <w:b/>
          <w:sz w:val="24"/>
          <w:szCs w:val="24"/>
          <w:u w:val="single"/>
        </w:rPr>
        <w:lastRenderedPageBreak/>
        <w:t>INTRODUCTION</w:t>
      </w:r>
    </w:p>
    <w:p w14:paraId="35517B19" w14:textId="77777777" w:rsidR="00E70C18" w:rsidRPr="00FA5C8D" w:rsidRDefault="003B746D"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 xml:space="preserve">Celiac disease </w:t>
      </w:r>
      <w:r w:rsidR="00976A4D" w:rsidRPr="00FA5C8D">
        <w:rPr>
          <w:rFonts w:ascii="Book Antiqua" w:hAnsi="Book Antiqua" w:cs="Times New Roman"/>
          <w:sz w:val="24"/>
          <w:szCs w:val="24"/>
        </w:rPr>
        <w:t>(CD)</w:t>
      </w:r>
      <w:r w:rsidR="009C670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is </w:t>
      </w:r>
      <w:r w:rsidR="00B934CC" w:rsidRPr="00FA5C8D">
        <w:rPr>
          <w:rFonts w:ascii="Book Antiqua" w:hAnsi="Book Antiqua" w:cs="Times New Roman"/>
          <w:sz w:val="24"/>
          <w:szCs w:val="24"/>
        </w:rPr>
        <w:t xml:space="preserve">an </w:t>
      </w:r>
      <w:r w:rsidRPr="00FA5C8D">
        <w:rPr>
          <w:rFonts w:ascii="Book Antiqua" w:hAnsi="Book Antiqua" w:cs="Times New Roman"/>
          <w:sz w:val="24"/>
          <w:szCs w:val="24"/>
        </w:rPr>
        <w:t>immune</w:t>
      </w:r>
      <w:r w:rsidR="00545095" w:rsidRPr="00FA5C8D">
        <w:rPr>
          <w:rFonts w:ascii="Book Antiqua" w:hAnsi="Book Antiqua" w:cs="Times New Roman"/>
          <w:sz w:val="24"/>
          <w:szCs w:val="24"/>
        </w:rPr>
        <w:t>-</w:t>
      </w:r>
      <w:r w:rsidRPr="00FA5C8D">
        <w:rPr>
          <w:rFonts w:ascii="Book Antiqua" w:hAnsi="Book Antiqua" w:cs="Times New Roman"/>
          <w:sz w:val="24"/>
          <w:szCs w:val="24"/>
        </w:rPr>
        <w:t>mediated enteropathy</w:t>
      </w:r>
      <w:r w:rsidR="009C6707" w:rsidRPr="00FA5C8D">
        <w:rPr>
          <w:rFonts w:ascii="Book Antiqua" w:hAnsi="Book Antiqua" w:cs="Times New Roman"/>
          <w:sz w:val="24"/>
          <w:szCs w:val="24"/>
        </w:rPr>
        <w:t xml:space="preserve"> </w:t>
      </w:r>
      <w:r w:rsidR="00815906" w:rsidRPr="00FA5C8D">
        <w:rPr>
          <w:rFonts w:ascii="Book Antiqua" w:hAnsi="Book Antiqua" w:cs="Times New Roman"/>
          <w:sz w:val="24"/>
          <w:szCs w:val="24"/>
        </w:rPr>
        <w:t>trigge</w:t>
      </w:r>
      <w:r w:rsidR="002E3FE0" w:rsidRPr="00FA5C8D">
        <w:rPr>
          <w:rFonts w:ascii="Book Antiqua" w:hAnsi="Book Antiqua" w:cs="Times New Roman"/>
          <w:sz w:val="24"/>
          <w:szCs w:val="24"/>
        </w:rPr>
        <w:t>red</w:t>
      </w:r>
      <w:r w:rsidR="00815906" w:rsidRPr="00FA5C8D">
        <w:rPr>
          <w:rFonts w:ascii="Book Antiqua" w:hAnsi="Book Antiqua" w:cs="Times New Roman"/>
          <w:sz w:val="24"/>
          <w:szCs w:val="24"/>
        </w:rPr>
        <w:t xml:space="preserve"> by gluten in genetically </w:t>
      </w:r>
      <w:r w:rsidR="00B80128" w:rsidRPr="00FA5C8D">
        <w:rPr>
          <w:rFonts w:ascii="Book Antiqua" w:hAnsi="Book Antiqua" w:cs="Times New Roman"/>
          <w:sz w:val="24"/>
          <w:szCs w:val="24"/>
        </w:rPr>
        <w:t>susceptible</w:t>
      </w:r>
      <w:r w:rsidR="00815906" w:rsidRPr="00FA5C8D">
        <w:rPr>
          <w:rFonts w:ascii="Book Antiqua" w:hAnsi="Book Antiqua" w:cs="Times New Roman"/>
          <w:sz w:val="24"/>
          <w:szCs w:val="24"/>
        </w:rPr>
        <w:t xml:space="preserve"> individuals. The only therapy </w:t>
      </w:r>
      <w:r w:rsidR="00106BE8" w:rsidRPr="00FA5C8D">
        <w:rPr>
          <w:rFonts w:ascii="Book Antiqua" w:hAnsi="Book Antiqua" w:cs="Times New Roman"/>
          <w:sz w:val="24"/>
          <w:szCs w:val="24"/>
        </w:rPr>
        <w:t>for</w:t>
      </w:r>
      <w:r w:rsidR="00815906" w:rsidRPr="00FA5C8D">
        <w:rPr>
          <w:rFonts w:ascii="Book Antiqua" w:hAnsi="Book Antiqua" w:cs="Times New Roman"/>
          <w:sz w:val="24"/>
          <w:szCs w:val="24"/>
        </w:rPr>
        <w:t xml:space="preserve"> CD is </w:t>
      </w:r>
      <w:r w:rsidR="005214F0" w:rsidRPr="00FA5C8D">
        <w:rPr>
          <w:rFonts w:ascii="Book Antiqua" w:hAnsi="Book Antiqua" w:cs="Times New Roman"/>
          <w:sz w:val="24"/>
          <w:szCs w:val="24"/>
        </w:rPr>
        <w:t xml:space="preserve">a </w:t>
      </w:r>
      <w:r w:rsidRPr="00FA5C8D">
        <w:rPr>
          <w:rFonts w:ascii="Book Antiqua" w:hAnsi="Book Antiqua" w:cs="Times New Roman"/>
          <w:sz w:val="24"/>
          <w:szCs w:val="24"/>
        </w:rPr>
        <w:t>gluten</w:t>
      </w:r>
      <w:r w:rsidR="005214F0" w:rsidRPr="00FA5C8D">
        <w:rPr>
          <w:rFonts w:ascii="Book Antiqua" w:hAnsi="Book Antiqua" w:cs="Times New Roman"/>
          <w:sz w:val="24"/>
          <w:szCs w:val="24"/>
        </w:rPr>
        <w:t>-</w:t>
      </w:r>
      <w:r w:rsidRPr="00FA5C8D">
        <w:rPr>
          <w:rFonts w:ascii="Book Antiqua" w:hAnsi="Book Antiqua" w:cs="Times New Roman"/>
          <w:sz w:val="24"/>
          <w:szCs w:val="24"/>
        </w:rPr>
        <w:t>free diet</w:t>
      </w:r>
      <w:r w:rsidR="00976A4D" w:rsidRPr="00FA5C8D">
        <w:rPr>
          <w:rFonts w:ascii="Book Antiqua" w:hAnsi="Book Antiqua" w:cs="Times New Roman"/>
          <w:sz w:val="24"/>
          <w:szCs w:val="24"/>
        </w:rPr>
        <w:t xml:space="preserve"> (GFD)</w:t>
      </w:r>
      <w:r w:rsidRPr="00FA5C8D">
        <w:rPr>
          <w:rFonts w:ascii="Book Antiqua" w:hAnsi="Book Antiqua" w:cs="Times New Roman"/>
          <w:sz w:val="24"/>
          <w:szCs w:val="24"/>
        </w:rPr>
        <w:t xml:space="preserve">. </w:t>
      </w:r>
      <w:r w:rsidR="00C823A1" w:rsidRPr="00FA5C8D">
        <w:rPr>
          <w:rFonts w:ascii="Book Antiqua" w:hAnsi="Book Antiqua" w:cs="Times New Roman"/>
          <w:sz w:val="24"/>
          <w:szCs w:val="24"/>
        </w:rPr>
        <w:t xml:space="preserve">Mucosal healing </w:t>
      </w:r>
      <w:r w:rsidR="00EF33F5" w:rsidRPr="00FA5C8D">
        <w:rPr>
          <w:rFonts w:ascii="Book Antiqua" w:hAnsi="Book Antiqua" w:cs="Times New Roman"/>
          <w:sz w:val="24"/>
          <w:szCs w:val="24"/>
        </w:rPr>
        <w:t>(Marsh 0 or 1 on follow</w:t>
      </w:r>
      <w:r w:rsidR="004B15EC" w:rsidRPr="00FA5C8D">
        <w:rPr>
          <w:rFonts w:ascii="Book Antiqua" w:hAnsi="Book Antiqua" w:cs="Times New Roman"/>
          <w:sz w:val="24"/>
          <w:szCs w:val="24"/>
        </w:rPr>
        <w:t>-</w:t>
      </w:r>
      <w:r w:rsidR="00EF33F5" w:rsidRPr="00FA5C8D">
        <w:rPr>
          <w:rFonts w:ascii="Book Antiqua" w:hAnsi="Book Antiqua" w:cs="Times New Roman"/>
          <w:sz w:val="24"/>
          <w:szCs w:val="24"/>
        </w:rPr>
        <w:t xml:space="preserve">up biopsy) </w:t>
      </w:r>
      <w:r w:rsidR="00C823A1" w:rsidRPr="00FA5C8D">
        <w:rPr>
          <w:rFonts w:ascii="Book Antiqua" w:hAnsi="Book Antiqua" w:cs="Times New Roman"/>
          <w:sz w:val="24"/>
          <w:szCs w:val="24"/>
        </w:rPr>
        <w:t xml:space="preserve">is </w:t>
      </w:r>
      <w:r w:rsidR="00852926" w:rsidRPr="00FA5C8D">
        <w:rPr>
          <w:rFonts w:ascii="Book Antiqua" w:hAnsi="Book Antiqua" w:cs="Times New Roman"/>
          <w:sz w:val="24"/>
          <w:szCs w:val="24"/>
        </w:rPr>
        <w:t>the</w:t>
      </w:r>
      <w:r w:rsidR="0037229C" w:rsidRPr="00FA5C8D">
        <w:rPr>
          <w:rFonts w:ascii="Book Antiqua" w:hAnsi="Book Antiqua" w:cs="Times New Roman"/>
          <w:sz w:val="24"/>
          <w:szCs w:val="24"/>
        </w:rPr>
        <w:t xml:space="preserve"> </w:t>
      </w:r>
      <w:r w:rsidR="00C823A1" w:rsidRPr="00FA5C8D">
        <w:rPr>
          <w:rFonts w:ascii="Book Antiqua" w:hAnsi="Book Antiqua" w:cs="Times New Roman"/>
          <w:sz w:val="24"/>
          <w:szCs w:val="24"/>
        </w:rPr>
        <w:t>main endpoin</w:t>
      </w:r>
      <w:r w:rsidR="00B8468B" w:rsidRPr="00FA5C8D">
        <w:rPr>
          <w:rFonts w:ascii="Book Antiqua" w:hAnsi="Book Antiqua" w:cs="Times New Roman"/>
          <w:sz w:val="24"/>
          <w:szCs w:val="24"/>
        </w:rPr>
        <w:t>t</w:t>
      </w:r>
      <w:r w:rsidR="00C823A1" w:rsidRPr="00FA5C8D">
        <w:rPr>
          <w:rFonts w:ascii="Book Antiqua" w:hAnsi="Book Antiqua" w:cs="Times New Roman"/>
          <w:sz w:val="24"/>
          <w:szCs w:val="24"/>
        </w:rPr>
        <w:t xml:space="preserve"> of </w:t>
      </w:r>
      <w:r w:rsidR="000F2FB1" w:rsidRPr="00FA5C8D">
        <w:rPr>
          <w:rFonts w:ascii="Book Antiqua" w:hAnsi="Book Antiqua" w:cs="Times New Roman"/>
          <w:sz w:val="24"/>
          <w:szCs w:val="24"/>
        </w:rPr>
        <w:t>this</w:t>
      </w:r>
      <w:r w:rsidR="00C823A1" w:rsidRPr="00FA5C8D">
        <w:rPr>
          <w:rFonts w:ascii="Book Antiqua" w:hAnsi="Book Antiqua" w:cs="Times New Roman"/>
          <w:sz w:val="24"/>
          <w:szCs w:val="24"/>
        </w:rPr>
        <w:t xml:space="preserve"> therapy</w:t>
      </w:r>
      <w:r w:rsidR="000F2FB1" w:rsidRPr="00FA5C8D">
        <w:rPr>
          <w:rFonts w:ascii="Book Antiqua" w:hAnsi="Book Antiqua" w:cs="Times New Roman"/>
          <w:sz w:val="24"/>
          <w:szCs w:val="24"/>
        </w:rPr>
        <w:t>; however</w:t>
      </w:r>
      <w:r w:rsidR="00C823A1" w:rsidRPr="00FA5C8D">
        <w:rPr>
          <w:rFonts w:ascii="Book Antiqua" w:hAnsi="Book Antiqua" w:cs="Times New Roman"/>
          <w:sz w:val="24"/>
          <w:szCs w:val="24"/>
        </w:rPr>
        <w:t xml:space="preserve">, </w:t>
      </w:r>
      <w:r w:rsidR="000F2FB1" w:rsidRPr="00FA5C8D">
        <w:rPr>
          <w:rFonts w:ascii="Book Antiqua" w:hAnsi="Book Antiqua" w:cs="Times New Roman"/>
          <w:sz w:val="24"/>
          <w:szCs w:val="24"/>
        </w:rPr>
        <w:t>this goal</w:t>
      </w:r>
      <w:r w:rsidR="0037229C" w:rsidRPr="00FA5C8D">
        <w:rPr>
          <w:rFonts w:ascii="Book Antiqua" w:hAnsi="Book Antiqua" w:cs="Times New Roman"/>
          <w:sz w:val="24"/>
          <w:szCs w:val="24"/>
        </w:rPr>
        <w:t xml:space="preserve"> </w:t>
      </w:r>
      <w:r w:rsidR="00852926" w:rsidRPr="00FA5C8D">
        <w:rPr>
          <w:rFonts w:ascii="Book Antiqua" w:hAnsi="Book Antiqua" w:cs="Times New Roman"/>
          <w:sz w:val="24"/>
          <w:szCs w:val="24"/>
        </w:rPr>
        <w:t>has been</w:t>
      </w:r>
      <w:r w:rsidR="0037229C" w:rsidRPr="00FA5C8D">
        <w:rPr>
          <w:rFonts w:ascii="Book Antiqua" w:hAnsi="Book Antiqua" w:cs="Times New Roman"/>
          <w:sz w:val="24"/>
          <w:szCs w:val="24"/>
        </w:rPr>
        <w:t xml:space="preserve"> </w:t>
      </w:r>
      <w:r w:rsidR="00C823A1" w:rsidRPr="00FA5C8D">
        <w:rPr>
          <w:rFonts w:ascii="Book Antiqua" w:hAnsi="Book Antiqua" w:cs="Times New Roman"/>
          <w:sz w:val="24"/>
          <w:szCs w:val="24"/>
        </w:rPr>
        <w:t>achieved in</w:t>
      </w:r>
      <w:r w:rsidR="0037229C" w:rsidRPr="00FA5C8D">
        <w:rPr>
          <w:rFonts w:ascii="Book Antiqua" w:hAnsi="Book Antiqua" w:cs="Times New Roman"/>
          <w:sz w:val="24"/>
          <w:szCs w:val="24"/>
        </w:rPr>
        <w:t xml:space="preserve"> </w:t>
      </w:r>
      <w:r w:rsidR="00852926" w:rsidRPr="00FA5C8D">
        <w:rPr>
          <w:rFonts w:ascii="Book Antiqua" w:hAnsi="Book Antiqua" w:cs="Times New Roman"/>
          <w:sz w:val="24"/>
          <w:szCs w:val="24"/>
        </w:rPr>
        <w:t>approximately</w:t>
      </w:r>
      <w:r w:rsidR="0037229C" w:rsidRPr="00FA5C8D">
        <w:rPr>
          <w:rFonts w:ascii="Book Antiqua" w:hAnsi="Book Antiqua" w:cs="Times New Roman"/>
          <w:sz w:val="24"/>
          <w:szCs w:val="24"/>
        </w:rPr>
        <w:t xml:space="preserve"> </w:t>
      </w:r>
      <w:r w:rsidR="009A637D" w:rsidRPr="00FA5C8D">
        <w:rPr>
          <w:rFonts w:ascii="Book Antiqua" w:hAnsi="Book Antiqua" w:cs="Times New Roman"/>
          <w:sz w:val="24"/>
          <w:szCs w:val="24"/>
        </w:rPr>
        <w:t>60</w:t>
      </w:r>
      <w:r w:rsidR="00C823A1" w:rsidRPr="00FA5C8D">
        <w:rPr>
          <w:rFonts w:ascii="Book Antiqua" w:hAnsi="Book Antiqua" w:cs="Times New Roman"/>
          <w:sz w:val="24"/>
          <w:szCs w:val="24"/>
        </w:rPr>
        <w:t>% of patients</w:t>
      </w:r>
      <w:r w:rsidR="0037229C" w:rsidRPr="00FA5C8D">
        <w:rPr>
          <w:rFonts w:ascii="Book Antiqua" w:hAnsi="Book Antiqua" w:cs="Times New Roman"/>
          <w:sz w:val="24"/>
          <w:szCs w:val="24"/>
        </w:rPr>
        <w:t xml:space="preserve"> </w:t>
      </w:r>
      <w:r w:rsidR="007E1F73" w:rsidRPr="00FA5C8D">
        <w:rPr>
          <w:rFonts w:ascii="Book Antiqua" w:hAnsi="Book Antiqua" w:cs="Times New Roman"/>
          <w:sz w:val="24"/>
          <w:szCs w:val="24"/>
        </w:rPr>
        <w:t>after one year of GFD</w:t>
      </w:r>
      <w:r w:rsidR="000F2FB1" w:rsidRPr="00FA5C8D">
        <w:rPr>
          <w:rFonts w:ascii="Book Antiqua" w:hAnsi="Book Antiqua" w:cs="Times New Roman"/>
          <w:sz w:val="24"/>
          <w:szCs w:val="24"/>
        </w:rPr>
        <w:t>, especially in cases of CD diagnosed in adulthood</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{"citationID":"Y0aUWB9d","properties":{"formattedCitation":"\\super [1,2]\\nosupersub{}","plainCitation":"[1,2]","noteIndex":0},"citationItems":[{"id":1176,"uris":["http://zotero.org/users/4312189/items/NTH2JUNX"],"uri":["http://zotero.org/users/4312189/items/NTH2JUNX"],"itemData":{"id":1176,"type":"article-journal","abstract":"BACKGROUND: Coeliac disease (CD), characterised by the presence of villous atrophy (VA) in the small intestine, is associated with increased mortality, but it is unknown if mortality is influenced by mucosal recovery.\nAIMS: To determine whether persistent VA is associated with mortality in CD.\nMETHODS: Through biopsy reports from all pathology departments (n = 28) in Sweden, we identified 7648 individuals with CD (defined as VA) who had undergone a follow-up biopsy within 5 years following diagnosis. We used Cox regression to examine mortality according to follow-up biopsy.\nRESULTS: The mean age of CD diagnosis was 28.4; 63% were female; and the median follow-up after diagnosis was 11.5 years. The overall mortality rate of patients who underwent follow-up biopsy was lower than that of those who did not undergo follow-up biopsy (Hazard Ratio 0.88, 95% CI: 0.80-0.96). Of the 7648 patients who underwent follow-up biopsy, persistent VA was present in 3317 (43%). There were 606 (8%) deaths. Patients with persistent VA were not at increased risk of death compared with those with mucosal healing (HR: 1.01; 95% CI: 0.86-1.19). Mortality was not increased in children with persistent VA (HR: 1.09 95% CI: 0.37-3.16) or adults (HR 1.00 95% CI: 0.85-1.18), including adults older than age 50 years (HR: 0.96 95% CI: 0.80-1.14).\nCONCLUSIONS: Persistent villous atrophy is not associated with increased mortality in coeliac disease. While a follow-up biopsy will allow detection of refractory disease in symptomatic patients, in the select population of patients who undergo repeat biopsy, persistent villous atrophy is not useful in predicting future mortality.","container-title":"Alimentary Pharmacology &amp; Therapeutics","DOI":"10.1111/apt.12164","ISSN":"1365-2036","issue":"3","journalAbbreviation":"Aliment. Pharmacol. Ther.","language":"eng","note":"PMID: 23190299\nPMCID: PMC3566869","page":"332-339","source":"PubMed","title":"Mucosal healing and mortality in coeliac disease","volume":"37","author":[{"family":"Lebwohl","given":"B."},{"family":"Granath","given":"F."},{"family":"Ekbom","given":"A."},{"family":"Montgomery","given":"S. M."},{"family":"Murray","given":"J. A."},{"family":"Rubio-Tapia","given":"A."},{"family":"Green","given":"P. H. R."},{"family":"Ludvigsson","given":"J. F."}],"issued":{"date-parts":[["2013",2]]}}},{"id":1179,"uris":["http://zotero.org/users/4312189/items/I9QBU2UR"],"uri":["http://zotero.org/users/4312189/items/I9QBU2UR"],"itemData":{"id":1179,"type":"article-journal","abstract":"BACKGROUND: The majority of deleterious health consequences of coeliac disease (CD) are most likely to be secondary to intestinal inflammation; hence, mucosal recovery is a desirable goal of therapy. Follow-up in CD is controversial and serological response is often used as a surrogate for histological recovery.\nAIMS: To inform the clinical management of CD using comparative serological and histological data from a biopsy-driven pathway of care.\nMETHODS: A retrospective analysis of the Cambridge Coeliac Clinic database of 595 patients routinely followed up by biopsy and serology.\nRESULTS: Paired biopsy results were available for 391 patients (15% seronegative). Persisting villous atrophy (VA) occurred in 182 patients (47%). The sensitivity of anti-tissue transglutaminase (TTG) antibody for ongoing VA was only 43.6%. Information on dietetic management and further biopsy to assess response was available for 94 initially unresponsive patients, in whom targeted dietetic intervention by removal of identified gluten sources or avoidance of trace amounts of gluten led to resolution of persistent VA in 50%. The effects of institution of a formal care pathway are analysed in 298 patients. Discharge to primary care and clinical management was facilitated by the information derived from repeat biopsy.\nCONCLUSIONS: Serology appears to be a poor surrogate marker for mucosal recovery on a gluten-free diet; dietary assessment fails to identify a potential gluten source in many patients with ongoing villous atrophy. The benefits of re-biopsy on diet include stratification of patients with coeliac disease suitable for early discharge from secondary care or those requiring more intensive clinical management.","container-title":"Alimentary Pharmacology &amp; Therapeutics","DOI":"10.1111/apt.12510","ISSN":"1365-2036","issue":"10","journalAbbreviation":"Aliment. Pharmacol. Ther.","language":"eng","note":"PMID: 24117503","page":"1278-1291","source":"PubMed","title":"Optimising delivery of care in coeliac disease - comparison of the benefits of repeat biopsy and serological follow-up","volume":"38","author":[{"family":"Sharkey","given":"L. M."},{"family":"Corbett","given":"G."},{"family":"Currie","given":"E."},{"family":"Lee","given":"J."},{"family":"Sweeney","given":"N."},{"family":"Woodward","given":"J. M."}],"issued":{"date-parts":[["2013",11]]}}}],"schema":"https://github.com/citation-style-language/schema/raw/master/csl-citation.json"}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[1,2]</w:t>
      </w:r>
      <w:r w:rsidR="00185175" w:rsidRPr="00FA5C8D">
        <w:rPr>
          <w:rFonts w:ascii="Book Antiqua" w:hAnsi="Book Antiqua" w:cs="Times New Roman"/>
          <w:sz w:val="24"/>
          <w:szCs w:val="24"/>
        </w:rPr>
        <w:fldChar w:fldCharType="end"/>
      </w:r>
      <w:r w:rsidR="00FF57D7"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FF57D7" w:rsidRPr="00FA5C8D">
        <w:rPr>
          <w:rFonts w:ascii="Book Antiqua" w:hAnsi="Book Antiqua" w:cs="Times New Roman"/>
          <w:sz w:val="24"/>
          <w:szCs w:val="24"/>
        </w:rPr>
        <w:t>In contrast, some</w:t>
      </w:r>
      <w:r w:rsidR="007E1F73" w:rsidRPr="00FA5C8D">
        <w:rPr>
          <w:rFonts w:ascii="Book Antiqua" w:hAnsi="Book Antiqua" w:cs="Times New Roman"/>
          <w:sz w:val="24"/>
          <w:szCs w:val="24"/>
        </w:rPr>
        <w:t xml:space="preserve"> recent studies </w:t>
      </w:r>
      <w:r w:rsidR="00FF57D7" w:rsidRPr="00FA5C8D">
        <w:rPr>
          <w:rFonts w:ascii="Book Antiqua" w:hAnsi="Book Antiqua" w:cs="Times New Roman"/>
          <w:sz w:val="24"/>
          <w:szCs w:val="24"/>
        </w:rPr>
        <w:t>state that</w:t>
      </w:r>
      <w:r w:rsidR="007E1F73" w:rsidRPr="00FA5C8D">
        <w:rPr>
          <w:rFonts w:ascii="Book Antiqua" w:hAnsi="Book Antiqua" w:cs="Times New Roman"/>
          <w:sz w:val="24"/>
          <w:szCs w:val="24"/>
        </w:rPr>
        <w:t xml:space="preserve"> up to 81% of patients achieved mucosal healing</w:t>
      </w:r>
      <w:r w:rsidR="0073709E"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73709E" w:rsidRPr="00FA5C8D">
        <w:rPr>
          <w:rFonts w:ascii="Book Antiqua" w:hAnsi="Book Antiqua" w:cs="Times New Roman"/>
          <w:sz w:val="24"/>
          <w:szCs w:val="24"/>
        </w:rPr>
        <w:t>as seen on</w:t>
      </w:r>
      <w:r w:rsidR="000563C0" w:rsidRPr="00FA5C8D">
        <w:rPr>
          <w:rFonts w:ascii="Book Antiqua" w:hAnsi="Book Antiqua" w:cs="Times New Roman"/>
          <w:sz w:val="24"/>
          <w:szCs w:val="24"/>
        </w:rPr>
        <w:t xml:space="preserve"> long-term follow-up</w:t>
      </w:r>
      <w:r w:rsidR="0073709E" w:rsidRPr="00FA5C8D">
        <w:rPr>
          <w:rFonts w:ascii="Book Antiqua" w:hAnsi="Book Antiqua" w:cs="Times New Roman"/>
          <w:sz w:val="24"/>
          <w:szCs w:val="24"/>
        </w:rPr>
        <w:t>s</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{"citationID":"GjpfemZV","properties":{"formattedCitation":"\\super [3]\\nosupersub{}","plainCitation":"[3]","noteIndex":0},"citationItems":[{"id":1090,"uris":["http://zotero.org/users/4312189/items/FUHS3N5J"],"uri":["http://zotero.org/users/4312189/items/FUHS3N5J"],"itemData":{"id":1090,"type":"article-journal","abstract":"Objective: The prevalence of persistent villous atrophy (VA) in patients with celiac disease (CD) on a gluten-free diet (GFD) varies greatly between studies. Most studies show a relatively high prevalence of mucosal atrophy and inflammation in treated patients, a finding which have led to a concept of non-responsive CD. Few studies have examined the prevalence of long-term mucosal healing. Our study aimed to determine the extent of mucosal healing in a cohort of Norwegian patients with CD treated with GFD for several years. Materials and methods: Adult patients diagnosed with VA between 1989 and 2009 were included. We performed a follow-up gastroscopy with duodenal biopsies. Two pathologists evaluated the biopsies according to the Marsh–Oberhuber classification. Mucosal healing was defined as Marsh 0 while mucosal recovery was defined as Marsh 0-2. Results: Duodenal biopsies were obtained from 127 adult patients with established CD. After a follow-up time of 8.1 years (median, range 2.3–22.3), 103 (81%) of the patients showed mucosal healing, 120 patients (94%) showed mucosal recovery, and 7 patients (6%) showed persistent VA. In addition, 103 of the 127 patients (81%) had undergone a routine follow-up biopsy 12.6 months (median, range 5.2–28.8) after diagnosis. At the time of the routine follow-up, only 52 of these patients (50.5%) had achieved mucosal recovery. Conclusions: Although half of the patients had persistent VA at the time of routine follow-up, both long-term mucosal recovery and healing is possible for the vast majority of adult patients with CD. © 2016 Informa UK Limited, trading as Taylor &amp; Francis Group.","archive":"Scopus","container-title":"Scandinavian Journal of Gastroenterology","DOI":"10.1080/00365521.2016.1218540","issue":"12","page":"1439-1446","source":"Scopus","title":"Long-term mucosal recovery and healing in celiac disease is the rule – not the exception","volume":"51","author":[{"family":"Hære","given":"P."},{"family":"Høie","given":"O."},{"family":"Schulz","given":"T."},{"family":"Schönhardt","given":"I."},{"family":"Raki","given":"M."},{"family":"Lundin","given":"K.E.A."}],"issued":{"date-parts":[["2016"]]}}}],"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[3]</w:t>
      </w:r>
      <w:r w:rsidR="00185175" w:rsidRPr="00FA5C8D">
        <w:rPr>
          <w:rFonts w:ascii="Book Antiqua" w:hAnsi="Book Antiqua" w:cs="Times New Roman"/>
          <w:sz w:val="24"/>
          <w:szCs w:val="24"/>
        </w:rPr>
        <w:fldChar w:fldCharType="end"/>
      </w:r>
      <w:r w:rsidR="00C823A1" w:rsidRPr="00FA5C8D">
        <w:rPr>
          <w:rFonts w:ascii="Book Antiqua" w:hAnsi="Book Antiqua" w:cs="Times New Roman"/>
          <w:sz w:val="24"/>
          <w:szCs w:val="24"/>
        </w:rPr>
        <w:t xml:space="preserve">. </w:t>
      </w:r>
    </w:p>
    <w:p w14:paraId="11EC3EA2" w14:textId="77777777" w:rsidR="00CE4C50" w:rsidRPr="00FA5C8D" w:rsidRDefault="00B3643E" w:rsidP="00FA5C8D">
      <w:pPr>
        <w:snapToGrid w:val="0"/>
        <w:spacing w:after="0" w:line="360" w:lineRule="auto"/>
        <w:ind w:firstLineChars="100" w:firstLine="240"/>
        <w:jc w:val="both"/>
        <w:rPr>
          <w:rFonts w:ascii="Book Antiqua" w:hAnsi="Book Antiqua" w:cs="Times New Roman"/>
          <w:sz w:val="24"/>
          <w:szCs w:val="24"/>
        </w:rPr>
      </w:pPr>
      <w:r w:rsidRPr="00FA5C8D">
        <w:rPr>
          <w:rFonts w:ascii="Book Antiqua" w:hAnsi="Book Antiqua" w:cs="Times New Roman"/>
          <w:sz w:val="24"/>
          <w:szCs w:val="24"/>
        </w:rPr>
        <w:t>Currently</w:t>
      </w:r>
      <w:r w:rsidR="004B15EC"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7F46E2" w:rsidRPr="00FA5C8D">
        <w:rPr>
          <w:rFonts w:ascii="Book Antiqua" w:hAnsi="Book Antiqua" w:cs="Times New Roman"/>
          <w:sz w:val="24"/>
          <w:szCs w:val="24"/>
        </w:rPr>
        <w:t>duodenal</w:t>
      </w:r>
      <w:r w:rsidRPr="00FA5C8D">
        <w:rPr>
          <w:rFonts w:ascii="Book Antiqua" w:hAnsi="Book Antiqua" w:cs="Times New Roman"/>
          <w:sz w:val="24"/>
          <w:szCs w:val="24"/>
        </w:rPr>
        <w:t xml:space="preserve"> biopsy is the only way to evaluate mucosal healing.</w:t>
      </w:r>
      <w:r w:rsidR="0037229C" w:rsidRPr="00FA5C8D">
        <w:rPr>
          <w:rFonts w:ascii="Book Antiqua" w:hAnsi="Book Antiqua" w:cs="Times New Roman"/>
          <w:sz w:val="24"/>
          <w:szCs w:val="24"/>
        </w:rPr>
        <w:t xml:space="preserve"> </w:t>
      </w:r>
      <w:r w:rsidR="003B746D" w:rsidRPr="00FA5C8D">
        <w:rPr>
          <w:rFonts w:ascii="Book Antiqua" w:hAnsi="Book Antiqua" w:cs="Times New Roman"/>
          <w:sz w:val="24"/>
          <w:szCs w:val="24"/>
        </w:rPr>
        <w:t>There is no reliable</w:t>
      </w:r>
      <w:r w:rsidR="00332F10" w:rsidRPr="00FA5C8D">
        <w:rPr>
          <w:rFonts w:ascii="Book Antiqua" w:hAnsi="Book Antiqua" w:cs="Times New Roman"/>
          <w:sz w:val="24"/>
          <w:szCs w:val="24"/>
        </w:rPr>
        <w:t xml:space="preserve"> widely available</w:t>
      </w:r>
      <w:r w:rsidR="003B746D" w:rsidRPr="00FA5C8D">
        <w:rPr>
          <w:rFonts w:ascii="Book Antiqua" w:hAnsi="Book Antiqua" w:cs="Times New Roman"/>
          <w:sz w:val="24"/>
          <w:szCs w:val="24"/>
        </w:rPr>
        <w:t xml:space="preserve"> non-invasive marker of persistent villous atrophy</w:t>
      </w:r>
      <w:r w:rsidR="004C6DCF" w:rsidRPr="00FA5C8D">
        <w:rPr>
          <w:rFonts w:ascii="Book Antiqua" w:hAnsi="Book Antiqua" w:cs="Times New Roman"/>
          <w:sz w:val="24"/>
          <w:szCs w:val="24"/>
        </w:rPr>
        <w:t xml:space="preserve"> (VA)</w:t>
      </w:r>
      <w:r w:rsidR="00B8634F" w:rsidRPr="00FA5C8D">
        <w:rPr>
          <w:rFonts w:ascii="Book Antiqua" w:hAnsi="Book Antiqua" w:cs="Times New Roman"/>
          <w:sz w:val="24"/>
          <w:szCs w:val="24"/>
        </w:rPr>
        <w:t>, which is one of the core pathological signs of CD</w:t>
      </w:r>
      <w:r w:rsidR="003B746D" w:rsidRPr="00FA5C8D">
        <w:rPr>
          <w:rFonts w:ascii="Book Antiqua" w:hAnsi="Book Antiqua" w:cs="Times New Roman"/>
          <w:sz w:val="24"/>
          <w:szCs w:val="24"/>
        </w:rPr>
        <w:t>. Many authors regard anti</w:t>
      </w:r>
      <w:r w:rsidR="004B15EC" w:rsidRPr="00FA5C8D">
        <w:rPr>
          <w:rFonts w:ascii="Book Antiqua" w:hAnsi="Book Antiqua" w:cs="Times New Roman"/>
          <w:sz w:val="24"/>
          <w:szCs w:val="24"/>
        </w:rPr>
        <w:t>-</w:t>
      </w:r>
      <w:r w:rsidR="003B746D" w:rsidRPr="00FA5C8D">
        <w:rPr>
          <w:rFonts w:ascii="Book Antiqua" w:hAnsi="Book Antiqua" w:cs="Times New Roman"/>
          <w:sz w:val="24"/>
          <w:szCs w:val="24"/>
        </w:rPr>
        <w:t xml:space="preserve">tissue </w:t>
      </w:r>
      <w:proofErr w:type="spellStart"/>
      <w:r w:rsidR="003B746D" w:rsidRPr="00FA5C8D">
        <w:rPr>
          <w:rFonts w:ascii="Book Antiqua" w:hAnsi="Book Antiqua" w:cs="Times New Roman"/>
          <w:sz w:val="24"/>
          <w:szCs w:val="24"/>
        </w:rPr>
        <w:t>transglutaminase</w:t>
      </w:r>
      <w:proofErr w:type="spellEnd"/>
      <w:r w:rsidR="009E1E97" w:rsidRPr="00FA5C8D">
        <w:rPr>
          <w:rFonts w:ascii="Book Antiqua" w:hAnsi="Book Antiqua" w:cs="Times New Roman"/>
          <w:sz w:val="24"/>
          <w:szCs w:val="24"/>
        </w:rPr>
        <w:t xml:space="preserve"> </w:t>
      </w:r>
      <w:r w:rsidR="004C6DCF" w:rsidRPr="00FA5C8D">
        <w:rPr>
          <w:rFonts w:ascii="Book Antiqua" w:hAnsi="Book Antiqua" w:cs="Times New Roman"/>
          <w:sz w:val="24"/>
          <w:szCs w:val="24"/>
        </w:rPr>
        <w:t>antibodies (</w:t>
      </w:r>
      <w:proofErr w:type="spellStart"/>
      <w:r w:rsidR="004C6DCF" w:rsidRPr="00FA5C8D">
        <w:rPr>
          <w:rFonts w:ascii="Book Antiqua" w:hAnsi="Book Antiqua" w:cs="Times New Roman"/>
          <w:sz w:val="24"/>
          <w:szCs w:val="24"/>
        </w:rPr>
        <w:t>a</w:t>
      </w:r>
      <w:r w:rsidR="00976A4D" w:rsidRPr="00FA5C8D">
        <w:rPr>
          <w:rFonts w:ascii="Book Antiqua" w:hAnsi="Book Antiqua" w:cs="Times New Roman"/>
          <w:sz w:val="24"/>
          <w:szCs w:val="24"/>
        </w:rPr>
        <w:t>TTG</w:t>
      </w:r>
      <w:proofErr w:type="spellEnd"/>
      <w:r w:rsidR="00976A4D" w:rsidRPr="00FA5C8D">
        <w:rPr>
          <w:rFonts w:ascii="Book Antiqua" w:hAnsi="Book Antiqua" w:cs="Times New Roman"/>
          <w:sz w:val="24"/>
          <w:szCs w:val="24"/>
        </w:rPr>
        <w:t>)</w:t>
      </w:r>
      <w:r w:rsidR="003B746D" w:rsidRPr="00FA5C8D">
        <w:rPr>
          <w:rFonts w:ascii="Book Antiqua" w:hAnsi="Book Antiqua" w:cs="Times New Roman"/>
          <w:sz w:val="24"/>
          <w:szCs w:val="24"/>
        </w:rPr>
        <w:t xml:space="preserve"> as a poor </w:t>
      </w:r>
      <w:r w:rsidR="004C6DCF" w:rsidRPr="00FA5C8D">
        <w:rPr>
          <w:rFonts w:ascii="Book Antiqua" w:hAnsi="Book Antiqua" w:cs="Times New Roman"/>
          <w:sz w:val="24"/>
          <w:szCs w:val="24"/>
        </w:rPr>
        <w:t>predictor</w:t>
      </w:r>
      <w:r w:rsidR="003B746D" w:rsidRPr="00FA5C8D">
        <w:rPr>
          <w:rFonts w:ascii="Book Antiqua" w:hAnsi="Book Antiqua" w:cs="Times New Roman"/>
          <w:sz w:val="24"/>
          <w:szCs w:val="24"/>
        </w:rPr>
        <w:t xml:space="preserve"> of persistent </w:t>
      </w:r>
      <w:r w:rsidR="004C6DCF" w:rsidRPr="00FA5C8D">
        <w:rPr>
          <w:rFonts w:ascii="Book Antiqua" w:hAnsi="Book Antiqua" w:cs="Times New Roman"/>
          <w:sz w:val="24"/>
          <w:szCs w:val="24"/>
        </w:rPr>
        <w:t>VA</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{"citationID":"PcAwuq9j","properties":{"formattedCitation":"\\super [2,4]\\nosupersub{}","plainCitation":"[2,4]","noteIndex":0},"citationItems":[{"id":1186,"uris":["http://zotero.org/users/4312189/items/U7YAVV2L"],"uri":["http://zotero.org/users/4312189/items/U7YAVV2L"],"itemData":{"id":1186,"type":"article-journal","abstract":"OBJECTIVES: Our objective was to determine the rate of mucosal recovery in pediatric patients with celiac disease on a gluten-free diet. We also sought to determine whether immunoglobulin A tissue transglutaminase (tTG) correlates with mucosal damage at the time of a repeat endoscopy with duodenal biopsy in these patients.\nMETHODS: We performed a retrospective chart review of 103 pediatric patients, younger than 21 years, with a diagnosis of celiac disease defined as Marsh 3 histology, and who underwent a repeat endoscopy with duodenal biopsy at least 12 months after initiating a gluten-free diet.\nRESULTS: We found that 19% of pediatric patients treated with a gluten-free diet had persistent enteropathy. At the time of the repeat biopsy, tTG was elevated in 43% of cases with persistent enteropathy and 32% of cases in which there was mucosal recovery. Overall the positive predictive value of the autoantibody tTG was 25% and the negative predictive value was 83% in patients on a gluten-free diet for a median of 2.4 years.\nCONCLUSIONS: Nearly 1 in 5 children with celiac disease in our population had persistent enteropathy despite maintaining a gluten-free diet and immunoglobulin A tTG was not an accurate marker of mucosal recovery. Neither the presence of symptoms nor positive serology were predictive of a patient's histology at the time of repeat biopsy. These findings suggest a revisitation of monitring and management criteria of celiac disease in childhood.","container-title":"Journal of Pediatric Gastroenterology and Nutrition","DOI":"10.1097/MPG.0000000000001460","ISSN":"1536-4801","issue":"2","journalAbbreviation":"J. Pediatr. Gastroenterol. Nutr.","language":"eng","note":"PMID: 28112686\nPMCID: PMC5457911","page":"286-291","source":"PubMed","title":"Value of IgA tTG in Predicting Mucosal Recovery in Children With Celiac Disease on a Gluten-Free Diet","volume":"64","author":[{"family":"Leonard","given":"Maureen M."},{"family":"Weir","given":"Dascha C."},{"family":"DeGroote","given":"Maya"},{"family":"Mitchell","given":"Paul D."},{"family":"Singh","given":"Prashant"},{"family":"Silvester","given":"Jocelyn A."},{"family":"Leichtner","given":"Alan M."},{"family":"Fasano","given":"Alessio"}],"issued":{"date-parts":[["2017"]]}}},{"id":1179,"uris":["http://zotero.org/users/4312189/items/I9QBU2UR"],"uri":["http://zotero.org/users/4312189/items/I9QBU2UR"],"itemData":{"id":1179,"type":"article-journal","abstract":"BACKGROUND: The majority of deleterious health consequences of coeliac disease (CD) are most likely to be secondary to intestinal inflammation; hence, mucosal recovery is a desirable goal of therapy. Follow-up in CD is controversial and serological response is often used as a surrogate for histological recovery.\nAIMS: To inform the clinical management of CD using comparative serological and histological data from a biopsy-driven pathway of care.\nMETHODS: A retrospective analysis of the Cambridge Coeliac Clinic database of 595 patients routinely followed up by biopsy and serology.\nRESULTS: Paired biopsy results were available for 391 patients (15% seronegative). Persisting villous atrophy (VA) occurred in 182 patients (47%). The sensitivity of anti-tissue transglutaminase (TTG) antibody for ongoing VA was only 43.6%. Information on dietetic management and further biopsy to assess response was available for 94 initially unresponsive patients, in whom targeted dietetic intervention by removal of identified gluten sources or avoidance of trace amounts of gluten led to resolution of persistent VA in 50%. The effects of institution of a formal care pathway are analysed in 298 patients. Discharge to primary care and clinical management was facilitated by the information derived from repeat biopsy.\nCONCLUSIONS: Serology appears to be a poor surrogate marker for mucosal recovery on a gluten-free diet; dietary assessment fails to identify a potential gluten source in many patients with ongoing villous atrophy. The benefits of re-biopsy on diet include stratification of patients with coeliac disease suitable for early discharge from secondary care or those requiring more intensive clinical management.","container-title":"Alimentary Pharmacology &amp; Therapeutics","DOI":"10.1111/apt.12510","ISSN":"1365-2036","issue":"10","journalAbbreviation":"Aliment. Pharmacol. Ther.","language":"eng","note":"PMID: 24117503","page":"1278-1291","source":"PubMed","title":"Optimising delivery of care in coeliac disease - comparison of the benefits of repeat biopsy and serological follow-up","volume":"38","author":[{"family":"Sharkey","given":"L. M."},{"family":"Corbett","given":"G."},{"family":"Currie","given":"E."},{"family":"Lee","given":"J."},{"family":"Sweeney","given":"N."},{"family":"Woodward","given":"J. M."}],"issued":{"date-parts":[["2013",11]]}}}],"schema":"https://github.com/citation-style-language/schema/raw/master/csl-citation.json"}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[2,4]</w:t>
      </w:r>
      <w:r w:rsidR="00185175" w:rsidRPr="00FA5C8D">
        <w:rPr>
          <w:rFonts w:ascii="Book Antiqua" w:hAnsi="Book Antiqua" w:cs="Times New Roman"/>
          <w:sz w:val="24"/>
          <w:szCs w:val="24"/>
        </w:rPr>
        <w:fldChar w:fldCharType="end"/>
      </w:r>
      <w:r w:rsidR="003B746D" w:rsidRPr="00FA5C8D">
        <w:rPr>
          <w:rFonts w:ascii="Book Antiqua" w:hAnsi="Book Antiqua" w:cs="Times New Roman"/>
          <w:sz w:val="24"/>
          <w:szCs w:val="24"/>
        </w:rPr>
        <w:t xml:space="preserve">, </w:t>
      </w:r>
      <w:r w:rsidR="002E3FE0" w:rsidRPr="00FA5C8D">
        <w:rPr>
          <w:rFonts w:ascii="Book Antiqua" w:hAnsi="Book Antiqua" w:cs="Times New Roman"/>
          <w:sz w:val="24"/>
          <w:szCs w:val="24"/>
        </w:rPr>
        <w:t xml:space="preserve">with </w:t>
      </w:r>
      <w:r w:rsidR="000F3629" w:rsidRPr="00FA5C8D">
        <w:rPr>
          <w:rFonts w:ascii="Book Antiqua" w:hAnsi="Book Antiqua" w:cs="Times New Roman"/>
          <w:sz w:val="24"/>
          <w:szCs w:val="24"/>
        </w:rPr>
        <w:t xml:space="preserve">a </w:t>
      </w:r>
      <w:r w:rsidR="002E3FE0" w:rsidRPr="00FA5C8D">
        <w:rPr>
          <w:rFonts w:ascii="Book Antiqua" w:hAnsi="Book Antiqua" w:cs="Times New Roman"/>
          <w:sz w:val="24"/>
          <w:szCs w:val="24"/>
        </w:rPr>
        <w:t xml:space="preserve">low sensitivity 0.50 </w:t>
      </w:r>
      <w:r w:rsidR="00360EDB" w:rsidRPr="00FA5C8D">
        <w:rPr>
          <w:rFonts w:ascii="Book Antiqua" w:hAnsi="Book Antiqua" w:cs="Times New Roman"/>
          <w:sz w:val="24"/>
          <w:szCs w:val="24"/>
        </w:rPr>
        <w:t>[</w:t>
      </w:r>
      <w:r w:rsidR="002E3FE0" w:rsidRPr="00FA5C8D">
        <w:rPr>
          <w:rFonts w:ascii="Book Antiqua" w:hAnsi="Book Antiqua" w:cs="Times New Roman"/>
          <w:sz w:val="24"/>
          <w:szCs w:val="24"/>
        </w:rPr>
        <w:t>95%</w:t>
      </w:r>
      <w:r w:rsidR="00360EDB" w:rsidRPr="00FA5C8D">
        <w:rPr>
          <w:rFonts w:ascii="Book Antiqua" w:hAnsi="Book Antiqua" w:cs="Times New Roman"/>
          <w:sz w:val="24"/>
          <w:szCs w:val="24"/>
        </w:rPr>
        <w:t xml:space="preserve"> confidence interval (</w:t>
      </w:r>
      <w:r w:rsidR="002E3FE0" w:rsidRPr="00FA5C8D">
        <w:rPr>
          <w:rFonts w:ascii="Book Antiqua" w:hAnsi="Book Antiqua" w:cs="Times New Roman"/>
          <w:sz w:val="24"/>
          <w:szCs w:val="24"/>
        </w:rPr>
        <w:t>CI</w:t>
      </w:r>
      <w:r w:rsidR="00360EDB" w:rsidRPr="00FA5C8D">
        <w:rPr>
          <w:rFonts w:ascii="Book Antiqua" w:hAnsi="Book Antiqua" w:cs="Times New Roman"/>
          <w:sz w:val="24"/>
          <w:szCs w:val="24"/>
        </w:rPr>
        <w:t>):</w:t>
      </w:r>
      <w:r w:rsidR="002E3FE0" w:rsidRPr="00FA5C8D">
        <w:rPr>
          <w:rFonts w:ascii="Book Antiqua" w:hAnsi="Book Antiqua" w:cs="Times New Roman"/>
          <w:sz w:val="24"/>
          <w:szCs w:val="24"/>
        </w:rPr>
        <w:t xml:space="preserve"> 0.41</w:t>
      </w:r>
      <w:r w:rsidR="00360EDB" w:rsidRPr="00FA5C8D">
        <w:rPr>
          <w:rFonts w:ascii="Book Antiqua" w:hAnsi="Book Antiqua" w:cs="Times New Roman"/>
          <w:sz w:val="24"/>
          <w:szCs w:val="24"/>
        </w:rPr>
        <w:t>-</w:t>
      </w:r>
      <w:r w:rsidR="002E3FE0" w:rsidRPr="00FA5C8D">
        <w:rPr>
          <w:rFonts w:ascii="Book Antiqua" w:hAnsi="Book Antiqua" w:cs="Times New Roman"/>
          <w:sz w:val="24"/>
          <w:szCs w:val="24"/>
        </w:rPr>
        <w:t>0.60</w:t>
      </w:r>
      <w:r w:rsidR="00360EDB" w:rsidRPr="00FA5C8D">
        <w:rPr>
          <w:rFonts w:ascii="Book Antiqua" w:hAnsi="Book Antiqua" w:cs="Times New Roman"/>
          <w:sz w:val="24"/>
          <w:szCs w:val="24"/>
        </w:rPr>
        <w:t>]</w:t>
      </w:r>
      <w:r w:rsidR="002E3FE0" w:rsidRPr="00FA5C8D">
        <w:rPr>
          <w:rFonts w:ascii="Book Antiqua" w:hAnsi="Book Antiqua" w:cs="Times New Roman"/>
          <w:sz w:val="24"/>
          <w:szCs w:val="24"/>
        </w:rPr>
        <w:t xml:space="preserve"> and</w:t>
      </w:r>
      <w:r w:rsidR="000F3629" w:rsidRPr="00FA5C8D">
        <w:rPr>
          <w:rFonts w:ascii="Book Antiqua" w:hAnsi="Book Antiqua" w:cs="Times New Roman"/>
          <w:sz w:val="24"/>
          <w:szCs w:val="24"/>
        </w:rPr>
        <w:t xml:space="preserve"> a</w:t>
      </w:r>
      <w:r w:rsidR="002E3FE0" w:rsidRPr="00FA5C8D">
        <w:rPr>
          <w:rFonts w:ascii="Book Antiqua" w:hAnsi="Book Antiqua" w:cs="Times New Roman"/>
          <w:sz w:val="24"/>
          <w:szCs w:val="24"/>
        </w:rPr>
        <w:t xml:space="preserve"> relatively high level of specificity 0.83 (95%CI</w:t>
      </w:r>
      <w:r w:rsidR="0047007F" w:rsidRPr="00FA5C8D">
        <w:rPr>
          <w:rFonts w:ascii="Book Antiqua" w:hAnsi="Book Antiqua" w:cs="Times New Roman"/>
          <w:sz w:val="24"/>
          <w:szCs w:val="24"/>
        </w:rPr>
        <w:t>:</w:t>
      </w:r>
      <w:r w:rsidR="002E3FE0" w:rsidRPr="00FA5C8D">
        <w:rPr>
          <w:rFonts w:ascii="Book Antiqua" w:hAnsi="Book Antiqua" w:cs="Times New Roman"/>
          <w:sz w:val="24"/>
          <w:szCs w:val="24"/>
        </w:rPr>
        <w:t xml:space="preserve"> 0.79</w:t>
      </w:r>
      <w:r w:rsidR="0047007F" w:rsidRPr="00FA5C8D">
        <w:rPr>
          <w:rFonts w:ascii="Book Antiqua" w:hAnsi="Book Antiqua" w:cs="Times New Roman"/>
          <w:sz w:val="24"/>
          <w:szCs w:val="24"/>
        </w:rPr>
        <w:t>-</w:t>
      </w:r>
      <w:r w:rsidR="002E3FE0" w:rsidRPr="00FA5C8D">
        <w:rPr>
          <w:rFonts w:ascii="Book Antiqua" w:hAnsi="Book Antiqua" w:cs="Times New Roman"/>
          <w:sz w:val="24"/>
          <w:szCs w:val="24"/>
        </w:rPr>
        <w:t xml:space="preserve">0.87) for </w:t>
      </w:r>
      <w:r w:rsidR="00784EAC" w:rsidRPr="00FA5C8D">
        <w:rPr>
          <w:rFonts w:ascii="Book Antiqua" w:hAnsi="Book Antiqua" w:cs="Times New Roman"/>
          <w:sz w:val="24"/>
          <w:szCs w:val="24"/>
        </w:rPr>
        <w:t>T</w:t>
      </w:r>
      <w:r w:rsidR="002E3FE0" w:rsidRPr="00FA5C8D">
        <w:rPr>
          <w:rFonts w:ascii="Book Antiqua" w:hAnsi="Book Antiqua" w:cs="Times New Roman"/>
          <w:sz w:val="24"/>
          <w:szCs w:val="24"/>
        </w:rPr>
        <w:t>TG IgA assay</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{"citationID":"VRWOCYkU","properties":{"formattedCitation":"\\super [5]\\nosupersub{}","plainCitation":"[5]","noteIndex":0},"citationItems":[{"id":1063,"uris":["http://zotero.org/users/4312189/items/BW7RE5EG"],"uri":["http://zotero.org/users/4312189/items/BW7RE5EG"],"itemData":{"id":1063,"type":"article-journal","abstract":"Background &amp; Aims\nTests to measure serum endomysial antibodies (EMA) and antibodies to tissue transglutaminase (tTG) were developed to screen for celiac disease in patients consuming gluten. However, they are commonly used to monitor patients on a gluten-free diet (GFD). We conducted a meta-analysis to assess the sensitivity and specificity of tTG IgA and EMA IgA assays in identifying patients with celiac disease who have persistent villous atrophy despite a GFD.\nMethods\nWe searched PUBMED, EMBASE, BIOSIS, SCOPUS, clinicaltrials.gov, Science Citation Index, and Cochrane Library databases through November 2016. Inclusion criteria were studies of subjects with biopsy-confirmed celiac disease, follow-up biopsies, and measurement of serum antibodies on a GFD, biopsy performed on subjects regardless of symptoms, or antibody test results. Our analysis excluded subjects with refractory celiac disease, undergoing gluten challenge, or consuming a prescribed oats-containing GFD. Tests were considered to have positive or negative findings based on manufacturer cut-off values. Villous atrophy was defined as a Marsh 3 lesion or villous height:crypt depth ratio below 3.0. We constructed forest plots to determine the sensitivity and specificity of detection for individual studies. For the meta-analysis, a bivariate random effects model was used to jointly model sensitivity and specificity.\nResults\nOur search identified 5408 unique citations. Following review of abstracts, 442 articles were reviewed in detail. Only 26 studies (6 of tTG assays, 15 of EMA assays, and 5 of tTG and EMA assays) met our inclusion criteria. The most common reason studies were excluded from our analysis was inability to cross-tabulate histologic and serologic findings. The serum assays identified patients with persistent villous atrophy with high levels of specificity: 0.83 for the tTG IgA assay (95% CI, 0.79–0.87) and 0.91 for the EMA IgA assay (95% CI, 0.87–0.94). However, they detected villous atrophy with low levels of sensitivity: 0.50 for the tTG IgA assay (95% CI, 0.41–0.60) and 0.45 for the EMA IgA assay (95% CI, 0.34-0.57). The tests had similar levels of performance in pediatric and adult patients.\nConclusions\nIn a meta-analysis of patients with biopsy-confirmed celiac disease undergoing follow-up biopsy on a GFD, we found that tests for serum tTG IgA and EMA IgA levels had low sensitivity (below 50%) in detection of persistent villous atrophy. We need more-accurate non-invasive markers of mucosal damage in children and adults with celiac disease who are following a GFD.","container-title":"Gastroenterology","DOI":"10.1053/j.gastro.2017.05.015","ISSN":"0016-5085","issue":"3","journalAbbreviation":"Gastroenterology","language":"en","page":"689-701.e1","source":"ScienceDirect","title":"Tests for Serum Transglutaminase and Endomysial Antibodies Do Not Detect Most Patients With Celiac Disease and Persistent Villous Atrophy on Gluten-free Diets: a Meta-analysis","title-short":"Tests for Serum Transglutaminase and Endomysial Antibodies Do Not Detect Most Patients With Celiac Disease and Persistent Villous Atrophy on Gluten-free Diets","volume":"153","author":[{"family":"Silvester","given":"Jocelyn A."},{"family":"Kurada","given":"Satya"},{"family":"Szwajcer","given":"Andrea"},{"family":"Kelly","given":"Ciarán P."},{"family":"Leffler","given":"Daniel A."},{"family":"Duerksen","given":"Donald R."}],"issued":{"date-parts":[["2017",9,1]]}}}],"schema":"https://github.com/citation-style-language/schema/raw/master/csl-citation.json"}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[5]</w:t>
      </w:r>
      <w:r w:rsidR="00185175" w:rsidRPr="00FA5C8D">
        <w:rPr>
          <w:rFonts w:ascii="Book Antiqua" w:hAnsi="Book Antiqua" w:cs="Times New Roman"/>
          <w:sz w:val="24"/>
          <w:szCs w:val="24"/>
        </w:rPr>
        <w:fldChar w:fldCharType="end"/>
      </w:r>
      <w:r w:rsidR="00DF5155" w:rsidRPr="00FA5C8D">
        <w:rPr>
          <w:rFonts w:ascii="Book Antiqua" w:hAnsi="Book Antiqua" w:cs="Times New Roman"/>
          <w:sz w:val="24"/>
          <w:szCs w:val="24"/>
        </w:rPr>
        <w:t>.</w:t>
      </w:r>
      <w:r w:rsidR="009E1E97" w:rsidRPr="00FA5C8D">
        <w:rPr>
          <w:rFonts w:ascii="Book Antiqua" w:hAnsi="Book Antiqua" w:cs="Times New Roman"/>
          <w:sz w:val="24"/>
          <w:szCs w:val="24"/>
        </w:rPr>
        <w:t xml:space="preserve"> </w:t>
      </w:r>
      <w:r w:rsidR="000F3629" w:rsidRPr="00FA5C8D">
        <w:rPr>
          <w:rFonts w:ascii="Book Antiqua" w:hAnsi="Book Antiqua" w:cs="Times New Roman"/>
          <w:sz w:val="24"/>
          <w:szCs w:val="24"/>
        </w:rPr>
        <w:t>However,</w:t>
      </w:r>
      <w:r w:rsidR="003B746D" w:rsidRPr="00FA5C8D">
        <w:rPr>
          <w:rFonts w:ascii="Book Antiqua" w:hAnsi="Book Antiqua" w:cs="Times New Roman"/>
          <w:sz w:val="24"/>
          <w:szCs w:val="24"/>
        </w:rPr>
        <w:t xml:space="preserve"> there </w:t>
      </w:r>
      <w:r w:rsidR="00EE70EB" w:rsidRPr="00FA5C8D">
        <w:rPr>
          <w:rFonts w:ascii="Book Antiqua" w:hAnsi="Book Antiqua" w:cs="Times New Roman"/>
          <w:sz w:val="24"/>
          <w:szCs w:val="24"/>
        </w:rPr>
        <w:t>is</w:t>
      </w:r>
      <w:r w:rsidR="003B746D" w:rsidRPr="00FA5C8D">
        <w:rPr>
          <w:rFonts w:ascii="Book Antiqua" w:hAnsi="Book Antiqua" w:cs="Times New Roman"/>
          <w:sz w:val="24"/>
          <w:szCs w:val="24"/>
        </w:rPr>
        <w:t xml:space="preserve"> not much data on </w:t>
      </w:r>
      <w:r w:rsidR="00360EDB" w:rsidRPr="00FA5C8D">
        <w:rPr>
          <w:rFonts w:ascii="Book Antiqua" w:hAnsi="Book Antiqua" w:cs="Times New Roman"/>
          <w:sz w:val="24"/>
          <w:szCs w:val="24"/>
        </w:rPr>
        <w:t>anti-</w:t>
      </w:r>
      <w:r w:rsidR="00976A4D" w:rsidRPr="00FA5C8D">
        <w:rPr>
          <w:rFonts w:ascii="Book Antiqua" w:hAnsi="Book Antiqua" w:cs="Times New Roman"/>
          <w:sz w:val="24"/>
          <w:szCs w:val="24"/>
        </w:rPr>
        <w:t>deami</w:t>
      </w:r>
      <w:r w:rsidR="0057775F" w:rsidRPr="00FA5C8D">
        <w:rPr>
          <w:rFonts w:ascii="Book Antiqua" w:hAnsi="Book Antiqua" w:cs="Times New Roman"/>
          <w:sz w:val="24"/>
          <w:szCs w:val="24"/>
        </w:rPr>
        <w:t>dated</w:t>
      </w:r>
      <w:r w:rsidR="009E1E97" w:rsidRPr="00FA5C8D">
        <w:rPr>
          <w:rFonts w:ascii="Book Antiqua" w:hAnsi="Book Antiqua" w:cs="Times New Roman"/>
          <w:sz w:val="24"/>
          <w:szCs w:val="24"/>
        </w:rPr>
        <w:t xml:space="preserve"> </w:t>
      </w:r>
      <w:r w:rsidR="00976A4D" w:rsidRPr="00FA5C8D">
        <w:rPr>
          <w:rFonts w:ascii="Book Antiqua" w:hAnsi="Book Antiqua" w:cs="Times New Roman"/>
          <w:sz w:val="24"/>
          <w:szCs w:val="24"/>
        </w:rPr>
        <w:t xml:space="preserve">gliadin peptide </w:t>
      </w:r>
      <w:r w:rsidR="004C6DCF" w:rsidRPr="00FA5C8D">
        <w:rPr>
          <w:rFonts w:ascii="Book Antiqua" w:hAnsi="Book Antiqua" w:cs="Times New Roman"/>
          <w:sz w:val="24"/>
          <w:szCs w:val="24"/>
        </w:rPr>
        <w:t xml:space="preserve">antibodies </w:t>
      </w:r>
      <w:r w:rsidR="00976A4D" w:rsidRPr="00FA5C8D">
        <w:rPr>
          <w:rFonts w:ascii="Book Antiqua" w:hAnsi="Book Antiqua" w:cs="Times New Roman"/>
          <w:sz w:val="24"/>
          <w:szCs w:val="24"/>
        </w:rPr>
        <w:t>(</w:t>
      </w:r>
      <w:proofErr w:type="spellStart"/>
      <w:r w:rsidR="00976A4D" w:rsidRPr="00FA5C8D">
        <w:rPr>
          <w:rFonts w:ascii="Book Antiqua" w:hAnsi="Book Antiqua" w:cs="Times New Roman"/>
          <w:sz w:val="24"/>
          <w:szCs w:val="24"/>
        </w:rPr>
        <w:t>aDGP</w:t>
      </w:r>
      <w:proofErr w:type="spellEnd"/>
      <w:r w:rsidR="00976A4D" w:rsidRPr="00FA5C8D">
        <w:rPr>
          <w:rFonts w:ascii="Book Antiqua" w:hAnsi="Book Antiqua" w:cs="Times New Roman"/>
          <w:sz w:val="24"/>
          <w:szCs w:val="24"/>
        </w:rPr>
        <w:t>)</w:t>
      </w:r>
      <w:r w:rsidR="003B746D" w:rsidRPr="00FA5C8D">
        <w:rPr>
          <w:rFonts w:ascii="Book Antiqua" w:hAnsi="Book Antiqua" w:cs="Times New Roman"/>
          <w:sz w:val="24"/>
          <w:szCs w:val="24"/>
        </w:rPr>
        <w:t xml:space="preserve">. </w:t>
      </w:r>
      <w:r w:rsidR="00976A4D" w:rsidRPr="00FA5C8D">
        <w:rPr>
          <w:rFonts w:ascii="Book Antiqua" w:hAnsi="Book Antiqua" w:cs="Times New Roman"/>
          <w:sz w:val="24"/>
          <w:szCs w:val="24"/>
        </w:rPr>
        <w:t xml:space="preserve">There is </w:t>
      </w:r>
      <w:r w:rsidR="00784EAC" w:rsidRPr="00FA5C8D">
        <w:rPr>
          <w:rFonts w:ascii="Book Antiqua" w:hAnsi="Book Antiqua" w:cs="Times New Roman"/>
          <w:sz w:val="24"/>
          <w:szCs w:val="24"/>
        </w:rPr>
        <w:t xml:space="preserve">one </w:t>
      </w:r>
      <w:r w:rsidR="00976A4D" w:rsidRPr="00FA5C8D">
        <w:rPr>
          <w:rFonts w:ascii="Book Antiqua" w:hAnsi="Book Antiqua" w:cs="Times New Roman"/>
          <w:sz w:val="24"/>
          <w:szCs w:val="24"/>
        </w:rPr>
        <w:t xml:space="preserve">study evaluating aDGP as a reliable </w:t>
      </w:r>
      <w:r w:rsidR="004C6DCF" w:rsidRPr="00FA5C8D">
        <w:rPr>
          <w:rFonts w:ascii="Book Antiqua" w:hAnsi="Book Antiqua" w:cs="Times New Roman"/>
          <w:sz w:val="24"/>
          <w:szCs w:val="24"/>
        </w:rPr>
        <w:t xml:space="preserve">marker </w:t>
      </w:r>
      <w:r w:rsidR="00976A4D" w:rsidRPr="00FA5C8D">
        <w:rPr>
          <w:rFonts w:ascii="Book Antiqua" w:hAnsi="Book Antiqua" w:cs="Times New Roman"/>
          <w:sz w:val="24"/>
          <w:szCs w:val="24"/>
        </w:rPr>
        <w:t xml:space="preserve">of persistent </w:t>
      </w:r>
      <w:r w:rsidR="004C6DCF" w:rsidRPr="00FA5C8D">
        <w:rPr>
          <w:rFonts w:ascii="Book Antiqua" w:hAnsi="Book Antiqua" w:cs="Times New Roman"/>
          <w:sz w:val="24"/>
          <w:szCs w:val="24"/>
        </w:rPr>
        <w:t>VA</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{"citationID":"Q8HZMsj9","properties":{"formattedCitation":"\\super [6]\\nosupersub{}","plainCitation":"[6]","noteIndex":0},"citationItems":[{"id":1190,"uris":["http://zotero.org/users/4312189/items/MXFY8CNJ"],"uri":["http://zotero.org/users/4312189/items/MXFY8CNJ"],"itemData":{"id":1190,"type":"article-journal","abstract":"BACKGROUND: Histologically nonresponsive coeliac disease (NRCD) is a potentially serious condition diagnosed during the follow-up of coeliac disease (CD) when patients have persistent villous atrophy despite following a gluten-free diet (GFD).\nAIM: As current assessments of recovery are limited to invasive and costly serial duodenal biopsies, we sought to identify antibody biomarkers for CD patients that do not respond to traditional therapy.\nMETHODS: Bacterial display peptide libraries were screened by flow cytometry to identify epitopes specifically recognised by antibodies from patients with NRCD, but not by antibodies from responsive CD patients. Deamidated gliadin was confirmed to be the antigen mimicked by library peptides using ELISA with sera from NRCD (n = 15) and responsive CD (n = 45) patients on a strict GFD for at least 1 year.\nRESULTS: The dominant consensus epitope sequence identified by unbiased library screening QPxx(A/P)FP(E/D) was highly similar to reported deamidated gliadin peptide (dGP) B-cell epitopes. Measurement of anti-dGP IgG titre by ELISA discriminated between NRCD and responsive CD patients with 87% sensitivity and 89% specificity. Importantly, dGP antibody titre correlated with the severity of mucosal damage indicating that IgG dGP titres may be useful to monitor small intestinal mucosal recovery on a GFD.\nCONCLUSIONS: The finding of increased levels of anti-dGP IgG antibodies in CD patients on strict GFDs effectively identifies patients with NRCD. Finally, anti-dGP IgG assays may be useful to monitor mucosal damage and histological improvement in CD patients on a strict GFD.","container-title":"Alimentary Pharmacology &amp; Therapeutics","DOI":"10.1111/apt.12603","ISSN":"1365-2036","issue":"4","journalAbbreviation":"Aliment. Pharmacol. Ther.","language":"eng","note":"PMID: 24392888\nPMCID: PMC3962785","page":"407-417","source":"PubMed","title":"Persistence of elevated deamidated gliadin peptide antibodies on a gluten-free diet indicates nonresponsive coeliac disease","volume":"39","author":[{"family":"Spatola","given":"B. N."},{"family":"Kaukinen","given":"K."},{"family":"Collin","given":"P."},{"family":"Mäki","given":"M."},{"family":"Kagnoff","given":"M. F."},{"family":"Daugherty","given":"P. S."}],"issued":{"date-parts":[["2014",2]]}}}],"schema":"https://github.com/citation-style-language/schema/raw/master/csl-citation.json"}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[6]</w:t>
      </w:r>
      <w:r w:rsidR="00185175" w:rsidRPr="00FA5C8D">
        <w:rPr>
          <w:rFonts w:ascii="Book Antiqua" w:hAnsi="Book Antiqua" w:cs="Times New Roman"/>
          <w:sz w:val="24"/>
          <w:szCs w:val="24"/>
        </w:rPr>
        <w:fldChar w:fldCharType="end"/>
      </w:r>
      <w:r w:rsidR="00976A4D" w:rsidRPr="00FA5C8D">
        <w:rPr>
          <w:rFonts w:ascii="Book Antiqua" w:hAnsi="Book Antiqua" w:cs="Times New Roman"/>
          <w:sz w:val="24"/>
          <w:szCs w:val="24"/>
        </w:rPr>
        <w:t xml:space="preserve">, </w:t>
      </w:r>
      <w:r w:rsidR="0051153C" w:rsidRPr="00FA5C8D">
        <w:rPr>
          <w:rFonts w:ascii="Book Antiqua" w:hAnsi="Book Antiqua" w:cs="Times New Roman"/>
          <w:sz w:val="24"/>
          <w:szCs w:val="24"/>
        </w:rPr>
        <w:t>while an</w:t>
      </w:r>
      <w:r w:rsidR="00976A4D" w:rsidRPr="00FA5C8D">
        <w:rPr>
          <w:rFonts w:ascii="Book Antiqua" w:hAnsi="Book Antiqua" w:cs="Times New Roman"/>
          <w:sz w:val="24"/>
          <w:szCs w:val="24"/>
        </w:rPr>
        <w:t xml:space="preserve">other study found only </w:t>
      </w:r>
      <w:r w:rsidR="008601D3" w:rsidRPr="00FA5C8D">
        <w:rPr>
          <w:rFonts w:ascii="Book Antiqua" w:hAnsi="Book Antiqua" w:cs="Times New Roman"/>
          <w:sz w:val="24"/>
          <w:szCs w:val="24"/>
        </w:rPr>
        <w:t>48%</w:t>
      </w:r>
      <w:r w:rsidR="00976A4D" w:rsidRPr="00FA5C8D">
        <w:rPr>
          <w:rFonts w:ascii="Book Antiqua" w:hAnsi="Book Antiqua" w:cs="Times New Roman"/>
          <w:sz w:val="24"/>
          <w:szCs w:val="24"/>
        </w:rPr>
        <w:t xml:space="preserve"> sensitivity and </w:t>
      </w:r>
      <w:r w:rsidR="008601D3" w:rsidRPr="00FA5C8D">
        <w:rPr>
          <w:rFonts w:ascii="Book Antiqua" w:hAnsi="Book Antiqua" w:cs="Times New Roman"/>
          <w:sz w:val="24"/>
          <w:szCs w:val="24"/>
        </w:rPr>
        <w:t>91%</w:t>
      </w:r>
      <w:r w:rsidR="004C6DCF" w:rsidRPr="00FA5C8D">
        <w:rPr>
          <w:rFonts w:ascii="Book Antiqua" w:hAnsi="Book Antiqua" w:cs="Times New Roman"/>
          <w:sz w:val="24"/>
          <w:szCs w:val="24"/>
        </w:rPr>
        <w:t xml:space="preserve"> specificity of </w:t>
      </w:r>
      <w:proofErr w:type="spellStart"/>
      <w:r w:rsidR="004C6DCF" w:rsidRPr="00FA5C8D">
        <w:rPr>
          <w:rFonts w:ascii="Book Antiqua" w:hAnsi="Book Antiqua" w:cs="Times New Roman"/>
          <w:sz w:val="24"/>
          <w:szCs w:val="24"/>
        </w:rPr>
        <w:t>a</w:t>
      </w:r>
      <w:r w:rsidR="00976A4D" w:rsidRPr="00FA5C8D">
        <w:rPr>
          <w:rFonts w:ascii="Book Antiqua" w:hAnsi="Book Antiqua" w:cs="Times New Roman"/>
          <w:sz w:val="24"/>
          <w:szCs w:val="24"/>
        </w:rPr>
        <w:t>DGP</w:t>
      </w:r>
      <w:proofErr w:type="spellEnd"/>
      <w:r w:rsidR="0037229C" w:rsidRPr="00FA5C8D">
        <w:rPr>
          <w:rFonts w:ascii="Book Antiqua" w:hAnsi="Book Antiqua" w:cs="Times New Roman"/>
          <w:sz w:val="24"/>
          <w:szCs w:val="24"/>
        </w:rPr>
        <w:t xml:space="preserve"> </w:t>
      </w:r>
      <w:r w:rsidR="008601D3" w:rsidRPr="00FA5C8D">
        <w:rPr>
          <w:rFonts w:ascii="Book Antiqua" w:hAnsi="Book Antiqua" w:cs="Times New Roman"/>
          <w:sz w:val="24"/>
          <w:szCs w:val="24"/>
        </w:rPr>
        <w:t xml:space="preserve">IgA </w:t>
      </w:r>
      <w:r w:rsidR="00976A4D" w:rsidRPr="00FA5C8D">
        <w:rPr>
          <w:rFonts w:ascii="Book Antiqua" w:hAnsi="Book Antiqua" w:cs="Times New Roman"/>
          <w:sz w:val="24"/>
          <w:szCs w:val="24"/>
        </w:rPr>
        <w:t>for predicti</w:t>
      </w:r>
      <w:r w:rsidR="004F0A21" w:rsidRPr="00FA5C8D">
        <w:rPr>
          <w:rFonts w:ascii="Book Antiqua" w:hAnsi="Book Antiqua" w:cs="Times New Roman"/>
          <w:sz w:val="24"/>
          <w:szCs w:val="24"/>
        </w:rPr>
        <w:t>ng</w:t>
      </w:r>
      <w:r w:rsidR="00976A4D" w:rsidRPr="00FA5C8D">
        <w:rPr>
          <w:rFonts w:ascii="Book Antiqua" w:hAnsi="Book Antiqua" w:cs="Times New Roman"/>
          <w:sz w:val="24"/>
          <w:szCs w:val="24"/>
        </w:rPr>
        <w:t xml:space="preserve"> persistent VA</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{"citationID":"WvHON8o7","properties":{"formattedCitation":"\\super [7]\\nosupersub{}","plainCitation":"[7]","noteIndex":0},"citationItems":[{"id":1194,"uris":["http://zotero.org/users/4312189/items/NRLTTB6E"],"uri":["http://zotero.org/users/4312189/items/NRLTTB6E"],"itemData":{"id":1194,"type":"article-journal","abstract":"BACKGROUND &amp; AIMS: Celiac disease (CeD) has characteristics of an autoimmune disease, such as increased antibody levels to tissue transglutaminase (tTG). However, assays to measure these biomarkers in blood samples do not identify patients with sufficient accuracy for diagnosis or monitoring of CeD. We aimed to discover biomarkers of CeD derived from neoepitopes of deamidated gliadin peptides (DGP) and tTG fragments and to determine if immune reactivity against these epitopes can identify patients with CeD with mucosal healing.\nMETHODS: We analyzed serum samples from 90 patients with biopsy-proven CeD and 79 healthy individuals (controls) for immune reactivity against the tTG-DGP complex (discovery cohort). A fluorescent peptide microarray platform was used to estimate the antibody-binding intensity of each synthesized tTG-DGP epitope. We validated our findings in 82 patients with newly diagnosed CeD and 217 controls. We tested the ability of our peptide panel to identify patients with mucosal healing (based on the histologic analysis) using serum samples from patients with treated and healed CeD (n = 85), patients with treated but unhealed CeD (n = 81; villous atrophy despite a adhering a gluten-free diet), patients with untreated CeD (n = 82) and disease controls (n = 27), villous atrophy without CeD), and healthy controls (n = 217). Data were analyzed using principal component analysis followed by machine learning and support vector machine modeling.\nRESULTS: We identified 172 immunogenic epitopes of the tTG-DGP complex. We found significantly increased immune reactivity against these epitopes vs controls. In the both cohort, the set of neoepitopes derived from the tTG-DGP complex identified patients with CeD with 99% sensitivity and 100% specificity. Serum samples from patients with untreated CeD had the greatest mean antibody-binding intensity against the tTG-DGP complex (32.5 ± 16.4). The average antibody-binding intensity was significantly higher in serum from patients with treated but unhealed CeD mucosa (15.1 ± 7.5) than in patients with treated and healed CeD mucosa (5.5 ± 3.4) (P &lt; .001). The assay identified patients with mucosa healing status with 84% sensitivity and 95% specificity.\nCONCLUSIONS: We identified immunogenic epitopes of the tTG-DGP complex, and found that an assay to measure the immune response to epitopes accurately identified patients with CeD, as well as patients with mucosal healing. This biomarker assay might be used in detection and monitoring of patients with CeD.","container-title":"Gastroenterology","DOI":"10.1053/j.gastro.2018.10.025","ISSN":"1528-0012","issue":"3","journalAbbreviation":"Gastroenterology","language":"eng","note":"PMID: 30342033","page":"582-591.e1","source":"PubMed","title":"Synthetic Neoepitopes of the Transglutaminase-Deamidated Gliadin Complex as Biomarkers for Diagnosing and Monitoring Celiac Disease","volume":"156","author":[{"family":"Choung","given":"Rok Seon"},{"family":"Khaleghi Rostamkolaei","given":"Shahryar"},{"family":"Ju","given":"Josephine M."},{"family":"Marietta","given":"Eric V."},{"family":"Van Dyke","given":"Carol T."},{"family":"Rajasekaran","given":"J. J."},{"family":"Jayaraman","given":"Vasanth"},{"family":"Wang","given":"Tianhao"},{"family":"Bei","given":"Kang"},{"family":"Rajasekaran","given":"Karenah E."},{"family":"Krishna","given":"Karthik"},{"family":"Krishnamurthy","given":"Hari Krishnan"},{"family":"Murray","given":"Joseph A."}],"issued":{"date-parts":[["2019"]]}}}],"schema":"https://github.com/citation-style-language/schema/raw/master/csl-citation.json"}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[7]</w:t>
      </w:r>
      <w:r w:rsidR="00185175" w:rsidRPr="00FA5C8D">
        <w:rPr>
          <w:rFonts w:ascii="Book Antiqua" w:hAnsi="Book Antiqua" w:cs="Times New Roman"/>
          <w:sz w:val="24"/>
          <w:szCs w:val="24"/>
        </w:rPr>
        <w:fldChar w:fldCharType="end"/>
      </w:r>
      <w:r w:rsidR="00976A4D" w:rsidRPr="00FA5C8D">
        <w:rPr>
          <w:rFonts w:ascii="Book Antiqua" w:hAnsi="Book Antiqua" w:cs="Times New Roman"/>
          <w:sz w:val="24"/>
          <w:szCs w:val="24"/>
        </w:rPr>
        <w:t xml:space="preserve">. </w:t>
      </w:r>
      <w:r w:rsidR="00C823A1" w:rsidRPr="00FA5C8D">
        <w:rPr>
          <w:rFonts w:ascii="Book Antiqua" w:hAnsi="Book Antiqua" w:cs="Times New Roman"/>
          <w:sz w:val="24"/>
          <w:szCs w:val="24"/>
        </w:rPr>
        <w:t>Currentl</w:t>
      </w:r>
      <w:r w:rsidR="00686DCA" w:rsidRPr="00FA5C8D">
        <w:rPr>
          <w:rFonts w:ascii="Book Antiqua" w:hAnsi="Book Antiqua" w:cs="Times New Roman"/>
          <w:sz w:val="24"/>
          <w:szCs w:val="24"/>
        </w:rPr>
        <w:t>y</w:t>
      </w:r>
      <w:r w:rsidR="0033499E"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33499E" w:rsidRPr="00FA5C8D">
        <w:rPr>
          <w:rFonts w:ascii="Book Antiqua" w:hAnsi="Book Antiqua" w:cs="Times New Roman"/>
          <w:sz w:val="24"/>
          <w:szCs w:val="24"/>
        </w:rPr>
        <w:t xml:space="preserve">to the best of our knowledge, </w:t>
      </w:r>
      <w:r w:rsidR="00686DCA" w:rsidRPr="00FA5C8D">
        <w:rPr>
          <w:rFonts w:ascii="Book Antiqua" w:hAnsi="Book Antiqua" w:cs="Times New Roman"/>
          <w:sz w:val="24"/>
          <w:szCs w:val="24"/>
        </w:rPr>
        <w:t xml:space="preserve">there are no </w:t>
      </w:r>
      <w:r w:rsidR="0057775F" w:rsidRPr="00FA5C8D">
        <w:rPr>
          <w:rFonts w:ascii="Book Antiqua" w:hAnsi="Book Antiqua" w:cs="Times New Roman"/>
          <w:sz w:val="24"/>
          <w:szCs w:val="24"/>
        </w:rPr>
        <w:t>studies</w:t>
      </w:r>
      <w:r w:rsidR="00686DCA" w:rsidRPr="00FA5C8D">
        <w:rPr>
          <w:rFonts w:ascii="Book Antiqua" w:hAnsi="Book Antiqua" w:cs="Times New Roman"/>
          <w:sz w:val="24"/>
          <w:szCs w:val="24"/>
        </w:rPr>
        <w:t xml:space="preserve"> indicati</w:t>
      </w:r>
      <w:r w:rsidR="00C823A1" w:rsidRPr="00FA5C8D">
        <w:rPr>
          <w:rFonts w:ascii="Book Antiqua" w:hAnsi="Book Antiqua" w:cs="Times New Roman"/>
          <w:sz w:val="24"/>
          <w:szCs w:val="24"/>
        </w:rPr>
        <w:t xml:space="preserve">ng </w:t>
      </w:r>
      <w:r w:rsidR="006025C7" w:rsidRPr="00FA5C8D">
        <w:rPr>
          <w:rFonts w:ascii="Book Antiqua" w:hAnsi="Book Antiqua" w:cs="Times New Roman"/>
          <w:sz w:val="24"/>
          <w:szCs w:val="24"/>
        </w:rPr>
        <w:t xml:space="preserve">the </w:t>
      </w:r>
      <w:r w:rsidR="00C823A1" w:rsidRPr="00FA5C8D">
        <w:rPr>
          <w:rFonts w:ascii="Book Antiqua" w:hAnsi="Book Antiqua" w:cs="Times New Roman"/>
          <w:sz w:val="24"/>
          <w:szCs w:val="24"/>
        </w:rPr>
        <w:t xml:space="preserve">absolute necessity </w:t>
      </w:r>
      <w:r w:rsidR="006025C7" w:rsidRPr="00FA5C8D">
        <w:rPr>
          <w:rFonts w:ascii="Book Antiqua" w:hAnsi="Book Antiqua" w:cs="Times New Roman"/>
          <w:sz w:val="24"/>
          <w:szCs w:val="24"/>
        </w:rPr>
        <w:t>of</w:t>
      </w:r>
      <w:r w:rsidR="001E70C0" w:rsidRPr="00FA5C8D">
        <w:rPr>
          <w:rFonts w:ascii="Book Antiqua" w:hAnsi="Book Antiqua" w:cs="Times New Roman"/>
          <w:sz w:val="24"/>
          <w:szCs w:val="24"/>
        </w:rPr>
        <w:t xml:space="preserve"> routine follow-up biopsy</w:t>
      </w:r>
      <w:r w:rsidR="00185175" w:rsidRPr="00FA5C8D">
        <w:rPr>
          <w:rFonts w:ascii="Book Antiqua" w:hAnsi="Book Antiqua" w:cs="Times New Roman"/>
          <w:sz w:val="24"/>
          <w:szCs w:val="24"/>
          <w:vertAlign w:val="superscript"/>
        </w:rPr>
        <w:fldChar w:fldCharType="begin"/>
      </w:r>
      <w:r w:rsidR="00DF5155" w:rsidRPr="00FA5C8D">
        <w:rPr>
          <w:rFonts w:ascii="Book Antiqua" w:hAnsi="Book Antiqua" w:cs="Times New Roman"/>
          <w:sz w:val="24"/>
          <w:szCs w:val="24"/>
          <w:vertAlign w:val="superscript"/>
        </w:rPr>
        <w:instrText xml:space="preserve"> ADDIN ZOTERO_ITEM CSL_CITATION {"citationID":"ezQ7egkO","properties":{"formattedCitation":"\\super [8]\\nosupersub{}","plainCitation":"[8]","noteIndex":0},"citationItems":[{"id":1196,"uris":["http://zotero.org/users/4312189/items/47PD2BBU"],"uri":["http://zotero.org/users/4312189/items/47PD2BBU"],"itemData":{"id":1196,"type":"article-journal","abstract":"This guideline presents recommendations for the management of coeliac disease (CD) and other gluten-related disorders both in adults and children. There has been a substantial increase in the prevalence of CD over the last 50 years and many patients remain undiagnosed. Diagnostic testing, including serology and biopsy, should be performed on a gluten-containing diet. The diagnosis of CD is based on a combination of clinical, serological and histopathological data. In a group of children the diagnosis may be made without biopsy if strict criteria are available. The treatment for CD is primarily a gluten-free diet (GFD), which requires significant patient education, motivation and follow-up. Slow-responsiveness occurs frequently, particularly in those diagnosed in adulthood. Persistent or recurring symptoms necessitate a review of the original diagnosis, exclude alternative diagnoses, confirm dietary adherence (dietary review and serology) and follow-up biopsy. In addition, evaluation to exclude complications of CD, such as refractory CD or lymphoma, should be performed. The guideline also deals with other gluten-related disorders, such as dermatitis herpetiformis, which is a cutaneous manifestation of CD characterized by granular IgA deposits in the dermal papillae. The skin lesions clear with gluten withdrawal. Also, less well-defined conditions such as non-coeliac gluten sensitivity (NCGS) and gluten-sensitive neurological manifestations, such as ataxia, have been addressed. Newer therapeutic modalities for CD are being studied in clinical trials but are not yet approved for use in practice.","container-title":"United European Gastroenterology Journal","DOI":"10.1177/2050640619844125","ISSN":"2050-6406","issue":"5","journalAbbreviation":"United European Gastroenterol J","language":"eng","note":"PMID: 31210940\nPMCID: PMC6545713","page":"583-613","source":"PubMed","title":"European Society for the Study of Coeliac Disease (ESsCD) guideline for coeliac disease and other gluten-related disorders","volume":"7","author":[{"family":"Al-Toma","given":"Abdulbaqi"},{"family":"Volta","given":"Umberto"},{"family":"Auricchio","given":"Renata"},{"family":"Castillejo","given":"Gemma"},{"family":"Sanders","given":"David S."},{"family":"Cellier","given":"Christophe"},{"family":"Mulder","given":"Chris J."},{"family":"Lundin","given":"Knut E. A."}],"issued":{"date-parts":[["2019"]]}}}],"schema":"https://github.com/citation-style-language/schema/raw/master/csl-citation.json"} </w:instrText>
      </w:r>
      <w:r w:rsidR="00185175" w:rsidRPr="00FA5C8D">
        <w:rPr>
          <w:rFonts w:ascii="Book Antiqua" w:hAnsi="Book Antiqua" w:cs="Times New Roman"/>
          <w:sz w:val="24"/>
          <w:szCs w:val="24"/>
          <w:vertAlign w:val="superscript"/>
        </w:rPr>
        <w:fldChar w:fldCharType="separate"/>
      </w:r>
      <w:r w:rsidR="00DF5155" w:rsidRPr="00FA5C8D">
        <w:rPr>
          <w:rFonts w:ascii="Book Antiqua" w:hAnsi="Book Antiqua" w:cs="Times New Roman"/>
          <w:sz w:val="24"/>
          <w:szCs w:val="24"/>
          <w:vertAlign w:val="superscript"/>
        </w:rPr>
        <w:t>[8</w:t>
      </w:r>
      <w:r w:rsidR="00185175" w:rsidRPr="00FA5C8D">
        <w:rPr>
          <w:rFonts w:ascii="Book Antiqua" w:hAnsi="Book Antiqua" w:cs="Times New Roman"/>
          <w:sz w:val="24"/>
          <w:szCs w:val="24"/>
          <w:vertAlign w:val="superscript"/>
        </w:rPr>
        <w:fldChar w:fldCharType="end"/>
      </w:r>
      <w:r w:rsidR="0047007F" w:rsidRPr="00FA5C8D">
        <w:rPr>
          <w:rFonts w:ascii="Book Antiqua" w:hAnsi="Book Antiqua" w:cs="Times New Roman"/>
          <w:sz w:val="24"/>
          <w:szCs w:val="24"/>
          <w:vertAlign w:val="superscript"/>
        </w:rPr>
        <w:t>,</w:t>
      </w:r>
      <w:r w:rsidR="00462F51" w:rsidRPr="00FA5C8D">
        <w:rPr>
          <w:rFonts w:ascii="Book Antiqua" w:hAnsi="Book Antiqua" w:cs="Times New Roman"/>
          <w:sz w:val="24"/>
          <w:szCs w:val="24"/>
          <w:vertAlign w:val="superscript"/>
        </w:rPr>
        <w:t>9</w:t>
      </w:r>
      <w:r w:rsidR="001E70C0" w:rsidRPr="00FA5C8D">
        <w:rPr>
          <w:rFonts w:ascii="Book Antiqua" w:hAnsi="Book Antiqua" w:cs="Times New Roman"/>
          <w:sz w:val="24"/>
          <w:szCs w:val="24"/>
          <w:vertAlign w:val="superscript"/>
        </w:rPr>
        <w:t>]</w:t>
      </w:r>
      <w:r w:rsidR="004B15EC"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4B15EC" w:rsidRPr="00FA5C8D">
        <w:rPr>
          <w:rFonts w:ascii="Book Antiqua" w:hAnsi="Book Antiqua" w:cs="Times New Roman"/>
          <w:sz w:val="24"/>
          <w:szCs w:val="24"/>
        </w:rPr>
        <w:t>however,</w:t>
      </w:r>
      <w:r w:rsidR="0037229C" w:rsidRPr="00FA5C8D">
        <w:rPr>
          <w:rFonts w:ascii="Book Antiqua" w:hAnsi="Book Antiqua" w:cs="Times New Roman"/>
          <w:sz w:val="24"/>
          <w:szCs w:val="24"/>
        </w:rPr>
        <w:t xml:space="preserve"> </w:t>
      </w:r>
      <w:r w:rsidR="00686DCA" w:rsidRPr="00FA5C8D">
        <w:rPr>
          <w:rFonts w:ascii="Book Antiqua" w:hAnsi="Book Antiqua" w:cs="Times New Roman"/>
          <w:sz w:val="24"/>
          <w:szCs w:val="24"/>
        </w:rPr>
        <w:t xml:space="preserve">many </w:t>
      </w:r>
      <w:r w:rsidR="00B51C89" w:rsidRPr="00FA5C8D">
        <w:rPr>
          <w:rFonts w:ascii="Book Antiqua" w:hAnsi="Book Antiqua" w:cs="Times New Roman"/>
          <w:sz w:val="24"/>
          <w:szCs w:val="24"/>
        </w:rPr>
        <w:t xml:space="preserve">centers </w:t>
      </w:r>
      <w:r w:rsidR="0057775F" w:rsidRPr="00FA5C8D">
        <w:rPr>
          <w:rFonts w:ascii="Book Antiqua" w:hAnsi="Book Antiqua" w:cs="Times New Roman"/>
          <w:sz w:val="24"/>
          <w:szCs w:val="24"/>
        </w:rPr>
        <w:t>recommend</w:t>
      </w:r>
      <w:r w:rsidR="00686DCA" w:rsidRPr="00FA5C8D">
        <w:rPr>
          <w:rFonts w:ascii="Book Antiqua" w:hAnsi="Book Antiqua" w:cs="Times New Roman"/>
          <w:sz w:val="24"/>
          <w:szCs w:val="24"/>
        </w:rPr>
        <w:t xml:space="preserve"> its implementation</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{"citationID":"refbRdAO","properties":{"formattedCitation":"\\super [9,10]\\nosupersub{}","plainCitation":"[9,10]","noteIndex":0},"citationItems":[{"id":1060,"uris":["http://zotero.org/users/4312189/items/C7KBL9VI"],"uri":["http://zotero.org/users/4312189/items/C7KBL9VI"],"itemData":{"id":1060,"type":"article-journal","abstract":"Coeliac disease occurs in about 1% of people in most populations. Diagnosis rates are increasing, and this seems to be due to a true rise in incidence rather than increased awareness and detection. Coeliac disease develops in genetically susceptible individuals who, in response to unknown environmental factors, develop an immune response that is subsequently triggered by the ingestion of gluten. The disease has many clinical manifestations, ranging from severe malabsorption to minimally symptomatic or non-symptomatic presentations. Diagnosis requires the presence of duodenal villous atrophy, and most patients have circulating antibodies against tissue transglutaminase; in children, European guidelines allow a diagnosis without a duodenal biopsy provided that strict symptomatic and serological criteria are met. Although a gluten-free diet is an effective treatment in most individuals, a substantial minority develop persistent or recurrent symptoms. Difficulties adhering to a gluten-free diet have led to the development of non-dietary therapies, several of which are undergoing trials in human beings.","container-title":"The Lancet","DOI":"10.1016/S0140-6736(17)31796-8","ISSN":"0140-6736","issue":"10115","journalAbbreviation":"The Lancet","language":"en","page":"70-81","source":"ScienceDirect","title":"Coeliac disease","volume":"391","author":[{"family":"Lebwohl","given":"Benjamin"},{"family":"Sanders","given":"David S"},{"family":"Green","given":"Peter H R"}],"issued":{"date-parts":[["2018",1,6]]}}},{"id":1199,"uris":["http://zotero.org/users/4312189/items/GGCUN2YY"],"uri":["http://zotero.org/users/4312189/items/GGCUN2YY"],"itemData":{"id":1199,"type":"article-journal","abstract":"Importance: The prevalence of gluten-related disorders is rising, and increasing numbers of individuals are empirically trying a gluten-free diet for a variety of signs and symptoms. This review aims to present current evidence regarding screening, diagnosis, and treatment for celiac disease and nonceliac gluten sensitivity.\nObservations: Celiac disease is a gluten-induced immune-mediated enteropathy characterized by a specific genetic genotype (HLA-DQ2 and HLA-DQ8 genes) and autoantibodies (antitissue transglutaminase and antiendomysial). Although the inflammatory process specifically targets the intestinal mucosa, patients may present with gastrointestinal signs or symptoms, extraintestinal signs or symptoms, or both, suggesting that celiac disease is a systemic disease. Nonceliac gluten sensitivity is diagnosed in individuals who do not have celiac disease or wheat allergy but who have intestinal symptoms, extraintestinal symptoms, or both, related to ingestion of gluten-containing grains, with symptomatic improvement on their withdrawal. The clinical variability and the lack of validated biomarkers for nonceliac gluten sensitivity make establishing the prevalence, reaching a diagnosis, and further study of this condition difficult. Nevertheless, it is possible to differentiate specific gluten-related disorders from other conditions, based on currently available investigations and algorithms. Clinicians cannot distinguish between celiac disease and nonceliac gluten sensitivity by symptoms, as they are similar in both. Therefore, screening for celiac disease must occur before a gluten-free diet is implemented, since once a patient initiates a gluten-free diet, testing for celiac disease is no longer accurate.\nConclusions and Relevance: Celiac disease and nonceliac gluten sensitivity are common. Although both conditions are treated with a gluten-free diet, distinguishing between celiac disease and nonceliac gluten sensitivity is important for long-term therapy. Patients with celiac disease should be followed up closely for dietary adherence, nutritional deficiencies, and the development of possible comorbidities.","container-title":"JAMA","DOI":"10.1001/jama.2017.9730","ISSN":"1538-3598","issue":"7","journalAbbreviation":"JAMA","language":"eng","note":"PMID: 28810029","page":"647-656","source":"PubMed","title":"Celiac Disease and Nonceliac Gluten Sensitivity: A Review","title-short":"Celiac Disease and Nonceliac Gluten Sensitivity","volume":"318","author":[{"family":"Leonard","given":"Maureen M."},{"family":"Sapone","given":"Anna"},{"family":"Catassi","given":"Carlo"},{"family":"Fasano","given":"Alessio"}],"issued":{"date-parts":[["2017",8,15]]}}}],"schema":"https://github.com/citation-style-language/schema/raw/master/csl-citation.json"}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[9,10]</w:t>
      </w:r>
      <w:r w:rsidR="00185175" w:rsidRPr="00FA5C8D">
        <w:rPr>
          <w:rFonts w:ascii="Book Antiqua" w:hAnsi="Book Antiqua" w:cs="Times New Roman"/>
          <w:sz w:val="24"/>
          <w:szCs w:val="24"/>
        </w:rPr>
        <w:fldChar w:fldCharType="end"/>
      </w:r>
      <w:r w:rsidR="00CB22CD" w:rsidRPr="00FA5C8D">
        <w:rPr>
          <w:rFonts w:ascii="Book Antiqua" w:hAnsi="Book Antiqua" w:cs="Times New Roman"/>
          <w:sz w:val="24"/>
          <w:szCs w:val="24"/>
        </w:rPr>
        <w:t xml:space="preserve"> and itis </w:t>
      </w:r>
      <w:r w:rsidR="00E84891" w:rsidRPr="00FA5C8D">
        <w:rPr>
          <w:rFonts w:ascii="Book Antiqua" w:hAnsi="Book Antiqua" w:cs="Times New Roman"/>
          <w:sz w:val="24"/>
          <w:szCs w:val="24"/>
        </w:rPr>
        <w:t>considered</w:t>
      </w:r>
      <w:r w:rsidR="00CB22CD" w:rsidRPr="00FA5C8D">
        <w:rPr>
          <w:rFonts w:ascii="Book Antiqua" w:hAnsi="Book Antiqua" w:cs="Times New Roman"/>
          <w:sz w:val="24"/>
          <w:szCs w:val="24"/>
        </w:rPr>
        <w:t xml:space="preserve"> as an important tool in the follow</w:t>
      </w:r>
      <w:r w:rsidR="00892F83" w:rsidRPr="00FA5C8D">
        <w:rPr>
          <w:rFonts w:ascii="Book Antiqua" w:hAnsi="Book Antiqua" w:cs="Times New Roman"/>
          <w:sz w:val="24"/>
          <w:szCs w:val="24"/>
        </w:rPr>
        <w:t>-</w:t>
      </w:r>
      <w:r w:rsidR="00CB22CD" w:rsidRPr="00FA5C8D">
        <w:rPr>
          <w:rFonts w:ascii="Book Antiqua" w:hAnsi="Book Antiqua" w:cs="Times New Roman"/>
          <w:sz w:val="24"/>
          <w:szCs w:val="24"/>
        </w:rPr>
        <w:t xml:space="preserve">up of </w:t>
      </w:r>
      <w:r w:rsidR="0055086D" w:rsidRPr="00FA5C8D">
        <w:rPr>
          <w:rFonts w:ascii="Book Antiqua" w:hAnsi="Book Antiqua" w:cs="Times New Roman"/>
          <w:sz w:val="24"/>
          <w:szCs w:val="24"/>
        </w:rPr>
        <w:t xml:space="preserve">symptomatic </w:t>
      </w:r>
      <w:r w:rsidR="00076B14" w:rsidRPr="00FA5C8D">
        <w:rPr>
          <w:rFonts w:ascii="Book Antiqua" w:hAnsi="Book Antiqua" w:cs="Times New Roman"/>
          <w:sz w:val="24"/>
          <w:szCs w:val="24"/>
        </w:rPr>
        <w:t xml:space="preserve">patients with </w:t>
      </w:r>
      <w:r w:rsidR="00CB22CD" w:rsidRPr="00FA5C8D">
        <w:rPr>
          <w:rFonts w:ascii="Book Antiqua" w:hAnsi="Book Antiqua" w:cs="Times New Roman"/>
          <w:sz w:val="24"/>
          <w:szCs w:val="24"/>
        </w:rPr>
        <w:t>CD</w:t>
      </w:r>
      <w:r w:rsidR="00FA6333"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FA6333" w:rsidRPr="00FA5C8D">
        <w:rPr>
          <w:rFonts w:ascii="Book Antiqua" w:hAnsi="Book Antiqua" w:cs="Times New Roman"/>
          <w:sz w:val="24"/>
          <w:szCs w:val="24"/>
        </w:rPr>
        <w:t>based on the recommendations</w:t>
      </w:r>
      <w:r w:rsidR="00CB22CD" w:rsidRPr="00FA5C8D">
        <w:rPr>
          <w:rFonts w:ascii="Book Antiqua" w:hAnsi="Book Antiqua" w:cs="Times New Roman"/>
          <w:sz w:val="24"/>
          <w:szCs w:val="24"/>
        </w:rPr>
        <w:t xml:space="preserve"> by </w:t>
      </w:r>
      <w:r w:rsidR="00FA6333" w:rsidRPr="00FA5C8D">
        <w:rPr>
          <w:rFonts w:ascii="Book Antiqua" w:hAnsi="Book Antiqua" w:cs="Times New Roman"/>
          <w:sz w:val="24"/>
          <w:szCs w:val="24"/>
        </w:rPr>
        <w:t xml:space="preserve">the </w:t>
      </w:r>
      <w:r w:rsidR="00CB22CD" w:rsidRPr="00FA5C8D">
        <w:rPr>
          <w:rFonts w:ascii="Book Antiqua" w:hAnsi="Book Antiqua" w:cs="Times New Roman"/>
          <w:sz w:val="24"/>
          <w:szCs w:val="24"/>
        </w:rPr>
        <w:t xml:space="preserve">American </w:t>
      </w:r>
      <w:r w:rsidR="008D1E2C" w:rsidRPr="00FA5C8D">
        <w:rPr>
          <w:rFonts w:ascii="Book Antiqua" w:hAnsi="Book Antiqua" w:cs="Times New Roman"/>
          <w:sz w:val="24"/>
          <w:szCs w:val="24"/>
        </w:rPr>
        <w:t>G</w:t>
      </w:r>
      <w:r w:rsidR="00CB22CD" w:rsidRPr="00FA5C8D">
        <w:rPr>
          <w:rFonts w:ascii="Book Antiqua" w:hAnsi="Book Antiqua" w:cs="Times New Roman"/>
          <w:sz w:val="24"/>
          <w:szCs w:val="24"/>
        </w:rPr>
        <w:t xml:space="preserve">astroenterology </w:t>
      </w:r>
      <w:r w:rsidR="008D1E2C" w:rsidRPr="00FA5C8D">
        <w:rPr>
          <w:rFonts w:ascii="Book Antiqua" w:hAnsi="Book Antiqua" w:cs="Times New Roman"/>
          <w:sz w:val="24"/>
          <w:szCs w:val="24"/>
        </w:rPr>
        <w:t>A</w:t>
      </w:r>
      <w:r w:rsidR="00CB22CD" w:rsidRPr="00FA5C8D">
        <w:rPr>
          <w:rFonts w:ascii="Book Antiqua" w:hAnsi="Book Antiqua" w:cs="Times New Roman"/>
          <w:sz w:val="24"/>
          <w:szCs w:val="24"/>
        </w:rPr>
        <w:t>ssociation</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{"citationID":"qRszASjQ","properties":{"formattedCitation":"\\super [11]\\nosupersub{}","plainCitation":"[11]","noteIndex":0},"citationItems":[{"id":1066,"uris":["http://zotero.org/users/4312189/items/58X5JMIK"],"uri":["http://zotero.org/users/4312189/items/58X5JMIK"],"itemData":{"id":1066,"type":"article-journal","abstract":"Purpose\nThe purpose of this clinical practice update is to define key modalities in the diagnosis and monitoring of celiac disease (CD) in adults as well as in children and adolescents.\nMethods\nThe recommendations outlined in this expert review are based on available published evidence, including cohort and case-control studies of the diagnostic process as well as controlled and descriptive studies of disease management. Best Practice Advice 1: Serology is a crucial component of the detection and diagnosis of CD, particularly tissue transglutaminase–immunoglobulin A (TG2-IgA), IgA testing, and less frequently, endomysial IgA testing. Best Practice Advice 2: Thorough histological analysis of duodenal biopsies with Marsh classification, counting of lymphocytes per high-power field, and morphometry is important for diagnosis as well as for differential diagnosis. Best Practice Advice 2a: TG2-IgA, at high levels (&gt; ×10 upper normal limit) is a reliable and accurate test for diagnosing active CD. When such a strongly positive TG2-IgA is combined with a positive endomysial antibody in a second blood sample, the positive predictive value for CD is virtually 100%. In adults, esophagogastroduodenoscopy (EGD) and duodenal biopsies may then be performed for purposes of differential diagnosis. Best Practice Advice 3: IgA deficiency is an infrequent but important explanation for why patients with CD may be negative on IgA isotype testing despite strong suspicion. Measuring total IgA levels, IgG deamidated gliadin antibody tests, and TG2-IgG testing in that circumstance is recommended. Best Practice Advice 4: IgG isotype testing for TG2 antibody is not specific in the absence of IgA deficiency. Best Practice Advice 5: In patients found to have CD first by intestinal biopsies, celiac-specific serology should be undertaken as a confirmatory test before initiation of a gluten-free diet (GFD). Best Practice Advice 6: In patients in whom CD is strongly suspected in the face of negative biopsies, TG2-IgA should still be performed and, if positive, repeat biopsies might be considered either at that time or sometime in the future. Best Practice Advice 7: Reduction or avoidance of gluten before diagnostic testing is discouraged, as it may reduce the sensitivity of both serology and biopsy testing. Best Practice Advice 8: When patients have already started on a GFD before diagnosis, we suggest that the patient go back on a normal diet with 3 slices of wheat bread daily preferably for 1 to 3 months before repeat determination of TG2-IgA. Best Practice Advice 9: Determination of HLA-DQ2/DQ8 has a limited role in the diagnosis of CD. Its value is largely related to its negative predictive value to rule out CD in patients who are seronegative in the face of histologic changes, in patients who did not have serologic confirmation at the time of diagnosis, and in those patients with a historic diagnosis of CD; especially as very young children before the introduction of celiac-specific serology.\nManagement\nBest Practice Advice 10: Celiac serology has a guarded role in the detection of continued intestinal injury, in particular as to sensitivity, as negative serology in a treated patient does not guarantee that the intestinal mucosa has healed. Persistently positive serology usually indicates ongoing intestinal damage and gluten exposure. Follow-up serology should be performed 6 and 12 months after diagnosis, and yearly thereafter. Best Practice Advice 11: Patients with persistent or relapsing symptoms, without other obvious explanations for those symptoms, should undergo endoscopic biopsies to determine healing even in the presence of negative TG2-IgA.","container-title":"Gastroenterology","DOI":"10.1053/j.gastro.2018.12.010","ISSN":"0016-5085","issue":"4","journalAbbreviation":"Gastroenterology","language":"en","page":"885-889","source":"ScienceDirect","title":"AGA Clinical Practice Update on Diagnosis and Monitoring of Celiac Disease—Changing Utility of Serology and Histologic Measures: Expert Review","title-short":"AGA Clinical Practice Update on Diagnosis and Monitoring of Celiac Disease—Changing Utility of Serology and Histologic Measures","volume":"156","author":[{"family":"Husby","given":"Steffen"},{"family":"Murray","given":"Joseph A."},{"family":"Katzka","given":"David A."}],"issued":{"date-parts":[["2019",3,1]]}}}],"schema":"https://github.com/citation-style-language/schema/raw/master/csl-citation.json"}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[11]</w:t>
      </w:r>
      <w:r w:rsidR="00185175" w:rsidRPr="00FA5C8D">
        <w:rPr>
          <w:rFonts w:ascii="Book Antiqua" w:hAnsi="Book Antiqua" w:cs="Times New Roman"/>
          <w:sz w:val="24"/>
          <w:szCs w:val="24"/>
        </w:rPr>
        <w:fldChar w:fldCharType="end"/>
      </w:r>
      <w:r w:rsidR="00CB22CD" w:rsidRPr="00FA5C8D">
        <w:rPr>
          <w:rFonts w:ascii="Book Antiqua" w:hAnsi="Book Antiqua" w:cs="Times New Roman"/>
          <w:sz w:val="24"/>
          <w:szCs w:val="24"/>
        </w:rPr>
        <w:t xml:space="preserve">. </w:t>
      </w:r>
      <w:r w:rsidR="00844908" w:rsidRPr="00FA5C8D">
        <w:rPr>
          <w:rFonts w:ascii="Book Antiqua" w:hAnsi="Book Antiqua" w:cs="Times New Roman"/>
          <w:sz w:val="24"/>
          <w:szCs w:val="24"/>
        </w:rPr>
        <w:t>A</w:t>
      </w:r>
      <w:r w:rsidR="0037229C" w:rsidRPr="00FA5C8D">
        <w:rPr>
          <w:rFonts w:ascii="Book Antiqua" w:hAnsi="Book Antiqua" w:cs="Times New Roman"/>
          <w:sz w:val="24"/>
          <w:szCs w:val="24"/>
        </w:rPr>
        <w:t xml:space="preserve"> </w:t>
      </w:r>
      <w:r w:rsidR="00844908" w:rsidRPr="00FA5C8D">
        <w:rPr>
          <w:rFonts w:ascii="Book Antiqua" w:hAnsi="Book Antiqua" w:cs="Times New Roman"/>
          <w:sz w:val="24"/>
          <w:szCs w:val="24"/>
        </w:rPr>
        <w:t>p</w:t>
      </w:r>
      <w:r w:rsidR="0057775F" w:rsidRPr="00FA5C8D">
        <w:rPr>
          <w:rFonts w:ascii="Book Antiqua" w:hAnsi="Book Antiqua" w:cs="Times New Roman"/>
          <w:sz w:val="24"/>
          <w:szCs w:val="24"/>
        </w:rPr>
        <w:t>ersonalized</w:t>
      </w:r>
      <w:r w:rsidR="00686DCA" w:rsidRPr="00FA5C8D">
        <w:rPr>
          <w:rFonts w:ascii="Book Antiqua" w:hAnsi="Book Antiqua" w:cs="Times New Roman"/>
          <w:sz w:val="24"/>
          <w:szCs w:val="24"/>
        </w:rPr>
        <w:t xml:space="preserve"> approach with </w:t>
      </w:r>
      <w:r w:rsidR="008D1E2C" w:rsidRPr="00FA5C8D">
        <w:rPr>
          <w:rFonts w:ascii="Book Antiqua" w:hAnsi="Book Antiqua" w:cs="Times New Roman"/>
          <w:sz w:val="24"/>
          <w:szCs w:val="24"/>
        </w:rPr>
        <w:t>respect</w:t>
      </w:r>
      <w:r w:rsidR="00686DCA" w:rsidRPr="00FA5C8D">
        <w:rPr>
          <w:rFonts w:ascii="Book Antiqua" w:hAnsi="Book Antiqua" w:cs="Times New Roman"/>
          <w:sz w:val="24"/>
          <w:szCs w:val="24"/>
        </w:rPr>
        <w:t xml:space="preserve"> to risk factors is essential</w:t>
      </w:r>
      <w:r w:rsidR="00715FF0" w:rsidRPr="00FA5C8D">
        <w:rPr>
          <w:rFonts w:ascii="Book Antiqua" w:hAnsi="Book Antiqua" w:cs="Times New Roman"/>
          <w:sz w:val="24"/>
          <w:szCs w:val="24"/>
        </w:rPr>
        <w:t xml:space="preserve">. Together with </w:t>
      </w:r>
      <w:r w:rsidR="00076B14" w:rsidRPr="00FA5C8D">
        <w:rPr>
          <w:rFonts w:ascii="Book Antiqua" w:hAnsi="Book Antiqua" w:cs="Times New Roman"/>
          <w:sz w:val="24"/>
          <w:szCs w:val="24"/>
        </w:rPr>
        <w:t xml:space="preserve">factors such as the </w:t>
      </w:r>
      <w:r w:rsidR="00715FF0" w:rsidRPr="00FA5C8D">
        <w:rPr>
          <w:rFonts w:ascii="Book Antiqua" w:hAnsi="Book Antiqua" w:cs="Times New Roman"/>
          <w:sz w:val="24"/>
          <w:szCs w:val="24"/>
        </w:rPr>
        <w:t xml:space="preserve">advanced age at diagnosis, </w:t>
      </w:r>
      <w:r w:rsidR="00076B14" w:rsidRPr="00FA5C8D">
        <w:rPr>
          <w:rFonts w:ascii="Book Antiqua" w:hAnsi="Book Antiqua" w:cs="Times New Roman"/>
          <w:sz w:val="24"/>
          <w:szCs w:val="24"/>
        </w:rPr>
        <w:t xml:space="preserve">the </w:t>
      </w:r>
      <w:r w:rsidR="00C13C27" w:rsidRPr="00FA5C8D">
        <w:rPr>
          <w:rFonts w:ascii="Book Antiqua" w:hAnsi="Book Antiqua" w:cs="Times New Roman"/>
          <w:sz w:val="24"/>
          <w:szCs w:val="24"/>
        </w:rPr>
        <w:t>male sex</w:t>
      </w:r>
      <w:r w:rsidR="004B15EC" w:rsidRPr="00FA5C8D">
        <w:rPr>
          <w:rFonts w:ascii="Book Antiqua" w:hAnsi="Book Antiqua" w:cs="Times New Roman"/>
          <w:sz w:val="24"/>
          <w:szCs w:val="24"/>
        </w:rPr>
        <w:t>,</w:t>
      </w:r>
      <w:r w:rsidR="00C13C27" w:rsidRPr="00FA5C8D">
        <w:rPr>
          <w:rFonts w:ascii="Book Antiqua" w:hAnsi="Book Antiqua" w:cs="Times New Roman"/>
          <w:sz w:val="24"/>
          <w:szCs w:val="24"/>
        </w:rPr>
        <w:t xml:space="preserve"> and</w:t>
      </w:r>
      <w:r w:rsidR="0037229C" w:rsidRPr="00FA5C8D">
        <w:rPr>
          <w:rFonts w:ascii="Book Antiqua" w:hAnsi="Book Antiqua" w:cs="Times New Roman"/>
          <w:sz w:val="24"/>
          <w:szCs w:val="24"/>
        </w:rPr>
        <w:t xml:space="preserve"> </w:t>
      </w:r>
      <w:r w:rsidR="00715FF0" w:rsidRPr="00FA5C8D">
        <w:rPr>
          <w:rFonts w:ascii="Book Antiqua" w:hAnsi="Book Antiqua" w:cs="Times New Roman"/>
          <w:sz w:val="24"/>
          <w:szCs w:val="24"/>
        </w:rPr>
        <w:t>untreated CD</w:t>
      </w:r>
      <w:r w:rsidR="000C5636" w:rsidRPr="00FA5C8D">
        <w:rPr>
          <w:rFonts w:ascii="Book Antiqua" w:hAnsi="Book Antiqua" w:cs="Times New Roman"/>
          <w:sz w:val="24"/>
          <w:szCs w:val="24"/>
        </w:rPr>
        <w:t>,</w:t>
      </w:r>
      <w:r w:rsidR="00715FF0" w:rsidRPr="00FA5C8D">
        <w:rPr>
          <w:rFonts w:ascii="Book Antiqua" w:hAnsi="Book Antiqua" w:cs="Times New Roman"/>
          <w:sz w:val="24"/>
          <w:szCs w:val="24"/>
        </w:rPr>
        <w:t xml:space="preserve"> even asymptomatic</w:t>
      </w:r>
      <w:r w:rsidR="0037229C" w:rsidRPr="00FA5C8D">
        <w:rPr>
          <w:rFonts w:ascii="Book Antiqua" w:hAnsi="Book Antiqua" w:cs="Times New Roman"/>
          <w:sz w:val="24"/>
          <w:szCs w:val="24"/>
        </w:rPr>
        <w:t xml:space="preserve"> </w:t>
      </w:r>
      <w:r w:rsidR="00686DCA" w:rsidRPr="00FA5C8D">
        <w:rPr>
          <w:rFonts w:ascii="Book Antiqua" w:hAnsi="Book Antiqua" w:cs="Times New Roman"/>
          <w:sz w:val="24"/>
          <w:szCs w:val="24"/>
        </w:rPr>
        <w:t>p</w:t>
      </w:r>
      <w:r w:rsidR="00C823A1" w:rsidRPr="00FA5C8D">
        <w:rPr>
          <w:rFonts w:ascii="Book Antiqua" w:hAnsi="Book Antiqua" w:cs="Times New Roman"/>
          <w:sz w:val="24"/>
          <w:szCs w:val="24"/>
        </w:rPr>
        <w:t xml:space="preserve">ersistent VA is considered to be </w:t>
      </w:r>
      <w:r w:rsidR="004B15EC" w:rsidRPr="00FA5C8D">
        <w:rPr>
          <w:rFonts w:ascii="Book Antiqua" w:hAnsi="Book Antiqua" w:cs="Times New Roman"/>
          <w:sz w:val="24"/>
          <w:szCs w:val="24"/>
        </w:rPr>
        <w:t>a</w:t>
      </w:r>
      <w:r w:rsidR="0037229C" w:rsidRPr="00FA5C8D">
        <w:rPr>
          <w:rFonts w:ascii="Book Antiqua" w:hAnsi="Book Antiqua" w:cs="Times New Roman"/>
          <w:sz w:val="24"/>
          <w:szCs w:val="24"/>
        </w:rPr>
        <w:t xml:space="preserve"> </w:t>
      </w:r>
      <w:r w:rsidR="00C823A1" w:rsidRPr="00FA5C8D">
        <w:rPr>
          <w:rFonts w:ascii="Book Antiqua" w:hAnsi="Book Antiqua" w:cs="Times New Roman"/>
          <w:sz w:val="24"/>
          <w:szCs w:val="24"/>
        </w:rPr>
        <w:t xml:space="preserve">risk factor </w:t>
      </w:r>
      <w:r w:rsidR="004B15EC" w:rsidRPr="00FA5C8D">
        <w:rPr>
          <w:rFonts w:ascii="Book Antiqua" w:hAnsi="Book Antiqua" w:cs="Times New Roman"/>
          <w:sz w:val="24"/>
          <w:szCs w:val="24"/>
        </w:rPr>
        <w:t>for</w:t>
      </w:r>
      <w:r w:rsidR="0037229C" w:rsidRPr="00FA5C8D">
        <w:rPr>
          <w:rFonts w:ascii="Book Antiqua" w:hAnsi="Book Antiqua" w:cs="Times New Roman"/>
          <w:sz w:val="24"/>
          <w:szCs w:val="24"/>
        </w:rPr>
        <w:t xml:space="preserve"> </w:t>
      </w:r>
      <w:r w:rsidR="00383D97" w:rsidRPr="00FA5C8D">
        <w:rPr>
          <w:rFonts w:ascii="Book Antiqua" w:hAnsi="Book Antiqua" w:cs="Times New Roman"/>
          <w:sz w:val="24"/>
          <w:szCs w:val="24"/>
        </w:rPr>
        <w:t>lymphoproliferative malignancy</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{"citationID":"JK8nAPVz","properties":{"formattedCitation":"\\super [12]\\nosupersub{}","plainCitation":"[12]","noteIndex":0},"citationItems":[{"id":1203,"uris":["http://zotero.org/users/4312189/items/XF7NWXDD"],"uri":["http://zotero.org/users/4312189/items/XF7NWXDD"],"itemData":{"id":1203,"type":"article-journal","abstract":"BACKGROUND: Celiac disease (CD) is associated with an increased risk for lymphoproliferative malignancy (LPM). Whether this risk is affected by the results of follow-up intestinal biopsy, performed to document mucosal healing, is unknown.\nOBJECTIVE: To examine the association between mucosal healing in CD and subsequent LPM.\nDESIGN: Population-based cohort study.\nSETTING: 28 pathology departments in Sweden.\nPATIENTS: 7625 patients with CD who had follow-up biopsy after initial diagnosis.\nMEASUREMENTS: The risk for LPM was compared with that of the general population by using expected rates. The rate of LPM in patients with persistent villous atrophy was compared with that of those with mucosal healing by using Cox regression.\nRESULTS: Among 7625 patients with CD and follow-up biopsy, 3308 (43%) had persistent villous atrophy. The overall risk for LPM was higher than that in the general population (standardized incidence ratio [SIR], 2.81 [95% CI, 2.10 to 3.67]) and was greater among patients with persistent villous atrophy (SIR, 3.78 [CI, 2.71 to 5.12]) than among those with mucosal healing (SIR, 1.50 [CI, 0.77 to 2.62]). Persistent villous atrophy compared with mucosal healing was associated with an increased risk for LPM (hazard ratio [HR], 2.26 [CI, 1.18 to 4.34]). The risk for T-cell lymphoma was increased (HR, 3.51 [CI, 0.75 to 16.34]) but not for B-cell lymphoma (HR, 0.97 [CI, 0.21 to 4.49]).\nLIMITATION: No data on dietary adherence.\nCONCLUSION: Increased risk for LPM in CD is associated with the follow-up biopsy results, with a higher risk among patients with persistent villous atrophy. Follow-up biopsy may effectively stratify patients with CD by risk for subsequent LPM.","container-title":"Annals of Internal Medicine","DOI":"10.7326/0003-4819-159-3-201308060-00006","ISSN":"1539-3704","issue":"3","journalAbbreviation":"Ann. Intern. Med.","language":"eng","note":"PMID: 23922062\nPMCID: PMC3788608","page":"169-175","source":"PubMed","title":"Mucosal healing and risk for lymphoproliferative malignancy in celiac disease: a population-based cohort study","title-short":"Mucosal healing and risk for lymphoproliferative malignancy in celiac disease","volume":"159","author":[{"family":"Lebwohl","given":"Benjamin"},{"family":"Granath","given":"Fredrik"},{"family":"Ekbom","given":"Anders"},{"family":"Smedby","given":"Karin E."},{"family":"Murray","given":"Joseph A."},{"family":"Neugut","given":"Alfred I."},{"family":"Green","given":"Peter H. R."},{"family":"Ludvigsson","given":"Jonas F."}],"issued":{"date-parts":[["2013",8,6]]}}}],"schema":"https://github.com/citation-style-language/schema/raw/master/csl-citation.json"}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[12]</w:t>
      </w:r>
      <w:r w:rsidR="00185175" w:rsidRPr="00FA5C8D">
        <w:rPr>
          <w:rFonts w:ascii="Book Antiqua" w:hAnsi="Book Antiqua" w:cs="Times New Roman"/>
          <w:sz w:val="24"/>
          <w:szCs w:val="24"/>
        </w:rPr>
        <w:fldChar w:fldCharType="end"/>
      </w:r>
      <w:r w:rsidR="00383D97" w:rsidRPr="00FA5C8D">
        <w:rPr>
          <w:rFonts w:ascii="Book Antiqua" w:hAnsi="Book Antiqua" w:cs="Times New Roman"/>
          <w:sz w:val="24"/>
          <w:szCs w:val="24"/>
        </w:rPr>
        <w:t xml:space="preserve"> and possibly </w:t>
      </w:r>
      <w:r w:rsidR="005379C8" w:rsidRPr="00FA5C8D">
        <w:rPr>
          <w:rFonts w:ascii="Book Antiqua" w:hAnsi="Book Antiqua" w:cs="Times New Roman"/>
          <w:sz w:val="24"/>
          <w:szCs w:val="24"/>
        </w:rPr>
        <w:t>higher</w:t>
      </w:r>
      <w:r w:rsidR="00383D97" w:rsidRPr="00FA5C8D">
        <w:rPr>
          <w:rFonts w:ascii="Book Antiqua" w:hAnsi="Book Antiqua" w:cs="Times New Roman"/>
          <w:sz w:val="24"/>
          <w:szCs w:val="24"/>
        </w:rPr>
        <w:t xml:space="preserve"> mortality</w:t>
      </w:r>
      <w:r w:rsidR="005379C8" w:rsidRPr="00FA5C8D">
        <w:rPr>
          <w:rFonts w:ascii="Book Antiqua" w:hAnsi="Book Antiqua" w:cs="Times New Roman"/>
          <w:sz w:val="24"/>
          <w:szCs w:val="24"/>
        </w:rPr>
        <w:t xml:space="preserve"> rates</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{"citationID":"PxIA5wcS","properties":{"formattedCitation":"\\super [13]\\nosupersub{}","plainCitation":"[13]","noteIndex":0},"citationItems":[{"id":1077,"uris":["http://zotero.org/users/4312189/items/FTVYTFP8"],"uri":["http://zotero.org/users/4312189/items/FTVYTFP8"],"itemData":{"id":1077,"type":"article-journal","abstract":"OBJECTIVES:Clinical response is typically observed in most adults with celiac disease (CD) after treatment with a gluten-free diet (GFD). The rate of mucosal recovery is less certain. The aims of this study were (1) to estimate the rate of mucosal recovery after GFD in a cohort of adults with CD, and (2) to assess the clinical implications of persistent mucosal damage after GFD.METHODS:The study group included adults with biopsy-proven CD evaluated at the Mayo Clinic who had duodenal biopsies at diagnosis and at least one follow-up intestinal biopsy to assess mucosal recovery after starting a GFD. The primary outcomes of interest were mucosal recovery and all-cause mortality.RESULTS:Of 381 adults with biopsy-proven CD, 241 (73% women) had both a diagnostic and follow-up biopsy available for re-review. Among these 241, the Kaplan-Meier rate of confirmed mucosal recovery at 2 years following diagnosis was 34% (95% confidence interval (CI): 27-40%), and at 5 years was 66% (95% CI: 58-74%). Most patients (82%) had some clinical response to GFD, but it was not a reliable marker of mucosal recovery (P=0.7). Serological response was associated with confirmed mucosal recovery (P=0.01). Poor compliance to GFD (P&lt;0.01), severe CD defined by diarrhea and weight loss (P&lt;0.001), and total villous atrophy at diagnosis (P&lt;0.001) were strongly associated with persistent mucosal damage. There was a trend toward an association between achievement of mucosal recovery and a reduced rate of all-cause mortality (hazard ratio=0.13, 95% CI: 0.02-1.06, P=0.06), adjusted for gender and age.CONCLUSIONS:Mucosal recovery was absent in a substantial portion of adults with CD after treatment with a GFD. There was a borderline significant association between confirmed mucosal recovery (vs. persistent damage) and reduced mortality independent of age and gender. Systematic follow-up with intestinal biopsies may be advisable in patients diagnosed with CD as adults.","container-title":"The American Journal of Gastroenterology; New York","DOI":"http://dx.doi.org.ezproxy.muni.cz/10.1038/ajg.2010.10","ISSN":"00029270","issue":"6","language":"English","page":"1412-1420","source":"ProQuest","title":"Mucosal Recovery and Mortality in Adults With Celiac Disease After Treatment With a Gluten-Free Diet","volume":"105","author":[{"family":"Rubio-tapia","given":"Alberto"},{"family":"Rahim","given":"Mussarat W."},{"family":"See","given":"Jacalyn A."},{"family":"Lahr","given":"Brian D."},{"family":"Wu","given":"Tsung-teh"},{"family":"Murray","given":"Joseph A."}],"issued":{"date-parts":[["2010",6]]}}}],"schema":"https://github.com/citation-style-language/schema/raw/master/csl-citation.json"}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[13]</w:t>
      </w:r>
      <w:r w:rsidR="00185175" w:rsidRPr="00FA5C8D">
        <w:rPr>
          <w:rFonts w:ascii="Book Antiqua" w:hAnsi="Book Antiqua" w:cs="Times New Roman"/>
          <w:sz w:val="24"/>
          <w:szCs w:val="24"/>
        </w:rPr>
        <w:fldChar w:fldCharType="end"/>
      </w:r>
      <w:r w:rsidR="00383D97" w:rsidRPr="00FA5C8D">
        <w:rPr>
          <w:rFonts w:ascii="Book Antiqua" w:hAnsi="Book Antiqua" w:cs="Times New Roman"/>
          <w:sz w:val="24"/>
          <w:szCs w:val="24"/>
        </w:rPr>
        <w:t xml:space="preserve">. </w:t>
      </w:r>
      <w:r w:rsidR="0057775F" w:rsidRPr="00FA5C8D">
        <w:rPr>
          <w:rFonts w:ascii="Book Antiqua" w:hAnsi="Book Antiqua" w:cs="Times New Roman"/>
          <w:sz w:val="24"/>
          <w:szCs w:val="24"/>
        </w:rPr>
        <w:t xml:space="preserve">Other parameters potentially related to VA may be available in </w:t>
      </w:r>
      <w:r w:rsidR="00AE090E" w:rsidRPr="00FA5C8D">
        <w:rPr>
          <w:rFonts w:ascii="Book Antiqua" w:hAnsi="Book Antiqua" w:cs="Times New Roman"/>
          <w:sz w:val="24"/>
          <w:szCs w:val="24"/>
        </w:rPr>
        <w:t xml:space="preserve">the </w:t>
      </w:r>
      <w:r w:rsidR="0057775F" w:rsidRPr="00FA5C8D">
        <w:rPr>
          <w:rFonts w:ascii="Book Antiqua" w:hAnsi="Book Antiqua" w:cs="Times New Roman"/>
          <w:sz w:val="24"/>
          <w:szCs w:val="24"/>
        </w:rPr>
        <w:t>standard clinical care</w:t>
      </w:r>
      <w:r w:rsidR="00AE090E" w:rsidRPr="00FA5C8D">
        <w:rPr>
          <w:rFonts w:ascii="Book Antiqua" w:hAnsi="Book Antiqua" w:cs="Times New Roman"/>
          <w:sz w:val="24"/>
          <w:szCs w:val="24"/>
        </w:rPr>
        <w:t xml:space="preserve"> process</w:t>
      </w:r>
      <w:r w:rsidR="00185175" w:rsidRPr="00FA5C8D">
        <w:rPr>
          <w:rFonts w:ascii="Book Antiqua" w:hAnsi="Book Antiqua" w:cs="Times New Roman"/>
          <w:sz w:val="24"/>
          <w:szCs w:val="24"/>
        </w:rPr>
        <w:fldChar w:fldCharType="begin"/>
      </w:r>
      <w:r w:rsidR="00441DAC" w:rsidRPr="00FA5C8D">
        <w:rPr>
          <w:rFonts w:ascii="Book Antiqua" w:hAnsi="Book Antiqua" w:cs="Times New Roman"/>
          <w:sz w:val="24"/>
          <w:szCs w:val="24"/>
        </w:rPr>
        <w:instrText xml:space="preserve"> ADDIN ZOTERO_ITEM CSL_CITATION {"citationID":"YrViS6VA","properties":{"formattedCitation":"\\super [14]\\nosupersub{}","plainCitation":"[14]","noteIndex":0},"citationItems":[{"id":1239,"uris":["http://zotero.org/users/4312189/items/83JPL2EP"],"uri":["http://zotero.org/users/4312189/items/83JPL2EP"],"itemData":{"id":1239,"type":"article-journal","abstract":"Iron is an important micronutrient that may be depleted in celiac disease. Iron deficiency and anemia may complicate well-established celiac disease, but may also be the presenting clinical feature in the absence of diarrhea or weight loss. If iron deficiency anemia occurs, it should be thoroughly evaluated, even if celiac disease has been defined since other superimposed causes of iron deficiency anemia may be present. Most often, impaired duodenal mucosal uptake of iron is evident since surface absorptive area in the duodenum is reduced, in large part, because celiac disease is an immune-mediated disorder largely focused in the proximal small intestinal mucosa. Some studies have also suggested that blood loss may occur in celiac disease, sometimes from superimposed small intestinal disorders, including ulceration or neoplastic diseases, particularly lymphoma. In addition, other associated gastric or colonic disorders may be responsible for blood loss. Rarely, an immune-mediated hemolytic disorder with increased urine iron loss may occur that may respond to a gluten-free diet. Reduced expression of different regulatory proteins critical in iron uptake has also been defined in the presence and absence of anemia. Finally, other rare causes of microcytic anemia may occur in celiac disease, including a sideroblastic form of anemia reported to have responded to a gluten-free diet.","container-title":"World Journal of Gastroenterology","DOI":"10.3748/wjg.v21.i31.9233","ISSN":"2219-2840","issue":"31","journalAbbreviation":"World J. Gastroenterol.","language":"eng","note":"PMID: 26309349\nPMCID: PMC4541375","page":"9233-9238","source":"PubMed","title":"Iron deficiency anemia in celiac disease","volume":"21","author":[{"family":"Freeman","given":"Hugh James"}],"issued":{"date-parts":[["2015",8,21]]}}}],"schema":"https://github.com/citation-style-language/schema/raw/master/csl-citation.json"} </w:instrText>
      </w:r>
      <w:r w:rsidR="00185175" w:rsidRPr="00FA5C8D">
        <w:rPr>
          <w:rFonts w:ascii="Book Antiqua" w:hAnsi="Book Antiqua" w:cs="Times New Roman"/>
          <w:sz w:val="24"/>
          <w:szCs w:val="24"/>
        </w:rPr>
        <w:fldChar w:fldCharType="separate"/>
      </w:r>
      <w:r w:rsidR="00441DAC" w:rsidRPr="00FA5C8D">
        <w:rPr>
          <w:rFonts w:ascii="Book Antiqua" w:hAnsi="Book Antiqua" w:cs="Times New Roman"/>
          <w:sz w:val="24"/>
          <w:szCs w:val="24"/>
          <w:vertAlign w:val="superscript"/>
        </w:rPr>
        <w:t>[14]</w:t>
      </w:r>
      <w:r w:rsidR="00185175" w:rsidRPr="00FA5C8D">
        <w:rPr>
          <w:rFonts w:ascii="Book Antiqua" w:hAnsi="Book Antiqua" w:cs="Times New Roman"/>
          <w:sz w:val="24"/>
          <w:szCs w:val="24"/>
        </w:rPr>
        <w:fldChar w:fldCharType="end"/>
      </w:r>
      <w:r w:rsidR="0057775F" w:rsidRPr="00FA5C8D">
        <w:rPr>
          <w:rFonts w:ascii="Book Antiqua" w:hAnsi="Book Antiqua" w:cs="Times New Roman"/>
          <w:sz w:val="24"/>
          <w:szCs w:val="24"/>
        </w:rPr>
        <w:t xml:space="preserve">. </w:t>
      </w:r>
      <w:r w:rsidR="00076B14" w:rsidRPr="00FA5C8D">
        <w:rPr>
          <w:rFonts w:ascii="Book Antiqua" w:hAnsi="Book Antiqua" w:cs="Times New Roman"/>
          <w:sz w:val="24"/>
          <w:szCs w:val="24"/>
        </w:rPr>
        <w:t>Besides counseling</w:t>
      </w:r>
      <w:r w:rsidR="00670B99" w:rsidRPr="00FA5C8D">
        <w:rPr>
          <w:rFonts w:ascii="Book Antiqua" w:hAnsi="Book Antiqua" w:cs="Times New Roman"/>
          <w:sz w:val="24"/>
          <w:szCs w:val="24"/>
        </w:rPr>
        <w:t xml:space="preserve"> with </w:t>
      </w:r>
      <w:r w:rsidR="00076B14" w:rsidRPr="00FA5C8D">
        <w:rPr>
          <w:rFonts w:ascii="Book Antiqua" w:hAnsi="Book Antiqua" w:cs="Times New Roman"/>
          <w:sz w:val="24"/>
          <w:szCs w:val="24"/>
        </w:rPr>
        <w:t xml:space="preserve">a </w:t>
      </w:r>
      <w:r w:rsidR="00670B99" w:rsidRPr="00FA5C8D">
        <w:rPr>
          <w:rFonts w:ascii="Book Antiqua" w:hAnsi="Book Antiqua" w:cs="Times New Roman"/>
          <w:sz w:val="24"/>
          <w:szCs w:val="24"/>
        </w:rPr>
        <w:t xml:space="preserve">qualified </w:t>
      </w:r>
      <w:r w:rsidR="00737A80" w:rsidRPr="00FA5C8D">
        <w:rPr>
          <w:rFonts w:ascii="Book Antiqua" w:hAnsi="Book Antiqua" w:cs="Times New Roman"/>
          <w:sz w:val="24"/>
          <w:szCs w:val="24"/>
        </w:rPr>
        <w:t>dietit</w:t>
      </w:r>
      <w:r w:rsidR="007B0DC0" w:rsidRPr="00FA5C8D">
        <w:rPr>
          <w:rFonts w:ascii="Book Antiqua" w:hAnsi="Book Antiqua" w:cs="Times New Roman"/>
          <w:sz w:val="24"/>
          <w:szCs w:val="24"/>
        </w:rPr>
        <w:t>ian</w:t>
      </w:r>
      <w:r w:rsidR="00645B78" w:rsidRPr="00FA5C8D">
        <w:rPr>
          <w:rFonts w:ascii="Book Antiqua" w:hAnsi="Book Antiqua" w:cs="Times New Roman"/>
          <w:sz w:val="24"/>
          <w:szCs w:val="24"/>
        </w:rPr>
        <w:t>,</w:t>
      </w:r>
      <w:r w:rsidR="00807F96" w:rsidRPr="00FA5C8D">
        <w:rPr>
          <w:rFonts w:ascii="Book Antiqua" w:hAnsi="Book Antiqua" w:cs="Times New Roman"/>
          <w:sz w:val="24"/>
          <w:szCs w:val="24"/>
        </w:rPr>
        <w:t xml:space="preserve"> only few objective methods to</w:t>
      </w:r>
      <w:r w:rsidR="00645B78" w:rsidRPr="00FA5C8D">
        <w:rPr>
          <w:rFonts w:ascii="Book Antiqua" w:hAnsi="Book Antiqua" w:cs="Times New Roman"/>
          <w:sz w:val="24"/>
          <w:szCs w:val="24"/>
        </w:rPr>
        <w:t xml:space="preserve"> assess persistent gluten intake</w:t>
      </w:r>
      <w:r w:rsidR="00AC1829" w:rsidRPr="00FA5C8D">
        <w:rPr>
          <w:rFonts w:ascii="Book Antiqua" w:hAnsi="Book Antiqua" w:cs="Times New Roman"/>
          <w:sz w:val="24"/>
          <w:szCs w:val="24"/>
        </w:rPr>
        <w:t xml:space="preserve"> are available. </w:t>
      </w:r>
      <w:r w:rsidR="00375FB9" w:rsidRPr="00FA5C8D">
        <w:rPr>
          <w:rFonts w:ascii="Book Antiqua" w:hAnsi="Book Antiqua" w:cs="Times New Roman"/>
          <w:sz w:val="24"/>
          <w:szCs w:val="24"/>
        </w:rPr>
        <w:t xml:space="preserve">There </w:t>
      </w:r>
      <w:r w:rsidR="00426E40" w:rsidRPr="00FA5C8D">
        <w:rPr>
          <w:rFonts w:ascii="Book Antiqua" w:hAnsi="Book Antiqua" w:cs="Times New Roman"/>
          <w:sz w:val="24"/>
          <w:szCs w:val="24"/>
        </w:rPr>
        <w:t>might be</w:t>
      </w:r>
      <w:r w:rsidR="00375FB9" w:rsidRPr="00FA5C8D">
        <w:rPr>
          <w:rFonts w:ascii="Book Antiqua" w:hAnsi="Book Antiqua" w:cs="Times New Roman"/>
          <w:sz w:val="24"/>
          <w:szCs w:val="24"/>
        </w:rPr>
        <w:t xml:space="preserve"> a clinical advantage </w:t>
      </w:r>
      <w:r w:rsidR="005934AA" w:rsidRPr="00FA5C8D">
        <w:rPr>
          <w:rFonts w:ascii="Book Antiqua" w:hAnsi="Book Antiqua" w:cs="Times New Roman"/>
          <w:sz w:val="24"/>
          <w:szCs w:val="24"/>
        </w:rPr>
        <w:t>in</w:t>
      </w:r>
      <w:r w:rsidR="0037229C" w:rsidRPr="00FA5C8D">
        <w:rPr>
          <w:rFonts w:ascii="Book Antiqua" w:hAnsi="Book Antiqua" w:cs="Times New Roman"/>
          <w:sz w:val="24"/>
          <w:szCs w:val="24"/>
        </w:rPr>
        <w:t xml:space="preserve"> </w:t>
      </w:r>
      <w:r w:rsidR="002766B5" w:rsidRPr="00FA5C8D">
        <w:rPr>
          <w:rFonts w:ascii="Book Antiqua" w:hAnsi="Book Antiqua" w:cs="Times New Roman"/>
          <w:sz w:val="24"/>
          <w:szCs w:val="24"/>
        </w:rPr>
        <w:t>us</w:t>
      </w:r>
      <w:r w:rsidR="00076B14" w:rsidRPr="00FA5C8D">
        <w:rPr>
          <w:rFonts w:ascii="Book Antiqua" w:hAnsi="Book Antiqua" w:cs="Times New Roman"/>
          <w:sz w:val="24"/>
          <w:szCs w:val="24"/>
        </w:rPr>
        <w:t>ing</w:t>
      </w:r>
      <w:r w:rsidR="0037229C" w:rsidRPr="00FA5C8D">
        <w:rPr>
          <w:rFonts w:ascii="Book Antiqua" w:hAnsi="Book Antiqua" w:cs="Times New Roman"/>
          <w:sz w:val="24"/>
          <w:szCs w:val="24"/>
        </w:rPr>
        <w:t xml:space="preserve"> </w:t>
      </w:r>
      <w:r w:rsidR="00A67025" w:rsidRPr="00FA5C8D">
        <w:rPr>
          <w:rFonts w:ascii="Book Antiqua" w:hAnsi="Book Antiqua" w:cs="Times New Roman"/>
          <w:sz w:val="24"/>
          <w:szCs w:val="24"/>
        </w:rPr>
        <w:t>non-</w:t>
      </w:r>
      <w:r w:rsidR="00375FB9" w:rsidRPr="00FA5C8D">
        <w:rPr>
          <w:rFonts w:ascii="Book Antiqua" w:hAnsi="Book Antiqua" w:cs="Times New Roman"/>
          <w:sz w:val="24"/>
          <w:szCs w:val="24"/>
        </w:rPr>
        <w:t>invasive method</w:t>
      </w:r>
      <w:r w:rsidR="008E6A36" w:rsidRPr="00FA5C8D">
        <w:rPr>
          <w:rFonts w:ascii="Book Antiqua" w:hAnsi="Book Antiqua" w:cs="Times New Roman"/>
          <w:sz w:val="24"/>
          <w:szCs w:val="24"/>
        </w:rPr>
        <w:t>s</w:t>
      </w:r>
      <w:r w:rsidR="002766B5" w:rsidRPr="00FA5C8D">
        <w:rPr>
          <w:rFonts w:ascii="Book Antiqua" w:hAnsi="Book Antiqua" w:cs="Times New Roman"/>
          <w:sz w:val="24"/>
          <w:szCs w:val="24"/>
        </w:rPr>
        <w:t xml:space="preserve"> for</w:t>
      </w:r>
      <w:r w:rsidR="0037229C" w:rsidRPr="00FA5C8D">
        <w:rPr>
          <w:rFonts w:ascii="Book Antiqua" w:hAnsi="Book Antiqua" w:cs="Times New Roman"/>
          <w:sz w:val="24"/>
          <w:szCs w:val="24"/>
        </w:rPr>
        <w:t xml:space="preserve"> </w:t>
      </w:r>
      <w:r w:rsidR="00076B14" w:rsidRPr="00FA5C8D">
        <w:rPr>
          <w:rFonts w:ascii="Book Antiqua" w:hAnsi="Book Antiqua" w:cs="Times New Roman"/>
          <w:sz w:val="24"/>
          <w:szCs w:val="24"/>
        </w:rPr>
        <w:t xml:space="preserve">the </w:t>
      </w:r>
      <w:r w:rsidR="000B10AF" w:rsidRPr="00FA5C8D">
        <w:rPr>
          <w:rFonts w:ascii="Book Antiqua" w:hAnsi="Book Antiqua" w:cs="Times New Roman"/>
          <w:sz w:val="24"/>
          <w:szCs w:val="24"/>
        </w:rPr>
        <w:t>detection</w:t>
      </w:r>
      <w:r w:rsidR="0037229C" w:rsidRPr="00FA5C8D">
        <w:rPr>
          <w:rFonts w:ascii="Book Antiqua" w:hAnsi="Book Antiqua" w:cs="Times New Roman"/>
          <w:sz w:val="24"/>
          <w:szCs w:val="24"/>
        </w:rPr>
        <w:t xml:space="preserve"> </w:t>
      </w:r>
      <w:r w:rsidR="00076B14" w:rsidRPr="00FA5C8D">
        <w:rPr>
          <w:rFonts w:ascii="Book Antiqua" w:hAnsi="Book Antiqua" w:cs="Times New Roman"/>
          <w:sz w:val="24"/>
          <w:szCs w:val="24"/>
        </w:rPr>
        <w:t xml:space="preserve">of </w:t>
      </w:r>
      <w:r w:rsidR="00322821" w:rsidRPr="00FA5C8D">
        <w:rPr>
          <w:rFonts w:ascii="Book Antiqua" w:hAnsi="Book Antiqua" w:cs="Times New Roman"/>
          <w:sz w:val="24"/>
          <w:szCs w:val="24"/>
        </w:rPr>
        <w:t xml:space="preserve">patients </w:t>
      </w:r>
      <w:r w:rsidR="00076B14" w:rsidRPr="00FA5C8D">
        <w:rPr>
          <w:rFonts w:ascii="Book Antiqua" w:hAnsi="Book Antiqua" w:cs="Times New Roman"/>
          <w:sz w:val="24"/>
          <w:szCs w:val="24"/>
        </w:rPr>
        <w:t xml:space="preserve">with </w:t>
      </w:r>
      <w:r w:rsidR="00322821" w:rsidRPr="00FA5C8D">
        <w:rPr>
          <w:rFonts w:ascii="Book Antiqua" w:hAnsi="Book Antiqua" w:cs="Times New Roman"/>
          <w:sz w:val="24"/>
          <w:szCs w:val="24"/>
        </w:rPr>
        <w:t>high risk</w:t>
      </w:r>
      <w:r w:rsidR="005934AA" w:rsidRPr="00FA5C8D">
        <w:rPr>
          <w:rFonts w:ascii="Book Antiqua" w:hAnsi="Book Antiqua" w:cs="Times New Roman"/>
          <w:sz w:val="24"/>
          <w:szCs w:val="24"/>
        </w:rPr>
        <w:t>s</w:t>
      </w:r>
      <w:r w:rsidR="00322821" w:rsidRPr="00FA5C8D">
        <w:rPr>
          <w:rFonts w:ascii="Book Antiqua" w:hAnsi="Book Antiqua" w:cs="Times New Roman"/>
          <w:sz w:val="24"/>
          <w:szCs w:val="24"/>
        </w:rPr>
        <w:t xml:space="preserve"> of VA</w:t>
      </w:r>
      <w:r w:rsidR="00D707B2" w:rsidRPr="00FA5C8D">
        <w:rPr>
          <w:rFonts w:ascii="Book Antiqua" w:hAnsi="Book Antiqua" w:cs="Times New Roman"/>
          <w:sz w:val="24"/>
          <w:szCs w:val="24"/>
        </w:rPr>
        <w:t xml:space="preserve">, independent </w:t>
      </w:r>
      <w:r w:rsidR="00AA669E" w:rsidRPr="00FA5C8D">
        <w:rPr>
          <w:rFonts w:ascii="Book Antiqua" w:hAnsi="Book Antiqua" w:cs="Times New Roman"/>
          <w:sz w:val="24"/>
          <w:szCs w:val="24"/>
        </w:rPr>
        <w:t>of</w:t>
      </w:r>
      <w:r w:rsidR="0037229C" w:rsidRPr="00FA5C8D">
        <w:rPr>
          <w:rFonts w:ascii="Book Antiqua" w:hAnsi="Book Antiqua" w:cs="Times New Roman"/>
          <w:sz w:val="24"/>
          <w:szCs w:val="24"/>
        </w:rPr>
        <w:t xml:space="preserve"> </w:t>
      </w:r>
      <w:r w:rsidR="00AA669E" w:rsidRPr="00FA5C8D">
        <w:rPr>
          <w:rFonts w:ascii="Book Antiqua" w:hAnsi="Book Antiqua" w:cs="Times New Roman"/>
          <w:sz w:val="24"/>
          <w:szCs w:val="24"/>
        </w:rPr>
        <w:lastRenderedPageBreak/>
        <w:t xml:space="preserve">improvement in </w:t>
      </w:r>
      <w:r w:rsidR="00322821" w:rsidRPr="00FA5C8D">
        <w:rPr>
          <w:rFonts w:ascii="Book Antiqua" w:hAnsi="Book Antiqua" w:cs="Times New Roman"/>
          <w:sz w:val="24"/>
          <w:szCs w:val="24"/>
        </w:rPr>
        <w:t>symptom</w:t>
      </w:r>
      <w:r w:rsidR="00AA669E" w:rsidRPr="00FA5C8D">
        <w:rPr>
          <w:rFonts w:ascii="Book Antiqua" w:hAnsi="Book Antiqua" w:cs="Times New Roman"/>
          <w:sz w:val="24"/>
          <w:szCs w:val="24"/>
        </w:rPr>
        <w:t>s</w:t>
      </w:r>
      <w:r w:rsidR="0037229C" w:rsidRPr="00FA5C8D">
        <w:rPr>
          <w:rFonts w:ascii="Book Antiqua" w:hAnsi="Book Antiqua" w:cs="Times New Roman"/>
          <w:sz w:val="24"/>
          <w:szCs w:val="24"/>
        </w:rPr>
        <w:t xml:space="preserve"> </w:t>
      </w:r>
      <w:r w:rsidR="007A7728" w:rsidRPr="00FA5C8D">
        <w:rPr>
          <w:rFonts w:ascii="Book Antiqua" w:hAnsi="Book Antiqua" w:cs="Times New Roman"/>
          <w:sz w:val="24"/>
          <w:szCs w:val="24"/>
        </w:rPr>
        <w:t xml:space="preserve">after </w:t>
      </w:r>
      <w:r w:rsidR="000D28DE" w:rsidRPr="00FA5C8D">
        <w:rPr>
          <w:rFonts w:ascii="Book Antiqua" w:hAnsi="Book Antiqua" w:cs="Times New Roman"/>
          <w:sz w:val="24"/>
          <w:szCs w:val="24"/>
        </w:rPr>
        <w:t>a</w:t>
      </w:r>
      <w:r w:rsidR="00CC24D6" w:rsidRPr="00FA5C8D">
        <w:rPr>
          <w:rFonts w:ascii="Book Antiqua" w:hAnsi="Book Antiqua" w:cs="Times New Roman"/>
          <w:sz w:val="24"/>
          <w:szCs w:val="24"/>
        </w:rPr>
        <w:t xml:space="preserve">t least 1 year on </w:t>
      </w:r>
      <w:r w:rsidR="00D707B2" w:rsidRPr="00FA5C8D">
        <w:rPr>
          <w:rFonts w:ascii="Book Antiqua" w:hAnsi="Book Antiqua" w:cs="Times New Roman"/>
          <w:sz w:val="24"/>
          <w:szCs w:val="24"/>
        </w:rPr>
        <w:t xml:space="preserve">GFD. </w:t>
      </w:r>
      <w:r w:rsidR="00FA5294" w:rsidRPr="00FA5C8D">
        <w:rPr>
          <w:rFonts w:ascii="Book Antiqua" w:hAnsi="Book Antiqua" w:cs="Times New Roman"/>
          <w:sz w:val="24"/>
          <w:szCs w:val="24"/>
        </w:rPr>
        <w:t xml:space="preserve">Abdominal ultrasound is </w:t>
      </w:r>
      <w:r w:rsidR="00076B14" w:rsidRPr="00FA5C8D">
        <w:rPr>
          <w:rFonts w:ascii="Book Antiqua" w:hAnsi="Book Antiqua" w:cs="Times New Roman"/>
          <w:sz w:val="24"/>
          <w:szCs w:val="24"/>
        </w:rPr>
        <w:t xml:space="preserve">a </w:t>
      </w:r>
      <w:r w:rsidR="00FA5294" w:rsidRPr="00FA5C8D">
        <w:rPr>
          <w:rFonts w:ascii="Book Antiqua" w:hAnsi="Book Antiqua" w:cs="Times New Roman"/>
          <w:sz w:val="24"/>
          <w:szCs w:val="24"/>
        </w:rPr>
        <w:t>wide</w:t>
      </w:r>
      <w:r w:rsidR="004B15EC" w:rsidRPr="00FA5C8D">
        <w:rPr>
          <w:rFonts w:ascii="Book Antiqua" w:hAnsi="Book Antiqua" w:cs="Times New Roman"/>
          <w:sz w:val="24"/>
          <w:szCs w:val="24"/>
        </w:rPr>
        <w:t>ly</w:t>
      </w:r>
      <w:r w:rsidR="00FA5294" w:rsidRPr="00FA5C8D">
        <w:rPr>
          <w:rFonts w:ascii="Book Antiqua" w:hAnsi="Book Antiqua" w:cs="Times New Roman"/>
          <w:sz w:val="24"/>
          <w:szCs w:val="24"/>
        </w:rPr>
        <w:t xml:space="preserve"> available method</w:t>
      </w:r>
      <w:r w:rsidR="00076B14" w:rsidRPr="00FA5C8D">
        <w:rPr>
          <w:rFonts w:ascii="Book Antiqua" w:hAnsi="Book Antiqua" w:cs="Times New Roman"/>
          <w:sz w:val="24"/>
          <w:szCs w:val="24"/>
        </w:rPr>
        <w:t>,</w:t>
      </w:r>
      <w:r w:rsidR="00547E1A" w:rsidRPr="00FA5C8D">
        <w:rPr>
          <w:rFonts w:ascii="Book Antiqua" w:hAnsi="Book Antiqua" w:cs="Times New Roman"/>
          <w:sz w:val="24"/>
          <w:szCs w:val="24"/>
        </w:rPr>
        <w:t xml:space="preserve"> and several studies </w:t>
      </w:r>
      <w:r w:rsidR="007A7728" w:rsidRPr="00FA5C8D">
        <w:rPr>
          <w:rFonts w:ascii="Book Antiqua" w:hAnsi="Book Antiqua" w:cs="Times New Roman"/>
          <w:sz w:val="24"/>
          <w:szCs w:val="24"/>
        </w:rPr>
        <w:t>ha</w:t>
      </w:r>
      <w:r w:rsidR="00076B14" w:rsidRPr="00FA5C8D">
        <w:rPr>
          <w:rFonts w:ascii="Book Antiqua" w:hAnsi="Book Antiqua" w:cs="Times New Roman"/>
          <w:sz w:val="24"/>
          <w:szCs w:val="24"/>
        </w:rPr>
        <w:t>ve</w:t>
      </w:r>
      <w:r w:rsidR="0037229C" w:rsidRPr="00FA5C8D">
        <w:rPr>
          <w:rFonts w:ascii="Book Antiqua" w:hAnsi="Book Antiqua" w:cs="Times New Roman"/>
          <w:sz w:val="24"/>
          <w:szCs w:val="24"/>
        </w:rPr>
        <w:t xml:space="preserve"> </w:t>
      </w:r>
      <w:r w:rsidR="00076B14" w:rsidRPr="00FA5C8D">
        <w:rPr>
          <w:rFonts w:ascii="Book Antiqua" w:hAnsi="Book Antiqua" w:cs="Times New Roman"/>
          <w:sz w:val="24"/>
          <w:szCs w:val="24"/>
        </w:rPr>
        <w:t>reported</w:t>
      </w:r>
      <w:r w:rsidR="0037229C" w:rsidRPr="00FA5C8D">
        <w:rPr>
          <w:rFonts w:ascii="Book Antiqua" w:hAnsi="Book Antiqua" w:cs="Times New Roman"/>
          <w:sz w:val="24"/>
          <w:szCs w:val="24"/>
        </w:rPr>
        <w:t xml:space="preserve"> </w:t>
      </w:r>
      <w:r w:rsidR="003224F6" w:rsidRPr="00FA5C8D">
        <w:rPr>
          <w:rFonts w:ascii="Book Antiqua" w:hAnsi="Book Antiqua" w:cs="Times New Roman"/>
          <w:sz w:val="24"/>
          <w:szCs w:val="24"/>
        </w:rPr>
        <w:t xml:space="preserve">specific </w:t>
      </w:r>
      <w:r w:rsidR="0057775F" w:rsidRPr="00FA5C8D">
        <w:rPr>
          <w:rFonts w:ascii="Book Antiqua" w:hAnsi="Book Antiqua" w:cs="Times New Roman"/>
          <w:sz w:val="24"/>
          <w:szCs w:val="24"/>
        </w:rPr>
        <w:t xml:space="preserve">abnormalities on small bowel </w:t>
      </w:r>
      <w:r w:rsidR="00B76DF4" w:rsidRPr="00FA5C8D">
        <w:rPr>
          <w:rFonts w:ascii="Book Antiqua" w:hAnsi="Book Antiqua" w:cs="Times New Roman"/>
          <w:sz w:val="24"/>
          <w:szCs w:val="24"/>
        </w:rPr>
        <w:t xml:space="preserve">imaging </w:t>
      </w:r>
      <w:r w:rsidR="00AB0C3C" w:rsidRPr="00FA5C8D">
        <w:rPr>
          <w:rFonts w:ascii="Book Antiqua" w:hAnsi="Book Antiqua" w:cs="Times New Roman"/>
          <w:sz w:val="24"/>
          <w:szCs w:val="24"/>
        </w:rPr>
        <w:t xml:space="preserve">that </w:t>
      </w:r>
      <w:r w:rsidR="0057775F" w:rsidRPr="00FA5C8D">
        <w:rPr>
          <w:rFonts w:ascii="Book Antiqua" w:hAnsi="Book Antiqua" w:cs="Times New Roman"/>
          <w:sz w:val="24"/>
          <w:szCs w:val="24"/>
        </w:rPr>
        <w:t>could</w:t>
      </w:r>
      <w:r w:rsidR="00AB0C3C" w:rsidRPr="00FA5C8D">
        <w:rPr>
          <w:rFonts w:ascii="Book Antiqua" w:hAnsi="Book Antiqua" w:cs="Times New Roman"/>
          <w:sz w:val="24"/>
          <w:szCs w:val="24"/>
        </w:rPr>
        <w:t xml:space="preserve"> be </w:t>
      </w:r>
      <w:r w:rsidR="009C7A4E" w:rsidRPr="00FA5C8D">
        <w:rPr>
          <w:rFonts w:ascii="Book Antiqua" w:hAnsi="Book Antiqua" w:cs="Times New Roman"/>
          <w:sz w:val="24"/>
          <w:szCs w:val="24"/>
        </w:rPr>
        <w:t>related to CD</w:t>
      </w:r>
      <w:r w:rsidR="00185175" w:rsidRPr="00FA5C8D">
        <w:rPr>
          <w:rFonts w:ascii="Book Antiqua" w:hAnsi="Book Antiqua" w:cs="Times New Roman"/>
          <w:sz w:val="24"/>
          <w:szCs w:val="24"/>
        </w:rPr>
        <w:fldChar w:fldCharType="begin"/>
      </w:r>
      <w:r w:rsidR="000C00A4" w:rsidRPr="00FA5C8D">
        <w:rPr>
          <w:rFonts w:ascii="Book Antiqua" w:hAnsi="Book Antiqua" w:cs="Times New Roman"/>
          <w:sz w:val="24"/>
          <w:szCs w:val="24"/>
        </w:rPr>
        <w:instrText xml:space="preserve"> ADDIN ZOTERO_ITEM CSL_CITATION {"citationID":"VgOmqjHy","properties":{"formattedCitation":"\\super [15,16]\\nosupersub{}","plainCitation":"[15,16]","noteIndex":0},"citationItems":[{"id":1237,"uris":["http://zotero.org/users/4312189/items/K98JCKQ3"],"uri":["http://zotero.org/users/4312189/items/K98JCKQ3"],"itemData":{"id":1237,"type":"article-journal","abstract":"OBJECTIVE: Celiac disease (CD) is a common, lifelong disease with small bowel malabsorption based on genetically conditioned gluten intolerance. The clinical manifestation could be very heterogeneous. The proof of celiac disease is now based mainly on clinical and laboratory (antibodies and enterobiopsy) signs, which are in some cases problematic and inconvenient.\nMATERIALS AND METHODS: In our study we have examined 250 patients with suspection or with proven celiac disease and we evaluated specific ultrasound small bowel changes in this group. In the next step, we chose 59 patients with laboratory proved celiac disease and we statistically compared ultrasound, other laboratory and clinical findings in different forms and stages of the disease.\nRESULTS: Specific small bowel pathologies in patients with celiac disease (like changes of intestinal villi in different parts of small bowel, abnormal peristalsis and mesenterial lymphadenopathy) can be well visualized by ultrasound and in combination with clinical and laboratory signs ultrasound examination could have an important role in screening, determination of diagnosis and monitoring of patients with different forms of celiac disease.","container-title":"European Journal of Radiology","DOI":"10.1016/j.ejrad.2007.01.028","ISSN":"0720-048X","issue":"2","journalAbbreviation":"Eur J Radiol","language":"eng","note":"PMID: 17336477","page":"302-306","source":"PubMed","title":"Small bowel ultrasound in patients with celiac disease. Retrospective study","volume":"63","author":[{"family":"Bartusek","given":"D."},{"family":"Valek","given":"V."},{"family":"Husty","given":"J."},{"family":"Uteseny","given":"J."}],"issued":{"date-parts":[["2007",8]]}}},{"id":1101,"uris":["http://zotero.org/users/4312189/items/97MXXBDA"],"uri":["http://zotero.org/users/4312189/items/97MXXBDA"],"itemData":{"id":1101,"type":"article-journal","abstract":"Transabdominal gastrointestinal ultrasound (GIUS) is unique in its capacity to examine the bowel non-invasively and in its physiological condition, including extra-intestinal features such as the splanchnic vessels, mesentery, omentum and lymph nodes- even at the bedside. Despite this, and its extensive documentation for its usefulness, it has only been fully implemented in a few European countries and expert centres. Therefore, the European Federation of Societies for Ultrasound in Medicine and Biology (EFSUMB) established a GIUS Task Force Group in 2014 consisting of international experts from 9 European countries with the objectives to standardize and promote the use of GIUS in a clinical setting. This is achieved by publishing clinical guidelines and recommendations on indications and use of GIUS and so far,4 guidelines have been published: first on \"examination techniques and normal findings\", second on \"inflammatory bowel disease\", third on \"acute appendicitis and diverticulitis\" and fourth on \"transrectal and perineal ultrasound\".This paper describes the ultrasound features of miscellaneous disorders such as celiac disease, cystic fibrosis, omental infarction, Meckel's diverticle, endometriosis, intestinal neoplasia, mucocele, amyloidosis, GVHD, foreign bodies, vasculitis, and pneumatosis cystoides intestinalis. Bowel ultrasound can be indicated in most of these conditions to investigate intestinal symptoms but in other cases the alterations of the bowel can be also an incidental finding that suggest other examinations which finally help to discover an unknown pathological condition.","container-title":"Medical Ultrasonography","DOI":"10.11152/mu-2162","ISSN":"2066-8643","issue":"3","journalAbbreviation":"Med Ultrason","language":"eng","note":"PMID: 31476211","page":"299-315","source":"PubMed","title":"EFSUMB Gastrointestinal Ultrasound (GIUS) Task Force Group: Celiac sprue and other rare gastrointestinal diseases ultrasound features","title-short":"EFSUMB Gastrointestinal Ultrasound (GIUS) Task Force Group","volume":"21","author":[{"family":"Dietrich","given":"Christoph F."},{"family":"Hollerweger","given":"Alois"},{"family":"Dirks","given":"Klaus"},{"family":"Higginson","given":"Antony"},{"family":"Serra","given":"Carla"},{"family":"Calabrese","given":"Emma"},{"family":"Dong","given":"Yi"},{"family":"Hausken","given":"Trygve"},{"family":"Maconi","given":"Giovanni"},{"family":"Mihmanli","given":"Ismail"},{"family":"Nürnberg","given":"Dieter"},{"family":"Nylund","given":"Kim"},{"family":"Pallotta","given":"Nadia"},{"family":"Ripollés","given":"Tomás"},{"family":"Romanini","given":"Laura"},{"family":"Săftoiu","given":"Adrian"},{"family":"Sporea","given":"Ioan"},{"family":"Wüstner","given":"Matthias"},{"family":"Maaser","given":"Christian"},{"family":"Gilja","given":"Odd Helge"}],"issued":{"date-parts":[["2019",8,31]]}}}],"schema":"https://github.com/citation-style-language/schema/raw/master/csl-citation.json"} </w:instrText>
      </w:r>
      <w:r w:rsidR="00185175" w:rsidRPr="00FA5C8D">
        <w:rPr>
          <w:rFonts w:ascii="Book Antiqua" w:hAnsi="Book Antiqua" w:cs="Times New Roman"/>
          <w:sz w:val="24"/>
          <w:szCs w:val="24"/>
        </w:rPr>
        <w:fldChar w:fldCharType="separate"/>
      </w:r>
      <w:r w:rsidR="000C00A4" w:rsidRPr="00FA5C8D">
        <w:rPr>
          <w:rFonts w:ascii="Book Antiqua" w:hAnsi="Book Antiqua" w:cs="Times New Roman"/>
          <w:sz w:val="24"/>
          <w:szCs w:val="24"/>
          <w:vertAlign w:val="superscript"/>
        </w:rPr>
        <w:t>[15,16]</w:t>
      </w:r>
      <w:r w:rsidR="00185175" w:rsidRPr="00FA5C8D">
        <w:rPr>
          <w:rFonts w:ascii="Book Antiqua" w:hAnsi="Book Antiqua" w:cs="Times New Roman"/>
          <w:sz w:val="24"/>
          <w:szCs w:val="24"/>
        </w:rPr>
        <w:fldChar w:fldCharType="end"/>
      </w:r>
      <w:r w:rsidR="009C7A4E" w:rsidRPr="00FA5C8D">
        <w:rPr>
          <w:rFonts w:ascii="Book Antiqua" w:hAnsi="Book Antiqua" w:cs="Times New Roman"/>
          <w:sz w:val="24"/>
          <w:szCs w:val="24"/>
        </w:rPr>
        <w:t>. Persistence of th</w:t>
      </w:r>
      <w:r w:rsidR="000C5636" w:rsidRPr="00FA5C8D">
        <w:rPr>
          <w:rFonts w:ascii="Book Antiqua" w:hAnsi="Book Antiqua" w:cs="Times New Roman"/>
          <w:sz w:val="24"/>
          <w:szCs w:val="24"/>
        </w:rPr>
        <w:t>ese</w:t>
      </w:r>
      <w:r w:rsidR="005B3536" w:rsidRPr="00FA5C8D">
        <w:rPr>
          <w:rFonts w:ascii="Book Antiqua" w:hAnsi="Book Antiqua" w:cs="Times New Roman"/>
          <w:sz w:val="24"/>
          <w:szCs w:val="24"/>
        </w:rPr>
        <w:t xml:space="preserve"> findings might</w:t>
      </w:r>
      <w:r w:rsidR="0057775F" w:rsidRPr="00FA5C8D">
        <w:rPr>
          <w:rFonts w:ascii="Book Antiqua" w:hAnsi="Book Antiqua" w:cs="Times New Roman"/>
          <w:sz w:val="24"/>
          <w:szCs w:val="24"/>
        </w:rPr>
        <w:t xml:space="preserve"> indicate the absence of mucosal healing</w:t>
      </w:r>
      <w:r w:rsidR="000C5636"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6F27FE" w:rsidRPr="00FA5C8D">
        <w:rPr>
          <w:rFonts w:ascii="Book Antiqua" w:hAnsi="Book Antiqua" w:cs="Times New Roman"/>
          <w:sz w:val="24"/>
          <w:szCs w:val="24"/>
        </w:rPr>
        <w:t>Awareness of the risk factors is essential for</w:t>
      </w:r>
      <w:r w:rsidR="00076B14" w:rsidRPr="00FA5C8D">
        <w:rPr>
          <w:rFonts w:ascii="Book Antiqua" w:hAnsi="Book Antiqua" w:cs="Times New Roman"/>
          <w:sz w:val="24"/>
          <w:szCs w:val="24"/>
        </w:rPr>
        <w:t xml:space="preserve"> the</w:t>
      </w:r>
      <w:r w:rsidR="006F27FE" w:rsidRPr="00FA5C8D">
        <w:rPr>
          <w:rFonts w:ascii="Book Antiqua" w:hAnsi="Book Antiqua" w:cs="Times New Roman"/>
          <w:sz w:val="24"/>
          <w:szCs w:val="24"/>
        </w:rPr>
        <w:t xml:space="preserve"> selection of patients indicated for thorough follow-up.</w:t>
      </w:r>
    </w:p>
    <w:p w14:paraId="2F2B8A72" w14:textId="77777777" w:rsidR="00976A4D" w:rsidRPr="00FA5C8D" w:rsidRDefault="00976A4D" w:rsidP="00FA5C8D">
      <w:pPr>
        <w:snapToGrid w:val="0"/>
        <w:spacing w:after="0" w:line="360" w:lineRule="auto"/>
        <w:ind w:firstLineChars="100" w:firstLine="240"/>
        <w:jc w:val="both"/>
        <w:rPr>
          <w:rFonts w:ascii="Book Antiqua" w:hAnsi="Book Antiqua" w:cs="Times New Roman"/>
          <w:sz w:val="24"/>
          <w:szCs w:val="24"/>
        </w:rPr>
      </w:pPr>
      <w:r w:rsidRPr="00FA5C8D">
        <w:rPr>
          <w:rFonts w:ascii="Book Antiqua" w:hAnsi="Book Antiqua" w:cs="Times New Roman"/>
          <w:sz w:val="24"/>
          <w:szCs w:val="24"/>
        </w:rPr>
        <w:t xml:space="preserve">Our aim </w:t>
      </w:r>
      <w:r w:rsidR="00337002" w:rsidRPr="00FA5C8D">
        <w:rPr>
          <w:rFonts w:ascii="Book Antiqua" w:hAnsi="Book Antiqua" w:cs="Times New Roman"/>
          <w:sz w:val="24"/>
          <w:szCs w:val="24"/>
        </w:rPr>
        <w:t>was</w:t>
      </w:r>
      <w:r w:rsidRPr="00FA5C8D">
        <w:rPr>
          <w:rFonts w:ascii="Book Antiqua" w:hAnsi="Book Antiqua" w:cs="Times New Roman"/>
          <w:sz w:val="24"/>
          <w:szCs w:val="24"/>
        </w:rPr>
        <w:t xml:space="preserve"> to evaluate </w:t>
      </w:r>
      <w:r w:rsidR="00A8459B" w:rsidRPr="00FA5C8D">
        <w:rPr>
          <w:rFonts w:ascii="Book Antiqua" w:hAnsi="Book Antiqua" w:cs="Times New Roman"/>
          <w:sz w:val="24"/>
          <w:szCs w:val="24"/>
        </w:rPr>
        <w:t xml:space="preserve">the </w:t>
      </w:r>
      <w:r w:rsidRPr="00FA5C8D">
        <w:rPr>
          <w:rFonts w:ascii="Book Antiqua" w:hAnsi="Book Antiqua" w:cs="Times New Roman"/>
          <w:sz w:val="24"/>
          <w:szCs w:val="24"/>
        </w:rPr>
        <w:t>ability of non-invasive markers (aTTG, aDGP, small bowel ultrasonography</w:t>
      </w:r>
      <w:r w:rsidR="008B0B71" w:rsidRPr="00FA5C8D">
        <w:rPr>
          <w:rFonts w:ascii="Book Antiqua" w:hAnsi="Book Antiqua" w:cs="Times New Roman"/>
          <w:sz w:val="24"/>
          <w:szCs w:val="24"/>
        </w:rPr>
        <w:t xml:space="preserve">, </w:t>
      </w:r>
      <w:r w:rsidR="00B058AC" w:rsidRPr="00FA5C8D">
        <w:rPr>
          <w:rFonts w:ascii="Book Antiqua" w:hAnsi="Book Antiqua" w:cs="Times New Roman"/>
          <w:sz w:val="24"/>
          <w:szCs w:val="24"/>
        </w:rPr>
        <w:t xml:space="preserve">and </w:t>
      </w:r>
      <w:r w:rsidR="008B0B71" w:rsidRPr="00FA5C8D">
        <w:rPr>
          <w:rFonts w:ascii="Book Antiqua" w:hAnsi="Book Antiqua" w:cs="Times New Roman"/>
          <w:sz w:val="24"/>
          <w:szCs w:val="24"/>
        </w:rPr>
        <w:t>clinical and laboratory parameters</w:t>
      </w:r>
      <w:r w:rsidRPr="00FA5C8D">
        <w:rPr>
          <w:rFonts w:ascii="Book Antiqua" w:hAnsi="Book Antiqua" w:cs="Times New Roman"/>
          <w:sz w:val="24"/>
          <w:szCs w:val="24"/>
        </w:rPr>
        <w:t xml:space="preserve">) to predict persistent </w:t>
      </w:r>
      <w:r w:rsidR="00D100F8" w:rsidRPr="00FA5C8D">
        <w:rPr>
          <w:rFonts w:ascii="Book Antiqua" w:hAnsi="Book Antiqua" w:cs="Times New Roman"/>
          <w:sz w:val="24"/>
          <w:szCs w:val="24"/>
        </w:rPr>
        <w:t>VA</w:t>
      </w:r>
      <w:r w:rsidR="00615463" w:rsidRPr="00FA5C8D">
        <w:rPr>
          <w:rFonts w:ascii="Book Antiqua" w:hAnsi="Book Antiqua" w:cs="Times New Roman"/>
          <w:sz w:val="24"/>
          <w:szCs w:val="24"/>
        </w:rPr>
        <w:t xml:space="preserve"> determined </w:t>
      </w:r>
      <w:r w:rsidR="005934AA" w:rsidRPr="00FA5C8D">
        <w:rPr>
          <w:rFonts w:ascii="Book Antiqua" w:hAnsi="Book Antiqua" w:cs="Times New Roman"/>
          <w:sz w:val="24"/>
          <w:szCs w:val="24"/>
        </w:rPr>
        <w:t>using</w:t>
      </w:r>
      <w:r w:rsidR="009E1E97" w:rsidRPr="00FA5C8D">
        <w:rPr>
          <w:rFonts w:ascii="Book Antiqua" w:hAnsi="Book Antiqua" w:cs="Times New Roman"/>
          <w:sz w:val="24"/>
          <w:szCs w:val="24"/>
        </w:rPr>
        <w:t xml:space="preserve"> </w:t>
      </w:r>
      <w:r w:rsidR="00615463" w:rsidRPr="00FA5C8D">
        <w:rPr>
          <w:rFonts w:ascii="Book Antiqua" w:hAnsi="Book Antiqua" w:cs="Times New Roman"/>
          <w:sz w:val="24"/>
          <w:szCs w:val="24"/>
        </w:rPr>
        <w:t>histology</w:t>
      </w:r>
      <w:r w:rsidRPr="00FA5C8D">
        <w:rPr>
          <w:rFonts w:ascii="Book Antiqua" w:hAnsi="Book Antiqua" w:cs="Times New Roman"/>
          <w:sz w:val="24"/>
          <w:szCs w:val="24"/>
        </w:rPr>
        <w:t xml:space="preserve"> in patients with </w:t>
      </w:r>
      <w:r w:rsidR="002179FE" w:rsidRPr="00FA5C8D">
        <w:rPr>
          <w:rFonts w:ascii="Book Antiqua" w:hAnsi="Book Antiqua" w:cs="Times New Roman"/>
          <w:sz w:val="24"/>
          <w:szCs w:val="24"/>
        </w:rPr>
        <w:t>CD</w:t>
      </w:r>
      <w:r w:rsidR="009E1E97" w:rsidRPr="00FA5C8D">
        <w:rPr>
          <w:rFonts w:ascii="Book Antiqua" w:hAnsi="Book Antiqua" w:cs="Times New Roman"/>
          <w:sz w:val="24"/>
          <w:szCs w:val="24"/>
        </w:rPr>
        <w:t xml:space="preserve"> </w:t>
      </w:r>
      <w:r w:rsidR="002179FE" w:rsidRPr="00FA5C8D">
        <w:rPr>
          <w:rFonts w:ascii="Book Antiqua" w:hAnsi="Book Antiqua" w:cs="Times New Roman"/>
          <w:sz w:val="24"/>
          <w:szCs w:val="24"/>
        </w:rPr>
        <w:t xml:space="preserve">who had </w:t>
      </w:r>
      <w:r w:rsidR="00F257F0" w:rsidRPr="00FA5C8D">
        <w:rPr>
          <w:rFonts w:ascii="Book Antiqua" w:hAnsi="Book Antiqua" w:cs="Times New Roman"/>
          <w:sz w:val="24"/>
          <w:szCs w:val="24"/>
        </w:rPr>
        <w:t xml:space="preserve">been on </w:t>
      </w:r>
      <w:r w:rsidR="002179FE" w:rsidRPr="00FA5C8D">
        <w:rPr>
          <w:rFonts w:ascii="Book Antiqua" w:hAnsi="Book Antiqua" w:cs="Times New Roman"/>
          <w:sz w:val="24"/>
          <w:szCs w:val="24"/>
        </w:rPr>
        <w:t>a GFD for</w:t>
      </w:r>
      <w:r w:rsidR="008B0B71" w:rsidRPr="00FA5C8D">
        <w:rPr>
          <w:rFonts w:ascii="Book Antiqua" w:hAnsi="Book Antiqua" w:cs="Times New Roman"/>
          <w:sz w:val="24"/>
          <w:szCs w:val="24"/>
        </w:rPr>
        <w:t xml:space="preserve"> at least one year.</w:t>
      </w:r>
    </w:p>
    <w:p w14:paraId="346AF6BB" w14:textId="77777777" w:rsidR="00C87526" w:rsidRPr="00FA5C8D" w:rsidRDefault="00C87526" w:rsidP="00FA5C8D">
      <w:pPr>
        <w:snapToGrid w:val="0"/>
        <w:spacing w:after="0" w:line="360" w:lineRule="auto"/>
        <w:jc w:val="both"/>
        <w:rPr>
          <w:rFonts w:ascii="Book Antiqua" w:hAnsi="Book Antiqua" w:cs="Times New Roman"/>
          <w:b/>
          <w:sz w:val="24"/>
          <w:szCs w:val="24"/>
        </w:rPr>
      </w:pPr>
    </w:p>
    <w:p w14:paraId="06882A12" w14:textId="77777777" w:rsidR="0058298B" w:rsidRPr="00FA5C8D" w:rsidRDefault="0058298B" w:rsidP="00FA5C8D">
      <w:pPr>
        <w:pStyle w:val="Corpodeltesto"/>
        <w:widowControl w:val="0"/>
        <w:suppressAutoHyphens w:val="0"/>
        <w:snapToGrid w:val="0"/>
        <w:ind w:right="0"/>
        <w:rPr>
          <w:rFonts w:ascii="Book Antiqua" w:eastAsia="宋体" w:hAnsi="Book Antiqua"/>
          <w:b/>
          <w:u w:val="single"/>
          <w:lang w:val="en-US" w:eastAsia="zh-CN"/>
        </w:rPr>
      </w:pPr>
      <w:r w:rsidRPr="00FA5C8D">
        <w:rPr>
          <w:rFonts w:ascii="Book Antiqua" w:hAnsi="Book Antiqua" w:cs="Arial"/>
          <w:b/>
          <w:u w:val="single"/>
          <w:lang w:val="en-US"/>
        </w:rPr>
        <w:t>MATERIALS AND METHOD</w:t>
      </w:r>
      <w:r w:rsidRPr="00FA5C8D">
        <w:rPr>
          <w:rFonts w:ascii="Book Antiqua" w:eastAsia="宋体" w:hAnsi="Book Antiqua" w:cs="Arial"/>
          <w:b/>
          <w:u w:val="single"/>
          <w:lang w:val="en-US" w:eastAsia="zh-CN"/>
        </w:rPr>
        <w:t>S</w:t>
      </w:r>
    </w:p>
    <w:p w14:paraId="30C2A89E" w14:textId="77777777" w:rsidR="00064472" w:rsidRPr="00FA5C8D" w:rsidRDefault="00064472" w:rsidP="00FA5C8D">
      <w:pPr>
        <w:snapToGrid w:val="0"/>
        <w:spacing w:after="0" w:line="360" w:lineRule="auto"/>
        <w:jc w:val="both"/>
        <w:rPr>
          <w:rFonts w:ascii="Book Antiqua" w:hAnsi="Book Antiqua" w:cs="Times New Roman"/>
          <w:i/>
          <w:iCs/>
          <w:sz w:val="24"/>
          <w:szCs w:val="24"/>
        </w:rPr>
      </w:pPr>
      <w:r w:rsidRPr="00FA5C8D">
        <w:rPr>
          <w:rFonts w:ascii="Book Antiqua" w:hAnsi="Book Antiqua" w:cs="Times New Roman"/>
          <w:b/>
          <w:bCs/>
          <w:i/>
          <w:iCs/>
          <w:sz w:val="24"/>
          <w:szCs w:val="24"/>
        </w:rPr>
        <w:t>Patient selection</w:t>
      </w:r>
    </w:p>
    <w:p w14:paraId="36CB7217" w14:textId="77777777" w:rsidR="00144115" w:rsidRPr="00FA5C8D" w:rsidRDefault="005934AA" w:rsidP="00FA5C8D">
      <w:pPr>
        <w:snapToGrid w:val="0"/>
        <w:spacing w:after="0" w:line="360" w:lineRule="auto"/>
        <w:jc w:val="both"/>
        <w:rPr>
          <w:rFonts w:ascii="Book Antiqua" w:hAnsi="Book Antiqua" w:cs="Times New Roman"/>
          <w:color w:val="000000"/>
          <w:sz w:val="24"/>
          <w:szCs w:val="24"/>
          <w:shd w:val="clear" w:color="auto" w:fill="FFFFFF"/>
        </w:rPr>
      </w:pPr>
      <w:r w:rsidRPr="00FA5C8D">
        <w:rPr>
          <w:rFonts w:ascii="Book Antiqua" w:hAnsi="Book Antiqua" w:cs="Times New Roman"/>
          <w:sz w:val="24"/>
          <w:szCs w:val="24"/>
        </w:rPr>
        <w:t>The records of 190</w:t>
      </w:r>
      <w:r w:rsidR="009E1E97" w:rsidRPr="00FA5C8D">
        <w:rPr>
          <w:rFonts w:ascii="Book Antiqua" w:hAnsi="Book Antiqua" w:cs="Times New Roman"/>
          <w:sz w:val="24"/>
          <w:szCs w:val="24"/>
        </w:rPr>
        <w:t xml:space="preserve"> </w:t>
      </w:r>
      <w:r w:rsidR="00374D78" w:rsidRPr="00FA5C8D">
        <w:rPr>
          <w:rFonts w:ascii="Book Antiqua" w:hAnsi="Book Antiqua" w:cs="Times New Roman"/>
          <w:sz w:val="24"/>
          <w:szCs w:val="24"/>
        </w:rPr>
        <w:t>p</w:t>
      </w:r>
      <w:r w:rsidR="00391492" w:rsidRPr="00FA5C8D">
        <w:rPr>
          <w:rFonts w:ascii="Book Antiqua" w:hAnsi="Book Antiqua" w:cs="Times New Roman"/>
          <w:sz w:val="24"/>
          <w:szCs w:val="24"/>
        </w:rPr>
        <w:t xml:space="preserve">atients with </w:t>
      </w:r>
      <w:r w:rsidR="0056754D" w:rsidRPr="00FA5C8D">
        <w:rPr>
          <w:rFonts w:ascii="Book Antiqua" w:hAnsi="Book Antiqua" w:cs="Times New Roman"/>
          <w:sz w:val="24"/>
          <w:szCs w:val="24"/>
        </w:rPr>
        <w:t>CD</w:t>
      </w:r>
      <w:r w:rsidR="009E1E97" w:rsidRPr="00FA5C8D">
        <w:rPr>
          <w:rFonts w:ascii="Book Antiqua" w:hAnsi="Book Antiqua" w:cs="Times New Roman"/>
          <w:sz w:val="24"/>
          <w:szCs w:val="24"/>
        </w:rPr>
        <w:t xml:space="preserve"> </w:t>
      </w:r>
      <w:r w:rsidRPr="00FA5C8D">
        <w:rPr>
          <w:rFonts w:ascii="Book Antiqua" w:hAnsi="Book Antiqua" w:cs="Times New Roman"/>
          <w:color w:val="000000"/>
          <w:sz w:val="24"/>
          <w:szCs w:val="24"/>
          <w:shd w:val="clear" w:color="auto" w:fill="FFFFFF"/>
        </w:rPr>
        <w:t>from 2014 to 2018</w:t>
      </w:r>
      <w:r w:rsidR="009E1E97" w:rsidRPr="00FA5C8D">
        <w:rPr>
          <w:rFonts w:ascii="Book Antiqua" w:hAnsi="Book Antiqua" w:cs="Times New Roman"/>
          <w:color w:val="000000"/>
          <w:sz w:val="24"/>
          <w:szCs w:val="24"/>
          <w:shd w:val="clear" w:color="auto" w:fill="FFFFFF"/>
        </w:rPr>
        <w:t xml:space="preserve"> </w:t>
      </w:r>
      <w:r w:rsidR="00374D78" w:rsidRPr="00FA5C8D">
        <w:rPr>
          <w:rFonts w:ascii="Book Antiqua" w:hAnsi="Book Antiqua" w:cs="Times New Roman"/>
          <w:sz w:val="24"/>
          <w:szCs w:val="24"/>
        </w:rPr>
        <w:t xml:space="preserve">were </w:t>
      </w:r>
      <w:r w:rsidR="00F60D9D" w:rsidRPr="00FA5C8D">
        <w:rPr>
          <w:rFonts w:ascii="Book Antiqua" w:hAnsi="Book Antiqua" w:cs="Times New Roman"/>
          <w:sz w:val="24"/>
          <w:szCs w:val="24"/>
        </w:rPr>
        <w:t>available in</w:t>
      </w:r>
      <w:r w:rsidR="009E1E97"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the </w:t>
      </w:r>
      <w:r w:rsidR="00A055BF" w:rsidRPr="00FA5C8D">
        <w:rPr>
          <w:rFonts w:ascii="Book Antiqua" w:hAnsi="Book Antiqua" w:cs="Times New Roman"/>
          <w:sz w:val="24"/>
          <w:szCs w:val="24"/>
        </w:rPr>
        <w:t xml:space="preserve">hospital database </w:t>
      </w:r>
      <w:r w:rsidR="00391492" w:rsidRPr="00FA5C8D">
        <w:rPr>
          <w:rFonts w:ascii="Book Antiqua" w:hAnsi="Book Antiqua" w:cs="Times New Roman"/>
          <w:sz w:val="24"/>
          <w:szCs w:val="24"/>
        </w:rPr>
        <w:t xml:space="preserve">at </w:t>
      </w:r>
      <w:r w:rsidRPr="00FA5C8D">
        <w:rPr>
          <w:rFonts w:ascii="Book Antiqua" w:hAnsi="Book Antiqua" w:cs="Times New Roman"/>
          <w:sz w:val="24"/>
          <w:szCs w:val="24"/>
        </w:rPr>
        <w:t xml:space="preserve">the </w:t>
      </w:r>
      <w:r w:rsidR="00391492" w:rsidRPr="00FA5C8D">
        <w:rPr>
          <w:rFonts w:ascii="Book Antiqua" w:hAnsi="Book Antiqua" w:cs="Times New Roman"/>
          <w:color w:val="000000"/>
          <w:sz w:val="24"/>
          <w:szCs w:val="24"/>
          <w:shd w:val="clear" w:color="auto" w:fill="FFFFFF"/>
        </w:rPr>
        <w:t>Department of Gastroenterology and Internal Medicine, University Hospital Brno</w:t>
      </w:r>
      <w:r w:rsidR="00374D78" w:rsidRPr="00FA5C8D">
        <w:rPr>
          <w:rFonts w:ascii="Book Antiqua" w:hAnsi="Book Antiqua" w:cs="Times New Roman"/>
          <w:color w:val="000000"/>
          <w:sz w:val="24"/>
          <w:szCs w:val="24"/>
          <w:shd w:val="clear" w:color="auto" w:fill="FFFFFF"/>
        </w:rPr>
        <w:t>.</w:t>
      </w:r>
      <w:r w:rsidR="00F06880" w:rsidRPr="00FA5C8D">
        <w:rPr>
          <w:rFonts w:ascii="Book Antiqua" w:hAnsi="Book Antiqua" w:cs="Times New Roman"/>
          <w:sz w:val="24"/>
          <w:szCs w:val="24"/>
        </w:rPr>
        <w:t xml:space="preserve">The initial diagnosis of </w:t>
      </w:r>
      <w:r w:rsidR="00DB4DCF" w:rsidRPr="00FA5C8D">
        <w:rPr>
          <w:rFonts w:ascii="Book Antiqua" w:hAnsi="Book Antiqua" w:cs="Times New Roman"/>
          <w:sz w:val="24"/>
          <w:szCs w:val="24"/>
        </w:rPr>
        <w:t>CD</w:t>
      </w:r>
      <w:r w:rsidR="00F06880" w:rsidRPr="00FA5C8D">
        <w:rPr>
          <w:rFonts w:ascii="Book Antiqua" w:hAnsi="Book Antiqua" w:cs="Times New Roman"/>
          <w:sz w:val="24"/>
          <w:szCs w:val="24"/>
        </w:rPr>
        <w:t xml:space="preserve"> was based on </w:t>
      </w:r>
      <w:r w:rsidR="00CB606B" w:rsidRPr="00FA5C8D">
        <w:rPr>
          <w:rFonts w:ascii="Book Antiqua" w:hAnsi="Book Antiqua" w:cs="Times New Roman"/>
          <w:sz w:val="24"/>
          <w:szCs w:val="24"/>
        </w:rPr>
        <w:t xml:space="preserve">the presence of </w:t>
      </w:r>
      <w:r w:rsidR="00C02D04" w:rsidRPr="00FA5C8D">
        <w:rPr>
          <w:rFonts w:ascii="Book Antiqua" w:hAnsi="Book Antiqua" w:cs="Times New Roman"/>
          <w:sz w:val="24"/>
          <w:szCs w:val="24"/>
        </w:rPr>
        <w:t>VA</w:t>
      </w:r>
      <w:r w:rsidR="00CB606B" w:rsidRPr="00FA5C8D">
        <w:rPr>
          <w:rFonts w:ascii="Book Antiqua" w:hAnsi="Book Antiqua" w:cs="Times New Roman"/>
          <w:sz w:val="24"/>
          <w:szCs w:val="24"/>
        </w:rPr>
        <w:t xml:space="preserve"> on an intestinal biopsy</w:t>
      </w:r>
      <w:r w:rsidR="00752D02" w:rsidRPr="00FA5C8D">
        <w:rPr>
          <w:rFonts w:ascii="Book Antiqua" w:hAnsi="Book Antiqua" w:cs="Times New Roman"/>
          <w:sz w:val="24"/>
          <w:szCs w:val="24"/>
        </w:rPr>
        <w:t>,</w:t>
      </w:r>
      <w:r w:rsidR="00CB606B" w:rsidRPr="00FA5C8D">
        <w:rPr>
          <w:rFonts w:ascii="Book Antiqua" w:hAnsi="Book Antiqua" w:cs="Times New Roman"/>
          <w:sz w:val="24"/>
          <w:szCs w:val="24"/>
        </w:rPr>
        <w:t xml:space="preserve"> positivity of </w:t>
      </w:r>
      <w:proofErr w:type="spellStart"/>
      <w:r w:rsidR="00CB606B" w:rsidRPr="00FA5C8D">
        <w:rPr>
          <w:rFonts w:ascii="Book Antiqua" w:hAnsi="Book Antiqua" w:cs="Times New Roman"/>
          <w:sz w:val="24"/>
          <w:szCs w:val="24"/>
        </w:rPr>
        <w:t>aTTG</w:t>
      </w:r>
      <w:proofErr w:type="spellEnd"/>
      <w:r w:rsidR="0037229C" w:rsidRPr="00FA5C8D">
        <w:rPr>
          <w:rFonts w:ascii="Book Antiqua" w:hAnsi="Book Antiqua" w:cs="Times New Roman"/>
          <w:sz w:val="24"/>
          <w:szCs w:val="24"/>
        </w:rPr>
        <w:t xml:space="preserve"> </w:t>
      </w:r>
      <w:r w:rsidR="00433F22" w:rsidRPr="00FA5C8D">
        <w:rPr>
          <w:rFonts w:ascii="Book Antiqua" w:hAnsi="Book Antiqua" w:cs="Times New Roman"/>
          <w:sz w:val="24"/>
          <w:szCs w:val="24"/>
          <w:shd w:val="clear" w:color="auto" w:fill="FFFFFF"/>
        </w:rPr>
        <w:t xml:space="preserve">and/or </w:t>
      </w:r>
      <w:proofErr w:type="spellStart"/>
      <w:r w:rsidR="00433F22" w:rsidRPr="00FA5C8D">
        <w:rPr>
          <w:rFonts w:ascii="Book Antiqua" w:hAnsi="Book Antiqua" w:cs="Times New Roman"/>
          <w:sz w:val="24"/>
          <w:szCs w:val="24"/>
          <w:shd w:val="clear" w:color="auto" w:fill="FFFFFF"/>
        </w:rPr>
        <w:t>aDGP</w:t>
      </w:r>
      <w:proofErr w:type="spellEnd"/>
      <w:r w:rsidR="00752D02" w:rsidRPr="00FA5C8D">
        <w:rPr>
          <w:rFonts w:ascii="Book Antiqua" w:hAnsi="Book Antiqua" w:cs="Times New Roman"/>
          <w:sz w:val="24"/>
          <w:szCs w:val="24"/>
          <w:shd w:val="clear" w:color="auto" w:fill="FFFFFF"/>
        </w:rPr>
        <w:t>,</w:t>
      </w:r>
      <w:r w:rsidR="00433F22" w:rsidRPr="00FA5C8D">
        <w:rPr>
          <w:rFonts w:ascii="Book Antiqua" w:hAnsi="Book Antiqua" w:cs="Times New Roman"/>
          <w:sz w:val="24"/>
          <w:szCs w:val="24"/>
          <w:shd w:val="clear" w:color="auto" w:fill="FFFFFF"/>
        </w:rPr>
        <w:t xml:space="preserve"> or </w:t>
      </w:r>
      <w:r w:rsidR="00752D02" w:rsidRPr="00FA5C8D">
        <w:rPr>
          <w:rFonts w:ascii="Book Antiqua" w:hAnsi="Book Antiqua" w:cs="Times New Roman"/>
          <w:sz w:val="24"/>
          <w:szCs w:val="24"/>
          <w:shd w:val="clear" w:color="auto" w:fill="FFFFFF"/>
        </w:rPr>
        <w:t xml:space="preserve">the </w:t>
      </w:r>
      <w:r w:rsidR="00433F22" w:rsidRPr="00FA5C8D">
        <w:rPr>
          <w:rFonts w:ascii="Book Antiqua" w:hAnsi="Book Antiqua" w:cs="Times New Roman"/>
          <w:sz w:val="24"/>
          <w:szCs w:val="24"/>
          <w:shd w:val="clear" w:color="auto" w:fill="FFFFFF"/>
        </w:rPr>
        <w:t xml:space="preserve">clinical effect of </w:t>
      </w:r>
      <w:r w:rsidR="00752D02" w:rsidRPr="00FA5C8D">
        <w:rPr>
          <w:rFonts w:ascii="Book Antiqua" w:hAnsi="Book Antiqua" w:cs="Times New Roman"/>
          <w:sz w:val="24"/>
          <w:szCs w:val="24"/>
          <w:shd w:val="clear" w:color="auto" w:fill="FFFFFF"/>
        </w:rPr>
        <w:t xml:space="preserve">a </w:t>
      </w:r>
      <w:r w:rsidR="00433F22" w:rsidRPr="00FA5C8D">
        <w:rPr>
          <w:rFonts w:ascii="Book Antiqua" w:hAnsi="Book Antiqua" w:cs="Times New Roman"/>
          <w:sz w:val="24"/>
          <w:szCs w:val="24"/>
          <w:shd w:val="clear" w:color="auto" w:fill="FFFFFF"/>
        </w:rPr>
        <w:t>GFD in case</w:t>
      </w:r>
      <w:r w:rsidR="00752D02" w:rsidRPr="00FA5C8D">
        <w:rPr>
          <w:rFonts w:ascii="Book Antiqua" w:hAnsi="Book Antiqua" w:cs="Times New Roman"/>
          <w:sz w:val="24"/>
          <w:szCs w:val="24"/>
          <w:shd w:val="clear" w:color="auto" w:fill="FFFFFF"/>
        </w:rPr>
        <w:t>s</w:t>
      </w:r>
      <w:r w:rsidR="00433F22" w:rsidRPr="00FA5C8D">
        <w:rPr>
          <w:rFonts w:ascii="Book Antiqua" w:hAnsi="Book Antiqua" w:cs="Times New Roman"/>
          <w:sz w:val="24"/>
          <w:szCs w:val="24"/>
          <w:shd w:val="clear" w:color="auto" w:fill="FFFFFF"/>
        </w:rPr>
        <w:t xml:space="preserve"> of seronegative</w:t>
      </w:r>
      <w:r w:rsidR="009E1E97" w:rsidRPr="00FA5C8D">
        <w:rPr>
          <w:rFonts w:ascii="Book Antiqua" w:hAnsi="Book Antiqua" w:cs="Times New Roman"/>
          <w:sz w:val="24"/>
          <w:szCs w:val="24"/>
          <w:shd w:val="clear" w:color="auto" w:fill="FFFFFF"/>
        </w:rPr>
        <w:t xml:space="preserve"> </w:t>
      </w:r>
      <w:r w:rsidR="00F644F7" w:rsidRPr="00FA5C8D">
        <w:rPr>
          <w:rFonts w:ascii="Book Antiqua" w:hAnsi="Book Antiqua" w:cs="Times New Roman"/>
          <w:sz w:val="24"/>
          <w:szCs w:val="24"/>
          <w:shd w:val="clear" w:color="auto" w:fill="FFFFFF"/>
        </w:rPr>
        <w:t>CD</w:t>
      </w:r>
      <w:r w:rsidR="0076342E" w:rsidRPr="00FA5C8D">
        <w:rPr>
          <w:rFonts w:ascii="Book Antiqua" w:hAnsi="Book Antiqua" w:cs="Times New Roman"/>
          <w:sz w:val="24"/>
          <w:szCs w:val="24"/>
          <w:shd w:val="clear" w:color="auto" w:fill="FFFFFF"/>
        </w:rPr>
        <w:t>.</w:t>
      </w:r>
      <w:r w:rsidR="009E1E97" w:rsidRPr="00FA5C8D">
        <w:rPr>
          <w:rFonts w:ascii="Book Antiqua" w:hAnsi="Book Antiqua" w:cs="Times New Roman"/>
          <w:sz w:val="24"/>
          <w:szCs w:val="24"/>
          <w:shd w:val="clear" w:color="auto" w:fill="FFFFFF"/>
        </w:rPr>
        <w:t xml:space="preserve"> </w:t>
      </w:r>
      <w:r w:rsidR="0016463F" w:rsidRPr="00FA5C8D">
        <w:rPr>
          <w:rFonts w:ascii="Book Antiqua" w:hAnsi="Book Antiqua" w:cs="Times New Roman"/>
          <w:color w:val="000000"/>
          <w:sz w:val="24"/>
          <w:szCs w:val="24"/>
          <w:shd w:val="clear" w:color="auto" w:fill="FFFFFF"/>
        </w:rPr>
        <w:t xml:space="preserve">Adherence to a GFD was evaluated by an experienced dietitian. </w:t>
      </w:r>
      <w:r w:rsidR="0089026D" w:rsidRPr="00FA5C8D">
        <w:rPr>
          <w:rFonts w:ascii="Book Antiqua" w:hAnsi="Book Antiqua" w:cs="Times New Roman"/>
          <w:sz w:val="24"/>
          <w:szCs w:val="24"/>
        </w:rPr>
        <w:t>Follow-up duodenal biopsy</w:t>
      </w:r>
      <w:r w:rsidR="0037229C" w:rsidRPr="00FA5C8D">
        <w:rPr>
          <w:rFonts w:ascii="Book Antiqua" w:hAnsi="Book Antiqua" w:cs="Times New Roman"/>
          <w:sz w:val="24"/>
          <w:szCs w:val="24"/>
        </w:rPr>
        <w:t xml:space="preserve"> </w:t>
      </w:r>
      <w:r w:rsidR="00B62603" w:rsidRPr="00FA5C8D">
        <w:rPr>
          <w:rFonts w:ascii="Book Antiqua" w:hAnsi="Book Antiqua" w:cs="Times New Roman"/>
          <w:sz w:val="24"/>
          <w:szCs w:val="24"/>
        </w:rPr>
        <w:t xml:space="preserve">and ultrasound </w:t>
      </w:r>
      <w:r w:rsidR="000F53C0" w:rsidRPr="00FA5C8D">
        <w:rPr>
          <w:rFonts w:ascii="Book Antiqua" w:hAnsi="Book Antiqua" w:cs="Times New Roman"/>
          <w:sz w:val="24"/>
          <w:szCs w:val="24"/>
        </w:rPr>
        <w:t xml:space="preserve">examination </w:t>
      </w:r>
      <w:r w:rsidR="00F3249C" w:rsidRPr="00FA5C8D">
        <w:rPr>
          <w:rFonts w:ascii="Book Antiqua" w:hAnsi="Book Antiqua" w:cs="Times New Roman"/>
          <w:sz w:val="24"/>
          <w:szCs w:val="24"/>
        </w:rPr>
        <w:t>at least after 1 year of GFD</w:t>
      </w:r>
      <w:r w:rsidR="0089026D" w:rsidRPr="00FA5C8D">
        <w:rPr>
          <w:rFonts w:ascii="Book Antiqua" w:hAnsi="Book Antiqua" w:cs="Times New Roman"/>
          <w:sz w:val="24"/>
          <w:szCs w:val="24"/>
        </w:rPr>
        <w:t xml:space="preserve"> was proposed to all patients</w:t>
      </w:r>
      <w:r w:rsidR="001415D3" w:rsidRPr="00FA5C8D">
        <w:rPr>
          <w:rFonts w:ascii="Book Antiqua" w:hAnsi="Book Antiqua" w:cs="Times New Roman"/>
          <w:sz w:val="24"/>
          <w:szCs w:val="24"/>
        </w:rPr>
        <w:t>, independent</w:t>
      </w:r>
      <w:r w:rsidR="004B15EC" w:rsidRPr="00FA5C8D">
        <w:rPr>
          <w:rFonts w:ascii="Book Antiqua" w:hAnsi="Book Antiqua" w:cs="Times New Roman"/>
          <w:sz w:val="24"/>
          <w:szCs w:val="24"/>
        </w:rPr>
        <w:t xml:space="preserve"> of </w:t>
      </w:r>
      <w:r w:rsidR="001415D3" w:rsidRPr="00FA5C8D">
        <w:rPr>
          <w:rFonts w:ascii="Book Antiqua" w:hAnsi="Book Antiqua" w:cs="Times New Roman"/>
          <w:sz w:val="24"/>
          <w:szCs w:val="24"/>
        </w:rPr>
        <w:t>symptoms</w:t>
      </w:r>
      <w:r w:rsidR="0089026D" w:rsidRPr="00FA5C8D">
        <w:rPr>
          <w:rFonts w:ascii="Book Antiqua" w:hAnsi="Book Antiqua" w:cs="Times New Roman"/>
          <w:sz w:val="24"/>
          <w:szCs w:val="24"/>
        </w:rPr>
        <w:t xml:space="preserve">. Patients who </w:t>
      </w:r>
      <w:r w:rsidR="005C2A4F" w:rsidRPr="00FA5C8D">
        <w:rPr>
          <w:rFonts w:ascii="Book Antiqua" w:hAnsi="Book Antiqua" w:cs="Times New Roman"/>
          <w:sz w:val="24"/>
          <w:szCs w:val="24"/>
        </w:rPr>
        <w:t xml:space="preserve">had </w:t>
      </w:r>
      <w:r w:rsidR="0089026D" w:rsidRPr="00FA5C8D">
        <w:rPr>
          <w:rFonts w:ascii="Book Antiqua" w:hAnsi="Book Antiqua" w:cs="Times New Roman"/>
          <w:sz w:val="24"/>
          <w:szCs w:val="24"/>
        </w:rPr>
        <w:t xml:space="preserve">agreed to undergo follow-up biopsy were selected for further evaluation. </w:t>
      </w:r>
      <w:r w:rsidR="00CA1BD3" w:rsidRPr="00FA5C8D">
        <w:rPr>
          <w:rFonts w:ascii="Book Antiqua" w:hAnsi="Book Antiqua" w:cs="Times New Roman"/>
          <w:sz w:val="24"/>
          <w:szCs w:val="24"/>
        </w:rPr>
        <w:t>In</w:t>
      </w:r>
      <w:r w:rsidR="00374D78" w:rsidRPr="00FA5C8D">
        <w:rPr>
          <w:rFonts w:ascii="Book Antiqua" w:hAnsi="Book Antiqua" w:cs="Times New Roman"/>
          <w:sz w:val="24"/>
          <w:szCs w:val="24"/>
        </w:rPr>
        <w:t xml:space="preserve"> our retrospective cohort </w:t>
      </w:r>
      <w:r w:rsidR="00433F22" w:rsidRPr="00FA5C8D">
        <w:rPr>
          <w:rFonts w:ascii="Book Antiqua" w:hAnsi="Book Antiqua" w:cs="Times New Roman"/>
          <w:sz w:val="24"/>
          <w:szCs w:val="24"/>
        </w:rPr>
        <w:t>study,</w:t>
      </w:r>
      <w:r w:rsidR="00374D78" w:rsidRPr="00FA5C8D">
        <w:rPr>
          <w:rFonts w:ascii="Book Antiqua" w:hAnsi="Book Antiqua" w:cs="Times New Roman"/>
          <w:sz w:val="24"/>
          <w:szCs w:val="24"/>
        </w:rPr>
        <w:t xml:space="preserve"> we included patients </w:t>
      </w:r>
      <w:r w:rsidR="000D525E" w:rsidRPr="00FA5C8D">
        <w:rPr>
          <w:rFonts w:ascii="Book Antiqua" w:hAnsi="Book Antiqua" w:cs="Times New Roman"/>
          <w:sz w:val="24"/>
          <w:szCs w:val="24"/>
        </w:rPr>
        <w:t xml:space="preserve">who had been </w:t>
      </w:r>
      <w:r w:rsidR="00374D78" w:rsidRPr="00FA5C8D">
        <w:rPr>
          <w:rFonts w:ascii="Book Antiqua" w:hAnsi="Book Antiqua" w:cs="Times New Roman"/>
          <w:sz w:val="24"/>
          <w:szCs w:val="24"/>
        </w:rPr>
        <w:t xml:space="preserve">on </w:t>
      </w:r>
      <w:r w:rsidR="00C8038B" w:rsidRPr="00FA5C8D">
        <w:rPr>
          <w:rFonts w:ascii="Book Antiqua" w:hAnsi="Book Antiqua" w:cs="Times New Roman"/>
          <w:sz w:val="24"/>
          <w:szCs w:val="24"/>
        </w:rPr>
        <w:t>complete</w:t>
      </w:r>
      <w:r w:rsidR="0037229C" w:rsidRPr="00FA5C8D">
        <w:rPr>
          <w:rFonts w:ascii="Book Antiqua" w:hAnsi="Book Antiqua" w:cs="Times New Roman"/>
          <w:sz w:val="24"/>
          <w:szCs w:val="24"/>
        </w:rPr>
        <w:t xml:space="preserve"> </w:t>
      </w:r>
      <w:r w:rsidR="00374D78" w:rsidRPr="00FA5C8D">
        <w:rPr>
          <w:rFonts w:ascii="Book Antiqua" w:hAnsi="Book Antiqua" w:cs="Times New Roman"/>
          <w:sz w:val="24"/>
          <w:szCs w:val="24"/>
        </w:rPr>
        <w:t>GFD</w:t>
      </w:r>
      <w:r w:rsidR="000D525E" w:rsidRPr="00FA5C8D">
        <w:rPr>
          <w:rFonts w:ascii="Book Antiqua" w:hAnsi="Book Antiqua" w:cs="Times New Roman"/>
          <w:sz w:val="24"/>
          <w:szCs w:val="24"/>
        </w:rPr>
        <w:t xml:space="preserve"> for at least one year</w:t>
      </w:r>
      <w:r w:rsidR="0037229C" w:rsidRPr="00FA5C8D">
        <w:rPr>
          <w:rFonts w:ascii="Book Antiqua" w:hAnsi="Book Antiqua" w:cs="Times New Roman"/>
          <w:sz w:val="24"/>
          <w:szCs w:val="24"/>
        </w:rPr>
        <w:t xml:space="preserve"> </w:t>
      </w:r>
      <w:r w:rsidR="007E050C" w:rsidRPr="00FA5C8D">
        <w:rPr>
          <w:rFonts w:ascii="Book Antiqua" w:hAnsi="Book Antiqua" w:cs="Times New Roman"/>
          <w:sz w:val="24"/>
          <w:szCs w:val="24"/>
        </w:rPr>
        <w:t>and for whom</w:t>
      </w:r>
      <w:r w:rsidR="0037229C" w:rsidRPr="00FA5C8D">
        <w:rPr>
          <w:rFonts w:ascii="Book Antiqua" w:hAnsi="Book Antiqua" w:cs="Times New Roman"/>
          <w:sz w:val="24"/>
          <w:szCs w:val="24"/>
        </w:rPr>
        <w:t xml:space="preserve"> </w:t>
      </w:r>
      <w:r w:rsidR="007E050C" w:rsidRPr="00FA5C8D">
        <w:rPr>
          <w:rFonts w:ascii="Book Antiqua" w:hAnsi="Book Antiqua" w:cs="Times New Roman"/>
          <w:sz w:val="24"/>
          <w:szCs w:val="24"/>
        </w:rPr>
        <w:t>data on</w:t>
      </w:r>
      <w:r w:rsidR="0037229C" w:rsidRPr="00FA5C8D">
        <w:rPr>
          <w:rFonts w:ascii="Book Antiqua" w:hAnsi="Book Antiqua" w:cs="Times New Roman"/>
          <w:sz w:val="24"/>
          <w:szCs w:val="24"/>
        </w:rPr>
        <w:t xml:space="preserve"> </w:t>
      </w:r>
      <w:r w:rsidR="003A7297" w:rsidRPr="00FA5C8D">
        <w:rPr>
          <w:rFonts w:ascii="Book Antiqua" w:hAnsi="Book Antiqua" w:cs="Times New Roman"/>
          <w:sz w:val="24"/>
          <w:szCs w:val="24"/>
        </w:rPr>
        <w:t>follow-up</w:t>
      </w:r>
      <w:r w:rsidR="00374D78" w:rsidRPr="00FA5C8D">
        <w:rPr>
          <w:rFonts w:ascii="Book Antiqua" w:hAnsi="Book Antiqua" w:cs="Times New Roman"/>
          <w:sz w:val="24"/>
          <w:szCs w:val="24"/>
        </w:rPr>
        <w:t xml:space="preserve"> duodenal biopsy and quantitative evaluation of </w:t>
      </w:r>
      <w:proofErr w:type="spellStart"/>
      <w:r w:rsidR="00374D78" w:rsidRPr="00FA5C8D">
        <w:rPr>
          <w:rFonts w:ascii="Book Antiqua" w:hAnsi="Book Antiqua" w:cs="Times New Roman"/>
          <w:sz w:val="24"/>
          <w:szCs w:val="24"/>
        </w:rPr>
        <w:t>aTTG</w:t>
      </w:r>
      <w:proofErr w:type="spellEnd"/>
      <w:r w:rsidR="00374D78" w:rsidRPr="00FA5C8D">
        <w:rPr>
          <w:rFonts w:ascii="Book Antiqua" w:hAnsi="Book Antiqua" w:cs="Times New Roman"/>
          <w:sz w:val="24"/>
          <w:szCs w:val="24"/>
        </w:rPr>
        <w:t xml:space="preserve"> and</w:t>
      </w:r>
      <w:r w:rsidR="00AC57E4" w:rsidRPr="00FA5C8D">
        <w:rPr>
          <w:rFonts w:ascii="Book Antiqua" w:hAnsi="Book Antiqua" w:cs="Times New Roman"/>
          <w:sz w:val="24"/>
          <w:szCs w:val="24"/>
        </w:rPr>
        <w:t>/or</w:t>
      </w:r>
      <w:r w:rsidR="009E1E97" w:rsidRPr="00FA5C8D">
        <w:rPr>
          <w:rFonts w:ascii="Book Antiqua" w:hAnsi="Book Antiqua" w:cs="Times New Roman"/>
          <w:sz w:val="24"/>
          <w:szCs w:val="24"/>
        </w:rPr>
        <w:t xml:space="preserve"> </w:t>
      </w:r>
      <w:proofErr w:type="spellStart"/>
      <w:r w:rsidR="00374D78" w:rsidRPr="00FA5C8D">
        <w:rPr>
          <w:rFonts w:ascii="Book Antiqua" w:hAnsi="Book Antiqua" w:cs="Times New Roman"/>
          <w:sz w:val="24"/>
          <w:szCs w:val="24"/>
        </w:rPr>
        <w:t>aDGP</w:t>
      </w:r>
      <w:proofErr w:type="spellEnd"/>
      <w:r w:rsidR="009E1E97" w:rsidRPr="00FA5C8D">
        <w:rPr>
          <w:rFonts w:ascii="Book Antiqua" w:hAnsi="Book Antiqua" w:cs="Times New Roman"/>
          <w:sz w:val="24"/>
          <w:szCs w:val="24"/>
        </w:rPr>
        <w:t xml:space="preserve"> </w:t>
      </w:r>
      <w:r w:rsidR="007E050C" w:rsidRPr="00FA5C8D">
        <w:rPr>
          <w:rFonts w:ascii="Book Antiqua" w:hAnsi="Book Antiqua" w:cs="Times New Roman"/>
          <w:sz w:val="24"/>
          <w:szCs w:val="24"/>
        </w:rPr>
        <w:t>using the</w:t>
      </w:r>
      <w:r w:rsidR="009E1E97" w:rsidRPr="00FA5C8D">
        <w:rPr>
          <w:rFonts w:ascii="Book Antiqua" w:hAnsi="Book Antiqua" w:cs="Times New Roman"/>
          <w:sz w:val="24"/>
          <w:szCs w:val="24"/>
        </w:rPr>
        <w:t xml:space="preserve"> </w:t>
      </w:r>
      <w:r w:rsidR="00C862DE" w:rsidRPr="00FA5C8D">
        <w:rPr>
          <w:rFonts w:ascii="Book Antiqua" w:hAnsi="Book Antiqua" w:cs="Times New Roman"/>
          <w:sz w:val="24"/>
          <w:szCs w:val="24"/>
        </w:rPr>
        <w:t>enzyme-linked immunosorbent assay (</w:t>
      </w:r>
      <w:r w:rsidR="00020754" w:rsidRPr="00FA5C8D">
        <w:rPr>
          <w:rFonts w:ascii="Book Antiqua" w:hAnsi="Book Antiqua" w:cs="Times New Roman"/>
          <w:sz w:val="24"/>
          <w:szCs w:val="24"/>
        </w:rPr>
        <w:t>ELISA</w:t>
      </w:r>
      <w:r w:rsidR="00C862DE" w:rsidRPr="00FA5C8D">
        <w:rPr>
          <w:rFonts w:ascii="Book Antiqua" w:hAnsi="Book Antiqua" w:cs="Times New Roman"/>
          <w:sz w:val="24"/>
          <w:szCs w:val="24"/>
        </w:rPr>
        <w:t>)</w:t>
      </w:r>
      <w:r w:rsidR="00020754" w:rsidRPr="00FA5C8D">
        <w:rPr>
          <w:rFonts w:ascii="Book Antiqua" w:hAnsi="Book Antiqua" w:cs="Times New Roman"/>
          <w:sz w:val="24"/>
          <w:szCs w:val="24"/>
        </w:rPr>
        <w:t xml:space="preserve"> method </w:t>
      </w:r>
      <w:r w:rsidR="004B15EC" w:rsidRPr="00FA5C8D">
        <w:rPr>
          <w:rFonts w:ascii="Book Antiqua" w:hAnsi="Book Antiqua" w:cs="Times New Roman"/>
          <w:sz w:val="24"/>
          <w:szCs w:val="24"/>
        </w:rPr>
        <w:t>were</w:t>
      </w:r>
      <w:r w:rsidR="0037229C" w:rsidRPr="00FA5C8D">
        <w:rPr>
          <w:rFonts w:ascii="Book Antiqua" w:hAnsi="Book Antiqua" w:cs="Times New Roman"/>
          <w:sz w:val="24"/>
          <w:szCs w:val="24"/>
        </w:rPr>
        <w:t xml:space="preserve"> </w:t>
      </w:r>
      <w:r w:rsidR="003C7C8F" w:rsidRPr="00FA5C8D">
        <w:rPr>
          <w:rFonts w:ascii="Book Antiqua" w:hAnsi="Book Antiqua" w:cs="Times New Roman"/>
          <w:sz w:val="24"/>
          <w:szCs w:val="24"/>
        </w:rPr>
        <w:t>available as well</w:t>
      </w:r>
      <w:r w:rsidR="00374D78" w:rsidRPr="00FA5C8D">
        <w:rPr>
          <w:rFonts w:ascii="Book Antiqua" w:hAnsi="Book Antiqua" w:cs="Times New Roman"/>
          <w:sz w:val="24"/>
          <w:szCs w:val="24"/>
        </w:rPr>
        <w:t>.</w:t>
      </w:r>
      <w:r w:rsidR="004F1503" w:rsidRPr="00FA5C8D">
        <w:rPr>
          <w:rFonts w:ascii="Book Antiqua" w:hAnsi="Book Antiqua" w:cs="Times New Roman"/>
          <w:sz w:val="24"/>
          <w:szCs w:val="24"/>
        </w:rPr>
        <w:t xml:space="preserve"> Abdominal ultrasonography</w:t>
      </w:r>
      <w:r w:rsidR="00C84582" w:rsidRPr="00FA5C8D">
        <w:rPr>
          <w:rFonts w:ascii="Book Antiqua" w:hAnsi="Book Antiqua" w:cs="Times New Roman"/>
          <w:sz w:val="24"/>
          <w:szCs w:val="24"/>
        </w:rPr>
        <w:t xml:space="preserve"> focused on bowel imaging</w:t>
      </w:r>
      <w:r w:rsidR="0037229C" w:rsidRPr="00FA5C8D">
        <w:rPr>
          <w:rFonts w:ascii="Book Antiqua" w:hAnsi="Book Antiqua" w:cs="Times New Roman"/>
          <w:sz w:val="24"/>
          <w:szCs w:val="24"/>
        </w:rPr>
        <w:t xml:space="preserve"> </w:t>
      </w:r>
      <w:r w:rsidR="00C51F1A" w:rsidRPr="00FA5C8D">
        <w:rPr>
          <w:rFonts w:ascii="Book Antiqua" w:hAnsi="Book Antiqua" w:cs="Times New Roman"/>
          <w:color w:val="000000"/>
          <w:sz w:val="24"/>
          <w:szCs w:val="24"/>
          <w:shd w:val="clear" w:color="auto" w:fill="FFFFFF"/>
        </w:rPr>
        <w:t xml:space="preserve">within 30 d from </w:t>
      </w:r>
      <w:r w:rsidR="00AA669E" w:rsidRPr="00FA5C8D">
        <w:rPr>
          <w:rFonts w:ascii="Book Antiqua" w:hAnsi="Book Antiqua" w:cs="Times New Roman"/>
          <w:color w:val="000000"/>
          <w:sz w:val="24"/>
          <w:szCs w:val="24"/>
          <w:shd w:val="clear" w:color="auto" w:fill="FFFFFF"/>
        </w:rPr>
        <w:t xml:space="preserve">when </w:t>
      </w:r>
      <w:r w:rsidR="00C51F1A" w:rsidRPr="00FA5C8D">
        <w:rPr>
          <w:rFonts w:ascii="Book Antiqua" w:hAnsi="Book Antiqua" w:cs="Times New Roman"/>
          <w:color w:val="000000"/>
          <w:sz w:val="24"/>
          <w:szCs w:val="24"/>
          <w:shd w:val="clear" w:color="auto" w:fill="FFFFFF"/>
        </w:rPr>
        <w:t xml:space="preserve">duodenal biopsy </w:t>
      </w:r>
      <w:r w:rsidR="004F1503" w:rsidRPr="00FA5C8D">
        <w:rPr>
          <w:rFonts w:ascii="Book Antiqua" w:hAnsi="Book Antiqua" w:cs="Times New Roman"/>
          <w:sz w:val="24"/>
          <w:szCs w:val="24"/>
        </w:rPr>
        <w:t xml:space="preserve">was </w:t>
      </w:r>
      <w:r w:rsidR="00AA669E" w:rsidRPr="00FA5C8D">
        <w:rPr>
          <w:rFonts w:ascii="Book Antiqua" w:hAnsi="Book Antiqua" w:cs="Times New Roman"/>
          <w:sz w:val="24"/>
          <w:szCs w:val="24"/>
        </w:rPr>
        <w:t>performed</w:t>
      </w:r>
      <w:r w:rsidR="009730D1" w:rsidRPr="00FA5C8D">
        <w:rPr>
          <w:rFonts w:ascii="Book Antiqua" w:hAnsi="Book Antiqua" w:cs="Times New Roman"/>
          <w:sz w:val="24"/>
          <w:szCs w:val="24"/>
        </w:rPr>
        <w:t>.</w:t>
      </w:r>
    </w:p>
    <w:p w14:paraId="35E4BB24" w14:textId="77777777" w:rsidR="00296206" w:rsidRPr="00FA5C8D" w:rsidRDefault="005A0C2F" w:rsidP="00FA5C8D">
      <w:pPr>
        <w:snapToGrid w:val="0"/>
        <w:spacing w:after="0" w:line="360" w:lineRule="auto"/>
        <w:ind w:firstLineChars="100" w:firstLine="240"/>
        <w:jc w:val="both"/>
        <w:rPr>
          <w:rFonts w:ascii="Book Antiqua" w:hAnsi="Book Antiqua" w:cs="Times New Roman"/>
          <w:sz w:val="24"/>
          <w:szCs w:val="24"/>
          <w:shd w:val="clear" w:color="auto" w:fill="FFFFFF"/>
        </w:rPr>
      </w:pPr>
      <w:r w:rsidRPr="00FA5C8D">
        <w:rPr>
          <w:rFonts w:ascii="Book Antiqua" w:hAnsi="Book Antiqua" w:cs="Times New Roman"/>
          <w:color w:val="000000"/>
          <w:sz w:val="24"/>
          <w:szCs w:val="24"/>
          <w:shd w:val="clear" w:color="auto" w:fill="FFFFFF"/>
        </w:rPr>
        <w:t>The</w:t>
      </w:r>
      <w:r w:rsidR="00352A1F" w:rsidRPr="00FA5C8D">
        <w:rPr>
          <w:rFonts w:ascii="Book Antiqua" w:hAnsi="Book Antiqua" w:cs="Times New Roman"/>
          <w:color w:val="000000"/>
          <w:sz w:val="24"/>
          <w:szCs w:val="24"/>
          <w:shd w:val="clear" w:color="auto" w:fill="FFFFFF"/>
        </w:rPr>
        <w:t xml:space="preserve"> patients </w:t>
      </w:r>
      <w:r w:rsidRPr="00FA5C8D">
        <w:rPr>
          <w:rFonts w:ascii="Book Antiqua" w:hAnsi="Book Antiqua" w:cs="Times New Roman"/>
          <w:color w:val="000000"/>
          <w:sz w:val="24"/>
          <w:szCs w:val="24"/>
          <w:shd w:val="clear" w:color="auto" w:fill="FFFFFF"/>
        </w:rPr>
        <w:t xml:space="preserve">included in the study </w:t>
      </w:r>
      <w:r w:rsidR="00352A1F" w:rsidRPr="00FA5C8D">
        <w:rPr>
          <w:rFonts w:ascii="Book Antiqua" w:hAnsi="Book Antiqua" w:cs="Times New Roman"/>
          <w:color w:val="000000"/>
          <w:sz w:val="24"/>
          <w:szCs w:val="24"/>
          <w:shd w:val="clear" w:color="auto" w:fill="FFFFFF"/>
        </w:rPr>
        <w:t xml:space="preserve">were divided in two subgroups: </w:t>
      </w:r>
      <w:r w:rsidR="00360EDB" w:rsidRPr="00FA5C8D">
        <w:rPr>
          <w:rFonts w:ascii="Book Antiqua" w:hAnsi="Book Antiqua" w:cs="Times New Roman"/>
          <w:color w:val="000000"/>
          <w:sz w:val="24"/>
          <w:szCs w:val="24"/>
          <w:shd w:val="clear" w:color="auto" w:fill="FFFFFF"/>
        </w:rPr>
        <w:t>(</w:t>
      </w:r>
      <w:r w:rsidR="00352A1F" w:rsidRPr="00FA5C8D">
        <w:rPr>
          <w:rFonts w:ascii="Book Antiqua" w:hAnsi="Book Antiqua" w:cs="Times New Roman"/>
          <w:color w:val="000000"/>
          <w:sz w:val="24"/>
          <w:szCs w:val="24"/>
          <w:shd w:val="clear" w:color="auto" w:fill="FFFFFF"/>
        </w:rPr>
        <w:t xml:space="preserve">1) </w:t>
      </w:r>
      <w:r w:rsidRPr="00FA5C8D">
        <w:rPr>
          <w:rFonts w:ascii="Book Antiqua" w:hAnsi="Book Antiqua" w:cs="Times New Roman"/>
          <w:color w:val="000000"/>
          <w:sz w:val="24"/>
          <w:szCs w:val="24"/>
          <w:shd w:val="clear" w:color="auto" w:fill="FFFFFF"/>
        </w:rPr>
        <w:t xml:space="preserve">the </w:t>
      </w:r>
      <w:r w:rsidR="00352A1F" w:rsidRPr="00FA5C8D">
        <w:rPr>
          <w:rFonts w:ascii="Book Antiqua" w:hAnsi="Book Antiqua" w:cs="Times New Roman"/>
          <w:color w:val="000000"/>
          <w:sz w:val="24"/>
          <w:szCs w:val="24"/>
          <w:shd w:val="clear" w:color="auto" w:fill="FFFFFF"/>
        </w:rPr>
        <w:t xml:space="preserve">study group with patients with persistent </w:t>
      </w:r>
      <w:r w:rsidR="00210808" w:rsidRPr="00FA5C8D">
        <w:rPr>
          <w:rFonts w:ascii="Book Antiqua" w:hAnsi="Book Antiqua" w:cs="Times New Roman"/>
          <w:color w:val="000000"/>
          <w:sz w:val="24"/>
          <w:szCs w:val="24"/>
          <w:shd w:val="clear" w:color="auto" w:fill="FFFFFF"/>
        </w:rPr>
        <w:t>VA</w:t>
      </w:r>
      <w:r w:rsidR="0037229C" w:rsidRPr="00FA5C8D">
        <w:rPr>
          <w:rFonts w:ascii="Book Antiqua" w:hAnsi="Book Antiqua" w:cs="Times New Roman"/>
          <w:color w:val="000000"/>
          <w:sz w:val="24"/>
          <w:szCs w:val="24"/>
          <w:shd w:val="clear" w:color="auto" w:fill="FFFFFF"/>
        </w:rPr>
        <w:t xml:space="preserve"> </w:t>
      </w:r>
      <w:r w:rsidR="00B934CC" w:rsidRPr="00FA5C8D">
        <w:rPr>
          <w:rFonts w:ascii="Book Antiqua" w:hAnsi="Book Antiqua" w:cs="Times New Roman"/>
          <w:color w:val="000000"/>
          <w:sz w:val="24"/>
          <w:szCs w:val="24"/>
          <w:shd w:val="clear" w:color="auto" w:fill="FFFFFF"/>
        </w:rPr>
        <w:t xml:space="preserve">on </w:t>
      </w:r>
      <w:r w:rsidR="003A7297" w:rsidRPr="00FA5C8D">
        <w:rPr>
          <w:rFonts w:ascii="Book Antiqua" w:hAnsi="Book Antiqua" w:cs="Times New Roman"/>
          <w:color w:val="000000"/>
          <w:sz w:val="24"/>
          <w:szCs w:val="24"/>
          <w:shd w:val="clear" w:color="auto" w:fill="FFFFFF"/>
        </w:rPr>
        <w:t>follow-up</w:t>
      </w:r>
      <w:r w:rsidR="00B934CC" w:rsidRPr="00FA5C8D">
        <w:rPr>
          <w:rFonts w:ascii="Book Antiqua" w:hAnsi="Book Antiqua" w:cs="Times New Roman"/>
          <w:color w:val="000000"/>
          <w:sz w:val="24"/>
          <w:szCs w:val="24"/>
          <w:shd w:val="clear" w:color="auto" w:fill="FFFFFF"/>
        </w:rPr>
        <w:t xml:space="preserve"> duodenal biopsy</w:t>
      </w:r>
      <w:r w:rsidR="004B15EC" w:rsidRPr="00FA5C8D">
        <w:rPr>
          <w:rFonts w:ascii="Book Antiqua" w:hAnsi="Book Antiqua" w:cs="Times New Roman"/>
          <w:color w:val="000000"/>
          <w:sz w:val="24"/>
          <w:szCs w:val="24"/>
          <w:shd w:val="clear" w:color="auto" w:fill="FFFFFF"/>
        </w:rPr>
        <w:t>;</w:t>
      </w:r>
      <w:r w:rsidR="0037229C" w:rsidRPr="00FA5C8D">
        <w:rPr>
          <w:rFonts w:ascii="Book Antiqua" w:hAnsi="Book Antiqua" w:cs="Times New Roman"/>
          <w:color w:val="000000"/>
          <w:sz w:val="24"/>
          <w:szCs w:val="24"/>
          <w:shd w:val="clear" w:color="auto" w:fill="FFFFFF"/>
        </w:rPr>
        <w:t xml:space="preserve"> </w:t>
      </w:r>
      <w:r w:rsidR="00352A1F" w:rsidRPr="00FA5C8D">
        <w:rPr>
          <w:rFonts w:ascii="Book Antiqua" w:hAnsi="Book Antiqua" w:cs="Times New Roman"/>
          <w:color w:val="000000"/>
          <w:sz w:val="24"/>
          <w:szCs w:val="24"/>
          <w:shd w:val="clear" w:color="auto" w:fill="FFFFFF"/>
        </w:rPr>
        <w:t xml:space="preserve">and </w:t>
      </w:r>
      <w:r w:rsidR="00360EDB" w:rsidRPr="00FA5C8D">
        <w:rPr>
          <w:rFonts w:ascii="Book Antiqua" w:hAnsi="Book Antiqua" w:cs="Times New Roman"/>
          <w:color w:val="000000"/>
          <w:sz w:val="24"/>
          <w:szCs w:val="24"/>
          <w:shd w:val="clear" w:color="auto" w:fill="FFFFFF"/>
        </w:rPr>
        <w:t>(</w:t>
      </w:r>
      <w:r w:rsidR="00352A1F" w:rsidRPr="00FA5C8D">
        <w:rPr>
          <w:rFonts w:ascii="Book Antiqua" w:hAnsi="Book Antiqua" w:cs="Times New Roman"/>
          <w:color w:val="000000"/>
          <w:sz w:val="24"/>
          <w:szCs w:val="24"/>
          <w:shd w:val="clear" w:color="auto" w:fill="FFFFFF"/>
        </w:rPr>
        <w:t xml:space="preserve">2) control group with patients </w:t>
      </w:r>
      <w:r w:rsidR="004B038E" w:rsidRPr="00FA5C8D">
        <w:rPr>
          <w:rFonts w:ascii="Book Antiqua" w:hAnsi="Book Antiqua" w:cs="Times New Roman"/>
          <w:color w:val="000000"/>
          <w:sz w:val="24"/>
          <w:szCs w:val="24"/>
          <w:shd w:val="clear" w:color="auto" w:fill="FFFFFF"/>
        </w:rPr>
        <w:t>classified as</w:t>
      </w:r>
      <w:r w:rsidR="00352A1F" w:rsidRPr="00FA5C8D">
        <w:rPr>
          <w:rFonts w:ascii="Book Antiqua" w:hAnsi="Book Antiqua" w:cs="Times New Roman"/>
          <w:color w:val="000000"/>
          <w:sz w:val="24"/>
          <w:szCs w:val="24"/>
          <w:shd w:val="clear" w:color="auto" w:fill="FFFFFF"/>
        </w:rPr>
        <w:t xml:space="preserve"> Marsh 0 or Marsh 1 on </w:t>
      </w:r>
      <w:r w:rsidR="003A7297" w:rsidRPr="00FA5C8D">
        <w:rPr>
          <w:rFonts w:ascii="Book Antiqua" w:hAnsi="Book Antiqua" w:cs="Times New Roman"/>
          <w:color w:val="000000"/>
          <w:sz w:val="24"/>
          <w:szCs w:val="24"/>
          <w:shd w:val="clear" w:color="auto" w:fill="FFFFFF"/>
        </w:rPr>
        <w:t>follow-up</w:t>
      </w:r>
      <w:r w:rsidR="0037229C" w:rsidRPr="00FA5C8D">
        <w:rPr>
          <w:rFonts w:ascii="Book Antiqua" w:hAnsi="Book Antiqua" w:cs="Times New Roman"/>
          <w:color w:val="000000"/>
          <w:sz w:val="24"/>
          <w:szCs w:val="24"/>
          <w:shd w:val="clear" w:color="auto" w:fill="FFFFFF"/>
        </w:rPr>
        <w:t xml:space="preserve"> </w:t>
      </w:r>
      <w:r w:rsidR="00B934CC" w:rsidRPr="00FA5C8D">
        <w:rPr>
          <w:rFonts w:ascii="Book Antiqua" w:hAnsi="Book Antiqua" w:cs="Times New Roman"/>
          <w:color w:val="000000"/>
          <w:sz w:val="24"/>
          <w:szCs w:val="24"/>
          <w:shd w:val="clear" w:color="auto" w:fill="FFFFFF"/>
        </w:rPr>
        <w:t xml:space="preserve">duodenal </w:t>
      </w:r>
      <w:r w:rsidR="00352A1F" w:rsidRPr="00FA5C8D">
        <w:rPr>
          <w:rFonts w:ascii="Book Antiqua" w:hAnsi="Book Antiqua" w:cs="Times New Roman"/>
          <w:color w:val="000000"/>
          <w:sz w:val="24"/>
          <w:szCs w:val="24"/>
          <w:shd w:val="clear" w:color="auto" w:fill="FFFFFF"/>
        </w:rPr>
        <w:t xml:space="preserve">biopsy. </w:t>
      </w:r>
      <w:r w:rsidR="00636DCF" w:rsidRPr="00FA5C8D">
        <w:rPr>
          <w:rFonts w:ascii="Book Antiqua" w:hAnsi="Book Antiqua" w:cs="Times New Roman"/>
          <w:color w:val="000000"/>
          <w:sz w:val="24"/>
          <w:szCs w:val="24"/>
          <w:shd w:val="clear" w:color="auto" w:fill="FFFFFF"/>
        </w:rPr>
        <w:t xml:space="preserve">All patients signed </w:t>
      </w:r>
      <w:r w:rsidR="00AA669E" w:rsidRPr="00FA5C8D">
        <w:rPr>
          <w:rFonts w:ascii="Book Antiqua" w:hAnsi="Book Antiqua" w:cs="Times New Roman"/>
          <w:color w:val="000000"/>
          <w:sz w:val="24"/>
          <w:szCs w:val="24"/>
          <w:shd w:val="clear" w:color="auto" w:fill="FFFFFF"/>
        </w:rPr>
        <w:t xml:space="preserve">an </w:t>
      </w:r>
      <w:r w:rsidR="00636DCF" w:rsidRPr="00FA5C8D">
        <w:rPr>
          <w:rFonts w:ascii="Book Antiqua" w:hAnsi="Book Antiqua" w:cs="Times New Roman"/>
          <w:color w:val="000000"/>
          <w:sz w:val="24"/>
          <w:szCs w:val="24"/>
          <w:shd w:val="clear" w:color="auto" w:fill="FFFFFF"/>
        </w:rPr>
        <w:t>informed consent</w:t>
      </w:r>
      <w:r w:rsidR="0037229C" w:rsidRPr="00FA5C8D">
        <w:rPr>
          <w:rFonts w:ascii="Book Antiqua" w:hAnsi="Book Antiqua" w:cs="Times New Roman"/>
          <w:color w:val="000000"/>
          <w:sz w:val="24"/>
          <w:szCs w:val="24"/>
          <w:shd w:val="clear" w:color="auto" w:fill="FFFFFF"/>
        </w:rPr>
        <w:t xml:space="preserve"> </w:t>
      </w:r>
      <w:r w:rsidR="00FE6E3A" w:rsidRPr="00FA5C8D">
        <w:rPr>
          <w:rFonts w:ascii="Book Antiqua" w:hAnsi="Book Antiqua" w:cs="Times New Roman"/>
          <w:color w:val="000000"/>
          <w:sz w:val="24"/>
          <w:szCs w:val="24"/>
          <w:shd w:val="clear" w:color="auto" w:fill="FFFFFF"/>
        </w:rPr>
        <w:t>regarding anonymous data collection</w:t>
      </w:r>
      <w:r w:rsidR="00AA669E" w:rsidRPr="00FA5C8D">
        <w:rPr>
          <w:rFonts w:ascii="Book Antiqua" w:hAnsi="Book Antiqua" w:cs="Times New Roman"/>
          <w:color w:val="000000"/>
          <w:sz w:val="24"/>
          <w:szCs w:val="24"/>
          <w:shd w:val="clear" w:color="auto" w:fill="FFFFFF"/>
        </w:rPr>
        <w:t>,</w:t>
      </w:r>
      <w:r w:rsidR="00636DCF" w:rsidRPr="00FA5C8D">
        <w:rPr>
          <w:rFonts w:ascii="Book Antiqua" w:hAnsi="Book Antiqua" w:cs="Times New Roman"/>
          <w:color w:val="000000"/>
          <w:sz w:val="24"/>
          <w:szCs w:val="24"/>
          <w:shd w:val="clear" w:color="auto" w:fill="FFFFFF"/>
        </w:rPr>
        <w:t xml:space="preserve"> and the </w:t>
      </w:r>
      <w:r w:rsidR="00636DCF" w:rsidRPr="00FA5C8D">
        <w:rPr>
          <w:rFonts w:ascii="Book Antiqua" w:hAnsi="Book Antiqua" w:cs="Times New Roman"/>
          <w:color w:val="000000"/>
          <w:sz w:val="24"/>
          <w:szCs w:val="24"/>
          <w:shd w:val="clear" w:color="auto" w:fill="FFFFFF"/>
        </w:rPr>
        <w:lastRenderedPageBreak/>
        <w:t>s</w:t>
      </w:r>
      <w:r w:rsidR="00B774CD" w:rsidRPr="00FA5C8D">
        <w:rPr>
          <w:rFonts w:ascii="Book Antiqua" w:hAnsi="Book Antiqua" w:cs="Times New Roman"/>
          <w:color w:val="000000"/>
          <w:sz w:val="24"/>
          <w:szCs w:val="24"/>
          <w:shd w:val="clear" w:color="auto" w:fill="FFFFFF"/>
        </w:rPr>
        <w:t xml:space="preserve">tudy </w:t>
      </w:r>
      <w:r w:rsidR="008B0B71" w:rsidRPr="00FA5C8D">
        <w:rPr>
          <w:rFonts w:ascii="Book Antiqua" w:hAnsi="Book Antiqua" w:cs="Times New Roman"/>
          <w:color w:val="000000"/>
          <w:sz w:val="24"/>
          <w:szCs w:val="24"/>
          <w:shd w:val="clear" w:color="auto" w:fill="FFFFFF"/>
        </w:rPr>
        <w:t>protocol</w:t>
      </w:r>
      <w:r w:rsidR="00B774CD" w:rsidRPr="00FA5C8D">
        <w:rPr>
          <w:rFonts w:ascii="Book Antiqua" w:hAnsi="Book Antiqua" w:cs="Times New Roman"/>
          <w:color w:val="000000"/>
          <w:sz w:val="24"/>
          <w:szCs w:val="24"/>
          <w:shd w:val="clear" w:color="auto" w:fill="FFFFFF"/>
        </w:rPr>
        <w:t xml:space="preserve"> was approved by</w:t>
      </w:r>
      <w:r w:rsidR="004C23F7" w:rsidRPr="00FA5C8D">
        <w:rPr>
          <w:rFonts w:ascii="Book Antiqua" w:hAnsi="Book Antiqua" w:cs="Times New Roman"/>
          <w:color w:val="000000"/>
          <w:sz w:val="24"/>
          <w:szCs w:val="24"/>
          <w:shd w:val="clear" w:color="auto" w:fill="FFFFFF"/>
        </w:rPr>
        <w:t xml:space="preserve"> the</w:t>
      </w:r>
      <w:r w:rsidR="009E1E97" w:rsidRPr="00FA5C8D">
        <w:rPr>
          <w:rFonts w:ascii="Book Antiqua" w:hAnsi="Book Antiqua" w:cs="Times New Roman"/>
          <w:color w:val="000000"/>
          <w:sz w:val="24"/>
          <w:szCs w:val="24"/>
          <w:shd w:val="clear" w:color="auto" w:fill="FFFFFF"/>
        </w:rPr>
        <w:t xml:space="preserve"> </w:t>
      </w:r>
      <w:r w:rsidR="004B15EC" w:rsidRPr="00FA5C8D">
        <w:rPr>
          <w:rFonts w:ascii="Book Antiqua" w:hAnsi="Book Antiqua" w:cs="Times New Roman"/>
          <w:color w:val="000000"/>
          <w:sz w:val="24"/>
          <w:szCs w:val="24"/>
          <w:shd w:val="clear" w:color="auto" w:fill="FFFFFF"/>
        </w:rPr>
        <w:t>m</w:t>
      </w:r>
      <w:r w:rsidR="00FE3667" w:rsidRPr="00FA5C8D">
        <w:rPr>
          <w:rFonts w:ascii="Book Antiqua" w:hAnsi="Book Antiqua" w:cs="Times New Roman"/>
          <w:color w:val="000000"/>
          <w:sz w:val="24"/>
          <w:szCs w:val="24"/>
          <w:shd w:val="clear" w:color="auto" w:fill="FFFFFF"/>
        </w:rPr>
        <w:t>ulticentric</w:t>
      </w:r>
      <w:r w:rsidR="009E1E97" w:rsidRPr="00FA5C8D">
        <w:rPr>
          <w:rFonts w:ascii="Book Antiqua" w:hAnsi="Book Antiqua" w:cs="Times New Roman"/>
          <w:color w:val="000000"/>
          <w:sz w:val="24"/>
          <w:szCs w:val="24"/>
          <w:shd w:val="clear" w:color="auto" w:fill="FFFFFF"/>
        </w:rPr>
        <w:t xml:space="preserve"> </w:t>
      </w:r>
      <w:r w:rsidR="00B774CD" w:rsidRPr="00FA5C8D">
        <w:rPr>
          <w:rFonts w:ascii="Book Antiqua" w:hAnsi="Book Antiqua" w:cs="Times New Roman"/>
          <w:sz w:val="24"/>
          <w:szCs w:val="24"/>
          <w:shd w:val="clear" w:color="auto" w:fill="FFFFFF"/>
        </w:rPr>
        <w:t>ethical committee</w:t>
      </w:r>
      <w:r w:rsidR="009E1E97" w:rsidRPr="00FA5C8D">
        <w:rPr>
          <w:rFonts w:ascii="Book Antiqua" w:hAnsi="Book Antiqua" w:cs="Times New Roman"/>
          <w:sz w:val="24"/>
          <w:szCs w:val="24"/>
          <w:shd w:val="clear" w:color="auto" w:fill="FFFFFF"/>
        </w:rPr>
        <w:t xml:space="preserve"> </w:t>
      </w:r>
      <w:r w:rsidR="00AA669E" w:rsidRPr="00FA5C8D">
        <w:rPr>
          <w:rFonts w:ascii="Book Antiqua" w:hAnsi="Book Antiqua" w:cs="Times New Roman"/>
          <w:sz w:val="24"/>
          <w:szCs w:val="24"/>
          <w:shd w:val="clear" w:color="auto" w:fill="FFFFFF"/>
        </w:rPr>
        <w:t xml:space="preserve">of the </w:t>
      </w:r>
      <w:r w:rsidR="008B0B71" w:rsidRPr="00FA5C8D">
        <w:rPr>
          <w:rFonts w:ascii="Book Antiqua" w:hAnsi="Book Antiqua" w:cs="Times New Roman"/>
          <w:sz w:val="24"/>
          <w:szCs w:val="24"/>
          <w:shd w:val="clear" w:color="auto" w:fill="FFFFFF"/>
        </w:rPr>
        <w:t>University Hospital Brno</w:t>
      </w:r>
      <w:r w:rsidR="009E1E97" w:rsidRPr="00FA5C8D">
        <w:rPr>
          <w:rFonts w:ascii="Book Antiqua" w:hAnsi="Book Antiqua" w:cs="Times New Roman"/>
          <w:sz w:val="24"/>
          <w:szCs w:val="24"/>
          <w:shd w:val="clear" w:color="auto" w:fill="FFFFFF"/>
        </w:rPr>
        <w:t xml:space="preserve"> </w:t>
      </w:r>
      <w:r w:rsidR="00AA669E" w:rsidRPr="00FA5C8D">
        <w:rPr>
          <w:rFonts w:ascii="Book Antiqua" w:hAnsi="Book Antiqua" w:cs="Times New Roman"/>
          <w:sz w:val="24"/>
          <w:szCs w:val="24"/>
          <w:shd w:val="clear" w:color="auto" w:fill="FFFFFF"/>
        </w:rPr>
        <w:t>(</w:t>
      </w:r>
      <w:r w:rsidR="004C40FA" w:rsidRPr="00FA5C8D">
        <w:rPr>
          <w:rFonts w:ascii="Book Antiqua" w:hAnsi="Book Antiqua" w:cs="Times New Roman"/>
          <w:sz w:val="24"/>
          <w:szCs w:val="24"/>
          <w:shd w:val="clear" w:color="auto" w:fill="FFFFFF"/>
        </w:rPr>
        <w:t>No</w:t>
      </w:r>
      <w:r w:rsidR="008956E2" w:rsidRPr="00FA5C8D">
        <w:rPr>
          <w:rFonts w:ascii="Book Antiqua" w:hAnsi="Book Antiqua" w:cs="Times New Roman"/>
          <w:sz w:val="24"/>
          <w:szCs w:val="24"/>
          <w:shd w:val="clear" w:color="auto" w:fill="FFFFFF"/>
        </w:rPr>
        <w:t>.</w:t>
      </w:r>
      <w:r w:rsidR="00360EDB" w:rsidRPr="00FA5C8D">
        <w:rPr>
          <w:rFonts w:ascii="Book Antiqua" w:hAnsi="Book Antiqua" w:cs="Times New Roman"/>
          <w:sz w:val="24"/>
          <w:szCs w:val="24"/>
          <w:shd w:val="clear" w:color="auto" w:fill="FFFFFF"/>
        </w:rPr>
        <w:t xml:space="preserve"> </w:t>
      </w:r>
      <w:r w:rsidR="004C40FA" w:rsidRPr="00FA5C8D">
        <w:rPr>
          <w:rFonts w:ascii="Book Antiqua" w:hAnsi="Book Antiqua" w:cs="Times New Roman"/>
          <w:sz w:val="24"/>
          <w:szCs w:val="24"/>
          <w:shd w:val="clear" w:color="auto" w:fill="FFFFFF"/>
        </w:rPr>
        <w:t>03-1809</w:t>
      </w:r>
      <w:r w:rsidR="008956E2" w:rsidRPr="00FA5C8D">
        <w:rPr>
          <w:rFonts w:ascii="Book Antiqua" w:hAnsi="Book Antiqua" w:cs="Times New Roman"/>
          <w:sz w:val="24"/>
          <w:szCs w:val="24"/>
          <w:shd w:val="clear" w:color="auto" w:fill="FFFFFF"/>
        </w:rPr>
        <w:t>19/</w:t>
      </w:r>
      <w:r w:rsidR="004C40FA" w:rsidRPr="00FA5C8D">
        <w:rPr>
          <w:rFonts w:ascii="Book Antiqua" w:hAnsi="Book Antiqua" w:cs="Times New Roman"/>
          <w:sz w:val="24"/>
          <w:szCs w:val="24"/>
          <w:shd w:val="clear" w:color="auto" w:fill="FFFFFF"/>
        </w:rPr>
        <w:t>EK</w:t>
      </w:r>
      <w:r w:rsidR="00AA669E" w:rsidRPr="00FA5C8D">
        <w:rPr>
          <w:rFonts w:ascii="Book Antiqua" w:hAnsi="Book Antiqua" w:cs="Times New Roman"/>
          <w:sz w:val="24"/>
          <w:szCs w:val="24"/>
          <w:shd w:val="clear" w:color="auto" w:fill="FFFFFF"/>
        </w:rPr>
        <w:t>)</w:t>
      </w:r>
      <w:r w:rsidR="005579A7" w:rsidRPr="00FA5C8D">
        <w:rPr>
          <w:rFonts w:ascii="Book Antiqua" w:hAnsi="Book Antiqua" w:cs="Times New Roman"/>
          <w:sz w:val="24"/>
          <w:szCs w:val="24"/>
          <w:shd w:val="clear" w:color="auto" w:fill="FFFFFF"/>
        </w:rPr>
        <w:t>.</w:t>
      </w:r>
    </w:p>
    <w:p w14:paraId="22EC254D" w14:textId="77777777" w:rsidR="004B15EC" w:rsidRPr="00FA5C8D" w:rsidRDefault="004B15EC" w:rsidP="00FA5C8D">
      <w:pPr>
        <w:snapToGrid w:val="0"/>
        <w:spacing w:after="0" w:line="360" w:lineRule="auto"/>
        <w:jc w:val="both"/>
        <w:rPr>
          <w:rFonts w:ascii="Book Antiqua" w:hAnsi="Book Antiqua" w:cs="Times New Roman"/>
          <w:b/>
          <w:bCs/>
          <w:color w:val="000000"/>
          <w:sz w:val="24"/>
          <w:szCs w:val="24"/>
          <w:shd w:val="clear" w:color="auto" w:fill="FFFFFF"/>
        </w:rPr>
      </w:pPr>
    </w:p>
    <w:p w14:paraId="585FD0EA" w14:textId="77777777" w:rsidR="00A92418" w:rsidRPr="00FA5C8D" w:rsidRDefault="006423EC" w:rsidP="00FA5C8D">
      <w:pPr>
        <w:snapToGrid w:val="0"/>
        <w:spacing w:after="0" w:line="360" w:lineRule="auto"/>
        <w:jc w:val="both"/>
        <w:rPr>
          <w:rFonts w:ascii="Book Antiqua" w:hAnsi="Book Antiqua" w:cs="Times New Roman"/>
          <w:i/>
          <w:iCs/>
          <w:color w:val="000000"/>
          <w:sz w:val="24"/>
          <w:szCs w:val="24"/>
          <w:shd w:val="clear" w:color="auto" w:fill="FFFFFF"/>
        </w:rPr>
      </w:pPr>
      <w:r w:rsidRPr="00FA5C8D">
        <w:rPr>
          <w:rFonts w:ascii="Book Antiqua" w:hAnsi="Book Antiqua" w:cs="Times New Roman"/>
          <w:b/>
          <w:bCs/>
          <w:i/>
          <w:iCs/>
          <w:color w:val="000000"/>
          <w:sz w:val="24"/>
          <w:szCs w:val="24"/>
          <w:shd w:val="clear" w:color="auto" w:fill="FFFFFF"/>
        </w:rPr>
        <w:t>Duodenal sampling</w:t>
      </w:r>
      <w:r w:rsidR="00F14F75" w:rsidRPr="00FA5C8D">
        <w:rPr>
          <w:rFonts w:ascii="Book Antiqua" w:hAnsi="Book Antiqua" w:cs="Times New Roman"/>
          <w:b/>
          <w:bCs/>
          <w:i/>
          <w:iCs/>
          <w:color w:val="000000"/>
          <w:sz w:val="24"/>
          <w:szCs w:val="24"/>
          <w:shd w:val="clear" w:color="auto" w:fill="FFFFFF"/>
        </w:rPr>
        <w:t xml:space="preserve"> and </w:t>
      </w:r>
      <w:r w:rsidR="008B0B71" w:rsidRPr="00FA5C8D">
        <w:rPr>
          <w:rFonts w:ascii="Book Antiqua" w:hAnsi="Book Antiqua" w:cs="Times New Roman"/>
          <w:b/>
          <w:bCs/>
          <w:i/>
          <w:iCs/>
          <w:color w:val="000000"/>
          <w:sz w:val="24"/>
          <w:szCs w:val="24"/>
          <w:shd w:val="clear" w:color="auto" w:fill="FFFFFF"/>
        </w:rPr>
        <w:t>assessment</w:t>
      </w:r>
      <w:r w:rsidR="00F14F75" w:rsidRPr="00FA5C8D">
        <w:rPr>
          <w:rFonts w:ascii="Book Antiqua" w:hAnsi="Book Antiqua" w:cs="Times New Roman"/>
          <w:b/>
          <w:bCs/>
          <w:i/>
          <w:iCs/>
          <w:color w:val="000000"/>
          <w:sz w:val="24"/>
          <w:szCs w:val="24"/>
          <w:shd w:val="clear" w:color="auto" w:fill="FFFFFF"/>
        </w:rPr>
        <w:t xml:space="preserve"> of histological findings</w:t>
      </w:r>
    </w:p>
    <w:p w14:paraId="6EDE87F5" w14:textId="77777777" w:rsidR="00704657" w:rsidRPr="00FA5C8D" w:rsidRDefault="00296206" w:rsidP="00FA5C8D">
      <w:pPr>
        <w:snapToGrid w:val="0"/>
        <w:spacing w:after="0" w:line="360" w:lineRule="auto"/>
        <w:jc w:val="both"/>
        <w:rPr>
          <w:rFonts w:ascii="Book Antiqua" w:hAnsi="Book Antiqua" w:cs="Times New Roman"/>
          <w:color w:val="000000"/>
          <w:sz w:val="24"/>
          <w:szCs w:val="24"/>
          <w:shd w:val="clear" w:color="auto" w:fill="FFFFFF"/>
        </w:rPr>
      </w:pPr>
      <w:r w:rsidRPr="00FA5C8D">
        <w:rPr>
          <w:rFonts w:ascii="Book Antiqua" w:hAnsi="Book Antiqua" w:cs="Times New Roman"/>
          <w:color w:val="000000"/>
          <w:sz w:val="24"/>
          <w:szCs w:val="24"/>
          <w:shd w:val="clear" w:color="auto" w:fill="FFFFFF"/>
        </w:rPr>
        <w:t xml:space="preserve">All </w:t>
      </w:r>
      <w:r w:rsidR="00E9513D" w:rsidRPr="00FA5C8D">
        <w:rPr>
          <w:rFonts w:ascii="Book Antiqua" w:hAnsi="Book Antiqua" w:cs="Times New Roman"/>
          <w:color w:val="000000"/>
          <w:sz w:val="24"/>
          <w:szCs w:val="24"/>
          <w:shd w:val="clear" w:color="auto" w:fill="FFFFFF"/>
        </w:rPr>
        <w:t xml:space="preserve">the </w:t>
      </w:r>
      <w:r w:rsidRPr="00FA5C8D">
        <w:rPr>
          <w:rFonts w:ascii="Book Antiqua" w:hAnsi="Book Antiqua" w:cs="Times New Roman"/>
          <w:color w:val="000000"/>
          <w:sz w:val="24"/>
          <w:szCs w:val="24"/>
          <w:shd w:val="clear" w:color="auto" w:fill="FFFFFF"/>
        </w:rPr>
        <w:t xml:space="preserve">selected patients underwent </w:t>
      </w:r>
      <w:r w:rsidRPr="00FA5C8D">
        <w:rPr>
          <w:rFonts w:ascii="Book Antiqua" w:hAnsi="Book Antiqua" w:cs="Times New Roman"/>
          <w:sz w:val="24"/>
          <w:szCs w:val="24"/>
          <w:shd w:val="clear" w:color="auto" w:fill="FFFFFF"/>
        </w:rPr>
        <w:t>esophagogastroscopy with biops</w:t>
      </w:r>
      <w:r w:rsidR="00D208DD" w:rsidRPr="00FA5C8D">
        <w:rPr>
          <w:rFonts w:ascii="Book Antiqua" w:hAnsi="Book Antiqua" w:cs="Times New Roman"/>
          <w:sz w:val="24"/>
          <w:szCs w:val="24"/>
          <w:shd w:val="clear" w:color="auto" w:fill="FFFFFF"/>
        </w:rPr>
        <w:t>ies</w:t>
      </w:r>
      <w:r w:rsidRPr="00FA5C8D">
        <w:rPr>
          <w:rFonts w:ascii="Book Antiqua" w:hAnsi="Book Antiqua" w:cs="Times New Roman"/>
          <w:sz w:val="24"/>
          <w:szCs w:val="24"/>
          <w:shd w:val="clear" w:color="auto" w:fill="FFFFFF"/>
        </w:rPr>
        <w:t xml:space="preserve"> from </w:t>
      </w:r>
      <w:r w:rsidR="0037229C" w:rsidRPr="00FA5C8D">
        <w:rPr>
          <w:rFonts w:ascii="Book Antiqua" w:hAnsi="Book Antiqua" w:cs="Times New Roman"/>
          <w:sz w:val="24"/>
          <w:szCs w:val="24"/>
          <w:shd w:val="clear" w:color="auto" w:fill="FFFFFF"/>
        </w:rPr>
        <w:t>the second</w:t>
      </w:r>
      <w:r w:rsidR="00D208DD" w:rsidRPr="00FA5C8D">
        <w:rPr>
          <w:rFonts w:ascii="Book Antiqua" w:hAnsi="Book Antiqua" w:cs="Times New Roman"/>
          <w:sz w:val="24"/>
          <w:szCs w:val="24"/>
          <w:shd w:val="clear" w:color="auto" w:fill="FFFFFF"/>
        </w:rPr>
        <w:t xml:space="preserve"> part of the duodenum and one from duodenal bulb</w:t>
      </w:r>
      <w:r w:rsidR="00263E30" w:rsidRPr="00FA5C8D">
        <w:rPr>
          <w:rFonts w:ascii="Book Antiqua" w:hAnsi="Book Antiqua" w:cs="Times New Roman"/>
          <w:sz w:val="24"/>
          <w:szCs w:val="24"/>
          <w:shd w:val="clear" w:color="auto" w:fill="FFFFFF"/>
        </w:rPr>
        <w:t>;</w:t>
      </w:r>
      <w:r w:rsidRPr="00FA5C8D">
        <w:rPr>
          <w:rFonts w:ascii="Book Antiqua" w:hAnsi="Book Antiqua" w:cs="Times New Roman"/>
          <w:color w:val="000000"/>
          <w:sz w:val="24"/>
          <w:szCs w:val="24"/>
          <w:shd w:val="clear" w:color="auto" w:fill="FFFFFF"/>
        </w:rPr>
        <w:t xml:space="preserve"> at least four biopsy </w:t>
      </w:r>
      <w:r w:rsidR="00C07ED1" w:rsidRPr="00FA5C8D">
        <w:rPr>
          <w:rFonts w:ascii="Book Antiqua" w:hAnsi="Book Antiqua" w:cs="Times New Roman"/>
          <w:color w:val="000000"/>
          <w:sz w:val="24"/>
          <w:szCs w:val="24"/>
          <w:shd w:val="clear" w:color="auto" w:fill="FFFFFF"/>
        </w:rPr>
        <w:t>specimens were</w:t>
      </w:r>
      <w:r w:rsidRPr="00FA5C8D">
        <w:rPr>
          <w:rFonts w:ascii="Book Antiqua" w:hAnsi="Book Antiqua" w:cs="Times New Roman"/>
          <w:color w:val="000000"/>
          <w:sz w:val="24"/>
          <w:szCs w:val="24"/>
          <w:shd w:val="clear" w:color="auto" w:fill="FFFFFF"/>
        </w:rPr>
        <w:t xml:space="preserve"> fixed in </w:t>
      </w:r>
      <w:r w:rsidR="006F430A" w:rsidRPr="00FA5C8D">
        <w:rPr>
          <w:rFonts w:ascii="Book Antiqua" w:hAnsi="Book Antiqua" w:cs="Times New Roman"/>
          <w:color w:val="000000"/>
          <w:sz w:val="24"/>
          <w:szCs w:val="24"/>
          <w:shd w:val="clear" w:color="auto" w:fill="FFFFFF"/>
        </w:rPr>
        <w:t>40</w:t>
      </w:r>
      <w:r w:rsidR="00360EDB" w:rsidRPr="00FA5C8D">
        <w:rPr>
          <w:rFonts w:ascii="Book Antiqua" w:hAnsi="Book Antiqua" w:cs="Times New Roman"/>
          <w:color w:val="000000"/>
          <w:sz w:val="24"/>
          <w:szCs w:val="24"/>
          <w:shd w:val="clear" w:color="auto" w:fill="FFFFFF"/>
        </w:rPr>
        <w:t xml:space="preserve"> </w:t>
      </w:r>
      <w:r w:rsidR="006F430A" w:rsidRPr="00FA5C8D">
        <w:rPr>
          <w:rFonts w:ascii="Book Antiqua" w:hAnsi="Book Antiqua" w:cs="Times New Roman"/>
          <w:color w:val="000000"/>
          <w:sz w:val="24"/>
          <w:szCs w:val="24"/>
          <w:shd w:val="clear" w:color="auto" w:fill="FFFFFF"/>
        </w:rPr>
        <w:t>g/</w:t>
      </w:r>
      <w:r w:rsidR="00EA6A28" w:rsidRPr="00FA5C8D">
        <w:rPr>
          <w:rFonts w:ascii="Book Antiqua" w:hAnsi="Book Antiqua" w:cs="Times New Roman"/>
          <w:color w:val="000000"/>
          <w:sz w:val="24"/>
          <w:szCs w:val="24"/>
          <w:shd w:val="clear" w:color="auto" w:fill="FFFFFF"/>
        </w:rPr>
        <w:t>L</w:t>
      </w:r>
      <w:r w:rsidR="006F430A" w:rsidRPr="00FA5C8D">
        <w:rPr>
          <w:rFonts w:ascii="Book Antiqua" w:hAnsi="Book Antiqua" w:cs="Times New Roman"/>
          <w:color w:val="000000"/>
          <w:sz w:val="24"/>
          <w:szCs w:val="24"/>
          <w:shd w:val="clear" w:color="auto" w:fill="FFFFFF"/>
        </w:rPr>
        <w:t xml:space="preserve"> formaldehyde</w:t>
      </w:r>
      <w:r w:rsidR="00704657" w:rsidRPr="00FA5C8D">
        <w:rPr>
          <w:rFonts w:ascii="Book Antiqua" w:hAnsi="Book Antiqua" w:cs="Times New Roman"/>
          <w:color w:val="000000"/>
          <w:sz w:val="24"/>
          <w:szCs w:val="24"/>
          <w:shd w:val="clear" w:color="auto" w:fill="FFFFFF"/>
        </w:rPr>
        <w:t>.</w:t>
      </w:r>
      <w:r w:rsidR="00FA1283" w:rsidRPr="00FA5C8D">
        <w:rPr>
          <w:rFonts w:ascii="Book Antiqua" w:hAnsi="Book Antiqua" w:cs="Times New Roman"/>
          <w:color w:val="000000"/>
          <w:sz w:val="24"/>
          <w:szCs w:val="24"/>
          <w:shd w:val="clear" w:color="auto" w:fill="FFFFFF"/>
        </w:rPr>
        <w:t xml:space="preserve"> Paraffin-embedding blocks </w:t>
      </w:r>
      <w:r w:rsidR="00465651" w:rsidRPr="00FA5C8D">
        <w:rPr>
          <w:rFonts w:ascii="Book Antiqua" w:hAnsi="Book Antiqua" w:cs="Times New Roman"/>
          <w:color w:val="000000"/>
          <w:sz w:val="24"/>
          <w:szCs w:val="24"/>
          <w:shd w:val="clear" w:color="auto" w:fill="FFFFFF"/>
        </w:rPr>
        <w:t xml:space="preserve">were created for basic </w:t>
      </w:r>
      <w:r w:rsidR="00FA1283" w:rsidRPr="00FA5C8D">
        <w:rPr>
          <w:rFonts w:ascii="Book Antiqua" w:hAnsi="Book Antiqua" w:cs="Times New Roman"/>
          <w:color w:val="000000"/>
          <w:sz w:val="24"/>
          <w:szCs w:val="24"/>
          <w:shd w:val="clear" w:color="auto" w:fill="FFFFFF"/>
        </w:rPr>
        <w:t>hematoxylin</w:t>
      </w:r>
      <w:r w:rsidR="00465651" w:rsidRPr="00FA5C8D">
        <w:rPr>
          <w:rFonts w:ascii="Book Antiqua" w:hAnsi="Book Antiqua" w:cs="Times New Roman"/>
          <w:color w:val="000000"/>
          <w:sz w:val="24"/>
          <w:szCs w:val="24"/>
          <w:shd w:val="clear" w:color="auto" w:fill="FFFFFF"/>
        </w:rPr>
        <w:t>-eosin staining and special staining</w:t>
      </w:r>
      <w:r w:rsidR="00382DED" w:rsidRPr="00FA5C8D">
        <w:rPr>
          <w:rFonts w:ascii="Book Antiqua" w:hAnsi="Book Antiqua" w:cs="Times New Roman"/>
          <w:color w:val="000000"/>
          <w:sz w:val="24"/>
          <w:szCs w:val="24"/>
          <w:shd w:val="clear" w:color="auto" w:fill="FFFFFF"/>
        </w:rPr>
        <w:t>.</w:t>
      </w:r>
      <w:r w:rsidR="0037229C" w:rsidRPr="00FA5C8D">
        <w:rPr>
          <w:rFonts w:ascii="Book Antiqua" w:hAnsi="Book Antiqua" w:cs="Times New Roman"/>
          <w:color w:val="000000"/>
          <w:sz w:val="24"/>
          <w:szCs w:val="24"/>
          <w:shd w:val="clear" w:color="auto" w:fill="FFFFFF"/>
        </w:rPr>
        <w:t xml:space="preserve"> </w:t>
      </w:r>
      <w:r w:rsidR="006C7B41" w:rsidRPr="00FA5C8D">
        <w:rPr>
          <w:rFonts w:ascii="Book Antiqua" w:hAnsi="Book Antiqua" w:cs="Times New Roman"/>
          <w:color w:val="000000"/>
          <w:sz w:val="24"/>
          <w:szCs w:val="24"/>
          <w:shd w:val="clear" w:color="auto" w:fill="FFFFFF"/>
        </w:rPr>
        <w:t xml:space="preserve">The </w:t>
      </w:r>
      <w:r w:rsidR="00704657" w:rsidRPr="00FA5C8D">
        <w:rPr>
          <w:rFonts w:ascii="Book Antiqua" w:hAnsi="Book Antiqua" w:cs="Times New Roman"/>
          <w:color w:val="000000"/>
          <w:sz w:val="24"/>
          <w:szCs w:val="24"/>
          <w:shd w:val="clear" w:color="auto" w:fill="FFFFFF"/>
        </w:rPr>
        <w:t>Marsh classification modified by Obe</w:t>
      </w:r>
      <w:r w:rsidR="004352C9" w:rsidRPr="00FA5C8D">
        <w:rPr>
          <w:rFonts w:ascii="Book Antiqua" w:hAnsi="Book Antiqua" w:cs="Times New Roman"/>
          <w:color w:val="000000"/>
          <w:sz w:val="24"/>
          <w:szCs w:val="24"/>
          <w:shd w:val="clear" w:color="auto" w:fill="FFFFFF"/>
        </w:rPr>
        <w:t>r</w:t>
      </w:r>
      <w:r w:rsidR="00704657" w:rsidRPr="00FA5C8D">
        <w:rPr>
          <w:rFonts w:ascii="Book Antiqua" w:hAnsi="Book Antiqua" w:cs="Times New Roman"/>
          <w:color w:val="000000"/>
          <w:sz w:val="24"/>
          <w:szCs w:val="24"/>
          <w:shd w:val="clear" w:color="auto" w:fill="FFFFFF"/>
        </w:rPr>
        <w:t>huber</w:t>
      </w:r>
      <w:r w:rsidR="0037229C" w:rsidRPr="00FA5C8D">
        <w:rPr>
          <w:rFonts w:ascii="Book Antiqua" w:hAnsi="Book Antiqua" w:cs="Times New Roman"/>
          <w:color w:val="000000"/>
          <w:sz w:val="24"/>
          <w:szCs w:val="24"/>
          <w:shd w:val="clear" w:color="auto" w:fill="FFFFFF"/>
        </w:rPr>
        <w:t xml:space="preserve"> </w:t>
      </w:r>
      <w:r w:rsidR="00704657" w:rsidRPr="00FA5C8D">
        <w:rPr>
          <w:rFonts w:ascii="Book Antiqua" w:hAnsi="Book Antiqua" w:cs="Times New Roman"/>
          <w:color w:val="000000"/>
          <w:sz w:val="24"/>
          <w:szCs w:val="24"/>
          <w:shd w:val="clear" w:color="auto" w:fill="FFFFFF"/>
        </w:rPr>
        <w:t xml:space="preserve">was used for </w:t>
      </w:r>
      <w:r w:rsidR="001E58D1" w:rsidRPr="00FA5C8D">
        <w:rPr>
          <w:rFonts w:ascii="Book Antiqua" w:hAnsi="Book Antiqua" w:cs="Times New Roman"/>
          <w:color w:val="000000"/>
          <w:sz w:val="24"/>
          <w:szCs w:val="24"/>
          <w:shd w:val="clear" w:color="auto" w:fill="FFFFFF"/>
        </w:rPr>
        <w:t>microscopic</w:t>
      </w:r>
      <w:r w:rsidR="00704657" w:rsidRPr="00FA5C8D">
        <w:rPr>
          <w:rFonts w:ascii="Book Antiqua" w:hAnsi="Book Antiqua" w:cs="Times New Roman"/>
          <w:color w:val="000000"/>
          <w:sz w:val="24"/>
          <w:szCs w:val="24"/>
          <w:shd w:val="clear" w:color="auto" w:fill="FFFFFF"/>
        </w:rPr>
        <w:t xml:space="preserve"> evaluation</w:t>
      </w:r>
      <w:r w:rsidR="00185175" w:rsidRPr="00FA5C8D">
        <w:rPr>
          <w:rFonts w:ascii="Book Antiqua" w:hAnsi="Book Antiqua" w:cs="Times New Roman"/>
          <w:color w:val="000000"/>
          <w:sz w:val="24"/>
          <w:szCs w:val="24"/>
          <w:shd w:val="clear" w:color="auto" w:fill="FFFFFF"/>
        </w:rPr>
        <w:fldChar w:fldCharType="begin"/>
      </w:r>
      <w:r w:rsidR="000C00A4" w:rsidRPr="00FA5C8D">
        <w:rPr>
          <w:rFonts w:ascii="Book Antiqua" w:hAnsi="Book Antiqua" w:cs="Times New Roman"/>
          <w:color w:val="000000"/>
          <w:sz w:val="24"/>
          <w:szCs w:val="24"/>
          <w:shd w:val="clear" w:color="auto" w:fill="FFFFFF"/>
        </w:rPr>
        <w:instrText xml:space="preserve"> ADDIN ZOTERO_ITEM CSL_CITATION {"citationID":"4F5UxFfk","properties":{"formattedCitation":"\\super [17]\\nosupersub{}","plainCitation":"[17]","noteIndex":0},"citationItems":[{"id":1216,"uris":["http://zotero.org/users/4312189/items/UC4HWICM"],"uri":["http://zotero.org/users/4312189/items/UC4HWICM"],"itemData":{"id":1216,"type":"article-journal","abstract":"In this paper, we review the histological features of coeliac disease and propose a standardized report scheme based on the Marsh classification. Furthermore, terms used by pathologists are defined. The most important histological differential diagnoses are given, as well as a definition of the different clinical forms of coeliac disease such as symptomatic, silent, latent, potential, treated and refractory coeliac disease.","container-title":"European Journal of Gastroenterology &amp; Hepatology","DOI":"10.1097/00042737-199910000-00019","ISSN":"0954-691X","issue":"10","journalAbbreviation":"Eur J Gastroenterol Hepatol","language":"eng","note":"PMID: 10524652","page":"1185-1194","source":"PubMed","title":"The histopathology of coeliac disease: time for a standardized report scheme for pathologists","title-short":"The histopathology of coeliac disease","volume":"11","author":[{"family":"Oberhuber","given":"G."},{"family":"Granditsch","given":"G."},{"family":"Vogelsang","given":"H."}],"issued":{"date-parts":[["1999",10]]}}}],"schema":"https://github.com/citation-style-language/schema/raw/master/csl-citation.json"}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0C00A4" w:rsidRPr="00FA5C8D">
        <w:rPr>
          <w:rFonts w:ascii="Book Antiqua" w:hAnsi="Book Antiqua" w:cs="Times New Roman"/>
          <w:sz w:val="24"/>
          <w:szCs w:val="24"/>
          <w:vertAlign w:val="superscript"/>
        </w:rPr>
        <w:t>[17]</w:t>
      </w:r>
      <w:r w:rsidR="00185175" w:rsidRPr="00FA5C8D">
        <w:rPr>
          <w:rFonts w:ascii="Book Antiqua" w:hAnsi="Book Antiqua" w:cs="Times New Roman"/>
          <w:color w:val="000000"/>
          <w:sz w:val="24"/>
          <w:szCs w:val="24"/>
          <w:shd w:val="clear" w:color="auto" w:fill="FFFFFF"/>
        </w:rPr>
        <w:fldChar w:fldCharType="end"/>
      </w:r>
      <w:r w:rsidR="00704657" w:rsidRPr="00FA5C8D">
        <w:rPr>
          <w:rFonts w:ascii="Book Antiqua" w:hAnsi="Book Antiqua" w:cs="Times New Roman"/>
          <w:color w:val="000000"/>
          <w:sz w:val="24"/>
          <w:szCs w:val="24"/>
          <w:shd w:val="clear" w:color="auto" w:fill="FFFFFF"/>
        </w:rPr>
        <w:t>.</w:t>
      </w:r>
      <w:r w:rsidR="0037229C" w:rsidRPr="00FA5C8D">
        <w:rPr>
          <w:rFonts w:ascii="Book Antiqua" w:hAnsi="Book Antiqua" w:cs="Times New Roman"/>
          <w:color w:val="000000"/>
          <w:sz w:val="24"/>
          <w:szCs w:val="24"/>
          <w:shd w:val="clear" w:color="auto" w:fill="FFFFFF"/>
        </w:rPr>
        <w:t xml:space="preserve"> </w:t>
      </w:r>
      <w:r w:rsidR="008B0B71" w:rsidRPr="00FA5C8D">
        <w:rPr>
          <w:rFonts w:ascii="Book Antiqua" w:hAnsi="Book Antiqua" w:cs="Times New Roman"/>
          <w:sz w:val="24"/>
          <w:szCs w:val="24"/>
          <w:shd w:val="clear" w:color="auto" w:fill="FFFFFF"/>
        </w:rPr>
        <w:t>Mucosal architecture</w:t>
      </w:r>
      <w:r w:rsidR="0037229C" w:rsidRPr="00FA5C8D">
        <w:rPr>
          <w:rFonts w:ascii="Book Antiqua" w:hAnsi="Book Antiqua" w:cs="Times New Roman"/>
          <w:sz w:val="24"/>
          <w:szCs w:val="24"/>
          <w:shd w:val="clear" w:color="auto" w:fill="FFFFFF"/>
        </w:rPr>
        <w:t xml:space="preserve"> </w:t>
      </w:r>
      <w:r w:rsidR="002510A3" w:rsidRPr="00FA5C8D">
        <w:rPr>
          <w:rFonts w:ascii="Book Antiqua" w:hAnsi="Book Antiqua" w:cs="Times New Roman"/>
          <w:sz w:val="24"/>
          <w:szCs w:val="24"/>
          <w:shd w:val="clear" w:color="auto" w:fill="FFFFFF"/>
        </w:rPr>
        <w:t>(</w:t>
      </w:r>
      <w:r w:rsidR="00465651" w:rsidRPr="00FA5C8D">
        <w:rPr>
          <w:rFonts w:ascii="Book Antiqua" w:hAnsi="Book Antiqua" w:cs="Times New Roman"/>
          <w:sz w:val="24"/>
          <w:szCs w:val="24"/>
          <w:shd w:val="clear" w:color="auto" w:fill="FFFFFF"/>
        </w:rPr>
        <w:t>vill</w:t>
      </w:r>
      <w:r w:rsidR="004B15EC" w:rsidRPr="00FA5C8D">
        <w:rPr>
          <w:rFonts w:ascii="Book Antiqua" w:hAnsi="Book Antiqua" w:cs="Times New Roman"/>
          <w:sz w:val="24"/>
          <w:szCs w:val="24"/>
          <w:shd w:val="clear" w:color="auto" w:fill="FFFFFF"/>
        </w:rPr>
        <w:t>us</w:t>
      </w:r>
      <w:r w:rsidR="0037229C" w:rsidRPr="00FA5C8D">
        <w:rPr>
          <w:rFonts w:ascii="Book Antiqua" w:hAnsi="Book Antiqua" w:cs="Times New Roman"/>
          <w:sz w:val="24"/>
          <w:szCs w:val="24"/>
          <w:shd w:val="clear" w:color="auto" w:fill="FFFFFF"/>
        </w:rPr>
        <w:t xml:space="preserve"> </w:t>
      </w:r>
      <w:r w:rsidR="008B0B71" w:rsidRPr="00FA5C8D">
        <w:rPr>
          <w:rFonts w:ascii="Book Antiqua" w:hAnsi="Book Antiqua" w:cs="Times New Roman"/>
          <w:color w:val="000000"/>
          <w:sz w:val="24"/>
          <w:szCs w:val="24"/>
          <w:shd w:val="clear" w:color="auto" w:fill="FFFFFF"/>
        </w:rPr>
        <w:t>height</w:t>
      </w:r>
      <w:r w:rsidR="00465651" w:rsidRPr="00FA5C8D">
        <w:rPr>
          <w:rFonts w:ascii="Book Antiqua" w:hAnsi="Book Antiqua" w:cs="Times New Roman"/>
          <w:color w:val="000000"/>
          <w:sz w:val="24"/>
          <w:szCs w:val="24"/>
          <w:shd w:val="clear" w:color="auto" w:fill="FFFFFF"/>
        </w:rPr>
        <w:t>, crypt depth</w:t>
      </w:r>
      <w:r w:rsidR="002510A3" w:rsidRPr="00FA5C8D">
        <w:rPr>
          <w:rFonts w:ascii="Book Antiqua" w:hAnsi="Book Antiqua" w:cs="Times New Roman"/>
          <w:color w:val="000000"/>
          <w:sz w:val="24"/>
          <w:szCs w:val="24"/>
          <w:shd w:val="clear" w:color="auto" w:fill="FFFFFF"/>
        </w:rPr>
        <w:t xml:space="preserve">), </w:t>
      </w:r>
      <w:r w:rsidR="008B0B71" w:rsidRPr="00FA5C8D">
        <w:rPr>
          <w:rFonts w:ascii="Book Antiqua" w:hAnsi="Book Antiqua" w:cs="Times New Roman"/>
          <w:color w:val="000000"/>
          <w:sz w:val="24"/>
          <w:szCs w:val="24"/>
          <w:shd w:val="clear" w:color="auto" w:fill="FFFFFF"/>
        </w:rPr>
        <w:t xml:space="preserve">intraepithelial lymphocytes, </w:t>
      </w:r>
      <w:r w:rsidR="00FA1283" w:rsidRPr="00FA5C8D">
        <w:rPr>
          <w:rFonts w:ascii="Book Antiqua" w:hAnsi="Book Antiqua" w:cs="Times New Roman"/>
          <w:color w:val="000000"/>
          <w:sz w:val="24"/>
          <w:szCs w:val="24"/>
          <w:shd w:val="clear" w:color="auto" w:fill="FFFFFF"/>
        </w:rPr>
        <w:t>inflammatory cell infiltrate</w:t>
      </w:r>
      <w:r w:rsidR="006C7B41" w:rsidRPr="00FA5C8D">
        <w:rPr>
          <w:rFonts w:ascii="Book Antiqua" w:hAnsi="Book Antiqua" w:cs="Times New Roman"/>
          <w:color w:val="000000"/>
          <w:sz w:val="24"/>
          <w:szCs w:val="24"/>
          <w:shd w:val="clear" w:color="auto" w:fill="FFFFFF"/>
        </w:rPr>
        <w:t>,</w:t>
      </w:r>
      <w:r w:rsidR="002510A3" w:rsidRPr="00FA5C8D">
        <w:rPr>
          <w:rFonts w:ascii="Book Antiqua" w:hAnsi="Book Antiqua" w:cs="Times New Roman"/>
          <w:color w:val="000000"/>
          <w:sz w:val="24"/>
          <w:szCs w:val="24"/>
          <w:shd w:val="clear" w:color="auto" w:fill="FFFFFF"/>
        </w:rPr>
        <w:t xml:space="preserve"> a</w:t>
      </w:r>
      <w:r w:rsidR="00465651" w:rsidRPr="00FA5C8D">
        <w:rPr>
          <w:rFonts w:ascii="Book Antiqua" w:hAnsi="Book Antiqua" w:cs="Times New Roman"/>
          <w:color w:val="000000"/>
          <w:sz w:val="24"/>
          <w:szCs w:val="24"/>
          <w:shd w:val="clear" w:color="auto" w:fill="FFFFFF"/>
        </w:rPr>
        <w:t>nd level of epithelial differentiation were evaluated</w:t>
      </w:r>
      <w:r w:rsidR="002510A3" w:rsidRPr="00FA5C8D">
        <w:rPr>
          <w:rFonts w:ascii="Book Antiqua" w:hAnsi="Book Antiqua" w:cs="Times New Roman"/>
          <w:color w:val="000000"/>
          <w:sz w:val="24"/>
          <w:szCs w:val="24"/>
          <w:shd w:val="clear" w:color="auto" w:fill="FFFFFF"/>
        </w:rPr>
        <w:t xml:space="preserve">. </w:t>
      </w:r>
      <w:r w:rsidR="00A200A7" w:rsidRPr="00FA5C8D">
        <w:rPr>
          <w:rFonts w:ascii="Book Antiqua" w:hAnsi="Book Antiqua" w:cs="Times New Roman"/>
          <w:color w:val="000000"/>
          <w:sz w:val="24"/>
          <w:szCs w:val="24"/>
          <w:shd w:val="clear" w:color="auto" w:fill="FFFFFF"/>
        </w:rPr>
        <w:t>The p</w:t>
      </w:r>
      <w:r w:rsidR="00BF5553" w:rsidRPr="00FA5C8D">
        <w:rPr>
          <w:rFonts w:ascii="Book Antiqua" w:hAnsi="Book Antiqua" w:cs="Times New Roman"/>
          <w:color w:val="000000"/>
          <w:sz w:val="24"/>
          <w:szCs w:val="24"/>
          <w:shd w:val="clear" w:color="auto" w:fill="FFFFFF"/>
        </w:rPr>
        <w:t xml:space="preserve">athologist was blinded to </w:t>
      </w:r>
      <w:r w:rsidR="00A200A7" w:rsidRPr="00FA5C8D">
        <w:rPr>
          <w:rFonts w:ascii="Book Antiqua" w:hAnsi="Book Antiqua" w:cs="Times New Roman"/>
          <w:color w:val="000000"/>
          <w:sz w:val="24"/>
          <w:szCs w:val="24"/>
          <w:shd w:val="clear" w:color="auto" w:fill="FFFFFF"/>
        </w:rPr>
        <w:t xml:space="preserve">the </w:t>
      </w:r>
      <w:r w:rsidR="00BF5553" w:rsidRPr="00FA5C8D">
        <w:rPr>
          <w:rFonts w:ascii="Book Antiqua" w:hAnsi="Book Antiqua" w:cs="Times New Roman"/>
          <w:color w:val="000000"/>
          <w:sz w:val="24"/>
          <w:szCs w:val="24"/>
          <w:shd w:val="clear" w:color="auto" w:fill="FFFFFF"/>
        </w:rPr>
        <w:t>clinical and antibod</w:t>
      </w:r>
      <w:r w:rsidR="00A200A7" w:rsidRPr="00FA5C8D">
        <w:rPr>
          <w:rFonts w:ascii="Book Antiqua" w:hAnsi="Book Antiqua" w:cs="Times New Roman"/>
          <w:color w:val="000000"/>
          <w:sz w:val="24"/>
          <w:szCs w:val="24"/>
          <w:shd w:val="clear" w:color="auto" w:fill="FFFFFF"/>
        </w:rPr>
        <w:t>y</w:t>
      </w:r>
      <w:r w:rsidR="00BF5553" w:rsidRPr="00FA5C8D">
        <w:rPr>
          <w:rFonts w:ascii="Book Antiqua" w:hAnsi="Book Antiqua" w:cs="Times New Roman"/>
          <w:color w:val="000000"/>
          <w:sz w:val="24"/>
          <w:szCs w:val="24"/>
          <w:shd w:val="clear" w:color="auto" w:fill="FFFFFF"/>
        </w:rPr>
        <w:t xml:space="preserve"> results.</w:t>
      </w:r>
    </w:p>
    <w:p w14:paraId="6A12B1DF" w14:textId="77777777" w:rsidR="007D1107" w:rsidRPr="00FA5C8D" w:rsidRDefault="007D1107" w:rsidP="00FA5C8D">
      <w:pPr>
        <w:snapToGrid w:val="0"/>
        <w:spacing w:after="0" w:line="360" w:lineRule="auto"/>
        <w:jc w:val="both"/>
        <w:rPr>
          <w:rFonts w:ascii="Book Antiqua" w:hAnsi="Book Antiqua" w:cs="Times New Roman"/>
          <w:color w:val="000000"/>
          <w:sz w:val="24"/>
          <w:szCs w:val="24"/>
          <w:shd w:val="clear" w:color="auto" w:fill="FFFFFF"/>
        </w:rPr>
      </w:pPr>
    </w:p>
    <w:p w14:paraId="6A3E9931" w14:textId="77777777" w:rsidR="00D3701B" w:rsidRPr="00FA5C8D" w:rsidRDefault="00D3701B" w:rsidP="00FA5C8D">
      <w:pPr>
        <w:snapToGrid w:val="0"/>
        <w:spacing w:after="0" w:line="360" w:lineRule="auto"/>
        <w:jc w:val="both"/>
        <w:rPr>
          <w:rFonts w:ascii="Book Antiqua" w:hAnsi="Book Antiqua" w:cs="Times New Roman"/>
          <w:i/>
          <w:iCs/>
          <w:color w:val="000000"/>
          <w:sz w:val="24"/>
          <w:szCs w:val="24"/>
          <w:shd w:val="clear" w:color="auto" w:fill="FFFFFF"/>
        </w:rPr>
      </w:pPr>
      <w:r w:rsidRPr="00FA5C8D">
        <w:rPr>
          <w:rFonts w:ascii="Book Antiqua" w:hAnsi="Book Antiqua" w:cs="Times New Roman"/>
          <w:b/>
          <w:bCs/>
          <w:i/>
          <w:iCs/>
          <w:color w:val="000000"/>
          <w:sz w:val="24"/>
          <w:szCs w:val="24"/>
          <w:shd w:val="clear" w:color="auto" w:fill="FFFFFF"/>
        </w:rPr>
        <w:t>Methods of serologic testing</w:t>
      </w:r>
    </w:p>
    <w:p w14:paraId="7E87DD31" w14:textId="77777777" w:rsidR="00965EDA" w:rsidRPr="00FA5C8D" w:rsidRDefault="00B747B1" w:rsidP="00FA5C8D">
      <w:pPr>
        <w:snapToGrid w:val="0"/>
        <w:spacing w:after="0" w:line="360" w:lineRule="auto"/>
        <w:jc w:val="both"/>
        <w:rPr>
          <w:rFonts w:ascii="Book Antiqua" w:hAnsi="Book Antiqua" w:cs="Times New Roman"/>
          <w:sz w:val="24"/>
          <w:szCs w:val="24"/>
          <w:shd w:val="clear" w:color="auto" w:fill="FFFFFF"/>
        </w:rPr>
      </w:pPr>
      <w:r w:rsidRPr="00FA5C8D">
        <w:rPr>
          <w:rFonts w:ascii="Book Antiqua" w:hAnsi="Book Antiqua" w:cs="Times New Roman"/>
          <w:sz w:val="24"/>
          <w:szCs w:val="24"/>
          <w:shd w:val="clear" w:color="auto" w:fill="FFFFFF"/>
        </w:rPr>
        <w:t xml:space="preserve">Serum samples were collected </w:t>
      </w:r>
      <w:r w:rsidR="00FA79C2" w:rsidRPr="00FA5C8D">
        <w:rPr>
          <w:rFonts w:ascii="Book Antiqua" w:hAnsi="Book Antiqua" w:cs="Times New Roman"/>
          <w:sz w:val="24"/>
          <w:szCs w:val="24"/>
          <w:shd w:val="clear" w:color="auto" w:fill="FFFFFF"/>
        </w:rPr>
        <w:t xml:space="preserve">within </w:t>
      </w:r>
      <w:r w:rsidR="00477DAF" w:rsidRPr="00FA5C8D">
        <w:rPr>
          <w:rFonts w:ascii="Book Antiqua" w:hAnsi="Book Antiqua" w:cs="Times New Roman"/>
          <w:sz w:val="24"/>
          <w:szCs w:val="24"/>
          <w:shd w:val="clear" w:color="auto" w:fill="FFFFFF"/>
        </w:rPr>
        <w:t xml:space="preserve">30 </w:t>
      </w:r>
      <w:r w:rsidRPr="00FA5C8D">
        <w:rPr>
          <w:rFonts w:ascii="Book Antiqua" w:hAnsi="Book Antiqua" w:cs="Times New Roman"/>
          <w:sz w:val="24"/>
          <w:szCs w:val="24"/>
          <w:shd w:val="clear" w:color="auto" w:fill="FFFFFF"/>
        </w:rPr>
        <w:t xml:space="preserve">d </w:t>
      </w:r>
      <w:r w:rsidR="00E0680C" w:rsidRPr="00FA5C8D">
        <w:rPr>
          <w:rFonts w:ascii="Book Antiqua" w:hAnsi="Book Antiqua" w:cs="Times New Roman"/>
          <w:sz w:val="24"/>
          <w:szCs w:val="24"/>
          <w:shd w:val="clear" w:color="auto" w:fill="FFFFFF"/>
        </w:rPr>
        <w:t>after</w:t>
      </w:r>
      <w:r w:rsidRPr="00FA5C8D">
        <w:rPr>
          <w:rFonts w:ascii="Book Antiqua" w:hAnsi="Book Antiqua" w:cs="Times New Roman"/>
          <w:sz w:val="24"/>
          <w:szCs w:val="24"/>
          <w:shd w:val="clear" w:color="auto" w:fill="FFFFFF"/>
        </w:rPr>
        <w:t xml:space="preserve"> duodenal biopsy. Sera were assayed for </w:t>
      </w:r>
      <w:proofErr w:type="spellStart"/>
      <w:r w:rsidRPr="00FA5C8D">
        <w:rPr>
          <w:rFonts w:ascii="Book Antiqua" w:hAnsi="Book Antiqua" w:cs="Times New Roman"/>
          <w:sz w:val="24"/>
          <w:szCs w:val="24"/>
          <w:shd w:val="clear" w:color="auto" w:fill="FFFFFF"/>
        </w:rPr>
        <w:t>aTTG</w:t>
      </w:r>
      <w:proofErr w:type="spellEnd"/>
      <w:r w:rsidRPr="00FA5C8D">
        <w:rPr>
          <w:rFonts w:ascii="Book Antiqua" w:hAnsi="Book Antiqua" w:cs="Times New Roman"/>
          <w:sz w:val="24"/>
          <w:szCs w:val="24"/>
          <w:shd w:val="clear" w:color="auto" w:fill="FFFFFF"/>
        </w:rPr>
        <w:t xml:space="preserve"> IgA</w:t>
      </w:r>
      <w:r w:rsidR="00EA6A28" w:rsidRPr="00FA5C8D">
        <w:rPr>
          <w:rFonts w:ascii="Book Antiqua" w:hAnsi="Book Antiqua" w:cs="Times New Roman"/>
          <w:sz w:val="24"/>
          <w:szCs w:val="24"/>
          <w:shd w:val="clear" w:color="auto" w:fill="FFFFFF"/>
        </w:rPr>
        <w:t xml:space="preserve"> and</w:t>
      </w:r>
      <w:r w:rsidR="009E1E97" w:rsidRPr="00FA5C8D">
        <w:rPr>
          <w:rFonts w:ascii="Book Antiqua" w:hAnsi="Book Antiqua" w:cs="Times New Roman"/>
          <w:sz w:val="24"/>
          <w:szCs w:val="24"/>
          <w:shd w:val="clear" w:color="auto" w:fill="FFFFFF"/>
        </w:rPr>
        <w:t xml:space="preserve"> </w:t>
      </w:r>
      <w:proofErr w:type="spellStart"/>
      <w:r w:rsidRPr="00FA5C8D">
        <w:rPr>
          <w:rFonts w:ascii="Book Antiqua" w:hAnsi="Book Antiqua" w:cs="Times New Roman"/>
          <w:sz w:val="24"/>
          <w:szCs w:val="24"/>
          <w:shd w:val="clear" w:color="auto" w:fill="FFFFFF"/>
        </w:rPr>
        <w:t>IgG</w:t>
      </w:r>
      <w:proofErr w:type="spellEnd"/>
      <w:r w:rsidR="009E1E97" w:rsidRPr="00FA5C8D">
        <w:rPr>
          <w:rFonts w:ascii="Book Antiqua" w:hAnsi="Book Antiqua" w:cs="Times New Roman"/>
          <w:sz w:val="24"/>
          <w:szCs w:val="24"/>
          <w:shd w:val="clear" w:color="auto" w:fill="FFFFFF"/>
        </w:rPr>
        <w:t xml:space="preserve"> </w:t>
      </w:r>
      <w:r w:rsidR="005700A3" w:rsidRPr="00FA5C8D">
        <w:rPr>
          <w:rFonts w:ascii="Book Antiqua" w:hAnsi="Book Antiqua" w:cs="Times New Roman"/>
          <w:sz w:val="24"/>
          <w:szCs w:val="24"/>
          <w:shd w:val="clear" w:color="auto" w:fill="FFFFFF"/>
        </w:rPr>
        <w:t>and</w:t>
      </w:r>
      <w:r w:rsidR="009E1E97" w:rsidRPr="00FA5C8D">
        <w:rPr>
          <w:rFonts w:ascii="Book Antiqua" w:hAnsi="Book Antiqua" w:cs="Times New Roman"/>
          <w:sz w:val="24"/>
          <w:szCs w:val="24"/>
          <w:shd w:val="clear" w:color="auto" w:fill="FFFFFF"/>
        </w:rPr>
        <w:t xml:space="preserve"> </w:t>
      </w:r>
      <w:proofErr w:type="spellStart"/>
      <w:r w:rsidR="004162B4" w:rsidRPr="00FA5C8D">
        <w:rPr>
          <w:rFonts w:ascii="Book Antiqua" w:hAnsi="Book Antiqua" w:cs="Times New Roman"/>
          <w:sz w:val="24"/>
          <w:szCs w:val="24"/>
          <w:shd w:val="clear" w:color="auto" w:fill="FFFFFF"/>
        </w:rPr>
        <w:t>aDGP</w:t>
      </w:r>
      <w:proofErr w:type="spellEnd"/>
      <w:r w:rsidR="004162B4" w:rsidRPr="00FA5C8D">
        <w:rPr>
          <w:rFonts w:ascii="Book Antiqua" w:hAnsi="Book Antiqua" w:cs="Times New Roman"/>
          <w:sz w:val="24"/>
          <w:szCs w:val="24"/>
          <w:shd w:val="clear" w:color="auto" w:fill="FFFFFF"/>
        </w:rPr>
        <w:t xml:space="preserve"> IgA</w:t>
      </w:r>
      <w:r w:rsidR="00EA6A28" w:rsidRPr="00FA5C8D">
        <w:rPr>
          <w:rFonts w:ascii="Book Antiqua" w:hAnsi="Book Antiqua" w:cs="Times New Roman"/>
          <w:sz w:val="24"/>
          <w:szCs w:val="24"/>
          <w:shd w:val="clear" w:color="auto" w:fill="FFFFFF"/>
        </w:rPr>
        <w:t xml:space="preserve"> and</w:t>
      </w:r>
      <w:r w:rsidR="009E1E97" w:rsidRPr="00FA5C8D">
        <w:rPr>
          <w:rFonts w:ascii="Book Antiqua" w:hAnsi="Book Antiqua" w:cs="Times New Roman"/>
          <w:sz w:val="24"/>
          <w:szCs w:val="24"/>
          <w:shd w:val="clear" w:color="auto" w:fill="FFFFFF"/>
        </w:rPr>
        <w:t xml:space="preserve"> </w:t>
      </w:r>
      <w:proofErr w:type="spellStart"/>
      <w:r w:rsidR="004162B4" w:rsidRPr="00FA5C8D">
        <w:rPr>
          <w:rFonts w:ascii="Book Antiqua" w:hAnsi="Book Antiqua" w:cs="Times New Roman"/>
          <w:sz w:val="24"/>
          <w:szCs w:val="24"/>
          <w:shd w:val="clear" w:color="auto" w:fill="FFFFFF"/>
        </w:rPr>
        <w:t>IgG</w:t>
      </w:r>
      <w:proofErr w:type="spellEnd"/>
      <w:r w:rsidR="009E1E97" w:rsidRPr="00FA5C8D">
        <w:rPr>
          <w:rFonts w:ascii="Book Antiqua" w:hAnsi="Book Antiqua" w:cs="Times New Roman"/>
          <w:sz w:val="24"/>
          <w:szCs w:val="24"/>
          <w:shd w:val="clear" w:color="auto" w:fill="FFFFFF"/>
        </w:rPr>
        <w:t xml:space="preserve"> </w:t>
      </w:r>
      <w:r w:rsidR="004E09B6" w:rsidRPr="00FA5C8D">
        <w:rPr>
          <w:rFonts w:ascii="Book Antiqua" w:hAnsi="Book Antiqua" w:cs="Times New Roman"/>
          <w:sz w:val="24"/>
          <w:szCs w:val="24"/>
          <w:shd w:val="clear" w:color="auto" w:fill="FFFFFF"/>
        </w:rPr>
        <w:t>using</w:t>
      </w:r>
      <w:r w:rsidR="004162B4" w:rsidRPr="00FA5C8D">
        <w:rPr>
          <w:rFonts w:ascii="Book Antiqua" w:hAnsi="Book Antiqua" w:cs="Times New Roman"/>
          <w:sz w:val="24"/>
          <w:szCs w:val="24"/>
          <w:shd w:val="clear" w:color="auto" w:fill="FFFFFF"/>
        </w:rPr>
        <w:t xml:space="preserve"> ELISA. </w:t>
      </w:r>
      <w:r w:rsidR="00210808" w:rsidRPr="00FA5C8D">
        <w:rPr>
          <w:rFonts w:ascii="Book Antiqua" w:hAnsi="Book Antiqua" w:cs="Times New Roman"/>
          <w:sz w:val="24"/>
          <w:szCs w:val="24"/>
          <w:shd w:val="clear" w:color="auto" w:fill="FFFFFF"/>
        </w:rPr>
        <w:t xml:space="preserve">Cutoff values </w:t>
      </w:r>
      <w:r w:rsidR="00965EDA" w:rsidRPr="00FA5C8D">
        <w:rPr>
          <w:rFonts w:ascii="Book Antiqua" w:hAnsi="Book Antiqua" w:cs="Times New Roman"/>
          <w:sz w:val="24"/>
          <w:szCs w:val="24"/>
          <w:shd w:val="clear" w:color="auto" w:fill="FFFFFF"/>
        </w:rPr>
        <w:t xml:space="preserve">over </w:t>
      </w:r>
      <w:r w:rsidR="00210808" w:rsidRPr="00FA5C8D">
        <w:rPr>
          <w:rFonts w:ascii="Book Antiqua" w:hAnsi="Book Antiqua" w:cs="Times New Roman"/>
          <w:sz w:val="24"/>
          <w:szCs w:val="24"/>
          <w:shd w:val="clear" w:color="auto" w:fill="FFFFFF"/>
        </w:rPr>
        <w:t>18</w:t>
      </w:r>
      <w:r w:rsidR="00360EDB" w:rsidRPr="00FA5C8D">
        <w:rPr>
          <w:rFonts w:ascii="Book Antiqua" w:hAnsi="Book Antiqua" w:cs="Times New Roman"/>
          <w:sz w:val="24"/>
          <w:szCs w:val="24"/>
          <w:shd w:val="clear" w:color="auto" w:fill="FFFFFF"/>
        </w:rPr>
        <w:t xml:space="preserve"> </w:t>
      </w:r>
      <w:r w:rsidR="00210808" w:rsidRPr="00FA5C8D">
        <w:rPr>
          <w:rFonts w:ascii="Book Antiqua" w:hAnsi="Book Antiqua" w:cs="Times New Roman"/>
          <w:sz w:val="24"/>
          <w:szCs w:val="24"/>
          <w:shd w:val="clear" w:color="auto" w:fill="FFFFFF"/>
        </w:rPr>
        <w:t>U/m</w:t>
      </w:r>
      <w:r w:rsidR="00E06DA3" w:rsidRPr="00FA5C8D">
        <w:rPr>
          <w:rFonts w:ascii="Book Antiqua" w:hAnsi="Book Antiqua" w:cs="Times New Roman"/>
          <w:sz w:val="24"/>
          <w:szCs w:val="24"/>
          <w:shd w:val="clear" w:color="auto" w:fill="FFFFFF"/>
        </w:rPr>
        <w:t>L</w:t>
      </w:r>
      <w:r w:rsidR="009E1E97" w:rsidRPr="00FA5C8D">
        <w:rPr>
          <w:rFonts w:ascii="Book Antiqua" w:hAnsi="Book Antiqua" w:cs="Times New Roman"/>
          <w:sz w:val="24"/>
          <w:szCs w:val="24"/>
          <w:shd w:val="clear" w:color="auto" w:fill="FFFFFF"/>
        </w:rPr>
        <w:t xml:space="preserve"> </w:t>
      </w:r>
      <w:r w:rsidR="00965EDA" w:rsidRPr="00FA5C8D">
        <w:rPr>
          <w:rFonts w:ascii="Book Antiqua" w:hAnsi="Book Antiqua" w:cs="Times New Roman"/>
          <w:sz w:val="24"/>
          <w:szCs w:val="24"/>
          <w:shd w:val="clear" w:color="auto" w:fill="FFFFFF"/>
        </w:rPr>
        <w:t>and 20</w:t>
      </w:r>
      <w:r w:rsidR="00360EDB" w:rsidRPr="00FA5C8D">
        <w:rPr>
          <w:rFonts w:ascii="Book Antiqua" w:hAnsi="Book Antiqua" w:cs="Times New Roman"/>
          <w:sz w:val="24"/>
          <w:szCs w:val="24"/>
          <w:shd w:val="clear" w:color="auto" w:fill="FFFFFF"/>
        </w:rPr>
        <w:t xml:space="preserve"> </w:t>
      </w:r>
      <w:r w:rsidR="00965EDA" w:rsidRPr="00FA5C8D">
        <w:rPr>
          <w:rFonts w:ascii="Book Antiqua" w:hAnsi="Book Antiqua" w:cs="Times New Roman"/>
          <w:sz w:val="24"/>
          <w:szCs w:val="24"/>
          <w:shd w:val="clear" w:color="auto" w:fill="FFFFFF"/>
        </w:rPr>
        <w:t>U/m</w:t>
      </w:r>
      <w:r w:rsidR="00E06DA3" w:rsidRPr="00FA5C8D">
        <w:rPr>
          <w:rFonts w:ascii="Book Antiqua" w:hAnsi="Book Antiqua" w:cs="Times New Roman"/>
          <w:sz w:val="24"/>
          <w:szCs w:val="24"/>
          <w:shd w:val="clear" w:color="auto" w:fill="FFFFFF"/>
        </w:rPr>
        <w:t>L</w:t>
      </w:r>
      <w:r w:rsidR="00965EDA" w:rsidRPr="00FA5C8D">
        <w:rPr>
          <w:rFonts w:ascii="Book Antiqua" w:hAnsi="Book Antiqua" w:cs="Times New Roman"/>
          <w:sz w:val="24"/>
          <w:szCs w:val="24"/>
          <w:shd w:val="clear" w:color="auto" w:fill="FFFFFF"/>
        </w:rPr>
        <w:t xml:space="preserve"> for </w:t>
      </w:r>
      <w:proofErr w:type="spellStart"/>
      <w:r w:rsidR="00965EDA" w:rsidRPr="00FA5C8D">
        <w:rPr>
          <w:rFonts w:ascii="Book Antiqua" w:hAnsi="Book Antiqua" w:cs="Times New Roman"/>
          <w:sz w:val="24"/>
          <w:szCs w:val="24"/>
          <w:shd w:val="clear" w:color="auto" w:fill="FFFFFF"/>
        </w:rPr>
        <w:t>aTTG</w:t>
      </w:r>
      <w:proofErr w:type="spellEnd"/>
      <w:r w:rsidR="00965EDA" w:rsidRPr="00FA5C8D">
        <w:rPr>
          <w:rFonts w:ascii="Book Antiqua" w:hAnsi="Book Antiqua" w:cs="Times New Roman"/>
          <w:sz w:val="24"/>
          <w:szCs w:val="24"/>
          <w:shd w:val="clear" w:color="auto" w:fill="FFFFFF"/>
        </w:rPr>
        <w:t xml:space="preserve"> and </w:t>
      </w:r>
      <w:proofErr w:type="spellStart"/>
      <w:r w:rsidR="00965EDA" w:rsidRPr="00FA5C8D">
        <w:rPr>
          <w:rFonts w:ascii="Book Antiqua" w:hAnsi="Book Antiqua" w:cs="Times New Roman"/>
          <w:sz w:val="24"/>
          <w:szCs w:val="24"/>
          <w:shd w:val="clear" w:color="auto" w:fill="FFFFFF"/>
        </w:rPr>
        <w:t>aDGP</w:t>
      </w:r>
      <w:proofErr w:type="spellEnd"/>
      <w:r w:rsidR="004B15EC" w:rsidRPr="00FA5C8D">
        <w:rPr>
          <w:rFonts w:ascii="Book Antiqua" w:hAnsi="Book Antiqua" w:cs="Times New Roman"/>
          <w:sz w:val="24"/>
          <w:szCs w:val="24"/>
          <w:shd w:val="clear" w:color="auto" w:fill="FFFFFF"/>
        </w:rPr>
        <w:t>,</w:t>
      </w:r>
      <w:r w:rsidR="00965EDA" w:rsidRPr="00FA5C8D">
        <w:rPr>
          <w:rFonts w:ascii="Book Antiqua" w:hAnsi="Book Antiqua" w:cs="Times New Roman"/>
          <w:sz w:val="24"/>
          <w:szCs w:val="24"/>
          <w:shd w:val="clear" w:color="auto" w:fill="FFFFFF"/>
        </w:rPr>
        <w:t xml:space="preserve"> respectively</w:t>
      </w:r>
      <w:r w:rsidR="00EA6A28" w:rsidRPr="00FA5C8D">
        <w:rPr>
          <w:rFonts w:ascii="Book Antiqua" w:hAnsi="Book Antiqua" w:cs="Times New Roman"/>
          <w:sz w:val="24"/>
          <w:szCs w:val="24"/>
          <w:shd w:val="clear" w:color="auto" w:fill="FFFFFF"/>
        </w:rPr>
        <w:t>,</w:t>
      </w:r>
      <w:r w:rsidR="009E1E97" w:rsidRPr="00FA5C8D">
        <w:rPr>
          <w:rFonts w:ascii="Book Antiqua" w:hAnsi="Book Antiqua" w:cs="Times New Roman"/>
          <w:sz w:val="24"/>
          <w:szCs w:val="24"/>
          <w:shd w:val="clear" w:color="auto" w:fill="FFFFFF"/>
        </w:rPr>
        <w:t xml:space="preserve"> </w:t>
      </w:r>
      <w:r w:rsidR="00210808" w:rsidRPr="00FA5C8D">
        <w:rPr>
          <w:rFonts w:ascii="Book Antiqua" w:hAnsi="Book Antiqua" w:cs="Times New Roman"/>
          <w:sz w:val="24"/>
          <w:szCs w:val="24"/>
          <w:shd w:val="clear" w:color="auto" w:fill="FFFFFF"/>
        </w:rPr>
        <w:t xml:space="preserve">were </w:t>
      </w:r>
      <w:r w:rsidR="00965EDA" w:rsidRPr="00FA5C8D">
        <w:rPr>
          <w:rFonts w:ascii="Book Antiqua" w:hAnsi="Book Antiqua" w:cs="Times New Roman"/>
          <w:sz w:val="24"/>
          <w:szCs w:val="24"/>
          <w:shd w:val="clear" w:color="auto" w:fill="FFFFFF"/>
        </w:rPr>
        <w:t>regarded as positive b</w:t>
      </w:r>
      <w:r w:rsidR="00210808" w:rsidRPr="00FA5C8D">
        <w:rPr>
          <w:rFonts w:ascii="Book Antiqua" w:hAnsi="Book Antiqua" w:cs="Times New Roman"/>
          <w:sz w:val="24"/>
          <w:szCs w:val="24"/>
          <w:shd w:val="clear" w:color="auto" w:fill="FFFFFF"/>
        </w:rPr>
        <w:t>y</w:t>
      </w:r>
      <w:r w:rsidR="008A25EF" w:rsidRPr="00FA5C8D">
        <w:rPr>
          <w:rFonts w:ascii="Book Antiqua" w:hAnsi="Book Antiqua" w:cs="Times New Roman"/>
          <w:sz w:val="24"/>
          <w:szCs w:val="24"/>
          <w:shd w:val="clear" w:color="auto" w:fill="FFFFFF"/>
        </w:rPr>
        <w:t xml:space="preserve"> the</w:t>
      </w:r>
      <w:r w:rsidR="009E1E97" w:rsidRPr="00FA5C8D">
        <w:rPr>
          <w:rFonts w:ascii="Book Antiqua" w:hAnsi="Book Antiqua" w:cs="Times New Roman"/>
          <w:sz w:val="24"/>
          <w:szCs w:val="24"/>
          <w:shd w:val="clear" w:color="auto" w:fill="FFFFFF"/>
        </w:rPr>
        <w:t xml:space="preserve"> </w:t>
      </w:r>
      <w:r w:rsidR="00FA1283" w:rsidRPr="00FA5C8D">
        <w:rPr>
          <w:rFonts w:ascii="Book Antiqua" w:hAnsi="Book Antiqua" w:cs="Times New Roman"/>
          <w:sz w:val="24"/>
          <w:szCs w:val="24"/>
          <w:shd w:val="clear" w:color="auto" w:fill="FFFFFF"/>
        </w:rPr>
        <w:t>kit manufacturer</w:t>
      </w:r>
      <w:r w:rsidR="00965EDA" w:rsidRPr="00FA5C8D">
        <w:rPr>
          <w:rFonts w:ascii="Book Antiqua" w:hAnsi="Book Antiqua" w:cs="Times New Roman"/>
          <w:sz w:val="24"/>
          <w:szCs w:val="24"/>
          <w:shd w:val="clear" w:color="auto" w:fill="FFFFFF"/>
        </w:rPr>
        <w:t>.</w:t>
      </w:r>
      <w:r w:rsidR="009E1E97" w:rsidRPr="00FA5C8D">
        <w:rPr>
          <w:rFonts w:ascii="Book Antiqua" w:hAnsi="Book Antiqua" w:cs="Times New Roman"/>
          <w:sz w:val="24"/>
          <w:szCs w:val="24"/>
          <w:shd w:val="clear" w:color="auto" w:fill="FFFFFF"/>
        </w:rPr>
        <w:t xml:space="preserve"> </w:t>
      </w:r>
      <w:r w:rsidR="001E58D1" w:rsidRPr="00FA5C8D">
        <w:rPr>
          <w:rFonts w:ascii="Book Antiqua" w:hAnsi="Book Antiqua" w:cs="Times New Roman"/>
          <w:sz w:val="24"/>
          <w:szCs w:val="24"/>
          <w:shd w:val="clear" w:color="auto" w:fill="FFFFFF"/>
        </w:rPr>
        <w:t>Lab kits for analyses</w:t>
      </w:r>
      <w:r w:rsidR="00407440" w:rsidRPr="00FA5C8D">
        <w:rPr>
          <w:rFonts w:ascii="Book Antiqua" w:hAnsi="Book Antiqua" w:cs="Times New Roman"/>
          <w:sz w:val="24"/>
          <w:szCs w:val="24"/>
          <w:shd w:val="clear" w:color="auto" w:fill="FFFFFF"/>
        </w:rPr>
        <w:t xml:space="preserve"> were provided by </w:t>
      </w:r>
      <w:proofErr w:type="spellStart"/>
      <w:r w:rsidR="00407440" w:rsidRPr="00FA5C8D">
        <w:rPr>
          <w:rFonts w:ascii="Book Antiqua" w:hAnsi="Book Antiqua" w:cs="Times New Roman"/>
          <w:sz w:val="24"/>
          <w:szCs w:val="24"/>
          <w:shd w:val="clear" w:color="auto" w:fill="FFFFFF"/>
        </w:rPr>
        <w:t>Test</w:t>
      </w:r>
      <w:r w:rsidR="00973CA1" w:rsidRPr="00FA5C8D">
        <w:rPr>
          <w:rFonts w:ascii="Book Antiqua" w:hAnsi="Book Antiqua" w:cs="Times New Roman"/>
          <w:sz w:val="24"/>
          <w:szCs w:val="24"/>
          <w:shd w:val="clear" w:color="auto" w:fill="FFFFFF"/>
        </w:rPr>
        <w:t>L</w:t>
      </w:r>
      <w:r w:rsidR="00407440" w:rsidRPr="00FA5C8D">
        <w:rPr>
          <w:rFonts w:ascii="Book Antiqua" w:hAnsi="Book Antiqua" w:cs="Times New Roman"/>
          <w:sz w:val="24"/>
          <w:szCs w:val="24"/>
          <w:shd w:val="clear" w:color="auto" w:fill="FFFFFF"/>
        </w:rPr>
        <w:t>ine</w:t>
      </w:r>
      <w:proofErr w:type="spellEnd"/>
      <w:r w:rsidR="00407440" w:rsidRPr="00FA5C8D">
        <w:rPr>
          <w:rFonts w:ascii="Book Antiqua" w:hAnsi="Book Antiqua" w:cs="Times New Roman"/>
          <w:sz w:val="24"/>
          <w:szCs w:val="24"/>
          <w:shd w:val="clear" w:color="auto" w:fill="FFFFFF"/>
        </w:rPr>
        <w:t xml:space="preserve"> Clinical Diagnostics </w:t>
      </w:r>
      <w:r w:rsidR="00360EDB" w:rsidRPr="00FA5C8D">
        <w:rPr>
          <w:rFonts w:ascii="Book Antiqua" w:hAnsi="Book Antiqua" w:cs="Times New Roman"/>
          <w:sz w:val="24"/>
          <w:szCs w:val="24"/>
          <w:shd w:val="clear" w:color="auto" w:fill="FFFFFF"/>
        </w:rPr>
        <w:t>L</w:t>
      </w:r>
      <w:r w:rsidR="00397B19" w:rsidRPr="00FA5C8D">
        <w:rPr>
          <w:rFonts w:ascii="Book Antiqua" w:hAnsi="Book Antiqua" w:cs="Times New Roman"/>
          <w:sz w:val="24"/>
          <w:szCs w:val="24"/>
          <w:shd w:val="clear" w:color="auto" w:fill="FFFFFF"/>
        </w:rPr>
        <w:t>td.</w:t>
      </w:r>
      <w:r w:rsidR="00DB3169" w:rsidRPr="00FA5C8D">
        <w:rPr>
          <w:rFonts w:ascii="Book Antiqua" w:hAnsi="Book Antiqua" w:cs="Times New Roman"/>
          <w:sz w:val="24"/>
          <w:szCs w:val="24"/>
          <w:shd w:val="clear" w:color="auto" w:fill="FFFFFF"/>
        </w:rPr>
        <w:t xml:space="preserve">, Brno, Czech </w:t>
      </w:r>
      <w:r w:rsidR="00EA3C9A" w:rsidRPr="00FA5C8D">
        <w:rPr>
          <w:rFonts w:ascii="Book Antiqua" w:hAnsi="Book Antiqua" w:cs="Times New Roman"/>
          <w:sz w:val="24"/>
          <w:szCs w:val="24"/>
          <w:shd w:val="clear" w:color="auto" w:fill="FFFFFF"/>
        </w:rPr>
        <w:t>R</w:t>
      </w:r>
      <w:r w:rsidR="00DB3169" w:rsidRPr="00FA5C8D">
        <w:rPr>
          <w:rFonts w:ascii="Book Antiqua" w:hAnsi="Book Antiqua" w:cs="Times New Roman"/>
          <w:sz w:val="24"/>
          <w:szCs w:val="24"/>
          <w:shd w:val="clear" w:color="auto" w:fill="FFFFFF"/>
        </w:rPr>
        <w:t xml:space="preserve">epublic. </w:t>
      </w:r>
    </w:p>
    <w:p w14:paraId="3D3D8C53" w14:textId="77777777" w:rsidR="00F83233" w:rsidRPr="00FA5C8D" w:rsidRDefault="00F83233" w:rsidP="00FA5C8D">
      <w:pPr>
        <w:snapToGrid w:val="0"/>
        <w:spacing w:after="0" w:line="360" w:lineRule="auto"/>
        <w:jc w:val="both"/>
        <w:rPr>
          <w:rFonts w:ascii="Book Antiqua" w:hAnsi="Book Antiqua" w:cs="Times New Roman"/>
          <w:sz w:val="24"/>
          <w:szCs w:val="24"/>
          <w:shd w:val="clear" w:color="auto" w:fill="FFFFFF"/>
        </w:rPr>
      </w:pPr>
    </w:p>
    <w:p w14:paraId="7D3D18CD" w14:textId="77777777" w:rsidR="00D3701B" w:rsidRPr="00FA5C8D" w:rsidRDefault="00D3701B" w:rsidP="00FA5C8D">
      <w:pPr>
        <w:snapToGrid w:val="0"/>
        <w:spacing w:after="0" w:line="360" w:lineRule="auto"/>
        <w:jc w:val="both"/>
        <w:rPr>
          <w:rFonts w:ascii="Book Antiqua" w:hAnsi="Book Antiqua" w:cs="Times New Roman"/>
          <w:i/>
          <w:iCs/>
          <w:color w:val="000000"/>
          <w:sz w:val="24"/>
          <w:szCs w:val="24"/>
          <w:shd w:val="clear" w:color="auto" w:fill="FFFFFF"/>
        </w:rPr>
      </w:pPr>
      <w:r w:rsidRPr="00FA5C8D">
        <w:rPr>
          <w:rFonts w:ascii="Book Antiqua" w:hAnsi="Book Antiqua" w:cs="Times New Roman"/>
          <w:b/>
          <w:bCs/>
          <w:i/>
          <w:iCs/>
          <w:color w:val="000000"/>
          <w:sz w:val="24"/>
          <w:szCs w:val="24"/>
          <w:shd w:val="clear" w:color="auto" w:fill="FFFFFF"/>
        </w:rPr>
        <w:t>Ultrasonography evaluation</w:t>
      </w:r>
    </w:p>
    <w:p w14:paraId="2BED69B5" w14:textId="77777777" w:rsidR="0000688B" w:rsidRPr="00FA5C8D" w:rsidRDefault="0000688B" w:rsidP="00FA5C8D">
      <w:pPr>
        <w:snapToGrid w:val="0"/>
        <w:spacing w:after="0" w:line="360" w:lineRule="auto"/>
        <w:jc w:val="both"/>
        <w:rPr>
          <w:rFonts w:ascii="Book Antiqua" w:hAnsi="Book Antiqua" w:cs="Times New Roman"/>
          <w:sz w:val="24"/>
          <w:szCs w:val="24"/>
          <w:shd w:val="clear" w:color="auto" w:fill="FFFFFF"/>
        </w:rPr>
      </w:pPr>
      <w:r w:rsidRPr="00FA5C8D">
        <w:rPr>
          <w:rFonts w:ascii="Book Antiqua" w:hAnsi="Book Antiqua" w:cs="Times New Roman"/>
          <w:color w:val="000000"/>
          <w:sz w:val="24"/>
          <w:szCs w:val="24"/>
          <w:shd w:val="clear" w:color="auto" w:fill="FFFFFF"/>
        </w:rPr>
        <w:t xml:space="preserve">Ultrasonography </w:t>
      </w:r>
      <w:r w:rsidR="00C32B77" w:rsidRPr="00FA5C8D">
        <w:rPr>
          <w:rFonts w:ascii="Book Antiqua" w:hAnsi="Book Antiqua" w:cs="Times New Roman"/>
          <w:color w:val="000000"/>
          <w:sz w:val="24"/>
          <w:szCs w:val="24"/>
          <w:shd w:val="clear" w:color="auto" w:fill="FFFFFF"/>
        </w:rPr>
        <w:t>examination</w:t>
      </w:r>
      <w:r w:rsidR="004B15EC" w:rsidRPr="00FA5C8D">
        <w:rPr>
          <w:rFonts w:ascii="Book Antiqua" w:hAnsi="Book Antiqua" w:cs="Times New Roman"/>
          <w:color w:val="000000"/>
          <w:sz w:val="24"/>
          <w:szCs w:val="24"/>
          <w:shd w:val="clear" w:color="auto" w:fill="FFFFFF"/>
        </w:rPr>
        <w:t>s</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 xml:space="preserve">of </w:t>
      </w:r>
      <w:r w:rsidR="00680DF8" w:rsidRPr="00FA5C8D">
        <w:rPr>
          <w:rFonts w:ascii="Book Antiqua" w:hAnsi="Book Antiqua" w:cs="Times New Roman"/>
          <w:color w:val="000000"/>
          <w:sz w:val="24"/>
          <w:szCs w:val="24"/>
          <w:shd w:val="clear" w:color="auto" w:fill="FFFFFF"/>
        </w:rPr>
        <w:t xml:space="preserve">the </w:t>
      </w:r>
      <w:r w:rsidRPr="00FA5C8D">
        <w:rPr>
          <w:rFonts w:ascii="Book Antiqua" w:hAnsi="Book Antiqua" w:cs="Times New Roman"/>
          <w:color w:val="000000"/>
          <w:sz w:val="24"/>
          <w:szCs w:val="24"/>
          <w:shd w:val="clear" w:color="auto" w:fill="FFFFFF"/>
        </w:rPr>
        <w:t xml:space="preserve">intestine within </w:t>
      </w:r>
      <w:r w:rsidR="00214CF3" w:rsidRPr="00FA5C8D">
        <w:rPr>
          <w:rFonts w:ascii="Book Antiqua" w:hAnsi="Book Antiqua" w:cs="Times New Roman"/>
          <w:color w:val="000000"/>
          <w:sz w:val="24"/>
          <w:szCs w:val="24"/>
          <w:shd w:val="clear" w:color="auto" w:fill="FFFFFF"/>
        </w:rPr>
        <w:t>30</w:t>
      </w:r>
      <w:r w:rsidR="00501102" w:rsidRPr="00FA5C8D">
        <w:rPr>
          <w:rFonts w:ascii="Book Antiqua" w:hAnsi="Book Antiqua" w:cs="Times New Roman"/>
          <w:color w:val="000000"/>
          <w:sz w:val="24"/>
          <w:szCs w:val="24"/>
          <w:shd w:val="clear" w:color="auto" w:fill="FFFFFF"/>
        </w:rPr>
        <w:t xml:space="preserve"> d</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 xml:space="preserve">from duodenal biopsy </w:t>
      </w:r>
      <w:r w:rsidR="004B15EC" w:rsidRPr="00FA5C8D">
        <w:rPr>
          <w:rFonts w:ascii="Book Antiqua" w:hAnsi="Book Antiqua" w:cs="Times New Roman"/>
          <w:color w:val="000000"/>
          <w:sz w:val="24"/>
          <w:szCs w:val="24"/>
          <w:shd w:val="clear" w:color="auto" w:fill="FFFFFF"/>
        </w:rPr>
        <w:t>were</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 xml:space="preserve">available </w:t>
      </w:r>
      <w:r w:rsidR="004B15EC" w:rsidRPr="00FA5C8D">
        <w:rPr>
          <w:rFonts w:ascii="Book Antiqua" w:hAnsi="Book Antiqua" w:cs="Times New Roman"/>
          <w:color w:val="000000"/>
          <w:sz w:val="24"/>
          <w:szCs w:val="24"/>
          <w:shd w:val="clear" w:color="auto" w:fill="FFFFFF"/>
        </w:rPr>
        <w:t>for</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 xml:space="preserve">66 patients. </w:t>
      </w:r>
      <w:r w:rsidR="004B15EC" w:rsidRPr="00FA5C8D">
        <w:rPr>
          <w:rFonts w:ascii="Book Antiqua" w:hAnsi="Book Antiqua" w:cs="Times New Roman"/>
          <w:color w:val="000000"/>
          <w:sz w:val="24"/>
          <w:szCs w:val="24"/>
          <w:shd w:val="clear" w:color="auto" w:fill="FFFFFF"/>
        </w:rPr>
        <w:t>The remainder</w:t>
      </w:r>
      <w:r w:rsidR="0037229C" w:rsidRPr="00FA5C8D">
        <w:rPr>
          <w:rFonts w:ascii="Book Antiqua" w:hAnsi="Book Antiqua" w:cs="Times New Roman"/>
          <w:color w:val="000000"/>
          <w:sz w:val="24"/>
          <w:szCs w:val="24"/>
          <w:shd w:val="clear" w:color="auto" w:fill="FFFFFF"/>
        </w:rPr>
        <w:t xml:space="preserve"> </w:t>
      </w:r>
      <w:r w:rsidR="00EF33F5" w:rsidRPr="00FA5C8D">
        <w:rPr>
          <w:rFonts w:ascii="Book Antiqua" w:hAnsi="Book Antiqua" w:cs="Times New Roman"/>
          <w:color w:val="000000"/>
          <w:sz w:val="24"/>
          <w:szCs w:val="24"/>
          <w:shd w:val="clear" w:color="auto" w:fill="FFFFFF"/>
        </w:rPr>
        <w:t xml:space="preserve">of the patients underwent ultrasonography </w:t>
      </w:r>
      <w:r w:rsidR="004B15EC" w:rsidRPr="00FA5C8D">
        <w:rPr>
          <w:rFonts w:ascii="Book Antiqua" w:hAnsi="Book Antiqua" w:cs="Times New Roman"/>
          <w:color w:val="000000"/>
          <w:sz w:val="24"/>
          <w:szCs w:val="24"/>
          <w:shd w:val="clear" w:color="auto" w:fill="FFFFFF"/>
        </w:rPr>
        <w:t>at</w:t>
      </w:r>
      <w:r w:rsidR="0037229C" w:rsidRPr="00FA5C8D">
        <w:rPr>
          <w:rFonts w:ascii="Book Antiqua" w:hAnsi="Book Antiqua" w:cs="Times New Roman"/>
          <w:color w:val="000000"/>
          <w:sz w:val="24"/>
          <w:szCs w:val="24"/>
          <w:shd w:val="clear" w:color="auto" w:fill="FFFFFF"/>
        </w:rPr>
        <w:t xml:space="preserve"> </w:t>
      </w:r>
      <w:r w:rsidR="00EF33F5" w:rsidRPr="00FA5C8D">
        <w:rPr>
          <w:rFonts w:ascii="Book Antiqua" w:hAnsi="Book Antiqua" w:cs="Times New Roman"/>
          <w:color w:val="000000"/>
          <w:sz w:val="24"/>
          <w:szCs w:val="24"/>
          <w:shd w:val="clear" w:color="auto" w:fill="FFFFFF"/>
        </w:rPr>
        <w:t>longer period</w:t>
      </w:r>
      <w:r w:rsidR="004B15EC" w:rsidRPr="00FA5C8D">
        <w:rPr>
          <w:rFonts w:ascii="Book Antiqua" w:hAnsi="Book Antiqua" w:cs="Times New Roman"/>
          <w:color w:val="000000"/>
          <w:sz w:val="24"/>
          <w:szCs w:val="24"/>
          <w:shd w:val="clear" w:color="auto" w:fill="FFFFFF"/>
        </w:rPr>
        <w:t>s</w:t>
      </w:r>
      <w:r w:rsidR="0037229C" w:rsidRPr="00FA5C8D">
        <w:rPr>
          <w:rFonts w:ascii="Book Antiqua" w:hAnsi="Book Antiqua" w:cs="Times New Roman"/>
          <w:color w:val="000000"/>
          <w:sz w:val="24"/>
          <w:szCs w:val="24"/>
          <w:shd w:val="clear" w:color="auto" w:fill="FFFFFF"/>
        </w:rPr>
        <w:t xml:space="preserve"> </w:t>
      </w:r>
      <w:r w:rsidR="004352C9" w:rsidRPr="00FA5C8D">
        <w:rPr>
          <w:rFonts w:ascii="Book Antiqua" w:hAnsi="Book Antiqua" w:cs="Times New Roman"/>
          <w:color w:val="000000"/>
          <w:sz w:val="24"/>
          <w:szCs w:val="24"/>
          <w:shd w:val="clear" w:color="auto" w:fill="FFFFFF"/>
        </w:rPr>
        <w:t>from duodenal biopsy</w:t>
      </w:r>
      <w:r w:rsidR="004B15EC" w:rsidRPr="00FA5C8D">
        <w:rPr>
          <w:rFonts w:ascii="Book Antiqua" w:hAnsi="Book Antiqua" w:cs="Times New Roman"/>
          <w:color w:val="000000"/>
          <w:sz w:val="24"/>
          <w:szCs w:val="24"/>
          <w:shd w:val="clear" w:color="auto" w:fill="FFFFFF"/>
        </w:rPr>
        <w:t>;</w:t>
      </w:r>
      <w:r w:rsidR="004352C9" w:rsidRPr="00FA5C8D">
        <w:rPr>
          <w:rFonts w:ascii="Book Antiqua" w:hAnsi="Book Antiqua" w:cs="Times New Roman"/>
          <w:color w:val="000000"/>
          <w:sz w:val="24"/>
          <w:szCs w:val="24"/>
          <w:shd w:val="clear" w:color="auto" w:fill="FFFFFF"/>
        </w:rPr>
        <w:t xml:space="preserve"> therefore</w:t>
      </w:r>
      <w:r w:rsidR="004B15EC" w:rsidRPr="00FA5C8D">
        <w:rPr>
          <w:rFonts w:ascii="Book Antiqua" w:hAnsi="Book Antiqua" w:cs="Times New Roman"/>
          <w:color w:val="000000"/>
          <w:sz w:val="24"/>
          <w:szCs w:val="24"/>
          <w:shd w:val="clear" w:color="auto" w:fill="FFFFFF"/>
        </w:rPr>
        <w:t>,</w:t>
      </w:r>
      <w:r w:rsidR="0037229C" w:rsidRPr="00FA5C8D">
        <w:rPr>
          <w:rFonts w:ascii="Book Antiqua" w:hAnsi="Book Antiqua" w:cs="Times New Roman"/>
          <w:color w:val="000000"/>
          <w:sz w:val="24"/>
          <w:szCs w:val="24"/>
          <w:shd w:val="clear" w:color="auto" w:fill="FFFFFF"/>
        </w:rPr>
        <w:t xml:space="preserve"> </w:t>
      </w:r>
      <w:r w:rsidR="00F82D5A" w:rsidRPr="00FA5C8D">
        <w:rPr>
          <w:rFonts w:ascii="Book Antiqua" w:hAnsi="Book Antiqua" w:cs="Times New Roman"/>
          <w:color w:val="000000"/>
          <w:sz w:val="24"/>
          <w:szCs w:val="24"/>
          <w:shd w:val="clear" w:color="auto" w:fill="FFFFFF"/>
        </w:rPr>
        <w:t xml:space="preserve">these results </w:t>
      </w:r>
      <w:r w:rsidR="004352C9" w:rsidRPr="00FA5C8D">
        <w:rPr>
          <w:rFonts w:ascii="Book Antiqua" w:hAnsi="Book Antiqua" w:cs="Times New Roman"/>
          <w:color w:val="000000"/>
          <w:sz w:val="24"/>
          <w:szCs w:val="24"/>
          <w:shd w:val="clear" w:color="auto" w:fill="FFFFFF"/>
        </w:rPr>
        <w:t>w</w:t>
      </w:r>
      <w:r w:rsidR="00F82D5A" w:rsidRPr="00FA5C8D">
        <w:rPr>
          <w:rFonts w:ascii="Book Antiqua" w:hAnsi="Book Antiqua" w:cs="Times New Roman"/>
          <w:color w:val="000000"/>
          <w:sz w:val="24"/>
          <w:szCs w:val="24"/>
          <w:shd w:val="clear" w:color="auto" w:fill="FFFFFF"/>
        </w:rPr>
        <w:t>ere</w:t>
      </w:r>
      <w:r w:rsidR="004352C9" w:rsidRPr="00FA5C8D">
        <w:rPr>
          <w:rFonts w:ascii="Book Antiqua" w:hAnsi="Book Antiqua" w:cs="Times New Roman"/>
          <w:color w:val="000000"/>
          <w:sz w:val="24"/>
          <w:szCs w:val="24"/>
          <w:shd w:val="clear" w:color="auto" w:fill="FFFFFF"/>
        </w:rPr>
        <w:t xml:space="preserve"> excluded from </w:t>
      </w:r>
      <w:r w:rsidR="004E11F7" w:rsidRPr="00FA5C8D">
        <w:rPr>
          <w:rFonts w:ascii="Book Antiqua" w:hAnsi="Book Antiqua" w:cs="Times New Roman"/>
          <w:color w:val="000000"/>
          <w:sz w:val="24"/>
          <w:szCs w:val="24"/>
          <w:shd w:val="clear" w:color="auto" w:fill="FFFFFF"/>
        </w:rPr>
        <w:t xml:space="preserve">the </w:t>
      </w:r>
      <w:r w:rsidR="00EF249D" w:rsidRPr="00FA5C8D">
        <w:rPr>
          <w:rFonts w:ascii="Book Antiqua" w:hAnsi="Book Antiqua" w:cs="Times New Roman"/>
          <w:color w:val="000000"/>
          <w:sz w:val="24"/>
          <w:szCs w:val="24"/>
          <w:shd w:val="clear" w:color="auto" w:fill="FFFFFF"/>
        </w:rPr>
        <w:t>analysis</w:t>
      </w:r>
      <w:r w:rsidR="004352C9"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Using a high-frequency linear probe</w:t>
      </w:r>
      <w:r w:rsidR="005E3613" w:rsidRPr="00FA5C8D">
        <w:rPr>
          <w:rFonts w:ascii="Book Antiqua" w:hAnsi="Book Antiqua" w:cs="Times New Roman"/>
          <w:color w:val="000000"/>
          <w:sz w:val="24"/>
          <w:szCs w:val="24"/>
          <w:shd w:val="clear" w:color="auto" w:fill="FFFFFF"/>
        </w:rPr>
        <w:t>,</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sz w:val="24"/>
          <w:szCs w:val="24"/>
          <w:shd w:val="clear" w:color="auto" w:fill="FFFFFF"/>
        </w:rPr>
        <w:t xml:space="preserve">it </w:t>
      </w:r>
      <w:r w:rsidR="00C32B77" w:rsidRPr="00FA5C8D">
        <w:rPr>
          <w:rFonts w:ascii="Book Antiqua" w:hAnsi="Book Antiqua" w:cs="Times New Roman"/>
          <w:sz w:val="24"/>
          <w:szCs w:val="24"/>
          <w:shd w:val="clear" w:color="auto" w:fill="FFFFFF"/>
        </w:rPr>
        <w:t xml:space="preserve">was </w:t>
      </w:r>
      <w:r w:rsidRPr="00FA5C8D">
        <w:rPr>
          <w:rFonts w:ascii="Book Antiqua" w:hAnsi="Book Antiqua" w:cs="Times New Roman"/>
          <w:sz w:val="24"/>
          <w:szCs w:val="24"/>
          <w:shd w:val="clear" w:color="auto" w:fill="FFFFFF"/>
        </w:rPr>
        <w:t>possible</w:t>
      </w:r>
      <w:r w:rsidRPr="00FA5C8D">
        <w:rPr>
          <w:rFonts w:ascii="Book Antiqua" w:hAnsi="Book Antiqua" w:cs="Times New Roman"/>
          <w:color w:val="000000"/>
          <w:sz w:val="24"/>
          <w:szCs w:val="24"/>
          <w:shd w:val="clear" w:color="auto" w:fill="FFFFFF"/>
        </w:rPr>
        <w:t xml:space="preserve"> to evaluate the intestinal wall, intestinal folds, surrounding </w:t>
      </w:r>
      <w:r w:rsidR="00F644F7" w:rsidRPr="00FA5C8D">
        <w:rPr>
          <w:rFonts w:ascii="Book Antiqua" w:hAnsi="Book Antiqua" w:cs="Times New Roman"/>
          <w:color w:val="000000"/>
          <w:sz w:val="24"/>
          <w:szCs w:val="24"/>
          <w:shd w:val="clear" w:color="auto" w:fill="FFFFFF"/>
        </w:rPr>
        <w:t>mesentery</w:t>
      </w:r>
      <w:r w:rsidRPr="00FA5C8D">
        <w:rPr>
          <w:rFonts w:ascii="Book Antiqua" w:hAnsi="Book Antiqua" w:cs="Times New Roman"/>
          <w:color w:val="000000"/>
          <w:sz w:val="24"/>
          <w:szCs w:val="24"/>
          <w:shd w:val="clear" w:color="auto" w:fill="FFFFFF"/>
        </w:rPr>
        <w:t>, mesenteric lymph nodes</w:t>
      </w:r>
      <w:r w:rsidR="00974A1A" w:rsidRPr="00FA5C8D">
        <w:rPr>
          <w:rFonts w:ascii="Book Antiqua" w:hAnsi="Book Antiqua" w:cs="Times New Roman"/>
          <w:color w:val="000000"/>
          <w:sz w:val="24"/>
          <w:szCs w:val="24"/>
          <w:shd w:val="clear" w:color="auto" w:fill="FFFFFF"/>
        </w:rPr>
        <w:t>,</w:t>
      </w:r>
      <w:r w:rsidRPr="00FA5C8D">
        <w:rPr>
          <w:rFonts w:ascii="Book Antiqua" w:hAnsi="Book Antiqua" w:cs="Times New Roman"/>
          <w:color w:val="000000"/>
          <w:sz w:val="24"/>
          <w:szCs w:val="24"/>
          <w:shd w:val="clear" w:color="auto" w:fill="FFFFFF"/>
        </w:rPr>
        <w:t xml:space="preserve"> and </w:t>
      </w:r>
      <w:r w:rsidRPr="00FA5C8D">
        <w:rPr>
          <w:rFonts w:ascii="Book Antiqua" w:hAnsi="Book Antiqua" w:cs="Times New Roman"/>
          <w:sz w:val="24"/>
          <w:szCs w:val="24"/>
          <w:shd w:val="clear" w:color="auto" w:fill="FFFFFF"/>
        </w:rPr>
        <w:t>other</w:t>
      </w:r>
      <w:r w:rsidR="00214CF3" w:rsidRPr="00FA5C8D">
        <w:rPr>
          <w:rFonts w:ascii="Book Antiqua" w:hAnsi="Book Antiqua" w:cs="Times New Roman"/>
          <w:sz w:val="24"/>
          <w:szCs w:val="24"/>
          <w:shd w:val="clear" w:color="auto" w:fill="FFFFFF"/>
        </w:rPr>
        <w:t xml:space="preserve"> characteristics</w:t>
      </w:r>
      <w:r w:rsidRPr="00FA5C8D">
        <w:rPr>
          <w:rFonts w:ascii="Book Antiqua" w:hAnsi="Book Antiqua" w:cs="Times New Roman"/>
          <w:sz w:val="24"/>
          <w:szCs w:val="24"/>
          <w:shd w:val="clear" w:color="auto" w:fill="FFFFFF"/>
        </w:rPr>
        <w:t>. The</w:t>
      </w:r>
      <w:r w:rsidRPr="00FA5C8D">
        <w:rPr>
          <w:rFonts w:ascii="Book Antiqua" w:hAnsi="Book Antiqua" w:cs="Times New Roman"/>
          <w:color w:val="000000"/>
          <w:sz w:val="24"/>
          <w:szCs w:val="24"/>
          <w:shd w:val="clear" w:color="auto" w:fill="FFFFFF"/>
        </w:rPr>
        <w:t xml:space="preserve"> main ultrasound findings in patients with active </w:t>
      </w:r>
      <w:r w:rsidR="004C2FE3" w:rsidRPr="00FA5C8D">
        <w:rPr>
          <w:rFonts w:ascii="Book Antiqua" w:hAnsi="Book Antiqua" w:cs="Times New Roman"/>
          <w:color w:val="000000"/>
          <w:sz w:val="24"/>
          <w:szCs w:val="24"/>
          <w:shd w:val="clear" w:color="auto" w:fill="FFFFFF"/>
        </w:rPr>
        <w:t>CD</w:t>
      </w:r>
      <w:r w:rsidR="0037229C" w:rsidRPr="00FA5C8D">
        <w:rPr>
          <w:rFonts w:ascii="Book Antiqua" w:hAnsi="Book Antiqua" w:cs="Times New Roman"/>
          <w:color w:val="000000"/>
          <w:sz w:val="24"/>
          <w:szCs w:val="24"/>
          <w:shd w:val="clear" w:color="auto" w:fill="FFFFFF"/>
        </w:rPr>
        <w:t xml:space="preserve"> </w:t>
      </w:r>
      <w:r w:rsidR="00177D91" w:rsidRPr="00FA5C8D">
        <w:rPr>
          <w:rFonts w:ascii="Book Antiqua" w:hAnsi="Book Antiqua" w:cs="Times New Roman"/>
          <w:color w:val="000000"/>
          <w:sz w:val="24"/>
          <w:szCs w:val="24"/>
          <w:shd w:val="clear" w:color="auto" w:fill="FFFFFF"/>
        </w:rPr>
        <w:t>were</w:t>
      </w:r>
      <w:r w:rsidR="0037229C"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decreased number</w:t>
      </w:r>
      <w:r w:rsidR="004B15EC" w:rsidRPr="00FA5C8D">
        <w:rPr>
          <w:rFonts w:ascii="Book Antiqua" w:hAnsi="Book Antiqua" w:cs="Times New Roman"/>
          <w:color w:val="000000"/>
          <w:sz w:val="24"/>
          <w:szCs w:val="24"/>
          <w:shd w:val="clear" w:color="auto" w:fill="FFFFFF"/>
        </w:rPr>
        <w:t>s</w:t>
      </w:r>
      <w:r w:rsidRPr="00FA5C8D">
        <w:rPr>
          <w:rFonts w:ascii="Book Antiqua" w:hAnsi="Book Antiqua" w:cs="Times New Roman"/>
          <w:color w:val="000000"/>
          <w:sz w:val="24"/>
          <w:szCs w:val="24"/>
          <w:shd w:val="clear" w:color="auto" w:fill="FFFFFF"/>
        </w:rPr>
        <w:t xml:space="preserve"> of jejunal folds, increased number</w:t>
      </w:r>
      <w:r w:rsidR="004B15EC" w:rsidRPr="00FA5C8D">
        <w:rPr>
          <w:rFonts w:ascii="Book Antiqua" w:hAnsi="Book Antiqua" w:cs="Times New Roman"/>
          <w:color w:val="000000"/>
          <w:sz w:val="24"/>
          <w:szCs w:val="24"/>
          <w:shd w:val="clear" w:color="auto" w:fill="FFFFFF"/>
        </w:rPr>
        <w:t>s</w:t>
      </w:r>
      <w:r w:rsidRPr="00FA5C8D">
        <w:rPr>
          <w:rFonts w:ascii="Book Antiqua" w:hAnsi="Book Antiqua" w:cs="Times New Roman"/>
          <w:color w:val="000000"/>
          <w:sz w:val="24"/>
          <w:szCs w:val="24"/>
          <w:shd w:val="clear" w:color="auto" w:fill="FFFFFF"/>
        </w:rPr>
        <w:t xml:space="preserve"> of ileal folds and </w:t>
      </w:r>
      <w:r w:rsidR="001E58D1" w:rsidRPr="00FA5C8D">
        <w:rPr>
          <w:rFonts w:ascii="Book Antiqua" w:hAnsi="Book Antiqua" w:cs="Times New Roman"/>
          <w:color w:val="000000"/>
          <w:sz w:val="24"/>
          <w:szCs w:val="24"/>
          <w:shd w:val="clear" w:color="auto" w:fill="FFFFFF"/>
        </w:rPr>
        <w:t>thickening</w:t>
      </w:r>
      <w:r w:rsidRPr="00FA5C8D">
        <w:rPr>
          <w:rFonts w:ascii="Book Antiqua" w:hAnsi="Book Antiqua" w:cs="Times New Roman"/>
          <w:color w:val="000000"/>
          <w:sz w:val="24"/>
          <w:szCs w:val="24"/>
          <w:shd w:val="clear" w:color="auto" w:fill="FFFFFF"/>
        </w:rPr>
        <w:t xml:space="preserve"> of bowel folds, dysmotility, jejunal dilatation</w:t>
      </w:r>
      <w:r w:rsidR="001A7D36" w:rsidRPr="00FA5C8D">
        <w:rPr>
          <w:rFonts w:ascii="Book Antiqua" w:hAnsi="Book Antiqua" w:cs="Times New Roman"/>
          <w:color w:val="000000"/>
          <w:sz w:val="24"/>
          <w:szCs w:val="24"/>
          <w:shd w:val="clear" w:color="auto" w:fill="FFFFFF"/>
        </w:rPr>
        <w:t>,</w:t>
      </w:r>
      <w:r w:rsidRPr="00FA5C8D">
        <w:rPr>
          <w:rFonts w:ascii="Book Antiqua" w:hAnsi="Book Antiqua" w:cs="Times New Roman"/>
          <w:color w:val="000000"/>
          <w:sz w:val="24"/>
          <w:szCs w:val="24"/>
          <w:shd w:val="clear" w:color="auto" w:fill="FFFFFF"/>
        </w:rPr>
        <w:t xml:space="preserve"> and </w:t>
      </w:r>
      <w:r w:rsidR="00C32B77" w:rsidRPr="00FA5C8D">
        <w:rPr>
          <w:rFonts w:ascii="Book Antiqua" w:hAnsi="Book Antiqua" w:cs="Times New Roman"/>
          <w:color w:val="000000"/>
          <w:sz w:val="24"/>
          <w:szCs w:val="24"/>
          <w:shd w:val="clear" w:color="auto" w:fill="FFFFFF"/>
        </w:rPr>
        <w:t>intermittent</w:t>
      </w:r>
      <w:r w:rsidRPr="00FA5C8D">
        <w:rPr>
          <w:rFonts w:ascii="Book Antiqua" w:hAnsi="Book Antiqua" w:cs="Times New Roman"/>
          <w:color w:val="000000"/>
          <w:sz w:val="24"/>
          <w:szCs w:val="24"/>
          <w:shd w:val="clear" w:color="auto" w:fill="FFFFFF"/>
        </w:rPr>
        <w:t xml:space="preserve"> intussusception</w:t>
      </w:r>
      <w:r w:rsidR="00185175" w:rsidRPr="00FA5C8D">
        <w:rPr>
          <w:rFonts w:ascii="Book Antiqua" w:hAnsi="Book Antiqua" w:cs="Times New Roman"/>
          <w:color w:val="000000"/>
          <w:sz w:val="24"/>
          <w:szCs w:val="24"/>
          <w:shd w:val="clear" w:color="auto" w:fill="FFFFFF"/>
        </w:rPr>
        <w:fldChar w:fldCharType="begin"/>
      </w:r>
      <w:r w:rsidR="00712E8A" w:rsidRPr="00FA5C8D">
        <w:rPr>
          <w:rFonts w:ascii="Book Antiqua" w:hAnsi="Book Antiqua" w:cs="Times New Roman"/>
          <w:color w:val="000000"/>
          <w:sz w:val="24"/>
          <w:szCs w:val="24"/>
          <w:shd w:val="clear" w:color="auto" w:fill="FFFFFF"/>
        </w:rPr>
        <w:instrText xml:space="preserve"> ADDIN ZOTERO_ITEM CSL_CITATION {"citationID":"wt2bPENd","properties":{"formattedCitation":"\\super [15,16]\\nosupersub{}","plainCitation":"[15,16]","noteIndex":0},"citationItems":[{"id":1237,"uris":["http://zotero.org/users/4312189/items/K98JCKQ3"],"uri":["http://zotero.org/users/4312189/items/K98JCKQ3"],"itemData":{"id":1237,"type":"article-journal","abstract":"OBJECTIVE: Celiac disease (CD) is a common, lifelong disease with small bowel malabsorption based on genetically conditioned gluten intolerance. The clinical manifestation could be very heterogeneous. The proof of celiac disease is now based mainly on clinical and laboratory (antibodies and enterobiopsy) signs, which are in some cases problematic and inconvenient.\nMATERIALS AND METHODS: In our study we have examined 250 patients with suspection or with proven celiac disease and we evaluated specific ultrasound small bowel changes in this group. In the next step, we chose 59 patients with laboratory proved celiac disease and we statistically compared ultrasound, other laboratory and clinical findings in different forms and stages of the disease.\nRESULTS: Specific small bowel pathologies in patients with celiac disease (like changes of intestinal villi in different parts of small bowel, abnormal peristalsis and mesenterial lymphadenopathy) can be well visualized by ultrasound and in combination with clinical and laboratory signs ultrasound examination could have an important role in screening, determination of diagnosis and monitoring of patients with different forms of celiac disease.","container-title":"European Journal of Radiology","DOI":"10.1016/j.ejrad.2007.01.028","ISSN":"0720-048X","issue":"2","journalAbbreviation":"Eur J Radiol","language":"eng","note":"PMID: 17336477","page":"302-306","source":"PubMed","title":"Small bowel ultrasound in patients with celiac disease. Retrospective study","volume":"63","author":[{"family":"Bartusek","given":"D."},{"family":"Valek","given":"V."},{"family":"Husty","given":"J."},{"family":"Uteseny","given":"J."}],"issued":{"date-parts":[["2007",8]]}}},{"id":1101,"uris":["http://zotero.org/users/4312189/items/97MXXBDA"],"uri":["http://zotero.org/users/4312189/items/97MXXBDA"],"itemData":{"id":1101,"type":"article-journal","abstract":"Transabdominal gastrointestinal ultrasound (GIUS) is unique in its capacity to examine the bowel non-invasively and in its physiological condition, including extra-intestinal features such as the splanchnic vessels, mesentery, omentum and lymph nodes- even at the bedside. Despite this, and its extensive documentation for its usefulness, it has only been fully implemented in a few European countries and expert centres. Therefore, the European Federation of Societies for Ultrasound in Medicine and Biology (EFSUMB) established a GIUS Task Force Group in 2014 consisting of international experts from 9 European countries with the objectives to standardize and promote the use of GIUS in a clinical setting. This is achieved by publishing clinical guidelines and recommendations on indications and use of GIUS and so far,4 guidelines have been published: first on \"examination techniques and normal findings\", second on \"inflammatory bowel disease\", third on \"acute appendicitis and diverticulitis\" and fourth on \"transrectal and perineal ultrasound\".This paper describes the ultrasound features of miscellaneous disorders such as celiac disease, cystic fibrosis, omental infarction, Meckel's diverticle, endometriosis, intestinal neoplasia, mucocele, amyloidosis, GVHD, foreign bodies, vasculitis, and pneumatosis cystoides intestinalis. Bowel ultrasound can be indicated in most of these conditions to investigate intestinal symptoms but in other cases the alterations of the bowel can be also an incidental finding that suggest other examinations which finally help to discover an unknown pathological condition.","container-title":"Medical Ultrasonography","DOI":"10.11152/mu-2162","ISSN":"2066-8643","issue":"3","journalAbbreviation":"Med Ultrason","language":"eng","note":"PMID: 31476211","page":"299-315","source":"PubMed","title":"EFSUMB Gastrointestinal Ultrasound (GIUS) Task Force Group: Celiac sprue and other rare gastrointestinal diseases ultrasound features","title-short":"EFSUMB Gastrointestinal Ultrasound (GIUS) Task Force Group","volume":"21","author":[{"family":"Dietrich","given":"Christoph F."},{"family":"Hollerweger","given":"Alois"},{"family":"Dirks","given":"Klaus"},{"family":"Higginson","given":"Antony"},{"family":"Serra","given":"Carla"},{"family":"Calabrese","given":"Emma"},{"family":"Dong","given":"Yi"},{"family":"Hausken","given":"Trygve"},{"family":"Maconi","given":"Giovanni"},{"family":"Mihmanli","given":"Ismail"},{"family":"Nürnberg","given":"Dieter"},{"family":"Nylund","given":"Kim"},{"family":"Pallotta","given":"Nadia"},{"family":"Ripollés","given":"Tomás"},{"family":"Romanini","given":"Laura"},{"family":"Săftoiu","given":"Adrian"},{"family":"Sporea","given":"Ioan"},{"family":"Wüstner","given":"Matthias"},{"family":"Maaser","given":"Christian"},{"family":"Gilja","given":"Odd Helge"}],"issued":{"date-parts":[["2019",8,31]]}}}],"schema":"https://github.com/citation-style-language/schema/raw/master/csl-citation.json"}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712E8A" w:rsidRPr="00FA5C8D">
        <w:rPr>
          <w:rFonts w:ascii="Book Antiqua" w:hAnsi="Book Antiqua" w:cs="Times New Roman"/>
          <w:sz w:val="24"/>
          <w:szCs w:val="24"/>
          <w:vertAlign w:val="superscript"/>
        </w:rPr>
        <w:t>[15,16]</w:t>
      </w:r>
      <w:r w:rsidR="00185175" w:rsidRPr="00FA5C8D">
        <w:rPr>
          <w:rFonts w:ascii="Book Antiqua" w:hAnsi="Book Antiqua" w:cs="Times New Roman"/>
          <w:color w:val="000000"/>
          <w:sz w:val="24"/>
          <w:szCs w:val="24"/>
          <w:shd w:val="clear" w:color="auto" w:fill="FFFFFF"/>
        </w:rPr>
        <w:fldChar w:fldCharType="end"/>
      </w:r>
      <w:r w:rsidRPr="00FA5C8D">
        <w:rPr>
          <w:rFonts w:ascii="Book Antiqua" w:hAnsi="Book Antiqua" w:cs="Times New Roman"/>
          <w:color w:val="000000"/>
          <w:sz w:val="24"/>
          <w:szCs w:val="24"/>
          <w:shd w:val="clear" w:color="auto" w:fill="FFFFFF"/>
        </w:rPr>
        <w:t>. Mostly non-</w:t>
      </w:r>
      <w:r w:rsidRPr="00FA5C8D">
        <w:rPr>
          <w:rFonts w:ascii="Book Antiqua" w:hAnsi="Book Antiqua" w:cs="Times New Roman"/>
          <w:color w:val="000000"/>
          <w:sz w:val="24"/>
          <w:szCs w:val="24"/>
          <w:shd w:val="clear" w:color="auto" w:fill="FFFFFF"/>
        </w:rPr>
        <w:lastRenderedPageBreak/>
        <w:t xml:space="preserve">enlarged mesenteric lymph nodes </w:t>
      </w:r>
      <w:r w:rsidR="00C32B77" w:rsidRPr="00FA5C8D">
        <w:rPr>
          <w:rFonts w:ascii="Book Antiqua" w:hAnsi="Book Antiqua" w:cs="Times New Roman"/>
          <w:color w:val="000000"/>
          <w:sz w:val="24"/>
          <w:szCs w:val="24"/>
          <w:shd w:val="clear" w:color="auto" w:fill="FFFFFF"/>
        </w:rPr>
        <w:t>were</w:t>
      </w:r>
      <w:r w:rsidRPr="00FA5C8D">
        <w:rPr>
          <w:rFonts w:ascii="Book Antiqua" w:hAnsi="Book Antiqua" w:cs="Times New Roman"/>
          <w:color w:val="000000"/>
          <w:sz w:val="24"/>
          <w:szCs w:val="24"/>
          <w:shd w:val="clear" w:color="auto" w:fill="FFFFFF"/>
        </w:rPr>
        <w:t xml:space="preserve"> detected. </w:t>
      </w:r>
      <w:r w:rsidR="00C32B77" w:rsidRPr="00FA5C8D">
        <w:rPr>
          <w:rFonts w:ascii="Book Antiqua" w:hAnsi="Book Antiqua" w:cs="Times New Roman"/>
          <w:sz w:val="24"/>
          <w:szCs w:val="24"/>
          <w:shd w:val="clear" w:color="auto" w:fill="FFFFFF"/>
        </w:rPr>
        <w:t xml:space="preserve">As a positive result, </w:t>
      </w:r>
      <w:r w:rsidR="00C81301" w:rsidRPr="00FA5C8D">
        <w:rPr>
          <w:rFonts w:ascii="Book Antiqua" w:hAnsi="Book Antiqua" w:cs="Times New Roman"/>
          <w:sz w:val="24"/>
          <w:szCs w:val="24"/>
          <w:shd w:val="clear" w:color="auto" w:fill="FFFFFF"/>
        </w:rPr>
        <w:t>p</w:t>
      </w:r>
      <w:r w:rsidR="00C32B77" w:rsidRPr="00FA5C8D">
        <w:rPr>
          <w:rFonts w:ascii="Book Antiqua" w:hAnsi="Book Antiqua" w:cs="Times New Roman"/>
          <w:sz w:val="24"/>
          <w:szCs w:val="24"/>
          <w:shd w:val="clear" w:color="auto" w:fill="FFFFFF"/>
        </w:rPr>
        <w:t xml:space="preserve">ersistent ultrasound abnormalities usually related to </w:t>
      </w:r>
      <w:r w:rsidR="005858ED" w:rsidRPr="00FA5C8D">
        <w:rPr>
          <w:rFonts w:ascii="Book Antiqua" w:hAnsi="Book Antiqua" w:cs="Times New Roman"/>
          <w:sz w:val="24"/>
          <w:szCs w:val="24"/>
        </w:rPr>
        <w:t>CD</w:t>
      </w:r>
      <w:r w:rsidR="00C32B77" w:rsidRPr="00FA5C8D">
        <w:rPr>
          <w:rFonts w:ascii="Book Antiqua" w:hAnsi="Book Antiqua" w:cs="Times New Roman"/>
          <w:sz w:val="24"/>
          <w:szCs w:val="24"/>
          <w:shd w:val="clear" w:color="auto" w:fill="FFFFFF"/>
        </w:rPr>
        <w:t xml:space="preserve"> were assessed by </w:t>
      </w:r>
      <w:r w:rsidR="00F70AE2" w:rsidRPr="00FA5C8D">
        <w:rPr>
          <w:rFonts w:ascii="Book Antiqua" w:hAnsi="Book Antiqua" w:cs="Times New Roman"/>
          <w:sz w:val="24"/>
          <w:szCs w:val="24"/>
          <w:shd w:val="clear" w:color="auto" w:fill="FFFFFF"/>
        </w:rPr>
        <w:t xml:space="preserve">an </w:t>
      </w:r>
      <w:r w:rsidR="00C32B77" w:rsidRPr="00FA5C8D">
        <w:rPr>
          <w:rFonts w:ascii="Book Antiqua" w:hAnsi="Book Antiqua" w:cs="Times New Roman"/>
          <w:sz w:val="24"/>
          <w:szCs w:val="24"/>
          <w:shd w:val="clear" w:color="auto" w:fill="FFFFFF"/>
        </w:rPr>
        <w:t>experienced physician</w:t>
      </w:r>
      <w:r w:rsidR="00C06F12" w:rsidRPr="00FA5C8D">
        <w:rPr>
          <w:rFonts w:ascii="Book Antiqua" w:hAnsi="Book Antiqua" w:cs="Times New Roman"/>
          <w:sz w:val="24"/>
          <w:szCs w:val="24"/>
          <w:shd w:val="clear" w:color="auto" w:fill="FFFFFF"/>
        </w:rPr>
        <w:t xml:space="preserve"> who was blinded to serology and </w:t>
      </w:r>
      <w:r w:rsidR="009D6DF5" w:rsidRPr="00FA5C8D">
        <w:rPr>
          <w:rFonts w:ascii="Book Antiqua" w:hAnsi="Book Antiqua" w:cs="Times New Roman"/>
          <w:sz w:val="24"/>
          <w:szCs w:val="24"/>
          <w:shd w:val="clear" w:color="auto" w:fill="FFFFFF"/>
        </w:rPr>
        <w:t>biopsy</w:t>
      </w:r>
      <w:r w:rsidR="00C06F12" w:rsidRPr="00FA5C8D">
        <w:rPr>
          <w:rFonts w:ascii="Book Antiqua" w:hAnsi="Book Antiqua" w:cs="Times New Roman"/>
          <w:sz w:val="24"/>
          <w:szCs w:val="24"/>
          <w:shd w:val="clear" w:color="auto" w:fill="FFFFFF"/>
        </w:rPr>
        <w:t xml:space="preserve"> results.</w:t>
      </w:r>
    </w:p>
    <w:p w14:paraId="4DFD1AB2" w14:textId="77777777" w:rsidR="004B15EC" w:rsidRPr="00FA5C8D" w:rsidRDefault="004B15EC" w:rsidP="00FA5C8D">
      <w:pPr>
        <w:snapToGrid w:val="0"/>
        <w:spacing w:after="0" w:line="360" w:lineRule="auto"/>
        <w:jc w:val="both"/>
        <w:rPr>
          <w:rFonts w:ascii="Book Antiqua" w:hAnsi="Book Antiqua" w:cs="Times New Roman"/>
          <w:b/>
          <w:bCs/>
          <w:color w:val="000000"/>
          <w:sz w:val="24"/>
          <w:szCs w:val="24"/>
          <w:shd w:val="clear" w:color="auto" w:fill="FFFFFF"/>
        </w:rPr>
      </w:pPr>
    </w:p>
    <w:p w14:paraId="01F6059F" w14:textId="77777777" w:rsidR="006B10A9" w:rsidRPr="00FA5C8D" w:rsidRDefault="006B10A9" w:rsidP="00FA5C8D">
      <w:pPr>
        <w:snapToGrid w:val="0"/>
        <w:spacing w:after="0" w:line="360" w:lineRule="auto"/>
        <w:jc w:val="both"/>
        <w:rPr>
          <w:rFonts w:ascii="Book Antiqua" w:hAnsi="Book Antiqua" w:cs="Times New Roman"/>
          <w:i/>
          <w:iCs/>
          <w:color w:val="000000"/>
          <w:sz w:val="24"/>
          <w:szCs w:val="24"/>
          <w:shd w:val="clear" w:color="auto" w:fill="FFFFFF"/>
        </w:rPr>
      </w:pPr>
      <w:r w:rsidRPr="00FA5C8D">
        <w:rPr>
          <w:rFonts w:ascii="Book Antiqua" w:hAnsi="Book Antiqua" w:cs="Times New Roman"/>
          <w:b/>
          <w:bCs/>
          <w:i/>
          <w:iCs/>
          <w:color w:val="000000"/>
          <w:sz w:val="24"/>
          <w:szCs w:val="24"/>
          <w:shd w:val="clear" w:color="auto" w:fill="FFFFFF"/>
        </w:rPr>
        <w:t>Clinical and laboratory parameters</w:t>
      </w:r>
    </w:p>
    <w:p w14:paraId="564247E7" w14:textId="77777777" w:rsidR="00F83233" w:rsidRPr="00FA5C8D" w:rsidRDefault="006B10A9" w:rsidP="00FA5C8D">
      <w:pPr>
        <w:snapToGrid w:val="0"/>
        <w:spacing w:after="0" w:line="360" w:lineRule="auto"/>
        <w:jc w:val="both"/>
        <w:rPr>
          <w:rFonts w:ascii="Book Antiqua" w:hAnsi="Book Antiqua" w:cs="Times New Roman"/>
          <w:color w:val="000000"/>
          <w:sz w:val="24"/>
          <w:szCs w:val="24"/>
          <w:shd w:val="clear" w:color="auto" w:fill="FFFFFF"/>
        </w:rPr>
      </w:pPr>
      <w:r w:rsidRPr="00FA5C8D">
        <w:rPr>
          <w:rFonts w:ascii="Book Antiqua" w:hAnsi="Book Antiqua" w:cs="Times New Roman"/>
          <w:color w:val="000000"/>
          <w:sz w:val="24"/>
          <w:szCs w:val="24"/>
          <w:shd w:val="clear" w:color="auto" w:fill="FFFFFF"/>
        </w:rPr>
        <w:t>Clini</w:t>
      </w:r>
      <w:r w:rsidR="001F41A2" w:rsidRPr="00FA5C8D">
        <w:rPr>
          <w:rFonts w:ascii="Book Antiqua" w:hAnsi="Book Antiqua" w:cs="Times New Roman"/>
          <w:color w:val="000000"/>
          <w:sz w:val="24"/>
          <w:szCs w:val="24"/>
          <w:shd w:val="clear" w:color="auto" w:fill="FFFFFF"/>
        </w:rPr>
        <w:t>cal symptoms typical of active CD</w:t>
      </w:r>
      <w:r w:rsidRPr="00FA5C8D">
        <w:rPr>
          <w:rFonts w:ascii="Book Antiqua" w:hAnsi="Book Antiqua" w:cs="Times New Roman"/>
          <w:color w:val="000000"/>
          <w:sz w:val="24"/>
          <w:szCs w:val="24"/>
          <w:shd w:val="clear" w:color="auto" w:fill="FFFFFF"/>
        </w:rPr>
        <w:t xml:space="preserve">, such as </w:t>
      </w:r>
      <w:r w:rsidR="001E58D1" w:rsidRPr="00FA5C8D">
        <w:rPr>
          <w:rFonts w:ascii="Book Antiqua" w:hAnsi="Book Antiqua" w:cs="Times New Roman"/>
          <w:color w:val="000000"/>
          <w:sz w:val="24"/>
          <w:szCs w:val="24"/>
          <w:shd w:val="clear" w:color="auto" w:fill="FFFFFF"/>
        </w:rPr>
        <w:t>diarrhea</w:t>
      </w:r>
      <w:r w:rsidRPr="00FA5C8D">
        <w:rPr>
          <w:rFonts w:ascii="Book Antiqua" w:hAnsi="Book Antiqua" w:cs="Times New Roman"/>
          <w:color w:val="000000"/>
          <w:sz w:val="24"/>
          <w:szCs w:val="24"/>
          <w:shd w:val="clear" w:color="auto" w:fill="FFFFFF"/>
        </w:rPr>
        <w:t xml:space="preserve">, abdominal pain, </w:t>
      </w:r>
      <w:r w:rsidR="00C77386" w:rsidRPr="00FA5C8D">
        <w:rPr>
          <w:rFonts w:ascii="Book Antiqua" w:hAnsi="Book Antiqua" w:cs="Times New Roman"/>
          <w:color w:val="000000"/>
          <w:sz w:val="24"/>
          <w:szCs w:val="24"/>
          <w:shd w:val="clear" w:color="auto" w:fill="FFFFFF"/>
        </w:rPr>
        <w:t xml:space="preserve">and </w:t>
      </w:r>
      <w:r w:rsidRPr="00FA5C8D">
        <w:rPr>
          <w:rFonts w:ascii="Book Antiqua" w:hAnsi="Book Antiqua" w:cs="Times New Roman"/>
          <w:color w:val="000000"/>
          <w:sz w:val="24"/>
          <w:szCs w:val="24"/>
          <w:shd w:val="clear" w:color="auto" w:fill="FFFFFF"/>
        </w:rPr>
        <w:t xml:space="preserve">weight loss, were reviewed. Laboratory </w:t>
      </w:r>
      <w:r w:rsidR="0088669D" w:rsidRPr="00FA5C8D">
        <w:rPr>
          <w:rFonts w:ascii="Book Antiqua" w:hAnsi="Book Antiqua" w:cs="Times New Roman"/>
          <w:color w:val="000000"/>
          <w:sz w:val="24"/>
          <w:szCs w:val="24"/>
          <w:shd w:val="clear" w:color="auto" w:fill="FFFFFF"/>
        </w:rPr>
        <w:t>signs</w:t>
      </w:r>
      <w:r w:rsidRPr="00FA5C8D">
        <w:rPr>
          <w:rFonts w:ascii="Book Antiqua" w:hAnsi="Book Antiqua" w:cs="Times New Roman"/>
          <w:color w:val="000000"/>
          <w:sz w:val="24"/>
          <w:szCs w:val="24"/>
          <w:shd w:val="clear" w:color="auto" w:fill="FFFFFF"/>
        </w:rPr>
        <w:t xml:space="preserve"> of nutritional deficiency, such as </w:t>
      </w:r>
      <w:r w:rsidR="001E58D1" w:rsidRPr="00FA5C8D">
        <w:rPr>
          <w:rFonts w:ascii="Book Antiqua" w:hAnsi="Book Antiqua" w:cs="Times New Roman"/>
          <w:color w:val="000000"/>
          <w:sz w:val="24"/>
          <w:szCs w:val="24"/>
          <w:shd w:val="clear" w:color="auto" w:fill="FFFFFF"/>
        </w:rPr>
        <w:t>anemia</w:t>
      </w:r>
      <w:r w:rsidR="0037229C" w:rsidRPr="00FA5C8D">
        <w:rPr>
          <w:rFonts w:ascii="Book Antiqua" w:hAnsi="Book Antiqua" w:cs="Times New Roman"/>
          <w:color w:val="000000"/>
          <w:sz w:val="24"/>
          <w:szCs w:val="24"/>
          <w:shd w:val="clear" w:color="auto" w:fill="FFFFFF"/>
        </w:rPr>
        <w:t xml:space="preserve"> </w:t>
      </w:r>
      <w:r w:rsidR="00C32B77" w:rsidRPr="00FA5C8D">
        <w:rPr>
          <w:rFonts w:ascii="Book Antiqua" w:hAnsi="Book Antiqua" w:cs="Times New Roman"/>
          <w:sz w:val="24"/>
          <w:szCs w:val="24"/>
          <w:shd w:val="clear" w:color="auto" w:fill="FFFFFF"/>
        </w:rPr>
        <w:t xml:space="preserve">(hemoglobin </w:t>
      </w:r>
      <w:r w:rsidR="001B1FA3" w:rsidRPr="00FA5C8D">
        <w:rPr>
          <w:rFonts w:ascii="Book Antiqua" w:hAnsi="Book Antiqua" w:cs="Times New Roman"/>
          <w:sz w:val="24"/>
          <w:szCs w:val="24"/>
          <w:shd w:val="clear" w:color="auto" w:fill="FFFFFF"/>
        </w:rPr>
        <w:t>level</w:t>
      </w:r>
      <w:r w:rsidR="00C32B77" w:rsidRPr="00FA5C8D">
        <w:rPr>
          <w:rFonts w:ascii="Book Antiqua" w:hAnsi="Book Antiqua" w:cs="Times New Roman"/>
          <w:sz w:val="24"/>
          <w:szCs w:val="24"/>
          <w:shd w:val="clear" w:color="auto" w:fill="FFFFFF"/>
        </w:rPr>
        <w:t xml:space="preserve"> less than 135</w:t>
      </w:r>
      <w:r w:rsidR="00501102" w:rsidRPr="00FA5C8D">
        <w:rPr>
          <w:rFonts w:ascii="Book Antiqua" w:hAnsi="Book Antiqua" w:cs="Times New Roman"/>
          <w:sz w:val="24"/>
          <w:szCs w:val="24"/>
          <w:shd w:val="clear" w:color="auto" w:fill="FFFFFF"/>
        </w:rPr>
        <w:t xml:space="preserve"> g/</w:t>
      </w:r>
      <w:r w:rsidR="00EA6A28" w:rsidRPr="00FA5C8D">
        <w:rPr>
          <w:rFonts w:ascii="Book Antiqua" w:hAnsi="Book Antiqua" w:cs="Times New Roman"/>
          <w:sz w:val="24"/>
          <w:szCs w:val="24"/>
          <w:shd w:val="clear" w:color="auto" w:fill="FFFFFF"/>
        </w:rPr>
        <w:t>L</w:t>
      </w:r>
      <w:r w:rsidR="001B1FA3" w:rsidRPr="00FA5C8D">
        <w:rPr>
          <w:rFonts w:ascii="Book Antiqua" w:hAnsi="Book Antiqua" w:cs="Times New Roman"/>
          <w:sz w:val="24"/>
          <w:szCs w:val="24"/>
          <w:shd w:val="clear" w:color="auto" w:fill="FFFFFF"/>
        </w:rPr>
        <w:t xml:space="preserve"> in </w:t>
      </w:r>
      <w:proofErr w:type="spellStart"/>
      <w:r w:rsidR="001B1FA3" w:rsidRPr="00FA5C8D">
        <w:rPr>
          <w:rFonts w:ascii="Book Antiqua" w:hAnsi="Book Antiqua" w:cs="Times New Roman"/>
          <w:sz w:val="24"/>
          <w:szCs w:val="24"/>
          <w:shd w:val="clear" w:color="auto" w:fill="FFFFFF"/>
        </w:rPr>
        <w:t>menand</w:t>
      </w:r>
      <w:proofErr w:type="spellEnd"/>
      <w:r w:rsidR="00C32B77" w:rsidRPr="00FA5C8D">
        <w:rPr>
          <w:rFonts w:ascii="Book Antiqua" w:hAnsi="Book Antiqua" w:cs="Times New Roman"/>
          <w:sz w:val="24"/>
          <w:szCs w:val="24"/>
          <w:shd w:val="clear" w:color="auto" w:fill="FFFFFF"/>
        </w:rPr>
        <w:t xml:space="preserve"> less than 120</w:t>
      </w:r>
      <w:r w:rsidR="00360EDB" w:rsidRPr="00FA5C8D">
        <w:rPr>
          <w:rFonts w:ascii="Book Antiqua" w:hAnsi="Book Antiqua" w:cs="Times New Roman"/>
          <w:sz w:val="24"/>
          <w:szCs w:val="24"/>
          <w:shd w:val="clear" w:color="auto" w:fill="FFFFFF"/>
        </w:rPr>
        <w:t xml:space="preserve"> </w:t>
      </w:r>
      <w:r w:rsidR="00C32B77" w:rsidRPr="00FA5C8D">
        <w:rPr>
          <w:rFonts w:ascii="Book Antiqua" w:hAnsi="Book Antiqua" w:cs="Times New Roman"/>
          <w:sz w:val="24"/>
          <w:szCs w:val="24"/>
          <w:shd w:val="clear" w:color="auto" w:fill="FFFFFF"/>
        </w:rPr>
        <w:t>g/</w:t>
      </w:r>
      <w:r w:rsidR="00EA6A28" w:rsidRPr="00FA5C8D">
        <w:rPr>
          <w:rFonts w:ascii="Book Antiqua" w:hAnsi="Book Antiqua" w:cs="Times New Roman"/>
          <w:sz w:val="24"/>
          <w:szCs w:val="24"/>
          <w:shd w:val="clear" w:color="auto" w:fill="FFFFFF"/>
        </w:rPr>
        <w:t>L</w:t>
      </w:r>
      <w:r w:rsidR="001B1FA3" w:rsidRPr="00FA5C8D">
        <w:rPr>
          <w:rFonts w:ascii="Book Antiqua" w:hAnsi="Book Antiqua" w:cs="Times New Roman"/>
          <w:sz w:val="24"/>
          <w:szCs w:val="24"/>
          <w:shd w:val="clear" w:color="auto" w:fill="FFFFFF"/>
        </w:rPr>
        <w:t xml:space="preserve"> in women</w:t>
      </w:r>
      <w:r w:rsidR="001F41A2"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w:t>
      </w:r>
      <w:proofErr w:type="spellStart"/>
      <w:r w:rsidRPr="00FA5C8D">
        <w:rPr>
          <w:rFonts w:ascii="Book Antiqua" w:hAnsi="Book Antiqua" w:cs="Times New Roman"/>
          <w:sz w:val="24"/>
          <w:szCs w:val="24"/>
          <w:shd w:val="clear" w:color="auto" w:fill="FFFFFF"/>
        </w:rPr>
        <w:t>sideropenia</w:t>
      </w:r>
      <w:proofErr w:type="spellEnd"/>
      <w:r w:rsidR="00C32B77" w:rsidRPr="00FA5C8D">
        <w:rPr>
          <w:rFonts w:ascii="Book Antiqua" w:hAnsi="Book Antiqua" w:cs="Times New Roman"/>
          <w:sz w:val="24"/>
          <w:szCs w:val="24"/>
          <w:shd w:val="clear" w:color="auto" w:fill="FFFFFF"/>
        </w:rPr>
        <w:t xml:space="preserve"> (</w:t>
      </w:r>
      <w:r w:rsidR="000D05CC" w:rsidRPr="00FA5C8D">
        <w:rPr>
          <w:rFonts w:ascii="Book Antiqua" w:hAnsi="Book Antiqua" w:cs="Times New Roman"/>
          <w:sz w:val="24"/>
          <w:szCs w:val="24"/>
          <w:shd w:val="clear" w:color="auto" w:fill="FFFFFF"/>
        </w:rPr>
        <w:t xml:space="preserve">ferritin </w:t>
      </w:r>
      <w:r w:rsidR="00120A22" w:rsidRPr="00FA5C8D">
        <w:rPr>
          <w:rFonts w:ascii="Book Antiqua" w:hAnsi="Book Antiqua" w:cs="Times New Roman"/>
          <w:sz w:val="24"/>
          <w:szCs w:val="24"/>
          <w:shd w:val="clear" w:color="auto" w:fill="FFFFFF"/>
        </w:rPr>
        <w:t>level</w:t>
      </w:r>
      <w:r w:rsidR="000D05CC" w:rsidRPr="00FA5C8D">
        <w:rPr>
          <w:rFonts w:ascii="Book Antiqua" w:hAnsi="Book Antiqua" w:cs="Times New Roman"/>
          <w:sz w:val="24"/>
          <w:szCs w:val="24"/>
          <w:shd w:val="clear" w:color="auto" w:fill="FFFFFF"/>
        </w:rPr>
        <w:t xml:space="preserve"> less than 30</w:t>
      </w:r>
      <w:r w:rsidR="004B15EC" w:rsidRPr="00FA5C8D">
        <w:rPr>
          <w:rFonts w:ascii="Book Antiqua" w:hAnsi="Book Antiqua" w:cs="Times New Roman"/>
          <w:sz w:val="24"/>
          <w:szCs w:val="24"/>
          <w:shd w:val="clear" w:color="auto" w:fill="FFFFFF"/>
        </w:rPr>
        <w:t xml:space="preserve"> µ</w:t>
      </w:r>
      <w:r w:rsidR="000D05CC" w:rsidRPr="00FA5C8D">
        <w:rPr>
          <w:rFonts w:ascii="Book Antiqua" w:hAnsi="Book Antiqua" w:cs="Times New Roman"/>
          <w:sz w:val="24"/>
          <w:szCs w:val="24"/>
          <w:shd w:val="clear" w:color="auto" w:fill="FFFFFF"/>
        </w:rPr>
        <w:t>g/</w:t>
      </w:r>
      <w:r w:rsidR="00EA6A28" w:rsidRPr="00FA5C8D">
        <w:rPr>
          <w:rFonts w:ascii="Book Antiqua" w:hAnsi="Book Antiqua" w:cs="Times New Roman"/>
          <w:sz w:val="24"/>
          <w:szCs w:val="24"/>
          <w:shd w:val="clear" w:color="auto" w:fill="FFFFFF"/>
        </w:rPr>
        <w:t>L</w:t>
      </w:r>
      <w:r w:rsidR="00120A22" w:rsidRPr="00FA5C8D">
        <w:rPr>
          <w:rFonts w:ascii="Book Antiqua" w:hAnsi="Book Antiqua" w:cs="Times New Roman"/>
          <w:sz w:val="24"/>
          <w:szCs w:val="24"/>
          <w:shd w:val="clear" w:color="auto" w:fill="FFFFFF"/>
        </w:rPr>
        <w:t>in men and</w:t>
      </w:r>
      <w:r w:rsidR="000D05CC" w:rsidRPr="00FA5C8D">
        <w:rPr>
          <w:rFonts w:ascii="Book Antiqua" w:hAnsi="Book Antiqua" w:cs="Times New Roman"/>
          <w:sz w:val="24"/>
          <w:szCs w:val="24"/>
          <w:shd w:val="clear" w:color="auto" w:fill="FFFFFF"/>
        </w:rPr>
        <w:t xml:space="preserve"> less than 13</w:t>
      </w:r>
      <w:r w:rsidR="004B15EC" w:rsidRPr="00FA5C8D">
        <w:rPr>
          <w:rFonts w:ascii="Book Antiqua" w:hAnsi="Book Antiqua" w:cs="Times New Roman"/>
          <w:sz w:val="24"/>
          <w:szCs w:val="24"/>
          <w:shd w:val="clear" w:color="auto" w:fill="FFFFFF"/>
        </w:rPr>
        <w:t xml:space="preserve"> µ</w:t>
      </w:r>
      <w:r w:rsidR="000D05CC" w:rsidRPr="00FA5C8D">
        <w:rPr>
          <w:rFonts w:ascii="Book Antiqua" w:hAnsi="Book Antiqua" w:cs="Times New Roman"/>
          <w:sz w:val="24"/>
          <w:szCs w:val="24"/>
          <w:shd w:val="clear" w:color="auto" w:fill="FFFFFF"/>
        </w:rPr>
        <w:t>g/</w:t>
      </w:r>
      <w:r w:rsidR="00EA6A28" w:rsidRPr="00FA5C8D">
        <w:rPr>
          <w:rFonts w:ascii="Book Antiqua" w:hAnsi="Book Antiqua" w:cs="Times New Roman"/>
          <w:sz w:val="24"/>
          <w:szCs w:val="24"/>
          <w:shd w:val="clear" w:color="auto" w:fill="FFFFFF"/>
        </w:rPr>
        <w:t>L</w:t>
      </w:r>
      <w:r w:rsidR="00120A22" w:rsidRPr="00FA5C8D">
        <w:rPr>
          <w:rFonts w:ascii="Book Antiqua" w:hAnsi="Book Antiqua" w:cs="Times New Roman"/>
          <w:sz w:val="24"/>
          <w:szCs w:val="24"/>
          <w:shd w:val="clear" w:color="auto" w:fill="FFFFFF"/>
        </w:rPr>
        <w:t xml:space="preserve"> in women</w:t>
      </w:r>
      <w:r w:rsidR="00C32B77" w:rsidRPr="00FA5C8D">
        <w:rPr>
          <w:rFonts w:ascii="Book Antiqua" w:hAnsi="Book Antiqua" w:cs="Times New Roman"/>
          <w:sz w:val="24"/>
          <w:szCs w:val="24"/>
          <w:shd w:val="clear" w:color="auto" w:fill="FFFFFF"/>
        </w:rPr>
        <w:t>)</w:t>
      </w:r>
      <w:r w:rsidR="00EA6A28"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and</w:t>
      </w:r>
      <w:r w:rsidRPr="00FA5C8D">
        <w:rPr>
          <w:rFonts w:ascii="Book Antiqua" w:hAnsi="Book Antiqua" w:cs="Times New Roman"/>
          <w:color w:val="000000"/>
          <w:sz w:val="24"/>
          <w:szCs w:val="24"/>
          <w:shd w:val="clear" w:color="auto" w:fill="FFFFFF"/>
        </w:rPr>
        <w:t xml:space="preserve"> vitamin D </w:t>
      </w:r>
      <w:r w:rsidRPr="00FA5C8D">
        <w:rPr>
          <w:rFonts w:ascii="Book Antiqua" w:hAnsi="Book Antiqua" w:cs="Times New Roman"/>
          <w:sz w:val="24"/>
          <w:szCs w:val="24"/>
          <w:shd w:val="clear" w:color="auto" w:fill="FFFFFF"/>
        </w:rPr>
        <w:t>deficiency</w:t>
      </w:r>
      <w:r w:rsidR="00C32B77" w:rsidRPr="00FA5C8D">
        <w:rPr>
          <w:rFonts w:ascii="Book Antiqua" w:hAnsi="Book Antiqua" w:cs="Times New Roman"/>
          <w:sz w:val="24"/>
          <w:szCs w:val="24"/>
          <w:shd w:val="clear" w:color="auto" w:fill="FFFFFF"/>
        </w:rPr>
        <w:t xml:space="preserve"> (</w:t>
      </w:r>
      <w:r w:rsidR="000D05CC" w:rsidRPr="00FA5C8D">
        <w:rPr>
          <w:rFonts w:ascii="Book Antiqua" w:hAnsi="Book Antiqua" w:cs="Times New Roman"/>
          <w:sz w:val="24"/>
          <w:szCs w:val="24"/>
          <w:shd w:val="clear" w:color="auto" w:fill="FFFFFF"/>
        </w:rPr>
        <w:t>less than 50</w:t>
      </w:r>
      <w:r w:rsidR="00360EDB" w:rsidRPr="00FA5C8D">
        <w:rPr>
          <w:rFonts w:ascii="Book Antiqua" w:hAnsi="Book Antiqua" w:cs="Times New Roman"/>
          <w:sz w:val="24"/>
          <w:szCs w:val="24"/>
          <w:shd w:val="clear" w:color="auto" w:fill="FFFFFF"/>
        </w:rPr>
        <w:t xml:space="preserve"> </w:t>
      </w:r>
      <w:r w:rsidR="000D05CC" w:rsidRPr="00FA5C8D">
        <w:rPr>
          <w:rFonts w:ascii="Book Antiqua" w:hAnsi="Book Antiqua" w:cs="Times New Roman"/>
          <w:sz w:val="24"/>
          <w:szCs w:val="24"/>
          <w:shd w:val="clear" w:color="auto" w:fill="FFFFFF"/>
        </w:rPr>
        <w:t>nmol/</w:t>
      </w:r>
      <w:r w:rsidR="00EA6A28" w:rsidRPr="00FA5C8D">
        <w:rPr>
          <w:rFonts w:ascii="Book Antiqua" w:hAnsi="Book Antiqua" w:cs="Times New Roman"/>
          <w:sz w:val="24"/>
          <w:szCs w:val="24"/>
          <w:shd w:val="clear" w:color="auto" w:fill="FFFFFF"/>
        </w:rPr>
        <w:t>L</w:t>
      </w:r>
      <w:r w:rsidR="00C32B77"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were evaluated</w:t>
      </w:r>
      <w:r w:rsidRPr="00FA5C8D">
        <w:rPr>
          <w:rFonts w:ascii="Book Antiqua" w:hAnsi="Book Antiqua" w:cs="Times New Roman"/>
          <w:color w:val="000000"/>
          <w:sz w:val="24"/>
          <w:szCs w:val="24"/>
          <w:shd w:val="clear" w:color="auto" w:fill="FFFFFF"/>
        </w:rPr>
        <w:t>.</w:t>
      </w:r>
    </w:p>
    <w:p w14:paraId="47CD4A07" w14:textId="77777777" w:rsidR="004B15EC" w:rsidRPr="00FA5C8D" w:rsidRDefault="004B15EC" w:rsidP="00FA5C8D">
      <w:pPr>
        <w:snapToGrid w:val="0"/>
        <w:spacing w:after="0" w:line="360" w:lineRule="auto"/>
        <w:jc w:val="both"/>
        <w:rPr>
          <w:rFonts w:ascii="Book Antiqua" w:hAnsi="Book Antiqua" w:cs="Times New Roman"/>
          <w:b/>
          <w:sz w:val="24"/>
          <w:szCs w:val="24"/>
        </w:rPr>
      </w:pPr>
    </w:p>
    <w:p w14:paraId="299DC89C" w14:textId="77777777" w:rsidR="00976A4D" w:rsidRPr="00FA5C8D" w:rsidRDefault="00976A4D" w:rsidP="00FA5C8D">
      <w:pPr>
        <w:snapToGrid w:val="0"/>
        <w:spacing w:after="0" w:line="360" w:lineRule="auto"/>
        <w:jc w:val="both"/>
        <w:rPr>
          <w:rFonts w:ascii="Book Antiqua" w:hAnsi="Book Antiqua" w:cs="Times New Roman"/>
          <w:bCs/>
          <w:i/>
          <w:iCs/>
          <w:sz w:val="24"/>
          <w:szCs w:val="24"/>
        </w:rPr>
      </w:pPr>
      <w:r w:rsidRPr="00FA5C8D">
        <w:rPr>
          <w:rFonts w:ascii="Book Antiqua" w:hAnsi="Book Antiqua" w:cs="Times New Roman"/>
          <w:b/>
          <w:i/>
          <w:iCs/>
          <w:sz w:val="24"/>
          <w:szCs w:val="24"/>
        </w:rPr>
        <w:t>Statistical analysis</w:t>
      </w:r>
    </w:p>
    <w:p w14:paraId="2525C8E3" w14:textId="77777777" w:rsidR="006157AC" w:rsidRPr="00FA5C8D" w:rsidRDefault="004B15EC"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The</w:t>
      </w:r>
      <w:r w:rsidR="003A420C" w:rsidRPr="00FA5C8D">
        <w:rPr>
          <w:rFonts w:ascii="Book Antiqua" w:hAnsi="Book Antiqua" w:cs="Times New Roman"/>
          <w:sz w:val="24"/>
          <w:szCs w:val="24"/>
        </w:rPr>
        <w:t xml:space="preserve"> mean, standard deviation, median, </w:t>
      </w:r>
      <w:r w:rsidR="0037229C" w:rsidRPr="00FA5C8D">
        <w:rPr>
          <w:rFonts w:ascii="Book Antiqua" w:hAnsi="Book Antiqua" w:cs="Times New Roman"/>
          <w:sz w:val="24"/>
          <w:szCs w:val="24"/>
        </w:rPr>
        <w:t>minimum,</w:t>
      </w:r>
      <w:r w:rsidR="003A420C" w:rsidRPr="00FA5C8D">
        <w:rPr>
          <w:rFonts w:ascii="Book Antiqua" w:hAnsi="Book Antiqua" w:cs="Times New Roman"/>
          <w:sz w:val="24"/>
          <w:szCs w:val="24"/>
        </w:rPr>
        <w:t xml:space="preserve"> and maximum were used to </w:t>
      </w:r>
      <w:r w:rsidRPr="00FA5C8D">
        <w:rPr>
          <w:rFonts w:ascii="Book Antiqua" w:hAnsi="Book Antiqua" w:cs="Times New Roman"/>
          <w:sz w:val="24"/>
          <w:szCs w:val="24"/>
        </w:rPr>
        <w:t>analyze</w:t>
      </w:r>
      <w:r w:rsidR="0037229C" w:rsidRPr="00FA5C8D">
        <w:rPr>
          <w:rFonts w:ascii="Book Antiqua" w:hAnsi="Book Antiqua" w:cs="Times New Roman"/>
          <w:sz w:val="24"/>
          <w:szCs w:val="24"/>
        </w:rPr>
        <w:t xml:space="preserve"> </w:t>
      </w:r>
      <w:r w:rsidR="004658AC" w:rsidRPr="00FA5C8D">
        <w:rPr>
          <w:rFonts w:ascii="Book Antiqua" w:hAnsi="Book Antiqua" w:cs="Times New Roman"/>
          <w:sz w:val="24"/>
          <w:szCs w:val="24"/>
        </w:rPr>
        <w:t>qua</w:t>
      </w:r>
      <w:r w:rsidR="003A420C" w:rsidRPr="00FA5C8D">
        <w:rPr>
          <w:rFonts w:ascii="Book Antiqua" w:hAnsi="Book Antiqua" w:cs="Times New Roman"/>
          <w:sz w:val="24"/>
          <w:szCs w:val="24"/>
        </w:rPr>
        <w:t>ntitative parameters</w:t>
      </w:r>
      <w:r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Pr="00FA5C8D">
        <w:rPr>
          <w:rFonts w:ascii="Book Antiqua" w:hAnsi="Book Antiqua" w:cs="Times New Roman"/>
          <w:sz w:val="24"/>
          <w:szCs w:val="24"/>
        </w:rPr>
        <w:t>A</w:t>
      </w:r>
      <w:r w:rsidR="004658AC" w:rsidRPr="00FA5C8D">
        <w:rPr>
          <w:rFonts w:ascii="Book Antiqua" w:hAnsi="Book Antiqua" w:cs="Times New Roman"/>
          <w:sz w:val="24"/>
          <w:szCs w:val="24"/>
        </w:rPr>
        <w:t>bsolute and r</w:t>
      </w:r>
      <w:r w:rsidR="003A420C" w:rsidRPr="00FA5C8D">
        <w:rPr>
          <w:rFonts w:ascii="Book Antiqua" w:hAnsi="Book Antiqua" w:cs="Times New Roman"/>
          <w:sz w:val="24"/>
          <w:szCs w:val="24"/>
        </w:rPr>
        <w:t xml:space="preserve">elative frequency </w:t>
      </w:r>
      <w:r w:rsidRPr="00FA5C8D">
        <w:rPr>
          <w:rFonts w:ascii="Book Antiqua" w:hAnsi="Book Antiqua" w:cs="Times New Roman"/>
          <w:sz w:val="24"/>
          <w:szCs w:val="24"/>
        </w:rPr>
        <w:t>were</w:t>
      </w:r>
      <w:r w:rsidR="0037229C" w:rsidRPr="00FA5C8D">
        <w:rPr>
          <w:rFonts w:ascii="Book Antiqua" w:hAnsi="Book Antiqua" w:cs="Times New Roman"/>
          <w:sz w:val="24"/>
          <w:szCs w:val="24"/>
        </w:rPr>
        <w:t xml:space="preserve"> </w:t>
      </w:r>
      <w:r w:rsidR="003A420C" w:rsidRPr="00FA5C8D">
        <w:rPr>
          <w:rFonts w:ascii="Book Antiqua" w:hAnsi="Book Antiqua" w:cs="Times New Roman"/>
          <w:sz w:val="24"/>
          <w:szCs w:val="24"/>
        </w:rPr>
        <w:t xml:space="preserve">used to </w:t>
      </w:r>
      <w:r w:rsidRPr="00FA5C8D">
        <w:rPr>
          <w:rFonts w:ascii="Book Antiqua" w:hAnsi="Book Antiqua" w:cs="Times New Roman"/>
          <w:sz w:val="24"/>
          <w:szCs w:val="24"/>
        </w:rPr>
        <w:t>analyze</w:t>
      </w:r>
      <w:r w:rsidR="0037229C" w:rsidRPr="00FA5C8D">
        <w:rPr>
          <w:rFonts w:ascii="Book Antiqua" w:hAnsi="Book Antiqua" w:cs="Times New Roman"/>
          <w:sz w:val="24"/>
          <w:szCs w:val="24"/>
        </w:rPr>
        <w:t xml:space="preserve"> </w:t>
      </w:r>
      <w:r w:rsidR="004658AC" w:rsidRPr="00FA5C8D">
        <w:rPr>
          <w:rFonts w:ascii="Book Antiqua" w:hAnsi="Book Antiqua" w:cs="Times New Roman"/>
          <w:sz w:val="24"/>
          <w:szCs w:val="24"/>
        </w:rPr>
        <w:t>qua</w:t>
      </w:r>
      <w:r w:rsidR="003A420C" w:rsidRPr="00FA5C8D">
        <w:rPr>
          <w:rFonts w:ascii="Book Antiqua" w:hAnsi="Book Antiqua" w:cs="Times New Roman"/>
          <w:sz w:val="24"/>
          <w:szCs w:val="24"/>
        </w:rPr>
        <w:t xml:space="preserve">litative parameters. </w:t>
      </w:r>
      <w:r w:rsidR="006157AC" w:rsidRPr="00FA5C8D">
        <w:rPr>
          <w:rFonts w:ascii="Book Antiqua" w:hAnsi="Book Antiqua" w:cs="Times New Roman"/>
          <w:sz w:val="24"/>
          <w:szCs w:val="24"/>
        </w:rPr>
        <w:t>Sensitivity, specificity</w:t>
      </w:r>
      <w:r w:rsidR="005C05CF" w:rsidRPr="00FA5C8D">
        <w:rPr>
          <w:rFonts w:ascii="Book Antiqua" w:hAnsi="Book Antiqua" w:cs="Times New Roman"/>
          <w:sz w:val="24"/>
          <w:szCs w:val="24"/>
        </w:rPr>
        <w:t xml:space="preserve">, </w:t>
      </w:r>
      <w:r w:rsidR="00DC0983" w:rsidRPr="00FA5C8D">
        <w:rPr>
          <w:rFonts w:ascii="Book Antiqua" w:hAnsi="Book Antiqua" w:cs="Times New Roman"/>
          <w:sz w:val="24"/>
          <w:szCs w:val="24"/>
        </w:rPr>
        <w:t xml:space="preserve">and </w:t>
      </w:r>
      <w:r w:rsidR="005C05CF" w:rsidRPr="00FA5C8D">
        <w:rPr>
          <w:rFonts w:ascii="Book Antiqua" w:hAnsi="Book Antiqua" w:cs="Times New Roman"/>
          <w:sz w:val="24"/>
          <w:szCs w:val="24"/>
        </w:rPr>
        <w:t xml:space="preserve">positive </w:t>
      </w:r>
      <w:r w:rsidR="006157AC" w:rsidRPr="00FA5C8D">
        <w:rPr>
          <w:rFonts w:ascii="Book Antiqua" w:hAnsi="Book Antiqua" w:cs="Times New Roman"/>
          <w:sz w:val="24"/>
          <w:szCs w:val="24"/>
        </w:rPr>
        <w:t xml:space="preserve">and </w:t>
      </w:r>
      <w:r w:rsidR="005C05CF" w:rsidRPr="00FA5C8D">
        <w:rPr>
          <w:rFonts w:ascii="Book Antiqua" w:hAnsi="Book Antiqua" w:cs="Times New Roman"/>
          <w:sz w:val="24"/>
          <w:szCs w:val="24"/>
        </w:rPr>
        <w:t>negative</w:t>
      </w:r>
      <w:r w:rsidR="006157AC" w:rsidRPr="00FA5C8D">
        <w:rPr>
          <w:rFonts w:ascii="Book Antiqua" w:hAnsi="Book Antiqua" w:cs="Times New Roman"/>
          <w:sz w:val="24"/>
          <w:szCs w:val="24"/>
        </w:rPr>
        <w:t xml:space="preserve"> predictive value were calculated from frequency of </w:t>
      </w:r>
      <w:r w:rsidR="00C02D04" w:rsidRPr="00FA5C8D">
        <w:rPr>
          <w:rFonts w:ascii="Book Antiqua" w:hAnsi="Book Antiqua" w:cs="Times New Roman"/>
          <w:sz w:val="24"/>
          <w:szCs w:val="24"/>
        </w:rPr>
        <w:t>VA</w:t>
      </w:r>
      <w:r w:rsidR="006157AC" w:rsidRPr="00FA5C8D">
        <w:rPr>
          <w:rFonts w:ascii="Book Antiqua" w:hAnsi="Book Antiqua" w:cs="Times New Roman"/>
          <w:sz w:val="24"/>
          <w:szCs w:val="24"/>
        </w:rPr>
        <w:t xml:space="preserve"> and positivity o</w:t>
      </w:r>
      <w:r w:rsidR="00247855" w:rsidRPr="00FA5C8D">
        <w:rPr>
          <w:rFonts w:ascii="Book Antiqua" w:hAnsi="Book Antiqua" w:cs="Times New Roman"/>
          <w:sz w:val="24"/>
          <w:szCs w:val="24"/>
        </w:rPr>
        <w:t>f</w:t>
      </w:r>
      <w:r w:rsidR="006157AC" w:rsidRPr="00FA5C8D">
        <w:rPr>
          <w:rFonts w:ascii="Book Antiqua" w:hAnsi="Book Antiqua" w:cs="Times New Roman"/>
          <w:sz w:val="24"/>
          <w:szCs w:val="24"/>
        </w:rPr>
        <w:t>aTTG and aDGP</w:t>
      </w:r>
      <w:r w:rsidR="007506DA" w:rsidRPr="00FA5C8D">
        <w:rPr>
          <w:rFonts w:ascii="Book Antiqua" w:hAnsi="Book Antiqua" w:cs="Times New Roman"/>
          <w:sz w:val="24"/>
          <w:szCs w:val="24"/>
        </w:rPr>
        <w:t xml:space="preserve"> and </w:t>
      </w:r>
      <w:r w:rsidR="00373DF4" w:rsidRPr="00FA5C8D">
        <w:rPr>
          <w:rFonts w:ascii="Book Antiqua" w:hAnsi="Book Antiqua" w:cs="Times New Roman"/>
          <w:sz w:val="24"/>
          <w:szCs w:val="24"/>
        </w:rPr>
        <w:t xml:space="preserve">were </w:t>
      </w:r>
      <w:r w:rsidR="007506DA" w:rsidRPr="00FA5C8D">
        <w:rPr>
          <w:rFonts w:ascii="Book Antiqua" w:hAnsi="Book Antiqua" w:cs="Times New Roman"/>
          <w:sz w:val="24"/>
          <w:szCs w:val="24"/>
        </w:rPr>
        <w:t>reported with their 95%</w:t>
      </w:r>
      <w:r w:rsidR="00360EDB" w:rsidRPr="00FA5C8D">
        <w:rPr>
          <w:rFonts w:ascii="Book Antiqua" w:hAnsi="Book Antiqua" w:cs="Times New Roman"/>
          <w:sz w:val="24"/>
          <w:szCs w:val="24"/>
        </w:rPr>
        <w:t>CI</w:t>
      </w:r>
      <w:r w:rsidR="006157AC" w:rsidRPr="00FA5C8D">
        <w:rPr>
          <w:rFonts w:ascii="Book Antiqua" w:hAnsi="Book Antiqua" w:cs="Times New Roman"/>
          <w:sz w:val="24"/>
          <w:szCs w:val="24"/>
        </w:rPr>
        <w:t xml:space="preserve">. </w:t>
      </w:r>
      <w:r w:rsidR="00247855" w:rsidRPr="00FA5C8D">
        <w:rPr>
          <w:rFonts w:ascii="Book Antiqua" w:hAnsi="Book Antiqua" w:cs="Times New Roman"/>
          <w:sz w:val="24"/>
          <w:szCs w:val="24"/>
        </w:rPr>
        <w:t xml:space="preserve">To quantify antibody </w:t>
      </w:r>
      <w:r w:rsidR="00BB359D" w:rsidRPr="00FA5C8D">
        <w:rPr>
          <w:rFonts w:ascii="Book Antiqua" w:hAnsi="Book Antiqua" w:cs="Times New Roman"/>
          <w:sz w:val="24"/>
          <w:szCs w:val="24"/>
        </w:rPr>
        <w:t>titer</w:t>
      </w:r>
      <w:r w:rsidRPr="00FA5C8D">
        <w:rPr>
          <w:rFonts w:ascii="Book Antiqua" w:hAnsi="Book Antiqua" w:cs="Times New Roman"/>
          <w:sz w:val="24"/>
          <w:szCs w:val="24"/>
        </w:rPr>
        <w:t>s</w:t>
      </w:r>
      <w:r w:rsidR="00247855" w:rsidRPr="00FA5C8D">
        <w:rPr>
          <w:rFonts w:ascii="Book Antiqua" w:hAnsi="Book Antiqua" w:cs="Times New Roman"/>
          <w:sz w:val="24"/>
          <w:szCs w:val="24"/>
        </w:rPr>
        <w:t xml:space="preserve"> (</w:t>
      </w:r>
      <w:proofErr w:type="spellStart"/>
      <w:r w:rsidR="00247855" w:rsidRPr="00FA5C8D">
        <w:rPr>
          <w:rFonts w:ascii="Book Antiqua" w:hAnsi="Book Antiqua" w:cs="Times New Roman"/>
          <w:sz w:val="24"/>
          <w:szCs w:val="24"/>
        </w:rPr>
        <w:t>aTTG</w:t>
      </w:r>
      <w:proofErr w:type="spellEnd"/>
      <w:r w:rsidR="00247855" w:rsidRPr="00FA5C8D">
        <w:rPr>
          <w:rFonts w:ascii="Book Antiqua" w:hAnsi="Book Antiqua" w:cs="Times New Roman"/>
          <w:sz w:val="24"/>
          <w:szCs w:val="24"/>
        </w:rPr>
        <w:t xml:space="preserve"> IgA, </w:t>
      </w:r>
      <w:proofErr w:type="spellStart"/>
      <w:r w:rsidR="00247855" w:rsidRPr="00FA5C8D">
        <w:rPr>
          <w:rFonts w:ascii="Book Antiqua" w:hAnsi="Book Antiqua" w:cs="Times New Roman"/>
          <w:sz w:val="24"/>
          <w:szCs w:val="24"/>
        </w:rPr>
        <w:t>aTTG</w:t>
      </w:r>
      <w:proofErr w:type="spellEnd"/>
      <w:r w:rsidR="0037229C" w:rsidRPr="00FA5C8D">
        <w:rPr>
          <w:rFonts w:ascii="Book Antiqua" w:hAnsi="Book Antiqua" w:cs="Times New Roman"/>
          <w:sz w:val="24"/>
          <w:szCs w:val="24"/>
        </w:rPr>
        <w:t xml:space="preserve"> </w:t>
      </w:r>
      <w:proofErr w:type="spellStart"/>
      <w:r w:rsidR="00247855" w:rsidRPr="00FA5C8D">
        <w:rPr>
          <w:rFonts w:ascii="Book Antiqua" w:hAnsi="Book Antiqua" w:cs="Times New Roman"/>
          <w:sz w:val="24"/>
          <w:szCs w:val="24"/>
        </w:rPr>
        <w:t>IgG</w:t>
      </w:r>
      <w:proofErr w:type="spellEnd"/>
      <w:r w:rsidR="00247855" w:rsidRPr="00FA5C8D">
        <w:rPr>
          <w:rFonts w:ascii="Book Antiqua" w:hAnsi="Book Antiqua" w:cs="Times New Roman"/>
          <w:sz w:val="24"/>
          <w:szCs w:val="24"/>
        </w:rPr>
        <w:t xml:space="preserve">, </w:t>
      </w:r>
      <w:proofErr w:type="spellStart"/>
      <w:r w:rsidR="00247855" w:rsidRPr="00FA5C8D">
        <w:rPr>
          <w:rFonts w:ascii="Book Antiqua" w:hAnsi="Book Antiqua" w:cs="Times New Roman"/>
          <w:sz w:val="24"/>
          <w:szCs w:val="24"/>
        </w:rPr>
        <w:t>aDGP</w:t>
      </w:r>
      <w:proofErr w:type="spellEnd"/>
      <w:r w:rsidR="00247855" w:rsidRPr="00FA5C8D">
        <w:rPr>
          <w:rFonts w:ascii="Book Antiqua" w:hAnsi="Book Antiqua" w:cs="Times New Roman"/>
          <w:sz w:val="24"/>
          <w:szCs w:val="24"/>
        </w:rPr>
        <w:t xml:space="preserve"> IgA, </w:t>
      </w:r>
      <w:proofErr w:type="spellStart"/>
      <w:r w:rsidR="00247855" w:rsidRPr="00FA5C8D">
        <w:rPr>
          <w:rFonts w:ascii="Book Antiqua" w:hAnsi="Book Antiqua" w:cs="Times New Roman"/>
          <w:sz w:val="24"/>
          <w:szCs w:val="24"/>
        </w:rPr>
        <w:t>aDGP</w:t>
      </w:r>
      <w:proofErr w:type="spellEnd"/>
      <w:r w:rsidR="0037229C" w:rsidRPr="00FA5C8D">
        <w:rPr>
          <w:rFonts w:ascii="Book Antiqua" w:hAnsi="Book Antiqua" w:cs="Times New Roman"/>
          <w:sz w:val="24"/>
          <w:szCs w:val="24"/>
        </w:rPr>
        <w:t xml:space="preserve"> </w:t>
      </w:r>
      <w:proofErr w:type="spellStart"/>
      <w:r w:rsidR="00247855" w:rsidRPr="00FA5C8D">
        <w:rPr>
          <w:rFonts w:ascii="Book Antiqua" w:hAnsi="Book Antiqua" w:cs="Times New Roman"/>
          <w:sz w:val="24"/>
          <w:szCs w:val="24"/>
        </w:rPr>
        <w:t>IgG</w:t>
      </w:r>
      <w:proofErr w:type="spellEnd"/>
      <w:r w:rsidR="00247855" w:rsidRPr="00FA5C8D">
        <w:rPr>
          <w:rFonts w:ascii="Book Antiqua" w:hAnsi="Book Antiqua" w:cs="Times New Roman"/>
          <w:sz w:val="24"/>
          <w:szCs w:val="24"/>
        </w:rPr>
        <w:t xml:space="preserve">) </w:t>
      </w:r>
      <w:r w:rsidR="00E70133" w:rsidRPr="00FA5C8D">
        <w:rPr>
          <w:rFonts w:ascii="Book Antiqua" w:hAnsi="Book Antiqua" w:cs="Times New Roman"/>
          <w:sz w:val="24"/>
          <w:szCs w:val="24"/>
        </w:rPr>
        <w:t>receiver operating characteristic</w:t>
      </w:r>
      <w:r w:rsidR="00247855" w:rsidRPr="00FA5C8D">
        <w:rPr>
          <w:rFonts w:ascii="Book Antiqua" w:hAnsi="Book Antiqua" w:cs="Times New Roman"/>
          <w:sz w:val="24"/>
          <w:szCs w:val="24"/>
        </w:rPr>
        <w:t xml:space="preserve"> </w:t>
      </w:r>
      <w:r w:rsidR="00E70133" w:rsidRPr="00FA5C8D">
        <w:rPr>
          <w:rFonts w:ascii="Book Antiqua" w:hAnsi="Book Antiqua" w:cs="Times New Roman"/>
          <w:sz w:val="24"/>
          <w:szCs w:val="24"/>
        </w:rPr>
        <w:t>analysis</w:t>
      </w:r>
      <w:r w:rsidR="0037229C" w:rsidRPr="00FA5C8D">
        <w:rPr>
          <w:rFonts w:ascii="Book Antiqua" w:hAnsi="Book Antiqua" w:cs="Times New Roman"/>
          <w:sz w:val="24"/>
          <w:szCs w:val="24"/>
        </w:rPr>
        <w:t xml:space="preserve"> </w:t>
      </w:r>
      <w:r w:rsidR="00247855" w:rsidRPr="00FA5C8D">
        <w:rPr>
          <w:rFonts w:ascii="Book Antiqua" w:hAnsi="Book Antiqua" w:cs="Times New Roman"/>
          <w:sz w:val="24"/>
          <w:szCs w:val="24"/>
        </w:rPr>
        <w:t xml:space="preserve">was used to evaluate </w:t>
      </w:r>
      <w:r w:rsidR="006157AC" w:rsidRPr="00FA5C8D">
        <w:rPr>
          <w:rFonts w:ascii="Book Antiqua" w:hAnsi="Book Antiqua" w:cs="Times New Roman"/>
          <w:sz w:val="24"/>
          <w:szCs w:val="24"/>
        </w:rPr>
        <w:t xml:space="preserve">the </w:t>
      </w:r>
      <w:r w:rsidR="00247855" w:rsidRPr="00FA5C8D">
        <w:rPr>
          <w:rFonts w:ascii="Book Antiqua" w:hAnsi="Book Antiqua" w:cs="Times New Roman"/>
          <w:sz w:val="24"/>
          <w:szCs w:val="24"/>
        </w:rPr>
        <w:t xml:space="preserve">best </w:t>
      </w:r>
      <w:r w:rsidR="00840655" w:rsidRPr="00FA5C8D">
        <w:rPr>
          <w:rFonts w:ascii="Book Antiqua" w:hAnsi="Book Antiqua" w:cs="Times New Roman"/>
          <w:sz w:val="24"/>
          <w:szCs w:val="24"/>
        </w:rPr>
        <w:t>cutoff value</w:t>
      </w:r>
      <w:r w:rsidRPr="00FA5C8D">
        <w:rPr>
          <w:rFonts w:ascii="Book Antiqua" w:hAnsi="Book Antiqua" w:cs="Times New Roman"/>
          <w:sz w:val="24"/>
          <w:szCs w:val="24"/>
        </w:rPr>
        <w:t xml:space="preserve">s </w:t>
      </w:r>
      <w:r w:rsidR="00840655" w:rsidRPr="00FA5C8D">
        <w:rPr>
          <w:rFonts w:ascii="Book Antiqua" w:hAnsi="Book Antiqua" w:cs="Times New Roman"/>
          <w:sz w:val="24"/>
          <w:szCs w:val="24"/>
        </w:rPr>
        <w:t xml:space="preserve">with highest </w:t>
      </w:r>
      <w:r w:rsidR="00247855" w:rsidRPr="00FA5C8D">
        <w:rPr>
          <w:rFonts w:ascii="Book Antiqua" w:hAnsi="Book Antiqua" w:cs="Times New Roman"/>
          <w:sz w:val="24"/>
          <w:szCs w:val="24"/>
        </w:rPr>
        <w:t>total s</w:t>
      </w:r>
      <w:r w:rsidR="008C07BE" w:rsidRPr="00FA5C8D">
        <w:rPr>
          <w:rFonts w:ascii="Book Antiqua" w:hAnsi="Book Antiqua" w:cs="Times New Roman"/>
          <w:sz w:val="24"/>
          <w:szCs w:val="24"/>
        </w:rPr>
        <w:t>en</w:t>
      </w:r>
      <w:r w:rsidR="00247855" w:rsidRPr="00FA5C8D">
        <w:rPr>
          <w:rFonts w:ascii="Book Antiqua" w:hAnsi="Book Antiqua" w:cs="Times New Roman"/>
          <w:sz w:val="24"/>
          <w:szCs w:val="24"/>
        </w:rPr>
        <w:t>sitivity and s</w:t>
      </w:r>
      <w:r w:rsidR="008C07BE" w:rsidRPr="00FA5C8D">
        <w:rPr>
          <w:rFonts w:ascii="Book Antiqua" w:hAnsi="Book Antiqua" w:cs="Times New Roman"/>
          <w:sz w:val="24"/>
          <w:szCs w:val="24"/>
        </w:rPr>
        <w:t xml:space="preserve">pecificity. </w:t>
      </w:r>
      <w:r w:rsidR="00247855" w:rsidRPr="00FA5C8D">
        <w:rPr>
          <w:rFonts w:ascii="Book Antiqua" w:hAnsi="Book Antiqua" w:cs="Times New Roman"/>
          <w:sz w:val="24"/>
          <w:szCs w:val="24"/>
        </w:rPr>
        <w:t>Sensitivity, specificity</w:t>
      </w:r>
      <w:r w:rsidR="00721021" w:rsidRPr="00FA5C8D">
        <w:rPr>
          <w:rFonts w:ascii="Book Antiqua" w:hAnsi="Book Antiqua" w:cs="Times New Roman"/>
          <w:sz w:val="24"/>
          <w:szCs w:val="24"/>
        </w:rPr>
        <w:t xml:space="preserve">, </w:t>
      </w:r>
      <w:r w:rsidR="00612B93" w:rsidRPr="00FA5C8D">
        <w:rPr>
          <w:rFonts w:ascii="Book Antiqua" w:hAnsi="Book Antiqua" w:cs="Times New Roman"/>
          <w:sz w:val="24"/>
          <w:szCs w:val="24"/>
        </w:rPr>
        <w:t xml:space="preserve">and </w:t>
      </w:r>
      <w:r w:rsidR="00247855" w:rsidRPr="00FA5C8D">
        <w:rPr>
          <w:rFonts w:ascii="Book Antiqua" w:hAnsi="Book Antiqua" w:cs="Times New Roman"/>
          <w:sz w:val="24"/>
          <w:szCs w:val="24"/>
        </w:rPr>
        <w:t xml:space="preserve">positive </w:t>
      </w:r>
      <w:r w:rsidR="00721021" w:rsidRPr="00FA5C8D">
        <w:rPr>
          <w:rFonts w:ascii="Book Antiqua" w:hAnsi="Book Antiqua" w:cs="Times New Roman"/>
          <w:sz w:val="24"/>
          <w:szCs w:val="24"/>
        </w:rPr>
        <w:t xml:space="preserve">and negative </w:t>
      </w:r>
      <w:r w:rsidR="00247855" w:rsidRPr="00FA5C8D">
        <w:rPr>
          <w:rFonts w:ascii="Book Antiqua" w:hAnsi="Book Antiqua" w:cs="Times New Roman"/>
          <w:sz w:val="24"/>
          <w:szCs w:val="24"/>
        </w:rPr>
        <w:t>predictive value w</w:t>
      </w:r>
      <w:r w:rsidR="00721021" w:rsidRPr="00FA5C8D">
        <w:rPr>
          <w:rFonts w:ascii="Book Antiqua" w:hAnsi="Book Antiqua" w:cs="Times New Roman"/>
          <w:sz w:val="24"/>
          <w:szCs w:val="24"/>
        </w:rPr>
        <w:t>ere</w:t>
      </w:r>
      <w:r w:rsidR="00247855" w:rsidRPr="00FA5C8D">
        <w:rPr>
          <w:rFonts w:ascii="Book Antiqua" w:hAnsi="Book Antiqua" w:cs="Times New Roman"/>
          <w:sz w:val="24"/>
          <w:szCs w:val="24"/>
        </w:rPr>
        <w:t xml:space="preserve"> calculated for the</w:t>
      </w:r>
      <w:r w:rsidR="00840655" w:rsidRPr="00FA5C8D">
        <w:rPr>
          <w:rFonts w:ascii="Book Antiqua" w:hAnsi="Book Antiqua" w:cs="Times New Roman"/>
          <w:sz w:val="24"/>
          <w:szCs w:val="24"/>
        </w:rPr>
        <w:t xml:space="preserve">se </w:t>
      </w:r>
      <w:r w:rsidR="007506DA" w:rsidRPr="00FA5C8D">
        <w:rPr>
          <w:rFonts w:ascii="Book Antiqua" w:hAnsi="Book Antiqua" w:cs="Times New Roman"/>
          <w:sz w:val="24"/>
          <w:szCs w:val="24"/>
        </w:rPr>
        <w:t xml:space="preserve">new </w:t>
      </w:r>
      <w:r w:rsidR="00840655" w:rsidRPr="00FA5C8D">
        <w:rPr>
          <w:rFonts w:ascii="Book Antiqua" w:hAnsi="Book Antiqua" w:cs="Times New Roman"/>
          <w:sz w:val="24"/>
          <w:szCs w:val="24"/>
        </w:rPr>
        <w:t>cutoff</w:t>
      </w:r>
      <w:r w:rsidR="001917DD" w:rsidRPr="00FA5C8D">
        <w:rPr>
          <w:rFonts w:ascii="Book Antiqua" w:hAnsi="Book Antiqua" w:cs="Times New Roman"/>
          <w:sz w:val="24"/>
          <w:szCs w:val="24"/>
        </w:rPr>
        <w:t xml:space="preserve"> values</w:t>
      </w:r>
      <w:r w:rsidR="008C07BE" w:rsidRPr="00FA5C8D">
        <w:rPr>
          <w:rFonts w:ascii="Book Antiqua" w:hAnsi="Book Antiqua" w:cs="Times New Roman"/>
          <w:sz w:val="24"/>
          <w:szCs w:val="24"/>
        </w:rPr>
        <w:t>.</w:t>
      </w:r>
      <w:r w:rsidR="0037229C" w:rsidRPr="00FA5C8D">
        <w:rPr>
          <w:rFonts w:ascii="Book Antiqua" w:hAnsi="Book Antiqua" w:cs="Times New Roman"/>
          <w:sz w:val="24"/>
          <w:szCs w:val="24"/>
        </w:rPr>
        <w:t xml:space="preserve"> </w:t>
      </w:r>
      <w:r w:rsidR="00030F86" w:rsidRPr="00FA5C8D">
        <w:rPr>
          <w:rFonts w:ascii="Book Antiqua" w:hAnsi="Book Antiqua" w:cs="Times New Roman"/>
          <w:sz w:val="24"/>
          <w:szCs w:val="24"/>
        </w:rPr>
        <w:t xml:space="preserve">The </w:t>
      </w:r>
      <w:r w:rsidR="00247855" w:rsidRPr="00FA5C8D">
        <w:rPr>
          <w:rFonts w:ascii="Book Antiqua" w:hAnsi="Book Antiqua" w:cs="Times New Roman"/>
          <w:sz w:val="24"/>
          <w:szCs w:val="24"/>
        </w:rPr>
        <w:t>Mann</w:t>
      </w:r>
      <w:r w:rsidRPr="00FA5C8D">
        <w:rPr>
          <w:rFonts w:ascii="Book Antiqua" w:hAnsi="Book Antiqua" w:cs="Times New Roman"/>
          <w:sz w:val="24"/>
          <w:szCs w:val="24"/>
        </w:rPr>
        <w:t>–</w:t>
      </w:r>
      <w:r w:rsidR="00247855" w:rsidRPr="00FA5C8D">
        <w:rPr>
          <w:rFonts w:ascii="Book Antiqua" w:hAnsi="Book Antiqua" w:cs="Times New Roman"/>
          <w:sz w:val="24"/>
          <w:szCs w:val="24"/>
        </w:rPr>
        <w:t xml:space="preserve">Whitney test </w:t>
      </w:r>
      <w:r w:rsidR="00AC765E" w:rsidRPr="00FA5C8D">
        <w:rPr>
          <w:rFonts w:ascii="Book Antiqua" w:hAnsi="Book Antiqua" w:cs="Times New Roman"/>
          <w:sz w:val="24"/>
          <w:szCs w:val="24"/>
        </w:rPr>
        <w:t>or</w:t>
      </w:r>
      <w:r w:rsidR="00247855" w:rsidRPr="00FA5C8D">
        <w:rPr>
          <w:rFonts w:ascii="Book Antiqua" w:hAnsi="Book Antiqua" w:cs="Times New Roman"/>
          <w:sz w:val="24"/>
          <w:szCs w:val="24"/>
        </w:rPr>
        <w:t xml:space="preserve"> Fisher</w:t>
      </w:r>
      <w:r w:rsidR="00EA6A28" w:rsidRPr="00FA5C8D">
        <w:rPr>
          <w:rFonts w:ascii="Book Antiqua" w:hAnsi="Book Antiqua" w:cs="Times New Roman"/>
          <w:sz w:val="24"/>
          <w:szCs w:val="24"/>
        </w:rPr>
        <w:t>’s</w:t>
      </w:r>
      <w:r w:rsidR="00247855" w:rsidRPr="00FA5C8D">
        <w:rPr>
          <w:rFonts w:ascii="Book Antiqua" w:hAnsi="Book Antiqua" w:cs="Times New Roman"/>
          <w:sz w:val="24"/>
          <w:szCs w:val="24"/>
        </w:rPr>
        <w:t xml:space="preserve"> exa</w:t>
      </w:r>
      <w:r w:rsidR="00AC765E" w:rsidRPr="00FA5C8D">
        <w:rPr>
          <w:rFonts w:ascii="Book Antiqua" w:hAnsi="Book Antiqua" w:cs="Times New Roman"/>
          <w:sz w:val="24"/>
          <w:szCs w:val="24"/>
        </w:rPr>
        <w:t>ct</w:t>
      </w:r>
      <w:r w:rsidR="00247855" w:rsidRPr="00FA5C8D">
        <w:rPr>
          <w:rFonts w:ascii="Book Antiqua" w:hAnsi="Book Antiqua" w:cs="Times New Roman"/>
          <w:sz w:val="24"/>
          <w:szCs w:val="24"/>
        </w:rPr>
        <w:t xml:space="preserve"> test </w:t>
      </w:r>
      <w:r w:rsidR="00AC765E" w:rsidRPr="00FA5C8D">
        <w:rPr>
          <w:rFonts w:ascii="Book Antiqua" w:hAnsi="Book Antiqua" w:cs="Times New Roman"/>
          <w:sz w:val="24"/>
          <w:szCs w:val="24"/>
        </w:rPr>
        <w:t>w</w:t>
      </w:r>
      <w:r w:rsidR="00C32B77" w:rsidRPr="00FA5C8D">
        <w:rPr>
          <w:rFonts w:ascii="Book Antiqua" w:hAnsi="Book Antiqua" w:cs="Times New Roman"/>
          <w:sz w:val="24"/>
          <w:szCs w:val="24"/>
        </w:rPr>
        <w:t>ere</w:t>
      </w:r>
      <w:r w:rsidR="00AC765E" w:rsidRPr="00FA5C8D">
        <w:rPr>
          <w:rFonts w:ascii="Book Antiqua" w:hAnsi="Book Antiqua" w:cs="Times New Roman"/>
          <w:sz w:val="24"/>
          <w:szCs w:val="24"/>
        </w:rPr>
        <w:t xml:space="preserve"> used for comparison of aTTG and aDGP positive and negative patients</w:t>
      </w:r>
      <w:r w:rsidR="00F14F75" w:rsidRPr="00FA5C8D">
        <w:rPr>
          <w:rFonts w:ascii="Book Antiqua" w:hAnsi="Book Antiqua" w:cs="Times New Roman"/>
          <w:sz w:val="24"/>
          <w:szCs w:val="24"/>
        </w:rPr>
        <w:t xml:space="preserve"> as well as for comparison of patients according to </w:t>
      </w:r>
      <w:r w:rsidR="00686E91" w:rsidRPr="00FA5C8D">
        <w:rPr>
          <w:rFonts w:ascii="Book Antiqua" w:hAnsi="Book Antiqua" w:cs="Times New Roman"/>
          <w:sz w:val="24"/>
          <w:szCs w:val="24"/>
        </w:rPr>
        <w:t xml:space="preserve">the </w:t>
      </w:r>
      <w:r w:rsidR="00F14F75" w:rsidRPr="00FA5C8D">
        <w:rPr>
          <w:rFonts w:ascii="Book Antiqua" w:hAnsi="Book Antiqua" w:cs="Times New Roman"/>
          <w:sz w:val="24"/>
          <w:szCs w:val="24"/>
        </w:rPr>
        <w:t>persistence of VA</w:t>
      </w:r>
      <w:r w:rsidR="00AC765E" w:rsidRPr="00FA5C8D">
        <w:rPr>
          <w:rFonts w:ascii="Book Antiqua" w:hAnsi="Book Antiqua" w:cs="Times New Roman"/>
          <w:sz w:val="24"/>
          <w:szCs w:val="24"/>
        </w:rPr>
        <w:t xml:space="preserve">. </w:t>
      </w:r>
      <w:r w:rsidR="00847F62" w:rsidRPr="00FA5C8D">
        <w:rPr>
          <w:rFonts w:ascii="Book Antiqua" w:hAnsi="Book Antiqua" w:cs="Times New Roman"/>
          <w:sz w:val="24"/>
          <w:szCs w:val="24"/>
        </w:rPr>
        <w:t xml:space="preserve">A </w:t>
      </w:r>
      <w:r w:rsidR="00360EDB" w:rsidRPr="00FA5C8D">
        <w:rPr>
          <w:rFonts w:ascii="Book Antiqua" w:hAnsi="Book Antiqua" w:cs="Times New Roman"/>
          <w:i/>
          <w:iCs/>
          <w:sz w:val="24"/>
          <w:szCs w:val="24"/>
        </w:rPr>
        <w:t>P</w:t>
      </w:r>
      <w:r w:rsidRPr="00FA5C8D">
        <w:rPr>
          <w:rFonts w:ascii="Book Antiqua" w:hAnsi="Book Antiqua" w:cs="Times New Roman"/>
          <w:sz w:val="24"/>
          <w:szCs w:val="24"/>
        </w:rPr>
        <w:t>-</w:t>
      </w:r>
      <w:r w:rsidR="00976B8E" w:rsidRPr="00FA5C8D">
        <w:rPr>
          <w:rFonts w:ascii="Book Antiqua" w:hAnsi="Book Antiqua" w:cs="Times New Roman"/>
          <w:sz w:val="24"/>
          <w:szCs w:val="24"/>
        </w:rPr>
        <w:t>value</w:t>
      </w:r>
      <w:r w:rsidR="00360EDB" w:rsidRPr="00FA5C8D">
        <w:rPr>
          <w:rFonts w:ascii="Book Antiqua" w:hAnsi="Book Antiqua" w:cs="Times New Roman"/>
          <w:sz w:val="24"/>
          <w:szCs w:val="24"/>
        </w:rPr>
        <w:t xml:space="preserve"> </w:t>
      </w:r>
      <w:r w:rsidR="009D1602" w:rsidRPr="00FA5C8D">
        <w:rPr>
          <w:rFonts w:ascii="Book Antiqua" w:hAnsi="Book Antiqua" w:cs="Times New Roman"/>
          <w:sz w:val="24"/>
          <w:szCs w:val="24"/>
        </w:rPr>
        <w:t>&lt;</w:t>
      </w:r>
      <w:r w:rsidR="00360EDB" w:rsidRPr="00FA5C8D">
        <w:rPr>
          <w:rFonts w:ascii="Book Antiqua" w:hAnsi="Book Antiqua" w:cs="Times New Roman"/>
          <w:sz w:val="24"/>
          <w:szCs w:val="24"/>
        </w:rPr>
        <w:t xml:space="preserve"> </w:t>
      </w:r>
      <w:r w:rsidR="00D208DD" w:rsidRPr="00FA5C8D">
        <w:rPr>
          <w:rFonts w:ascii="Book Antiqua" w:hAnsi="Book Antiqua" w:cs="Times New Roman"/>
          <w:sz w:val="24"/>
          <w:szCs w:val="24"/>
        </w:rPr>
        <w:t>0.</w:t>
      </w:r>
      <w:r w:rsidR="00976B8E" w:rsidRPr="00FA5C8D">
        <w:rPr>
          <w:rFonts w:ascii="Book Antiqua" w:hAnsi="Book Antiqua" w:cs="Times New Roman"/>
          <w:sz w:val="24"/>
          <w:szCs w:val="24"/>
        </w:rPr>
        <w:t xml:space="preserve">05 was </w:t>
      </w:r>
      <w:r w:rsidR="001374DB" w:rsidRPr="00FA5C8D">
        <w:rPr>
          <w:rFonts w:ascii="Book Antiqua" w:hAnsi="Book Antiqua" w:cs="Times New Roman"/>
          <w:sz w:val="24"/>
          <w:szCs w:val="24"/>
        </w:rPr>
        <w:t>considered</w:t>
      </w:r>
      <w:r w:rsidR="00CC61D7" w:rsidRPr="00FA5C8D">
        <w:rPr>
          <w:rFonts w:ascii="Book Antiqua" w:hAnsi="Book Antiqua" w:cs="Times New Roman"/>
          <w:sz w:val="24"/>
          <w:szCs w:val="24"/>
        </w:rPr>
        <w:t xml:space="preserve"> statistically significant. SPSS</w:t>
      </w:r>
      <w:r w:rsidR="001374DB" w:rsidRPr="00FA5C8D">
        <w:rPr>
          <w:rFonts w:ascii="Book Antiqua" w:hAnsi="Book Antiqua" w:cs="Times New Roman"/>
          <w:sz w:val="24"/>
          <w:szCs w:val="24"/>
        </w:rPr>
        <w:t xml:space="preserve"> software version 23.0 for Windows</w:t>
      </w:r>
      <w:r w:rsidR="00E42254" w:rsidRPr="00FA5C8D">
        <w:rPr>
          <w:rFonts w:ascii="Book Antiqua" w:hAnsi="Book Antiqua" w:cs="Times New Roman"/>
          <w:sz w:val="24"/>
          <w:szCs w:val="24"/>
        </w:rPr>
        <w:t xml:space="preserve"> (SPSS Inc., Chicago, I</w:t>
      </w:r>
      <w:r w:rsidR="00360EDB" w:rsidRPr="00FA5C8D">
        <w:rPr>
          <w:rFonts w:ascii="Book Antiqua" w:hAnsi="Book Antiqua" w:cs="Times New Roman"/>
          <w:sz w:val="24"/>
          <w:szCs w:val="24"/>
        </w:rPr>
        <w:t>L</w:t>
      </w:r>
      <w:r w:rsidR="00E42254" w:rsidRPr="00FA5C8D">
        <w:rPr>
          <w:rFonts w:ascii="Book Antiqua" w:hAnsi="Book Antiqua" w:cs="Times New Roman"/>
          <w:sz w:val="24"/>
          <w:szCs w:val="24"/>
        </w:rPr>
        <w:t xml:space="preserve">, </w:t>
      </w:r>
      <w:r w:rsidR="00360EDB" w:rsidRPr="00FA5C8D">
        <w:rPr>
          <w:rFonts w:ascii="Book Antiqua" w:hAnsi="Book Antiqua" w:cs="Times New Roman"/>
          <w:sz w:val="24"/>
          <w:szCs w:val="24"/>
        </w:rPr>
        <w:t>United States</w:t>
      </w:r>
      <w:r w:rsidR="00E42254" w:rsidRPr="00FA5C8D">
        <w:rPr>
          <w:rFonts w:ascii="Book Antiqua" w:hAnsi="Book Antiqua" w:cs="Times New Roman"/>
          <w:sz w:val="24"/>
          <w:szCs w:val="24"/>
        </w:rPr>
        <w:t>) was used for the statistical analyses.</w:t>
      </w:r>
    </w:p>
    <w:p w14:paraId="3598797E" w14:textId="77777777" w:rsidR="00A445C3" w:rsidRPr="00FA5C8D" w:rsidRDefault="00A445C3" w:rsidP="00FA5C8D">
      <w:pPr>
        <w:snapToGrid w:val="0"/>
        <w:spacing w:after="0" w:line="360" w:lineRule="auto"/>
        <w:jc w:val="both"/>
        <w:rPr>
          <w:rFonts w:ascii="Book Antiqua" w:hAnsi="Book Antiqua" w:cs="Times New Roman"/>
          <w:sz w:val="24"/>
          <w:szCs w:val="24"/>
        </w:rPr>
      </w:pPr>
    </w:p>
    <w:p w14:paraId="3579A620" w14:textId="77777777" w:rsidR="0058298B" w:rsidRPr="00FA5C8D" w:rsidRDefault="0058298B" w:rsidP="00FA5C8D">
      <w:pPr>
        <w:pStyle w:val="Corpodeltesto"/>
        <w:widowControl w:val="0"/>
        <w:suppressAutoHyphens w:val="0"/>
        <w:snapToGrid w:val="0"/>
        <w:ind w:right="0"/>
        <w:rPr>
          <w:rFonts w:ascii="Book Antiqua" w:eastAsia="宋体" w:hAnsi="Book Antiqua"/>
          <w:b/>
          <w:u w:val="single"/>
          <w:lang w:val="en-US" w:eastAsia="zh-CN"/>
        </w:rPr>
      </w:pPr>
      <w:r w:rsidRPr="00FA5C8D">
        <w:rPr>
          <w:rFonts w:ascii="Book Antiqua" w:hAnsi="Book Antiqua"/>
          <w:b/>
          <w:u w:val="single"/>
          <w:lang w:val="en-US"/>
        </w:rPr>
        <w:t>RESULTS</w:t>
      </w:r>
    </w:p>
    <w:p w14:paraId="16E6DAD1" w14:textId="77777777" w:rsidR="00D93184" w:rsidRPr="00FA5C8D" w:rsidRDefault="00CF16B3" w:rsidP="00FA5C8D">
      <w:pPr>
        <w:snapToGrid w:val="0"/>
        <w:spacing w:after="0" w:line="360" w:lineRule="auto"/>
        <w:jc w:val="both"/>
        <w:rPr>
          <w:rFonts w:ascii="Book Antiqua" w:hAnsi="Book Antiqua" w:cs="Times New Roman"/>
          <w:sz w:val="24"/>
          <w:szCs w:val="24"/>
          <w:shd w:val="clear" w:color="auto" w:fill="FFFFFF"/>
        </w:rPr>
      </w:pPr>
      <w:r w:rsidRPr="00FA5C8D">
        <w:rPr>
          <w:rFonts w:ascii="Book Antiqua" w:hAnsi="Book Antiqua" w:cs="Times New Roman"/>
          <w:sz w:val="24"/>
          <w:szCs w:val="24"/>
          <w:shd w:val="clear" w:color="auto" w:fill="FFFFFF"/>
        </w:rPr>
        <w:t>Eighty-two</w:t>
      </w:r>
      <w:r w:rsidR="004C0D86" w:rsidRPr="00FA5C8D">
        <w:rPr>
          <w:rFonts w:ascii="Book Antiqua" w:hAnsi="Book Antiqua" w:cs="Times New Roman"/>
          <w:sz w:val="24"/>
          <w:szCs w:val="24"/>
          <w:shd w:val="clear" w:color="auto" w:fill="FFFFFF"/>
        </w:rPr>
        <w:t xml:space="preserve"> patients fulfilled</w:t>
      </w:r>
      <w:r w:rsidR="0037229C" w:rsidRPr="00FA5C8D">
        <w:rPr>
          <w:rFonts w:ascii="Book Antiqua" w:hAnsi="Book Antiqua" w:cs="Times New Roman"/>
          <w:sz w:val="24"/>
          <w:szCs w:val="24"/>
          <w:shd w:val="clear" w:color="auto" w:fill="FFFFFF"/>
        </w:rPr>
        <w:t xml:space="preserve"> </w:t>
      </w:r>
      <w:r w:rsidR="00EF02CC" w:rsidRPr="00FA5C8D">
        <w:rPr>
          <w:rFonts w:ascii="Book Antiqua" w:hAnsi="Book Antiqua" w:cs="Times New Roman"/>
          <w:sz w:val="24"/>
          <w:szCs w:val="24"/>
          <w:shd w:val="clear" w:color="auto" w:fill="FFFFFF"/>
        </w:rPr>
        <w:t xml:space="preserve">the </w:t>
      </w:r>
      <w:r w:rsidR="001D08BC" w:rsidRPr="00FA5C8D">
        <w:rPr>
          <w:rFonts w:ascii="Book Antiqua" w:hAnsi="Book Antiqua" w:cs="Times New Roman"/>
          <w:sz w:val="24"/>
          <w:szCs w:val="24"/>
          <w:shd w:val="clear" w:color="auto" w:fill="FFFFFF"/>
        </w:rPr>
        <w:t xml:space="preserve">inclusion </w:t>
      </w:r>
      <w:r w:rsidR="00EC4311" w:rsidRPr="00FA5C8D">
        <w:rPr>
          <w:rFonts w:ascii="Book Antiqua" w:hAnsi="Book Antiqua" w:cs="Times New Roman"/>
          <w:sz w:val="24"/>
          <w:szCs w:val="24"/>
          <w:shd w:val="clear" w:color="auto" w:fill="FFFFFF"/>
        </w:rPr>
        <w:t>criteria</w:t>
      </w:r>
      <w:r w:rsidR="0037229C" w:rsidRPr="00FA5C8D">
        <w:rPr>
          <w:rFonts w:ascii="Book Antiqua" w:hAnsi="Book Antiqua" w:cs="Times New Roman"/>
          <w:sz w:val="24"/>
          <w:szCs w:val="24"/>
          <w:shd w:val="clear" w:color="auto" w:fill="FFFFFF"/>
        </w:rPr>
        <w:t xml:space="preserve"> </w:t>
      </w:r>
      <w:r w:rsidR="001329BE" w:rsidRPr="00FA5C8D">
        <w:rPr>
          <w:rFonts w:ascii="Book Antiqua" w:hAnsi="Book Antiqua" w:cs="Times New Roman"/>
          <w:sz w:val="24"/>
          <w:szCs w:val="24"/>
          <w:shd w:val="clear" w:color="auto" w:fill="FFFFFF"/>
        </w:rPr>
        <w:t xml:space="preserve">and were further </w:t>
      </w:r>
      <w:r w:rsidR="00F06880" w:rsidRPr="00FA5C8D">
        <w:rPr>
          <w:rFonts w:ascii="Book Antiqua" w:hAnsi="Book Antiqua" w:cs="Times New Roman"/>
          <w:sz w:val="24"/>
          <w:szCs w:val="24"/>
          <w:shd w:val="clear" w:color="auto" w:fill="FFFFFF"/>
        </w:rPr>
        <w:t>analyzed</w:t>
      </w:r>
      <w:r w:rsidR="001329BE" w:rsidRPr="00FA5C8D">
        <w:rPr>
          <w:rFonts w:ascii="Book Antiqua" w:hAnsi="Book Antiqua" w:cs="Times New Roman"/>
          <w:sz w:val="24"/>
          <w:szCs w:val="24"/>
          <w:shd w:val="clear" w:color="auto" w:fill="FFFFFF"/>
        </w:rPr>
        <w:t xml:space="preserve">. </w:t>
      </w:r>
      <w:r w:rsidR="00D93184" w:rsidRPr="00FA5C8D">
        <w:rPr>
          <w:rFonts w:ascii="Book Antiqua" w:hAnsi="Book Antiqua" w:cs="Times New Roman"/>
          <w:sz w:val="24"/>
          <w:szCs w:val="24"/>
          <w:shd w:val="clear" w:color="auto" w:fill="FFFFFF"/>
        </w:rPr>
        <w:t>In this group</w:t>
      </w:r>
      <w:r w:rsidR="00CF31BC" w:rsidRPr="00FA5C8D">
        <w:rPr>
          <w:rFonts w:ascii="Book Antiqua" w:hAnsi="Book Antiqua" w:cs="Times New Roman"/>
          <w:sz w:val="24"/>
          <w:szCs w:val="24"/>
          <w:shd w:val="clear" w:color="auto" w:fill="FFFFFF"/>
        </w:rPr>
        <w:t>,</w:t>
      </w:r>
      <w:r w:rsidR="0037229C" w:rsidRPr="00FA5C8D">
        <w:rPr>
          <w:rFonts w:ascii="Book Antiqua" w:hAnsi="Book Antiqua" w:cs="Times New Roman"/>
          <w:sz w:val="24"/>
          <w:szCs w:val="24"/>
          <w:shd w:val="clear" w:color="auto" w:fill="FFFFFF"/>
        </w:rPr>
        <w:t xml:space="preserve"> </w:t>
      </w:r>
      <w:r w:rsidR="00064472" w:rsidRPr="00FA5C8D">
        <w:rPr>
          <w:rFonts w:ascii="Book Antiqua" w:hAnsi="Book Antiqua" w:cs="Times New Roman"/>
          <w:sz w:val="24"/>
          <w:szCs w:val="24"/>
          <w:shd w:val="clear" w:color="auto" w:fill="FFFFFF"/>
        </w:rPr>
        <w:t>67 (81</w:t>
      </w:r>
      <w:r w:rsidR="00A24AFF" w:rsidRPr="00FA5C8D">
        <w:rPr>
          <w:rFonts w:ascii="Book Antiqua" w:hAnsi="Book Antiqua" w:cs="Times New Roman"/>
          <w:sz w:val="24"/>
          <w:szCs w:val="24"/>
          <w:shd w:val="clear" w:color="auto" w:fill="FFFFFF"/>
        </w:rPr>
        <w:t>.</w:t>
      </w:r>
      <w:r w:rsidR="00064472" w:rsidRPr="00FA5C8D">
        <w:rPr>
          <w:rFonts w:ascii="Book Antiqua" w:hAnsi="Book Antiqua" w:cs="Times New Roman"/>
          <w:sz w:val="24"/>
          <w:szCs w:val="24"/>
          <w:shd w:val="clear" w:color="auto" w:fill="FFFFFF"/>
        </w:rPr>
        <w:t>7%)</w:t>
      </w:r>
      <w:r w:rsidR="00912134" w:rsidRPr="00FA5C8D">
        <w:rPr>
          <w:rFonts w:ascii="Book Antiqua" w:hAnsi="Book Antiqua" w:cs="Times New Roman"/>
          <w:sz w:val="24"/>
          <w:szCs w:val="24"/>
          <w:shd w:val="clear" w:color="auto" w:fill="FFFFFF"/>
        </w:rPr>
        <w:t xml:space="preserve"> patients were women</w:t>
      </w:r>
      <w:r w:rsidR="00EA6A28" w:rsidRPr="00FA5C8D">
        <w:rPr>
          <w:rFonts w:ascii="Book Antiqua" w:hAnsi="Book Antiqua" w:cs="Times New Roman"/>
          <w:sz w:val="24"/>
          <w:szCs w:val="24"/>
          <w:shd w:val="clear" w:color="auto" w:fill="FFFFFF"/>
        </w:rPr>
        <w:t xml:space="preserve"> and</w:t>
      </w:r>
      <w:r w:rsidR="0037229C" w:rsidRPr="00FA5C8D">
        <w:rPr>
          <w:rFonts w:ascii="Book Antiqua" w:hAnsi="Book Antiqua" w:cs="Times New Roman"/>
          <w:sz w:val="24"/>
          <w:szCs w:val="24"/>
          <w:shd w:val="clear" w:color="auto" w:fill="FFFFFF"/>
        </w:rPr>
        <w:t xml:space="preserve"> </w:t>
      </w:r>
      <w:r w:rsidR="00912134" w:rsidRPr="00FA5C8D">
        <w:rPr>
          <w:rFonts w:ascii="Book Antiqua" w:hAnsi="Book Antiqua" w:cs="Times New Roman"/>
          <w:sz w:val="24"/>
          <w:szCs w:val="24"/>
          <w:shd w:val="clear" w:color="auto" w:fill="FFFFFF"/>
        </w:rPr>
        <w:t xml:space="preserve">the </w:t>
      </w:r>
      <w:r w:rsidR="00064472" w:rsidRPr="00FA5C8D">
        <w:rPr>
          <w:rFonts w:ascii="Book Antiqua" w:hAnsi="Book Antiqua" w:cs="Times New Roman"/>
          <w:sz w:val="24"/>
          <w:szCs w:val="24"/>
          <w:shd w:val="clear" w:color="auto" w:fill="FFFFFF"/>
        </w:rPr>
        <w:t>mean age at diagnosis was 33</w:t>
      </w:r>
      <w:r w:rsidR="00A24AFF" w:rsidRPr="00FA5C8D">
        <w:rPr>
          <w:rFonts w:ascii="Book Antiqua" w:hAnsi="Book Antiqua" w:cs="Times New Roman"/>
          <w:sz w:val="24"/>
          <w:szCs w:val="24"/>
          <w:shd w:val="clear" w:color="auto" w:fill="FFFFFF"/>
        </w:rPr>
        <w:t>.</w:t>
      </w:r>
      <w:r w:rsidR="00064472" w:rsidRPr="00FA5C8D">
        <w:rPr>
          <w:rFonts w:ascii="Book Antiqua" w:hAnsi="Book Antiqua" w:cs="Times New Roman"/>
          <w:sz w:val="24"/>
          <w:szCs w:val="24"/>
          <w:shd w:val="clear" w:color="auto" w:fill="FFFFFF"/>
        </w:rPr>
        <w:t xml:space="preserve">8 </w:t>
      </w:r>
      <w:r w:rsidR="00EE1BF6" w:rsidRPr="00FA5C8D">
        <w:rPr>
          <w:rFonts w:ascii="Book Antiqua" w:hAnsi="Book Antiqua" w:cs="Times New Roman"/>
          <w:sz w:val="24"/>
          <w:szCs w:val="24"/>
          <w:shd w:val="clear" w:color="auto" w:fill="FFFFFF"/>
        </w:rPr>
        <w:t>±</w:t>
      </w:r>
      <w:r w:rsidR="00360EDB" w:rsidRPr="00FA5C8D">
        <w:rPr>
          <w:rFonts w:ascii="Book Antiqua" w:hAnsi="Book Antiqua" w:cs="Times New Roman"/>
          <w:sz w:val="24"/>
          <w:szCs w:val="24"/>
          <w:shd w:val="clear" w:color="auto" w:fill="FFFFFF"/>
        </w:rPr>
        <w:t xml:space="preserve"> </w:t>
      </w:r>
      <w:r w:rsidR="001D08BC" w:rsidRPr="00FA5C8D">
        <w:rPr>
          <w:rFonts w:ascii="Book Antiqua" w:hAnsi="Book Antiqua" w:cs="Times New Roman"/>
          <w:sz w:val="24"/>
          <w:szCs w:val="24"/>
          <w:shd w:val="clear" w:color="auto" w:fill="FFFFFF"/>
        </w:rPr>
        <w:t xml:space="preserve">17.4 </w:t>
      </w:r>
      <w:r w:rsidR="004B15EC" w:rsidRPr="00FA5C8D">
        <w:rPr>
          <w:rFonts w:ascii="Book Antiqua" w:hAnsi="Book Antiqua" w:cs="Times New Roman"/>
          <w:sz w:val="24"/>
          <w:szCs w:val="24"/>
          <w:shd w:val="clear" w:color="auto" w:fill="FFFFFF"/>
        </w:rPr>
        <w:lastRenderedPageBreak/>
        <w:t>years. M</w:t>
      </w:r>
      <w:r w:rsidR="00D93184" w:rsidRPr="00FA5C8D">
        <w:rPr>
          <w:rFonts w:ascii="Book Antiqua" w:hAnsi="Book Antiqua" w:cs="Times New Roman"/>
          <w:sz w:val="24"/>
          <w:szCs w:val="24"/>
          <w:shd w:val="clear" w:color="auto" w:fill="FFFFFF"/>
        </w:rPr>
        <w:t xml:space="preserve">ean length of the disease </w:t>
      </w:r>
      <w:r w:rsidR="00F06880" w:rsidRPr="00FA5C8D">
        <w:rPr>
          <w:rFonts w:ascii="Book Antiqua" w:hAnsi="Book Antiqua" w:cs="Times New Roman"/>
          <w:sz w:val="24"/>
          <w:szCs w:val="24"/>
          <w:shd w:val="clear" w:color="auto" w:fill="FFFFFF"/>
        </w:rPr>
        <w:t>at the time of</w:t>
      </w:r>
      <w:r w:rsidR="00D93184" w:rsidRPr="00FA5C8D">
        <w:rPr>
          <w:rFonts w:ascii="Book Antiqua" w:hAnsi="Book Antiqua" w:cs="Times New Roman"/>
          <w:sz w:val="24"/>
          <w:szCs w:val="24"/>
          <w:shd w:val="clear" w:color="auto" w:fill="FFFFFF"/>
        </w:rPr>
        <w:t xml:space="preserve"> follow</w:t>
      </w:r>
      <w:r w:rsidR="00710DAC" w:rsidRPr="00FA5C8D">
        <w:rPr>
          <w:rFonts w:ascii="Book Antiqua" w:hAnsi="Book Antiqua" w:cs="Times New Roman"/>
          <w:sz w:val="24"/>
          <w:szCs w:val="24"/>
          <w:shd w:val="clear" w:color="auto" w:fill="FFFFFF"/>
        </w:rPr>
        <w:t>-</w:t>
      </w:r>
      <w:r w:rsidR="00D93184" w:rsidRPr="00FA5C8D">
        <w:rPr>
          <w:rFonts w:ascii="Book Antiqua" w:hAnsi="Book Antiqua" w:cs="Times New Roman"/>
          <w:sz w:val="24"/>
          <w:szCs w:val="24"/>
          <w:shd w:val="clear" w:color="auto" w:fill="FFFFFF"/>
        </w:rPr>
        <w:t>up biopsy was 9</w:t>
      </w:r>
      <w:r w:rsidR="00A24AFF" w:rsidRPr="00FA5C8D">
        <w:rPr>
          <w:rFonts w:ascii="Book Antiqua" w:hAnsi="Book Antiqua" w:cs="Times New Roman"/>
          <w:sz w:val="24"/>
          <w:szCs w:val="24"/>
          <w:shd w:val="clear" w:color="auto" w:fill="FFFFFF"/>
        </w:rPr>
        <w:t>.</w:t>
      </w:r>
      <w:r w:rsidR="00D93184" w:rsidRPr="00FA5C8D">
        <w:rPr>
          <w:rFonts w:ascii="Book Antiqua" w:hAnsi="Book Antiqua" w:cs="Times New Roman"/>
          <w:sz w:val="24"/>
          <w:szCs w:val="24"/>
          <w:shd w:val="clear" w:color="auto" w:fill="FFFFFF"/>
        </w:rPr>
        <w:t>1 years</w:t>
      </w:r>
      <w:r w:rsidR="00EA6A28" w:rsidRPr="00FA5C8D">
        <w:rPr>
          <w:rFonts w:ascii="Book Antiqua" w:hAnsi="Book Antiqua" w:cs="Times New Roman"/>
          <w:sz w:val="24"/>
          <w:szCs w:val="24"/>
          <w:shd w:val="clear" w:color="auto" w:fill="FFFFFF"/>
        </w:rPr>
        <w:t>,</w:t>
      </w:r>
      <w:r w:rsidR="00A35586" w:rsidRPr="00FA5C8D">
        <w:rPr>
          <w:rFonts w:ascii="Book Antiqua" w:hAnsi="Book Antiqua" w:cs="Times New Roman"/>
          <w:sz w:val="24"/>
          <w:szCs w:val="24"/>
          <w:shd w:val="clear" w:color="auto" w:fill="FFFFFF"/>
        </w:rPr>
        <w:t xml:space="preserve"> and mean age </w:t>
      </w:r>
      <w:r w:rsidR="009571F5" w:rsidRPr="00FA5C8D">
        <w:rPr>
          <w:rFonts w:ascii="Book Antiqua" w:hAnsi="Book Antiqua" w:cs="Times New Roman"/>
          <w:sz w:val="24"/>
          <w:szCs w:val="24"/>
          <w:shd w:val="clear" w:color="auto" w:fill="FFFFFF"/>
        </w:rPr>
        <w:t xml:space="preserve">at </w:t>
      </w:r>
      <w:r w:rsidR="004B15EC" w:rsidRPr="00FA5C8D">
        <w:rPr>
          <w:rFonts w:ascii="Book Antiqua" w:hAnsi="Book Antiqua" w:cs="Times New Roman"/>
          <w:sz w:val="24"/>
          <w:szCs w:val="24"/>
          <w:shd w:val="clear" w:color="auto" w:fill="FFFFFF"/>
        </w:rPr>
        <w:t>follow-up</w:t>
      </w:r>
      <w:r w:rsidR="009571F5" w:rsidRPr="00FA5C8D">
        <w:rPr>
          <w:rFonts w:ascii="Book Antiqua" w:hAnsi="Book Antiqua" w:cs="Times New Roman"/>
          <w:sz w:val="24"/>
          <w:szCs w:val="24"/>
          <w:shd w:val="clear" w:color="auto" w:fill="FFFFFF"/>
        </w:rPr>
        <w:t xml:space="preserve"> biopsy was 42.1 </w:t>
      </w:r>
      <w:r w:rsidR="004E5520" w:rsidRPr="00FA5C8D">
        <w:rPr>
          <w:rFonts w:ascii="Book Antiqua" w:hAnsi="Book Antiqua" w:cs="Times New Roman"/>
          <w:sz w:val="24"/>
          <w:szCs w:val="24"/>
          <w:shd w:val="clear" w:color="auto" w:fill="FFFFFF"/>
        </w:rPr>
        <w:t>±</w:t>
      </w:r>
      <w:r w:rsidR="00360EDB" w:rsidRPr="00FA5C8D">
        <w:rPr>
          <w:rFonts w:ascii="Book Antiqua" w:hAnsi="Book Antiqua" w:cs="Times New Roman"/>
          <w:sz w:val="24"/>
          <w:szCs w:val="24"/>
          <w:shd w:val="clear" w:color="auto" w:fill="FFFFFF"/>
        </w:rPr>
        <w:t xml:space="preserve"> </w:t>
      </w:r>
      <w:r w:rsidR="009571F5" w:rsidRPr="00FA5C8D">
        <w:rPr>
          <w:rFonts w:ascii="Book Antiqua" w:hAnsi="Book Antiqua" w:cs="Times New Roman"/>
          <w:sz w:val="24"/>
          <w:szCs w:val="24"/>
          <w:shd w:val="clear" w:color="auto" w:fill="FFFFFF"/>
        </w:rPr>
        <w:t>13.4 years</w:t>
      </w:r>
      <w:r w:rsidR="00D562E7" w:rsidRPr="00FA5C8D">
        <w:rPr>
          <w:rFonts w:ascii="Book Antiqua" w:hAnsi="Book Antiqua" w:cs="Times New Roman"/>
          <w:sz w:val="24"/>
          <w:szCs w:val="24"/>
          <w:shd w:val="clear" w:color="auto" w:fill="FFFFFF"/>
        </w:rPr>
        <w:t xml:space="preserve">. Seventy </w:t>
      </w:r>
      <w:r w:rsidR="000058CD" w:rsidRPr="00FA5C8D">
        <w:rPr>
          <w:rFonts w:ascii="Book Antiqua" w:hAnsi="Book Antiqua" w:cs="Times New Roman"/>
          <w:sz w:val="24"/>
          <w:szCs w:val="24"/>
          <w:shd w:val="clear" w:color="auto" w:fill="FFFFFF"/>
        </w:rPr>
        <w:t xml:space="preserve">patients </w:t>
      </w:r>
      <w:r w:rsidR="00A60778" w:rsidRPr="00FA5C8D">
        <w:rPr>
          <w:rFonts w:ascii="Book Antiqua" w:hAnsi="Book Antiqua" w:cs="Times New Roman"/>
          <w:sz w:val="24"/>
          <w:szCs w:val="24"/>
          <w:shd w:val="clear" w:color="auto" w:fill="FFFFFF"/>
        </w:rPr>
        <w:t>(85</w:t>
      </w:r>
      <w:r w:rsidR="00A24AFF" w:rsidRPr="00FA5C8D">
        <w:rPr>
          <w:rFonts w:ascii="Book Antiqua" w:hAnsi="Book Antiqua" w:cs="Times New Roman"/>
          <w:sz w:val="24"/>
          <w:szCs w:val="24"/>
          <w:shd w:val="clear" w:color="auto" w:fill="FFFFFF"/>
        </w:rPr>
        <w:t>.</w:t>
      </w:r>
      <w:r w:rsidR="00A60778" w:rsidRPr="00FA5C8D">
        <w:rPr>
          <w:rFonts w:ascii="Book Antiqua" w:hAnsi="Book Antiqua" w:cs="Times New Roman"/>
          <w:sz w:val="24"/>
          <w:szCs w:val="24"/>
          <w:shd w:val="clear" w:color="auto" w:fill="FFFFFF"/>
        </w:rPr>
        <w:t xml:space="preserve">4%) were </w:t>
      </w:r>
      <w:r w:rsidR="000058CD" w:rsidRPr="00FA5C8D">
        <w:rPr>
          <w:rFonts w:ascii="Book Antiqua" w:hAnsi="Book Antiqua" w:cs="Times New Roman"/>
          <w:sz w:val="24"/>
          <w:szCs w:val="24"/>
          <w:shd w:val="clear" w:color="auto" w:fill="FFFFFF"/>
        </w:rPr>
        <w:t xml:space="preserve">on </w:t>
      </w:r>
      <w:r w:rsidR="00782E63" w:rsidRPr="00FA5C8D">
        <w:rPr>
          <w:rFonts w:ascii="Book Antiqua" w:hAnsi="Book Antiqua" w:cs="Times New Roman"/>
          <w:sz w:val="24"/>
          <w:szCs w:val="24"/>
          <w:shd w:val="clear" w:color="auto" w:fill="FFFFFF"/>
        </w:rPr>
        <w:t xml:space="preserve">a </w:t>
      </w:r>
      <w:r w:rsidR="000058CD" w:rsidRPr="00FA5C8D">
        <w:rPr>
          <w:rFonts w:ascii="Book Antiqua" w:hAnsi="Book Antiqua" w:cs="Times New Roman"/>
          <w:sz w:val="24"/>
          <w:szCs w:val="24"/>
          <w:shd w:val="clear" w:color="auto" w:fill="FFFFFF"/>
        </w:rPr>
        <w:t>GFD longer tha</w:t>
      </w:r>
      <w:r w:rsidR="00A60778" w:rsidRPr="00FA5C8D">
        <w:rPr>
          <w:rFonts w:ascii="Book Antiqua" w:hAnsi="Book Antiqua" w:cs="Times New Roman"/>
          <w:sz w:val="24"/>
          <w:szCs w:val="24"/>
          <w:shd w:val="clear" w:color="auto" w:fill="FFFFFF"/>
        </w:rPr>
        <w:t>n</w:t>
      </w:r>
      <w:r w:rsidR="000058CD" w:rsidRPr="00FA5C8D">
        <w:rPr>
          <w:rFonts w:ascii="Book Antiqua" w:hAnsi="Book Antiqua" w:cs="Times New Roman"/>
          <w:sz w:val="24"/>
          <w:szCs w:val="24"/>
          <w:shd w:val="clear" w:color="auto" w:fill="FFFFFF"/>
        </w:rPr>
        <w:t xml:space="preserve"> 2 years</w:t>
      </w:r>
      <w:r w:rsidR="001E6869" w:rsidRPr="00FA5C8D">
        <w:rPr>
          <w:rFonts w:ascii="Book Antiqua" w:hAnsi="Book Antiqua" w:cs="Times New Roman"/>
          <w:sz w:val="24"/>
          <w:szCs w:val="24"/>
          <w:shd w:val="clear" w:color="auto" w:fill="FFFFFF"/>
        </w:rPr>
        <w:t>.</w:t>
      </w:r>
      <w:r w:rsidR="0037229C" w:rsidRPr="00FA5C8D">
        <w:rPr>
          <w:rFonts w:ascii="Book Antiqua" w:hAnsi="Book Antiqua" w:cs="Times New Roman"/>
          <w:sz w:val="24"/>
          <w:szCs w:val="24"/>
          <w:shd w:val="clear" w:color="auto" w:fill="FFFFFF"/>
        </w:rPr>
        <w:t xml:space="preserve"> </w:t>
      </w:r>
      <w:r w:rsidR="00064472" w:rsidRPr="00FA5C8D">
        <w:rPr>
          <w:rFonts w:ascii="Book Antiqua" w:hAnsi="Book Antiqua" w:cs="Times New Roman"/>
          <w:sz w:val="24"/>
          <w:szCs w:val="24"/>
          <w:shd w:val="clear" w:color="auto" w:fill="FFFFFF"/>
        </w:rPr>
        <w:t xml:space="preserve">All patients had </w:t>
      </w:r>
      <w:r w:rsidR="005858ED" w:rsidRPr="00FA5C8D">
        <w:rPr>
          <w:rFonts w:ascii="Book Antiqua" w:hAnsi="Book Antiqua" w:cs="Times New Roman"/>
          <w:sz w:val="24"/>
          <w:szCs w:val="24"/>
        </w:rPr>
        <w:t>CD</w:t>
      </w:r>
      <w:r w:rsidR="00015896" w:rsidRPr="00FA5C8D">
        <w:rPr>
          <w:rFonts w:ascii="Book Antiqua" w:hAnsi="Book Antiqua" w:cs="Times New Roman"/>
          <w:sz w:val="24"/>
          <w:szCs w:val="24"/>
          <w:shd w:val="clear" w:color="auto" w:fill="FFFFFF"/>
        </w:rPr>
        <w:t xml:space="preserve"> that was initially properly diagnosed</w:t>
      </w:r>
      <w:r w:rsidR="00064472" w:rsidRPr="00FA5C8D">
        <w:rPr>
          <w:rFonts w:ascii="Book Antiqua" w:hAnsi="Book Antiqua" w:cs="Times New Roman"/>
          <w:sz w:val="24"/>
          <w:szCs w:val="24"/>
          <w:shd w:val="clear" w:color="auto" w:fill="FFFFFF"/>
        </w:rPr>
        <w:t xml:space="preserve">, with positive duodenal biopsy graded </w:t>
      </w:r>
      <w:r w:rsidR="00821436" w:rsidRPr="00FA5C8D">
        <w:rPr>
          <w:rFonts w:ascii="Book Antiqua" w:hAnsi="Book Antiqua" w:cs="Times New Roman"/>
          <w:sz w:val="24"/>
          <w:szCs w:val="24"/>
          <w:shd w:val="clear" w:color="auto" w:fill="FFFFFF"/>
        </w:rPr>
        <w:t>according to</w:t>
      </w:r>
      <w:r w:rsidR="002D788A" w:rsidRPr="00FA5C8D">
        <w:rPr>
          <w:rFonts w:ascii="Book Antiqua" w:hAnsi="Book Antiqua" w:cs="Times New Roman"/>
          <w:sz w:val="24"/>
          <w:szCs w:val="24"/>
          <w:shd w:val="clear" w:color="auto" w:fill="FFFFFF"/>
        </w:rPr>
        <w:t xml:space="preserve">the </w:t>
      </w:r>
      <w:r w:rsidR="00064472" w:rsidRPr="00FA5C8D">
        <w:rPr>
          <w:rFonts w:ascii="Book Antiqua" w:hAnsi="Book Antiqua" w:cs="Times New Roman"/>
          <w:sz w:val="24"/>
          <w:szCs w:val="24"/>
          <w:shd w:val="clear" w:color="auto" w:fill="FFFFFF"/>
        </w:rPr>
        <w:t xml:space="preserve">Marsh classification </w:t>
      </w:r>
      <w:r w:rsidR="00EF716D" w:rsidRPr="00FA5C8D">
        <w:rPr>
          <w:rFonts w:ascii="Book Antiqua" w:hAnsi="Book Antiqua" w:cs="Times New Roman"/>
          <w:sz w:val="24"/>
          <w:szCs w:val="24"/>
          <w:shd w:val="clear" w:color="auto" w:fill="FFFFFF"/>
        </w:rPr>
        <w:t xml:space="preserve">modified by </w:t>
      </w:r>
      <w:proofErr w:type="spellStart"/>
      <w:r w:rsidR="00EF716D" w:rsidRPr="00FA5C8D">
        <w:rPr>
          <w:rFonts w:ascii="Book Antiqua" w:hAnsi="Book Antiqua" w:cs="Times New Roman"/>
          <w:sz w:val="24"/>
          <w:szCs w:val="24"/>
          <w:shd w:val="clear" w:color="auto" w:fill="FFFFFF"/>
        </w:rPr>
        <w:t>Obe</w:t>
      </w:r>
      <w:r w:rsidR="00D846D1" w:rsidRPr="00FA5C8D">
        <w:rPr>
          <w:rFonts w:ascii="Book Antiqua" w:hAnsi="Book Antiqua" w:cs="Times New Roman"/>
          <w:sz w:val="24"/>
          <w:szCs w:val="24"/>
          <w:shd w:val="clear" w:color="auto" w:fill="FFFFFF"/>
        </w:rPr>
        <w:t>r</w:t>
      </w:r>
      <w:r w:rsidR="00EF716D" w:rsidRPr="00FA5C8D">
        <w:rPr>
          <w:rFonts w:ascii="Book Antiqua" w:hAnsi="Book Antiqua" w:cs="Times New Roman"/>
          <w:sz w:val="24"/>
          <w:szCs w:val="24"/>
          <w:shd w:val="clear" w:color="auto" w:fill="FFFFFF"/>
        </w:rPr>
        <w:t>huber</w:t>
      </w:r>
      <w:proofErr w:type="spellEnd"/>
      <w:r w:rsidR="0037229C" w:rsidRPr="00FA5C8D">
        <w:rPr>
          <w:rFonts w:ascii="Book Antiqua" w:hAnsi="Book Antiqua" w:cs="Times New Roman"/>
          <w:sz w:val="24"/>
          <w:szCs w:val="24"/>
          <w:shd w:val="clear" w:color="auto" w:fill="FFFFFF"/>
        </w:rPr>
        <w:t xml:space="preserve"> </w:t>
      </w:r>
      <w:r w:rsidR="006F1869" w:rsidRPr="00FA5C8D">
        <w:rPr>
          <w:rFonts w:ascii="Book Antiqua" w:hAnsi="Book Antiqua" w:cs="Times New Roman"/>
          <w:sz w:val="24"/>
          <w:szCs w:val="24"/>
          <w:shd w:val="clear" w:color="auto" w:fill="FFFFFF"/>
        </w:rPr>
        <w:t>(2</w:t>
      </w:r>
      <w:r w:rsidR="00360EDB" w:rsidRPr="00FA5C8D">
        <w:rPr>
          <w:rFonts w:ascii="Book Antiqua" w:hAnsi="Book Antiqua" w:cs="Times New Roman"/>
          <w:sz w:val="24"/>
          <w:szCs w:val="24"/>
          <w:shd w:val="clear" w:color="auto" w:fill="FFFFFF"/>
        </w:rPr>
        <w:t>×</w:t>
      </w:r>
      <w:r w:rsidR="006F1869" w:rsidRPr="00FA5C8D">
        <w:rPr>
          <w:rFonts w:ascii="Book Antiqua" w:hAnsi="Book Antiqua" w:cs="Times New Roman"/>
          <w:sz w:val="24"/>
          <w:szCs w:val="24"/>
          <w:shd w:val="clear" w:color="auto" w:fill="FFFFFF"/>
        </w:rPr>
        <w:t xml:space="preserve"> Marsh 2, 17</w:t>
      </w:r>
      <w:r w:rsidR="00360EDB" w:rsidRPr="00FA5C8D">
        <w:rPr>
          <w:rFonts w:ascii="Book Antiqua" w:hAnsi="Book Antiqua" w:cs="Times New Roman"/>
          <w:sz w:val="24"/>
          <w:szCs w:val="24"/>
          <w:shd w:val="clear" w:color="auto" w:fill="FFFFFF"/>
        </w:rPr>
        <w:t>×</w:t>
      </w:r>
      <w:r w:rsidR="006F1869" w:rsidRPr="00FA5C8D">
        <w:rPr>
          <w:rFonts w:ascii="Book Antiqua" w:hAnsi="Book Antiqua" w:cs="Times New Roman"/>
          <w:sz w:val="24"/>
          <w:szCs w:val="24"/>
          <w:shd w:val="clear" w:color="auto" w:fill="FFFFFF"/>
        </w:rPr>
        <w:t xml:space="preserve"> Marsh 3a, 30</w:t>
      </w:r>
      <w:r w:rsidR="00360EDB" w:rsidRPr="00FA5C8D">
        <w:rPr>
          <w:rFonts w:ascii="Book Antiqua" w:hAnsi="Book Antiqua" w:cs="Times New Roman"/>
          <w:sz w:val="24"/>
          <w:szCs w:val="24"/>
          <w:shd w:val="clear" w:color="auto" w:fill="FFFFFF"/>
        </w:rPr>
        <w:t>×</w:t>
      </w:r>
      <w:r w:rsidR="006F1869" w:rsidRPr="00FA5C8D">
        <w:rPr>
          <w:rFonts w:ascii="Book Antiqua" w:hAnsi="Book Antiqua" w:cs="Times New Roman"/>
          <w:sz w:val="24"/>
          <w:szCs w:val="24"/>
          <w:shd w:val="clear" w:color="auto" w:fill="FFFFFF"/>
        </w:rPr>
        <w:t xml:space="preserve"> Marsh 3b, 33</w:t>
      </w:r>
      <w:r w:rsidR="00360EDB" w:rsidRPr="00FA5C8D">
        <w:rPr>
          <w:rFonts w:ascii="Book Antiqua" w:hAnsi="Book Antiqua" w:cs="Times New Roman"/>
          <w:sz w:val="24"/>
          <w:szCs w:val="24"/>
          <w:shd w:val="clear" w:color="auto" w:fill="FFFFFF"/>
        </w:rPr>
        <w:t>×</w:t>
      </w:r>
      <w:r w:rsidR="006F1869" w:rsidRPr="00FA5C8D">
        <w:rPr>
          <w:rFonts w:ascii="Book Antiqua" w:hAnsi="Book Antiqua" w:cs="Times New Roman"/>
          <w:sz w:val="24"/>
          <w:szCs w:val="24"/>
          <w:shd w:val="clear" w:color="auto" w:fill="FFFFFF"/>
        </w:rPr>
        <w:t xml:space="preserve"> M</w:t>
      </w:r>
      <w:r w:rsidR="00064472" w:rsidRPr="00FA5C8D">
        <w:rPr>
          <w:rFonts w:ascii="Book Antiqua" w:hAnsi="Book Antiqua" w:cs="Times New Roman"/>
          <w:sz w:val="24"/>
          <w:szCs w:val="24"/>
          <w:shd w:val="clear" w:color="auto" w:fill="FFFFFF"/>
        </w:rPr>
        <w:t>arsh 3c) and either positivity of aTTG and/or aDGP (74</w:t>
      </w:r>
      <w:r w:rsidR="00360EDB" w:rsidRPr="00FA5C8D">
        <w:rPr>
          <w:rFonts w:ascii="Book Antiqua" w:hAnsi="Book Antiqua" w:cs="Times New Roman"/>
          <w:sz w:val="24"/>
          <w:szCs w:val="24"/>
          <w:shd w:val="clear" w:color="auto" w:fill="FFFFFF"/>
        </w:rPr>
        <w:t>×</w:t>
      </w:r>
      <w:r w:rsidR="00064472" w:rsidRPr="00FA5C8D">
        <w:rPr>
          <w:rFonts w:ascii="Book Antiqua" w:hAnsi="Book Antiqua" w:cs="Times New Roman"/>
          <w:sz w:val="24"/>
          <w:szCs w:val="24"/>
          <w:shd w:val="clear" w:color="auto" w:fill="FFFFFF"/>
        </w:rPr>
        <w:t>) or clinical effect of GFD</w:t>
      </w:r>
      <w:r w:rsidR="00433F22" w:rsidRPr="00FA5C8D">
        <w:rPr>
          <w:rFonts w:ascii="Book Antiqua" w:hAnsi="Book Antiqua" w:cs="Times New Roman"/>
          <w:sz w:val="24"/>
          <w:szCs w:val="24"/>
          <w:shd w:val="clear" w:color="auto" w:fill="FFFFFF"/>
        </w:rPr>
        <w:t xml:space="preserve"> i</w:t>
      </w:r>
      <w:r w:rsidR="00064472" w:rsidRPr="00FA5C8D">
        <w:rPr>
          <w:rFonts w:ascii="Book Antiqua" w:hAnsi="Book Antiqua" w:cs="Times New Roman"/>
          <w:sz w:val="24"/>
          <w:szCs w:val="24"/>
          <w:shd w:val="clear" w:color="auto" w:fill="FFFFFF"/>
        </w:rPr>
        <w:t>n case of seronegative CD (8</w:t>
      </w:r>
      <w:r w:rsidR="00360EDB" w:rsidRPr="00FA5C8D">
        <w:rPr>
          <w:rFonts w:ascii="Book Antiqua" w:hAnsi="Book Antiqua" w:cs="Times New Roman"/>
          <w:sz w:val="24"/>
          <w:szCs w:val="24"/>
          <w:shd w:val="clear" w:color="auto" w:fill="FFFFFF"/>
        </w:rPr>
        <w:t>×</w:t>
      </w:r>
      <w:r w:rsidR="00064472" w:rsidRPr="00FA5C8D">
        <w:rPr>
          <w:rFonts w:ascii="Book Antiqua" w:hAnsi="Book Antiqua" w:cs="Times New Roman"/>
          <w:sz w:val="24"/>
          <w:szCs w:val="24"/>
          <w:shd w:val="clear" w:color="auto" w:fill="FFFFFF"/>
        </w:rPr>
        <w:t>).</w:t>
      </w:r>
      <w:r w:rsidR="00BD4768">
        <w:rPr>
          <w:rFonts w:ascii="Book Antiqua" w:hAnsi="Book Antiqua" w:cs="Times New Roman"/>
          <w:sz w:val="24"/>
          <w:szCs w:val="24"/>
          <w:shd w:val="clear" w:color="auto" w:fill="FFFFFF"/>
        </w:rPr>
        <w:t xml:space="preserve"> </w:t>
      </w:r>
      <w:r w:rsidR="00004B5B" w:rsidRPr="00FA5C8D">
        <w:rPr>
          <w:rFonts w:ascii="Book Antiqua" w:hAnsi="Book Antiqua" w:cs="Times New Roman"/>
          <w:sz w:val="24"/>
          <w:szCs w:val="24"/>
          <w:shd w:val="clear" w:color="auto" w:fill="FFFFFF"/>
        </w:rPr>
        <w:t xml:space="preserve">No seronegative patient was </w:t>
      </w:r>
      <w:r w:rsidR="00BA4006" w:rsidRPr="00FA5C8D">
        <w:rPr>
          <w:rFonts w:ascii="Book Antiqua" w:hAnsi="Book Antiqua" w:cs="Times New Roman"/>
          <w:sz w:val="24"/>
          <w:szCs w:val="24"/>
          <w:shd w:val="clear" w:color="auto" w:fill="FFFFFF"/>
        </w:rPr>
        <w:t>in the</w:t>
      </w:r>
      <w:r w:rsidR="00004B5B" w:rsidRPr="00FA5C8D">
        <w:rPr>
          <w:rFonts w:ascii="Book Antiqua" w:hAnsi="Book Antiqua" w:cs="Times New Roman"/>
          <w:sz w:val="24"/>
          <w:szCs w:val="24"/>
          <w:shd w:val="clear" w:color="auto" w:fill="FFFFFF"/>
        </w:rPr>
        <w:t xml:space="preserve"> persistent VA group, as other diagnoses needed to be considered in such cases. </w:t>
      </w:r>
    </w:p>
    <w:p w14:paraId="31653874" w14:textId="77777777" w:rsidR="00301A80" w:rsidRPr="00FA5C8D" w:rsidRDefault="00301A80" w:rsidP="00FA5C8D">
      <w:pPr>
        <w:snapToGrid w:val="0"/>
        <w:spacing w:after="0" w:line="360" w:lineRule="auto"/>
        <w:ind w:firstLineChars="100" w:firstLine="240"/>
        <w:jc w:val="both"/>
        <w:rPr>
          <w:rFonts w:ascii="Book Antiqua" w:hAnsi="Book Antiqua" w:cs="Times New Roman"/>
          <w:bCs/>
          <w:sz w:val="24"/>
          <w:szCs w:val="24"/>
        </w:rPr>
      </w:pPr>
      <w:r w:rsidRPr="00FA5C8D">
        <w:rPr>
          <w:rFonts w:ascii="Book Antiqua" w:hAnsi="Book Antiqua" w:cs="Times New Roman"/>
          <w:sz w:val="24"/>
          <w:szCs w:val="24"/>
          <w:shd w:val="clear" w:color="auto" w:fill="FFFFFF"/>
        </w:rPr>
        <w:t xml:space="preserve">The most frequent clinical symptoms and laboratory signs of malnutrition at </w:t>
      </w:r>
      <w:r w:rsidR="00433F22" w:rsidRPr="00FA5C8D">
        <w:rPr>
          <w:rFonts w:ascii="Book Antiqua" w:hAnsi="Book Antiqua" w:cs="Times New Roman"/>
          <w:sz w:val="24"/>
          <w:szCs w:val="24"/>
          <w:shd w:val="clear" w:color="auto" w:fill="FFFFFF"/>
        </w:rPr>
        <w:t xml:space="preserve">the time of </w:t>
      </w:r>
      <w:r w:rsidRPr="00FA5C8D">
        <w:rPr>
          <w:rFonts w:ascii="Book Antiqua" w:hAnsi="Book Antiqua" w:cs="Times New Roman"/>
          <w:sz w:val="24"/>
          <w:szCs w:val="24"/>
          <w:shd w:val="clear" w:color="auto" w:fill="FFFFFF"/>
        </w:rPr>
        <w:t xml:space="preserve">follow-up biopsy were </w:t>
      </w:r>
      <w:r w:rsidR="001D08BC" w:rsidRPr="00FA5C8D">
        <w:rPr>
          <w:rFonts w:ascii="Book Antiqua" w:hAnsi="Book Antiqua" w:cs="Times New Roman"/>
          <w:sz w:val="24"/>
          <w:szCs w:val="24"/>
          <w:shd w:val="clear" w:color="auto" w:fill="FFFFFF"/>
        </w:rPr>
        <w:t>diarrhea</w:t>
      </w:r>
      <w:r w:rsidRPr="00FA5C8D">
        <w:rPr>
          <w:rFonts w:ascii="Book Antiqua" w:hAnsi="Book Antiqua" w:cs="Times New Roman"/>
          <w:sz w:val="24"/>
          <w:szCs w:val="24"/>
          <w:shd w:val="clear" w:color="auto" w:fill="FFFFFF"/>
        </w:rPr>
        <w:t xml:space="preserve"> (23</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2%), abdominal pain (20</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7%), weight loss (9</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8%), sideropenia (26</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8%), vitamin D deficiency (20</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7%)</w:t>
      </w:r>
      <w:r w:rsidR="00434B62"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and </w:t>
      </w:r>
      <w:r w:rsidR="001D08BC" w:rsidRPr="00FA5C8D">
        <w:rPr>
          <w:rFonts w:ascii="Book Antiqua" w:hAnsi="Book Antiqua" w:cs="Times New Roman"/>
          <w:sz w:val="24"/>
          <w:szCs w:val="24"/>
          <w:shd w:val="clear" w:color="auto" w:fill="FFFFFF"/>
        </w:rPr>
        <w:t>anemia</w:t>
      </w:r>
      <w:r w:rsidRPr="00FA5C8D">
        <w:rPr>
          <w:rFonts w:ascii="Book Antiqua" w:hAnsi="Book Antiqua" w:cs="Times New Roman"/>
          <w:sz w:val="24"/>
          <w:szCs w:val="24"/>
          <w:shd w:val="clear" w:color="auto" w:fill="FFFFFF"/>
        </w:rPr>
        <w:t xml:space="preserve"> (11</w:t>
      </w:r>
      <w:r w:rsidR="00A24AFF"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0%). </w:t>
      </w:r>
      <w:r w:rsidR="001D08BC" w:rsidRPr="00FA5C8D">
        <w:rPr>
          <w:rFonts w:ascii="Book Antiqua" w:hAnsi="Book Antiqua" w:cs="Times New Roman"/>
          <w:bCs/>
          <w:sz w:val="24"/>
          <w:szCs w:val="24"/>
        </w:rPr>
        <w:t>Autoantibodies</w:t>
      </w:r>
      <w:r w:rsidR="0037229C"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for </w:t>
      </w:r>
      <w:proofErr w:type="spellStart"/>
      <w:r w:rsidRPr="00FA5C8D">
        <w:rPr>
          <w:rFonts w:ascii="Book Antiqua" w:hAnsi="Book Antiqua" w:cs="Times New Roman"/>
          <w:bCs/>
          <w:sz w:val="24"/>
          <w:szCs w:val="24"/>
        </w:rPr>
        <w:t>aTTG</w:t>
      </w:r>
      <w:proofErr w:type="spellEnd"/>
      <w:r w:rsidRPr="00FA5C8D">
        <w:rPr>
          <w:rFonts w:ascii="Book Antiqua" w:hAnsi="Book Antiqua" w:cs="Times New Roman"/>
          <w:bCs/>
          <w:sz w:val="24"/>
          <w:szCs w:val="24"/>
        </w:rPr>
        <w:t xml:space="preserve"> were positive (cutoff value 18</w:t>
      </w:r>
      <w:r w:rsidR="00360EDB" w:rsidRPr="00FA5C8D">
        <w:rPr>
          <w:rFonts w:ascii="Book Antiqua" w:hAnsi="Book Antiqua" w:cs="Times New Roman"/>
          <w:bCs/>
          <w:sz w:val="24"/>
          <w:szCs w:val="24"/>
        </w:rPr>
        <w:t xml:space="preserve"> </w:t>
      </w:r>
      <w:r w:rsidRPr="00FA5C8D">
        <w:rPr>
          <w:rFonts w:ascii="Book Antiqua" w:hAnsi="Book Antiqua" w:cs="Times New Roman"/>
          <w:bCs/>
          <w:sz w:val="24"/>
          <w:szCs w:val="24"/>
        </w:rPr>
        <w:t>U/m</w:t>
      </w:r>
      <w:r w:rsidR="00E06DA3" w:rsidRPr="00FA5C8D">
        <w:rPr>
          <w:rFonts w:ascii="Book Antiqua" w:hAnsi="Book Antiqua" w:cs="Times New Roman"/>
          <w:bCs/>
          <w:sz w:val="24"/>
          <w:szCs w:val="24"/>
        </w:rPr>
        <w:t>L</w:t>
      </w:r>
      <w:r w:rsidR="00B9469F" w:rsidRPr="00FA5C8D">
        <w:rPr>
          <w:rFonts w:ascii="Book Antiqua" w:hAnsi="Book Antiqua" w:cs="Times New Roman"/>
          <w:bCs/>
          <w:sz w:val="24"/>
          <w:szCs w:val="24"/>
        </w:rPr>
        <w:t xml:space="preserve"> </w:t>
      </w:r>
      <w:r w:rsidR="00FE215B" w:rsidRPr="00FA5C8D">
        <w:rPr>
          <w:rFonts w:ascii="Book Antiqua" w:hAnsi="Book Antiqua" w:cs="Times New Roman"/>
          <w:bCs/>
          <w:sz w:val="24"/>
          <w:szCs w:val="24"/>
        </w:rPr>
        <w:t>recommended</w:t>
      </w:r>
      <w:r w:rsidRPr="00FA5C8D">
        <w:rPr>
          <w:rFonts w:ascii="Book Antiqua" w:hAnsi="Book Antiqua" w:cs="Times New Roman"/>
          <w:bCs/>
          <w:sz w:val="24"/>
          <w:szCs w:val="24"/>
        </w:rPr>
        <w:t xml:space="preserve"> by </w:t>
      </w:r>
      <w:r w:rsidR="00A771CC" w:rsidRPr="00FA5C8D">
        <w:rPr>
          <w:rFonts w:ascii="Book Antiqua" w:hAnsi="Book Antiqua" w:cs="Times New Roman"/>
          <w:bCs/>
          <w:sz w:val="24"/>
          <w:szCs w:val="24"/>
        </w:rPr>
        <w:t>manufacturer</w:t>
      </w:r>
      <w:r w:rsidRPr="00FA5C8D">
        <w:rPr>
          <w:rFonts w:ascii="Book Antiqua" w:hAnsi="Book Antiqua" w:cs="Times New Roman"/>
          <w:bCs/>
          <w:sz w:val="24"/>
          <w:szCs w:val="24"/>
        </w:rPr>
        <w:t xml:space="preserve">) in </w:t>
      </w:r>
      <w:r w:rsidR="007A1B7C" w:rsidRPr="00FA5C8D">
        <w:rPr>
          <w:rFonts w:ascii="Book Antiqua" w:hAnsi="Book Antiqua" w:cs="Times New Roman"/>
          <w:bCs/>
          <w:sz w:val="24"/>
          <w:szCs w:val="24"/>
        </w:rPr>
        <w:t>18</w:t>
      </w:r>
      <w:r w:rsidRPr="00FA5C8D">
        <w:rPr>
          <w:rFonts w:ascii="Book Antiqua" w:hAnsi="Book Antiqua" w:cs="Times New Roman"/>
          <w:sz w:val="24"/>
          <w:szCs w:val="24"/>
          <w:shd w:val="clear" w:color="auto" w:fill="FFFFFF"/>
        </w:rPr>
        <w:t xml:space="preserve"> cases (2</w:t>
      </w:r>
      <w:r w:rsidR="007A1B7C" w:rsidRPr="00FA5C8D">
        <w:rPr>
          <w:rFonts w:ascii="Book Antiqua" w:hAnsi="Book Antiqua" w:cs="Times New Roman"/>
          <w:sz w:val="24"/>
          <w:szCs w:val="24"/>
          <w:shd w:val="clear" w:color="auto" w:fill="FFFFFF"/>
        </w:rPr>
        <w:t>2</w:t>
      </w:r>
      <w:r w:rsidR="004352C9" w:rsidRPr="00FA5C8D">
        <w:rPr>
          <w:rFonts w:ascii="Book Antiqua" w:hAnsi="Book Antiqua" w:cs="Times New Roman"/>
          <w:sz w:val="24"/>
          <w:szCs w:val="24"/>
          <w:shd w:val="clear" w:color="auto" w:fill="FFFFFF"/>
        </w:rPr>
        <w:t>.</w:t>
      </w:r>
      <w:r w:rsidR="007A1B7C" w:rsidRPr="00FA5C8D">
        <w:rPr>
          <w:rFonts w:ascii="Book Antiqua" w:hAnsi="Book Antiqua" w:cs="Times New Roman"/>
          <w:sz w:val="24"/>
          <w:szCs w:val="24"/>
          <w:shd w:val="clear" w:color="auto" w:fill="FFFFFF"/>
        </w:rPr>
        <w:t>2</w:t>
      </w:r>
      <w:r w:rsidRPr="00FA5C8D">
        <w:rPr>
          <w:rFonts w:ascii="Book Antiqua" w:hAnsi="Book Antiqua" w:cs="Times New Roman"/>
          <w:sz w:val="24"/>
          <w:szCs w:val="24"/>
          <w:shd w:val="clear" w:color="auto" w:fill="FFFFFF"/>
        </w:rPr>
        <w:t>%)</w:t>
      </w:r>
      <w:r w:rsidR="00564190" w:rsidRPr="00FA5C8D">
        <w:rPr>
          <w:rFonts w:ascii="Book Antiqua" w:hAnsi="Book Antiqua" w:cs="Times New Roman"/>
          <w:bCs/>
          <w:sz w:val="24"/>
          <w:szCs w:val="24"/>
        </w:rPr>
        <w:t>;</w:t>
      </w:r>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those of </w:t>
      </w:r>
      <w:proofErr w:type="spellStart"/>
      <w:r w:rsidRPr="00FA5C8D">
        <w:rPr>
          <w:rFonts w:ascii="Book Antiqua" w:hAnsi="Book Antiqua" w:cs="Times New Roman"/>
          <w:bCs/>
          <w:sz w:val="24"/>
          <w:szCs w:val="24"/>
        </w:rPr>
        <w:t>aDGP</w:t>
      </w:r>
      <w:proofErr w:type="spellEnd"/>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were</w:t>
      </w:r>
      <w:r w:rsidR="00B9469F" w:rsidRPr="00FA5C8D">
        <w:rPr>
          <w:rFonts w:ascii="Book Antiqua" w:hAnsi="Book Antiqua" w:cs="Times New Roman"/>
          <w:bCs/>
          <w:sz w:val="24"/>
          <w:szCs w:val="24"/>
        </w:rPr>
        <w:t xml:space="preserve"> </w:t>
      </w:r>
      <w:r w:rsidRPr="00FA5C8D">
        <w:rPr>
          <w:rFonts w:ascii="Book Antiqua" w:hAnsi="Book Antiqua" w:cs="Times New Roman"/>
          <w:bCs/>
          <w:sz w:val="24"/>
          <w:szCs w:val="24"/>
        </w:rPr>
        <w:t>positive (cutoff value 20</w:t>
      </w:r>
      <w:r w:rsidR="00360EDB" w:rsidRPr="00FA5C8D">
        <w:rPr>
          <w:rFonts w:ascii="Book Antiqua" w:hAnsi="Book Antiqua" w:cs="Times New Roman"/>
          <w:bCs/>
          <w:sz w:val="24"/>
          <w:szCs w:val="24"/>
        </w:rPr>
        <w:t xml:space="preserve"> </w:t>
      </w:r>
      <w:r w:rsidRPr="00FA5C8D">
        <w:rPr>
          <w:rFonts w:ascii="Book Antiqua" w:hAnsi="Book Antiqua" w:cs="Times New Roman"/>
          <w:bCs/>
          <w:sz w:val="24"/>
          <w:szCs w:val="24"/>
        </w:rPr>
        <w:t>U/m</w:t>
      </w:r>
      <w:r w:rsidR="00E06DA3" w:rsidRPr="00FA5C8D">
        <w:rPr>
          <w:rFonts w:ascii="Book Antiqua" w:hAnsi="Book Antiqua" w:cs="Times New Roman"/>
          <w:bCs/>
          <w:sz w:val="24"/>
          <w:szCs w:val="24"/>
        </w:rPr>
        <w:t>L</w:t>
      </w:r>
      <w:r w:rsidRPr="00FA5C8D">
        <w:rPr>
          <w:rFonts w:ascii="Book Antiqua" w:hAnsi="Book Antiqua" w:cs="Times New Roman"/>
          <w:bCs/>
          <w:sz w:val="24"/>
          <w:szCs w:val="24"/>
        </w:rPr>
        <w:t xml:space="preserve"> determined by laboratory) in </w:t>
      </w:r>
      <w:r w:rsidRPr="00FA5C8D">
        <w:rPr>
          <w:rFonts w:ascii="Book Antiqua" w:hAnsi="Book Antiqua" w:cs="Times New Roman"/>
          <w:sz w:val="24"/>
          <w:szCs w:val="24"/>
          <w:shd w:val="clear" w:color="auto" w:fill="FFFFFF"/>
        </w:rPr>
        <w:t>2</w:t>
      </w:r>
      <w:r w:rsidR="007A1B7C" w:rsidRPr="00FA5C8D">
        <w:rPr>
          <w:rFonts w:ascii="Book Antiqua" w:hAnsi="Book Antiqua" w:cs="Times New Roman"/>
          <w:sz w:val="24"/>
          <w:szCs w:val="24"/>
          <w:shd w:val="clear" w:color="auto" w:fill="FFFFFF"/>
        </w:rPr>
        <w:t>9</w:t>
      </w:r>
      <w:r w:rsidRPr="00FA5C8D">
        <w:rPr>
          <w:rFonts w:ascii="Book Antiqua" w:hAnsi="Book Antiqua" w:cs="Times New Roman"/>
          <w:sz w:val="24"/>
          <w:szCs w:val="24"/>
          <w:shd w:val="clear" w:color="auto" w:fill="FFFFFF"/>
        </w:rPr>
        <w:t xml:space="preserve"> cases (</w:t>
      </w:r>
      <w:r w:rsidR="007A1B7C" w:rsidRPr="00FA5C8D">
        <w:rPr>
          <w:rFonts w:ascii="Book Antiqua" w:hAnsi="Book Antiqua" w:cs="Times New Roman"/>
          <w:sz w:val="24"/>
          <w:szCs w:val="24"/>
          <w:shd w:val="clear" w:color="auto" w:fill="FFFFFF"/>
        </w:rPr>
        <w:t>37</w:t>
      </w:r>
      <w:r w:rsidR="004352C9" w:rsidRPr="00FA5C8D">
        <w:rPr>
          <w:rFonts w:ascii="Book Antiqua" w:hAnsi="Book Antiqua" w:cs="Times New Roman"/>
          <w:sz w:val="24"/>
          <w:szCs w:val="24"/>
          <w:shd w:val="clear" w:color="auto" w:fill="FFFFFF"/>
        </w:rPr>
        <w:t>.</w:t>
      </w:r>
      <w:r w:rsidR="007A1B7C" w:rsidRPr="00FA5C8D">
        <w:rPr>
          <w:rFonts w:ascii="Book Antiqua" w:hAnsi="Book Antiqua" w:cs="Times New Roman"/>
          <w:sz w:val="24"/>
          <w:szCs w:val="24"/>
          <w:shd w:val="clear" w:color="auto" w:fill="FFFFFF"/>
        </w:rPr>
        <w:t>2</w:t>
      </w:r>
      <w:r w:rsidRPr="00FA5C8D">
        <w:rPr>
          <w:rFonts w:ascii="Book Antiqua" w:hAnsi="Book Antiqua" w:cs="Times New Roman"/>
          <w:sz w:val="24"/>
          <w:szCs w:val="24"/>
          <w:shd w:val="clear" w:color="auto" w:fill="FFFFFF"/>
        </w:rPr>
        <w:t>%)</w:t>
      </w:r>
      <w:r w:rsidR="00360EDB" w:rsidRPr="00FA5C8D">
        <w:rPr>
          <w:rFonts w:ascii="Book Antiqua" w:hAnsi="Book Antiqua" w:cs="Times New Roman"/>
          <w:sz w:val="24"/>
          <w:szCs w:val="24"/>
          <w:shd w:val="clear" w:color="auto" w:fill="FFFFFF"/>
        </w:rPr>
        <w:t xml:space="preserve"> </w:t>
      </w:r>
      <w:r w:rsidR="00412078" w:rsidRPr="00FA5C8D">
        <w:rPr>
          <w:rFonts w:ascii="Book Antiqua" w:hAnsi="Book Antiqua" w:cs="Times New Roman"/>
          <w:sz w:val="24"/>
          <w:szCs w:val="24"/>
          <w:shd w:val="clear" w:color="auto" w:fill="FFFFFF"/>
        </w:rPr>
        <w:t>at the time of follow-up biopsy</w:t>
      </w:r>
      <w:r w:rsidRPr="00FA5C8D">
        <w:rPr>
          <w:rFonts w:ascii="Book Antiqua" w:hAnsi="Book Antiqua" w:cs="Times New Roman"/>
          <w:bCs/>
          <w:sz w:val="24"/>
          <w:szCs w:val="24"/>
        </w:rPr>
        <w:t>. Ultrasonography was available in 66 patients with signs cor</w:t>
      </w:r>
      <w:r w:rsidR="00946880" w:rsidRPr="00FA5C8D">
        <w:rPr>
          <w:rFonts w:ascii="Book Antiqua" w:hAnsi="Book Antiqua" w:cs="Times New Roman"/>
          <w:bCs/>
          <w:sz w:val="24"/>
          <w:szCs w:val="24"/>
        </w:rPr>
        <w:t>r</w:t>
      </w:r>
      <w:r w:rsidRPr="00FA5C8D">
        <w:rPr>
          <w:rFonts w:ascii="Book Antiqua" w:hAnsi="Book Antiqua" w:cs="Times New Roman"/>
          <w:bCs/>
          <w:sz w:val="24"/>
          <w:szCs w:val="24"/>
        </w:rPr>
        <w:t xml:space="preserve">elating with active </w:t>
      </w:r>
      <w:r w:rsidR="005858ED" w:rsidRPr="00FA5C8D">
        <w:rPr>
          <w:rFonts w:ascii="Book Antiqua" w:hAnsi="Book Antiqua" w:cs="Times New Roman"/>
          <w:sz w:val="24"/>
          <w:szCs w:val="24"/>
        </w:rPr>
        <w:t>CD</w:t>
      </w:r>
      <w:r w:rsidR="00360EDB" w:rsidRPr="00FA5C8D">
        <w:rPr>
          <w:rFonts w:ascii="Book Antiqua" w:hAnsi="Book Antiqua" w:cs="Times New Roman"/>
          <w:sz w:val="24"/>
          <w:szCs w:val="24"/>
        </w:rPr>
        <w:t xml:space="preserve"> </w:t>
      </w:r>
      <w:r w:rsidRPr="00FA5C8D">
        <w:rPr>
          <w:rFonts w:ascii="Book Antiqua" w:hAnsi="Book Antiqua" w:cs="Times New Roman"/>
          <w:bCs/>
          <w:sz w:val="24"/>
          <w:szCs w:val="24"/>
        </w:rPr>
        <w:t xml:space="preserve">found in </w:t>
      </w:r>
      <w:r w:rsidRPr="00FA5C8D">
        <w:rPr>
          <w:rFonts w:ascii="Book Antiqua" w:hAnsi="Book Antiqua" w:cs="Times New Roman"/>
          <w:sz w:val="24"/>
          <w:szCs w:val="24"/>
          <w:shd w:val="clear" w:color="auto" w:fill="FFFFFF"/>
        </w:rPr>
        <w:t>24 (29</w:t>
      </w:r>
      <w:r w:rsidR="004352C9"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3%) cases (details in </w:t>
      </w:r>
      <w:r w:rsidR="00AD6F7B" w:rsidRPr="00FA5C8D">
        <w:rPr>
          <w:rFonts w:ascii="Book Antiqua" w:hAnsi="Book Antiqua" w:cs="Times New Roman"/>
          <w:sz w:val="24"/>
          <w:szCs w:val="24"/>
          <w:shd w:val="clear" w:color="auto" w:fill="FFFFFF"/>
        </w:rPr>
        <w:t>T</w:t>
      </w:r>
      <w:r w:rsidRPr="00FA5C8D">
        <w:rPr>
          <w:rFonts w:ascii="Book Antiqua" w:hAnsi="Book Antiqua" w:cs="Times New Roman"/>
          <w:sz w:val="24"/>
          <w:szCs w:val="24"/>
          <w:shd w:val="clear" w:color="auto" w:fill="FFFFFF"/>
        </w:rPr>
        <w:t xml:space="preserve">able </w:t>
      </w:r>
      <w:r w:rsidR="00C7480E" w:rsidRPr="00FA5C8D">
        <w:rPr>
          <w:rFonts w:ascii="Book Antiqua" w:hAnsi="Book Antiqua" w:cs="Times New Roman"/>
          <w:sz w:val="24"/>
          <w:szCs w:val="24"/>
          <w:shd w:val="clear" w:color="auto" w:fill="FFFFFF"/>
        </w:rPr>
        <w:t>1</w:t>
      </w:r>
      <w:r w:rsidRPr="00FA5C8D">
        <w:rPr>
          <w:rFonts w:ascii="Book Antiqua" w:hAnsi="Book Antiqua" w:cs="Times New Roman"/>
          <w:sz w:val="24"/>
          <w:szCs w:val="24"/>
          <w:shd w:val="clear" w:color="auto" w:fill="FFFFFF"/>
        </w:rPr>
        <w:t>).</w:t>
      </w:r>
    </w:p>
    <w:p w14:paraId="13337A48" w14:textId="77777777" w:rsidR="00DF21B7" w:rsidRPr="00FA5C8D" w:rsidRDefault="00D93184" w:rsidP="00FA5C8D">
      <w:pPr>
        <w:snapToGrid w:val="0"/>
        <w:spacing w:after="0" w:line="360" w:lineRule="auto"/>
        <w:ind w:firstLineChars="100" w:firstLine="240"/>
        <w:jc w:val="both"/>
        <w:rPr>
          <w:rFonts w:ascii="Book Antiqua" w:hAnsi="Book Antiqua" w:cs="Times New Roman"/>
          <w:sz w:val="24"/>
          <w:szCs w:val="24"/>
          <w:shd w:val="clear" w:color="auto" w:fill="FFFFFF"/>
        </w:rPr>
      </w:pPr>
      <w:r w:rsidRPr="00FA5C8D">
        <w:rPr>
          <w:rFonts w:ascii="Book Antiqua" w:hAnsi="Book Antiqua" w:cs="Times New Roman"/>
          <w:sz w:val="24"/>
          <w:szCs w:val="24"/>
          <w:shd w:val="clear" w:color="auto" w:fill="FFFFFF"/>
        </w:rPr>
        <w:t>D</w:t>
      </w:r>
      <w:r w:rsidR="001329BE" w:rsidRPr="00FA5C8D">
        <w:rPr>
          <w:rFonts w:ascii="Book Antiqua" w:hAnsi="Book Antiqua" w:cs="Times New Roman"/>
          <w:sz w:val="24"/>
          <w:szCs w:val="24"/>
          <w:shd w:val="clear" w:color="auto" w:fill="FFFFFF"/>
        </w:rPr>
        <w:t xml:space="preserve">ata of 19 patients </w:t>
      </w:r>
      <w:r w:rsidRPr="00FA5C8D">
        <w:rPr>
          <w:rFonts w:ascii="Book Antiqua" w:hAnsi="Book Antiqua" w:cs="Times New Roman"/>
          <w:sz w:val="24"/>
          <w:szCs w:val="24"/>
          <w:shd w:val="clear" w:color="auto" w:fill="FFFFFF"/>
        </w:rPr>
        <w:t>(23</w:t>
      </w:r>
      <w:r w:rsidR="006203F0"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2%) </w:t>
      </w:r>
      <w:r w:rsidR="001329BE" w:rsidRPr="00FA5C8D">
        <w:rPr>
          <w:rFonts w:ascii="Book Antiqua" w:hAnsi="Book Antiqua" w:cs="Times New Roman"/>
          <w:sz w:val="24"/>
          <w:szCs w:val="24"/>
          <w:shd w:val="clear" w:color="auto" w:fill="FFFFFF"/>
        </w:rPr>
        <w:t xml:space="preserve">with persistent </w:t>
      </w:r>
      <w:r w:rsidR="007C1A59" w:rsidRPr="00FA5C8D">
        <w:rPr>
          <w:rFonts w:ascii="Book Antiqua" w:hAnsi="Book Antiqua" w:cs="Times New Roman"/>
          <w:sz w:val="24"/>
          <w:szCs w:val="24"/>
          <w:shd w:val="clear" w:color="auto" w:fill="FFFFFF"/>
        </w:rPr>
        <w:t>VA</w:t>
      </w:r>
      <w:r w:rsidR="00B9469F" w:rsidRPr="00FA5C8D">
        <w:rPr>
          <w:rFonts w:ascii="Book Antiqua" w:hAnsi="Book Antiqua" w:cs="Times New Roman"/>
          <w:sz w:val="24"/>
          <w:szCs w:val="24"/>
          <w:shd w:val="clear" w:color="auto" w:fill="FFFFFF"/>
        </w:rPr>
        <w:t xml:space="preserve"> </w:t>
      </w:r>
      <w:r w:rsidRPr="00FA5C8D">
        <w:rPr>
          <w:rFonts w:ascii="Book Antiqua" w:hAnsi="Book Antiqua" w:cs="Times New Roman"/>
          <w:sz w:val="24"/>
          <w:szCs w:val="24"/>
          <w:shd w:val="clear" w:color="auto" w:fill="FFFFFF"/>
        </w:rPr>
        <w:t>(10</w:t>
      </w:r>
      <w:r w:rsidR="00360EDB"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Marsh 3a, 4</w:t>
      </w:r>
      <w:r w:rsidR="00360EDB"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Marsh 3b, 5</w:t>
      </w:r>
      <w:r w:rsidR="00360EDB" w:rsidRPr="00FA5C8D">
        <w:rPr>
          <w:rFonts w:ascii="Book Antiqua" w:hAnsi="Book Antiqua" w:cs="Times New Roman"/>
          <w:sz w:val="24"/>
          <w:szCs w:val="24"/>
          <w:shd w:val="clear" w:color="auto" w:fill="FFFFFF"/>
        </w:rPr>
        <w:t>×</w:t>
      </w:r>
      <w:r w:rsidRPr="00FA5C8D">
        <w:rPr>
          <w:rFonts w:ascii="Book Antiqua" w:hAnsi="Book Antiqua" w:cs="Times New Roman"/>
          <w:sz w:val="24"/>
          <w:szCs w:val="24"/>
          <w:shd w:val="clear" w:color="auto" w:fill="FFFFFF"/>
        </w:rPr>
        <w:t xml:space="preserve"> Marsh 3c) </w:t>
      </w:r>
      <w:r w:rsidR="001329BE" w:rsidRPr="00FA5C8D">
        <w:rPr>
          <w:rFonts w:ascii="Book Antiqua" w:hAnsi="Book Antiqua" w:cs="Times New Roman"/>
          <w:sz w:val="24"/>
          <w:szCs w:val="24"/>
          <w:shd w:val="clear" w:color="auto" w:fill="FFFFFF"/>
        </w:rPr>
        <w:t xml:space="preserve">were compared </w:t>
      </w:r>
      <w:r w:rsidR="00300716" w:rsidRPr="00FA5C8D">
        <w:rPr>
          <w:rFonts w:ascii="Book Antiqua" w:hAnsi="Book Antiqua" w:cs="Times New Roman"/>
          <w:sz w:val="24"/>
          <w:szCs w:val="24"/>
          <w:shd w:val="clear" w:color="auto" w:fill="FFFFFF"/>
        </w:rPr>
        <w:t>with</w:t>
      </w:r>
      <w:r w:rsidR="00B9469F" w:rsidRPr="00FA5C8D">
        <w:rPr>
          <w:rFonts w:ascii="Book Antiqua" w:hAnsi="Book Antiqua" w:cs="Times New Roman"/>
          <w:sz w:val="24"/>
          <w:szCs w:val="24"/>
          <w:shd w:val="clear" w:color="auto" w:fill="FFFFFF"/>
        </w:rPr>
        <w:t xml:space="preserve"> </w:t>
      </w:r>
      <w:r w:rsidR="00752022" w:rsidRPr="00FA5C8D">
        <w:rPr>
          <w:rFonts w:ascii="Book Antiqua" w:hAnsi="Book Antiqua" w:cs="Times New Roman"/>
          <w:sz w:val="24"/>
          <w:szCs w:val="24"/>
          <w:shd w:val="clear" w:color="auto" w:fill="FFFFFF"/>
        </w:rPr>
        <w:t xml:space="preserve">data of </w:t>
      </w:r>
      <w:r w:rsidR="00DF21B7" w:rsidRPr="00FA5C8D">
        <w:rPr>
          <w:rFonts w:ascii="Book Antiqua" w:hAnsi="Book Antiqua" w:cs="Times New Roman"/>
          <w:sz w:val="24"/>
          <w:szCs w:val="24"/>
          <w:shd w:val="clear" w:color="auto" w:fill="FFFFFF"/>
        </w:rPr>
        <w:t>63 patients (76</w:t>
      </w:r>
      <w:r w:rsidR="006203F0" w:rsidRPr="00FA5C8D">
        <w:rPr>
          <w:rFonts w:ascii="Book Antiqua" w:hAnsi="Book Antiqua" w:cs="Times New Roman"/>
          <w:sz w:val="24"/>
          <w:szCs w:val="24"/>
          <w:shd w:val="clear" w:color="auto" w:fill="FFFFFF"/>
        </w:rPr>
        <w:t>.</w:t>
      </w:r>
      <w:r w:rsidR="00DF21B7" w:rsidRPr="00FA5C8D">
        <w:rPr>
          <w:rFonts w:ascii="Book Antiqua" w:hAnsi="Book Antiqua" w:cs="Times New Roman"/>
          <w:sz w:val="24"/>
          <w:szCs w:val="24"/>
          <w:shd w:val="clear" w:color="auto" w:fill="FFFFFF"/>
        </w:rPr>
        <w:t>8%) with either Marsh 0 (44</w:t>
      </w:r>
      <w:r w:rsidR="00360EDB" w:rsidRPr="00FA5C8D">
        <w:rPr>
          <w:rFonts w:ascii="Book Antiqua" w:hAnsi="Book Antiqua" w:cs="Times New Roman"/>
          <w:sz w:val="24"/>
          <w:szCs w:val="24"/>
          <w:shd w:val="clear" w:color="auto" w:fill="FFFFFF"/>
        </w:rPr>
        <w:t>×</w:t>
      </w:r>
      <w:r w:rsidR="00DF21B7" w:rsidRPr="00FA5C8D">
        <w:rPr>
          <w:rFonts w:ascii="Book Antiqua" w:hAnsi="Book Antiqua" w:cs="Times New Roman"/>
          <w:sz w:val="24"/>
          <w:szCs w:val="24"/>
          <w:shd w:val="clear" w:color="auto" w:fill="FFFFFF"/>
        </w:rPr>
        <w:t>) or Marsh 1 (19</w:t>
      </w:r>
      <w:r w:rsidR="00360EDB" w:rsidRPr="00FA5C8D">
        <w:rPr>
          <w:rFonts w:ascii="Book Antiqua" w:hAnsi="Book Antiqua" w:cs="Times New Roman"/>
          <w:sz w:val="24"/>
          <w:szCs w:val="24"/>
          <w:shd w:val="clear" w:color="auto" w:fill="FFFFFF"/>
        </w:rPr>
        <w:t>×</w:t>
      </w:r>
      <w:r w:rsidR="00DF21B7" w:rsidRPr="00FA5C8D">
        <w:rPr>
          <w:rFonts w:ascii="Book Antiqua" w:hAnsi="Book Antiqua" w:cs="Times New Roman"/>
          <w:sz w:val="24"/>
          <w:szCs w:val="24"/>
          <w:shd w:val="clear" w:color="auto" w:fill="FFFFFF"/>
        </w:rPr>
        <w:t xml:space="preserve">) </w:t>
      </w:r>
      <w:r w:rsidR="006571DD" w:rsidRPr="00FA5C8D">
        <w:rPr>
          <w:rFonts w:ascii="Book Antiqua" w:hAnsi="Book Antiqua" w:cs="Times New Roman"/>
          <w:sz w:val="24"/>
          <w:szCs w:val="24"/>
          <w:shd w:val="clear" w:color="auto" w:fill="FFFFFF"/>
        </w:rPr>
        <w:t xml:space="preserve">classification </w:t>
      </w:r>
      <w:r w:rsidR="00DF21B7" w:rsidRPr="00FA5C8D">
        <w:rPr>
          <w:rFonts w:ascii="Book Antiqua" w:hAnsi="Book Antiqua" w:cs="Times New Roman"/>
          <w:sz w:val="24"/>
          <w:szCs w:val="24"/>
          <w:shd w:val="clear" w:color="auto" w:fill="FFFFFF"/>
        </w:rPr>
        <w:t xml:space="preserve">on </w:t>
      </w:r>
      <w:r w:rsidR="006571DD" w:rsidRPr="00FA5C8D">
        <w:rPr>
          <w:rFonts w:ascii="Book Antiqua" w:hAnsi="Book Antiqua" w:cs="Times New Roman"/>
          <w:sz w:val="24"/>
          <w:szCs w:val="24"/>
          <w:shd w:val="clear" w:color="auto" w:fill="FFFFFF"/>
        </w:rPr>
        <w:t xml:space="preserve">the </w:t>
      </w:r>
      <w:r w:rsidR="00203B36" w:rsidRPr="00FA5C8D">
        <w:rPr>
          <w:rFonts w:ascii="Book Antiqua" w:hAnsi="Book Antiqua" w:cs="Times New Roman"/>
          <w:sz w:val="24"/>
          <w:szCs w:val="24"/>
          <w:shd w:val="clear" w:color="auto" w:fill="FFFFFF"/>
        </w:rPr>
        <w:t>follow-up</w:t>
      </w:r>
      <w:r w:rsidR="00DF21B7" w:rsidRPr="00FA5C8D">
        <w:rPr>
          <w:rFonts w:ascii="Book Antiqua" w:hAnsi="Book Antiqua" w:cs="Times New Roman"/>
          <w:sz w:val="24"/>
          <w:szCs w:val="24"/>
          <w:shd w:val="clear" w:color="auto" w:fill="FFFFFF"/>
        </w:rPr>
        <w:t xml:space="preserve"> duodenal biopsy.</w:t>
      </w:r>
      <w:r w:rsidR="000058CD" w:rsidRPr="00FA5C8D">
        <w:rPr>
          <w:rFonts w:ascii="Book Antiqua" w:hAnsi="Book Antiqua" w:cs="Times New Roman"/>
          <w:sz w:val="24"/>
          <w:szCs w:val="24"/>
          <w:shd w:val="clear" w:color="auto" w:fill="FFFFFF"/>
        </w:rPr>
        <w:t xml:space="preserve"> These two groups </w:t>
      </w:r>
      <w:r w:rsidR="006571DD" w:rsidRPr="00FA5C8D">
        <w:rPr>
          <w:rFonts w:ascii="Book Antiqua" w:hAnsi="Book Antiqua" w:cs="Times New Roman"/>
          <w:sz w:val="24"/>
          <w:szCs w:val="24"/>
          <w:shd w:val="clear" w:color="auto" w:fill="FFFFFF"/>
        </w:rPr>
        <w:t>did not</w:t>
      </w:r>
      <w:r w:rsidR="000058CD" w:rsidRPr="00FA5C8D">
        <w:rPr>
          <w:rFonts w:ascii="Book Antiqua" w:hAnsi="Book Antiqua" w:cs="Times New Roman"/>
          <w:sz w:val="24"/>
          <w:szCs w:val="24"/>
          <w:shd w:val="clear" w:color="auto" w:fill="FFFFFF"/>
        </w:rPr>
        <w:t xml:space="preserve"> differ </w:t>
      </w:r>
      <w:r w:rsidR="00564190" w:rsidRPr="00FA5C8D">
        <w:rPr>
          <w:rFonts w:ascii="Book Antiqua" w:hAnsi="Book Antiqua" w:cs="Times New Roman"/>
          <w:sz w:val="24"/>
          <w:szCs w:val="24"/>
          <w:shd w:val="clear" w:color="auto" w:fill="FFFFFF"/>
        </w:rPr>
        <w:t>with respect to</w:t>
      </w:r>
      <w:r w:rsidR="00B9469F" w:rsidRPr="00FA5C8D">
        <w:rPr>
          <w:rFonts w:ascii="Book Antiqua" w:hAnsi="Book Antiqua" w:cs="Times New Roman"/>
          <w:sz w:val="24"/>
          <w:szCs w:val="24"/>
          <w:shd w:val="clear" w:color="auto" w:fill="FFFFFF"/>
        </w:rPr>
        <w:t xml:space="preserve"> </w:t>
      </w:r>
      <w:r w:rsidR="000058CD" w:rsidRPr="00FA5C8D">
        <w:rPr>
          <w:rFonts w:ascii="Book Antiqua" w:hAnsi="Book Antiqua" w:cs="Times New Roman"/>
          <w:sz w:val="24"/>
          <w:szCs w:val="24"/>
          <w:shd w:val="clear" w:color="auto" w:fill="FFFFFF"/>
        </w:rPr>
        <w:t>age</w:t>
      </w:r>
      <w:r w:rsidR="00A60778" w:rsidRPr="00FA5C8D">
        <w:rPr>
          <w:rFonts w:ascii="Book Antiqua" w:hAnsi="Book Antiqua" w:cs="Times New Roman"/>
          <w:sz w:val="24"/>
          <w:szCs w:val="24"/>
          <w:shd w:val="clear" w:color="auto" w:fill="FFFFFF"/>
        </w:rPr>
        <w:t xml:space="preserve"> at diagnosis</w:t>
      </w:r>
      <w:r w:rsidR="000058CD" w:rsidRPr="00FA5C8D">
        <w:rPr>
          <w:rFonts w:ascii="Book Antiqua" w:hAnsi="Book Antiqua" w:cs="Times New Roman"/>
          <w:sz w:val="24"/>
          <w:szCs w:val="24"/>
          <w:shd w:val="clear" w:color="auto" w:fill="FFFFFF"/>
        </w:rPr>
        <w:t xml:space="preserve">, </w:t>
      </w:r>
      <w:r w:rsidR="00DD2030" w:rsidRPr="00FA5C8D">
        <w:rPr>
          <w:rFonts w:ascii="Book Antiqua" w:hAnsi="Book Antiqua" w:cs="Times New Roman"/>
          <w:sz w:val="24"/>
          <w:szCs w:val="24"/>
          <w:shd w:val="clear" w:color="auto" w:fill="FFFFFF"/>
        </w:rPr>
        <w:t>sex,</w:t>
      </w:r>
      <w:r w:rsidR="000058CD" w:rsidRPr="00FA5C8D">
        <w:rPr>
          <w:rFonts w:ascii="Book Antiqua" w:hAnsi="Book Antiqua" w:cs="Times New Roman"/>
          <w:sz w:val="24"/>
          <w:szCs w:val="24"/>
          <w:shd w:val="clear" w:color="auto" w:fill="FFFFFF"/>
        </w:rPr>
        <w:t xml:space="preserve"> or length of GFD</w:t>
      </w:r>
      <w:r w:rsidR="00957248" w:rsidRPr="00FA5C8D">
        <w:rPr>
          <w:rFonts w:ascii="Book Antiqua" w:hAnsi="Book Antiqua" w:cs="Times New Roman"/>
          <w:sz w:val="24"/>
          <w:szCs w:val="24"/>
          <w:shd w:val="clear" w:color="auto" w:fill="FFFFFF"/>
        </w:rPr>
        <w:t xml:space="preserve"> at follow-up biopsy</w:t>
      </w:r>
      <w:r w:rsidR="00A60778" w:rsidRPr="00FA5C8D">
        <w:rPr>
          <w:rFonts w:ascii="Book Antiqua" w:hAnsi="Book Antiqua" w:cs="Times New Roman"/>
          <w:sz w:val="24"/>
          <w:szCs w:val="24"/>
          <w:shd w:val="clear" w:color="auto" w:fill="FFFFFF"/>
        </w:rPr>
        <w:t xml:space="preserve"> (details in </w:t>
      </w:r>
      <w:r w:rsidR="003B5F71" w:rsidRPr="00FA5C8D">
        <w:rPr>
          <w:rFonts w:ascii="Book Antiqua" w:hAnsi="Book Antiqua" w:cs="Times New Roman"/>
          <w:sz w:val="24"/>
          <w:szCs w:val="24"/>
          <w:shd w:val="clear" w:color="auto" w:fill="FFFFFF"/>
        </w:rPr>
        <w:t>T</w:t>
      </w:r>
      <w:r w:rsidR="00A60778" w:rsidRPr="00FA5C8D">
        <w:rPr>
          <w:rFonts w:ascii="Book Antiqua" w:hAnsi="Book Antiqua" w:cs="Times New Roman"/>
          <w:sz w:val="24"/>
          <w:szCs w:val="24"/>
          <w:shd w:val="clear" w:color="auto" w:fill="FFFFFF"/>
        </w:rPr>
        <w:t xml:space="preserve">able </w:t>
      </w:r>
      <w:r w:rsidR="006E6969" w:rsidRPr="00FA5C8D">
        <w:rPr>
          <w:rFonts w:ascii="Book Antiqua" w:hAnsi="Book Antiqua" w:cs="Times New Roman"/>
          <w:sz w:val="24"/>
          <w:szCs w:val="24"/>
          <w:shd w:val="clear" w:color="auto" w:fill="FFFFFF"/>
        </w:rPr>
        <w:t>2</w:t>
      </w:r>
      <w:r w:rsidR="00A60778" w:rsidRPr="00FA5C8D">
        <w:rPr>
          <w:rFonts w:ascii="Book Antiqua" w:hAnsi="Book Antiqua" w:cs="Times New Roman"/>
          <w:sz w:val="24"/>
          <w:szCs w:val="24"/>
          <w:shd w:val="clear" w:color="auto" w:fill="FFFFFF"/>
        </w:rPr>
        <w:t>).</w:t>
      </w:r>
    </w:p>
    <w:p w14:paraId="38E6E237" w14:textId="77777777" w:rsidR="005E7A64" w:rsidRPr="00FA5C8D" w:rsidRDefault="00FA1A89" w:rsidP="00FA5C8D">
      <w:pPr>
        <w:snapToGrid w:val="0"/>
        <w:spacing w:after="0" w:line="360" w:lineRule="auto"/>
        <w:ind w:firstLineChars="100" w:firstLine="240"/>
        <w:jc w:val="both"/>
        <w:rPr>
          <w:rFonts w:ascii="Book Antiqua" w:hAnsi="Book Antiqua" w:cs="Times New Roman"/>
          <w:bCs/>
          <w:sz w:val="24"/>
          <w:szCs w:val="24"/>
        </w:rPr>
      </w:pPr>
      <w:r w:rsidRPr="00FA5C8D">
        <w:rPr>
          <w:rFonts w:ascii="Book Antiqua" w:hAnsi="Book Antiqua" w:cs="Times New Roman"/>
          <w:bCs/>
          <w:sz w:val="24"/>
          <w:szCs w:val="24"/>
        </w:rPr>
        <w:t xml:space="preserve">In patients with persistent </w:t>
      </w:r>
      <w:r w:rsidR="00C02D04" w:rsidRPr="00FA5C8D">
        <w:rPr>
          <w:rFonts w:ascii="Book Antiqua" w:hAnsi="Book Antiqua" w:cs="Times New Roman"/>
          <w:sz w:val="24"/>
          <w:szCs w:val="24"/>
        </w:rPr>
        <w:t>VA</w:t>
      </w:r>
      <w:r w:rsidR="00B9469F" w:rsidRPr="00FA5C8D">
        <w:rPr>
          <w:rFonts w:ascii="Book Antiqua" w:hAnsi="Book Antiqua" w:cs="Times New Roman"/>
          <w:sz w:val="24"/>
          <w:szCs w:val="24"/>
        </w:rPr>
        <w:t xml:space="preserve"> </w:t>
      </w:r>
      <w:proofErr w:type="spellStart"/>
      <w:r w:rsidRPr="00FA5C8D">
        <w:rPr>
          <w:rFonts w:ascii="Book Antiqua" w:hAnsi="Book Antiqua" w:cs="Times New Roman"/>
          <w:bCs/>
          <w:sz w:val="24"/>
          <w:szCs w:val="24"/>
        </w:rPr>
        <w:t>aTTG</w:t>
      </w:r>
      <w:proofErr w:type="spellEnd"/>
      <w:r w:rsidR="00AB291E" w:rsidRPr="00FA5C8D">
        <w:rPr>
          <w:rFonts w:ascii="Book Antiqua" w:hAnsi="Book Antiqua" w:cs="Times New Roman"/>
          <w:bCs/>
          <w:sz w:val="24"/>
          <w:szCs w:val="24"/>
        </w:rPr>
        <w:t xml:space="preserve"> IgA was positive in </w:t>
      </w:r>
      <w:r w:rsidR="004B15EC" w:rsidRPr="00FA5C8D">
        <w:rPr>
          <w:rFonts w:ascii="Book Antiqua" w:hAnsi="Book Antiqua" w:cs="Times New Roman"/>
          <w:bCs/>
          <w:sz w:val="24"/>
          <w:szCs w:val="24"/>
        </w:rPr>
        <w:t xml:space="preserve">nine </w:t>
      </w:r>
      <w:r w:rsidR="007D67B8" w:rsidRPr="00FA5C8D">
        <w:rPr>
          <w:rFonts w:ascii="Book Antiqua" w:hAnsi="Book Antiqua" w:cs="Times New Roman"/>
          <w:bCs/>
          <w:sz w:val="24"/>
          <w:szCs w:val="24"/>
        </w:rPr>
        <w:t>cases</w:t>
      </w:r>
      <w:r w:rsidR="00564190" w:rsidRPr="00FA5C8D">
        <w:rPr>
          <w:rFonts w:ascii="Book Antiqua" w:hAnsi="Book Antiqua" w:cs="Times New Roman"/>
          <w:bCs/>
          <w:sz w:val="24"/>
          <w:szCs w:val="24"/>
        </w:rPr>
        <w:t>;</w:t>
      </w:r>
      <w:r w:rsidR="007D67B8" w:rsidRPr="00FA5C8D">
        <w:rPr>
          <w:rFonts w:ascii="Book Antiqua" w:hAnsi="Book Antiqua" w:cs="Times New Roman"/>
          <w:bCs/>
          <w:sz w:val="24"/>
          <w:szCs w:val="24"/>
        </w:rPr>
        <w:t xml:space="preserve"> IgG </w:t>
      </w:r>
      <w:r w:rsidR="00564190" w:rsidRPr="00FA5C8D">
        <w:rPr>
          <w:rFonts w:ascii="Book Antiqua" w:hAnsi="Book Antiqua" w:cs="Times New Roman"/>
          <w:bCs/>
          <w:sz w:val="24"/>
          <w:szCs w:val="24"/>
        </w:rPr>
        <w:t xml:space="preserve">was positive </w:t>
      </w:r>
      <w:r w:rsidR="007D67B8" w:rsidRPr="00FA5C8D">
        <w:rPr>
          <w:rFonts w:ascii="Book Antiqua" w:hAnsi="Book Antiqua" w:cs="Times New Roman"/>
          <w:bCs/>
          <w:sz w:val="24"/>
          <w:szCs w:val="24"/>
        </w:rPr>
        <w:t xml:space="preserve">in </w:t>
      </w:r>
      <w:r w:rsidR="004B15EC" w:rsidRPr="00FA5C8D">
        <w:rPr>
          <w:rFonts w:ascii="Book Antiqua" w:hAnsi="Book Antiqua" w:cs="Times New Roman"/>
          <w:bCs/>
          <w:sz w:val="24"/>
          <w:szCs w:val="24"/>
        </w:rPr>
        <w:t>one</w:t>
      </w:r>
      <w:r w:rsidR="007D67B8" w:rsidRPr="00FA5C8D">
        <w:rPr>
          <w:rFonts w:ascii="Book Antiqua" w:hAnsi="Book Antiqua" w:cs="Times New Roman"/>
          <w:bCs/>
          <w:sz w:val="24"/>
          <w:szCs w:val="24"/>
        </w:rPr>
        <w:t xml:space="preserve"> case</w:t>
      </w:r>
      <w:r w:rsidR="008568C1" w:rsidRPr="00FA5C8D">
        <w:rPr>
          <w:rFonts w:ascii="Book Antiqua" w:hAnsi="Book Antiqua" w:cs="Times New Roman"/>
          <w:bCs/>
          <w:sz w:val="24"/>
          <w:szCs w:val="24"/>
        </w:rPr>
        <w:t xml:space="preserve"> (</w:t>
      </w:r>
      <w:r w:rsidR="004B15EC" w:rsidRPr="00FA5C8D">
        <w:rPr>
          <w:rFonts w:ascii="Book Antiqua" w:hAnsi="Book Antiqua" w:cs="Times New Roman"/>
          <w:bCs/>
          <w:sz w:val="24"/>
          <w:szCs w:val="24"/>
        </w:rPr>
        <w:t xml:space="preserve">nine </w:t>
      </w:r>
      <w:r w:rsidR="008568C1" w:rsidRPr="00FA5C8D">
        <w:rPr>
          <w:rFonts w:ascii="Book Antiqua" w:hAnsi="Book Antiqua" w:cs="Times New Roman"/>
          <w:bCs/>
          <w:sz w:val="24"/>
          <w:szCs w:val="24"/>
        </w:rPr>
        <w:t xml:space="preserve">cases in </w:t>
      </w:r>
      <w:r w:rsidR="009C6CFB" w:rsidRPr="00FA5C8D">
        <w:rPr>
          <w:rFonts w:ascii="Book Antiqua" w:hAnsi="Book Antiqua" w:cs="Times New Roman"/>
          <w:bCs/>
          <w:sz w:val="24"/>
          <w:szCs w:val="24"/>
        </w:rPr>
        <w:t xml:space="preserve">any </w:t>
      </w:r>
      <w:proofErr w:type="spellStart"/>
      <w:r w:rsidR="009C6CFB" w:rsidRPr="00FA5C8D">
        <w:rPr>
          <w:rFonts w:ascii="Book Antiqua" w:hAnsi="Book Antiqua" w:cs="Times New Roman"/>
          <w:bCs/>
          <w:sz w:val="24"/>
          <w:szCs w:val="24"/>
        </w:rPr>
        <w:t>a</w:t>
      </w:r>
      <w:r w:rsidR="00C20908" w:rsidRPr="00FA5C8D">
        <w:rPr>
          <w:rFonts w:ascii="Book Antiqua" w:hAnsi="Book Antiqua" w:cs="Times New Roman"/>
          <w:bCs/>
          <w:sz w:val="24"/>
          <w:szCs w:val="24"/>
        </w:rPr>
        <w:t>TTG</w:t>
      </w:r>
      <w:proofErr w:type="spellEnd"/>
      <w:r w:rsidR="008568C1" w:rsidRPr="00FA5C8D">
        <w:rPr>
          <w:rFonts w:ascii="Book Antiqua" w:hAnsi="Book Antiqua" w:cs="Times New Roman"/>
          <w:bCs/>
          <w:sz w:val="24"/>
          <w:szCs w:val="24"/>
        </w:rPr>
        <w:t>)</w:t>
      </w:r>
      <w:r w:rsidR="00564190" w:rsidRPr="00FA5C8D">
        <w:rPr>
          <w:rFonts w:ascii="Book Antiqua" w:hAnsi="Book Antiqua" w:cs="Times New Roman"/>
          <w:bCs/>
          <w:sz w:val="24"/>
          <w:szCs w:val="24"/>
        </w:rPr>
        <w:t>;</w:t>
      </w:r>
      <w:r w:rsidR="00B9469F" w:rsidRPr="00FA5C8D">
        <w:rPr>
          <w:rFonts w:ascii="Book Antiqua" w:hAnsi="Book Antiqua" w:cs="Times New Roman"/>
          <w:bCs/>
          <w:sz w:val="24"/>
          <w:szCs w:val="24"/>
        </w:rPr>
        <w:t xml:space="preserve"> </w:t>
      </w:r>
      <w:proofErr w:type="spellStart"/>
      <w:r w:rsidR="007D67B8" w:rsidRPr="00FA5C8D">
        <w:rPr>
          <w:rFonts w:ascii="Book Antiqua" w:hAnsi="Book Antiqua" w:cs="Times New Roman"/>
          <w:bCs/>
          <w:sz w:val="24"/>
          <w:szCs w:val="24"/>
        </w:rPr>
        <w:t>aDGP</w:t>
      </w:r>
      <w:proofErr w:type="spellEnd"/>
      <w:r w:rsidR="007D67B8" w:rsidRPr="00FA5C8D">
        <w:rPr>
          <w:rFonts w:ascii="Book Antiqua" w:hAnsi="Book Antiqua" w:cs="Times New Roman"/>
          <w:bCs/>
          <w:sz w:val="24"/>
          <w:szCs w:val="24"/>
        </w:rPr>
        <w:t xml:space="preserve"> IgA was positive in </w:t>
      </w:r>
      <w:r w:rsidR="008568C1" w:rsidRPr="00FA5C8D">
        <w:rPr>
          <w:rFonts w:ascii="Book Antiqua" w:hAnsi="Book Antiqua" w:cs="Times New Roman"/>
          <w:bCs/>
          <w:sz w:val="24"/>
          <w:szCs w:val="24"/>
        </w:rPr>
        <w:t>13 cases</w:t>
      </w:r>
      <w:r w:rsidR="00564190" w:rsidRPr="00FA5C8D">
        <w:rPr>
          <w:rFonts w:ascii="Book Antiqua" w:hAnsi="Book Antiqua" w:cs="Times New Roman"/>
          <w:bCs/>
          <w:sz w:val="24"/>
          <w:szCs w:val="24"/>
        </w:rPr>
        <w:t>;</w:t>
      </w:r>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and </w:t>
      </w:r>
      <w:proofErr w:type="spellStart"/>
      <w:r w:rsidR="008568C1" w:rsidRPr="00FA5C8D">
        <w:rPr>
          <w:rFonts w:ascii="Book Antiqua" w:hAnsi="Book Antiqua" w:cs="Times New Roman"/>
          <w:bCs/>
          <w:sz w:val="24"/>
          <w:szCs w:val="24"/>
        </w:rPr>
        <w:t>aDGP</w:t>
      </w:r>
      <w:proofErr w:type="spellEnd"/>
      <w:r w:rsidR="00B9469F" w:rsidRPr="00FA5C8D">
        <w:rPr>
          <w:rFonts w:ascii="Book Antiqua" w:hAnsi="Book Antiqua" w:cs="Times New Roman"/>
          <w:bCs/>
          <w:sz w:val="24"/>
          <w:szCs w:val="24"/>
        </w:rPr>
        <w:t xml:space="preserve"> </w:t>
      </w:r>
      <w:proofErr w:type="spellStart"/>
      <w:r w:rsidR="007D67B8" w:rsidRPr="00FA5C8D">
        <w:rPr>
          <w:rFonts w:ascii="Book Antiqua" w:hAnsi="Book Antiqua" w:cs="Times New Roman"/>
          <w:bCs/>
          <w:sz w:val="24"/>
          <w:szCs w:val="24"/>
        </w:rPr>
        <w:t>IgG</w:t>
      </w:r>
      <w:proofErr w:type="spellEnd"/>
      <w:r w:rsidR="00B9469F" w:rsidRPr="00FA5C8D">
        <w:rPr>
          <w:rFonts w:ascii="Book Antiqua" w:hAnsi="Book Antiqua" w:cs="Times New Roman"/>
          <w:bCs/>
          <w:sz w:val="24"/>
          <w:szCs w:val="24"/>
        </w:rPr>
        <w:t xml:space="preserve"> </w:t>
      </w:r>
      <w:r w:rsidRPr="00FA5C8D">
        <w:rPr>
          <w:rFonts w:ascii="Book Antiqua" w:hAnsi="Book Antiqua" w:cs="Times New Roman"/>
          <w:bCs/>
          <w:sz w:val="24"/>
          <w:szCs w:val="24"/>
        </w:rPr>
        <w:t xml:space="preserve">was positive in </w:t>
      </w:r>
      <w:r w:rsidR="008568C1" w:rsidRPr="00FA5C8D">
        <w:rPr>
          <w:rFonts w:ascii="Book Antiqua" w:hAnsi="Book Antiqua" w:cs="Times New Roman"/>
          <w:bCs/>
          <w:sz w:val="24"/>
          <w:szCs w:val="24"/>
        </w:rPr>
        <w:t>1</w:t>
      </w:r>
      <w:r w:rsidR="00E54717" w:rsidRPr="00FA5C8D">
        <w:rPr>
          <w:rFonts w:ascii="Book Antiqua" w:hAnsi="Book Antiqua" w:cs="Times New Roman"/>
          <w:bCs/>
          <w:sz w:val="24"/>
          <w:szCs w:val="24"/>
        </w:rPr>
        <w:t>1</w:t>
      </w:r>
      <w:r w:rsidR="008568C1" w:rsidRPr="00FA5C8D">
        <w:rPr>
          <w:rFonts w:ascii="Book Antiqua" w:hAnsi="Book Antiqua" w:cs="Times New Roman"/>
          <w:bCs/>
          <w:sz w:val="24"/>
          <w:szCs w:val="24"/>
        </w:rPr>
        <w:t xml:space="preserve"> cases (14 cases in </w:t>
      </w:r>
      <w:r w:rsidR="00C20908" w:rsidRPr="00FA5C8D">
        <w:rPr>
          <w:rFonts w:ascii="Book Antiqua" w:hAnsi="Book Antiqua" w:cs="Times New Roman"/>
          <w:bCs/>
          <w:sz w:val="24"/>
          <w:szCs w:val="24"/>
        </w:rPr>
        <w:t>any aDGP</w:t>
      </w:r>
      <w:r w:rsidR="008568C1" w:rsidRPr="00FA5C8D">
        <w:rPr>
          <w:rFonts w:ascii="Book Antiqua" w:hAnsi="Book Antiqua" w:cs="Times New Roman"/>
          <w:bCs/>
          <w:sz w:val="24"/>
          <w:szCs w:val="24"/>
        </w:rPr>
        <w:t xml:space="preserve">). In </w:t>
      </w:r>
      <w:r w:rsidR="00262193" w:rsidRPr="00FA5C8D">
        <w:rPr>
          <w:rFonts w:ascii="Book Antiqua" w:hAnsi="Book Antiqua" w:cs="Times New Roman"/>
          <w:bCs/>
          <w:sz w:val="24"/>
          <w:szCs w:val="24"/>
        </w:rPr>
        <w:t xml:space="preserve">this study group, abdominal </w:t>
      </w:r>
      <w:r w:rsidR="009C6CFB" w:rsidRPr="00FA5C8D">
        <w:rPr>
          <w:rFonts w:ascii="Book Antiqua" w:hAnsi="Book Antiqua" w:cs="Times New Roman"/>
          <w:bCs/>
          <w:sz w:val="24"/>
          <w:szCs w:val="24"/>
        </w:rPr>
        <w:t>ultrasonography</w:t>
      </w:r>
      <w:r w:rsidR="00262193" w:rsidRPr="00FA5C8D">
        <w:rPr>
          <w:rFonts w:ascii="Book Antiqua" w:hAnsi="Book Antiqua" w:cs="Times New Roman"/>
          <w:bCs/>
          <w:sz w:val="24"/>
          <w:szCs w:val="24"/>
        </w:rPr>
        <w:t xml:space="preserve"> was available in 17 cases,</w:t>
      </w:r>
      <w:r w:rsidR="00564190" w:rsidRPr="00FA5C8D">
        <w:rPr>
          <w:rFonts w:ascii="Book Antiqua" w:hAnsi="Book Antiqua" w:cs="Times New Roman"/>
          <w:bCs/>
          <w:sz w:val="24"/>
          <w:szCs w:val="24"/>
        </w:rPr>
        <w:t xml:space="preserve"> and</w:t>
      </w:r>
      <w:r w:rsidR="00262193" w:rsidRPr="00FA5C8D">
        <w:rPr>
          <w:rFonts w:ascii="Book Antiqua" w:hAnsi="Book Antiqua" w:cs="Times New Roman"/>
          <w:bCs/>
          <w:sz w:val="24"/>
          <w:szCs w:val="24"/>
        </w:rPr>
        <w:t xml:space="preserve"> signs of active </w:t>
      </w:r>
      <w:r w:rsidR="004F6BD5" w:rsidRPr="00FA5C8D">
        <w:rPr>
          <w:rFonts w:ascii="Book Antiqua" w:hAnsi="Book Antiqua" w:cs="Times New Roman"/>
          <w:sz w:val="24"/>
          <w:szCs w:val="24"/>
        </w:rPr>
        <w:t>CD</w:t>
      </w:r>
      <w:r w:rsidR="00262193" w:rsidRPr="00FA5C8D">
        <w:rPr>
          <w:rFonts w:ascii="Book Antiqua" w:hAnsi="Book Antiqua" w:cs="Times New Roman"/>
          <w:bCs/>
          <w:sz w:val="24"/>
          <w:szCs w:val="24"/>
        </w:rPr>
        <w:t xml:space="preserve"> were found in 11 of the</w:t>
      </w:r>
      <w:r w:rsidR="00564190" w:rsidRPr="00FA5C8D">
        <w:rPr>
          <w:rFonts w:ascii="Book Antiqua" w:hAnsi="Book Antiqua" w:cs="Times New Roman"/>
          <w:bCs/>
          <w:sz w:val="24"/>
          <w:szCs w:val="24"/>
        </w:rPr>
        <w:t>se</w:t>
      </w:r>
      <w:r w:rsidR="00262193" w:rsidRPr="00FA5C8D">
        <w:rPr>
          <w:rFonts w:ascii="Book Antiqua" w:hAnsi="Book Antiqua" w:cs="Times New Roman"/>
          <w:bCs/>
          <w:sz w:val="24"/>
          <w:szCs w:val="24"/>
        </w:rPr>
        <w:t xml:space="preserve">. </w:t>
      </w:r>
      <w:r w:rsidR="00145167" w:rsidRPr="00FA5C8D">
        <w:rPr>
          <w:rFonts w:ascii="Book Antiqua" w:hAnsi="Book Antiqua" w:cs="Times New Roman"/>
          <w:bCs/>
          <w:sz w:val="24"/>
          <w:szCs w:val="24"/>
        </w:rPr>
        <w:t>Eight p</w:t>
      </w:r>
      <w:r w:rsidR="00957248" w:rsidRPr="00FA5C8D">
        <w:rPr>
          <w:rFonts w:ascii="Book Antiqua" w:hAnsi="Book Antiqua" w:cs="Times New Roman"/>
          <w:bCs/>
          <w:sz w:val="24"/>
          <w:szCs w:val="24"/>
        </w:rPr>
        <w:t xml:space="preserve">atients had </w:t>
      </w:r>
      <w:r w:rsidR="00A771CC" w:rsidRPr="00FA5C8D">
        <w:rPr>
          <w:rFonts w:ascii="Book Antiqua" w:hAnsi="Book Antiqua" w:cs="Times New Roman"/>
          <w:bCs/>
          <w:sz w:val="24"/>
          <w:szCs w:val="24"/>
        </w:rPr>
        <w:t>diarrhea</w:t>
      </w:r>
      <w:r w:rsidR="00957248" w:rsidRPr="00FA5C8D">
        <w:rPr>
          <w:rFonts w:ascii="Book Antiqua" w:hAnsi="Book Antiqua" w:cs="Times New Roman"/>
          <w:bCs/>
          <w:sz w:val="24"/>
          <w:szCs w:val="24"/>
        </w:rPr>
        <w:t xml:space="preserve">, </w:t>
      </w:r>
      <w:r w:rsidR="00B9469F" w:rsidRPr="00FA5C8D">
        <w:rPr>
          <w:rFonts w:ascii="Book Antiqua" w:hAnsi="Book Antiqua" w:cs="Times New Roman"/>
          <w:bCs/>
          <w:sz w:val="24"/>
          <w:szCs w:val="24"/>
        </w:rPr>
        <w:t>four had</w:t>
      </w:r>
      <w:r w:rsidR="00564190" w:rsidRPr="00FA5C8D">
        <w:rPr>
          <w:rFonts w:ascii="Book Antiqua" w:hAnsi="Book Antiqua" w:cs="Times New Roman"/>
          <w:bCs/>
          <w:sz w:val="24"/>
          <w:szCs w:val="24"/>
        </w:rPr>
        <w:t xml:space="preserve"> </w:t>
      </w:r>
      <w:r w:rsidR="00145167" w:rsidRPr="00FA5C8D">
        <w:rPr>
          <w:rFonts w:ascii="Book Antiqua" w:hAnsi="Book Antiqua" w:cs="Times New Roman"/>
          <w:bCs/>
          <w:sz w:val="24"/>
          <w:szCs w:val="24"/>
        </w:rPr>
        <w:t xml:space="preserve">weight loss, </w:t>
      </w:r>
      <w:r w:rsidR="004B15EC" w:rsidRPr="00FA5C8D">
        <w:rPr>
          <w:rFonts w:ascii="Book Antiqua" w:hAnsi="Book Antiqua" w:cs="Times New Roman"/>
          <w:bCs/>
          <w:sz w:val="24"/>
          <w:szCs w:val="24"/>
        </w:rPr>
        <w:t>three</w:t>
      </w:r>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had </w:t>
      </w:r>
      <w:r w:rsidR="00145167" w:rsidRPr="00FA5C8D">
        <w:rPr>
          <w:rFonts w:ascii="Book Antiqua" w:hAnsi="Book Antiqua" w:cs="Times New Roman"/>
          <w:bCs/>
          <w:sz w:val="24"/>
          <w:szCs w:val="24"/>
        </w:rPr>
        <w:t xml:space="preserve">abdominal pain, </w:t>
      </w:r>
      <w:r w:rsidR="004B15EC" w:rsidRPr="00FA5C8D">
        <w:rPr>
          <w:rFonts w:ascii="Book Antiqua" w:hAnsi="Book Antiqua" w:cs="Times New Roman"/>
          <w:bCs/>
          <w:sz w:val="24"/>
          <w:szCs w:val="24"/>
        </w:rPr>
        <w:t>on</w:t>
      </w:r>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had </w:t>
      </w:r>
      <w:r w:rsidR="00957248" w:rsidRPr="00FA5C8D">
        <w:rPr>
          <w:rFonts w:ascii="Book Antiqua" w:hAnsi="Book Antiqua" w:cs="Times New Roman"/>
          <w:bCs/>
          <w:sz w:val="24"/>
          <w:szCs w:val="24"/>
        </w:rPr>
        <w:t>anemia,</w:t>
      </w:r>
      <w:r w:rsidR="00B9469F" w:rsidRPr="00FA5C8D">
        <w:rPr>
          <w:rFonts w:ascii="Book Antiqua" w:hAnsi="Book Antiqua" w:cs="Times New Roman"/>
          <w:bCs/>
          <w:sz w:val="24"/>
          <w:szCs w:val="24"/>
        </w:rPr>
        <w:t xml:space="preserve"> </w:t>
      </w:r>
      <w:r w:rsidR="004B15EC" w:rsidRPr="00FA5C8D">
        <w:rPr>
          <w:rFonts w:ascii="Book Antiqua" w:hAnsi="Book Antiqua" w:cs="Times New Roman"/>
          <w:bCs/>
          <w:sz w:val="24"/>
          <w:szCs w:val="24"/>
        </w:rPr>
        <w:t xml:space="preserve">four </w:t>
      </w:r>
      <w:r w:rsidR="00564190" w:rsidRPr="00FA5C8D">
        <w:rPr>
          <w:rFonts w:ascii="Book Antiqua" w:hAnsi="Book Antiqua" w:cs="Times New Roman"/>
          <w:bCs/>
          <w:sz w:val="24"/>
          <w:szCs w:val="24"/>
        </w:rPr>
        <w:t xml:space="preserve">had </w:t>
      </w:r>
      <w:proofErr w:type="spellStart"/>
      <w:r w:rsidR="00145167" w:rsidRPr="00FA5C8D">
        <w:rPr>
          <w:rFonts w:ascii="Book Antiqua" w:hAnsi="Book Antiqua" w:cs="Times New Roman"/>
          <w:bCs/>
          <w:sz w:val="24"/>
          <w:szCs w:val="24"/>
        </w:rPr>
        <w:t>sideropenia</w:t>
      </w:r>
      <w:proofErr w:type="spellEnd"/>
      <w:r w:rsidR="00145167"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and </w:t>
      </w:r>
      <w:r w:rsidR="004B15EC" w:rsidRPr="00FA5C8D">
        <w:rPr>
          <w:rFonts w:ascii="Book Antiqua" w:hAnsi="Book Antiqua" w:cs="Times New Roman"/>
          <w:bCs/>
          <w:sz w:val="24"/>
          <w:szCs w:val="24"/>
        </w:rPr>
        <w:t>eight</w:t>
      </w:r>
      <w:r w:rsidR="00B9469F" w:rsidRPr="00FA5C8D">
        <w:rPr>
          <w:rFonts w:ascii="Book Antiqua" w:hAnsi="Book Antiqua" w:cs="Times New Roman"/>
          <w:bCs/>
          <w:sz w:val="24"/>
          <w:szCs w:val="24"/>
        </w:rPr>
        <w:t xml:space="preserve"> </w:t>
      </w:r>
      <w:r w:rsidR="00564190" w:rsidRPr="00FA5C8D">
        <w:rPr>
          <w:rFonts w:ascii="Book Antiqua" w:hAnsi="Book Antiqua" w:cs="Times New Roman"/>
          <w:bCs/>
          <w:sz w:val="24"/>
          <w:szCs w:val="24"/>
        </w:rPr>
        <w:t xml:space="preserve">had </w:t>
      </w:r>
      <w:r w:rsidR="00145167" w:rsidRPr="00FA5C8D">
        <w:rPr>
          <w:rFonts w:ascii="Book Antiqua" w:hAnsi="Book Antiqua" w:cs="Times New Roman"/>
          <w:bCs/>
          <w:sz w:val="24"/>
          <w:szCs w:val="24"/>
        </w:rPr>
        <w:t xml:space="preserve">vitamin D </w:t>
      </w:r>
      <w:r w:rsidR="00E21599" w:rsidRPr="00FA5C8D">
        <w:rPr>
          <w:rFonts w:ascii="Book Antiqua" w:hAnsi="Book Antiqua" w:cs="Times New Roman"/>
          <w:bCs/>
          <w:sz w:val="24"/>
          <w:szCs w:val="24"/>
        </w:rPr>
        <w:t>deficiency (</w:t>
      </w:r>
      <w:r w:rsidR="003B5F71" w:rsidRPr="00FA5C8D">
        <w:rPr>
          <w:rFonts w:ascii="Book Antiqua" w:hAnsi="Book Antiqua" w:cs="Times New Roman"/>
          <w:bCs/>
          <w:sz w:val="24"/>
          <w:szCs w:val="24"/>
        </w:rPr>
        <w:t>T</w:t>
      </w:r>
      <w:r w:rsidR="00E21599" w:rsidRPr="00FA5C8D">
        <w:rPr>
          <w:rFonts w:ascii="Book Antiqua" w:hAnsi="Book Antiqua" w:cs="Times New Roman"/>
          <w:bCs/>
          <w:sz w:val="24"/>
          <w:szCs w:val="24"/>
        </w:rPr>
        <w:t xml:space="preserve">able </w:t>
      </w:r>
      <w:r w:rsidR="006E6969" w:rsidRPr="00FA5C8D">
        <w:rPr>
          <w:rFonts w:ascii="Book Antiqua" w:hAnsi="Book Antiqua" w:cs="Times New Roman"/>
          <w:bCs/>
          <w:sz w:val="24"/>
          <w:szCs w:val="24"/>
        </w:rPr>
        <w:t>3</w:t>
      </w:r>
      <w:r w:rsidR="00E21599" w:rsidRPr="00FA5C8D">
        <w:rPr>
          <w:rFonts w:ascii="Book Antiqua" w:hAnsi="Book Antiqua" w:cs="Times New Roman"/>
          <w:bCs/>
          <w:sz w:val="24"/>
          <w:szCs w:val="24"/>
        </w:rPr>
        <w:t>)</w:t>
      </w:r>
      <w:r w:rsidR="00145167" w:rsidRPr="00FA5C8D">
        <w:rPr>
          <w:rFonts w:ascii="Book Antiqua" w:hAnsi="Book Antiqua" w:cs="Times New Roman"/>
          <w:bCs/>
          <w:sz w:val="24"/>
          <w:szCs w:val="24"/>
        </w:rPr>
        <w:t>.</w:t>
      </w:r>
      <w:r w:rsidR="00B9469F" w:rsidRPr="00FA5C8D">
        <w:rPr>
          <w:rFonts w:ascii="Book Antiqua" w:hAnsi="Book Antiqua" w:cs="Times New Roman"/>
          <w:bCs/>
          <w:sz w:val="24"/>
          <w:szCs w:val="24"/>
        </w:rPr>
        <w:t xml:space="preserve"> </w:t>
      </w:r>
      <w:r w:rsidR="00E25DA3" w:rsidRPr="00FA5C8D">
        <w:rPr>
          <w:rFonts w:ascii="Book Antiqua" w:hAnsi="Book Antiqua" w:cs="Times New Roman"/>
          <w:bCs/>
          <w:sz w:val="24"/>
          <w:szCs w:val="24"/>
        </w:rPr>
        <w:t xml:space="preserve">Only </w:t>
      </w:r>
      <w:r w:rsidR="00195507" w:rsidRPr="00FA5C8D">
        <w:rPr>
          <w:rFonts w:ascii="Book Antiqua" w:hAnsi="Book Antiqua" w:cs="Times New Roman"/>
          <w:bCs/>
          <w:sz w:val="24"/>
          <w:szCs w:val="24"/>
        </w:rPr>
        <w:t>diarrhea</w:t>
      </w:r>
      <w:r w:rsidR="00E25DA3" w:rsidRPr="00FA5C8D">
        <w:rPr>
          <w:rFonts w:ascii="Book Antiqua" w:hAnsi="Book Antiqua" w:cs="Times New Roman"/>
          <w:bCs/>
          <w:sz w:val="24"/>
          <w:szCs w:val="24"/>
        </w:rPr>
        <w:t xml:space="preserve"> and vitamin D </w:t>
      </w:r>
      <w:r w:rsidR="00195507" w:rsidRPr="00FA5C8D">
        <w:rPr>
          <w:rFonts w:ascii="Book Antiqua" w:hAnsi="Book Antiqua" w:cs="Times New Roman"/>
          <w:bCs/>
          <w:sz w:val="24"/>
          <w:szCs w:val="24"/>
        </w:rPr>
        <w:t>deficiency</w:t>
      </w:r>
      <w:r w:rsidR="00E25DA3" w:rsidRPr="00FA5C8D">
        <w:rPr>
          <w:rFonts w:ascii="Book Antiqua" w:hAnsi="Book Antiqua" w:cs="Times New Roman"/>
          <w:bCs/>
          <w:sz w:val="24"/>
          <w:szCs w:val="24"/>
        </w:rPr>
        <w:t xml:space="preserve"> were </w:t>
      </w:r>
      <w:r w:rsidR="004E2F95" w:rsidRPr="00FA5C8D">
        <w:rPr>
          <w:rFonts w:ascii="Book Antiqua" w:hAnsi="Book Antiqua" w:cs="Times New Roman"/>
          <w:bCs/>
          <w:sz w:val="24"/>
          <w:szCs w:val="24"/>
        </w:rPr>
        <w:t xml:space="preserve">significantly </w:t>
      </w:r>
      <w:r w:rsidR="00E25DA3" w:rsidRPr="00FA5C8D">
        <w:rPr>
          <w:rFonts w:ascii="Book Antiqua" w:hAnsi="Book Antiqua" w:cs="Times New Roman"/>
          <w:bCs/>
          <w:sz w:val="24"/>
          <w:szCs w:val="24"/>
        </w:rPr>
        <w:t xml:space="preserve">more common in patients with persistent VA than </w:t>
      </w:r>
      <w:r w:rsidR="00195507" w:rsidRPr="00FA5C8D">
        <w:rPr>
          <w:rFonts w:ascii="Book Antiqua" w:hAnsi="Book Antiqua" w:cs="Times New Roman"/>
          <w:bCs/>
          <w:sz w:val="24"/>
          <w:szCs w:val="24"/>
        </w:rPr>
        <w:t xml:space="preserve">in patients with mucosal recovery. </w:t>
      </w:r>
    </w:p>
    <w:p w14:paraId="0C812B74" w14:textId="77777777" w:rsidR="00FD0BEA" w:rsidRPr="00FA5C8D" w:rsidRDefault="008D4D2E" w:rsidP="00FA5C8D">
      <w:pPr>
        <w:snapToGrid w:val="0"/>
        <w:spacing w:after="0" w:line="360" w:lineRule="auto"/>
        <w:ind w:firstLineChars="100" w:firstLine="240"/>
        <w:jc w:val="both"/>
        <w:rPr>
          <w:rFonts w:ascii="Book Antiqua" w:hAnsi="Book Antiqua" w:cs="Times New Roman"/>
          <w:sz w:val="24"/>
          <w:szCs w:val="24"/>
        </w:rPr>
      </w:pPr>
      <w:r w:rsidRPr="00FA5C8D">
        <w:rPr>
          <w:rFonts w:ascii="Book Antiqua" w:hAnsi="Book Antiqua" w:cs="Times New Roman"/>
          <w:sz w:val="24"/>
          <w:szCs w:val="24"/>
        </w:rPr>
        <w:lastRenderedPageBreak/>
        <w:t xml:space="preserve">The sensitivity, specificity, </w:t>
      </w:r>
      <w:r w:rsidR="0059211E" w:rsidRPr="00FA5C8D">
        <w:rPr>
          <w:rFonts w:ascii="Book Antiqua" w:hAnsi="Book Antiqua" w:cs="Times New Roman"/>
          <w:sz w:val="24"/>
          <w:szCs w:val="24"/>
        </w:rPr>
        <w:t xml:space="preserve">and </w:t>
      </w:r>
      <w:r w:rsidRPr="00FA5C8D">
        <w:rPr>
          <w:rFonts w:ascii="Book Antiqua" w:hAnsi="Book Antiqua" w:cs="Times New Roman"/>
          <w:sz w:val="24"/>
          <w:szCs w:val="24"/>
        </w:rPr>
        <w:t xml:space="preserve">positive and negative predictive value of aTTG IgA positivity for prediction of </w:t>
      </w:r>
      <w:r w:rsidR="00C02D04" w:rsidRPr="00FA5C8D">
        <w:rPr>
          <w:rFonts w:ascii="Book Antiqua" w:hAnsi="Book Antiqua" w:cs="Times New Roman"/>
          <w:sz w:val="24"/>
          <w:szCs w:val="24"/>
        </w:rPr>
        <w:t>VA</w:t>
      </w:r>
      <w:r w:rsidR="00B9469F" w:rsidRPr="00FA5C8D">
        <w:rPr>
          <w:rFonts w:ascii="Book Antiqua" w:hAnsi="Book Antiqua" w:cs="Times New Roman"/>
          <w:sz w:val="24"/>
          <w:szCs w:val="24"/>
        </w:rPr>
        <w:t xml:space="preserve"> </w:t>
      </w:r>
      <w:r w:rsidR="00564190" w:rsidRPr="00FA5C8D">
        <w:rPr>
          <w:rFonts w:ascii="Book Antiqua" w:hAnsi="Book Antiqua" w:cs="Times New Roman"/>
          <w:sz w:val="24"/>
          <w:szCs w:val="24"/>
        </w:rPr>
        <w:t>were</w:t>
      </w:r>
      <w:r w:rsidR="0047007F" w:rsidRPr="00FA5C8D">
        <w:rPr>
          <w:rFonts w:ascii="Book Antiqua" w:hAnsi="Book Antiqua" w:cs="Times New Roman"/>
          <w:sz w:val="24"/>
          <w:szCs w:val="24"/>
        </w:rPr>
        <w:t xml:space="preserve"> </w:t>
      </w:r>
      <w:r w:rsidRPr="00FA5C8D">
        <w:rPr>
          <w:rFonts w:ascii="Book Antiqua" w:hAnsi="Book Antiqua" w:cs="Times New Roman"/>
          <w:sz w:val="24"/>
          <w:szCs w:val="24"/>
        </w:rPr>
        <w:t>50%, 96.8%, 81.8%</w:t>
      </w:r>
      <w:r w:rsidR="001149F4" w:rsidRPr="00FA5C8D">
        <w:rPr>
          <w:rFonts w:ascii="Book Antiqua" w:hAnsi="Book Antiqua" w:cs="Times New Roman"/>
          <w:sz w:val="24"/>
          <w:szCs w:val="24"/>
        </w:rPr>
        <w:t>,</w:t>
      </w:r>
      <w:r w:rsidRPr="00FA5C8D">
        <w:rPr>
          <w:rFonts w:ascii="Book Antiqua" w:hAnsi="Book Antiqua" w:cs="Times New Roman"/>
          <w:sz w:val="24"/>
          <w:szCs w:val="24"/>
        </w:rPr>
        <w:t xml:space="preserve"> and 87.1%</w:t>
      </w:r>
      <w:r w:rsidR="00564190" w:rsidRPr="00FA5C8D">
        <w:rPr>
          <w:rFonts w:ascii="Book Antiqua" w:hAnsi="Book Antiqua" w:cs="Times New Roman"/>
          <w:sz w:val="24"/>
          <w:szCs w:val="24"/>
        </w:rPr>
        <w:t>,</w:t>
      </w:r>
      <w:r w:rsidRPr="00FA5C8D">
        <w:rPr>
          <w:rFonts w:ascii="Book Antiqua" w:hAnsi="Book Antiqua" w:cs="Times New Roman"/>
          <w:sz w:val="24"/>
          <w:szCs w:val="24"/>
        </w:rPr>
        <w:t xml:space="preserve"> respectively. </w:t>
      </w:r>
      <w:r w:rsidR="00864AE6" w:rsidRPr="00FA5C8D">
        <w:rPr>
          <w:rFonts w:ascii="Book Antiqua" w:hAnsi="Book Antiqua" w:cs="Times New Roman"/>
          <w:sz w:val="24"/>
          <w:szCs w:val="24"/>
        </w:rPr>
        <w:t>The sensitivity, specificity</w:t>
      </w:r>
      <w:r w:rsidR="008952F3" w:rsidRPr="00FA5C8D">
        <w:rPr>
          <w:rFonts w:ascii="Book Antiqua" w:hAnsi="Book Antiqua" w:cs="Times New Roman"/>
          <w:sz w:val="24"/>
          <w:szCs w:val="24"/>
        </w:rPr>
        <w:t xml:space="preserve">, </w:t>
      </w:r>
      <w:r w:rsidR="00FC49AD" w:rsidRPr="00FA5C8D">
        <w:rPr>
          <w:rFonts w:ascii="Book Antiqua" w:hAnsi="Book Antiqua" w:cs="Times New Roman"/>
          <w:sz w:val="24"/>
          <w:szCs w:val="24"/>
        </w:rPr>
        <w:t xml:space="preserve">and </w:t>
      </w:r>
      <w:r w:rsidR="00864AE6" w:rsidRPr="00FA5C8D">
        <w:rPr>
          <w:rFonts w:ascii="Book Antiqua" w:hAnsi="Book Antiqua" w:cs="Times New Roman"/>
          <w:sz w:val="24"/>
          <w:szCs w:val="24"/>
        </w:rPr>
        <w:t xml:space="preserve">positive </w:t>
      </w:r>
      <w:r w:rsidR="008952F3" w:rsidRPr="00FA5C8D">
        <w:rPr>
          <w:rFonts w:ascii="Book Antiqua" w:hAnsi="Book Antiqua" w:cs="Times New Roman"/>
          <w:sz w:val="24"/>
          <w:szCs w:val="24"/>
        </w:rPr>
        <w:t xml:space="preserve">and negative </w:t>
      </w:r>
      <w:r w:rsidR="00864AE6" w:rsidRPr="00FA5C8D">
        <w:rPr>
          <w:rFonts w:ascii="Book Antiqua" w:hAnsi="Book Antiqua" w:cs="Times New Roman"/>
          <w:sz w:val="24"/>
          <w:szCs w:val="24"/>
        </w:rPr>
        <w:t>predictive value of aDGP</w:t>
      </w:r>
      <w:r w:rsidRPr="00FA5C8D">
        <w:rPr>
          <w:rFonts w:ascii="Book Antiqua" w:hAnsi="Book Antiqua" w:cs="Times New Roman"/>
          <w:sz w:val="24"/>
          <w:szCs w:val="24"/>
        </w:rPr>
        <w:t xml:space="preserve"> IgA</w:t>
      </w:r>
      <w:r w:rsidR="009C340B" w:rsidRPr="00FA5C8D">
        <w:rPr>
          <w:rFonts w:ascii="Book Antiqua" w:hAnsi="Book Antiqua" w:cs="Times New Roman"/>
          <w:sz w:val="24"/>
          <w:szCs w:val="24"/>
        </w:rPr>
        <w:t xml:space="preserve"> positivity</w:t>
      </w:r>
      <w:r w:rsidR="00864AE6" w:rsidRPr="00FA5C8D">
        <w:rPr>
          <w:rFonts w:ascii="Book Antiqua" w:hAnsi="Book Antiqua" w:cs="Times New Roman"/>
          <w:sz w:val="24"/>
          <w:szCs w:val="24"/>
        </w:rPr>
        <w:t xml:space="preserve"> for </w:t>
      </w:r>
      <w:r w:rsidR="00FA1A89" w:rsidRPr="00FA5C8D">
        <w:rPr>
          <w:rFonts w:ascii="Book Antiqua" w:hAnsi="Book Antiqua" w:cs="Times New Roman"/>
          <w:sz w:val="24"/>
          <w:szCs w:val="24"/>
        </w:rPr>
        <w:t xml:space="preserve">prediction of </w:t>
      </w:r>
      <w:r w:rsidR="00F355F4" w:rsidRPr="00FA5C8D">
        <w:rPr>
          <w:rFonts w:ascii="Book Antiqua" w:hAnsi="Book Antiqua" w:cs="Times New Roman"/>
          <w:sz w:val="24"/>
          <w:szCs w:val="24"/>
        </w:rPr>
        <w:t>VA</w:t>
      </w:r>
      <w:r w:rsidR="00B9469F" w:rsidRPr="00FA5C8D">
        <w:rPr>
          <w:rFonts w:ascii="Book Antiqua" w:hAnsi="Book Antiqua" w:cs="Times New Roman"/>
          <w:sz w:val="24"/>
          <w:szCs w:val="24"/>
        </w:rPr>
        <w:t xml:space="preserve"> </w:t>
      </w:r>
      <w:r w:rsidR="00564190" w:rsidRPr="00FA5C8D">
        <w:rPr>
          <w:rFonts w:ascii="Book Antiqua" w:hAnsi="Book Antiqua" w:cs="Times New Roman"/>
          <w:sz w:val="24"/>
          <w:szCs w:val="24"/>
        </w:rPr>
        <w:t>were</w:t>
      </w:r>
      <w:r w:rsidR="00B9469F" w:rsidRPr="00FA5C8D">
        <w:rPr>
          <w:rFonts w:ascii="Book Antiqua" w:hAnsi="Book Antiqua" w:cs="Times New Roman"/>
          <w:sz w:val="24"/>
          <w:szCs w:val="24"/>
        </w:rPr>
        <w:t xml:space="preserve"> </w:t>
      </w:r>
      <w:r w:rsidRPr="00FA5C8D">
        <w:rPr>
          <w:rFonts w:ascii="Book Antiqua" w:hAnsi="Book Antiqua" w:cs="Times New Roman"/>
          <w:sz w:val="24"/>
          <w:szCs w:val="24"/>
        </w:rPr>
        <w:t>72.2</w:t>
      </w:r>
      <w:r w:rsidR="00864AE6" w:rsidRPr="00FA5C8D">
        <w:rPr>
          <w:rFonts w:ascii="Book Antiqua" w:hAnsi="Book Antiqua" w:cs="Times New Roman"/>
          <w:sz w:val="24"/>
          <w:szCs w:val="24"/>
        </w:rPr>
        <w:t xml:space="preserve">%, </w:t>
      </w:r>
      <w:r w:rsidRPr="00FA5C8D">
        <w:rPr>
          <w:rFonts w:ascii="Book Antiqua" w:hAnsi="Book Antiqua" w:cs="Times New Roman"/>
          <w:sz w:val="24"/>
          <w:szCs w:val="24"/>
        </w:rPr>
        <w:t>81.7</w:t>
      </w:r>
      <w:r w:rsidR="00864AE6" w:rsidRPr="00FA5C8D">
        <w:rPr>
          <w:rFonts w:ascii="Book Antiqua" w:hAnsi="Book Antiqua" w:cs="Times New Roman"/>
          <w:sz w:val="24"/>
          <w:szCs w:val="24"/>
        </w:rPr>
        <w:t>%</w:t>
      </w:r>
      <w:r w:rsidR="00C70803" w:rsidRPr="00FA5C8D">
        <w:rPr>
          <w:rFonts w:ascii="Book Antiqua" w:hAnsi="Book Antiqua" w:cs="Times New Roman"/>
          <w:sz w:val="24"/>
          <w:szCs w:val="24"/>
        </w:rPr>
        <w:t xml:space="preserve">, </w:t>
      </w:r>
      <w:r w:rsidRPr="00FA5C8D">
        <w:rPr>
          <w:rFonts w:ascii="Book Antiqua" w:hAnsi="Book Antiqua" w:cs="Times New Roman"/>
          <w:sz w:val="24"/>
          <w:szCs w:val="24"/>
        </w:rPr>
        <w:t>54.2</w:t>
      </w:r>
      <w:r w:rsidR="00C70803" w:rsidRPr="00FA5C8D">
        <w:rPr>
          <w:rFonts w:ascii="Book Antiqua" w:hAnsi="Book Antiqua" w:cs="Times New Roman"/>
          <w:sz w:val="24"/>
          <w:szCs w:val="24"/>
        </w:rPr>
        <w:t>%</w:t>
      </w:r>
      <w:r w:rsidR="00634BAF" w:rsidRPr="00FA5C8D">
        <w:rPr>
          <w:rFonts w:ascii="Book Antiqua" w:hAnsi="Book Antiqua" w:cs="Times New Roman"/>
          <w:sz w:val="24"/>
          <w:szCs w:val="24"/>
        </w:rPr>
        <w:t>,</w:t>
      </w:r>
      <w:r w:rsidR="00864AE6" w:rsidRPr="00FA5C8D">
        <w:rPr>
          <w:rFonts w:ascii="Book Antiqua" w:hAnsi="Book Antiqua" w:cs="Times New Roman"/>
          <w:sz w:val="24"/>
          <w:szCs w:val="24"/>
        </w:rPr>
        <w:t xml:space="preserve"> and </w:t>
      </w:r>
      <w:r w:rsidRPr="00FA5C8D">
        <w:rPr>
          <w:rFonts w:ascii="Book Antiqua" w:hAnsi="Book Antiqua" w:cs="Times New Roman"/>
          <w:sz w:val="24"/>
          <w:szCs w:val="24"/>
        </w:rPr>
        <w:t>90.7</w:t>
      </w:r>
      <w:r w:rsidR="00864AE6" w:rsidRPr="00FA5C8D">
        <w:rPr>
          <w:rFonts w:ascii="Book Antiqua" w:hAnsi="Book Antiqua" w:cs="Times New Roman"/>
          <w:sz w:val="24"/>
          <w:szCs w:val="24"/>
        </w:rPr>
        <w:t>%</w:t>
      </w:r>
      <w:r w:rsidR="00564190" w:rsidRPr="00FA5C8D">
        <w:rPr>
          <w:rFonts w:ascii="Book Antiqua" w:hAnsi="Book Antiqua" w:cs="Times New Roman"/>
          <w:sz w:val="24"/>
          <w:szCs w:val="24"/>
        </w:rPr>
        <w:t>,</w:t>
      </w:r>
      <w:r w:rsidR="00864AE6" w:rsidRPr="00FA5C8D">
        <w:rPr>
          <w:rFonts w:ascii="Book Antiqua" w:hAnsi="Book Antiqua" w:cs="Times New Roman"/>
          <w:sz w:val="24"/>
          <w:szCs w:val="24"/>
        </w:rPr>
        <w:t xml:space="preserve"> respectively</w:t>
      </w:r>
      <w:r w:rsidR="00B9469F" w:rsidRPr="00FA5C8D">
        <w:rPr>
          <w:rFonts w:ascii="Book Antiqua" w:hAnsi="Book Antiqua" w:cs="Times New Roman"/>
          <w:sz w:val="24"/>
          <w:szCs w:val="24"/>
        </w:rPr>
        <w:t xml:space="preserve"> </w:t>
      </w:r>
      <w:r w:rsidR="009C340B" w:rsidRPr="00FA5C8D">
        <w:rPr>
          <w:rFonts w:ascii="Book Antiqua" w:hAnsi="Book Antiqua" w:cs="Times New Roman"/>
          <w:sz w:val="24"/>
          <w:szCs w:val="24"/>
        </w:rPr>
        <w:t>(</w:t>
      </w:r>
      <w:r w:rsidR="009F4940" w:rsidRPr="00FA5C8D">
        <w:rPr>
          <w:rFonts w:ascii="Book Antiqua" w:hAnsi="Book Antiqua" w:cs="Times New Roman"/>
          <w:sz w:val="24"/>
          <w:szCs w:val="24"/>
        </w:rPr>
        <w:t>T</w:t>
      </w:r>
      <w:r w:rsidR="008B4F69" w:rsidRPr="00FA5C8D">
        <w:rPr>
          <w:rFonts w:ascii="Book Antiqua" w:hAnsi="Book Antiqua" w:cs="Times New Roman"/>
          <w:sz w:val="24"/>
          <w:szCs w:val="24"/>
        </w:rPr>
        <w:t>abl</w:t>
      </w:r>
      <w:r w:rsidR="0066470E" w:rsidRPr="00FA5C8D">
        <w:rPr>
          <w:rFonts w:ascii="Book Antiqua" w:hAnsi="Book Antiqua" w:cs="Times New Roman"/>
          <w:sz w:val="24"/>
          <w:szCs w:val="24"/>
        </w:rPr>
        <w:t>e</w:t>
      </w:r>
      <w:r w:rsidR="00B9469F" w:rsidRPr="00FA5C8D">
        <w:rPr>
          <w:rFonts w:ascii="Book Antiqua" w:hAnsi="Book Antiqua" w:cs="Times New Roman"/>
          <w:sz w:val="24"/>
          <w:szCs w:val="24"/>
        </w:rPr>
        <w:t xml:space="preserve"> </w:t>
      </w:r>
      <w:r w:rsidR="006E6969" w:rsidRPr="00FA5C8D">
        <w:rPr>
          <w:rFonts w:ascii="Book Antiqua" w:hAnsi="Book Antiqua" w:cs="Times New Roman"/>
          <w:sz w:val="24"/>
          <w:szCs w:val="24"/>
        </w:rPr>
        <w:t>4</w:t>
      </w:r>
      <w:r w:rsidR="0066470E" w:rsidRPr="00FA5C8D">
        <w:rPr>
          <w:rFonts w:ascii="Book Antiqua" w:hAnsi="Book Antiqua" w:cs="Times New Roman"/>
          <w:sz w:val="24"/>
          <w:szCs w:val="24"/>
        </w:rPr>
        <w:t>)</w:t>
      </w:r>
      <w:r w:rsidR="007E2EC6" w:rsidRPr="00FA5C8D">
        <w:rPr>
          <w:rFonts w:ascii="Book Antiqua" w:hAnsi="Book Antiqua" w:cs="Times New Roman"/>
          <w:sz w:val="24"/>
          <w:szCs w:val="24"/>
        </w:rPr>
        <w:t xml:space="preserve">. In analysis of antibody </w:t>
      </w:r>
      <w:r w:rsidR="00BA098E" w:rsidRPr="00FA5C8D">
        <w:rPr>
          <w:rFonts w:ascii="Book Antiqua" w:hAnsi="Book Antiqua" w:cs="Times New Roman"/>
          <w:sz w:val="24"/>
          <w:szCs w:val="24"/>
        </w:rPr>
        <w:t>titers,</w:t>
      </w:r>
      <w:r w:rsidR="007E2EC6" w:rsidRPr="00FA5C8D">
        <w:rPr>
          <w:rFonts w:ascii="Book Antiqua" w:hAnsi="Book Antiqua" w:cs="Times New Roman"/>
          <w:sz w:val="24"/>
          <w:szCs w:val="24"/>
        </w:rPr>
        <w:t xml:space="preserve"> we calculated </w:t>
      </w:r>
      <w:r w:rsidR="00944A51" w:rsidRPr="00FA5C8D">
        <w:rPr>
          <w:rFonts w:ascii="Book Antiqua" w:hAnsi="Book Antiqua" w:cs="Times New Roman"/>
          <w:sz w:val="24"/>
          <w:szCs w:val="24"/>
        </w:rPr>
        <w:t xml:space="preserve">the </w:t>
      </w:r>
      <w:r w:rsidR="00840655" w:rsidRPr="00FA5C8D">
        <w:rPr>
          <w:rFonts w:ascii="Book Antiqua" w:hAnsi="Book Antiqua" w:cs="Times New Roman"/>
          <w:sz w:val="24"/>
          <w:szCs w:val="24"/>
        </w:rPr>
        <w:t>cutoff values</w:t>
      </w:r>
      <w:r w:rsidR="007E2EC6" w:rsidRPr="00FA5C8D">
        <w:rPr>
          <w:rFonts w:ascii="Book Antiqua" w:hAnsi="Book Antiqua" w:cs="Times New Roman"/>
          <w:sz w:val="24"/>
          <w:szCs w:val="24"/>
        </w:rPr>
        <w:t xml:space="preserve"> with highest total sensitivity and </w:t>
      </w:r>
      <w:r w:rsidRPr="00FA5C8D">
        <w:rPr>
          <w:rFonts w:ascii="Book Antiqua" w:hAnsi="Book Antiqua" w:cs="Times New Roman"/>
          <w:sz w:val="24"/>
          <w:szCs w:val="24"/>
        </w:rPr>
        <w:t>specificity</w:t>
      </w:r>
      <w:r w:rsidR="007E2EC6" w:rsidRPr="00FA5C8D">
        <w:rPr>
          <w:rFonts w:ascii="Book Antiqua" w:hAnsi="Book Antiqua" w:cs="Times New Roman"/>
          <w:sz w:val="24"/>
          <w:szCs w:val="24"/>
        </w:rPr>
        <w:t>.</w:t>
      </w:r>
      <w:r w:rsidR="0047007F" w:rsidRPr="00FA5C8D">
        <w:rPr>
          <w:rFonts w:ascii="Book Antiqua" w:hAnsi="Book Antiqua" w:cs="Times New Roman"/>
          <w:sz w:val="24"/>
          <w:szCs w:val="24"/>
        </w:rPr>
        <w:t xml:space="preserve"> </w:t>
      </w:r>
      <w:r w:rsidR="00947FE3" w:rsidRPr="00FA5C8D">
        <w:rPr>
          <w:rFonts w:ascii="Book Antiqua" w:hAnsi="Book Antiqua" w:cs="Times New Roman"/>
          <w:sz w:val="24"/>
          <w:szCs w:val="24"/>
        </w:rPr>
        <w:t>The c</w:t>
      </w:r>
      <w:r w:rsidR="009B1E12" w:rsidRPr="00FA5C8D">
        <w:rPr>
          <w:rFonts w:ascii="Book Antiqua" w:hAnsi="Book Antiqua" w:cs="Times New Roman"/>
          <w:sz w:val="24"/>
          <w:szCs w:val="24"/>
        </w:rPr>
        <w:t>alculated cutoff values were 13</w:t>
      </w:r>
      <w:r w:rsidR="006203F0" w:rsidRPr="00FA5C8D">
        <w:rPr>
          <w:rFonts w:ascii="Book Antiqua" w:hAnsi="Book Antiqua" w:cs="Times New Roman"/>
          <w:sz w:val="24"/>
          <w:szCs w:val="24"/>
        </w:rPr>
        <w:t>.</w:t>
      </w:r>
      <w:r w:rsidR="009B1E12" w:rsidRPr="00FA5C8D">
        <w:rPr>
          <w:rFonts w:ascii="Book Antiqua" w:hAnsi="Book Antiqua" w:cs="Times New Roman"/>
          <w:sz w:val="24"/>
          <w:szCs w:val="24"/>
        </w:rPr>
        <w:t>4</w:t>
      </w:r>
      <w:r w:rsidR="00360EDB" w:rsidRPr="00FA5C8D">
        <w:rPr>
          <w:rFonts w:ascii="Book Antiqua" w:hAnsi="Book Antiqua" w:cs="Times New Roman"/>
          <w:sz w:val="24"/>
          <w:szCs w:val="24"/>
        </w:rPr>
        <w:t xml:space="preserve"> </w:t>
      </w:r>
      <w:r w:rsidR="00E06DA3" w:rsidRPr="00FA5C8D">
        <w:rPr>
          <w:rFonts w:ascii="Book Antiqua" w:hAnsi="Book Antiqua" w:cs="Times New Roman"/>
          <w:sz w:val="24"/>
          <w:szCs w:val="24"/>
        </w:rPr>
        <w:t>U/mL</w:t>
      </w:r>
      <w:r w:rsidR="009B1E12" w:rsidRPr="00FA5C8D">
        <w:rPr>
          <w:rFonts w:ascii="Book Antiqua" w:hAnsi="Book Antiqua" w:cs="Times New Roman"/>
          <w:sz w:val="24"/>
          <w:szCs w:val="24"/>
        </w:rPr>
        <w:t xml:space="preserve"> and 6</w:t>
      </w:r>
      <w:r w:rsidR="006203F0" w:rsidRPr="00FA5C8D">
        <w:rPr>
          <w:rFonts w:ascii="Book Antiqua" w:hAnsi="Book Antiqua" w:cs="Times New Roman"/>
          <w:sz w:val="24"/>
          <w:szCs w:val="24"/>
        </w:rPr>
        <w:t>.</w:t>
      </w:r>
      <w:r w:rsidR="009B1E12" w:rsidRPr="00FA5C8D">
        <w:rPr>
          <w:rFonts w:ascii="Book Antiqua" w:hAnsi="Book Antiqua" w:cs="Times New Roman"/>
          <w:sz w:val="24"/>
          <w:szCs w:val="24"/>
        </w:rPr>
        <w:t>7</w:t>
      </w:r>
      <w:r w:rsidR="00360EDB" w:rsidRPr="00FA5C8D">
        <w:rPr>
          <w:rFonts w:ascii="Book Antiqua" w:hAnsi="Book Antiqua" w:cs="Times New Roman"/>
          <w:sz w:val="24"/>
          <w:szCs w:val="24"/>
        </w:rPr>
        <w:t xml:space="preserve"> </w:t>
      </w:r>
      <w:r w:rsidR="00323D69" w:rsidRPr="00FA5C8D">
        <w:rPr>
          <w:rFonts w:ascii="Book Antiqua" w:hAnsi="Book Antiqua" w:cs="Times New Roman"/>
          <w:sz w:val="24"/>
          <w:szCs w:val="24"/>
        </w:rPr>
        <w:t>U/m</w:t>
      </w:r>
      <w:r w:rsidR="00E06DA3" w:rsidRPr="00FA5C8D">
        <w:rPr>
          <w:rFonts w:ascii="Book Antiqua" w:hAnsi="Book Antiqua" w:cs="Times New Roman"/>
          <w:sz w:val="24"/>
          <w:szCs w:val="24"/>
        </w:rPr>
        <w:t>L</w:t>
      </w:r>
      <w:r w:rsidR="009B1E12" w:rsidRPr="00FA5C8D">
        <w:rPr>
          <w:rFonts w:ascii="Book Antiqua" w:hAnsi="Book Antiqua" w:cs="Times New Roman"/>
          <w:sz w:val="24"/>
          <w:szCs w:val="24"/>
        </w:rPr>
        <w:t xml:space="preserve"> for aTTG IgA and IgG</w:t>
      </w:r>
      <w:r w:rsidR="00564190" w:rsidRPr="00FA5C8D">
        <w:rPr>
          <w:rFonts w:ascii="Book Antiqua" w:hAnsi="Book Antiqua" w:cs="Times New Roman"/>
          <w:sz w:val="24"/>
          <w:szCs w:val="24"/>
        </w:rPr>
        <w:t>, respectively,</w:t>
      </w:r>
      <w:r w:rsidR="009B1E12" w:rsidRPr="00FA5C8D">
        <w:rPr>
          <w:rFonts w:ascii="Book Antiqua" w:hAnsi="Book Antiqua" w:cs="Times New Roman"/>
          <w:sz w:val="24"/>
          <w:szCs w:val="24"/>
        </w:rPr>
        <w:t xml:space="preserve"> and 22</w:t>
      </w:r>
      <w:r w:rsidR="006203F0" w:rsidRPr="00FA5C8D">
        <w:rPr>
          <w:rFonts w:ascii="Book Antiqua" w:hAnsi="Book Antiqua" w:cs="Times New Roman"/>
          <w:sz w:val="24"/>
          <w:szCs w:val="24"/>
        </w:rPr>
        <w:t>.</w:t>
      </w:r>
      <w:r w:rsidR="009B1E12" w:rsidRPr="00FA5C8D">
        <w:rPr>
          <w:rFonts w:ascii="Book Antiqua" w:hAnsi="Book Antiqua" w:cs="Times New Roman"/>
          <w:sz w:val="24"/>
          <w:szCs w:val="24"/>
        </w:rPr>
        <w:t>6</w:t>
      </w:r>
      <w:r w:rsidR="00360EDB" w:rsidRPr="00FA5C8D">
        <w:rPr>
          <w:rFonts w:ascii="Book Antiqua" w:hAnsi="Book Antiqua" w:cs="Times New Roman"/>
          <w:sz w:val="24"/>
          <w:szCs w:val="24"/>
        </w:rPr>
        <w:t xml:space="preserve"> </w:t>
      </w:r>
      <w:r w:rsidR="00323D69" w:rsidRPr="00FA5C8D">
        <w:rPr>
          <w:rFonts w:ascii="Book Antiqua" w:hAnsi="Book Antiqua" w:cs="Times New Roman"/>
          <w:sz w:val="24"/>
          <w:szCs w:val="24"/>
        </w:rPr>
        <w:t>U/m</w:t>
      </w:r>
      <w:r w:rsidR="00E06DA3" w:rsidRPr="00FA5C8D">
        <w:rPr>
          <w:rFonts w:ascii="Book Antiqua" w:hAnsi="Book Antiqua" w:cs="Times New Roman"/>
          <w:sz w:val="24"/>
          <w:szCs w:val="24"/>
        </w:rPr>
        <w:t>L</w:t>
      </w:r>
      <w:r w:rsidR="009B1E12" w:rsidRPr="00FA5C8D">
        <w:rPr>
          <w:rFonts w:ascii="Book Antiqua" w:hAnsi="Book Antiqua" w:cs="Times New Roman"/>
          <w:sz w:val="24"/>
          <w:szCs w:val="24"/>
        </w:rPr>
        <w:t xml:space="preserve"> and 28</w:t>
      </w:r>
      <w:r w:rsidR="006203F0" w:rsidRPr="00FA5C8D">
        <w:rPr>
          <w:rFonts w:ascii="Book Antiqua" w:hAnsi="Book Antiqua" w:cs="Times New Roman"/>
          <w:sz w:val="24"/>
          <w:szCs w:val="24"/>
        </w:rPr>
        <w:t>.</w:t>
      </w:r>
      <w:r w:rsidR="009B1E12" w:rsidRPr="00FA5C8D">
        <w:rPr>
          <w:rFonts w:ascii="Book Antiqua" w:hAnsi="Book Antiqua" w:cs="Times New Roman"/>
          <w:sz w:val="24"/>
          <w:szCs w:val="24"/>
        </w:rPr>
        <w:t>8</w:t>
      </w:r>
      <w:r w:rsidR="00360EDB" w:rsidRPr="00FA5C8D">
        <w:rPr>
          <w:rFonts w:ascii="Book Antiqua" w:hAnsi="Book Antiqua" w:cs="Times New Roman"/>
          <w:sz w:val="24"/>
          <w:szCs w:val="24"/>
        </w:rPr>
        <w:t xml:space="preserve"> </w:t>
      </w:r>
      <w:r w:rsidR="00323D69" w:rsidRPr="00FA5C8D">
        <w:rPr>
          <w:rFonts w:ascii="Book Antiqua" w:hAnsi="Book Antiqua" w:cs="Times New Roman"/>
          <w:sz w:val="24"/>
          <w:szCs w:val="24"/>
        </w:rPr>
        <w:t>U/m</w:t>
      </w:r>
      <w:r w:rsidR="00E06DA3" w:rsidRPr="00FA5C8D">
        <w:rPr>
          <w:rFonts w:ascii="Book Antiqua" w:hAnsi="Book Antiqua" w:cs="Times New Roman"/>
          <w:sz w:val="24"/>
          <w:szCs w:val="24"/>
        </w:rPr>
        <w:t>L</w:t>
      </w:r>
      <w:r w:rsidR="009B1E12" w:rsidRPr="00FA5C8D">
        <w:rPr>
          <w:rFonts w:ascii="Book Antiqua" w:hAnsi="Book Antiqua" w:cs="Times New Roman"/>
          <w:sz w:val="24"/>
          <w:szCs w:val="24"/>
        </w:rPr>
        <w:t xml:space="preserve"> for </w:t>
      </w:r>
      <w:proofErr w:type="spellStart"/>
      <w:r w:rsidR="009B1E12" w:rsidRPr="00FA5C8D">
        <w:rPr>
          <w:rFonts w:ascii="Book Antiqua" w:hAnsi="Book Antiqua" w:cs="Times New Roman"/>
          <w:sz w:val="24"/>
          <w:szCs w:val="24"/>
        </w:rPr>
        <w:t>aDGP</w:t>
      </w:r>
      <w:proofErr w:type="spellEnd"/>
      <w:r w:rsidR="009B1E12" w:rsidRPr="00FA5C8D">
        <w:rPr>
          <w:rFonts w:ascii="Book Antiqua" w:hAnsi="Book Antiqua" w:cs="Times New Roman"/>
          <w:sz w:val="24"/>
          <w:szCs w:val="24"/>
        </w:rPr>
        <w:t xml:space="preserve"> IgA and </w:t>
      </w:r>
      <w:proofErr w:type="spellStart"/>
      <w:r w:rsidR="009B1E12" w:rsidRPr="00FA5C8D">
        <w:rPr>
          <w:rFonts w:ascii="Book Antiqua" w:hAnsi="Book Antiqua" w:cs="Times New Roman"/>
          <w:sz w:val="24"/>
          <w:szCs w:val="24"/>
        </w:rPr>
        <w:t>IgG</w:t>
      </w:r>
      <w:proofErr w:type="spellEnd"/>
      <w:r w:rsidR="003E01C0" w:rsidRPr="00FA5C8D">
        <w:rPr>
          <w:rFonts w:ascii="Book Antiqua" w:hAnsi="Book Antiqua" w:cs="Times New Roman"/>
          <w:sz w:val="24"/>
          <w:szCs w:val="24"/>
        </w:rPr>
        <w:t>,</w:t>
      </w:r>
      <w:r w:rsidR="009B1E12" w:rsidRPr="00FA5C8D">
        <w:rPr>
          <w:rFonts w:ascii="Book Antiqua" w:hAnsi="Book Antiqua" w:cs="Times New Roman"/>
          <w:sz w:val="24"/>
          <w:szCs w:val="24"/>
        </w:rPr>
        <w:t xml:space="preserve"> respectively. </w:t>
      </w:r>
      <w:r w:rsidR="007E2EC6" w:rsidRPr="00FA5C8D">
        <w:rPr>
          <w:rFonts w:ascii="Book Antiqua" w:hAnsi="Book Antiqua" w:cs="Times New Roman"/>
          <w:sz w:val="24"/>
          <w:szCs w:val="24"/>
        </w:rPr>
        <w:t>For th</w:t>
      </w:r>
      <w:r w:rsidR="009B1E12" w:rsidRPr="00FA5C8D">
        <w:rPr>
          <w:rFonts w:ascii="Book Antiqua" w:hAnsi="Book Antiqua" w:cs="Times New Roman"/>
          <w:sz w:val="24"/>
          <w:szCs w:val="24"/>
        </w:rPr>
        <w:t>ese</w:t>
      </w:r>
      <w:r w:rsidR="00B9469F" w:rsidRPr="00FA5C8D">
        <w:rPr>
          <w:rFonts w:ascii="Book Antiqua" w:hAnsi="Book Antiqua" w:cs="Times New Roman"/>
          <w:sz w:val="24"/>
          <w:szCs w:val="24"/>
        </w:rPr>
        <w:t xml:space="preserve"> </w:t>
      </w:r>
      <w:r w:rsidR="00840655" w:rsidRPr="00FA5C8D">
        <w:rPr>
          <w:rFonts w:ascii="Book Antiqua" w:hAnsi="Book Antiqua" w:cs="Times New Roman"/>
          <w:sz w:val="24"/>
          <w:szCs w:val="24"/>
        </w:rPr>
        <w:t>cutoff</w:t>
      </w:r>
      <w:r w:rsidR="00B9469F" w:rsidRPr="00FA5C8D">
        <w:rPr>
          <w:rFonts w:ascii="Book Antiqua" w:hAnsi="Book Antiqua" w:cs="Times New Roman"/>
          <w:sz w:val="24"/>
          <w:szCs w:val="24"/>
        </w:rPr>
        <w:t xml:space="preserve"> </w:t>
      </w:r>
      <w:r w:rsidR="009B1E12" w:rsidRPr="00FA5C8D">
        <w:rPr>
          <w:rFonts w:ascii="Book Antiqua" w:hAnsi="Book Antiqua" w:cs="Times New Roman"/>
          <w:sz w:val="24"/>
          <w:szCs w:val="24"/>
        </w:rPr>
        <w:t>values</w:t>
      </w:r>
      <w:r w:rsidR="0057584A"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7E2EC6" w:rsidRPr="00FA5C8D">
        <w:rPr>
          <w:rFonts w:ascii="Book Antiqua" w:hAnsi="Book Antiqua" w:cs="Times New Roman"/>
          <w:sz w:val="24"/>
          <w:szCs w:val="24"/>
        </w:rPr>
        <w:t xml:space="preserve">we reached sensitivity and specificity </w:t>
      </w:r>
      <w:r w:rsidR="00BA098E" w:rsidRPr="00FA5C8D">
        <w:rPr>
          <w:rFonts w:ascii="Book Antiqua" w:hAnsi="Book Antiqua" w:cs="Times New Roman"/>
          <w:sz w:val="24"/>
          <w:szCs w:val="24"/>
        </w:rPr>
        <w:t>of 66.7</w:t>
      </w:r>
      <w:r w:rsidR="009C340B" w:rsidRPr="00FA5C8D">
        <w:rPr>
          <w:rFonts w:ascii="Book Antiqua" w:hAnsi="Book Antiqua" w:cs="Times New Roman"/>
          <w:sz w:val="24"/>
          <w:szCs w:val="24"/>
        </w:rPr>
        <w:t>%</w:t>
      </w:r>
      <w:r w:rsidR="00924D4B" w:rsidRPr="00FA5C8D">
        <w:rPr>
          <w:rFonts w:ascii="Book Antiqua" w:hAnsi="Book Antiqua" w:cs="Times New Roman"/>
          <w:sz w:val="24"/>
          <w:szCs w:val="24"/>
        </w:rPr>
        <w:t xml:space="preserve"> (95%CI</w:t>
      </w:r>
      <w:r w:rsidR="00360EDB" w:rsidRPr="00FA5C8D">
        <w:rPr>
          <w:rFonts w:ascii="Book Antiqua" w:hAnsi="Book Antiqua" w:cs="Times New Roman"/>
          <w:sz w:val="24"/>
          <w:szCs w:val="24"/>
        </w:rPr>
        <w:t>:</w:t>
      </w:r>
      <w:r w:rsidR="00924D4B" w:rsidRPr="00FA5C8D">
        <w:rPr>
          <w:rFonts w:ascii="Book Antiqua" w:hAnsi="Book Antiqua" w:cs="Times New Roman"/>
          <w:sz w:val="24"/>
          <w:szCs w:val="24"/>
        </w:rPr>
        <w:t xml:space="preserve"> 41</w:t>
      </w:r>
      <w:r w:rsidR="006203F0" w:rsidRPr="00FA5C8D">
        <w:rPr>
          <w:rFonts w:ascii="Book Antiqua" w:hAnsi="Book Antiqua" w:cs="Times New Roman"/>
          <w:sz w:val="24"/>
          <w:szCs w:val="24"/>
        </w:rPr>
        <w:t>.</w:t>
      </w:r>
      <w:r w:rsidR="00924D4B" w:rsidRPr="00FA5C8D">
        <w:rPr>
          <w:rFonts w:ascii="Book Antiqua" w:hAnsi="Book Antiqua" w:cs="Times New Roman"/>
          <w:sz w:val="24"/>
          <w:szCs w:val="24"/>
        </w:rPr>
        <w:t>0</w:t>
      </w:r>
      <w:r w:rsidR="00360EDB" w:rsidRPr="00FA5C8D">
        <w:rPr>
          <w:rFonts w:ascii="Book Antiqua" w:hAnsi="Book Antiqua" w:cs="Times New Roman"/>
          <w:sz w:val="24"/>
          <w:szCs w:val="24"/>
        </w:rPr>
        <w:t>-</w:t>
      </w:r>
      <w:r w:rsidR="00924D4B" w:rsidRPr="00FA5C8D">
        <w:rPr>
          <w:rFonts w:ascii="Book Antiqua" w:hAnsi="Book Antiqua" w:cs="Times New Roman"/>
          <w:sz w:val="24"/>
          <w:szCs w:val="24"/>
        </w:rPr>
        <w:t>86</w:t>
      </w:r>
      <w:r w:rsidR="006203F0" w:rsidRPr="00FA5C8D">
        <w:rPr>
          <w:rFonts w:ascii="Book Antiqua" w:hAnsi="Book Antiqua" w:cs="Times New Roman"/>
          <w:sz w:val="24"/>
          <w:szCs w:val="24"/>
        </w:rPr>
        <w:t>.</w:t>
      </w:r>
      <w:r w:rsidR="00924D4B" w:rsidRPr="00FA5C8D">
        <w:rPr>
          <w:rFonts w:ascii="Book Antiqua" w:hAnsi="Book Antiqua" w:cs="Times New Roman"/>
          <w:sz w:val="24"/>
          <w:szCs w:val="24"/>
        </w:rPr>
        <w:t>7)</w:t>
      </w:r>
      <w:r w:rsidR="009C340B" w:rsidRPr="00FA5C8D">
        <w:rPr>
          <w:rFonts w:ascii="Book Antiqua" w:hAnsi="Book Antiqua" w:cs="Times New Roman"/>
          <w:sz w:val="24"/>
          <w:szCs w:val="24"/>
        </w:rPr>
        <w:t xml:space="preserve"> and </w:t>
      </w:r>
      <w:r w:rsidR="00C70803" w:rsidRPr="00FA5C8D">
        <w:rPr>
          <w:rFonts w:ascii="Book Antiqua" w:hAnsi="Book Antiqua" w:cs="Times New Roman"/>
          <w:sz w:val="24"/>
          <w:szCs w:val="24"/>
        </w:rPr>
        <w:t>93</w:t>
      </w:r>
      <w:r w:rsidR="006203F0" w:rsidRPr="00FA5C8D">
        <w:rPr>
          <w:rFonts w:ascii="Book Antiqua" w:hAnsi="Book Antiqua" w:cs="Times New Roman"/>
          <w:sz w:val="24"/>
          <w:szCs w:val="24"/>
        </w:rPr>
        <w:t>.</w:t>
      </w:r>
      <w:r w:rsidR="00C70803" w:rsidRPr="00FA5C8D">
        <w:rPr>
          <w:rFonts w:ascii="Book Antiqua" w:hAnsi="Book Antiqua" w:cs="Times New Roman"/>
          <w:sz w:val="24"/>
          <w:szCs w:val="24"/>
        </w:rPr>
        <w:t>7</w:t>
      </w:r>
      <w:r w:rsidR="009C340B" w:rsidRPr="00FA5C8D">
        <w:rPr>
          <w:rFonts w:ascii="Book Antiqua" w:hAnsi="Book Antiqua" w:cs="Times New Roman"/>
          <w:sz w:val="24"/>
          <w:szCs w:val="24"/>
        </w:rPr>
        <w:t xml:space="preserve">% </w:t>
      </w:r>
      <w:r w:rsidR="00924D4B" w:rsidRPr="00FA5C8D">
        <w:rPr>
          <w:rFonts w:ascii="Book Antiqua" w:hAnsi="Book Antiqua" w:cs="Times New Roman"/>
          <w:sz w:val="24"/>
          <w:szCs w:val="24"/>
        </w:rPr>
        <w:t>(95%CI</w:t>
      </w:r>
      <w:r w:rsidR="00360EDB" w:rsidRPr="00FA5C8D">
        <w:rPr>
          <w:rFonts w:ascii="Book Antiqua" w:hAnsi="Book Antiqua" w:cs="Times New Roman"/>
          <w:sz w:val="24"/>
          <w:szCs w:val="24"/>
        </w:rPr>
        <w:t>:</w:t>
      </w:r>
      <w:r w:rsidR="00924D4B" w:rsidRPr="00FA5C8D">
        <w:rPr>
          <w:rFonts w:ascii="Book Antiqua" w:hAnsi="Book Antiqua" w:cs="Times New Roman"/>
          <w:sz w:val="24"/>
          <w:szCs w:val="24"/>
        </w:rPr>
        <w:t xml:space="preserve"> 84</w:t>
      </w:r>
      <w:r w:rsidR="006203F0" w:rsidRPr="00FA5C8D">
        <w:rPr>
          <w:rFonts w:ascii="Book Antiqua" w:hAnsi="Book Antiqua" w:cs="Times New Roman"/>
          <w:sz w:val="24"/>
          <w:szCs w:val="24"/>
        </w:rPr>
        <w:t>.</w:t>
      </w:r>
      <w:r w:rsidR="00924D4B" w:rsidRPr="00FA5C8D">
        <w:rPr>
          <w:rFonts w:ascii="Book Antiqua" w:hAnsi="Book Antiqua" w:cs="Times New Roman"/>
          <w:sz w:val="24"/>
          <w:szCs w:val="24"/>
        </w:rPr>
        <w:t>5</w:t>
      </w:r>
      <w:r w:rsidR="00360EDB" w:rsidRPr="00FA5C8D">
        <w:rPr>
          <w:rFonts w:ascii="Book Antiqua" w:hAnsi="Book Antiqua" w:cs="Times New Roman"/>
          <w:sz w:val="24"/>
          <w:szCs w:val="24"/>
        </w:rPr>
        <w:t>-</w:t>
      </w:r>
      <w:r w:rsidR="00924D4B" w:rsidRPr="00FA5C8D">
        <w:rPr>
          <w:rFonts w:ascii="Book Antiqua" w:hAnsi="Book Antiqua" w:cs="Times New Roman"/>
          <w:sz w:val="24"/>
          <w:szCs w:val="24"/>
        </w:rPr>
        <w:t>98</w:t>
      </w:r>
      <w:r w:rsidR="006203F0" w:rsidRPr="00FA5C8D">
        <w:rPr>
          <w:rFonts w:ascii="Book Antiqua" w:hAnsi="Book Antiqua" w:cs="Times New Roman"/>
          <w:sz w:val="24"/>
          <w:szCs w:val="24"/>
        </w:rPr>
        <w:t>.</w:t>
      </w:r>
      <w:r w:rsidR="00924D4B" w:rsidRPr="00FA5C8D">
        <w:rPr>
          <w:rFonts w:ascii="Book Antiqua" w:hAnsi="Book Antiqua" w:cs="Times New Roman"/>
          <w:sz w:val="24"/>
          <w:szCs w:val="24"/>
        </w:rPr>
        <w:t>2)</w:t>
      </w:r>
      <w:r w:rsidR="00B9469F" w:rsidRPr="00FA5C8D">
        <w:rPr>
          <w:rFonts w:ascii="Book Antiqua" w:hAnsi="Book Antiqua" w:cs="Times New Roman"/>
          <w:sz w:val="24"/>
          <w:szCs w:val="24"/>
        </w:rPr>
        <w:t xml:space="preserve"> </w:t>
      </w:r>
      <w:r w:rsidR="007E2EC6" w:rsidRPr="00FA5C8D">
        <w:rPr>
          <w:rFonts w:ascii="Book Antiqua" w:hAnsi="Book Antiqua" w:cs="Times New Roman"/>
          <w:sz w:val="24"/>
          <w:szCs w:val="24"/>
        </w:rPr>
        <w:t xml:space="preserve">for </w:t>
      </w:r>
      <w:proofErr w:type="spellStart"/>
      <w:r w:rsidR="009C340B" w:rsidRPr="00FA5C8D">
        <w:rPr>
          <w:rFonts w:ascii="Book Antiqua" w:hAnsi="Book Antiqua" w:cs="Times New Roman"/>
          <w:sz w:val="24"/>
          <w:szCs w:val="24"/>
        </w:rPr>
        <w:t>aTTG</w:t>
      </w:r>
      <w:proofErr w:type="spellEnd"/>
      <w:r w:rsidR="009C340B" w:rsidRPr="00FA5C8D">
        <w:rPr>
          <w:rFonts w:ascii="Book Antiqua" w:hAnsi="Book Antiqua" w:cs="Times New Roman"/>
          <w:sz w:val="24"/>
          <w:szCs w:val="24"/>
        </w:rPr>
        <w:t xml:space="preserve"> IgA and 72</w:t>
      </w:r>
      <w:r w:rsidR="006203F0" w:rsidRPr="00FA5C8D">
        <w:rPr>
          <w:rFonts w:ascii="Book Antiqua" w:hAnsi="Book Antiqua" w:cs="Times New Roman"/>
          <w:sz w:val="24"/>
          <w:szCs w:val="24"/>
        </w:rPr>
        <w:t>.</w:t>
      </w:r>
      <w:r w:rsidR="009C340B" w:rsidRPr="00FA5C8D">
        <w:rPr>
          <w:rFonts w:ascii="Book Antiqua" w:hAnsi="Book Antiqua" w:cs="Times New Roman"/>
          <w:sz w:val="24"/>
          <w:szCs w:val="24"/>
        </w:rPr>
        <w:t xml:space="preserve">2% </w:t>
      </w:r>
      <w:r w:rsidR="008A5C85" w:rsidRPr="00FA5C8D">
        <w:rPr>
          <w:rFonts w:ascii="Book Antiqua" w:hAnsi="Book Antiqua" w:cs="Times New Roman"/>
          <w:sz w:val="24"/>
          <w:szCs w:val="24"/>
        </w:rPr>
        <w:t>(95%CI</w:t>
      </w:r>
      <w:r w:rsidR="00360EDB" w:rsidRPr="00FA5C8D">
        <w:rPr>
          <w:rFonts w:ascii="Book Antiqua" w:hAnsi="Book Antiqua" w:cs="Times New Roman"/>
          <w:sz w:val="24"/>
          <w:szCs w:val="24"/>
        </w:rPr>
        <w:t>:</w:t>
      </w:r>
      <w:r w:rsidR="008A5C85" w:rsidRPr="00FA5C8D">
        <w:rPr>
          <w:rFonts w:ascii="Book Antiqua" w:hAnsi="Book Antiqua" w:cs="Times New Roman"/>
          <w:sz w:val="24"/>
          <w:szCs w:val="24"/>
        </w:rPr>
        <w:t xml:space="preserve"> 46</w:t>
      </w:r>
      <w:r w:rsidR="006203F0" w:rsidRPr="00FA5C8D">
        <w:rPr>
          <w:rFonts w:ascii="Book Antiqua" w:hAnsi="Book Antiqua" w:cs="Times New Roman"/>
          <w:sz w:val="24"/>
          <w:szCs w:val="24"/>
        </w:rPr>
        <w:t>.</w:t>
      </w:r>
      <w:r w:rsidR="008A5C85" w:rsidRPr="00FA5C8D">
        <w:rPr>
          <w:rFonts w:ascii="Book Antiqua" w:hAnsi="Book Antiqua" w:cs="Times New Roman"/>
          <w:sz w:val="24"/>
          <w:szCs w:val="24"/>
        </w:rPr>
        <w:t>5</w:t>
      </w:r>
      <w:r w:rsidR="00360EDB" w:rsidRPr="00FA5C8D">
        <w:rPr>
          <w:rFonts w:ascii="Book Antiqua" w:hAnsi="Book Antiqua" w:cs="Times New Roman"/>
          <w:sz w:val="24"/>
          <w:szCs w:val="24"/>
        </w:rPr>
        <w:t>-</w:t>
      </w:r>
      <w:r w:rsidR="008A5C85" w:rsidRPr="00FA5C8D">
        <w:rPr>
          <w:rFonts w:ascii="Book Antiqua" w:hAnsi="Book Antiqua" w:cs="Times New Roman"/>
          <w:sz w:val="24"/>
          <w:szCs w:val="24"/>
        </w:rPr>
        <w:t>90</w:t>
      </w:r>
      <w:r w:rsidR="006203F0" w:rsidRPr="00FA5C8D">
        <w:rPr>
          <w:rFonts w:ascii="Book Antiqua" w:hAnsi="Book Antiqua" w:cs="Times New Roman"/>
          <w:sz w:val="24"/>
          <w:szCs w:val="24"/>
        </w:rPr>
        <w:t>.</w:t>
      </w:r>
      <w:r w:rsidR="008A5C85" w:rsidRPr="00FA5C8D">
        <w:rPr>
          <w:rFonts w:ascii="Book Antiqua" w:hAnsi="Book Antiqua" w:cs="Times New Roman"/>
          <w:sz w:val="24"/>
          <w:szCs w:val="24"/>
        </w:rPr>
        <w:t xml:space="preserve">3) </w:t>
      </w:r>
      <w:r w:rsidR="009C340B" w:rsidRPr="00FA5C8D">
        <w:rPr>
          <w:rFonts w:ascii="Book Antiqua" w:hAnsi="Book Antiqua" w:cs="Times New Roman"/>
          <w:sz w:val="24"/>
          <w:szCs w:val="24"/>
        </w:rPr>
        <w:t>and 90</w:t>
      </w:r>
      <w:r w:rsidR="004B15EC" w:rsidRPr="00FA5C8D">
        <w:rPr>
          <w:rFonts w:ascii="Book Antiqua" w:hAnsi="Book Antiqua" w:cs="Times New Roman"/>
          <w:sz w:val="24"/>
          <w:szCs w:val="24"/>
        </w:rPr>
        <w:t>.</w:t>
      </w:r>
      <w:r w:rsidR="009C340B" w:rsidRPr="00FA5C8D">
        <w:rPr>
          <w:rFonts w:ascii="Book Antiqua" w:hAnsi="Book Antiqua" w:cs="Times New Roman"/>
          <w:sz w:val="24"/>
          <w:szCs w:val="24"/>
        </w:rPr>
        <w:t xml:space="preserve">0% </w:t>
      </w:r>
      <w:r w:rsidR="008A5C85" w:rsidRPr="00FA5C8D">
        <w:rPr>
          <w:rFonts w:ascii="Book Antiqua" w:hAnsi="Book Antiqua" w:cs="Times New Roman"/>
          <w:sz w:val="24"/>
          <w:szCs w:val="24"/>
        </w:rPr>
        <w:t>(95%CI</w:t>
      </w:r>
      <w:r w:rsidR="00360EDB" w:rsidRPr="00FA5C8D">
        <w:rPr>
          <w:rFonts w:ascii="Book Antiqua" w:hAnsi="Book Antiqua" w:cs="Times New Roman"/>
          <w:sz w:val="24"/>
          <w:szCs w:val="24"/>
        </w:rPr>
        <w:t>:</w:t>
      </w:r>
      <w:r w:rsidR="008A5C85" w:rsidRPr="00FA5C8D">
        <w:rPr>
          <w:rFonts w:ascii="Book Antiqua" w:hAnsi="Book Antiqua" w:cs="Times New Roman"/>
          <w:sz w:val="24"/>
          <w:szCs w:val="24"/>
        </w:rPr>
        <w:t xml:space="preserve"> 79</w:t>
      </w:r>
      <w:r w:rsidR="006203F0" w:rsidRPr="00FA5C8D">
        <w:rPr>
          <w:rFonts w:ascii="Book Antiqua" w:hAnsi="Book Antiqua" w:cs="Times New Roman"/>
          <w:sz w:val="24"/>
          <w:szCs w:val="24"/>
        </w:rPr>
        <w:t>.</w:t>
      </w:r>
      <w:r w:rsidR="008A5C85" w:rsidRPr="00FA5C8D">
        <w:rPr>
          <w:rFonts w:ascii="Book Antiqua" w:hAnsi="Book Antiqua" w:cs="Times New Roman"/>
          <w:sz w:val="24"/>
          <w:szCs w:val="24"/>
        </w:rPr>
        <w:t>5</w:t>
      </w:r>
      <w:r w:rsidR="00360EDB" w:rsidRPr="00FA5C8D">
        <w:rPr>
          <w:rFonts w:ascii="Book Antiqua" w:hAnsi="Book Antiqua" w:cs="Times New Roman"/>
          <w:sz w:val="24"/>
          <w:szCs w:val="24"/>
        </w:rPr>
        <w:t>-</w:t>
      </w:r>
      <w:r w:rsidR="008A5C85" w:rsidRPr="00FA5C8D">
        <w:rPr>
          <w:rFonts w:ascii="Book Antiqua" w:hAnsi="Book Antiqua" w:cs="Times New Roman"/>
          <w:sz w:val="24"/>
          <w:szCs w:val="24"/>
        </w:rPr>
        <w:t>96</w:t>
      </w:r>
      <w:r w:rsidR="006203F0" w:rsidRPr="00FA5C8D">
        <w:rPr>
          <w:rFonts w:ascii="Book Antiqua" w:hAnsi="Book Antiqua" w:cs="Times New Roman"/>
          <w:sz w:val="24"/>
          <w:szCs w:val="24"/>
        </w:rPr>
        <w:t>.</w:t>
      </w:r>
      <w:r w:rsidR="008A5C85" w:rsidRPr="00FA5C8D">
        <w:rPr>
          <w:rFonts w:ascii="Book Antiqua" w:hAnsi="Book Antiqua" w:cs="Times New Roman"/>
          <w:sz w:val="24"/>
          <w:szCs w:val="24"/>
        </w:rPr>
        <w:t xml:space="preserve">2) </w:t>
      </w:r>
      <w:r w:rsidR="009C340B" w:rsidRPr="00FA5C8D">
        <w:rPr>
          <w:rFonts w:ascii="Book Antiqua" w:hAnsi="Book Antiqua" w:cs="Times New Roman"/>
          <w:sz w:val="24"/>
          <w:szCs w:val="24"/>
        </w:rPr>
        <w:t xml:space="preserve">for </w:t>
      </w:r>
      <w:proofErr w:type="spellStart"/>
      <w:r w:rsidR="009C340B" w:rsidRPr="00FA5C8D">
        <w:rPr>
          <w:rFonts w:ascii="Book Antiqua" w:hAnsi="Book Antiqua" w:cs="Times New Roman"/>
          <w:sz w:val="24"/>
          <w:szCs w:val="24"/>
        </w:rPr>
        <w:t>aDGP</w:t>
      </w:r>
      <w:proofErr w:type="spellEnd"/>
      <w:r w:rsidR="009C340B" w:rsidRPr="00FA5C8D">
        <w:rPr>
          <w:rFonts w:ascii="Book Antiqua" w:hAnsi="Book Antiqua" w:cs="Times New Roman"/>
          <w:sz w:val="24"/>
          <w:szCs w:val="24"/>
        </w:rPr>
        <w:t xml:space="preserve"> IgA</w:t>
      </w:r>
      <w:r w:rsidR="006B140C" w:rsidRPr="00FA5C8D">
        <w:rPr>
          <w:rFonts w:ascii="Book Antiqua" w:hAnsi="Book Antiqua" w:cs="Times New Roman"/>
          <w:sz w:val="24"/>
          <w:szCs w:val="24"/>
        </w:rPr>
        <w:t>,</w:t>
      </w:r>
      <w:r w:rsidR="009C340B" w:rsidRPr="00FA5C8D">
        <w:rPr>
          <w:rFonts w:ascii="Book Antiqua" w:hAnsi="Book Antiqua" w:cs="Times New Roman"/>
          <w:sz w:val="24"/>
          <w:szCs w:val="24"/>
        </w:rPr>
        <w:t xml:space="preserve"> respectively</w:t>
      </w:r>
      <w:r w:rsidR="00C70803" w:rsidRPr="00FA5C8D">
        <w:rPr>
          <w:rFonts w:ascii="Book Antiqua" w:hAnsi="Book Antiqua" w:cs="Times New Roman"/>
          <w:sz w:val="24"/>
          <w:szCs w:val="24"/>
        </w:rPr>
        <w:t xml:space="preserve"> (details in </w:t>
      </w:r>
      <w:r w:rsidR="00EB6D47" w:rsidRPr="00FA5C8D">
        <w:rPr>
          <w:rFonts w:ascii="Book Antiqua" w:hAnsi="Book Antiqua" w:cs="Times New Roman"/>
          <w:sz w:val="24"/>
          <w:szCs w:val="24"/>
        </w:rPr>
        <w:t>T</w:t>
      </w:r>
      <w:r w:rsidR="00C70803" w:rsidRPr="00FA5C8D">
        <w:rPr>
          <w:rFonts w:ascii="Book Antiqua" w:hAnsi="Book Antiqua" w:cs="Times New Roman"/>
          <w:sz w:val="24"/>
          <w:szCs w:val="24"/>
        </w:rPr>
        <w:t>able</w:t>
      </w:r>
      <w:r w:rsidR="00B9469F" w:rsidRPr="00FA5C8D">
        <w:rPr>
          <w:rFonts w:ascii="Book Antiqua" w:hAnsi="Book Antiqua" w:cs="Times New Roman"/>
          <w:sz w:val="24"/>
          <w:szCs w:val="24"/>
        </w:rPr>
        <w:t xml:space="preserve"> </w:t>
      </w:r>
      <w:r w:rsidR="006E6969" w:rsidRPr="00FA5C8D">
        <w:rPr>
          <w:rFonts w:ascii="Book Antiqua" w:hAnsi="Book Antiqua" w:cs="Times New Roman"/>
          <w:sz w:val="24"/>
          <w:szCs w:val="24"/>
        </w:rPr>
        <w:t>5</w:t>
      </w:r>
      <w:r w:rsidR="0066470E" w:rsidRPr="00FA5C8D">
        <w:rPr>
          <w:rFonts w:ascii="Book Antiqua" w:hAnsi="Book Antiqua" w:cs="Times New Roman"/>
          <w:sz w:val="24"/>
          <w:szCs w:val="24"/>
        </w:rPr>
        <w:t>)</w:t>
      </w:r>
      <w:r w:rsidR="009C340B" w:rsidRPr="00FA5C8D">
        <w:rPr>
          <w:rFonts w:ascii="Book Antiqua" w:hAnsi="Book Antiqua" w:cs="Times New Roman"/>
          <w:sz w:val="24"/>
          <w:szCs w:val="24"/>
        </w:rPr>
        <w:t xml:space="preserve">. </w:t>
      </w:r>
      <w:r w:rsidR="00FD0BEA" w:rsidRPr="00FA5C8D">
        <w:rPr>
          <w:rFonts w:ascii="Book Antiqua" w:hAnsi="Book Antiqua" w:cs="Times New Roman"/>
          <w:sz w:val="24"/>
          <w:szCs w:val="24"/>
        </w:rPr>
        <w:t xml:space="preserve">Recalculation of </w:t>
      </w:r>
      <w:r w:rsidR="00EC4C40" w:rsidRPr="00FA5C8D">
        <w:rPr>
          <w:rFonts w:ascii="Book Antiqua" w:hAnsi="Book Antiqua" w:cs="Times New Roman"/>
          <w:sz w:val="24"/>
          <w:szCs w:val="24"/>
        </w:rPr>
        <w:t xml:space="preserve">the </w:t>
      </w:r>
      <w:r w:rsidR="00FD0BEA" w:rsidRPr="00FA5C8D">
        <w:rPr>
          <w:rFonts w:ascii="Book Antiqua" w:hAnsi="Book Antiqua" w:cs="Times New Roman"/>
          <w:sz w:val="24"/>
          <w:szCs w:val="24"/>
        </w:rPr>
        <w:t>optimal cutoff values showed the best negative predictive value for aDGP IgA 91.5% (95%CI</w:t>
      </w:r>
      <w:r w:rsidR="00360EDB" w:rsidRPr="00FA5C8D">
        <w:rPr>
          <w:rFonts w:ascii="Book Antiqua" w:hAnsi="Book Antiqua" w:cs="Times New Roman"/>
          <w:sz w:val="24"/>
          <w:szCs w:val="24"/>
        </w:rPr>
        <w:t>:</w:t>
      </w:r>
      <w:r w:rsidR="00FD0BEA" w:rsidRPr="00FA5C8D">
        <w:rPr>
          <w:rFonts w:ascii="Book Antiqua" w:hAnsi="Book Antiqua" w:cs="Times New Roman"/>
          <w:sz w:val="24"/>
          <w:szCs w:val="24"/>
        </w:rPr>
        <w:t xml:space="preserve"> 83.6</w:t>
      </w:r>
      <w:r w:rsidR="00360EDB" w:rsidRPr="00FA5C8D">
        <w:rPr>
          <w:rFonts w:ascii="Book Antiqua" w:hAnsi="Book Antiqua" w:cs="Times New Roman"/>
          <w:sz w:val="24"/>
          <w:szCs w:val="24"/>
        </w:rPr>
        <w:t>-</w:t>
      </w:r>
      <w:r w:rsidR="00FD0BEA" w:rsidRPr="00FA5C8D">
        <w:rPr>
          <w:rFonts w:ascii="Book Antiqua" w:hAnsi="Book Antiqua" w:cs="Times New Roman"/>
          <w:sz w:val="24"/>
          <w:szCs w:val="24"/>
        </w:rPr>
        <w:t xml:space="preserve">95.8). </w:t>
      </w:r>
    </w:p>
    <w:p w14:paraId="526CC1F4" w14:textId="77777777" w:rsidR="00AF2096" w:rsidRPr="00FA5C8D" w:rsidRDefault="004130B5" w:rsidP="00FA5C8D">
      <w:pPr>
        <w:snapToGrid w:val="0"/>
        <w:spacing w:after="0" w:line="360" w:lineRule="auto"/>
        <w:ind w:firstLineChars="100" w:firstLine="240"/>
        <w:jc w:val="both"/>
        <w:rPr>
          <w:rFonts w:ascii="Book Antiqua" w:hAnsi="Book Antiqua" w:cs="Times New Roman"/>
          <w:bCs/>
          <w:sz w:val="24"/>
          <w:szCs w:val="24"/>
        </w:rPr>
      </w:pPr>
      <w:r w:rsidRPr="00FA5C8D">
        <w:rPr>
          <w:rFonts w:ascii="Book Antiqua" w:hAnsi="Book Antiqua" w:cs="Times New Roman"/>
          <w:sz w:val="24"/>
          <w:szCs w:val="24"/>
        </w:rPr>
        <w:t>The sensitivity, specificity</w:t>
      </w:r>
      <w:r w:rsidR="006770EE" w:rsidRPr="00FA5C8D">
        <w:rPr>
          <w:rFonts w:ascii="Book Antiqua" w:hAnsi="Book Antiqua" w:cs="Times New Roman"/>
          <w:sz w:val="24"/>
          <w:szCs w:val="24"/>
        </w:rPr>
        <w:t>,</w:t>
      </w:r>
      <w:r w:rsidR="004B15EC" w:rsidRPr="00FA5C8D">
        <w:rPr>
          <w:rFonts w:ascii="Book Antiqua" w:hAnsi="Book Antiqua" w:cs="Times New Roman"/>
          <w:sz w:val="24"/>
          <w:szCs w:val="24"/>
        </w:rPr>
        <w:t xml:space="preserve"> and the </w:t>
      </w:r>
      <w:r w:rsidR="007F09EE" w:rsidRPr="00FA5C8D">
        <w:rPr>
          <w:rFonts w:ascii="Book Antiqua" w:hAnsi="Book Antiqua" w:cs="Times New Roman"/>
          <w:sz w:val="24"/>
          <w:szCs w:val="24"/>
        </w:rPr>
        <w:t xml:space="preserve">positive </w:t>
      </w:r>
      <w:r w:rsidRPr="00FA5C8D">
        <w:rPr>
          <w:rFonts w:ascii="Book Antiqua" w:hAnsi="Book Antiqua" w:cs="Times New Roman"/>
          <w:sz w:val="24"/>
          <w:szCs w:val="24"/>
        </w:rPr>
        <w:t xml:space="preserve">and </w:t>
      </w:r>
      <w:r w:rsidR="007F09EE" w:rsidRPr="00FA5C8D">
        <w:rPr>
          <w:rFonts w:ascii="Book Antiqua" w:hAnsi="Book Antiqua" w:cs="Times New Roman"/>
          <w:sz w:val="24"/>
          <w:szCs w:val="24"/>
        </w:rPr>
        <w:t xml:space="preserve">negative </w:t>
      </w:r>
      <w:r w:rsidRPr="00FA5C8D">
        <w:rPr>
          <w:rFonts w:ascii="Book Antiqua" w:hAnsi="Book Antiqua" w:cs="Times New Roman"/>
          <w:sz w:val="24"/>
          <w:szCs w:val="24"/>
        </w:rPr>
        <w:t>predictive value of ultrasonography for prediction of</w:t>
      </w:r>
      <w:r w:rsidR="00B9469F" w:rsidRPr="00FA5C8D">
        <w:rPr>
          <w:rFonts w:ascii="Book Antiqua" w:hAnsi="Book Antiqua" w:cs="Times New Roman"/>
          <w:sz w:val="24"/>
          <w:szCs w:val="24"/>
        </w:rPr>
        <w:t xml:space="preserve"> </w:t>
      </w:r>
      <w:r w:rsidR="00721518" w:rsidRPr="00FA5C8D">
        <w:rPr>
          <w:rFonts w:ascii="Book Antiqua" w:hAnsi="Book Antiqua" w:cs="Times New Roman"/>
          <w:sz w:val="24"/>
          <w:szCs w:val="24"/>
        </w:rPr>
        <w:t>persistent</w:t>
      </w:r>
      <w:r w:rsidR="00B9469F" w:rsidRPr="00FA5C8D">
        <w:rPr>
          <w:rFonts w:ascii="Book Antiqua" w:hAnsi="Book Antiqua" w:cs="Times New Roman"/>
          <w:sz w:val="24"/>
          <w:szCs w:val="24"/>
        </w:rPr>
        <w:t xml:space="preserve"> </w:t>
      </w:r>
      <w:r w:rsidR="007F09EE" w:rsidRPr="00FA5C8D">
        <w:rPr>
          <w:rFonts w:ascii="Book Antiqua" w:hAnsi="Book Antiqua" w:cs="Times New Roman"/>
          <w:sz w:val="24"/>
          <w:szCs w:val="24"/>
        </w:rPr>
        <w:t>VA</w:t>
      </w:r>
      <w:r w:rsidR="00721518" w:rsidRPr="00FA5C8D">
        <w:rPr>
          <w:rFonts w:ascii="Book Antiqua" w:hAnsi="Book Antiqua" w:cs="Times New Roman"/>
          <w:sz w:val="24"/>
          <w:szCs w:val="24"/>
        </w:rPr>
        <w:t xml:space="preserve"> were</w:t>
      </w:r>
      <w:r w:rsidRPr="00FA5C8D">
        <w:rPr>
          <w:rFonts w:ascii="Book Antiqua" w:hAnsi="Book Antiqua" w:cs="Times New Roman"/>
          <w:sz w:val="24"/>
          <w:szCs w:val="24"/>
        </w:rPr>
        <w:t xml:space="preserve"> 64</w:t>
      </w:r>
      <w:r w:rsidR="006203F0" w:rsidRPr="00FA5C8D">
        <w:rPr>
          <w:rFonts w:ascii="Book Antiqua" w:hAnsi="Book Antiqua" w:cs="Times New Roman"/>
          <w:sz w:val="24"/>
          <w:szCs w:val="24"/>
        </w:rPr>
        <w:t>.</w:t>
      </w:r>
      <w:r w:rsidRPr="00FA5C8D">
        <w:rPr>
          <w:rFonts w:ascii="Book Antiqua" w:hAnsi="Book Antiqua" w:cs="Times New Roman"/>
          <w:sz w:val="24"/>
          <w:szCs w:val="24"/>
        </w:rPr>
        <w:t>7%, 73</w:t>
      </w:r>
      <w:r w:rsidR="006203F0" w:rsidRPr="00FA5C8D">
        <w:rPr>
          <w:rFonts w:ascii="Book Antiqua" w:hAnsi="Book Antiqua" w:cs="Times New Roman"/>
          <w:sz w:val="24"/>
          <w:szCs w:val="24"/>
        </w:rPr>
        <w:t>.</w:t>
      </w:r>
      <w:r w:rsidRPr="00FA5C8D">
        <w:rPr>
          <w:rFonts w:ascii="Book Antiqua" w:hAnsi="Book Antiqua" w:cs="Times New Roman"/>
          <w:sz w:val="24"/>
          <w:szCs w:val="24"/>
        </w:rPr>
        <w:t>5%</w:t>
      </w:r>
      <w:r w:rsidR="001D1610" w:rsidRPr="00FA5C8D">
        <w:rPr>
          <w:rFonts w:ascii="Book Antiqua" w:hAnsi="Book Antiqua" w:cs="Times New Roman"/>
          <w:sz w:val="24"/>
          <w:szCs w:val="24"/>
        </w:rPr>
        <w:t>,</w:t>
      </w:r>
      <w:r w:rsidR="00C408C9">
        <w:rPr>
          <w:rFonts w:ascii="Book Antiqua" w:hAnsi="Book Antiqua" w:cs="Times New Roman"/>
          <w:sz w:val="24"/>
          <w:szCs w:val="24"/>
        </w:rPr>
        <w:t xml:space="preserve"> </w:t>
      </w:r>
      <w:r w:rsidR="007F09EE" w:rsidRPr="00FA5C8D">
        <w:rPr>
          <w:rFonts w:ascii="Book Antiqua" w:hAnsi="Book Antiqua" w:cs="Times New Roman"/>
          <w:sz w:val="24"/>
          <w:szCs w:val="24"/>
        </w:rPr>
        <w:t>45.8%</w:t>
      </w:r>
      <w:r w:rsidR="001D1610"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and </w:t>
      </w:r>
      <w:r w:rsidR="007F09EE" w:rsidRPr="00FA5C8D">
        <w:rPr>
          <w:rFonts w:ascii="Book Antiqua" w:hAnsi="Book Antiqua" w:cs="Times New Roman"/>
          <w:sz w:val="24"/>
          <w:szCs w:val="24"/>
        </w:rPr>
        <w:t>85.7</w:t>
      </w:r>
      <w:r w:rsidRPr="00FA5C8D">
        <w:rPr>
          <w:rFonts w:ascii="Book Antiqua" w:hAnsi="Book Antiqua" w:cs="Times New Roman"/>
          <w:sz w:val="24"/>
          <w:szCs w:val="24"/>
        </w:rPr>
        <w:t>%</w:t>
      </w:r>
      <w:r w:rsidR="001D1610" w:rsidRPr="00FA5C8D">
        <w:rPr>
          <w:rFonts w:ascii="Book Antiqua" w:hAnsi="Book Antiqua" w:cs="Times New Roman"/>
          <w:sz w:val="24"/>
          <w:szCs w:val="24"/>
        </w:rPr>
        <w:t>,</w:t>
      </w:r>
      <w:r w:rsidRPr="00FA5C8D">
        <w:rPr>
          <w:rFonts w:ascii="Book Antiqua" w:hAnsi="Book Antiqua" w:cs="Times New Roman"/>
          <w:sz w:val="24"/>
          <w:szCs w:val="24"/>
        </w:rPr>
        <w:t xml:space="preserve"> respectively.</w:t>
      </w:r>
      <w:r w:rsidR="00B9469F" w:rsidRPr="00FA5C8D">
        <w:rPr>
          <w:rFonts w:ascii="Book Antiqua" w:hAnsi="Book Antiqua" w:cs="Times New Roman"/>
          <w:sz w:val="24"/>
          <w:szCs w:val="24"/>
        </w:rPr>
        <w:t xml:space="preserve"> </w:t>
      </w:r>
      <w:r w:rsidR="00952CE5" w:rsidRPr="00FA5C8D">
        <w:rPr>
          <w:rFonts w:ascii="Book Antiqua" w:hAnsi="Book Antiqua" w:cs="Times New Roman"/>
          <w:sz w:val="24"/>
          <w:szCs w:val="24"/>
        </w:rPr>
        <w:t>The p</w:t>
      </w:r>
      <w:r w:rsidR="000A79DB" w:rsidRPr="00FA5C8D">
        <w:rPr>
          <w:rFonts w:ascii="Book Antiqua" w:hAnsi="Book Antiqua" w:cs="Times New Roman"/>
          <w:sz w:val="24"/>
          <w:szCs w:val="24"/>
        </w:rPr>
        <w:t xml:space="preserve">ositive predictive value of </w:t>
      </w:r>
      <w:r w:rsidR="00BA098E" w:rsidRPr="00FA5C8D">
        <w:rPr>
          <w:rFonts w:ascii="Book Antiqua" w:hAnsi="Book Antiqua" w:cs="Times New Roman"/>
          <w:sz w:val="24"/>
          <w:szCs w:val="24"/>
        </w:rPr>
        <w:t>diarrhea</w:t>
      </w:r>
      <w:r w:rsidR="000A79DB" w:rsidRPr="00FA5C8D">
        <w:rPr>
          <w:rFonts w:ascii="Book Antiqua" w:hAnsi="Book Antiqua" w:cs="Times New Roman"/>
          <w:sz w:val="24"/>
          <w:szCs w:val="24"/>
        </w:rPr>
        <w:t>, abdominal pain, sideropenia</w:t>
      </w:r>
      <w:r w:rsidR="00952CE5" w:rsidRPr="00FA5C8D">
        <w:rPr>
          <w:rFonts w:ascii="Book Antiqua" w:hAnsi="Book Antiqua" w:cs="Times New Roman"/>
          <w:sz w:val="24"/>
          <w:szCs w:val="24"/>
        </w:rPr>
        <w:t>,</w:t>
      </w:r>
      <w:r w:rsidR="000A79DB" w:rsidRPr="00FA5C8D">
        <w:rPr>
          <w:rFonts w:ascii="Book Antiqua" w:hAnsi="Book Antiqua" w:cs="Times New Roman"/>
          <w:sz w:val="24"/>
          <w:szCs w:val="24"/>
        </w:rPr>
        <w:t xml:space="preserve"> or anemia for </w:t>
      </w:r>
      <w:r w:rsidR="00022C39" w:rsidRPr="00FA5C8D">
        <w:rPr>
          <w:rFonts w:ascii="Book Antiqua" w:hAnsi="Book Antiqua" w:cs="Times New Roman"/>
          <w:sz w:val="24"/>
          <w:szCs w:val="24"/>
        </w:rPr>
        <w:t>VA</w:t>
      </w:r>
      <w:r w:rsidR="00B9469F" w:rsidRPr="00FA5C8D">
        <w:rPr>
          <w:rFonts w:ascii="Book Antiqua" w:hAnsi="Book Antiqua" w:cs="Times New Roman"/>
          <w:sz w:val="24"/>
          <w:szCs w:val="24"/>
        </w:rPr>
        <w:t xml:space="preserve"> </w:t>
      </w:r>
      <w:r w:rsidR="00721518" w:rsidRPr="00FA5C8D">
        <w:rPr>
          <w:rFonts w:ascii="Book Antiqua" w:hAnsi="Book Antiqua" w:cs="Times New Roman"/>
          <w:sz w:val="24"/>
          <w:szCs w:val="24"/>
        </w:rPr>
        <w:t>was</w:t>
      </w:r>
      <w:r w:rsidR="000A79DB" w:rsidRPr="00FA5C8D">
        <w:rPr>
          <w:rFonts w:ascii="Book Antiqua" w:hAnsi="Book Antiqua" w:cs="Times New Roman"/>
          <w:sz w:val="24"/>
          <w:szCs w:val="24"/>
        </w:rPr>
        <w:t xml:space="preserve"> low (</w:t>
      </w:r>
      <w:r w:rsidR="007E37D9" w:rsidRPr="00FA5C8D">
        <w:rPr>
          <w:rFonts w:ascii="Book Antiqua" w:hAnsi="Book Antiqua" w:cs="Times New Roman"/>
          <w:sz w:val="24"/>
          <w:szCs w:val="24"/>
        </w:rPr>
        <w:t>T</w:t>
      </w:r>
      <w:r w:rsidR="000A79DB" w:rsidRPr="00FA5C8D">
        <w:rPr>
          <w:rFonts w:ascii="Book Antiqua" w:hAnsi="Book Antiqua" w:cs="Times New Roman"/>
          <w:sz w:val="24"/>
          <w:szCs w:val="24"/>
        </w:rPr>
        <w:t xml:space="preserve">able </w:t>
      </w:r>
      <w:r w:rsidR="006E6969" w:rsidRPr="00FA5C8D">
        <w:rPr>
          <w:rFonts w:ascii="Book Antiqua" w:hAnsi="Book Antiqua" w:cs="Times New Roman"/>
          <w:sz w:val="24"/>
          <w:szCs w:val="24"/>
        </w:rPr>
        <w:t>6</w:t>
      </w:r>
      <w:r w:rsidR="000A79DB" w:rsidRPr="00FA5C8D">
        <w:rPr>
          <w:rFonts w:ascii="Book Antiqua" w:hAnsi="Book Antiqua" w:cs="Times New Roman"/>
          <w:sz w:val="24"/>
          <w:szCs w:val="24"/>
        </w:rPr>
        <w:t>)</w:t>
      </w:r>
      <w:r w:rsidR="000A79DB" w:rsidRPr="00FA5C8D">
        <w:rPr>
          <w:rFonts w:ascii="Book Antiqua" w:hAnsi="Book Antiqua" w:cs="Times New Roman"/>
          <w:bCs/>
          <w:sz w:val="24"/>
          <w:szCs w:val="24"/>
        </w:rPr>
        <w:t>.</w:t>
      </w:r>
      <w:r w:rsidR="00B9469F" w:rsidRPr="00FA5C8D">
        <w:rPr>
          <w:rFonts w:ascii="Book Antiqua" w:hAnsi="Book Antiqua" w:cs="Times New Roman"/>
          <w:bCs/>
          <w:sz w:val="24"/>
          <w:szCs w:val="24"/>
        </w:rPr>
        <w:t xml:space="preserve"> </w:t>
      </w:r>
      <w:r w:rsidR="00AB6919" w:rsidRPr="00FA5C8D">
        <w:rPr>
          <w:rFonts w:ascii="Book Antiqua" w:hAnsi="Book Antiqua" w:cs="Times New Roman"/>
          <w:bCs/>
          <w:sz w:val="24"/>
          <w:szCs w:val="24"/>
        </w:rPr>
        <w:t>The c</w:t>
      </w:r>
      <w:r w:rsidR="00C26759" w:rsidRPr="00FA5C8D">
        <w:rPr>
          <w:rFonts w:ascii="Book Antiqua" w:hAnsi="Book Antiqua" w:cs="Times New Roman"/>
          <w:bCs/>
          <w:sz w:val="24"/>
          <w:szCs w:val="24"/>
        </w:rPr>
        <w:t>ombination</w:t>
      </w:r>
      <w:r w:rsidR="009750B8" w:rsidRPr="00FA5C8D">
        <w:rPr>
          <w:rFonts w:ascii="Book Antiqua" w:hAnsi="Book Antiqua" w:cs="Times New Roman"/>
          <w:bCs/>
          <w:sz w:val="24"/>
          <w:szCs w:val="24"/>
        </w:rPr>
        <w:t xml:space="preserve"> of </w:t>
      </w:r>
      <w:r w:rsidR="00C01FCD" w:rsidRPr="00FA5C8D">
        <w:rPr>
          <w:rFonts w:ascii="Book Antiqua" w:hAnsi="Book Antiqua" w:cs="Times New Roman"/>
          <w:bCs/>
          <w:sz w:val="24"/>
          <w:szCs w:val="24"/>
        </w:rPr>
        <w:t>recalculated</w:t>
      </w:r>
      <w:r w:rsidR="009750B8" w:rsidRPr="00FA5C8D">
        <w:rPr>
          <w:rFonts w:ascii="Book Antiqua" w:hAnsi="Book Antiqua" w:cs="Times New Roman"/>
          <w:bCs/>
          <w:sz w:val="24"/>
          <w:szCs w:val="24"/>
        </w:rPr>
        <w:t xml:space="preserve"> cutoff values for </w:t>
      </w:r>
      <w:proofErr w:type="spellStart"/>
      <w:r w:rsidR="009750B8" w:rsidRPr="00FA5C8D">
        <w:rPr>
          <w:rFonts w:ascii="Book Antiqua" w:hAnsi="Book Antiqua" w:cs="Times New Roman"/>
          <w:bCs/>
          <w:sz w:val="24"/>
          <w:szCs w:val="24"/>
        </w:rPr>
        <w:t>aTTG</w:t>
      </w:r>
      <w:proofErr w:type="spellEnd"/>
      <w:r w:rsidR="009750B8" w:rsidRPr="00FA5C8D">
        <w:rPr>
          <w:rFonts w:ascii="Book Antiqua" w:hAnsi="Book Antiqua" w:cs="Times New Roman"/>
          <w:bCs/>
          <w:sz w:val="24"/>
          <w:szCs w:val="24"/>
        </w:rPr>
        <w:t xml:space="preserve"> IgA and </w:t>
      </w:r>
      <w:proofErr w:type="spellStart"/>
      <w:r w:rsidR="009750B8" w:rsidRPr="00FA5C8D">
        <w:rPr>
          <w:rFonts w:ascii="Book Antiqua" w:hAnsi="Book Antiqua" w:cs="Times New Roman"/>
          <w:bCs/>
          <w:sz w:val="24"/>
          <w:szCs w:val="24"/>
        </w:rPr>
        <w:t>aDGP</w:t>
      </w:r>
      <w:proofErr w:type="spellEnd"/>
      <w:r w:rsidR="009750B8" w:rsidRPr="00FA5C8D">
        <w:rPr>
          <w:rFonts w:ascii="Book Antiqua" w:hAnsi="Book Antiqua" w:cs="Times New Roman"/>
          <w:bCs/>
          <w:sz w:val="24"/>
          <w:szCs w:val="24"/>
        </w:rPr>
        <w:t xml:space="preserve"> IgA with small bowel</w:t>
      </w:r>
      <w:r w:rsidR="00C26759" w:rsidRPr="00FA5C8D">
        <w:rPr>
          <w:rFonts w:ascii="Book Antiqua" w:hAnsi="Book Antiqua" w:cs="Times New Roman"/>
          <w:bCs/>
          <w:sz w:val="24"/>
          <w:szCs w:val="24"/>
        </w:rPr>
        <w:t xml:space="preserve"> ultrasonography increase</w:t>
      </w:r>
      <w:r w:rsidR="00564190" w:rsidRPr="00FA5C8D">
        <w:rPr>
          <w:rFonts w:ascii="Book Antiqua" w:hAnsi="Book Antiqua" w:cs="Times New Roman"/>
          <w:bCs/>
          <w:sz w:val="24"/>
          <w:szCs w:val="24"/>
        </w:rPr>
        <w:t>d</w:t>
      </w:r>
      <w:r w:rsidR="00B9469F" w:rsidRPr="00FA5C8D">
        <w:rPr>
          <w:rFonts w:ascii="Book Antiqua" w:hAnsi="Book Antiqua" w:cs="Times New Roman"/>
          <w:bCs/>
          <w:sz w:val="24"/>
          <w:szCs w:val="24"/>
        </w:rPr>
        <w:t xml:space="preserve"> </w:t>
      </w:r>
      <w:r w:rsidR="009C13B3" w:rsidRPr="00FA5C8D">
        <w:rPr>
          <w:rFonts w:ascii="Book Antiqua" w:hAnsi="Book Antiqua" w:cs="Times New Roman"/>
          <w:bCs/>
          <w:sz w:val="24"/>
          <w:szCs w:val="24"/>
        </w:rPr>
        <w:t xml:space="preserve">the </w:t>
      </w:r>
      <w:r w:rsidR="00C26759" w:rsidRPr="00FA5C8D">
        <w:rPr>
          <w:rFonts w:ascii="Book Antiqua" w:hAnsi="Book Antiqua" w:cs="Times New Roman"/>
          <w:bCs/>
          <w:sz w:val="24"/>
          <w:szCs w:val="24"/>
        </w:rPr>
        <w:t xml:space="preserve">specificity and positive predictive value for VA prediction. Ultrasonography combined </w:t>
      </w:r>
      <w:bookmarkStart w:id="4" w:name="_Hlk27584066"/>
      <w:r w:rsidR="00C26759" w:rsidRPr="00FA5C8D">
        <w:rPr>
          <w:rFonts w:ascii="Book Antiqua" w:hAnsi="Book Antiqua" w:cs="Times New Roman"/>
          <w:bCs/>
          <w:sz w:val="24"/>
          <w:szCs w:val="24"/>
        </w:rPr>
        <w:t>with aTTG IgA reached 98% (95%CI</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 xml:space="preserve"> 89.2</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99.9) specificity and 88.9% (95%CI</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 xml:space="preserve"> 51.9</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 xml:space="preserve">98.3) positive predictive value, with </w:t>
      </w:r>
      <w:proofErr w:type="spellStart"/>
      <w:r w:rsidR="00C26759" w:rsidRPr="00FA5C8D">
        <w:rPr>
          <w:rFonts w:ascii="Book Antiqua" w:hAnsi="Book Antiqua" w:cs="Times New Roman"/>
          <w:bCs/>
          <w:sz w:val="24"/>
          <w:szCs w:val="24"/>
        </w:rPr>
        <w:t>aDGP</w:t>
      </w:r>
      <w:proofErr w:type="spellEnd"/>
      <w:r w:rsidR="00C26759" w:rsidRPr="00FA5C8D">
        <w:rPr>
          <w:rFonts w:ascii="Book Antiqua" w:hAnsi="Book Antiqua" w:cs="Times New Roman"/>
          <w:bCs/>
          <w:sz w:val="24"/>
          <w:szCs w:val="24"/>
        </w:rPr>
        <w:t xml:space="preserve"> IgA 97.8% (</w:t>
      </w:r>
      <w:r w:rsidR="007A61E4" w:rsidRPr="00FA5C8D">
        <w:rPr>
          <w:rFonts w:ascii="Book Antiqua" w:hAnsi="Book Antiqua" w:cs="Times New Roman"/>
          <w:bCs/>
          <w:sz w:val="24"/>
          <w:szCs w:val="24"/>
        </w:rPr>
        <w:t>95%CI</w:t>
      </w:r>
      <w:r w:rsidR="00360EDB" w:rsidRPr="00FA5C8D">
        <w:rPr>
          <w:rFonts w:ascii="Book Antiqua" w:hAnsi="Book Antiqua" w:cs="Times New Roman"/>
          <w:bCs/>
          <w:sz w:val="24"/>
          <w:szCs w:val="24"/>
        </w:rPr>
        <w:t>:</w:t>
      </w:r>
      <w:r w:rsidR="007A61E4" w:rsidRPr="00FA5C8D">
        <w:rPr>
          <w:rFonts w:ascii="Book Antiqua" w:hAnsi="Book Antiqua" w:cs="Times New Roman"/>
          <w:bCs/>
          <w:sz w:val="24"/>
          <w:szCs w:val="24"/>
        </w:rPr>
        <w:t xml:space="preserve"> </w:t>
      </w:r>
      <w:r w:rsidR="00C26759" w:rsidRPr="00FA5C8D">
        <w:rPr>
          <w:rFonts w:ascii="Book Antiqua" w:hAnsi="Book Antiqua" w:cs="Times New Roman"/>
          <w:bCs/>
          <w:sz w:val="24"/>
          <w:szCs w:val="24"/>
        </w:rPr>
        <w:t>88.5</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99.9) specificity and 90.0% (95%CI</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 xml:space="preserve"> 55.2</w:t>
      </w:r>
      <w:r w:rsidR="00360EDB" w:rsidRPr="00FA5C8D">
        <w:rPr>
          <w:rFonts w:ascii="Book Antiqua" w:hAnsi="Book Antiqua" w:cs="Times New Roman"/>
          <w:bCs/>
          <w:sz w:val="24"/>
          <w:szCs w:val="24"/>
        </w:rPr>
        <w:t>-</w:t>
      </w:r>
      <w:r w:rsidR="00C26759" w:rsidRPr="00FA5C8D">
        <w:rPr>
          <w:rFonts w:ascii="Book Antiqua" w:hAnsi="Book Antiqua" w:cs="Times New Roman"/>
          <w:bCs/>
          <w:sz w:val="24"/>
          <w:szCs w:val="24"/>
        </w:rPr>
        <w:t>98.5)</w:t>
      </w:r>
      <w:r w:rsidR="00063710" w:rsidRPr="00FA5C8D">
        <w:rPr>
          <w:rFonts w:ascii="Book Antiqua" w:hAnsi="Book Antiqua" w:cs="Times New Roman"/>
          <w:bCs/>
          <w:sz w:val="24"/>
          <w:szCs w:val="24"/>
        </w:rPr>
        <w:t xml:space="preserve"> p</w:t>
      </w:r>
      <w:r w:rsidR="00C26759" w:rsidRPr="00FA5C8D">
        <w:rPr>
          <w:rFonts w:ascii="Book Antiqua" w:hAnsi="Book Antiqua" w:cs="Times New Roman"/>
          <w:bCs/>
          <w:sz w:val="24"/>
          <w:szCs w:val="24"/>
        </w:rPr>
        <w:t>ositive predictive value</w:t>
      </w:r>
      <w:r w:rsidR="00E877C7" w:rsidRPr="00FA5C8D">
        <w:rPr>
          <w:rFonts w:ascii="Book Antiqua" w:hAnsi="Book Antiqua" w:cs="Times New Roman"/>
          <w:bCs/>
          <w:sz w:val="24"/>
          <w:szCs w:val="24"/>
        </w:rPr>
        <w:t xml:space="preserve">. </w:t>
      </w:r>
      <w:bookmarkEnd w:id="4"/>
      <w:r w:rsidR="00E877C7" w:rsidRPr="00FA5C8D">
        <w:rPr>
          <w:rFonts w:ascii="Book Antiqua" w:hAnsi="Book Antiqua" w:cs="Times New Roman"/>
          <w:bCs/>
          <w:sz w:val="24"/>
          <w:szCs w:val="24"/>
        </w:rPr>
        <w:t xml:space="preserve">Negative predictive value </w:t>
      </w:r>
      <w:r w:rsidR="00C01FCD" w:rsidRPr="00FA5C8D">
        <w:rPr>
          <w:rFonts w:ascii="Book Antiqua" w:hAnsi="Book Antiqua" w:cs="Times New Roman"/>
          <w:bCs/>
          <w:sz w:val="24"/>
          <w:szCs w:val="24"/>
        </w:rPr>
        <w:t>was</w:t>
      </w:r>
      <w:r w:rsidR="00E877C7" w:rsidRPr="00FA5C8D">
        <w:rPr>
          <w:rFonts w:ascii="Book Antiqua" w:hAnsi="Book Antiqua" w:cs="Times New Roman"/>
          <w:bCs/>
          <w:sz w:val="24"/>
          <w:szCs w:val="24"/>
        </w:rPr>
        <w:t xml:space="preserve"> slightly decreased, 84</w:t>
      </w:r>
      <w:r w:rsidR="004B15EC" w:rsidRPr="00FA5C8D">
        <w:rPr>
          <w:rFonts w:ascii="Book Antiqua" w:hAnsi="Book Antiqua" w:cs="Times New Roman"/>
          <w:bCs/>
          <w:sz w:val="24"/>
          <w:szCs w:val="24"/>
        </w:rPr>
        <w:t>.</w:t>
      </w:r>
      <w:r w:rsidR="00E877C7" w:rsidRPr="00FA5C8D">
        <w:rPr>
          <w:rFonts w:ascii="Book Antiqua" w:hAnsi="Book Antiqua" w:cs="Times New Roman"/>
          <w:bCs/>
          <w:sz w:val="24"/>
          <w:szCs w:val="24"/>
        </w:rPr>
        <w:t>2% (95%CI</w:t>
      </w:r>
      <w:r w:rsidR="00360EDB" w:rsidRPr="00FA5C8D">
        <w:rPr>
          <w:rFonts w:ascii="Book Antiqua" w:hAnsi="Book Antiqua" w:cs="Times New Roman"/>
          <w:bCs/>
          <w:sz w:val="24"/>
          <w:szCs w:val="24"/>
        </w:rPr>
        <w:t>:</w:t>
      </w:r>
      <w:r w:rsidR="00E877C7" w:rsidRPr="00FA5C8D">
        <w:rPr>
          <w:rFonts w:ascii="Book Antiqua" w:hAnsi="Book Antiqua" w:cs="Times New Roman"/>
          <w:bCs/>
          <w:sz w:val="24"/>
          <w:szCs w:val="24"/>
        </w:rPr>
        <w:t xml:space="preserve"> 77.3</w:t>
      </w:r>
      <w:r w:rsidR="00360EDB" w:rsidRPr="00FA5C8D">
        <w:rPr>
          <w:rFonts w:ascii="Book Antiqua" w:hAnsi="Book Antiqua" w:cs="Times New Roman"/>
          <w:bCs/>
          <w:sz w:val="24"/>
          <w:szCs w:val="24"/>
        </w:rPr>
        <w:t>-</w:t>
      </w:r>
      <w:r w:rsidR="00E877C7" w:rsidRPr="00FA5C8D">
        <w:rPr>
          <w:rFonts w:ascii="Book Antiqua" w:hAnsi="Book Antiqua" w:cs="Times New Roman"/>
          <w:bCs/>
          <w:sz w:val="24"/>
          <w:szCs w:val="24"/>
        </w:rPr>
        <w:t>89.3) and 84.9% (95%CI</w:t>
      </w:r>
      <w:r w:rsidR="00360EDB" w:rsidRPr="00FA5C8D">
        <w:rPr>
          <w:rFonts w:ascii="Book Antiqua" w:hAnsi="Book Antiqua" w:cs="Times New Roman"/>
          <w:bCs/>
          <w:sz w:val="24"/>
          <w:szCs w:val="24"/>
        </w:rPr>
        <w:t>:</w:t>
      </w:r>
      <w:r w:rsidR="00E877C7" w:rsidRPr="00FA5C8D">
        <w:rPr>
          <w:rFonts w:ascii="Book Antiqua" w:hAnsi="Book Antiqua" w:cs="Times New Roman"/>
          <w:bCs/>
          <w:sz w:val="24"/>
          <w:szCs w:val="24"/>
        </w:rPr>
        <w:t xml:space="preserve"> 77.2</w:t>
      </w:r>
      <w:r w:rsidR="00360EDB" w:rsidRPr="00FA5C8D">
        <w:rPr>
          <w:rFonts w:ascii="Book Antiqua" w:hAnsi="Book Antiqua" w:cs="Times New Roman"/>
          <w:bCs/>
          <w:sz w:val="24"/>
          <w:szCs w:val="24"/>
        </w:rPr>
        <w:t>-</w:t>
      </w:r>
      <w:r w:rsidR="00E877C7" w:rsidRPr="00FA5C8D">
        <w:rPr>
          <w:rFonts w:ascii="Book Antiqua" w:hAnsi="Book Antiqua" w:cs="Times New Roman"/>
          <w:bCs/>
          <w:sz w:val="24"/>
          <w:szCs w:val="24"/>
        </w:rPr>
        <w:t xml:space="preserve">90.3) for small bowel ultrasonography combined with </w:t>
      </w:r>
      <w:proofErr w:type="spellStart"/>
      <w:r w:rsidR="00E877C7" w:rsidRPr="00FA5C8D">
        <w:rPr>
          <w:rFonts w:ascii="Book Antiqua" w:hAnsi="Book Antiqua" w:cs="Times New Roman"/>
          <w:bCs/>
          <w:sz w:val="24"/>
          <w:szCs w:val="24"/>
        </w:rPr>
        <w:t>aTTG</w:t>
      </w:r>
      <w:proofErr w:type="spellEnd"/>
      <w:r w:rsidR="00E877C7" w:rsidRPr="00FA5C8D">
        <w:rPr>
          <w:rFonts w:ascii="Book Antiqua" w:hAnsi="Book Antiqua" w:cs="Times New Roman"/>
          <w:bCs/>
          <w:sz w:val="24"/>
          <w:szCs w:val="24"/>
        </w:rPr>
        <w:t xml:space="preserve"> IgA and </w:t>
      </w:r>
      <w:proofErr w:type="spellStart"/>
      <w:r w:rsidR="00E877C7" w:rsidRPr="00FA5C8D">
        <w:rPr>
          <w:rFonts w:ascii="Book Antiqua" w:hAnsi="Book Antiqua" w:cs="Times New Roman"/>
          <w:bCs/>
          <w:sz w:val="24"/>
          <w:szCs w:val="24"/>
        </w:rPr>
        <w:t>aDGP</w:t>
      </w:r>
      <w:proofErr w:type="spellEnd"/>
      <w:r w:rsidR="00E877C7" w:rsidRPr="00FA5C8D">
        <w:rPr>
          <w:rFonts w:ascii="Book Antiqua" w:hAnsi="Book Antiqua" w:cs="Times New Roman"/>
          <w:bCs/>
          <w:sz w:val="24"/>
          <w:szCs w:val="24"/>
        </w:rPr>
        <w:t xml:space="preserve"> IgA respectively</w:t>
      </w:r>
      <w:r w:rsidR="00B9469F" w:rsidRPr="00FA5C8D">
        <w:rPr>
          <w:rFonts w:ascii="Book Antiqua" w:hAnsi="Book Antiqua" w:cs="Times New Roman"/>
          <w:bCs/>
          <w:sz w:val="24"/>
          <w:szCs w:val="24"/>
        </w:rPr>
        <w:t xml:space="preserve"> </w:t>
      </w:r>
      <w:r w:rsidR="00B824BD" w:rsidRPr="00FA5C8D">
        <w:rPr>
          <w:rFonts w:ascii="Book Antiqua" w:hAnsi="Book Antiqua" w:cs="Times New Roman"/>
          <w:sz w:val="24"/>
          <w:szCs w:val="24"/>
        </w:rPr>
        <w:t>(</w:t>
      </w:r>
      <w:r w:rsidR="009069B2" w:rsidRPr="00FA5C8D">
        <w:rPr>
          <w:rFonts w:ascii="Book Antiqua" w:hAnsi="Book Antiqua" w:cs="Times New Roman"/>
          <w:sz w:val="24"/>
          <w:szCs w:val="24"/>
        </w:rPr>
        <w:t>T</w:t>
      </w:r>
      <w:r w:rsidR="00B824BD" w:rsidRPr="00FA5C8D">
        <w:rPr>
          <w:rFonts w:ascii="Book Antiqua" w:hAnsi="Book Antiqua" w:cs="Times New Roman"/>
          <w:sz w:val="24"/>
          <w:szCs w:val="24"/>
        </w:rPr>
        <w:t xml:space="preserve">able </w:t>
      </w:r>
      <w:r w:rsidR="000B3A33" w:rsidRPr="00FA5C8D">
        <w:rPr>
          <w:rFonts w:ascii="Book Antiqua" w:hAnsi="Book Antiqua" w:cs="Times New Roman"/>
          <w:sz w:val="24"/>
          <w:szCs w:val="24"/>
        </w:rPr>
        <w:t>5</w:t>
      </w:r>
      <w:r w:rsidR="00B824BD" w:rsidRPr="00FA5C8D">
        <w:rPr>
          <w:rFonts w:ascii="Book Antiqua" w:hAnsi="Book Antiqua" w:cs="Times New Roman"/>
          <w:sz w:val="24"/>
          <w:szCs w:val="24"/>
        </w:rPr>
        <w:t>)</w:t>
      </w:r>
      <w:r w:rsidR="00B824BD" w:rsidRPr="00FA5C8D">
        <w:rPr>
          <w:rFonts w:ascii="Book Antiqua" w:hAnsi="Book Antiqua" w:cs="Times New Roman"/>
          <w:bCs/>
          <w:sz w:val="24"/>
          <w:szCs w:val="24"/>
        </w:rPr>
        <w:t>.</w:t>
      </w:r>
    </w:p>
    <w:p w14:paraId="31598C0D" w14:textId="77777777" w:rsidR="00A445C3" w:rsidRPr="00FA5C8D" w:rsidRDefault="00A445C3" w:rsidP="00FA5C8D">
      <w:pPr>
        <w:snapToGrid w:val="0"/>
        <w:spacing w:after="0" w:line="360" w:lineRule="auto"/>
        <w:jc w:val="both"/>
        <w:rPr>
          <w:rFonts w:ascii="Book Antiqua" w:hAnsi="Book Antiqua" w:cs="Times New Roman"/>
          <w:bCs/>
          <w:sz w:val="24"/>
          <w:szCs w:val="24"/>
        </w:rPr>
      </w:pPr>
    </w:p>
    <w:p w14:paraId="535EA377" w14:textId="77777777" w:rsidR="0058298B" w:rsidRPr="00FA5C8D" w:rsidRDefault="0058298B" w:rsidP="00FA5C8D">
      <w:pPr>
        <w:pStyle w:val="Corpodeltesto"/>
        <w:widowControl w:val="0"/>
        <w:suppressAutoHyphens w:val="0"/>
        <w:snapToGrid w:val="0"/>
        <w:ind w:right="0"/>
        <w:rPr>
          <w:rFonts w:ascii="Book Antiqua" w:eastAsia="宋体" w:hAnsi="Book Antiqua"/>
          <w:color w:val="000000"/>
          <w:u w:val="single"/>
          <w:lang w:val="en-US" w:eastAsia="zh-CN"/>
        </w:rPr>
      </w:pPr>
      <w:r w:rsidRPr="00FA5C8D">
        <w:rPr>
          <w:rFonts w:ascii="Book Antiqua" w:hAnsi="Book Antiqua"/>
          <w:b/>
          <w:u w:val="single"/>
          <w:lang w:val="en-US"/>
        </w:rPr>
        <w:t>DISCUSSION</w:t>
      </w:r>
    </w:p>
    <w:p w14:paraId="70B1F6C7" w14:textId="77777777" w:rsidR="005C57BA" w:rsidRPr="00FA5C8D" w:rsidRDefault="00FD075C"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In our study</w:t>
      </w:r>
      <w:r w:rsidR="00471A9E" w:rsidRPr="00FA5C8D">
        <w:rPr>
          <w:rFonts w:ascii="Book Antiqua" w:hAnsi="Book Antiqua" w:cs="Times New Roman"/>
          <w:sz w:val="24"/>
          <w:szCs w:val="24"/>
        </w:rPr>
        <w:t>,</w:t>
      </w:r>
      <w:r w:rsidRPr="00FA5C8D">
        <w:rPr>
          <w:rFonts w:ascii="Book Antiqua" w:hAnsi="Book Antiqua" w:cs="Times New Roman"/>
          <w:sz w:val="24"/>
          <w:szCs w:val="24"/>
        </w:rPr>
        <w:t xml:space="preserve"> we searched for non-invasive markers of persistent </w:t>
      </w:r>
      <w:r w:rsidR="00050D99" w:rsidRPr="00FA5C8D">
        <w:rPr>
          <w:rFonts w:ascii="Book Antiqua" w:hAnsi="Book Antiqua" w:cs="Times New Roman"/>
          <w:sz w:val="24"/>
          <w:szCs w:val="24"/>
        </w:rPr>
        <w:t>VA</w:t>
      </w:r>
      <w:r w:rsidRPr="00FA5C8D">
        <w:rPr>
          <w:rFonts w:ascii="Book Antiqua" w:hAnsi="Book Antiqua" w:cs="Times New Roman"/>
          <w:sz w:val="24"/>
          <w:szCs w:val="24"/>
        </w:rPr>
        <w:t xml:space="preserve"> in pati</w:t>
      </w:r>
      <w:r w:rsidR="00C075B3" w:rsidRPr="00FA5C8D">
        <w:rPr>
          <w:rFonts w:ascii="Book Antiqua" w:hAnsi="Book Antiqua" w:cs="Times New Roman"/>
          <w:sz w:val="24"/>
          <w:szCs w:val="24"/>
        </w:rPr>
        <w:t>e</w:t>
      </w:r>
      <w:r w:rsidRPr="00FA5C8D">
        <w:rPr>
          <w:rFonts w:ascii="Book Antiqua" w:hAnsi="Book Antiqua" w:cs="Times New Roman"/>
          <w:sz w:val="24"/>
          <w:szCs w:val="24"/>
        </w:rPr>
        <w:t xml:space="preserve">nts with CD </w:t>
      </w:r>
      <w:r w:rsidR="00471A9E" w:rsidRPr="00FA5C8D">
        <w:rPr>
          <w:rFonts w:ascii="Book Antiqua" w:hAnsi="Book Antiqua" w:cs="Times New Roman"/>
          <w:sz w:val="24"/>
          <w:szCs w:val="24"/>
        </w:rPr>
        <w:t xml:space="preserve">who </w:t>
      </w:r>
      <w:r w:rsidR="00957C3B" w:rsidRPr="00FA5C8D">
        <w:rPr>
          <w:rFonts w:ascii="Book Antiqua" w:hAnsi="Book Antiqua" w:cs="Times New Roman"/>
          <w:sz w:val="24"/>
          <w:szCs w:val="24"/>
        </w:rPr>
        <w:t>claim</w:t>
      </w:r>
      <w:r w:rsidR="00513163" w:rsidRPr="00FA5C8D">
        <w:rPr>
          <w:rFonts w:ascii="Book Antiqua" w:hAnsi="Book Antiqua" w:cs="Times New Roman"/>
          <w:sz w:val="24"/>
          <w:szCs w:val="24"/>
        </w:rPr>
        <w:t>ed</w:t>
      </w:r>
      <w:r w:rsidR="00957C3B" w:rsidRPr="00FA5C8D">
        <w:rPr>
          <w:rFonts w:ascii="Book Antiqua" w:hAnsi="Book Antiqua" w:cs="Times New Roman"/>
          <w:sz w:val="24"/>
          <w:szCs w:val="24"/>
        </w:rPr>
        <w:t xml:space="preserve"> to adhere to </w:t>
      </w:r>
      <w:r w:rsidRPr="00FA5C8D">
        <w:rPr>
          <w:rFonts w:ascii="Book Antiqua" w:hAnsi="Book Antiqua" w:cs="Times New Roman"/>
          <w:sz w:val="24"/>
          <w:szCs w:val="24"/>
        </w:rPr>
        <w:t>GFD.</w:t>
      </w:r>
      <w:r w:rsidR="00B9469F" w:rsidRPr="00FA5C8D">
        <w:rPr>
          <w:rFonts w:ascii="Book Antiqua" w:hAnsi="Book Antiqua" w:cs="Times New Roman"/>
          <w:sz w:val="24"/>
          <w:szCs w:val="24"/>
        </w:rPr>
        <w:t xml:space="preserve"> </w:t>
      </w:r>
      <w:r w:rsidR="00957C3B" w:rsidRPr="00FA5C8D">
        <w:rPr>
          <w:rFonts w:ascii="Book Antiqua" w:hAnsi="Book Antiqua" w:cs="Times New Roman"/>
          <w:sz w:val="24"/>
          <w:szCs w:val="24"/>
        </w:rPr>
        <w:t xml:space="preserve">Persistent VA is one of the risk factors </w:t>
      </w:r>
      <w:r w:rsidR="00513163" w:rsidRPr="00FA5C8D">
        <w:rPr>
          <w:rFonts w:ascii="Book Antiqua" w:hAnsi="Book Antiqua" w:cs="Times New Roman"/>
          <w:sz w:val="24"/>
          <w:szCs w:val="24"/>
        </w:rPr>
        <w:t>for</w:t>
      </w:r>
      <w:r w:rsidR="00B9469F" w:rsidRPr="00FA5C8D">
        <w:rPr>
          <w:rFonts w:ascii="Book Antiqua" w:hAnsi="Book Antiqua" w:cs="Times New Roman"/>
          <w:sz w:val="24"/>
          <w:szCs w:val="24"/>
        </w:rPr>
        <w:t xml:space="preserve"> </w:t>
      </w:r>
      <w:r w:rsidR="00957C3B" w:rsidRPr="00FA5C8D">
        <w:rPr>
          <w:rFonts w:ascii="Book Antiqua" w:hAnsi="Book Antiqua" w:cs="Times New Roman"/>
          <w:sz w:val="24"/>
          <w:szCs w:val="24"/>
        </w:rPr>
        <w:t>lymphoproliferative malignancy</w:t>
      </w:r>
      <w:r w:rsidR="00185175" w:rsidRPr="00FA5C8D">
        <w:rPr>
          <w:rFonts w:ascii="Book Antiqua" w:hAnsi="Book Antiqua" w:cs="Times New Roman"/>
          <w:sz w:val="24"/>
          <w:szCs w:val="24"/>
        </w:rPr>
        <w:fldChar w:fldCharType="begin"/>
      </w:r>
      <w:r w:rsidR="006D2BAC" w:rsidRPr="00FA5C8D">
        <w:rPr>
          <w:rFonts w:ascii="Book Antiqua" w:hAnsi="Book Antiqua" w:cs="Times New Roman"/>
          <w:sz w:val="24"/>
          <w:szCs w:val="24"/>
        </w:rPr>
        <w:instrText xml:space="preserve"> ADDIN ZOTERO_ITEM CSL_CITATION {"citationID":"kwh357dJ","properties":{"formattedCitation":"\\super [12]\\nosupersub{}","plainCitation":"[12]","noteIndex":0},"citationItems":[{"id":1203,"uris":["http://zotero.org/users/4312189/items/XF7NWXDD"],"uri":["http://zotero.org/users/4312189/items/XF7NWXDD"],"itemData":{"id":1203,"type":"article-journal","abstract":"BACKGROUND: Celiac disease (CD) is associated with an increased risk for lymphoproliferative malignancy (LPM). Whether this risk is affected by the results of follow-up intestinal biopsy, performed to document mucosal healing, is unknown.\nOBJECTIVE: To examine the association between mucosal healing in CD and subsequent LPM.\nDESIGN: Population-based cohort study.\nSETTING: 28 pathology departments in Sweden.\nPATIENTS: 7625 patients with CD who had follow-up biopsy after initial diagnosis.\nMEASUREMENTS: The risk for LPM was compared with that of the general population by using expected rates. The rate of LPM in patients with persistent villous atrophy was compared with that of those with mucosal healing by using Cox regression.\nRESULTS: Among 7625 patients with CD and follow-up biopsy, 3308 (43%) had persistent villous atrophy. The overall risk for LPM was higher than that in the general population (standardized incidence ratio [SIR], 2.81 [95% CI, 2.10 to 3.67]) and was greater among patients with persistent villous atrophy (SIR, 3.78 [CI, 2.71 to 5.12]) than among those with mucosal healing (SIR, 1.50 [CI, 0.77 to 2.62]). Persistent villous atrophy compared with mucosal healing was associated with an increased risk for LPM (hazard ratio [HR], 2.26 [CI, 1.18 to 4.34]). The risk for T-cell lymphoma was increased (HR, 3.51 [CI, 0.75 to 16.34]) but not for B-cell lymphoma (HR, 0.97 [CI, 0.21 to 4.49]).\nLIMITATION: No data on dietary adherence.\nCONCLUSION: Increased risk for LPM in CD is associated with the follow-up biopsy results, with a higher risk among patients with persistent villous atrophy. Follow-up biopsy may effectively stratify patients with CD by risk for subsequent LPM.","container-title":"Annals of Internal Medicine","DOI":"10.7326/0003-4819-159-3-201308060-00006","ISSN":"1539-3704","issue":"3","journalAbbreviation":"Ann. Intern. Med.","language":"eng","note":"PMID: 23922062\nPMCID: PMC3788608","page":"169-175","source":"PubMed","title":"Mucosal healing and risk for lymphoproliferative malignancy in celiac disease: a population-based cohort study","title-short":"Mucosal healing and risk for lymphoproliferative malignancy in celiac disease","volume":"159","author":[{"family":"Lebwohl","given":"Benjamin"},{"family":"Granath","given":"Fredrik"},{"family":"Ekbom","given":"Anders"},{"family":"Smedby","given":"Karin E."},{"family":"Murray","given":"Joseph A."},{"family":"Neugut","given":"Alfred I."},{"family":"Green","given":"Peter H. R."},{"family":"Ludvigsson","given":"Jonas F."}],"issued":{"date-parts":[["2013",8,6]]}}}],"schema":"https://github.com/citation-style-language/schema/raw/master/csl-citation.json"} </w:instrText>
      </w:r>
      <w:r w:rsidR="00185175" w:rsidRPr="00FA5C8D">
        <w:rPr>
          <w:rFonts w:ascii="Book Antiqua" w:hAnsi="Book Antiqua" w:cs="Times New Roman"/>
          <w:sz w:val="24"/>
          <w:szCs w:val="24"/>
        </w:rPr>
        <w:fldChar w:fldCharType="separate"/>
      </w:r>
      <w:r w:rsidR="00957C3B" w:rsidRPr="00FA5C8D">
        <w:rPr>
          <w:rFonts w:ascii="Book Antiqua" w:hAnsi="Book Antiqua" w:cs="Times New Roman"/>
          <w:sz w:val="24"/>
          <w:szCs w:val="24"/>
          <w:vertAlign w:val="superscript"/>
        </w:rPr>
        <w:t>[12]</w:t>
      </w:r>
      <w:r w:rsidR="00185175" w:rsidRPr="00FA5C8D">
        <w:rPr>
          <w:rFonts w:ascii="Book Antiqua" w:hAnsi="Book Antiqua" w:cs="Times New Roman"/>
          <w:sz w:val="24"/>
          <w:szCs w:val="24"/>
        </w:rPr>
        <w:fldChar w:fldCharType="end"/>
      </w:r>
      <w:r w:rsidR="00957C3B" w:rsidRPr="00FA5C8D">
        <w:rPr>
          <w:rFonts w:ascii="Book Antiqua" w:hAnsi="Book Antiqua" w:cs="Times New Roman"/>
          <w:sz w:val="24"/>
          <w:szCs w:val="24"/>
        </w:rPr>
        <w:t xml:space="preserve"> and possibly higher mortality rates</w:t>
      </w:r>
      <w:r w:rsidR="00185175" w:rsidRPr="00FA5C8D">
        <w:rPr>
          <w:rFonts w:ascii="Book Antiqua" w:hAnsi="Book Antiqua" w:cs="Times New Roman"/>
          <w:sz w:val="24"/>
          <w:szCs w:val="24"/>
        </w:rPr>
        <w:fldChar w:fldCharType="begin"/>
      </w:r>
      <w:r w:rsidR="006D2BAC" w:rsidRPr="00FA5C8D">
        <w:rPr>
          <w:rFonts w:ascii="Book Antiqua" w:hAnsi="Book Antiqua" w:cs="Times New Roman"/>
          <w:sz w:val="24"/>
          <w:szCs w:val="24"/>
        </w:rPr>
        <w:instrText xml:space="preserve"> ADDIN ZOTERO_ITEM CSL_CITATION {"citationID":"z1zONzpe","properties":{"formattedCitation":"\\super [13]\\nosupersub{}","plainCitation":"[13]","noteIndex":0},"citationItems":[{"id":1077,"uris":["http://zotero.org/users/4312189/items/FTVYTFP8"],"uri":["http://zotero.org/users/4312189/items/FTVYTFP8"],"itemData":{"id":1077,"type":"article-journal","abstract":"OBJECTIVES:Clinical response is typically observed in most adults with celiac disease (CD) after treatment with a gluten-free diet (GFD). The rate of mucosal recovery is less certain. The aims of this study were (1) to estimate the rate of mucosal recovery after GFD in a cohort of adults with CD, and (2) to assess the clinical implications of persistent mucosal damage after GFD.METHODS:The study group included adults with biopsy-proven CD evaluated at the Mayo Clinic who had duodenal biopsies at diagnosis and at least one follow-up intestinal biopsy to assess mucosal recovery after starting a GFD. The primary outcomes of interest were mucosal recovery and all-cause mortality.RESULTS:Of 381 adults with biopsy-proven CD, 241 (73% women) had both a diagnostic and follow-up biopsy available for re-review. Among these 241, the Kaplan-Meier rate of confirmed mucosal recovery at 2 years following diagnosis was 34% (95% confidence interval (CI): 27-40%), and at 5 years was 66% (95% CI: 58-74%). Most patients (82%) had some clinical response to GFD, but it was not a reliable marker of mucosal recovery (P=0.7). Serological response was associated with confirmed mucosal recovery (P=0.01). Poor compliance to GFD (P&lt;0.01), severe CD defined by diarrhea and weight loss (P&lt;0.001), and total villous atrophy at diagnosis (P&lt;0.001) were strongly associated with persistent mucosal damage. There was a trend toward an association between achievement of mucosal recovery and a reduced rate of all-cause mortality (hazard ratio=0.13, 95% CI: 0.02-1.06, P=0.06), adjusted for gender and age.CONCLUSIONS:Mucosal recovery was absent in a substantial portion of adults with CD after treatment with a GFD. There was a borderline significant association between confirmed mucosal recovery (vs. persistent damage) and reduced mortality independent of age and gender. Systematic follow-up with intestinal biopsies may be advisable in patients diagnosed with CD as adults.","container-title":"The American Journal of Gastroenterology; New York","DOI":"http://dx.doi.org.ezproxy.muni.cz/10.1038/ajg.2010.10","ISSN":"00029270","issue":"6","language":"English","page":"1412-1420","source":"ProQuest","title":"Mucosal Recovery and Mortality in Adults With Celiac Disease After Treatment With a Gluten-Free Diet","volume":"105","author":[{"family":"Rubio-tapia","given":"Alberto"},{"family":"Rahim","given":"Mussarat W."},{"family":"See","given":"Jacalyn A."},{"family":"Lahr","given":"Brian D."},{"family":"Wu","given":"Tsung-teh"},{"family":"Murray","given":"Joseph A."}],"issued":{"date-parts":[["2010",6]]}}}],"schema":"https://github.com/citation-style-language/schema/raw/master/csl-citation.json"} </w:instrText>
      </w:r>
      <w:r w:rsidR="00185175" w:rsidRPr="00FA5C8D">
        <w:rPr>
          <w:rFonts w:ascii="Book Antiqua" w:hAnsi="Book Antiqua" w:cs="Times New Roman"/>
          <w:sz w:val="24"/>
          <w:szCs w:val="24"/>
        </w:rPr>
        <w:fldChar w:fldCharType="separate"/>
      </w:r>
      <w:r w:rsidR="00957C3B" w:rsidRPr="00FA5C8D">
        <w:rPr>
          <w:rFonts w:ascii="Book Antiqua" w:hAnsi="Book Antiqua" w:cs="Times New Roman"/>
          <w:sz w:val="24"/>
          <w:szCs w:val="24"/>
          <w:vertAlign w:val="superscript"/>
        </w:rPr>
        <w:t>[13]</w:t>
      </w:r>
      <w:r w:rsidR="00185175" w:rsidRPr="00FA5C8D">
        <w:rPr>
          <w:rFonts w:ascii="Book Antiqua" w:hAnsi="Book Antiqua" w:cs="Times New Roman"/>
          <w:sz w:val="24"/>
          <w:szCs w:val="24"/>
        </w:rPr>
        <w:fldChar w:fldCharType="end"/>
      </w:r>
      <w:r w:rsidR="00957C3B" w:rsidRPr="00FA5C8D">
        <w:rPr>
          <w:rFonts w:ascii="Book Antiqua" w:hAnsi="Book Antiqua" w:cs="Times New Roman"/>
          <w:sz w:val="24"/>
          <w:szCs w:val="24"/>
        </w:rPr>
        <w:t xml:space="preserve">, irrespective of the cause of VA. Identification of patients </w:t>
      </w:r>
      <w:r w:rsidR="00564190" w:rsidRPr="00FA5C8D">
        <w:rPr>
          <w:rFonts w:ascii="Book Antiqua" w:hAnsi="Book Antiqua" w:cs="Times New Roman"/>
          <w:sz w:val="24"/>
          <w:szCs w:val="24"/>
        </w:rPr>
        <w:t>at</w:t>
      </w:r>
      <w:r w:rsidR="00B9469F" w:rsidRPr="00FA5C8D">
        <w:rPr>
          <w:rFonts w:ascii="Book Antiqua" w:hAnsi="Book Antiqua" w:cs="Times New Roman"/>
          <w:sz w:val="24"/>
          <w:szCs w:val="24"/>
        </w:rPr>
        <w:t xml:space="preserve"> </w:t>
      </w:r>
      <w:r w:rsidR="00957C3B" w:rsidRPr="00FA5C8D">
        <w:rPr>
          <w:rFonts w:ascii="Book Antiqua" w:hAnsi="Book Antiqua" w:cs="Times New Roman"/>
          <w:sz w:val="24"/>
          <w:szCs w:val="24"/>
        </w:rPr>
        <w:t xml:space="preserve">higher risk of persistent VA could lead to </w:t>
      </w:r>
      <w:r w:rsidR="00957C3B" w:rsidRPr="00FA5C8D">
        <w:rPr>
          <w:rFonts w:ascii="Book Antiqua" w:hAnsi="Book Antiqua" w:cs="Times New Roman"/>
          <w:sz w:val="24"/>
          <w:szCs w:val="24"/>
        </w:rPr>
        <w:lastRenderedPageBreak/>
        <w:t>more personalized approach</w:t>
      </w:r>
      <w:r w:rsidR="00564190" w:rsidRPr="00FA5C8D">
        <w:rPr>
          <w:rFonts w:ascii="Book Antiqua" w:hAnsi="Book Antiqua" w:cs="Times New Roman"/>
          <w:sz w:val="24"/>
          <w:szCs w:val="24"/>
        </w:rPr>
        <w:t xml:space="preserve">es </w:t>
      </w:r>
      <w:r w:rsidR="00957C3B" w:rsidRPr="00FA5C8D">
        <w:rPr>
          <w:rFonts w:ascii="Book Antiqua" w:hAnsi="Book Antiqua" w:cs="Times New Roman"/>
          <w:sz w:val="24"/>
          <w:szCs w:val="24"/>
        </w:rPr>
        <w:t>and closer follow-up</w:t>
      </w:r>
      <w:r w:rsidR="00513163" w:rsidRPr="00FA5C8D">
        <w:rPr>
          <w:rFonts w:ascii="Book Antiqua" w:hAnsi="Book Antiqua" w:cs="Times New Roman"/>
          <w:sz w:val="24"/>
          <w:szCs w:val="24"/>
        </w:rPr>
        <w:t>s</w:t>
      </w:r>
      <w:r w:rsidR="00CA0858" w:rsidRPr="00FA5C8D">
        <w:rPr>
          <w:rFonts w:ascii="Book Antiqua" w:hAnsi="Book Antiqua" w:cs="Times New Roman"/>
          <w:sz w:val="24"/>
          <w:szCs w:val="24"/>
        </w:rPr>
        <w:t>, including repeated evaluation of adherence to GFD</w:t>
      </w:r>
      <w:r w:rsidR="00CA0858"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 xml:space="preserve">and </w:t>
      </w:r>
      <w:r w:rsidR="00CA0858" w:rsidRPr="00FA5C8D">
        <w:rPr>
          <w:rFonts w:ascii="Book Antiqua" w:hAnsi="Book Antiqua" w:cs="Times New Roman"/>
          <w:color w:val="000000"/>
          <w:sz w:val="24"/>
          <w:szCs w:val="24"/>
          <w:shd w:val="clear" w:color="auto" w:fill="FFFFFF"/>
        </w:rPr>
        <w:t>thorough search</w:t>
      </w:r>
      <w:r w:rsidR="00564190" w:rsidRPr="00FA5C8D">
        <w:rPr>
          <w:rFonts w:ascii="Book Antiqua" w:hAnsi="Book Antiqua" w:cs="Times New Roman"/>
          <w:color w:val="000000"/>
          <w:sz w:val="24"/>
          <w:szCs w:val="24"/>
          <w:shd w:val="clear" w:color="auto" w:fill="FFFFFF"/>
        </w:rPr>
        <w:t>es</w:t>
      </w:r>
      <w:r w:rsidR="00CA0858" w:rsidRPr="00FA5C8D">
        <w:rPr>
          <w:rFonts w:ascii="Book Antiqua" w:hAnsi="Book Antiqua" w:cs="Times New Roman"/>
          <w:color w:val="000000"/>
          <w:sz w:val="24"/>
          <w:szCs w:val="24"/>
          <w:shd w:val="clear" w:color="auto" w:fill="FFFFFF"/>
        </w:rPr>
        <w:t xml:space="preserve"> for nutritional deficiencies and complications of CD</w:t>
      </w:r>
      <w:r w:rsidR="00957C3B" w:rsidRPr="00FA5C8D">
        <w:rPr>
          <w:rFonts w:ascii="Book Antiqua" w:hAnsi="Book Antiqua" w:cs="Times New Roman"/>
          <w:sz w:val="24"/>
          <w:szCs w:val="24"/>
        </w:rPr>
        <w:t xml:space="preserve">. </w:t>
      </w:r>
      <w:r w:rsidR="00474C9B" w:rsidRPr="00FA5C8D">
        <w:rPr>
          <w:rFonts w:ascii="Book Antiqua" w:hAnsi="Book Antiqua" w:cs="Times New Roman"/>
          <w:sz w:val="24"/>
          <w:szCs w:val="24"/>
        </w:rPr>
        <w:t>Potential b</w:t>
      </w:r>
      <w:r w:rsidR="00B415C9" w:rsidRPr="00FA5C8D">
        <w:rPr>
          <w:rFonts w:ascii="Book Antiqua" w:hAnsi="Book Antiqua" w:cs="Times New Roman"/>
          <w:sz w:val="24"/>
          <w:szCs w:val="24"/>
        </w:rPr>
        <w:t xml:space="preserve">enefits of </w:t>
      </w:r>
      <w:r w:rsidR="00513163" w:rsidRPr="00FA5C8D">
        <w:rPr>
          <w:rFonts w:ascii="Book Antiqua" w:hAnsi="Book Antiqua" w:cs="Times New Roman"/>
          <w:sz w:val="24"/>
          <w:szCs w:val="24"/>
        </w:rPr>
        <w:t xml:space="preserve">a </w:t>
      </w:r>
      <w:r w:rsidR="00B415C9" w:rsidRPr="00FA5C8D">
        <w:rPr>
          <w:rFonts w:ascii="Book Antiqua" w:hAnsi="Book Antiqua" w:cs="Times New Roman"/>
          <w:sz w:val="24"/>
          <w:szCs w:val="24"/>
        </w:rPr>
        <w:t>re</w:t>
      </w:r>
      <w:r w:rsidR="00513163" w:rsidRPr="00FA5C8D">
        <w:rPr>
          <w:rFonts w:ascii="Book Antiqua" w:hAnsi="Book Antiqua" w:cs="Times New Roman"/>
          <w:sz w:val="24"/>
          <w:szCs w:val="24"/>
        </w:rPr>
        <w:t xml:space="preserve">peated </w:t>
      </w:r>
      <w:r w:rsidR="00B415C9" w:rsidRPr="00FA5C8D">
        <w:rPr>
          <w:rFonts w:ascii="Book Antiqua" w:hAnsi="Book Antiqua" w:cs="Times New Roman"/>
          <w:sz w:val="24"/>
          <w:szCs w:val="24"/>
        </w:rPr>
        <w:t>biopsy are broadly discussed</w:t>
      </w:r>
      <w:r w:rsidR="00185175" w:rsidRPr="00FA5C8D">
        <w:rPr>
          <w:rFonts w:ascii="Book Antiqua" w:hAnsi="Book Antiqua" w:cs="Times New Roman"/>
          <w:sz w:val="24"/>
          <w:szCs w:val="24"/>
        </w:rPr>
        <w:fldChar w:fldCharType="begin"/>
      </w:r>
      <w:r w:rsidR="006D2BAC" w:rsidRPr="00FA5C8D">
        <w:rPr>
          <w:rFonts w:ascii="Book Antiqua" w:hAnsi="Book Antiqua" w:cs="Times New Roman"/>
          <w:sz w:val="24"/>
          <w:szCs w:val="24"/>
        </w:rPr>
        <w:instrText xml:space="preserve"> ADDIN ZOTERO_ITEM CSL_CITATION {"citationID":"DOiuBatE","properties":{"formattedCitation":"\\super [2]\\nosupersub{}","plainCitation":"[2]","noteIndex":0},"citationItems":[{"id":1179,"uris":["http://zotero.org/users/4312189/items/I9QBU2UR"],"uri":["http://zotero.org/users/4312189/items/I9QBU2UR"],"itemData":{"id":1179,"type":"article-journal","abstract":"BACKGROUND: The majority of deleterious health consequences of coeliac disease (CD) are most likely to be secondary to intestinal inflammation; hence, mucosal recovery is a desirable goal of therapy. Follow-up in CD is controversial and serological response is often used as a surrogate for histological recovery.\nAIMS: To inform the clinical management of CD using comparative serological and histological data from a biopsy-driven pathway of care.\nMETHODS: A retrospective analysis of the Cambridge Coeliac Clinic database of 595 patients routinely followed up by biopsy and serology.\nRESULTS: Paired biopsy results were available for 391 patients (15% seronegative). Persisting villous atrophy (VA) occurred in 182 patients (47%). The sensitivity of anti-tissue transglutaminase (TTG) antibody for ongoing VA was only 43.6%. Information on dietetic management and further biopsy to assess response was available for 94 initially unresponsive patients, in whom targeted dietetic intervention by removal of identified gluten sources or avoidance of trace amounts of gluten led to resolution of persistent VA in 50%. The effects of institution of a formal care pathway are analysed in 298 patients. Discharge to primary care and clinical management was facilitated by the information derived from repeat biopsy.\nCONCLUSIONS: Serology appears to be a poor surrogate marker for mucosal recovery on a gluten-free diet; dietary assessment fails to identify a potential gluten source in many patients with ongoing villous atrophy. The benefits of re-biopsy on diet include stratification of patients with coeliac disease suitable for early discharge from secondary care or those requiring more intensive clinical management.","container-title":"Alimentary Pharmacology &amp; Therapeutics","DOI":"10.1111/apt.12510","ISSN":"1365-2036","issue":"10","journalAbbreviation":"Aliment. Pharmacol. Ther.","language":"eng","note":"PMID: 24117503","page":"1278-1291","source":"PubMed","title":"Optimising delivery of care in coeliac disease - comparison of the benefits of repeat biopsy and serological follow-up","volume":"38","author":[{"family":"Sharkey","given":"L. M."},{"family":"Corbett","given":"G."},{"family":"Currie","given":"E."},{"family":"Lee","given":"J."},{"family":"Sweeney","given":"N."},{"family":"Woodward","given":"J. M."}],"issued":{"date-parts":[["2013",11]]}}}],"schema":"https://github.com/citation-style-language/schema/raw/master/csl-citation.json"} </w:instrText>
      </w:r>
      <w:r w:rsidR="00185175" w:rsidRPr="00FA5C8D">
        <w:rPr>
          <w:rFonts w:ascii="Book Antiqua" w:hAnsi="Book Antiqua" w:cs="Times New Roman"/>
          <w:sz w:val="24"/>
          <w:szCs w:val="24"/>
        </w:rPr>
        <w:fldChar w:fldCharType="separate"/>
      </w:r>
      <w:r w:rsidR="006D2BAC" w:rsidRPr="00FA5C8D">
        <w:rPr>
          <w:rFonts w:ascii="Book Antiqua" w:hAnsi="Book Antiqua" w:cs="Times New Roman"/>
          <w:sz w:val="24"/>
          <w:szCs w:val="24"/>
          <w:vertAlign w:val="superscript"/>
        </w:rPr>
        <w:t>[2]</w:t>
      </w:r>
      <w:r w:rsidR="00185175" w:rsidRPr="00FA5C8D">
        <w:rPr>
          <w:rFonts w:ascii="Book Antiqua" w:hAnsi="Book Antiqua" w:cs="Times New Roman"/>
          <w:sz w:val="24"/>
          <w:szCs w:val="24"/>
        </w:rPr>
        <w:fldChar w:fldCharType="end"/>
      </w:r>
      <w:r w:rsidR="00E856BF" w:rsidRPr="00FA5C8D">
        <w:rPr>
          <w:rFonts w:ascii="Book Antiqua" w:hAnsi="Book Antiqua" w:cs="Times New Roman"/>
          <w:sz w:val="24"/>
          <w:szCs w:val="24"/>
        </w:rPr>
        <w:t>. Any non-invasive method that can</w:t>
      </w:r>
      <w:r w:rsidR="00B9469F" w:rsidRPr="00FA5C8D">
        <w:rPr>
          <w:rFonts w:ascii="Book Antiqua" w:hAnsi="Book Antiqua" w:cs="Times New Roman"/>
          <w:sz w:val="24"/>
          <w:szCs w:val="24"/>
        </w:rPr>
        <w:t xml:space="preserve"> </w:t>
      </w:r>
      <w:r w:rsidR="00514D3C" w:rsidRPr="00FA5C8D">
        <w:rPr>
          <w:rFonts w:ascii="Book Antiqua" w:hAnsi="Book Antiqua" w:cs="Times New Roman"/>
          <w:sz w:val="24"/>
          <w:szCs w:val="24"/>
        </w:rPr>
        <w:t xml:space="preserve">facilitate </w:t>
      </w:r>
      <w:r w:rsidR="00564190" w:rsidRPr="00FA5C8D">
        <w:rPr>
          <w:rFonts w:ascii="Book Antiqua" w:hAnsi="Book Antiqua" w:cs="Times New Roman"/>
          <w:sz w:val="24"/>
          <w:szCs w:val="24"/>
        </w:rPr>
        <w:t>creating</w:t>
      </w:r>
      <w:r w:rsidR="00B9469F" w:rsidRPr="00FA5C8D">
        <w:rPr>
          <w:rFonts w:ascii="Book Antiqua" w:hAnsi="Book Antiqua" w:cs="Times New Roman"/>
          <w:sz w:val="24"/>
          <w:szCs w:val="24"/>
        </w:rPr>
        <w:t xml:space="preserve"> </w:t>
      </w:r>
      <w:r w:rsidR="00391EAD" w:rsidRPr="00FA5C8D">
        <w:rPr>
          <w:rFonts w:ascii="Book Antiqua" w:hAnsi="Book Antiqua" w:cs="Times New Roman"/>
          <w:sz w:val="24"/>
          <w:szCs w:val="24"/>
        </w:rPr>
        <w:t>indication</w:t>
      </w:r>
      <w:r w:rsidR="00564190" w:rsidRPr="00FA5C8D">
        <w:rPr>
          <w:rFonts w:ascii="Book Antiqua" w:hAnsi="Book Antiqua" w:cs="Times New Roman"/>
          <w:sz w:val="24"/>
          <w:szCs w:val="24"/>
        </w:rPr>
        <w:t>s</w:t>
      </w:r>
      <w:r w:rsidR="00391EAD" w:rsidRPr="00FA5C8D">
        <w:rPr>
          <w:rFonts w:ascii="Book Antiqua" w:hAnsi="Book Antiqua" w:cs="Times New Roman"/>
          <w:sz w:val="24"/>
          <w:szCs w:val="24"/>
        </w:rPr>
        <w:t xml:space="preserve"> for re</w:t>
      </w:r>
      <w:r w:rsidR="00513163" w:rsidRPr="00FA5C8D">
        <w:rPr>
          <w:rFonts w:ascii="Book Antiqua" w:hAnsi="Book Antiqua" w:cs="Times New Roman"/>
          <w:sz w:val="24"/>
          <w:szCs w:val="24"/>
        </w:rPr>
        <w:t xml:space="preserve">peated </w:t>
      </w:r>
      <w:r w:rsidR="00391EAD" w:rsidRPr="00FA5C8D">
        <w:rPr>
          <w:rFonts w:ascii="Book Antiqua" w:hAnsi="Book Antiqua" w:cs="Times New Roman"/>
          <w:sz w:val="24"/>
          <w:szCs w:val="24"/>
        </w:rPr>
        <w:t xml:space="preserve">biopsy or </w:t>
      </w:r>
      <w:r w:rsidR="00513163" w:rsidRPr="00FA5C8D">
        <w:rPr>
          <w:rFonts w:ascii="Book Antiqua" w:hAnsi="Book Antiqua" w:cs="Times New Roman"/>
          <w:sz w:val="24"/>
          <w:szCs w:val="24"/>
        </w:rPr>
        <w:t xml:space="preserve">facilitate </w:t>
      </w:r>
      <w:r w:rsidR="00934747" w:rsidRPr="00FA5C8D">
        <w:rPr>
          <w:rFonts w:ascii="Book Antiqua" w:hAnsi="Book Antiqua" w:cs="Times New Roman"/>
          <w:sz w:val="24"/>
          <w:szCs w:val="24"/>
        </w:rPr>
        <w:t xml:space="preserve">discharge of patients </w:t>
      </w:r>
      <w:r w:rsidR="00513163" w:rsidRPr="00FA5C8D">
        <w:rPr>
          <w:rFonts w:ascii="Book Antiqua" w:hAnsi="Book Antiqua" w:cs="Times New Roman"/>
          <w:sz w:val="24"/>
          <w:szCs w:val="24"/>
        </w:rPr>
        <w:t xml:space="preserve">that tested negative </w:t>
      </w:r>
      <w:r w:rsidR="00934747" w:rsidRPr="00FA5C8D">
        <w:rPr>
          <w:rFonts w:ascii="Book Antiqua" w:hAnsi="Book Antiqua" w:cs="Times New Roman"/>
          <w:sz w:val="24"/>
          <w:szCs w:val="24"/>
        </w:rPr>
        <w:t xml:space="preserve">from </w:t>
      </w:r>
      <w:r w:rsidR="00DB7A32" w:rsidRPr="00FA5C8D">
        <w:rPr>
          <w:rFonts w:ascii="Book Antiqua" w:hAnsi="Book Antiqua" w:cs="Times New Roman"/>
          <w:sz w:val="24"/>
          <w:szCs w:val="24"/>
        </w:rPr>
        <w:t xml:space="preserve">specific </w:t>
      </w:r>
      <w:r w:rsidR="00934747" w:rsidRPr="00FA5C8D">
        <w:rPr>
          <w:rFonts w:ascii="Book Antiqua" w:hAnsi="Book Antiqua" w:cs="Times New Roman"/>
          <w:sz w:val="24"/>
          <w:szCs w:val="24"/>
        </w:rPr>
        <w:t>gastroenterological</w:t>
      </w:r>
      <w:r w:rsidR="00B9469F" w:rsidRPr="00FA5C8D">
        <w:rPr>
          <w:rFonts w:ascii="Book Antiqua" w:hAnsi="Book Antiqua" w:cs="Times New Roman"/>
          <w:sz w:val="24"/>
          <w:szCs w:val="24"/>
        </w:rPr>
        <w:t xml:space="preserve"> </w:t>
      </w:r>
      <w:r w:rsidR="006F4954" w:rsidRPr="00FA5C8D">
        <w:rPr>
          <w:rFonts w:ascii="Book Antiqua" w:hAnsi="Book Antiqua" w:cs="Times New Roman"/>
          <w:sz w:val="24"/>
          <w:szCs w:val="24"/>
        </w:rPr>
        <w:t xml:space="preserve">care </w:t>
      </w:r>
      <w:r w:rsidR="00564190" w:rsidRPr="00FA5C8D">
        <w:rPr>
          <w:rFonts w:ascii="Book Antiqua" w:hAnsi="Book Antiqua" w:cs="Times New Roman"/>
          <w:sz w:val="24"/>
          <w:szCs w:val="24"/>
        </w:rPr>
        <w:t>would be helpful</w:t>
      </w:r>
      <w:r w:rsidR="00010281"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143807" w:rsidRPr="00FA5C8D">
        <w:rPr>
          <w:rFonts w:ascii="Book Antiqua" w:hAnsi="Book Antiqua" w:cs="Times New Roman"/>
          <w:sz w:val="24"/>
          <w:szCs w:val="24"/>
        </w:rPr>
        <w:t>Serology and</w:t>
      </w:r>
      <w:r w:rsidR="00D45654" w:rsidRPr="00FA5C8D">
        <w:rPr>
          <w:rFonts w:ascii="Book Antiqua" w:hAnsi="Book Antiqua" w:cs="Times New Roman"/>
          <w:sz w:val="24"/>
          <w:szCs w:val="24"/>
        </w:rPr>
        <w:t xml:space="preserve"> ultrasonography </w:t>
      </w:r>
      <w:r w:rsidR="00B92A65" w:rsidRPr="00FA5C8D">
        <w:rPr>
          <w:rFonts w:ascii="Book Antiqua" w:hAnsi="Book Antiqua" w:cs="Times New Roman"/>
          <w:sz w:val="24"/>
          <w:szCs w:val="24"/>
        </w:rPr>
        <w:t xml:space="preserve">are </w:t>
      </w:r>
      <w:r w:rsidR="00143807" w:rsidRPr="00FA5C8D">
        <w:rPr>
          <w:rFonts w:ascii="Book Antiqua" w:hAnsi="Book Antiqua" w:cs="Times New Roman"/>
          <w:sz w:val="24"/>
          <w:szCs w:val="24"/>
        </w:rPr>
        <w:t xml:space="preserve">considered </w:t>
      </w:r>
      <w:r w:rsidR="00B92A65" w:rsidRPr="00FA5C8D">
        <w:rPr>
          <w:rFonts w:ascii="Book Antiqua" w:hAnsi="Book Antiqua" w:cs="Times New Roman"/>
          <w:sz w:val="24"/>
          <w:szCs w:val="24"/>
        </w:rPr>
        <w:t>no</w:t>
      </w:r>
      <w:r w:rsidR="00143807" w:rsidRPr="00FA5C8D">
        <w:rPr>
          <w:rFonts w:ascii="Book Antiqua" w:hAnsi="Book Antiqua" w:cs="Times New Roman"/>
          <w:sz w:val="24"/>
          <w:szCs w:val="24"/>
        </w:rPr>
        <w:t>n-sensitive</w:t>
      </w:r>
      <w:r w:rsidR="00D45654" w:rsidRPr="00FA5C8D">
        <w:rPr>
          <w:rFonts w:ascii="Book Antiqua" w:hAnsi="Book Antiqua" w:cs="Times New Roman"/>
          <w:sz w:val="24"/>
          <w:szCs w:val="24"/>
        </w:rPr>
        <w:t xml:space="preserve"> markers of </w:t>
      </w:r>
      <w:r w:rsidR="001E58D1" w:rsidRPr="00FA5C8D">
        <w:rPr>
          <w:rFonts w:ascii="Book Antiqua" w:hAnsi="Book Antiqua" w:cs="Times New Roman"/>
          <w:sz w:val="24"/>
          <w:szCs w:val="24"/>
        </w:rPr>
        <w:t>persistent</w:t>
      </w:r>
      <w:r w:rsidR="00B9469F" w:rsidRPr="00FA5C8D">
        <w:rPr>
          <w:rFonts w:ascii="Book Antiqua" w:hAnsi="Book Antiqua" w:cs="Times New Roman"/>
          <w:sz w:val="24"/>
          <w:szCs w:val="24"/>
        </w:rPr>
        <w:t xml:space="preserve"> </w:t>
      </w:r>
      <w:r w:rsidR="00022C39" w:rsidRPr="00FA5C8D">
        <w:rPr>
          <w:rFonts w:ascii="Book Antiqua" w:hAnsi="Book Antiqua" w:cs="Times New Roman"/>
          <w:sz w:val="24"/>
          <w:szCs w:val="24"/>
        </w:rPr>
        <w:t>VA</w:t>
      </w:r>
      <w:r w:rsidR="00D45654" w:rsidRPr="00FA5C8D">
        <w:rPr>
          <w:rFonts w:ascii="Book Antiqua" w:hAnsi="Book Antiqua" w:cs="Times New Roman"/>
          <w:sz w:val="24"/>
          <w:szCs w:val="24"/>
        </w:rPr>
        <w:t>. In our study</w:t>
      </w:r>
      <w:r w:rsidR="0072065F" w:rsidRPr="00FA5C8D">
        <w:rPr>
          <w:rFonts w:ascii="Book Antiqua" w:hAnsi="Book Antiqua" w:cs="Times New Roman"/>
          <w:sz w:val="24"/>
          <w:szCs w:val="24"/>
        </w:rPr>
        <w:t>,</w:t>
      </w:r>
      <w:r w:rsidR="00D45654" w:rsidRPr="00FA5C8D">
        <w:rPr>
          <w:rFonts w:ascii="Book Antiqua" w:hAnsi="Book Antiqua" w:cs="Times New Roman"/>
          <w:sz w:val="24"/>
          <w:szCs w:val="24"/>
        </w:rPr>
        <w:t xml:space="preserve"> we </w:t>
      </w:r>
      <w:r w:rsidR="00143807" w:rsidRPr="00FA5C8D">
        <w:rPr>
          <w:rFonts w:ascii="Book Antiqua" w:hAnsi="Book Antiqua" w:cs="Times New Roman"/>
          <w:sz w:val="24"/>
          <w:szCs w:val="24"/>
        </w:rPr>
        <w:t>demonstrated</w:t>
      </w:r>
      <w:r w:rsidR="00B9469F" w:rsidRPr="00FA5C8D">
        <w:rPr>
          <w:rFonts w:ascii="Book Antiqua" w:hAnsi="Book Antiqua" w:cs="Times New Roman"/>
          <w:sz w:val="24"/>
          <w:szCs w:val="24"/>
        </w:rPr>
        <w:t xml:space="preserve"> </w:t>
      </w:r>
      <w:r w:rsidR="00DF3C90" w:rsidRPr="00FA5C8D">
        <w:rPr>
          <w:rFonts w:ascii="Book Antiqua" w:hAnsi="Book Antiqua" w:cs="Times New Roman"/>
          <w:sz w:val="24"/>
          <w:szCs w:val="24"/>
        </w:rPr>
        <w:t>50</w:t>
      </w:r>
      <w:r w:rsidR="00D45654" w:rsidRPr="00FA5C8D">
        <w:rPr>
          <w:rFonts w:ascii="Book Antiqua" w:hAnsi="Book Antiqua" w:cs="Times New Roman"/>
          <w:sz w:val="24"/>
          <w:szCs w:val="24"/>
        </w:rPr>
        <w:t>% sensitivity and 85</w:t>
      </w:r>
      <w:r w:rsidR="006203F0" w:rsidRPr="00FA5C8D">
        <w:rPr>
          <w:rFonts w:ascii="Book Antiqua" w:hAnsi="Book Antiqua" w:cs="Times New Roman"/>
          <w:sz w:val="24"/>
          <w:szCs w:val="24"/>
        </w:rPr>
        <w:t>.</w:t>
      </w:r>
      <w:r w:rsidR="00DF3C90" w:rsidRPr="00FA5C8D">
        <w:rPr>
          <w:rFonts w:ascii="Book Antiqua" w:hAnsi="Book Antiqua" w:cs="Times New Roman"/>
          <w:sz w:val="24"/>
          <w:szCs w:val="24"/>
        </w:rPr>
        <w:t>7</w:t>
      </w:r>
      <w:r w:rsidR="00D45654" w:rsidRPr="00FA5C8D">
        <w:rPr>
          <w:rFonts w:ascii="Book Antiqua" w:hAnsi="Book Antiqua" w:cs="Times New Roman"/>
          <w:sz w:val="24"/>
          <w:szCs w:val="24"/>
        </w:rPr>
        <w:t>% specificity for aTTG and 77</w:t>
      </w:r>
      <w:r w:rsidR="006203F0" w:rsidRPr="00FA5C8D">
        <w:rPr>
          <w:rFonts w:ascii="Book Antiqua" w:hAnsi="Book Antiqua" w:cs="Times New Roman"/>
          <w:sz w:val="24"/>
          <w:szCs w:val="24"/>
        </w:rPr>
        <w:t>.</w:t>
      </w:r>
      <w:r w:rsidR="00D45654" w:rsidRPr="00FA5C8D">
        <w:rPr>
          <w:rFonts w:ascii="Book Antiqua" w:hAnsi="Book Antiqua" w:cs="Times New Roman"/>
          <w:sz w:val="24"/>
          <w:szCs w:val="24"/>
        </w:rPr>
        <w:t>8% sensitivity and 7</w:t>
      </w:r>
      <w:r w:rsidR="00DF3C90" w:rsidRPr="00FA5C8D">
        <w:rPr>
          <w:rFonts w:ascii="Book Antiqua" w:hAnsi="Book Antiqua" w:cs="Times New Roman"/>
          <w:sz w:val="24"/>
          <w:szCs w:val="24"/>
        </w:rPr>
        <w:t>5</w:t>
      </w:r>
      <w:r w:rsidR="00C075B3" w:rsidRPr="00FA5C8D">
        <w:rPr>
          <w:rFonts w:ascii="Book Antiqua" w:hAnsi="Book Antiqua" w:cs="Times New Roman"/>
          <w:sz w:val="24"/>
          <w:szCs w:val="24"/>
        </w:rPr>
        <w:t xml:space="preserve">% </w:t>
      </w:r>
      <w:r w:rsidR="00143807" w:rsidRPr="00FA5C8D">
        <w:rPr>
          <w:rFonts w:ascii="Book Antiqua" w:hAnsi="Book Antiqua" w:cs="Times New Roman"/>
          <w:sz w:val="24"/>
          <w:szCs w:val="24"/>
        </w:rPr>
        <w:t>specificity for</w:t>
      </w:r>
      <w:r w:rsidR="00B9469F" w:rsidRPr="00FA5C8D">
        <w:rPr>
          <w:rFonts w:ascii="Book Antiqua" w:hAnsi="Book Antiqua" w:cs="Times New Roman"/>
          <w:sz w:val="24"/>
          <w:szCs w:val="24"/>
        </w:rPr>
        <w:t xml:space="preserve"> </w:t>
      </w:r>
      <w:proofErr w:type="spellStart"/>
      <w:r w:rsidR="00D45654" w:rsidRPr="00FA5C8D">
        <w:rPr>
          <w:rFonts w:ascii="Book Antiqua" w:hAnsi="Book Antiqua" w:cs="Times New Roman"/>
          <w:sz w:val="24"/>
          <w:szCs w:val="24"/>
        </w:rPr>
        <w:t>aDGP</w:t>
      </w:r>
      <w:proofErr w:type="spellEnd"/>
      <w:r w:rsidR="00232BE0" w:rsidRPr="00FA5C8D">
        <w:rPr>
          <w:rFonts w:ascii="Book Antiqua" w:hAnsi="Book Antiqua" w:cs="Times New Roman"/>
          <w:sz w:val="24"/>
          <w:szCs w:val="24"/>
        </w:rPr>
        <w:t xml:space="preserve">. There are conflicting results regarding this topic in </w:t>
      </w:r>
      <w:r w:rsidR="00564190" w:rsidRPr="00FA5C8D">
        <w:rPr>
          <w:rFonts w:ascii="Book Antiqua" w:hAnsi="Book Antiqua" w:cs="Times New Roman"/>
          <w:sz w:val="24"/>
          <w:szCs w:val="24"/>
        </w:rPr>
        <w:t xml:space="preserve">the </w:t>
      </w:r>
      <w:r w:rsidR="00232BE0" w:rsidRPr="00FA5C8D">
        <w:rPr>
          <w:rFonts w:ascii="Book Antiqua" w:hAnsi="Book Antiqua" w:cs="Times New Roman"/>
          <w:sz w:val="24"/>
          <w:szCs w:val="24"/>
        </w:rPr>
        <w:t xml:space="preserve">literature. </w:t>
      </w:r>
      <w:r w:rsidR="002343CC" w:rsidRPr="00FA5C8D">
        <w:rPr>
          <w:rFonts w:ascii="Book Antiqua" w:hAnsi="Book Antiqua" w:cs="Times New Roman"/>
          <w:sz w:val="24"/>
          <w:szCs w:val="24"/>
        </w:rPr>
        <w:t>A r</w:t>
      </w:r>
      <w:r w:rsidR="00B70855" w:rsidRPr="00FA5C8D">
        <w:rPr>
          <w:rFonts w:ascii="Book Antiqua" w:hAnsi="Book Antiqua" w:cs="Times New Roman"/>
          <w:sz w:val="24"/>
          <w:szCs w:val="24"/>
        </w:rPr>
        <w:t xml:space="preserve">ecent </w:t>
      </w:r>
      <w:r w:rsidR="0038570E" w:rsidRPr="00FA5C8D">
        <w:rPr>
          <w:rFonts w:ascii="Book Antiqua" w:hAnsi="Book Antiqua" w:cs="Times New Roman"/>
          <w:sz w:val="24"/>
          <w:szCs w:val="24"/>
        </w:rPr>
        <w:t>metanalysis</w:t>
      </w:r>
      <w:r w:rsidR="00B70855" w:rsidRPr="00FA5C8D">
        <w:rPr>
          <w:rFonts w:ascii="Book Antiqua" w:hAnsi="Book Antiqua" w:cs="Times New Roman"/>
          <w:sz w:val="24"/>
          <w:szCs w:val="24"/>
        </w:rPr>
        <w:t xml:space="preserve"> demonstrated</w:t>
      </w:r>
      <w:r w:rsidR="00B9469F" w:rsidRPr="00FA5C8D">
        <w:rPr>
          <w:rFonts w:ascii="Book Antiqua" w:hAnsi="Book Antiqua" w:cs="Times New Roman"/>
          <w:sz w:val="24"/>
          <w:szCs w:val="24"/>
        </w:rPr>
        <w:t xml:space="preserve"> </w:t>
      </w:r>
      <w:r w:rsidR="00CD5A3C" w:rsidRPr="00FA5C8D">
        <w:rPr>
          <w:rFonts w:ascii="Book Antiqua" w:hAnsi="Book Antiqua" w:cs="Times New Roman"/>
          <w:sz w:val="24"/>
          <w:szCs w:val="24"/>
        </w:rPr>
        <w:t xml:space="preserve">a </w:t>
      </w:r>
      <w:r w:rsidR="00EE70EB" w:rsidRPr="00FA5C8D">
        <w:rPr>
          <w:rFonts w:ascii="Book Antiqua" w:hAnsi="Book Antiqua" w:cs="Times New Roman"/>
          <w:sz w:val="24"/>
          <w:szCs w:val="24"/>
        </w:rPr>
        <w:t xml:space="preserve">sensitivity of </w:t>
      </w:r>
      <w:r w:rsidR="00CD5A3C" w:rsidRPr="00FA5C8D">
        <w:rPr>
          <w:rFonts w:ascii="Book Antiqua" w:hAnsi="Book Antiqua" w:cs="Times New Roman"/>
          <w:sz w:val="24"/>
          <w:szCs w:val="24"/>
        </w:rPr>
        <w:t xml:space="preserve">50% for </w:t>
      </w:r>
      <w:r w:rsidR="00EE70EB" w:rsidRPr="00FA5C8D">
        <w:rPr>
          <w:rFonts w:ascii="Book Antiqua" w:hAnsi="Book Antiqua" w:cs="Times New Roman"/>
          <w:sz w:val="24"/>
          <w:szCs w:val="24"/>
        </w:rPr>
        <w:t xml:space="preserve">aTTG IgA and </w:t>
      </w:r>
      <w:r w:rsidR="00482466" w:rsidRPr="00FA5C8D">
        <w:rPr>
          <w:rFonts w:ascii="Book Antiqua" w:hAnsi="Book Antiqua" w:cs="Times New Roman"/>
          <w:sz w:val="24"/>
          <w:szCs w:val="24"/>
        </w:rPr>
        <w:t xml:space="preserve">a sensitivity of </w:t>
      </w:r>
      <w:r w:rsidR="00EE70EB" w:rsidRPr="00FA5C8D">
        <w:rPr>
          <w:rFonts w:ascii="Book Antiqua" w:hAnsi="Book Antiqua" w:cs="Times New Roman"/>
          <w:sz w:val="24"/>
          <w:szCs w:val="24"/>
        </w:rPr>
        <w:t>only 45% (95%CI</w:t>
      </w:r>
      <w:r w:rsidR="00360EDB" w:rsidRPr="00FA5C8D">
        <w:rPr>
          <w:rFonts w:ascii="Book Antiqua" w:hAnsi="Book Antiqua" w:cs="Times New Roman"/>
          <w:sz w:val="24"/>
          <w:szCs w:val="24"/>
        </w:rPr>
        <w:t>:</w:t>
      </w:r>
      <w:r w:rsidR="00EE70EB" w:rsidRPr="00FA5C8D">
        <w:rPr>
          <w:rFonts w:ascii="Book Antiqua" w:hAnsi="Book Antiqua" w:cs="Times New Roman"/>
          <w:sz w:val="24"/>
          <w:szCs w:val="24"/>
        </w:rPr>
        <w:t xml:space="preserve"> 34-57) </w:t>
      </w:r>
      <w:r w:rsidR="00482466" w:rsidRPr="00FA5C8D">
        <w:rPr>
          <w:rFonts w:ascii="Book Antiqua" w:hAnsi="Book Antiqua" w:cs="Times New Roman"/>
          <w:sz w:val="24"/>
          <w:szCs w:val="24"/>
        </w:rPr>
        <w:t>for</w:t>
      </w:r>
      <w:r w:rsidR="00EE70EB" w:rsidRPr="00FA5C8D">
        <w:rPr>
          <w:rFonts w:ascii="Book Antiqua" w:hAnsi="Book Antiqua" w:cs="Times New Roman"/>
          <w:sz w:val="24"/>
          <w:szCs w:val="24"/>
        </w:rPr>
        <w:t xml:space="preserve"> anti-endomysium antibodies</w:t>
      </w:r>
      <w:r w:rsidR="00360EDB" w:rsidRPr="00FA5C8D">
        <w:rPr>
          <w:rFonts w:ascii="Book Antiqua" w:hAnsi="Book Antiqua" w:cs="Times New Roman"/>
          <w:sz w:val="24"/>
          <w:szCs w:val="24"/>
        </w:rPr>
        <w:fldChar w:fldCharType="begin"/>
      </w:r>
      <w:r w:rsidR="00360EDB" w:rsidRPr="00FA5C8D">
        <w:rPr>
          <w:rFonts w:ascii="Book Antiqua" w:hAnsi="Book Antiqua" w:cs="Times New Roman"/>
          <w:sz w:val="24"/>
          <w:szCs w:val="24"/>
        </w:rPr>
        <w:instrText xml:space="preserve"> ADDIN ZOTERO_ITEM CSL_CITATION {"citationID":"gz30Vb7a","properties":{"formattedCitation":"\\super [5]\\nosupersub{}","plainCitation":"[5]","noteIndex":0},"citationItems":[{"id":1063,"uris":["http://zotero.org/users/4312189/items/BW7RE5EG"],"uri":["http://zotero.org/users/4312189/items/BW7RE5EG"],"itemData":{"id":1063,"type":"article-journal","abstract":"Background &amp; Aims\nTests to measure serum endomysial antibodies (EMA) and antibodies to tissue transglutaminase (tTG) were developed to screen for celiac disease in patients consuming gluten. However, they are commonly used to monitor patients on a gluten-free diet (GFD). We conducted a meta-analysis to assess the sensitivity and specificity of tTG IgA and EMA IgA assays in identifying patients with celiac disease who have persistent villous atrophy despite a GFD.\nMethods\nWe searched PUBMED, EMBASE, BIOSIS, SCOPUS, clinicaltrials.gov, Science Citation Index, and Cochrane Library databases through November 2016. Inclusion criteria were studies of subjects with biopsy-confirmed celiac disease, follow-up biopsies, and measurement of serum antibodies on a GFD, biopsy performed on subjects regardless of symptoms, or antibody test results. Our analysis excluded subjects with refractory celiac disease, undergoing gluten challenge, or consuming a prescribed oats-containing GFD. Tests were considered to have positive or negative findings based on manufacturer cut-off values. Villous atrophy was defined as a Marsh 3 lesion or villous height:crypt depth ratio below 3.0. We constructed forest plots to determine the sensitivity and specificity of detection for individual studies. For the meta-analysis, a bivariate random effects model was used to jointly model sensitivity and specificity.\nResults\nOur search identified 5408 unique citations. Following review of abstracts, 442 articles were reviewed in detail. Only 26 studies (6 of tTG assays, 15 of EMA assays, and 5 of tTG and EMA assays) met our inclusion criteria. The most common reason studies were excluded from our analysis was inability to cross-tabulate histologic and serologic findings. The serum assays identified patients with persistent villous atrophy with high levels of specificity: 0.83 for the tTG IgA assay (95% CI, 0.79–0.87) and 0.91 for the EMA IgA assay (95% CI, 0.87–0.94). However, they detected villous atrophy with low levels of sensitivity: 0.50 for the tTG IgA assay (95% CI, 0.41–0.60) and 0.45 for the EMA IgA assay (95% CI, 0.34-0.57). The tests had similar levels of performance in pediatric and adult patients.\nConclusions\nIn a meta-analysis of patients with biopsy-confirmed celiac disease undergoing follow-up biopsy on a GFD, we found that tests for serum tTG IgA and EMA IgA levels had low sensitivity (below 50%) in detection of persistent villous atrophy. We need more-accurate non-invasive markers of mucosal damage in children and adults with celiac disease who are following a GFD.","container-title":"Gastroenterology","DOI":"10.1053/j.gastro.2017.05.015","ISSN":"0016-5085","issue":"3","journalAbbreviation":"Gastroenterology","language":"en","page":"689-701.e1","source":"ScienceDirect","title":"Tests for Serum Transglutaminase and Endomysial Antibodies Do Not Detect Most Patients With Celiac Disease and Persistent Villous Atrophy on Gluten-free Diets: a Meta-analysis","title-short":"Tests for Serum Transglutaminase and Endomysial Antibodies Do Not Detect Most Patients With Celiac Disease and Persistent Villous Atrophy on Gluten-free Diets","volume":"153","author":[{"family":"Silvester","given":"Jocelyn A."},{"family":"Kurada","given":"Satya"},{"family":"Szwajcer","given":"Andrea"},{"family":"Kelly","given":"Ciarán P."},{"family":"Leffler","given":"Daniel A."},{"family":"Duerksen","given":"Donald R."}],"issued":{"date-parts":[["2017",9,1]]}}}],"schema":"https://github.com/citation-style-language/schema/raw/master/csl-citation.json"} </w:instrText>
      </w:r>
      <w:r w:rsidR="00360EDB" w:rsidRPr="00FA5C8D">
        <w:rPr>
          <w:rFonts w:ascii="Book Antiqua" w:hAnsi="Book Antiqua" w:cs="Times New Roman"/>
          <w:sz w:val="24"/>
          <w:szCs w:val="24"/>
        </w:rPr>
        <w:fldChar w:fldCharType="separate"/>
      </w:r>
      <w:r w:rsidR="00360EDB" w:rsidRPr="00FA5C8D">
        <w:rPr>
          <w:rFonts w:ascii="Book Antiqua" w:hAnsi="Book Antiqua" w:cs="Times New Roman"/>
          <w:sz w:val="24"/>
          <w:szCs w:val="24"/>
          <w:vertAlign w:val="superscript"/>
        </w:rPr>
        <w:t>[5]</w:t>
      </w:r>
      <w:r w:rsidR="00360EDB" w:rsidRPr="00FA5C8D">
        <w:rPr>
          <w:rFonts w:ascii="Book Antiqua" w:hAnsi="Book Antiqua" w:cs="Times New Roman"/>
          <w:sz w:val="24"/>
          <w:szCs w:val="24"/>
        </w:rPr>
        <w:fldChar w:fldCharType="end"/>
      </w:r>
      <w:r w:rsidR="00EE70EB"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564190" w:rsidRPr="00FA5C8D">
        <w:rPr>
          <w:rFonts w:ascii="Book Antiqua" w:hAnsi="Book Antiqua" w:cs="Times New Roman"/>
          <w:sz w:val="24"/>
          <w:szCs w:val="24"/>
        </w:rPr>
        <w:t>Nevertheless</w:t>
      </w:r>
      <w:r w:rsidR="00BB3738" w:rsidRPr="00FA5C8D">
        <w:rPr>
          <w:rFonts w:ascii="Book Antiqua" w:hAnsi="Book Antiqua" w:cs="Times New Roman"/>
          <w:sz w:val="24"/>
          <w:szCs w:val="24"/>
        </w:rPr>
        <w:t>,</w:t>
      </w:r>
      <w:r w:rsidR="00D45654" w:rsidRPr="00FA5C8D">
        <w:rPr>
          <w:rFonts w:ascii="Book Antiqua" w:hAnsi="Book Antiqua" w:cs="Times New Roman"/>
          <w:sz w:val="24"/>
          <w:szCs w:val="24"/>
        </w:rPr>
        <w:t xml:space="preserve"> it</w:t>
      </w:r>
      <w:r w:rsidR="00B9469F" w:rsidRPr="00FA5C8D">
        <w:rPr>
          <w:rFonts w:ascii="Book Antiqua" w:hAnsi="Book Antiqua" w:cs="Times New Roman"/>
          <w:sz w:val="24"/>
          <w:szCs w:val="24"/>
        </w:rPr>
        <w:t xml:space="preserve"> </w:t>
      </w:r>
      <w:r w:rsidR="00D45654" w:rsidRPr="00FA5C8D">
        <w:rPr>
          <w:rFonts w:ascii="Book Antiqua" w:hAnsi="Book Antiqua" w:cs="Times New Roman"/>
          <w:sz w:val="24"/>
          <w:szCs w:val="24"/>
        </w:rPr>
        <w:t>is essential to stress tha</w:t>
      </w:r>
      <w:r w:rsidR="001E64BC" w:rsidRPr="00FA5C8D">
        <w:rPr>
          <w:rFonts w:ascii="Book Antiqua" w:hAnsi="Book Antiqua" w:cs="Times New Roman"/>
          <w:sz w:val="24"/>
          <w:szCs w:val="24"/>
        </w:rPr>
        <w:t>t</w:t>
      </w:r>
      <w:r w:rsidR="00D45654" w:rsidRPr="00FA5C8D">
        <w:rPr>
          <w:rFonts w:ascii="Book Antiqua" w:hAnsi="Book Antiqua" w:cs="Times New Roman"/>
          <w:sz w:val="24"/>
          <w:szCs w:val="24"/>
        </w:rPr>
        <w:t xml:space="preserve"> these tests </w:t>
      </w:r>
      <w:r w:rsidR="00564190" w:rsidRPr="00FA5C8D">
        <w:rPr>
          <w:rFonts w:ascii="Book Antiqua" w:hAnsi="Book Antiqua" w:cs="Times New Roman"/>
          <w:sz w:val="24"/>
          <w:szCs w:val="24"/>
        </w:rPr>
        <w:t>be</w:t>
      </w:r>
      <w:r w:rsidR="00B9469F" w:rsidRPr="00FA5C8D">
        <w:rPr>
          <w:rFonts w:ascii="Book Antiqua" w:hAnsi="Book Antiqua" w:cs="Times New Roman"/>
          <w:sz w:val="24"/>
          <w:szCs w:val="24"/>
        </w:rPr>
        <w:t xml:space="preserve"> </w:t>
      </w:r>
      <w:r w:rsidR="00D45654" w:rsidRPr="00FA5C8D">
        <w:rPr>
          <w:rFonts w:ascii="Book Antiqua" w:hAnsi="Book Antiqua" w:cs="Times New Roman"/>
          <w:sz w:val="24"/>
          <w:szCs w:val="24"/>
        </w:rPr>
        <w:t>designed for detection of new</w:t>
      </w:r>
      <w:r w:rsidR="00C075B3" w:rsidRPr="00FA5C8D">
        <w:rPr>
          <w:rFonts w:ascii="Book Antiqua" w:hAnsi="Book Antiqua" w:cs="Times New Roman"/>
          <w:sz w:val="24"/>
          <w:szCs w:val="24"/>
        </w:rPr>
        <w:t xml:space="preserve"> cases of </w:t>
      </w:r>
      <w:r w:rsidR="00884948" w:rsidRPr="00FA5C8D">
        <w:rPr>
          <w:rFonts w:ascii="Book Antiqua" w:hAnsi="Book Antiqua" w:cs="Times New Roman"/>
          <w:sz w:val="24"/>
          <w:szCs w:val="24"/>
        </w:rPr>
        <w:t>CD</w:t>
      </w:r>
      <w:r w:rsidR="00D45654" w:rsidRPr="00FA5C8D">
        <w:rPr>
          <w:rFonts w:ascii="Book Antiqua" w:hAnsi="Book Antiqua" w:cs="Times New Roman"/>
          <w:sz w:val="24"/>
          <w:szCs w:val="24"/>
        </w:rPr>
        <w:t xml:space="preserve">, for which purpose their cutoff values were determined. </w:t>
      </w:r>
      <w:r w:rsidR="00DF3C90" w:rsidRPr="00FA5C8D">
        <w:rPr>
          <w:rFonts w:ascii="Book Antiqua" w:hAnsi="Book Antiqua" w:cs="Times New Roman"/>
          <w:sz w:val="24"/>
          <w:szCs w:val="24"/>
        </w:rPr>
        <w:t>Even after determin</w:t>
      </w:r>
      <w:r w:rsidR="005141C6" w:rsidRPr="00FA5C8D">
        <w:rPr>
          <w:rFonts w:ascii="Book Antiqua" w:hAnsi="Book Antiqua" w:cs="Times New Roman"/>
          <w:sz w:val="24"/>
          <w:szCs w:val="24"/>
        </w:rPr>
        <w:t>ing</w:t>
      </w:r>
      <w:r w:rsidR="00B9469F" w:rsidRPr="00FA5C8D">
        <w:rPr>
          <w:rFonts w:ascii="Book Antiqua" w:hAnsi="Book Antiqua" w:cs="Times New Roman"/>
          <w:sz w:val="24"/>
          <w:szCs w:val="24"/>
        </w:rPr>
        <w:t xml:space="preserve"> </w:t>
      </w:r>
      <w:r w:rsidR="005141C6" w:rsidRPr="00FA5C8D">
        <w:rPr>
          <w:rFonts w:ascii="Book Antiqua" w:hAnsi="Book Antiqua" w:cs="Times New Roman"/>
          <w:sz w:val="24"/>
          <w:szCs w:val="24"/>
        </w:rPr>
        <w:t>the</w:t>
      </w:r>
      <w:r w:rsidR="00DF3C90" w:rsidRPr="00FA5C8D">
        <w:rPr>
          <w:rFonts w:ascii="Book Antiqua" w:hAnsi="Book Antiqua" w:cs="Times New Roman"/>
          <w:sz w:val="24"/>
          <w:szCs w:val="24"/>
        </w:rPr>
        <w:t xml:space="preserve"> new cutoff values, the sensitivity of autoantibodies for prediction of VA </w:t>
      </w:r>
      <w:r w:rsidR="005C57BA" w:rsidRPr="00FA5C8D">
        <w:rPr>
          <w:rFonts w:ascii="Book Antiqua" w:hAnsi="Book Antiqua" w:cs="Times New Roman"/>
          <w:sz w:val="24"/>
          <w:szCs w:val="24"/>
        </w:rPr>
        <w:t xml:space="preserve">improved slightly to 66.7% for aTTG IgA and 72.2% for </w:t>
      </w:r>
      <w:proofErr w:type="spellStart"/>
      <w:r w:rsidR="005C57BA" w:rsidRPr="00FA5C8D">
        <w:rPr>
          <w:rFonts w:ascii="Book Antiqua" w:hAnsi="Book Antiqua" w:cs="Times New Roman"/>
          <w:sz w:val="24"/>
          <w:szCs w:val="24"/>
        </w:rPr>
        <w:t>aDGP</w:t>
      </w:r>
      <w:proofErr w:type="spellEnd"/>
      <w:r w:rsidR="005C57BA" w:rsidRPr="00FA5C8D">
        <w:rPr>
          <w:rFonts w:ascii="Book Antiqua" w:hAnsi="Book Antiqua" w:cs="Times New Roman"/>
          <w:sz w:val="24"/>
          <w:szCs w:val="24"/>
        </w:rPr>
        <w:t xml:space="preserve"> IgA</w:t>
      </w:r>
      <w:r w:rsidR="004B15EC"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4B15EC" w:rsidRPr="00FA5C8D">
        <w:rPr>
          <w:rFonts w:ascii="Book Antiqua" w:hAnsi="Book Antiqua" w:cs="Times New Roman"/>
          <w:sz w:val="24"/>
          <w:szCs w:val="24"/>
        </w:rPr>
        <w:t xml:space="preserve">however, </w:t>
      </w:r>
      <w:r w:rsidR="00DB0BAA" w:rsidRPr="00FA5C8D">
        <w:rPr>
          <w:rFonts w:ascii="Book Antiqua" w:hAnsi="Book Antiqua" w:cs="Times New Roman"/>
          <w:sz w:val="24"/>
          <w:szCs w:val="24"/>
        </w:rPr>
        <w:t>we wer</w:t>
      </w:r>
      <w:r w:rsidR="008D57DD" w:rsidRPr="00FA5C8D">
        <w:rPr>
          <w:rFonts w:ascii="Book Antiqua" w:hAnsi="Book Antiqua" w:cs="Times New Roman"/>
          <w:sz w:val="24"/>
          <w:szCs w:val="24"/>
        </w:rPr>
        <w:t>e</w:t>
      </w:r>
      <w:r w:rsidR="00DB0BAA" w:rsidRPr="00FA5C8D">
        <w:rPr>
          <w:rFonts w:ascii="Book Antiqua" w:hAnsi="Book Antiqua" w:cs="Times New Roman"/>
          <w:sz w:val="24"/>
          <w:szCs w:val="24"/>
        </w:rPr>
        <w:t xml:space="preserve"> able to reach high specificity and negative predictive value</w:t>
      </w:r>
      <w:r w:rsidR="00564190" w:rsidRPr="00FA5C8D">
        <w:rPr>
          <w:rFonts w:ascii="Book Antiqua" w:hAnsi="Book Antiqua" w:cs="Times New Roman"/>
          <w:sz w:val="24"/>
          <w:szCs w:val="24"/>
        </w:rPr>
        <w:t xml:space="preserve">s of </w:t>
      </w:r>
      <w:r w:rsidR="00D32E84" w:rsidRPr="00FA5C8D">
        <w:rPr>
          <w:rFonts w:ascii="Book Antiqua" w:hAnsi="Book Antiqua" w:cs="Times New Roman"/>
          <w:sz w:val="24"/>
          <w:szCs w:val="24"/>
        </w:rPr>
        <w:t>93.7% and 90.8%</w:t>
      </w:r>
      <w:r w:rsidR="00564190" w:rsidRPr="00FA5C8D">
        <w:rPr>
          <w:rFonts w:ascii="Book Antiqua" w:hAnsi="Book Antiqua" w:cs="Times New Roman"/>
          <w:sz w:val="24"/>
          <w:szCs w:val="24"/>
        </w:rPr>
        <w:t>, respectively,</w:t>
      </w:r>
      <w:r w:rsidR="00D32E84" w:rsidRPr="00FA5C8D">
        <w:rPr>
          <w:rFonts w:ascii="Book Antiqua" w:hAnsi="Book Antiqua" w:cs="Times New Roman"/>
          <w:sz w:val="24"/>
          <w:szCs w:val="24"/>
        </w:rPr>
        <w:t xml:space="preserve"> for aTTG IgA</w:t>
      </w:r>
      <w:r w:rsidR="00564190" w:rsidRPr="00FA5C8D">
        <w:rPr>
          <w:rFonts w:ascii="Book Antiqua" w:hAnsi="Book Antiqua" w:cs="Times New Roman"/>
          <w:sz w:val="24"/>
          <w:szCs w:val="24"/>
        </w:rPr>
        <w:t>,</w:t>
      </w:r>
      <w:r w:rsidR="00D32E84" w:rsidRPr="00FA5C8D">
        <w:rPr>
          <w:rFonts w:ascii="Book Antiqua" w:hAnsi="Book Antiqua" w:cs="Times New Roman"/>
          <w:sz w:val="24"/>
          <w:szCs w:val="24"/>
        </w:rPr>
        <w:t xml:space="preserve"> and </w:t>
      </w:r>
      <w:r w:rsidR="00DB0BAA" w:rsidRPr="00FA5C8D">
        <w:rPr>
          <w:rFonts w:ascii="Book Antiqua" w:hAnsi="Book Antiqua" w:cs="Times New Roman"/>
          <w:sz w:val="24"/>
          <w:szCs w:val="24"/>
        </w:rPr>
        <w:t>90% and 91</w:t>
      </w:r>
      <w:r w:rsidR="006203F0" w:rsidRPr="00FA5C8D">
        <w:rPr>
          <w:rFonts w:ascii="Book Antiqua" w:hAnsi="Book Antiqua" w:cs="Times New Roman"/>
          <w:sz w:val="24"/>
          <w:szCs w:val="24"/>
        </w:rPr>
        <w:t>.</w:t>
      </w:r>
      <w:r w:rsidR="00DB0BAA" w:rsidRPr="00FA5C8D">
        <w:rPr>
          <w:rFonts w:ascii="Book Antiqua" w:hAnsi="Book Antiqua" w:cs="Times New Roman"/>
          <w:sz w:val="24"/>
          <w:szCs w:val="24"/>
        </w:rPr>
        <w:t>5%</w:t>
      </w:r>
      <w:r w:rsidR="00564190" w:rsidRPr="00FA5C8D">
        <w:rPr>
          <w:rFonts w:ascii="Book Antiqua" w:hAnsi="Book Antiqua" w:cs="Times New Roman"/>
          <w:sz w:val="24"/>
          <w:szCs w:val="24"/>
        </w:rPr>
        <w:t>, respectively,</w:t>
      </w:r>
      <w:r w:rsidR="00DB0BAA" w:rsidRPr="00FA5C8D">
        <w:rPr>
          <w:rFonts w:ascii="Book Antiqua" w:hAnsi="Book Antiqua" w:cs="Times New Roman"/>
          <w:sz w:val="24"/>
          <w:szCs w:val="24"/>
        </w:rPr>
        <w:t xml:space="preserve"> for </w:t>
      </w:r>
      <w:proofErr w:type="spellStart"/>
      <w:r w:rsidR="00DB0BAA" w:rsidRPr="00FA5C8D">
        <w:rPr>
          <w:rFonts w:ascii="Book Antiqua" w:hAnsi="Book Antiqua" w:cs="Times New Roman"/>
          <w:sz w:val="24"/>
          <w:szCs w:val="24"/>
        </w:rPr>
        <w:t>aDGP</w:t>
      </w:r>
      <w:proofErr w:type="spellEnd"/>
      <w:r w:rsidR="00DB0BAA" w:rsidRPr="00FA5C8D">
        <w:rPr>
          <w:rFonts w:ascii="Book Antiqua" w:hAnsi="Book Antiqua" w:cs="Times New Roman"/>
          <w:sz w:val="24"/>
          <w:szCs w:val="24"/>
        </w:rPr>
        <w:t xml:space="preserve"> IgA. </w:t>
      </w:r>
      <w:r w:rsidR="0038157E" w:rsidRPr="00FA5C8D">
        <w:rPr>
          <w:rFonts w:ascii="Book Antiqua" w:hAnsi="Book Antiqua" w:cs="Times New Roman"/>
          <w:sz w:val="24"/>
          <w:szCs w:val="24"/>
        </w:rPr>
        <w:t>The r</w:t>
      </w:r>
      <w:r w:rsidR="00394A0F" w:rsidRPr="00FA5C8D">
        <w:rPr>
          <w:rFonts w:ascii="Book Antiqua" w:hAnsi="Book Antiqua" w:cs="Times New Roman"/>
          <w:sz w:val="24"/>
          <w:szCs w:val="24"/>
        </w:rPr>
        <w:t>e</w:t>
      </w:r>
      <w:r w:rsidR="00300716" w:rsidRPr="00FA5C8D">
        <w:rPr>
          <w:rFonts w:ascii="Book Antiqua" w:hAnsi="Book Antiqua" w:cs="Times New Roman"/>
          <w:sz w:val="24"/>
          <w:szCs w:val="24"/>
        </w:rPr>
        <w:t>calculated</w:t>
      </w:r>
      <w:r w:rsidR="00394A0F" w:rsidRPr="00FA5C8D">
        <w:rPr>
          <w:rFonts w:ascii="Book Antiqua" w:hAnsi="Book Antiqua" w:cs="Times New Roman"/>
          <w:sz w:val="24"/>
          <w:szCs w:val="24"/>
        </w:rPr>
        <w:t xml:space="preserve"> cutoff value for TTG IgA</w:t>
      </w:r>
      <w:r w:rsidR="004F2036" w:rsidRPr="00FA5C8D">
        <w:rPr>
          <w:rFonts w:ascii="Book Antiqua" w:hAnsi="Book Antiqua" w:cs="Times New Roman"/>
          <w:sz w:val="24"/>
          <w:szCs w:val="24"/>
        </w:rPr>
        <w:t xml:space="preserve"> in our study</w:t>
      </w:r>
      <w:r w:rsidR="00394A0F" w:rsidRPr="00FA5C8D">
        <w:rPr>
          <w:rFonts w:ascii="Book Antiqua" w:hAnsi="Book Antiqua" w:cs="Times New Roman"/>
          <w:sz w:val="24"/>
          <w:szCs w:val="24"/>
        </w:rPr>
        <w:t xml:space="preserve"> is about one</w:t>
      </w:r>
      <w:r w:rsidR="00564190" w:rsidRPr="00FA5C8D">
        <w:rPr>
          <w:rFonts w:ascii="Book Antiqua" w:hAnsi="Book Antiqua" w:cs="Times New Roman"/>
          <w:sz w:val="24"/>
          <w:szCs w:val="24"/>
        </w:rPr>
        <w:t>-</w:t>
      </w:r>
      <w:r w:rsidR="00394A0F" w:rsidRPr="00FA5C8D">
        <w:rPr>
          <w:rFonts w:ascii="Book Antiqua" w:hAnsi="Book Antiqua" w:cs="Times New Roman"/>
          <w:sz w:val="24"/>
          <w:szCs w:val="24"/>
        </w:rPr>
        <w:t xml:space="preserve">third lower than </w:t>
      </w:r>
      <w:r w:rsidR="00520E40" w:rsidRPr="00FA5C8D">
        <w:rPr>
          <w:rFonts w:ascii="Book Antiqua" w:hAnsi="Book Antiqua" w:cs="Times New Roman"/>
          <w:sz w:val="24"/>
          <w:szCs w:val="24"/>
        </w:rPr>
        <w:t xml:space="preserve">the </w:t>
      </w:r>
      <w:r w:rsidR="00394A0F" w:rsidRPr="00FA5C8D">
        <w:rPr>
          <w:rFonts w:ascii="Book Antiqua" w:hAnsi="Book Antiqua" w:cs="Times New Roman"/>
          <w:sz w:val="24"/>
          <w:szCs w:val="24"/>
        </w:rPr>
        <w:t xml:space="preserve">standard diagnostic cutoff value. Not only </w:t>
      </w:r>
      <w:r w:rsidR="0029426D" w:rsidRPr="00FA5C8D">
        <w:rPr>
          <w:rFonts w:ascii="Book Antiqua" w:hAnsi="Book Antiqua" w:cs="Times New Roman"/>
          <w:sz w:val="24"/>
          <w:szCs w:val="24"/>
        </w:rPr>
        <w:t xml:space="preserve">the </w:t>
      </w:r>
      <w:r w:rsidR="00394A0F" w:rsidRPr="00FA5C8D">
        <w:rPr>
          <w:rFonts w:ascii="Book Antiqua" w:hAnsi="Book Antiqua" w:cs="Times New Roman"/>
          <w:sz w:val="24"/>
          <w:szCs w:val="24"/>
        </w:rPr>
        <w:t>negative result of test but</w:t>
      </w:r>
      <w:r w:rsidR="00B9469F" w:rsidRPr="00FA5C8D">
        <w:rPr>
          <w:rFonts w:ascii="Book Antiqua" w:hAnsi="Book Antiqua" w:cs="Times New Roman"/>
          <w:sz w:val="24"/>
          <w:szCs w:val="24"/>
        </w:rPr>
        <w:t xml:space="preserve"> </w:t>
      </w:r>
      <w:r w:rsidR="00564190" w:rsidRPr="00FA5C8D">
        <w:rPr>
          <w:rFonts w:ascii="Book Antiqua" w:hAnsi="Book Antiqua" w:cs="Times New Roman"/>
          <w:sz w:val="24"/>
          <w:szCs w:val="24"/>
        </w:rPr>
        <w:t xml:space="preserve">also </w:t>
      </w:r>
      <w:r w:rsidR="0029426D" w:rsidRPr="00FA5C8D">
        <w:rPr>
          <w:rFonts w:ascii="Book Antiqua" w:hAnsi="Book Antiqua" w:cs="Times New Roman"/>
          <w:sz w:val="24"/>
          <w:szCs w:val="24"/>
        </w:rPr>
        <w:t xml:space="preserve">the </w:t>
      </w:r>
      <w:r w:rsidR="005C57BA" w:rsidRPr="00FA5C8D">
        <w:rPr>
          <w:rFonts w:ascii="Book Antiqua" w:hAnsi="Book Antiqua" w:cs="Times New Roman"/>
          <w:sz w:val="24"/>
          <w:szCs w:val="24"/>
        </w:rPr>
        <w:t>numeric value</w:t>
      </w:r>
      <w:r w:rsidR="00394A0F" w:rsidRPr="00FA5C8D">
        <w:rPr>
          <w:rFonts w:ascii="Book Antiqua" w:hAnsi="Book Antiqua" w:cs="Times New Roman"/>
          <w:sz w:val="24"/>
          <w:szCs w:val="24"/>
        </w:rPr>
        <w:t xml:space="preserve"> of antibodies might be important for test accuracy</w:t>
      </w:r>
      <w:r w:rsidR="005C57BA" w:rsidRPr="00FA5C8D">
        <w:rPr>
          <w:rFonts w:ascii="Book Antiqua" w:hAnsi="Book Antiqua" w:cs="Times New Roman"/>
          <w:sz w:val="24"/>
          <w:szCs w:val="24"/>
        </w:rPr>
        <w:t xml:space="preserve"> and clinical consequences</w:t>
      </w:r>
      <w:r w:rsidR="00394A0F" w:rsidRPr="00FA5C8D">
        <w:rPr>
          <w:rFonts w:ascii="Book Antiqua" w:hAnsi="Book Antiqua" w:cs="Times New Roman"/>
          <w:sz w:val="24"/>
          <w:szCs w:val="24"/>
        </w:rPr>
        <w:t xml:space="preserve">. </w:t>
      </w:r>
      <w:r w:rsidR="00DB0BAA" w:rsidRPr="00FA5C8D">
        <w:rPr>
          <w:rFonts w:ascii="Book Antiqua" w:hAnsi="Book Antiqua" w:cs="Times New Roman"/>
          <w:sz w:val="24"/>
          <w:szCs w:val="24"/>
        </w:rPr>
        <w:t xml:space="preserve">Patients with </w:t>
      </w:r>
      <w:r w:rsidR="00AF551F" w:rsidRPr="00FA5C8D">
        <w:rPr>
          <w:rFonts w:ascii="Book Antiqua" w:hAnsi="Book Antiqua" w:cs="Times New Roman"/>
          <w:sz w:val="24"/>
          <w:szCs w:val="24"/>
        </w:rPr>
        <w:t xml:space="preserve">lower </w:t>
      </w:r>
      <w:r w:rsidR="00DB0BAA" w:rsidRPr="00FA5C8D">
        <w:rPr>
          <w:rFonts w:ascii="Book Antiqua" w:hAnsi="Book Antiqua" w:cs="Times New Roman"/>
          <w:sz w:val="24"/>
          <w:szCs w:val="24"/>
        </w:rPr>
        <w:t>levels</w:t>
      </w:r>
      <w:r w:rsidR="00B9469F" w:rsidRPr="00FA5C8D">
        <w:rPr>
          <w:rFonts w:ascii="Book Antiqua" w:hAnsi="Book Antiqua" w:cs="Times New Roman"/>
          <w:sz w:val="24"/>
          <w:szCs w:val="24"/>
        </w:rPr>
        <w:t xml:space="preserve"> </w:t>
      </w:r>
      <w:r w:rsidR="003D7B22" w:rsidRPr="00FA5C8D">
        <w:rPr>
          <w:rFonts w:ascii="Book Antiqua" w:hAnsi="Book Antiqua" w:cs="Times New Roman"/>
          <w:sz w:val="24"/>
          <w:szCs w:val="24"/>
        </w:rPr>
        <w:t>do not</w:t>
      </w:r>
      <w:r w:rsidR="00C77CB4" w:rsidRPr="00FA5C8D">
        <w:rPr>
          <w:rFonts w:ascii="Book Antiqua" w:hAnsi="Book Antiqua" w:cs="Times New Roman"/>
          <w:sz w:val="24"/>
          <w:szCs w:val="24"/>
        </w:rPr>
        <w:t xml:space="preserve"> need to </w:t>
      </w:r>
      <w:r w:rsidR="00DB0BAA" w:rsidRPr="00FA5C8D">
        <w:rPr>
          <w:rFonts w:ascii="Book Antiqua" w:hAnsi="Book Antiqua" w:cs="Times New Roman"/>
          <w:sz w:val="24"/>
          <w:szCs w:val="24"/>
        </w:rPr>
        <w:t xml:space="preserve">undergo follow-up duodenal biopsy to evaluate persistent </w:t>
      </w:r>
      <w:r w:rsidR="008D57DD" w:rsidRPr="00FA5C8D">
        <w:rPr>
          <w:rFonts w:ascii="Book Antiqua" w:hAnsi="Book Antiqua" w:cs="Times New Roman"/>
          <w:sz w:val="24"/>
          <w:szCs w:val="24"/>
        </w:rPr>
        <w:t>VA</w:t>
      </w:r>
      <w:r w:rsidR="00DB0BAA"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763218" w:rsidRPr="00FA5C8D">
        <w:rPr>
          <w:rFonts w:ascii="Book Antiqua" w:hAnsi="Book Antiqua" w:cs="Times New Roman"/>
          <w:sz w:val="24"/>
          <w:szCs w:val="24"/>
        </w:rPr>
        <w:t>A s</w:t>
      </w:r>
      <w:r w:rsidR="00720002" w:rsidRPr="00FA5C8D">
        <w:rPr>
          <w:rFonts w:ascii="Book Antiqua" w:hAnsi="Book Antiqua" w:cs="Times New Roman"/>
          <w:sz w:val="24"/>
          <w:szCs w:val="24"/>
        </w:rPr>
        <w:t xml:space="preserve">imilar study was </w:t>
      </w:r>
      <w:r w:rsidR="00853B3D" w:rsidRPr="00FA5C8D">
        <w:rPr>
          <w:rFonts w:ascii="Book Antiqua" w:hAnsi="Book Antiqua" w:cs="Times New Roman"/>
          <w:sz w:val="24"/>
          <w:szCs w:val="24"/>
        </w:rPr>
        <w:t>performed</w:t>
      </w:r>
      <w:r w:rsidR="00720002" w:rsidRPr="00FA5C8D">
        <w:rPr>
          <w:rFonts w:ascii="Book Antiqua" w:hAnsi="Book Antiqua" w:cs="Times New Roman"/>
          <w:sz w:val="24"/>
          <w:szCs w:val="24"/>
        </w:rPr>
        <w:t xml:space="preserve"> for aTTG IgA in </w:t>
      </w:r>
      <w:r w:rsidR="00544C8C" w:rsidRPr="00FA5C8D">
        <w:rPr>
          <w:rFonts w:ascii="Book Antiqua" w:hAnsi="Book Antiqua" w:cs="Times New Roman"/>
          <w:sz w:val="24"/>
          <w:szCs w:val="24"/>
        </w:rPr>
        <w:t xml:space="preserve">a </w:t>
      </w:r>
      <w:r w:rsidR="00720002" w:rsidRPr="00FA5C8D">
        <w:rPr>
          <w:rFonts w:ascii="Book Antiqua" w:hAnsi="Book Antiqua" w:cs="Times New Roman"/>
          <w:sz w:val="24"/>
          <w:szCs w:val="24"/>
        </w:rPr>
        <w:t xml:space="preserve">larger group by Fang </w:t>
      </w:r>
      <w:r w:rsidR="00720002" w:rsidRPr="00FA5C8D">
        <w:rPr>
          <w:rFonts w:ascii="Book Antiqua" w:hAnsi="Book Antiqua" w:cs="Times New Roman"/>
          <w:i/>
          <w:iCs/>
          <w:sz w:val="24"/>
          <w:szCs w:val="24"/>
        </w:rPr>
        <w:t>et al</w:t>
      </w:r>
      <w:r w:rsidR="00360EDB" w:rsidRPr="00FA5C8D">
        <w:rPr>
          <w:rFonts w:ascii="Book Antiqua" w:hAnsi="Book Antiqua" w:cs="Times New Roman"/>
          <w:sz w:val="24"/>
          <w:szCs w:val="24"/>
          <w:vertAlign w:val="superscript"/>
        </w:rPr>
        <w:t>[18]</w:t>
      </w:r>
      <w:r w:rsidR="00720002" w:rsidRPr="00FA5C8D">
        <w:rPr>
          <w:rFonts w:ascii="Book Antiqua" w:hAnsi="Book Antiqua" w:cs="Times New Roman"/>
          <w:sz w:val="24"/>
          <w:szCs w:val="24"/>
        </w:rPr>
        <w:t xml:space="preserve">, who found significant </w:t>
      </w:r>
      <w:r w:rsidR="00BD24C5" w:rsidRPr="00FA5C8D">
        <w:rPr>
          <w:rFonts w:ascii="Book Antiqua" w:hAnsi="Book Antiqua" w:cs="Times New Roman"/>
          <w:sz w:val="24"/>
          <w:szCs w:val="24"/>
        </w:rPr>
        <w:t>differences</w:t>
      </w:r>
      <w:r w:rsidR="00720002" w:rsidRPr="00FA5C8D">
        <w:rPr>
          <w:rFonts w:ascii="Book Antiqua" w:hAnsi="Book Antiqua" w:cs="Times New Roman"/>
          <w:sz w:val="24"/>
          <w:szCs w:val="24"/>
        </w:rPr>
        <w:t xml:space="preserve"> in mucosal healing between undetectable and detectable </w:t>
      </w:r>
      <w:proofErr w:type="spellStart"/>
      <w:r w:rsidR="00720002" w:rsidRPr="00FA5C8D">
        <w:rPr>
          <w:rFonts w:ascii="Book Antiqua" w:hAnsi="Book Antiqua" w:cs="Times New Roman"/>
          <w:sz w:val="24"/>
          <w:szCs w:val="24"/>
        </w:rPr>
        <w:t>aTTG</w:t>
      </w:r>
      <w:proofErr w:type="spellEnd"/>
      <w:r w:rsidR="00720002" w:rsidRPr="00FA5C8D">
        <w:rPr>
          <w:rFonts w:ascii="Book Antiqua" w:hAnsi="Book Antiqua" w:cs="Times New Roman"/>
          <w:sz w:val="24"/>
          <w:szCs w:val="24"/>
        </w:rPr>
        <w:t xml:space="preserve"> IgA</w:t>
      </w:r>
      <w:r w:rsidR="00564190"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564190" w:rsidRPr="00FA5C8D">
        <w:rPr>
          <w:rFonts w:ascii="Book Antiqua" w:hAnsi="Book Antiqua" w:cs="Times New Roman"/>
          <w:sz w:val="24"/>
          <w:szCs w:val="24"/>
        </w:rPr>
        <w:t>however,</w:t>
      </w:r>
      <w:r w:rsidR="00B9469F" w:rsidRPr="00FA5C8D">
        <w:rPr>
          <w:rFonts w:ascii="Book Antiqua" w:hAnsi="Book Antiqua" w:cs="Times New Roman"/>
          <w:sz w:val="24"/>
          <w:szCs w:val="24"/>
        </w:rPr>
        <w:t xml:space="preserve"> </w:t>
      </w:r>
      <w:r w:rsidR="00300716" w:rsidRPr="00FA5C8D">
        <w:rPr>
          <w:rFonts w:ascii="Book Antiqua" w:hAnsi="Book Antiqua" w:cs="Times New Roman"/>
          <w:sz w:val="24"/>
          <w:szCs w:val="24"/>
        </w:rPr>
        <w:t>owing</w:t>
      </w:r>
      <w:r w:rsidR="00B9469F" w:rsidRPr="00FA5C8D">
        <w:rPr>
          <w:rFonts w:ascii="Book Antiqua" w:hAnsi="Book Antiqua" w:cs="Times New Roman"/>
          <w:sz w:val="24"/>
          <w:szCs w:val="24"/>
        </w:rPr>
        <w:t xml:space="preserve"> </w:t>
      </w:r>
      <w:r w:rsidR="001856BA" w:rsidRPr="00FA5C8D">
        <w:rPr>
          <w:rFonts w:ascii="Book Antiqua" w:hAnsi="Book Antiqua" w:cs="Times New Roman"/>
          <w:sz w:val="24"/>
          <w:szCs w:val="24"/>
        </w:rPr>
        <w:t xml:space="preserve">to </w:t>
      </w:r>
      <w:r w:rsidR="00720002" w:rsidRPr="00FA5C8D">
        <w:rPr>
          <w:rFonts w:ascii="Book Antiqua" w:hAnsi="Book Antiqua" w:cs="Times New Roman"/>
          <w:sz w:val="24"/>
          <w:szCs w:val="24"/>
        </w:rPr>
        <w:t>limitation</w:t>
      </w:r>
      <w:r w:rsidR="001856BA" w:rsidRPr="00FA5C8D">
        <w:rPr>
          <w:rFonts w:ascii="Book Antiqua" w:hAnsi="Book Antiqua" w:cs="Times New Roman"/>
          <w:sz w:val="24"/>
          <w:szCs w:val="24"/>
        </w:rPr>
        <w:t>s</w:t>
      </w:r>
      <w:r w:rsidR="00720002" w:rsidRPr="00FA5C8D">
        <w:rPr>
          <w:rFonts w:ascii="Book Antiqua" w:hAnsi="Book Antiqua" w:cs="Times New Roman"/>
          <w:sz w:val="24"/>
          <w:szCs w:val="24"/>
        </w:rPr>
        <w:t xml:space="preserve"> of the </w:t>
      </w:r>
      <w:r w:rsidR="001476A0" w:rsidRPr="00FA5C8D">
        <w:rPr>
          <w:rFonts w:ascii="Book Antiqua" w:hAnsi="Book Antiqua" w:cs="Times New Roman"/>
          <w:sz w:val="24"/>
          <w:szCs w:val="24"/>
        </w:rPr>
        <w:t>se</w:t>
      </w:r>
      <w:r w:rsidR="00720002" w:rsidRPr="00FA5C8D">
        <w:rPr>
          <w:rFonts w:ascii="Book Antiqua" w:hAnsi="Book Antiqua" w:cs="Times New Roman"/>
          <w:sz w:val="24"/>
          <w:szCs w:val="24"/>
        </w:rPr>
        <w:t>rology kit</w:t>
      </w:r>
      <w:r w:rsidR="001856BA" w:rsidRPr="00FA5C8D">
        <w:rPr>
          <w:rFonts w:ascii="Book Antiqua" w:hAnsi="Book Antiqua" w:cs="Times New Roman"/>
          <w:sz w:val="24"/>
          <w:szCs w:val="24"/>
        </w:rPr>
        <w:t>,</w:t>
      </w:r>
      <w:r w:rsidR="005C57BA" w:rsidRPr="00FA5C8D">
        <w:rPr>
          <w:rFonts w:ascii="Book Antiqua" w:hAnsi="Book Antiqua" w:cs="Times New Roman"/>
          <w:sz w:val="24"/>
          <w:szCs w:val="24"/>
        </w:rPr>
        <w:t xml:space="preserve">they were </w:t>
      </w:r>
      <w:r w:rsidR="001856BA" w:rsidRPr="00FA5C8D">
        <w:rPr>
          <w:rFonts w:ascii="Book Antiqua" w:hAnsi="Book Antiqua" w:cs="Times New Roman"/>
          <w:sz w:val="24"/>
          <w:szCs w:val="24"/>
        </w:rPr>
        <w:t>un</w:t>
      </w:r>
      <w:r w:rsidR="00720002" w:rsidRPr="00FA5C8D">
        <w:rPr>
          <w:rFonts w:ascii="Book Antiqua" w:hAnsi="Book Antiqua" w:cs="Times New Roman"/>
          <w:sz w:val="24"/>
          <w:szCs w:val="24"/>
        </w:rPr>
        <w:t>able to determin</w:t>
      </w:r>
      <w:r w:rsidR="001476A0" w:rsidRPr="00FA5C8D">
        <w:rPr>
          <w:rFonts w:ascii="Book Antiqua" w:hAnsi="Book Antiqua" w:cs="Times New Roman"/>
          <w:sz w:val="24"/>
          <w:szCs w:val="24"/>
        </w:rPr>
        <w:t>e</w:t>
      </w:r>
      <w:r w:rsidR="00720002" w:rsidRPr="00FA5C8D">
        <w:rPr>
          <w:rFonts w:ascii="Book Antiqua" w:hAnsi="Book Antiqua" w:cs="Times New Roman"/>
          <w:sz w:val="24"/>
          <w:szCs w:val="24"/>
        </w:rPr>
        <w:t xml:space="preserve"> an ideal cutoff limit.</w:t>
      </w:r>
      <w:r w:rsidR="00B9469F" w:rsidRPr="00FA5C8D">
        <w:rPr>
          <w:rFonts w:ascii="Book Antiqua" w:hAnsi="Book Antiqua" w:cs="Times New Roman"/>
          <w:sz w:val="24"/>
          <w:szCs w:val="24"/>
        </w:rPr>
        <w:t xml:space="preserve"> </w:t>
      </w:r>
      <w:r w:rsidR="0043613E" w:rsidRPr="00FA5C8D">
        <w:rPr>
          <w:rFonts w:ascii="Book Antiqua" w:hAnsi="Book Antiqua" w:cs="Times New Roman"/>
          <w:sz w:val="24"/>
          <w:szCs w:val="24"/>
        </w:rPr>
        <w:t>I</w:t>
      </w:r>
      <w:r w:rsidR="009814ED" w:rsidRPr="00FA5C8D">
        <w:rPr>
          <w:rFonts w:ascii="Book Antiqua" w:hAnsi="Book Antiqua" w:cs="Times New Roman"/>
          <w:sz w:val="24"/>
          <w:szCs w:val="24"/>
        </w:rPr>
        <w:t xml:space="preserve">ntermittent gluten exposure may explain </w:t>
      </w:r>
      <w:r w:rsidR="005452A9" w:rsidRPr="00FA5C8D">
        <w:rPr>
          <w:rFonts w:ascii="Book Antiqua" w:hAnsi="Book Antiqua" w:cs="Times New Roman"/>
          <w:sz w:val="24"/>
          <w:szCs w:val="24"/>
        </w:rPr>
        <w:t xml:space="preserve">the </w:t>
      </w:r>
      <w:r w:rsidR="009814ED" w:rsidRPr="00FA5C8D">
        <w:rPr>
          <w:rFonts w:ascii="Book Antiqua" w:hAnsi="Book Antiqua" w:cs="Times New Roman"/>
          <w:sz w:val="24"/>
          <w:szCs w:val="24"/>
        </w:rPr>
        <w:t xml:space="preserve">false negative serology tests even in </w:t>
      </w:r>
      <w:r w:rsidR="001F6A8C" w:rsidRPr="00FA5C8D">
        <w:rPr>
          <w:rFonts w:ascii="Book Antiqua" w:hAnsi="Book Antiqua" w:cs="Times New Roman"/>
          <w:sz w:val="24"/>
          <w:szCs w:val="24"/>
        </w:rPr>
        <w:t xml:space="preserve">the </w:t>
      </w:r>
      <w:r w:rsidR="009814ED" w:rsidRPr="00FA5C8D">
        <w:rPr>
          <w:rFonts w:ascii="Book Antiqua" w:hAnsi="Book Antiqua" w:cs="Times New Roman"/>
          <w:sz w:val="24"/>
          <w:szCs w:val="24"/>
        </w:rPr>
        <w:t xml:space="preserve">presence of </w:t>
      </w:r>
      <w:r w:rsidR="001F6A8C" w:rsidRPr="00FA5C8D">
        <w:rPr>
          <w:rFonts w:ascii="Book Antiqua" w:hAnsi="Book Antiqua" w:cs="Times New Roman"/>
          <w:sz w:val="24"/>
          <w:szCs w:val="24"/>
        </w:rPr>
        <w:t>i</w:t>
      </w:r>
      <w:r w:rsidR="009814ED" w:rsidRPr="00FA5C8D">
        <w:rPr>
          <w:rFonts w:ascii="Book Antiqua" w:hAnsi="Book Antiqua" w:cs="Times New Roman"/>
          <w:sz w:val="24"/>
          <w:szCs w:val="24"/>
        </w:rPr>
        <w:t>ncomplete mucosal recovery and non-optimal sensitivity of aTTG IgA.</w:t>
      </w:r>
    </w:p>
    <w:p w14:paraId="7655155E" w14:textId="77777777" w:rsidR="00B70855" w:rsidRPr="00FA5C8D" w:rsidRDefault="002559AB" w:rsidP="00FA5C8D">
      <w:pPr>
        <w:snapToGrid w:val="0"/>
        <w:spacing w:after="0" w:line="360" w:lineRule="auto"/>
        <w:ind w:firstLineChars="100" w:firstLine="240"/>
        <w:jc w:val="both"/>
        <w:rPr>
          <w:rFonts w:ascii="Book Antiqua" w:hAnsi="Book Antiqua" w:cs="Times New Roman"/>
          <w:color w:val="000000"/>
          <w:sz w:val="24"/>
          <w:szCs w:val="24"/>
          <w:highlight w:val="yellow"/>
          <w:shd w:val="clear" w:color="auto" w:fill="FFFFFF"/>
        </w:rPr>
      </w:pPr>
      <w:r w:rsidRPr="00FA5C8D">
        <w:rPr>
          <w:rFonts w:ascii="Book Antiqua" w:hAnsi="Book Antiqua" w:cs="Times New Roman"/>
          <w:color w:val="000000"/>
          <w:sz w:val="24"/>
          <w:szCs w:val="24"/>
          <w:shd w:val="clear" w:color="auto" w:fill="FFFFFF"/>
        </w:rPr>
        <w:t xml:space="preserve">The use of </w:t>
      </w:r>
      <w:proofErr w:type="spellStart"/>
      <w:r w:rsidRPr="00FA5C8D">
        <w:rPr>
          <w:rFonts w:ascii="Book Antiqua" w:hAnsi="Book Antiqua" w:cs="Times New Roman"/>
          <w:color w:val="000000"/>
          <w:sz w:val="24"/>
          <w:szCs w:val="24"/>
          <w:shd w:val="clear" w:color="auto" w:fill="FFFFFF"/>
        </w:rPr>
        <w:t>aDGP</w:t>
      </w:r>
      <w:proofErr w:type="spellEnd"/>
      <w:r w:rsidR="00B9469F"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appears</w:t>
      </w:r>
      <w:r w:rsidR="00B9469F"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 xml:space="preserve">to be </w:t>
      </w:r>
      <w:r w:rsidR="00131AFE" w:rsidRPr="00FA5C8D">
        <w:rPr>
          <w:rFonts w:ascii="Book Antiqua" w:hAnsi="Book Antiqua" w:cs="Times New Roman"/>
          <w:color w:val="000000"/>
          <w:sz w:val="24"/>
          <w:szCs w:val="24"/>
          <w:shd w:val="clear" w:color="auto" w:fill="FFFFFF"/>
        </w:rPr>
        <w:t xml:space="preserve">a </w:t>
      </w:r>
      <w:r w:rsidRPr="00FA5C8D">
        <w:rPr>
          <w:rFonts w:ascii="Book Antiqua" w:hAnsi="Book Antiqua" w:cs="Times New Roman"/>
          <w:color w:val="000000"/>
          <w:sz w:val="24"/>
          <w:szCs w:val="24"/>
          <w:shd w:val="clear" w:color="auto" w:fill="FFFFFF"/>
        </w:rPr>
        <w:t xml:space="preserve">better method than </w:t>
      </w:r>
      <w:r w:rsidR="00131AFE" w:rsidRPr="00FA5C8D">
        <w:rPr>
          <w:rFonts w:ascii="Book Antiqua" w:hAnsi="Book Antiqua" w:cs="Times New Roman"/>
          <w:color w:val="000000"/>
          <w:sz w:val="24"/>
          <w:szCs w:val="24"/>
          <w:shd w:val="clear" w:color="auto" w:fill="FFFFFF"/>
        </w:rPr>
        <w:t xml:space="preserve">the use of </w:t>
      </w:r>
      <w:r w:rsidR="002417D4" w:rsidRPr="00FA5C8D">
        <w:rPr>
          <w:rFonts w:ascii="Book Antiqua" w:hAnsi="Book Antiqua" w:cs="Times New Roman"/>
          <w:color w:val="000000"/>
          <w:sz w:val="24"/>
          <w:szCs w:val="24"/>
          <w:shd w:val="clear" w:color="auto" w:fill="FFFFFF"/>
        </w:rPr>
        <w:t>aTTG IgA</w:t>
      </w:r>
      <w:r w:rsidRPr="00FA5C8D">
        <w:rPr>
          <w:rFonts w:ascii="Book Antiqua" w:hAnsi="Book Antiqua" w:cs="Times New Roman"/>
          <w:color w:val="000000"/>
          <w:sz w:val="24"/>
          <w:szCs w:val="24"/>
          <w:shd w:val="clear" w:color="auto" w:fill="FFFFFF"/>
        </w:rPr>
        <w:t xml:space="preserve"> for detection of persistent VA</w:t>
      </w:r>
      <w:r w:rsidR="005727AB" w:rsidRPr="00FA5C8D">
        <w:rPr>
          <w:rFonts w:ascii="Book Antiqua" w:hAnsi="Book Antiqua" w:cs="Times New Roman"/>
          <w:color w:val="000000"/>
          <w:sz w:val="24"/>
          <w:szCs w:val="24"/>
          <w:shd w:val="clear" w:color="auto" w:fill="FFFFFF"/>
        </w:rPr>
        <w:t xml:space="preserve">, particularly in </w:t>
      </w:r>
      <w:r w:rsidR="00175AD0" w:rsidRPr="00FA5C8D">
        <w:rPr>
          <w:rFonts w:ascii="Book Antiqua" w:hAnsi="Book Antiqua" w:cs="Times New Roman"/>
          <w:color w:val="000000"/>
          <w:sz w:val="24"/>
          <w:szCs w:val="24"/>
          <w:shd w:val="clear" w:color="auto" w:fill="FFFFFF"/>
        </w:rPr>
        <w:t xml:space="preserve">the </w:t>
      </w:r>
      <w:r w:rsidR="005727AB" w:rsidRPr="00FA5C8D">
        <w:rPr>
          <w:rFonts w:ascii="Book Antiqua" w:hAnsi="Book Antiqua" w:cs="Times New Roman"/>
          <w:color w:val="000000"/>
          <w:sz w:val="24"/>
          <w:szCs w:val="24"/>
          <w:shd w:val="clear" w:color="auto" w:fill="FFFFFF"/>
        </w:rPr>
        <w:t xml:space="preserve">use of both IgA and IgG antibodies. </w:t>
      </w:r>
      <w:r w:rsidR="00D232C3" w:rsidRPr="00FA5C8D">
        <w:rPr>
          <w:rFonts w:ascii="Book Antiqua" w:hAnsi="Book Antiqua" w:cs="Times New Roman"/>
          <w:color w:val="000000"/>
          <w:sz w:val="24"/>
          <w:szCs w:val="24"/>
          <w:shd w:val="clear" w:color="auto" w:fill="FFFFFF"/>
        </w:rPr>
        <w:t>A combination of aDGP</w:t>
      </w:r>
      <w:r w:rsidR="005727AB" w:rsidRPr="00FA5C8D">
        <w:rPr>
          <w:rFonts w:ascii="Book Antiqua" w:hAnsi="Book Antiqua" w:cs="Times New Roman"/>
          <w:color w:val="000000"/>
          <w:sz w:val="24"/>
          <w:szCs w:val="24"/>
          <w:shd w:val="clear" w:color="auto" w:fill="FFFFFF"/>
        </w:rPr>
        <w:t xml:space="preserve"> test</w:t>
      </w:r>
      <w:r w:rsidR="00D232C3" w:rsidRPr="00FA5C8D">
        <w:rPr>
          <w:rFonts w:ascii="Book Antiqua" w:hAnsi="Book Antiqua" w:cs="Times New Roman"/>
          <w:color w:val="000000"/>
          <w:sz w:val="24"/>
          <w:szCs w:val="24"/>
          <w:shd w:val="clear" w:color="auto" w:fill="FFFFFF"/>
        </w:rPr>
        <w:t>s</w:t>
      </w:r>
      <w:r w:rsidR="005727AB" w:rsidRPr="00FA5C8D">
        <w:rPr>
          <w:rFonts w:ascii="Book Antiqua" w:hAnsi="Book Antiqua" w:cs="Times New Roman"/>
          <w:color w:val="000000"/>
          <w:sz w:val="24"/>
          <w:szCs w:val="24"/>
          <w:shd w:val="clear" w:color="auto" w:fill="FFFFFF"/>
        </w:rPr>
        <w:t xml:space="preserve"> led to </w:t>
      </w:r>
      <w:r w:rsidR="00054A0E" w:rsidRPr="00FA5C8D">
        <w:rPr>
          <w:rFonts w:ascii="Book Antiqua" w:hAnsi="Book Antiqua" w:cs="Times New Roman"/>
          <w:color w:val="000000"/>
          <w:sz w:val="24"/>
          <w:szCs w:val="24"/>
          <w:shd w:val="clear" w:color="auto" w:fill="FFFFFF"/>
        </w:rPr>
        <w:t xml:space="preserve">a </w:t>
      </w:r>
      <w:r w:rsidR="005727AB" w:rsidRPr="00FA5C8D">
        <w:rPr>
          <w:rFonts w:ascii="Book Antiqua" w:hAnsi="Book Antiqua" w:cs="Times New Roman"/>
          <w:color w:val="000000"/>
          <w:sz w:val="24"/>
          <w:szCs w:val="24"/>
          <w:shd w:val="clear" w:color="auto" w:fill="FFFFFF"/>
        </w:rPr>
        <w:t xml:space="preserve">sensitivity </w:t>
      </w:r>
      <w:r w:rsidR="00054A0E" w:rsidRPr="00FA5C8D">
        <w:rPr>
          <w:rFonts w:ascii="Book Antiqua" w:hAnsi="Book Antiqua" w:cs="Times New Roman"/>
          <w:color w:val="000000"/>
          <w:sz w:val="24"/>
          <w:szCs w:val="24"/>
          <w:shd w:val="clear" w:color="auto" w:fill="FFFFFF"/>
        </w:rPr>
        <w:t xml:space="preserve">of </w:t>
      </w:r>
      <w:r w:rsidR="005727AB" w:rsidRPr="00FA5C8D">
        <w:rPr>
          <w:rFonts w:ascii="Book Antiqua" w:hAnsi="Book Antiqua" w:cs="Times New Roman"/>
          <w:color w:val="000000"/>
          <w:sz w:val="24"/>
          <w:szCs w:val="24"/>
          <w:shd w:val="clear" w:color="auto" w:fill="FFFFFF"/>
        </w:rPr>
        <w:t>77.8%</w:t>
      </w:r>
      <w:r w:rsidR="00D232C3" w:rsidRPr="00FA5C8D">
        <w:rPr>
          <w:rFonts w:ascii="Book Antiqua" w:hAnsi="Book Antiqua" w:cs="Times New Roman"/>
          <w:color w:val="000000"/>
          <w:sz w:val="24"/>
          <w:szCs w:val="24"/>
          <w:shd w:val="clear" w:color="auto" w:fill="FFFFFF"/>
        </w:rPr>
        <w:t xml:space="preserve"> and </w:t>
      </w:r>
      <w:r w:rsidR="00054A0E" w:rsidRPr="00FA5C8D">
        <w:rPr>
          <w:rFonts w:ascii="Book Antiqua" w:hAnsi="Book Antiqua" w:cs="Times New Roman"/>
          <w:color w:val="000000"/>
          <w:sz w:val="24"/>
          <w:szCs w:val="24"/>
          <w:shd w:val="clear" w:color="auto" w:fill="FFFFFF"/>
        </w:rPr>
        <w:t xml:space="preserve">a </w:t>
      </w:r>
      <w:r w:rsidR="00D232C3" w:rsidRPr="00FA5C8D">
        <w:rPr>
          <w:rFonts w:ascii="Book Antiqua" w:hAnsi="Book Antiqua" w:cs="Times New Roman"/>
          <w:color w:val="000000"/>
          <w:sz w:val="24"/>
          <w:szCs w:val="24"/>
          <w:shd w:val="clear" w:color="auto" w:fill="FFFFFF"/>
        </w:rPr>
        <w:t xml:space="preserve">negative predictive value </w:t>
      </w:r>
      <w:r w:rsidR="00054A0E" w:rsidRPr="00FA5C8D">
        <w:rPr>
          <w:rFonts w:ascii="Book Antiqua" w:hAnsi="Book Antiqua" w:cs="Times New Roman"/>
          <w:color w:val="000000"/>
          <w:sz w:val="24"/>
          <w:szCs w:val="24"/>
          <w:shd w:val="clear" w:color="auto" w:fill="FFFFFF"/>
        </w:rPr>
        <w:t xml:space="preserve">of </w:t>
      </w:r>
      <w:r w:rsidR="00D232C3" w:rsidRPr="00FA5C8D">
        <w:rPr>
          <w:rFonts w:ascii="Book Antiqua" w:hAnsi="Book Antiqua" w:cs="Times New Roman"/>
          <w:color w:val="000000"/>
          <w:sz w:val="24"/>
          <w:szCs w:val="24"/>
          <w:shd w:val="clear" w:color="auto" w:fill="FFFFFF"/>
        </w:rPr>
        <w:t>91.8%</w:t>
      </w:r>
      <w:r w:rsidR="005727AB" w:rsidRPr="00FA5C8D">
        <w:rPr>
          <w:rFonts w:ascii="Book Antiqua" w:hAnsi="Book Antiqua" w:cs="Times New Roman"/>
          <w:color w:val="000000"/>
          <w:sz w:val="24"/>
          <w:szCs w:val="24"/>
          <w:shd w:val="clear" w:color="auto" w:fill="FFFFFF"/>
        </w:rPr>
        <w:t xml:space="preserve">. </w:t>
      </w:r>
      <w:r w:rsidR="00B70855" w:rsidRPr="00FA5C8D">
        <w:rPr>
          <w:rFonts w:ascii="Book Antiqua" w:hAnsi="Book Antiqua" w:cs="Times New Roman"/>
          <w:sz w:val="24"/>
          <w:szCs w:val="24"/>
        </w:rPr>
        <w:t xml:space="preserve">One </w:t>
      </w:r>
      <w:r w:rsidR="00B70855" w:rsidRPr="00FA5C8D">
        <w:rPr>
          <w:rFonts w:ascii="Book Antiqua" w:hAnsi="Book Antiqua" w:cs="Times New Roman"/>
          <w:sz w:val="24"/>
          <w:szCs w:val="24"/>
        </w:rPr>
        <w:lastRenderedPageBreak/>
        <w:t xml:space="preserve">study found 87% sensitivity and 89% specificity of </w:t>
      </w:r>
      <w:proofErr w:type="spellStart"/>
      <w:r w:rsidR="00B70855" w:rsidRPr="00FA5C8D">
        <w:rPr>
          <w:rFonts w:ascii="Book Antiqua" w:hAnsi="Book Antiqua" w:cs="Times New Roman"/>
          <w:sz w:val="24"/>
          <w:szCs w:val="24"/>
        </w:rPr>
        <w:t>aDGP</w:t>
      </w:r>
      <w:proofErr w:type="spellEnd"/>
      <w:r w:rsidR="00B9469F" w:rsidRPr="00FA5C8D">
        <w:rPr>
          <w:rFonts w:ascii="Book Antiqua" w:hAnsi="Book Antiqua" w:cs="Times New Roman"/>
          <w:sz w:val="24"/>
          <w:szCs w:val="24"/>
        </w:rPr>
        <w:t xml:space="preserve"> </w:t>
      </w:r>
      <w:proofErr w:type="spellStart"/>
      <w:r w:rsidR="00B70855" w:rsidRPr="00FA5C8D">
        <w:rPr>
          <w:rFonts w:ascii="Book Antiqua" w:hAnsi="Book Antiqua" w:cs="Times New Roman"/>
          <w:sz w:val="24"/>
          <w:szCs w:val="24"/>
        </w:rPr>
        <w:t>IgG</w:t>
      </w:r>
      <w:proofErr w:type="spellEnd"/>
      <w:r w:rsidR="00B70855" w:rsidRPr="00FA5C8D">
        <w:rPr>
          <w:rFonts w:ascii="Book Antiqua" w:hAnsi="Book Antiqua" w:cs="Times New Roman"/>
          <w:sz w:val="24"/>
          <w:szCs w:val="24"/>
        </w:rPr>
        <w:t xml:space="preserve"> for prediction of non</w:t>
      </w:r>
      <w:r w:rsidR="00300716" w:rsidRPr="00FA5C8D">
        <w:rPr>
          <w:rFonts w:ascii="Book Antiqua" w:hAnsi="Book Antiqua" w:cs="Times New Roman"/>
          <w:sz w:val="24"/>
          <w:szCs w:val="24"/>
        </w:rPr>
        <w:t>responsive</w:t>
      </w:r>
      <w:r w:rsidR="00B70855" w:rsidRPr="00FA5C8D">
        <w:rPr>
          <w:rFonts w:ascii="Book Antiqua" w:hAnsi="Book Antiqua" w:cs="Times New Roman"/>
          <w:sz w:val="24"/>
          <w:szCs w:val="24"/>
        </w:rPr>
        <w:t xml:space="preserve"> CD</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{"citationID":"DvpdjXAh","properties":{"formattedCitation":"\\super [6]\\nosupersub{}","plainCitation":"[6]","noteIndex":0},"citationItems":[{"id":1190,"uris":["http://zotero.org/users/4312189/items/MXFY8CNJ"],"uri":["http://zotero.org/users/4312189/items/MXFY8CNJ"],"itemData":{"id":1190,"type":"article-journal","abstract":"BACKGROUND: Histologically nonresponsive coeliac disease (NRCD) is a potentially serious condition diagnosed during the follow-up of coeliac disease (CD) when patients have persistent villous atrophy despite following a gluten-free diet (GFD).\nAIM: As current assessments of recovery are limited to invasive and costly serial duodenal biopsies, we sought to identify antibody biomarkers for CD patients that do not respond to traditional therapy.\nMETHODS: Bacterial display peptide libraries were screened by flow cytometry to identify epitopes specifically recognised by antibodies from patients with NRCD, but not by antibodies from responsive CD patients. Deamidated gliadin was confirmed to be the antigen mimicked by library peptides using ELISA with sera from NRCD (n = 15) and responsive CD (n = 45) patients on a strict GFD for at least 1 year.\nRESULTS: The dominant consensus epitope sequence identified by unbiased library screening QPxx(A/P)FP(E/D) was highly similar to reported deamidated gliadin peptide (dGP) B-cell epitopes. Measurement of anti-dGP IgG titre by ELISA discriminated between NRCD and responsive CD patients with 87% sensitivity and 89% specificity. Importantly, dGP antibody titre correlated with the severity of mucosal damage indicating that IgG dGP titres may be useful to monitor small intestinal mucosal recovery on a GFD.\nCONCLUSIONS: The finding of increased levels of anti-dGP IgG antibodies in CD patients on strict GFDs effectively identifies patients with NRCD. Finally, anti-dGP IgG assays may be useful to monitor mucosal damage and histological improvement in CD patients on a strict GFD.","container-title":"Alimentary Pharmacology &amp; Therapeutics","DOI":"10.1111/apt.12603","ISSN":"1365-2036","issue":"4","journalAbbreviation":"Aliment. Pharmacol. Ther.","language":"eng","note":"PMID: 24392888\nPMCID: PMC3962785","page":"407-417","source":"PubMed","title":"Persistence of elevated deamidated gliadin peptide antibodies on a gluten-free diet indicates nonresponsive coeliac disease","volume":"39","author":[{"family":"Spatola","given":"B. N."},{"family":"Kaukinen","given":"K."},{"family":"Collin","given":"P."},{"family":"Mäki","given":"M."},{"family":"Kagnoff","given":"M. F."},{"family":"Daugherty","given":"P. S."}],"issued":{"date-parts":[["2014",2]]}}}],"schema":"https://github.com/citation-style-language/schema/raw/master/csl-citation.json"}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[6]</w:t>
      </w:r>
      <w:r w:rsidR="00185175" w:rsidRPr="00FA5C8D">
        <w:rPr>
          <w:rFonts w:ascii="Book Antiqua" w:hAnsi="Book Antiqua" w:cs="Times New Roman"/>
          <w:sz w:val="24"/>
          <w:szCs w:val="24"/>
        </w:rPr>
        <w:fldChar w:fldCharType="end"/>
      </w:r>
      <w:r w:rsidR="00B70855" w:rsidRPr="00FA5C8D">
        <w:rPr>
          <w:rFonts w:ascii="Book Antiqua" w:hAnsi="Book Antiqua" w:cs="Times New Roman"/>
          <w:sz w:val="24"/>
          <w:szCs w:val="24"/>
        </w:rPr>
        <w:t xml:space="preserve">, while </w:t>
      </w:r>
      <w:r w:rsidR="00BE3FB0" w:rsidRPr="00FA5C8D">
        <w:rPr>
          <w:rFonts w:ascii="Book Antiqua" w:hAnsi="Book Antiqua" w:cs="Times New Roman"/>
          <w:sz w:val="24"/>
          <w:szCs w:val="24"/>
        </w:rPr>
        <w:t>an</w:t>
      </w:r>
      <w:r w:rsidR="00B70855" w:rsidRPr="00FA5C8D">
        <w:rPr>
          <w:rFonts w:ascii="Book Antiqua" w:hAnsi="Book Antiqua" w:cs="Times New Roman"/>
          <w:sz w:val="24"/>
          <w:szCs w:val="24"/>
        </w:rPr>
        <w:t>other study found only 48% sensitivity but 91% specificity of aDGP IgA for prediction of persistent VA</w:t>
      </w:r>
      <w:r w:rsidR="00185175" w:rsidRPr="00FA5C8D">
        <w:rPr>
          <w:rFonts w:ascii="Book Antiqua" w:hAnsi="Book Antiqua" w:cs="Times New Roman"/>
          <w:sz w:val="24"/>
          <w:szCs w:val="24"/>
        </w:rPr>
        <w:fldChar w:fldCharType="begin"/>
      </w:r>
      <w:r w:rsidR="00DF5155" w:rsidRPr="00FA5C8D">
        <w:rPr>
          <w:rFonts w:ascii="Book Antiqua" w:hAnsi="Book Antiqua" w:cs="Times New Roman"/>
          <w:sz w:val="24"/>
          <w:szCs w:val="24"/>
        </w:rPr>
        <w:instrText xml:space="preserve"> ADDIN ZOTERO_ITEM CSL_CITATION {"citationID":"pWJNNxsS","properties":{"formattedCitation":"\\super [7]\\nosupersub{}","plainCitation":"[7]","noteIndex":0},"citationItems":[{"id":1194,"uris":["http://zotero.org/users/4312189/items/NRLTTB6E"],"uri":["http://zotero.org/users/4312189/items/NRLTTB6E"],"itemData":{"id":1194,"type":"article-journal","abstract":"BACKGROUND &amp; AIMS: Celiac disease (CeD) has characteristics of an autoimmune disease, such as increased antibody levels to tissue transglutaminase (tTG). However, assays to measure these biomarkers in blood samples do not identify patients with sufficient accuracy for diagnosis or monitoring of CeD. We aimed to discover biomarkers of CeD derived from neoepitopes of deamidated gliadin peptides (DGP) and tTG fragments and to determine if immune reactivity against these epitopes can identify patients with CeD with mucosal healing.\nMETHODS: We analyzed serum samples from 90 patients with biopsy-proven CeD and 79 healthy individuals (controls) for immune reactivity against the tTG-DGP complex (discovery cohort). A fluorescent peptide microarray platform was used to estimate the antibody-binding intensity of each synthesized tTG-DGP epitope. We validated our findings in 82 patients with newly diagnosed CeD and 217 controls. We tested the ability of our peptide panel to identify patients with mucosal healing (based on the histologic analysis) using serum samples from patients with treated and healed CeD (n = 85), patients with treated but unhealed CeD (n = 81; villous atrophy despite a adhering a gluten-free diet), patients with untreated CeD (n = 82) and disease controls (n = 27), villous atrophy without CeD), and healthy controls (n = 217). Data were analyzed using principal component analysis followed by machine learning and support vector machine modeling.\nRESULTS: We identified 172 immunogenic epitopes of the tTG-DGP complex. We found significantly increased immune reactivity against these epitopes vs controls. In the both cohort, the set of neoepitopes derived from the tTG-DGP complex identified patients with CeD with 99% sensitivity and 100% specificity. Serum samples from patients with untreated CeD had the greatest mean antibody-binding intensity against the tTG-DGP complex (32.5 ± 16.4). The average antibody-binding intensity was significantly higher in serum from patients with treated but unhealed CeD mucosa (15.1 ± 7.5) than in patients with treated and healed CeD mucosa (5.5 ± 3.4) (P &lt; .001). The assay identified patients with mucosa healing status with 84% sensitivity and 95% specificity.\nCONCLUSIONS: We identified immunogenic epitopes of the tTG-DGP complex, and found that an assay to measure the immune response to epitopes accurately identified patients with CeD, as well as patients with mucosal healing. This biomarker assay might be used in detection and monitoring of patients with CeD.","container-title":"Gastroenterology","DOI":"10.1053/j.gastro.2018.10.025","ISSN":"1528-0012","issue":"3","journalAbbreviation":"Gastroenterology","language":"eng","note":"PMID: 30342033","page":"582-591.e1","source":"PubMed","title":"Synthetic Neoepitopes of the Transglutaminase-Deamidated Gliadin Complex as Biomarkers for Diagnosing and Monitoring Celiac Disease","volume":"156","author":[{"family":"Choung","given":"Rok Seon"},{"family":"Khaleghi Rostamkolaei","given":"Shahryar"},{"family":"Ju","given":"Josephine M."},{"family":"Marietta","given":"Eric V."},{"family":"Van Dyke","given":"Carol T."},{"family":"Rajasekaran","given":"J. J."},{"family":"Jayaraman","given":"Vasanth"},{"family":"Wang","given":"Tianhao"},{"family":"Bei","given":"Kang"},{"family":"Rajasekaran","given":"Karenah E."},{"family":"Krishna","given":"Karthik"},{"family":"Krishnamurthy","given":"Hari Krishnan"},{"family":"Murray","given":"Joseph A."}],"issued":{"date-parts":[["2019"]]}}}],"schema":"https://github.com/citation-style-language/schema/raw/master/csl-citation.json"} </w:instrText>
      </w:r>
      <w:r w:rsidR="00185175" w:rsidRPr="00FA5C8D">
        <w:rPr>
          <w:rFonts w:ascii="Book Antiqua" w:hAnsi="Book Antiqua" w:cs="Times New Roman"/>
          <w:sz w:val="24"/>
          <w:szCs w:val="24"/>
        </w:rPr>
        <w:fldChar w:fldCharType="separate"/>
      </w:r>
      <w:r w:rsidR="00DF5155" w:rsidRPr="00FA5C8D">
        <w:rPr>
          <w:rFonts w:ascii="Book Antiqua" w:hAnsi="Book Antiqua" w:cs="Times New Roman"/>
          <w:sz w:val="24"/>
          <w:szCs w:val="24"/>
          <w:vertAlign w:val="superscript"/>
        </w:rPr>
        <w:t>[7]</w:t>
      </w:r>
      <w:r w:rsidR="00185175" w:rsidRPr="00FA5C8D">
        <w:rPr>
          <w:rFonts w:ascii="Book Antiqua" w:hAnsi="Book Antiqua" w:cs="Times New Roman"/>
          <w:sz w:val="24"/>
          <w:szCs w:val="24"/>
        </w:rPr>
        <w:fldChar w:fldCharType="end"/>
      </w:r>
      <w:r w:rsidR="00B70855"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194F9B" w:rsidRPr="00FA5C8D">
        <w:rPr>
          <w:rFonts w:ascii="Book Antiqua" w:hAnsi="Book Antiqua" w:cs="Times New Roman"/>
          <w:sz w:val="24"/>
          <w:szCs w:val="24"/>
        </w:rPr>
        <w:t>The w</w:t>
      </w:r>
      <w:r w:rsidR="005727AB" w:rsidRPr="00FA5C8D">
        <w:rPr>
          <w:rFonts w:ascii="Book Antiqua" w:hAnsi="Book Antiqua" w:cs="Times New Roman"/>
          <w:sz w:val="24"/>
          <w:szCs w:val="24"/>
        </w:rPr>
        <w:t xml:space="preserve">ide use of aDGP in future studies may contribute to </w:t>
      </w:r>
      <w:r w:rsidR="00194F9B" w:rsidRPr="00FA5C8D">
        <w:rPr>
          <w:rFonts w:ascii="Book Antiqua" w:hAnsi="Book Antiqua" w:cs="Times New Roman"/>
          <w:sz w:val="24"/>
          <w:szCs w:val="24"/>
        </w:rPr>
        <w:t xml:space="preserve">a </w:t>
      </w:r>
      <w:r w:rsidR="005727AB" w:rsidRPr="00FA5C8D">
        <w:rPr>
          <w:rFonts w:ascii="Book Antiqua" w:hAnsi="Book Antiqua" w:cs="Times New Roman"/>
          <w:sz w:val="24"/>
          <w:szCs w:val="24"/>
        </w:rPr>
        <w:t>more precise role of it in detection of VA despite GFD.</w:t>
      </w:r>
      <w:r w:rsidR="00B9469F" w:rsidRPr="00FA5C8D">
        <w:rPr>
          <w:rFonts w:ascii="Book Antiqua" w:hAnsi="Book Antiqua" w:cs="Times New Roman"/>
          <w:sz w:val="24"/>
          <w:szCs w:val="24"/>
        </w:rPr>
        <w:t xml:space="preserve"> </w:t>
      </w:r>
      <w:r w:rsidR="00FF7DEE" w:rsidRPr="00FA5C8D">
        <w:rPr>
          <w:rFonts w:ascii="Book Antiqua" w:hAnsi="Book Antiqua" w:cs="Times New Roman"/>
          <w:sz w:val="24"/>
          <w:szCs w:val="24"/>
        </w:rPr>
        <w:t xml:space="preserve">Although one study referred </w:t>
      </w:r>
      <w:r w:rsidR="00194F9B" w:rsidRPr="00FA5C8D">
        <w:rPr>
          <w:rFonts w:ascii="Book Antiqua" w:hAnsi="Book Antiqua" w:cs="Times New Roman"/>
          <w:sz w:val="24"/>
          <w:szCs w:val="24"/>
        </w:rPr>
        <w:t xml:space="preserve">to a </w:t>
      </w:r>
      <w:r w:rsidR="00FF7DEE" w:rsidRPr="00FA5C8D">
        <w:rPr>
          <w:rFonts w:ascii="Book Antiqua" w:hAnsi="Book Antiqua" w:cs="Times New Roman"/>
          <w:sz w:val="24"/>
          <w:szCs w:val="24"/>
        </w:rPr>
        <w:t>poor outcome of aDGP IgA in detection of absence of mucosal healing in children</w:t>
      </w:r>
      <w:r w:rsidR="00185175" w:rsidRPr="00FA5C8D">
        <w:rPr>
          <w:rFonts w:ascii="Book Antiqua" w:hAnsi="Book Antiqua" w:cs="Times New Roman"/>
          <w:sz w:val="24"/>
          <w:szCs w:val="24"/>
        </w:rPr>
        <w:fldChar w:fldCharType="begin"/>
      </w:r>
      <w:r w:rsidR="000C00A4" w:rsidRPr="00FA5C8D">
        <w:rPr>
          <w:rFonts w:ascii="Book Antiqua" w:hAnsi="Book Antiqua" w:cs="Times New Roman"/>
          <w:sz w:val="24"/>
          <w:szCs w:val="24"/>
        </w:rPr>
        <w:instrText xml:space="preserve"> ADDIN ZOTERO_ITEM CSL_CITATION {"citationID":"stD39Lk9","properties":{"formattedCitation":"\\super [19]\\nosupersub{}","plainCitation":"[19]","noteIndex":0},"citationItems":[{"id":1079,"uris":["http://zotero.org/users/4312189/items/G6H5P744"],"uri":["http://zotero.org/users/4312189/items/G6H5P744"],"itemData":{"id":1079,"type":"article-journal","abstract":"Doc number: 28\nAbstract\nBackground: In diagnosing celiac disease (CD), serological tests are highly valuable. However, their role in following up children with CD after prescription of a gluten-free diet is unclear. This study aimed to compare the performance of antibody tests in predicting small-intestinal mucosal status in diagnosis vs. follow-up of pediatric CD.\nMethods: We conducted a prospective cohort study at a tertiary-care center. 148 children underwent esophohagogastroduodenoscopy with biopsies either for symptoms ± positive CD antibodies (group A; n = 95) or following up CD diagnosed ≥ 1 year before study enrollment (group B; n = 53). Using biopsy (Marsh ≥ 2) as the criterion standard, areas under ROC curves (AUCs) and likelihood-ratios were calculated to estimate the performance of antibody tests against tissue transglutaminase (TG2), deamidated gliadin peptide (DGP) and endomysium (EMA).\nResults: AUCs were higher when tests were used for CD diagnosis vs. follow-up: 1 vs. 0.86 (P = 0.100) for TG2-IgA, 0.85 vs. 0.74 (P = 0.421) for TG2-IgG, 0.97 vs. 0.61 (P = 0.004) for DPG-IgA, and 0.99 vs. 0.88 (P = 0.053) for DPG-IgG, respectively. Empirical power was 85% for the DPG-IgA comparison, and on average 33% (range 13-43) for the non-significant comparisons. Among group B children, 88.7% showed mucosal healing (median 2.2 years after primary diagnosis). Only the negative likelihood-ratio of EMA was low enough (0.097) to effectively rule out persistent mucosal injury. However, out of 12 EMA-positive children with mucosal healing, 9 subsequently turned EMA-negative.\nConclusions: Among the CD antibodies examined, negative EMA most reliably predict mucosal healing. In general, however, antibody tests, especially DPG-IgA, are of limited value in predicting the mucosal status in the early years post-diagnosis but may be sufficient after a longer period of time.","container-title":"BMC Gastroenterology; London","DOI":"http://dx.doi.org.ezproxy.muni.cz/10.1186/1471-230X-14-28","language":"English","page":"28","source":"ProQuest","title":"Follow-up of pediatric celiac disease: value of antibodies in predicting mucosal healing, a prospective cohort study","title-short":"Follow-up of pediatric celiac disease","volume":"14","author":[{"family":"Vécsei","given":"Edith"},{"family":"Steinwendner","given":"Stephanie"},{"family":"Kogler","given":"Hubert"},{"family":"Innerhofer","given":"Albina"},{"family":"Hammer","given":"Karin"},{"family":"Haas","given":"Oskar A."},{"family":"Amann","given":"Gabriele"},{"family":"Chott","given":"Andreas"},{"family":"Vogelsang","given":"Harald"},{"family":"Schoenlechner","given":"Regine"},{"family":"Huf","given":"Wolfgang"},{"family":"Vécsei","given":"Andreas"}],"issued":{"date-parts":[["2014"]]}}}],"schema":"https://github.com/citation-style-language/schema/raw/master/csl-citation.json"} </w:instrText>
      </w:r>
      <w:r w:rsidR="00185175" w:rsidRPr="00FA5C8D">
        <w:rPr>
          <w:rFonts w:ascii="Book Antiqua" w:hAnsi="Book Antiqua" w:cs="Times New Roman"/>
          <w:sz w:val="24"/>
          <w:szCs w:val="24"/>
        </w:rPr>
        <w:fldChar w:fldCharType="separate"/>
      </w:r>
      <w:r w:rsidR="000C00A4" w:rsidRPr="00FA5C8D">
        <w:rPr>
          <w:rFonts w:ascii="Book Antiqua" w:hAnsi="Book Antiqua" w:cs="Times New Roman"/>
          <w:sz w:val="24"/>
          <w:szCs w:val="24"/>
          <w:vertAlign w:val="superscript"/>
        </w:rPr>
        <w:t>[19]</w:t>
      </w:r>
      <w:r w:rsidR="00185175" w:rsidRPr="00FA5C8D">
        <w:rPr>
          <w:rFonts w:ascii="Book Antiqua" w:hAnsi="Book Antiqua" w:cs="Times New Roman"/>
          <w:sz w:val="24"/>
          <w:szCs w:val="24"/>
        </w:rPr>
        <w:fldChar w:fldCharType="end"/>
      </w:r>
      <w:r w:rsidR="00FF7DEE" w:rsidRPr="00FA5C8D">
        <w:rPr>
          <w:rFonts w:ascii="Book Antiqua" w:hAnsi="Book Antiqua" w:cs="Times New Roman"/>
          <w:sz w:val="24"/>
          <w:szCs w:val="24"/>
        </w:rPr>
        <w:t>, other</w:t>
      </w:r>
      <w:r w:rsidR="00B166E2" w:rsidRPr="00FA5C8D">
        <w:rPr>
          <w:rFonts w:ascii="Book Antiqua" w:hAnsi="Book Antiqua" w:cs="Times New Roman"/>
          <w:sz w:val="24"/>
          <w:szCs w:val="24"/>
        </w:rPr>
        <w:t xml:space="preserve"> studies </w:t>
      </w:r>
      <w:r w:rsidR="00564190" w:rsidRPr="00FA5C8D">
        <w:rPr>
          <w:rFonts w:ascii="Book Antiqua" w:hAnsi="Book Antiqua" w:cs="Times New Roman"/>
          <w:sz w:val="24"/>
          <w:szCs w:val="24"/>
        </w:rPr>
        <w:t>obtained</w:t>
      </w:r>
      <w:r w:rsidR="00B9469F" w:rsidRPr="00FA5C8D">
        <w:rPr>
          <w:rFonts w:ascii="Book Antiqua" w:hAnsi="Book Antiqua" w:cs="Times New Roman"/>
          <w:sz w:val="24"/>
          <w:szCs w:val="24"/>
        </w:rPr>
        <w:t xml:space="preserve"> </w:t>
      </w:r>
      <w:r w:rsidR="00B166E2" w:rsidRPr="00FA5C8D">
        <w:rPr>
          <w:rFonts w:ascii="Book Antiqua" w:hAnsi="Book Antiqua" w:cs="Times New Roman"/>
          <w:sz w:val="24"/>
          <w:szCs w:val="24"/>
        </w:rPr>
        <w:t>different</w:t>
      </w:r>
      <w:r w:rsidR="00564190" w:rsidRPr="00FA5C8D">
        <w:rPr>
          <w:rFonts w:ascii="Book Antiqua" w:hAnsi="Book Antiqua" w:cs="Times New Roman"/>
          <w:sz w:val="24"/>
          <w:szCs w:val="24"/>
        </w:rPr>
        <w:t>,</w:t>
      </w:r>
      <w:r w:rsidR="00B166E2" w:rsidRPr="00FA5C8D">
        <w:rPr>
          <w:rFonts w:ascii="Book Antiqua" w:hAnsi="Book Antiqua" w:cs="Times New Roman"/>
          <w:sz w:val="24"/>
          <w:szCs w:val="24"/>
        </w:rPr>
        <w:t xml:space="preserve"> more positive results</w:t>
      </w:r>
      <w:r w:rsidR="00185175" w:rsidRPr="00FA5C8D">
        <w:rPr>
          <w:rFonts w:ascii="Book Antiqua" w:hAnsi="Book Antiqua" w:cs="Times New Roman"/>
          <w:sz w:val="24"/>
          <w:szCs w:val="24"/>
        </w:rPr>
        <w:fldChar w:fldCharType="begin"/>
      </w:r>
      <w:r w:rsidR="000C00A4" w:rsidRPr="00FA5C8D">
        <w:rPr>
          <w:rFonts w:ascii="Book Antiqua" w:hAnsi="Book Antiqua" w:cs="Times New Roman"/>
          <w:sz w:val="24"/>
          <w:szCs w:val="24"/>
        </w:rPr>
        <w:instrText xml:space="preserve"> ADDIN ZOTERO_ITEM CSL_CITATION {"citationID":"S25IPORb","properties":{"formattedCitation":"\\super [20,21]\\nosupersub{}","plainCitation":"[20,21]","noteIndex":0},"citationItems":[{"id":1225,"uris":["http://zotero.org/users/4312189/items/2XL3D4DV"],"uri":["http://zotero.org/users/4312189/items/2XL3D4DV"],"itemData":{"id":1225,"type":"article-journal","abstract":"OBJECTIVES: Assessment of treatment response in children with celiac disease (CD) after commencing a strict gluten-free diet (GFD) is generally based on the resolution of clinical features and normalization of serology. Recent adult studies have shown that serologic markers do not correlate with mucosal recovery. We aimed (i) to determine whether anti-tissue transglutaminase immunoglobulin (Ig)A (tTG) and anti-deamidated gliadin peptide IgG (DGP) antibodies are sensitive and specific markers of mucosal recovery in children with CD on a GFD for at least 12 months, and (ii) to determine whether a validated dietary questionnaire of compliance can identify patients with mucosal recovery.\nMETHODS: A total of 150 children with biopsy-proven CD were prospectively evaluated with duodenal biopsies at ≥12 months on GFD, paired with repeat tTG and DGP serology. The biopsies were reviewed in a blinded manner by two histopathologists and graded by Marsh criteria. A validated questionnaire of dietary compliance was also administered.\nRESULTS: Of 150 children recruited, 27 (18%) had positive serology, 97 (65%) had negative serology, and 26 (17%) had equivocal serology. Of the 97 children with negative serology, none had Marsh type 3 enteropathy. Of the 27 patients with positive serology, only 6 had Marsh type 3 changes. The sensitivity and specificity of serology as a marker of significant mucosal pathology was 75 and 85%, respectively, with a positive predictive value of 22% but a negative predictive value of 98%. Of the 129 (86%) questionnaires completed, 88% reported good or excellent compliance with a GFD (negative predictive value 97%).\nCONCLUSIONS: This study suggests that follow-up using two serological tests in children with CD on a GFD may obviate the need for repeat mucosal biopsy in the majority of patients. A standardized dietary questionnaire may be useful in identifying patients who require further evaluation.","container-title":"The American Journal of Gastroenterology","DOI":"10.1038/ajg.2014.200","ISSN":"1572-0241","issue":"9","journalAbbreviation":"Am. J. Gastroenterol.","language":"eng","note":"PMID: 25070050","page":"1478-1483","source":"PubMed","title":"Can celiac serology alone be used as a marker of duodenal mucosal recovery in children with celiac disease on a gluten-free diet?","volume":"109","author":[{"family":"Bannister","given":"Elizabeth G."},{"family":"Cameron","given":"Donald J."},{"family":"Ng","given":"Jessica"},{"family":"Chow","given":"Chung W."},{"family":"Oliver","given":"Mark R."},{"family":"Alex","given":"George"},{"family":"Catto-Smith","given":"Anthony G."},{"family":"Heine","given":"Ralf G."},{"family":"Webb","given":"Annette"},{"family":"McGrath","given":"Kathleen"},{"family":"Simpson","given":"Diane"},{"family":"Hardikar","given":"Winita"}],"issued":{"date-parts":[["2014",9]]}}},{"id":1230,"uris":["http://zotero.org/users/4312189/items/HN4ZST7Y"],"uri":["http://zotero.org/users/4312189/items/HN4ZST7Y"],"itemData":{"id":1230,"type":"article-journal","abstract":"OBJECTIVE: The aim of this study was to evaluate performance of serum antibodies against deamidated gliadin peptides (a-DGPs) in detecting compliance with gluten-free diet (GFD) in children with celiac disease (CD).\nPATIENTS AND METHODS: Serum samples were collected the same day of endoscopy in 95 children with CD and 106 controls. We preliminarily calculated the cutoff of a-DGP immunoglobulin A (IgA) and a-DGP IgA+G in our population by receiver operating characteristic (ROC) curves. Of 95 children with CD, 28 were studied during the first year after GFD introduction, with interview and serum collection every 3 months. In addition, serum samples were collected in 106 children with CD on GFD for more than 1 year (range 1-14). In both groups of children with CD on GFD, we compared a-DGP IgA and IgA+G performance in monitoring compliance with GFD with anti-tissue transglutaminase antibodies (anti-tTG) IgA and anti-gliadin antibody (AGA) IgA.\nRESULTS: The cutoff resulted in 13.1 arbitrary units (AU) for a-DGP IgA (sensitivity 87.4, 95% confidence interval [CI] 79%-92%, specificity 97.2, 95% CI 92%-99%) and 16.5 for a-DGP IgA+G (sensitivity 94.7, 95% CI 88%-98%, specificity 89.6, 95% CI 84%-95%). In the first year of GFD, at 6 to 8 months prevalence of positive a-DGPs was significantly higher in partially versus strictly compliant children, and at 9 to 12 months only prevalence of positive a-DGP IgA+G remained significantly higher. Moreover, at 9 to 12 months sensitivity to detect transgressions to GFD was 44% for a-DGP IgA and 100% for a-DGP IgA+G (P = 0.03). In the 106 children on GFD for more than 1 year, sensitivity to detect transgressions to GFD was 60% for a-DGP IgA and 76% for a-DGP IgA+G. Anti-tTG IgA and AGA IgA sensitivity was much lower (24% and 4%, respectively). The 4 tests showed comparable high specificity.\nCONCLUSIONS: Both a-DGPs showed higher sensitivity than anti-tTG IgA and AGA IgA in monitoring compliance with GFD, but a-DGP IgA+G seemed to perform better. a-DGPs did not outperform anti-tTG IgA for CD screening.","container-title":"Journal of Pediatric Gastroenterology and Nutrition","DOI":"10.1097/MPG.0b013e3182145511","ISSN":"1536-4801","issue":"1","journalAbbreviation":"J. Pediatr. Gastroenterol. Nutr.","language":"eng","note":"PMID: 21694536","page":"55-60","source":"PubMed","title":"Use of deamidated gliadin peptide antibodies to monitor diet compliance in childhood celiac disease","volume":"53","author":[{"family":"Monzani","given":"Alice"},{"family":"Rapa","given":"Anna"},{"family":"Fonio","given":"Paola"},{"family":"Tognato","given":"Eleonora"},{"family":"Panigati","given":"Laura"},{"family":"Oderda","given":"Giuseppina"}],"issued":{"date-parts":[["2011",7]]}}}],"schema":"https://github.com/citation-style-language/schema/raw/master/csl-citation.json"} </w:instrText>
      </w:r>
      <w:r w:rsidR="00185175" w:rsidRPr="00FA5C8D">
        <w:rPr>
          <w:rFonts w:ascii="Book Antiqua" w:hAnsi="Book Antiqua" w:cs="Times New Roman"/>
          <w:sz w:val="24"/>
          <w:szCs w:val="24"/>
        </w:rPr>
        <w:fldChar w:fldCharType="separate"/>
      </w:r>
      <w:r w:rsidR="000C00A4" w:rsidRPr="00FA5C8D">
        <w:rPr>
          <w:rFonts w:ascii="Book Antiqua" w:hAnsi="Book Antiqua" w:cs="Times New Roman"/>
          <w:sz w:val="24"/>
          <w:szCs w:val="24"/>
          <w:vertAlign w:val="superscript"/>
        </w:rPr>
        <w:t>[20,21]</w:t>
      </w:r>
      <w:r w:rsidR="00185175" w:rsidRPr="00FA5C8D">
        <w:rPr>
          <w:rFonts w:ascii="Book Antiqua" w:hAnsi="Book Antiqua" w:cs="Times New Roman"/>
          <w:sz w:val="24"/>
          <w:szCs w:val="24"/>
        </w:rPr>
        <w:fldChar w:fldCharType="end"/>
      </w:r>
      <w:r w:rsidR="00FF7DEE" w:rsidRPr="00FA5C8D">
        <w:rPr>
          <w:rFonts w:ascii="Book Antiqua" w:hAnsi="Book Antiqua" w:cs="Times New Roman"/>
          <w:sz w:val="24"/>
          <w:szCs w:val="24"/>
        </w:rPr>
        <w:t>.</w:t>
      </w:r>
      <w:r w:rsidR="00B9469F" w:rsidRPr="00FA5C8D">
        <w:rPr>
          <w:rFonts w:ascii="Book Antiqua" w:hAnsi="Book Antiqua" w:cs="Times New Roman"/>
          <w:sz w:val="24"/>
          <w:szCs w:val="24"/>
        </w:rPr>
        <w:t xml:space="preserve"> </w:t>
      </w:r>
      <w:r w:rsidR="00A02F5E" w:rsidRPr="00FA5C8D">
        <w:rPr>
          <w:rFonts w:ascii="Book Antiqua" w:hAnsi="Book Antiqua" w:cs="Times New Roman"/>
          <w:sz w:val="24"/>
          <w:szCs w:val="24"/>
        </w:rPr>
        <w:t>A c</w:t>
      </w:r>
      <w:r w:rsidR="00631901" w:rsidRPr="00FA5C8D">
        <w:rPr>
          <w:rFonts w:ascii="Book Antiqua" w:hAnsi="Book Antiqua" w:cs="Times New Roman"/>
          <w:sz w:val="24"/>
          <w:szCs w:val="24"/>
        </w:rPr>
        <w:t xml:space="preserve">ommercially available point-of-care test for both DGP antibodies was referred </w:t>
      </w:r>
      <w:r w:rsidR="00A02F5E" w:rsidRPr="00FA5C8D">
        <w:rPr>
          <w:rFonts w:ascii="Book Antiqua" w:hAnsi="Book Antiqua" w:cs="Times New Roman"/>
          <w:sz w:val="24"/>
          <w:szCs w:val="24"/>
        </w:rPr>
        <w:t xml:space="preserve">to </w:t>
      </w:r>
      <w:r w:rsidR="00631901" w:rsidRPr="00FA5C8D">
        <w:rPr>
          <w:rFonts w:ascii="Book Antiqua" w:hAnsi="Book Antiqua" w:cs="Times New Roman"/>
          <w:sz w:val="24"/>
          <w:szCs w:val="24"/>
        </w:rPr>
        <w:t>as an alternative to classical serology testing with better sensitivity</w:t>
      </w:r>
      <w:r w:rsidR="007036E7" w:rsidRPr="00FA5C8D">
        <w:rPr>
          <w:rFonts w:ascii="Book Antiqua" w:hAnsi="Book Antiqua" w:cs="Times New Roman"/>
          <w:sz w:val="24"/>
          <w:szCs w:val="24"/>
        </w:rPr>
        <w:t xml:space="preserve"> for CD follow</w:t>
      </w:r>
      <w:r w:rsidR="009A7664" w:rsidRPr="00FA5C8D">
        <w:rPr>
          <w:rFonts w:ascii="Book Antiqua" w:hAnsi="Book Antiqua" w:cs="Times New Roman"/>
          <w:sz w:val="24"/>
          <w:szCs w:val="24"/>
        </w:rPr>
        <w:t>-</w:t>
      </w:r>
      <w:r w:rsidR="007036E7" w:rsidRPr="00FA5C8D">
        <w:rPr>
          <w:rFonts w:ascii="Book Antiqua" w:hAnsi="Book Antiqua" w:cs="Times New Roman"/>
          <w:sz w:val="24"/>
          <w:szCs w:val="24"/>
        </w:rPr>
        <w:t>up</w:t>
      </w:r>
      <w:r w:rsidR="00544CF8" w:rsidRPr="00FA5C8D">
        <w:rPr>
          <w:rFonts w:ascii="Book Antiqua" w:hAnsi="Book Antiqua" w:cs="Times New Roman"/>
          <w:sz w:val="24"/>
          <w:szCs w:val="24"/>
        </w:rPr>
        <w:t xml:space="preserve"> in one prospective study</w:t>
      </w:r>
      <w:r w:rsidR="00185175" w:rsidRPr="00FA5C8D">
        <w:rPr>
          <w:rFonts w:ascii="Book Antiqua" w:hAnsi="Book Antiqua" w:cs="Times New Roman"/>
          <w:sz w:val="24"/>
          <w:szCs w:val="24"/>
        </w:rPr>
        <w:fldChar w:fldCharType="begin"/>
      </w:r>
      <w:r w:rsidR="000C00A4" w:rsidRPr="00FA5C8D">
        <w:rPr>
          <w:rFonts w:ascii="Book Antiqua" w:hAnsi="Book Antiqua" w:cs="Times New Roman"/>
          <w:sz w:val="24"/>
          <w:szCs w:val="24"/>
        </w:rPr>
        <w:instrText xml:space="preserve"> ADDIN ZOTERO_ITEM CSL_CITATION {"citationID":"prYlZ722","properties":{"formattedCitation":"\\super [22]\\nosupersub{}","plainCitation":"[22]","noteIndex":0},"citationItems":[{"id":1232,"uris":["http://zotero.org/users/4312189/items/FC5E5QCK"],"uri":["http://zotero.org/users/4312189/items/FC5E5QCK"],"itemData":{"id":1232,"type":"article-journal","abstract":"OBJECTIVES: Mucosal healing is important in celiac disease (CD) for the prevention of complications. However, obtaining duodenal biopsies is invasive, and there is currently no reliable surrogate marker for histological remission in clinical practice. We aimed to assess the role of a point-of-care test (POCT) based on IgA/IgG-deamidated gliadin peptide, in detecting persistent villous atrophy (VA) in CD.\nMETHODS: We prospectively recruited patients with CD attending endoscopy for the assessment of histological remission. All patients had IgA-endomysial (EMA) antibodies, IgA-tissue transglutaminase (TTG) antibodies, and the POCT performed, and completed a validated dietary adherence questionnaire. A gastroscopy was performed in all patients, with four biopsies taken from the second part of the duodenum and one from the duodenal bulb. We compared the diagnostic performance of the surrogate markers against duodenal histology as the reference standard.\nRESULTS: A total of 217 patients with CD (70% female, age range 16-83 years, median age 53 years) on a gluten-free diet (median duration 6 years) were recruited from 2013 to 2017. Eighty-five (39.2%) patients had persistent VA. The sensitivities of the POCT, TTG, EMA, and the adherence score in detecting VA were 67.1%, 44.7%, 37.7%, and 24.7% respectively (P=0.0005). The combination of the POCT and adherence score only marginally increased the sensitivity to 70.6% (59.7-80.0%).\nCONCLUSIONS: The sensitivity of the POCT was higher than the other surrogate markers in predicting VA. A POCT may provide the additional advantage of an immediate objective assessment of mucosal healing at the time of an office-based follow-up consultation.","container-title":"The American Journal of Gastroenterology","DOI":"10.1038/ajg.2017.357","ISSN":"1572-0241","issue":"12","journalAbbreviation":"Am. J. Gastroenterol.","language":"eng","note":"PMID: 29016564","page":"1859-1867","source":"PubMed","title":"The Role of an IgA/IgG-Deamidated Gliadin Peptide Point-of-Care Test in Predicting Persistent Villous Atrophy in Patients With Celiac Disease on a Gluten-Free Diet","volume":"112","author":[{"family":"Lau","given":"Michelle S."},{"family":"Mooney","given":"Peter D."},{"family":"White","given":"William L."},{"family":"Rees","given":"Michael A."},{"family":"Wong","given":"Simon H."},{"family":"Kurien","given":"Matthew"},{"family":"Trott","given":"Nick"},{"family":"Leffler","given":"Daniel A."},{"family":"Hadjivassiliou","given":"Marios"},{"family":"Sanders","given":"David S."}],"issued":{"date-parts":[["2017",12]]}}}],"schema":"https://github.com/citation-style-language/schema/raw/master/csl-citation.json"} </w:instrText>
      </w:r>
      <w:r w:rsidR="00185175" w:rsidRPr="00FA5C8D">
        <w:rPr>
          <w:rFonts w:ascii="Book Antiqua" w:hAnsi="Book Antiqua" w:cs="Times New Roman"/>
          <w:sz w:val="24"/>
          <w:szCs w:val="24"/>
        </w:rPr>
        <w:fldChar w:fldCharType="separate"/>
      </w:r>
      <w:r w:rsidR="000C00A4" w:rsidRPr="00FA5C8D">
        <w:rPr>
          <w:rFonts w:ascii="Book Antiqua" w:hAnsi="Book Antiqua" w:cs="Times New Roman"/>
          <w:sz w:val="24"/>
          <w:szCs w:val="24"/>
          <w:vertAlign w:val="superscript"/>
        </w:rPr>
        <w:t>[22]</w:t>
      </w:r>
      <w:r w:rsidR="00185175" w:rsidRPr="00FA5C8D">
        <w:rPr>
          <w:rFonts w:ascii="Book Antiqua" w:hAnsi="Book Antiqua" w:cs="Times New Roman"/>
          <w:sz w:val="24"/>
          <w:szCs w:val="24"/>
        </w:rPr>
        <w:fldChar w:fldCharType="end"/>
      </w:r>
      <w:r w:rsidR="007036E7" w:rsidRPr="00FA5C8D">
        <w:rPr>
          <w:rFonts w:ascii="Book Antiqua" w:hAnsi="Book Antiqua" w:cs="Times New Roman"/>
          <w:sz w:val="24"/>
          <w:szCs w:val="24"/>
        </w:rPr>
        <w:t>.</w:t>
      </w:r>
    </w:p>
    <w:p w14:paraId="3921B8B3" w14:textId="77777777" w:rsidR="00102DB8" w:rsidRPr="00FA5C8D" w:rsidRDefault="008732CF" w:rsidP="00FA5C8D">
      <w:pPr>
        <w:snapToGrid w:val="0"/>
        <w:spacing w:after="0" w:line="360" w:lineRule="auto"/>
        <w:ind w:firstLineChars="100" w:firstLine="240"/>
        <w:jc w:val="both"/>
        <w:rPr>
          <w:rFonts w:ascii="Book Antiqua" w:hAnsi="Book Antiqua" w:cs="Times New Roman"/>
          <w:color w:val="000000"/>
          <w:sz w:val="24"/>
          <w:szCs w:val="24"/>
          <w:shd w:val="clear" w:color="auto" w:fill="FFFFFF"/>
        </w:rPr>
      </w:pPr>
      <w:r w:rsidRPr="00FA5C8D">
        <w:rPr>
          <w:rFonts w:ascii="Book Antiqua" w:hAnsi="Book Antiqua" w:cs="Times New Roman"/>
          <w:color w:val="000000"/>
          <w:sz w:val="24"/>
          <w:szCs w:val="24"/>
          <w:shd w:val="clear" w:color="auto" w:fill="FFFFFF"/>
        </w:rPr>
        <w:t>The s</w:t>
      </w:r>
      <w:r w:rsidR="00102DB8" w:rsidRPr="00FA5C8D">
        <w:rPr>
          <w:rFonts w:ascii="Book Antiqua" w:hAnsi="Book Antiqua" w:cs="Times New Roman"/>
          <w:color w:val="000000"/>
          <w:sz w:val="24"/>
          <w:szCs w:val="24"/>
          <w:shd w:val="clear" w:color="auto" w:fill="FFFFFF"/>
        </w:rPr>
        <w:t xml:space="preserve">trengths of our study include </w:t>
      </w:r>
      <w:r w:rsidR="00AE5B12" w:rsidRPr="00FA5C8D">
        <w:rPr>
          <w:rFonts w:ascii="Book Antiqua" w:hAnsi="Book Antiqua" w:cs="Times New Roman"/>
          <w:color w:val="000000"/>
          <w:sz w:val="24"/>
          <w:szCs w:val="24"/>
          <w:shd w:val="clear" w:color="auto" w:fill="FFFFFF"/>
        </w:rPr>
        <w:t xml:space="preserve">a </w:t>
      </w:r>
      <w:r w:rsidR="00102DB8" w:rsidRPr="00FA5C8D">
        <w:rPr>
          <w:rFonts w:ascii="Book Antiqua" w:hAnsi="Book Antiqua" w:cs="Times New Roman"/>
          <w:color w:val="000000"/>
          <w:sz w:val="24"/>
          <w:szCs w:val="24"/>
          <w:shd w:val="clear" w:color="auto" w:fill="FFFFFF"/>
        </w:rPr>
        <w:t xml:space="preserve">complex analysis of many non-invasive parameters for detection of persistent </w:t>
      </w:r>
      <w:r w:rsidR="00B11C3A" w:rsidRPr="00FA5C8D">
        <w:rPr>
          <w:rFonts w:ascii="Book Antiqua" w:hAnsi="Book Antiqua" w:cs="Times New Roman"/>
          <w:sz w:val="24"/>
          <w:szCs w:val="24"/>
        </w:rPr>
        <w:t>VA</w:t>
      </w:r>
      <w:r w:rsidR="00102DB8" w:rsidRPr="00FA5C8D">
        <w:rPr>
          <w:rFonts w:ascii="Book Antiqua" w:hAnsi="Book Antiqua" w:cs="Times New Roman"/>
          <w:color w:val="000000"/>
          <w:sz w:val="24"/>
          <w:szCs w:val="24"/>
          <w:shd w:val="clear" w:color="auto" w:fill="FFFFFF"/>
        </w:rPr>
        <w:t xml:space="preserve"> in patients </w:t>
      </w:r>
      <w:r w:rsidR="001304D3" w:rsidRPr="00FA5C8D">
        <w:rPr>
          <w:rFonts w:ascii="Book Antiqua" w:hAnsi="Book Antiqua" w:cs="Times New Roman"/>
          <w:color w:val="000000"/>
          <w:sz w:val="24"/>
          <w:szCs w:val="24"/>
          <w:shd w:val="clear" w:color="auto" w:fill="FFFFFF"/>
        </w:rPr>
        <w:t xml:space="preserve">with CD </w:t>
      </w:r>
      <w:r w:rsidR="00102DB8" w:rsidRPr="00FA5C8D">
        <w:rPr>
          <w:rFonts w:ascii="Book Antiqua" w:hAnsi="Book Antiqua" w:cs="Times New Roman"/>
          <w:color w:val="000000"/>
          <w:sz w:val="24"/>
          <w:szCs w:val="24"/>
          <w:shd w:val="clear" w:color="auto" w:fill="FFFFFF"/>
        </w:rPr>
        <w:t xml:space="preserve">on </w:t>
      </w:r>
      <w:r w:rsidR="009B52CB" w:rsidRPr="00FA5C8D">
        <w:rPr>
          <w:rFonts w:ascii="Book Antiqua" w:hAnsi="Book Antiqua" w:cs="Times New Roman"/>
          <w:color w:val="000000"/>
          <w:sz w:val="24"/>
          <w:szCs w:val="24"/>
          <w:shd w:val="clear" w:color="auto" w:fill="FFFFFF"/>
        </w:rPr>
        <w:t xml:space="preserve">a </w:t>
      </w:r>
      <w:r w:rsidR="00102DB8" w:rsidRPr="00FA5C8D">
        <w:rPr>
          <w:rFonts w:ascii="Book Antiqua" w:hAnsi="Book Antiqua" w:cs="Times New Roman"/>
          <w:color w:val="000000"/>
          <w:sz w:val="24"/>
          <w:szCs w:val="24"/>
          <w:shd w:val="clear" w:color="auto" w:fill="FFFFFF"/>
        </w:rPr>
        <w:t>long</w:t>
      </w:r>
      <w:r w:rsidR="009A5B5B" w:rsidRPr="00FA5C8D">
        <w:rPr>
          <w:rFonts w:ascii="Book Antiqua" w:hAnsi="Book Antiqua" w:cs="Times New Roman"/>
          <w:color w:val="000000"/>
          <w:sz w:val="24"/>
          <w:szCs w:val="24"/>
          <w:shd w:val="clear" w:color="auto" w:fill="FFFFFF"/>
        </w:rPr>
        <w:t>-</w:t>
      </w:r>
      <w:r w:rsidR="00102DB8" w:rsidRPr="00FA5C8D">
        <w:rPr>
          <w:rFonts w:ascii="Book Antiqua" w:hAnsi="Book Antiqua" w:cs="Times New Roman"/>
          <w:color w:val="000000"/>
          <w:sz w:val="24"/>
          <w:szCs w:val="24"/>
          <w:shd w:val="clear" w:color="auto" w:fill="FFFFFF"/>
        </w:rPr>
        <w:t xml:space="preserve">term </w:t>
      </w:r>
      <w:r w:rsidR="009A5B5B" w:rsidRPr="00FA5C8D">
        <w:rPr>
          <w:rFonts w:ascii="Book Antiqua" w:hAnsi="Book Antiqua" w:cs="Times New Roman"/>
          <w:color w:val="000000"/>
          <w:sz w:val="24"/>
          <w:szCs w:val="24"/>
          <w:shd w:val="clear" w:color="auto" w:fill="FFFFFF"/>
        </w:rPr>
        <w:t>GFD</w:t>
      </w:r>
      <w:r w:rsidR="00102DB8" w:rsidRPr="00FA5C8D">
        <w:rPr>
          <w:rFonts w:ascii="Book Antiqua" w:hAnsi="Book Antiqua" w:cs="Times New Roman"/>
          <w:color w:val="000000"/>
          <w:sz w:val="24"/>
          <w:szCs w:val="24"/>
          <w:shd w:val="clear" w:color="auto" w:fill="FFFFFF"/>
        </w:rPr>
        <w:t xml:space="preserve"> combining serology tests, clinical parameters</w:t>
      </w:r>
      <w:r w:rsidR="001570C8" w:rsidRPr="00FA5C8D">
        <w:rPr>
          <w:rFonts w:ascii="Book Antiqua" w:hAnsi="Book Antiqua" w:cs="Times New Roman"/>
          <w:color w:val="000000"/>
          <w:sz w:val="24"/>
          <w:szCs w:val="24"/>
          <w:shd w:val="clear" w:color="auto" w:fill="FFFFFF"/>
        </w:rPr>
        <w:t>,</w:t>
      </w:r>
      <w:r w:rsidR="00102DB8" w:rsidRPr="00FA5C8D">
        <w:rPr>
          <w:rFonts w:ascii="Book Antiqua" w:hAnsi="Book Antiqua" w:cs="Times New Roman"/>
          <w:color w:val="000000"/>
          <w:sz w:val="24"/>
          <w:szCs w:val="24"/>
          <w:shd w:val="clear" w:color="auto" w:fill="FFFFFF"/>
        </w:rPr>
        <w:t xml:space="preserve"> and bowel ultrasound. Many radiologic studies regarding </w:t>
      </w:r>
      <w:r w:rsidR="00762552" w:rsidRPr="00FA5C8D">
        <w:rPr>
          <w:rFonts w:ascii="Book Antiqua" w:hAnsi="Book Antiqua" w:cs="Times New Roman"/>
          <w:color w:val="000000"/>
          <w:sz w:val="24"/>
          <w:szCs w:val="24"/>
          <w:shd w:val="clear" w:color="auto" w:fill="FFFFFF"/>
        </w:rPr>
        <w:t>CD</w:t>
      </w:r>
      <w:r w:rsidR="00102DB8" w:rsidRPr="00FA5C8D">
        <w:rPr>
          <w:rFonts w:ascii="Book Antiqua" w:hAnsi="Book Antiqua" w:cs="Times New Roman"/>
          <w:color w:val="000000"/>
          <w:sz w:val="24"/>
          <w:szCs w:val="24"/>
          <w:shd w:val="clear" w:color="auto" w:fill="FFFFFF"/>
        </w:rPr>
        <w:t xml:space="preserve"> are limited to some specific finding</w:t>
      </w:r>
      <w:r w:rsidR="00930114" w:rsidRPr="00FA5C8D">
        <w:rPr>
          <w:rFonts w:ascii="Book Antiqua" w:hAnsi="Book Antiqua" w:cs="Times New Roman"/>
          <w:color w:val="000000"/>
          <w:sz w:val="24"/>
          <w:szCs w:val="24"/>
          <w:shd w:val="clear" w:color="auto" w:fill="FFFFFF"/>
        </w:rPr>
        <w:t>s</w:t>
      </w:r>
      <w:r w:rsidR="00102DB8" w:rsidRPr="00FA5C8D">
        <w:rPr>
          <w:rFonts w:ascii="Book Antiqua" w:hAnsi="Book Antiqua" w:cs="Times New Roman"/>
          <w:color w:val="000000"/>
          <w:sz w:val="24"/>
          <w:szCs w:val="24"/>
          <w:shd w:val="clear" w:color="auto" w:fill="FFFFFF"/>
        </w:rPr>
        <w:t xml:space="preserve"> on cross</w:t>
      </w:r>
      <w:r w:rsidR="00930114" w:rsidRPr="00FA5C8D">
        <w:rPr>
          <w:rFonts w:ascii="Book Antiqua" w:hAnsi="Book Antiqua" w:cs="Times New Roman"/>
          <w:color w:val="000000"/>
          <w:sz w:val="24"/>
          <w:szCs w:val="24"/>
          <w:shd w:val="clear" w:color="auto" w:fill="FFFFFF"/>
        </w:rPr>
        <w:t>-</w:t>
      </w:r>
      <w:r w:rsidR="00102DB8" w:rsidRPr="00FA5C8D">
        <w:rPr>
          <w:rFonts w:ascii="Book Antiqua" w:hAnsi="Book Antiqua" w:cs="Times New Roman"/>
          <w:color w:val="000000"/>
          <w:sz w:val="24"/>
          <w:szCs w:val="24"/>
          <w:shd w:val="clear" w:color="auto" w:fill="FFFFFF"/>
        </w:rPr>
        <w:t>sectional imaging</w:t>
      </w:r>
      <w:r w:rsidR="00185175" w:rsidRPr="00FA5C8D">
        <w:rPr>
          <w:rFonts w:ascii="Book Antiqua" w:hAnsi="Book Antiqua" w:cs="Times New Roman"/>
          <w:color w:val="000000"/>
          <w:sz w:val="24"/>
          <w:szCs w:val="24"/>
          <w:shd w:val="clear" w:color="auto" w:fill="FFFFFF"/>
        </w:rPr>
        <w:fldChar w:fldCharType="begin"/>
      </w:r>
      <w:r w:rsidR="000C00A4" w:rsidRPr="00FA5C8D">
        <w:rPr>
          <w:rFonts w:ascii="Book Antiqua" w:hAnsi="Book Antiqua" w:cs="Times New Roman"/>
          <w:color w:val="000000"/>
          <w:sz w:val="24"/>
          <w:szCs w:val="24"/>
          <w:shd w:val="clear" w:color="auto" w:fill="FFFFFF"/>
        </w:rPr>
        <w:instrText xml:space="preserve"> ADDIN ZOTERO_ITEM CSL_CITATION {"citationID":"IqRw5oFF","properties":{"formattedCitation":"\\super [23]\\nosupersub{}","plainCitation":"[23]","noteIndex":0},"citationItems":[{"id":1218,"uris":["http://zotero.org/users/4312189/items/4FI2H847"],"uri":["http://zotero.org/users/4312189/items/4FI2H847"],"itemData":{"id":1218,"type":"article-journal","abstract":"Celiac disease is an autoimmune disorder that causes inflammation and destruction in the small intestine of genetically susceptible individuals following ingestion of gluten. Awareness of the disease has increased; however, it remains a challenge to diagnose. This review summarizes the intestinal and extraintestinal cross-sectional imaging findings of celiac disease. Small intestine fold abnormalities are the most specific imaging findings for celiac disease, whereas most other imaging findings reflect a more generalized pattern seen with malabsorptive processes. Familiarity with the imaging pattern may allow the radiologist to suggest the diagnosis in patients with atypical presentations in whom it is not clinically suspected. Earlier detection allows earlier treatment initiation and may prevent significant morbidity and mortality that can occur with delayed diagnosis. Refractory celiac disease carries the greatest risk of mortality due to associated complications, including cavitating mesenteric lymph node syndrome, ulcerative jejunoileitis, enteropathy-associated T cell lymphoma, and adenocarcinoma, all of which are described and illustrated. Radiologic and endoscopic investigations are complimentary modalities in the setting of complicated celiac disease.","container-title":"Abdominal Radiology (New York)","DOI":"10.1007/s00261-016-1006-2","ISSN":"2366-0058","issue":"2","journalAbbreviation":"Abdom Radiol (NY)","language":"eng","note":"PMID: 28154909","page":"361-388","source":"PubMed","title":"Beyond moulage sign and TTG levels: the role of cross-sectional imaging in celiac sprue","title-short":"Beyond moulage sign and TTG levels","volume":"42","author":[{"family":"Sheedy","given":"Shannon P."},{"family":"Barlow","given":"John M."},{"family":"Fletcher","given":"Joel G."},{"family":"Smyrk","given":"Thomas C."},{"family":"Scholz","given":"Francis J."},{"family":"Codipilly","given":"Don C."},{"family":"Al Bawardy","given":"Badr F."},{"family":"Fidler","given":"Jeff L."}],"issued":{"date-parts":[["2017"]]}}}],"schema":"https://github.com/citation-style-language/schema/raw/master/csl-citation.json"}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0C00A4" w:rsidRPr="00FA5C8D">
        <w:rPr>
          <w:rFonts w:ascii="Book Antiqua" w:hAnsi="Book Antiqua" w:cs="Times New Roman"/>
          <w:sz w:val="24"/>
          <w:szCs w:val="24"/>
          <w:vertAlign w:val="superscript"/>
        </w:rPr>
        <w:t>[23]</w:t>
      </w:r>
      <w:r w:rsidR="00185175" w:rsidRPr="00FA5C8D">
        <w:rPr>
          <w:rFonts w:ascii="Book Antiqua" w:hAnsi="Book Antiqua" w:cs="Times New Roman"/>
          <w:color w:val="000000"/>
          <w:sz w:val="24"/>
          <w:szCs w:val="24"/>
          <w:shd w:val="clear" w:color="auto" w:fill="FFFFFF"/>
        </w:rPr>
        <w:fldChar w:fldCharType="end"/>
      </w:r>
      <w:r w:rsidR="00102DB8" w:rsidRPr="00FA5C8D">
        <w:rPr>
          <w:rFonts w:ascii="Book Antiqua" w:hAnsi="Book Antiqua" w:cs="Times New Roman"/>
          <w:color w:val="000000"/>
          <w:sz w:val="24"/>
          <w:szCs w:val="24"/>
          <w:shd w:val="clear" w:color="auto" w:fill="FFFFFF"/>
        </w:rPr>
        <w:t>. The</w:t>
      </w:r>
      <w:r w:rsidR="00100765" w:rsidRPr="00FA5C8D">
        <w:rPr>
          <w:rFonts w:ascii="Book Antiqua" w:hAnsi="Book Antiqua" w:cs="Times New Roman"/>
          <w:color w:val="000000"/>
          <w:sz w:val="24"/>
          <w:szCs w:val="24"/>
          <w:shd w:val="clear" w:color="auto" w:fill="FFFFFF"/>
        </w:rPr>
        <w:t xml:space="preserve"> role of </w:t>
      </w:r>
      <w:r w:rsidR="0081273D" w:rsidRPr="00FA5C8D">
        <w:rPr>
          <w:rFonts w:ascii="Book Antiqua" w:hAnsi="Book Antiqua" w:cs="Times New Roman"/>
          <w:color w:val="000000"/>
          <w:sz w:val="24"/>
          <w:szCs w:val="24"/>
          <w:shd w:val="clear" w:color="auto" w:fill="FFFFFF"/>
        </w:rPr>
        <w:t>bowel</w:t>
      </w:r>
      <w:r w:rsidR="00100765" w:rsidRPr="00FA5C8D">
        <w:rPr>
          <w:rFonts w:ascii="Book Antiqua" w:hAnsi="Book Antiqua" w:cs="Times New Roman"/>
          <w:color w:val="000000"/>
          <w:sz w:val="24"/>
          <w:szCs w:val="24"/>
          <w:shd w:val="clear" w:color="auto" w:fill="FFFFFF"/>
        </w:rPr>
        <w:t xml:space="preserve"> ultrasound is firmly established in</w:t>
      </w:r>
      <w:r w:rsidR="00513163" w:rsidRPr="00FA5C8D">
        <w:rPr>
          <w:rFonts w:ascii="Book Antiqua" w:hAnsi="Book Antiqua" w:cs="Times New Roman"/>
          <w:color w:val="000000"/>
          <w:sz w:val="24"/>
          <w:szCs w:val="24"/>
          <w:shd w:val="clear" w:color="auto" w:fill="FFFFFF"/>
        </w:rPr>
        <w:t xml:space="preserve"> the</w:t>
      </w:r>
      <w:r w:rsidR="00100765" w:rsidRPr="00FA5C8D">
        <w:rPr>
          <w:rFonts w:ascii="Book Antiqua" w:hAnsi="Book Antiqua" w:cs="Times New Roman"/>
          <w:color w:val="000000"/>
          <w:sz w:val="24"/>
          <w:szCs w:val="24"/>
          <w:shd w:val="clear" w:color="auto" w:fill="FFFFFF"/>
        </w:rPr>
        <w:t xml:space="preserve"> diagnosis and management of Crohn’s disease</w:t>
      </w:r>
      <w:r w:rsidR="00185175" w:rsidRPr="00FA5C8D">
        <w:rPr>
          <w:rFonts w:ascii="Book Antiqua" w:hAnsi="Book Antiqua" w:cs="Times New Roman"/>
          <w:color w:val="000000"/>
          <w:sz w:val="24"/>
          <w:szCs w:val="24"/>
          <w:shd w:val="clear" w:color="auto" w:fill="FFFFFF"/>
        </w:rPr>
        <w:fldChar w:fldCharType="begin"/>
      </w:r>
      <w:r w:rsidR="000C00A4" w:rsidRPr="00FA5C8D">
        <w:rPr>
          <w:rFonts w:ascii="Book Antiqua" w:hAnsi="Book Antiqua" w:cs="Times New Roman"/>
          <w:color w:val="000000"/>
          <w:sz w:val="24"/>
          <w:szCs w:val="24"/>
          <w:shd w:val="clear" w:color="auto" w:fill="FFFFFF"/>
        </w:rPr>
        <w:instrText xml:space="preserve"> ADDIN ZOTERO_ITEM CSL_CITATION {"citationID":"STK2PgLT","properties":{"formattedCitation":"\\super [24]\\nosupersub{}","plainCitation":"[24]","noteIndex":0},"citationItems":[{"id":1638,"uris":["http://zotero.org/users/4312189/items/UJW7QXSS"],"uri":["http://zotero.org/users/4312189/items/UJW7QXSS"],"itemData":{"id":1638,"type":"article-journal","container-title":"Journal of Crohn's &amp; Colitis","DOI":"10.1093/ecco-jcc/jjy113","ISSN":"1876-4479","issue":"2","journalAbbreviation":"J Crohns Colitis","language":"eng","note":"PMID: 30137275","page":"144-164","source":"PubMed","title":"ECCO-ESGAR Guideline for Diagnostic Assessment in IBD Part 1: Initial diagnosis, monitoring of known IBD, detection of complications","title-short":"ECCO-ESGAR Guideline for Diagnostic Assessment in IBD Part 1","volume":"13","author":[{"family":"Maaser","given":"Christian"},{"family":"Sturm","given":"Andreas"},{"family":"Vavricka","given":"Stephan R."},{"family":"Kucharzik","given":"Torsten"},{"family":"Fiorino","given":"Gionata"},{"family":"Annese","given":"Vito"},{"family":"Calabrese","given":"Emma"},{"family":"Baumgart","given":"Daniel C."},{"family":"Bettenworth","given":"Dominik"},{"family":"Borralho Nunes","given":"Paula"},{"family":"Burisch","given":"Johan"},{"family":"Castiglione","given":"Fabiana"},{"family":"Eliakim","given":"Rami"},{"family":"Ellul","given":"Pierre"},{"family":"González-Lama","given":"Yago"},{"family":"Gordon","given":"Hannah"},{"family":"Halligan","given":"Steve"},{"family":"Katsanos","given":"Konstantinos"},{"family":"Kopylov","given":"Uri"},{"family":"Kotze","given":"Paulo G."},{"family":"Krustinš","given":"Eduards"},{"family":"Laghi","given":"Andrea"},{"family":"Limdi","given":"Jimmy K."},{"family":"Rieder","given":"Florian"},{"family":"Rimola","given":"Jordi"},{"family":"Taylor","given":"Stuart A."},{"family":"Tolan","given":"Damian"},{"family":"Rheenen","given":"Patrick","non-dropping-particle":"van"},{"family":"Verstockt","given":"Bram"},{"family":"Stoker","given":"Jaap"},{"literal":"European Crohn’s and Colitis Organisation [ECCO] and the European Society of Gastrointestinal and Abdominal Radiology [ESGAR]"}],"issued":{"date-parts":[["2019"]],"season":"01"}}}],"schema":"https://github.com/citation-style-language/schema/raw/master/csl-citation.json"}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0C00A4" w:rsidRPr="00FA5C8D">
        <w:rPr>
          <w:rFonts w:ascii="Book Antiqua" w:hAnsi="Book Antiqua" w:cs="Times New Roman"/>
          <w:sz w:val="24"/>
          <w:szCs w:val="24"/>
          <w:vertAlign w:val="superscript"/>
        </w:rPr>
        <w:t>[24]</w:t>
      </w:r>
      <w:r w:rsidR="00185175" w:rsidRPr="00FA5C8D">
        <w:rPr>
          <w:rFonts w:ascii="Book Antiqua" w:hAnsi="Book Antiqua" w:cs="Times New Roman"/>
          <w:color w:val="000000"/>
          <w:sz w:val="24"/>
          <w:szCs w:val="24"/>
          <w:shd w:val="clear" w:color="auto" w:fill="FFFFFF"/>
        </w:rPr>
        <w:fldChar w:fldCharType="end"/>
      </w:r>
      <w:r w:rsidR="00A655F9" w:rsidRPr="00FA5C8D">
        <w:rPr>
          <w:rFonts w:ascii="Book Antiqua" w:hAnsi="Book Antiqua" w:cs="Times New Roman"/>
          <w:color w:val="000000"/>
          <w:sz w:val="24"/>
          <w:szCs w:val="24"/>
          <w:shd w:val="clear" w:color="auto" w:fill="FFFFFF"/>
        </w:rPr>
        <w:t xml:space="preserve">. </w:t>
      </w:r>
      <w:r w:rsidR="00100765" w:rsidRPr="00FA5C8D">
        <w:rPr>
          <w:rFonts w:ascii="Book Antiqua" w:hAnsi="Book Antiqua" w:cs="Times New Roman"/>
          <w:color w:val="000000"/>
          <w:sz w:val="24"/>
          <w:szCs w:val="24"/>
          <w:shd w:val="clear" w:color="auto" w:fill="FFFFFF"/>
        </w:rPr>
        <w:t>E</w:t>
      </w:r>
      <w:r w:rsidR="00102DB8" w:rsidRPr="00FA5C8D">
        <w:rPr>
          <w:rFonts w:ascii="Book Antiqua" w:hAnsi="Book Antiqua" w:cs="Times New Roman"/>
          <w:color w:val="000000"/>
          <w:sz w:val="24"/>
          <w:szCs w:val="24"/>
          <w:shd w:val="clear" w:color="auto" w:fill="FFFFFF"/>
        </w:rPr>
        <w:t xml:space="preserve">xperience with </w:t>
      </w:r>
      <w:r w:rsidR="0081273D" w:rsidRPr="00FA5C8D">
        <w:rPr>
          <w:rFonts w:ascii="Book Antiqua" w:hAnsi="Book Antiqua" w:cs="Times New Roman"/>
          <w:color w:val="000000"/>
          <w:sz w:val="24"/>
          <w:szCs w:val="24"/>
          <w:shd w:val="clear" w:color="auto" w:fill="FFFFFF"/>
        </w:rPr>
        <w:t>bowel</w:t>
      </w:r>
      <w:r w:rsidR="00B9469F" w:rsidRPr="00FA5C8D">
        <w:rPr>
          <w:rFonts w:ascii="Book Antiqua" w:hAnsi="Book Antiqua" w:cs="Times New Roman"/>
          <w:color w:val="000000"/>
          <w:sz w:val="24"/>
          <w:szCs w:val="24"/>
          <w:shd w:val="clear" w:color="auto" w:fill="FFFFFF"/>
        </w:rPr>
        <w:t xml:space="preserve"> </w:t>
      </w:r>
      <w:r w:rsidR="00102DB8" w:rsidRPr="00FA5C8D">
        <w:rPr>
          <w:rFonts w:ascii="Book Antiqua" w:hAnsi="Book Antiqua" w:cs="Times New Roman"/>
          <w:color w:val="000000"/>
          <w:sz w:val="24"/>
          <w:szCs w:val="24"/>
          <w:shd w:val="clear" w:color="auto" w:fill="FFFFFF"/>
        </w:rPr>
        <w:t xml:space="preserve">ultrasound in </w:t>
      </w:r>
      <w:r w:rsidR="00E34BAC" w:rsidRPr="00FA5C8D">
        <w:rPr>
          <w:rFonts w:ascii="Book Antiqua" w:hAnsi="Book Antiqua" w:cs="Times New Roman"/>
          <w:sz w:val="24"/>
          <w:szCs w:val="24"/>
        </w:rPr>
        <w:t>CD</w:t>
      </w:r>
      <w:r w:rsidR="00102DB8" w:rsidRPr="00FA5C8D">
        <w:rPr>
          <w:rFonts w:ascii="Book Antiqua" w:hAnsi="Book Antiqua" w:cs="Times New Roman"/>
          <w:color w:val="000000"/>
          <w:sz w:val="24"/>
          <w:szCs w:val="24"/>
          <w:shd w:val="clear" w:color="auto" w:fill="FFFFFF"/>
        </w:rPr>
        <w:t xml:space="preserve"> is </w:t>
      </w:r>
      <w:r w:rsidR="003F1B88" w:rsidRPr="00FA5C8D">
        <w:rPr>
          <w:rFonts w:ascii="Book Antiqua" w:hAnsi="Book Antiqua" w:cs="Times New Roman"/>
          <w:color w:val="000000"/>
          <w:sz w:val="24"/>
          <w:szCs w:val="24"/>
          <w:shd w:val="clear" w:color="auto" w:fill="FFFFFF"/>
        </w:rPr>
        <w:t>rather</w:t>
      </w:r>
      <w:r w:rsidR="00102DB8" w:rsidRPr="00FA5C8D">
        <w:rPr>
          <w:rFonts w:ascii="Book Antiqua" w:hAnsi="Book Antiqua" w:cs="Times New Roman"/>
          <w:color w:val="000000"/>
          <w:sz w:val="24"/>
          <w:szCs w:val="24"/>
          <w:shd w:val="clear" w:color="auto" w:fill="FFFFFF"/>
        </w:rPr>
        <w:t xml:space="preserve"> limited</w:t>
      </w:r>
      <w:r w:rsidR="00564190" w:rsidRPr="00FA5C8D">
        <w:rPr>
          <w:rFonts w:ascii="Book Antiqua" w:hAnsi="Book Antiqua" w:cs="Times New Roman"/>
          <w:color w:val="000000"/>
          <w:sz w:val="24"/>
          <w:szCs w:val="24"/>
          <w:shd w:val="clear" w:color="auto" w:fill="FFFFFF"/>
        </w:rPr>
        <w:t>; however,</w:t>
      </w:r>
      <w:r w:rsidR="00DA4F15" w:rsidRPr="00FA5C8D">
        <w:rPr>
          <w:rFonts w:ascii="Book Antiqua" w:hAnsi="Book Antiqua" w:cs="Times New Roman"/>
          <w:color w:val="000000"/>
          <w:sz w:val="24"/>
          <w:szCs w:val="24"/>
          <w:shd w:val="clear" w:color="auto" w:fill="FFFFFF"/>
        </w:rPr>
        <w:t xml:space="preserve"> its use is expanding and signs corresponding with malabsorption and active CD are well defined</w:t>
      </w:r>
      <w:r w:rsidR="00185175" w:rsidRPr="00FA5C8D">
        <w:rPr>
          <w:rFonts w:ascii="Book Antiqua" w:hAnsi="Book Antiqua" w:cs="Times New Roman"/>
          <w:color w:val="000000"/>
          <w:sz w:val="24"/>
          <w:szCs w:val="24"/>
          <w:shd w:val="clear" w:color="auto" w:fill="FFFFFF"/>
        </w:rPr>
        <w:fldChar w:fldCharType="begin"/>
      </w:r>
      <w:r w:rsidR="000C00A4" w:rsidRPr="00FA5C8D">
        <w:rPr>
          <w:rFonts w:ascii="Book Antiqua" w:hAnsi="Book Antiqua" w:cs="Times New Roman"/>
          <w:color w:val="000000"/>
          <w:sz w:val="24"/>
          <w:szCs w:val="24"/>
          <w:shd w:val="clear" w:color="auto" w:fill="FFFFFF"/>
        </w:rPr>
        <w:instrText xml:space="preserve"> ADDIN ZOTERO_ITEM CSL_CITATION {"citationID":"jCtFX1FI","properties":{"formattedCitation":"\\super [15,16,25]\\nosupersub{}","plainCitation":"[15,16,25]","noteIndex":0},"citationItems":[{"id":1101,"uris":["http://zotero.org/users/4312189/items/97MXXBDA"],"uri":["http://zotero.org/users/4312189/items/97MXXBDA"],"itemData":{"id":1101,"type":"article-journal","abstract":"Transabdominal gastrointestinal ultrasound (GIUS) is unique in its capacity to examine the bowel non-invasively and in its physiological condition, including extra-intestinal features such as the splanchnic vessels, mesentery, omentum and lymph nodes- even at the bedside. Despite this, and its extensive documentation for its usefulness, it has only been fully implemented in a few European countries and expert centres. Therefore, the European Federation of Societies for Ultrasound in Medicine and Biology (EFSUMB) established a GIUS Task Force Group in 2014 consisting of international experts from 9 European countries with the objectives to standardize and promote the use of GIUS in a clinical setting. This is achieved by publishing clinical guidelines and recommendations on indications and use of GIUS and so far,4 guidelines have been published: first on \"examination techniques and normal findings\", second on \"inflammatory bowel disease\", third on \"acute appendicitis and diverticulitis\" and fourth on \"transrectal and perineal ultrasound\".This paper describes the ultrasound features of miscellaneous disorders such as celiac disease, cystic fibrosis, omental infarction, Meckel's diverticle, endometriosis, intestinal neoplasia, mucocele, amyloidosis, GVHD, foreign bodies, vasculitis, and pneumatosis cystoides intestinalis. Bowel ultrasound can be indicated in most of these conditions to investigate intestinal symptoms but in other cases the alterations of the bowel can be also an incidental finding that suggest other examinations which finally help to discover an unknown pathological condition.","container-title":"Medical Ultrasonography","DOI":"10.11152/mu-2162","ISSN":"2066-8643","issue":"3","journalAbbreviation":"Med Ultrason","language":"eng","note":"PMID: 31476211","page":"299-315","source":"PubMed","title":"EFSUMB Gastrointestinal Ultrasound (GIUS) Task Force Group: Celiac sprue and other rare gastrointestinal diseases ultrasound features","title-short":"EFSUMB Gastrointestinal Ultrasound (GIUS) Task Force Group","volume":"21","author":[{"family":"Dietrich","given":"Christoph F."},{"family":"Hollerweger","given":"Alois"},{"family":"Dirks","given":"Klaus"},{"family":"Higginson","given":"Antony"},{"family":"Serra","given":"Carla"},{"family":"Calabrese","given":"Emma"},{"family":"Dong","given":"Yi"},{"family":"Hausken","given":"Trygve"},{"family":"Maconi","given":"Giovanni"},{"family":"Mihmanli","given":"Ismail"},{"family":"Nürnberg","given":"Dieter"},{"family":"Nylund","given":"Kim"},{"family":"Pallotta","given":"Nadia"},{"family":"Ripollés","given":"Tomás"},{"family":"Romanini","given":"Laura"},{"family":"Săftoiu","given":"Adrian"},{"family":"Sporea","given":"Ioan"},{"family":"Wüstner","given":"Matthias"},{"family":"Maaser","given":"Christian"},{"family":"Gilja","given":"Odd Helge"}],"issued":{"date-parts":[["2019",8,31]]}}},{"id":1237,"uris":["http://zotero.org/users/4312189/items/K98JCKQ3"],"uri":["http://zotero.org/users/4312189/items/K98JCKQ3"],"itemData":{"id":1237,"type":"article-journal","abstract":"OBJECTIVE: Celiac disease (CD) is a common, lifelong disease with small bowel malabsorption based on genetically conditioned gluten intolerance. The clinical manifestation could be very heterogeneous. The proof of celiac disease is now based mainly on clinical and laboratory (antibodies and enterobiopsy) signs, which are in some cases problematic and inconvenient.\nMATERIALS AND METHODS: In our study we have examined 250 patients with suspection or with proven celiac disease and we evaluated specific ultrasound small bowel changes in this group. In the next step, we chose 59 patients with laboratory proved celiac disease and we statistically compared ultrasound, other laboratory and clinical findings in different forms and stages of the disease.\nRESULTS: Specific small bowel pathologies in patients with celiac disease (like changes of intestinal villi in different parts of small bowel, abnormal peristalsis and mesenterial lymphadenopathy) can be well visualized by ultrasound and in combination with clinical and laboratory signs ultrasound examination could have an important role in screening, determination of diagnosis and monitoring of patients with different forms of celiac disease.","container-title":"European Journal of Radiology","DOI":"10.1016/j.ejrad.2007.01.028","ISSN":"0720-048X","issue":"2","journalAbbreviation":"Eur J Radiol","language":"eng","note":"PMID: 17336477","page":"302-306","source":"PubMed","title":"Small bowel ultrasound in patients with celiac disease. Retrospective study","volume":"63","author":[{"family":"Bartusek","given":"D."},{"family":"Valek","given":"V."},{"family":"Husty","given":"J."},{"family":"Uteseny","given":"J."}],"issued":{"date-parts":[["2007",8]]}}},{"id":1220,"uris":["http://zotero.org/users/4312189/items/LCA9992D"],"uri":["http://zotero.org/users/4312189/items/LCA9992D"],"itemData":{"id":1220,"type":"article-journal","abstract":"The aim of the present review was to summarize the current evidence on the role of ultrasonography (US) and doppler-US in the diagnosis of celiac disease. Several ultrasonographic signs have been reported in the association with celiac disease in studies using real-time US. Firstly, case control studies identified some of these US signs and then in a prospective series some of these parameters, due to their high specificity, have been shown to be of value in confirming CD diagnosis, whereas others, due to their high sensitivity, have been demonstrated to be useful in excluding the presence of the disease. The pattern of splanchnic circulation in CD have extensively been investigated by several studies all of which reported similar results and identified a hyperdynamic mesenteric circulation that reverts to normal values after successful a gluten-free regimen. The last part of this review will deal with the possible role of US in identifying the most severe and common intestinal complication of CD, i.e. the enteropathy-associated T cell non-Hodgkin lymphoma.","container-title":"World Journal of Gastroenterology","DOI":"10.3748/wjg.v12.i7.1001","ISSN":"1007-9327","issue":"7","journalAbbreviation":"World J. Gastroenterol.","language":"eng","note":"PMID: 16534837\nPMCID: PMC4087888","page":"1001-1004","source":"PubMed","title":"The role of ultrasonography in patients with celiac disease","volume":"12","author":[{"family":"Fraquelli","given":"Mirella"},{"family":"Sciola","given":"Valentina"},{"family":"Villa","given":"Chiara"},{"family":"Conte","given":"Dario"}],"issued":{"date-parts":[["2006",2,21]]}}}],"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0C00A4" w:rsidRPr="00FA5C8D">
        <w:rPr>
          <w:rFonts w:ascii="Book Antiqua" w:hAnsi="Book Antiqua" w:cs="Times New Roman"/>
          <w:sz w:val="24"/>
          <w:szCs w:val="24"/>
          <w:vertAlign w:val="superscript"/>
        </w:rPr>
        <w:t>[15,16,25]</w:t>
      </w:r>
      <w:r w:rsidR="00185175" w:rsidRPr="00FA5C8D">
        <w:rPr>
          <w:rFonts w:ascii="Book Antiqua" w:hAnsi="Book Antiqua" w:cs="Times New Roman"/>
          <w:color w:val="000000"/>
          <w:sz w:val="24"/>
          <w:szCs w:val="24"/>
          <w:shd w:val="clear" w:color="auto" w:fill="FFFFFF"/>
        </w:rPr>
        <w:fldChar w:fldCharType="end"/>
      </w:r>
      <w:r w:rsidR="00102DB8" w:rsidRPr="00FA5C8D">
        <w:rPr>
          <w:rFonts w:ascii="Book Antiqua" w:hAnsi="Book Antiqua" w:cs="Times New Roman"/>
          <w:color w:val="000000"/>
          <w:sz w:val="24"/>
          <w:szCs w:val="24"/>
          <w:shd w:val="clear" w:color="auto" w:fill="FFFFFF"/>
        </w:rPr>
        <w:t xml:space="preserve">. </w:t>
      </w:r>
      <w:r w:rsidR="0081273D" w:rsidRPr="00FA5C8D">
        <w:rPr>
          <w:rFonts w:ascii="Book Antiqua" w:hAnsi="Book Antiqua" w:cs="Times New Roman"/>
          <w:color w:val="000000"/>
          <w:sz w:val="24"/>
          <w:szCs w:val="24"/>
          <w:shd w:val="clear" w:color="auto" w:fill="FFFFFF"/>
        </w:rPr>
        <w:t xml:space="preserve">This examination is routinely used </w:t>
      </w:r>
      <w:r w:rsidR="00B9469F" w:rsidRPr="00FA5C8D">
        <w:rPr>
          <w:rFonts w:ascii="Book Antiqua" w:hAnsi="Book Antiqua" w:cs="Times New Roman"/>
          <w:color w:val="000000"/>
          <w:sz w:val="24"/>
          <w:szCs w:val="24"/>
          <w:shd w:val="clear" w:color="auto" w:fill="FFFFFF"/>
        </w:rPr>
        <w:t>during follow</w:t>
      </w:r>
      <w:r w:rsidR="0081273D" w:rsidRPr="00FA5C8D">
        <w:rPr>
          <w:rFonts w:ascii="Book Antiqua" w:hAnsi="Book Antiqua" w:cs="Times New Roman"/>
          <w:color w:val="000000"/>
          <w:sz w:val="24"/>
          <w:szCs w:val="24"/>
          <w:shd w:val="clear" w:color="auto" w:fill="FFFFFF"/>
        </w:rPr>
        <w:t xml:space="preserve">-up of CD </w:t>
      </w:r>
      <w:r w:rsidR="00AE3ABB" w:rsidRPr="00FA5C8D">
        <w:rPr>
          <w:rFonts w:ascii="Book Antiqua" w:hAnsi="Book Antiqua" w:cs="Times New Roman"/>
          <w:color w:val="000000"/>
          <w:sz w:val="24"/>
          <w:szCs w:val="24"/>
          <w:shd w:val="clear" w:color="auto" w:fill="FFFFFF"/>
        </w:rPr>
        <w:t>patients</w:t>
      </w:r>
      <w:r w:rsidR="0081273D" w:rsidRPr="00FA5C8D">
        <w:rPr>
          <w:rFonts w:ascii="Book Antiqua" w:hAnsi="Book Antiqua" w:cs="Times New Roman"/>
          <w:color w:val="000000"/>
          <w:sz w:val="24"/>
          <w:szCs w:val="24"/>
          <w:shd w:val="clear" w:color="auto" w:fill="FFFFFF"/>
        </w:rPr>
        <w:t xml:space="preserve"> in our hospital. </w:t>
      </w:r>
      <w:r w:rsidR="00E31B78" w:rsidRPr="00FA5C8D">
        <w:rPr>
          <w:rFonts w:ascii="Book Antiqua" w:hAnsi="Book Antiqua" w:cs="Times New Roman"/>
          <w:color w:val="000000"/>
          <w:sz w:val="24"/>
          <w:szCs w:val="24"/>
          <w:shd w:val="clear" w:color="auto" w:fill="FFFFFF"/>
        </w:rPr>
        <w:t xml:space="preserve">With </w:t>
      </w:r>
      <w:r w:rsidR="00C61EA5" w:rsidRPr="00FA5C8D">
        <w:rPr>
          <w:rFonts w:ascii="Book Antiqua" w:hAnsi="Book Antiqua" w:cs="Times New Roman"/>
          <w:color w:val="000000"/>
          <w:sz w:val="24"/>
          <w:szCs w:val="24"/>
          <w:shd w:val="clear" w:color="auto" w:fill="FFFFFF"/>
        </w:rPr>
        <w:t>easier access to ultrasound examination</w:t>
      </w:r>
      <w:r w:rsidR="00A66EC1" w:rsidRPr="00FA5C8D">
        <w:rPr>
          <w:rFonts w:ascii="Book Antiqua" w:hAnsi="Book Antiqua" w:cs="Times New Roman"/>
          <w:color w:val="000000"/>
          <w:sz w:val="24"/>
          <w:szCs w:val="24"/>
          <w:shd w:val="clear" w:color="auto" w:fill="FFFFFF"/>
        </w:rPr>
        <w:t xml:space="preserve"> and increasing </w:t>
      </w:r>
      <w:r w:rsidR="00E161E1" w:rsidRPr="00FA5C8D">
        <w:rPr>
          <w:rFonts w:ascii="Book Antiqua" w:hAnsi="Book Antiqua" w:cs="Times New Roman"/>
          <w:color w:val="000000"/>
          <w:sz w:val="24"/>
          <w:szCs w:val="24"/>
          <w:shd w:val="clear" w:color="auto" w:fill="FFFFFF"/>
        </w:rPr>
        <w:t xml:space="preserve">experience in many institutions </w:t>
      </w:r>
      <w:r w:rsidR="00564190" w:rsidRPr="00FA5C8D">
        <w:rPr>
          <w:rFonts w:ascii="Book Antiqua" w:hAnsi="Book Antiqua" w:cs="Times New Roman"/>
          <w:color w:val="000000"/>
          <w:sz w:val="24"/>
          <w:szCs w:val="24"/>
          <w:shd w:val="clear" w:color="auto" w:fill="FFFFFF"/>
        </w:rPr>
        <w:t>in recent</w:t>
      </w:r>
      <w:r w:rsidR="00C61EA5" w:rsidRPr="00FA5C8D">
        <w:rPr>
          <w:rFonts w:ascii="Book Antiqua" w:hAnsi="Book Antiqua" w:cs="Times New Roman"/>
          <w:color w:val="000000"/>
          <w:sz w:val="24"/>
          <w:szCs w:val="24"/>
          <w:shd w:val="clear" w:color="auto" w:fill="FFFFFF"/>
        </w:rPr>
        <w:t xml:space="preserve"> year</w:t>
      </w:r>
      <w:r w:rsidR="00847057" w:rsidRPr="00FA5C8D">
        <w:rPr>
          <w:rFonts w:ascii="Book Antiqua" w:hAnsi="Book Antiqua" w:cs="Times New Roman"/>
          <w:color w:val="000000"/>
          <w:sz w:val="24"/>
          <w:szCs w:val="24"/>
          <w:shd w:val="clear" w:color="auto" w:fill="FFFFFF"/>
        </w:rPr>
        <w:t>s</w:t>
      </w:r>
      <w:r w:rsidR="00C61EA5" w:rsidRPr="00FA5C8D">
        <w:rPr>
          <w:rFonts w:ascii="Book Antiqua" w:hAnsi="Book Antiqua" w:cs="Times New Roman"/>
          <w:color w:val="000000"/>
          <w:sz w:val="24"/>
          <w:szCs w:val="24"/>
          <w:shd w:val="clear" w:color="auto" w:fill="FFFFFF"/>
        </w:rPr>
        <w:t xml:space="preserve">, it may be </w:t>
      </w:r>
      <w:r w:rsidR="00091518" w:rsidRPr="00FA5C8D">
        <w:rPr>
          <w:rFonts w:ascii="Book Antiqua" w:hAnsi="Book Antiqua" w:cs="Times New Roman"/>
          <w:color w:val="000000"/>
          <w:sz w:val="24"/>
          <w:szCs w:val="24"/>
          <w:shd w:val="clear" w:color="auto" w:fill="FFFFFF"/>
        </w:rPr>
        <w:t>challenging to</w:t>
      </w:r>
      <w:r w:rsidR="00A655F9" w:rsidRPr="00FA5C8D">
        <w:rPr>
          <w:rFonts w:ascii="Book Antiqua" w:hAnsi="Book Antiqua" w:cs="Times New Roman"/>
          <w:color w:val="000000"/>
          <w:sz w:val="24"/>
          <w:szCs w:val="24"/>
          <w:shd w:val="clear" w:color="auto" w:fill="FFFFFF"/>
        </w:rPr>
        <w:t xml:space="preserve"> use it </w:t>
      </w:r>
      <w:r w:rsidR="00513163" w:rsidRPr="00FA5C8D">
        <w:rPr>
          <w:rFonts w:ascii="Book Antiqua" w:hAnsi="Book Antiqua" w:cs="Times New Roman"/>
          <w:color w:val="000000"/>
          <w:sz w:val="24"/>
          <w:szCs w:val="24"/>
          <w:shd w:val="clear" w:color="auto" w:fill="FFFFFF"/>
        </w:rPr>
        <w:t>for the</w:t>
      </w:r>
      <w:r w:rsidR="00B9469F" w:rsidRPr="00FA5C8D">
        <w:rPr>
          <w:rFonts w:ascii="Book Antiqua" w:hAnsi="Book Antiqua" w:cs="Times New Roman"/>
          <w:color w:val="000000"/>
          <w:sz w:val="24"/>
          <w:szCs w:val="24"/>
          <w:shd w:val="clear" w:color="auto" w:fill="FFFFFF"/>
        </w:rPr>
        <w:t xml:space="preserve"> </w:t>
      </w:r>
      <w:r w:rsidR="00A655F9" w:rsidRPr="00FA5C8D">
        <w:rPr>
          <w:rFonts w:ascii="Book Antiqua" w:hAnsi="Book Antiqua" w:cs="Times New Roman"/>
          <w:color w:val="000000"/>
          <w:sz w:val="24"/>
          <w:szCs w:val="24"/>
          <w:shd w:val="clear" w:color="auto" w:fill="FFFFFF"/>
        </w:rPr>
        <w:t>follow</w:t>
      </w:r>
      <w:r w:rsidR="007144B7" w:rsidRPr="00FA5C8D">
        <w:rPr>
          <w:rFonts w:ascii="Book Antiqua" w:hAnsi="Book Antiqua" w:cs="Times New Roman"/>
          <w:color w:val="000000"/>
          <w:sz w:val="24"/>
          <w:szCs w:val="24"/>
          <w:shd w:val="clear" w:color="auto" w:fill="FFFFFF"/>
        </w:rPr>
        <w:t xml:space="preserve">-up </w:t>
      </w:r>
      <w:r w:rsidR="00564190" w:rsidRPr="00FA5C8D">
        <w:rPr>
          <w:rFonts w:ascii="Book Antiqua" w:hAnsi="Book Antiqua" w:cs="Times New Roman"/>
          <w:color w:val="000000"/>
          <w:sz w:val="24"/>
          <w:szCs w:val="24"/>
          <w:shd w:val="clear" w:color="auto" w:fill="FFFFFF"/>
        </w:rPr>
        <w:t>of</w:t>
      </w:r>
      <w:r w:rsidR="00513163" w:rsidRPr="00FA5C8D">
        <w:rPr>
          <w:rFonts w:ascii="Book Antiqua" w:hAnsi="Book Antiqua" w:cs="Times New Roman"/>
          <w:color w:val="000000"/>
          <w:sz w:val="24"/>
          <w:szCs w:val="24"/>
          <w:shd w:val="clear" w:color="auto" w:fill="FFFFFF"/>
        </w:rPr>
        <w:t xml:space="preserve"> patients with</w:t>
      </w:r>
      <w:r w:rsidR="00B9469F" w:rsidRPr="00FA5C8D">
        <w:rPr>
          <w:rFonts w:ascii="Book Antiqua" w:hAnsi="Book Antiqua" w:cs="Times New Roman"/>
          <w:color w:val="000000"/>
          <w:sz w:val="24"/>
          <w:szCs w:val="24"/>
          <w:shd w:val="clear" w:color="auto" w:fill="FFFFFF"/>
        </w:rPr>
        <w:t xml:space="preserve"> </w:t>
      </w:r>
      <w:r w:rsidR="007144B7" w:rsidRPr="00FA5C8D">
        <w:rPr>
          <w:rFonts w:ascii="Book Antiqua" w:hAnsi="Book Antiqua" w:cs="Times New Roman"/>
          <w:color w:val="000000"/>
          <w:sz w:val="24"/>
          <w:szCs w:val="24"/>
          <w:shd w:val="clear" w:color="auto" w:fill="FFFFFF"/>
        </w:rPr>
        <w:t xml:space="preserve">CD </w:t>
      </w:r>
      <w:r w:rsidR="00FF4EF1" w:rsidRPr="00FA5C8D">
        <w:rPr>
          <w:rFonts w:ascii="Book Antiqua" w:hAnsi="Book Antiqua" w:cs="Times New Roman"/>
          <w:color w:val="000000"/>
          <w:sz w:val="24"/>
          <w:szCs w:val="24"/>
          <w:shd w:val="clear" w:color="auto" w:fill="FFFFFF"/>
        </w:rPr>
        <w:t>in</w:t>
      </w:r>
      <w:r w:rsidR="00B9469F"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 xml:space="preserve">the </w:t>
      </w:r>
      <w:r w:rsidR="007144B7" w:rsidRPr="00FA5C8D">
        <w:rPr>
          <w:rFonts w:ascii="Book Antiqua" w:hAnsi="Book Antiqua" w:cs="Times New Roman"/>
          <w:color w:val="000000"/>
          <w:sz w:val="24"/>
          <w:szCs w:val="24"/>
          <w:shd w:val="clear" w:color="auto" w:fill="FFFFFF"/>
        </w:rPr>
        <w:t xml:space="preserve">future. </w:t>
      </w:r>
      <w:r w:rsidR="00102DB8" w:rsidRPr="00FA5C8D">
        <w:rPr>
          <w:rFonts w:ascii="Book Antiqua" w:hAnsi="Book Antiqua" w:cs="Times New Roman"/>
          <w:color w:val="000000"/>
          <w:sz w:val="24"/>
          <w:szCs w:val="24"/>
          <w:shd w:val="clear" w:color="auto" w:fill="FFFFFF"/>
        </w:rPr>
        <w:t xml:space="preserve">Particularly in patients with positive </w:t>
      </w:r>
      <w:proofErr w:type="spellStart"/>
      <w:r w:rsidR="00102DB8" w:rsidRPr="00FA5C8D">
        <w:rPr>
          <w:rFonts w:ascii="Book Antiqua" w:hAnsi="Book Antiqua" w:cs="Times New Roman"/>
          <w:color w:val="000000"/>
          <w:sz w:val="24"/>
          <w:szCs w:val="24"/>
          <w:shd w:val="clear" w:color="auto" w:fill="FFFFFF"/>
        </w:rPr>
        <w:t>aTTG</w:t>
      </w:r>
      <w:proofErr w:type="spellEnd"/>
      <w:r w:rsidR="00102DB8" w:rsidRPr="00FA5C8D">
        <w:rPr>
          <w:rFonts w:ascii="Book Antiqua" w:hAnsi="Book Antiqua" w:cs="Times New Roman"/>
          <w:color w:val="000000"/>
          <w:sz w:val="24"/>
          <w:szCs w:val="24"/>
          <w:shd w:val="clear" w:color="auto" w:fill="FFFFFF"/>
        </w:rPr>
        <w:t xml:space="preserve"> IgA or </w:t>
      </w:r>
      <w:proofErr w:type="spellStart"/>
      <w:r w:rsidR="00102DB8" w:rsidRPr="00FA5C8D">
        <w:rPr>
          <w:rFonts w:ascii="Book Antiqua" w:hAnsi="Book Antiqua" w:cs="Times New Roman"/>
          <w:color w:val="000000"/>
          <w:sz w:val="24"/>
          <w:szCs w:val="24"/>
          <w:shd w:val="clear" w:color="auto" w:fill="FFFFFF"/>
        </w:rPr>
        <w:t>aDGP</w:t>
      </w:r>
      <w:proofErr w:type="spellEnd"/>
      <w:r w:rsidR="00102DB8" w:rsidRPr="00FA5C8D">
        <w:rPr>
          <w:rFonts w:ascii="Book Antiqua" w:hAnsi="Book Antiqua" w:cs="Times New Roman"/>
          <w:color w:val="000000"/>
          <w:sz w:val="24"/>
          <w:szCs w:val="24"/>
          <w:shd w:val="clear" w:color="auto" w:fill="FFFFFF"/>
        </w:rPr>
        <w:t xml:space="preserve"> IgA</w:t>
      </w:r>
      <w:r w:rsidR="00564190" w:rsidRPr="00FA5C8D">
        <w:rPr>
          <w:rFonts w:ascii="Book Antiqua" w:hAnsi="Book Antiqua" w:cs="Times New Roman"/>
          <w:color w:val="000000"/>
          <w:sz w:val="24"/>
          <w:szCs w:val="24"/>
          <w:shd w:val="clear" w:color="auto" w:fill="FFFFFF"/>
        </w:rPr>
        <w:t>,</w:t>
      </w:r>
      <w:r w:rsidR="00102DB8" w:rsidRPr="00FA5C8D">
        <w:rPr>
          <w:rFonts w:ascii="Book Antiqua" w:hAnsi="Book Antiqua" w:cs="Times New Roman"/>
          <w:color w:val="000000"/>
          <w:sz w:val="24"/>
          <w:szCs w:val="24"/>
          <w:shd w:val="clear" w:color="auto" w:fill="FFFFFF"/>
        </w:rPr>
        <w:t xml:space="preserve"> ultrasound abnormalities should indicate the need </w:t>
      </w:r>
      <w:r w:rsidR="00564190" w:rsidRPr="00FA5C8D">
        <w:rPr>
          <w:rFonts w:ascii="Book Antiqua" w:hAnsi="Book Antiqua" w:cs="Times New Roman"/>
          <w:color w:val="000000"/>
          <w:sz w:val="24"/>
          <w:szCs w:val="24"/>
          <w:shd w:val="clear" w:color="auto" w:fill="FFFFFF"/>
        </w:rPr>
        <w:t>for</w:t>
      </w:r>
      <w:r w:rsidR="00B9469F" w:rsidRPr="00FA5C8D">
        <w:rPr>
          <w:rFonts w:ascii="Book Antiqua" w:hAnsi="Book Antiqua" w:cs="Times New Roman"/>
          <w:color w:val="000000"/>
          <w:sz w:val="24"/>
          <w:szCs w:val="24"/>
          <w:shd w:val="clear" w:color="auto" w:fill="FFFFFF"/>
        </w:rPr>
        <w:t xml:space="preserve"> </w:t>
      </w:r>
      <w:r w:rsidR="00102DB8" w:rsidRPr="00FA5C8D">
        <w:rPr>
          <w:rFonts w:ascii="Book Antiqua" w:hAnsi="Book Antiqua" w:cs="Times New Roman"/>
          <w:color w:val="000000"/>
          <w:sz w:val="24"/>
          <w:szCs w:val="24"/>
          <w:shd w:val="clear" w:color="auto" w:fill="FFFFFF"/>
        </w:rPr>
        <w:t xml:space="preserve">endoscopic biopsy of duodenal mucosa despite the absence of clinical symptoms. </w:t>
      </w:r>
    </w:p>
    <w:p w14:paraId="5DB7871D" w14:textId="77777777" w:rsidR="00AE39DC" w:rsidRPr="00FA5C8D" w:rsidRDefault="006F6366" w:rsidP="00FA5C8D">
      <w:pPr>
        <w:snapToGrid w:val="0"/>
        <w:spacing w:after="0" w:line="360" w:lineRule="auto"/>
        <w:ind w:firstLineChars="100" w:firstLine="240"/>
        <w:jc w:val="both"/>
        <w:rPr>
          <w:rFonts w:ascii="Book Antiqua" w:hAnsi="Book Antiqua" w:cs="Times New Roman"/>
          <w:color w:val="000000"/>
          <w:sz w:val="24"/>
          <w:szCs w:val="24"/>
          <w:shd w:val="clear" w:color="auto" w:fill="FFFFFF"/>
        </w:rPr>
      </w:pPr>
      <w:r w:rsidRPr="00FA5C8D">
        <w:rPr>
          <w:rFonts w:ascii="Book Antiqua" w:hAnsi="Book Antiqua" w:cs="Times New Roman"/>
          <w:sz w:val="24"/>
          <w:szCs w:val="24"/>
        </w:rPr>
        <w:t>The</w:t>
      </w:r>
      <w:r w:rsidR="00B9469F" w:rsidRPr="00FA5C8D">
        <w:rPr>
          <w:rFonts w:ascii="Book Antiqua" w:hAnsi="Book Antiqua" w:cs="Times New Roman"/>
          <w:sz w:val="24"/>
          <w:szCs w:val="24"/>
        </w:rPr>
        <w:t xml:space="preserve"> </w:t>
      </w:r>
      <w:r w:rsidRPr="00FA5C8D">
        <w:rPr>
          <w:rFonts w:ascii="Book Antiqua" w:hAnsi="Book Antiqua" w:cs="Times New Roman"/>
          <w:sz w:val="24"/>
          <w:szCs w:val="24"/>
        </w:rPr>
        <w:t>l</w:t>
      </w:r>
      <w:r w:rsidR="00FD075C" w:rsidRPr="00FA5C8D">
        <w:rPr>
          <w:rFonts w:ascii="Book Antiqua" w:hAnsi="Book Antiqua" w:cs="Times New Roman"/>
          <w:sz w:val="24"/>
          <w:szCs w:val="24"/>
        </w:rPr>
        <w:t xml:space="preserve">imitations of our study </w:t>
      </w:r>
      <w:r w:rsidR="00C36BE9" w:rsidRPr="00FA5C8D">
        <w:rPr>
          <w:rFonts w:ascii="Book Antiqua" w:hAnsi="Book Antiqua" w:cs="Times New Roman"/>
          <w:sz w:val="24"/>
          <w:szCs w:val="24"/>
        </w:rPr>
        <w:t xml:space="preserve">are </w:t>
      </w:r>
      <w:r w:rsidR="00FD075C" w:rsidRPr="00FA5C8D">
        <w:rPr>
          <w:rFonts w:ascii="Book Antiqua" w:hAnsi="Book Antiqua" w:cs="Times New Roman"/>
          <w:sz w:val="24"/>
          <w:szCs w:val="24"/>
        </w:rPr>
        <w:t xml:space="preserve">its retrospective </w:t>
      </w:r>
      <w:r w:rsidR="00346790" w:rsidRPr="00FA5C8D">
        <w:rPr>
          <w:rFonts w:ascii="Book Antiqua" w:hAnsi="Book Antiqua" w:cs="Times New Roman"/>
          <w:sz w:val="24"/>
          <w:szCs w:val="24"/>
        </w:rPr>
        <w:t>design and</w:t>
      </w:r>
      <w:r w:rsidR="00B9469F" w:rsidRPr="00FA5C8D">
        <w:rPr>
          <w:rFonts w:ascii="Book Antiqua" w:hAnsi="Book Antiqua" w:cs="Times New Roman"/>
          <w:sz w:val="24"/>
          <w:szCs w:val="24"/>
        </w:rPr>
        <w:t xml:space="preserve"> </w:t>
      </w:r>
      <w:r w:rsidR="00346790" w:rsidRPr="00FA5C8D">
        <w:rPr>
          <w:rFonts w:ascii="Book Antiqua" w:hAnsi="Book Antiqua" w:cs="Times New Roman"/>
          <w:sz w:val="24"/>
          <w:szCs w:val="24"/>
        </w:rPr>
        <w:t xml:space="preserve">a </w:t>
      </w:r>
      <w:r w:rsidR="00BD24C5" w:rsidRPr="00FA5C8D">
        <w:rPr>
          <w:rFonts w:ascii="Book Antiqua" w:hAnsi="Book Antiqua" w:cs="Times New Roman"/>
          <w:sz w:val="24"/>
          <w:szCs w:val="24"/>
        </w:rPr>
        <w:t xml:space="preserve">relatively </w:t>
      </w:r>
      <w:r w:rsidR="00FD075C" w:rsidRPr="00FA5C8D">
        <w:rPr>
          <w:rFonts w:ascii="Book Antiqua" w:hAnsi="Book Antiqua" w:cs="Times New Roman"/>
          <w:sz w:val="24"/>
          <w:szCs w:val="24"/>
        </w:rPr>
        <w:t>small number of patients in</w:t>
      </w:r>
      <w:r w:rsidR="00940550" w:rsidRPr="00FA5C8D">
        <w:rPr>
          <w:rFonts w:ascii="Book Antiqua" w:hAnsi="Book Antiqua" w:cs="Times New Roman"/>
          <w:sz w:val="24"/>
          <w:szCs w:val="24"/>
        </w:rPr>
        <w:t xml:space="preserve"> the</w:t>
      </w:r>
      <w:r w:rsidR="00FD075C" w:rsidRPr="00FA5C8D">
        <w:rPr>
          <w:rFonts w:ascii="Book Antiqua" w:hAnsi="Book Antiqua" w:cs="Times New Roman"/>
          <w:sz w:val="24"/>
          <w:szCs w:val="24"/>
        </w:rPr>
        <w:t xml:space="preserve"> study group. </w:t>
      </w:r>
      <w:r w:rsidR="00564190" w:rsidRPr="00FA5C8D">
        <w:rPr>
          <w:rFonts w:ascii="Book Antiqua" w:hAnsi="Book Antiqua" w:cs="Times New Roman"/>
          <w:sz w:val="24"/>
          <w:szCs w:val="24"/>
        </w:rPr>
        <w:t>Because</w:t>
      </w:r>
      <w:r w:rsidR="00B9469F" w:rsidRPr="00FA5C8D">
        <w:rPr>
          <w:rFonts w:ascii="Book Antiqua" w:hAnsi="Book Antiqua" w:cs="Times New Roman"/>
          <w:sz w:val="24"/>
          <w:szCs w:val="24"/>
        </w:rPr>
        <w:t xml:space="preserve"> </w:t>
      </w:r>
      <w:r w:rsidR="00FD075C" w:rsidRPr="00FA5C8D">
        <w:rPr>
          <w:rFonts w:ascii="Book Antiqua" w:hAnsi="Book Antiqua" w:cs="Times New Roman"/>
          <w:sz w:val="24"/>
          <w:szCs w:val="24"/>
        </w:rPr>
        <w:t xml:space="preserve">the study group was </w:t>
      </w:r>
      <w:r w:rsidR="002417D4" w:rsidRPr="00FA5C8D">
        <w:rPr>
          <w:rFonts w:ascii="Book Antiqua" w:hAnsi="Book Antiqua" w:cs="Times New Roman"/>
          <w:sz w:val="24"/>
          <w:szCs w:val="24"/>
        </w:rPr>
        <w:t>small,</w:t>
      </w:r>
      <w:r w:rsidR="00FD075C" w:rsidRPr="00FA5C8D">
        <w:rPr>
          <w:rFonts w:ascii="Book Antiqua" w:hAnsi="Book Antiqua" w:cs="Times New Roman"/>
          <w:sz w:val="24"/>
          <w:szCs w:val="24"/>
        </w:rPr>
        <w:t xml:space="preserve"> we could</w:t>
      </w:r>
      <w:r w:rsidR="00BD24C5" w:rsidRPr="00FA5C8D">
        <w:rPr>
          <w:rFonts w:ascii="Book Antiqua" w:hAnsi="Book Antiqua" w:cs="Times New Roman"/>
          <w:sz w:val="24"/>
          <w:szCs w:val="24"/>
        </w:rPr>
        <w:t xml:space="preserve"> not</w:t>
      </w:r>
      <w:r w:rsidR="00FD075C" w:rsidRPr="00FA5C8D">
        <w:rPr>
          <w:rFonts w:ascii="Book Antiqua" w:hAnsi="Book Antiqua" w:cs="Times New Roman"/>
          <w:sz w:val="24"/>
          <w:szCs w:val="24"/>
        </w:rPr>
        <w:t xml:space="preserve"> subdivide </w:t>
      </w:r>
      <w:r w:rsidR="004E6C66" w:rsidRPr="00FA5C8D">
        <w:rPr>
          <w:rFonts w:ascii="Book Antiqua" w:hAnsi="Book Antiqua" w:cs="Times New Roman"/>
          <w:sz w:val="24"/>
          <w:szCs w:val="24"/>
        </w:rPr>
        <w:t xml:space="preserve">the </w:t>
      </w:r>
      <w:r w:rsidR="00FD075C" w:rsidRPr="00FA5C8D">
        <w:rPr>
          <w:rFonts w:ascii="Book Antiqua" w:hAnsi="Book Antiqua" w:cs="Times New Roman"/>
          <w:sz w:val="24"/>
          <w:szCs w:val="24"/>
        </w:rPr>
        <w:t>pa</w:t>
      </w:r>
      <w:r w:rsidR="007237E3" w:rsidRPr="00FA5C8D">
        <w:rPr>
          <w:rFonts w:ascii="Book Antiqua" w:hAnsi="Book Antiqua" w:cs="Times New Roman"/>
          <w:sz w:val="24"/>
          <w:szCs w:val="24"/>
        </w:rPr>
        <w:t>tients with simple VA and patie</w:t>
      </w:r>
      <w:r w:rsidR="00FD075C" w:rsidRPr="00FA5C8D">
        <w:rPr>
          <w:rFonts w:ascii="Book Antiqua" w:hAnsi="Book Antiqua" w:cs="Times New Roman"/>
          <w:sz w:val="24"/>
          <w:szCs w:val="24"/>
        </w:rPr>
        <w:t xml:space="preserve">nts with </w:t>
      </w:r>
      <w:r w:rsidR="007237E3" w:rsidRPr="00FA5C8D">
        <w:rPr>
          <w:rFonts w:ascii="Book Antiqua" w:hAnsi="Book Antiqua" w:cs="Times New Roman"/>
          <w:sz w:val="24"/>
          <w:szCs w:val="24"/>
        </w:rPr>
        <w:t>refrac</w:t>
      </w:r>
      <w:r w:rsidR="00FD075C" w:rsidRPr="00FA5C8D">
        <w:rPr>
          <w:rFonts w:ascii="Book Antiqua" w:hAnsi="Book Antiqua" w:cs="Times New Roman"/>
          <w:sz w:val="24"/>
          <w:szCs w:val="24"/>
        </w:rPr>
        <w:t xml:space="preserve">tory </w:t>
      </w:r>
      <w:r w:rsidR="00DF3DF6" w:rsidRPr="00FA5C8D">
        <w:rPr>
          <w:rFonts w:ascii="Book Antiqua" w:hAnsi="Book Antiqua" w:cs="Times New Roman"/>
          <w:sz w:val="24"/>
          <w:szCs w:val="24"/>
        </w:rPr>
        <w:t>CD</w:t>
      </w:r>
      <w:r w:rsidR="00FD075C" w:rsidRPr="00FA5C8D">
        <w:rPr>
          <w:rFonts w:ascii="Book Antiqua" w:hAnsi="Book Antiqua" w:cs="Times New Roman"/>
          <w:sz w:val="24"/>
          <w:szCs w:val="24"/>
        </w:rPr>
        <w:t xml:space="preserve">. This could have </w:t>
      </w:r>
      <w:r w:rsidR="004E6C66" w:rsidRPr="00FA5C8D">
        <w:rPr>
          <w:rFonts w:ascii="Book Antiqua" w:hAnsi="Book Antiqua" w:cs="Times New Roman"/>
          <w:sz w:val="24"/>
          <w:szCs w:val="24"/>
        </w:rPr>
        <w:t xml:space="preserve">an </w:t>
      </w:r>
      <w:r w:rsidR="00FD075C" w:rsidRPr="00FA5C8D">
        <w:rPr>
          <w:rFonts w:ascii="Book Antiqua" w:hAnsi="Book Antiqua" w:cs="Times New Roman"/>
          <w:sz w:val="24"/>
          <w:szCs w:val="24"/>
        </w:rPr>
        <w:t xml:space="preserve">impact on the </w:t>
      </w:r>
      <w:r w:rsidR="00B9469F" w:rsidRPr="00FA5C8D">
        <w:rPr>
          <w:rFonts w:ascii="Book Antiqua" w:hAnsi="Book Antiqua" w:cs="Times New Roman"/>
          <w:sz w:val="24"/>
          <w:szCs w:val="24"/>
        </w:rPr>
        <w:t xml:space="preserve">results because </w:t>
      </w:r>
      <w:r w:rsidR="004E3793" w:rsidRPr="00FA5C8D">
        <w:rPr>
          <w:rFonts w:ascii="Book Antiqua" w:hAnsi="Book Antiqua" w:cs="Times New Roman"/>
          <w:sz w:val="24"/>
          <w:szCs w:val="24"/>
        </w:rPr>
        <w:t>most patients have negative CD</w:t>
      </w:r>
      <w:r w:rsidR="00180ACD" w:rsidRPr="00FA5C8D">
        <w:rPr>
          <w:rFonts w:ascii="Book Antiqua" w:hAnsi="Book Antiqua" w:cs="Times New Roman"/>
          <w:sz w:val="24"/>
          <w:szCs w:val="24"/>
        </w:rPr>
        <w:t>-</w:t>
      </w:r>
      <w:r w:rsidR="004E3793" w:rsidRPr="00FA5C8D">
        <w:rPr>
          <w:rFonts w:ascii="Book Antiqua" w:hAnsi="Book Antiqua" w:cs="Times New Roman"/>
          <w:sz w:val="24"/>
          <w:szCs w:val="24"/>
        </w:rPr>
        <w:t>specific antibodies at the time of refractory CD diagnosis.</w:t>
      </w:r>
      <w:r w:rsidR="00B9469F" w:rsidRPr="00FA5C8D">
        <w:rPr>
          <w:rFonts w:ascii="Book Antiqua" w:hAnsi="Book Antiqua" w:cs="Times New Roman"/>
          <w:sz w:val="24"/>
          <w:szCs w:val="24"/>
        </w:rPr>
        <w:t xml:space="preserve"> </w:t>
      </w:r>
      <w:r w:rsidR="004E3793" w:rsidRPr="00FA5C8D">
        <w:rPr>
          <w:rFonts w:ascii="Book Antiqua" w:hAnsi="Book Antiqua" w:cs="Times New Roman"/>
          <w:sz w:val="24"/>
          <w:szCs w:val="24"/>
        </w:rPr>
        <w:t>However positive CD</w:t>
      </w:r>
      <w:r w:rsidR="00817BC1" w:rsidRPr="00FA5C8D">
        <w:rPr>
          <w:rFonts w:ascii="Book Antiqua" w:hAnsi="Book Antiqua" w:cs="Times New Roman"/>
          <w:sz w:val="24"/>
          <w:szCs w:val="24"/>
        </w:rPr>
        <w:t>-</w:t>
      </w:r>
      <w:r w:rsidR="004E3793" w:rsidRPr="00FA5C8D">
        <w:rPr>
          <w:rFonts w:ascii="Book Antiqua" w:hAnsi="Book Antiqua" w:cs="Times New Roman"/>
          <w:sz w:val="24"/>
          <w:szCs w:val="24"/>
        </w:rPr>
        <w:t xml:space="preserve">specific serology can be present in </w:t>
      </w:r>
      <w:r w:rsidR="005F7D16" w:rsidRPr="00FA5C8D">
        <w:rPr>
          <w:rFonts w:ascii="Book Antiqua" w:hAnsi="Book Antiqua" w:cs="Times New Roman"/>
          <w:sz w:val="24"/>
          <w:szCs w:val="24"/>
        </w:rPr>
        <w:t>19</w:t>
      </w:r>
      <w:r w:rsidR="00360EDB" w:rsidRPr="00FA5C8D">
        <w:rPr>
          <w:rFonts w:ascii="Book Antiqua" w:hAnsi="Book Antiqua" w:cs="Times New Roman"/>
          <w:sz w:val="24"/>
          <w:szCs w:val="24"/>
        </w:rPr>
        <w:t>%-</w:t>
      </w:r>
      <w:r w:rsidR="005F7D16" w:rsidRPr="00FA5C8D">
        <w:rPr>
          <w:rFonts w:ascii="Book Antiqua" w:hAnsi="Book Antiqua" w:cs="Times New Roman"/>
          <w:sz w:val="24"/>
          <w:szCs w:val="24"/>
        </w:rPr>
        <w:t xml:space="preserve">30% </w:t>
      </w:r>
      <w:r w:rsidR="004E3793" w:rsidRPr="00FA5C8D">
        <w:rPr>
          <w:rFonts w:ascii="Book Antiqua" w:hAnsi="Book Antiqua" w:cs="Times New Roman"/>
          <w:sz w:val="24"/>
          <w:szCs w:val="24"/>
        </w:rPr>
        <w:t>of patients with refractory CD and does not exclude the diagnosis</w:t>
      </w:r>
      <w:r w:rsidR="00185175" w:rsidRPr="00FA5C8D">
        <w:rPr>
          <w:rFonts w:ascii="Book Antiqua" w:hAnsi="Book Antiqua" w:cs="Times New Roman"/>
          <w:sz w:val="24"/>
          <w:szCs w:val="24"/>
        </w:rPr>
        <w:fldChar w:fldCharType="begin"/>
      </w:r>
      <w:r w:rsidR="00872E21" w:rsidRPr="00FA5C8D">
        <w:rPr>
          <w:rFonts w:ascii="Book Antiqua" w:hAnsi="Book Antiqua" w:cs="Times New Roman"/>
          <w:sz w:val="24"/>
          <w:szCs w:val="24"/>
        </w:rPr>
        <w:instrText xml:space="preserve"> ADDIN ZOTERO_ITEM CSL_CITATION {"citationID":"7URB7vq1","properties":{"formattedCitation":"\\super [26]\\nosupersub{}","plainCitation":"[26]","noteIndex":0},"citationItems":[{"id":1206,"uris":["http://zotero.org/users/4312189/items/VDW6SVNJ"],"uri":["http://zotero.org/users/4312189/items/VDW6SVNJ"],"itemData":{"id":1206,"type":"article-journal","abstract":"Refractory coeliac disease (RCD) is defined by persistent or recurrent malabsorptive symptoms and villous atrophy despite strict adherence to a gluten-free diet (GFD) for at least 6-12 months in the absence of other causes of non-responsive treated coeliac disease and overt malignancy. Symptoms are often severe and require additional therapeutic intervention besides a GFD. RCD can be classified as type 1 (normal intraepithelial lymphocyte phenotype), or type 2 (defined by the presence of abnormal (clonal) intraepithelial lymphocyte phenotype). Patients with RCD may never have responded to a GFD or may have relapsed despite adherence and initial response to the GFD. RCD type 1 usually improves after treatment with a combination of aggressive nutritional support, adherence to a GFD, and alternative pharmacological therapies. By contrast, clinical response to alternative therapies in RCD type 2 is less certain and the prognosis is poor. Severe complications such as ulcerative jejunitis and enteropathy-associated T cell lymphoma may occur in a subgroup of patients with RCD. The aims of this article are to (1) review recent advances in the diagnosis and management of patients with RCD, and (2) describe current and novel methods for classification of patients with RCD into categories that are useful to predict outcome and direct treatment.","container-title":"Gut","DOI":"10.1136/gut.2009.195131","ISSN":"1468-3288","issue":"4","journalAbbreviation":"Gut","language":"eng","note":"PMID: 20332526\nPMCID: PMC2861306","page":"547-557","source":"PubMed","title":"Classification and management of refractory coeliac disease","volume":"59","author":[{"family":"Rubio-Tapia","given":"Alberto"},{"family":"Murray","given":"Joseph A."}],"issued":{"date-parts":[["2010",4]]}}}],"schema":"https://github.com/citation-style-language/schema/raw/master/csl-citation.json"} </w:instrText>
      </w:r>
      <w:r w:rsidR="00185175" w:rsidRPr="00FA5C8D">
        <w:rPr>
          <w:rFonts w:ascii="Book Antiqua" w:hAnsi="Book Antiqua" w:cs="Times New Roman"/>
          <w:sz w:val="24"/>
          <w:szCs w:val="24"/>
        </w:rPr>
        <w:fldChar w:fldCharType="separate"/>
      </w:r>
      <w:r w:rsidR="00872E21" w:rsidRPr="00FA5C8D">
        <w:rPr>
          <w:rFonts w:ascii="Book Antiqua" w:hAnsi="Book Antiqua" w:cs="Times New Roman"/>
          <w:sz w:val="24"/>
          <w:szCs w:val="24"/>
          <w:vertAlign w:val="superscript"/>
        </w:rPr>
        <w:t>[26]</w:t>
      </w:r>
      <w:r w:rsidR="00185175" w:rsidRPr="00FA5C8D">
        <w:rPr>
          <w:rFonts w:ascii="Book Antiqua" w:hAnsi="Book Antiqua" w:cs="Times New Roman"/>
          <w:sz w:val="24"/>
          <w:szCs w:val="24"/>
        </w:rPr>
        <w:fldChar w:fldCharType="end"/>
      </w:r>
      <w:r w:rsidR="00FD075C" w:rsidRPr="00FA5C8D">
        <w:rPr>
          <w:rFonts w:ascii="Book Antiqua" w:hAnsi="Book Antiqua" w:cs="Times New Roman"/>
          <w:sz w:val="24"/>
          <w:szCs w:val="24"/>
        </w:rPr>
        <w:t xml:space="preserve">. </w:t>
      </w:r>
      <w:r w:rsidR="007237E3" w:rsidRPr="00FA5C8D">
        <w:rPr>
          <w:rFonts w:ascii="Book Antiqua" w:hAnsi="Book Antiqua" w:cs="Times New Roman"/>
          <w:sz w:val="24"/>
          <w:szCs w:val="24"/>
        </w:rPr>
        <w:t xml:space="preserve">Another limitation is </w:t>
      </w:r>
      <w:r w:rsidR="00BD24C5" w:rsidRPr="00FA5C8D">
        <w:rPr>
          <w:rFonts w:ascii="Book Antiqua" w:hAnsi="Book Antiqua" w:cs="Times New Roman"/>
          <w:sz w:val="24"/>
          <w:szCs w:val="24"/>
        </w:rPr>
        <w:t xml:space="preserve">an </w:t>
      </w:r>
      <w:r w:rsidR="007237E3" w:rsidRPr="00FA5C8D">
        <w:rPr>
          <w:rFonts w:ascii="Book Antiqua" w:hAnsi="Book Antiqua" w:cs="Times New Roman"/>
          <w:sz w:val="24"/>
          <w:szCs w:val="24"/>
        </w:rPr>
        <w:t xml:space="preserve">inability to evaluate adherence to </w:t>
      </w:r>
      <w:r w:rsidR="00B62C25" w:rsidRPr="00FA5C8D">
        <w:rPr>
          <w:rFonts w:ascii="Book Antiqua" w:hAnsi="Book Antiqua" w:cs="Times New Roman"/>
          <w:sz w:val="24"/>
          <w:szCs w:val="24"/>
        </w:rPr>
        <w:t>a GFD</w:t>
      </w:r>
      <w:r w:rsidR="00B9469F" w:rsidRPr="00FA5C8D">
        <w:rPr>
          <w:rFonts w:ascii="Book Antiqua" w:hAnsi="Book Antiqua" w:cs="Times New Roman"/>
          <w:sz w:val="24"/>
          <w:szCs w:val="24"/>
        </w:rPr>
        <w:t xml:space="preserve"> </w:t>
      </w:r>
      <w:r w:rsidR="00264AFB" w:rsidRPr="00FA5C8D">
        <w:rPr>
          <w:rFonts w:ascii="Book Antiqua" w:hAnsi="Book Antiqua" w:cs="Times New Roman"/>
          <w:sz w:val="24"/>
          <w:szCs w:val="24"/>
        </w:rPr>
        <w:t>using</w:t>
      </w:r>
      <w:r w:rsidR="001E58D1" w:rsidRPr="00FA5C8D">
        <w:rPr>
          <w:rFonts w:ascii="Book Antiqua" w:hAnsi="Book Antiqua" w:cs="Times New Roman"/>
          <w:sz w:val="24"/>
          <w:szCs w:val="24"/>
        </w:rPr>
        <w:t xml:space="preserve"> any objective </w:t>
      </w:r>
      <w:r w:rsidR="001E58D1" w:rsidRPr="00FA5C8D">
        <w:rPr>
          <w:rFonts w:ascii="Book Antiqua" w:hAnsi="Book Antiqua" w:cs="Times New Roman"/>
          <w:sz w:val="24"/>
          <w:szCs w:val="24"/>
        </w:rPr>
        <w:lastRenderedPageBreak/>
        <w:t>method</w:t>
      </w:r>
      <w:r w:rsidR="007237E3" w:rsidRPr="00FA5C8D">
        <w:rPr>
          <w:rFonts w:ascii="Book Antiqua" w:hAnsi="Book Antiqua" w:cs="Times New Roman"/>
          <w:sz w:val="24"/>
          <w:szCs w:val="24"/>
        </w:rPr>
        <w:t>. I</w:t>
      </w:r>
      <w:r w:rsidR="00660A92" w:rsidRPr="00FA5C8D">
        <w:rPr>
          <w:rFonts w:ascii="Book Antiqua" w:hAnsi="Book Antiqua" w:cs="Times New Roman"/>
          <w:sz w:val="24"/>
          <w:szCs w:val="24"/>
        </w:rPr>
        <w:t>t</w:t>
      </w:r>
      <w:r w:rsidR="007237E3" w:rsidRPr="00FA5C8D">
        <w:rPr>
          <w:rFonts w:ascii="Book Antiqua" w:hAnsi="Book Antiqua" w:cs="Times New Roman"/>
          <w:sz w:val="24"/>
          <w:szCs w:val="24"/>
        </w:rPr>
        <w:t xml:space="preserve"> is well known that negative s</w:t>
      </w:r>
      <w:r w:rsidR="00660A92" w:rsidRPr="00FA5C8D">
        <w:rPr>
          <w:rFonts w:ascii="Book Antiqua" w:hAnsi="Book Antiqua" w:cs="Times New Roman"/>
          <w:sz w:val="24"/>
          <w:szCs w:val="24"/>
        </w:rPr>
        <w:t>e</w:t>
      </w:r>
      <w:r w:rsidR="007237E3" w:rsidRPr="00FA5C8D">
        <w:rPr>
          <w:rFonts w:ascii="Book Antiqua" w:hAnsi="Book Antiqua" w:cs="Times New Roman"/>
          <w:sz w:val="24"/>
          <w:szCs w:val="24"/>
        </w:rPr>
        <w:t>rology is</w:t>
      </w:r>
      <w:r w:rsidR="002417D4" w:rsidRPr="00FA5C8D">
        <w:rPr>
          <w:rFonts w:ascii="Book Antiqua" w:hAnsi="Book Antiqua" w:cs="Times New Roman"/>
          <w:sz w:val="24"/>
          <w:szCs w:val="24"/>
        </w:rPr>
        <w:t xml:space="preserve"> not</w:t>
      </w:r>
      <w:r w:rsidR="00B9469F" w:rsidRPr="00FA5C8D">
        <w:rPr>
          <w:rFonts w:ascii="Book Antiqua" w:hAnsi="Book Antiqua" w:cs="Times New Roman"/>
          <w:sz w:val="24"/>
          <w:szCs w:val="24"/>
        </w:rPr>
        <w:t xml:space="preserve"> </w:t>
      </w:r>
      <w:r w:rsidR="008934DB" w:rsidRPr="00FA5C8D">
        <w:rPr>
          <w:rFonts w:ascii="Book Antiqua" w:hAnsi="Book Antiqua" w:cs="Times New Roman"/>
          <w:sz w:val="24"/>
          <w:szCs w:val="24"/>
        </w:rPr>
        <w:t xml:space="preserve">a </w:t>
      </w:r>
      <w:r w:rsidR="007237E3" w:rsidRPr="00FA5C8D">
        <w:rPr>
          <w:rFonts w:ascii="Book Antiqua" w:hAnsi="Book Antiqua" w:cs="Times New Roman"/>
          <w:sz w:val="24"/>
          <w:szCs w:val="24"/>
        </w:rPr>
        <w:t xml:space="preserve">reliable marker of adherence to </w:t>
      </w:r>
      <w:r w:rsidR="00646863" w:rsidRPr="00FA5C8D">
        <w:rPr>
          <w:rFonts w:ascii="Book Antiqua" w:hAnsi="Book Antiqua" w:cs="Times New Roman"/>
          <w:sz w:val="24"/>
          <w:szCs w:val="24"/>
        </w:rPr>
        <w:t>a GFD</w:t>
      </w:r>
      <w:r w:rsidR="00185175" w:rsidRPr="00FA5C8D">
        <w:rPr>
          <w:rFonts w:ascii="Book Antiqua" w:hAnsi="Book Antiqua" w:cs="Times New Roman"/>
          <w:sz w:val="24"/>
          <w:szCs w:val="24"/>
        </w:rPr>
        <w:fldChar w:fldCharType="begin"/>
      </w:r>
      <w:r w:rsidR="00872E21" w:rsidRPr="00FA5C8D">
        <w:rPr>
          <w:rFonts w:ascii="Book Antiqua" w:hAnsi="Book Antiqua" w:cs="Times New Roman"/>
          <w:sz w:val="24"/>
          <w:szCs w:val="24"/>
        </w:rPr>
        <w:instrText xml:space="preserve"> ADDIN ZOTERO_ITEM CSL_CITATION {"citationID":"JJw9PmCs","properties":{"formattedCitation":"\\super [27]\\nosupersub{}","plainCitation":"[27]","noteIndex":0},"citationItems":[{"id":1209,"uris":["http://zotero.org/users/4312189/items/EVPTHBXB"],"uri":["http://zotero.org/users/4312189/items/EVPTHBXB"],"itemData":{"id":1209,"type":"article-journal","abstract":"OBJECTIVE: Strict lifelong compliance to a gluten-free diet (GFD) minimizes the long-term risk of mortality, especially from lymphoma, in adult celiac disease (CD). Although serum IgA antitransglutaminase (IgA-tTG-ab), like antiendomysium (IgA-EMA) antibodies, are sensitive and specific screening tests for untreated CD, their reliability as predictors of strict compliance to and dietary transgressions from a GFD is not precisely known. We aimed to address this question in consecutively treated adult celiacs.\nMETHODS: In a cross-sectional study, 95 non-IgA deficient adult (median age: 41 yr) celiacs on a GFD for at least 1 yr (median: 6 yr) were subjected to 1) a dietician-administered inquiry to pinpoint and quantify the number and levels of transgressions (classified as moderate or large, using as a cutoff value the median gluten amount ingested in the overall noncompliant patients of the series) over the previous 2 months, 2) a search for IgA-tTG-ab and -EMA, and 3) perendoscopic duodenal biopsies. The ability of both antibodies to discriminate celiacs with and without detected transgressions was described using receiver operating characteristic curves and quantified as to sensitivity and specificity, according to the level of transgressions.\nRESULTS: Forty (42%) patients strictly adhered to a GFD, 55 (58%) had committed transgressions, classified as moderate (&lt; or = 18 g of gluten/2 months; median number 6) in 27 and large (&gt;18 g; median number 69) in 28. IgA-tTG-ab and -EMA specificity (proportion of correct recognition of strictly compliant celiacs) was 0.97 and 0.98, respectively, and sensitivity (proportion of correct recognition of overall, moderate, and large levels of transgressions) was 0.52, 0.31, and 0.77, and 0.62, 0.37, and 0.86, respectively. IgA-tTG-ab and -EMA titers were correlated (p &lt; 0.001) to transgression levels (r = 0.560 and R = 0.631, respectively) and one to another (p &lt; 0.001) in the whole patient population (r = 0.834, N = 84) as in the noncompliant (r = 0.915, N = 48) group. Specificity and sensitivity of IgA-tTG-ab and IgA-EMA for recognition of total villous atrophy in patients under a GFD were 0.90 and 0.91, and 0.60 and 0.73, respectively.\nCONCLUSIONS: In adult CD patients on a GFD, IgA-tTG-ab are poor predictors of dietary transgressions. Their negativity is a falsely secure marker of strict diet compliance.","container-title":"The American Journal of Gastroenterology","DOI":"10.1111/j.1572-0241.2003.07284.x","ISSN":"0002-9270","issue":"5","journalAbbreviation":"Am. J. Gastroenterol.","language":"eng","note":"PMID: 12809831","page":"1079-1087","source":"PubMed","title":"Reliability of antitransglutaminase antibodies as predictors of gluten-free diet compliance in adult celiac disease","volume":"98","author":[{"family":"Vahedi","given":"Kouroche"},{"family":"Mascart","given":"Françoise"},{"family":"Mary","given":"Jean Yves"},{"family":"Laberenne","given":"Jean Eric"},{"family":"Bouhnik","given":"Yoram"},{"family":"Morin","given":"Marie Christine"},{"family":"Ocmant","given":"Annick"},{"family":"Velly","given":"Christine"},{"family":"Colombel","given":"Jean Frédéric"},{"family":"Matuchansky","given":"Claude"}],"issued":{"date-parts":[["2003",5]]}}}],"schema":"https://github.com/citation-style-language/schema/raw/master/csl-citation.json"} </w:instrText>
      </w:r>
      <w:r w:rsidR="00185175" w:rsidRPr="00FA5C8D">
        <w:rPr>
          <w:rFonts w:ascii="Book Antiqua" w:hAnsi="Book Antiqua" w:cs="Times New Roman"/>
          <w:sz w:val="24"/>
          <w:szCs w:val="24"/>
        </w:rPr>
        <w:fldChar w:fldCharType="separate"/>
      </w:r>
      <w:r w:rsidR="00872E21" w:rsidRPr="00FA5C8D">
        <w:rPr>
          <w:rFonts w:ascii="Book Antiqua" w:hAnsi="Book Antiqua" w:cs="Times New Roman"/>
          <w:sz w:val="24"/>
          <w:szCs w:val="24"/>
          <w:vertAlign w:val="superscript"/>
        </w:rPr>
        <w:t>[27]</w:t>
      </w:r>
      <w:r w:rsidR="00185175" w:rsidRPr="00FA5C8D">
        <w:rPr>
          <w:rFonts w:ascii="Book Antiqua" w:hAnsi="Book Antiqua" w:cs="Times New Roman"/>
          <w:sz w:val="24"/>
          <w:szCs w:val="24"/>
        </w:rPr>
        <w:fldChar w:fldCharType="end"/>
      </w:r>
      <w:r w:rsidR="007237E3" w:rsidRPr="00FA5C8D">
        <w:rPr>
          <w:rFonts w:ascii="Book Antiqua" w:hAnsi="Book Antiqua" w:cs="Times New Roman"/>
          <w:sz w:val="24"/>
          <w:szCs w:val="24"/>
        </w:rPr>
        <w:t xml:space="preserve">. </w:t>
      </w:r>
      <w:r w:rsidR="004965EE" w:rsidRPr="00FA5C8D">
        <w:rPr>
          <w:rFonts w:ascii="Book Antiqua" w:hAnsi="Book Antiqua" w:cs="Times New Roman"/>
          <w:color w:val="000000"/>
          <w:sz w:val="24"/>
          <w:szCs w:val="24"/>
          <w:shd w:val="clear" w:color="auto" w:fill="FFFFFF"/>
        </w:rPr>
        <w:t xml:space="preserve">Consultation with a skilled </w:t>
      </w:r>
      <w:r w:rsidR="00BD24C5" w:rsidRPr="00FA5C8D">
        <w:rPr>
          <w:rFonts w:ascii="Book Antiqua" w:hAnsi="Book Antiqua" w:cs="Times New Roman"/>
          <w:color w:val="000000"/>
          <w:sz w:val="24"/>
          <w:szCs w:val="24"/>
          <w:shd w:val="clear" w:color="auto" w:fill="FFFFFF"/>
        </w:rPr>
        <w:t>dietitian</w:t>
      </w:r>
      <w:r w:rsidR="004965EE" w:rsidRPr="00FA5C8D">
        <w:rPr>
          <w:rFonts w:ascii="Book Antiqua" w:hAnsi="Book Antiqua" w:cs="Times New Roman"/>
          <w:color w:val="000000"/>
          <w:sz w:val="24"/>
          <w:szCs w:val="24"/>
          <w:shd w:val="clear" w:color="auto" w:fill="FFFFFF"/>
        </w:rPr>
        <w:t xml:space="preserve"> is regarded as </w:t>
      </w:r>
      <w:r w:rsidR="008934DB" w:rsidRPr="00FA5C8D">
        <w:rPr>
          <w:rFonts w:ascii="Book Antiqua" w:hAnsi="Book Antiqua" w:cs="Times New Roman"/>
          <w:color w:val="000000"/>
          <w:sz w:val="24"/>
          <w:szCs w:val="24"/>
          <w:shd w:val="clear" w:color="auto" w:fill="FFFFFF"/>
        </w:rPr>
        <w:t>the</w:t>
      </w:r>
      <w:r w:rsidR="004965EE" w:rsidRPr="00FA5C8D">
        <w:rPr>
          <w:rFonts w:ascii="Book Antiqua" w:hAnsi="Book Antiqua" w:cs="Times New Roman"/>
          <w:color w:val="000000"/>
          <w:sz w:val="24"/>
          <w:szCs w:val="24"/>
          <w:shd w:val="clear" w:color="auto" w:fill="FFFFFF"/>
        </w:rPr>
        <w:t xml:space="preserve"> gold standar</w:t>
      </w:r>
      <w:r w:rsidR="00DE71DA" w:rsidRPr="00FA5C8D">
        <w:rPr>
          <w:rFonts w:ascii="Book Antiqua" w:hAnsi="Book Antiqua" w:cs="Times New Roman"/>
          <w:color w:val="000000"/>
          <w:sz w:val="24"/>
          <w:szCs w:val="24"/>
          <w:shd w:val="clear" w:color="auto" w:fill="FFFFFF"/>
        </w:rPr>
        <w:t>d</w:t>
      </w:r>
      <w:r w:rsidR="007239C0" w:rsidRPr="00FA5C8D">
        <w:rPr>
          <w:rFonts w:ascii="Book Antiqua" w:hAnsi="Book Antiqua" w:cs="Times New Roman"/>
          <w:color w:val="000000"/>
          <w:sz w:val="24"/>
          <w:szCs w:val="24"/>
          <w:shd w:val="clear" w:color="auto" w:fill="FFFFFF"/>
        </w:rPr>
        <w:t xml:space="preserve"> </w:t>
      </w:r>
      <w:r w:rsidR="00D04730" w:rsidRPr="00FA5C8D">
        <w:rPr>
          <w:rFonts w:ascii="Book Antiqua" w:hAnsi="Book Antiqua" w:cs="Times New Roman"/>
          <w:color w:val="000000"/>
          <w:sz w:val="24"/>
          <w:szCs w:val="24"/>
          <w:shd w:val="clear" w:color="auto" w:fill="FFFFFF"/>
        </w:rPr>
        <w:t xml:space="preserve">for monitoring adherence to </w:t>
      </w:r>
      <w:r w:rsidR="008934DB" w:rsidRPr="00FA5C8D">
        <w:rPr>
          <w:rFonts w:ascii="Book Antiqua" w:hAnsi="Book Antiqua" w:cs="Times New Roman"/>
          <w:color w:val="000000"/>
          <w:sz w:val="24"/>
          <w:szCs w:val="24"/>
          <w:shd w:val="clear" w:color="auto" w:fill="FFFFFF"/>
        </w:rPr>
        <w:t xml:space="preserve">a </w:t>
      </w:r>
      <w:r w:rsidR="00D04730" w:rsidRPr="00FA5C8D">
        <w:rPr>
          <w:rFonts w:ascii="Book Antiqua" w:hAnsi="Book Antiqua" w:cs="Times New Roman"/>
          <w:color w:val="000000"/>
          <w:sz w:val="24"/>
          <w:szCs w:val="24"/>
          <w:shd w:val="clear" w:color="auto" w:fill="FFFFFF"/>
        </w:rPr>
        <w:t>GFD</w:t>
      </w:r>
      <w:r w:rsidR="00185175" w:rsidRPr="00FA5C8D">
        <w:rPr>
          <w:rFonts w:ascii="Book Antiqua" w:hAnsi="Book Antiqua" w:cs="Times New Roman"/>
          <w:color w:val="000000"/>
          <w:sz w:val="24"/>
          <w:szCs w:val="24"/>
          <w:shd w:val="clear" w:color="auto" w:fill="FFFFFF"/>
        </w:rPr>
        <w:fldChar w:fldCharType="begin"/>
      </w:r>
      <w:r w:rsidR="00872E21" w:rsidRPr="00FA5C8D">
        <w:rPr>
          <w:rFonts w:ascii="Book Antiqua" w:hAnsi="Book Antiqua" w:cs="Times New Roman"/>
          <w:color w:val="000000"/>
          <w:sz w:val="24"/>
          <w:szCs w:val="24"/>
          <w:shd w:val="clear" w:color="auto" w:fill="FFFFFF"/>
        </w:rPr>
        <w:instrText xml:space="preserve"> ADDIN ZOTERO_ITEM CSL_CITATION {"citationID":"G2wGy4px","properties":{"formattedCitation":"\\super [28]\\nosupersub{}","plainCitation":"[28]","noteIndex":0},"citationItems":[{"id":1211,"uris":["http://zotero.org/users/4312189/items/5NSJ3RFZ"],"uri":["http://zotero.org/users/4312189/items/5NSJ3RFZ"],"itemData":{"id":1211,"type":"article-journal","abstract":"The gluten-free diet is currently the only treatment for celiac disease, and patients should be monitored closely by a dietitian who is knowledgeable regarding this diet. Evaluation by a dietitian includes a comprehensive assessment of dietary history, with an emphasis on caloric and micronutrient intake. Patient knowledge of the gluten-free diet is assessed and interpretation of food labels is taught. Identification of micronutrient deficiencies or comorbid gastrointestinal conditions may occur during a comprehensive dietary assessment. In patients with evidence of gluten exposure, a thorough evaluation for cross-contamination is performed.","container-title":"Gastrointestinal Endoscopy Clinics of North America","DOI":"10.1016/j.giec.2012.07.010","ISSN":"1558-1950","issue":"4","journalAbbreviation":"Gastrointest. Endosc. Clin. N. Am.","language":"eng","note":"PMID: 23083994","page":"797-809","source":"PubMed","title":"Nutrition assessment in celiac disease","volume":"22","author":[{"family":"Simpson","given":"Suzanne"},{"family":"Thompson","given":"Tricia"}],"issued":{"date-parts":[["2012",10]]}}}],"schema":"https://github.com/citation-style-language/schema/raw/master/csl-citation.json"}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872E21" w:rsidRPr="00FA5C8D">
        <w:rPr>
          <w:rFonts w:ascii="Book Antiqua" w:hAnsi="Book Antiqua" w:cs="Times New Roman"/>
          <w:sz w:val="24"/>
          <w:szCs w:val="24"/>
          <w:vertAlign w:val="superscript"/>
        </w:rPr>
        <w:t>[28]</w:t>
      </w:r>
      <w:r w:rsidR="00185175" w:rsidRPr="00FA5C8D">
        <w:rPr>
          <w:rFonts w:ascii="Book Antiqua" w:hAnsi="Book Antiqua" w:cs="Times New Roman"/>
          <w:color w:val="000000"/>
          <w:sz w:val="24"/>
          <w:szCs w:val="24"/>
          <w:shd w:val="clear" w:color="auto" w:fill="FFFFFF"/>
        </w:rPr>
        <w:fldChar w:fldCharType="end"/>
      </w:r>
      <w:r w:rsidR="004965EE" w:rsidRPr="00FA5C8D">
        <w:rPr>
          <w:rFonts w:ascii="Book Antiqua" w:hAnsi="Book Antiqua" w:cs="Times New Roman"/>
          <w:sz w:val="24"/>
          <w:szCs w:val="24"/>
        </w:rPr>
        <w:t>.</w:t>
      </w:r>
      <w:r w:rsidR="007239C0" w:rsidRPr="00FA5C8D">
        <w:rPr>
          <w:rFonts w:ascii="Book Antiqua" w:hAnsi="Book Antiqua" w:cs="Times New Roman"/>
          <w:sz w:val="24"/>
          <w:szCs w:val="24"/>
        </w:rPr>
        <w:t xml:space="preserve"> </w:t>
      </w:r>
      <w:r w:rsidR="008934DB" w:rsidRPr="00FA5C8D">
        <w:rPr>
          <w:rFonts w:ascii="Book Antiqua" w:hAnsi="Book Antiqua" w:cs="Times New Roman"/>
          <w:sz w:val="24"/>
          <w:szCs w:val="24"/>
        </w:rPr>
        <w:t xml:space="preserve">The </w:t>
      </w:r>
      <w:r w:rsidR="008934DB" w:rsidRPr="00FA5C8D">
        <w:rPr>
          <w:rFonts w:ascii="Book Antiqua" w:hAnsi="Book Antiqua" w:cs="Times New Roman"/>
          <w:color w:val="000000"/>
          <w:sz w:val="24"/>
          <w:szCs w:val="24"/>
          <w:shd w:val="clear" w:color="auto" w:fill="FFFFFF"/>
        </w:rPr>
        <w:t>p</w:t>
      </w:r>
      <w:r w:rsidR="00426580" w:rsidRPr="00FA5C8D">
        <w:rPr>
          <w:rFonts w:ascii="Book Antiqua" w:hAnsi="Book Antiqua" w:cs="Times New Roman"/>
          <w:color w:val="000000"/>
          <w:sz w:val="24"/>
          <w:szCs w:val="24"/>
          <w:shd w:val="clear" w:color="auto" w:fill="FFFFFF"/>
        </w:rPr>
        <w:t>ositivity of gliadin</w:t>
      </w:r>
      <w:r w:rsidR="00346790" w:rsidRPr="00FA5C8D">
        <w:rPr>
          <w:rFonts w:ascii="Book Antiqua" w:hAnsi="Book Antiqua" w:cs="Times New Roman"/>
          <w:color w:val="000000"/>
          <w:sz w:val="24"/>
          <w:szCs w:val="24"/>
          <w:shd w:val="clear" w:color="auto" w:fill="FFFFFF"/>
        </w:rPr>
        <w:t>-</w:t>
      </w:r>
      <w:r w:rsidR="00426580" w:rsidRPr="00FA5C8D">
        <w:rPr>
          <w:rFonts w:ascii="Book Antiqua" w:hAnsi="Book Antiqua" w:cs="Times New Roman"/>
          <w:color w:val="000000"/>
          <w:sz w:val="24"/>
          <w:szCs w:val="24"/>
          <w:shd w:val="clear" w:color="auto" w:fill="FFFFFF"/>
        </w:rPr>
        <w:t>33</w:t>
      </w:r>
      <w:r w:rsidR="00346790" w:rsidRPr="00FA5C8D">
        <w:rPr>
          <w:rFonts w:ascii="Book Antiqua" w:hAnsi="Book Antiqua" w:cs="Times New Roman"/>
          <w:color w:val="000000"/>
          <w:sz w:val="24"/>
          <w:szCs w:val="24"/>
          <w:shd w:val="clear" w:color="auto" w:fill="FFFFFF"/>
        </w:rPr>
        <w:t>-</w:t>
      </w:r>
      <w:r w:rsidR="00426580" w:rsidRPr="00FA5C8D">
        <w:rPr>
          <w:rFonts w:ascii="Book Antiqua" w:hAnsi="Book Antiqua" w:cs="Times New Roman"/>
          <w:color w:val="000000"/>
          <w:sz w:val="24"/>
          <w:szCs w:val="24"/>
          <w:shd w:val="clear" w:color="auto" w:fill="FFFFFF"/>
        </w:rPr>
        <w:t xml:space="preserve">mer </w:t>
      </w:r>
      <w:r w:rsidR="001410F3" w:rsidRPr="00FA5C8D">
        <w:rPr>
          <w:rFonts w:ascii="Book Antiqua" w:hAnsi="Book Antiqua" w:cs="Times New Roman"/>
          <w:color w:val="000000"/>
          <w:sz w:val="24"/>
          <w:szCs w:val="24"/>
          <w:shd w:val="clear" w:color="auto" w:fill="FFFFFF"/>
        </w:rPr>
        <w:t xml:space="preserve">or gluten immunogenic peptides </w:t>
      </w:r>
      <w:r w:rsidR="00426580" w:rsidRPr="00FA5C8D">
        <w:rPr>
          <w:rFonts w:ascii="Book Antiqua" w:hAnsi="Book Antiqua" w:cs="Times New Roman"/>
          <w:color w:val="000000"/>
          <w:sz w:val="24"/>
          <w:szCs w:val="24"/>
          <w:shd w:val="clear" w:color="auto" w:fill="FFFFFF"/>
        </w:rPr>
        <w:t xml:space="preserve">in stool </w:t>
      </w:r>
      <w:r w:rsidR="001410F3" w:rsidRPr="00FA5C8D">
        <w:rPr>
          <w:rFonts w:ascii="Book Antiqua" w:hAnsi="Book Antiqua" w:cs="Times New Roman"/>
          <w:color w:val="000000"/>
          <w:sz w:val="24"/>
          <w:szCs w:val="24"/>
          <w:shd w:val="clear" w:color="auto" w:fill="FFFFFF"/>
        </w:rPr>
        <w:t>are</w:t>
      </w:r>
      <w:r w:rsidR="00426580" w:rsidRPr="00FA5C8D">
        <w:rPr>
          <w:rFonts w:ascii="Book Antiqua" w:hAnsi="Book Antiqua" w:cs="Times New Roman"/>
          <w:color w:val="000000"/>
          <w:sz w:val="24"/>
          <w:szCs w:val="24"/>
          <w:shd w:val="clear" w:color="auto" w:fill="FFFFFF"/>
        </w:rPr>
        <w:t xml:space="preserve"> good marker</w:t>
      </w:r>
      <w:r w:rsidR="001410F3" w:rsidRPr="00FA5C8D">
        <w:rPr>
          <w:rFonts w:ascii="Book Antiqua" w:hAnsi="Book Antiqua" w:cs="Times New Roman"/>
          <w:color w:val="000000"/>
          <w:sz w:val="24"/>
          <w:szCs w:val="24"/>
          <w:shd w:val="clear" w:color="auto" w:fill="FFFFFF"/>
        </w:rPr>
        <w:t>s</w:t>
      </w:r>
      <w:r w:rsidR="00426580" w:rsidRPr="00FA5C8D">
        <w:rPr>
          <w:rFonts w:ascii="Book Antiqua" w:hAnsi="Book Antiqua" w:cs="Times New Roman"/>
          <w:color w:val="000000"/>
          <w:sz w:val="24"/>
          <w:szCs w:val="24"/>
          <w:shd w:val="clear" w:color="auto" w:fill="FFFFFF"/>
        </w:rPr>
        <w:t xml:space="preserve"> of ongoing </w:t>
      </w:r>
      <w:r w:rsidR="00C35FC6" w:rsidRPr="00FA5C8D">
        <w:rPr>
          <w:rFonts w:ascii="Book Antiqua" w:hAnsi="Book Antiqua" w:cs="Times New Roman"/>
          <w:color w:val="000000"/>
          <w:sz w:val="24"/>
          <w:szCs w:val="24"/>
          <w:shd w:val="clear" w:color="auto" w:fill="FFFFFF"/>
        </w:rPr>
        <w:t xml:space="preserve">gluten </w:t>
      </w:r>
      <w:r w:rsidR="00426580" w:rsidRPr="00FA5C8D">
        <w:rPr>
          <w:rFonts w:ascii="Book Antiqua" w:hAnsi="Book Antiqua" w:cs="Times New Roman"/>
          <w:color w:val="000000"/>
          <w:sz w:val="24"/>
          <w:szCs w:val="24"/>
          <w:shd w:val="clear" w:color="auto" w:fill="FFFFFF"/>
        </w:rPr>
        <w:t>consumption</w:t>
      </w:r>
      <w:r w:rsidR="00185175" w:rsidRPr="00FA5C8D">
        <w:rPr>
          <w:rFonts w:ascii="Book Antiqua" w:hAnsi="Book Antiqua" w:cs="Times New Roman"/>
          <w:color w:val="000000"/>
          <w:sz w:val="24"/>
          <w:szCs w:val="24"/>
          <w:shd w:val="clear" w:color="auto" w:fill="FFFFFF"/>
        </w:rPr>
        <w:fldChar w:fldCharType="begin"/>
      </w:r>
      <w:r w:rsidR="00872E21" w:rsidRPr="00FA5C8D">
        <w:rPr>
          <w:rFonts w:ascii="Book Antiqua" w:hAnsi="Book Antiqua" w:cs="Times New Roman"/>
          <w:color w:val="000000"/>
          <w:sz w:val="24"/>
          <w:szCs w:val="24"/>
          <w:shd w:val="clear" w:color="auto" w:fill="FFFFFF"/>
        </w:rPr>
        <w:instrText xml:space="preserve"> ADDIN ZOTERO_ITEM CSL_CITATION {"citationID":"i0gZfwcw","properties":{"formattedCitation":"\\super [29,30]\\nosupersub{}","plainCitation":"[29,30]","noteIndex":0},"citationItems":[{"id":1068,"uris":["http://zotero.org/users/4312189/items/ELVTUTTX"],"uri":["http://zotero.org/users/4312189/items/ELVTUTTX"],"itemData":{"id":1068,"type":"article-journal","abstract":"Background: Treatment for coeliac disease is a lifelong strict gluten-free diet. Although guidelines recommend regular follow-up with dietary interviews and coeliac serology, these methods may be inaccurate. Aim: To evaluate the usefulness of faecal gluten immunogenic peptides to support the diagnosis and to determine the adherence to the gluten-free diet in coeliac children. Methods: Multicentre prospective observational study including 64 coeliac children. Faecal gluten peptides, and tissue transglutaminase and deamidated gliadin peptide antibodies were analyzed at diagnosis, and 6, 12 and 24 months thereafter. Gluten consumption was estimated from gluten peptide levels. Results: Most children (97%) had detectable gluten peptides at diagnosis. On a gluten-free diet, the rate of gluten peptides increased from 13% at 6 months to 25% at 24 months. Mean estimated gluten exposure dropped from 5543 mg/d at diagnosis to 144 mg/d at 6 months, then increased to 606 mg/d by 24 months. In contrast, deamidated gliadin peptide antibodies normalised and only 20% had elevated tissue transglutaminase antibody by 24 months. The elevation of tissue transglutaminase antibody was more prolonged in patients with detectable gluten peptides (P &lt; 0.05). Nevertheless, absolute levels of tissue transglutaminase antibody had low sensitivity to identify patients with detectable gluten peptides (P &gt; 0.1). Dietitian assessment was only moderately correlated with gluten peptide detection (κ = 0.5). Conclusions: Faecal gluten peptides testing may guide treatment of coeliac disease prior to diagnosis and during the assessment diet adherence. Further studies could determine if early identification of gluten exposure reduces the need for expensive/invasive investigations for non-responsive coeliac disease. ClinicalTrials.gov Number: NCT02711397. © 2019 The Authors. Alimentary Pharmacology &amp; Therapeutics Published by John Wiley &amp; Sons Ltd.","archive":"Scopus","container-title":"Alimentary Pharmacology and Therapeutics","DOI":"10.1111/apt.15277","issue":"12","page":"1484-1492","source":"Scopus","title":"Prospective longitudinal study: use of faecal gluten immunogenic peptides to monitor children diagnosed with coeliac disease during transition to a gluten-free diet","title-short":"Prospective longitudinal study","volume":"49","author":[{"family":"Comino","given":"I."},{"family":"Segura","given":"V."},{"family":"Ortigosa","given":"L."},{"family":"Espín","given":"B."},{"family":"Castillejo","given":"G."},{"family":"Garrote","given":"J.A."},{"family":"Sierra","given":"C."},{"family":"Millán","given":"A."},{"family":"Ribes-Koninckx","given":"C."},{"family":"Román","given":"E."},{"family":"Rodríguez-Herrera","given":"A."},{"family":"Díaz","given":"J."},{"family":"Silvester","given":"J.A."},{"family":"Cebolla","given":"Á."},{"family":"Sousa","given":"C."}],"issued":{"date-parts":[["2019"]]}}},{"id":1213,"uris":["http://zotero.org/users/4312189/items/TW3NV9PM"],"uri":["http://zotero.org/users/4312189/items/TW3NV9PM"],"itemData":{"id":1213,"type":"article-journal","abstract":"BACKGROUND: Certain immunotoxic peptides from gluten are resistant to gastrointestinal digestion and can interact with celiac-patient factors to trigger an immunologic response. A gluten-free diet (GFD) is the only effective treatment for celiac disease (CD), and its compliance should be monitored to avoid cumulative damage. However, practical methods to monitor diet compliance and to detect the origin of an outbreak of celiac clinical symptoms are not available.\nOBJECTIVE: We assessed the capacity to determine the gluten ingestion and monitor GFD compliance in celiac patients by the detection of gluten and gliadin 33-mer equivalent peptidic epitopes (33EPs) in human feces.\nDESIGN: Fecal samples were obtained from healthy subjects, celiac patients, and subjects with other intestinal pathologies with different diet conditions. Gluten and 33EPs were analyzed by using immunochromatography and competitive ELISA with a highly sensitive antigliadin 33-mer monoclonal antibody.\nRESULTS: The resistance of a significant part of 33EPs to gastrointestinal digestion was shown in vitro and in vivo. We were able to detect gluten peptides in feces of healthy individuals after consumption of a normal gluten-containing diet, after consumption of a GFD combined with controlled ingestion of a fixed amount of gluten, and after ingestion of &lt;100 mg gluten/d. These methods also allowed us to detect GFD infringement in CD patients.\nCONCLUSIONS: Gluten-derived peptides could be sensitively detected in human feces in positive correlation with the amount of gluten intake. These techniques may serve to show GFD compliance or infringement and be used in clinical research in strategies to eliminate gluten immunotoxic peptides during digestion. This trial was registered at clinicaltrials.gov as NCT01478867.","container-title":"The American Journal of Clinical Nutrition","DOI":"10.3945/ajcn.111.026708","ISSN":"1938-3207","issue":"3","journalAbbreviation":"Am. J. Clin. Nutr.","language":"eng","note":"PMID: 22258271\nPMCID: PMC3278243","page":"670-677","source":"PubMed","title":"Monitoring of gluten-free diet compliance in celiac patients by assessment of gliadin 33-mer equivalent epitopes in feces","volume":"95","author":[{"family":"Comino","given":"Isabel"},{"family":"Real","given":"Ana"},{"family":"Vivas","given":"Santiago"},{"family":"Síglez","given":"Miguel Ángel"},{"family":"Caminero","given":"Alberto"},{"family":"Nistal","given":"Esther"},{"family":"Casqueiro","given":"Javier"},{"family":"Rodríguez-Herrera","given":"Alfonso"},{"family":"Cebolla","given":"Angel"},{"family":"Sousa","given":"Carolina"}],"issued":{"date-parts":[["2012",3]]}}}],"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872E21" w:rsidRPr="00FA5C8D">
        <w:rPr>
          <w:rFonts w:ascii="Book Antiqua" w:hAnsi="Book Antiqua" w:cs="Times New Roman"/>
          <w:sz w:val="24"/>
          <w:szCs w:val="24"/>
          <w:vertAlign w:val="superscript"/>
        </w:rPr>
        <w:t>[29,30]</w:t>
      </w:r>
      <w:r w:rsidR="00185175" w:rsidRPr="00FA5C8D">
        <w:rPr>
          <w:rFonts w:ascii="Book Antiqua" w:hAnsi="Book Antiqua" w:cs="Times New Roman"/>
          <w:color w:val="000000"/>
          <w:sz w:val="24"/>
          <w:szCs w:val="24"/>
          <w:shd w:val="clear" w:color="auto" w:fill="FFFFFF"/>
        </w:rPr>
        <w:fldChar w:fldCharType="end"/>
      </w:r>
      <w:r w:rsidR="004B15EC" w:rsidRPr="00FA5C8D">
        <w:rPr>
          <w:rFonts w:ascii="Book Antiqua" w:hAnsi="Book Antiqua" w:cs="Times New Roman"/>
          <w:color w:val="000000"/>
          <w:sz w:val="24"/>
          <w:szCs w:val="24"/>
          <w:shd w:val="clear" w:color="auto" w:fill="FFFFFF"/>
        </w:rPr>
        <w:t>;</w:t>
      </w:r>
      <w:r w:rsidR="007239C0" w:rsidRPr="00FA5C8D">
        <w:rPr>
          <w:rFonts w:ascii="Book Antiqua" w:hAnsi="Book Antiqua" w:cs="Times New Roman"/>
          <w:color w:val="000000"/>
          <w:sz w:val="24"/>
          <w:szCs w:val="24"/>
          <w:shd w:val="clear" w:color="auto" w:fill="FFFFFF"/>
        </w:rPr>
        <w:t xml:space="preserve"> </w:t>
      </w:r>
      <w:r w:rsidR="004B15EC" w:rsidRPr="00FA5C8D">
        <w:rPr>
          <w:rFonts w:ascii="Book Antiqua" w:hAnsi="Book Antiqua" w:cs="Times New Roman"/>
          <w:color w:val="000000"/>
          <w:sz w:val="24"/>
          <w:szCs w:val="24"/>
          <w:shd w:val="clear" w:color="auto" w:fill="FFFFFF"/>
        </w:rPr>
        <w:t xml:space="preserve">however, </w:t>
      </w:r>
      <w:r w:rsidR="00426580" w:rsidRPr="00FA5C8D">
        <w:rPr>
          <w:rFonts w:ascii="Book Antiqua" w:hAnsi="Book Antiqua" w:cs="Times New Roman"/>
          <w:color w:val="000000"/>
          <w:sz w:val="24"/>
          <w:szCs w:val="24"/>
          <w:shd w:val="clear" w:color="auto" w:fill="FFFFFF"/>
        </w:rPr>
        <w:t xml:space="preserve">it is not widely available and </w:t>
      </w:r>
      <w:r w:rsidR="00564190" w:rsidRPr="00FA5C8D">
        <w:rPr>
          <w:rFonts w:ascii="Book Antiqua" w:hAnsi="Book Antiqua" w:cs="Times New Roman"/>
          <w:color w:val="000000"/>
          <w:sz w:val="24"/>
          <w:szCs w:val="24"/>
          <w:shd w:val="clear" w:color="auto" w:fill="FFFFFF"/>
        </w:rPr>
        <w:t xml:space="preserve">is </w:t>
      </w:r>
      <w:r w:rsidR="00426580" w:rsidRPr="00FA5C8D">
        <w:rPr>
          <w:rFonts w:ascii="Book Antiqua" w:hAnsi="Book Antiqua" w:cs="Times New Roman"/>
          <w:color w:val="000000"/>
          <w:sz w:val="24"/>
          <w:szCs w:val="24"/>
          <w:shd w:val="clear" w:color="auto" w:fill="FFFFFF"/>
        </w:rPr>
        <w:t xml:space="preserve">able to evaluate only consumption of gluten in </w:t>
      </w:r>
      <w:r w:rsidR="00C35FC6" w:rsidRPr="00FA5C8D">
        <w:rPr>
          <w:rFonts w:ascii="Book Antiqua" w:hAnsi="Book Antiqua" w:cs="Times New Roman"/>
          <w:color w:val="000000"/>
          <w:sz w:val="24"/>
          <w:szCs w:val="24"/>
          <w:shd w:val="clear" w:color="auto" w:fill="FFFFFF"/>
        </w:rPr>
        <w:t xml:space="preserve">the </w:t>
      </w:r>
      <w:r w:rsidR="00426580" w:rsidRPr="00FA5C8D">
        <w:rPr>
          <w:rFonts w:ascii="Book Antiqua" w:hAnsi="Book Antiqua" w:cs="Times New Roman"/>
          <w:color w:val="000000"/>
          <w:sz w:val="24"/>
          <w:szCs w:val="24"/>
          <w:shd w:val="clear" w:color="auto" w:fill="FFFFFF"/>
        </w:rPr>
        <w:t xml:space="preserve">last few days </w:t>
      </w:r>
      <w:r w:rsidR="00564190" w:rsidRPr="00FA5C8D">
        <w:rPr>
          <w:rFonts w:ascii="Book Antiqua" w:hAnsi="Book Antiqua" w:cs="Times New Roman"/>
          <w:color w:val="000000"/>
          <w:sz w:val="24"/>
          <w:szCs w:val="24"/>
          <w:shd w:val="clear" w:color="auto" w:fill="FFFFFF"/>
        </w:rPr>
        <w:t>prior to</w:t>
      </w:r>
      <w:r w:rsidR="007239C0" w:rsidRPr="00FA5C8D">
        <w:rPr>
          <w:rFonts w:ascii="Book Antiqua" w:hAnsi="Book Antiqua" w:cs="Times New Roman"/>
          <w:color w:val="000000"/>
          <w:sz w:val="24"/>
          <w:szCs w:val="24"/>
          <w:shd w:val="clear" w:color="auto" w:fill="FFFFFF"/>
        </w:rPr>
        <w:t xml:space="preserve"> </w:t>
      </w:r>
      <w:r w:rsidR="00426580" w:rsidRPr="00FA5C8D">
        <w:rPr>
          <w:rFonts w:ascii="Book Antiqua" w:hAnsi="Book Antiqua" w:cs="Times New Roman"/>
          <w:color w:val="000000"/>
          <w:sz w:val="24"/>
          <w:szCs w:val="24"/>
          <w:shd w:val="clear" w:color="auto" w:fill="FFFFFF"/>
        </w:rPr>
        <w:t xml:space="preserve">the examination. </w:t>
      </w:r>
      <w:r w:rsidR="006446D4" w:rsidRPr="00FA5C8D">
        <w:rPr>
          <w:rFonts w:ascii="Book Antiqua" w:hAnsi="Book Antiqua" w:cs="Times New Roman"/>
          <w:color w:val="000000"/>
          <w:sz w:val="24"/>
          <w:szCs w:val="24"/>
          <w:shd w:val="clear" w:color="auto" w:fill="FFFFFF"/>
        </w:rPr>
        <w:t>Any objective method for long</w:t>
      </w:r>
      <w:r w:rsidR="006C6778" w:rsidRPr="00FA5C8D">
        <w:rPr>
          <w:rFonts w:ascii="Book Antiqua" w:hAnsi="Book Antiqua" w:cs="Times New Roman"/>
          <w:color w:val="000000"/>
          <w:sz w:val="24"/>
          <w:szCs w:val="24"/>
          <w:shd w:val="clear" w:color="auto" w:fill="FFFFFF"/>
        </w:rPr>
        <w:t>-</w:t>
      </w:r>
      <w:r w:rsidR="006446D4" w:rsidRPr="00FA5C8D">
        <w:rPr>
          <w:rFonts w:ascii="Book Antiqua" w:hAnsi="Book Antiqua" w:cs="Times New Roman"/>
          <w:color w:val="000000"/>
          <w:sz w:val="24"/>
          <w:szCs w:val="24"/>
          <w:shd w:val="clear" w:color="auto" w:fill="FFFFFF"/>
        </w:rPr>
        <w:t xml:space="preserve">term </w:t>
      </w:r>
      <w:r w:rsidR="006C6778" w:rsidRPr="00FA5C8D">
        <w:rPr>
          <w:rFonts w:ascii="Book Antiqua" w:hAnsi="Book Antiqua" w:cs="Times New Roman"/>
          <w:color w:val="000000"/>
          <w:sz w:val="24"/>
          <w:szCs w:val="24"/>
          <w:shd w:val="clear" w:color="auto" w:fill="FFFFFF"/>
        </w:rPr>
        <w:t>GFD</w:t>
      </w:r>
      <w:r w:rsidR="006446D4" w:rsidRPr="00FA5C8D">
        <w:rPr>
          <w:rFonts w:ascii="Book Antiqua" w:hAnsi="Book Antiqua" w:cs="Times New Roman"/>
          <w:color w:val="000000"/>
          <w:sz w:val="24"/>
          <w:szCs w:val="24"/>
          <w:shd w:val="clear" w:color="auto" w:fill="FFFFFF"/>
        </w:rPr>
        <w:t xml:space="preserve"> evaluation could theoretically improve </w:t>
      </w:r>
      <w:r w:rsidR="00B77863" w:rsidRPr="00FA5C8D">
        <w:rPr>
          <w:rFonts w:ascii="Book Antiqua" w:hAnsi="Book Antiqua" w:cs="Times New Roman"/>
          <w:color w:val="000000"/>
          <w:sz w:val="24"/>
          <w:szCs w:val="24"/>
          <w:shd w:val="clear" w:color="auto" w:fill="FFFFFF"/>
        </w:rPr>
        <w:t xml:space="preserve">the </w:t>
      </w:r>
      <w:r w:rsidR="006446D4" w:rsidRPr="00FA5C8D">
        <w:rPr>
          <w:rFonts w:ascii="Book Antiqua" w:hAnsi="Book Antiqua" w:cs="Times New Roman"/>
          <w:color w:val="000000"/>
          <w:sz w:val="24"/>
          <w:szCs w:val="24"/>
          <w:shd w:val="clear" w:color="auto" w:fill="FFFFFF"/>
        </w:rPr>
        <w:t>result of all studies on this topic</w:t>
      </w:r>
      <w:r w:rsidR="003D00C1" w:rsidRPr="00FA5C8D">
        <w:rPr>
          <w:rFonts w:ascii="Book Antiqua" w:hAnsi="Book Antiqua" w:cs="Times New Roman"/>
          <w:color w:val="000000"/>
          <w:sz w:val="24"/>
          <w:szCs w:val="24"/>
          <w:shd w:val="clear" w:color="auto" w:fill="FFFFFF"/>
        </w:rPr>
        <w:t xml:space="preserve"> and patient management</w:t>
      </w:r>
      <w:r w:rsidR="00185175" w:rsidRPr="00FA5C8D">
        <w:rPr>
          <w:rFonts w:ascii="Book Antiqua" w:hAnsi="Book Antiqua" w:cs="Times New Roman"/>
          <w:color w:val="000000"/>
          <w:sz w:val="24"/>
          <w:szCs w:val="24"/>
          <w:shd w:val="clear" w:color="auto" w:fill="FFFFFF"/>
        </w:rPr>
        <w:fldChar w:fldCharType="begin"/>
      </w:r>
      <w:r w:rsidR="00872E21" w:rsidRPr="00FA5C8D">
        <w:rPr>
          <w:rFonts w:ascii="Book Antiqua" w:hAnsi="Book Antiqua" w:cs="Times New Roman"/>
          <w:color w:val="000000"/>
          <w:sz w:val="24"/>
          <w:szCs w:val="24"/>
          <w:shd w:val="clear" w:color="auto" w:fill="FFFFFF"/>
        </w:rPr>
        <w:instrText xml:space="preserve"> ADDIN ZOTERO_ITEM CSL_CITATION {"citationID":"D06YXA3Q","properties":{"formattedCitation":"\\super [31]\\nosupersub{}","plainCitation":"[31]","noteIndex":0},"citationItems":[{"id":1227,"uris":["http://zotero.org/users/4312189/items/P8QSDFJF"],"uri":["http://zotero.org/users/4312189/items/P8QSDFJF"],"itemData":{"id":1227,"type":"article-journal","abstract":"OBJECTIVES: Treatment for celiac disease (CD) is a lifelong strict gluten-free diet (GFD). Patients should be followed-up with dietary interviews and serology as CD markers to ensure adherence to the diet. However, none of these methods offer an accurate measure of dietary compliance. Our aim was to evaluate the measurement of gluten immunogenic peptides (GIP) in stools as a marker of GFD adherence in CD patients and compare it with traditional methods of GFD monitoring.\nMETHODS: We performed a prospective, nonrandomized, multicenter study including 188 CD patients on GFD and 84 healthy controls. Subjects were given a dietary questionnaire and fecal GIP quantified by enzyme-linked immunosorbent assay (ELISA). Serological anti-tissue transglutaminase (anti-tTG) IgA and anti-deamidated gliadin peptide (anti-DGP) IgA antibodies were measured simultaneously.\nRESULTS: Of the 188 celiac patients, 56 (29.8%) had detectable GIP levels in stools. There was significant association between age and GIP in stools that revealed increasing dietary transgressions with advancing age (39.2% in subjects ≥13 years old) and with gender in certain age groups (60% in men ≥13 years old). No association was found between fecal GIP and dietary questionnaire or anti-tTG antibodies. However, association was detected between GIP and anti-DGP antibodies, although 46 of the 53 GIP stool-positive patients were negative for anti-DGP.\nCONCLUSIONS: Detection of gluten peptides in stools reveals limitations of traditional methods for monitoring GFD in celiac patients. The GIP ELISA enables direct and quantitative assessment of gluten exposure early after ingestion and could aid in the diagnosis and clinical management of nonresponsive CD and refractory CD. Trial registration number NCT02711397.","container-title":"The American Journal of Gastroenterology","DOI":"10.1038/ajg.2016.439","ISSN":"1572-0241","issue":"10","journalAbbreviation":"Am. J. Gastroenterol.","language":"eng","note":"PMID: 27644734\nPMCID: PMC5059698","page":"1456-1465","source":"PubMed","title":"Fecal Gluten Peptides Reveal Limitations of Serological Tests and Food Questionnaires for Monitoring Gluten-Free Diet in Celiac Disease Patients","volume":"111","author":[{"family":"Comino","given":"Isabel"},{"family":"Fernández-Bañares","given":"Fernando"},{"family":"Esteve","given":"María"},{"family":"Ortigosa","given":"Luís"},{"family":"Castillejo","given":"Gemma"},{"family":"Fambuena","given":"Blanca"},{"family":"Ribes-Koninckx","given":"Carmen"},{"family":"Sierra","given":"Carlos"},{"family":"Rodríguez-Herrera","given":"Alfonso"},{"family":"Salazar","given":"José Carlos"},{"family":"Caunedo","given":"Ángel"},{"family":"Marugán-Miguelsanz","given":"J. M."},{"family":"Garrote","given":"José Antonio"},{"family":"Vivas","given":"Santiago"},{"family":"Lo Iacono","given":"Oreste"},{"family":"Nuñez","given":"Alejandro"},{"family":"Vaquero","given":"Luis"},{"family":"Vegas","given":"Ana María"},{"family":"Crespo","given":"Laura"},{"family":"Fernández-Salazar","given":"Luis"},{"family":"Arranz","given":"Eduardo"},{"family":"Jiménez-García","given":"Victoria Alejandra"},{"family":"Antonio Montes-Cano","given":"Marco"},{"family":"Espín","given":"Beatriz"},{"family":"Galera","given":"Ana"},{"family":"Valverde","given":"Justo"},{"family":"Girón","given":"Francisco José"},{"family":"Bolonio","given":"Miguel"},{"family":"Millán","given":"Antonio"},{"family":"Cerezo","given":"Francesc Martínez"},{"family":"Guajardo","given":"César"},{"family":"Alberto","given":"José Ramón"},{"family":"Rosinach","given":"Mercé"},{"family":"Segura","given":"Verónica"},{"family":"León","given":"Francisco"},{"family":"Marinich","given":"Jorge"},{"family":"Muñoz-Suano","given":"Alba"},{"family":"Romero-Gómez","given":"Manuel"},{"family":"Cebolla","given":"Ángel"},{"family":"Sousa","given":"Carolina"}],"issued":{"date-parts":[["2016",10]]}}}],"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872E21" w:rsidRPr="00FA5C8D">
        <w:rPr>
          <w:rFonts w:ascii="Book Antiqua" w:hAnsi="Book Antiqua" w:cs="Times New Roman"/>
          <w:sz w:val="24"/>
          <w:szCs w:val="24"/>
          <w:vertAlign w:val="superscript"/>
        </w:rPr>
        <w:t>[31]</w:t>
      </w:r>
      <w:r w:rsidR="00185175" w:rsidRPr="00FA5C8D">
        <w:rPr>
          <w:rFonts w:ascii="Book Antiqua" w:hAnsi="Book Antiqua" w:cs="Times New Roman"/>
          <w:color w:val="000000"/>
          <w:sz w:val="24"/>
          <w:szCs w:val="24"/>
          <w:shd w:val="clear" w:color="auto" w:fill="FFFFFF"/>
        </w:rPr>
        <w:fldChar w:fldCharType="end"/>
      </w:r>
      <w:r w:rsidR="006446D4" w:rsidRPr="00FA5C8D">
        <w:rPr>
          <w:rFonts w:ascii="Book Antiqua" w:hAnsi="Book Antiqua" w:cs="Times New Roman"/>
          <w:color w:val="000000"/>
          <w:sz w:val="24"/>
          <w:szCs w:val="24"/>
          <w:shd w:val="clear" w:color="auto" w:fill="FFFFFF"/>
        </w:rPr>
        <w:t xml:space="preserve">. </w:t>
      </w:r>
    </w:p>
    <w:p w14:paraId="64C74670" w14:textId="77777777" w:rsidR="00ED5CC2" w:rsidRPr="00FA5C8D" w:rsidRDefault="00ED5CC2" w:rsidP="00FA5C8D">
      <w:pPr>
        <w:snapToGrid w:val="0"/>
        <w:spacing w:after="0" w:line="360" w:lineRule="auto"/>
        <w:ind w:firstLineChars="100" w:firstLine="240"/>
        <w:jc w:val="both"/>
        <w:rPr>
          <w:rFonts w:ascii="Book Antiqua" w:hAnsi="Book Antiqua" w:cs="Times New Roman"/>
          <w:color w:val="000000"/>
          <w:sz w:val="24"/>
          <w:szCs w:val="24"/>
          <w:shd w:val="clear" w:color="auto" w:fill="FFFFFF"/>
        </w:rPr>
      </w:pPr>
      <w:r w:rsidRPr="00FA5C8D">
        <w:rPr>
          <w:rFonts w:ascii="Book Antiqua" w:hAnsi="Book Antiqua" w:cs="Times New Roman"/>
          <w:color w:val="000000"/>
          <w:sz w:val="24"/>
          <w:szCs w:val="24"/>
          <w:shd w:val="clear" w:color="auto" w:fill="FFFFFF"/>
        </w:rPr>
        <w:t>Relatively higher prevalence of any symptom despite adherence to GFD may be caused by some overlap of CD and functional disorders in patients consenting with invasive examination.</w:t>
      </w:r>
      <w:r w:rsidR="00E947AA"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Nevertheless</w:t>
      </w:r>
      <w:r w:rsidR="006D5A53" w:rsidRPr="00FA5C8D">
        <w:rPr>
          <w:rFonts w:ascii="Book Antiqua" w:hAnsi="Book Antiqua" w:cs="Times New Roman"/>
          <w:color w:val="000000"/>
          <w:sz w:val="24"/>
          <w:szCs w:val="24"/>
          <w:shd w:val="clear" w:color="auto" w:fill="FFFFFF"/>
        </w:rPr>
        <w:t xml:space="preserve">, either </w:t>
      </w:r>
      <w:r w:rsidR="0045492A" w:rsidRPr="00FA5C8D">
        <w:rPr>
          <w:rFonts w:ascii="Book Antiqua" w:hAnsi="Book Antiqua" w:cs="Times New Roman"/>
          <w:color w:val="000000"/>
          <w:sz w:val="24"/>
          <w:szCs w:val="24"/>
          <w:shd w:val="clear" w:color="auto" w:fill="FFFFFF"/>
        </w:rPr>
        <w:t xml:space="preserve">symptom related to CD may stimulate </w:t>
      </w:r>
      <w:r w:rsidR="00564190" w:rsidRPr="00FA5C8D">
        <w:rPr>
          <w:rFonts w:ascii="Book Antiqua" w:hAnsi="Book Antiqua" w:cs="Times New Roman"/>
          <w:color w:val="000000"/>
          <w:sz w:val="24"/>
          <w:szCs w:val="24"/>
          <w:shd w:val="clear" w:color="auto" w:fill="FFFFFF"/>
        </w:rPr>
        <w:t xml:space="preserve">the </w:t>
      </w:r>
      <w:r w:rsidR="0045492A" w:rsidRPr="00FA5C8D">
        <w:rPr>
          <w:rFonts w:ascii="Book Antiqua" w:hAnsi="Book Antiqua" w:cs="Times New Roman"/>
          <w:color w:val="000000"/>
          <w:sz w:val="24"/>
          <w:szCs w:val="24"/>
          <w:shd w:val="clear" w:color="auto" w:fill="FFFFFF"/>
        </w:rPr>
        <w:t xml:space="preserve">patient to undergo </w:t>
      </w:r>
      <w:r w:rsidR="00393891" w:rsidRPr="00FA5C8D">
        <w:rPr>
          <w:rFonts w:ascii="Book Antiqua" w:hAnsi="Book Antiqua" w:cs="Times New Roman"/>
          <w:color w:val="000000"/>
          <w:sz w:val="24"/>
          <w:szCs w:val="24"/>
          <w:shd w:val="clear" w:color="auto" w:fill="FFFFFF"/>
        </w:rPr>
        <w:t xml:space="preserve">uncomfortable </w:t>
      </w:r>
      <w:r w:rsidR="00B21299" w:rsidRPr="00FA5C8D">
        <w:rPr>
          <w:rFonts w:ascii="Book Antiqua" w:hAnsi="Book Antiqua" w:cs="Times New Roman"/>
          <w:color w:val="000000"/>
          <w:sz w:val="24"/>
          <w:szCs w:val="24"/>
          <w:shd w:val="clear" w:color="auto" w:fill="FFFFFF"/>
        </w:rPr>
        <w:t xml:space="preserve">endoscopy. </w:t>
      </w:r>
      <w:r w:rsidR="00365D13" w:rsidRPr="00FA5C8D">
        <w:rPr>
          <w:rFonts w:ascii="Book Antiqua" w:hAnsi="Book Antiqua" w:cs="Times New Roman"/>
          <w:color w:val="000000"/>
          <w:sz w:val="24"/>
          <w:szCs w:val="24"/>
          <w:shd w:val="clear" w:color="auto" w:fill="FFFFFF"/>
        </w:rPr>
        <w:t>W</w:t>
      </w:r>
      <w:r w:rsidR="00FC1944" w:rsidRPr="00FA5C8D">
        <w:rPr>
          <w:rFonts w:ascii="Book Antiqua" w:hAnsi="Book Antiqua" w:cs="Times New Roman"/>
          <w:color w:val="000000"/>
          <w:sz w:val="24"/>
          <w:szCs w:val="24"/>
          <w:shd w:val="clear" w:color="auto" w:fill="FFFFFF"/>
        </w:rPr>
        <w:t>e</w:t>
      </w:r>
      <w:r w:rsidR="00365D13" w:rsidRPr="00FA5C8D">
        <w:rPr>
          <w:rFonts w:ascii="Book Antiqua" w:hAnsi="Book Antiqua" w:cs="Times New Roman"/>
          <w:color w:val="000000"/>
          <w:sz w:val="24"/>
          <w:szCs w:val="24"/>
          <w:shd w:val="clear" w:color="auto" w:fill="FFFFFF"/>
        </w:rPr>
        <w:t xml:space="preserve"> cannot assess </w:t>
      </w:r>
      <w:r w:rsidR="00FC1944" w:rsidRPr="00FA5C8D">
        <w:rPr>
          <w:rFonts w:ascii="Book Antiqua" w:hAnsi="Book Antiqua" w:cs="Times New Roman"/>
          <w:color w:val="000000"/>
          <w:sz w:val="24"/>
          <w:szCs w:val="24"/>
          <w:shd w:val="clear" w:color="auto" w:fill="FFFFFF"/>
        </w:rPr>
        <w:t xml:space="preserve">asymptomatic </w:t>
      </w:r>
      <w:r w:rsidR="00792F61" w:rsidRPr="00FA5C8D">
        <w:rPr>
          <w:rFonts w:ascii="Book Antiqua" w:hAnsi="Book Antiqua" w:cs="Times New Roman"/>
          <w:color w:val="000000"/>
          <w:sz w:val="24"/>
          <w:szCs w:val="24"/>
          <w:shd w:val="clear" w:color="auto" w:fill="FFFFFF"/>
        </w:rPr>
        <w:t>patients’</w:t>
      </w:r>
      <w:r w:rsidR="00FC1944" w:rsidRPr="00FA5C8D">
        <w:rPr>
          <w:rFonts w:ascii="Book Antiqua" w:hAnsi="Book Antiqua" w:cs="Times New Roman"/>
          <w:color w:val="000000"/>
          <w:sz w:val="24"/>
          <w:szCs w:val="24"/>
          <w:shd w:val="clear" w:color="auto" w:fill="FFFFFF"/>
        </w:rPr>
        <w:t xml:space="preserve"> refus</w:t>
      </w:r>
      <w:r w:rsidR="00BF18F4" w:rsidRPr="00FA5C8D">
        <w:rPr>
          <w:rFonts w:ascii="Book Antiqua" w:hAnsi="Book Antiqua" w:cs="Times New Roman"/>
          <w:color w:val="000000"/>
          <w:sz w:val="24"/>
          <w:szCs w:val="24"/>
          <w:shd w:val="clear" w:color="auto" w:fill="FFFFFF"/>
        </w:rPr>
        <w:t>al</w:t>
      </w:r>
      <w:r w:rsidR="004B15EC" w:rsidRPr="00FA5C8D">
        <w:rPr>
          <w:rFonts w:ascii="Book Antiqua" w:hAnsi="Book Antiqua" w:cs="Times New Roman"/>
          <w:color w:val="000000"/>
          <w:sz w:val="24"/>
          <w:szCs w:val="24"/>
          <w:shd w:val="clear" w:color="auto" w:fill="FFFFFF"/>
        </w:rPr>
        <w:t>s</w:t>
      </w:r>
      <w:r w:rsidR="00E947AA" w:rsidRPr="00FA5C8D">
        <w:rPr>
          <w:rFonts w:ascii="Book Antiqua" w:hAnsi="Book Antiqua" w:cs="Times New Roman"/>
          <w:color w:val="000000"/>
          <w:sz w:val="24"/>
          <w:szCs w:val="24"/>
          <w:shd w:val="clear" w:color="auto" w:fill="FFFFFF"/>
        </w:rPr>
        <w:t xml:space="preserve"> </w:t>
      </w:r>
      <w:r w:rsidR="000B60AE" w:rsidRPr="00FA5C8D">
        <w:rPr>
          <w:rFonts w:ascii="Book Antiqua" w:hAnsi="Book Antiqua" w:cs="Times New Roman"/>
          <w:color w:val="000000"/>
          <w:sz w:val="24"/>
          <w:szCs w:val="24"/>
          <w:shd w:val="clear" w:color="auto" w:fill="FFFFFF"/>
        </w:rPr>
        <w:t xml:space="preserve">of </w:t>
      </w:r>
      <w:r w:rsidR="004B15EC" w:rsidRPr="00FA5C8D">
        <w:rPr>
          <w:rFonts w:ascii="Book Antiqua" w:hAnsi="Book Antiqua" w:cs="Times New Roman"/>
          <w:color w:val="000000"/>
          <w:sz w:val="24"/>
          <w:szCs w:val="24"/>
          <w:shd w:val="clear" w:color="auto" w:fill="FFFFFF"/>
        </w:rPr>
        <w:t>follow-up</w:t>
      </w:r>
      <w:r w:rsidR="00FC1944" w:rsidRPr="00FA5C8D">
        <w:rPr>
          <w:rFonts w:ascii="Book Antiqua" w:hAnsi="Book Antiqua" w:cs="Times New Roman"/>
          <w:color w:val="000000"/>
          <w:sz w:val="24"/>
          <w:szCs w:val="24"/>
          <w:shd w:val="clear" w:color="auto" w:fill="FFFFFF"/>
        </w:rPr>
        <w:t xml:space="preserve"> endoscopy </w:t>
      </w:r>
      <w:r w:rsidR="002C265A" w:rsidRPr="00FA5C8D">
        <w:rPr>
          <w:rFonts w:ascii="Book Antiqua" w:hAnsi="Book Antiqua" w:cs="Times New Roman"/>
          <w:color w:val="000000"/>
          <w:sz w:val="24"/>
          <w:szCs w:val="24"/>
          <w:shd w:val="clear" w:color="auto" w:fill="FFFFFF"/>
        </w:rPr>
        <w:t>owing</w:t>
      </w:r>
      <w:r w:rsidR="00E947AA" w:rsidRPr="00FA5C8D">
        <w:rPr>
          <w:rFonts w:ascii="Book Antiqua" w:hAnsi="Book Antiqua" w:cs="Times New Roman"/>
          <w:color w:val="000000"/>
          <w:sz w:val="24"/>
          <w:szCs w:val="24"/>
          <w:shd w:val="clear" w:color="auto" w:fill="FFFFFF"/>
        </w:rPr>
        <w:t xml:space="preserve"> </w:t>
      </w:r>
      <w:r w:rsidR="00FC1944" w:rsidRPr="00FA5C8D">
        <w:rPr>
          <w:rFonts w:ascii="Book Antiqua" w:hAnsi="Book Antiqua" w:cs="Times New Roman"/>
          <w:color w:val="000000"/>
          <w:sz w:val="24"/>
          <w:szCs w:val="24"/>
          <w:shd w:val="clear" w:color="auto" w:fill="FFFFFF"/>
        </w:rPr>
        <w:t xml:space="preserve">to their </w:t>
      </w:r>
      <w:r w:rsidR="00A65125" w:rsidRPr="00FA5C8D">
        <w:rPr>
          <w:rFonts w:ascii="Book Antiqua" w:hAnsi="Book Antiqua" w:cs="Times New Roman"/>
          <w:color w:val="000000"/>
          <w:sz w:val="24"/>
          <w:szCs w:val="24"/>
          <w:shd w:val="clear" w:color="auto" w:fill="FFFFFF"/>
        </w:rPr>
        <w:t>well</w:t>
      </w:r>
      <w:r w:rsidR="00564190" w:rsidRPr="00FA5C8D">
        <w:rPr>
          <w:rFonts w:ascii="Book Antiqua" w:hAnsi="Book Antiqua" w:cs="Times New Roman"/>
          <w:color w:val="000000"/>
          <w:sz w:val="24"/>
          <w:szCs w:val="24"/>
          <w:shd w:val="clear" w:color="auto" w:fill="FFFFFF"/>
        </w:rPr>
        <w:t>-</w:t>
      </w:r>
      <w:r w:rsidR="00A65125" w:rsidRPr="00FA5C8D">
        <w:rPr>
          <w:rFonts w:ascii="Book Antiqua" w:hAnsi="Book Antiqua" w:cs="Times New Roman"/>
          <w:color w:val="000000"/>
          <w:sz w:val="24"/>
          <w:szCs w:val="24"/>
          <w:shd w:val="clear" w:color="auto" w:fill="FFFFFF"/>
        </w:rPr>
        <w:t xml:space="preserve">being. </w:t>
      </w:r>
      <w:r w:rsidR="002570D3" w:rsidRPr="00FA5C8D">
        <w:rPr>
          <w:rFonts w:ascii="Book Antiqua" w:hAnsi="Book Antiqua" w:cs="Times New Roman"/>
          <w:color w:val="000000"/>
          <w:sz w:val="24"/>
          <w:szCs w:val="24"/>
          <w:shd w:val="clear" w:color="auto" w:fill="FFFFFF"/>
        </w:rPr>
        <w:t>This situation</w:t>
      </w:r>
      <w:r w:rsidR="000B60AE" w:rsidRPr="00FA5C8D">
        <w:rPr>
          <w:rFonts w:ascii="Book Antiqua" w:hAnsi="Book Antiqua" w:cs="Times New Roman"/>
          <w:color w:val="000000"/>
          <w:sz w:val="24"/>
          <w:szCs w:val="24"/>
          <w:shd w:val="clear" w:color="auto" w:fill="FFFFFF"/>
        </w:rPr>
        <w:t xml:space="preserve"> in</w:t>
      </w:r>
      <w:r w:rsidR="00564190" w:rsidRPr="00FA5C8D">
        <w:rPr>
          <w:rFonts w:ascii="Book Antiqua" w:hAnsi="Book Antiqua" w:cs="Times New Roman"/>
          <w:color w:val="000000"/>
          <w:sz w:val="24"/>
          <w:szCs w:val="24"/>
          <w:shd w:val="clear" w:color="auto" w:fill="FFFFFF"/>
        </w:rPr>
        <w:t xml:space="preserve"> a</w:t>
      </w:r>
      <w:r w:rsidR="000B60AE" w:rsidRPr="00FA5C8D">
        <w:rPr>
          <w:rFonts w:ascii="Book Antiqua" w:hAnsi="Book Antiqua" w:cs="Times New Roman"/>
          <w:color w:val="000000"/>
          <w:sz w:val="24"/>
          <w:szCs w:val="24"/>
          <w:shd w:val="clear" w:color="auto" w:fill="FFFFFF"/>
        </w:rPr>
        <w:t xml:space="preserve"> retrospective study</w:t>
      </w:r>
      <w:r w:rsidR="002570D3" w:rsidRPr="00FA5C8D">
        <w:rPr>
          <w:rFonts w:ascii="Book Antiqua" w:hAnsi="Book Antiqua" w:cs="Times New Roman"/>
          <w:color w:val="000000"/>
          <w:sz w:val="24"/>
          <w:szCs w:val="24"/>
          <w:shd w:val="clear" w:color="auto" w:fill="FFFFFF"/>
        </w:rPr>
        <w:t xml:space="preserve"> represents</w:t>
      </w:r>
      <w:r w:rsidR="000B60AE" w:rsidRPr="00FA5C8D">
        <w:rPr>
          <w:rFonts w:ascii="Book Antiqua" w:hAnsi="Book Antiqua" w:cs="Times New Roman"/>
          <w:color w:val="000000"/>
          <w:sz w:val="24"/>
          <w:szCs w:val="24"/>
          <w:shd w:val="clear" w:color="auto" w:fill="FFFFFF"/>
        </w:rPr>
        <w:t xml:space="preserve"> real</w:t>
      </w:r>
      <w:r w:rsidR="00564190" w:rsidRPr="00FA5C8D">
        <w:rPr>
          <w:rFonts w:ascii="Book Antiqua" w:hAnsi="Book Antiqua" w:cs="Times New Roman"/>
          <w:color w:val="000000"/>
          <w:sz w:val="24"/>
          <w:szCs w:val="24"/>
          <w:shd w:val="clear" w:color="auto" w:fill="FFFFFF"/>
        </w:rPr>
        <w:t>-</w:t>
      </w:r>
      <w:r w:rsidR="000B60AE" w:rsidRPr="00FA5C8D">
        <w:rPr>
          <w:rFonts w:ascii="Book Antiqua" w:hAnsi="Book Antiqua" w:cs="Times New Roman"/>
          <w:color w:val="000000"/>
          <w:sz w:val="24"/>
          <w:szCs w:val="24"/>
          <w:shd w:val="clear" w:color="auto" w:fill="FFFFFF"/>
        </w:rPr>
        <w:t xml:space="preserve">life medicine. </w:t>
      </w:r>
    </w:p>
    <w:p w14:paraId="4BE62DE6" w14:textId="77777777" w:rsidR="002417D4" w:rsidRPr="00FA5C8D" w:rsidRDefault="00AE39DC" w:rsidP="00FA5C8D">
      <w:pPr>
        <w:snapToGrid w:val="0"/>
        <w:spacing w:after="0" w:line="360" w:lineRule="auto"/>
        <w:ind w:firstLineChars="100" w:firstLine="240"/>
        <w:jc w:val="both"/>
        <w:rPr>
          <w:rFonts w:ascii="Book Antiqua" w:hAnsi="Book Antiqua" w:cs="Times New Roman"/>
          <w:color w:val="000000"/>
          <w:sz w:val="24"/>
          <w:szCs w:val="24"/>
          <w:shd w:val="clear" w:color="auto" w:fill="FFFFFF"/>
        </w:rPr>
      </w:pPr>
      <w:r w:rsidRPr="00FA5C8D">
        <w:rPr>
          <w:rFonts w:ascii="Book Antiqua" w:hAnsi="Book Antiqua" w:cs="Times New Roman"/>
          <w:color w:val="000000"/>
          <w:sz w:val="24"/>
          <w:szCs w:val="24"/>
          <w:shd w:val="clear" w:color="auto" w:fill="FFFFFF"/>
        </w:rPr>
        <w:t xml:space="preserve">Most patients in </w:t>
      </w:r>
      <w:r w:rsidR="001A529B" w:rsidRPr="00FA5C8D">
        <w:rPr>
          <w:rFonts w:ascii="Book Antiqua" w:hAnsi="Book Antiqua" w:cs="Times New Roman"/>
          <w:color w:val="000000"/>
          <w:sz w:val="24"/>
          <w:szCs w:val="24"/>
          <w:shd w:val="clear" w:color="auto" w:fill="FFFFFF"/>
        </w:rPr>
        <w:t>our</w:t>
      </w:r>
      <w:r w:rsidRPr="00FA5C8D">
        <w:rPr>
          <w:rFonts w:ascii="Book Antiqua" w:hAnsi="Book Antiqua" w:cs="Times New Roman"/>
          <w:color w:val="000000"/>
          <w:sz w:val="24"/>
          <w:szCs w:val="24"/>
          <w:shd w:val="clear" w:color="auto" w:fill="FFFFFF"/>
        </w:rPr>
        <w:t xml:space="preserve"> study </w:t>
      </w:r>
      <w:r w:rsidR="001A529B" w:rsidRPr="00FA5C8D">
        <w:rPr>
          <w:rFonts w:ascii="Book Antiqua" w:hAnsi="Book Antiqua" w:cs="Times New Roman"/>
          <w:color w:val="000000"/>
          <w:sz w:val="24"/>
          <w:szCs w:val="24"/>
          <w:shd w:val="clear" w:color="auto" w:fill="FFFFFF"/>
        </w:rPr>
        <w:t xml:space="preserve">were known to have </w:t>
      </w:r>
      <w:r w:rsidRPr="00FA5C8D">
        <w:rPr>
          <w:rFonts w:ascii="Book Antiqua" w:hAnsi="Book Antiqua" w:cs="Times New Roman"/>
          <w:color w:val="000000"/>
          <w:sz w:val="24"/>
          <w:szCs w:val="24"/>
          <w:shd w:val="clear" w:color="auto" w:fill="FFFFFF"/>
        </w:rPr>
        <w:t>avoid</w:t>
      </w:r>
      <w:r w:rsidR="001A529B" w:rsidRPr="00FA5C8D">
        <w:rPr>
          <w:rFonts w:ascii="Book Antiqua" w:hAnsi="Book Antiqua" w:cs="Times New Roman"/>
          <w:color w:val="000000"/>
          <w:sz w:val="24"/>
          <w:szCs w:val="24"/>
          <w:shd w:val="clear" w:color="auto" w:fill="FFFFFF"/>
        </w:rPr>
        <w:t>ed</w:t>
      </w:r>
      <w:r w:rsidRPr="00FA5C8D">
        <w:rPr>
          <w:rFonts w:ascii="Book Antiqua" w:hAnsi="Book Antiqua" w:cs="Times New Roman"/>
          <w:color w:val="000000"/>
          <w:sz w:val="24"/>
          <w:szCs w:val="24"/>
          <w:shd w:val="clear" w:color="auto" w:fill="FFFFFF"/>
        </w:rPr>
        <w:t xml:space="preserve"> gluten consumption for more than 2 years</w:t>
      </w:r>
      <w:r w:rsidR="001A529B" w:rsidRPr="00FA5C8D">
        <w:rPr>
          <w:rFonts w:ascii="Book Antiqua" w:hAnsi="Book Antiqua" w:cs="Times New Roman"/>
          <w:color w:val="000000"/>
          <w:sz w:val="24"/>
          <w:szCs w:val="24"/>
          <w:shd w:val="clear" w:color="auto" w:fill="FFFFFF"/>
        </w:rPr>
        <w:t>; ther</w:t>
      </w:r>
      <w:r w:rsidR="00701C72" w:rsidRPr="00FA5C8D">
        <w:rPr>
          <w:rFonts w:ascii="Book Antiqua" w:hAnsi="Book Antiqua" w:cs="Times New Roman"/>
          <w:color w:val="000000"/>
          <w:sz w:val="24"/>
          <w:szCs w:val="24"/>
          <w:shd w:val="clear" w:color="auto" w:fill="FFFFFF"/>
        </w:rPr>
        <w:t>e</w:t>
      </w:r>
      <w:r w:rsidR="001A529B" w:rsidRPr="00FA5C8D">
        <w:rPr>
          <w:rFonts w:ascii="Book Antiqua" w:hAnsi="Book Antiqua" w:cs="Times New Roman"/>
          <w:color w:val="000000"/>
          <w:sz w:val="24"/>
          <w:szCs w:val="24"/>
          <w:shd w:val="clear" w:color="auto" w:fill="FFFFFF"/>
        </w:rPr>
        <w:t>fore</w:t>
      </w:r>
      <w:r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inter-individual</w:t>
      </w:r>
      <w:r w:rsidR="00E947AA"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different</w:t>
      </w:r>
      <w:r w:rsidR="00564190" w:rsidRPr="00FA5C8D">
        <w:rPr>
          <w:rFonts w:ascii="Book Antiqua" w:hAnsi="Book Antiqua" w:cs="Times New Roman"/>
          <w:color w:val="000000"/>
          <w:sz w:val="24"/>
          <w:szCs w:val="24"/>
          <w:shd w:val="clear" w:color="auto" w:fill="FFFFFF"/>
        </w:rPr>
        <w:t>ial</w:t>
      </w:r>
      <w:r w:rsidRPr="00FA5C8D">
        <w:rPr>
          <w:rFonts w:ascii="Book Antiqua" w:hAnsi="Book Antiqua" w:cs="Times New Roman"/>
          <w:color w:val="000000"/>
          <w:sz w:val="24"/>
          <w:szCs w:val="24"/>
          <w:shd w:val="clear" w:color="auto" w:fill="FFFFFF"/>
        </w:rPr>
        <w:t xml:space="preserve"> mucosal recovery likely </w:t>
      </w:r>
      <w:r w:rsidR="001A529B" w:rsidRPr="00FA5C8D">
        <w:rPr>
          <w:rFonts w:ascii="Book Antiqua" w:hAnsi="Book Antiqua" w:cs="Times New Roman"/>
          <w:color w:val="000000"/>
          <w:sz w:val="24"/>
          <w:szCs w:val="24"/>
          <w:shd w:val="clear" w:color="auto" w:fill="FFFFFF"/>
        </w:rPr>
        <w:t xml:space="preserve">plays </w:t>
      </w:r>
      <w:r w:rsidRPr="00FA5C8D">
        <w:rPr>
          <w:rFonts w:ascii="Book Antiqua" w:hAnsi="Book Antiqua" w:cs="Times New Roman"/>
          <w:color w:val="000000"/>
          <w:sz w:val="24"/>
          <w:szCs w:val="24"/>
          <w:shd w:val="clear" w:color="auto" w:fill="FFFFFF"/>
        </w:rPr>
        <w:t>no role in our result</w:t>
      </w:r>
      <w:r w:rsidR="000802D0" w:rsidRPr="00FA5C8D">
        <w:rPr>
          <w:rFonts w:ascii="Book Antiqua" w:hAnsi="Book Antiqua" w:cs="Times New Roman"/>
          <w:color w:val="000000"/>
          <w:sz w:val="24"/>
          <w:szCs w:val="24"/>
          <w:shd w:val="clear" w:color="auto" w:fill="FFFFFF"/>
        </w:rPr>
        <w:t>s</w:t>
      </w:r>
      <w:r w:rsidRPr="00FA5C8D">
        <w:rPr>
          <w:rFonts w:ascii="Book Antiqua" w:hAnsi="Book Antiqua" w:cs="Times New Roman"/>
          <w:color w:val="000000"/>
          <w:sz w:val="24"/>
          <w:szCs w:val="24"/>
          <w:shd w:val="clear" w:color="auto" w:fill="FFFFFF"/>
        </w:rPr>
        <w:t xml:space="preserve">. In patients with </w:t>
      </w:r>
      <w:r w:rsidR="00C05E60" w:rsidRPr="00FA5C8D">
        <w:rPr>
          <w:rFonts w:ascii="Book Antiqua" w:hAnsi="Book Antiqua" w:cs="Times New Roman"/>
          <w:sz w:val="24"/>
          <w:szCs w:val="24"/>
        </w:rPr>
        <w:t>VA</w:t>
      </w:r>
      <w:r w:rsidR="00C05E60" w:rsidRPr="00FA5C8D">
        <w:rPr>
          <w:rFonts w:ascii="Book Antiqua" w:hAnsi="Book Antiqua" w:cs="Times New Roman"/>
          <w:color w:val="000000"/>
          <w:sz w:val="24"/>
          <w:szCs w:val="24"/>
          <w:shd w:val="clear" w:color="auto" w:fill="FFFFFF"/>
        </w:rPr>
        <w:t>,</w:t>
      </w:r>
      <w:r w:rsidRPr="00FA5C8D">
        <w:rPr>
          <w:rFonts w:ascii="Book Antiqua" w:hAnsi="Book Antiqua" w:cs="Times New Roman"/>
          <w:color w:val="000000"/>
          <w:sz w:val="24"/>
          <w:szCs w:val="24"/>
          <w:shd w:val="clear" w:color="auto" w:fill="FFFFFF"/>
        </w:rPr>
        <w:t xml:space="preserve"> some symptoms and signs of malabsorption</w:t>
      </w:r>
      <w:r w:rsidR="00E947AA" w:rsidRPr="00FA5C8D">
        <w:rPr>
          <w:rFonts w:ascii="Book Antiqua" w:hAnsi="Book Antiqua" w:cs="Times New Roman"/>
          <w:color w:val="000000"/>
          <w:sz w:val="24"/>
          <w:szCs w:val="24"/>
          <w:shd w:val="clear" w:color="auto" w:fill="FFFFFF"/>
        </w:rPr>
        <w:t xml:space="preserve"> </w:t>
      </w:r>
      <w:r w:rsidR="0098122B" w:rsidRPr="00FA5C8D">
        <w:rPr>
          <w:rFonts w:ascii="Book Antiqua" w:hAnsi="Book Antiqua" w:cs="Times New Roman"/>
          <w:color w:val="000000"/>
          <w:sz w:val="24"/>
          <w:szCs w:val="24"/>
          <w:shd w:val="clear" w:color="auto" w:fill="FFFFFF"/>
        </w:rPr>
        <w:t>are</w:t>
      </w:r>
      <w:r w:rsidRPr="00FA5C8D">
        <w:rPr>
          <w:rFonts w:ascii="Book Antiqua" w:hAnsi="Book Antiqua" w:cs="Times New Roman"/>
          <w:color w:val="000000"/>
          <w:sz w:val="24"/>
          <w:szCs w:val="24"/>
          <w:shd w:val="clear" w:color="auto" w:fill="FFFFFF"/>
        </w:rPr>
        <w:t xml:space="preserve"> more common</w:t>
      </w:r>
      <w:r w:rsidR="00564190" w:rsidRPr="00FA5C8D">
        <w:rPr>
          <w:rFonts w:ascii="Book Antiqua" w:hAnsi="Book Antiqua" w:cs="Times New Roman"/>
          <w:color w:val="000000"/>
          <w:sz w:val="24"/>
          <w:szCs w:val="24"/>
          <w:shd w:val="clear" w:color="auto" w:fill="FFFFFF"/>
        </w:rPr>
        <w:t>;</w:t>
      </w:r>
      <w:r w:rsidR="00E947AA" w:rsidRPr="00FA5C8D">
        <w:rPr>
          <w:rFonts w:ascii="Book Antiqua" w:hAnsi="Book Antiqua" w:cs="Times New Roman"/>
          <w:color w:val="000000"/>
          <w:sz w:val="24"/>
          <w:szCs w:val="24"/>
          <w:shd w:val="clear" w:color="auto" w:fill="FFFFFF"/>
        </w:rPr>
        <w:t xml:space="preserve"> </w:t>
      </w:r>
      <w:r w:rsidR="00564190" w:rsidRPr="00FA5C8D">
        <w:rPr>
          <w:rFonts w:ascii="Book Antiqua" w:hAnsi="Book Antiqua" w:cs="Times New Roman"/>
          <w:color w:val="000000"/>
          <w:sz w:val="24"/>
          <w:szCs w:val="24"/>
          <w:shd w:val="clear" w:color="auto" w:fill="FFFFFF"/>
        </w:rPr>
        <w:t>nevertheless,</w:t>
      </w:r>
      <w:r w:rsidR="00E947AA" w:rsidRPr="00FA5C8D">
        <w:rPr>
          <w:rFonts w:ascii="Book Antiqua" w:hAnsi="Book Antiqua" w:cs="Times New Roman"/>
          <w:color w:val="000000"/>
          <w:sz w:val="24"/>
          <w:szCs w:val="24"/>
          <w:shd w:val="clear" w:color="auto" w:fill="FFFFFF"/>
        </w:rPr>
        <w:t xml:space="preserve"> </w:t>
      </w:r>
      <w:r w:rsidR="00752A46" w:rsidRPr="00FA5C8D">
        <w:rPr>
          <w:rFonts w:ascii="Book Antiqua" w:hAnsi="Book Antiqua" w:cs="Times New Roman"/>
          <w:color w:val="000000"/>
          <w:sz w:val="24"/>
          <w:szCs w:val="24"/>
          <w:shd w:val="clear" w:color="auto" w:fill="FFFFFF"/>
        </w:rPr>
        <w:t xml:space="preserve">the </w:t>
      </w:r>
      <w:r w:rsidRPr="00FA5C8D">
        <w:rPr>
          <w:rFonts w:ascii="Book Antiqua" w:hAnsi="Book Antiqua" w:cs="Times New Roman"/>
          <w:color w:val="000000"/>
          <w:sz w:val="24"/>
          <w:szCs w:val="24"/>
          <w:shd w:val="clear" w:color="auto" w:fill="FFFFFF"/>
        </w:rPr>
        <w:t xml:space="preserve">predictive role of diarrhea and vitamin D deficiency for </w:t>
      </w:r>
      <w:r w:rsidR="00A374FF" w:rsidRPr="00FA5C8D">
        <w:rPr>
          <w:rFonts w:ascii="Book Antiqua" w:hAnsi="Book Antiqua" w:cs="Times New Roman"/>
          <w:color w:val="000000"/>
          <w:sz w:val="24"/>
          <w:szCs w:val="24"/>
          <w:shd w:val="clear" w:color="auto" w:fill="FFFFFF"/>
        </w:rPr>
        <w:t xml:space="preserve">the </w:t>
      </w:r>
      <w:r w:rsidRPr="00FA5C8D">
        <w:rPr>
          <w:rFonts w:ascii="Book Antiqua" w:hAnsi="Book Antiqua" w:cs="Times New Roman"/>
          <w:color w:val="000000"/>
          <w:sz w:val="24"/>
          <w:szCs w:val="24"/>
          <w:shd w:val="clear" w:color="auto" w:fill="FFFFFF"/>
        </w:rPr>
        <w:t>diagnosis of atrophy was poor</w:t>
      </w:r>
      <w:r w:rsidR="00343F9D" w:rsidRPr="00FA5C8D">
        <w:rPr>
          <w:rFonts w:ascii="Book Antiqua" w:hAnsi="Book Antiqua" w:cs="Times New Roman"/>
          <w:color w:val="000000"/>
          <w:sz w:val="24"/>
          <w:szCs w:val="24"/>
          <w:shd w:val="clear" w:color="auto" w:fill="FFFFFF"/>
        </w:rPr>
        <w:t xml:space="preserve">. </w:t>
      </w:r>
      <w:r w:rsidRPr="00FA5C8D">
        <w:rPr>
          <w:rFonts w:ascii="Book Antiqua" w:hAnsi="Book Antiqua" w:cs="Times New Roman"/>
          <w:color w:val="000000"/>
          <w:sz w:val="24"/>
          <w:szCs w:val="24"/>
          <w:shd w:val="clear" w:color="auto" w:fill="FFFFFF"/>
        </w:rPr>
        <w:t>In symptomatic patients on GFD</w:t>
      </w:r>
      <w:r w:rsidR="008A0809" w:rsidRPr="00FA5C8D">
        <w:rPr>
          <w:rFonts w:ascii="Book Antiqua" w:hAnsi="Book Antiqua" w:cs="Times New Roman"/>
          <w:color w:val="000000"/>
          <w:sz w:val="24"/>
          <w:szCs w:val="24"/>
          <w:shd w:val="clear" w:color="auto" w:fill="FFFFFF"/>
        </w:rPr>
        <w:t>,</w:t>
      </w:r>
      <w:r w:rsidR="00E947AA" w:rsidRPr="00FA5C8D">
        <w:rPr>
          <w:rFonts w:ascii="Book Antiqua" w:hAnsi="Book Antiqua" w:cs="Times New Roman"/>
          <w:color w:val="000000"/>
          <w:sz w:val="24"/>
          <w:szCs w:val="24"/>
          <w:shd w:val="clear" w:color="auto" w:fill="FFFFFF"/>
        </w:rPr>
        <w:t xml:space="preserve"> </w:t>
      </w:r>
      <w:r w:rsidR="008A0809" w:rsidRPr="00FA5C8D">
        <w:rPr>
          <w:rFonts w:ascii="Book Antiqua" w:hAnsi="Book Antiqua" w:cs="Times New Roman"/>
          <w:color w:val="000000"/>
          <w:sz w:val="24"/>
          <w:szCs w:val="24"/>
          <w:shd w:val="clear" w:color="auto" w:fill="FFFFFF"/>
        </w:rPr>
        <w:t>a</w:t>
      </w:r>
      <w:r w:rsidRPr="00FA5C8D">
        <w:rPr>
          <w:rFonts w:ascii="Book Antiqua" w:hAnsi="Book Antiqua" w:cs="Times New Roman"/>
          <w:color w:val="000000"/>
          <w:sz w:val="24"/>
          <w:szCs w:val="24"/>
          <w:shd w:val="clear" w:color="auto" w:fill="FFFFFF"/>
        </w:rPr>
        <w:t xml:space="preserve"> re-biopsy should be considered</w:t>
      </w:r>
      <w:r w:rsidR="00185175" w:rsidRPr="00FA5C8D">
        <w:rPr>
          <w:rFonts w:ascii="Book Antiqua" w:hAnsi="Book Antiqua" w:cs="Times New Roman"/>
          <w:color w:val="000000"/>
          <w:sz w:val="24"/>
          <w:szCs w:val="24"/>
          <w:shd w:val="clear" w:color="auto" w:fill="FFFFFF"/>
        </w:rPr>
        <w:fldChar w:fldCharType="begin"/>
      </w:r>
      <w:r w:rsidR="00DF5155" w:rsidRPr="00FA5C8D">
        <w:rPr>
          <w:rFonts w:ascii="Book Antiqua" w:hAnsi="Book Antiqua" w:cs="Times New Roman"/>
          <w:color w:val="000000"/>
          <w:sz w:val="24"/>
          <w:szCs w:val="24"/>
          <w:shd w:val="clear" w:color="auto" w:fill="FFFFFF"/>
        </w:rPr>
        <w:instrText xml:space="preserve"> ADDIN ZOTERO_ITEM CSL_CITATION {"citationID":"hIbJksyI","properties":{"formattedCitation":"\\super [11]\\nosupersub{}","plainCitation":"[11]","noteIndex":0},"citationItems":[{"id":1066,"uris":["http://zotero.org/users/4312189/items/58X5JMIK"],"uri":["http://zotero.org/users/4312189/items/58X5JMIK"],"itemData":{"id":1066,"type":"article-journal","abstract":"Purpose\nThe purpose of this clinical practice update is to define key modalities in the diagnosis and monitoring of celiac disease (CD) in adults as well as in children and adolescents.\nMethods\nThe recommendations outlined in this expert review are based on available published evidence, including cohort and case-control studies of the diagnostic process as well as controlled and descriptive studies of disease management. Best Practice Advice 1: Serology is a crucial component of the detection and diagnosis of CD, particularly tissue transglutaminase–immunoglobulin A (TG2-IgA), IgA testing, and less frequently, endomysial IgA testing. Best Practice Advice 2: Thorough histological analysis of duodenal biopsies with Marsh classification, counting of lymphocytes per high-power field, and morphometry is important for diagnosis as well as for differential diagnosis. Best Practice Advice 2a: TG2-IgA, at high levels (&gt; ×10 upper normal limit) is a reliable and accurate test for diagnosing active CD. When such a strongly positive TG2-IgA is combined with a positive endomysial antibody in a second blood sample, the positive predictive value for CD is virtually 100%. In adults, esophagogastroduodenoscopy (EGD) and duodenal biopsies may then be performed for purposes of differential diagnosis. Best Practice Advice 3: IgA deficiency is an infrequent but important explanation for why patients with CD may be negative on IgA isotype testing despite strong suspicion. Measuring total IgA levels, IgG deamidated gliadin antibody tests, and TG2-IgG testing in that circumstance is recommended. Best Practice Advice 4: IgG isotype testing for TG2 antibody is not specific in the absence of IgA deficiency. Best Practice Advice 5: In patients found to have CD first by intestinal biopsies, celiac-specific serology should be undertaken as a confirmatory test before initiation of a gluten-free diet (GFD). Best Practice Advice 6: In patients in whom CD is strongly suspected in the face of negative biopsies, TG2-IgA should still be performed and, if positive, repeat biopsies might be considered either at that time or sometime in the future. Best Practice Advice 7: Reduction or avoidance of gluten before diagnostic testing is discouraged, as it may reduce the sensitivity of both serology and biopsy testing. Best Practice Advice 8: When patients have already started on a GFD before diagnosis, we suggest that the patient go back on a normal diet with 3 slices of wheat bread daily preferably for 1 to 3 months before repeat determination of TG2-IgA. Best Practice Advice 9: Determination of HLA-DQ2/DQ8 has a limited role in the diagnosis of CD. Its value is largely related to its negative predictive value to rule out CD in patients who are seronegative in the face of histologic changes, in patients who did not have serologic confirmation at the time of diagnosis, and in those patients with a historic diagnosis of CD; especially as very young children before the introduction of celiac-specific serology.\nManagement\nBest Practice Advice 10: Celiac serology has a guarded role in the detection of continued intestinal injury, in particular as to sensitivity, as negative serology in a treated patient does not guarantee that the intestinal mucosa has healed. Persistently positive serology usually indicates ongoing intestinal damage and gluten exposure. Follow-up serology should be performed 6 and 12 months after diagnosis, and yearly thereafter. Best Practice Advice 11: Patients with persistent or relapsing symptoms, without other obvious explanations for those symptoms, should undergo endoscopic biopsies to determine healing even in the presence of negative TG2-IgA.","container-title":"Gastroenterology","DOI":"10.1053/j.gastro.2018.12.010","ISSN":"0016-5085","issue":"4","journalAbbreviation":"Gastroenterology","language":"en","page":"885-889","source":"ScienceDirect","title":"AGA Clinical Practice Update on Diagnosis and Monitoring of Celiac Disease—Changing Utility of Serology and Histologic Measures: Expert Review","title-short":"AGA Clinical Practice Update on Diagnosis and Monitoring of Celiac Disease—Changing Utility of Serology and Histologic Measures","volume":"156","author":[{"family":"Husby","given":"Steffen"},{"family":"Murray","given":"Joseph A."},{"family":"Katzka","given":"David A."}],"issued":{"date-parts":[["2019",3,1]]}}}],"schema":"https://github.com/citation-style-language/schema/raw/master/csl-citation.json"} </w:instrText>
      </w:r>
      <w:r w:rsidR="00185175" w:rsidRPr="00FA5C8D">
        <w:rPr>
          <w:rFonts w:ascii="Book Antiqua" w:hAnsi="Book Antiqua" w:cs="Times New Roman"/>
          <w:color w:val="000000"/>
          <w:sz w:val="24"/>
          <w:szCs w:val="24"/>
          <w:shd w:val="clear" w:color="auto" w:fill="FFFFFF"/>
        </w:rPr>
        <w:fldChar w:fldCharType="separate"/>
      </w:r>
      <w:r w:rsidR="00DF5155" w:rsidRPr="00FA5C8D">
        <w:rPr>
          <w:rFonts w:ascii="Book Antiqua" w:hAnsi="Book Antiqua" w:cs="Times New Roman"/>
          <w:sz w:val="24"/>
          <w:szCs w:val="24"/>
          <w:vertAlign w:val="superscript"/>
        </w:rPr>
        <w:t>[11]</w:t>
      </w:r>
      <w:r w:rsidR="00185175" w:rsidRPr="00FA5C8D">
        <w:rPr>
          <w:rFonts w:ascii="Book Antiqua" w:hAnsi="Book Antiqua" w:cs="Times New Roman"/>
          <w:color w:val="000000"/>
          <w:sz w:val="24"/>
          <w:szCs w:val="24"/>
          <w:shd w:val="clear" w:color="auto" w:fill="FFFFFF"/>
        </w:rPr>
        <w:fldChar w:fldCharType="end"/>
      </w:r>
      <w:r w:rsidRPr="00FA5C8D">
        <w:rPr>
          <w:rFonts w:ascii="Book Antiqua" w:hAnsi="Book Antiqua" w:cs="Times New Roman"/>
          <w:color w:val="000000"/>
          <w:sz w:val="24"/>
          <w:szCs w:val="24"/>
          <w:shd w:val="clear" w:color="auto" w:fill="FFFFFF"/>
        </w:rPr>
        <w:t xml:space="preserve">. </w:t>
      </w:r>
    </w:p>
    <w:p w14:paraId="587BAA05" w14:textId="77777777" w:rsidR="00221E2E" w:rsidRPr="00FA5C8D" w:rsidRDefault="00221E2E" w:rsidP="00FA5C8D">
      <w:pPr>
        <w:snapToGrid w:val="0"/>
        <w:spacing w:after="0" w:line="360" w:lineRule="auto"/>
        <w:ind w:firstLineChars="100" w:firstLine="240"/>
        <w:jc w:val="both"/>
        <w:rPr>
          <w:rFonts w:ascii="Book Antiqua" w:hAnsi="Book Antiqua" w:cs="Times New Roman"/>
          <w:color w:val="FF0000"/>
          <w:sz w:val="24"/>
          <w:szCs w:val="24"/>
        </w:rPr>
      </w:pPr>
      <w:r w:rsidRPr="00FA5C8D">
        <w:rPr>
          <w:rFonts w:ascii="Book Antiqua" w:hAnsi="Book Antiqua" w:cs="Times New Roman"/>
          <w:sz w:val="24"/>
          <w:szCs w:val="24"/>
        </w:rPr>
        <w:t>In our study</w:t>
      </w:r>
      <w:r w:rsidR="007A6BD6" w:rsidRPr="00FA5C8D">
        <w:rPr>
          <w:rFonts w:ascii="Book Antiqua" w:hAnsi="Book Antiqua" w:cs="Times New Roman"/>
          <w:sz w:val="24"/>
          <w:szCs w:val="24"/>
        </w:rPr>
        <w:t>,</w:t>
      </w:r>
      <w:r w:rsidRPr="00FA5C8D">
        <w:rPr>
          <w:rFonts w:ascii="Book Antiqua" w:hAnsi="Book Antiqua" w:cs="Times New Roman"/>
          <w:sz w:val="24"/>
          <w:szCs w:val="24"/>
        </w:rPr>
        <w:t xml:space="preserve"> we </w:t>
      </w:r>
      <w:r w:rsidR="00F21C19" w:rsidRPr="00FA5C8D">
        <w:rPr>
          <w:rFonts w:ascii="Book Antiqua" w:hAnsi="Book Antiqua" w:cs="Times New Roman"/>
          <w:sz w:val="24"/>
          <w:szCs w:val="24"/>
        </w:rPr>
        <w:t>did not</w:t>
      </w:r>
      <w:r w:rsidR="00E947AA" w:rsidRPr="00FA5C8D">
        <w:rPr>
          <w:rFonts w:ascii="Book Antiqua" w:hAnsi="Book Antiqua" w:cs="Times New Roman"/>
          <w:sz w:val="24"/>
          <w:szCs w:val="24"/>
        </w:rPr>
        <w:t xml:space="preserve"> </w:t>
      </w:r>
      <w:r w:rsidR="00564190" w:rsidRPr="00FA5C8D">
        <w:rPr>
          <w:rFonts w:ascii="Book Antiqua" w:hAnsi="Book Antiqua" w:cs="Times New Roman"/>
          <w:sz w:val="24"/>
          <w:szCs w:val="24"/>
        </w:rPr>
        <w:t>show that</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serologic tests of </w:t>
      </w: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and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with standard diagnostic cutoff values </w:t>
      </w:r>
      <w:r w:rsidR="00564190" w:rsidRPr="00FA5C8D">
        <w:rPr>
          <w:rFonts w:ascii="Book Antiqua" w:hAnsi="Book Antiqua" w:cs="Times New Roman"/>
          <w:sz w:val="24"/>
          <w:szCs w:val="24"/>
        </w:rPr>
        <w:t>were</w:t>
      </w:r>
      <w:r w:rsidRPr="00FA5C8D">
        <w:rPr>
          <w:rFonts w:ascii="Book Antiqua" w:hAnsi="Book Antiqua" w:cs="Times New Roman"/>
          <w:sz w:val="24"/>
          <w:szCs w:val="24"/>
        </w:rPr>
        <w:t xml:space="preserve"> optimal markers of persistent VA. </w:t>
      </w:r>
      <w:r w:rsidR="00564190" w:rsidRPr="00FA5C8D">
        <w:rPr>
          <w:rFonts w:ascii="Book Antiqua" w:hAnsi="Book Antiqua" w:cs="Times New Roman"/>
          <w:sz w:val="24"/>
          <w:szCs w:val="24"/>
        </w:rPr>
        <w:t>Nevertheless</w:t>
      </w:r>
      <w:r w:rsidRPr="00FA5C8D">
        <w:rPr>
          <w:rFonts w:ascii="Book Antiqua" w:hAnsi="Book Antiqua" w:cs="Times New Roman"/>
          <w:sz w:val="24"/>
          <w:szCs w:val="24"/>
        </w:rPr>
        <w:t xml:space="preserve">, calculation of </w:t>
      </w:r>
      <w:r w:rsidR="00F83C59" w:rsidRPr="00FA5C8D">
        <w:rPr>
          <w:rFonts w:ascii="Book Antiqua" w:hAnsi="Book Antiqua" w:cs="Times New Roman"/>
          <w:sz w:val="24"/>
          <w:szCs w:val="24"/>
        </w:rPr>
        <w:t xml:space="preserve">the </w:t>
      </w:r>
      <w:r w:rsidRPr="00FA5C8D">
        <w:rPr>
          <w:rFonts w:ascii="Book Antiqua" w:hAnsi="Book Antiqua" w:cs="Times New Roman"/>
          <w:sz w:val="24"/>
          <w:szCs w:val="24"/>
        </w:rPr>
        <w:t xml:space="preserve">best cutoff values of </w:t>
      </w: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and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IgA for prediction of VA improved </w:t>
      </w:r>
      <w:r w:rsidR="00F83C59" w:rsidRPr="00FA5C8D">
        <w:rPr>
          <w:rFonts w:ascii="Book Antiqua" w:hAnsi="Book Antiqua" w:cs="Times New Roman"/>
          <w:sz w:val="24"/>
          <w:szCs w:val="24"/>
        </w:rPr>
        <w:t xml:space="preserve">the </w:t>
      </w:r>
      <w:r w:rsidRPr="00FA5C8D">
        <w:rPr>
          <w:rFonts w:ascii="Book Antiqua" w:hAnsi="Book Antiqua" w:cs="Times New Roman"/>
          <w:sz w:val="24"/>
          <w:szCs w:val="24"/>
        </w:rPr>
        <w:t>sensitivity, specificity</w:t>
      </w:r>
      <w:r w:rsidR="00F83C59" w:rsidRPr="00FA5C8D">
        <w:rPr>
          <w:rFonts w:ascii="Book Antiqua" w:hAnsi="Book Antiqua" w:cs="Times New Roman"/>
          <w:sz w:val="24"/>
          <w:szCs w:val="24"/>
        </w:rPr>
        <w:t>,</w:t>
      </w:r>
      <w:r w:rsidRPr="00FA5C8D">
        <w:rPr>
          <w:rFonts w:ascii="Book Antiqua" w:hAnsi="Book Antiqua" w:cs="Times New Roman"/>
          <w:sz w:val="24"/>
          <w:szCs w:val="24"/>
        </w:rPr>
        <w:t xml:space="preserve"> and negative predictive value. </w:t>
      </w:r>
      <w:r w:rsidR="00CC4327" w:rsidRPr="00FA5C8D">
        <w:rPr>
          <w:rFonts w:ascii="Book Antiqua" w:hAnsi="Book Antiqua" w:cs="Times New Roman"/>
          <w:sz w:val="24"/>
          <w:szCs w:val="24"/>
        </w:rPr>
        <w:t xml:space="preserve">The combination of serology and </w:t>
      </w:r>
      <w:r w:rsidR="00564190" w:rsidRPr="00FA5C8D">
        <w:rPr>
          <w:rFonts w:ascii="Book Antiqua" w:hAnsi="Book Antiqua" w:cs="Times New Roman"/>
          <w:sz w:val="24"/>
          <w:szCs w:val="24"/>
        </w:rPr>
        <w:t>expert</w:t>
      </w:r>
      <w:r w:rsidR="00E947AA" w:rsidRPr="00FA5C8D">
        <w:rPr>
          <w:rFonts w:ascii="Book Antiqua" w:hAnsi="Book Antiqua" w:cs="Times New Roman"/>
          <w:sz w:val="24"/>
          <w:szCs w:val="24"/>
        </w:rPr>
        <w:t xml:space="preserve"> </w:t>
      </w:r>
      <w:r w:rsidR="00CC4327" w:rsidRPr="00FA5C8D">
        <w:rPr>
          <w:rFonts w:ascii="Book Antiqua" w:hAnsi="Book Antiqua" w:cs="Times New Roman"/>
          <w:sz w:val="24"/>
          <w:szCs w:val="24"/>
        </w:rPr>
        <w:t xml:space="preserve">bowel ultrasound examination may achieve better accuracy </w:t>
      </w:r>
      <w:r w:rsidR="00564190" w:rsidRPr="00FA5C8D">
        <w:rPr>
          <w:rFonts w:ascii="Book Antiqua" w:hAnsi="Book Antiqua" w:cs="Times New Roman"/>
          <w:sz w:val="24"/>
          <w:szCs w:val="24"/>
        </w:rPr>
        <w:t>for</w:t>
      </w:r>
      <w:r w:rsidR="00E947AA" w:rsidRPr="00FA5C8D">
        <w:rPr>
          <w:rFonts w:ascii="Book Antiqua" w:hAnsi="Book Antiqua" w:cs="Times New Roman"/>
          <w:sz w:val="24"/>
          <w:szCs w:val="24"/>
        </w:rPr>
        <w:t xml:space="preserve"> </w:t>
      </w:r>
      <w:r w:rsidR="00CC4327" w:rsidRPr="00FA5C8D">
        <w:rPr>
          <w:rFonts w:ascii="Book Antiqua" w:hAnsi="Book Antiqua" w:cs="Times New Roman"/>
          <w:sz w:val="24"/>
          <w:szCs w:val="24"/>
        </w:rPr>
        <w:t xml:space="preserve">the detection of atrophy. </w:t>
      </w:r>
      <w:r w:rsidR="00C37954" w:rsidRPr="00FA5C8D">
        <w:rPr>
          <w:rFonts w:ascii="Book Antiqua" w:hAnsi="Book Antiqua" w:cs="Times New Roman"/>
          <w:sz w:val="24"/>
          <w:szCs w:val="24"/>
        </w:rPr>
        <w:t>Signs of persistent VA should be considered after 1</w:t>
      </w:r>
      <w:r w:rsidR="00360EDB" w:rsidRPr="00FA5C8D">
        <w:rPr>
          <w:rFonts w:ascii="Book Antiqua" w:hAnsi="Book Antiqua" w:cs="Times New Roman"/>
          <w:sz w:val="24"/>
          <w:szCs w:val="24"/>
        </w:rPr>
        <w:t>-</w:t>
      </w:r>
      <w:r w:rsidR="00C37954" w:rsidRPr="00FA5C8D">
        <w:rPr>
          <w:rFonts w:ascii="Book Antiqua" w:hAnsi="Book Antiqua" w:cs="Times New Roman"/>
          <w:sz w:val="24"/>
          <w:szCs w:val="24"/>
        </w:rPr>
        <w:t xml:space="preserve">2 years of GFD. </w:t>
      </w:r>
      <w:r w:rsidR="00CC4327" w:rsidRPr="00FA5C8D">
        <w:rPr>
          <w:rFonts w:ascii="Book Antiqua" w:hAnsi="Book Antiqua" w:cs="Times New Roman"/>
          <w:sz w:val="24"/>
          <w:szCs w:val="24"/>
        </w:rPr>
        <w:t>Asymptomatic p</w:t>
      </w:r>
      <w:r w:rsidRPr="00FA5C8D">
        <w:rPr>
          <w:rFonts w:ascii="Book Antiqua" w:hAnsi="Book Antiqua" w:cs="Times New Roman"/>
          <w:sz w:val="24"/>
          <w:szCs w:val="24"/>
        </w:rPr>
        <w:t xml:space="preserve">atients with lower </w:t>
      </w:r>
      <w:r w:rsidR="00F21C19" w:rsidRPr="00FA5C8D">
        <w:rPr>
          <w:rFonts w:ascii="Book Antiqua" w:hAnsi="Book Antiqua" w:cs="Times New Roman"/>
          <w:sz w:val="24"/>
          <w:szCs w:val="24"/>
        </w:rPr>
        <w:t xml:space="preserve">levels </w:t>
      </w:r>
      <w:r w:rsidR="00F84561" w:rsidRPr="00FA5C8D">
        <w:rPr>
          <w:rFonts w:ascii="Book Antiqua" w:hAnsi="Book Antiqua" w:cs="Times New Roman"/>
          <w:sz w:val="24"/>
          <w:szCs w:val="24"/>
        </w:rPr>
        <w:t xml:space="preserve">of </w:t>
      </w:r>
      <w:r w:rsidR="00102DB8" w:rsidRPr="00FA5C8D">
        <w:rPr>
          <w:rFonts w:ascii="Book Antiqua" w:hAnsi="Book Antiqua" w:cs="Times New Roman"/>
          <w:sz w:val="24"/>
          <w:szCs w:val="24"/>
        </w:rPr>
        <w:t xml:space="preserve">both </w:t>
      </w:r>
      <w:proofErr w:type="spellStart"/>
      <w:r w:rsidR="00F21C19" w:rsidRPr="00FA5C8D">
        <w:rPr>
          <w:rFonts w:ascii="Book Antiqua" w:hAnsi="Book Antiqua" w:cs="Times New Roman"/>
          <w:sz w:val="24"/>
          <w:szCs w:val="24"/>
        </w:rPr>
        <w:t>aDGP</w:t>
      </w:r>
      <w:proofErr w:type="spellEnd"/>
      <w:r w:rsidR="00102DB8" w:rsidRPr="00FA5C8D">
        <w:rPr>
          <w:rFonts w:ascii="Book Antiqua" w:hAnsi="Book Antiqua" w:cs="Times New Roman"/>
          <w:sz w:val="24"/>
          <w:szCs w:val="24"/>
        </w:rPr>
        <w:t xml:space="preserve"> IgA and </w:t>
      </w:r>
      <w:proofErr w:type="spellStart"/>
      <w:r w:rsidR="00102DB8" w:rsidRPr="00FA5C8D">
        <w:rPr>
          <w:rFonts w:ascii="Book Antiqua" w:hAnsi="Book Antiqua" w:cs="Times New Roman"/>
          <w:sz w:val="24"/>
          <w:szCs w:val="24"/>
        </w:rPr>
        <w:t>IgG</w:t>
      </w:r>
      <w:proofErr w:type="spellEnd"/>
      <w:r w:rsidR="00F21C19" w:rsidRPr="00FA5C8D">
        <w:rPr>
          <w:rFonts w:ascii="Book Antiqua" w:hAnsi="Book Antiqua" w:cs="Times New Roman"/>
          <w:sz w:val="24"/>
          <w:szCs w:val="24"/>
        </w:rPr>
        <w:t xml:space="preserve"> do not</w:t>
      </w:r>
      <w:r w:rsidRPr="00FA5C8D">
        <w:rPr>
          <w:rFonts w:ascii="Book Antiqua" w:hAnsi="Book Antiqua" w:cs="Times New Roman"/>
          <w:sz w:val="24"/>
          <w:szCs w:val="24"/>
        </w:rPr>
        <w:t xml:space="preserve"> need to undergo follow-up duodenal biopsy to </w:t>
      </w:r>
      <w:r w:rsidR="00564190" w:rsidRPr="00FA5C8D">
        <w:rPr>
          <w:rFonts w:ascii="Book Antiqua" w:hAnsi="Book Antiqua" w:cs="Times New Roman"/>
          <w:sz w:val="24"/>
          <w:szCs w:val="24"/>
        </w:rPr>
        <w:t>determine the presence of</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persistent </w:t>
      </w:r>
      <w:r w:rsidR="00703D70" w:rsidRPr="00FA5C8D">
        <w:rPr>
          <w:rFonts w:ascii="Book Antiqua" w:hAnsi="Book Antiqua" w:cs="Times New Roman"/>
          <w:sz w:val="24"/>
          <w:szCs w:val="24"/>
        </w:rPr>
        <w:t>VA</w:t>
      </w:r>
      <w:r w:rsidRPr="00FA5C8D">
        <w:rPr>
          <w:rFonts w:ascii="Book Antiqua" w:hAnsi="Book Antiqua" w:cs="Times New Roman"/>
          <w:sz w:val="24"/>
          <w:szCs w:val="24"/>
        </w:rPr>
        <w:t>.</w:t>
      </w:r>
    </w:p>
    <w:p w14:paraId="1B365703" w14:textId="77777777" w:rsidR="00976EA8" w:rsidRPr="00FA5C8D" w:rsidRDefault="00976EA8" w:rsidP="00FA5C8D">
      <w:pPr>
        <w:snapToGrid w:val="0"/>
        <w:spacing w:after="0" w:line="360" w:lineRule="auto"/>
        <w:jc w:val="both"/>
        <w:rPr>
          <w:rFonts w:ascii="Book Antiqua" w:hAnsi="Book Antiqua" w:cs="Times New Roman"/>
          <w:b/>
          <w:sz w:val="24"/>
          <w:szCs w:val="24"/>
        </w:rPr>
      </w:pPr>
    </w:p>
    <w:p w14:paraId="0EB4D5BA" w14:textId="77777777" w:rsidR="0058298B" w:rsidRPr="00FA5C8D" w:rsidRDefault="0058298B" w:rsidP="00FA5C8D">
      <w:pPr>
        <w:adjustRightInd w:val="0"/>
        <w:snapToGrid w:val="0"/>
        <w:spacing w:after="0" w:line="360" w:lineRule="auto"/>
        <w:jc w:val="both"/>
        <w:rPr>
          <w:rFonts w:ascii="Book Antiqua" w:hAnsi="Book Antiqua"/>
          <w:b/>
          <w:color w:val="000000"/>
          <w:sz w:val="24"/>
          <w:szCs w:val="24"/>
          <w:u w:val="single"/>
        </w:rPr>
      </w:pPr>
      <w:r w:rsidRPr="00FA5C8D">
        <w:rPr>
          <w:rFonts w:ascii="Book Antiqua" w:hAnsi="Book Antiqua"/>
          <w:b/>
          <w:color w:val="000000"/>
          <w:sz w:val="24"/>
          <w:szCs w:val="24"/>
          <w:u w:val="single"/>
        </w:rPr>
        <w:lastRenderedPageBreak/>
        <w:t xml:space="preserve">ARTICLE HIGHLIGHTS </w:t>
      </w:r>
    </w:p>
    <w:p w14:paraId="4A77E68F"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background</w:t>
      </w:r>
    </w:p>
    <w:p w14:paraId="74D4D94F" w14:textId="77777777" w:rsidR="00D95E57" w:rsidRPr="00FA5C8D" w:rsidRDefault="00D95E57"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Currently, duodenal biopsy is the only way to evaluate mucosal healing in celiac disease (CD).</w:t>
      </w:r>
      <w:r w:rsidR="0047007F" w:rsidRPr="00FA5C8D">
        <w:rPr>
          <w:rFonts w:ascii="Book Antiqua" w:hAnsi="Book Antiqua" w:cs="Times New Roman"/>
          <w:sz w:val="24"/>
          <w:szCs w:val="24"/>
        </w:rPr>
        <w:t xml:space="preserve"> </w:t>
      </w:r>
      <w:r w:rsidRPr="00FA5C8D">
        <w:rPr>
          <w:rFonts w:ascii="Book Antiqua" w:hAnsi="Book Antiqua" w:cs="Times New Roman"/>
          <w:sz w:val="24"/>
          <w:szCs w:val="24"/>
        </w:rPr>
        <w:t>There is no reliable widely available non-invasive marker of persistent villous atrophy (VA), which is one of the core pathological signs of active CD.</w:t>
      </w:r>
    </w:p>
    <w:p w14:paraId="24A191FA"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6569FB69"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motivation</w:t>
      </w:r>
    </w:p>
    <w:p w14:paraId="2DDED1F3" w14:textId="77777777" w:rsidR="00D95E57" w:rsidRPr="00FA5C8D" w:rsidRDefault="00D95E57"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 xml:space="preserve">There is ongoing </w:t>
      </w:r>
      <w:r w:rsidR="00847FEF" w:rsidRPr="00FA5C8D">
        <w:rPr>
          <w:rFonts w:ascii="Book Antiqua" w:hAnsi="Book Antiqua" w:cs="Times New Roman"/>
          <w:sz w:val="24"/>
          <w:szCs w:val="24"/>
        </w:rPr>
        <w:t xml:space="preserve">attempt to </w:t>
      </w:r>
      <w:r w:rsidRPr="00FA5C8D">
        <w:rPr>
          <w:rFonts w:ascii="Book Antiqua" w:hAnsi="Book Antiqua" w:cs="Times New Roman"/>
          <w:sz w:val="24"/>
          <w:szCs w:val="24"/>
        </w:rPr>
        <w:t xml:space="preserve">search for non-invasive markers for mucosal healing in CD, as persistent VA is one of the risk factors </w:t>
      </w:r>
      <w:r w:rsidR="00847FEF" w:rsidRPr="00FA5C8D">
        <w:rPr>
          <w:rFonts w:ascii="Book Antiqua" w:hAnsi="Book Antiqua" w:cs="Times New Roman"/>
          <w:sz w:val="24"/>
          <w:szCs w:val="24"/>
        </w:rPr>
        <w:t>for</w:t>
      </w:r>
      <w:r w:rsidR="00E947AA" w:rsidRPr="00FA5C8D">
        <w:rPr>
          <w:rFonts w:ascii="Book Antiqua" w:hAnsi="Book Antiqua" w:cs="Times New Roman"/>
          <w:sz w:val="24"/>
          <w:szCs w:val="24"/>
        </w:rPr>
        <w:t xml:space="preserve"> </w:t>
      </w:r>
      <w:r w:rsidR="00847FEF" w:rsidRPr="00FA5C8D">
        <w:rPr>
          <w:rFonts w:ascii="Book Antiqua" w:hAnsi="Book Antiqua" w:cs="Times New Roman"/>
          <w:sz w:val="24"/>
          <w:szCs w:val="24"/>
        </w:rPr>
        <w:t>malignant complications and possibly higher mortality rates in CD.</w:t>
      </w:r>
    </w:p>
    <w:p w14:paraId="582912D8"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3AC4D1D2"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objectives</w:t>
      </w:r>
    </w:p>
    <w:p w14:paraId="2BB2279A" w14:textId="77777777" w:rsidR="00D95E57" w:rsidRPr="00FA5C8D" w:rsidRDefault="00276675"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Closer analysis of</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currently available non-invasive CD relevant markers, such as the exact value of anti-tissue </w:t>
      </w:r>
      <w:proofErr w:type="spellStart"/>
      <w:r w:rsidRPr="00FA5C8D">
        <w:rPr>
          <w:rFonts w:ascii="Book Antiqua" w:hAnsi="Book Antiqua" w:cs="Times New Roman"/>
          <w:sz w:val="24"/>
          <w:szCs w:val="24"/>
        </w:rPr>
        <w:t>transglutaminase</w:t>
      </w:r>
      <w:proofErr w:type="spellEnd"/>
      <w:r w:rsidRPr="00FA5C8D">
        <w:rPr>
          <w:rFonts w:ascii="Book Antiqua" w:hAnsi="Book Antiqua" w:cs="Times New Roman"/>
          <w:sz w:val="24"/>
          <w:szCs w:val="24"/>
        </w:rPr>
        <w:t xml:space="preserve"> antibodies (</w:t>
      </w: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anti-</w:t>
      </w:r>
      <w:proofErr w:type="spellStart"/>
      <w:r w:rsidRPr="00FA5C8D">
        <w:rPr>
          <w:rFonts w:ascii="Book Antiqua" w:hAnsi="Book Antiqua" w:cs="Times New Roman"/>
          <w:sz w:val="24"/>
          <w:szCs w:val="24"/>
        </w:rPr>
        <w:t>deamidated</w:t>
      </w:r>
      <w:proofErr w:type="spellEnd"/>
      <w:r w:rsidR="00E947AA"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gliadin</w:t>
      </w:r>
      <w:proofErr w:type="spellEnd"/>
      <w:r w:rsidRPr="00FA5C8D">
        <w:rPr>
          <w:rFonts w:ascii="Book Antiqua" w:hAnsi="Book Antiqua" w:cs="Times New Roman"/>
          <w:sz w:val="24"/>
          <w:szCs w:val="24"/>
        </w:rPr>
        <w:t xml:space="preserve"> peptide antibodies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or combination with </w:t>
      </w:r>
      <w:r w:rsidR="0005742A" w:rsidRPr="00FA5C8D">
        <w:rPr>
          <w:rFonts w:ascii="Book Antiqua" w:hAnsi="Book Antiqua" w:cs="Times New Roman"/>
          <w:sz w:val="24"/>
          <w:szCs w:val="24"/>
        </w:rPr>
        <w:t xml:space="preserve">ultrasonographic signs of active CD could help in prediction of persistent VA. </w:t>
      </w:r>
    </w:p>
    <w:p w14:paraId="6CA60F44"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39A4991E"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methods</w:t>
      </w:r>
    </w:p>
    <w:p w14:paraId="7A92DFA6" w14:textId="77777777" w:rsidR="00D95E57" w:rsidRPr="00FA5C8D" w:rsidRDefault="00847FEF" w:rsidP="00FA5C8D">
      <w:pPr>
        <w:snapToGrid w:val="0"/>
        <w:spacing w:after="0" w:line="360" w:lineRule="auto"/>
        <w:jc w:val="both"/>
        <w:rPr>
          <w:rFonts w:ascii="Book Antiqua" w:hAnsi="Book Antiqua" w:cs="Times New Roman"/>
          <w:color w:val="000000"/>
          <w:sz w:val="24"/>
          <w:szCs w:val="24"/>
          <w:shd w:val="clear" w:color="auto" w:fill="FFFFFF"/>
        </w:rPr>
      </w:pPr>
      <w:r w:rsidRPr="00FA5C8D">
        <w:rPr>
          <w:rFonts w:ascii="Book Antiqua" w:hAnsi="Book Antiqua" w:cs="Times New Roman"/>
          <w:sz w:val="24"/>
          <w:szCs w:val="24"/>
        </w:rPr>
        <w:t xml:space="preserve">We analyzed data </w:t>
      </w:r>
      <w:r w:rsidR="00276675" w:rsidRPr="00FA5C8D">
        <w:rPr>
          <w:rFonts w:ascii="Book Antiqua" w:hAnsi="Book Antiqua" w:cs="Times New Roman"/>
          <w:sz w:val="24"/>
          <w:szCs w:val="24"/>
        </w:rPr>
        <w:t xml:space="preserve">from the database of </w:t>
      </w:r>
      <w:r w:rsidRPr="00FA5C8D">
        <w:rPr>
          <w:rFonts w:ascii="Book Antiqua" w:hAnsi="Book Antiqua" w:cs="Times New Roman"/>
          <w:sz w:val="24"/>
          <w:szCs w:val="24"/>
        </w:rPr>
        <w:t>patients</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with CD</w:t>
      </w:r>
      <w:r w:rsidR="00E947AA" w:rsidRPr="00FA5C8D">
        <w:rPr>
          <w:rFonts w:ascii="Book Antiqua" w:hAnsi="Book Antiqua" w:cs="Times New Roman"/>
          <w:sz w:val="24"/>
          <w:szCs w:val="24"/>
        </w:rPr>
        <w:t xml:space="preserve"> </w:t>
      </w:r>
      <w:r w:rsidR="00276675" w:rsidRPr="00FA5C8D">
        <w:rPr>
          <w:rFonts w:ascii="Book Antiqua" w:hAnsi="Book Antiqua" w:cs="Times New Roman"/>
          <w:sz w:val="24"/>
          <w:szCs w:val="24"/>
        </w:rPr>
        <w:t xml:space="preserve">followed-up at the </w:t>
      </w:r>
      <w:r w:rsidR="00276675" w:rsidRPr="00FA5C8D">
        <w:rPr>
          <w:rFonts w:ascii="Book Antiqua" w:hAnsi="Book Antiqua" w:cs="Times New Roman"/>
          <w:color w:val="000000"/>
          <w:sz w:val="24"/>
          <w:szCs w:val="24"/>
          <w:shd w:val="clear" w:color="auto" w:fill="FFFFFF"/>
        </w:rPr>
        <w:t>Department of Gastroenterology and Internal Medicine, University Hospital Brno from 2014 to 2018.</w:t>
      </w:r>
      <w:r w:rsidR="0005742A" w:rsidRPr="00FA5C8D">
        <w:rPr>
          <w:rFonts w:ascii="Book Antiqua" w:hAnsi="Book Antiqua" w:cs="Times New Roman"/>
          <w:color w:val="000000"/>
          <w:sz w:val="24"/>
          <w:szCs w:val="24"/>
          <w:shd w:val="clear" w:color="auto" w:fill="FFFFFF"/>
        </w:rPr>
        <w:t xml:space="preserve"> The symptoms, laboratory signs, exact values of </w:t>
      </w:r>
      <w:proofErr w:type="spellStart"/>
      <w:r w:rsidR="0005742A" w:rsidRPr="00FA5C8D">
        <w:rPr>
          <w:rFonts w:ascii="Book Antiqua" w:hAnsi="Book Antiqua" w:cs="Times New Roman"/>
          <w:color w:val="000000"/>
          <w:sz w:val="24"/>
          <w:szCs w:val="24"/>
          <w:shd w:val="clear" w:color="auto" w:fill="FFFFFF"/>
        </w:rPr>
        <w:t>aTTG</w:t>
      </w:r>
      <w:proofErr w:type="spellEnd"/>
      <w:r w:rsidR="0005742A" w:rsidRPr="00FA5C8D">
        <w:rPr>
          <w:rFonts w:ascii="Book Antiqua" w:hAnsi="Book Antiqua" w:cs="Times New Roman"/>
          <w:color w:val="000000"/>
          <w:sz w:val="24"/>
          <w:szCs w:val="24"/>
          <w:shd w:val="clear" w:color="auto" w:fill="FFFFFF"/>
        </w:rPr>
        <w:t xml:space="preserve">, </w:t>
      </w:r>
      <w:proofErr w:type="spellStart"/>
      <w:r w:rsidR="0005742A" w:rsidRPr="00FA5C8D">
        <w:rPr>
          <w:rFonts w:ascii="Book Antiqua" w:hAnsi="Book Antiqua" w:cs="Times New Roman"/>
          <w:color w:val="000000"/>
          <w:sz w:val="24"/>
          <w:szCs w:val="24"/>
          <w:shd w:val="clear" w:color="auto" w:fill="FFFFFF"/>
        </w:rPr>
        <w:t>aDGP</w:t>
      </w:r>
      <w:proofErr w:type="spellEnd"/>
      <w:r w:rsidR="0005742A" w:rsidRPr="00FA5C8D">
        <w:rPr>
          <w:rFonts w:ascii="Book Antiqua" w:hAnsi="Book Antiqua" w:cs="Times New Roman"/>
          <w:color w:val="000000"/>
          <w:sz w:val="24"/>
          <w:szCs w:val="24"/>
          <w:shd w:val="clear" w:color="auto" w:fill="FFFFFF"/>
        </w:rPr>
        <w:t xml:space="preserve">, </w:t>
      </w:r>
      <w:proofErr w:type="spellStart"/>
      <w:r w:rsidR="00E947AA" w:rsidRPr="00FA5C8D">
        <w:rPr>
          <w:rFonts w:ascii="Book Antiqua" w:hAnsi="Book Antiqua" w:cs="Times New Roman"/>
          <w:color w:val="000000"/>
          <w:sz w:val="24"/>
          <w:szCs w:val="24"/>
          <w:shd w:val="clear" w:color="auto" w:fill="FFFFFF"/>
        </w:rPr>
        <w:t>ultrasonographic</w:t>
      </w:r>
      <w:proofErr w:type="spellEnd"/>
      <w:r w:rsidR="0005742A" w:rsidRPr="00FA5C8D">
        <w:rPr>
          <w:rFonts w:ascii="Book Antiqua" w:hAnsi="Book Antiqua" w:cs="Times New Roman"/>
          <w:color w:val="000000"/>
          <w:sz w:val="24"/>
          <w:szCs w:val="24"/>
          <w:shd w:val="clear" w:color="auto" w:fill="FFFFFF"/>
        </w:rPr>
        <w:t xml:space="preserve"> signs of active CD were correlated to persistent VA. </w:t>
      </w:r>
    </w:p>
    <w:p w14:paraId="6F9AD5A5"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2202FBFA"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results</w:t>
      </w:r>
    </w:p>
    <w:p w14:paraId="678961FC" w14:textId="77777777" w:rsidR="00D95E57" w:rsidRPr="00FA5C8D" w:rsidRDefault="0005742A"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t>Calculation of new cut</w:t>
      </w:r>
      <w:r w:rsidR="00F22A12" w:rsidRPr="00FA5C8D">
        <w:rPr>
          <w:rFonts w:ascii="Book Antiqua" w:hAnsi="Book Antiqua" w:cs="Times New Roman"/>
          <w:sz w:val="24"/>
          <w:szCs w:val="24"/>
        </w:rPr>
        <w:t>-</w:t>
      </w:r>
      <w:r w:rsidRPr="00FA5C8D">
        <w:rPr>
          <w:rFonts w:ascii="Book Antiqua" w:hAnsi="Book Antiqua" w:cs="Times New Roman"/>
          <w:sz w:val="24"/>
          <w:szCs w:val="24"/>
        </w:rPr>
        <w:t xml:space="preserve">off values of </w:t>
      </w: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and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IgA improved the sensitivity, specificity, and negative predictive value for VA. The combination with expert bowel ultrasound examination achieved even better accuracy.</w:t>
      </w:r>
    </w:p>
    <w:p w14:paraId="1C80FB48" w14:textId="77777777" w:rsidR="0047007F" w:rsidRPr="00FA5C8D" w:rsidRDefault="0047007F" w:rsidP="00FA5C8D">
      <w:pPr>
        <w:snapToGrid w:val="0"/>
        <w:spacing w:after="0" w:line="360" w:lineRule="auto"/>
        <w:jc w:val="both"/>
        <w:rPr>
          <w:rFonts w:ascii="Book Antiqua" w:hAnsi="Book Antiqua" w:cs="Times New Roman"/>
          <w:b/>
          <w:sz w:val="24"/>
          <w:szCs w:val="24"/>
        </w:rPr>
      </w:pPr>
    </w:p>
    <w:p w14:paraId="1B34C0DD"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conclusions</w:t>
      </w:r>
    </w:p>
    <w:p w14:paraId="51D7B19B" w14:textId="77777777" w:rsidR="00D95E57" w:rsidRPr="00FA5C8D" w:rsidRDefault="00B23333"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sz w:val="24"/>
          <w:szCs w:val="24"/>
        </w:rPr>
        <w:lastRenderedPageBreak/>
        <w:t>We found out that a combination of currently available non-invasive CD relevant markers</w:t>
      </w:r>
      <w:r w:rsidR="00E947AA" w:rsidRPr="00FA5C8D">
        <w:rPr>
          <w:rFonts w:ascii="Book Antiqua" w:hAnsi="Book Antiqua" w:cs="Times New Roman"/>
          <w:sz w:val="24"/>
          <w:szCs w:val="24"/>
        </w:rPr>
        <w:t xml:space="preserve"> </w:t>
      </w:r>
      <w:r w:rsidRPr="00FA5C8D">
        <w:rPr>
          <w:rFonts w:ascii="Book Antiqua" w:hAnsi="Book Antiqua" w:cs="Times New Roman"/>
          <w:sz w:val="24"/>
          <w:szCs w:val="24"/>
        </w:rPr>
        <w:t xml:space="preserve">could </w:t>
      </w:r>
      <w:r w:rsidR="00887B19" w:rsidRPr="00FA5C8D">
        <w:rPr>
          <w:rFonts w:ascii="Book Antiqua" w:hAnsi="Book Antiqua" w:cs="Times New Roman"/>
          <w:sz w:val="24"/>
          <w:szCs w:val="24"/>
        </w:rPr>
        <w:t xml:space="preserve">help in </w:t>
      </w:r>
      <w:r w:rsidRPr="00FA5C8D">
        <w:rPr>
          <w:rFonts w:ascii="Book Antiqua" w:hAnsi="Book Antiqua" w:cs="Times New Roman"/>
          <w:sz w:val="24"/>
          <w:szCs w:val="24"/>
        </w:rPr>
        <w:t>predict</w:t>
      </w:r>
      <w:r w:rsidR="00887B19" w:rsidRPr="00FA5C8D">
        <w:rPr>
          <w:rFonts w:ascii="Book Antiqua" w:hAnsi="Book Antiqua" w:cs="Times New Roman"/>
          <w:sz w:val="24"/>
          <w:szCs w:val="24"/>
        </w:rPr>
        <w:t>ion of</w:t>
      </w:r>
      <w:r w:rsidRPr="00FA5C8D">
        <w:rPr>
          <w:rFonts w:ascii="Book Antiqua" w:hAnsi="Book Antiqua" w:cs="Times New Roman"/>
          <w:sz w:val="24"/>
          <w:szCs w:val="24"/>
        </w:rPr>
        <w:t xml:space="preserve"> persistent VA.</w:t>
      </w:r>
    </w:p>
    <w:p w14:paraId="5AC5608C" w14:textId="77777777" w:rsidR="0047007F" w:rsidRPr="00FA5C8D" w:rsidRDefault="0047007F" w:rsidP="00FA5C8D">
      <w:pPr>
        <w:snapToGrid w:val="0"/>
        <w:spacing w:after="0" w:line="360" w:lineRule="auto"/>
        <w:jc w:val="both"/>
        <w:rPr>
          <w:rFonts w:ascii="Book Antiqua" w:hAnsi="Book Antiqua" w:cs="Times New Roman"/>
          <w:sz w:val="24"/>
          <w:szCs w:val="24"/>
        </w:rPr>
      </w:pPr>
    </w:p>
    <w:p w14:paraId="6115C182" w14:textId="77777777" w:rsidR="0047007F" w:rsidRPr="00FA5C8D" w:rsidRDefault="00D95E57" w:rsidP="00FA5C8D">
      <w:pPr>
        <w:snapToGrid w:val="0"/>
        <w:spacing w:after="0" w:line="360" w:lineRule="auto"/>
        <w:jc w:val="both"/>
        <w:rPr>
          <w:rFonts w:ascii="Book Antiqua" w:hAnsi="Book Antiqua" w:cs="Times New Roman"/>
          <w:b/>
          <w:i/>
          <w:iCs/>
          <w:sz w:val="24"/>
          <w:szCs w:val="24"/>
        </w:rPr>
      </w:pPr>
      <w:r w:rsidRPr="00FA5C8D">
        <w:rPr>
          <w:rFonts w:ascii="Book Antiqua" w:hAnsi="Book Antiqua" w:cs="Times New Roman"/>
          <w:b/>
          <w:i/>
          <w:iCs/>
          <w:sz w:val="24"/>
          <w:szCs w:val="24"/>
        </w:rPr>
        <w:t>Research perspectives</w:t>
      </w:r>
    </w:p>
    <w:p w14:paraId="1AAD9296" w14:textId="77777777" w:rsidR="00D95E57" w:rsidRPr="00FA5C8D" w:rsidRDefault="00E947AA"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sz w:val="24"/>
          <w:szCs w:val="24"/>
        </w:rPr>
        <w:t>This could lead to more personalized approaches and closer follow-ups of CD patients, including repeated evaluation of adherence to GFD</w:t>
      </w:r>
      <w:r w:rsidRPr="00FA5C8D">
        <w:rPr>
          <w:rFonts w:ascii="Book Antiqua" w:hAnsi="Book Antiqua" w:cs="Times New Roman"/>
          <w:color w:val="000000"/>
          <w:sz w:val="24"/>
          <w:szCs w:val="24"/>
          <w:shd w:val="clear" w:color="auto" w:fill="FFFFFF"/>
        </w:rPr>
        <w:t xml:space="preserve">, thorough searches for nutritional deficiencies and possibly also </w:t>
      </w:r>
      <w:r w:rsidRPr="00FA5C8D">
        <w:rPr>
          <w:rFonts w:ascii="Book Antiqua" w:hAnsi="Book Antiqua" w:cs="Times New Roman"/>
          <w:sz w:val="24"/>
          <w:szCs w:val="24"/>
        </w:rPr>
        <w:t>follow-up duodenal biopsy</w:t>
      </w:r>
      <w:r w:rsidRPr="00FA5C8D">
        <w:rPr>
          <w:rFonts w:ascii="Book Antiqua" w:hAnsi="Book Antiqua" w:cs="Times New Roman"/>
          <w:color w:val="000000"/>
          <w:sz w:val="24"/>
          <w:szCs w:val="24"/>
          <w:shd w:val="clear" w:color="auto" w:fill="FFFFFF"/>
        </w:rPr>
        <w:t xml:space="preserve"> and search for complications of CD</w:t>
      </w:r>
      <w:r w:rsidRPr="00FA5C8D">
        <w:rPr>
          <w:rFonts w:ascii="Book Antiqua" w:hAnsi="Book Antiqua" w:cs="Times New Roman"/>
          <w:sz w:val="24"/>
          <w:szCs w:val="24"/>
        </w:rPr>
        <w:t>.</w:t>
      </w:r>
    </w:p>
    <w:p w14:paraId="0FDD4FB9" w14:textId="77777777" w:rsidR="00D95E57" w:rsidRPr="00FA5C8D" w:rsidRDefault="00D95E57" w:rsidP="00FA5C8D">
      <w:pPr>
        <w:snapToGrid w:val="0"/>
        <w:spacing w:after="0" w:line="360" w:lineRule="auto"/>
        <w:jc w:val="both"/>
        <w:rPr>
          <w:rFonts w:ascii="Book Antiqua" w:hAnsi="Book Antiqua" w:cs="Times New Roman"/>
          <w:b/>
          <w:sz w:val="24"/>
          <w:szCs w:val="24"/>
          <w:u w:val="single"/>
        </w:rPr>
      </w:pPr>
    </w:p>
    <w:p w14:paraId="38482DC5" w14:textId="77777777" w:rsidR="0058298B" w:rsidRPr="00FA5C8D" w:rsidRDefault="0058298B" w:rsidP="00FA5C8D">
      <w:pPr>
        <w:widowControl w:val="0"/>
        <w:snapToGrid w:val="0"/>
        <w:spacing w:after="0" w:line="360" w:lineRule="auto"/>
        <w:jc w:val="both"/>
        <w:rPr>
          <w:rFonts w:ascii="Book Antiqua" w:hAnsi="Book Antiqua"/>
          <w:sz w:val="24"/>
          <w:szCs w:val="24"/>
          <w:lang w:val="en-GB"/>
        </w:rPr>
      </w:pPr>
      <w:r w:rsidRPr="00FA5C8D">
        <w:rPr>
          <w:rFonts w:ascii="Book Antiqua" w:hAnsi="Book Antiqua"/>
          <w:b/>
          <w:sz w:val="24"/>
          <w:szCs w:val="24"/>
          <w:lang w:val="en-GB"/>
        </w:rPr>
        <w:t>REFERENCES</w:t>
      </w:r>
    </w:p>
    <w:p w14:paraId="4410B5EF"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 </w:t>
      </w:r>
      <w:proofErr w:type="spellStart"/>
      <w:r w:rsidRPr="00FA5C8D">
        <w:rPr>
          <w:rFonts w:ascii="Book Antiqua" w:hAnsi="Book Antiqua"/>
          <w:b/>
          <w:sz w:val="24"/>
          <w:szCs w:val="24"/>
        </w:rPr>
        <w:t>Lebwohl</w:t>
      </w:r>
      <w:proofErr w:type="spellEnd"/>
      <w:r w:rsidRPr="00FA5C8D">
        <w:rPr>
          <w:rFonts w:ascii="Book Antiqua" w:hAnsi="Book Antiqua"/>
          <w:b/>
          <w:sz w:val="24"/>
          <w:szCs w:val="24"/>
        </w:rPr>
        <w:t xml:space="preserve"> B</w:t>
      </w:r>
      <w:r w:rsidRPr="00FA5C8D">
        <w:rPr>
          <w:rFonts w:ascii="Book Antiqua" w:hAnsi="Book Antiqua"/>
          <w:sz w:val="24"/>
          <w:szCs w:val="24"/>
        </w:rPr>
        <w:t xml:space="preserve">, </w:t>
      </w:r>
      <w:proofErr w:type="spellStart"/>
      <w:r w:rsidRPr="00FA5C8D">
        <w:rPr>
          <w:rFonts w:ascii="Book Antiqua" w:hAnsi="Book Antiqua"/>
          <w:sz w:val="24"/>
          <w:szCs w:val="24"/>
        </w:rPr>
        <w:t>Granath</w:t>
      </w:r>
      <w:proofErr w:type="spellEnd"/>
      <w:r w:rsidRPr="00FA5C8D">
        <w:rPr>
          <w:rFonts w:ascii="Book Antiqua" w:hAnsi="Book Antiqua"/>
          <w:sz w:val="24"/>
          <w:szCs w:val="24"/>
        </w:rPr>
        <w:t xml:space="preserve"> F, Ekbom A, Montgomery SM, Murray JA, Rubio-Tapia A, Green PH, </w:t>
      </w:r>
      <w:proofErr w:type="spellStart"/>
      <w:r w:rsidRPr="00FA5C8D">
        <w:rPr>
          <w:rFonts w:ascii="Book Antiqua" w:hAnsi="Book Antiqua"/>
          <w:sz w:val="24"/>
          <w:szCs w:val="24"/>
        </w:rPr>
        <w:t>Ludvigsson</w:t>
      </w:r>
      <w:proofErr w:type="spellEnd"/>
      <w:r w:rsidRPr="00FA5C8D">
        <w:rPr>
          <w:rFonts w:ascii="Book Antiqua" w:hAnsi="Book Antiqua"/>
          <w:sz w:val="24"/>
          <w:szCs w:val="24"/>
        </w:rPr>
        <w:t xml:space="preserve"> JF. Mucosal healing and mortality in coeliac disease. </w:t>
      </w:r>
      <w:r w:rsidRPr="00FA5C8D">
        <w:rPr>
          <w:rFonts w:ascii="Book Antiqua" w:hAnsi="Book Antiqua"/>
          <w:i/>
          <w:sz w:val="24"/>
          <w:szCs w:val="24"/>
        </w:rPr>
        <w:t xml:space="preserve">Aliment </w:t>
      </w:r>
      <w:proofErr w:type="spellStart"/>
      <w:r w:rsidRPr="00FA5C8D">
        <w:rPr>
          <w:rFonts w:ascii="Book Antiqua" w:hAnsi="Book Antiqua"/>
          <w:i/>
          <w:sz w:val="24"/>
          <w:szCs w:val="24"/>
        </w:rPr>
        <w:t>Pharmacol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Ther</w:t>
      </w:r>
      <w:proofErr w:type="spellEnd"/>
      <w:r w:rsidRPr="00FA5C8D">
        <w:rPr>
          <w:rFonts w:ascii="Book Antiqua" w:hAnsi="Book Antiqua"/>
          <w:sz w:val="24"/>
          <w:szCs w:val="24"/>
        </w:rPr>
        <w:t xml:space="preserve"> 2013; </w:t>
      </w:r>
      <w:r w:rsidRPr="00FA5C8D">
        <w:rPr>
          <w:rFonts w:ascii="Book Antiqua" w:hAnsi="Book Antiqua"/>
          <w:b/>
          <w:sz w:val="24"/>
          <w:szCs w:val="24"/>
        </w:rPr>
        <w:t>37</w:t>
      </w:r>
      <w:r w:rsidRPr="00FA5C8D">
        <w:rPr>
          <w:rFonts w:ascii="Book Antiqua" w:hAnsi="Book Antiqua"/>
          <w:sz w:val="24"/>
          <w:szCs w:val="24"/>
        </w:rPr>
        <w:t>: 332-339 [PMID: 23190299 DOI: 10.1111/apt.12164]</w:t>
      </w:r>
    </w:p>
    <w:p w14:paraId="502063B8"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 </w:t>
      </w:r>
      <w:r w:rsidRPr="00FA5C8D">
        <w:rPr>
          <w:rFonts w:ascii="Book Antiqua" w:hAnsi="Book Antiqua"/>
          <w:b/>
          <w:sz w:val="24"/>
          <w:szCs w:val="24"/>
        </w:rPr>
        <w:t>Sharkey LM</w:t>
      </w:r>
      <w:r w:rsidRPr="00FA5C8D">
        <w:rPr>
          <w:rFonts w:ascii="Book Antiqua" w:hAnsi="Book Antiqua"/>
          <w:sz w:val="24"/>
          <w:szCs w:val="24"/>
        </w:rPr>
        <w:t xml:space="preserve">, Corbett G, Currie E, Lee J, Sweeney N, Woodward JM. </w:t>
      </w:r>
      <w:proofErr w:type="spellStart"/>
      <w:r w:rsidRPr="00FA5C8D">
        <w:rPr>
          <w:rFonts w:ascii="Book Antiqua" w:hAnsi="Book Antiqua"/>
          <w:sz w:val="24"/>
          <w:szCs w:val="24"/>
        </w:rPr>
        <w:t>Optimising</w:t>
      </w:r>
      <w:proofErr w:type="spellEnd"/>
      <w:r w:rsidRPr="00FA5C8D">
        <w:rPr>
          <w:rFonts w:ascii="Book Antiqua" w:hAnsi="Book Antiqua"/>
          <w:sz w:val="24"/>
          <w:szCs w:val="24"/>
        </w:rPr>
        <w:t xml:space="preserve"> delivery of care in coeliac disease - comparison of the benefits of repeat biopsy and serological follow-up. </w:t>
      </w:r>
      <w:r w:rsidRPr="00FA5C8D">
        <w:rPr>
          <w:rFonts w:ascii="Book Antiqua" w:hAnsi="Book Antiqua"/>
          <w:i/>
          <w:sz w:val="24"/>
          <w:szCs w:val="24"/>
        </w:rPr>
        <w:t xml:space="preserve">Aliment </w:t>
      </w:r>
      <w:proofErr w:type="spellStart"/>
      <w:r w:rsidRPr="00FA5C8D">
        <w:rPr>
          <w:rFonts w:ascii="Book Antiqua" w:hAnsi="Book Antiqua"/>
          <w:i/>
          <w:sz w:val="24"/>
          <w:szCs w:val="24"/>
        </w:rPr>
        <w:t>Pharmacol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Ther</w:t>
      </w:r>
      <w:proofErr w:type="spellEnd"/>
      <w:r w:rsidRPr="00FA5C8D">
        <w:rPr>
          <w:rFonts w:ascii="Book Antiqua" w:hAnsi="Book Antiqua"/>
          <w:sz w:val="24"/>
          <w:szCs w:val="24"/>
        </w:rPr>
        <w:t xml:space="preserve"> 2013; </w:t>
      </w:r>
      <w:r w:rsidRPr="00FA5C8D">
        <w:rPr>
          <w:rFonts w:ascii="Book Antiqua" w:hAnsi="Book Antiqua"/>
          <w:b/>
          <w:sz w:val="24"/>
          <w:szCs w:val="24"/>
        </w:rPr>
        <w:t>38</w:t>
      </w:r>
      <w:r w:rsidRPr="00FA5C8D">
        <w:rPr>
          <w:rFonts w:ascii="Book Antiqua" w:hAnsi="Book Antiqua"/>
          <w:sz w:val="24"/>
          <w:szCs w:val="24"/>
        </w:rPr>
        <w:t>: 1278-1291 [PMID: 24117503 DOI: 10.1111/apt.12510]</w:t>
      </w:r>
    </w:p>
    <w:p w14:paraId="059E7824"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3 </w:t>
      </w:r>
      <w:proofErr w:type="spellStart"/>
      <w:r w:rsidRPr="00FA5C8D">
        <w:rPr>
          <w:rFonts w:ascii="Book Antiqua" w:hAnsi="Book Antiqua"/>
          <w:b/>
          <w:sz w:val="24"/>
          <w:szCs w:val="24"/>
        </w:rPr>
        <w:t>Hære</w:t>
      </w:r>
      <w:proofErr w:type="spellEnd"/>
      <w:r w:rsidRPr="00FA5C8D">
        <w:rPr>
          <w:rFonts w:ascii="Book Antiqua" w:hAnsi="Book Antiqua"/>
          <w:b/>
          <w:sz w:val="24"/>
          <w:szCs w:val="24"/>
        </w:rPr>
        <w:t xml:space="preserve"> P</w:t>
      </w:r>
      <w:r w:rsidRPr="00FA5C8D">
        <w:rPr>
          <w:rFonts w:ascii="Book Antiqua" w:hAnsi="Book Antiqua"/>
          <w:sz w:val="24"/>
          <w:szCs w:val="24"/>
        </w:rPr>
        <w:t xml:space="preserve">, </w:t>
      </w:r>
      <w:proofErr w:type="spellStart"/>
      <w:r w:rsidRPr="00FA5C8D">
        <w:rPr>
          <w:rFonts w:ascii="Book Antiqua" w:hAnsi="Book Antiqua"/>
          <w:sz w:val="24"/>
          <w:szCs w:val="24"/>
        </w:rPr>
        <w:t>Høie</w:t>
      </w:r>
      <w:proofErr w:type="spellEnd"/>
      <w:r w:rsidRPr="00FA5C8D">
        <w:rPr>
          <w:rFonts w:ascii="Book Antiqua" w:hAnsi="Book Antiqua"/>
          <w:sz w:val="24"/>
          <w:szCs w:val="24"/>
        </w:rPr>
        <w:t xml:space="preserve"> O, Schulz T, </w:t>
      </w:r>
      <w:proofErr w:type="spellStart"/>
      <w:r w:rsidRPr="00FA5C8D">
        <w:rPr>
          <w:rFonts w:ascii="Book Antiqua" w:hAnsi="Book Antiqua"/>
          <w:sz w:val="24"/>
          <w:szCs w:val="24"/>
        </w:rPr>
        <w:t>Schönhardt</w:t>
      </w:r>
      <w:proofErr w:type="spellEnd"/>
      <w:r w:rsidRPr="00FA5C8D">
        <w:rPr>
          <w:rFonts w:ascii="Book Antiqua" w:hAnsi="Book Antiqua"/>
          <w:sz w:val="24"/>
          <w:szCs w:val="24"/>
        </w:rPr>
        <w:t xml:space="preserve"> I, </w:t>
      </w:r>
      <w:proofErr w:type="spellStart"/>
      <w:r w:rsidRPr="00FA5C8D">
        <w:rPr>
          <w:rFonts w:ascii="Book Antiqua" w:hAnsi="Book Antiqua"/>
          <w:sz w:val="24"/>
          <w:szCs w:val="24"/>
        </w:rPr>
        <w:t>Raki</w:t>
      </w:r>
      <w:proofErr w:type="spellEnd"/>
      <w:r w:rsidRPr="00FA5C8D">
        <w:rPr>
          <w:rFonts w:ascii="Book Antiqua" w:hAnsi="Book Antiqua"/>
          <w:sz w:val="24"/>
          <w:szCs w:val="24"/>
        </w:rPr>
        <w:t xml:space="preserve"> M, Lundin KE. Long-term mucosal recovery and healing in celiac disease is the rule - not the exception. </w:t>
      </w:r>
      <w:proofErr w:type="spellStart"/>
      <w:r w:rsidRPr="00FA5C8D">
        <w:rPr>
          <w:rFonts w:ascii="Book Antiqua" w:hAnsi="Book Antiqua"/>
          <w:i/>
          <w:sz w:val="24"/>
          <w:szCs w:val="24"/>
        </w:rPr>
        <w:t>Scand</w:t>
      </w:r>
      <w:proofErr w:type="spellEnd"/>
      <w:r w:rsidRPr="00FA5C8D">
        <w:rPr>
          <w:rFonts w:ascii="Book Antiqua" w:hAnsi="Book Antiqua"/>
          <w:i/>
          <w:sz w:val="24"/>
          <w:szCs w:val="24"/>
        </w:rPr>
        <w:t xml:space="preserve"> J </w:t>
      </w:r>
      <w:proofErr w:type="spellStart"/>
      <w:r w:rsidRPr="00FA5C8D">
        <w:rPr>
          <w:rFonts w:ascii="Book Antiqua" w:hAnsi="Book Antiqua"/>
          <w:i/>
          <w:sz w:val="24"/>
          <w:szCs w:val="24"/>
        </w:rPr>
        <w:t>Gastroenterol</w:t>
      </w:r>
      <w:proofErr w:type="spellEnd"/>
      <w:r w:rsidRPr="00FA5C8D">
        <w:rPr>
          <w:rFonts w:ascii="Book Antiqua" w:hAnsi="Book Antiqua"/>
          <w:sz w:val="24"/>
          <w:szCs w:val="24"/>
        </w:rPr>
        <w:t xml:space="preserve"> 2016; </w:t>
      </w:r>
      <w:r w:rsidRPr="00FA5C8D">
        <w:rPr>
          <w:rFonts w:ascii="Book Antiqua" w:hAnsi="Book Antiqua"/>
          <w:b/>
          <w:sz w:val="24"/>
          <w:szCs w:val="24"/>
        </w:rPr>
        <w:t>51</w:t>
      </w:r>
      <w:r w:rsidRPr="00FA5C8D">
        <w:rPr>
          <w:rFonts w:ascii="Book Antiqua" w:hAnsi="Book Antiqua"/>
          <w:sz w:val="24"/>
          <w:szCs w:val="24"/>
        </w:rPr>
        <w:t>: 1439-1446 [PMID: 27534885 DOI: 10.1080/00365521.2016.1218540]</w:t>
      </w:r>
    </w:p>
    <w:p w14:paraId="2B73BEF1"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4 </w:t>
      </w:r>
      <w:r w:rsidRPr="00FA5C8D">
        <w:rPr>
          <w:rFonts w:ascii="Book Antiqua" w:hAnsi="Book Antiqua"/>
          <w:b/>
          <w:sz w:val="24"/>
          <w:szCs w:val="24"/>
        </w:rPr>
        <w:t>Leonard MM</w:t>
      </w:r>
      <w:r w:rsidRPr="00FA5C8D">
        <w:rPr>
          <w:rFonts w:ascii="Book Antiqua" w:hAnsi="Book Antiqua"/>
          <w:sz w:val="24"/>
          <w:szCs w:val="24"/>
        </w:rPr>
        <w:t xml:space="preserve">, Weir DC, DeGroote M, Mitchell PD, Singh P, </w:t>
      </w:r>
      <w:proofErr w:type="spellStart"/>
      <w:r w:rsidRPr="00FA5C8D">
        <w:rPr>
          <w:rFonts w:ascii="Book Antiqua" w:hAnsi="Book Antiqua"/>
          <w:sz w:val="24"/>
          <w:szCs w:val="24"/>
        </w:rPr>
        <w:t>Silvester</w:t>
      </w:r>
      <w:proofErr w:type="spellEnd"/>
      <w:r w:rsidRPr="00FA5C8D">
        <w:rPr>
          <w:rFonts w:ascii="Book Antiqua" w:hAnsi="Book Antiqua"/>
          <w:sz w:val="24"/>
          <w:szCs w:val="24"/>
        </w:rPr>
        <w:t xml:space="preserve"> JA, </w:t>
      </w:r>
      <w:proofErr w:type="spellStart"/>
      <w:r w:rsidRPr="00FA5C8D">
        <w:rPr>
          <w:rFonts w:ascii="Book Antiqua" w:hAnsi="Book Antiqua"/>
          <w:sz w:val="24"/>
          <w:szCs w:val="24"/>
        </w:rPr>
        <w:t>Leichtner</w:t>
      </w:r>
      <w:proofErr w:type="spellEnd"/>
      <w:r w:rsidRPr="00FA5C8D">
        <w:rPr>
          <w:rFonts w:ascii="Book Antiqua" w:hAnsi="Book Antiqua"/>
          <w:sz w:val="24"/>
          <w:szCs w:val="24"/>
        </w:rPr>
        <w:t xml:space="preserve"> AM, </w:t>
      </w:r>
      <w:proofErr w:type="spellStart"/>
      <w:r w:rsidRPr="00FA5C8D">
        <w:rPr>
          <w:rFonts w:ascii="Book Antiqua" w:hAnsi="Book Antiqua"/>
          <w:sz w:val="24"/>
          <w:szCs w:val="24"/>
        </w:rPr>
        <w:t>Fasano</w:t>
      </w:r>
      <w:proofErr w:type="spellEnd"/>
      <w:r w:rsidRPr="00FA5C8D">
        <w:rPr>
          <w:rFonts w:ascii="Book Antiqua" w:hAnsi="Book Antiqua"/>
          <w:sz w:val="24"/>
          <w:szCs w:val="24"/>
        </w:rPr>
        <w:t xml:space="preserve"> A. Value of IgA </w:t>
      </w:r>
      <w:proofErr w:type="spellStart"/>
      <w:r w:rsidRPr="00FA5C8D">
        <w:rPr>
          <w:rFonts w:ascii="Book Antiqua" w:hAnsi="Book Antiqua"/>
          <w:sz w:val="24"/>
          <w:szCs w:val="24"/>
        </w:rPr>
        <w:t>tTG</w:t>
      </w:r>
      <w:proofErr w:type="spellEnd"/>
      <w:r w:rsidRPr="00FA5C8D">
        <w:rPr>
          <w:rFonts w:ascii="Book Antiqua" w:hAnsi="Book Antiqua"/>
          <w:sz w:val="24"/>
          <w:szCs w:val="24"/>
        </w:rPr>
        <w:t xml:space="preserve"> in Predicting Mucosal Recovery in Children With Celiac Disease on a Gluten-Free Diet. </w:t>
      </w:r>
      <w:r w:rsidRPr="00FA5C8D">
        <w:rPr>
          <w:rFonts w:ascii="Book Antiqua" w:hAnsi="Book Antiqua"/>
          <w:i/>
          <w:sz w:val="24"/>
          <w:szCs w:val="24"/>
        </w:rPr>
        <w:t xml:space="preserve">J </w:t>
      </w:r>
      <w:proofErr w:type="spellStart"/>
      <w:r w:rsidRPr="00FA5C8D">
        <w:rPr>
          <w:rFonts w:ascii="Book Antiqua" w:hAnsi="Book Antiqua"/>
          <w:i/>
          <w:sz w:val="24"/>
          <w:szCs w:val="24"/>
        </w:rPr>
        <w:t>Pediatr</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Gastroenterol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Nutr</w:t>
      </w:r>
      <w:proofErr w:type="spellEnd"/>
      <w:r w:rsidRPr="00FA5C8D">
        <w:rPr>
          <w:rFonts w:ascii="Book Antiqua" w:hAnsi="Book Antiqua"/>
          <w:sz w:val="24"/>
          <w:szCs w:val="24"/>
        </w:rPr>
        <w:t xml:space="preserve"> 2017; </w:t>
      </w:r>
      <w:r w:rsidRPr="00FA5C8D">
        <w:rPr>
          <w:rFonts w:ascii="Book Antiqua" w:hAnsi="Book Antiqua"/>
          <w:b/>
          <w:sz w:val="24"/>
          <w:szCs w:val="24"/>
        </w:rPr>
        <w:t>64</w:t>
      </w:r>
      <w:r w:rsidRPr="00FA5C8D">
        <w:rPr>
          <w:rFonts w:ascii="Book Antiqua" w:hAnsi="Book Antiqua"/>
          <w:sz w:val="24"/>
          <w:szCs w:val="24"/>
        </w:rPr>
        <w:t>: 286-291 [PMID: 28112686 DOI: 10.1097/MPG.0000000000001460]</w:t>
      </w:r>
    </w:p>
    <w:p w14:paraId="1270F06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5 </w:t>
      </w:r>
      <w:proofErr w:type="spellStart"/>
      <w:r w:rsidRPr="00FA5C8D">
        <w:rPr>
          <w:rFonts w:ascii="Book Antiqua" w:hAnsi="Book Antiqua"/>
          <w:b/>
          <w:sz w:val="24"/>
          <w:szCs w:val="24"/>
        </w:rPr>
        <w:t>Silvester</w:t>
      </w:r>
      <w:proofErr w:type="spellEnd"/>
      <w:r w:rsidRPr="00FA5C8D">
        <w:rPr>
          <w:rFonts w:ascii="Book Antiqua" w:hAnsi="Book Antiqua"/>
          <w:b/>
          <w:sz w:val="24"/>
          <w:szCs w:val="24"/>
        </w:rPr>
        <w:t xml:space="preserve"> JA</w:t>
      </w:r>
      <w:r w:rsidRPr="00FA5C8D">
        <w:rPr>
          <w:rFonts w:ascii="Book Antiqua" w:hAnsi="Book Antiqua"/>
          <w:sz w:val="24"/>
          <w:szCs w:val="24"/>
        </w:rPr>
        <w:t xml:space="preserve">, </w:t>
      </w:r>
      <w:proofErr w:type="spellStart"/>
      <w:r w:rsidRPr="00FA5C8D">
        <w:rPr>
          <w:rFonts w:ascii="Book Antiqua" w:hAnsi="Book Antiqua"/>
          <w:sz w:val="24"/>
          <w:szCs w:val="24"/>
        </w:rPr>
        <w:t>Kurada</w:t>
      </w:r>
      <w:proofErr w:type="spellEnd"/>
      <w:r w:rsidRPr="00FA5C8D">
        <w:rPr>
          <w:rFonts w:ascii="Book Antiqua" w:hAnsi="Book Antiqua"/>
          <w:sz w:val="24"/>
          <w:szCs w:val="24"/>
        </w:rPr>
        <w:t xml:space="preserve"> S, </w:t>
      </w:r>
      <w:proofErr w:type="spellStart"/>
      <w:r w:rsidRPr="00FA5C8D">
        <w:rPr>
          <w:rFonts w:ascii="Book Antiqua" w:hAnsi="Book Antiqua"/>
          <w:sz w:val="24"/>
          <w:szCs w:val="24"/>
        </w:rPr>
        <w:t>Szwajcer</w:t>
      </w:r>
      <w:proofErr w:type="spellEnd"/>
      <w:r w:rsidRPr="00FA5C8D">
        <w:rPr>
          <w:rFonts w:ascii="Book Antiqua" w:hAnsi="Book Antiqua"/>
          <w:sz w:val="24"/>
          <w:szCs w:val="24"/>
        </w:rPr>
        <w:t xml:space="preserve"> A, Kelly CP, </w:t>
      </w:r>
      <w:proofErr w:type="spellStart"/>
      <w:r w:rsidRPr="00FA5C8D">
        <w:rPr>
          <w:rFonts w:ascii="Book Antiqua" w:hAnsi="Book Antiqua"/>
          <w:sz w:val="24"/>
          <w:szCs w:val="24"/>
        </w:rPr>
        <w:t>Leffler</w:t>
      </w:r>
      <w:proofErr w:type="spellEnd"/>
      <w:r w:rsidRPr="00FA5C8D">
        <w:rPr>
          <w:rFonts w:ascii="Book Antiqua" w:hAnsi="Book Antiqua"/>
          <w:sz w:val="24"/>
          <w:szCs w:val="24"/>
        </w:rPr>
        <w:t xml:space="preserve"> DA, </w:t>
      </w:r>
      <w:proofErr w:type="spellStart"/>
      <w:r w:rsidRPr="00FA5C8D">
        <w:rPr>
          <w:rFonts w:ascii="Book Antiqua" w:hAnsi="Book Antiqua"/>
          <w:sz w:val="24"/>
          <w:szCs w:val="24"/>
        </w:rPr>
        <w:t>Duerksen</w:t>
      </w:r>
      <w:proofErr w:type="spellEnd"/>
      <w:r w:rsidRPr="00FA5C8D">
        <w:rPr>
          <w:rFonts w:ascii="Book Antiqua" w:hAnsi="Book Antiqua"/>
          <w:sz w:val="24"/>
          <w:szCs w:val="24"/>
        </w:rPr>
        <w:t xml:space="preserve"> DR. Tests for Serum </w:t>
      </w:r>
      <w:proofErr w:type="spellStart"/>
      <w:r w:rsidRPr="00FA5C8D">
        <w:rPr>
          <w:rFonts w:ascii="Book Antiqua" w:hAnsi="Book Antiqua"/>
          <w:sz w:val="24"/>
          <w:szCs w:val="24"/>
        </w:rPr>
        <w:t>Transglutaminase</w:t>
      </w:r>
      <w:proofErr w:type="spellEnd"/>
      <w:r w:rsidRPr="00FA5C8D">
        <w:rPr>
          <w:rFonts w:ascii="Book Antiqua" w:hAnsi="Book Antiqua"/>
          <w:sz w:val="24"/>
          <w:szCs w:val="24"/>
        </w:rPr>
        <w:t xml:space="preserve"> and </w:t>
      </w:r>
      <w:proofErr w:type="spellStart"/>
      <w:r w:rsidRPr="00FA5C8D">
        <w:rPr>
          <w:rFonts w:ascii="Book Antiqua" w:hAnsi="Book Antiqua"/>
          <w:sz w:val="24"/>
          <w:szCs w:val="24"/>
        </w:rPr>
        <w:t>Endomysial</w:t>
      </w:r>
      <w:proofErr w:type="spellEnd"/>
      <w:r w:rsidRPr="00FA5C8D">
        <w:rPr>
          <w:rFonts w:ascii="Book Antiqua" w:hAnsi="Book Antiqua"/>
          <w:sz w:val="24"/>
          <w:szCs w:val="24"/>
        </w:rPr>
        <w:t xml:space="preserve"> Antibodies Do Not Detect Most Patients With Celiac Disease and Persistent Villous Atrophy on Gluten-free Diets: a Meta-analysis. </w:t>
      </w:r>
      <w:r w:rsidRPr="00FA5C8D">
        <w:rPr>
          <w:rFonts w:ascii="Book Antiqua" w:hAnsi="Book Antiqua"/>
          <w:i/>
          <w:sz w:val="24"/>
          <w:szCs w:val="24"/>
        </w:rPr>
        <w:t>Gastroenterology</w:t>
      </w:r>
      <w:r w:rsidRPr="00FA5C8D">
        <w:rPr>
          <w:rFonts w:ascii="Book Antiqua" w:hAnsi="Book Antiqua"/>
          <w:sz w:val="24"/>
          <w:szCs w:val="24"/>
        </w:rPr>
        <w:t xml:space="preserve"> 2017; </w:t>
      </w:r>
      <w:r w:rsidRPr="00FA5C8D">
        <w:rPr>
          <w:rFonts w:ascii="Book Antiqua" w:hAnsi="Book Antiqua"/>
          <w:b/>
          <w:sz w:val="24"/>
          <w:szCs w:val="24"/>
        </w:rPr>
        <w:t>153</w:t>
      </w:r>
      <w:r w:rsidRPr="00FA5C8D">
        <w:rPr>
          <w:rFonts w:ascii="Book Antiqua" w:hAnsi="Book Antiqua"/>
          <w:sz w:val="24"/>
          <w:szCs w:val="24"/>
        </w:rPr>
        <w:t>: 689-701.e1 [PMID: 28545781 DOI: 10.1053/j.gastro.2017.05.015]</w:t>
      </w:r>
    </w:p>
    <w:p w14:paraId="11C46D60"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lastRenderedPageBreak/>
        <w:t xml:space="preserve">6 </w:t>
      </w:r>
      <w:proofErr w:type="spellStart"/>
      <w:r w:rsidRPr="00FA5C8D">
        <w:rPr>
          <w:rFonts w:ascii="Book Antiqua" w:hAnsi="Book Antiqua"/>
          <w:b/>
          <w:sz w:val="24"/>
          <w:szCs w:val="24"/>
        </w:rPr>
        <w:t>Spatola</w:t>
      </w:r>
      <w:proofErr w:type="spellEnd"/>
      <w:r w:rsidRPr="00FA5C8D">
        <w:rPr>
          <w:rFonts w:ascii="Book Antiqua" w:hAnsi="Book Antiqua"/>
          <w:b/>
          <w:sz w:val="24"/>
          <w:szCs w:val="24"/>
        </w:rPr>
        <w:t xml:space="preserve"> BN</w:t>
      </w:r>
      <w:r w:rsidRPr="00FA5C8D">
        <w:rPr>
          <w:rFonts w:ascii="Book Antiqua" w:hAnsi="Book Antiqua"/>
          <w:sz w:val="24"/>
          <w:szCs w:val="24"/>
        </w:rPr>
        <w:t xml:space="preserve">, </w:t>
      </w:r>
      <w:proofErr w:type="spellStart"/>
      <w:r w:rsidRPr="00FA5C8D">
        <w:rPr>
          <w:rFonts w:ascii="Book Antiqua" w:hAnsi="Book Antiqua"/>
          <w:sz w:val="24"/>
          <w:szCs w:val="24"/>
        </w:rPr>
        <w:t>Kaukinen</w:t>
      </w:r>
      <w:proofErr w:type="spellEnd"/>
      <w:r w:rsidRPr="00FA5C8D">
        <w:rPr>
          <w:rFonts w:ascii="Book Antiqua" w:hAnsi="Book Antiqua"/>
          <w:sz w:val="24"/>
          <w:szCs w:val="24"/>
        </w:rPr>
        <w:t xml:space="preserve"> K, Collin P, </w:t>
      </w:r>
      <w:proofErr w:type="spellStart"/>
      <w:r w:rsidRPr="00FA5C8D">
        <w:rPr>
          <w:rFonts w:ascii="Book Antiqua" w:hAnsi="Book Antiqua"/>
          <w:sz w:val="24"/>
          <w:szCs w:val="24"/>
        </w:rPr>
        <w:t>Mäki</w:t>
      </w:r>
      <w:proofErr w:type="spellEnd"/>
      <w:r w:rsidRPr="00FA5C8D">
        <w:rPr>
          <w:rFonts w:ascii="Book Antiqua" w:hAnsi="Book Antiqua"/>
          <w:sz w:val="24"/>
          <w:szCs w:val="24"/>
        </w:rPr>
        <w:t xml:space="preserve"> M, </w:t>
      </w:r>
      <w:proofErr w:type="spellStart"/>
      <w:r w:rsidRPr="00FA5C8D">
        <w:rPr>
          <w:rFonts w:ascii="Book Antiqua" w:hAnsi="Book Antiqua"/>
          <w:sz w:val="24"/>
          <w:szCs w:val="24"/>
        </w:rPr>
        <w:t>Kagnoff</w:t>
      </w:r>
      <w:proofErr w:type="spellEnd"/>
      <w:r w:rsidRPr="00FA5C8D">
        <w:rPr>
          <w:rFonts w:ascii="Book Antiqua" w:hAnsi="Book Antiqua"/>
          <w:sz w:val="24"/>
          <w:szCs w:val="24"/>
        </w:rPr>
        <w:t xml:space="preserve"> MF, Daugherty PS. Persistence of elevated deamidated gliadin peptide antibodies on a gluten-free diet indicates nonresponsive coeliac disease. </w:t>
      </w:r>
      <w:r w:rsidRPr="00FA5C8D">
        <w:rPr>
          <w:rFonts w:ascii="Book Antiqua" w:hAnsi="Book Antiqua"/>
          <w:i/>
          <w:sz w:val="24"/>
          <w:szCs w:val="24"/>
        </w:rPr>
        <w:t xml:space="preserve">Aliment </w:t>
      </w:r>
      <w:proofErr w:type="spellStart"/>
      <w:r w:rsidRPr="00FA5C8D">
        <w:rPr>
          <w:rFonts w:ascii="Book Antiqua" w:hAnsi="Book Antiqua"/>
          <w:i/>
          <w:sz w:val="24"/>
          <w:szCs w:val="24"/>
        </w:rPr>
        <w:t>Pharmacol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Ther</w:t>
      </w:r>
      <w:proofErr w:type="spellEnd"/>
      <w:r w:rsidRPr="00FA5C8D">
        <w:rPr>
          <w:rFonts w:ascii="Book Antiqua" w:hAnsi="Book Antiqua"/>
          <w:sz w:val="24"/>
          <w:szCs w:val="24"/>
        </w:rPr>
        <w:t xml:space="preserve"> 2014; </w:t>
      </w:r>
      <w:r w:rsidRPr="00FA5C8D">
        <w:rPr>
          <w:rFonts w:ascii="Book Antiqua" w:hAnsi="Book Antiqua"/>
          <w:b/>
          <w:sz w:val="24"/>
          <w:szCs w:val="24"/>
        </w:rPr>
        <w:t>39</w:t>
      </w:r>
      <w:r w:rsidRPr="00FA5C8D">
        <w:rPr>
          <w:rFonts w:ascii="Book Antiqua" w:hAnsi="Book Antiqua"/>
          <w:sz w:val="24"/>
          <w:szCs w:val="24"/>
        </w:rPr>
        <w:t>: 407-417 [PMID: 24392888 DOI: 10.1111/apt.12603]</w:t>
      </w:r>
    </w:p>
    <w:p w14:paraId="37A4C54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7 </w:t>
      </w:r>
      <w:proofErr w:type="spellStart"/>
      <w:r w:rsidRPr="00FA5C8D">
        <w:rPr>
          <w:rFonts w:ascii="Book Antiqua" w:hAnsi="Book Antiqua"/>
          <w:b/>
          <w:sz w:val="24"/>
          <w:szCs w:val="24"/>
        </w:rPr>
        <w:t>Choung</w:t>
      </w:r>
      <w:proofErr w:type="spellEnd"/>
      <w:r w:rsidRPr="00FA5C8D">
        <w:rPr>
          <w:rFonts w:ascii="Book Antiqua" w:hAnsi="Book Antiqua"/>
          <w:b/>
          <w:sz w:val="24"/>
          <w:szCs w:val="24"/>
        </w:rPr>
        <w:t xml:space="preserve"> RS</w:t>
      </w:r>
      <w:r w:rsidRPr="00FA5C8D">
        <w:rPr>
          <w:rFonts w:ascii="Book Antiqua" w:hAnsi="Book Antiqua"/>
          <w:sz w:val="24"/>
          <w:szCs w:val="24"/>
        </w:rPr>
        <w:t xml:space="preserve">, </w:t>
      </w:r>
      <w:proofErr w:type="spellStart"/>
      <w:r w:rsidRPr="00FA5C8D">
        <w:rPr>
          <w:rFonts w:ascii="Book Antiqua" w:hAnsi="Book Antiqua"/>
          <w:sz w:val="24"/>
          <w:szCs w:val="24"/>
        </w:rPr>
        <w:t>Khaleghi</w:t>
      </w:r>
      <w:proofErr w:type="spellEnd"/>
      <w:r w:rsidRPr="00FA5C8D">
        <w:rPr>
          <w:rFonts w:ascii="Book Antiqua" w:hAnsi="Book Antiqua"/>
          <w:sz w:val="24"/>
          <w:szCs w:val="24"/>
        </w:rPr>
        <w:t xml:space="preserve"> </w:t>
      </w:r>
      <w:proofErr w:type="spellStart"/>
      <w:r w:rsidRPr="00FA5C8D">
        <w:rPr>
          <w:rFonts w:ascii="Book Antiqua" w:hAnsi="Book Antiqua"/>
          <w:sz w:val="24"/>
          <w:szCs w:val="24"/>
        </w:rPr>
        <w:t>Rostamkolaei</w:t>
      </w:r>
      <w:proofErr w:type="spellEnd"/>
      <w:r w:rsidRPr="00FA5C8D">
        <w:rPr>
          <w:rFonts w:ascii="Book Antiqua" w:hAnsi="Book Antiqua"/>
          <w:sz w:val="24"/>
          <w:szCs w:val="24"/>
        </w:rPr>
        <w:t xml:space="preserve"> S, </w:t>
      </w:r>
      <w:proofErr w:type="spellStart"/>
      <w:r w:rsidRPr="00FA5C8D">
        <w:rPr>
          <w:rFonts w:ascii="Book Antiqua" w:hAnsi="Book Antiqua"/>
          <w:sz w:val="24"/>
          <w:szCs w:val="24"/>
        </w:rPr>
        <w:t>Ju</w:t>
      </w:r>
      <w:proofErr w:type="spellEnd"/>
      <w:r w:rsidRPr="00FA5C8D">
        <w:rPr>
          <w:rFonts w:ascii="Book Antiqua" w:hAnsi="Book Antiqua"/>
          <w:sz w:val="24"/>
          <w:szCs w:val="24"/>
        </w:rPr>
        <w:t xml:space="preserve"> JM, Marietta EV, Van Dyke CT, </w:t>
      </w:r>
      <w:proofErr w:type="spellStart"/>
      <w:r w:rsidRPr="00FA5C8D">
        <w:rPr>
          <w:rFonts w:ascii="Book Antiqua" w:hAnsi="Book Antiqua"/>
          <w:sz w:val="24"/>
          <w:szCs w:val="24"/>
        </w:rPr>
        <w:t>Rajasekaran</w:t>
      </w:r>
      <w:proofErr w:type="spellEnd"/>
      <w:r w:rsidRPr="00FA5C8D">
        <w:rPr>
          <w:rFonts w:ascii="Book Antiqua" w:hAnsi="Book Antiqua"/>
          <w:sz w:val="24"/>
          <w:szCs w:val="24"/>
        </w:rPr>
        <w:t xml:space="preserve"> JJ, </w:t>
      </w:r>
      <w:proofErr w:type="spellStart"/>
      <w:r w:rsidRPr="00FA5C8D">
        <w:rPr>
          <w:rFonts w:ascii="Book Antiqua" w:hAnsi="Book Antiqua"/>
          <w:sz w:val="24"/>
          <w:szCs w:val="24"/>
        </w:rPr>
        <w:t>Jayaraman</w:t>
      </w:r>
      <w:proofErr w:type="spellEnd"/>
      <w:r w:rsidRPr="00FA5C8D">
        <w:rPr>
          <w:rFonts w:ascii="Book Antiqua" w:hAnsi="Book Antiqua"/>
          <w:sz w:val="24"/>
          <w:szCs w:val="24"/>
        </w:rPr>
        <w:t xml:space="preserve"> V, Wang T, </w:t>
      </w:r>
      <w:proofErr w:type="spellStart"/>
      <w:r w:rsidRPr="00FA5C8D">
        <w:rPr>
          <w:rFonts w:ascii="Book Antiqua" w:hAnsi="Book Antiqua"/>
          <w:sz w:val="24"/>
          <w:szCs w:val="24"/>
        </w:rPr>
        <w:t>Bei</w:t>
      </w:r>
      <w:proofErr w:type="spellEnd"/>
      <w:r w:rsidRPr="00FA5C8D">
        <w:rPr>
          <w:rFonts w:ascii="Book Antiqua" w:hAnsi="Book Antiqua"/>
          <w:sz w:val="24"/>
          <w:szCs w:val="24"/>
        </w:rPr>
        <w:t xml:space="preserve"> K, </w:t>
      </w:r>
      <w:proofErr w:type="spellStart"/>
      <w:r w:rsidRPr="00FA5C8D">
        <w:rPr>
          <w:rFonts w:ascii="Book Antiqua" w:hAnsi="Book Antiqua"/>
          <w:sz w:val="24"/>
          <w:szCs w:val="24"/>
        </w:rPr>
        <w:t>Rajasekaran</w:t>
      </w:r>
      <w:proofErr w:type="spellEnd"/>
      <w:r w:rsidRPr="00FA5C8D">
        <w:rPr>
          <w:rFonts w:ascii="Book Antiqua" w:hAnsi="Book Antiqua"/>
          <w:sz w:val="24"/>
          <w:szCs w:val="24"/>
        </w:rPr>
        <w:t xml:space="preserve"> KE, Krishna K, Krishnamurthy HK, Murray JA. Synthetic Neoepitopes of the Transglutaminase-Deamidated Gliadin Complex as Biomarkers for Diagnosing and Monitoring Celiac Disease. </w:t>
      </w:r>
      <w:r w:rsidRPr="00FA5C8D">
        <w:rPr>
          <w:rFonts w:ascii="Book Antiqua" w:hAnsi="Book Antiqua"/>
          <w:i/>
          <w:sz w:val="24"/>
          <w:szCs w:val="24"/>
        </w:rPr>
        <w:t>Gastroenterology</w:t>
      </w:r>
      <w:r w:rsidRPr="00FA5C8D">
        <w:rPr>
          <w:rFonts w:ascii="Book Antiqua" w:hAnsi="Book Antiqua"/>
          <w:sz w:val="24"/>
          <w:szCs w:val="24"/>
        </w:rPr>
        <w:t xml:space="preserve"> 2019; </w:t>
      </w:r>
      <w:r w:rsidRPr="00FA5C8D">
        <w:rPr>
          <w:rFonts w:ascii="Book Antiqua" w:hAnsi="Book Antiqua"/>
          <w:b/>
          <w:sz w:val="24"/>
          <w:szCs w:val="24"/>
        </w:rPr>
        <w:t>156</w:t>
      </w:r>
      <w:r w:rsidRPr="00FA5C8D">
        <w:rPr>
          <w:rFonts w:ascii="Book Antiqua" w:hAnsi="Book Antiqua"/>
          <w:sz w:val="24"/>
          <w:szCs w:val="24"/>
        </w:rPr>
        <w:t>: 582-591.e1 [PMID: 30342033 DOI: 10.1053/j.gastro.2018.10.025]</w:t>
      </w:r>
    </w:p>
    <w:p w14:paraId="47321B79"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8 </w:t>
      </w:r>
      <w:r w:rsidRPr="00FA5C8D">
        <w:rPr>
          <w:rFonts w:ascii="Book Antiqua" w:hAnsi="Book Antiqua"/>
          <w:b/>
          <w:sz w:val="24"/>
          <w:szCs w:val="24"/>
        </w:rPr>
        <w:t>Al-Toma A</w:t>
      </w:r>
      <w:r w:rsidRPr="00FA5C8D">
        <w:rPr>
          <w:rFonts w:ascii="Book Antiqua" w:hAnsi="Book Antiqua"/>
          <w:sz w:val="24"/>
          <w:szCs w:val="24"/>
        </w:rPr>
        <w:t xml:space="preserve">, Volta U, </w:t>
      </w:r>
      <w:proofErr w:type="spellStart"/>
      <w:r w:rsidRPr="00FA5C8D">
        <w:rPr>
          <w:rFonts w:ascii="Book Antiqua" w:hAnsi="Book Antiqua"/>
          <w:sz w:val="24"/>
          <w:szCs w:val="24"/>
        </w:rPr>
        <w:t>Auricchio</w:t>
      </w:r>
      <w:proofErr w:type="spellEnd"/>
      <w:r w:rsidRPr="00FA5C8D">
        <w:rPr>
          <w:rFonts w:ascii="Book Antiqua" w:hAnsi="Book Antiqua"/>
          <w:sz w:val="24"/>
          <w:szCs w:val="24"/>
        </w:rPr>
        <w:t xml:space="preserve"> R, </w:t>
      </w:r>
      <w:proofErr w:type="spellStart"/>
      <w:r w:rsidRPr="00FA5C8D">
        <w:rPr>
          <w:rFonts w:ascii="Book Antiqua" w:hAnsi="Book Antiqua"/>
          <w:sz w:val="24"/>
          <w:szCs w:val="24"/>
        </w:rPr>
        <w:t>Castillejo</w:t>
      </w:r>
      <w:proofErr w:type="spellEnd"/>
      <w:r w:rsidRPr="00FA5C8D">
        <w:rPr>
          <w:rFonts w:ascii="Book Antiqua" w:hAnsi="Book Antiqua"/>
          <w:sz w:val="24"/>
          <w:szCs w:val="24"/>
        </w:rPr>
        <w:t xml:space="preserve"> G, Sanders DS, </w:t>
      </w:r>
      <w:proofErr w:type="spellStart"/>
      <w:r w:rsidRPr="00FA5C8D">
        <w:rPr>
          <w:rFonts w:ascii="Book Antiqua" w:hAnsi="Book Antiqua"/>
          <w:sz w:val="24"/>
          <w:szCs w:val="24"/>
        </w:rPr>
        <w:t>Cellier</w:t>
      </w:r>
      <w:proofErr w:type="spellEnd"/>
      <w:r w:rsidRPr="00FA5C8D">
        <w:rPr>
          <w:rFonts w:ascii="Book Antiqua" w:hAnsi="Book Antiqua"/>
          <w:sz w:val="24"/>
          <w:szCs w:val="24"/>
        </w:rPr>
        <w:t xml:space="preserve"> C, Mulder CJ, Lundin KEA. European Society for the Study of Coeliac Disease (</w:t>
      </w:r>
      <w:proofErr w:type="spellStart"/>
      <w:r w:rsidRPr="00FA5C8D">
        <w:rPr>
          <w:rFonts w:ascii="Book Antiqua" w:hAnsi="Book Antiqua"/>
          <w:sz w:val="24"/>
          <w:szCs w:val="24"/>
        </w:rPr>
        <w:t>ESsCD</w:t>
      </w:r>
      <w:proofErr w:type="spellEnd"/>
      <w:r w:rsidRPr="00FA5C8D">
        <w:rPr>
          <w:rFonts w:ascii="Book Antiqua" w:hAnsi="Book Antiqua"/>
          <w:sz w:val="24"/>
          <w:szCs w:val="24"/>
        </w:rPr>
        <w:t xml:space="preserve">) guideline for coeliac disease and other gluten-related disorders. </w:t>
      </w:r>
      <w:r w:rsidRPr="00FA5C8D">
        <w:rPr>
          <w:rFonts w:ascii="Book Antiqua" w:hAnsi="Book Antiqua"/>
          <w:i/>
          <w:sz w:val="24"/>
          <w:szCs w:val="24"/>
        </w:rPr>
        <w:t>United European Gastroenterol J</w:t>
      </w:r>
      <w:r w:rsidRPr="00FA5C8D">
        <w:rPr>
          <w:rFonts w:ascii="Book Antiqua" w:hAnsi="Book Antiqua"/>
          <w:sz w:val="24"/>
          <w:szCs w:val="24"/>
        </w:rPr>
        <w:t xml:space="preserve"> 2019; </w:t>
      </w:r>
      <w:r w:rsidRPr="00FA5C8D">
        <w:rPr>
          <w:rFonts w:ascii="Book Antiqua" w:hAnsi="Book Antiqua"/>
          <w:b/>
          <w:sz w:val="24"/>
          <w:szCs w:val="24"/>
        </w:rPr>
        <w:t>7</w:t>
      </w:r>
      <w:r w:rsidRPr="00FA5C8D">
        <w:rPr>
          <w:rFonts w:ascii="Book Antiqua" w:hAnsi="Book Antiqua"/>
          <w:sz w:val="24"/>
          <w:szCs w:val="24"/>
        </w:rPr>
        <w:t>: 583-613 [PMID: 31210940 DOI: 10.1177/2050640619844125]</w:t>
      </w:r>
    </w:p>
    <w:p w14:paraId="6854DE80"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9 </w:t>
      </w:r>
      <w:proofErr w:type="spellStart"/>
      <w:r w:rsidRPr="00FA5C8D">
        <w:rPr>
          <w:rFonts w:ascii="Book Antiqua" w:hAnsi="Book Antiqua"/>
          <w:b/>
          <w:sz w:val="24"/>
          <w:szCs w:val="24"/>
        </w:rPr>
        <w:t>Lebwohl</w:t>
      </w:r>
      <w:proofErr w:type="spellEnd"/>
      <w:r w:rsidRPr="00FA5C8D">
        <w:rPr>
          <w:rFonts w:ascii="Book Antiqua" w:hAnsi="Book Antiqua"/>
          <w:b/>
          <w:sz w:val="24"/>
          <w:szCs w:val="24"/>
        </w:rPr>
        <w:t xml:space="preserve"> B</w:t>
      </w:r>
      <w:r w:rsidRPr="00FA5C8D">
        <w:rPr>
          <w:rFonts w:ascii="Book Antiqua" w:hAnsi="Book Antiqua"/>
          <w:sz w:val="24"/>
          <w:szCs w:val="24"/>
        </w:rPr>
        <w:t xml:space="preserve">, Sanders DS, Green PHR. Coeliac disease. </w:t>
      </w:r>
      <w:r w:rsidRPr="00FA5C8D">
        <w:rPr>
          <w:rFonts w:ascii="Book Antiqua" w:hAnsi="Book Antiqua"/>
          <w:i/>
          <w:sz w:val="24"/>
          <w:szCs w:val="24"/>
        </w:rPr>
        <w:t>Lancet</w:t>
      </w:r>
      <w:r w:rsidRPr="00FA5C8D">
        <w:rPr>
          <w:rFonts w:ascii="Book Antiqua" w:hAnsi="Book Antiqua"/>
          <w:sz w:val="24"/>
          <w:szCs w:val="24"/>
        </w:rPr>
        <w:t xml:space="preserve"> 2018; </w:t>
      </w:r>
      <w:r w:rsidRPr="00FA5C8D">
        <w:rPr>
          <w:rFonts w:ascii="Book Antiqua" w:hAnsi="Book Antiqua"/>
          <w:b/>
          <w:sz w:val="24"/>
          <w:szCs w:val="24"/>
        </w:rPr>
        <w:t>391</w:t>
      </w:r>
      <w:r w:rsidRPr="00FA5C8D">
        <w:rPr>
          <w:rFonts w:ascii="Book Antiqua" w:hAnsi="Book Antiqua"/>
          <w:sz w:val="24"/>
          <w:szCs w:val="24"/>
        </w:rPr>
        <w:t>: 70-81 [PMID: 28760445 DOI: 10.1016/S0140-6736(17)31796-8]</w:t>
      </w:r>
    </w:p>
    <w:p w14:paraId="1AE8C3C5"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10 </w:t>
      </w:r>
      <w:r w:rsidRPr="00FA5C8D">
        <w:rPr>
          <w:rFonts w:ascii="Book Antiqua" w:hAnsi="Book Antiqua"/>
          <w:b/>
          <w:sz w:val="24"/>
          <w:szCs w:val="24"/>
        </w:rPr>
        <w:t>Leonard MM</w:t>
      </w:r>
      <w:r w:rsidRPr="00FA5C8D">
        <w:rPr>
          <w:rFonts w:ascii="Book Antiqua" w:hAnsi="Book Antiqua"/>
          <w:sz w:val="24"/>
          <w:szCs w:val="24"/>
        </w:rPr>
        <w:t xml:space="preserve">, </w:t>
      </w:r>
      <w:proofErr w:type="spellStart"/>
      <w:r w:rsidRPr="00FA5C8D">
        <w:rPr>
          <w:rFonts w:ascii="Book Antiqua" w:hAnsi="Book Antiqua"/>
          <w:sz w:val="24"/>
          <w:szCs w:val="24"/>
        </w:rPr>
        <w:t>Sapone</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Catassi</w:t>
      </w:r>
      <w:proofErr w:type="spellEnd"/>
      <w:r w:rsidRPr="00FA5C8D">
        <w:rPr>
          <w:rFonts w:ascii="Book Antiqua" w:hAnsi="Book Antiqua"/>
          <w:sz w:val="24"/>
          <w:szCs w:val="24"/>
        </w:rPr>
        <w:t xml:space="preserve"> C, Fasano A. Celiac Disease and Nonceliac Gluten Sensitivity: A Review. </w:t>
      </w:r>
      <w:r w:rsidRPr="00FA5C8D">
        <w:rPr>
          <w:rFonts w:ascii="Book Antiqua" w:hAnsi="Book Antiqua"/>
          <w:i/>
          <w:sz w:val="24"/>
          <w:szCs w:val="24"/>
        </w:rPr>
        <w:t>JAMA</w:t>
      </w:r>
      <w:r w:rsidRPr="00FA5C8D">
        <w:rPr>
          <w:rFonts w:ascii="Book Antiqua" w:hAnsi="Book Antiqua"/>
          <w:sz w:val="24"/>
          <w:szCs w:val="24"/>
        </w:rPr>
        <w:t xml:space="preserve"> 2017; </w:t>
      </w:r>
      <w:r w:rsidRPr="00FA5C8D">
        <w:rPr>
          <w:rFonts w:ascii="Book Antiqua" w:hAnsi="Book Antiqua"/>
          <w:b/>
          <w:sz w:val="24"/>
          <w:szCs w:val="24"/>
        </w:rPr>
        <w:t>318</w:t>
      </w:r>
      <w:r w:rsidRPr="00FA5C8D">
        <w:rPr>
          <w:rFonts w:ascii="Book Antiqua" w:hAnsi="Book Antiqua"/>
          <w:sz w:val="24"/>
          <w:szCs w:val="24"/>
        </w:rPr>
        <w:t>: 647-656 [PMID: 28810029 DOI: 10.1001/jama.2017.9730]</w:t>
      </w:r>
    </w:p>
    <w:p w14:paraId="6EAB2C4A"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11 </w:t>
      </w:r>
      <w:proofErr w:type="spellStart"/>
      <w:r w:rsidRPr="00FA5C8D">
        <w:rPr>
          <w:rFonts w:ascii="Book Antiqua" w:hAnsi="Book Antiqua"/>
          <w:b/>
          <w:sz w:val="24"/>
          <w:szCs w:val="24"/>
        </w:rPr>
        <w:t>Husby</w:t>
      </w:r>
      <w:proofErr w:type="spellEnd"/>
      <w:r w:rsidRPr="00FA5C8D">
        <w:rPr>
          <w:rFonts w:ascii="Book Antiqua" w:hAnsi="Book Antiqua"/>
          <w:b/>
          <w:sz w:val="24"/>
          <w:szCs w:val="24"/>
        </w:rPr>
        <w:t xml:space="preserve"> S</w:t>
      </w:r>
      <w:r w:rsidRPr="00FA5C8D">
        <w:rPr>
          <w:rFonts w:ascii="Book Antiqua" w:hAnsi="Book Antiqua"/>
          <w:sz w:val="24"/>
          <w:szCs w:val="24"/>
        </w:rPr>
        <w:t xml:space="preserve">, Murray JA, </w:t>
      </w:r>
      <w:proofErr w:type="spellStart"/>
      <w:r w:rsidRPr="00FA5C8D">
        <w:rPr>
          <w:rFonts w:ascii="Book Antiqua" w:hAnsi="Book Antiqua"/>
          <w:sz w:val="24"/>
          <w:szCs w:val="24"/>
        </w:rPr>
        <w:t>Katzka</w:t>
      </w:r>
      <w:proofErr w:type="spellEnd"/>
      <w:r w:rsidRPr="00FA5C8D">
        <w:rPr>
          <w:rFonts w:ascii="Book Antiqua" w:hAnsi="Book Antiqua"/>
          <w:sz w:val="24"/>
          <w:szCs w:val="24"/>
        </w:rPr>
        <w:t xml:space="preserve"> DA. AGA Clinical Practice Update on Diagnosis and Monitoring of Celiac Disease-Changing Utility of Serology and Histologic Measures: Expert Review. </w:t>
      </w:r>
      <w:r w:rsidRPr="00FA5C8D">
        <w:rPr>
          <w:rFonts w:ascii="Book Antiqua" w:hAnsi="Book Antiqua"/>
          <w:i/>
          <w:sz w:val="24"/>
          <w:szCs w:val="24"/>
        </w:rPr>
        <w:t>Gastroenterology</w:t>
      </w:r>
      <w:r w:rsidRPr="00FA5C8D">
        <w:rPr>
          <w:rFonts w:ascii="Book Antiqua" w:hAnsi="Book Antiqua"/>
          <w:sz w:val="24"/>
          <w:szCs w:val="24"/>
        </w:rPr>
        <w:t xml:space="preserve"> 2019; </w:t>
      </w:r>
      <w:r w:rsidRPr="00FA5C8D">
        <w:rPr>
          <w:rFonts w:ascii="Book Antiqua" w:hAnsi="Book Antiqua"/>
          <w:b/>
          <w:sz w:val="24"/>
          <w:szCs w:val="24"/>
        </w:rPr>
        <w:t>156</w:t>
      </w:r>
      <w:r w:rsidRPr="00FA5C8D">
        <w:rPr>
          <w:rFonts w:ascii="Book Antiqua" w:hAnsi="Book Antiqua"/>
          <w:sz w:val="24"/>
          <w:szCs w:val="24"/>
        </w:rPr>
        <w:t>: 885-889 [PMID: 30578783 DOI: 10.1053/j.gastro.2018.12.010]</w:t>
      </w:r>
    </w:p>
    <w:p w14:paraId="37CEF6EA"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12 </w:t>
      </w:r>
      <w:proofErr w:type="spellStart"/>
      <w:r w:rsidRPr="00FA5C8D">
        <w:rPr>
          <w:rFonts w:ascii="Book Antiqua" w:hAnsi="Book Antiqua"/>
          <w:b/>
          <w:sz w:val="24"/>
          <w:szCs w:val="24"/>
        </w:rPr>
        <w:t>Lebwohl</w:t>
      </w:r>
      <w:proofErr w:type="spellEnd"/>
      <w:r w:rsidRPr="00FA5C8D">
        <w:rPr>
          <w:rFonts w:ascii="Book Antiqua" w:hAnsi="Book Antiqua"/>
          <w:b/>
          <w:sz w:val="24"/>
          <w:szCs w:val="24"/>
        </w:rPr>
        <w:t xml:space="preserve"> B</w:t>
      </w:r>
      <w:r w:rsidRPr="00FA5C8D">
        <w:rPr>
          <w:rFonts w:ascii="Book Antiqua" w:hAnsi="Book Antiqua"/>
          <w:sz w:val="24"/>
          <w:szCs w:val="24"/>
        </w:rPr>
        <w:t xml:space="preserve">, </w:t>
      </w:r>
      <w:proofErr w:type="spellStart"/>
      <w:r w:rsidRPr="00FA5C8D">
        <w:rPr>
          <w:rFonts w:ascii="Book Antiqua" w:hAnsi="Book Antiqua"/>
          <w:sz w:val="24"/>
          <w:szCs w:val="24"/>
        </w:rPr>
        <w:t>Granath</w:t>
      </w:r>
      <w:proofErr w:type="spellEnd"/>
      <w:r w:rsidRPr="00FA5C8D">
        <w:rPr>
          <w:rFonts w:ascii="Book Antiqua" w:hAnsi="Book Antiqua"/>
          <w:sz w:val="24"/>
          <w:szCs w:val="24"/>
        </w:rPr>
        <w:t xml:space="preserve"> F, </w:t>
      </w:r>
      <w:proofErr w:type="spellStart"/>
      <w:r w:rsidRPr="00FA5C8D">
        <w:rPr>
          <w:rFonts w:ascii="Book Antiqua" w:hAnsi="Book Antiqua"/>
          <w:sz w:val="24"/>
          <w:szCs w:val="24"/>
        </w:rPr>
        <w:t>Ekbom</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Smedby</w:t>
      </w:r>
      <w:proofErr w:type="spellEnd"/>
      <w:r w:rsidRPr="00FA5C8D">
        <w:rPr>
          <w:rFonts w:ascii="Book Antiqua" w:hAnsi="Book Antiqua"/>
          <w:sz w:val="24"/>
          <w:szCs w:val="24"/>
        </w:rPr>
        <w:t xml:space="preserve"> KE, Murray JA, </w:t>
      </w:r>
      <w:proofErr w:type="spellStart"/>
      <w:r w:rsidRPr="00FA5C8D">
        <w:rPr>
          <w:rFonts w:ascii="Book Antiqua" w:hAnsi="Book Antiqua"/>
          <w:sz w:val="24"/>
          <w:szCs w:val="24"/>
        </w:rPr>
        <w:t>Neugut</w:t>
      </w:r>
      <w:proofErr w:type="spellEnd"/>
      <w:r w:rsidRPr="00FA5C8D">
        <w:rPr>
          <w:rFonts w:ascii="Book Antiqua" w:hAnsi="Book Antiqua"/>
          <w:sz w:val="24"/>
          <w:szCs w:val="24"/>
        </w:rPr>
        <w:t xml:space="preserve"> AI, Green PH, </w:t>
      </w:r>
      <w:proofErr w:type="spellStart"/>
      <w:r w:rsidRPr="00FA5C8D">
        <w:rPr>
          <w:rFonts w:ascii="Book Antiqua" w:hAnsi="Book Antiqua"/>
          <w:sz w:val="24"/>
          <w:szCs w:val="24"/>
        </w:rPr>
        <w:t>Ludvigsson</w:t>
      </w:r>
      <w:proofErr w:type="spellEnd"/>
      <w:r w:rsidRPr="00FA5C8D">
        <w:rPr>
          <w:rFonts w:ascii="Book Antiqua" w:hAnsi="Book Antiqua"/>
          <w:sz w:val="24"/>
          <w:szCs w:val="24"/>
        </w:rPr>
        <w:t xml:space="preserve"> JF. Mucosal healing and risk for lymphoproliferative malignancy in celiac disease: a population-based cohort study. </w:t>
      </w:r>
      <w:r w:rsidRPr="00FA5C8D">
        <w:rPr>
          <w:rFonts w:ascii="Book Antiqua" w:hAnsi="Book Antiqua"/>
          <w:i/>
          <w:sz w:val="24"/>
          <w:szCs w:val="24"/>
        </w:rPr>
        <w:t>Ann Intern Med</w:t>
      </w:r>
      <w:r w:rsidRPr="00FA5C8D">
        <w:rPr>
          <w:rFonts w:ascii="Book Antiqua" w:hAnsi="Book Antiqua"/>
          <w:sz w:val="24"/>
          <w:szCs w:val="24"/>
        </w:rPr>
        <w:t xml:space="preserve"> 2013; </w:t>
      </w:r>
      <w:r w:rsidRPr="00FA5C8D">
        <w:rPr>
          <w:rFonts w:ascii="Book Antiqua" w:hAnsi="Book Antiqua"/>
          <w:b/>
          <w:sz w:val="24"/>
          <w:szCs w:val="24"/>
        </w:rPr>
        <w:t>159</w:t>
      </w:r>
      <w:r w:rsidRPr="00FA5C8D">
        <w:rPr>
          <w:rFonts w:ascii="Book Antiqua" w:hAnsi="Book Antiqua"/>
          <w:sz w:val="24"/>
          <w:szCs w:val="24"/>
        </w:rPr>
        <w:t>: 169-175 [PMID: 23922062 DOI: 10.7326/0003-4819-159-3-201308060-00006]</w:t>
      </w:r>
    </w:p>
    <w:p w14:paraId="19E3355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13 </w:t>
      </w:r>
      <w:r w:rsidRPr="00FA5C8D">
        <w:rPr>
          <w:rFonts w:ascii="Book Antiqua" w:hAnsi="Book Antiqua"/>
          <w:b/>
          <w:sz w:val="24"/>
          <w:szCs w:val="24"/>
        </w:rPr>
        <w:t>Rubio-Tapia A</w:t>
      </w:r>
      <w:r w:rsidRPr="00FA5C8D">
        <w:rPr>
          <w:rFonts w:ascii="Book Antiqua" w:hAnsi="Book Antiqua"/>
          <w:sz w:val="24"/>
          <w:szCs w:val="24"/>
        </w:rPr>
        <w:t xml:space="preserve">, Rahim MW, See JA, Lahr BD, Wu TT, Murray JA. Mucosal recovery and mortality in adults with celiac disease after treatment with a gluten-free diet. </w:t>
      </w:r>
      <w:r w:rsidRPr="00FA5C8D">
        <w:rPr>
          <w:rFonts w:ascii="Book Antiqua" w:hAnsi="Book Antiqua"/>
          <w:i/>
          <w:sz w:val="24"/>
          <w:szCs w:val="24"/>
        </w:rPr>
        <w:t>Am J Gastroenterol</w:t>
      </w:r>
      <w:r w:rsidRPr="00FA5C8D">
        <w:rPr>
          <w:rFonts w:ascii="Book Antiqua" w:hAnsi="Book Antiqua"/>
          <w:sz w:val="24"/>
          <w:szCs w:val="24"/>
        </w:rPr>
        <w:t xml:space="preserve"> 2010; </w:t>
      </w:r>
      <w:r w:rsidRPr="00FA5C8D">
        <w:rPr>
          <w:rFonts w:ascii="Book Antiqua" w:hAnsi="Book Antiqua"/>
          <w:b/>
          <w:sz w:val="24"/>
          <w:szCs w:val="24"/>
        </w:rPr>
        <w:t>105</w:t>
      </w:r>
      <w:r w:rsidRPr="00FA5C8D">
        <w:rPr>
          <w:rFonts w:ascii="Book Antiqua" w:hAnsi="Book Antiqua"/>
          <w:sz w:val="24"/>
          <w:szCs w:val="24"/>
        </w:rPr>
        <w:t>: 1412-1420 [PMID: 20145607 DOI: 10.1038/ajg.2010.10]</w:t>
      </w:r>
    </w:p>
    <w:p w14:paraId="3C832021"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lastRenderedPageBreak/>
        <w:t xml:space="preserve">14 </w:t>
      </w:r>
      <w:r w:rsidRPr="00FA5C8D">
        <w:rPr>
          <w:rFonts w:ascii="Book Antiqua" w:hAnsi="Book Antiqua"/>
          <w:b/>
          <w:sz w:val="24"/>
          <w:szCs w:val="24"/>
        </w:rPr>
        <w:t>Freeman HJ</w:t>
      </w:r>
      <w:r w:rsidRPr="00FA5C8D">
        <w:rPr>
          <w:rFonts w:ascii="Book Antiqua" w:hAnsi="Book Antiqua"/>
          <w:sz w:val="24"/>
          <w:szCs w:val="24"/>
        </w:rPr>
        <w:t xml:space="preserve">. Iron deficiency anemia in celiac disease. </w:t>
      </w:r>
      <w:r w:rsidRPr="00FA5C8D">
        <w:rPr>
          <w:rFonts w:ascii="Book Antiqua" w:hAnsi="Book Antiqua"/>
          <w:i/>
          <w:sz w:val="24"/>
          <w:szCs w:val="24"/>
        </w:rPr>
        <w:t>World J Gastroenterol</w:t>
      </w:r>
      <w:r w:rsidRPr="00FA5C8D">
        <w:rPr>
          <w:rFonts w:ascii="Book Antiqua" w:hAnsi="Book Antiqua"/>
          <w:sz w:val="24"/>
          <w:szCs w:val="24"/>
        </w:rPr>
        <w:t xml:space="preserve"> 2015; </w:t>
      </w:r>
      <w:r w:rsidRPr="00FA5C8D">
        <w:rPr>
          <w:rFonts w:ascii="Book Antiqua" w:hAnsi="Book Antiqua"/>
          <w:b/>
          <w:sz w:val="24"/>
          <w:szCs w:val="24"/>
        </w:rPr>
        <w:t>21</w:t>
      </w:r>
      <w:r w:rsidRPr="00FA5C8D">
        <w:rPr>
          <w:rFonts w:ascii="Book Antiqua" w:hAnsi="Book Antiqua"/>
          <w:sz w:val="24"/>
          <w:szCs w:val="24"/>
        </w:rPr>
        <w:t>: 9233-9238 [PMID: 26309349 DOI: 10.3748/wjg.v21.i31.9233]</w:t>
      </w:r>
    </w:p>
    <w:p w14:paraId="0D7468AF"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15 </w:t>
      </w:r>
      <w:proofErr w:type="spellStart"/>
      <w:r w:rsidRPr="00FA5C8D">
        <w:rPr>
          <w:rFonts w:ascii="Book Antiqua" w:hAnsi="Book Antiqua"/>
          <w:b/>
          <w:sz w:val="24"/>
          <w:szCs w:val="24"/>
        </w:rPr>
        <w:t>Bartusek</w:t>
      </w:r>
      <w:proofErr w:type="spellEnd"/>
      <w:r w:rsidRPr="00FA5C8D">
        <w:rPr>
          <w:rFonts w:ascii="Book Antiqua" w:hAnsi="Book Antiqua"/>
          <w:b/>
          <w:sz w:val="24"/>
          <w:szCs w:val="24"/>
        </w:rPr>
        <w:t xml:space="preserve"> D</w:t>
      </w:r>
      <w:r w:rsidRPr="00FA5C8D">
        <w:rPr>
          <w:rFonts w:ascii="Book Antiqua" w:hAnsi="Book Antiqua"/>
          <w:sz w:val="24"/>
          <w:szCs w:val="24"/>
        </w:rPr>
        <w:t xml:space="preserve">, </w:t>
      </w:r>
      <w:proofErr w:type="spellStart"/>
      <w:r w:rsidRPr="00FA5C8D">
        <w:rPr>
          <w:rFonts w:ascii="Book Antiqua" w:hAnsi="Book Antiqua"/>
          <w:sz w:val="24"/>
          <w:szCs w:val="24"/>
        </w:rPr>
        <w:t>Valek</w:t>
      </w:r>
      <w:proofErr w:type="spellEnd"/>
      <w:r w:rsidRPr="00FA5C8D">
        <w:rPr>
          <w:rFonts w:ascii="Book Antiqua" w:hAnsi="Book Antiqua"/>
          <w:sz w:val="24"/>
          <w:szCs w:val="24"/>
        </w:rPr>
        <w:t xml:space="preserve"> V, </w:t>
      </w:r>
      <w:proofErr w:type="spellStart"/>
      <w:r w:rsidRPr="00FA5C8D">
        <w:rPr>
          <w:rFonts w:ascii="Book Antiqua" w:hAnsi="Book Antiqua"/>
          <w:sz w:val="24"/>
          <w:szCs w:val="24"/>
        </w:rPr>
        <w:t>Husty</w:t>
      </w:r>
      <w:proofErr w:type="spellEnd"/>
      <w:r w:rsidRPr="00FA5C8D">
        <w:rPr>
          <w:rFonts w:ascii="Book Antiqua" w:hAnsi="Book Antiqua"/>
          <w:sz w:val="24"/>
          <w:szCs w:val="24"/>
        </w:rPr>
        <w:t xml:space="preserve"> J, </w:t>
      </w:r>
      <w:proofErr w:type="spellStart"/>
      <w:r w:rsidRPr="00FA5C8D">
        <w:rPr>
          <w:rFonts w:ascii="Book Antiqua" w:hAnsi="Book Antiqua"/>
          <w:sz w:val="24"/>
          <w:szCs w:val="24"/>
        </w:rPr>
        <w:t>Uteseny</w:t>
      </w:r>
      <w:proofErr w:type="spellEnd"/>
      <w:r w:rsidRPr="00FA5C8D">
        <w:rPr>
          <w:rFonts w:ascii="Book Antiqua" w:hAnsi="Book Antiqua"/>
          <w:sz w:val="24"/>
          <w:szCs w:val="24"/>
        </w:rPr>
        <w:t xml:space="preserve"> J. Small bowel ultrasound in patients with celiac disease. Retrospective study. </w:t>
      </w:r>
      <w:proofErr w:type="spellStart"/>
      <w:r w:rsidRPr="00FA5C8D">
        <w:rPr>
          <w:rFonts w:ascii="Book Antiqua" w:hAnsi="Book Antiqua"/>
          <w:i/>
          <w:sz w:val="24"/>
          <w:szCs w:val="24"/>
        </w:rPr>
        <w:t>Eur</w:t>
      </w:r>
      <w:proofErr w:type="spellEnd"/>
      <w:r w:rsidRPr="00FA5C8D">
        <w:rPr>
          <w:rFonts w:ascii="Book Antiqua" w:hAnsi="Book Antiqua"/>
          <w:i/>
          <w:sz w:val="24"/>
          <w:szCs w:val="24"/>
        </w:rPr>
        <w:t xml:space="preserve"> J </w:t>
      </w:r>
      <w:proofErr w:type="spellStart"/>
      <w:r w:rsidRPr="00FA5C8D">
        <w:rPr>
          <w:rFonts w:ascii="Book Antiqua" w:hAnsi="Book Antiqua"/>
          <w:i/>
          <w:sz w:val="24"/>
          <w:szCs w:val="24"/>
        </w:rPr>
        <w:t>Radiol</w:t>
      </w:r>
      <w:proofErr w:type="spellEnd"/>
      <w:r w:rsidRPr="00FA5C8D">
        <w:rPr>
          <w:rFonts w:ascii="Book Antiqua" w:hAnsi="Book Antiqua"/>
          <w:sz w:val="24"/>
          <w:szCs w:val="24"/>
        </w:rPr>
        <w:t xml:space="preserve"> 2007; </w:t>
      </w:r>
      <w:r w:rsidRPr="00FA5C8D">
        <w:rPr>
          <w:rFonts w:ascii="Book Antiqua" w:hAnsi="Book Antiqua"/>
          <w:b/>
          <w:sz w:val="24"/>
          <w:szCs w:val="24"/>
        </w:rPr>
        <w:t>63</w:t>
      </w:r>
      <w:r w:rsidRPr="00FA5C8D">
        <w:rPr>
          <w:rFonts w:ascii="Book Antiqua" w:hAnsi="Book Antiqua"/>
          <w:sz w:val="24"/>
          <w:szCs w:val="24"/>
        </w:rPr>
        <w:t>: 302-306 [PMID: 17336477 DOI: 10.1016/j.ejrad.2007.01.028]</w:t>
      </w:r>
    </w:p>
    <w:p w14:paraId="45E0BB1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16 </w:t>
      </w:r>
      <w:r w:rsidRPr="00FA5C8D">
        <w:rPr>
          <w:rFonts w:ascii="Book Antiqua" w:hAnsi="Book Antiqua"/>
          <w:b/>
          <w:sz w:val="24"/>
          <w:szCs w:val="24"/>
        </w:rPr>
        <w:t>Dietrich CF</w:t>
      </w:r>
      <w:r w:rsidRPr="00FA5C8D">
        <w:rPr>
          <w:rFonts w:ascii="Book Antiqua" w:hAnsi="Book Antiqua"/>
          <w:sz w:val="24"/>
          <w:szCs w:val="24"/>
        </w:rPr>
        <w:t xml:space="preserve">, </w:t>
      </w:r>
      <w:proofErr w:type="spellStart"/>
      <w:r w:rsidRPr="00FA5C8D">
        <w:rPr>
          <w:rFonts w:ascii="Book Antiqua" w:hAnsi="Book Antiqua"/>
          <w:sz w:val="24"/>
          <w:szCs w:val="24"/>
        </w:rPr>
        <w:t>Hollerweger</w:t>
      </w:r>
      <w:proofErr w:type="spellEnd"/>
      <w:r w:rsidRPr="00FA5C8D">
        <w:rPr>
          <w:rFonts w:ascii="Book Antiqua" w:hAnsi="Book Antiqua"/>
          <w:sz w:val="24"/>
          <w:szCs w:val="24"/>
        </w:rPr>
        <w:t xml:space="preserve"> A, Dirks K, Higginson A, Serra C, Calabrese E, Dong Y, </w:t>
      </w:r>
      <w:proofErr w:type="spellStart"/>
      <w:r w:rsidRPr="00FA5C8D">
        <w:rPr>
          <w:rFonts w:ascii="Book Antiqua" w:hAnsi="Book Antiqua"/>
          <w:sz w:val="24"/>
          <w:szCs w:val="24"/>
        </w:rPr>
        <w:t>Hausken</w:t>
      </w:r>
      <w:proofErr w:type="spellEnd"/>
      <w:r w:rsidRPr="00FA5C8D">
        <w:rPr>
          <w:rFonts w:ascii="Book Antiqua" w:hAnsi="Book Antiqua"/>
          <w:sz w:val="24"/>
          <w:szCs w:val="24"/>
        </w:rPr>
        <w:t xml:space="preserve"> T, </w:t>
      </w:r>
      <w:proofErr w:type="spellStart"/>
      <w:r w:rsidRPr="00FA5C8D">
        <w:rPr>
          <w:rFonts w:ascii="Book Antiqua" w:hAnsi="Book Antiqua"/>
          <w:sz w:val="24"/>
          <w:szCs w:val="24"/>
        </w:rPr>
        <w:t>Maconi</w:t>
      </w:r>
      <w:proofErr w:type="spellEnd"/>
      <w:r w:rsidRPr="00FA5C8D">
        <w:rPr>
          <w:rFonts w:ascii="Book Antiqua" w:hAnsi="Book Antiqua"/>
          <w:sz w:val="24"/>
          <w:szCs w:val="24"/>
        </w:rPr>
        <w:t xml:space="preserve"> G, </w:t>
      </w:r>
      <w:proofErr w:type="spellStart"/>
      <w:r w:rsidRPr="00FA5C8D">
        <w:rPr>
          <w:rFonts w:ascii="Book Antiqua" w:hAnsi="Book Antiqua"/>
          <w:sz w:val="24"/>
          <w:szCs w:val="24"/>
        </w:rPr>
        <w:t>Mihmanli</w:t>
      </w:r>
      <w:proofErr w:type="spellEnd"/>
      <w:r w:rsidRPr="00FA5C8D">
        <w:rPr>
          <w:rFonts w:ascii="Book Antiqua" w:hAnsi="Book Antiqua"/>
          <w:sz w:val="24"/>
          <w:szCs w:val="24"/>
        </w:rPr>
        <w:t xml:space="preserve"> I, </w:t>
      </w:r>
      <w:proofErr w:type="spellStart"/>
      <w:r w:rsidRPr="00FA5C8D">
        <w:rPr>
          <w:rFonts w:ascii="Book Antiqua" w:hAnsi="Book Antiqua"/>
          <w:sz w:val="24"/>
          <w:szCs w:val="24"/>
        </w:rPr>
        <w:t>Nürnberg</w:t>
      </w:r>
      <w:proofErr w:type="spellEnd"/>
      <w:r w:rsidRPr="00FA5C8D">
        <w:rPr>
          <w:rFonts w:ascii="Book Antiqua" w:hAnsi="Book Antiqua"/>
          <w:sz w:val="24"/>
          <w:szCs w:val="24"/>
        </w:rPr>
        <w:t xml:space="preserve"> D, </w:t>
      </w:r>
      <w:proofErr w:type="spellStart"/>
      <w:r w:rsidRPr="00FA5C8D">
        <w:rPr>
          <w:rFonts w:ascii="Book Antiqua" w:hAnsi="Book Antiqua"/>
          <w:sz w:val="24"/>
          <w:szCs w:val="24"/>
        </w:rPr>
        <w:t>Nylund</w:t>
      </w:r>
      <w:proofErr w:type="spellEnd"/>
      <w:r w:rsidRPr="00FA5C8D">
        <w:rPr>
          <w:rFonts w:ascii="Book Antiqua" w:hAnsi="Book Antiqua"/>
          <w:sz w:val="24"/>
          <w:szCs w:val="24"/>
        </w:rPr>
        <w:t xml:space="preserve"> K, </w:t>
      </w:r>
      <w:proofErr w:type="spellStart"/>
      <w:r w:rsidRPr="00FA5C8D">
        <w:rPr>
          <w:rFonts w:ascii="Book Antiqua" w:hAnsi="Book Antiqua"/>
          <w:sz w:val="24"/>
          <w:szCs w:val="24"/>
        </w:rPr>
        <w:t>Pallotta</w:t>
      </w:r>
      <w:proofErr w:type="spellEnd"/>
      <w:r w:rsidRPr="00FA5C8D">
        <w:rPr>
          <w:rFonts w:ascii="Book Antiqua" w:hAnsi="Book Antiqua"/>
          <w:sz w:val="24"/>
          <w:szCs w:val="24"/>
        </w:rPr>
        <w:t xml:space="preserve"> N, </w:t>
      </w:r>
      <w:proofErr w:type="spellStart"/>
      <w:r w:rsidRPr="00FA5C8D">
        <w:rPr>
          <w:rFonts w:ascii="Book Antiqua" w:hAnsi="Book Antiqua"/>
          <w:sz w:val="24"/>
          <w:szCs w:val="24"/>
        </w:rPr>
        <w:t>Ripollés</w:t>
      </w:r>
      <w:proofErr w:type="spellEnd"/>
      <w:r w:rsidRPr="00FA5C8D">
        <w:rPr>
          <w:rFonts w:ascii="Book Antiqua" w:hAnsi="Book Antiqua"/>
          <w:sz w:val="24"/>
          <w:szCs w:val="24"/>
        </w:rPr>
        <w:t xml:space="preserve"> T, </w:t>
      </w:r>
      <w:proofErr w:type="spellStart"/>
      <w:r w:rsidRPr="00FA5C8D">
        <w:rPr>
          <w:rFonts w:ascii="Book Antiqua" w:hAnsi="Book Antiqua"/>
          <w:sz w:val="24"/>
          <w:szCs w:val="24"/>
        </w:rPr>
        <w:t>Romanini</w:t>
      </w:r>
      <w:proofErr w:type="spellEnd"/>
      <w:r w:rsidRPr="00FA5C8D">
        <w:rPr>
          <w:rFonts w:ascii="Book Antiqua" w:hAnsi="Book Antiqua"/>
          <w:sz w:val="24"/>
          <w:szCs w:val="24"/>
        </w:rPr>
        <w:t xml:space="preserve"> L, </w:t>
      </w:r>
      <w:proofErr w:type="spellStart"/>
      <w:r w:rsidRPr="00FA5C8D">
        <w:rPr>
          <w:rFonts w:ascii="Book Antiqua" w:hAnsi="Book Antiqua"/>
          <w:sz w:val="24"/>
          <w:szCs w:val="24"/>
        </w:rPr>
        <w:t>Săftoiu</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Sporea</w:t>
      </w:r>
      <w:proofErr w:type="spellEnd"/>
      <w:r w:rsidRPr="00FA5C8D">
        <w:rPr>
          <w:rFonts w:ascii="Book Antiqua" w:hAnsi="Book Antiqua"/>
          <w:sz w:val="24"/>
          <w:szCs w:val="24"/>
        </w:rPr>
        <w:t xml:space="preserve"> I, </w:t>
      </w:r>
      <w:proofErr w:type="spellStart"/>
      <w:r w:rsidRPr="00FA5C8D">
        <w:rPr>
          <w:rFonts w:ascii="Book Antiqua" w:hAnsi="Book Antiqua"/>
          <w:sz w:val="24"/>
          <w:szCs w:val="24"/>
        </w:rPr>
        <w:t>Wüstner</w:t>
      </w:r>
      <w:proofErr w:type="spellEnd"/>
      <w:r w:rsidRPr="00FA5C8D">
        <w:rPr>
          <w:rFonts w:ascii="Book Antiqua" w:hAnsi="Book Antiqua"/>
          <w:sz w:val="24"/>
          <w:szCs w:val="24"/>
        </w:rPr>
        <w:t xml:space="preserve"> M, </w:t>
      </w:r>
      <w:proofErr w:type="spellStart"/>
      <w:r w:rsidRPr="00FA5C8D">
        <w:rPr>
          <w:rFonts w:ascii="Book Antiqua" w:hAnsi="Book Antiqua"/>
          <w:sz w:val="24"/>
          <w:szCs w:val="24"/>
        </w:rPr>
        <w:t>Maaser</w:t>
      </w:r>
      <w:proofErr w:type="spellEnd"/>
      <w:r w:rsidRPr="00FA5C8D">
        <w:rPr>
          <w:rFonts w:ascii="Book Antiqua" w:hAnsi="Book Antiqua"/>
          <w:sz w:val="24"/>
          <w:szCs w:val="24"/>
        </w:rPr>
        <w:t xml:space="preserve"> C, </w:t>
      </w:r>
      <w:proofErr w:type="spellStart"/>
      <w:r w:rsidRPr="00FA5C8D">
        <w:rPr>
          <w:rFonts w:ascii="Book Antiqua" w:hAnsi="Book Antiqua"/>
          <w:sz w:val="24"/>
          <w:szCs w:val="24"/>
        </w:rPr>
        <w:t>Gilja</w:t>
      </w:r>
      <w:proofErr w:type="spellEnd"/>
      <w:r w:rsidRPr="00FA5C8D">
        <w:rPr>
          <w:rFonts w:ascii="Book Antiqua" w:hAnsi="Book Antiqua"/>
          <w:sz w:val="24"/>
          <w:szCs w:val="24"/>
        </w:rPr>
        <w:t xml:space="preserve"> OH. EFSUMB Gastrointestinal Ultrasound (GIUS) Task Force Group: Celiac sprue and other rare gastrointestinal diseases ultrasound features. </w:t>
      </w:r>
      <w:r w:rsidRPr="00FA5C8D">
        <w:rPr>
          <w:rFonts w:ascii="Book Antiqua" w:hAnsi="Book Antiqua"/>
          <w:i/>
          <w:sz w:val="24"/>
          <w:szCs w:val="24"/>
        </w:rPr>
        <w:t xml:space="preserve">Med </w:t>
      </w:r>
      <w:proofErr w:type="spellStart"/>
      <w:r w:rsidRPr="00FA5C8D">
        <w:rPr>
          <w:rFonts w:ascii="Book Antiqua" w:hAnsi="Book Antiqua"/>
          <w:i/>
          <w:sz w:val="24"/>
          <w:szCs w:val="24"/>
        </w:rPr>
        <w:t>Ultrason</w:t>
      </w:r>
      <w:proofErr w:type="spellEnd"/>
      <w:r w:rsidRPr="00FA5C8D">
        <w:rPr>
          <w:rFonts w:ascii="Book Antiqua" w:hAnsi="Book Antiqua"/>
          <w:sz w:val="24"/>
          <w:szCs w:val="24"/>
        </w:rPr>
        <w:t xml:space="preserve"> 2019; </w:t>
      </w:r>
      <w:r w:rsidRPr="00FA5C8D">
        <w:rPr>
          <w:rFonts w:ascii="Book Antiqua" w:hAnsi="Book Antiqua"/>
          <w:b/>
          <w:sz w:val="24"/>
          <w:szCs w:val="24"/>
        </w:rPr>
        <w:t>21</w:t>
      </w:r>
      <w:r w:rsidRPr="00FA5C8D">
        <w:rPr>
          <w:rFonts w:ascii="Book Antiqua" w:hAnsi="Book Antiqua"/>
          <w:sz w:val="24"/>
          <w:szCs w:val="24"/>
        </w:rPr>
        <w:t>: 299-315 [PMID: 31476211 DOI: 10.11152/mu-2162]</w:t>
      </w:r>
    </w:p>
    <w:p w14:paraId="59775AEB"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17 </w:t>
      </w:r>
      <w:proofErr w:type="spellStart"/>
      <w:r w:rsidRPr="00FA5C8D">
        <w:rPr>
          <w:rFonts w:ascii="Book Antiqua" w:hAnsi="Book Antiqua"/>
          <w:b/>
          <w:sz w:val="24"/>
          <w:szCs w:val="24"/>
        </w:rPr>
        <w:t>Oberhuber</w:t>
      </w:r>
      <w:proofErr w:type="spellEnd"/>
      <w:r w:rsidRPr="00FA5C8D">
        <w:rPr>
          <w:rFonts w:ascii="Book Antiqua" w:hAnsi="Book Antiqua"/>
          <w:b/>
          <w:sz w:val="24"/>
          <w:szCs w:val="24"/>
        </w:rPr>
        <w:t xml:space="preserve"> G</w:t>
      </w:r>
      <w:r w:rsidRPr="00FA5C8D">
        <w:rPr>
          <w:rFonts w:ascii="Book Antiqua" w:hAnsi="Book Antiqua"/>
          <w:sz w:val="24"/>
          <w:szCs w:val="24"/>
        </w:rPr>
        <w:t xml:space="preserve">, </w:t>
      </w:r>
      <w:proofErr w:type="spellStart"/>
      <w:r w:rsidRPr="00FA5C8D">
        <w:rPr>
          <w:rFonts w:ascii="Book Antiqua" w:hAnsi="Book Antiqua"/>
          <w:sz w:val="24"/>
          <w:szCs w:val="24"/>
        </w:rPr>
        <w:t>Granditsch</w:t>
      </w:r>
      <w:proofErr w:type="spellEnd"/>
      <w:r w:rsidRPr="00FA5C8D">
        <w:rPr>
          <w:rFonts w:ascii="Book Antiqua" w:hAnsi="Book Antiqua"/>
          <w:sz w:val="24"/>
          <w:szCs w:val="24"/>
        </w:rPr>
        <w:t xml:space="preserve"> G, Vogelsang H. The histopathology of coeliac disease: time for a standardized report scheme for pathologists. </w:t>
      </w:r>
      <w:r w:rsidRPr="00FA5C8D">
        <w:rPr>
          <w:rFonts w:ascii="Book Antiqua" w:hAnsi="Book Antiqua"/>
          <w:i/>
          <w:sz w:val="24"/>
          <w:szCs w:val="24"/>
        </w:rPr>
        <w:t>Eur J Gastroenterol Hepatol</w:t>
      </w:r>
      <w:r w:rsidRPr="00FA5C8D">
        <w:rPr>
          <w:rFonts w:ascii="Book Antiqua" w:hAnsi="Book Antiqua"/>
          <w:sz w:val="24"/>
          <w:szCs w:val="24"/>
        </w:rPr>
        <w:t xml:space="preserve"> 1999; </w:t>
      </w:r>
      <w:r w:rsidRPr="00FA5C8D">
        <w:rPr>
          <w:rFonts w:ascii="Book Antiqua" w:hAnsi="Book Antiqua"/>
          <w:b/>
          <w:sz w:val="24"/>
          <w:szCs w:val="24"/>
        </w:rPr>
        <w:t>11</w:t>
      </w:r>
      <w:r w:rsidRPr="00FA5C8D">
        <w:rPr>
          <w:rFonts w:ascii="Book Antiqua" w:hAnsi="Book Antiqua"/>
          <w:sz w:val="24"/>
          <w:szCs w:val="24"/>
        </w:rPr>
        <w:t>: 1185-1194 [PMID: 10524652 DOI: 10.1097/00042737-199910000-00019]</w:t>
      </w:r>
    </w:p>
    <w:p w14:paraId="52E7CE39"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18 </w:t>
      </w:r>
      <w:r w:rsidRPr="00FA5C8D">
        <w:rPr>
          <w:rFonts w:ascii="Book Antiqua" w:hAnsi="Book Antiqua"/>
          <w:b/>
          <w:sz w:val="24"/>
          <w:szCs w:val="24"/>
        </w:rPr>
        <w:t>Fang H</w:t>
      </w:r>
      <w:r w:rsidRPr="00FA5C8D">
        <w:rPr>
          <w:rFonts w:ascii="Book Antiqua" w:hAnsi="Book Antiqua"/>
          <w:sz w:val="24"/>
          <w:szCs w:val="24"/>
        </w:rPr>
        <w:t xml:space="preserve">, King KS, Larson JJ, Snyder MR, Wu TT, Gandhi MJ, Murray JA. Undetectable negative tissue transglutaminase IgA antibodies predict mucosal healing in treated coeliac disease patients. </w:t>
      </w:r>
      <w:r w:rsidRPr="00FA5C8D">
        <w:rPr>
          <w:rFonts w:ascii="Book Antiqua" w:hAnsi="Book Antiqua"/>
          <w:i/>
          <w:sz w:val="24"/>
          <w:szCs w:val="24"/>
        </w:rPr>
        <w:t xml:space="preserve">Aliment </w:t>
      </w:r>
      <w:proofErr w:type="spellStart"/>
      <w:r w:rsidRPr="00FA5C8D">
        <w:rPr>
          <w:rFonts w:ascii="Book Antiqua" w:hAnsi="Book Antiqua"/>
          <w:i/>
          <w:sz w:val="24"/>
          <w:szCs w:val="24"/>
        </w:rPr>
        <w:t>Pharmacol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Ther</w:t>
      </w:r>
      <w:proofErr w:type="spellEnd"/>
      <w:r w:rsidRPr="00FA5C8D">
        <w:rPr>
          <w:rFonts w:ascii="Book Antiqua" w:hAnsi="Book Antiqua"/>
          <w:sz w:val="24"/>
          <w:szCs w:val="24"/>
        </w:rPr>
        <w:t xml:space="preserve"> 2017; </w:t>
      </w:r>
      <w:r w:rsidRPr="00FA5C8D">
        <w:rPr>
          <w:rFonts w:ascii="Book Antiqua" w:hAnsi="Book Antiqua"/>
          <w:b/>
          <w:sz w:val="24"/>
          <w:szCs w:val="24"/>
        </w:rPr>
        <w:t>46</w:t>
      </w:r>
      <w:r w:rsidRPr="00FA5C8D">
        <w:rPr>
          <w:rFonts w:ascii="Book Antiqua" w:hAnsi="Book Antiqua"/>
          <w:sz w:val="24"/>
          <w:szCs w:val="24"/>
        </w:rPr>
        <w:t>: 681-687 [PMID: 28782118 DOI: 10.1111/apt.14250]</w:t>
      </w:r>
    </w:p>
    <w:p w14:paraId="21DF4D48"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19 </w:t>
      </w:r>
      <w:proofErr w:type="spellStart"/>
      <w:r w:rsidRPr="00FA5C8D">
        <w:rPr>
          <w:rFonts w:ascii="Book Antiqua" w:hAnsi="Book Antiqua"/>
          <w:b/>
          <w:sz w:val="24"/>
          <w:szCs w:val="24"/>
        </w:rPr>
        <w:t>Vécsei</w:t>
      </w:r>
      <w:proofErr w:type="spellEnd"/>
      <w:r w:rsidRPr="00FA5C8D">
        <w:rPr>
          <w:rFonts w:ascii="Book Antiqua" w:hAnsi="Book Antiqua"/>
          <w:b/>
          <w:sz w:val="24"/>
          <w:szCs w:val="24"/>
        </w:rPr>
        <w:t xml:space="preserve"> E</w:t>
      </w:r>
      <w:r w:rsidRPr="00FA5C8D">
        <w:rPr>
          <w:rFonts w:ascii="Book Antiqua" w:hAnsi="Book Antiqua"/>
          <w:sz w:val="24"/>
          <w:szCs w:val="24"/>
        </w:rPr>
        <w:t xml:space="preserve">, </w:t>
      </w:r>
      <w:proofErr w:type="spellStart"/>
      <w:r w:rsidRPr="00FA5C8D">
        <w:rPr>
          <w:rFonts w:ascii="Book Antiqua" w:hAnsi="Book Antiqua"/>
          <w:sz w:val="24"/>
          <w:szCs w:val="24"/>
        </w:rPr>
        <w:t>Steinwendner</w:t>
      </w:r>
      <w:proofErr w:type="spellEnd"/>
      <w:r w:rsidRPr="00FA5C8D">
        <w:rPr>
          <w:rFonts w:ascii="Book Antiqua" w:hAnsi="Book Antiqua"/>
          <w:sz w:val="24"/>
          <w:szCs w:val="24"/>
        </w:rPr>
        <w:t xml:space="preserve"> S, </w:t>
      </w:r>
      <w:proofErr w:type="spellStart"/>
      <w:r w:rsidRPr="00FA5C8D">
        <w:rPr>
          <w:rFonts w:ascii="Book Antiqua" w:hAnsi="Book Antiqua"/>
          <w:sz w:val="24"/>
          <w:szCs w:val="24"/>
        </w:rPr>
        <w:t>Kogler</w:t>
      </w:r>
      <w:proofErr w:type="spellEnd"/>
      <w:r w:rsidRPr="00FA5C8D">
        <w:rPr>
          <w:rFonts w:ascii="Book Antiqua" w:hAnsi="Book Antiqua"/>
          <w:sz w:val="24"/>
          <w:szCs w:val="24"/>
        </w:rPr>
        <w:t xml:space="preserve"> H, </w:t>
      </w:r>
      <w:proofErr w:type="spellStart"/>
      <w:r w:rsidRPr="00FA5C8D">
        <w:rPr>
          <w:rFonts w:ascii="Book Antiqua" w:hAnsi="Book Antiqua"/>
          <w:sz w:val="24"/>
          <w:szCs w:val="24"/>
        </w:rPr>
        <w:t>Innerhofer</w:t>
      </w:r>
      <w:proofErr w:type="spellEnd"/>
      <w:r w:rsidRPr="00FA5C8D">
        <w:rPr>
          <w:rFonts w:ascii="Book Antiqua" w:hAnsi="Book Antiqua"/>
          <w:sz w:val="24"/>
          <w:szCs w:val="24"/>
        </w:rPr>
        <w:t xml:space="preserve"> A, Hammer K, Haas OA, </w:t>
      </w:r>
      <w:proofErr w:type="spellStart"/>
      <w:r w:rsidRPr="00FA5C8D">
        <w:rPr>
          <w:rFonts w:ascii="Book Antiqua" w:hAnsi="Book Antiqua"/>
          <w:sz w:val="24"/>
          <w:szCs w:val="24"/>
        </w:rPr>
        <w:t>Amann</w:t>
      </w:r>
      <w:proofErr w:type="spellEnd"/>
      <w:r w:rsidRPr="00FA5C8D">
        <w:rPr>
          <w:rFonts w:ascii="Book Antiqua" w:hAnsi="Book Antiqua"/>
          <w:sz w:val="24"/>
          <w:szCs w:val="24"/>
        </w:rPr>
        <w:t xml:space="preserve"> G, </w:t>
      </w:r>
      <w:proofErr w:type="spellStart"/>
      <w:r w:rsidRPr="00FA5C8D">
        <w:rPr>
          <w:rFonts w:ascii="Book Antiqua" w:hAnsi="Book Antiqua"/>
          <w:sz w:val="24"/>
          <w:szCs w:val="24"/>
        </w:rPr>
        <w:t>Chott</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Vogelsang</w:t>
      </w:r>
      <w:proofErr w:type="spellEnd"/>
      <w:r w:rsidRPr="00FA5C8D">
        <w:rPr>
          <w:rFonts w:ascii="Book Antiqua" w:hAnsi="Book Antiqua"/>
          <w:sz w:val="24"/>
          <w:szCs w:val="24"/>
        </w:rPr>
        <w:t xml:space="preserve"> H, </w:t>
      </w:r>
      <w:proofErr w:type="spellStart"/>
      <w:r w:rsidRPr="00FA5C8D">
        <w:rPr>
          <w:rFonts w:ascii="Book Antiqua" w:hAnsi="Book Antiqua"/>
          <w:sz w:val="24"/>
          <w:szCs w:val="24"/>
        </w:rPr>
        <w:t>Schoenlechner</w:t>
      </w:r>
      <w:proofErr w:type="spellEnd"/>
      <w:r w:rsidRPr="00FA5C8D">
        <w:rPr>
          <w:rFonts w:ascii="Book Antiqua" w:hAnsi="Book Antiqua"/>
          <w:sz w:val="24"/>
          <w:szCs w:val="24"/>
        </w:rPr>
        <w:t xml:space="preserve"> R, </w:t>
      </w:r>
      <w:proofErr w:type="spellStart"/>
      <w:r w:rsidRPr="00FA5C8D">
        <w:rPr>
          <w:rFonts w:ascii="Book Antiqua" w:hAnsi="Book Antiqua"/>
          <w:sz w:val="24"/>
          <w:szCs w:val="24"/>
        </w:rPr>
        <w:t>Huf</w:t>
      </w:r>
      <w:proofErr w:type="spellEnd"/>
      <w:r w:rsidRPr="00FA5C8D">
        <w:rPr>
          <w:rFonts w:ascii="Book Antiqua" w:hAnsi="Book Antiqua"/>
          <w:sz w:val="24"/>
          <w:szCs w:val="24"/>
        </w:rPr>
        <w:t xml:space="preserve"> W, </w:t>
      </w:r>
      <w:proofErr w:type="spellStart"/>
      <w:r w:rsidRPr="00FA5C8D">
        <w:rPr>
          <w:rFonts w:ascii="Book Antiqua" w:hAnsi="Book Antiqua"/>
          <w:sz w:val="24"/>
          <w:szCs w:val="24"/>
        </w:rPr>
        <w:t>Vécsei</w:t>
      </w:r>
      <w:proofErr w:type="spellEnd"/>
      <w:r w:rsidRPr="00FA5C8D">
        <w:rPr>
          <w:rFonts w:ascii="Book Antiqua" w:hAnsi="Book Antiqua"/>
          <w:sz w:val="24"/>
          <w:szCs w:val="24"/>
        </w:rPr>
        <w:t xml:space="preserve"> A. Follow-up of pediatric celiac disease: value of antibodies in predicting mucosal healing, a prospective cohort study. </w:t>
      </w:r>
      <w:r w:rsidRPr="00FA5C8D">
        <w:rPr>
          <w:rFonts w:ascii="Book Antiqua" w:hAnsi="Book Antiqua"/>
          <w:i/>
          <w:sz w:val="24"/>
          <w:szCs w:val="24"/>
        </w:rPr>
        <w:t>BMC Gastroenterol</w:t>
      </w:r>
      <w:r w:rsidRPr="00FA5C8D">
        <w:rPr>
          <w:rFonts w:ascii="Book Antiqua" w:hAnsi="Book Antiqua"/>
          <w:sz w:val="24"/>
          <w:szCs w:val="24"/>
        </w:rPr>
        <w:t xml:space="preserve"> 2014; </w:t>
      </w:r>
      <w:r w:rsidRPr="00FA5C8D">
        <w:rPr>
          <w:rFonts w:ascii="Book Antiqua" w:hAnsi="Book Antiqua"/>
          <w:b/>
          <w:sz w:val="24"/>
          <w:szCs w:val="24"/>
        </w:rPr>
        <w:t>14</w:t>
      </w:r>
      <w:r w:rsidRPr="00FA5C8D">
        <w:rPr>
          <w:rFonts w:ascii="Book Antiqua" w:hAnsi="Book Antiqua"/>
          <w:sz w:val="24"/>
          <w:szCs w:val="24"/>
        </w:rPr>
        <w:t>: 28 [PMID: 24524430 DOI: 10.1186/1471-230X-14-28]</w:t>
      </w:r>
    </w:p>
    <w:p w14:paraId="0EA47E34"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20 </w:t>
      </w:r>
      <w:r w:rsidRPr="00FA5C8D">
        <w:rPr>
          <w:rFonts w:ascii="Book Antiqua" w:hAnsi="Book Antiqua"/>
          <w:b/>
          <w:sz w:val="24"/>
          <w:szCs w:val="24"/>
        </w:rPr>
        <w:t>Bannister EG</w:t>
      </w:r>
      <w:r w:rsidRPr="00FA5C8D">
        <w:rPr>
          <w:rFonts w:ascii="Book Antiqua" w:hAnsi="Book Antiqua"/>
          <w:sz w:val="24"/>
          <w:szCs w:val="24"/>
        </w:rPr>
        <w:t xml:space="preserve">, Cameron DJ, Ng J, Chow CW, Oliver MR, Alex G, </w:t>
      </w:r>
      <w:proofErr w:type="spellStart"/>
      <w:r w:rsidRPr="00FA5C8D">
        <w:rPr>
          <w:rFonts w:ascii="Book Antiqua" w:hAnsi="Book Antiqua"/>
          <w:sz w:val="24"/>
          <w:szCs w:val="24"/>
        </w:rPr>
        <w:t>Catto</w:t>
      </w:r>
      <w:proofErr w:type="spellEnd"/>
      <w:r w:rsidRPr="00FA5C8D">
        <w:rPr>
          <w:rFonts w:ascii="Book Antiqua" w:hAnsi="Book Antiqua"/>
          <w:sz w:val="24"/>
          <w:szCs w:val="24"/>
        </w:rPr>
        <w:t xml:space="preserve">-Smith AG, Heine RG, Webb A, McGrath K, Simpson D, </w:t>
      </w:r>
      <w:proofErr w:type="spellStart"/>
      <w:r w:rsidRPr="00FA5C8D">
        <w:rPr>
          <w:rFonts w:ascii="Book Antiqua" w:hAnsi="Book Antiqua"/>
          <w:sz w:val="24"/>
          <w:szCs w:val="24"/>
        </w:rPr>
        <w:t>Hardikar</w:t>
      </w:r>
      <w:proofErr w:type="spellEnd"/>
      <w:r w:rsidRPr="00FA5C8D">
        <w:rPr>
          <w:rFonts w:ascii="Book Antiqua" w:hAnsi="Book Antiqua"/>
          <w:sz w:val="24"/>
          <w:szCs w:val="24"/>
        </w:rPr>
        <w:t xml:space="preserve"> W. Can celiac serology alone be used as a marker of duodenal mucosal recovery in children with celiac disease on a gluten-free diet? </w:t>
      </w:r>
      <w:r w:rsidRPr="00FA5C8D">
        <w:rPr>
          <w:rFonts w:ascii="Book Antiqua" w:hAnsi="Book Antiqua"/>
          <w:i/>
          <w:sz w:val="24"/>
          <w:szCs w:val="24"/>
        </w:rPr>
        <w:t>Am J Gastroenterol</w:t>
      </w:r>
      <w:r w:rsidRPr="00FA5C8D">
        <w:rPr>
          <w:rFonts w:ascii="Book Antiqua" w:hAnsi="Book Antiqua"/>
          <w:sz w:val="24"/>
          <w:szCs w:val="24"/>
        </w:rPr>
        <w:t xml:space="preserve"> 2014; </w:t>
      </w:r>
      <w:r w:rsidRPr="00FA5C8D">
        <w:rPr>
          <w:rFonts w:ascii="Book Antiqua" w:hAnsi="Book Antiqua"/>
          <w:b/>
          <w:sz w:val="24"/>
          <w:szCs w:val="24"/>
        </w:rPr>
        <w:t>109</w:t>
      </w:r>
      <w:r w:rsidRPr="00FA5C8D">
        <w:rPr>
          <w:rFonts w:ascii="Book Antiqua" w:hAnsi="Book Antiqua"/>
          <w:sz w:val="24"/>
          <w:szCs w:val="24"/>
        </w:rPr>
        <w:t>: 1478-1483 [PMID: 25070050 DOI: 10.1038/ajg.2014.200]</w:t>
      </w:r>
    </w:p>
    <w:p w14:paraId="578A4976"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21 </w:t>
      </w:r>
      <w:proofErr w:type="spellStart"/>
      <w:r w:rsidRPr="00FA5C8D">
        <w:rPr>
          <w:rFonts w:ascii="Book Antiqua" w:hAnsi="Book Antiqua"/>
          <w:b/>
          <w:sz w:val="24"/>
          <w:szCs w:val="24"/>
        </w:rPr>
        <w:t>Monzani</w:t>
      </w:r>
      <w:proofErr w:type="spellEnd"/>
      <w:r w:rsidRPr="00FA5C8D">
        <w:rPr>
          <w:rFonts w:ascii="Book Antiqua" w:hAnsi="Book Antiqua"/>
          <w:b/>
          <w:sz w:val="24"/>
          <w:szCs w:val="24"/>
        </w:rPr>
        <w:t xml:space="preserve"> A</w:t>
      </w:r>
      <w:r w:rsidRPr="00FA5C8D">
        <w:rPr>
          <w:rFonts w:ascii="Book Antiqua" w:hAnsi="Book Antiqua"/>
          <w:sz w:val="24"/>
          <w:szCs w:val="24"/>
        </w:rPr>
        <w:t xml:space="preserve">, Rapa A, </w:t>
      </w:r>
      <w:proofErr w:type="spellStart"/>
      <w:r w:rsidRPr="00FA5C8D">
        <w:rPr>
          <w:rFonts w:ascii="Book Antiqua" w:hAnsi="Book Antiqua"/>
          <w:sz w:val="24"/>
          <w:szCs w:val="24"/>
        </w:rPr>
        <w:t>Fonio</w:t>
      </w:r>
      <w:proofErr w:type="spellEnd"/>
      <w:r w:rsidRPr="00FA5C8D">
        <w:rPr>
          <w:rFonts w:ascii="Book Antiqua" w:hAnsi="Book Antiqua"/>
          <w:sz w:val="24"/>
          <w:szCs w:val="24"/>
        </w:rPr>
        <w:t xml:space="preserve"> P, </w:t>
      </w:r>
      <w:proofErr w:type="spellStart"/>
      <w:r w:rsidRPr="00FA5C8D">
        <w:rPr>
          <w:rFonts w:ascii="Book Antiqua" w:hAnsi="Book Antiqua"/>
          <w:sz w:val="24"/>
          <w:szCs w:val="24"/>
        </w:rPr>
        <w:t>Tognato</w:t>
      </w:r>
      <w:proofErr w:type="spellEnd"/>
      <w:r w:rsidRPr="00FA5C8D">
        <w:rPr>
          <w:rFonts w:ascii="Book Antiqua" w:hAnsi="Book Antiqua"/>
          <w:sz w:val="24"/>
          <w:szCs w:val="24"/>
        </w:rPr>
        <w:t xml:space="preserve"> E, </w:t>
      </w:r>
      <w:proofErr w:type="spellStart"/>
      <w:r w:rsidRPr="00FA5C8D">
        <w:rPr>
          <w:rFonts w:ascii="Book Antiqua" w:hAnsi="Book Antiqua"/>
          <w:sz w:val="24"/>
          <w:szCs w:val="24"/>
        </w:rPr>
        <w:t>Panigati</w:t>
      </w:r>
      <w:proofErr w:type="spellEnd"/>
      <w:r w:rsidRPr="00FA5C8D">
        <w:rPr>
          <w:rFonts w:ascii="Book Antiqua" w:hAnsi="Book Antiqua"/>
          <w:sz w:val="24"/>
          <w:szCs w:val="24"/>
        </w:rPr>
        <w:t xml:space="preserve"> L, </w:t>
      </w:r>
      <w:proofErr w:type="spellStart"/>
      <w:r w:rsidRPr="00FA5C8D">
        <w:rPr>
          <w:rFonts w:ascii="Book Antiqua" w:hAnsi="Book Antiqua"/>
          <w:sz w:val="24"/>
          <w:szCs w:val="24"/>
        </w:rPr>
        <w:t>Oderda</w:t>
      </w:r>
      <w:proofErr w:type="spellEnd"/>
      <w:r w:rsidRPr="00FA5C8D">
        <w:rPr>
          <w:rFonts w:ascii="Book Antiqua" w:hAnsi="Book Antiqua"/>
          <w:sz w:val="24"/>
          <w:szCs w:val="24"/>
        </w:rPr>
        <w:t xml:space="preserve"> G. Use of deamidated gliadin peptide antibodies to monitor diet compliance in childhood celiac disease. </w:t>
      </w:r>
      <w:r w:rsidRPr="00FA5C8D">
        <w:rPr>
          <w:rFonts w:ascii="Book Antiqua" w:hAnsi="Book Antiqua"/>
          <w:i/>
          <w:sz w:val="24"/>
          <w:szCs w:val="24"/>
        </w:rPr>
        <w:t xml:space="preserve">J </w:t>
      </w:r>
      <w:proofErr w:type="spellStart"/>
      <w:r w:rsidRPr="00FA5C8D">
        <w:rPr>
          <w:rFonts w:ascii="Book Antiqua" w:hAnsi="Book Antiqua"/>
          <w:i/>
          <w:sz w:val="24"/>
          <w:szCs w:val="24"/>
        </w:rPr>
        <w:lastRenderedPageBreak/>
        <w:t>Pediatr</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Gastroenterol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Nutr</w:t>
      </w:r>
      <w:proofErr w:type="spellEnd"/>
      <w:r w:rsidRPr="00FA5C8D">
        <w:rPr>
          <w:rFonts w:ascii="Book Antiqua" w:hAnsi="Book Antiqua"/>
          <w:sz w:val="24"/>
          <w:szCs w:val="24"/>
        </w:rPr>
        <w:t xml:space="preserve"> 2011; </w:t>
      </w:r>
      <w:r w:rsidRPr="00FA5C8D">
        <w:rPr>
          <w:rFonts w:ascii="Book Antiqua" w:hAnsi="Book Antiqua"/>
          <w:b/>
          <w:sz w:val="24"/>
          <w:szCs w:val="24"/>
        </w:rPr>
        <w:t>53</w:t>
      </w:r>
      <w:r w:rsidRPr="00FA5C8D">
        <w:rPr>
          <w:rFonts w:ascii="Book Antiqua" w:hAnsi="Book Antiqua"/>
          <w:sz w:val="24"/>
          <w:szCs w:val="24"/>
        </w:rPr>
        <w:t>: 55-60 [PMID: 21694536 DOI: 10.1097/MPG.0b013e3182145511]</w:t>
      </w:r>
    </w:p>
    <w:p w14:paraId="6F311306"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22 </w:t>
      </w:r>
      <w:r w:rsidRPr="00FA5C8D">
        <w:rPr>
          <w:rFonts w:ascii="Book Antiqua" w:hAnsi="Book Antiqua"/>
          <w:b/>
          <w:sz w:val="24"/>
          <w:szCs w:val="24"/>
        </w:rPr>
        <w:t>Lau MS</w:t>
      </w:r>
      <w:r w:rsidRPr="00FA5C8D">
        <w:rPr>
          <w:rFonts w:ascii="Book Antiqua" w:hAnsi="Book Antiqua"/>
          <w:sz w:val="24"/>
          <w:szCs w:val="24"/>
        </w:rPr>
        <w:t xml:space="preserve">, Mooney PD, White WL, Rees MA, Wong SH, </w:t>
      </w:r>
      <w:proofErr w:type="spellStart"/>
      <w:r w:rsidRPr="00FA5C8D">
        <w:rPr>
          <w:rFonts w:ascii="Book Antiqua" w:hAnsi="Book Antiqua"/>
          <w:sz w:val="24"/>
          <w:szCs w:val="24"/>
        </w:rPr>
        <w:t>Kurien</w:t>
      </w:r>
      <w:proofErr w:type="spellEnd"/>
      <w:r w:rsidRPr="00FA5C8D">
        <w:rPr>
          <w:rFonts w:ascii="Book Antiqua" w:hAnsi="Book Antiqua"/>
          <w:sz w:val="24"/>
          <w:szCs w:val="24"/>
        </w:rPr>
        <w:t xml:space="preserve"> M, </w:t>
      </w:r>
      <w:proofErr w:type="spellStart"/>
      <w:r w:rsidRPr="00FA5C8D">
        <w:rPr>
          <w:rFonts w:ascii="Book Antiqua" w:hAnsi="Book Antiqua"/>
          <w:sz w:val="24"/>
          <w:szCs w:val="24"/>
        </w:rPr>
        <w:t>Trott</w:t>
      </w:r>
      <w:proofErr w:type="spellEnd"/>
      <w:r w:rsidRPr="00FA5C8D">
        <w:rPr>
          <w:rFonts w:ascii="Book Antiqua" w:hAnsi="Book Antiqua"/>
          <w:sz w:val="24"/>
          <w:szCs w:val="24"/>
        </w:rPr>
        <w:t xml:space="preserve"> N, </w:t>
      </w:r>
      <w:proofErr w:type="spellStart"/>
      <w:r w:rsidRPr="00FA5C8D">
        <w:rPr>
          <w:rFonts w:ascii="Book Antiqua" w:hAnsi="Book Antiqua"/>
          <w:sz w:val="24"/>
          <w:szCs w:val="24"/>
        </w:rPr>
        <w:t>Leffler</w:t>
      </w:r>
      <w:proofErr w:type="spellEnd"/>
      <w:r w:rsidRPr="00FA5C8D">
        <w:rPr>
          <w:rFonts w:ascii="Book Antiqua" w:hAnsi="Book Antiqua"/>
          <w:sz w:val="24"/>
          <w:szCs w:val="24"/>
        </w:rPr>
        <w:t xml:space="preserve"> DA, </w:t>
      </w:r>
      <w:proofErr w:type="spellStart"/>
      <w:r w:rsidRPr="00FA5C8D">
        <w:rPr>
          <w:rFonts w:ascii="Book Antiqua" w:hAnsi="Book Antiqua"/>
          <w:sz w:val="24"/>
          <w:szCs w:val="24"/>
        </w:rPr>
        <w:t>Hadjivassiliou</w:t>
      </w:r>
      <w:proofErr w:type="spellEnd"/>
      <w:r w:rsidRPr="00FA5C8D">
        <w:rPr>
          <w:rFonts w:ascii="Book Antiqua" w:hAnsi="Book Antiqua"/>
          <w:sz w:val="24"/>
          <w:szCs w:val="24"/>
        </w:rPr>
        <w:t xml:space="preserve"> M, Sanders DS. The Role of an IgA/IgG-Deamidated Gliadin Peptide Point-of-Care Test in Predicting Persistent Villous Atrophy in Patients </w:t>
      </w:r>
      <w:proofErr w:type="gramStart"/>
      <w:r w:rsidRPr="00FA5C8D">
        <w:rPr>
          <w:rFonts w:ascii="Book Antiqua" w:hAnsi="Book Antiqua"/>
          <w:sz w:val="24"/>
          <w:szCs w:val="24"/>
        </w:rPr>
        <w:t>With</w:t>
      </w:r>
      <w:proofErr w:type="gramEnd"/>
      <w:r w:rsidRPr="00FA5C8D">
        <w:rPr>
          <w:rFonts w:ascii="Book Antiqua" w:hAnsi="Book Antiqua"/>
          <w:sz w:val="24"/>
          <w:szCs w:val="24"/>
        </w:rPr>
        <w:t xml:space="preserve"> Celiac Disease on a Gluten-Free Diet. </w:t>
      </w:r>
      <w:r w:rsidRPr="00FA5C8D">
        <w:rPr>
          <w:rFonts w:ascii="Book Antiqua" w:hAnsi="Book Antiqua"/>
          <w:i/>
          <w:sz w:val="24"/>
          <w:szCs w:val="24"/>
        </w:rPr>
        <w:t>Am J Gastroenterol</w:t>
      </w:r>
      <w:r w:rsidRPr="00FA5C8D">
        <w:rPr>
          <w:rFonts w:ascii="Book Antiqua" w:hAnsi="Book Antiqua"/>
          <w:sz w:val="24"/>
          <w:szCs w:val="24"/>
        </w:rPr>
        <w:t xml:space="preserve"> 2017; </w:t>
      </w:r>
      <w:r w:rsidRPr="00FA5C8D">
        <w:rPr>
          <w:rFonts w:ascii="Book Antiqua" w:hAnsi="Book Antiqua"/>
          <w:b/>
          <w:sz w:val="24"/>
          <w:szCs w:val="24"/>
        </w:rPr>
        <w:t>112</w:t>
      </w:r>
      <w:r w:rsidRPr="00FA5C8D">
        <w:rPr>
          <w:rFonts w:ascii="Book Antiqua" w:hAnsi="Book Antiqua"/>
          <w:sz w:val="24"/>
          <w:szCs w:val="24"/>
        </w:rPr>
        <w:t>: 1859-1867 [PMID: 29016564 DOI: 10.1038/ajg.2017.357]</w:t>
      </w:r>
    </w:p>
    <w:p w14:paraId="48B3C13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23 </w:t>
      </w:r>
      <w:r w:rsidRPr="00FA5C8D">
        <w:rPr>
          <w:rFonts w:ascii="Book Antiqua" w:hAnsi="Book Antiqua"/>
          <w:b/>
          <w:sz w:val="24"/>
          <w:szCs w:val="24"/>
        </w:rPr>
        <w:t>Sheedy SP</w:t>
      </w:r>
      <w:r w:rsidRPr="00FA5C8D">
        <w:rPr>
          <w:rFonts w:ascii="Book Antiqua" w:hAnsi="Book Antiqua"/>
          <w:sz w:val="24"/>
          <w:szCs w:val="24"/>
        </w:rPr>
        <w:t xml:space="preserve">, Barlow JM, Fletcher JG, </w:t>
      </w:r>
      <w:proofErr w:type="spellStart"/>
      <w:r w:rsidRPr="00FA5C8D">
        <w:rPr>
          <w:rFonts w:ascii="Book Antiqua" w:hAnsi="Book Antiqua"/>
          <w:sz w:val="24"/>
          <w:szCs w:val="24"/>
        </w:rPr>
        <w:t>Smyrk</w:t>
      </w:r>
      <w:proofErr w:type="spellEnd"/>
      <w:r w:rsidRPr="00FA5C8D">
        <w:rPr>
          <w:rFonts w:ascii="Book Antiqua" w:hAnsi="Book Antiqua"/>
          <w:sz w:val="24"/>
          <w:szCs w:val="24"/>
        </w:rPr>
        <w:t xml:space="preserve"> TC, </w:t>
      </w:r>
      <w:proofErr w:type="spellStart"/>
      <w:r w:rsidRPr="00FA5C8D">
        <w:rPr>
          <w:rFonts w:ascii="Book Antiqua" w:hAnsi="Book Antiqua"/>
          <w:sz w:val="24"/>
          <w:szCs w:val="24"/>
        </w:rPr>
        <w:t>Scholz</w:t>
      </w:r>
      <w:proofErr w:type="spellEnd"/>
      <w:r w:rsidRPr="00FA5C8D">
        <w:rPr>
          <w:rFonts w:ascii="Book Antiqua" w:hAnsi="Book Antiqua"/>
          <w:sz w:val="24"/>
          <w:szCs w:val="24"/>
        </w:rPr>
        <w:t xml:space="preserve"> FJ, </w:t>
      </w:r>
      <w:proofErr w:type="spellStart"/>
      <w:r w:rsidRPr="00FA5C8D">
        <w:rPr>
          <w:rFonts w:ascii="Book Antiqua" w:hAnsi="Book Antiqua"/>
          <w:sz w:val="24"/>
          <w:szCs w:val="24"/>
        </w:rPr>
        <w:t>Codipilly</w:t>
      </w:r>
      <w:proofErr w:type="spellEnd"/>
      <w:r w:rsidRPr="00FA5C8D">
        <w:rPr>
          <w:rFonts w:ascii="Book Antiqua" w:hAnsi="Book Antiqua"/>
          <w:sz w:val="24"/>
          <w:szCs w:val="24"/>
        </w:rPr>
        <w:t xml:space="preserve"> DC, Al </w:t>
      </w:r>
      <w:proofErr w:type="spellStart"/>
      <w:r w:rsidRPr="00FA5C8D">
        <w:rPr>
          <w:rFonts w:ascii="Book Antiqua" w:hAnsi="Book Antiqua"/>
          <w:sz w:val="24"/>
          <w:szCs w:val="24"/>
        </w:rPr>
        <w:t>Bawardy</w:t>
      </w:r>
      <w:proofErr w:type="spellEnd"/>
      <w:r w:rsidRPr="00FA5C8D">
        <w:rPr>
          <w:rFonts w:ascii="Book Antiqua" w:hAnsi="Book Antiqua"/>
          <w:sz w:val="24"/>
          <w:szCs w:val="24"/>
        </w:rPr>
        <w:t xml:space="preserve"> BF, Fidler JL. Beyond moulage sign and TTG levels: the role of cross-sectional imaging in celiac sprue. </w:t>
      </w:r>
      <w:proofErr w:type="spellStart"/>
      <w:r w:rsidRPr="00FA5C8D">
        <w:rPr>
          <w:rFonts w:ascii="Book Antiqua" w:hAnsi="Book Antiqua"/>
          <w:i/>
          <w:sz w:val="24"/>
          <w:szCs w:val="24"/>
        </w:rPr>
        <w:t>Abdom</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Radiol</w:t>
      </w:r>
      <w:proofErr w:type="spellEnd"/>
      <w:r w:rsidRPr="00FA5C8D">
        <w:rPr>
          <w:rFonts w:ascii="Book Antiqua" w:hAnsi="Book Antiqua"/>
          <w:i/>
          <w:sz w:val="24"/>
          <w:szCs w:val="24"/>
        </w:rPr>
        <w:t xml:space="preserve"> (NY)</w:t>
      </w:r>
      <w:r w:rsidRPr="00FA5C8D">
        <w:rPr>
          <w:rFonts w:ascii="Book Antiqua" w:hAnsi="Book Antiqua"/>
          <w:sz w:val="24"/>
          <w:szCs w:val="24"/>
        </w:rPr>
        <w:t xml:space="preserve"> 2017; </w:t>
      </w:r>
      <w:r w:rsidRPr="00FA5C8D">
        <w:rPr>
          <w:rFonts w:ascii="Book Antiqua" w:hAnsi="Book Antiqua"/>
          <w:b/>
          <w:sz w:val="24"/>
          <w:szCs w:val="24"/>
        </w:rPr>
        <w:t>42</w:t>
      </w:r>
      <w:r w:rsidRPr="00FA5C8D">
        <w:rPr>
          <w:rFonts w:ascii="Book Antiqua" w:hAnsi="Book Antiqua"/>
          <w:sz w:val="24"/>
          <w:szCs w:val="24"/>
        </w:rPr>
        <w:t>: 361-388 [PMID: 28154909 DOI: 10.1007/s00261-016-1006-2]</w:t>
      </w:r>
    </w:p>
    <w:p w14:paraId="33094F4D"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24 </w:t>
      </w:r>
      <w:proofErr w:type="spellStart"/>
      <w:r w:rsidRPr="00FA5C8D">
        <w:rPr>
          <w:rFonts w:ascii="Book Antiqua" w:hAnsi="Book Antiqua"/>
          <w:b/>
          <w:sz w:val="24"/>
          <w:szCs w:val="24"/>
        </w:rPr>
        <w:t>Maaser</w:t>
      </w:r>
      <w:proofErr w:type="spellEnd"/>
      <w:r w:rsidRPr="00FA5C8D">
        <w:rPr>
          <w:rFonts w:ascii="Book Antiqua" w:hAnsi="Book Antiqua"/>
          <w:b/>
          <w:sz w:val="24"/>
          <w:szCs w:val="24"/>
        </w:rPr>
        <w:t xml:space="preserve"> C</w:t>
      </w:r>
      <w:r w:rsidRPr="00FA5C8D">
        <w:rPr>
          <w:rFonts w:ascii="Book Antiqua" w:hAnsi="Book Antiqua"/>
          <w:sz w:val="24"/>
          <w:szCs w:val="24"/>
        </w:rPr>
        <w:t xml:space="preserve">, Sturm A, </w:t>
      </w:r>
      <w:proofErr w:type="spellStart"/>
      <w:r w:rsidRPr="00FA5C8D">
        <w:rPr>
          <w:rFonts w:ascii="Book Antiqua" w:hAnsi="Book Antiqua"/>
          <w:sz w:val="24"/>
          <w:szCs w:val="24"/>
        </w:rPr>
        <w:t>Vavricka</w:t>
      </w:r>
      <w:proofErr w:type="spellEnd"/>
      <w:r w:rsidRPr="00FA5C8D">
        <w:rPr>
          <w:rFonts w:ascii="Book Antiqua" w:hAnsi="Book Antiqua"/>
          <w:sz w:val="24"/>
          <w:szCs w:val="24"/>
        </w:rPr>
        <w:t xml:space="preserve"> SR, </w:t>
      </w:r>
      <w:proofErr w:type="spellStart"/>
      <w:r w:rsidRPr="00FA5C8D">
        <w:rPr>
          <w:rFonts w:ascii="Book Antiqua" w:hAnsi="Book Antiqua"/>
          <w:sz w:val="24"/>
          <w:szCs w:val="24"/>
        </w:rPr>
        <w:t>Kucharzik</w:t>
      </w:r>
      <w:proofErr w:type="spellEnd"/>
      <w:r w:rsidRPr="00FA5C8D">
        <w:rPr>
          <w:rFonts w:ascii="Book Antiqua" w:hAnsi="Book Antiqua"/>
          <w:sz w:val="24"/>
          <w:szCs w:val="24"/>
        </w:rPr>
        <w:t xml:space="preserve"> T, </w:t>
      </w:r>
      <w:proofErr w:type="spellStart"/>
      <w:r w:rsidRPr="00FA5C8D">
        <w:rPr>
          <w:rFonts w:ascii="Book Antiqua" w:hAnsi="Book Antiqua"/>
          <w:sz w:val="24"/>
          <w:szCs w:val="24"/>
        </w:rPr>
        <w:t>Fiorino</w:t>
      </w:r>
      <w:proofErr w:type="spellEnd"/>
      <w:r w:rsidRPr="00FA5C8D">
        <w:rPr>
          <w:rFonts w:ascii="Book Antiqua" w:hAnsi="Book Antiqua"/>
          <w:sz w:val="24"/>
          <w:szCs w:val="24"/>
        </w:rPr>
        <w:t xml:space="preserve"> G, </w:t>
      </w:r>
      <w:proofErr w:type="spellStart"/>
      <w:r w:rsidRPr="00FA5C8D">
        <w:rPr>
          <w:rFonts w:ascii="Book Antiqua" w:hAnsi="Book Antiqua"/>
          <w:sz w:val="24"/>
          <w:szCs w:val="24"/>
        </w:rPr>
        <w:t>Annese</w:t>
      </w:r>
      <w:proofErr w:type="spellEnd"/>
      <w:r w:rsidRPr="00FA5C8D">
        <w:rPr>
          <w:rFonts w:ascii="Book Antiqua" w:hAnsi="Book Antiqua"/>
          <w:sz w:val="24"/>
          <w:szCs w:val="24"/>
        </w:rPr>
        <w:t xml:space="preserve"> V, Calabrese E, </w:t>
      </w:r>
      <w:proofErr w:type="spellStart"/>
      <w:r w:rsidRPr="00FA5C8D">
        <w:rPr>
          <w:rFonts w:ascii="Book Antiqua" w:hAnsi="Book Antiqua"/>
          <w:sz w:val="24"/>
          <w:szCs w:val="24"/>
        </w:rPr>
        <w:t>Baumgart</w:t>
      </w:r>
      <w:proofErr w:type="spellEnd"/>
      <w:r w:rsidRPr="00FA5C8D">
        <w:rPr>
          <w:rFonts w:ascii="Book Antiqua" w:hAnsi="Book Antiqua"/>
          <w:sz w:val="24"/>
          <w:szCs w:val="24"/>
        </w:rPr>
        <w:t xml:space="preserve"> DC, </w:t>
      </w:r>
      <w:proofErr w:type="spellStart"/>
      <w:r w:rsidRPr="00FA5C8D">
        <w:rPr>
          <w:rFonts w:ascii="Book Antiqua" w:hAnsi="Book Antiqua"/>
          <w:sz w:val="24"/>
          <w:szCs w:val="24"/>
        </w:rPr>
        <w:t>Bettenworth</w:t>
      </w:r>
      <w:proofErr w:type="spellEnd"/>
      <w:r w:rsidRPr="00FA5C8D">
        <w:rPr>
          <w:rFonts w:ascii="Book Antiqua" w:hAnsi="Book Antiqua"/>
          <w:sz w:val="24"/>
          <w:szCs w:val="24"/>
        </w:rPr>
        <w:t xml:space="preserve"> D, </w:t>
      </w:r>
      <w:proofErr w:type="spellStart"/>
      <w:r w:rsidRPr="00FA5C8D">
        <w:rPr>
          <w:rFonts w:ascii="Book Antiqua" w:hAnsi="Book Antiqua"/>
          <w:sz w:val="24"/>
          <w:szCs w:val="24"/>
        </w:rPr>
        <w:t>Borralho</w:t>
      </w:r>
      <w:proofErr w:type="spellEnd"/>
      <w:r w:rsidRPr="00FA5C8D">
        <w:rPr>
          <w:rFonts w:ascii="Book Antiqua" w:hAnsi="Book Antiqua"/>
          <w:sz w:val="24"/>
          <w:szCs w:val="24"/>
        </w:rPr>
        <w:t xml:space="preserve"> </w:t>
      </w:r>
      <w:proofErr w:type="spellStart"/>
      <w:r w:rsidRPr="00FA5C8D">
        <w:rPr>
          <w:rFonts w:ascii="Book Antiqua" w:hAnsi="Book Antiqua"/>
          <w:sz w:val="24"/>
          <w:szCs w:val="24"/>
        </w:rPr>
        <w:t>Nunes</w:t>
      </w:r>
      <w:proofErr w:type="spellEnd"/>
      <w:r w:rsidRPr="00FA5C8D">
        <w:rPr>
          <w:rFonts w:ascii="Book Antiqua" w:hAnsi="Book Antiqua"/>
          <w:sz w:val="24"/>
          <w:szCs w:val="24"/>
        </w:rPr>
        <w:t xml:space="preserve"> P, </w:t>
      </w:r>
      <w:proofErr w:type="spellStart"/>
      <w:r w:rsidRPr="00FA5C8D">
        <w:rPr>
          <w:rFonts w:ascii="Book Antiqua" w:hAnsi="Book Antiqua"/>
          <w:sz w:val="24"/>
          <w:szCs w:val="24"/>
        </w:rPr>
        <w:t>Burisch</w:t>
      </w:r>
      <w:proofErr w:type="spellEnd"/>
      <w:r w:rsidRPr="00FA5C8D">
        <w:rPr>
          <w:rFonts w:ascii="Book Antiqua" w:hAnsi="Book Antiqua"/>
          <w:sz w:val="24"/>
          <w:szCs w:val="24"/>
        </w:rPr>
        <w:t xml:space="preserve"> J, Castiglione F, Eliakim R, Ellul P, González-Lama Y, Gordon H, </w:t>
      </w:r>
      <w:proofErr w:type="spellStart"/>
      <w:r w:rsidRPr="00FA5C8D">
        <w:rPr>
          <w:rFonts w:ascii="Book Antiqua" w:hAnsi="Book Antiqua"/>
          <w:sz w:val="24"/>
          <w:szCs w:val="24"/>
        </w:rPr>
        <w:t>Halligan</w:t>
      </w:r>
      <w:proofErr w:type="spellEnd"/>
      <w:r w:rsidRPr="00FA5C8D">
        <w:rPr>
          <w:rFonts w:ascii="Book Antiqua" w:hAnsi="Book Antiqua"/>
          <w:sz w:val="24"/>
          <w:szCs w:val="24"/>
        </w:rPr>
        <w:t xml:space="preserve"> S, </w:t>
      </w:r>
      <w:proofErr w:type="spellStart"/>
      <w:r w:rsidRPr="00FA5C8D">
        <w:rPr>
          <w:rFonts w:ascii="Book Antiqua" w:hAnsi="Book Antiqua"/>
          <w:sz w:val="24"/>
          <w:szCs w:val="24"/>
        </w:rPr>
        <w:t>Katsanos</w:t>
      </w:r>
      <w:proofErr w:type="spellEnd"/>
      <w:r w:rsidRPr="00FA5C8D">
        <w:rPr>
          <w:rFonts w:ascii="Book Antiqua" w:hAnsi="Book Antiqua"/>
          <w:sz w:val="24"/>
          <w:szCs w:val="24"/>
        </w:rPr>
        <w:t xml:space="preserve"> K, </w:t>
      </w:r>
      <w:proofErr w:type="spellStart"/>
      <w:r w:rsidRPr="00FA5C8D">
        <w:rPr>
          <w:rFonts w:ascii="Book Antiqua" w:hAnsi="Book Antiqua"/>
          <w:sz w:val="24"/>
          <w:szCs w:val="24"/>
        </w:rPr>
        <w:t>Kopylov</w:t>
      </w:r>
      <w:proofErr w:type="spellEnd"/>
      <w:r w:rsidRPr="00FA5C8D">
        <w:rPr>
          <w:rFonts w:ascii="Book Antiqua" w:hAnsi="Book Antiqua"/>
          <w:sz w:val="24"/>
          <w:szCs w:val="24"/>
        </w:rPr>
        <w:t xml:space="preserve"> U, </w:t>
      </w:r>
      <w:proofErr w:type="spellStart"/>
      <w:r w:rsidRPr="00FA5C8D">
        <w:rPr>
          <w:rFonts w:ascii="Book Antiqua" w:hAnsi="Book Antiqua"/>
          <w:sz w:val="24"/>
          <w:szCs w:val="24"/>
        </w:rPr>
        <w:t>Kotze</w:t>
      </w:r>
      <w:proofErr w:type="spellEnd"/>
      <w:r w:rsidRPr="00FA5C8D">
        <w:rPr>
          <w:rFonts w:ascii="Book Antiqua" w:hAnsi="Book Antiqua"/>
          <w:sz w:val="24"/>
          <w:szCs w:val="24"/>
        </w:rPr>
        <w:t xml:space="preserve"> PG, </w:t>
      </w:r>
      <w:proofErr w:type="spellStart"/>
      <w:r w:rsidRPr="00FA5C8D">
        <w:rPr>
          <w:rFonts w:ascii="Book Antiqua" w:hAnsi="Book Antiqua"/>
          <w:sz w:val="24"/>
          <w:szCs w:val="24"/>
        </w:rPr>
        <w:t>Krustinš</w:t>
      </w:r>
      <w:proofErr w:type="spellEnd"/>
      <w:r w:rsidRPr="00FA5C8D">
        <w:rPr>
          <w:rFonts w:ascii="Book Antiqua" w:hAnsi="Book Antiqua"/>
          <w:sz w:val="24"/>
          <w:szCs w:val="24"/>
        </w:rPr>
        <w:t xml:space="preserve"> E, </w:t>
      </w:r>
      <w:proofErr w:type="spellStart"/>
      <w:r w:rsidRPr="00FA5C8D">
        <w:rPr>
          <w:rFonts w:ascii="Book Antiqua" w:hAnsi="Book Antiqua"/>
          <w:sz w:val="24"/>
          <w:szCs w:val="24"/>
        </w:rPr>
        <w:t>Laghi</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Limdi</w:t>
      </w:r>
      <w:proofErr w:type="spellEnd"/>
      <w:r w:rsidRPr="00FA5C8D">
        <w:rPr>
          <w:rFonts w:ascii="Book Antiqua" w:hAnsi="Book Antiqua"/>
          <w:sz w:val="24"/>
          <w:szCs w:val="24"/>
        </w:rPr>
        <w:t xml:space="preserve"> JK, </w:t>
      </w:r>
      <w:proofErr w:type="spellStart"/>
      <w:r w:rsidRPr="00FA5C8D">
        <w:rPr>
          <w:rFonts w:ascii="Book Antiqua" w:hAnsi="Book Antiqua"/>
          <w:sz w:val="24"/>
          <w:szCs w:val="24"/>
        </w:rPr>
        <w:t>Rieder</w:t>
      </w:r>
      <w:proofErr w:type="spellEnd"/>
      <w:r w:rsidRPr="00FA5C8D">
        <w:rPr>
          <w:rFonts w:ascii="Book Antiqua" w:hAnsi="Book Antiqua"/>
          <w:sz w:val="24"/>
          <w:szCs w:val="24"/>
        </w:rPr>
        <w:t xml:space="preserve"> F, </w:t>
      </w:r>
      <w:proofErr w:type="spellStart"/>
      <w:r w:rsidRPr="00FA5C8D">
        <w:rPr>
          <w:rFonts w:ascii="Book Antiqua" w:hAnsi="Book Antiqua"/>
          <w:sz w:val="24"/>
          <w:szCs w:val="24"/>
        </w:rPr>
        <w:t>Rimola</w:t>
      </w:r>
      <w:proofErr w:type="spellEnd"/>
      <w:r w:rsidRPr="00FA5C8D">
        <w:rPr>
          <w:rFonts w:ascii="Book Antiqua" w:hAnsi="Book Antiqua"/>
          <w:sz w:val="24"/>
          <w:szCs w:val="24"/>
        </w:rPr>
        <w:t xml:space="preserve"> J, Taylor SA, </w:t>
      </w:r>
      <w:proofErr w:type="spellStart"/>
      <w:r w:rsidRPr="00FA5C8D">
        <w:rPr>
          <w:rFonts w:ascii="Book Antiqua" w:hAnsi="Book Antiqua"/>
          <w:sz w:val="24"/>
          <w:szCs w:val="24"/>
        </w:rPr>
        <w:t>Tolan</w:t>
      </w:r>
      <w:proofErr w:type="spellEnd"/>
      <w:r w:rsidRPr="00FA5C8D">
        <w:rPr>
          <w:rFonts w:ascii="Book Antiqua" w:hAnsi="Book Antiqua"/>
          <w:sz w:val="24"/>
          <w:szCs w:val="24"/>
        </w:rPr>
        <w:t xml:space="preserve"> D, van </w:t>
      </w:r>
      <w:proofErr w:type="spellStart"/>
      <w:r w:rsidRPr="00FA5C8D">
        <w:rPr>
          <w:rFonts w:ascii="Book Antiqua" w:hAnsi="Book Antiqua"/>
          <w:sz w:val="24"/>
          <w:szCs w:val="24"/>
        </w:rPr>
        <w:t>Rheenen</w:t>
      </w:r>
      <w:proofErr w:type="spellEnd"/>
      <w:r w:rsidRPr="00FA5C8D">
        <w:rPr>
          <w:rFonts w:ascii="Book Antiqua" w:hAnsi="Book Antiqua"/>
          <w:sz w:val="24"/>
          <w:szCs w:val="24"/>
        </w:rPr>
        <w:t xml:space="preserve"> P, </w:t>
      </w:r>
      <w:proofErr w:type="spellStart"/>
      <w:r w:rsidRPr="00FA5C8D">
        <w:rPr>
          <w:rFonts w:ascii="Book Antiqua" w:hAnsi="Book Antiqua"/>
          <w:sz w:val="24"/>
          <w:szCs w:val="24"/>
        </w:rPr>
        <w:t>Verstockt</w:t>
      </w:r>
      <w:proofErr w:type="spellEnd"/>
      <w:r w:rsidRPr="00FA5C8D">
        <w:rPr>
          <w:rFonts w:ascii="Book Antiqua" w:hAnsi="Book Antiqua"/>
          <w:sz w:val="24"/>
          <w:szCs w:val="24"/>
        </w:rPr>
        <w:t xml:space="preserve"> B, Stoker J; European </w:t>
      </w:r>
      <w:proofErr w:type="spellStart"/>
      <w:r w:rsidRPr="00FA5C8D">
        <w:rPr>
          <w:rFonts w:ascii="Book Antiqua" w:hAnsi="Book Antiqua"/>
          <w:sz w:val="24"/>
          <w:szCs w:val="24"/>
        </w:rPr>
        <w:t>Crohn’s</w:t>
      </w:r>
      <w:proofErr w:type="spellEnd"/>
      <w:r w:rsidRPr="00FA5C8D">
        <w:rPr>
          <w:rFonts w:ascii="Book Antiqua" w:hAnsi="Book Antiqua"/>
          <w:sz w:val="24"/>
          <w:szCs w:val="24"/>
        </w:rPr>
        <w:t xml:space="preserve"> and Colitis </w:t>
      </w:r>
      <w:proofErr w:type="spellStart"/>
      <w:r w:rsidRPr="00FA5C8D">
        <w:rPr>
          <w:rFonts w:ascii="Book Antiqua" w:hAnsi="Book Antiqua"/>
          <w:sz w:val="24"/>
          <w:szCs w:val="24"/>
        </w:rPr>
        <w:t>Organisation</w:t>
      </w:r>
      <w:proofErr w:type="spellEnd"/>
      <w:r w:rsidRPr="00FA5C8D">
        <w:rPr>
          <w:rFonts w:ascii="Book Antiqua" w:hAnsi="Book Antiqua"/>
          <w:sz w:val="24"/>
          <w:szCs w:val="24"/>
        </w:rPr>
        <w:t xml:space="preserve"> [ECCO] and the European Society of Gastrointestinal and Abdominal Radiology [ESGAR]. ECCO-ESGAR Guideline for Diagnostic Assessment in IBD Part 1: Initial diagnosis, monitoring of known IBD, detection of complications. </w:t>
      </w:r>
      <w:r w:rsidRPr="00FA5C8D">
        <w:rPr>
          <w:rFonts w:ascii="Book Antiqua" w:hAnsi="Book Antiqua"/>
          <w:i/>
          <w:sz w:val="24"/>
          <w:szCs w:val="24"/>
        </w:rPr>
        <w:t xml:space="preserve">J </w:t>
      </w:r>
      <w:proofErr w:type="spellStart"/>
      <w:r w:rsidRPr="00FA5C8D">
        <w:rPr>
          <w:rFonts w:ascii="Book Antiqua" w:hAnsi="Book Antiqua"/>
          <w:i/>
          <w:sz w:val="24"/>
          <w:szCs w:val="24"/>
        </w:rPr>
        <w:t>Crohns</w:t>
      </w:r>
      <w:proofErr w:type="spellEnd"/>
      <w:r w:rsidRPr="00FA5C8D">
        <w:rPr>
          <w:rFonts w:ascii="Book Antiqua" w:hAnsi="Book Antiqua"/>
          <w:i/>
          <w:sz w:val="24"/>
          <w:szCs w:val="24"/>
        </w:rPr>
        <w:t xml:space="preserve"> Colitis</w:t>
      </w:r>
      <w:r w:rsidRPr="00FA5C8D">
        <w:rPr>
          <w:rFonts w:ascii="Book Antiqua" w:hAnsi="Book Antiqua"/>
          <w:sz w:val="24"/>
          <w:szCs w:val="24"/>
        </w:rPr>
        <w:t xml:space="preserve"> 2019; </w:t>
      </w:r>
      <w:r w:rsidRPr="00FA5C8D">
        <w:rPr>
          <w:rFonts w:ascii="Book Antiqua" w:hAnsi="Book Antiqua"/>
          <w:b/>
          <w:sz w:val="24"/>
          <w:szCs w:val="24"/>
        </w:rPr>
        <w:t>13</w:t>
      </w:r>
      <w:r w:rsidRPr="00FA5C8D">
        <w:rPr>
          <w:rFonts w:ascii="Book Antiqua" w:hAnsi="Book Antiqua"/>
          <w:sz w:val="24"/>
          <w:szCs w:val="24"/>
        </w:rPr>
        <w:t>: 144-164 [PMID: 30137275 DOI: 10.1093/</w:t>
      </w:r>
      <w:proofErr w:type="spellStart"/>
      <w:r w:rsidRPr="00FA5C8D">
        <w:rPr>
          <w:rFonts w:ascii="Book Antiqua" w:hAnsi="Book Antiqua"/>
          <w:sz w:val="24"/>
          <w:szCs w:val="24"/>
        </w:rPr>
        <w:t>ecco-jcc</w:t>
      </w:r>
      <w:proofErr w:type="spellEnd"/>
      <w:r w:rsidRPr="00FA5C8D">
        <w:rPr>
          <w:rFonts w:ascii="Book Antiqua" w:hAnsi="Book Antiqua"/>
          <w:sz w:val="24"/>
          <w:szCs w:val="24"/>
        </w:rPr>
        <w:t>/jjy113]</w:t>
      </w:r>
    </w:p>
    <w:p w14:paraId="07340668"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25 </w:t>
      </w:r>
      <w:proofErr w:type="spellStart"/>
      <w:r w:rsidRPr="00FA5C8D">
        <w:rPr>
          <w:rFonts w:ascii="Book Antiqua" w:hAnsi="Book Antiqua"/>
          <w:b/>
          <w:sz w:val="24"/>
          <w:szCs w:val="24"/>
        </w:rPr>
        <w:t>Fraquelli</w:t>
      </w:r>
      <w:proofErr w:type="spellEnd"/>
      <w:r w:rsidRPr="00FA5C8D">
        <w:rPr>
          <w:rFonts w:ascii="Book Antiqua" w:hAnsi="Book Antiqua"/>
          <w:b/>
          <w:sz w:val="24"/>
          <w:szCs w:val="24"/>
        </w:rPr>
        <w:t xml:space="preserve"> M</w:t>
      </w:r>
      <w:r w:rsidRPr="00FA5C8D">
        <w:rPr>
          <w:rFonts w:ascii="Book Antiqua" w:hAnsi="Book Antiqua"/>
          <w:sz w:val="24"/>
          <w:szCs w:val="24"/>
        </w:rPr>
        <w:t xml:space="preserve">, </w:t>
      </w:r>
      <w:proofErr w:type="spellStart"/>
      <w:r w:rsidRPr="00FA5C8D">
        <w:rPr>
          <w:rFonts w:ascii="Book Antiqua" w:hAnsi="Book Antiqua"/>
          <w:sz w:val="24"/>
          <w:szCs w:val="24"/>
        </w:rPr>
        <w:t>Sciola</w:t>
      </w:r>
      <w:proofErr w:type="spellEnd"/>
      <w:r w:rsidRPr="00FA5C8D">
        <w:rPr>
          <w:rFonts w:ascii="Book Antiqua" w:hAnsi="Book Antiqua"/>
          <w:sz w:val="24"/>
          <w:szCs w:val="24"/>
        </w:rPr>
        <w:t xml:space="preserve"> V, Villa C, Conte D. The role of ultrasonography in patients with celiac disease. </w:t>
      </w:r>
      <w:r w:rsidRPr="00FA5C8D">
        <w:rPr>
          <w:rFonts w:ascii="Book Antiqua" w:hAnsi="Book Antiqua"/>
          <w:i/>
          <w:sz w:val="24"/>
          <w:szCs w:val="24"/>
        </w:rPr>
        <w:t>World J Gastroenterol</w:t>
      </w:r>
      <w:r w:rsidRPr="00FA5C8D">
        <w:rPr>
          <w:rFonts w:ascii="Book Antiqua" w:hAnsi="Book Antiqua"/>
          <w:sz w:val="24"/>
          <w:szCs w:val="24"/>
        </w:rPr>
        <w:t xml:space="preserve"> 2006; </w:t>
      </w:r>
      <w:r w:rsidRPr="00FA5C8D">
        <w:rPr>
          <w:rFonts w:ascii="Book Antiqua" w:hAnsi="Book Antiqua"/>
          <w:b/>
          <w:sz w:val="24"/>
          <w:szCs w:val="24"/>
        </w:rPr>
        <w:t>12</w:t>
      </w:r>
      <w:r w:rsidRPr="00FA5C8D">
        <w:rPr>
          <w:rFonts w:ascii="Book Antiqua" w:hAnsi="Book Antiqua"/>
          <w:sz w:val="24"/>
          <w:szCs w:val="24"/>
        </w:rPr>
        <w:t>: 1001-1004 [PMID: 16534837 DOI: 10.3748/wjg.v12.i7.1001]</w:t>
      </w:r>
    </w:p>
    <w:p w14:paraId="71E6778E"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26 </w:t>
      </w:r>
      <w:r w:rsidRPr="00FA5C8D">
        <w:rPr>
          <w:rFonts w:ascii="Book Antiqua" w:hAnsi="Book Antiqua"/>
          <w:b/>
          <w:sz w:val="24"/>
          <w:szCs w:val="24"/>
        </w:rPr>
        <w:t>Rubio-Tapia A</w:t>
      </w:r>
      <w:r w:rsidRPr="00FA5C8D">
        <w:rPr>
          <w:rFonts w:ascii="Book Antiqua" w:hAnsi="Book Antiqua"/>
          <w:sz w:val="24"/>
          <w:szCs w:val="24"/>
        </w:rPr>
        <w:t xml:space="preserve">, Murray JA. Classification and management of refractory coeliac disease. </w:t>
      </w:r>
      <w:r w:rsidRPr="00FA5C8D">
        <w:rPr>
          <w:rFonts w:ascii="Book Antiqua" w:hAnsi="Book Antiqua"/>
          <w:i/>
          <w:sz w:val="24"/>
          <w:szCs w:val="24"/>
        </w:rPr>
        <w:t>Gut</w:t>
      </w:r>
      <w:r w:rsidRPr="00FA5C8D">
        <w:rPr>
          <w:rFonts w:ascii="Book Antiqua" w:hAnsi="Book Antiqua"/>
          <w:sz w:val="24"/>
          <w:szCs w:val="24"/>
        </w:rPr>
        <w:t xml:space="preserve"> 2010; </w:t>
      </w:r>
      <w:r w:rsidRPr="00FA5C8D">
        <w:rPr>
          <w:rFonts w:ascii="Book Antiqua" w:hAnsi="Book Antiqua"/>
          <w:b/>
          <w:sz w:val="24"/>
          <w:szCs w:val="24"/>
        </w:rPr>
        <w:t>59</w:t>
      </w:r>
      <w:r w:rsidRPr="00FA5C8D">
        <w:rPr>
          <w:rFonts w:ascii="Book Antiqua" w:hAnsi="Book Antiqua"/>
          <w:sz w:val="24"/>
          <w:szCs w:val="24"/>
        </w:rPr>
        <w:t>: 547-557 [PMID: 20332526 DOI: 10.1136/gut.2009.195131]</w:t>
      </w:r>
    </w:p>
    <w:p w14:paraId="31857022"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27 </w:t>
      </w:r>
      <w:proofErr w:type="spellStart"/>
      <w:r w:rsidRPr="00FA5C8D">
        <w:rPr>
          <w:rFonts w:ascii="Book Antiqua" w:hAnsi="Book Antiqua"/>
          <w:b/>
          <w:sz w:val="24"/>
          <w:szCs w:val="24"/>
        </w:rPr>
        <w:t>Vahedi</w:t>
      </w:r>
      <w:proofErr w:type="spellEnd"/>
      <w:r w:rsidRPr="00FA5C8D">
        <w:rPr>
          <w:rFonts w:ascii="Book Antiqua" w:hAnsi="Book Antiqua"/>
          <w:b/>
          <w:sz w:val="24"/>
          <w:szCs w:val="24"/>
        </w:rPr>
        <w:t xml:space="preserve"> K</w:t>
      </w:r>
      <w:r w:rsidRPr="00FA5C8D">
        <w:rPr>
          <w:rFonts w:ascii="Book Antiqua" w:hAnsi="Book Antiqua"/>
          <w:sz w:val="24"/>
          <w:szCs w:val="24"/>
        </w:rPr>
        <w:t xml:space="preserve">, </w:t>
      </w:r>
      <w:proofErr w:type="spellStart"/>
      <w:r w:rsidRPr="00FA5C8D">
        <w:rPr>
          <w:rFonts w:ascii="Book Antiqua" w:hAnsi="Book Antiqua"/>
          <w:sz w:val="24"/>
          <w:szCs w:val="24"/>
        </w:rPr>
        <w:t>Mascart</w:t>
      </w:r>
      <w:proofErr w:type="spellEnd"/>
      <w:r w:rsidRPr="00FA5C8D">
        <w:rPr>
          <w:rFonts w:ascii="Book Antiqua" w:hAnsi="Book Antiqua"/>
          <w:sz w:val="24"/>
          <w:szCs w:val="24"/>
        </w:rPr>
        <w:t xml:space="preserve"> F, Mary JY, </w:t>
      </w:r>
      <w:proofErr w:type="spellStart"/>
      <w:r w:rsidRPr="00FA5C8D">
        <w:rPr>
          <w:rFonts w:ascii="Book Antiqua" w:hAnsi="Book Antiqua"/>
          <w:sz w:val="24"/>
          <w:szCs w:val="24"/>
        </w:rPr>
        <w:t>Laberenne</w:t>
      </w:r>
      <w:proofErr w:type="spellEnd"/>
      <w:r w:rsidRPr="00FA5C8D">
        <w:rPr>
          <w:rFonts w:ascii="Book Antiqua" w:hAnsi="Book Antiqua"/>
          <w:sz w:val="24"/>
          <w:szCs w:val="24"/>
        </w:rPr>
        <w:t xml:space="preserve"> JE, </w:t>
      </w:r>
      <w:proofErr w:type="spellStart"/>
      <w:r w:rsidRPr="00FA5C8D">
        <w:rPr>
          <w:rFonts w:ascii="Book Antiqua" w:hAnsi="Book Antiqua"/>
          <w:sz w:val="24"/>
          <w:szCs w:val="24"/>
        </w:rPr>
        <w:t>Bouhnik</w:t>
      </w:r>
      <w:proofErr w:type="spellEnd"/>
      <w:r w:rsidRPr="00FA5C8D">
        <w:rPr>
          <w:rFonts w:ascii="Book Antiqua" w:hAnsi="Book Antiqua"/>
          <w:sz w:val="24"/>
          <w:szCs w:val="24"/>
        </w:rPr>
        <w:t xml:space="preserve"> Y, Morin MC, </w:t>
      </w:r>
      <w:proofErr w:type="spellStart"/>
      <w:r w:rsidRPr="00FA5C8D">
        <w:rPr>
          <w:rFonts w:ascii="Book Antiqua" w:hAnsi="Book Antiqua"/>
          <w:sz w:val="24"/>
          <w:szCs w:val="24"/>
        </w:rPr>
        <w:t>Ocmant</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Velly</w:t>
      </w:r>
      <w:proofErr w:type="spellEnd"/>
      <w:r w:rsidRPr="00FA5C8D">
        <w:rPr>
          <w:rFonts w:ascii="Book Antiqua" w:hAnsi="Book Antiqua"/>
          <w:sz w:val="24"/>
          <w:szCs w:val="24"/>
        </w:rPr>
        <w:t xml:space="preserve"> C, </w:t>
      </w:r>
      <w:proofErr w:type="spellStart"/>
      <w:r w:rsidRPr="00FA5C8D">
        <w:rPr>
          <w:rFonts w:ascii="Book Antiqua" w:hAnsi="Book Antiqua"/>
          <w:sz w:val="24"/>
          <w:szCs w:val="24"/>
        </w:rPr>
        <w:t>Colombel</w:t>
      </w:r>
      <w:proofErr w:type="spellEnd"/>
      <w:r w:rsidRPr="00FA5C8D">
        <w:rPr>
          <w:rFonts w:ascii="Book Antiqua" w:hAnsi="Book Antiqua"/>
          <w:sz w:val="24"/>
          <w:szCs w:val="24"/>
        </w:rPr>
        <w:t xml:space="preserve"> JF, </w:t>
      </w:r>
      <w:proofErr w:type="spellStart"/>
      <w:r w:rsidRPr="00FA5C8D">
        <w:rPr>
          <w:rFonts w:ascii="Book Antiqua" w:hAnsi="Book Antiqua"/>
          <w:sz w:val="24"/>
          <w:szCs w:val="24"/>
        </w:rPr>
        <w:t>Matuchansky</w:t>
      </w:r>
      <w:proofErr w:type="spellEnd"/>
      <w:r w:rsidRPr="00FA5C8D">
        <w:rPr>
          <w:rFonts w:ascii="Book Antiqua" w:hAnsi="Book Antiqua"/>
          <w:sz w:val="24"/>
          <w:szCs w:val="24"/>
        </w:rPr>
        <w:t xml:space="preserve"> C. Reliability of </w:t>
      </w:r>
      <w:proofErr w:type="spellStart"/>
      <w:r w:rsidRPr="00FA5C8D">
        <w:rPr>
          <w:rFonts w:ascii="Book Antiqua" w:hAnsi="Book Antiqua"/>
          <w:sz w:val="24"/>
          <w:szCs w:val="24"/>
        </w:rPr>
        <w:t>antitransglutaminase</w:t>
      </w:r>
      <w:proofErr w:type="spellEnd"/>
      <w:r w:rsidRPr="00FA5C8D">
        <w:rPr>
          <w:rFonts w:ascii="Book Antiqua" w:hAnsi="Book Antiqua"/>
          <w:sz w:val="24"/>
          <w:szCs w:val="24"/>
        </w:rPr>
        <w:t xml:space="preserve"> antibodies as predictors of gluten-free diet compliance in adult celiac disease. </w:t>
      </w:r>
      <w:r w:rsidRPr="00FA5C8D">
        <w:rPr>
          <w:rFonts w:ascii="Book Antiqua" w:hAnsi="Book Antiqua"/>
          <w:i/>
          <w:sz w:val="24"/>
          <w:szCs w:val="24"/>
        </w:rPr>
        <w:t>Am J Gastroenterol</w:t>
      </w:r>
      <w:r w:rsidRPr="00FA5C8D">
        <w:rPr>
          <w:rFonts w:ascii="Book Antiqua" w:hAnsi="Book Antiqua"/>
          <w:sz w:val="24"/>
          <w:szCs w:val="24"/>
        </w:rPr>
        <w:t xml:space="preserve"> 2003; </w:t>
      </w:r>
      <w:r w:rsidRPr="00FA5C8D">
        <w:rPr>
          <w:rFonts w:ascii="Book Antiqua" w:hAnsi="Book Antiqua"/>
          <w:b/>
          <w:sz w:val="24"/>
          <w:szCs w:val="24"/>
        </w:rPr>
        <w:t>98</w:t>
      </w:r>
      <w:r w:rsidRPr="00FA5C8D">
        <w:rPr>
          <w:rFonts w:ascii="Book Antiqua" w:hAnsi="Book Antiqua"/>
          <w:sz w:val="24"/>
          <w:szCs w:val="24"/>
        </w:rPr>
        <w:t>: 1079-1087 [PMID: 12809831 DOI: 10.1111/j.1572-0241.2003.07284.x]</w:t>
      </w:r>
    </w:p>
    <w:p w14:paraId="672B9168"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lastRenderedPageBreak/>
        <w:t xml:space="preserve">28 </w:t>
      </w:r>
      <w:r w:rsidRPr="00FA5C8D">
        <w:rPr>
          <w:rFonts w:ascii="Book Antiqua" w:hAnsi="Book Antiqua"/>
          <w:b/>
          <w:sz w:val="24"/>
          <w:szCs w:val="24"/>
        </w:rPr>
        <w:t>Simpson S</w:t>
      </w:r>
      <w:r w:rsidRPr="00FA5C8D">
        <w:rPr>
          <w:rFonts w:ascii="Book Antiqua" w:hAnsi="Book Antiqua"/>
          <w:sz w:val="24"/>
          <w:szCs w:val="24"/>
        </w:rPr>
        <w:t xml:space="preserve">, Thompson T. Nutrition assessment in celiac disease. </w:t>
      </w:r>
      <w:proofErr w:type="spellStart"/>
      <w:r w:rsidRPr="00FA5C8D">
        <w:rPr>
          <w:rFonts w:ascii="Book Antiqua" w:hAnsi="Book Antiqua"/>
          <w:i/>
          <w:sz w:val="24"/>
          <w:szCs w:val="24"/>
        </w:rPr>
        <w:t>Gastrointest</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Endosc</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Clin</w:t>
      </w:r>
      <w:proofErr w:type="spellEnd"/>
      <w:r w:rsidRPr="00FA5C8D">
        <w:rPr>
          <w:rFonts w:ascii="Book Antiqua" w:hAnsi="Book Antiqua"/>
          <w:i/>
          <w:sz w:val="24"/>
          <w:szCs w:val="24"/>
        </w:rPr>
        <w:t xml:space="preserve"> N Am</w:t>
      </w:r>
      <w:r w:rsidRPr="00FA5C8D">
        <w:rPr>
          <w:rFonts w:ascii="Book Antiqua" w:hAnsi="Book Antiqua"/>
          <w:sz w:val="24"/>
          <w:szCs w:val="24"/>
        </w:rPr>
        <w:t xml:space="preserve"> 2012; </w:t>
      </w:r>
      <w:r w:rsidRPr="00FA5C8D">
        <w:rPr>
          <w:rFonts w:ascii="Book Antiqua" w:hAnsi="Book Antiqua"/>
          <w:b/>
          <w:sz w:val="24"/>
          <w:szCs w:val="24"/>
        </w:rPr>
        <w:t>22</w:t>
      </w:r>
      <w:r w:rsidRPr="00FA5C8D">
        <w:rPr>
          <w:rFonts w:ascii="Book Antiqua" w:hAnsi="Book Antiqua"/>
          <w:sz w:val="24"/>
          <w:szCs w:val="24"/>
        </w:rPr>
        <w:t>: 797-809 [PMID: 23083994 DOI: 10.1016/j.giec.2012.07.010]</w:t>
      </w:r>
    </w:p>
    <w:p w14:paraId="0D762072"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29 </w:t>
      </w:r>
      <w:r w:rsidRPr="00FA5C8D">
        <w:rPr>
          <w:rFonts w:ascii="Book Antiqua" w:hAnsi="Book Antiqua"/>
          <w:b/>
          <w:sz w:val="24"/>
          <w:szCs w:val="24"/>
        </w:rPr>
        <w:t>Comino I</w:t>
      </w:r>
      <w:r w:rsidRPr="00FA5C8D">
        <w:rPr>
          <w:rFonts w:ascii="Book Antiqua" w:hAnsi="Book Antiqua"/>
          <w:sz w:val="24"/>
          <w:szCs w:val="24"/>
        </w:rPr>
        <w:t xml:space="preserve">, Segura V, </w:t>
      </w:r>
      <w:proofErr w:type="spellStart"/>
      <w:r w:rsidRPr="00FA5C8D">
        <w:rPr>
          <w:rFonts w:ascii="Book Antiqua" w:hAnsi="Book Antiqua"/>
          <w:sz w:val="24"/>
          <w:szCs w:val="24"/>
        </w:rPr>
        <w:t>Ortigosa</w:t>
      </w:r>
      <w:proofErr w:type="spellEnd"/>
      <w:r w:rsidRPr="00FA5C8D">
        <w:rPr>
          <w:rFonts w:ascii="Book Antiqua" w:hAnsi="Book Antiqua"/>
          <w:sz w:val="24"/>
          <w:szCs w:val="24"/>
        </w:rPr>
        <w:t xml:space="preserve"> L, </w:t>
      </w:r>
      <w:proofErr w:type="spellStart"/>
      <w:r w:rsidRPr="00FA5C8D">
        <w:rPr>
          <w:rFonts w:ascii="Book Antiqua" w:hAnsi="Book Antiqua"/>
          <w:sz w:val="24"/>
          <w:szCs w:val="24"/>
        </w:rPr>
        <w:t>Espín</w:t>
      </w:r>
      <w:proofErr w:type="spellEnd"/>
      <w:r w:rsidRPr="00FA5C8D">
        <w:rPr>
          <w:rFonts w:ascii="Book Antiqua" w:hAnsi="Book Antiqua"/>
          <w:sz w:val="24"/>
          <w:szCs w:val="24"/>
        </w:rPr>
        <w:t xml:space="preserve"> B, </w:t>
      </w:r>
      <w:proofErr w:type="spellStart"/>
      <w:r w:rsidRPr="00FA5C8D">
        <w:rPr>
          <w:rFonts w:ascii="Book Antiqua" w:hAnsi="Book Antiqua"/>
          <w:sz w:val="24"/>
          <w:szCs w:val="24"/>
        </w:rPr>
        <w:t>Castillejo</w:t>
      </w:r>
      <w:proofErr w:type="spellEnd"/>
      <w:r w:rsidRPr="00FA5C8D">
        <w:rPr>
          <w:rFonts w:ascii="Book Antiqua" w:hAnsi="Book Antiqua"/>
          <w:sz w:val="24"/>
          <w:szCs w:val="24"/>
        </w:rPr>
        <w:t xml:space="preserve"> G, Garrote JA, Sierra C, </w:t>
      </w:r>
      <w:proofErr w:type="spellStart"/>
      <w:r w:rsidRPr="00FA5C8D">
        <w:rPr>
          <w:rFonts w:ascii="Book Antiqua" w:hAnsi="Book Antiqua"/>
          <w:sz w:val="24"/>
          <w:szCs w:val="24"/>
        </w:rPr>
        <w:t>Millán</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Ribes-Koninckx</w:t>
      </w:r>
      <w:proofErr w:type="spellEnd"/>
      <w:r w:rsidRPr="00FA5C8D">
        <w:rPr>
          <w:rFonts w:ascii="Book Antiqua" w:hAnsi="Book Antiqua"/>
          <w:sz w:val="24"/>
          <w:szCs w:val="24"/>
        </w:rPr>
        <w:t xml:space="preserve"> C, Román E, Rodríguez-Herrera A, Díaz J, </w:t>
      </w:r>
      <w:proofErr w:type="spellStart"/>
      <w:r w:rsidRPr="00FA5C8D">
        <w:rPr>
          <w:rFonts w:ascii="Book Antiqua" w:hAnsi="Book Antiqua"/>
          <w:sz w:val="24"/>
          <w:szCs w:val="24"/>
        </w:rPr>
        <w:t>Silvester</w:t>
      </w:r>
      <w:proofErr w:type="spellEnd"/>
      <w:r w:rsidRPr="00FA5C8D">
        <w:rPr>
          <w:rFonts w:ascii="Book Antiqua" w:hAnsi="Book Antiqua"/>
          <w:sz w:val="24"/>
          <w:szCs w:val="24"/>
        </w:rPr>
        <w:t xml:space="preserve"> JA, </w:t>
      </w:r>
      <w:proofErr w:type="spellStart"/>
      <w:r w:rsidRPr="00FA5C8D">
        <w:rPr>
          <w:rFonts w:ascii="Book Antiqua" w:hAnsi="Book Antiqua"/>
          <w:sz w:val="24"/>
          <w:szCs w:val="24"/>
        </w:rPr>
        <w:t>Cebolla</w:t>
      </w:r>
      <w:proofErr w:type="spellEnd"/>
      <w:r w:rsidRPr="00FA5C8D">
        <w:rPr>
          <w:rFonts w:ascii="Book Antiqua" w:hAnsi="Book Antiqua"/>
          <w:sz w:val="24"/>
          <w:szCs w:val="24"/>
        </w:rPr>
        <w:t xml:space="preserve"> Á, Sousa C. Prospective longitudinal study: use of </w:t>
      </w:r>
      <w:proofErr w:type="spellStart"/>
      <w:r w:rsidRPr="00FA5C8D">
        <w:rPr>
          <w:rFonts w:ascii="Book Antiqua" w:hAnsi="Book Antiqua"/>
          <w:sz w:val="24"/>
          <w:szCs w:val="24"/>
        </w:rPr>
        <w:t>faecal</w:t>
      </w:r>
      <w:proofErr w:type="spellEnd"/>
      <w:r w:rsidRPr="00FA5C8D">
        <w:rPr>
          <w:rFonts w:ascii="Book Antiqua" w:hAnsi="Book Antiqua"/>
          <w:sz w:val="24"/>
          <w:szCs w:val="24"/>
        </w:rPr>
        <w:t xml:space="preserve"> gluten immunogenic peptides to monitor children diagnosed with coeliac disease during transition to a gluten-free diet. </w:t>
      </w:r>
      <w:r w:rsidRPr="00FA5C8D">
        <w:rPr>
          <w:rFonts w:ascii="Book Antiqua" w:hAnsi="Book Antiqua"/>
          <w:i/>
          <w:sz w:val="24"/>
          <w:szCs w:val="24"/>
        </w:rPr>
        <w:t xml:space="preserve">Aliment </w:t>
      </w:r>
      <w:proofErr w:type="spellStart"/>
      <w:r w:rsidRPr="00FA5C8D">
        <w:rPr>
          <w:rFonts w:ascii="Book Antiqua" w:hAnsi="Book Antiqua"/>
          <w:i/>
          <w:sz w:val="24"/>
          <w:szCs w:val="24"/>
        </w:rPr>
        <w:t>Pharmacol</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Ther</w:t>
      </w:r>
      <w:proofErr w:type="spellEnd"/>
      <w:r w:rsidRPr="00FA5C8D">
        <w:rPr>
          <w:rFonts w:ascii="Book Antiqua" w:hAnsi="Book Antiqua"/>
          <w:sz w:val="24"/>
          <w:szCs w:val="24"/>
        </w:rPr>
        <w:t xml:space="preserve"> 2019; </w:t>
      </w:r>
      <w:r w:rsidRPr="00FA5C8D">
        <w:rPr>
          <w:rFonts w:ascii="Book Antiqua" w:hAnsi="Book Antiqua"/>
          <w:b/>
          <w:sz w:val="24"/>
          <w:szCs w:val="24"/>
        </w:rPr>
        <w:t>49</w:t>
      </w:r>
      <w:r w:rsidRPr="00FA5C8D">
        <w:rPr>
          <w:rFonts w:ascii="Book Antiqua" w:hAnsi="Book Antiqua"/>
          <w:sz w:val="24"/>
          <w:szCs w:val="24"/>
        </w:rPr>
        <w:t>: 1484-1492 [PMID: 31074004 DOI: 10.1111/apt.15277]</w:t>
      </w:r>
    </w:p>
    <w:p w14:paraId="07C76AD7"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30 </w:t>
      </w:r>
      <w:r w:rsidRPr="00FA5C8D">
        <w:rPr>
          <w:rFonts w:ascii="Book Antiqua" w:hAnsi="Book Antiqua"/>
          <w:b/>
          <w:sz w:val="24"/>
          <w:szCs w:val="24"/>
        </w:rPr>
        <w:t>Comino I</w:t>
      </w:r>
      <w:r w:rsidRPr="00FA5C8D">
        <w:rPr>
          <w:rFonts w:ascii="Book Antiqua" w:hAnsi="Book Antiqua"/>
          <w:sz w:val="24"/>
          <w:szCs w:val="24"/>
        </w:rPr>
        <w:t xml:space="preserve">, Real A, </w:t>
      </w:r>
      <w:proofErr w:type="spellStart"/>
      <w:r w:rsidRPr="00FA5C8D">
        <w:rPr>
          <w:rFonts w:ascii="Book Antiqua" w:hAnsi="Book Antiqua"/>
          <w:sz w:val="24"/>
          <w:szCs w:val="24"/>
        </w:rPr>
        <w:t>Vivas</w:t>
      </w:r>
      <w:proofErr w:type="spellEnd"/>
      <w:r w:rsidRPr="00FA5C8D">
        <w:rPr>
          <w:rFonts w:ascii="Book Antiqua" w:hAnsi="Book Antiqua"/>
          <w:sz w:val="24"/>
          <w:szCs w:val="24"/>
        </w:rPr>
        <w:t xml:space="preserve"> S, </w:t>
      </w:r>
      <w:proofErr w:type="spellStart"/>
      <w:r w:rsidRPr="00FA5C8D">
        <w:rPr>
          <w:rFonts w:ascii="Book Antiqua" w:hAnsi="Book Antiqua"/>
          <w:sz w:val="24"/>
          <w:szCs w:val="24"/>
        </w:rPr>
        <w:t>Síglez</w:t>
      </w:r>
      <w:proofErr w:type="spellEnd"/>
      <w:r w:rsidRPr="00FA5C8D">
        <w:rPr>
          <w:rFonts w:ascii="Book Antiqua" w:hAnsi="Book Antiqua"/>
          <w:sz w:val="24"/>
          <w:szCs w:val="24"/>
        </w:rPr>
        <w:t xml:space="preserve"> MÁ, </w:t>
      </w:r>
      <w:proofErr w:type="spellStart"/>
      <w:r w:rsidRPr="00FA5C8D">
        <w:rPr>
          <w:rFonts w:ascii="Book Antiqua" w:hAnsi="Book Antiqua"/>
          <w:sz w:val="24"/>
          <w:szCs w:val="24"/>
        </w:rPr>
        <w:t>Caminero</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Nistal</w:t>
      </w:r>
      <w:proofErr w:type="spellEnd"/>
      <w:r w:rsidRPr="00FA5C8D">
        <w:rPr>
          <w:rFonts w:ascii="Book Antiqua" w:hAnsi="Book Antiqua"/>
          <w:sz w:val="24"/>
          <w:szCs w:val="24"/>
        </w:rPr>
        <w:t xml:space="preserve"> E, </w:t>
      </w:r>
      <w:proofErr w:type="spellStart"/>
      <w:r w:rsidRPr="00FA5C8D">
        <w:rPr>
          <w:rFonts w:ascii="Book Antiqua" w:hAnsi="Book Antiqua"/>
          <w:sz w:val="24"/>
          <w:szCs w:val="24"/>
        </w:rPr>
        <w:t>Casqueiro</w:t>
      </w:r>
      <w:proofErr w:type="spellEnd"/>
      <w:r w:rsidRPr="00FA5C8D">
        <w:rPr>
          <w:rFonts w:ascii="Book Antiqua" w:hAnsi="Book Antiqua"/>
          <w:sz w:val="24"/>
          <w:szCs w:val="24"/>
        </w:rPr>
        <w:t xml:space="preserve"> J, Rodríguez-Herrera A, </w:t>
      </w:r>
      <w:proofErr w:type="spellStart"/>
      <w:r w:rsidRPr="00FA5C8D">
        <w:rPr>
          <w:rFonts w:ascii="Book Antiqua" w:hAnsi="Book Antiqua"/>
          <w:sz w:val="24"/>
          <w:szCs w:val="24"/>
        </w:rPr>
        <w:t>Cebolla</w:t>
      </w:r>
      <w:proofErr w:type="spellEnd"/>
      <w:r w:rsidRPr="00FA5C8D">
        <w:rPr>
          <w:rFonts w:ascii="Book Antiqua" w:hAnsi="Book Antiqua"/>
          <w:sz w:val="24"/>
          <w:szCs w:val="24"/>
        </w:rPr>
        <w:t xml:space="preserve"> A, Sousa C. Monitoring of gluten-free diet compliance in celiac patients by assessment of gliadin 33-mer equivalent epitopes in feces. </w:t>
      </w:r>
      <w:r w:rsidRPr="00FA5C8D">
        <w:rPr>
          <w:rFonts w:ascii="Book Antiqua" w:hAnsi="Book Antiqua"/>
          <w:i/>
          <w:sz w:val="24"/>
          <w:szCs w:val="24"/>
        </w:rPr>
        <w:t xml:space="preserve">Am J </w:t>
      </w:r>
      <w:proofErr w:type="spellStart"/>
      <w:r w:rsidRPr="00FA5C8D">
        <w:rPr>
          <w:rFonts w:ascii="Book Antiqua" w:hAnsi="Book Antiqua"/>
          <w:i/>
          <w:sz w:val="24"/>
          <w:szCs w:val="24"/>
        </w:rPr>
        <w:t>Clin</w:t>
      </w:r>
      <w:proofErr w:type="spellEnd"/>
      <w:r w:rsidRPr="00FA5C8D">
        <w:rPr>
          <w:rFonts w:ascii="Book Antiqua" w:hAnsi="Book Antiqua"/>
          <w:i/>
          <w:sz w:val="24"/>
          <w:szCs w:val="24"/>
        </w:rPr>
        <w:t xml:space="preserve"> </w:t>
      </w:r>
      <w:proofErr w:type="spellStart"/>
      <w:r w:rsidRPr="00FA5C8D">
        <w:rPr>
          <w:rFonts w:ascii="Book Antiqua" w:hAnsi="Book Antiqua"/>
          <w:i/>
          <w:sz w:val="24"/>
          <w:szCs w:val="24"/>
        </w:rPr>
        <w:t>Nutr</w:t>
      </w:r>
      <w:proofErr w:type="spellEnd"/>
      <w:r w:rsidRPr="00FA5C8D">
        <w:rPr>
          <w:rFonts w:ascii="Book Antiqua" w:hAnsi="Book Antiqua"/>
          <w:sz w:val="24"/>
          <w:szCs w:val="24"/>
        </w:rPr>
        <w:t xml:space="preserve"> 2012; </w:t>
      </w:r>
      <w:r w:rsidRPr="00FA5C8D">
        <w:rPr>
          <w:rFonts w:ascii="Book Antiqua" w:hAnsi="Book Antiqua"/>
          <w:b/>
          <w:sz w:val="24"/>
          <w:szCs w:val="24"/>
        </w:rPr>
        <w:t>95</w:t>
      </w:r>
      <w:r w:rsidRPr="00FA5C8D">
        <w:rPr>
          <w:rFonts w:ascii="Book Antiqua" w:hAnsi="Book Antiqua"/>
          <w:sz w:val="24"/>
          <w:szCs w:val="24"/>
        </w:rPr>
        <w:t>: 670-677 [PMID: 22258271 DOI: 10.3945/ajcn.111.026708]</w:t>
      </w:r>
    </w:p>
    <w:p w14:paraId="085A8124" w14:textId="77777777" w:rsidR="0047007F" w:rsidRPr="00FA5C8D" w:rsidRDefault="0047007F" w:rsidP="00FA5C8D">
      <w:pPr>
        <w:snapToGrid w:val="0"/>
        <w:spacing w:after="0" w:line="360" w:lineRule="auto"/>
        <w:jc w:val="both"/>
        <w:rPr>
          <w:rFonts w:ascii="Book Antiqua" w:hAnsi="Book Antiqua"/>
          <w:sz w:val="24"/>
          <w:szCs w:val="24"/>
        </w:rPr>
      </w:pPr>
      <w:r w:rsidRPr="00FA5C8D">
        <w:rPr>
          <w:rFonts w:ascii="Book Antiqua" w:hAnsi="Book Antiqua"/>
          <w:sz w:val="24"/>
          <w:szCs w:val="24"/>
        </w:rPr>
        <w:t xml:space="preserve">31 </w:t>
      </w:r>
      <w:r w:rsidRPr="00FA5C8D">
        <w:rPr>
          <w:rFonts w:ascii="Book Antiqua" w:hAnsi="Book Antiqua"/>
          <w:b/>
          <w:sz w:val="24"/>
          <w:szCs w:val="24"/>
        </w:rPr>
        <w:t>Comino I</w:t>
      </w:r>
      <w:r w:rsidRPr="00FA5C8D">
        <w:rPr>
          <w:rFonts w:ascii="Book Antiqua" w:hAnsi="Book Antiqua"/>
          <w:sz w:val="24"/>
          <w:szCs w:val="24"/>
        </w:rPr>
        <w:t xml:space="preserve">, </w:t>
      </w:r>
      <w:proofErr w:type="spellStart"/>
      <w:r w:rsidRPr="00FA5C8D">
        <w:rPr>
          <w:rFonts w:ascii="Book Antiqua" w:hAnsi="Book Antiqua"/>
          <w:sz w:val="24"/>
          <w:szCs w:val="24"/>
        </w:rPr>
        <w:t>Fernández-Bañares</w:t>
      </w:r>
      <w:proofErr w:type="spellEnd"/>
      <w:r w:rsidRPr="00FA5C8D">
        <w:rPr>
          <w:rFonts w:ascii="Book Antiqua" w:hAnsi="Book Antiqua"/>
          <w:sz w:val="24"/>
          <w:szCs w:val="24"/>
        </w:rPr>
        <w:t xml:space="preserve"> F, </w:t>
      </w:r>
      <w:proofErr w:type="spellStart"/>
      <w:r w:rsidRPr="00FA5C8D">
        <w:rPr>
          <w:rFonts w:ascii="Book Antiqua" w:hAnsi="Book Antiqua"/>
          <w:sz w:val="24"/>
          <w:szCs w:val="24"/>
        </w:rPr>
        <w:t>Esteve</w:t>
      </w:r>
      <w:proofErr w:type="spellEnd"/>
      <w:r w:rsidRPr="00FA5C8D">
        <w:rPr>
          <w:rFonts w:ascii="Book Antiqua" w:hAnsi="Book Antiqua"/>
          <w:sz w:val="24"/>
          <w:szCs w:val="24"/>
        </w:rPr>
        <w:t xml:space="preserve"> M, </w:t>
      </w:r>
      <w:proofErr w:type="spellStart"/>
      <w:r w:rsidRPr="00FA5C8D">
        <w:rPr>
          <w:rFonts w:ascii="Book Antiqua" w:hAnsi="Book Antiqua"/>
          <w:sz w:val="24"/>
          <w:szCs w:val="24"/>
        </w:rPr>
        <w:t>Ortigosa</w:t>
      </w:r>
      <w:proofErr w:type="spellEnd"/>
      <w:r w:rsidRPr="00FA5C8D">
        <w:rPr>
          <w:rFonts w:ascii="Book Antiqua" w:hAnsi="Book Antiqua"/>
          <w:sz w:val="24"/>
          <w:szCs w:val="24"/>
        </w:rPr>
        <w:t xml:space="preserve"> L, </w:t>
      </w:r>
      <w:proofErr w:type="spellStart"/>
      <w:r w:rsidRPr="00FA5C8D">
        <w:rPr>
          <w:rFonts w:ascii="Book Antiqua" w:hAnsi="Book Antiqua"/>
          <w:sz w:val="24"/>
          <w:szCs w:val="24"/>
        </w:rPr>
        <w:t>Castillejo</w:t>
      </w:r>
      <w:proofErr w:type="spellEnd"/>
      <w:r w:rsidRPr="00FA5C8D">
        <w:rPr>
          <w:rFonts w:ascii="Book Antiqua" w:hAnsi="Book Antiqua"/>
          <w:sz w:val="24"/>
          <w:szCs w:val="24"/>
        </w:rPr>
        <w:t xml:space="preserve"> G, </w:t>
      </w:r>
      <w:proofErr w:type="spellStart"/>
      <w:r w:rsidRPr="00FA5C8D">
        <w:rPr>
          <w:rFonts w:ascii="Book Antiqua" w:hAnsi="Book Antiqua"/>
          <w:sz w:val="24"/>
          <w:szCs w:val="24"/>
        </w:rPr>
        <w:t>Fambuena</w:t>
      </w:r>
      <w:proofErr w:type="spellEnd"/>
      <w:r w:rsidRPr="00FA5C8D">
        <w:rPr>
          <w:rFonts w:ascii="Book Antiqua" w:hAnsi="Book Antiqua"/>
          <w:sz w:val="24"/>
          <w:szCs w:val="24"/>
        </w:rPr>
        <w:t xml:space="preserve"> B, </w:t>
      </w:r>
      <w:proofErr w:type="spellStart"/>
      <w:r w:rsidRPr="00FA5C8D">
        <w:rPr>
          <w:rFonts w:ascii="Book Antiqua" w:hAnsi="Book Antiqua"/>
          <w:sz w:val="24"/>
          <w:szCs w:val="24"/>
        </w:rPr>
        <w:t>Ribes-Koninckx</w:t>
      </w:r>
      <w:proofErr w:type="spellEnd"/>
      <w:r w:rsidRPr="00FA5C8D">
        <w:rPr>
          <w:rFonts w:ascii="Book Antiqua" w:hAnsi="Book Antiqua"/>
          <w:sz w:val="24"/>
          <w:szCs w:val="24"/>
        </w:rPr>
        <w:t xml:space="preserve"> C, Sierra C, Rodríguez-Herrera A, Salazar JC, </w:t>
      </w:r>
      <w:proofErr w:type="spellStart"/>
      <w:r w:rsidRPr="00FA5C8D">
        <w:rPr>
          <w:rFonts w:ascii="Book Antiqua" w:hAnsi="Book Antiqua"/>
          <w:sz w:val="24"/>
          <w:szCs w:val="24"/>
        </w:rPr>
        <w:t>Caunedo</w:t>
      </w:r>
      <w:proofErr w:type="spellEnd"/>
      <w:r w:rsidRPr="00FA5C8D">
        <w:rPr>
          <w:rFonts w:ascii="Book Antiqua" w:hAnsi="Book Antiqua"/>
          <w:sz w:val="24"/>
          <w:szCs w:val="24"/>
        </w:rPr>
        <w:t xml:space="preserve"> Á, </w:t>
      </w:r>
      <w:proofErr w:type="spellStart"/>
      <w:r w:rsidRPr="00FA5C8D">
        <w:rPr>
          <w:rFonts w:ascii="Book Antiqua" w:hAnsi="Book Antiqua"/>
          <w:sz w:val="24"/>
          <w:szCs w:val="24"/>
        </w:rPr>
        <w:t>Marugán-Miguelsanz</w:t>
      </w:r>
      <w:proofErr w:type="spellEnd"/>
      <w:r w:rsidRPr="00FA5C8D">
        <w:rPr>
          <w:rFonts w:ascii="Book Antiqua" w:hAnsi="Book Antiqua"/>
          <w:sz w:val="24"/>
          <w:szCs w:val="24"/>
        </w:rPr>
        <w:t xml:space="preserve"> JM, Garrote JA, </w:t>
      </w:r>
      <w:proofErr w:type="spellStart"/>
      <w:r w:rsidRPr="00FA5C8D">
        <w:rPr>
          <w:rFonts w:ascii="Book Antiqua" w:hAnsi="Book Antiqua"/>
          <w:sz w:val="24"/>
          <w:szCs w:val="24"/>
        </w:rPr>
        <w:t>Vivas</w:t>
      </w:r>
      <w:proofErr w:type="spellEnd"/>
      <w:r w:rsidRPr="00FA5C8D">
        <w:rPr>
          <w:rFonts w:ascii="Book Antiqua" w:hAnsi="Book Antiqua"/>
          <w:sz w:val="24"/>
          <w:szCs w:val="24"/>
        </w:rPr>
        <w:t xml:space="preserve"> S, Lo </w:t>
      </w:r>
      <w:proofErr w:type="spellStart"/>
      <w:r w:rsidRPr="00FA5C8D">
        <w:rPr>
          <w:rFonts w:ascii="Book Antiqua" w:hAnsi="Book Antiqua"/>
          <w:sz w:val="24"/>
          <w:szCs w:val="24"/>
        </w:rPr>
        <w:t>Iacono</w:t>
      </w:r>
      <w:proofErr w:type="spellEnd"/>
      <w:r w:rsidRPr="00FA5C8D">
        <w:rPr>
          <w:rFonts w:ascii="Book Antiqua" w:hAnsi="Book Antiqua"/>
          <w:sz w:val="24"/>
          <w:szCs w:val="24"/>
        </w:rPr>
        <w:t xml:space="preserve"> O, </w:t>
      </w:r>
      <w:proofErr w:type="spellStart"/>
      <w:r w:rsidRPr="00FA5C8D">
        <w:rPr>
          <w:rFonts w:ascii="Book Antiqua" w:hAnsi="Book Antiqua"/>
          <w:sz w:val="24"/>
          <w:szCs w:val="24"/>
        </w:rPr>
        <w:t>Nuñez</w:t>
      </w:r>
      <w:proofErr w:type="spellEnd"/>
      <w:r w:rsidRPr="00FA5C8D">
        <w:rPr>
          <w:rFonts w:ascii="Book Antiqua" w:hAnsi="Book Antiqua"/>
          <w:sz w:val="24"/>
          <w:szCs w:val="24"/>
        </w:rPr>
        <w:t xml:space="preserve"> A, Vaquero L, Vegas AM, Crespo L, </w:t>
      </w:r>
      <w:proofErr w:type="spellStart"/>
      <w:r w:rsidRPr="00FA5C8D">
        <w:rPr>
          <w:rFonts w:ascii="Book Antiqua" w:hAnsi="Book Antiqua"/>
          <w:sz w:val="24"/>
          <w:szCs w:val="24"/>
        </w:rPr>
        <w:t>Fernández</w:t>
      </w:r>
      <w:proofErr w:type="spellEnd"/>
      <w:r w:rsidRPr="00FA5C8D">
        <w:rPr>
          <w:rFonts w:ascii="Book Antiqua" w:hAnsi="Book Antiqua"/>
          <w:sz w:val="24"/>
          <w:szCs w:val="24"/>
        </w:rPr>
        <w:t xml:space="preserve">-Salazar L, </w:t>
      </w:r>
      <w:proofErr w:type="spellStart"/>
      <w:r w:rsidRPr="00FA5C8D">
        <w:rPr>
          <w:rFonts w:ascii="Book Antiqua" w:hAnsi="Book Antiqua"/>
          <w:sz w:val="24"/>
          <w:szCs w:val="24"/>
        </w:rPr>
        <w:t>Arranz</w:t>
      </w:r>
      <w:proofErr w:type="spellEnd"/>
      <w:r w:rsidRPr="00FA5C8D">
        <w:rPr>
          <w:rFonts w:ascii="Book Antiqua" w:hAnsi="Book Antiqua"/>
          <w:sz w:val="24"/>
          <w:szCs w:val="24"/>
        </w:rPr>
        <w:t xml:space="preserve"> E, Jiménez-</w:t>
      </w:r>
      <w:proofErr w:type="spellStart"/>
      <w:r w:rsidRPr="00FA5C8D">
        <w:rPr>
          <w:rFonts w:ascii="Book Antiqua" w:hAnsi="Book Antiqua"/>
          <w:sz w:val="24"/>
          <w:szCs w:val="24"/>
        </w:rPr>
        <w:t>García</w:t>
      </w:r>
      <w:proofErr w:type="spellEnd"/>
      <w:r w:rsidRPr="00FA5C8D">
        <w:rPr>
          <w:rFonts w:ascii="Book Antiqua" w:hAnsi="Book Antiqua"/>
          <w:sz w:val="24"/>
          <w:szCs w:val="24"/>
        </w:rPr>
        <w:t xml:space="preserve"> VA, Antonio Montes-Cano M, </w:t>
      </w:r>
      <w:proofErr w:type="spellStart"/>
      <w:r w:rsidRPr="00FA5C8D">
        <w:rPr>
          <w:rFonts w:ascii="Book Antiqua" w:hAnsi="Book Antiqua"/>
          <w:sz w:val="24"/>
          <w:szCs w:val="24"/>
        </w:rPr>
        <w:t>Espín</w:t>
      </w:r>
      <w:proofErr w:type="spellEnd"/>
      <w:r w:rsidRPr="00FA5C8D">
        <w:rPr>
          <w:rFonts w:ascii="Book Antiqua" w:hAnsi="Book Antiqua"/>
          <w:sz w:val="24"/>
          <w:szCs w:val="24"/>
        </w:rPr>
        <w:t xml:space="preserve"> B, </w:t>
      </w:r>
      <w:proofErr w:type="spellStart"/>
      <w:r w:rsidRPr="00FA5C8D">
        <w:rPr>
          <w:rFonts w:ascii="Book Antiqua" w:hAnsi="Book Antiqua"/>
          <w:sz w:val="24"/>
          <w:szCs w:val="24"/>
        </w:rPr>
        <w:t>Galera</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Valverde</w:t>
      </w:r>
      <w:proofErr w:type="spellEnd"/>
      <w:r w:rsidRPr="00FA5C8D">
        <w:rPr>
          <w:rFonts w:ascii="Book Antiqua" w:hAnsi="Book Antiqua"/>
          <w:sz w:val="24"/>
          <w:szCs w:val="24"/>
        </w:rPr>
        <w:t xml:space="preserve"> J, </w:t>
      </w:r>
      <w:proofErr w:type="spellStart"/>
      <w:r w:rsidRPr="00FA5C8D">
        <w:rPr>
          <w:rFonts w:ascii="Book Antiqua" w:hAnsi="Book Antiqua"/>
          <w:sz w:val="24"/>
          <w:szCs w:val="24"/>
        </w:rPr>
        <w:t>Girón</w:t>
      </w:r>
      <w:proofErr w:type="spellEnd"/>
      <w:r w:rsidRPr="00FA5C8D">
        <w:rPr>
          <w:rFonts w:ascii="Book Antiqua" w:hAnsi="Book Antiqua"/>
          <w:sz w:val="24"/>
          <w:szCs w:val="24"/>
        </w:rPr>
        <w:t xml:space="preserve"> FJ, </w:t>
      </w:r>
      <w:proofErr w:type="spellStart"/>
      <w:r w:rsidRPr="00FA5C8D">
        <w:rPr>
          <w:rFonts w:ascii="Book Antiqua" w:hAnsi="Book Antiqua"/>
          <w:sz w:val="24"/>
          <w:szCs w:val="24"/>
        </w:rPr>
        <w:t>Bolonio</w:t>
      </w:r>
      <w:proofErr w:type="spellEnd"/>
      <w:r w:rsidRPr="00FA5C8D">
        <w:rPr>
          <w:rFonts w:ascii="Book Antiqua" w:hAnsi="Book Antiqua"/>
          <w:sz w:val="24"/>
          <w:szCs w:val="24"/>
        </w:rPr>
        <w:t xml:space="preserve"> M, </w:t>
      </w:r>
      <w:proofErr w:type="spellStart"/>
      <w:r w:rsidRPr="00FA5C8D">
        <w:rPr>
          <w:rFonts w:ascii="Book Antiqua" w:hAnsi="Book Antiqua"/>
          <w:sz w:val="24"/>
          <w:szCs w:val="24"/>
        </w:rPr>
        <w:t>Millán</w:t>
      </w:r>
      <w:proofErr w:type="spellEnd"/>
      <w:r w:rsidRPr="00FA5C8D">
        <w:rPr>
          <w:rFonts w:ascii="Book Antiqua" w:hAnsi="Book Antiqua"/>
          <w:sz w:val="24"/>
          <w:szCs w:val="24"/>
        </w:rPr>
        <w:t xml:space="preserve"> A, </w:t>
      </w:r>
      <w:proofErr w:type="spellStart"/>
      <w:r w:rsidRPr="00FA5C8D">
        <w:rPr>
          <w:rFonts w:ascii="Book Antiqua" w:hAnsi="Book Antiqua"/>
          <w:sz w:val="24"/>
          <w:szCs w:val="24"/>
        </w:rPr>
        <w:t>Cerezo</w:t>
      </w:r>
      <w:proofErr w:type="spellEnd"/>
      <w:r w:rsidRPr="00FA5C8D">
        <w:rPr>
          <w:rFonts w:ascii="Book Antiqua" w:hAnsi="Book Antiqua"/>
          <w:sz w:val="24"/>
          <w:szCs w:val="24"/>
        </w:rPr>
        <w:t xml:space="preserve"> FM, Guajardo C, Alberto JR, </w:t>
      </w:r>
      <w:proofErr w:type="spellStart"/>
      <w:r w:rsidRPr="00FA5C8D">
        <w:rPr>
          <w:rFonts w:ascii="Book Antiqua" w:hAnsi="Book Antiqua"/>
          <w:sz w:val="24"/>
          <w:szCs w:val="24"/>
        </w:rPr>
        <w:t>Rosinach</w:t>
      </w:r>
      <w:proofErr w:type="spellEnd"/>
      <w:r w:rsidRPr="00FA5C8D">
        <w:rPr>
          <w:rFonts w:ascii="Book Antiqua" w:hAnsi="Book Antiqua"/>
          <w:sz w:val="24"/>
          <w:szCs w:val="24"/>
        </w:rPr>
        <w:t xml:space="preserve"> M, Segura V, León F, </w:t>
      </w:r>
      <w:proofErr w:type="spellStart"/>
      <w:r w:rsidRPr="00FA5C8D">
        <w:rPr>
          <w:rFonts w:ascii="Book Antiqua" w:hAnsi="Book Antiqua"/>
          <w:sz w:val="24"/>
          <w:szCs w:val="24"/>
        </w:rPr>
        <w:t>Marinich</w:t>
      </w:r>
      <w:proofErr w:type="spellEnd"/>
      <w:r w:rsidRPr="00FA5C8D">
        <w:rPr>
          <w:rFonts w:ascii="Book Antiqua" w:hAnsi="Book Antiqua"/>
          <w:sz w:val="24"/>
          <w:szCs w:val="24"/>
        </w:rPr>
        <w:t xml:space="preserve"> J, Muñoz-</w:t>
      </w:r>
      <w:proofErr w:type="spellStart"/>
      <w:r w:rsidRPr="00FA5C8D">
        <w:rPr>
          <w:rFonts w:ascii="Book Antiqua" w:hAnsi="Book Antiqua"/>
          <w:sz w:val="24"/>
          <w:szCs w:val="24"/>
        </w:rPr>
        <w:t>Suano</w:t>
      </w:r>
      <w:proofErr w:type="spellEnd"/>
      <w:r w:rsidRPr="00FA5C8D">
        <w:rPr>
          <w:rFonts w:ascii="Book Antiqua" w:hAnsi="Book Antiqua"/>
          <w:sz w:val="24"/>
          <w:szCs w:val="24"/>
        </w:rPr>
        <w:t xml:space="preserve"> A, Romero-Gómez M, </w:t>
      </w:r>
      <w:proofErr w:type="spellStart"/>
      <w:r w:rsidRPr="00FA5C8D">
        <w:rPr>
          <w:rFonts w:ascii="Book Antiqua" w:hAnsi="Book Antiqua"/>
          <w:sz w:val="24"/>
          <w:szCs w:val="24"/>
        </w:rPr>
        <w:t>Cebolla</w:t>
      </w:r>
      <w:proofErr w:type="spellEnd"/>
      <w:r w:rsidRPr="00FA5C8D">
        <w:rPr>
          <w:rFonts w:ascii="Book Antiqua" w:hAnsi="Book Antiqua"/>
          <w:sz w:val="24"/>
          <w:szCs w:val="24"/>
        </w:rPr>
        <w:t xml:space="preserve"> Á, Sousa C. Fecal Gluten Peptides Reveal Limitations of Serological Tests and Food Questionnaires for Monitoring Gluten-Free Diet in Celiac Disease Patients. </w:t>
      </w:r>
      <w:r w:rsidRPr="00FA5C8D">
        <w:rPr>
          <w:rFonts w:ascii="Book Antiqua" w:hAnsi="Book Antiqua"/>
          <w:i/>
          <w:sz w:val="24"/>
          <w:szCs w:val="24"/>
        </w:rPr>
        <w:t>Am J Gastroenterol</w:t>
      </w:r>
      <w:r w:rsidRPr="00FA5C8D">
        <w:rPr>
          <w:rFonts w:ascii="Book Antiqua" w:hAnsi="Book Antiqua"/>
          <w:sz w:val="24"/>
          <w:szCs w:val="24"/>
        </w:rPr>
        <w:t xml:space="preserve"> 2016; </w:t>
      </w:r>
      <w:r w:rsidRPr="00FA5C8D">
        <w:rPr>
          <w:rFonts w:ascii="Book Antiqua" w:hAnsi="Book Antiqua"/>
          <w:b/>
          <w:sz w:val="24"/>
          <w:szCs w:val="24"/>
        </w:rPr>
        <w:t>111</w:t>
      </w:r>
      <w:r w:rsidRPr="00FA5C8D">
        <w:rPr>
          <w:rFonts w:ascii="Book Antiqua" w:hAnsi="Book Antiqua"/>
          <w:sz w:val="24"/>
          <w:szCs w:val="24"/>
        </w:rPr>
        <w:t>: 1456-1465 [PMID: 27644734 DOI: 10.1038/ajg.2016.439]</w:t>
      </w:r>
    </w:p>
    <w:p w14:paraId="1318FD0D" w14:textId="77777777" w:rsidR="0047007F" w:rsidRPr="00FA5C8D" w:rsidRDefault="0047007F" w:rsidP="00FA5C8D">
      <w:pPr>
        <w:snapToGrid w:val="0"/>
        <w:spacing w:after="0" w:line="360" w:lineRule="auto"/>
        <w:jc w:val="both"/>
        <w:rPr>
          <w:rFonts w:ascii="Book Antiqua" w:hAnsi="Book Antiqua" w:cs="Times New Roman"/>
          <w:bCs/>
          <w:sz w:val="24"/>
          <w:szCs w:val="24"/>
        </w:rPr>
      </w:pPr>
      <w:r w:rsidRPr="00FA5C8D">
        <w:rPr>
          <w:rFonts w:ascii="Book Antiqua" w:hAnsi="Book Antiqua" w:cs="Times New Roman"/>
          <w:bCs/>
          <w:sz w:val="24"/>
          <w:szCs w:val="24"/>
        </w:rPr>
        <w:br w:type="page"/>
      </w:r>
    </w:p>
    <w:p w14:paraId="40B08D53" w14:textId="77777777" w:rsidR="0058298B" w:rsidRPr="00FA5C8D" w:rsidRDefault="0058298B" w:rsidP="00FA5C8D">
      <w:pPr>
        <w:adjustRightInd w:val="0"/>
        <w:snapToGrid w:val="0"/>
        <w:spacing w:after="0" w:line="360" w:lineRule="auto"/>
        <w:jc w:val="both"/>
        <w:rPr>
          <w:rFonts w:ascii="Book Antiqua" w:hAnsi="Book Antiqua"/>
          <w:b/>
          <w:sz w:val="24"/>
          <w:szCs w:val="24"/>
        </w:rPr>
      </w:pPr>
      <w:r w:rsidRPr="00FA5C8D">
        <w:rPr>
          <w:rFonts w:ascii="Book Antiqua" w:hAnsi="Book Antiqua"/>
          <w:b/>
          <w:sz w:val="24"/>
          <w:szCs w:val="24"/>
        </w:rPr>
        <w:lastRenderedPageBreak/>
        <w:t>Footnotes</w:t>
      </w:r>
    </w:p>
    <w:p w14:paraId="502A8C6F" w14:textId="77777777" w:rsidR="00E947AA" w:rsidRPr="00FA5C8D" w:rsidRDefault="0058298B" w:rsidP="00FA5C8D">
      <w:pPr>
        <w:snapToGrid w:val="0"/>
        <w:spacing w:after="0" w:line="360" w:lineRule="auto"/>
        <w:jc w:val="both"/>
        <w:rPr>
          <w:rFonts w:ascii="Book Antiqua" w:hAnsi="Book Antiqua" w:cs="Times New Roman"/>
          <w:color w:val="000000"/>
          <w:sz w:val="24"/>
          <w:szCs w:val="24"/>
          <w:shd w:val="clear" w:color="auto" w:fill="FFFFFF"/>
        </w:rPr>
      </w:pPr>
      <w:r w:rsidRPr="00FA5C8D">
        <w:rPr>
          <w:rFonts w:ascii="Book Antiqua" w:hAnsi="Book Antiqua"/>
          <w:b/>
          <w:color w:val="000000"/>
          <w:sz w:val="24"/>
          <w:szCs w:val="24"/>
        </w:rPr>
        <w:t>Institutional review board statement</w:t>
      </w:r>
      <w:r w:rsidRPr="00FA5C8D">
        <w:rPr>
          <w:rFonts w:ascii="Book Antiqua" w:hAnsi="Book Antiqua"/>
          <w:b/>
          <w:bCs/>
          <w:iCs/>
          <w:color w:val="000000"/>
          <w:sz w:val="24"/>
          <w:szCs w:val="24"/>
        </w:rPr>
        <w:t>:</w:t>
      </w:r>
      <w:r w:rsidRPr="00FA5C8D">
        <w:rPr>
          <w:rFonts w:ascii="Book Antiqua" w:hAnsi="Book Antiqua"/>
          <w:sz w:val="24"/>
          <w:szCs w:val="24"/>
          <w:lang w:val="en-GB"/>
        </w:rPr>
        <w:t xml:space="preserve"> </w:t>
      </w:r>
      <w:r w:rsidR="00E947AA" w:rsidRPr="00FA5C8D">
        <w:rPr>
          <w:rFonts w:ascii="Book Antiqua" w:hAnsi="Book Antiqua" w:cs="Times New Roman"/>
          <w:color w:val="000000"/>
          <w:sz w:val="24"/>
          <w:szCs w:val="24"/>
          <w:shd w:val="clear" w:color="auto" w:fill="FFFFFF"/>
        </w:rPr>
        <w:t xml:space="preserve">The study protocol was approved by Institutional review board University hospital Brno. </w:t>
      </w:r>
    </w:p>
    <w:p w14:paraId="0B5A4BA7" w14:textId="77777777" w:rsidR="00360EDB" w:rsidRPr="00FA5C8D" w:rsidRDefault="00360EDB" w:rsidP="00FA5C8D">
      <w:pPr>
        <w:snapToGrid w:val="0"/>
        <w:spacing w:after="0" w:line="360" w:lineRule="auto"/>
        <w:jc w:val="both"/>
        <w:rPr>
          <w:rFonts w:ascii="Book Antiqua" w:hAnsi="Book Antiqua" w:cs="Times New Roman"/>
          <w:sz w:val="24"/>
          <w:szCs w:val="24"/>
          <w:shd w:val="clear" w:color="auto" w:fill="FFFFFF"/>
        </w:rPr>
      </w:pPr>
    </w:p>
    <w:p w14:paraId="22150A87" w14:textId="77777777" w:rsidR="00E947AA" w:rsidRPr="00FA5C8D" w:rsidRDefault="0058298B" w:rsidP="00FA5C8D">
      <w:pPr>
        <w:snapToGrid w:val="0"/>
        <w:spacing w:after="0" w:line="360" w:lineRule="auto"/>
        <w:jc w:val="both"/>
        <w:rPr>
          <w:rFonts w:ascii="Book Antiqua" w:hAnsi="Book Antiqua" w:cs="Times New Roman"/>
          <w:sz w:val="24"/>
          <w:szCs w:val="24"/>
          <w:shd w:val="clear" w:color="auto" w:fill="FFFFFF"/>
        </w:rPr>
      </w:pPr>
      <w:r w:rsidRPr="00FA5C8D">
        <w:rPr>
          <w:rFonts w:ascii="Book Antiqua" w:hAnsi="Book Antiqua"/>
          <w:b/>
          <w:color w:val="000000"/>
          <w:sz w:val="24"/>
          <w:szCs w:val="24"/>
        </w:rPr>
        <w:t>Informed consent statement</w:t>
      </w:r>
      <w:r w:rsidRPr="00FA5C8D">
        <w:rPr>
          <w:rFonts w:ascii="Book Antiqua" w:hAnsi="Book Antiqua"/>
          <w:b/>
          <w:bCs/>
          <w:iCs/>
          <w:color w:val="000000"/>
          <w:sz w:val="24"/>
          <w:szCs w:val="24"/>
          <w:lang w:eastAsia="zh-CN"/>
        </w:rPr>
        <w:t>:</w:t>
      </w:r>
      <w:r w:rsidRPr="00FA5C8D">
        <w:rPr>
          <w:rFonts w:ascii="Book Antiqua" w:hAnsi="Book Antiqua"/>
          <w:b/>
          <w:bCs/>
          <w:iCs/>
          <w:color w:val="000000"/>
          <w:sz w:val="24"/>
          <w:szCs w:val="24"/>
        </w:rPr>
        <w:t xml:space="preserve"> </w:t>
      </w:r>
      <w:r w:rsidR="00E947AA" w:rsidRPr="00FA5C8D">
        <w:rPr>
          <w:rFonts w:ascii="Book Antiqua" w:hAnsi="Book Antiqua" w:cs="Times New Roman"/>
          <w:color w:val="000000"/>
          <w:sz w:val="24"/>
          <w:szCs w:val="24"/>
          <w:shd w:val="clear" w:color="auto" w:fill="FFFFFF"/>
        </w:rPr>
        <w:t>All the patients signed informed consent</w:t>
      </w:r>
      <w:r w:rsidR="00E947AA" w:rsidRPr="00FA5C8D">
        <w:rPr>
          <w:rFonts w:ascii="Book Antiqua" w:hAnsi="Book Antiqua" w:cs="Times New Roman"/>
          <w:sz w:val="24"/>
          <w:szCs w:val="24"/>
          <w:shd w:val="clear" w:color="auto" w:fill="FFFFFF"/>
        </w:rPr>
        <w:t>.</w:t>
      </w:r>
    </w:p>
    <w:p w14:paraId="1C41B41D" w14:textId="77777777" w:rsidR="00360EDB" w:rsidRPr="00FA5C8D" w:rsidRDefault="00360EDB" w:rsidP="00FA5C8D">
      <w:pPr>
        <w:snapToGrid w:val="0"/>
        <w:spacing w:after="0" w:line="360" w:lineRule="auto"/>
        <w:jc w:val="both"/>
        <w:rPr>
          <w:rFonts w:ascii="Book Antiqua" w:hAnsi="Book Antiqua" w:cs="Times New Roman"/>
          <w:b/>
          <w:sz w:val="24"/>
          <w:szCs w:val="24"/>
        </w:rPr>
      </w:pPr>
    </w:p>
    <w:p w14:paraId="1FA77290" w14:textId="77777777" w:rsidR="00E947AA" w:rsidRPr="00FA5C8D" w:rsidRDefault="0058298B" w:rsidP="00FA5C8D">
      <w:pPr>
        <w:snapToGrid w:val="0"/>
        <w:spacing w:after="0" w:line="360" w:lineRule="auto"/>
        <w:jc w:val="both"/>
        <w:rPr>
          <w:rFonts w:ascii="Book Antiqua" w:hAnsi="Book Antiqua" w:cs="Times New Roman"/>
          <w:sz w:val="24"/>
          <w:szCs w:val="24"/>
          <w:shd w:val="clear" w:color="auto" w:fill="FFFFFF"/>
        </w:rPr>
      </w:pPr>
      <w:r w:rsidRPr="00FA5C8D">
        <w:rPr>
          <w:rFonts w:ascii="Book Antiqua" w:hAnsi="Book Antiqua"/>
          <w:b/>
          <w:color w:val="000000"/>
          <w:sz w:val="24"/>
          <w:szCs w:val="24"/>
        </w:rPr>
        <w:t>Conflict-of-interest statement</w:t>
      </w:r>
      <w:r w:rsidRPr="00FA5C8D">
        <w:rPr>
          <w:rFonts w:ascii="Book Antiqua" w:hAnsi="Book Antiqua" w:cs="TimesNewRomanPS-BoldItalicMT"/>
          <w:b/>
          <w:bCs/>
          <w:iCs/>
          <w:color w:val="000000"/>
          <w:sz w:val="24"/>
          <w:szCs w:val="24"/>
          <w:lang w:eastAsia="zh-CN"/>
        </w:rPr>
        <w:t>:</w:t>
      </w:r>
      <w:r w:rsidRPr="00FA5C8D">
        <w:rPr>
          <w:rFonts w:ascii="Book Antiqua" w:hAnsi="Book Antiqua"/>
          <w:sz w:val="24"/>
          <w:szCs w:val="24"/>
          <w:lang w:val="en-GB"/>
        </w:rPr>
        <w:t xml:space="preserve"> </w:t>
      </w:r>
      <w:r w:rsidR="00E947AA" w:rsidRPr="00FA5C8D">
        <w:rPr>
          <w:rFonts w:ascii="Book Antiqua" w:hAnsi="Book Antiqua" w:cs="Times New Roman"/>
          <w:sz w:val="24"/>
          <w:szCs w:val="24"/>
          <w:shd w:val="clear" w:color="auto" w:fill="FFFFFF"/>
        </w:rPr>
        <w:t>The authors do not have any conflict of interest.</w:t>
      </w:r>
    </w:p>
    <w:p w14:paraId="75E2B05D" w14:textId="77777777" w:rsidR="00E947AA" w:rsidRPr="00FA5C8D" w:rsidRDefault="00E947AA" w:rsidP="00FA5C8D">
      <w:pPr>
        <w:snapToGrid w:val="0"/>
        <w:spacing w:after="0" w:line="360" w:lineRule="auto"/>
        <w:jc w:val="both"/>
        <w:rPr>
          <w:rFonts w:ascii="Book Antiqua" w:hAnsi="Book Antiqua" w:cs="Times New Roman"/>
          <w:b/>
          <w:sz w:val="24"/>
          <w:szCs w:val="24"/>
        </w:rPr>
      </w:pPr>
    </w:p>
    <w:p w14:paraId="1494C684" w14:textId="77777777" w:rsidR="00FA5C8D" w:rsidRPr="00FA5C8D" w:rsidRDefault="0058298B" w:rsidP="00FA5C8D">
      <w:pPr>
        <w:autoSpaceDE w:val="0"/>
        <w:autoSpaceDN w:val="0"/>
        <w:adjustRightInd w:val="0"/>
        <w:snapToGrid w:val="0"/>
        <w:spacing w:after="0" w:line="360" w:lineRule="auto"/>
        <w:jc w:val="both"/>
        <w:rPr>
          <w:rFonts w:ascii="Book Antiqua" w:hAnsi="Book Antiqua" w:cs="TimesNewRomanPS-BoldItalicMT"/>
          <w:bCs/>
          <w:iCs/>
          <w:color w:val="000000" w:themeColor="text1"/>
          <w:sz w:val="24"/>
          <w:szCs w:val="24"/>
        </w:rPr>
      </w:pPr>
      <w:r w:rsidRPr="00FA5C8D">
        <w:rPr>
          <w:rFonts w:ascii="Book Antiqua" w:hAnsi="Book Antiqua" w:cs="TimesNewRomanPS-BoldItalicMT"/>
          <w:b/>
          <w:bCs/>
          <w:iCs/>
          <w:color w:val="000000"/>
          <w:sz w:val="24"/>
          <w:szCs w:val="24"/>
        </w:rPr>
        <w:t xml:space="preserve">Data sharing </w:t>
      </w:r>
      <w:r w:rsidRPr="00FA5C8D">
        <w:rPr>
          <w:rFonts w:ascii="Book Antiqua" w:hAnsi="Book Antiqua"/>
          <w:b/>
          <w:color w:val="000000"/>
          <w:sz w:val="24"/>
          <w:szCs w:val="24"/>
        </w:rPr>
        <w:t>statement</w:t>
      </w:r>
      <w:r w:rsidRPr="00FA5C8D">
        <w:rPr>
          <w:rFonts w:ascii="Book Antiqua" w:hAnsi="Book Antiqua" w:cs="TimesNewRomanPS-BoldItalicMT"/>
          <w:b/>
          <w:bCs/>
          <w:iCs/>
          <w:color w:val="000000"/>
          <w:sz w:val="24"/>
          <w:szCs w:val="24"/>
          <w:lang w:eastAsia="zh-CN"/>
        </w:rPr>
        <w:t>:</w:t>
      </w:r>
      <w:r w:rsidRPr="00FA5C8D">
        <w:rPr>
          <w:rFonts w:ascii="Book Antiqua" w:hAnsi="Book Antiqua"/>
          <w:sz w:val="24"/>
          <w:szCs w:val="24"/>
          <w:lang w:val="en-GB"/>
        </w:rPr>
        <w:t xml:space="preserve"> </w:t>
      </w:r>
      <w:r w:rsidR="00FA5C8D" w:rsidRPr="00FA5C8D">
        <w:rPr>
          <w:rFonts w:ascii="Book Antiqua" w:hAnsi="Book Antiqua"/>
          <w:color w:val="000000" w:themeColor="text1"/>
          <w:sz w:val="24"/>
          <w:szCs w:val="24"/>
        </w:rPr>
        <w:t>No additional data are available.</w:t>
      </w:r>
    </w:p>
    <w:p w14:paraId="2A906AA1" w14:textId="77777777" w:rsidR="0058298B" w:rsidRPr="00FA5C8D" w:rsidRDefault="0058298B" w:rsidP="00FA5C8D">
      <w:pPr>
        <w:snapToGrid w:val="0"/>
        <w:spacing w:after="0" w:line="360" w:lineRule="auto"/>
        <w:jc w:val="both"/>
        <w:rPr>
          <w:rFonts w:ascii="Book Antiqua" w:hAnsi="Book Antiqua"/>
          <w:sz w:val="24"/>
          <w:szCs w:val="24"/>
          <w:lang w:val="en-GB"/>
        </w:rPr>
      </w:pPr>
    </w:p>
    <w:p w14:paraId="01577091" w14:textId="77777777" w:rsidR="0047007F" w:rsidRPr="00FA5C8D" w:rsidRDefault="0058298B" w:rsidP="00FA5C8D">
      <w:pPr>
        <w:snapToGrid w:val="0"/>
        <w:spacing w:after="0" w:line="360" w:lineRule="auto"/>
        <w:jc w:val="both"/>
        <w:rPr>
          <w:rFonts w:ascii="Book Antiqua" w:hAnsi="Book Antiqua"/>
          <w:b/>
          <w:bCs/>
          <w:sz w:val="24"/>
          <w:szCs w:val="24"/>
          <w:lang w:eastAsia="zh-CN"/>
        </w:rPr>
      </w:pPr>
      <w:r w:rsidRPr="00FA5C8D">
        <w:rPr>
          <w:rStyle w:val="a5"/>
          <w:rFonts w:ascii="Book Antiqua" w:hAnsi="Book Antiqua"/>
          <w:sz w:val="24"/>
          <w:szCs w:val="24"/>
        </w:rPr>
        <w:t>STROBE statement</w:t>
      </w:r>
      <w:r w:rsidRPr="00FA5C8D">
        <w:rPr>
          <w:rStyle w:val="a5"/>
          <w:rFonts w:ascii="Book Antiqua" w:hAnsi="Book Antiqua"/>
          <w:sz w:val="24"/>
          <w:szCs w:val="24"/>
          <w:lang w:eastAsia="zh-CN"/>
        </w:rPr>
        <w:t xml:space="preserve">: </w:t>
      </w:r>
      <w:r w:rsidR="0047007F" w:rsidRPr="00FA5C8D">
        <w:rPr>
          <w:rFonts w:ascii="Book Antiqua" w:hAnsi="Book Antiqua" w:cs="Times New Roman"/>
          <w:sz w:val="24"/>
          <w:szCs w:val="24"/>
        </w:rPr>
        <w:t>The authors have read the STROBE Statement-checklist of items, and the manuscript was prepared and revised according to the STROBE Statement-checklist of items.</w:t>
      </w:r>
    </w:p>
    <w:p w14:paraId="1286287F" w14:textId="77777777" w:rsidR="0047007F" w:rsidRPr="00FA5C8D" w:rsidRDefault="0047007F" w:rsidP="00FA5C8D">
      <w:pPr>
        <w:snapToGrid w:val="0"/>
        <w:spacing w:after="0" w:line="360" w:lineRule="auto"/>
        <w:jc w:val="both"/>
        <w:rPr>
          <w:rFonts w:ascii="Book Antiqua" w:hAnsi="Book Antiqua" w:cs="Times New Roman"/>
          <w:b/>
          <w:sz w:val="24"/>
          <w:szCs w:val="24"/>
          <w:lang w:eastAsia="zh-CN"/>
        </w:rPr>
      </w:pPr>
    </w:p>
    <w:p w14:paraId="3FCC3DFF" w14:textId="77777777" w:rsidR="0058298B" w:rsidRPr="00FA5C8D" w:rsidRDefault="0058298B" w:rsidP="00FA5C8D">
      <w:pPr>
        <w:pStyle w:val="aa"/>
        <w:adjustRightInd w:val="0"/>
        <w:snapToGrid w:val="0"/>
        <w:spacing w:after="0" w:line="360" w:lineRule="auto"/>
        <w:jc w:val="both"/>
        <w:rPr>
          <w:rFonts w:ascii="Book Antiqua" w:hAnsi="Book Antiqua"/>
          <w:sz w:val="24"/>
          <w:szCs w:val="24"/>
          <w:lang w:eastAsia="zh-CN"/>
        </w:rPr>
      </w:pPr>
      <w:r w:rsidRPr="00FA5C8D">
        <w:rPr>
          <w:rFonts w:ascii="Book Antiqua" w:hAnsi="Book Antiqua"/>
          <w:b/>
          <w:color w:val="000000"/>
          <w:sz w:val="24"/>
          <w:szCs w:val="24"/>
        </w:rPr>
        <w:t>Open-Access:</w:t>
      </w:r>
      <w:r w:rsidRPr="00FA5C8D">
        <w:rPr>
          <w:rFonts w:ascii="Book Antiqua" w:hAnsi="Book Antiqua"/>
          <w:color w:val="000000"/>
          <w:sz w:val="24"/>
          <w:szCs w:val="24"/>
        </w:rPr>
        <w:t xml:space="preserve"> This article is an open-access </w:t>
      </w:r>
      <w:r w:rsidRPr="00FA5C8D">
        <w:rPr>
          <w:rFonts w:ascii="Book Antiqua" w:hAnsi="Book Antiqua"/>
          <w:sz w:val="24"/>
          <w:szCs w:val="24"/>
        </w:rPr>
        <w:t xml:space="preserve">article that was selected </w:t>
      </w:r>
      <w:r w:rsidRPr="00FA5C8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FA5C8D">
        <w:rPr>
          <w:rFonts w:ascii="Book Antiqua" w:hAnsi="Book Antiqua"/>
          <w:color w:val="000000"/>
          <w:sz w:val="24"/>
          <w:szCs w:val="24"/>
        </w:rPr>
        <w:t>NonCommercial</w:t>
      </w:r>
      <w:proofErr w:type="spellEnd"/>
      <w:r w:rsidRPr="00FA5C8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7324E9" w14:textId="77777777" w:rsidR="0058298B" w:rsidRPr="00FA5C8D" w:rsidRDefault="0058298B" w:rsidP="00FA5C8D">
      <w:pPr>
        <w:snapToGrid w:val="0"/>
        <w:spacing w:after="0" w:line="360" w:lineRule="auto"/>
        <w:jc w:val="both"/>
        <w:rPr>
          <w:rFonts w:ascii="Book Antiqua" w:hAnsi="Book Antiqua" w:cs="Arial"/>
          <w:b/>
          <w:sz w:val="24"/>
          <w:szCs w:val="24"/>
        </w:rPr>
      </w:pPr>
    </w:p>
    <w:p w14:paraId="715BC287" w14:textId="77777777" w:rsidR="0058298B" w:rsidRPr="00FA5C8D" w:rsidRDefault="0058298B" w:rsidP="00FA5C8D">
      <w:pPr>
        <w:adjustRightInd w:val="0"/>
        <w:snapToGrid w:val="0"/>
        <w:spacing w:after="0" w:line="360" w:lineRule="auto"/>
        <w:jc w:val="both"/>
        <w:rPr>
          <w:rFonts w:ascii="Book Antiqua" w:hAnsi="Book Antiqua"/>
          <w:bCs/>
          <w:color w:val="000000"/>
          <w:sz w:val="24"/>
          <w:szCs w:val="24"/>
          <w:lang w:eastAsia="zh-CN"/>
        </w:rPr>
      </w:pPr>
      <w:r w:rsidRPr="00FA5C8D">
        <w:rPr>
          <w:rFonts w:ascii="Book Antiqua" w:hAnsi="Book Antiqua"/>
          <w:b/>
          <w:bCs/>
          <w:color w:val="000000"/>
          <w:sz w:val="24"/>
          <w:szCs w:val="24"/>
          <w:lang w:eastAsia="pl-PL"/>
        </w:rPr>
        <w:t>Manuscript source:</w:t>
      </w:r>
      <w:r w:rsidRPr="00FA5C8D">
        <w:rPr>
          <w:rFonts w:ascii="Book Antiqua" w:hAnsi="Book Antiqua"/>
          <w:b/>
          <w:bCs/>
          <w:color w:val="000000"/>
          <w:sz w:val="24"/>
          <w:szCs w:val="24"/>
          <w:lang w:eastAsia="zh-CN"/>
        </w:rPr>
        <w:t xml:space="preserve"> </w:t>
      </w:r>
      <w:r w:rsidRPr="00FA5C8D">
        <w:rPr>
          <w:rFonts w:ascii="Book Antiqua" w:hAnsi="Book Antiqua"/>
          <w:bCs/>
          <w:color w:val="000000"/>
          <w:sz w:val="24"/>
          <w:szCs w:val="24"/>
          <w:lang w:eastAsia="pl-PL"/>
        </w:rPr>
        <w:t>Invited manuscript</w:t>
      </w:r>
    </w:p>
    <w:p w14:paraId="6842A49C" w14:textId="77777777" w:rsidR="0058298B" w:rsidRPr="00FA5C8D" w:rsidRDefault="0058298B" w:rsidP="00FA5C8D">
      <w:pPr>
        <w:adjustRightInd w:val="0"/>
        <w:snapToGrid w:val="0"/>
        <w:spacing w:after="0" w:line="360" w:lineRule="auto"/>
        <w:jc w:val="both"/>
        <w:rPr>
          <w:rFonts w:ascii="Book Antiqua" w:hAnsi="Book Antiqua"/>
          <w:b/>
          <w:bCs/>
          <w:color w:val="000000"/>
          <w:sz w:val="24"/>
          <w:szCs w:val="24"/>
          <w:lang w:eastAsia="zh-CN"/>
        </w:rPr>
      </w:pPr>
    </w:p>
    <w:p w14:paraId="5FB1E058" w14:textId="77777777" w:rsidR="0058298B" w:rsidRPr="00FA5C8D" w:rsidRDefault="0058298B" w:rsidP="00FA5C8D">
      <w:pPr>
        <w:snapToGrid w:val="0"/>
        <w:spacing w:after="0" w:line="360" w:lineRule="auto"/>
        <w:jc w:val="both"/>
        <w:rPr>
          <w:rFonts w:ascii="Book Antiqua" w:eastAsia="宋体" w:hAnsi="Book Antiqua"/>
          <w:sz w:val="24"/>
          <w:szCs w:val="24"/>
          <w:lang w:eastAsia="zh-CN"/>
        </w:rPr>
      </w:pPr>
      <w:r w:rsidRPr="00FA5C8D">
        <w:rPr>
          <w:rFonts w:ascii="Book Antiqua" w:hAnsi="Book Antiqua"/>
          <w:b/>
          <w:sz w:val="24"/>
          <w:szCs w:val="24"/>
        </w:rPr>
        <w:t>Peer-review started:</w:t>
      </w:r>
      <w:r w:rsidRPr="00FA5C8D">
        <w:rPr>
          <w:rFonts w:ascii="Book Antiqua" w:eastAsia="宋体" w:hAnsi="Book Antiqua"/>
          <w:sz w:val="24"/>
          <w:szCs w:val="24"/>
          <w:lang w:eastAsia="zh-CN"/>
        </w:rPr>
        <w:t xml:space="preserve"> January 16, 2020</w:t>
      </w:r>
    </w:p>
    <w:p w14:paraId="45F86A7B" w14:textId="77777777" w:rsidR="0058298B" w:rsidRPr="00FA5C8D" w:rsidRDefault="0058298B" w:rsidP="00FA5C8D">
      <w:pPr>
        <w:snapToGrid w:val="0"/>
        <w:spacing w:after="0" w:line="360" w:lineRule="auto"/>
        <w:jc w:val="both"/>
        <w:rPr>
          <w:rFonts w:ascii="Book Antiqua" w:eastAsia="宋体" w:hAnsi="Book Antiqua"/>
          <w:sz w:val="24"/>
          <w:szCs w:val="24"/>
          <w:lang w:eastAsia="zh-CN"/>
        </w:rPr>
      </w:pPr>
      <w:r w:rsidRPr="00FA5C8D">
        <w:rPr>
          <w:rFonts w:ascii="Book Antiqua" w:hAnsi="Book Antiqua"/>
          <w:b/>
          <w:sz w:val="24"/>
          <w:szCs w:val="24"/>
        </w:rPr>
        <w:t>First decision:</w:t>
      </w:r>
      <w:r w:rsidRPr="00FA5C8D">
        <w:rPr>
          <w:rFonts w:ascii="Book Antiqua" w:eastAsia="宋体" w:hAnsi="Book Antiqua"/>
          <w:b/>
          <w:sz w:val="24"/>
          <w:szCs w:val="24"/>
          <w:lang w:eastAsia="zh-CN"/>
        </w:rPr>
        <w:t xml:space="preserve"> </w:t>
      </w:r>
      <w:r w:rsidRPr="00FA5C8D">
        <w:rPr>
          <w:rFonts w:ascii="Book Antiqua" w:eastAsia="宋体" w:hAnsi="Book Antiqua"/>
          <w:sz w:val="24"/>
          <w:szCs w:val="24"/>
          <w:lang w:eastAsia="zh-CN"/>
        </w:rPr>
        <w:t>April 8, 2020</w:t>
      </w:r>
    </w:p>
    <w:p w14:paraId="6619DAB5" w14:textId="0A02FF02" w:rsidR="0058298B" w:rsidRPr="00FA5C8D" w:rsidRDefault="0058298B" w:rsidP="00FA5C8D">
      <w:pPr>
        <w:widowControl w:val="0"/>
        <w:snapToGrid w:val="0"/>
        <w:spacing w:after="0" w:line="360" w:lineRule="auto"/>
        <w:jc w:val="both"/>
        <w:rPr>
          <w:rFonts w:ascii="Book Antiqua" w:eastAsia="宋体" w:hAnsi="Book Antiqua" w:hint="eastAsia"/>
          <w:b/>
          <w:sz w:val="24"/>
          <w:szCs w:val="24"/>
          <w:lang w:eastAsia="zh-CN"/>
        </w:rPr>
      </w:pPr>
      <w:r w:rsidRPr="00FA5C8D">
        <w:rPr>
          <w:rFonts w:ascii="Book Antiqua" w:hAnsi="Book Antiqua"/>
          <w:b/>
          <w:sz w:val="24"/>
          <w:szCs w:val="24"/>
        </w:rPr>
        <w:t>Article in press:</w:t>
      </w:r>
      <w:r w:rsidR="00B41151">
        <w:rPr>
          <w:rFonts w:ascii="Book Antiqua" w:hAnsi="Book Antiqua" w:hint="eastAsia"/>
          <w:b/>
          <w:sz w:val="24"/>
          <w:szCs w:val="24"/>
          <w:lang w:eastAsia="zh-CN"/>
        </w:rPr>
        <w:t xml:space="preserve"> </w:t>
      </w:r>
      <w:r w:rsidR="00B41151" w:rsidRPr="00B41151">
        <w:rPr>
          <w:rFonts w:ascii="Book Antiqua" w:hAnsi="Book Antiqua"/>
          <w:sz w:val="24"/>
          <w:szCs w:val="24"/>
          <w:lang w:eastAsia="zh-CN"/>
        </w:rPr>
        <w:t>July 1, 2020</w:t>
      </w:r>
    </w:p>
    <w:p w14:paraId="08E82C6C" w14:textId="77777777" w:rsidR="0058298B" w:rsidRPr="00FA5C8D" w:rsidRDefault="0058298B" w:rsidP="00FA5C8D">
      <w:pPr>
        <w:widowControl w:val="0"/>
        <w:snapToGrid w:val="0"/>
        <w:spacing w:after="0" w:line="360" w:lineRule="auto"/>
        <w:jc w:val="both"/>
        <w:rPr>
          <w:rFonts w:ascii="Book Antiqua" w:eastAsia="宋体" w:hAnsi="Book Antiqua"/>
          <w:b/>
          <w:sz w:val="24"/>
          <w:szCs w:val="24"/>
          <w:lang w:eastAsia="zh-CN"/>
        </w:rPr>
      </w:pPr>
    </w:p>
    <w:p w14:paraId="4DFCD678" w14:textId="77777777" w:rsidR="0058298B" w:rsidRPr="00FA5C8D" w:rsidRDefault="0058298B" w:rsidP="00FA5C8D">
      <w:pPr>
        <w:widowControl w:val="0"/>
        <w:adjustRightInd w:val="0"/>
        <w:snapToGrid w:val="0"/>
        <w:spacing w:after="0" w:line="360" w:lineRule="auto"/>
        <w:jc w:val="both"/>
        <w:rPr>
          <w:rFonts w:ascii="Book Antiqua" w:eastAsia="微软雅黑" w:hAnsi="Book Antiqua" w:cs="宋体"/>
          <w:sz w:val="24"/>
          <w:szCs w:val="24"/>
          <w:lang w:eastAsia="zh-CN"/>
        </w:rPr>
      </w:pPr>
      <w:r w:rsidRPr="00FA5C8D">
        <w:rPr>
          <w:rFonts w:ascii="Book Antiqua" w:hAnsi="Book Antiqua" w:cs="宋体"/>
          <w:b/>
          <w:sz w:val="24"/>
          <w:szCs w:val="24"/>
          <w:lang w:eastAsia="zh-CN"/>
        </w:rPr>
        <w:t xml:space="preserve">Specialty type: </w:t>
      </w:r>
      <w:r w:rsidRPr="00FA5C8D">
        <w:rPr>
          <w:rFonts w:ascii="Book Antiqua" w:eastAsia="微软雅黑" w:hAnsi="Book Antiqua" w:cs="宋体"/>
          <w:sz w:val="24"/>
          <w:szCs w:val="24"/>
          <w:lang w:eastAsia="zh-CN"/>
        </w:rPr>
        <w:t>Gastroenterology and hepatology</w:t>
      </w:r>
    </w:p>
    <w:p w14:paraId="77BC8C03" w14:textId="77777777" w:rsidR="0058298B" w:rsidRPr="00FA5C8D" w:rsidRDefault="0058298B" w:rsidP="00FA5C8D">
      <w:pPr>
        <w:widowControl w:val="0"/>
        <w:adjustRightInd w:val="0"/>
        <w:snapToGrid w:val="0"/>
        <w:spacing w:after="0" w:line="360" w:lineRule="auto"/>
        <w:jc w:val="both"/>
        <w:rPr>
          <w:rFonts w:ascii="Book Antiqua" w:eastAsia="宋体" w:hAnsi="Book Antiqua" w:cs="宋体"/>
          <w:sz w:val="24"/>
          <w:szCs w:val="24"/>
          <w:lang w:eastAsia="zh-CN"/>
        </w:rPr>
      </w:pPr>
      <w:r w:rsidRPr="00FA5C8D">
        <w:rPr>
          <w:rFonts w:ascii="Book Antiqua" w:hAnsi="Book Antiqua" w:cs="宋体"/>
          <w:b/>
          <w:sz w:val="24"/>
          <w:szCs w:val="24"/>
          <w:lang w:eastAsia="zh-CN"/>
        </w:rPr>
        <w:lastRenderedPageBreak/>
        <w:t xml:space="preserve">Country/Territory of origin: </w:t>
      </w:r>
      <w:r w:rsidRPr="00FA5C8D">
        <w:rPr>
          <w:rFonts w:ascii="Book Antiqua" w:eastAsia="宋体" w:hAnsi="Book Antiqua" w:cs="宋体"/>
          <w:sz w:val="24"/>
          <w:szCs w:val="24"/>
          <w:lang w:eastAsia="zh-CN"/>
        </w:rPr>
        <w:t>Czech Republic</w:t>
      </w:r>
    </w:p>
    <w:p w14:paraId="175447CD" w14:textId="77777777" w:rsidR="0058298B" w:rsidRPr="00FA5C8D" w:rsidRDefault="0058298B" w:rsidP="00FA5C8D">
      <w:pPr>
        <w:widowControl w:val="0"/>
        <w:adjustRightInd w:val="0"/>
        <w:snapToGrid w:val="0"/>
        <w:spacing w:after="0" w:line="360" w:lineRule="auto"/>
        <w:jc w:val="both"/>
        <w:rPr>
          <w:rFonts w:ascii="Book Antiqua" w:hAnsi="Book Antiqua" w:cs="宋体"/>
          <w:b/>
          <w:sz w:val="24"/>
          <w:szCs w:val="24"/>
          <w:lang w:eastAsia="zh-CN"/>
        </w:rPr>
      </w:pPr>
      <w:r w:rsidRPr="00FA5C8D">
        <w:rPr>
          <w:rFonts w:ascii="Book Antiqua" w:hAnsi="Book Antiqua" w:cs="宋体"/>
          <w:b/>
          <w:sz w:val="24"/>
          <w:szCs w:val="24"/>
          <w:lang w:eastAsia="zh-CN"/>
        </w:rPr>
        <w:t>Peer-review report’s scientific quality classification</w:t>
      </w:r>
    </w:p>
    <w:p w14:paraId="17534EEE" w14:textId="77777777" w:rsidR="0058298B" w:rsidRPr="00FA5C8D" w:rsidRDefault="0058298B" w:rsidP="00FA5C8D">
      <w:pPr>
        <w:widowControl w:val="0"/>
        <w:adjustRightInd w:val="0"/>
        <w:snapToGrid w:val="0"/>
        <w:spacing w:after="0" w:line="360" w:lineRule="auto"/>
        <w:jc w:val="both"/>
        <w:rPr>
          <w:rFonts w:ascii="Book Antiqua" w:hAnsi="Book Antiqua" w:cs="宋体"/>
          <w:sz w:val="24"/>
          <w:szCs w:val="24"/>
          <w:lang w:eastAsia="zh-CN"/>
        </w:rPr>
      </w:pPr>
      <w:r w:rsidRPr="00FA5C8D">
        <w:rPr>
          <w:rFonts w:ascii="Book Antiqua" w:hAnsi="Book Antiqua" w:cs="宋体"/>
          <w:sz w:val="24"/>
          <w:szCs w:val="24"/>
          <w:lang w:eastAsia="zh-CN"/>
        </w:rPr>
        <w:t>Grade A (Excellent): 0</w:t>
      </w:r>
    </w:p>
    <w:p w14:paraId="7207B090" w14:textId="77777777" w:rsidR="0058298B" w:rsidRPr="00FA5C8D" w:rsidRDefault="0058298B" w:rsidP="00FA5C8D">
      <w:pPr>
        <w:widowControl w:val="0"/>
        <w:adjustRightInd w:val="0"/>
        <w:snapToGrid w:val="0"/>
        <w:spacing w:after="0" w:line="360" w:lineRule="auto"/>
        <w:jc w:val="both"/>
        <w:rPr>
          <w:rFonts w:ascii="Book Antiqua" w:eastAsia="宋体" w:hAnsi="Book Antiqua" w:cs="宋体"/>
          <w:sz w:val="24"/>
          <w:szCs w:val="24"/>
          <w:lang w:eastAsia="zh-CN"/>
        </w:rPr>
      </w:pPr>
      <w:r w:rsidRPr="00FA5C8D">
        <w:rPr>
          <w:rFonts w:ascii="Book Antiqua" w:hAnsi="Book Antiqua" w:cs="宋体"/>
          <w:sz w:val="24"/>
          <w:szCs w:val="24"/>
          <w:lang w:eastAsia="zh-CN"/>
        </w:rPr>
        <w:t xml:space="preserve">Grade B (Very good): </w:t>
      </w:r>
      <w:r w:rsidRPr="00FA5C8D">
        <w:rPr>
          <w:rFonts w:ascii="Book Antiqua" w:eastAsia="宋体" w:hAnsi="Book Antiqua" w:cs="宋体"/>
          <w:sz w:val="24"/>
          <w:szCs w:val="24"/>
          <w:lang w:eastAsia="zh-CN"/>
        </w:rPr>
        <w:t>B, B</w:t>
      </w:r>
    </w:p>
    <w:p w14:paraId="2C0D75AE" w14:textId="77777777" w:rsidR="0058298B" w:rsidRPr="00FA5C8D" w:rsidRDefault="0058298B" w:rsidP="00FA5C8D">
      <w:pPr>
        <w:widowControl w:val="0"/>
        <w:adjustRightInd w:val="0"/>
        <w:snapToGrid w:val="0"/>
        <w:spacing w:after="0" w:line="360" w:lineRule="auto"/>
        <w:jc w:val="both"/>
        <w:rPr>
          <w:rFonts w:ascii="Book Antiqua" w:hAnsi="Book Antiqua" w:cs="宋体"/>
          <w:sz w:val="24"/>
          <w:szCs w:val="24"/>
          <w:lang w:eastAsia="zh-CN"/>
        </w:rPr>
      </w:pPr>
      <w:r w:rsidRPr="00FA5C8D">
        <w:rPr>
          <w:rFonts w:ascii="Book Antiqua" w:hAnsi="Book Antiqua" w:cs="宋体"/>
          <w:sz w:val="24"/>
          <w:szCs w:val="24"/>
          <w:lang w:eastAsia="zh-CN"/>
        </w:rPr>
        <w:t>Grade C (Good): C, C</w:t>
      </w:r>
    </w:p>
    <w:p w14:paraId="1B68674F" w14:textId="77777777" w:rsidR="0058298B" w:rsidRPr="00FA5C8D" w:rsidRDefault="0058298B" w:rsidP="00FA5C8D">
      <w:pPr>
        <w:widowControl w:val="0"/>
        <w:adjustRightInd w:val="0"/>
        <w:snapToGrid w:val="0"/>
        <w:spacing w:after="0" w:line="360" w:lineRule="auto"/>
        <w:jc w:val="both"/>
        <w:rPr>
          <w:rFonts w:ascii="Book Antiqua" w:hAnsi="Book Antiqua" w:cs="宋体"/>
          <w:sz w:val="24"/>
          <w:szCs w:val="24"/>
          <w:lang w:eastAsia="zh-CN"/>
        </w:rPr>
      </w:pPr>
      <w:r w:rsidRPr="00FA5C8D">
        <w:rPr>
          <w:rFonts w:ascii="Book Antiqua" w:hAnsi="Book Antiqua" w:cs="宋体"/>
          <w:sz w:val="24"/>
          <w:szCs w:val="24"/>
          <w:lang w:eastAsia="zh-CN"/>
        </w:rPr>
        <w:t>Grade D (Fair): D</w:t>
      </w:r>
    </w:p>
    <w:p w14:paraId="0F50060A" w14:textId="77777777" w:rsidR="0058298B" w:rsidRPr="00FA5C8D" w:rsidRDefault="0058298B" w:rsidP="00FA5C8D">
      <w:pPr>
        <w:widowControl w:val="0"/>
        <w:adjustRightInd w:val="0"/>
        <w:snapToGrid w:val="0"/>
        <w:spacing w:after="0" w:line="360" w:lineRule="auto"/>
        <w:jc w:val="both"/>
        <w:rPr>
          <w:rFonts w:ascii="Book Antiqua" w:eastAsia="等线" w:hAnsi="Book Antiqua"/>
          <w:kern w:val="2"/>
          <w:sz w:val="24"/>
          <w:szCs w:val="24"/>
          <w:lang w:val="hu-HU" w:eastAsia="zh-CN"/>
        </w:rPr>
      </w:pPr>
      <w:r w:rsidRPr="00FA5C8D">
        <w:rPr>
          <w:rFonts w:ascii="Book Antiqua" w:hAnsi="Book Antiqua" w:cs="宋体"/>
          <w:sz w:val="24"/>
          <w:szCs w:val="24"/>
          <w:lang w:eastAsia="zh-CN"/>
        </w:rPr>
        <w:t>Grade E (Poor): 0</w:t>
      </w:r>
    </w:p>
    <w:p w14:paraId="0C0453ED" w14:textId="77777777" w:rsidR="0058298B" w:rsidRPr="00FA5C8D" w:rsidRDefault="0058298B" w:rsidP="00FA5C8D">
      <w:pPr>
        <w:widowControl w:val="0"/>
        <w:snapToGrid w:val="0"/>
        <w:spacing w:after="0" w:line="360" w:lineRule="auto"/>
        <w:jc w:val="both"/>
        <w:rPr>
          <w:rFonts w:ascii="Book Antiqua" w:eastAsia="宋体" w:hAnsi="Book Antiqua"/>
          <w:sz w:val="24"/>
          <w:szCs w:val="24"/>
          <w:lang w:val="hu-HU" w:eastAsia="zh-CN"/>
        </w:rPr>
      </w:pPr>
    </w:p>
    <w:p w14:paraId="1D14579C" w14:textId="51007A9A" w:rsidR="0058298B" w:rsidRPr="00FA5C8D" w:rsidRDefault="0058298B" w:rsidP="00FA5C8D">
      <w:pPr>
        <w:snapToGrid w:val="0"/>
        <w:spacing w:after="0" w:line="360" w:lineRule="auto"/>
        <w:jc w:val="both"/>
        <w:rPr>
          <w:rFonts w:ascii="Book Antiqua" w:eastAsia="宋体" w:hAnsi="Book Antiqua" w:cs="宋体"/>
          <w:sz w:val="24"/>
          <w:szCs w:val="24"/>
          <w:lang w:eastAsia="zh-CN"/>
        </w:rPr>
      </w:pPr>
      <w:r w:rsidRPr="00FA5C8D">
        <w:rPr>
          <w:rFonts w:ascii="Book Antiqua" w:hAnsi="Book Antiqua"/>
          <w:b/>
          <w:sz w:val="24"/>
          <w:szCs w:val="24"/>
        </w:rPr>
        <w:t xml:space="preserve">P- Reviewer: </w:t>
      </w:r>
      <w:proofErr w:type="spellStart"/>
      <w:r w:rsidRPr="00FA5C8D">
        <w:rPr>
          <w:rFonts w:ascii="Book Antiqua" w:eastAsia="宋体" w:hAnsi="Book Antiqua" w:cs="宋体"/>
          <w:color w:val="000000"/>
          <w:sz w:val="24"/>
          <w:szCs w:val="24"/>
          <w:shd w:val="clear" w:color="auto" w:fill="FFFFFF"/>
          <w:lang w:eastAsia="zh-CN"/>
        </w:rPr>
        <w:t>Gassler</w:t>
      </w:r>
      <w:proofErr w:type="spellEnd"/>
      <w:r w:rsidRPr="00FA5C8D">
        <w:rPr>
          <w:rFonts w:ascii="Book Antiqua" w:eastAsia="宋体" w:hAnsi="Book Antiqua" w:cs="宋体"/>
          <w:sz w:val="24"/>
          <w:szCs w:val="24"/>
          <w:lang w:eastAsia="zh-CN"/>
        </w:rPr>
        <w:t xml:space="preserve"> N, </w:t>
      </w:r>
      <w:proofErr w:type="spellStart"/>
      <w:r w:rsidRPr="00FA5C8D">
        <w:rPr>
          <w:rFonts w:ascii="Book Antiqua" w:eastAsia="宋体" w:hAnsi="Book Antiqua" w:cs="宋体"/>
          <w:color w:val="000000"/>
          <w:sz w:val="24"/>
          <w:szCs w:val="24"/>
          <w:shd w:val="clear" w:color="auto" w:fill="FFFFFF"/>
          <w:lang w:eastAsia="zh-CN"/>
        </w:rPr>
        <w:t>Ierardi</w:t>
      </w:r>
      <w:proofErr w:type="spellEnd"/>
      <w:r w:rsidRPr="00FA5C8D">
        <w:rPr>
          <w:rFonts w:ascii="Book Antiqua" w:eastAsia="宋体" w:hAnsi="Book Antiqua" w:cs="宋体"/>
          <w:sz w:val="24"/>
          <w:szCs w:val="24"/>
          <w:lang w:eastAsia="zh-CN"/>
        </w:rPr>
        <w:t xml:space="preserve"> E, </w:t>
      </w:r>
      <w:proofErr w:type="spellStart"/>
      <w:r w:rsidRPr="00FA5C8D">
        <w:rPr>
          <w:rFonts w:ascii="Book Antiqua" w:eastAsia="宋体" w:hAnsi="Book Antiqua" w:cs="宋体"/>
          <w:color w:val="000000"/>
          <w:sz w:val="24"/>
          <w:szCs w:val="24"/>
          <w:shd w:val="clear" w:color="auto" w:fill="FFFFFF"/>
          <w:lang w:eastAsia="zh-CN"/>
        </w:rPr>
        <w:t>Neri</w:t>
      </w:r>
      <w:proofErr w:type="spellEnd"/>
      <w:r w:rsidRPr="00FA5C8D">
        <w:rPr>
          <w:rFonts w:ascii="Book Antiqua" w:eastAsia="宋体" w:hAnsi="Book Antiqua" w:cs="宋体"/>
          <w:sz w:val="24"/>
          <w:szCs w:val="24"/>
          <w:lang w:eastAsia="zh-CN"/>
        </w:rPr>
        <w:t xml:space="preserve"> M, </w:t>
      </w:r>
      <w:proofErr w:type="spellStart"/>
      <w:r w:rsidRPr="00FA5C8D">
        <w:rPr>
          <w:rFonts w:ascii="Book Antiqua" w:eastAsia="宋体" w:hAnsi="Book Antiqua" w:cs="宋体"/>
          <w:color w:val="000000"/>
          <w:sz w:val="24"/>
          <w:szCs w:val="24"/>
          <w:shd w:val="clear" w:color="auto" w:fill="FFFFFF"/>
          <w:lang w:eastAsia="zh-CN"/>
        </w:rPr>
        <w:t>Ribaldone</w:t>
      </w:r>
      <w:proofErr w:type="spellEnd"/>
      <w:r w:rsidRPr="00FA5C8D">
        <w:rPr>
          <w:rFonts w:ascii="Book Antiqua" w:eastAsia="宋体" w:hAnsi="Book Antiqua" w:cs="宋体"/>
          <w:sz w:val="24"/>
          <w:szCs w:val="24"/>
          <w:lang w:eastAsia="zh-CN"/>
        </w:rPr>
        <w:t xml:space="preserve"> DG, </w:t>
      </w:r>
      <w:proofErr w:type="spellStart"/>
      <w:r w:rsidRPr="00FA5C8D">
        <w:rPr>
          <w:rFonts w:ascii="Book Antiqua" w:eastAsia="宋体" w:hAnsi="Book Antiqua" w:cs="宋体"/>
          <w:color w:val="000000"/>
          <w:sz w:val="24"/>
          <w:szCs w:val="24"/>
          <w:shd w:val="clear" w:color="auto" w:fill="FFFFFF"/>
          <w:lang w:eastAsia="zh-CN"/>
        </w:rPr>
        <w:t>Vorobjova</w:t>
      </w:r>
      <w:proofErr w:type="spellEnd"/>
      <w:r w:rsidRPr="00FA5C8D">
        <w:rPr>
          <w:rFonts w:ascii="Book Antiqua" w:eastAsia="宋体" w:hAnsi="Book Antiqua" w:cs="宋体"/>
          <w:sz w:val="24"/>
          <w:szCs w:val="24"/>
          <w:lang w:eastAsia="zh-CN"/>
        </w:rPr>
        <w:t xml:space="preserve"> T</w:t>
      </w:r>
      <w:r w:rsidRPr="00FA5C8D">
        <w:rPr>
          <w:rFonts w:ascii="Book Antiqua" w:hAnsi="Book Antiqua"/>
          <w:b/>
          <w:sz w:val="24"/>
          <w:szCs w:val="24"/>
        </w:rPr>
        <w:t xml:space="preserve"> S- Editor:</w:t>
      </w:r>
      <w:r w:rsidRPr="00FA5C8D">
        <w:rPr>
          <w:rFonts w:ascii="Book Antiqua" w:hAnsi="Book Antiqua"/>
          <w:sz w:val="24"/>
          <w:szCs w:val="24"/>
        </w:rPr>
        <w:t xml:space="preserve"> </w:t>
      </w:r>
      <w:r w:rsidRPr="00FA5C8D">
        <w:rPr>
          <w:rFonts w:ascii="Book Antiqua" w:eastAsia="宋体" w:hAnsi="Book Antiqua"/>
          <w:sz w:val="24"/>
          <w:szCs w:val="24"/>
          <w:lang w:eastAsia="zh-CN"/>
        </w:rPr>
        <w:t>Dou Y</w:t>
      </w:r>
      <w:r w:rsidRPr="00FA5C8D">
        <w:rPr>
          <w:rFonts w:ascii="Book Antiqua" w:hAnsi="Book Antiqua"/>
          <w:sz w:val="24"/>
          <w:szCs w:val="24"/>
        </w:rPr>
        <w:t xml:space="preserve"> </w:t>
      </w:r>
      <w:r w:rsidRPr="00FA5C8D">
        <w:rPr>
          <w:rFonts w:ascii="Book Antiqua" w:hAnsi="Book Antiqua"/>
          <w:b/>
          <w:sz w:val="24"/>
          <w:szCs w:val="24"/>
        </w:rPr>
        <w:t>L- Editor:</w:t>
      </w:r>
      <w:r w:rsidR="00B41151">
        <w:rPr>
          <w:rFonts w:ascii="Book Antiqua" w:hAnsi="Book Antiqua" w:hint="eastAsia"/>
          <w:b/>
          <w:sz w:val="24"/>
          <w:szCs w:val="24"/>
          <w:lang w:eastAsia="zh-CN"/>
        </w:rPr>
        <w:t xml:space="preserve"> </w:t>
      </w:r>
      <w:r w:rsidR="00B41151" w:rsidRPr="00B41151">
        <w:rPr>
          <w:rFonts w:ascii="Book Antiqua" w:hAnsi="Book Antiqua" w:hint="eastAsia"/>
          <w:sz w:val="24"/>
          <w:szCs w:val="24"/>
          <w:lang w:eastAsia="zh-CN"/>
        </w:rPr>
        <w:t>A</w:t>
      </w:r>
      <w:r w:rsidRPr="00FA5C8D">
        <w:rPr>
          <w:rFonts w:ascii="Book Antiqua" w:hAnsi="Book Antiqua"/>
          <w:sz w:val="24"/>
          <w:szCs w:val="24"/>
        </w:rPr>
        <w:t xml:space="preserve"> </w:t>
      </w:r>
      <w:r w:rsidRPr="00FA5C8D">
        <w:rPr>
          <w:rFonts w:ascii="Book Antiqua" w:hAnsi="Book Antiqua"/>
          <w:b/>
          <w:sz w:val="24"/>
          <w:szCs w:val="24"/>
        </w:rPr>
        <w:t xml:space="preserve">E- Editor: </w:t>
      </w:r>
      <w:r w:rsidR="00B41151" w:rsidRPr="00B41151">
        <w:rPr>
          <w:rFonts w:ascii="Book Antiqua" w:hAnsi="Book Antiqua"/>
          <w:sz w:val="24"/>
          <w:szCs w:val="24"/>
        </w:rPr>
        <w:t>Zhang YL</w:t>
      </w:r>
    </w:p>
    <w:p w14:paraId="3071AB1A" w14:textId="77777777" w:rsidR="00407F37" w:rsidRPr="00FA5C8D" w:rsidRDefault="00407F37"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13BDDD77" w14:textId="77777777" w:rsidR="0022015A" w:rsidRPr="00FA5C8D" w:rsidRDefault="0022015A"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lastRenderedPageBreak/>
        <w:t xml:space="preserve">Table </w:t>
      </w:r>
      <w:r w:rsidR="000B3A33" w:rsidRPr="00FA5C8D">
        <w:rPr>
          <w:rFonts w:ascii="Book Antiqua" w:hAnsi="Book Antiqua" w:cs="Times New Roman"/>
          <w:b/>
          <w:sz w:val="24"/>
          <w:szCs w:val="24"/>
        </w:rPr>
        <w:t>1</w:t>
      </w:r>
      <w:r w:rsidRPr="00FA5C8D">
        <w:rPr>
          <w:rFonts w:ascii="Book Antiqua" w:hAnsi="Book Antiqua" w:cs="Times New Roman"/>
          <w:b/>
          <w:sz w:val="24"/>
          <w:szCs w:val="24"/>
        </w:rPr>
        <w:t xml:space="preserve"> Summary of patient characteristics</w:t>
      </w:r>
      <w:r w:rsidR="000042FE" w:rsidRPr="00FA5C8D">
        <w:rPr>
          <w:rFonts w:ascii="Book Antiqua" w:hAnsi="Book Antiqua" w:cs="Times New Roman"/>
          <w:b/>
          <w:sz w:val="24"/>
          <w:szCs w:val="24"/>
        </w:rPr>
        <w:t xml:space="preserve"> </w:t>
      </w:r>
      <w:r w:rsidR="000B3A33" w:rsidRPr="00FA5C8D">
        <w:rPr>
          <w:rFonts w:ascii="Book Antiqua" w:hAnsi="Book Antiqua" w:cs="Times New Roman"/>
          <w:b/>
          <w:sz w:val="24"/>
          <w:szCs w:val="24"/>
        </w:rPr>
        <w:t>at the time of biopsy on gluten</w:t>
      </w:r>
      <w:r w:rsidR="00300716" w:rsidRPr="00FA5C8D">
        <w:rPr>
          <w:rFonts w:ascii="Book Antiqua" w:hAnsi="Book Antiqua" w:cs="Times New Roman"/>
          <w:b/>
          <w:sz w:val="24"/>
          <w:szCs w:val="24"/>
        </w:rPr>
        <w:t>-</w:t>
      </w:r>
      <w:r w:rsidR="000B3A33" w:rsidRPr="00FA5C8D">
        <w:rPr>
          <w:rFonts w:ascii="Book Antiqua" w:hAnsi="Book Antiqua" w:cs="Times New Roman"/>
          <w:b/>
          <w:sz w:val="24"/>
          <w:szCs w:val="24"/>
        </w:rPr>
        <w:t>free diet</w:t>
      </w:r>
    </w:p>
    <w:tbl>
      <w:tblPr>
        <w:tblStyle w:val="a3"/>
        <w:tblW w:w="500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572"/>
        <w:gridCol w:w="2039"/>
        <w:gridCol w:w="1904"/>
        <w:gridCol w:w="2005"/>
      </w:tblGrid>
      <w:tr w:rsidR="0022015A" w:rsidRPr="00FA5C8D" w14:paraId="1F82A5FB" w14:textId="77777777" w:rsidTr="007825A2">
        <w:trPr>
          <w:jc w:val="center"/>
        </w:trPr>
        <w:tc>
          <w:tcPr>
            <w:tcW w:w="1876" w:type="pct"/>
            <w:vMerge w:val="restart"/>
            <w:tcBorders>
              <w:top w:val="single" w:sz="4" w:space="0" w:color="auto"/>
              <w:bottom w:val="nil"/>
            </w:tcBorders>
            <w:shd w:val="clear" w:color="auto" w:fill="auto"/>
            <w:vAlign w:val="center"/>
          </w:tcPr>
          <w:p w14:paraId="75E5C99C" w14:textId="77777777" w:rsidR="0022015A" w:rsidRPr="00FA5C8D" w:rsidRDefault="0022015A"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Characteristic</w:t>
            </w:r>
          </w:p>
        </w:tc>
        <w:tc>
          <w:tcPr>
            <w:tcW w:w="1071" w:type="pct"/>
            <w:vMerge w:val="restart"/>
            <w:tcBorders>
              <w:top w:val="single" w:sz="4" w:space="0" w:color="auto"/>
              <w:bottom w:val="nil"/>
            </w:tcBorders>
            <w:shd w:val="clear" w:color="auto" w:fill="auto"/>
            <w:vAlign w:val="center"/>
          </w:tcPr>
          <w:p w14:paraId="0B746C66" w14:textId="77777777" w:rsidR="0022015A" w:rsidRPr="00FA5C8D" w:rsidRDefault="0022015A"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Category</w:t>
            </w:r>
          </w:p>
        </w:tc>
        <w:tc>
          <w:tcPr>
            <w:tcW w:w="2053" w:type="pct"/>
            <w:gridSpan w:val="2"/>
            <w:tcBorders>
              <w:top w:val="single" w:sz="4" w:space="0" w:color="auto"/>
              <w:bottom w:val="single" w:sz="4" w:space="0" w:color="auto"/>
            </w:tcBorders>
            <w:shd w:val="clear" w:color="auto" w:fill="auto"/>
            <w:vAlign w:val="center"/>
          </w:tcPr>
          <w:p w14:paraId="0C6F28F3" w14:textId="77777777" w:rsidR="0022015A" w:rsidRPr="00FA5C8D" w:rsidRDefault="0022015A"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All patients with celiac disease (</w:t>
            </w:r>
            <w:r w:rsidRPr="00FA5C8D">
              <w:rPr>
                <w:rFonts w:ascii="Book Antiqua" w:hAnsi="Book Antiqua" w:cstheme="minorHAnsi"/>
                <w:b/>
                <w:i/>
                <w:sz w:val="24"/>
                <w:szCs w:val="24"/>
              </w:rPr>
              <w:t>n</w:t>
            </w:r>
            <w:r w:rsidRPr="00FA5C8D">
              <w:rPr>
                <w:rFonts w:ascii="Book Antiqua" w:hAnsi="Book Antiqua" w:cstheme="minorHAnsi"/>
                <w:b/>
                <w:sz w:val="24"/>
                <w:szCs w:val="24"/>
              </w:rPr>
              <w:t xml:space="preserve"> = 82)</w:t>
            </w:r>
          </w:p>
        </w:tc>
      </w:tr>
      <w:tr w:rsidR="0022015A" w:rsidRPr="00FA5C8D" w14:paraId="7E69ED65" w14:textId="77777777" w:rsidTr="007825A2">
        <w:trPr>
          <w:jc w:val="center"/>
        </w:trPr>
        <w:tc>
          <w:tcPr>
            <w:tcW w:w="1876" w:type="pct"/>
            <w:vMerge/>
            <w:tcBorders>
              <w:top w:val="nil"/>
              <w:bottom w:val="single" w:sz="4" w:space="0" w:color="auto"/>
            </w:tcBorders>
            <w:shd w:val="clear" w:color="auto" w:fill="auto"/>
            <w:vAlign w:val="center"/>
          </w:tcPr>
          <w:p w14:paraId="72264E65" w14:textId="77777777" w:rsidR="0022015A" w:rsidRPr="00FA5C8D" w:rsidRDefault="0022015A" w:rsidP="00FA5C8D">
            <w:pPr>
              <w:snapToGrid w:val="0"/>
              <w:spacing w:line="360" w:lineRule="auto"/>
              <w:jc w:val="both"/>
              <w:rPr>
                <w:rFonts w:ascii="Book Antiqua" w:hAnsi="Book Antiqua" w:cstheme="minorHAnsi"/>
                <w:sz w:val="24"/>
                <w:szCs w:val="24"/>
                <w:lang w:val="en-US"/>
              </w:rPr>
            </w:pPr>
          </w:p>
        </w:tc>
        <w:tc>
          <w:tcPr>
            <w:tcW w:w="1071" w:type="pct"/>
            <w:vMerge/>
            <w:tcBorders>
              <w:top w:val="nil"/>
              <w:bottom w:val="single" w:sz="4" w:space="0" w:color="auto"/>
            </w:tcBorders>
            <w:shd w:val="clear" w:color="auto" w:fill="auto"/>
            <w:vAlign w:val="center"/>
          </w:tcPr>
          <w:p w14:paraId="429A6C15" w14:textId="77777777" w:rsidR="0022015A" w:rsidRPr="00FA5C8D" w:rsidRDefault="0022015A" w:rsidP="00FA5C8D">
            <w:pPr>
              <w:snapToGrid w:val="0"/>
              <w:spacing w:line="360" w:lineRule="auto"/>
              <w:jc w:val="both"/>
              <w:rPr>
                <w:rFonts w:ascii="Book Antiqua" w:hAnsi="Book Antiqua" w:cstheme="minorHAnsi"/>
                <w:sz w:val="24"/>
                <w:szCs w:val="24"/>
                <w:lang w:val="en-US"/>
              </w:rPr>
            </w:pPr>
          </w:p>
        </w:tc>
        <w:tc>
          <w:tcPr>
            <w:tcW w:w="1000" w:type="pct"/>
            <w:tcBorders>
              <w:top w:val="single" w:sz="4" w:space="0" w:color="auto"/>
              <w:bottom w:val="single" w:sz="4" w:space="0" w:color="auto"/>
            </w:tcBorders>
            <w:shd w:val="clear" w:color="auto" w:fill="auto"/>
            <w:vAlign w:val="center"/>
          </w:tcPr>
          <w:p w14:paraId="393130FB" w14:textId="77777777" w:rsidR="0022015A" w:rsidRPr="00FA5C8D" w:rsidRDefault="0022015A" w:rsidP="00FA5C8D">
            <w:pPr>
              <w:snapToGrid w:val="0"/>
              <w:spacing w:line="360" w:lineRule="auto"/>
              <w:jc w:val="both"/>
              <w:rPr>
                <w:rFonts w:ascii="Book Antiqua" w:hAnsi="Book Antiqua" w:cstheme="minorHAnsi"/>
                <w:b/>
                <w:i/>
                <w:sz w:val="24"/>
                <w:szCs w:val="24"/>
                <w:lang w:val="en-US"/>
              </w:rPr>
            </w:pPr>
            <w:r w:rsidRPr="00FA5C8D">
              <w:rPr>
                <w:rFonts w:ascii="Book Antiqua" w:hAnsi="Book Antiqua" w:cstheme="minorHAnsi"/>
                <w:b/>
                <w:i/>
                <w:sz w:val="24"/>
                <w:szCs w:val="24"/>
              </w:rPr>
              <w:t>n</w:t>
            </w:r>
          </w:p>
        </w:tc>
        <w:tc>
          <w:tcPr>
            <w:tcW w:w="1053" w:type="pct"/>
            <w:tcBorders>
              <w:top w:val="single" w:sz="4" w:space="0" w:color="auto"/>
              <w:bottom w:val="single" w:sz="4" w:space="0" w:color="auto"/>
            </w:tcBorders>
            <w:shd w:val="clear" w:color="auto" w:fill="auto"/>
            <w:vAlign w:val="center"/>
          </w:tcPr>
          <w:p w14:paraId="2F30CE5F" w14:textId="77777777" w:rsidR="0022015A" w:rsidRPr="00FA5C8D" w:rsidRDefault="0022015A"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w:t>
            </w:r>
          </w:p>
        </w:tc>
      </w:tr>
      <w:tr w:rsidR="0022015A" w:rsidRPr="00FA5C8D" w14:paraId="23C744C2" w14:textId="77777777" w:rsidTr="007825A2">
        <w:trPr>
          <w:jc w:val="center"/>
        </w:trPr>
        <w:tc>
          <w:tcPr>
            <w:tcW w:w="1876" w:type="pct"/>
            <w:vMerge w:val="restart"/>
            <w:tcBorders>
              <w:top w:val="single" w:sz="4" w:space="0" w:color="auto"/>
            </w:tcBorders>
            <w:shd w:val="clear" w:color="auto" w:fill="auto"/>
            <w:vAlign w:val="center"/>
          </w:tcPr>
          <w:p w14:paraId="40C5488F"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Gender</w:t>
            </w:r>
          </w:p>
        </w:tc>
        <w:tc>
          <w:tcPr>
            <w:tcW w:w="1071" w:type="pct"/>
            <w:tcBorders>
              <w:top w:val="single" w:sz="4" w:space="0" w:color="auto"/>
            </w:tcBorders>
            <w:shd w:val="clear" w:color="auto" w:fill="auto"/>
            <w:vAlign w:val="center"/>
          </w:tcPr>
          <w:p w14:paraId="6B7D5C01"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Female</w:t>
            </w:r>
          </w:p>
        </w:tc>
        <w:tc>
          <w:tcPr>
            <w:tcW w:w="1000" w:type="pct"/>
            <w:tcBorders>
              <w:top w:val="single" w:sz="4" w:space="0" w:color="auto"/>
            </w:tcBorders>
            <w:shd w:val="clear" w:color="auto" w:fill="auto"/>
            <w:vAlign w:val="center"/>
          </w:tcPr>
          <w:p w14:paraId="433F8C32"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67</w:t>
            </w:r>
          </w:p>
        </w:tc>
        <w:tc>
          <w:tcPr>
            <w:tcW w:w="1053" w:type="pct"/>
            <w:tcBorders>
              <w:top w:val="single" w:sz="4" w:space="0" w:color="auto"/>
            </w:tcBorders>
            <w:shd w:val="clear" w:color="auto" w:fill="auto"/>
            <w:vAlign w:val="center"/>
          </w:tcPr>
          <w:p w14:paraId="77F2417D"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81.7</w:t>
            </w:r>
          </w:p>
        </w:tc>
      </w:tr>
      <w:tr w:rsidR="0022015A" w:rsidRPr="00FA5C8D" w14:paraId="1518B6E3" w14:textId="77777777" w:rsidTr="007825A2">
        <w:trPr>
          <w:jc w:val="center"/>
        </w:trPr>
        <w:tc>
          <w:tcPr>
            <w:tcW w:w="1876" w:type="pct"/>
            <w:vMerge/>
            <w:shd w:val="clear" w:color="auto" w:fill="auto"/>
            <w:vAlign w:val="center"/>
          </w:tcPr>
          <w:p w14:paraId="2EA59321"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210A2BDC"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Male</w:t>
            </w:r>
          </w:p>
        </w:tc>
        <w:tc>
          <w:tcPr>
            <w:tcW w:w="1000" w:type="pct"/>
            <w:shd w:val="clear" w:color="auto" w:fill="auto"/>
            <w:vAlign w:val="center"/>
          </w:tcPr>
          <w:p w14:paraId="1E416CB8"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15</w:t>
            </w:r>
          </w:p>
        </w:tc>
        <w:tc>
          <w:tcPr>
            <w:tcW w:w="1053" w:type="pct"/>
            <w:shd w:val="clear" w:color="auto" w:fill="auto"/>
            <w:vAlign w:val="center"/>
          </w:tcPr>
          <w:p w14:paraId="4EF4817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18.3</w:t>
            </w:r>
          </w:p>
        </w:tc>
      </w:tr>
      <w:tr w:rsidR="0022015A" w:rsidRPr="00FA5C8D" w14:paraId="3C928A72" w14:textId="77777777" w:rsidTr="007825A2">
        <w:trPr>
          <w:jc w:val="center"/>
        </w:trPr>
        <w:tc>
          <w:tcPr>
            <w:tcW w:w="1876" w:type="pct"/>
            <w:vMerge w:val="restart"/>
            <w:shd w:val="clear" w:color="auto" w:fill="auto"/>
            <w:vAlign w:val="center"/>
          </w:tcPr>
          <w:p w14:paraId="702CDC7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Villous atrophy</w:t>
            </w:r>
          </w:p>
        </w:tc>
        <w:tc>
          <w:tcPr>
            <w:tcW w:w="1071" w:type="pct"/>
            <w:shd w:val="clear" w:color="auto" w:fill="auto"/>
            <w:vAlign w:val="center"/>
          </w:tcPr>
          <w:p w14:paraId="041264FA"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50B870A9"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w:t>
            </w:r>
          </w:p>
        </w:tc>
        <w:tc>
          <w:tcPr>
            <w:tcW w:w="1053" w:type="pct"/>
            <w:shd w:val="clear" w:color="auto" w:fill="auto"/>
            <w:vAlign w:val="center"/>
          </w:tcPr>
          <w:p w14:paraId="4EC6D2D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76.8</w:t>
            </w:r>
          </w:p>
        </w:tc>
      </w:tr>
      <w:tr w:rsidR="0022015A" w:rsidRPr="00FA5C8D" w14:paraId="5CE70DA2" w14:textId="77777777" w:rsidTr="007825A2">
        <w:trPr>
          <w:jc w:val="center"/>
        </w:trPr>
        <w:tc>
          <w:tcPr>
            <w:tcW w:w="1876" w:type="pct"/>
            <w:vMerge/>
            <w:shd w:val="clear" w:color="auto" w:fill="auto"/>
            <w:vAlign w:val="center"/>
          </w:tcPr>
          <w:p w14:paraId="5CD60E2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1AEAE197"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3FDD2064"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19</w:t>
            </w:r>
          </w:p>
        </w:tc>
        <w:tc>
          <w:tcPr>
            <w:tcW w:w="1053" w:type="pct"/>
            <w:shd w:val="clear" w:color="auto" w:fill="auto"/>
            <w:vAlign w:val="center"/>
          </w:tcPr>
          <w:p w14:paraId="2130818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23.2</w:t>
            </w:r>
          </w:p>
        </w:tc>
      </w:tr>
      <w:tr w:rsidR="0022015A" w:rsidRPr="00FA5C8D" w14:paraId="063A99ED" w14:textId="77777777" w:rsidTr="007825A2">
        <w:trPr>
          <w:jc w:val="center"/>
        </w:trPr>
        <w:tc>
          <w:tcPr>
            <w:tcW w:w="1876" w:type="pct"/>
            <w:vMerge w:val="restart"/>
            <w:shd w:val="clear" w:color="auto" w:fill="auto"/>
            <w:vAlign w:val="center"/>
          </w:tcPr>
          <w:p w14:paraId="2702F30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 xml:space="preserve">Marsh in </w:t>
            </w:r>
            <w:r w:rsidR="004B15EC" w:rsidRPr="00FA5C8D">
              <w:rPr>
                <w:rFonts w:ascii="Book Antiqua" w:hAnsi="Book Antiqua" w:cstheme="minorHAnsi"/>
                <w:bCs/>
                <w:sz w:val="24"/>
                <w:szCs w:val="24"/>
                <w:lang w:val="en-US"/>
              </w:rPr>
              <w:t>follow-up</w:t>
            </w:r>
            <w:r w:rsidR="000042FE" w:rsidRPr="00FA5C8D">
              <w:rPr>
                <w:rFonts w:ascii="Book Antiqua" w:hAnsi="Book Antiqua" w:cstheme="minorHAnsi"/>
                <w:bCs/>
                <w:sz w:val="24"/>
                <w:szCs w:val="24"/>
                <w:lang w:val="en-US"/>
              </w:rPr>
              <w:t xml:space="preserve"> </w:t>
            </w:r>
            <w:r w:rsidRPr="00FA5C8D">
              <w:rPr>
                <w:rFonts w:ascii="Book Antiqua" w:hAnsi="Book Antiqua" w:cstheme="minorHAnsi"/>
                <w:bCs/>
                <w:sz w:val="24"/>
                <w:szCs w:val="24"/>
              </w:rPr>
              <w:t>biopsy</w:t>
            </w:r>
          </w:p>
        </w:tc>
        <w:tc>
          <w:tcPr>
            <w:tcW w:w="1071" w:type="pct"/>
            <w:shd w:val="clear" w:color="auto" w:fill="auto"/>
            <w:vAlign w:val="center"/>
          </w:tcPr>
          <w:p w14:paraId="3731C143"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Marsh 0</w:t>
            </w:r>
          </w:p>
        </w:tc>
        <w:tc>
          <w:tcPr>
            <w:tcW w:w="1000" w:type="pct"/>
            <w:shd w:val="clear" w:color="auto" w:fill="auto"/>
            <w:vAlign w:val="center"/>
          </w:tcPr>
          <w:p w14:paraId="0ACFF4E5"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44</w:t>
            </w:r>
          </w:p>
        </w:tc>
        <w:tc>
          <w:tcPr>
            <w:tcW w:w="1053" w:type="pct"/>
            <w:shd w:val="clear" w:color="auto" w:fill="auto"/>
            <w:vAlign w:val="center"/>
          </w:tcPr>
          <w:p w14:paraId="66F2A897"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53.7</w:t>
            </w:r>
          </w:p>
        </w:tc>
      </w:tr>
      <w:tr w:rsidR="0022015A" w:rsidRPr="00FA5C8D" w14:paraId="4C587088" w14:textId="77777777" w:rsidTr="007825A2">
        <w:trPr>
          <w:jc w:val="center"/>
        </w:trPr>
        <w:tc>
          <w:tcPr>
            <w:tcW w:w="1876" w:type="pct"/>
            <w:vMerge/>
            <w:shd w:val="clear" w:color="auto" w:fill="auto"/>
            <w:vAlign w:val="center"/>
          </w:tcPr>
          <w:p w14:paraId="112FD04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7254CEBC"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Marsh 1</w:t>
            </w:r>
          </w:p>
        </w:tc>
        <w:tc>
          <w:tcPr>
            <w:tcW w:w="1000" w:type="pct"/>
            <w:shd w:val="clear" w:color="auto" w:fill="auto"/>
            <w:vAlign w:val="center"/>
          </w:tcPr>
          <w:p w14:paraId="3A8BF7E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19</w:t>
            </w:r>
          </w:p>
        </w:tc>
        <w:tc>
          <w:tcPr>
            <w:tcW w:w="1053" w:type="pct"/>
            <w:shd w:val="clear" w:color="auto" w:fill="auto"/>
            <w:vAlign w:val="center"/>
          </w:tcPr>
          <w:p w14:paraId="26B36C8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23.2</w:t>
            </w:r>
          </w:p>
        </w:tc>
      </w:tr>
      <w:tr w:rsidR="0022015A" w:rsidRPr="00FA5C8D" w14:paraId="3AB9240F" w14:textId="77777777" w:rsidTr="007825A2">
        <w:trPr>
          <w:jc w:val="center"/>
        </w:trPr>
        <w:tc>
          <w:tcPr>
            <w:tcW w:w="1876" w:type="pct"/>
            <w:vMerge/>
            <w:shd w:val="clear" w:color="auto" w:fill="auto"/>
            <w:vAlign w:val="center"/>
          </w:tcPr>
          <w:p w14:paraId="77E1EF4A"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1A5DA93"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Marsh 3a</w:t>
            </w:r>
          </w:p>
        </w:tc>
        <w:tc>
          <w:tcPr>
            <w:tcW w:w="1000" w:type="pct"/>
            <w:shd w:val="clear" w:color="auto" w:fill="auto"/>
            <w:vAlign w:val="center"/>
          </w:tcPr>
          <w:p w14:paraId="42BF1A6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10</w:t>
            </w:r>
          </w:p>
        </w:tc>
        <w:tc>
          <w:tcPr>
            <w:tcW w:w="1053" w:type="pct"/>
            <w:shd w:val="clear" w:color="auto" w:fill="auto"/>
            <w:vAlign w:val="center"/>
          </w:tcPr>
          <w:p w14:paraId="3865F6C8"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12.2</w:t>
            </w:r>
          </w:p>
        </w:tc>
      </w:tr>
      <w:tr w:rsidR="0022015A" w:rsidRPr="00FA5C8D" w14:paraId="6BB42626" w14:textId="77777777" w:rsidTr="007825A2">
        <w:trPr>
          <w:jc w:val="center"/>
        </w:trPr>
        <w:tc>
          <w:tcPr>
            <w:tcW w:w="1876" w:type="pct"/>
            <w:vMerge/>
            <w:shd w:val="clear" w:color="auto" w:fill="auto"/>
            <w:vAlign w:val="center"/>
          </w:tcPr>
          <w:p w14:paraId="6BA91F4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221B9BD"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Marsh 3b</w:t>
            </w:r>
          </w:p>
        </w:tc>
        <w:tc>
          <w:tcPr>
            <w:tcW w:w="1000" w:type="pct"/>
            <w:shd w:val="clear" w:color="auto" w:fill="auto"/>
            <w:vAlign w:val="center"/>
          </w:tcPr>
          <w:p w14:paraId="72DF647E"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w:t>
            </w:r>
          </w:p>
        </w:tc>
        <w:tc>
          <w:tcPr>
            <w:tcW w:w="1053" w:type="pct"/>
            <w:shd w:val="clear" w:color="auto" w:fill="auto"/>
            <w:vAlign w:val="center"/>
          </w:tcPr>
          <w:p w14:paraId="7F1F37F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4.9</w:t>
            </w:r>
          </w:p>
        </w:tc>
      </w:tr>
      <w:tr w:rsidR="0022015A" w:rsidRPr="00FA5C8D" w14:paraId="38CCC91B" w14:textId="77777777" w:rsidTr="007825A2">
        <w:trPr>
          <w:jc w:val="center"/>
        </w:trPr>
        <w:tc>
          <w:tcPr>
            <w:tcW w:w="1876" w:type="pct"/>
            <w:vMerge/>
            <w:shd w:val="clear" w:color="auto" w:fill="auto"/>
            <w:vAlign w:val="center"/>
          </w:tcPr>
          <w:p w14:paraId="79286B0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1E9EC2B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Marsh 3c</w:t>
            </w:r>
          </w:p>
        </w:tc>
        <w:tc>
          <w:tcPr>
            <w:tcW w:w="1000" w:type="pct"/>
            <w:shd w:val="clear" w:color="auto" w:fill="auto"/>
            <w:vAlign w:val="center"/>
          </w:tcPr>
          <w:p w14:paraId="4B9F970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w:t>
            </w:r>
          </w:p>
        </w:tc>
        <w:tc>
          <w:tcPr>
            <w:tcW w:w="1053" w:type="pct"/>
            <w:shd w:val="clear" w:color="auto" w:fill="auto"/>
            <w:vAlign w:val="center"/>
          </w:tcPr>
          <w:p w14:paraId="4470DCA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6.1</w:t>
            </w:r>
          </w:p>
        </w:tc>
      </w:tr>
      <w:tr w:rsidR="0022015A" w:rsidRPr="00FA5C8D" w14:paraId="0180F343" w14:textId="77777777" w:rsidTr="007825A2">
        <w:trPr>
          <w:jc w:val="center"/>
        </w:trPr>
        <w:tc>
          <w:tcPr>
            <w:tcW w:w="1876" w:type="pct"/>
            <w:vMerge w:val="restart"/>
            <w:shd w:val="clear" w:color="auto" w:fill="auto"/>
            <w:vAlign w:val="center"/>
          </w:tcPr>
          <w:p w14:paraId="234BE8A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aTTG</w:t>
            </w:r>
          </w:p>
        </w:tc>
        <w:tc>
          <w:tcPr>
            <w:tcW w:w="1071" w:type="pct"/>
            <w:shd w:val="clear" w:color="auto" w:fill="auto"/>
            <w:vAlign w:val="center"/>
          </w:tcPr>
          <w:p w14:paraId="32281778"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1000" w:type="pct"/>
            <w:shd w:val="clear" w:color="auto" w:fill="auto"/>
            <w:vAlign w:val="center"/>
          </w:tcPr>
          <w:p w14:paraId="47192C29"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w:t>
            </w:r>
          </w:p>
        </w:tc>
        <w:tc>
          <w:tcPr>
            <w:tcW w:w="1053" w:type="pct"/>
            <w:shd w:val="clear" w:color="auto" w:fill="auto"/>
            <w:vAlign w:val="center"/>
          </w:tcPr>
          <w:p w14:paraId="2BC00B5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77.8</w:t>
            </w:r>
          </w:p>
        </w:tc>
      </w:tr>
      <w:tr w:rsidR="0022015A" w:rsidRPr="00FA5C8D" w14:paraId="250B472C" w14:textId="77777777" w:rsidTr="007825A2">
        <w:trPr>
          <w:jc w:val="center"/>
        </w:trPr>
        <w:tc>
          <w:tcPr>
            <w:tcW w:w="1876" w:type="pct"/>
            <w:vMerge/>
            <w:shd w:val="clear" w:color="auto" w:fill="auto"/>
            <w:vAlign w:val="center"/>
          </w:tcPr>
          <w:p w14:paraId="4B010A3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01F18E4B"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1000" w:type="pct"/>
            <w:shd w:val="clear" w:color="auto" w:fill="auto"/>
            <w:vAlign w:val="center"/>
          </w:tcPr>
          <w:p w14:paraId="2AEC759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w:t>
            </w:r>
          </w:p>
        </w:tc>
        <w:tc>
          <w:tcPr>
            <w:tcW w:w="1053" w:type="pct"/>
            <w:shd w:val="clear" w:color="auto" w:fill="auto"/>
            <w:vAlign w:val="center"/>
          </w:tcPr>
          <w:p w14:paraId="4C66F67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22.2</w:t>
            </w:r>
          </w:p>
        </w:tc>
      </w:tr>
      <w:tr w:rsidR="0022015A" w:rsidRPr="00FA5C8D" w14:paraId="0806DE79" w14:textId="77777777" w:rsidTr="007825A2">
        <w:trPr>
          <w:jc w:val="center"/>
        </w:trPr>
        <w:tc>
          <w:tcPr>
            <w:tcW w:w="1876" w:type="pct"/>
            <w:vMerge/>
            <w:shd w:val="clear" w:color="auto" w:fill="auto"/>
            <w:vAlign w:val="center"/>
          </w:tcPr>
          <w:p w14:paraId="3CB61F1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1D30FAB"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090CDEF4"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w:t>
            </w:r>
          </w:p>
        </w:tc>
        <w:tc>
          <w:tcPr>
            <w:tcW w:w="1053" w:type="pct"/>
            <w:shd w:val="clear" w:color="auto" w:fill="auto"/>
            <w:vAlign w:val="center"/>
          </w:tcPr>
          <w:p w14:paraId="4DD1E339"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1.2</w:t>
            </w:r>
          </w:p>
        </w:tc>
      </w:tr>
      <w:tr w:rsidR="0022015A" w:rsidRPr="00FA5C8D" w14:paraId="21AC36F8" w14:textId="77777777" w:rsidTr="007825A2">
        <w:trPr>
          <w:jc w:val="center"/>
        </w:trPr>
        <w:tc>
          <w:tcPr>
            <w:tcW w:w="1876" w:type="pct"/>
            <w:vMerge w:val="restart"/>
            <w:shd w:val="clear" w:color="auto" w:fill="auto"/>
            <w:vAlign w:val="center"/>
          </w:tcPr>
          <w:p w14:paraId="0A91767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aDGP</w:t>
            </w:r>
          </w:p>
        </w:tc>
        <w:tc>
          <w:tcPr>
            <w:tcW w:w="1071" w:type="pct"/>
            <w:shd w:val="clear" w:color="auto" w:fill="auto"/>
            <w:vAlign w:val="center"/>
          </w:tcPr>
          <w:p w14:paraId="097B6B89"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1000" w:type="pct"/>
            <w:shd w:val="clear" w:color="auto" w:fill="auto"/>
            <w:vAlign w:val="center"/>
          </w:tcPr>
          <w:p w14:paraId="5ED91D3E"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49</w:t>
            </w:r>
          </w:p>
        </w:tc>
        <w:tc>
          <w:tcPr>
            <w:tcW w:w="1053" w:type="pct"/>
            <w:shd w:val="clear" w:color="auto" w:fill="auto"/>
            <w:vAlign w:val="center"/>
          </w:tcPr>
          <w:p w14:paraId="4A43AF63"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62.8</w:t>
            </w:r>
          </w:p>
        </w:tc>
      </w:tr>
      <w:tr w:rsidR="0022015A" w:rsidRPr="00FA5C8D" w14:paraId="11CBCA80" w14:textId="77777777" w:rsidTr="007825A2">
        <w:trPr>
          <w:jc w:val="center"/>
        </w:trPr>
        <w:tc>
          <w:tcPr>
            <w:tcW w:w="1876" w:type="pct"/>
            <w:vMerge/>
            <w:shd w:val="clear" w:color="auto" w:fill="auto"/>
            <w:vAlign w:val="center"/>
          </w:tcPr>
          <w:p w14:paraId="66C57EF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41A3BBE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1000" w:type="pct"/>
            <w:shd w:val="clear" w:color="auto" w:fill="auto"/>
            <w:vAlign w:val="center"/>
          </w:tcPr>
          <w:p w14:paraId="416BF99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29</w:t>
            </w:r>
          </w:p>
        </w:tc>
        <w:tc>
          <w:tcPr>
            <w:tcW w:w="1053" w:type="pct"/>
            <w:shd w:val="clear" w:color="auto" w:fill="auto"/>
            <w:vAlign w:val="center"/>
          </w:tcPr>
          <w:p w14:paraId="6652CE93"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37.2</w:t>
            </w:r>
          </w:p>
        </w:tc>
      </w:tr>
      <w:tr w:rsidR="0022015A" w:rsidRPr="00FA5C8D" w14:paraId="6A534C5B" w14:textId="77777777" w:rsidTr="007825A2">
        <w:trPr>
          <w:jc w:val="center"/>
        </w:trPr>
        <w:tc>
          <w:tcPr>
            <w:tcW w:w="1876" w:type="pct"/>
            <w:vMerge/>
            <w:shd w:val="clear" w:color="auto" w:fill="auto"/>
            <w:vAlign w:val="center"/>
          </w:tcPr>
          <w:p w14:paraId="522455F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702807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1606C3ED"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w:t>
            </w:r>
          </w:p>
        </w:tc>
        <w:tc>
          <w:tcPr>
            <w:tcW w:w="1053" w:type="pct"/>
            <w:shd w:val="clear" w:color="auto" w:fill="auto"/>
            <w:vAlign w:val="center"/>
          </w:tcPr>
          <w:p w14:paraId="1C97102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4.9</w:t>
            </w:r>
          </w:p>
        </w:tc>
      </w:tr>
      <w:tr w:rsidR="0022015A" w:rsidRPr="00FA5C8D" w14:paraId="017DA7D9" w14:textId="77777777" w:rsidTr="007825A2">
        <w:trPr>
          <w:jc w:val="center"/>
        </w:trPr>
        <w:tc>
          <w:tcPr>
            <w:tcW w:w="1876" w:type="pct"/>
            <w:vMerge w:val="restart"/>
            <w:shd w:val="clear" w:color="auto" w:fill="auto"/>
            <w:vAlign w:val="center"/>
          </w:tcPr>
          <w:p w14:paraId="18A5350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Diarrhea</w:t>
            </w:r>
          </w:p>
        </w:tc>
        <w:tc>
          <w:tcPr>
            <w:tcW w:w="1071" w:type="pct"/>
            <w:shd w:val="clear" w:color="auto" w:fill="auto"/>
            <w:vAlign w:val="center"/>
          </w:tcPr>
          <w:p w14:paraId="14EEF0BB"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2D96047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62</w:t>
            </w:r>
          </w:p>
        </w:tc>
        <w:tc>
          <w:tcPr>
            <w:tcW w:w="1053" w:type="pct"/>
            <w:shd w:val="clear" w:color="auto" w:fill="auto"/>
            <w:vAlign w:val="center"/>
          </w:tcPr>
          <w:p w14:paraId="6F35E42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75.6</w:t>
            </w:r>
          </w:p>
        </w:tc>
      </w:tr>
      <w:tr w:rsidR="0022015A" w:rsidRPr="00FA5C8D" w14:paraId="2E358B58" w14:textId="77777777" w:rsidTr="007825A2">
        <w:trPr>
          <w:jc w:val="center"/>
        </w:trPr>
        <w:tc>
          <w:tcPr>
            <w:tcW w:w="1876" w:type="pct"/>
            <w:vMerge/>
            <w:shd w:val="clear" w:color="auto" w:fill="auto"/>
            <w:vAlign w:val="center"/>
          </w:tcPr>
          <w:p w14:paraId="4C9CEC0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B16905F"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6BAD5FAE"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19</w:t>
            </w:r>
          </w:p>
        </w:tc>
        <w:tc>
          <w:tcPr>
            <w:tcW w:w="1053" w:type="pct"/>
            <w:shd w:val="clear" w:color="auto" w:fill="auto"/>
            <w:vAlign w:val="center"/>
          </w:tcPr>
          <w:p w14:paraId="753C87E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23.2</w:t>
            </w:r>
          </w:p>
        </w:tc>
      </w:tr>
      <w:tr w:rsidR="0022015A" w:rsidRPr="00FA5C8D" w14:paraId="7F5354E8" w14:textId="77777777" w:rsidTr="007825A2">
        <w:trPr>
          <w:jc w:val="center"/>
        </w:trPr>
        <w:tc>
          <w:tcPr>
            <w:tcW w:w="1876" w:type="pct"/>
            <w:vMerge/>
            <w:shd w:val="clear" w:color="auto" w:fill="auto"/>
            <w:vAlign w:val="center"/>
          </w:tcPr>
          <w:p w14:paraId="572F894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5B17E18"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153F45C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w:t>
            </w:r>
          </w:p>
        </w:tc>
        <w:tc>
          <w:tcPr>
            <w:tcW w:w="1053" w:type="pct"/>
            <w:shd w:val="clear" w:color="auto" w:fill="auto"/>
            <w:vAlign w:val="center"/>
          </w:tcPr>
          <w:p w14:paraId="376380DC"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1.2</w:t>
            </w:r>
          </w:p>
        </w:tc>
      </w:tr>
      <w:tr w:rsidR="0022015A" w:rsidRPr="00FA5C8D" w14:paraId="63DAD4AD" w14:textId="77777777" w:rsidTr="007825A2">
        <w:trPr>
          <w:jc w:val="center"/>
        </w:trPr>
        <w:tc>
          <w:tcPr>
            <w:tcW w:w="1876" w:type="pct"/>
            <w:vMerge w:val="restart"/>
            <w:shd w:val="clear" w:color="auto" w:fill="auto"/>
            <w:vAlign w:val="center"/>
          </w:tcPr>
          <w:p w14:paraId="3AED321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Weight loss</w:t>
            </w:r>
          </w:p>
        </w:tc>
        <w:tc>
          <w:tcPr>
            <w:tcW w:w="1071" w:type="pct"/>
            <w:shd w:val="clear" w:color="auto" w:fill="auto"/>
            <w:vAlign w:val="center"/>
          </w:tcPr>
          <w:p w14:paraId="38A71563"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7CEC54EC"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73</w:t>
            </w:r>
          </w:p>
        </w:tc>
        <w:tc>
          <w:tcPr>
            <w:tcW w:w="1053" w:type="pct"/>
            <w:shd w:val="clear" w:color="auto" w:fill="auto"/>
            <w:vAlign w:val="center"/>
          </w:tcPr>
          <w:p w14:paraId="1182D96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89.0</w:t>
            </w:r>
          </w:p>
        </w:tc>
      </w:tr>
      <w:tr w:rsidR="0022015A" w:rsidRPr="00FA5C8D" w14:paraId="5406C9FB" w14:textId="77777777" w:rsidTr="007825A2">
        <w:trPr>
          <w:jc w:val="center"/>
        </w:trPr>
        <w:tc>
          <w:tcPr>
            <w:tcW w:w="1876" w:type="pct"/>
            <w:vMerge/>
            <w:shd w:val="clear" w:color="auto" w:fill="auto"/>
            <w:vAlign w:val="center"/>
          </w:tcPr>
          <w:p w14:paraId="5D1DDAA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D59D81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5AC2BBC5"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w:t>
            </w:r>
          </w:p>
        </w:tc>
        <w:tc>
          <w:tcPr>
            <w:tcW w:w="1053" w:type="pct"/>
            <w:shd w:val="clear" w:color="auto" w:fill="auto"/>
            <w:vAlign w:val="center"/>
          </w:tcPr>
          <w:p w14:paraId="7BAA6C39"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9.8</w:t>
            </w:r>
          </w:p>
        </w:tc>
      </w:tr>
      <w:tr w:rsidR="0022015A" w:rsidRPr="00FA5C8D" w14:paraId="1576CDC0" w14:textId="77777777" w:rsidTr="007825A2">
        <w:trPr>
          <w:jc w:val="center"/>
        </w:trPr>
        <w:tc>
          <w:tcPr>
            <w:tcW w:w="1876" w:type="pct"/>
            <w:vMerge/>
            <w:shd w:val="clear" w:color="auto" w:fill="auto"/>
            <w:vAlign w:val="center"/>
          </w:tcPr>
          <w:p w14:paraId="237F850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6E1EB45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2AF8FE77"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w:t>
            </w:r>
          </w:p>
        </w:tc>
        <w:tc>
          <w:tcPr>
            <w:tcW w:w="1053" w:type="pct"/>
            <w:shd w:val="clear" w:color="auto" w:fill="auto"/>
            <w:vAlign w:val="center"/>
          </w:tcPr>
          <w:p w14:paraId="2D46F02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1.2</w:t>
            </w:r>
          </w:p>
        </w:tc>
      </w:tr>
      <w:tr w:rsidR="0022015A" w:rsidRPr="00FA5C8D" w14:paraId="2DE00CD0" w14:textId="77777777" w:rsidTr="007825A2">
        <w:trPr>
          <w:jc w:val="center"/>
        </w:trPr>
        <w:tc>
          <w:tcPr>
            <w:tcW w:w="1876" w:type="pct"/>
            <w:vMerge w:val="restart"/>
            <w:shd w:val="clear" w:color="auto" w:fill="auto"/>
            <w:vAlign w:val="center"/>
          </w:tcPr>
          <w:p w14:paraId="09BFF53A"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Abdominal pain</w:t>
            </w:r>
          </w:p>
        </w:tc>
        <w:tc>
          <w:tcPr>
            <w:tcW w:w="1071" w:type="pct"/>
            <w:shd w:val="clear" w:color="auto" w:fill="auto"/>
            <w:vAlign w:val="center"/>
          </w:tcPr>
          <w:p w14:paraId="242F679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49A51A0A"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64</w:t>
            </w:r>
          </w:p>
        </w:tc>
        <w:tc>
          <w:tcPr>
            <w:tcW w:w="1053" w:type="pct"/>
            <w:shd w:val="clear" w:color="auto" w:fill="auto"/>
            <w:vAlign w:val="center"/>
          </w:tcPr>
          <w:p w14:paraId="5DE4CED8"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78.0</w:t>
            </w:r>
          </w:p>
        </w:tc>
      </w:tr>
      <w:tr w:rsidR="0022015A" w:rsidRPr="00FA5C8D" w14:paraId="00FFFE04" w14:textId="77777777" w:rsidTr="007825A2">
        <w:trPr>
          <w:jc w:val="center"/>
        </w:trPr>
        <w:tc>
          <w:tcPr>
            <w:tcW w:w="1876" w:type="pct"/>
            <w:vMerge/>
            <w:shd w:val="clear" w:color="auto" w:fill="auto"/>
            <w:vAlign w:val="center"/>
          </w:tcPr>
          <w:p w14:paraId="075840F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FC0D61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03E1F717"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17</w:t>
            </w:r>
          </w:p>
        </w:tc>
        <w:tc>
          <w:tcPr>
            <w:tcW w:w="1053" w:type="pct"/>
            <w:shd w:val="clear" w:color="auto" w:fill="auto"/>
            <w:vAlign w:val="center"/>
          </w:tcPr>
          <w:p w14:paraId="0ED0F2D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20.7</w:t>
            </w:r>
          </w:p>
        </w:tc>
      </w:tr>
      <w:tr w:rsidR="0022015A" w:rsidRPr="00FA5C8D" w14:paraId="195EE548" w14:textId="77777777" w:rsidTr="007825A2">
        <w:trPr>
          <w:jc w:val="center"/>
        </w:trPr>
        <w:tc>
          <w:tcPr>
            <w:tcW w:w="1876" w:type="pct"/>
            <w:vMerge/>
            <w:shd w:val="clear" w:color="auto" w:fill="auto"/>
            <w:vAlign w:val="center"/>
          </w:tcPr>
          <w:p w14:paraId="77C09AD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302386D"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773B83B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w:t>
            </w:r>
          </w:p>
        </w:tc>
        <w:tc>
          <w:tcPr>
            <w:tcW w:w="1053" w:type="pct"/>
            <w:shd w:val="clear" w:color="auto" w:fill="auto"/>
            <w:vAlign w:val="center"/>
          </w:tcPr>
          <w:p w14:paraId="4137EBD3"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1.2</w:t>
            </w:r>
          </w:p>
        </w:tc>
      </w:tr>
      <w:tr w:rsidR="0022015A" w:rsidRPr="00FA5C8D" w14:paraId="7F8E136F" w14:textId="77777777" w:rsidTr="007825A2">
        <w:trPr>
          <w:jc w:val="center"/>
        </w:trPr>
        <w:tc>
          <w:tcPr>
            <w:tcW w:w="1876" w:type="pct"/>
            <w:vMerge w:val="restart"/>
            <w:shd w:val="clear" w:color="auto" w:fill="auto"/>
            <w:vAlign w:val="center"/>
          </w:tcPr>
          <w:p w14:paraId="688EB6A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Anemia</w:t>
            </w:r>
          </w:p>
        </w:tc>
        <w:tc>
          <w:tcPr>
            <w:tcW w:w="1071" w:type="pct"/>
            <w:shd w:val="clear" w:color="auto" w:fill="auto"/>
            <w:vAlign w:val="center"/>
          </w:tcPr>
          <w:p w14:paraId="4601E0AF"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5115865F"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71</w:t>
            </w:r>
          </w:p>
        </w:tc>
        <w:tc>
          <w:tcPr>
            <w:tcW w:w="1053" w:type="pct"/>
            <w:shd w:val="clear" w:color="auto" w:fill="auto"/>
            <w:vAlign w:val="center"/>
          </w:tcPr>
          <w:p w14:paraId="41D0BA7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86.6</w:t>
            </w:r>
          </w:p>
        </w:tc>
      </w:tr>
      <w:tr w:rsidR="0022015A" w:rsidRPr="00FA5C8D" w14:paraId="001A90DA" w14:textId="77777777" w:rsidTr="007825A2">
        <w:trPr>
          <w:jc w:val="center"/>
        </w:trPr>
        <w:tc>
          <w:tcPr>
            <w:tcW w:w="1876" w:type="pct"/>
            <w:vMerge/>
            <w:shd w:val="clear" w:color="auto" w:fill="auto"/>
            <w:vAlign w:val="center"/>
          </w:tcPr>
          <w:p w14:paraId="088C8FF9"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137C06AC"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1818A557"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9</w:t>
            </w:r>
          </w:p>
        </w:tc>
        <w:tc>
          <w:tcPr>
            <w:tcW w:w="1053" w:type="pct"/>
            <w:shd w:val="clear" w:color="auto" w:fill="auto"/>
            <w:vAlign w:val="center"/>
          </w:tcPr>
          <w:p w14:paraId="048BBE92"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11.0</w:t>
            </w:r>
          </w:p>
        </w:tc>
      </w:tr>
      <w:tr w:rsidR="0022015A" w:rsidRPr="00FA5C8D" w14:paraId="26E4C2C8" w14:textId="77777777" w:rsidTr="007825A2">
        <w:trPr>
          <w:jc w:val="center"/>
        </w:trPr>
        <w:tc>
          <w:tcPr>
            <w:tcW w:w="1876" w:type="pct"/>
            <w:vMerge/>
            <w:shd w:val="clear" w:color="auto" w:fill="auto"/>
            <w:vAlign w:val="center"/>
          </w:tcPr>
          <w:p w14:paraId="1633BC50"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59CBF69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00C10465"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w:t>
            </w:r>
          </w:p>
        </w:tc>
        <w:tc>
          <w:tcPr>
            <w:tcW w:w="1053" w:type="pct"/>
            <w:shd w:val="clear" w:color="auto" w:fill="auto"/>
            <w:vAlign w:val="center"/>
          </w:tcPr>
          <w:p w14:paraId="07D2391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2.4</w:t>
            </w:r>
          </w:p>
        </w:tc>
      </w:tr>
      <w:tr w:rsidR="0022015A" w:rsidRPr="00FA5C8D" w14:paraId="72F0862C" w14:textId="77777777" w:rsidTr="007825A2">
        <w:trPr>
          <w:jc w:val="center"/>
        </w:trPr>
        <w:tc>
          <w:tcPr>
            <w:tcW w:w="1876" w:type="pct"/>
            <w:vMerge w:val="restart"/>
            <w:shd w:val="clear" w:color="auto" w:fill="auto"/>
            <w:vAlign w:val="center"/>
          </w:tcPr>
          <w:p w14:paraId="31114411"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Sideropenia</w:t>
            </w:r>
          </w:p>
        </w:tc>
        <w:tc>
          <w:tcPr>
            <w:tcW w:w="1071" w:type="pct"/>
            <w:shd w:val="clear" w:color="auto" w:fill="auto"/>
            <w:vAlign w:val="center"/>
          </w:tcPr>
          <w:p w14:paraId="7E6D145B"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39B2D6E4"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58</w:t>
            </w:r>
          </w:p>
        </w:tc>
        <w:tc>
          <w:tcPr>
            <w:tcW w:w="1053" w:type="pct"/>
            <w:shd w:val="clear" w:color="auto" w:fill="auto"/>
            <w:vAlign w:val="center"/>
          </w:tcPr>
          <w:p w14:paraId="1CEAB362"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70.7</w:t>
            </w:r>
          </w:p>
        </w:tc>
      </w:tr>
      <w:tr w:rsidR="0022015A" w:rsidRPr="00FA5C8D" w14:paraId="12852BA4" w14:textId="77777777" w:rsidTr="007825A2">
        <w:trPr>
          <w:jc w:val="center"/>
        </w:trPr>
        <w:tc>
          <w:tcPr>
            <w:tcW w:w="1876" w:type="pct"/>
            <w:vMerge/>
            <w:shd w:val="clear" w:color="auto" w:fill="auto"/>
            <w:vAlign w:val="center"/>
          </w:tcPr>
          <w:p w14:paraId="1058427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24F9B7A7"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1B0749E7"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22</w:t>
            </w:r>
          </w:p>
        </w:tc>
        <w:tc>
          <w:tcPr>
            <w:tcW w:w="1053" w:type="pct"/>
            <w:shd w:val="clear" w:color="auto" w:fill="auto"/>
            <w:vAlign w:val="center"/>
          </w:tcPr>
          <w:p w14:paraId="01AADA4B"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26.8</w:t>
            </w:r>
          </w:p>
        </w:tc>
      </w:tr>
      <w:tr w:rsidR="0022015A" w:rsidRPr="00FA5C8D" w14:paraId="76EDFE21" w14:textId="77777777" w:rsidTr="007825A2">
        <w:trPr>
          <w:jc w:val="center"/>
        </w:trPr>
        <w:tc>
          <w:tcPr>
            <w:tcW w:w="1876" w:type="pct"/>
            <w:vMerge/>
            <w:shd w:val="clear" w:color="auto" w:fill="auto"/>
            <w:vAlign w:val="center"/>
          </w:tcPr>
          <w:p w14:paraId="19E7F57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72C1B51E"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0C4E31A5"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w:t>
            </w:r>
          </w:p>
        </w:tc>
        <w:tc>
          <w:tcPr>
            <w:tcW w:w="1053" w:type="pct"/>
            <w:shd w:val="clear" w:color="auto" w:fill="auto"/>
            <w:vAlign w:val="center"/>
          </w:tcPr>
          <w:p w14:paraId="2ED3303A"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2.4</w:t>
            </w:r>
          </w:p>
        </w:tc>
      </w:tr>
      <w:tr w:rsidR="0022015A" w:rsidRPr="00FA5C8D" w14:paraId="1BC7E7E5" w14:textId="77777777" w:rsidTr="007825A2">
        <w:trPr>
          <w:jc w:val="center"/>
        </w:trPr>
        <w:tc>
          <w:tcPr>
            <w:tcW w:w="1876" w:type="pct"/>
            <w:vMerge w:val="restart"/>
            <w:shd w:val="clear" w:color="auto" w:fill="auto"/>
            <w:vAlign w:val="center"/>
          </w:tcPr>
          <w:p w14:paraId="233B28C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Vitamin D deficiency</w:t>
            </w:r>
          </w:p>
        </w:tc>
        <w:tc>
          <w:tcPr>
            <w:tcW w:w="1071" w:type="pct"/>
            <w:shd w:val="clear" w:color="auto" w:fill="auto"/>
            <w:vAlign w:val="center"/>
          </w:tcPr>
          <w:p w14:paraId="2F975C31"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1000" w:type="pct"/>
            <w:shd w:val="clear" w:color="auto" w:fill="auto"/>
            <w:vAlign w:val="center"/>
          </w:tcPr>
          <w:p w14:paraId="5CB882BD"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w:t>
            </w:r>
          </w:p>
        </w:tc>
        <w:tc>
          <w:tcPr>
            <w:tcW w:w="1053" w:type="pct"/>
            <w:shd w:val="clear" w:color="auto" w:fill="auto"/>
            <w:vAlign w:val="center"/>
          </w:tcPr>
          <w:p w14:paraId="2D7C7CAE"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76.8</w:t>
            </w:r>
          </w:p>
        </w:tc>
      </w:tr>
      <w:tr w:rsidR="0022015A" w:rsidRPr="00FA5C8D" w14:paraId="40BF3877" w14:textId="77777777" w:rsidTr="007825A2">
        <w:trPr>
          <w:jc w:val="center"/>
        </w:trPr>
        <w:tc>
          <w:tcPr>
            <w:tcW w:w="1876" w:type="pct"/>
            <w:vMerge/>
            <w:shd w:val="clear" w:color="auto" w:fill="auto"/>
            <w:vAlign w:val="center"/>
          </w:tcPr>
          <w:p w14:paraId="5F17F70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56BF81F"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1000" w:type="pct"/>
            <w:shd w:val="clear" w:color="auto" w:fill="auto"/>
            <w:vAlign w:val="center"/>
          </w:tcPr>
          <w:p w14:paraId="0A1A826D"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17</w:t>
            </w:r>
          </w:p>
        </w:tc>
        <w:tc>
          <w:tcPr>
            <w:tcW w:w="1053" w:type="pct"/>
            <w:shd w:val="clear" w:color="auto" w:fill="auto"/>
            <w:vAlign w:val="center"/>
          </w:tcPr>
          <w:p w14:paraId="360A35D0"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20.7</w:t>
            </w:r>
          </w:p>
        </w:tc>
      </w:tr>
      <w:tr w:rsidR="0022015A" w:rsidRPr="00FA5C8D" w14:paraId="304BA20F" w14:textId="77777777" w:rsidTr="007825A2">
        <w:trPr>
          <w:jc w:val="center"/>
        </w:trPr>
        <w:tc>
          <w:tcPr>
            <w:tcW w:w="1876" w:type="pct"/>
            <w:vMerge/>
            <w:shd w:val="clear" w:color="auto" w:fill="auto"/>
            <w:vAlign w:val="center"/>
          </w:tcPr>
          <w:p w14:paraId="02E60726"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4DACEF15"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7E5CCDE5"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w:t>
            </w:r>
          </w:p>
        </w:tc>
        <w:tc>
          <w:tcPr>
            <w:tcW w:w="1053" w:type="pct"/>
            <w:shd w:val="clear" w:color="auto" w:fill="auto"/>
            <w:vAlign w:val="center"/>
          </w:tcPr>
          <w:p w14:paraId="4953D628"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2.4</w:t>
            </w:r>
          </w:p>
        </w:tc>
      </w:tr>
      <w:tr w:rsidR="0022015A" w:rsidRPr="00FA5C8D" w14:paraId="07A6B45D" w14:textId="77777777" w:rsidTr="007825A2">
        <w:trPr>
          <w:jc w:val="center"/>
        </w:trPr>
        <w:tc>
          <w:tcPr>
            <w:tcW w:w="1876" w:type="pct"/>
            <w:vMerge w:val="restart"/>
            <w:shd w:val="clear" w:color="auto" w:fill="auto"/>
            <w:vAlign w:val="center"/>
          </w:tcPr>
          <w:p w14:paraId="6094F802"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Ultrasonography</w:t>
            </w:r>
          </w:p>
        </w:tc>
        <w:tc>
          <w:tcPr>
            <w:tcW w:w="1071" w:type="pct"/>
            <w:shd w:val="clear" w:color="auto" w:fill="auto"/>
            <w:vAlign w:val="center"/>
          </w:tcPr>
          <w:p w14:paraId="4DFB4768"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1000" w:type="pct"/>
            <w:shd w:val="clear" w:color="auto" w:fill="auto"/>
            <w:vAlign w:val="center"/>
          </w:tcPr>
          <w:p w14:paraId="3BEF431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42</w:t>
            </w:r>
          </w:p>
        </w:tc>
        <w:tc>
          <w:tcPr>
            <w:tcW w:w="1053" w:type="pct"/>
            <w:shd w:val="clear" w:color="auto" w:fill="auto"/>
            <w:vAlign w:val="center"/>
          </w:tcPr>
          <w:p w14:paraId="64ED88D1"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51.2</w:t>
            </w:r>
          </w:p>
        </w:tc>
      </w:tr>
      <w:tr w:rsidR="0022015A" w:rsidRPr="00FA5C8D" w14:paraId="001261C4" w14:textId="77777777" w:rsidTr="007825A2">
        <w:trPr>
          <w:jc w:val="center"/>
        </w:trPr>
        <w:tc>
          <w:tcPr>
            <w:tcW w:w="1876" w:type="pct"/>
            <w:vMerge/>
            <w:shd w:val="clear" w:color="auto" w:fill="auto"/>
            <w:vAlign w:val="center"/>
          </w:tcPr>
          <w:p w14:paraId="2161FF9F"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47983434"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1000" w:type="pct"/>
            <w:shd w:val="clear" w:color="auto" w:fill="auto"/>
            <w:vAlign w:val="center"/>
          </w:tcPr>
          <w:p w14:paraId="351786A2"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24</w:t>
            </w:r>
          </w:p>
        </w:tc>
        <w:tc>
          <w:tcPr>
            <w:tcW w:w="1053" w:type="pct"/>
            <w:shd w:val="clear" w:color="auto" w:fill="auto"/>
            <w:vAlign w:val="center"/>
          </w:tcPr>
          <w:p w14:paraId="6294C33A"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29.3</w:t>
            </w:r>
          </w:p>
        </w:tc>
      </w:tr>
      <w:tr w:rsidR="0022015A" w:rsidRPr="00FA5C8D" w14:paraId="78E877FF" w14:textId="77777777" w:rsidTr="007825A2">
        <w:trPr>
          <w:jc w:val="center"/>
        </w:trPr>
        <w:tc>
          <w:tcPr>
            <w:tcW w:w="1876" w:type="pct"/>
            <w:vMerge/>
            <w:shd w:val="clear" w:color="auto" w:fill="auto"/>
            <w:vAlign w:val="center"/>
          </w:tcPr>
          <w:p w14:paraId="5C3D3993"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p>
        </w:tc>
        <w:tc>
          <w:tcPr>
            <w:tcW w:w="1071" w:type="pct"/>
            <w:shd w:val="clear" w:color="auto" w:fill="auto"/>
            <w:vAlign w:val="center"/>
          </w:tcPr>
          <w:p w14:paraId="33D69E09" w14:textId="77777777" w:rsidR="0022015A" w:rsidRPr="00FA5C8D" w:rsidRDefault="0022015A"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Unknown</w:t>
            </w:r>
          </w:p>
        </w:tc>
        <w:tc>
          <w:tcPr>
            <w:tcW w:w="1000" w:type="pct"/>
            <w:shd w:val="clear" w:color="auto" w:fill="auto"/>
            <w:vAlign w:val="center"/>
          </w:tcPr>
          <w:p w14:paraId="4B799A62"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16</w:t>
            </w:r>
          </w:p>
        </w:tc>
        <w:tc>
          <w:tcPr>
            <w:tcW w:w="1053" w:type="pct"/>
            <w:shd w:val="clear" w:color="auto" w:fill="auto"/>
            <w:vAlign w:val="center"/>
          </w:tcPr>
          <w:p w14:paraId="132476A6" w14:textId="77777777" w:rsidR="0022015A" w:rsidRPr="00FA5C8D" w:rsidRDefault="0022015A"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19.5</w:t>
            </w:r>
          </w:p>
        </w:tc>
      </w:tr>
    </w:tbl>
    <w:p w14:paraId="09506C99" w14:textId="77777777" w:rsidR="00045A9B" w:rsidRPr="00FA5C8D" w:rsidRDefault="000042FE" w:rsidP="00FA5C8D">
      <w:pPr>
        <w:snapToGrid w:val="0"/>
        <w:spacing w:after="0" w:line="360" w:lineRule="auto"/>
        <w:jc w:val="both"/>
        <w:rPr>
          <w:rFonts w:ascii="Book Antiqua" w:hAnsi="Book Antiqua" w:cs="Times New Roman"/>
          <w:b/>
          <w:sz w:val="24"/>
          <w:szCs w:val="24"/>
        </w:rPr>
      </w:pP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w:t>
      </w:r>
      <w:r w:rsidR="007825A2" w:rsidRPr="00FA5C8D">
        <w:rPr>
          <w:rFonts w:ascii="Book Antiqua" w:hAnsi="Book Antiqua" w:cs="Times New Roman"/>
          <w:sz w:val="24"/>
          <w:szCs w:val="24"/>
        </w:rPr>
        <w:t>Anti</w:t>
      </w:r>
      <w:r w:rsidRPr="00FA5C8D">
        <w:rPr>
          <w:rFonts w:ascii="Book Antiqua" w:hAnsi="Book Antiqua" w:cs="Times New Roman"/>
          <w:sz w:val="24"/>
          <w:szCs w:val="24"/>
        </w:rPr>
        <w:t xml:space="preserve">-tissue </w:t>
      </w:r>
      <w:proofErr w:type="spellStart"/>
      <w:r w:rsidRPr="00FA5C8D">
        <w:rPr>
          <w:rFonts w:ascii="Book Antiqua" w:hAnsi="Book Antiqua" w:cs="Times New Roman"/>
          <w:sz w:val="24"/>
          <w:szCs w:val="24"/>
        </w:rPr>
        <w:t>transglutaminase</w:t>
      </w:r>
      <w:proofErr w:type="spellEnd"/>
      <w:r w:rsidRPr="00FA5C8D">
        <w:rPr>
          <w:rFonts w:ascii="Book Antiqua" w:hAnsi="Book Antiqua" w:cs="Times New Roman"/>
          <w:sz w:val="24"/>
          <w:szCs w:val="24"/>
        </w:rPr>
        <w:t xml:space="preserve"> antibodies;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w:t>
      </w:r>
      <w:r w:rsidR="007825A2" w:rsidRPr="00FA5C8D">
        <w:rPr>
          <w:rFonts w:ascii="Book Antiqua" w:hAnsi="Book Antiqua" w:cs="Times New Roman"/>
          <w:sz w:val="24"/>
          <w:szCs w:val="24"/>
        </w:rPr>
        <w:t>Anti</w:t>
      </w:r>
      <w:r w:rsidRPr="00FA5C8D">
        <w:rPr>
          <w:rFonts w:ascii="Book Antiqua" w:hAnsi="Book Antiqua" w:cs="Times New Roman"/>
          <w:sz w:val="24"/>
          <w:szCs w:val="24"/>
        </w:rPr>
        <w:t>-</w:t>
      </w:r>
      <w:proofErr w:type="spellStart"/>
      <w:r w:rsidRPr="00FA5C8D">
        <w:rPr>
          <w:rFonts w:ascii="Book Antiqua" w:hAnsi="Book Antiqua" w:cs="Times New Roman"/>
          <w:sz w:val="24"/>
          <w:szCs w:val="24"/>
        </w:rPr>
        <w:t>deamidated</w:t>
      </w:r>
      <w:proofErr w:type="spellEnd"/>
      <w:r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gliadin</w:t>
      </w:r>
      <w:proofErr w:type="spellEnd"/>
      <w:r w:rsidRPr="00FA5C8D">
        <w:rPr>
          <w:rFonts w:ascii="Book Antiqua" w:hAnsi="Book Antiqua" w:cs="Times New Roman"/>
          <w:sz w:val="24"/>
          <w:szCs w:val="24"/>
        </w:rPr>
        <w:t xml:space="preserve"> peptide antibodies</w:t>
      </w:r>
      <w:r w:rsidR="007825A2" w:rsidRPr="00FA5C8D">
        <w:rPr>
          <w:rFonts w:ascii="Book Antiqua" w:hAnsi="Book Antiqua" w:cs="Times New Roman"/>
          <w:sz w:val="24"/>
          <w:szCs w:val="24"/>
        </w:rPr>
        <w:t>.</w:t>
      </w:r>
    </w:p>
    <w:p w14:paraId="6D62DFE7" w14:textId="77777777" w:rsidR="00045A9B" w:rsidRPr="00FA5C8D" w:rsidRDefault="00045A9B"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05349536" w14:textId="77777777" w:rsidR="00F53596" w:rsidRPr="00FA5C8D" w:rsidRDefault="00F53596"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lastRenderedPageBreak/>
        <w:t xml:space="preserve">Table </w:t>
      </w:r>
      <w:r w:rsidR="00121E31" w:rsidRPr="00FA5C8D">
        <w:rPr>
          <w:rFonts w:ascii="Book Antiqua" w:hAnsi="Book Antiqua" w:cs="Times New Roman"/>
          <w:b/>
          <w:sz w:val="24"/>
          <w:szCs w:val="24"/>
        </w:rPr>
        <w:t>2</w:t>
      </w:r>
      <w:r w:rsidRPr="00FA5C8D">
        <w:rPr>
          <w:rFonts w:ascii="Book Antiqua" w:hAnsi="Book Antiqua" w:cs="Times New Roman"/>
          <w:b/>
          <w:sz w:val="24"/>
          <w:szCs w:val="24"/>
        </w:rPr>
        <w:t xml:space="preserve"> Comparison of characteristics according to persistence of villous atrophy</w:t>
      </w:r>
    </w:p>
    <w:tbl>
      <w:tblPr>
        <w:tblStyle w:val="Mkatabulky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2376"/>
        <w:gridCol w:w="1663"/>
        <w:gridCol w:w="2339"/>
        <w:gridCol w:w="1134"/>
      </w:tblGrid>
      <w:tr w:rsidR="00F53596" w:rsidRPr="00FA5C8D" w14:paraId="68179BB6" w14:textId="77777777" w:rsidTr="007825A2">
        <w:tc>
          <w:tcPr>
            <w:tcW w:w="1560" w:type="dxa"/>
            <w:tcBorders>
              <w:top w:val="single" w:sz="4" w:space="0" w:color="auto"/>
              <w:bottom w:val="single" w:sz="4" w:space="0" w:color="auto"/>
            </w:tcBorders>
            <w:shd w:val="clear" w:color="auto" w:fill="auto"/>
            <w:vAlign w:val="center"/>
          </w:tcPr>
          <w:p w14:paraId="4D4CE87F"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r w:rsidRPr="00FA5C8D">
              <w:rPr>
                <w:rFonts w:ascii="Book Antiqua" w:eastAsia="Times New Roman" w:hAnsi="Book Antiqua" w:cs="Calibri"/>
                <w:b/>
                <w:sz w:val="24"/>
                <w:szCs w:val="24"/>
                <w:lang w:eastAsia="cs-CZ"/>
              </w:rPr>
              <w:t>Characteristics</w:t>
            </w:r>
          </w:p>
        </w:tc>
        <w:tc>
          <w:tcPr>
            <w:tcW w:w="2376" w:type="dxa"/>
            <w:tcBorders>
              <w:top w:val="single" w:sz="4" w:space="0" w:color="auto"/>
              <w:bottom w:val="single" w:sz="4" w:space="0" w:color="auto"/>
            </w:tcBorders>
            <w:shd w:val="clear" w:color="auto" w:fill="auto"/>
            <w:vAlign w:val="center"/>
          </w:tcPr>
          <w:p w14:paraId="1A802C9A"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r w:rsidRPr="00FA5C8D">
              <w:rPr>
                <w:rFonts w:ascii="Book Antiqua" w:eastAsia="Times New Roman" w:hAnsi="Book Antiqua" w:cs="Calibri"/>
                <w:b/>
                <w:sz w:val="24"/>
                <w:szCs w:val="24"/>
                <w:lang w:eastAsia="cs-CZ"/>
              </w:rPr>
              <w:t>Category</w:t>
            </w:r>
          </w:p>
        </w:tc>
        <w:tc>
          <w:tcPr>
            <w:tcW w:w="1663" w:type="dxa"/>
            <w:tcBorders>
              <w:top w:val="single" w:sz="4" w:space="0" w:color="auto"/>
              <w:bottom w:val="single" w:sz="4" w:space="0" w:color="auto"/>
            </w:tcBorders>
            <w:shd w:val="clear" w:color="auto" w:fill="auto"/>
            <w:vAlign w:val="center"/>
          </w:tcPr>
          <w:p w14:paraId="423BC8F7"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r w:rsidRPr="00FA5C8D">
              <w:rPr>
                <w:rFonts w:ascii="Book Antiqua" w:eastAsia="Times New Roman" w:hAnsi="Book Antiqua" w:cs="Calibri"/>
                <w:b/>
                <w:sz w:val="24"/>
                <w:szCs w:val="24"/>
                <w:lang w:eastAsia="cs-CZ"/>
              </w:rPr>
              <w:t>No villous atrophy</w:t>
            </w:r>
            <w:r w:rsidR="007825A2" w:rsidRPr="00FA5C8D">
              <w:rPr>
                <w:rFonts w:ascii="Book Antiqua" w:eastAsia="Times New Roman" w:hAnsi="Book Antiqua" w:cs="Calibri"/>
                <w:b/>
                <w:sz w:val="24"/>
                <w:szCs w:val="24"/>
                <w:lang w:eastAsia="cs-CZ"/>
              </w:rPr>
              <w:t xml:space="preserve"> </w:t>
            </w:r>
            <w:r w:rsidRPr="00FA5C8D">
              <w:rPr>
                <w:rFonts w:ascii="Book Antiqua" w:eastAsia="Times New Roman" w:hAnsi="Book Antiqua" w:cs="Calibri"/>
                <w:b/>
                <w:sz w:val="24"/>
                <w:szCs w:val="24"/>
                <w:lang w:eastAsia="cs-CZ"/>
              </w:rPr>
              <w:t>(</w:t>
            </w:r>
            <w:r w:rsidR="006A3B95" w:rsidRPr="00FA5C8D">
              <w:rPr>
                <w:rFonts w:ascii="Book Antiqua" w:eastAsia="Times New Roman" w:hAnsi="Book Antiqua" w:cs="Calibri"/>
                <w:b/>
                <w:i/>
                <w:sz w:val="24"/>
                <w:szCs w:val="24"/>
                <w:lang w:eastAsia="cs-CZ"/>
              </w:rPr>
              <w:t>n</w:t>
            </w:r>
            <w:r w:rsidRPr="00FA5C8D">
              <w:rPr>
                <w:rFonts w:ascii="Book Antiqua" w:eastAsia="Times New Roman" w:hAnsi="Book Antiqua" w:cs="Calibri"/>
                <w:b/>
                <w:sz w:val="24"/>
                <w:szCs w:val="24"/>
                <w:lang w:eastAsia="cs-CZ"/>
              </w:rPr>
              <w:t xml:space="preserve"> = 63)</w:t>
            </w:r>
          </w:p>
        </w:tc>
        <w:tc>
          <w:tcPr>
            <w:tcW w:w="2339" w:type="dxa"/>
            <w:tcBorders>
              <w:top w:val="single" w:sz="4" w:space="0" w:color="auto"/>
              <w:bottom w:val="single" w:sz="4" w:space="0" w:color="auto"/>
            </w:tcBorders>
            <w:shd w:val="clear" w:color="auto" w:fill="auto"/>
            <w:vAlign w:val="center"/>
          </w:tcPr>
          <w:p w14:paraId="0A998E57"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r w:rsidRPr="00FA5C8D">
              <w:rPr>
                <w:rFonts w:ascii="Book Antiqua" w:eastAsia="Times New Roman" w:hAnsi="Book Antiqua" w:cs="Calibri"/>
                <w:b/>
                <w:sz w:val="24"/>
                <w:szCs w:val="24"/>
                <w:lang w:eastAsia="cs-CZ"/>
              </w:rPr>
              <w:t>Villous atrophy</w:t>
            </w:r>
            <w:r w:rsidR="007825A2" w:rsidRPr="00FA5C8D">
              <w:rPr>
                <w:rFonts w:ascii="Book Antiqua" w:eastAsia="Times New Roman" w:hAnsi="Book Antiqua" w:cs="Calibri"/>
                <w:b/>
                <w:sz w:val="24"/>
                <w:szCs w:val="24"/>
                <w:lang w:eastAsia="cs-CZ"/>
              </w:rPr>
              <w:t xml:space="preserve"> </w:t>
            </w:r>
            <w:r w:rsidRPr="00FA5C8D">
              <w:rPr>
                <w:rFonts w:ascii="Book Antiqua" w:eastAsia="Times New Roman" w:hAnsi="Book Antiqua" w:cs="Calibri"/>
                <w:b/>
                <w:sz w:val="24"/>
                <w:szCs w:val="24"/>
                <w:lang w:eastAsia="cs-CZ"/>
              </w:rPr>
              <w:t>(</w:t>
            </w:r>
            <w:r w:rsidR="006A3B95" w:rsidRPr="00FA5C8D">
              <w:rPr>
                <w:rFonts w:ascii="Book Antiqua" w:eastAsia="Times New Roman" w:hAnsi="Book Antiqua" w:cs="Calibri"/>
                <w:b/>
                <w:i/>
                <w:sz w:val="24"/>
                <w:szCs w:val="24"/>
                <w:lang w:eastAsia="cs-CZ"/>
              </w:rPr>
              <w:t>n</w:t>
            </w:r>
            <w:r w:rsidRPr="00FA5C8D">
              <w:rPr>
                <w:rFonts w:ascii="Book Antiqua" w:eastAsia="Times New Roman" w:hAnsi="Book Antiqua" w:cs="Calibri"/>
                <w:b/>
                <w:sz w:val="24"/>
                <w:szCs w:val="24"/>
                <w:lang w:eastAsia="cs-CZ"/>
              </w:rPr>
              <w:t xml:space="preserve"> = 19)</w:t>
            </w:r>
          </w:p>
        </w:tc>
        <w:tc>
          <w:tcPr>
            <w:tcW w:w="1134" w:type="dxa"/>
            <w:tcBorders>
              <w:top w:val="single" w:sz="4" w:space="0" w:color="auto"/>
              <w:bottom w:val="single" w:sz="4" w:space="0" w:color="auto"/>
            </w:tcBorders>
            <w:shd w:val="clear" w:color="auto" w:fill="auto"/>
            <w:vAlign w:val="center"/>
          </w:tcPr>
          <w:p w14:paraId="3FF65495"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p>
        </w:tc>
      </w:tr>
      <w:tr w:rsidR="00F53596" w:rsidRPr="00FA5C8D" w14:paraId="6181FBAA" w14:textId="77777777" w:rsidTr="007825A2">
        <w:tc>
          <w:tcPr>
            <w:tcW w:w="1560" w:type="dxa"/>
            <w:tcBorders>
              <w:top w:val="single" w:sz="4" w:space="0" w:color="auto"/>
            </w:tcBorders>
            <w:shd w:val="clear" w:color="auto" w:fill="auto"/>
          </w:tcPr>
          <w:p w14:paraId="6CBD8F2C"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p>
        </w:tc>
        <w:tc>
          <w:tcPr>
            <w:tcW w:w="2376" w:type="dxa"/>
            <w:tcBorders>
              <w:top w:val="single" w:sz="4" w:space="0" w:color="auto"/>
            </w:tcBorders>
            <w:shd w:val="clear" w:color="auto" w:fill="auto"/>
            <w:vAlign w:val="center"/>
          </w:tcPr>
          <w:p w14:paraId="3F2A8711" w14:textId="77777777" w:rsidR="00F53596" w:rsidRPr="00FA5C8D" w:rsidRDefault="00F53596" w:rsidP="00FA5C8D">
            <w:pPr>
              <w:snapToGrid w:val="0"/>
              <w:spacing w:line="360" w:lineRule="auto"/>
              <w:jc w:val="both"/>
              <w:rPr>
                <w:rFonts w:ascii="Book Antiqua" w:eastAsia="Times New Roman" w:hAnsi="Book Antiqua" w:cs="Calibri"/>
                <w:b/>
                <w:sz w:val="24"/>
                <w:szCs w:val="24"/>
                <w:lang w:val="en-US" w:eastAsia="cs-CZ"/>
              </w:rPr>
            </w:pPr>
          </w:p>
        </w:tc>
        <w:tc>
          <w:tcPr>
            <w:tcW w:w="1663" w:type="dxa"/>
            <w:tcBorders>
              <w:top w:val="single" w:sz="4" w:space="0" w:color="auto"/>
            </w:tcBorders>
            <w:shd w:val="clear" w:color="auto" w:fill="auto"/>
            <w:vAlign w:val="center"/>
          </w:tcPr>
          <w:p w14:paraId="5D8C6939" w14:textId="77777777" w:rsidR="00F53596" w:rsidRPr="00FA5C8D" w:rsidRDefault="00F53596" w:rsidP="00FA5C8D">
            <w:pPr>
              <w:snapToGrid w:val="0"/>
              <w:spacing w:line="360" w:lineRule="auto"/>
              <w:jc w:val="both"/>
              <w:rPr>
                <w:rFonts w:ascii="Book Antiqua" w:eastAsia="Times New Roman" w:hAnsi="Book Antiqua" w:cs="Calibri"/>
                <w:sz w:val="24"/>
                <w:szCs w:val="24"/>
                <w:lang w:val="en-US" w:eastAsia="cs-CZ"/>
              </w:rPr>
            </w:pPr>
            <w:r w:rsidRPr="00FA5C8D">
              <w:rPr>
                <w:rFonts w:ascii="Book Antiqua" w:eastAsia="Times New Roman" w:hAnsi="Book Antiqua" w:cs="Calibri"/>
                <w:i/>
                <w:sz w:val="24"/>
                <w:szCs w:val="24"/>
                <w:lang w:eastAsia="cs-CZ"/>
              </w:rPr>
              <w:t>n</w:t>
            </w:r>
            <w:r w:rsidRPr="00FA5C8D">
              <w:rPr>
                <w:rFonts w:ascii="Book Antiqua" w:eastAsia="Times New Roman" w:hAnsi="Book Antiqua" w:cs="Calibri"/>
                <w:sz w:val="24"/>
                <w:szCs w:val="24"/>
                <w:lang w:eastAsia="cs-CZ"/>
              </w:rPr>
              <w:t xml:space="preserve"> (%)</w:t>
            </w:r>
          </w:p>
        </w:tc>
        <w:tc>
          <w:tcPr>
            <w:tcW w:w="2339" w:type="dxa"/>
            <w:tcBorders>
              <w:top w:val="single" w:sz="4" w:space="0" w:color="auto"/>
            </w:tcBorders>
            <w:shd w:val="clear" w:color="auto" w:fill="auto"/>
            <w:vAlign w:val="center"/>
          </w:tcPr>
          <w:p w14:paraId="6EAD8593" w14:textId="77777777" w:rsidR="00F53596" w:rsidRPr="00FA5C8D" w:rsidRDefault="00F53596" w:rsidP="00FA5C8D">
            <w:pPr>
              <w:snapToGrid w:val="0"/>
              <w:spacing w:line="360" w:lineRule="auto"/>
              <w:jc w:val="both"/>
              <w:rPr>
                <w:rFonts w:ascii="Book Antiqua" w:eastAsia="Times New Roman" w:hAnsi="Book Antiqua" w:cs="Calibri"/>
                <w:sz w:val="24"/>
                <w:szCs w:val="24"/>
                <w:lang w:val="en-US" w:eastAsia="cs-CZ"/>
              </w:rPr>
            </w:pPr>
            <w:r w:rsidRPr="00FA5C8D">
              <w:rPr>
                <w:rFonts w:ascii="Book Antiqua" w:eastAsia="Times New Roman" w:hAnsi="Book Antiqua" w:cs="Calibri"/>
                <w:i/>
                <w:sz w:val="24"/>
                <w:szCs w:val="24"/>
                <w:lang w:eastAsia="cs-CZ"/>
              </w:rPr>
              <w:t>n</w:t>
            </w:r>
            <w:r w:rsidRPr="00FA5C8D">
              <w:rPr>
                <w:rFonts w:ascii="Book Antiqua" w:eastAsia="Times New Roman" w:hAnsi="Book Antiqua" w:cs="Calibri"/>
                <w:sz w:val="24"/>
                <w:szCs w:val="24"/>
                <w:lang w:eastAsia="cs-CZ"/>
              </w:rPr>
              <w:t xml:space="preserve"> (%)</w:t>
            </w:r>
          </w:p>
        </w:tc>
        <w:tc>
          <w:tcPr>
            <w:tcW w:w="1134" w:type="dxa"/>
            <w:tcBorders>
              <w:top w:val="single" w:sz="4" w:space="0" w:color="auto"/>
            </w:tcBorders>
            <w:shd w:val="clear" w:color="auto" w:fill="auto"/>
            <w:vAlign w:val="center"/>
          </w:tcPr>
          <w:p w14:paraId="11EA3863" w14:textId="77777777" w:rsidR="00F53596" w:rsidRPr="00FA5C8D" w:rsidRDefault="007825A2" w:rsidP="00FA5C8D">
            <w:pPr>
              <w:snapToGrid w:val="0"/>
              <w:spacing w:line="360" w:lineRule="auto"/>
              <w:jc w:val="both"/>
              <w:rPr>
                <w:rFonts w:ascii="Book Antiqua" w:eastAsia="Times New Roman" w:hAnsi="Book Antiqua" w:cs="Calibri"/>
                <w:sz w:val="24"/>
                <w:szCs w:val="24"/>
                <w:lang w:val="en-US" w:eastAsia="cs-CZ"/>
              </w:rPr>
            </w:pPr>
            <w:r w:rsidRPr="00FA5C8D">
              <w:rPr>
                <w:rFonts w:ascii="Book Antiqua" w:eastAsia="Times New Roman" w:hAnsi="Book Antiqua" w:cs="Calibri"/>
                <w:i/>
                <w:iCs/>
                <w:sz w:val="24"/>
                <w:szCs w:val="24"/>
                <w:lang w:eastAsia="cs-CZ"/>
              </w:rPr>
              <w:t>P</w:t>
            </w:r>
            <w:r w:rsidRPr="00FA5C8D">
              <w:rPr>
                <w:rFonts w:ascii="Book Antiqua" w:eastAsia="Times New Roman" w:hAnsi="Book Antiqua" w:cs="Calibri"/>
                <w:sz w:val="24"/>
                <w:szCs w:val="24"/>
                <w:lang w:eastAsia="cs-CZ"/>
              </w:rPr>
              <w:t xml:space="preserve"> </w:t>
            </w:r>
            <w:r w:rsidR="00F53596" w:rsidRPr="00FA5C8D">
              <w:rPr>
                <w:rFonts w:ascii="Book Antiqua" w:eastAsia="Times New Roman" w:hAnsi="Book Antiqua" w:cs="Calibri"/>
                <w:sz w:val="24"/>
                <w:szCs w:val="24"/>
                <w:lang w:eastAsia="cs-CZ"/>
              </w:rPr>
              <w:t>value</w:t>
            </w:r>
          </w:p>
        </w:tc>
      </w:tr>
      <w:tr w:rsidR="00F53596" w:rsidRPr="00FA5C8D" w14:paraId="074E6620" w14:textId="77777777" w:rsidTr="007825A2">
        <w:tc>
          <w:tcPr>
            <w:tcW w:w="1560" w:type="dxa"/>
            <w:vMerge w:val="restart"/>
            <w:shd w:val="clear" w:color="auto" w:fill="auto"/>
            <w:vAlign w:val="center"/>
          </w:tcPr>
          <w:p w14:paraId="52A09075"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Gender</w:t>
            </w:r>
          </w:p>
        </w:tc>
        <w:tc>
          <w:tcPr>
            <w:tcW w:w="2376" w:type="dxa"/>
            <w:shd w:val="clear" w:color="auto" w:fill="auto"/>
            <w:vAlign w:val="center"/>
          </w:tcPr>
          <w:p w14:paraId="74D2C153"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Female</w:t>
            </w:r>
          </w:p>
        </w:tc>
        <w:tc>
          <w:tcPr>
            <w:tcW w:w="1663" w:type="dxa"/>
            <w:shd w:val="clear" w:color="auto" w:fill="auto"/>
            <w:vAlign w:val="center"/>
          </w:tcPr>
          <w:p w14:paraId="544F91C6"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52 (82.5)</w:t>
            </w:r>
          </w:p>
        </w:tc>
        <w:tc>
          <w:tcPr>
            <w:tcW w:w="2339" w:type="dxa"/>
            <w:shd w:val="clear" w:color="auto" w:fill="auto"/>
            <w:vAlign w:val="center"/>
          </w:tcPr>
          <w:p w14:paraId="0B984641"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15 (78.9)</w:t>
            </w:r>
          </w:p>
        </w:tc>
        <w:tc>
          <w:tcPr>
            <w:tcW w:w="1134" w:type="dxa"/>
            <w:vMerge w:val="restart"/>
            <w:shd w:val="clear" w:color="auto" w:fill="auto"/>
            <w:vAlign w:val="center"/>
          </w:tcPr>
          <w:p w14:paraId="6BCBDF9C"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0.741</w:t>
            </w:r>
          </w:p>
        </w:tc>
      </w:tr>
      <w:tr w:rsidR="00F53596" w:rsidRPr="00FA5C8D" w14:paraId="2BD590AA" w14:textId="77777777" w:rsidTr="007825A2">
        <w:tc>
          <w:tcPr>
            <w:tcW w:w="1560" w:type="dxa"/>
            <w:vMerge/>
            <w:shd w:val="clear" w:color="auto" w:fill="auto"/>
            <w:vAlign w:val="center"/>
          </w:tcPr>
          <w:p w14:paraId="65B0963D"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c>
          <w:tcPr>
            <w:tcW w:w="2376" w:type="dxa"/>
            <w:shd w:val="clear" w:color="auto" w:fill="auto"/>
            <w:vAlign w:val="center"/>
          </w:tcPr>
          <w:p w14:paraId="4280A057"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Male</w:t>
            </w:r>
          </w:p>
        </w:tc>
        <w:tc>
          <w:tcPr>
            <w:tcW w:w="1663" w:type="dxa"/>
            <w:shd w:val="clear" w:color="auto" w:fill="auto"/>
            <w:vAlign w:val="center"/>
          </w:tcPr>
          <w:p w14:paraId="5B93FEF3"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11 (17.5)</w:t>
            </w:r>
          </w:p>
        </w:tc>
        <w:tc>
          <w:tcPr>
            <w:tcW w:w="2339" w:type="dxa"/>
            <w:shd w:val="clear" w:color="auto" w:fill="auto"/>
            <w:vAlign w:val="center"/>
          </w:tcPr>
          <w:p w14:paraId="57A885D8"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4 (21.1)</w:t>
            </w:r>
          </w:p>
        </w:tc>
        <w:tc>
          <w:tcPr>
            <w:tcW w:w="1134" w:type="dxa"/>
            <w:vMerge/>
            <w:shd w:val="clear" w:color="auto" w:fill="auto"/>
            <w:vAlign w:val="center"/>
          </w:tcPr>
          <w:p w14:paraId="772399F0"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r>
      <w:tr w:rsidR="00F53596" w:rsidRPr="00FA5C8D" w14:paraId="7D51C6E3" w14:textId="77777777" w:rsidTr="007825A2">
        <w:tc>
          <w:tcPr>
            <w:tcW w:w="1560" w:type="dxa"/>
            <w:vMerge w:val="restart"/>
            <w:shd w:val="clear" w:color="auto" w:fill="auto"/>
            <w:vAlign w:val="center"/>
          </w:tcPr>
          <w:p w14:paraId="3B1B82A1"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Follow-up biopsy</w:t>
            </w:r>
          </w:p>
        </w:tc>
        <w:tc>
          <w:tcPr>
            <w:tcW w:w="2376" w:type="dxa"/>
            <w:shd w:val="clear" w:color="auto" w:fill="auto"/>
            <w:vAlign w:val="center"/>
          </w:tcPr>
          <w:p w14:paraId="296F2F29"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 xml:space="preserve">Less than 2 years </w:t>
            </w:r>
          </w:p>
        </w:tc>
        <w:tc>
          <w:tcPr>
            <w:tcW w:w="1663" w:type="dxa"/>
            <w:shd w:val="clear" w:color="auto" w:fill="auto"/>
            <w:vAlign w:val="center"/>
          </w:tcPr>
          <w:p w14:paraId="2970F51D"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10 (15.9)</w:t>
            </w:r>
          </w:p>
        </w:tc>
        <w:tc>
          <w:tcPr>
            <w:tcW w:w="2339" w:type="dxa"/>
            <w:shd w:val="clear" w:color="auto" w:fill="auto"/>
            <w:vAlign w:val="center"/>
          </w:tcPr>
          <w:p w14:paraId="6D781C5E"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 (5.3)</w:t>
            </w:r>
          </w:p>
        </w:tc>
        <w:tc>
          <w:tcPr>
            <w:tcW w:w="1134" w:type="dxa"/>
            <w:vMerge w:val="restart"/>
            <w:shd w:val="clear" w:color="auto" w:fill="auto"/>
            <w:vAlign w:val="center"/>
          </w:tcPr>
          <w:p w14:paraId="33E54340"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0.147</w:t>
            </w:r>
          </w:p>
        </w:tc>
      </w:tr>
      <w:tr w:rsidR="00F53596" w:rsidRPr="00FA5C8D" w14:paraId="5BDAA269" w14:textId="77777777" w:rsidTr="007825A2">
        <w:tc>
          <w:tcPr>
            <w:tcW w:w="1560" w:type="dxa"/>
            <w:vMerge/>
            <w:shd w:val="clear" w:color="auto" w:fill="auto"/>
            <w:vAlign w:val="center"/>
          </w:tcPr>
          <w:p w14:paraId="4547EE19"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c>
          <w:tcPr>
            <w:tcW w:w="2376" w:type="dxa"/>
            <w:shd w:val="clear" w:color="auto" w:fill="auto"/>
            <w:vAlign w:val="center"/>
          </w:tcPr>
          <w:p w14:paraId="738603D4"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Two years and more</w:t>
            </w:r>
          </w:p>
        </w:tc>
        <w:tc>
          <w:tcPr>
            <w:tcW w:w="1663" w:type="dxa"/>
            <w:shd w:val="clear" w:color="auto" w:fill="auto"/>
            <w:vAlign w:val="center"/>
          </w:tcPr>
          <w:p w14:paraId="774DD88B"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53 (84.1)</w:t>
            </w:r>
          </w:p>
        </w:tc>
        <w:tc>
          <w:tcPr>
            <w:tcW w:w="2339" w:type="dxa"/>
            <w:shd w:val="clear" w:color="auto" w:fill="auto"/>
            <w:vAlign w:val="center"/>
          </w:tcPr>
          <w:p w14:paraId="00794882"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17 (89.5)</w:t>
            </w:r>
          </w:p>
        </w:tc>
        <w:tc>
          <w:tcPr>
            <w:tcW w:w="1134" w:type="dxa"/>
            <w:vMerge/>
            <w:shd w:val="clear" w:color="auto" w:fill="auto"/>
            <w:vAlign w:val="center"/>
          </w:tcPr>
          <w:p w14:paraId="47DF4804"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r>
      <w:tr w:rsidR="00F53596" w:rsidRPr="00FA5C8D" w14:paraId="296DBE22" w14:textId="77777777" w:rsidTr="007825A2">
        <w:tc>
          <w:tcPr>
            <w:tcW w:w="1560" w:type="dxa"/>
            <w:vMerge/>
            <w:shd w:val="clear" w:color="auto" w:fill="auto"/>
            <w:vAlign w:val="center"/>
          </w:tcPr>
          <w:p w14:paraId="6D957D18"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c>
          <w:tcPr>
            <w:tcW w:w="2376" w:type="dxa"/>
            <w:shd w:val="clear" w:color="auto" w:fill="auto"/>
            <w:vAlign w:val="center"/>
          </w:tcPr>
          <w:p w14:paraId="1AECF197"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Unknown</w:t>
            </w:r>
          </w:p>
        </w:tc>
        <w:tc>
          <w:tcPr>
            <w:tcW w:w="1663" w:type="dxa"/>
            <w:shd w:val="clear" w:color="auto" w:fill="auto"/>
            <w:vAlign w:val="center"/>
          </w:tcPr>
          <w:p w14:paraId="0EFCE8AD"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0 (0.0)</w:t>
            </w:r>
          </w:p>
        </w:tc>
        <w:tc>
          <w:tcPr>
            <w:tcW w:w="2339" w:type="dxa"/>
            <w:shd w:val="clear" w:color="auto" w:fill="auto"/>
            <w:vAlign w:val="center"/>
          </w:tcPr>
          <w:p w14:paraId="1776FEE1"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 (5.3)</w:t>
            </w:r>
          </w:p>
        </w:tc>
        <w:tc>
          <w:tcPr>
            <w:tcW w:w="1134" w:type="dxa"/>
            <w:vMerge/>
            <w:shd w:val="clear" w:color="auto" w:fill="auto"/>
            <w:vAlign w:val="center"/>
          </w:tcPr>
          <w:p w14:paraId="4B1CC2E6"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r>
      <w:tr w:rsidR="00F53596" w:rsidRPr="00FA5C8D" w14:paraId="2E512B12" w14:textId="77777777" w:rsidTr="007825A2">
        <w:tc>
          <w:tcPr>
            <w:tcW w:w="3936" w:type="dxa"/>
            <w:gridSpan w:val="2"/>
            <w:shd w:val="clear" w:color="auto" w:fill="auto"/>
          </w:tcPr>
          <w:p w14:paraId="7223EA40"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p>
        </w:tc>
        <w:tc>
          <w:tcPr>
            <w:tcW w:w="1663" w:type="dxa"/>
            <w:shd w:val="clear" w:color="auto" w:fill="auto"/>
            <w:vAlign w:val="center"/>
          </w:tcPr>
          <w:p w14:paraId="66DE9986"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Mean (SD)</w:t>
            </w:r>
          </w:p>
        </w:tc>
        <w:tc>
          <w:tcPr>
            <w:tcW w:w="2339" w:type="dxa"/>
            <w:shd w:val="clear" w:color="auto" w:fill="auto"/>
            <w:vAlign w:val="center"/>
          </w:tcPr>
          <w:p w14:paraId="04B4A8B0"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Mean (SD)</w:t>
            </w:r>
          </w:p>
        </w:tc>
        <w:tc>
          <w:tcPr>
            <w:tcW w:w="1134" w:type="dxa"/>
            <w:shd w:val="clear" w:color="auto" w:fill="auto"/>
            <w:vAlign w:val="center"/>
          </w:tcPr>
          <w:p w14:paraId="21B816D8" w14:textId="77777777" w:rsidR="00F53596" w:rsidRPr="00FA5C8D" w:rsidRDefault="007825A2"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i/>
                <w:iCs/>
                <w:sz w:val="24"/>
                <w:szCs w:val="24"/>
                <w:lang w:eastAsia="cs-CZ"/>
              </w:rPr>
              <w:t>P</w:t>
            </w:r>
            <w:r w:rsidRPr="00FA5C8D">
              <w:rPr>
                <w:rFonts w:ascii="Book Antiqua" w:eastAsia="Times New Roman" w:hAnsi="Book Antiqua" w:cs="Calibri"/>
                <w:bCs/>
                <w:sz w:val="24"/>
                <w:szCs w:val="24"/>
                <w:lang w:eastAsia="cs-CZ"/>
              </w:rPr>
              <w:t xml:space="preserve"> </w:t>
            </w:r>
            <w:r w:rsidR="00F53596" w:rsidRPr="00FA5C8D">
              <w:rPr>
                <w:rFonts w:ascii="Book Antiqua" w:eastAsia="Times New Roman" w:hAnsi="Book Antiqua" w:cs="Calibri"/>
                <w:bCs/>
                <w:sz w:val="24"/>
                <w:szCs w:val="24"/>
                <w:lang w:eastAsia="cs-CZ"/>
              </w:rPr>
              <w:t>value</w:t>
            </w:r>
          </w:p>
        </w:tc>
      </w:tr>
      <w:tr w:rsidR="00F53596" w:rsidRPr="00FA5C8D" w14:paraId="5D7A7610" w14:textId="77777777" w:rsidTr="007825A2">
        <w:tc>
          <w:tcPr>
            <w:tcW w:w="3936" w:type="dxa"/>
            <w:gridSpan w:val="2"/>
            <w:shd w:val="clear" w:color="auto" w:fill="auto"/>
          </w:tcPr>
          <w:p w14:paraId="7AEE19C4"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Length of disease at follow-up biopsy (yr)</w:t>
            </w:r>
          </w:p>
        </w:tc>
        <w:tc>
          <w:tcPr>
            <w:tcW w:w="1663" w:type="dxa"/>
            <w:shd w:val="clear" w:color="auto" w:fill="auto"/>
            <w:vAlign w:val="center"/>
          </w:tcPr>
          <w:p w14:paraId="1B5F784E"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7.9 (8.2)</w:t>
            </w:r>
          </w:p>
        </w:tc>
        <w:tc>
          <w:tcPr>
            <w:tcW w:w="2339" w:type="dxa"/>
            <w:shd w:val="clear" w:color="auto" w:fill="auto"/>
            <w:vAlign w:val="center"/>
          </w:tcPr>
          <w:p w14:paraId="389704CE"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13.1 (13.4)</w:t>
            </w:r>
          </w:p>
        </w:tc>
        <w:tc>
          <w:tcPr>
            <w:tcW w:w="1134" w:type="dxa"/>
            <w:shd w:val="clear" w:color="auto" w:fill="auto"/>
            <w:vAlign w:val="center"/>
          </w:tcPr>
          <w:p w14:paraId="14A01CB8"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0.092</w:t>
            </w:r>
          </w:p>
        </w:tc>
      </w:tr>
      <w:tr w:rsidR="00F53596" w:rsidRPr="00FA5C8D" w14:paraId="7D61143D" w14:textId="77777777" w:rsidTr="007825A2">
        <w:tc>
          <w:tcPr>
            <w:tcW w:w="3936" w:type="dxa"/>
            <w:gridSpan w:val="2"/>
            <w:shd w:val="clear" w:color="auto" w:fill="auto"/>
          </w:tcPr>
          <w:p w14:paraId="3E103EFF"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Age at follow-up biopsy (yr)</w:t>
            </w:r>
          </w:p>
        </w:tc>
        <w:tc>
          <w:tcPr>
            <w:tcW w:w="1663" w:type="dxa"/>
            <w:shd w:val="clear" w:color="auto" w:fill="auto"/>
            <w:vAlign w:val="center"/>
          </w:tcPr>
          <w:p w14:paraId="104D87CB"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32.3 (14.6)</w:t>
            </w:r>
          </w:p>
        </w:tc>
        <w:tc>
          <w:tcPr>
            <w:tcW w:w="2339" w:type="dxa"/>
            <w:shd w:val="clear" w:color="auto" w:fill="auto"/>
            <w:vAlign w:val="center"/>
          </w:tcPr>
          <w:p w14:paraId="095F3158"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38.7 (24.4)</w:t>
            </w:r>
          </w:p>
        </w:tc>
        <w:tc>
          <w:tcPr>
            <w:tcW w:w="1134" w:type="dxa"/>
            <w:shd w:val="clear" w:color="auto" w:fill="auto"/>
            <w:vAlign w:val="center"/>
          </w:tcPr>
          <w:p w14:paraId="23F4B218" w14:textId="77777777" w:rsidR="00F53596" w:rsidRPr="00FA5C8D" w:rsidRDefault="00F53596" w:rsidP="00FA5C8D">
            <w:pPr>
              <w:snapToGrid w:val="0"/>
              <w:spacing w:line="360" w:lineRule="auto"/>
              <w:jc w:val="both"/>
              <w:rPr>
                <w:rFonts w:ascii="Book Antiqua" w:eastAsia="Times New Roman" w:hAnsi="Book Antiqua" w:cs="Calibri"/>
                <w:bCs/>
                <w:sz w:val="24"/>
                <w:szCs w:val="24"/>
                <w:lang w:val="en-US" w:eastAsia="cs-CZ"/>
              </w:rPr>
            </w:pPr>
            <w:r w:rsidRPr="00FA5C8D">
              <w:rPr>
                <w:rFonts w:ascii="Book Antiqua" w:eastAsia="Times New Roman" w:hAnsi="Book Antiqua" w:cs="Calibri"/>
                <w:bCs/>
                <w:sz w:val="24"/>
                <w:szCs w:val="24"/>
                <w:lang w:eastAsia="cs-CZ"/>
              </w:rPr>
              <w:t>0.231</w:t>
            </w:r>
          </w:p>
        </w:tc>
      </w:tr>
    </w:tbl>
    <w:p w14:paraId="105259FB" w14:textId="77777777" w:rsidR="00576C0F" w:rsidRPr="00FA5C8D" w:rsidRDefault="000042FE" w:rsidP="00FA5C8D">
      <w:pPr>
        <w:snapToGrid w:val="0"/>
        <w:spacing w:after="0" w:line="360" w:lineRule="auto"/>
        <w:jc w:val="both"/>
        <w:rPr>
          <w:rFonts w:ascii="Book Antiqua" w:hAnsi="Book Antiqua" w:cs="Times New Roman"/>
          <w:bCs/>
          <w:sz w:val="24"/>
          <w:szCs w:val="24"/>
        </w:rPr>
      </w:pPr>
      <w:r w:rsidRPr="00FA5C8D">
        <w:rPr>
          <w:rFonts w:ascii="Book Antiqua" w:hAnsi="Book Antiqua" w:cs="Times New Roman"/>
          <w:bCs/>
          <w:sz w:val="24"/>
          <w:szCs w:val="24"/>
        </w:rPr>
        <w:t>SD</w:t>
      </w:r>
      <w:r w:rsidR="00C77650" w:rsidRPr="00FA5C8D">
        <w:rPr>
          <w:rFonts w:ascii="Book Antiqua" w:hAnsi="Book Antiqua" w:cs="Times New Roman"/>
          <w:bCs/>
          <w:sz w:val="24"/>
          <w:szCs w:val="24"/>
        </w:rPr>
        <w:t xml:space="preserve">: </w:t>
      </w:r>
      <w:r w:rsidR="007825A2" w:rsidRPr="00FA5C8D">
        <w:rPr>
          <w:rFonts w:ascii="Book Antiqua" w:hAnsi="Book Antiqua" w:cs="Times New Roman"/>
          <w:bCs/>
          <w:sz w:val="24"/>
          <w:szCs w:val="24"/>
        </w:rPr>
        <w:t xml:space="preserve">Standard </w:t>
      </w:r>
      <w:r w:rsidR="00C77650" w:rsidRPr="00FA5C8D">
        <w:rPr>
          <w:rFonts w:ascii="Book Antiqua" w:hAnsi="Book Antiqua" w:cs="Times New Roman"/>
          <w:bCs/>
          <w:sz w:val="24"/>
          <w:szCs w:val="24"/>
        </w:rPr>
        <w:t>deviation</w:t>
      </w:r>
      <w:r w:rsidR="007825A2" w:rsidRPr="00FA5C8D">
        <w:rPr>
          <w:rFonts w:ascii="Book Antiqua" w:hAnsi="Book Antiqua" w:cs="Times New Roman"/>
          <w:bCs/>
          <w:sz w:val="24"/>
          <w:szCs w:val="24"/>
        </w:rPr>
        <w:t>.</w:t>
      </w:r>
    </w:p>
    <w:p w14:paraId="4252A25D" w14:textId="77777777" w:rsidR="00DE04E1" w:rsidRPr="00FA5C8D" w:rsidRDefault="00DE04E1"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772B9BC1" w14:textId="77777777" w:rsidR="00976EA8" w:rsidRPr="00FA5C8D" w:rsidRDefault="00976EA8"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lastRenderedPageBreak/>
        <w:t xml:space="preserve">Table </w:t>
      </w:r>
      <w:r w:rsidR="007F45DD" w:rsidRPr="00FA5C8D">
        <w:rPr>
          <w:rFonts w:ascii="Book Antiqua" w:hAnsi="Book Antiqua" w:cs="Times New Roman"/>
          <w:b/>
          <w:sz w:val="24"/>
          <w:szCs w:val="24"/>
        </w:rPr>
        <w:t>3</w:t>
      </w:r>
      <w:r w:rsidRPr="00FA5C8D">
        <w:rPr>
          <w:rFonts w:ascii="Book Antiqua" w:hAnsi="Book Antiqua" w:cs="Times New Roman"/>
          <w:b/>
          <w:sz w:val="24"/>
          <w:szCs w:val="24"/>
        </w:rPr>
        <w:t xml:space="preserve"> Comparison of autoantibodies´ positivity, ultrasonography, laboratory and clinical markers in patients with and without villous atrophy, in groups with available parameters</w:t>
      </w:r>
    </w:p>
    <w:tbl>
      <w:tblPr>
        <w:tblStyle w:val="a3"/>
        <w:tblW w:w="4770" w:type="pct"/>
        <w:jc w:val="center"/>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20"/>
        <w:gridCol w:w="1675"/>
        <w:gridCol w:w="15"/>
        <w:gridCol w:w="1299"/>
        <w:gridCol w:w="127"/>
        <w:gridCol w:w="1242"/>
        <w:gridCol w:w="1273"/>
        <w:gridCol w:w="31"/>
      </w:tblGrid>
      <w:tr w:rsidR="007F43E5" w:rsidRPr="00FA5C8D" w14:paraId="74185877" w14:textId="77777777" w:rsidTr="00366835">
        <w:trPr>
          <w:gridAfter w:val="1"/>
          <w:wAfter w:w="17" w:type="pct"/>
          <w:jc w:val="center"/>
        </w:trPr>
        <w:tc>
          <w:tcPr>
            <w:tcW w:w="1883" w:type="pct"/>
            <w:vMerge w:val="restart"/>
            <w:tcBorders>
              <w:top w:val="single" w:sz="4" w:space="0" w:color="auto"/>
              <w:bottom w:val="nil"/>
            </w:tcBorders>
            <w:shd w:val="clear" w:color="auto" w:fill="auto"/>
            <w:vAlign w:val="center"/>
          </w:tcPr>
          <w:p w14:paraId="5F033060" w14:textId="77777777" w:rsidR="007F43E5" w:rsidRPr="00FA5C8D" w:rsidRDefault="007F43E5"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Characteristics</w:t>
            </w:r>
          </w:p>
        </w:tc>
        <w:tc>
          <w:tcPr>
            <w:tcW w:w="930" w:type="pct"/>
            <w:gridSpan w:val="2"/>
            <w:vMerge w:val="restart"/>
            <w:tcBorders>
              <w:top w:val="single" w:sz="4" w:space="0" w:color="auto"/>
              <w:bottom w:val="nil"/>
            </w:tcBorders>
            <w:shd w:val="clear" w:color="auto" w:fill="auto"/>
            <w:vAlign w:val="center"/>
          </w:tcPr>
          <w:p w14:paraId="1863B70F" w14:textId="77777777" w:rsidR="007F43E5" w:rsidRPr="00FA5C8D" w:rsidRDefault="007F43E5"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Categories</w:t>
            </w:r>
          </w:p>
        </w:tc>
        <w:tc>
          <w:tcPr>
            <w:tcW w:w="2170" w:type="pct"/>
            <w:gridSpan w:val="4"/>
            <w:tcBorders>
              <w:top w:val="single" w:sz="4" w:space="0" w:color="auto"/>
              <w:bottom w:val="single" w:sz="4" w:space="0" w:color="auto"/>
            </w:tcBorders>
            <w:shd w:val="clear" w:color="auto" w:fill="auto"/>
          </w:tcPr>
          <w:p w14:paraId="4472684E" w14:textId="77777777" w:rsidR="007F43E5" w:rsidRPr="00FA5C8D" w:rsidRDefault="007F43E5"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Villous atrophy</w:t>
            </w:r>
          </w:p>
        </w:tc>
      </w:tr>
      <w:tr w:rsidR="007F43E5" w:rsidRPr="00FA5C8D" w14:paraId="42695A5A" w14:textId="77777777" w:rsidTr="00366835">
        <w:trPr>
          <w:jc w:val="center"/>
        </w:trPr>
        <w:tc>
          <w:tcPr>
            <w:tcW w:w="1883" w:type="pct"/>
            <w:vMerge/>
            <w:tcBorders>
              <w:top w:val="nil"/>
              <w:bottom w:val="single" w:sz="4" w:space="0" w:color="auto"/>
            </w:tcBorders>
            <w:shd w:val="clear" w:color="auto" w:fill="auto"/>
            <w:vAlign w:val="center"/>
          </w:tcPr>
          <w:p w14:paraId="6506CF27" w14:textId="77777777" w:rsidR="007F43E5" w:rsidRPr="00FA5C8D" w:rsidRDefault="007F43E5" w:rsidP="00FA5C8D">
            <w:pPr>
              <w:snapToGrid w:val="0"/>
              <w:spacing w:line="360" w:lineRule="auto"/>
              <w:jc w:val="both"/>
              <w:rPr>
                <w:rFonts w:ascii="Book Antiqua" w:hAnsi="Book Antiqua" w:cstheme="minorHAnsi"/>
                <w:sz w:val="24"/>
                <w:szCs w:val="24"/>
                <w:lang w:val="en-US"/>
              </w:rPr>
            </w:pPr>
          </w:p>
        </w:tc>
        <w:tc>
          <w:tcPr>
            <w:tcW w:w="930" w:type="pct"/>
            <w:gridSpan w:val="2"/>
            <w:vMerge/>
            <w:tcBorders>
              <w:top w:val="nil"/>
              <w:bottom w:val="single" w:sz="4" w:space="0" w:color="auto"/>
            </w:tcBorders>
            <w:shd w:val="clear" w:color="auto" w:fill="auto"/>
            <w:vAlign w:val="center"/>
          </w:tcPr>
          <w:p w14:paraId="51460A2C" w14:textId="77777777" w:rsidR="007F43E5" w:rsidRPr="00FA5C8D" w:rsidRDefault="007F43E5" w:rsidP="00FA5C8D">
            <w:pPr>
              <w:snapToGrid w:val="0"/>
              <w:spacing w:line="360" w:lineRule="auto"/>
              <w:jc w:val="both"/>
              <w:rPr>
                <w:rFonts w:ascii="Book Antiqua" w:hAnsi="Book Antiqua" w:cstheme="minorHAnsi"/>
                <w:sz w:val="24"/>
                <w:szCs w:val="24"/>
                <w:lang w:val="en-US"/>
              </w:rPr>
            </w:pPr>
          </w:p>
        </w:tc>
        <w:tc>
          <w:tcPr>
            <w:tcW w:w="715" w:type="pct"/>
            <w:tcBorders>
              <w:top w:val="nil"/>
              <w:bottom w:val="single" w:sz="4" w:space="0" w:color="auto"/>
            </w:tcBorders>
            <w:shd w:val="clear" w:color="auto" w:fill="auto"/>
            <w:vAlign w:val="center"/>
          </w:tcPr>
          <w:p w14:paraId="07010F42" w14:textId="77777777" w:rsidR="007F43E5" w:rsidRPr="00FA5C8D" w:rsidRDefault="007F43E5" w:rsidP="00FA5C8D">
            <w:pPr>
              <w:snapToGrid w:val="0"/>
              <w:spacing w:line="360" w:lineRule="auto"/>
              <w:jc w:val="both"/>
              <w:rPr>
                <w:rFonts w:ascii="Book Antiqua" w:hAnsi="Book Antiqua" w:cstheme="minorHAnsi"/>
                <w:b/>
                <w:bCs/>
                <w:sz w:val="24"/>
                <w:szCs w:val="24"/>
                <w:lang w:val="en-US"/>
              </w:rPr>
            </w:pPr>
            <w:r w:rsidRPr="00FA5C8D">
              <w:rPr>
                <w:rFonts w:ascii="Book Antiqua" w:hAnsi="Book Antiqua" w:cstheme="minorHAnsi"/>
                <w:b/>
                <w:bCs/>
                <w:sz w:val="24"/>
                <w:szCs w:val="24"/>
              </w:rPr>
              <w:t xml:space="preserve">Yes </w:t>
            </w:r>
            <w:r w:rsidR="007825A2" w:rsidRPr="00FA5C8D">
              <w:rPr>
                <w:rFonts w:ascii="Book Antiqua" w:hAnsi="Book Antiqua" w:cstheme="minorHAnsi"/>
                <w:b/>
                <w:bCs/>
                <w:sz w:val="24"/>
                <w:szCs w:val="24"/>
              </w:rPr>
              <w:t>(%)</w:t>
            </w:r>
          </w:p>
        </w:tc>
        <w:tc>
          <w:tcPr>
            <w:tcW w:w="754" w:type="pct"/>
            <w:gridSpan w:val="2"/>
            <w:tcBorders>
              <w:top w:val="nil"/>
              <w:bottom w:val="single" w:sz="4" w:space="0" w:color="auto"/>
            </w:tcBorders>
            <w:shd w:val="clear" w:color="auto" w:fill="auto"/>
          </w:tcPr>
          <w:p w14:paraId="4EB2FF36" w14:textId="77777777" w:rsidR="007F43E5" w:rsidRPr="00FA5C8D" w:rsidRDefault="007F43E5" w:rsidP="00FA5C8D">
            <w:pPr>
              <w:snapToGrid w:val="0"/>
              <w:spacing w:line="360" w:lineRule="auto"/>
              <w:jc w:val="both"/>
              <w:rPr>
                <w:rFonts w:ascii="Book Antiqua" w:hAnsi="Book Antiqua" w:cstheme="minorHAnsi"/>
                <w:b/>
                <w:bCs/>
                <w:sz w:val="24"/>
                <w:szCs w:val="24"/>
                <w:lang w:val="en-US"/>
              </w:rPr>
            </w:pPr>
            <w:r w:rsidRPr="00FA5C8D">
              <w:rPr>
                <w:rFonts w:ascii="Book Antiqua" w:hAnsi="Book Antiqua" w:cstheme="minorHAnsi"/>
                <w:b/>
                <w:bCs/>
                <w:sz w:val="24"/>
                <w:szCs w:val="24"/>
              </w:rPr>
              <w:t xml:space="preserve">No </w:t>
            </w:r>
            <w:r w:rsidR="007825A2" w:rsidRPr="00FA5C8D">
              <w:rPr>
                <w:rFonts w:ascii="Book Antiqua" w:hAnsi="Book Antiqua" w:cstheme="minorHAnsi"/>
                <w:b/>
                <w:bCs/>
                <w:sz w:val="24"/>
                <w:szCs w:val="24"/>
              </w:rPr>
              <w:t>(%)</w:t>
            </w:r>
          </w:p>
        </w:tc>
        <w:tc>
          <w:tcPr>
            <w:tcW w:w="718" w:type="pct"/>
            <w:gridSpan w:val="2"/>
            <w:tcBorders>
              <w:top w:val="nil"/>
              <w:bottom w:val="single" w:sz="4" w:space="0" w:color="auto"/>
            </w:tcBorders>
            <w:shd w:val="clear" w:color="auto" w:fill="auto"/>
          </w:tcPr>
          <w:p w14:paraId="43F5A936" w14:textId="77777777" w:rsidR="007F43E5" w:rsidRPr="00FA5C8D" w:rsidRDefault="007825A2" w:rsidP="00FA5C8D">
            <w:pPr>
              <w:snapToGrid w:val="0"/>
              <w:spacing w:line="360" w:lineRule="auto"/>
              <w:jc w:val="both"/>
              <w:rPr>
                <w:rFonts w:ascii="Book Antiqua" w:hAnsi="Book Antiqua" w:cstheme="minorHAnsi"/>
                <w:b/>
                <w:bCs/>
                <w:sz w:val="24"/>
                <w:szCs w:val="24"/>
                <w:lang w:val="en-US"/>
              </w:rPr>
            </w:pPr>
            <w:r w:rsidRPr="00FA5C8D">
              <w:rPr>
                <w:rFonts w:ascii="Book Antiqua" w:hAnsi="Book Antiqua" w:cstheme="minorHAnsi"/>
                <w:b/>
                <w:bCs/>
                <w:i/>
                <w:iCs/>
                <w:sz w:val="24"/>
                <w:szCs w:val="24"/>
              </w:rPr>
              <w:t>P</w:t>
            </w:r>
            <w:r w:rsidRPr="00FA5C8D">
              <w:rPr>
                <w:rFonts w:ascii="Book Antiqua" w:hAnsi="Book Antiqua" w:cstheme="minorHAnsi"/>
                <w:b/>
                <w:bCs/>
                <w:sz w:val="24"/>
                <w:szCs w:val="24"/>
              </w:rPr>
              <w:t xml:space="preserve"> </w:t>
            </w:r>
            <w:r w:rsidR="007F43E5" w:rsidRPr="00FA5C8D">
              <w:rPr>
                <w:rFonts w:ascii="Book Antiqua" w:hAnsi="Book Antiqua" w:cstheme="minorHAnsi"/>
                <w:b/>
                <w:bCs/>
                <w:sz w:val="24"/>
                <w:szCs w:val="24"/>
              </w:rPr>
              <w:t>value</w:t>
            </w:r>
          </w:p>
        </w:tc>
      </w:tr>
      <w:tr w:rsidR="007F43E5" w:rsidRPr="00FA5C8D" w14:paraId="655B91B3" w14:textId="77777777" w:rsidTr="00366835">
        <w:trPr>
          <w:jc w:val="center"/>
        </w:trPr>
        <w:tc>
          <w:tcPr>
            <w:tcW w:w="1883" w:type="pct"/>
            <w:vMerge w:val="restart"/>
            <w:tcBorders>
              <w:top w:val="single" w:sz="4" w:space="0" w:color="auto"/>
            </w:tcBorders>
            <w:shd w:val="clear" w:color="auto" w:fill="auto"/>
            <w:vAlign w:val="center"/>
          </w:tcPr>
          <w:p w14:paraId="5EBC117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aTTG</w:t>
            </w:r>
            <w:r w:rsidR="007825A2" w:rsidRPr="00FA5C8D">
              <w:rPr>
                <w:rFonts w:ascii="Book Antiqua" w:hAnsi="Book Antiqua" w:cstheme="minorHAnsi"/>
                <w:bCs/>
                <w:sz w:val="24"/>
                <w:szCs w:val="24"/>
              </w:rPr>
              <w:t xml:space="preserve"> </w:t>
            </w:r>
            <w:r w:rsidRPr="00FA5C8D">
              <w:rPr>
                <w:rFonts w:ascii="Book Antiqua" w:hAnsi="Book Antiqua" w:cstheme="minorHAnsi"/>
                <w:bCs/>
                <w:color w:val="000000" w:themeColor="text1"/>
                <w:sz w:val="24"/>
                <w:szCs w:val="24"/>
              </w:rPr>
              <w:t>(</w:t>
            </w:r>
            <w:r w:rsidRPr="00FA5C8D">
              <w:rPr>
                <w:rFonts w:ascii="Book Antiqua" w:hAnsi="Book Antiqua" w:cstheme="minorHAnsi"/>
                <w:bCs/>
                <w:i/>
                <w:color w:val="000000" w:themeColor="text1"/>
                <w:sz w:val="24"/>
                <w:szCs w:val="24"/>
              </w:rPr>
              <w:t>n</w:t>
            </w:r>
            <w:r w:rsidR="007825A2" w:rsidRPr="00FA5C8D">
              <w:rPr>
                <w:rFonts w:ascii="Book Antiqua" w:hAnsi="Book Antiqua" w:cstheme="minorHAnsi"/>
                <w:bCs/>
                <w:i/>
                <w:color w:val="000000" w:themeColor="text1"/>
                <w:sz w:val="24"/>
                <w:szCs w:val="24"/>
              </w:rPr>
              <w:t xml:space="preserve"> </w:t>
            </w:r>
            <w:r w:rsidRPr="00FA5C8D">
              <w:rPr>
                <w:rFonts w:ascii="Book Antiqua" w:hAnsi="Book Antiqua" w:cstheme="minorHAnsi"/>
                <w:bCs/>
                <w:color w:val="000000" w:themeColor="text1"/>
                <w:sz w:val="24"/>
                <w:szCs w:val="24"/>
              </w:rPr>
              <w:t>=</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81)</w:t>
            </w:r>
          </w:p>
        </w:tc>
        <w:tc>
          <w:tcPr>
            <w:tcW w:w="930" w:type="pct"/>
            <w:gridSpan w:val="2"/>
            <w:tcBorders>
              <w:top w:val="single" w:sz="4" w:space="0" w:color="auto"/>
            </w:tcBorders>
            <w:shd w:val="clear" w:color="auto" w:fill="auto"/>
            <w:vAlign w:val="center"/>
          </w:tcPr>
          <w:p w14:paraId="6FF6520D"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tcBorders>
              <w:top w:val="single" w:sz="4" w:space="0" w:color="auto"/>
            </w:tcBorders>
            <w:shd w:val="clear" w:color="auto" w:fill="auto"/>
            <w:vAlign w:val="center"/>
          </w:tcPr>
          <w:p w14:paraId="57B69E6E"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9 (50)</w:t>
            </w:r>
          </w:p>
        </w:tc>
        <w:tc>
          <w:tcPr>
            <w:tcW w:w="754" w:type="pct"/>
            <w:gridSpan w:val="2"/>
            <w:tcBorders>
              <w:top w:val="single" w:sz="4" w:space="0" w:color="auto"/>
            </w:tcBorders>
            <w:shd w:val="clear" w:color="auto" w:fill="auto"/>
            <w:vAlign w:val="center"/>
          </w:tcPr>
          <w:p w14:paraId="13E8B668"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9 (14.3)</w:t>
            </w:r>
          </w:p>
        </w:tc>
        <w:tc>
          <w:tcPr>
            <w:tcW w:w="718" w:type="pct"/>
            <w:gridSpan w:val="2"/>
            <w:vMerge w:val="restart"/>
            <w:tcBorders>
              <w:top w:val="single" w:sz="4" w:space="0" w:color="auto"/>
            </w:tcBorders>
            <w:shd w:val="clear" w:color="auto" w:fill="auto"/>
            <w:vAlign w:val="center"/>
          </w:tcPr>
          <w:p w14:paraId="61AA8274"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0.003</w:t>
            </w:r>
            <w:r w:rsidR="007825A2" w:rsidRPr="00FA5C8D">
              <w:rPr>
                <w:rFonts w:ascii="Book Antiqua" w:hAnsi="Book Antiqua" w:cs="Calibri"/>
                <w:bCs/>
                <w:color w:val="000000" w:themeColor="text1"/>
                <w:sz w:val="24"/>
                <w:szCs w:val="24"/>
                <w:vertAlign w:val="superscript"/>
              </w:rPr>
              <w:t>b</w:t>
            </w:r>
          </w:p>
        </w:tc>
      </w:tr>
      <w:tr w:rsidR="007F43E5" w:rsidRPr="00FA5C8D" w14:paraId="150236E9" w14:textId="77777777" w:rsidTr="00366835">
        <w:trPr>
          <w:jc w:val="center"/>
        </w:trPr>
        <w:tc>
          <w:tcPr>
            <w:tcW w:w="1883" w:type="pct"/>
            <w:vMerge/>
            <w:shd w:val="clear" w:color="auto" w:fill="auto"/>
            <w:vAlign w:val="center"/>
          </w:tcPr>
          <w:p w14:paraId="04F18002"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3FC8897E"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0B4F8C88"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9 (50)</w:t>
            </w:r>
          </w:p>
        </w:tc>
        <w:tc>
          <w:tcPr>
            <w:tcW w:w="754" w:type="pct"/>
            <w:gridSpan w:val="2"/>
            <w:shd w:val="clear" w:color="auto" w:fill="auto"/>
            <w:vAlign w:val="center"/>
          </w:tcPr>
          <w:p w14:paraId="05CEE426"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54 (85.7)</w:t>
            </w:r>
          </w:p>
        </w:tc>
        <w:tc>
          <w:tcPr>
            <w:tcW w:w="718" w:type="pct"/>
            <w:gridSpan w:val="2"/>
            <w:vMerge/>
            <w:shd w:val="clear" w:color="auto" w:fill="auto"/>
            <w:vAlign w:val="center"/>
          </w:tcPr>
          <w:p w14:paraId="6D1335C2"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55FD05B9" w14:textId="77777777" w:rsidTr="00366835">
        <w:trPr>
          <w:jc w:val="center"/>
        </w:trPr>
        <w:tc>
          <w:tcPr>
            <w:tcW w:w="1883" w:type="pct"/>
            <w:vMerge/>
            <w:shd w:val="clear" w:color="auto" w:fill="auto"/>
            <w:vAlign w:val="center"/>
          </w:tcPr>
          <w:p w14:paraId="11013D9F"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77A5C058"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Total</w:t>
            </w:r>
          </w:p>
        </w:tc>
        <w:tc>
          <w:tcPr>
            <w:tcW w:w="715" w:type="pct"/>
            <w:shd w:val="clear" w:color="auto" w:fill="auto"/>
            <w:vAlign w:val="center"/>
          </w:tcPr>
          <w:p w14:paraId="2CD0EA07"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65AEE455"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63 (100)</w:t>
            </w:r>
          </w:p>
        </w:tc>
        <w:tc>
          <w:tcPr>
            <w:tcW w:w="718" w:type="pct"/>
            <w:gridSpan w:val="2"/>
            <w:vMerge/>
            <w:shd w:val="clear" w:color="auto" w:fill="auto"/>
            <w:vAlign w:val="center"/>
          </w:tcPr>
          <w:p w14:paraId="017A9043"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6FB7D881" w14:textId="77777777" w:rsidTr="00366835">
        <w:trPr>
          <w:jc w:val="center"/>
        </w:trPr>
        <w:tc>
          <w:tcPr>
            <w:tcW w:w="1883" w:type="pct"/>
            <w:vMerge w:val="restart"/>
            <w:shd w:val="clear" w:color="auto" w:fill="auto"/>
            <w:vAlign w:val="center"/>
          </w:tcPr>
          <w:p w14:paraId="66D16A90"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aDGP</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78)</w:t>
            </w:r>
          </w:p>
        </w:tc>
        <w:tc>
          <w:tcPr>
            <w:tcW w:w="930" w:type="pct"/>
            <w:gridSpan w:val="2"/>
            <w:shd w:val="clear" w:color="auto" w:fill="auto"/>
            <w:vAlign w:val="center"/>
          </w:tcPr>
          <w:p w14:paraId="0AF2123F"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shd w:val="clear" w:color="auto" w:fill="auto"/>
            <w:vAlign w:val="center"/>
          </w:tcPr>
          <w:p w14:paraId="03B2BF00"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14 (77.8)</w:t>
            </w:r>
          </w:p>
        </w:tc>
        <w:tc>
          <w:tcPr>
            <w:tcW w:w="754" w:type="pct"/>
            <w:gridSpan w:val="2"/>
            <w:shd w:val="clear" w:color="auto" w:fill="auto"/>
            <w:vAlign w:val="center"/>
          </w:tcPr>
          <w:p w14:paraId="7B561ABE"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15 (25)</w:t>
            </w:r>
          </w:p>
        </w:tc>
        <w:tc>
          <w:tcPr>
            <w:tcW w:w="718" w:type="pct"/>
            <w:gridSpan w:val="2"/>
            <w:vMerge w:val="restart"/>
            <w:shd w:val="clear" w:color="auto" w:fill="auto"/>
            <w:vAlign w:val="center"/>
          </w:tcPr>
          <w:p w14:paraId="314CF09F"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&lt;</w:t>
            </w:r>
            <w:r w:rsidR="007825A2" w:rsidRPr="00FA5C8D">
              <w:rPr>
                <w:rFonts w:ascii="Book Antiqua" w:hAnsi="Book Antiqua" w:cs="Calibri"/>
                <w:bCs/>
                <w:color w:val="000000" w:themeColor="text1"/>
                <w:sz w:val="24"/>
                <w:szCs w:val="24"/>
              </w:rPr>
              <w:t xml:space="preserve"> </w:t>
            </w:r>
            <w:r w:rsidRPr="00FA5C8D">
              <w:rPr>
                <w:rFonts w:ascii="Book Antiqua" w:hAnsi="Book Antiqua" w:cs="Calibri"/>
                <w:bCs/>
                <w:color w:val="000000" w:themeColor="text1"/>
                <w:sz w:val="24"/>
                <w:szCs w:val="24"/>
              </w:rPr>
              <w:t>0.001</w:t>
            </w:r>
            <w:r w:rsidR="007825A2" w:rsidRPr="00FA5C8D">
              <w:rPr>
                <w:rFonts w:ascii="Book Antiqua" w:hAnsi="Book Antiqua" w:cs="Calibri"/>
                <w:bCs/>
                <w:color w:val="000000" w:themeColor="text1"/>
                <w:sz w:val="24"/>
                <w:szCs w:val="24"/>
                <w:vertAlign w:val="superscript"/>
              </w:rPr>
              <w:t>b</w:t>
            </w:r>
          </w:p>
        </w:tc>
      </w:tr>
      <w:tr w:rsidR="007F43E5" w:rsidRPr="00FA5C8D" w14:paraId="30E1C0B9" w14:textId="77777777" w:rsidTr="00366835">
        <w:trPr>
          <w:jc w:val="center"/>
        </w:trPr>
        <w:tc>
          <w:tcPr>
            <w:tcW w:w="1883" w:type="pct"/>
            <w:vMerge/>
            <w:shd w:val="clear" w:color="auto" w:fill="auto"/>
            <w:vAlign w:val="center"/>
          </w:tcPr>
          <w:p w14:paraId="7AF9B768"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58FE1C5F"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279351A3"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4 (22.2)</w:t>
            </w:r>
          </w:p>
        </w:tc>
        <w:tc>
          <w:tcPr>
            <w:tcW w:w="754" w:type="pct"/>
            <w:gridSpan w:val="2"/>
            <w:shd w:val="clear" w:color="auto" w:fill="auto"/>
            <w:vAlign w:val="center"/>
          </w:tcPr>
          <w:p w14:paraId="59AFADFC"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45 (75)</w:t>
            </w:r>
          </w:p>
        </w:tc>
        <w:tc>
          <w:tcPr>
            <w:tcW w:w="718" w:type="pct"/>
            <w:gridSpan w:val="2"/>
            <w:vMerge/>
            <w:shd w:val="clear" w:color="auto" w:fill="auto"/>
            <w:vAlign w:val="center"/>
          </w:tcPr>
          <w:p w14:paraId="43B2793C"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2AF01BAE" w14:textId="77777777" w:rsidTr="00366835">
        <w:trPr>
          <w:jc w:val="center"/>
        </w:trPr>
        <w:tc>
          <w:tcPr>
            <w:tcW w:w="1883" w:type="pct"/>
            <w:vMerge/>
            <w:shd w:val="clear" w:color="auto" w:fill="auto"/>
            <w:vAlign w:val="center"/>
          </w:tcPr>
          <w:p w14:paraId="5FAB4F73"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4A13CB3D"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Total</w:t>
            </w:r>
          </w:p>
        </w:tc>
        <w:tc>
          <w:tcPr>
            <w:tcW w:w="715" w:type="pct"/>
            <w:shd w:val="clear" w:color="auto" w:fill="auto"/>
            <w:vAlign w:val="center"/>
          </w:tcPr>
          <w:p w14:paraId="7468C28A"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71FC311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60 (100)</w:t>
            </w:r>
          </w:p>
        </w:tc>
        <w:tc>
          <w:tcPr>
            <w:tcW w:w="718" w:type="pct"/>
            <w:gridSpan w:val="2"/>
            <w:vMerge/>
            <w:shd w:val="clear" w:color="auto" w:fill="auto"/>
            <w:vAlign w:val="center"/>
          </w:tcPr>
          <w:p w14:paraId="72F48DC8"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357EBBFE" w14:textId="77777777" w:rsidTr="00366835">
        <w:trPr>
          <w:jc w:val="center"/>
        </w:trPr>
        <w:tc>
          <w:tcPr>
            <w:tcW w:w="1883" w:type="pct"/>
            <w:vMerge w:val="restart"/>
            <w:shd w:val="clear" w:color="auto" w:fill="auto"/>
            <w:vAlign w:val="center"/>
          </w:tcPr>
          <w:p w14:paraId="5862BCF3"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Autoantibodies aTTG</w:t>
            </w:r>
            <w:r w:rsidRPr="00FA5C8D">
              <w:rPr>
                <w:rFonts w:ascii="Book Antiqua" w:hAnsi="Book Antiqua" w:cstheme="minorHAnsi"/>
                <w:bCs/>
                <w:color w:val="000000" w:themeColor="text1"/>
                <w:sz w:val="24"/>
                <w:szCs w:val="24"/>
              </w:rPr>
              <w:t xml:space="preserve"> IgA (</w:t>
            </w:r>
            <w:r w:rsidRPr="00FA5C8D">
              <w:rPr>
                <w:rFonts w:ascii="Book Antiqua" w:hAnsi="Book Antiqua" w:cstheme="minorHAnsi"/>
                <w:bCs/>
                <w:i/>
                <w:color w:val="000000" w:themeColor="text1"/>
                <w:sz w:val="24"/>
                <w:szCs w:val="24"/>
              </w:rPr>
              <w:t>n</w:t>
            </w:r>
            <w:r w:rsidR="007825A2" w:rsidRPr="00FA5C8D">
              <w:rPr>
                <w:rFonts w:ascii="Book Antiqua" w:hAnsi="Book Antiqua" w:cstheme="minorHAnsi"/>
                <w:bCs/>
                <w:i/>
                <w:color w:val="000000" w:themeColor="text1"/>
                <w:sz w:val="24"/>
                <w:szCs w:val="24"/>
              </w:rPr>
              <w:t xml:space="preserve"> </w:t>
            </w:r>
            <w:r w:rsidRPr="00FA5C8D">
              <w:rPr>
                <w:rFonts w:ascii="Book Antiqua" w:hAnsi="Book Antiqua" w:cstheme="minorHAnsi"/>
                <w:bCs/>
                <w:color w:val="000000" w:themeColor="text1"/>
                <w:sz w:val="24"/>
                <w:szCs w:val="24"/>
              </w:rPr>
              <w:t>=</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81)</w:t>
            </w:r>
          </w:p>
        </w:tc>
        <w:tc>
          <w:tcPr>
            <w:tcW w:w="930" w:type="pct"/>
            <w:gridSpan w:val="2"/>
            <w:shd w:val="clear" w:color="auto" w:fill="auto"/>
            <w:vAlign w:val="center"/>
          </w:tcPr>
          <w:p w14:paraId="5EF78ED7"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shd w:val="clear" w:color="auto" w:fill="auto"/>
            <w:vAlign w:val="center"/>
          </w:tcPr>
          <w:p w14:paraId="5A2FC2C4"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9 (50)</w:t>
            </w:r>
          </w:p>
        </w:tc>
        <w:tc>
          <w:tcPr>
            <w:tcW w:w="754" w:type="pct"/>
            <w:gridSpan w:val="2"/>
            <w:shd w:val="clear" w:color="auto" w:fill="auto"/>
            <w:vAlign w:val="center"/>
          </w:tcPr>
          <w:p w14:paraId="754FD24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2 (3.2)</w:t>
            </w:r>
          </w:p>
        </w:tc>
        <w:tc>
          <w:tcPr>
            <w:tcW w:w="718" w:type="pct"/>
            <w:gridSpan w:val="2"/>
            <w:vMerge w:val="restart"/>
            <w:shd w:val="clear" w:color="auto" w:fill="auto"/>
            <w:vAlign w:val="center"/>
          </w:tcPr>
          <w:p w14:paraId="124328BE"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&lt;</w:t>
            </w:r>
            <w:r w:rsidR="007825A2" w:rsidRPr="00FA5C8D">
              <w:rPr>
                <w:rFonts w:ascii="Book Antiqua" w:hAnsi="Book Antiqua" w:cs="Calibri"/>
                <w:bCs/>
                <w:color w:val="000000" w:themeColor="text1"/>
                <w:sz w:val="24"/>
                <w:szCs w:val="24"/>
              </w:rPr>
              <w:t xml:space="preserve"> </w:t>
            </w:r>
            <w:r w:rsidRPr="00FA5C8D">
              <w:rPr>
                <w:rFonts w:ascii="Book Antiqua" w:hAnsi="Book Antiqua" w:cs="Calibri"/>
                <w:bCs/>
                <w:color w:val="000000" w:themeColor="text1"/>
                <w:sz w:val="24"/>
                <w:szCs w:val="24"/>
              </w:rPr>
              <w:t>0.001</w:t>
            </w:r>
            <w:r w:rsidR="007825A2" w:rsidRPr="00FA5C8D">
              <w:rPr>
                <w:rFonts w:ascii="Book Antiqua" w:hAnsi="Book Antiqua" w:cs="Calibri"/>
                <w:bCs/>
                <w:color w:val="000000" w:themeColor="text1"/>
                <w:sz w:val="24"/>
                <w:szCs w:val="24"/>
                <w:vertAlign w:val="superscript"/>
              </w:rPr>
              <w:t>b</w:t>
            </w:r>
          </w:p>
        </w:tc>
      </w:tr>
      <w:tr w:rsidR="007F43E5" w:rsidRPr="00FA5C8D" w14:paraId="32789810" w14:textId="77777777" w:rsidTr="00366835">
        <w:trPr>
          <w:jc w:val="center"/>
        </w:trPr>
        <w:tc>
          <w:tcPr>
            <w:tcW w:w="1883" w:type="pct"/>
            <w:vMerge/>
            <w:shd w:val="clear" w:color="auto" w:fill="auto"/>
            <w:vAlign w:val="center"/>
          </w:tcPr>
          <w:p w14:paraId="59FED73D"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20942271"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6DFA1660"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9 (50)</w:t>
            </w:r>
          </w:p>
        </w:tc>
        <w:tc>
          <w:tcPr>
            <w:tcW w:w="754" w:type="pct"/>
            <w:gridSpan w:val="2"/>
            <w:shd w:val="clear" w:color="auto" w:fill="auto"/>
            <w:vAlign w:val="center"/>
          </w:tcPr>
          <w:p w14:paraId="2E394C1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61 (96.8)</w:t>
            </w:r>
          </w:p>
        </w:tc>
        <w:tc>
          <w:tcPr>
            <w:tcW w:w="718" w:type="pct"/>
            <w:gridSpan w:val="2"/>
            <w:vMerge/>
            <w:shd w:val="clear" w:color="auto" w:fill="auto"/>
            <w:vAlign w:val="center"/>
          </w:tcPr>
          <w:p w14:paraId="6729323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3B720789" w14:textId="77777777" w:rsidTr="00366835">
        <w:trPr>
          <w:jc w:val="center"/>
        </w:trPr>
        <w:tc>
          <w:tcPr>
            <w:tcW w:w="1883" w:type="pct"/>
            <w:vMerge/>
            <w:shd w:val="clear" w:color="auto" w:fill="auto"/>
            <w:vAlign w:val="center"/>
          </w:tcPr>
          <w:p w14:paraId="576E721B"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431C5CE9"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Total</w:t>
            </w:r>
          </w:p>
        </w:tc>
        <w:tc>
          <w:tcPr>
            <w:tcW w:w="715" w:type="pct"/>
            <w:shd w:val="clear" w:color="auto" w:fill="auto"/>
            <w:vAlign w:val="center"/>
          </w:tcPr>
          <w:p w14:paraId="32252E16"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5765DADB"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63 (100)</w:t>
            </w:r>
          </w:p>
        </w:tc>
        <w:tc>
          <w:tcPr>
            <w:tcW w:w="718" w:type="pct"/>
            <w:gridSpan w:val="2"/>
            <w:vMerge/>
            <w:shd w:val="clear" w:color="auto" w:fill="auto"/>
            <w:vAlign w:val="center"/>
          </w:tcPr>
          <w:p w14:paraId="7989EDBB"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40317BE7" w14:textId="77777777" w:rsidTr="00366835">
        <w:trPr>
          <w:jc w:val="center"/>
        </w:trPr>
        <w:tc>
          <w:tcPr>
            <w:tcW w:w="1883" w:type="pct"/>
            <w:vMerge w:val="restart"/>
            <w:shd w:val="clear" w:color="auto" w:fill="auto"/>
            <w:vAlign w:val="center"/>
          </w:tcPr>
          <w:p w14:paraId="2097DC20"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Autoantibodies aTTG</w:t>
            </w:r>
            <w:r w:rsidRPr="00FA5C8D">
              <w:rPr>
                <w:rFonts w:ascii="Book Antiqua" w:hAnsi="Book Antiqua" w:cstheme="minorHAnsi"/>
                <w:bCs/>
                <w:color w:val="000000" w:themeColor="text1"/>
                <w:sz w:val="24"/>
                <w:szCs w:val="24"/>
              </w:rPr>
              <w:t>IgG</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w:t>
            </w:r>
            <w:r w:rsidRPr="00FA5C8D">
              <w:rPr>
                <w:rFonts w:ascii="Book Antiqua" w:hAnsi="Book Antiqua" w:cstheme="minorHAnsi"/>
                <w:bCs/>
                <w:i/>
                <w:color w:val="000000" w:themeColor="text1"/>
                <w:sz w:val="24"/>
                <w:szCs w:val="24"/>
              </w:rPr>
              <w:t>n</w:t>
            </w:r>
            <w:r w:rsidR="007825A2" w:rsidRPr="00FA5C8D">
              <w:rPr>
                <w:rFonts w:ascii="Book Antiqua" w:hAnsi="Book Antiqua" w:cstheme="minorHAnsi"/>
                <w:bCs/>
                <w:i/>
                <w:color w:val="000000" w:themeColor="text1"/>
                <w:sz w:val="24"/>
                <w:szCs w:val="24"/>
              </w:rPr>
              <w:t xml:space="preserve"> </w:t>
            </w:r>
            <w:r w:rsidRPr="00FA5C8D">
              <w:rPr>
                <w:rFonts w:ascii="Book Antiqua" w:hAnsi="Book Antiqua" w:cstheme="minorHAnsi"/>
                <w:bCs/>
                <w:color w:val="000000" w:themeColor="text1"/>
                <w:sz w:val="24"/>
                <w:szCs w:val="24"/>
              </w:rPr>
              <w:t>=</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81)</w:t>
            </w:r>
          </w:p>
        </w:tc>
        <w:tc>
          <w:tcPr>
            <w:tcW w:w="930" w:type="pct"/>
            <w:gridSpan w:val="2"/>
            <w:shd w:val="clear" w:color="auto" w:fill="auto"/>
            <w:vAlign w:val="center"/>
          </w:tcPr>
          <w:p w14:paraId="7CE48ACB"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shd w:val="clear" w:color="auto" w:fill="auto"/>
            <w:vAlign w:val="center"/>
          </w:tcPr>
          <w:p w14:paraId="66AD7F6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 (5.6)</w:t>
            </w:r>
          </w:p>
        </w:tc>
        <w:tc>
          <w:tcPr>
            <w:tcW w:w="754" w:type="pct"/>
            <w:gridSpan w:val="2"/>
            <w:shd w:val="clear" w:color="auto" w:fill="auto"/>
            <w:vAlign w:val="center"/>
          </w:tcPr>
          <w:p w14:paraId="28FDCE1D"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7 (11.1)</w:t>
            </w:r>
          </w:p>
        </w:tc>
        <w:tc>
          <w:tcPr>
            <w:tcW w:w="718" w:type="pct"/>
            <w:gridSpan w:val="2"/>
            <w:vMerge w:val="restart"/>
            <w:shd w:val="clear" w:color="auto" w:fill="auto"/>
            <w:vAlign w:val="center"/>
          </w:tcPr>
          <w:p w14:paraId="2BD908C0"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0.677</w:t>
            </w:r>
          </w:p>
        </w:tc>
      </w:tr>
      <w:tr w:rsidR="007F43E5" w:rsidRPr="00FA5C8D" w14:paraId="73A1DDE5" w14:textId="77777777" w:rsidTr="00366835">
        <w:trPr>
          <w:jc w:val="center"/>
        </w:trPr>
        <w:tc>
          <w:tcPr>
            <w:tcW w:w="1883" w:type="pct"/>
            <w:vMerge/>
            <w:shd w:val="clear" w:color="auto" w:fill="auto"/>
            <w:vAlign w:val="center"/>
          </w:tcPr>
          <w:p w14:paraId="456B11B4"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3792F67D"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1C06F9EC"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17 (94.4)</w:t>
            </w:r>
          </w:p>
        </w:tc>
        <w:tc>
          <w:tcPr>
            <w:tcW w:w="754" w:type="pct"/>
            <w:gridSpan w:val="2"/>
            <w:shd w:val="clear" w:color="auto" w:fill="auto"/>
            <w:vAlign w:val="center"/>
          </w:tcPr>
          <w:p w14:paraId="52AE8469"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56 (88.9)</w:t>
            </w:r>
          </w:p>
        </w:tc>
        <w:tc>
          <w:tcPr>
            <w:tcW w:w="718" w:type="pct"/>
            <w:gridSpan w:val="2"/>
            <w:vMerge/>
            <w:shd w:val="clear" w:color="auto" w:fill="auto"/>
            <w:vAlign w:val="center"/>
          </w:tcPr>
          <w:p w14:paraId="0C1A9A65"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191B313D" w14:textId="77777777" w:rsidTr="00366835">
        <w:trPr>
          <w:jc w:val="center"/>
        </w:trPr>
        <w:tc>
          <w:tcPr>
            <w:tcW w:w="1883" w:type="pct"/>
            <w:vMerge/>
            <w:shd w:val="clear" w:color="auto" w:fill="auto"/>
            <w:vAlign w:val="center"/>
          </w:tcPr>
          <w:p w14:paraId="23CA85CA"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2B7B69EE"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Total</w:t>
            </w:r>
          </w:p>
        </w:tc>
        <w:tc>
          <w:tcPr>
            <w:tcW w:w="715" w:type="pct"/>
            <w:shd w:val="clear" w:color="auto" w:fill="auto"/>
            <w:vAlign w:val="center"/>
          </w:tcPr>
          <w:p w14:paraId="389B973E"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4405FFD0"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63 (100)</w:t>
            </w:r>
          </w:p>
        </w:tc>
        <w:tc>
          <w:tcPr>
            <w:tcW w:w="718" w:type="pct"/>
            <w:gridSpan w:val="2"/>
            <w:vMerge/>
            <w:shd w:val="clear" w:color="auto" w:fill="auto"/>
            <w:vAlign w:val="center"/>
          </w:tcPr>
          <w:p w14:paraId="3533A3AF"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61C938B3" w14:textId="77777777" w:rsidTr="00366835">
        <w:trPr>
          <w:jc w:val="center"/>
        </w:trPr>
        <w:tc>
          <w:tcPr>
            <w:tcW w:w="1883" w:type="pct"/>
            <w:vMerge w:val="restart"/>
            <w:shd w:val="clear" w:color="auto" w:fill="auto"/>
            <w:vAlign w:val="center"/>
          </w:tcPr>
          <w:p w14:paraId="433CC1A2"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Autoantibodies aDGP</w:t>
            </w:r>
            <w:r w:rsidRPr="00FA5C8D">
              <w:rPr>
                <w:rFonts w:ascii="Book Antiqua" w:hAnsi="Book Antiqua" w:cstheme="minorHAnsi"/>
                <w:bCs/>
                <w:color w:val="000000" w:themeColor="text1"/>
                <w:sz w:val="24"/>
                <w:szCs w:val="24"/>
              </w:rPr>
              <w:t>IgA</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w:t>
            </w:r>
            <w:r w:rsidRPr="00FA5C8D">
              <w:rPr>
                <w:rFonts w:ascii="Book Antiqua" w:hAnsi="Book Antiqua" w:cstheme="minorHAnsi"/>
                <w:bCs/>
                <w:i/>
                <w:color w:val="000000" w:themeColor="text1"/>
                <w:sz w:val="24"/>
                <w:szCs w:val="24"/>
              </w:rPr>
              <w:t>n</w:t>
            </w:r>
            <w:r w:rsidR="007825A2" w:rsidRPr="00FA5C8D">
              <w:rPr>
                <w:rFonts w:ascii="Book Antiqua" w:hAnsi="Book Antiqua" w:cstheme="minorHAnsi"/>
                <w:bCs/>
                <w:i/>
                <w:color w:val="000000" w:themeColor="text1"/>
                <w:sz w:val="24"/>
                <w:szCs w:val="24"/>
              </w:rPr>
              <w:t xml:space="preserve"> </w:t>
            </w:r>
            <w:r w:rsidRPr="00FA5C8D">
              <w:rPr>
                <w:rFonts w:ascii="Book Antiqua" w:hAnsi="Book Antiqua" w:cstheme="minorHAnsi"/>
                <w:bCs/>
                <w:color w:val="000000" w:themeColor="text1"/>
                <w:sz w:val="24"/>
                <w:szCs w:val="24"/>
              </w:rPr>
              <w:t>=</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78)</w:t>
            </w:r>
          </w:p>
        </w:tc>
        <w:tc>
          <w:tcPr>
            <w:tcW w:w="930" w:type="pct"/>
            <w:gridSpan w:val="2"/>
            <w:shd w:val="clear" w:color="auto" w:fill="auto"/>
            <w:vAlign w:val="center"/>
          </w:tcPr>
          <w:p w14:paraId="0CDD40D7"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shd w:val="clear" w:color="auto" w:fill="auto"/>
            <w:vAlign w:val="center"/>
          </w:tcPr>
          <w:p w14:paraId="1F0D3B8B"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13 (72.2)</w:t>
            </w:r>
          </w:p>
        </w:tc>
        <w:tc>
          <w:tcPr>
            <w:tcW w:w="754" w:type="pct"/>
            <w:gridSpan w:val="2"/>
            <w:shd w:val="clear" w:color="auto" w:fill="auto"/>
            <w:vAlign w:val="center"/>
          </w:tcPr>
          <w:p w14:paraId="59B20941"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11 (18.3)</w:t>
            </w:r>
          </w:p>
        </w:tc>
        <w:tc>
          <w:tcPr>
            <w:tcW w:w="718" w:type="pct"/>
            <w:gridSpan w:val="2"/>
            <w:vMerge w:val="restart"/>
            <w:shd w:val="clear" w:color="auto" w:fill="auto"/>
            <w:vAlign w:val="center"/>
          </w:tcPr>
          <w:p w14:paraId="1E19E093"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&lt;</w:t>
            </w:r>
            <w:r w:rsidR="007825A2" w:rsidRPr="00FA5C8D">
              <w:rPr>
                <w:rFonts w:ascii="Book Antiqua" w:hAnsi="Book Antiqua" w:cs="Calibri"/>
                <w:bCs/>
                <w:color w:val="000000" w:themeColor="text1"/>
                <w:sz w:val="24"/>
                <w:szCs w:val="24"/>
              </w:rPr>
              <w:t xml:space="preserve"> </w:t>
            </w:r>
            <w:r w:rsidRPr="00FA5C8D">
              <w:rPr>
                <w:rFonts w:ascii="Book Antiqua" w:hAnsi="Book Antiqua" w:cs="Calibri"/>
                <w:bCs/>
                <w:color w:val="000000" w:themeColor="text1"/>
                <w:sz w:val="24"/>
                <w:szCs w:val="24"/>
              </w:rPr>
              <w:t>0.001</w:t>
            </w:r>
            <w:r w:rsidR="007825A2" w:rsidRPr="00FA5C8D">
              <w:rPr>
                <w:rFonts w:ascii="Book Antiqua" w:hAnsi="Book Antiqua" w:cs="Calibri"/>
                <w:bCs/>
                <w:color w:val="000000" w:themeColor="text1"/>
                <w:sz w:val="24"/>
                <w:szCs w:val="24"/>
                <w:vertAlign w:val="superscript"/>
              </w:rPr>
              <w:t>b</w:t>
            </w:r>
          </w:p>
        </w:tc>
      </w:tr>
      <w:tr w:rsidR="007F43E5" w:rsidRPr="00FA5C8D" w14:paraId="2D07EFC9" w14:textId="77777777" w:rsidTr="00366835">
        <w:trPr>
          <w:jc w:val="center"/>
        </w:trPr>
        <w:tc>
          <w:tcPr>
            <w:tcW w:w="1883" w:type="pct"/>
            <w:vMerge/>
            <w:shd w:val="clear" w:color="auto" w:fill="auto"/>
            <w:vAlign w:val="center"/>
          </w:tcPr>
          <w:p w14:paraId="7F9107EF"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79EA6504"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30323AC6"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5 (27.8)</w:t>
            </w:r>
          </w:p>
        </w:tc>
        <w:tc>
          <w:tcPr>
            <w:tcW w:w="754" w:type="pct"/>
            <w:gridSpan w:val="2"/>
            <w:shd w:val="clear" w:color="auto" w:fill="auto"/>
            <w:vAlign w:val="center"/>
          </w:tcPr>
          <w:p w14:paraId="12057C33"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49 (81.7)</w:t>
            </w:r>
          </w:p>
        </w:tc>
        <w:tc>
          <w:tcPr>
            <w:tcW w:w="718" w:type="pct"/>
            <w:gridSpan w:val="2"/>
            <w:vMerge/>
            <w:shd w:val="clear" w:color="auto" w:fill="auto"/>
            <w:vAlign w:val="center"/>
          </w:tcPr>
          <w:p w14:paraId="777A61D4"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5CF65C9F" w14:textId="77777777" w:rsidTr="00366835">
        <w:trPr>
          <w:jc w:val="center"/>
        </w:trPr>
        <w:tc>
          <w:tcPr>
            <w:tcW w:w="1883" w:type="pct"/>
            <w:vMerge/>
            <w:shd w:val="clear" w:color="auto" w:fill="auto"/>
            <w:vAlign w:val="center"/>
          </w:tcPr>
          <w:p w14:paraId="2486CFE8"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62E2C19C"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Total</w:t>
            </w:r>
          </w:p>
        </w:tc>
        <w:tc>
          <w:tcPr>
            <w:tcW w:w="715" w:type="pct"/>
            <w:shd w:val="clear" w:color="auto" w:fill="auto"/>
            <w:vAlign w:val="center"/>
          </w:tcPr>
          <w:p w14:paraId="302A5EB5"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648001D8"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60 (100)</w:t>
            </w:r>
          </w:p>
        </w:tc>
        <w:tc>
          <w:tcPr>
            <w:tcW w:w="718" w:type="pct"/>
            <w:gridSpan w:val="2"/>
            <w:vMerge/>
            <w:shd w:val="clear" w:color="auto" w:fill="auto"/>
            <w:vAlign w:val="center"/>
          </w:tcPr>
          <w:p w14:paraId="1DD3AF3C"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4DED8F93" w14:textId="77777777" w:rsidTr="00366835">
        <w:trPr>
          <w:jc w:val="center"/>
        </w:trPr>
        <w:tc>
          <w:tcPr>
            <w:tcW w:w="1883" w:type="pct"/>
            <w:vMerge w:val="restart"/>
            <w:shd w:val="clear" w:color="auto" w:fill="auto"/>
            <w:vAlign w:val="center"/>
          </w:tcPr>
          <w:p w14:paraId="724C3911"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Autoantibodies aDGP</w:t>
            </w:r>
            <w:r w:rsidR="00C77650" w:rsidRPr="00FA5C8D">
              <w:rPr>
                <w:rFonts w:ascii="Book Antiqua" w:hAnsi="Book Antiqua" w:cstheme="minorHAnsi"/>
                <w:bCs/>
                <w:sz w:val="24"/>
                <w:szCs w:val="24"/>
              </w:rPr>
              <w:t xml:space="preserve"> </w:t>
            </w:r>
            <w:r w:rsidRPr="00FA5C8D">
              <w:rPr>
                <w:rFonts w:ascii="Book Antiqua" w:hAnsi="Book Antiqua" w:cstheme="minorHAnsi"/>
                <w:bCs/>
                <w:color w:val="000000" w:themeColor="text1"/>
                <w:sz w:val="24"/>
                <w:szCs w:val="24"/>
              </w:rPr>
              <w:t>IgG</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w:t>
            </w:r>
            <w:r w:rsidRPr="00FA5C8D">
              <w:rPr>
                <w:rFonts w:ascii="Book Antiqua" w:hAnsi="Book Antiqua" w:cstheme="minorHAnsi"/>
                <w:bCs/>
                <w:i/>
                <w:color w:val="000000" w:themeColor="text1"/>
                <w:sz w:val="24"/>
                <w:szCs w:val="24"/>
              </w:rPr>
              <w:t>n</w:t>
            </w:r>
            <w:r w:rsidR="007825A2" w:rsidRPr="00FA5C8D">
              <w:rPr>
                <w:rFonts w:ascii="Book Antiqua" w:hAnsi="Book Antiqua" w:cstheme="minorHAnsi"/>
                <w:bCs/>
                <w:i/>
                <w:color w:val="000000" w:themeColor="text1"/>
                <w:sz w:val="24"/>
                <w:szCs w:val="24"/>
              </w:rPr>
              <w:t xml:space="preserve"> </w:t>
            </w:r>
            <w:r w:rsidRPr="00FA5C8D">
              <w:rPr>
                <w:rFonts w:ascii="Book Antiqua" w:hAnsi="Book Antiqua" w:cstheme="minorHAnsi"/>
                <w:bCs/>
                <w:color w:val="000000" w:themeColor="text1"/>
                <w:sz w:val="24"/>
                <w:szCs w:val="24"/>
              </w:rPr>
              <w:t>=</w:t>
            </w:r>
            <w:r w:rsidR="007825A2" w:rsidRPr="00FA5C8D">
              <w:rPr>
                <w:rFonts w:ascii="Book Antiqua" w:hAnsi="Book Antiqua" w:cstheme="minorHAnsi"/>
                <w:bCs/>
                <w:color w:val="000000" w:themeColor="text1"/>
                <w:sz w:val="24"/>
                <w:szCs w:val="24"/>
              </w:rPr>
              <w:t xml:space="preserve"> </w:t>
            </w:r>
            <w:r w:rsidRPr="00FA5C8D">
              <w:rPr>
                <w:rFonts w:ascii="Book Antiqua" w:hAnsi="Book Antiqua" w:cstheme="minorHAnsi"/>
                <w:bCs/>
                <w:color w:val="000000" w:themeColor="text1"/>
                <w:sz w:val="24"/>
                <w:szCs w:val="24"/>
              </w:rPr>
              <w:t>78)</w:t>
            </w:r>
          </w:p>
        </w:tc>
        <w:tc>
          <w:tcPr>
            <w:tcW w:w="930" w:type="pct"/>
            <w:gridSpan w:val="2"/>
            <w:shd w:val="clear" w:color="auto" w:fill="auto"/>
            <w:vAlign w:val="center"/>
          </w:tcPr>
          <w:p w14:paraId="7136444C"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Positive</w:t>
            </w:r>
          </w:p>
        </w:tc>
        <w:tc>
          <w:tcPr>
            <w:tcW w:w="715" w:type="pct"/>
            <w:shd w:val="clear" w:color="auto" w:fill="auto"/>
            <w:vAlign w:val="center"/>
          </w:tcPr>
          <w:p w14:paraId="49E71304"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11 (61.1)</w:t>
            </w:r>
          </w:p>
        </w:tc>
        <w:tc>
          <w:tcPr>
            <w:tcW w:w="754" w:type="pct"/>
            <w:gridSpan w:val="2"/>
            <w:shd w:val="clear" w:color="auto" w:fill="auto"/>
            <w:vAlign w:val="center"/>
          </w:tcPr>
          <w:p w14:paraId="40D16096"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9 (15)</w:t>
            </w:r>
          </w:p>
        </w:tc>
        <w:tc>
          <w:tcPr>
            <w:tcW w:w="718" w:type="pct"/>
            <w:gridSpan w:val="2"/>
            <w:vMerge w:val="restart"/>
            <w:shd w:val="clear" w:color="auto" w:fill="auto"/>
            <w:vAlign w:val="center"/>
          </w:tcPr>
          <w:p w14:paraId="3B73360E"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&lt;</w:t>
            </w:r>
            <w:r w:rsidR="007825A2" w:rsidRPr="00FA5C8D">
              <w:rPr>
                <w:rFonts w:ascii="Book Antiqua" w:hAnsi="Book Antiqua" w:cs="Calibri"/>
                <w:bCs/>
                <w:color w:val="000000" w:themeColor="text1"/>
                <w:sz w:val="24"/>
                <w:szCs w:val="24"/>
              </w:rPr>
              <w:t xml:space="preserve"> </w:t>
            </w:r>
            <w:r w:rsidRPr="00FA5C8D">
              <w:rPr>
                <w:rFonts w:ascii="Book Antiqua" w:hAnsi="Book Antiqua" w:cs="Calibri"/>
                <w:bCs/>
                <w:color w:val="000000" w:themeColor="text1"/>
                <w:sz w:val="24"/>
                <w:szCs w:val="24"/>
              </w:rPr>
              <w:t>0.001</w:t>
            </w:r>
            <w:r w:rsidR="007825A2" w:rsidRPr="00FA5C8D">
              <w:rPr>
                <w:rFonts w:ascii="Book Antiqua" w:hAnsi="Book Antiqua" w:cs="Calibri"/>
                <w:bCs/>
                <w:color w:val="000000" w:themeColor="text1"/>
                <w:sz w:val="24"/>
                <w:szCs w:val="24"/>
                <w:vertAlign w:val="superscript"/>
              </w:rPr>
              <w:t>b</w:t>
            </w:r>
          </w:p>
        </w:tc>
      </w:tr>
      <w:tr w:rsidR="007F43E5" w:rsidRPr="00FA5C8D" w14:paraId="4D723C9C" w14:textId="77777777" w:rsidTr="00366835">
        <w:trPr>
          <w:jc w:val="center"/>
        </w:trPr>
        <w:tc>
          <w:tcPr>
            <w:tcW w:w="1883" w:type="pct"/>
            <w:vMerge/>
            <w:shd w:val="clear" w:color="auto" w:fill="auto"/>
            <w:vAlign w:val="center"/>
          </w:tcPr>
          <w:p w14:paraId="2DA9E819"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6A39DDEC"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sz w:val="24"/>
                <w:szCs w:val="24"/>
              </w:rPr>
              <w:t>Negative</w:t>
            </w:r>
          </w:p>
        </w:tc>
        <w:tc>
          <w:tcPr>
            <w:tcW w:w="715" w:type="pct"/>
            <w:shd w:val="clear" w:color="auto" w:fill="auto"/>
            <w:vAlign w:val="center"/>
          </w:tcPr>
          <w:p w14:paraId="49039494"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7 (38.9)</w:t>
            </w:r>
          </w:p>
        </w:tc>
        <w:tc>
          <w:tcPr>
            <w:tcW w:w="754" w:type="pct"/>
            <w:gridSpan w:val="2"/>
            <w:shd w:val="clear" w:color="auto" w:fill="auto"/>
            <w:vAlign w:val="center"/>
          </w:tcPr>
          <w:p w14:paraId="2967D68C"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51 (85)</w:t>
            </w:r>
          </w:p>
        </w:tc>
        <w:tc>
          <w:tcPr>
            <w:tcW w:w="718" w:type="pct"/>
            <w:gridSpan w:val="2"/>
            <w:vMerge/>
            <w:shd w:val="clear" w:color="auto" w:fill="auto"/>
            <w:vAlign w:val="center"/>
          </w:tcPr>
          <w:p w14:paraId="0F9E781A"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7EFD8741" w14:textId="77777777" w:rsidTr="00366835">
        <w:trPr>
          <w:jc w:val="center"/>
        </w:trPr>
        <w:tc>
          <w:tcPr>
            <w:tcW w:w="1883" w:type="pct"/>
            <w:vMerge/>
            <w:shd w:val="clear" w:color="auto" w:fill="auto"/>
            <w:vAlign w:val="center"/>
          </w:tcPr>
          <w:p w14:paraId="328C0B3C"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p>
        </w:tc>
        <w:tc>
          <w:tcPr>
            <w:tcW w:w="930" w:type="pct"/>
            <w:gridSpan w:val="2"/>
            <w:shd w:val="clear" w:color="auto" w:fill="auto"/>
            <w:vAlign w:val="center"/>
          </w:tcPr>
          <w:p w14:paraId="4197B91D" w14:textId="77777777" w:rsidR="007F43E5" w:rsidRPr="00FA5C8D" w:rsidRDefault="007F43E5" w:rsidP="00FA5C8D">
            <w:pPr>
              <w:snapToGrid w:val="0"/>
              <w:spacing w:line="360" w:lineRule="auto"/>
              <w:jc w:val="both"/>
              <w:rPr>
                <w:rFonts w:ascii="Book Antiqua" w:hAnsi="Book Antiqua" w:cstheme="minorHAnsi"/>
                <w:bCs/>
                <w:color w:val="000000" w:themeColor="text1"/>
                <w:sz w:val="24"/>
                <w:szCs w:val="24"/>
                <w:lang w:val="en-US"/>
              </w:rPr>
            </w:pPr>
            <w:r w:rsidRPr="00FA5C8D">
              <w:rPr>
                <w:rFonts w:ascii="Book Antiqua" w:hAnsi="Book Antiqua" w:cstheme="minorHAnsi"/>
                <w:bCs/>
                <w:color w:val="000000" w:themeColor="text1"/>
                <w:sz w:val="24"/>
                <w:szCs w:val="24"/>
              </w:rPr>
              <w:t>Total</w:t>
            </w:r>
          </w:p>
        </w:tc>
        <w:tc>
          <w:tcPr>
            <w:tcW w:w="715" w:type="pct"/>
            <w:shd w:val="clear" w:color="auto" w:fill="auto"/>
            <w:vAlign w:val="center"/>
          </w:tcPr>
          <w:p w14:paraId="74A56FD7"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18 (100)</w:t>
            </w:r>
          </w:p>
        </w:tc>
        <w:tc>
          <w:tcPr>
            <w:tcW w:w="754" w:type="pct"/>
            <w:gridSpan w:val="2"/>
            <w:shd w:val="clear" w:color="auto" w:fill="auto"/>
            <w:vAlign w:val="center"/>
          </w:tcPr>
          <w:p w14:paraId="09C070F0"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60 (100)</w:t>
            </w:r>
          </w:p>
        </w:tc>
        <w:tc>
          <w:tcPr>
            <w:tcW w:w="718" w:type="pct"/>
            <w:gridSpan w:val="2"/>
            <w:vMerge/>
            <w:shd w:val="clear" w:color="auto" w:fill="auto"/>
            <w:vAlign w:val="center"/>
          </w:tcPr>
          <w:p w14:paraId="36B954F8" w14:textId="77777777" w:rsidR="007F43E5" w:rsidRPr="00FA5C8D" w:rsidRDefault="007F43E5" w:rsidP="00FA5C8D">
            <w:pPr>
              <w:snapToGrid w:val="0"/>
              <w:spacing w:line="360" w:lineRule="auto"/>
              <w:jc w:val="both"/>
              <w:rPr>
                <w:rFonts w:ascii="Book Antiqua" w:hAnsi="Book Antiqua" w:cs="Calibri"/>
                <w:bCs/>
                <w:color w:val="000000" w:themeColor="text1"/>
                <w:sz w:val="24"/>
                <w:szCs w:val="24"/>
                <w:lang w:val="en-US"/>
              </w:rPr>
            </w:pPr>
          </w:p>
        </w:tc>
      </w:tr>
      <w:tr w:rsidR="007F43E5" w:rsidRPr="00FA5C8D" w14:paraId="57189490" w14:textId="77777777" w:rsidTr="00366835">
        <w:trPr>
          <w:jc w:val="center"/>
        </w:trPr>
        <w:tc>
          <w:tcPr>
            <w:tcW w:w="1883" w:type="pct"/>
            <w:vMerge w:val="restart"/>
            <w:shd w:val="clear" w:color="auto" w:fill="auto"/>
            <w:vAlign w:val="center"/>
          </w:tcPr>
          <w:p w14:paraId="5F3ACEA9"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Ultrasonography</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66)</w:t>
            </w:r>
          </w:p>
        </w:tc>
        <w:tc>
          <w:tcPr>
            <w:tcW w:w="922" w:type="pct"/>
            <w:shd w:val="clear" w:color="auto" w:fill="auto"/>
            <w:vAlign w:val="center"/>
          </w:tcPr>
          <w:p w14:paraId="6E170195"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793" w:type="pct"/>
            <w:gridSpan w:val="3"/>
            <w:shd w:val="clear" w:color="auto" w:fill="auto"/>
            <w:vAlign w:val="center"/>
          </w:tcPr>
          <w:p w14:paraId="03A4A951"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11 (64.7)</w:t>
            </w:r>
          </w:p>
        </w:tc>
        <w:tc>
          <w:tcPr>
            <w:tcW w:w="684" w:type="pct"/>
            <w:shd w:val="clear" w:color="auto" w:fill="auto"/>
            <w:vAlign w:val="center"/>
          </w:tcPr>
          <w:p w14:paraId="5F004963"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13 (26.5)</w:t>
            </w:r>
          </w:p>
        </w:tc>
        <w:tc>
          <w:tcPr>
            <w:tcW w:w="718" w:type="pct"/>
            <w:gridSpan w:val="2"/>
            <w:vMerge w:val="restart"/>
            <w:shd w:val="clear" w:color="auto" w:fill="auto"/>
            <w:vAlign w:val="center"/>
          </w:tcPr>
          <w:p w14:paraId="290C4750"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0.008</w:t>
            </w:r>
            <w:r w:rsidR="007825A2" w:rsidRPr="00FA5C8D">
              <w:rPr>
                <w:rFonts w:ascii="Book Antiqua" w:hAnsi="Book Antiqua" w:cs="Calibri"/>
                <w:bCs/>
                <w:sz w:val="24"/>
                <w:szCs w:val="24"/>
                <w:vertAlign w:val="superscript"/>
              </w:rPr>
              <w:t>b</w:t>
            </w:r>
          </w:p>
        </w:tc>
      </w:tr>
      <w:tr w:rsidR="007F43E5" w:rsidRPr="00FA5C8D" w14:paraId="4D5BEC4F" w14:textId="77777777" w:rsidTr="00366835">
        <w:trPr>
          <w:jc w:val="center"/>
        </w:trPr>
        <w:tc>
          <w:tcPr>
            <w:tcW w:w="1883" w:type="pct"/>
            <w:vMerge/>
            <w:shd w:val="clear" w:color="auto" w:fill="auto"/>
            <w:vAlign w:val="center"/>
          </w:tcPr>
          <w:p w14:paraId="6508439C"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091695B6"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793" w:type="pct"/>
            <w:gridSpan w:val="3"/>
            <w:shd w:val="clear" w:color="auto" w:fill="auto"/>
            <w:vAlign w:val="center"/>
          </w:tcPr>
          <w:p w14:paraId="427A1905"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6 (35.3)</w:t>
            </w:r>
          </w:p>
        </w:tc>
        <w:tc>
          <w:tcPr>
            <w:tcW w:w="684" w:type="pct"/>
            <w:shd w:val="clear" w:color="auto" w:fill="auto"/>
            <w:vAlign w:val="center"/>
          </w:tcPr>
          <w:p w14:paraId="611EAD9B"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36 (73.5)</w:t>
            </w:r>
          </w:p>
        </w:tc>
        <w:tc>
          <w:tcPr>
            <w:tcW w:w="718" w:type="pct"/>
            <w:gridSpan w:val="2"/>
            <w:vMerge/>
            <w:shd w:val="clear" w:color="auto" w:fill="auto"/>
            <w:vAlign w:val="center"/>
          </w:tcPr>
          <w:p w14:paraId="70F6F683" w14:textId="77777777" w:rsidR="007F43E5" w:rsidRPr="00FA5C8D" w:rsidRDefault="007F43E5" w:rsidP="00FA5C8D">
            <w:pPr>
              <w:snapToGrid w:val="0"/>
              <w:spacing w:line="360" w:lineRule="auto"/>
              <w:jc w:val="both"/>
              <w:rPr>
                <w:rFonts w:ascii="Book Antiqua" w:hAnsi="Book Antiqua" w:cs="Calibri"/>
                <w:bCs/>
                <w:sz w:val="24"/>
                <w:szCs w:val="24"/>
                <w:lang w:val="en-US"/>
              </w:rPr>
            </w:pPr>
          </w:p>
        </w:tc>
      </w:tr>
      <w:tr w:rsidR="007F43E5" w:rsidRPr="00FA5C8D" w14:paraId="696E0DE4" w14:textId="77777777" w:rsidTr="00366835">
        <w:trPr>
          <w:jc w:val="center"/>
        </w:trPr>
        <w:tc>
          <w:tcPr>
            <w:tcW w:w="1883" w:type="pct"/>
            <w:vMerge/>
            <w:shd w:val="clear" w:color="auto" w:fill="auto"/>
            <w:vAlign w:val="center"/>
          </w:tcPr>
          <w:p w14:paraId="5A85821E"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4EDD968F"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25E5C7BD"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17 (100)</w:t>
            </w:r>
          </w:p>
        </w:tc>
        <w:tc>
          <w:tcPr>
            <w:tcW w:w="684" w:type="pct"/>
            <w:shd w:val="clear" w:color="auto" w:fill="auto"/>
            <w:vAlign w:val="center"/>
          </w:tcPr>
          <w:p w14:paraId="7B2C64B0" w14:textId="77777777" w:rsidR="007F43E5" w:rsidRPr="00FA5C8D" w:rsidRDefault="007F43E5"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sz w:val="24"/>
                <w:szCs w:val="24"/>
              </w:rPr>
              <w:t>49 (100)</w:t>
            </w:r>
          </w:p>
        </w:tc>
        <w:tc>
          <w:tcPr>
            <w:tcW w:w="718" w:type="pct"/>
            <w:gridSpan w:val="2"/>
            <w:vMerge/>
            <w:shd w:val="clear" w:color="auto" w:fill="auto"/>
            <w:vAlign w:val="center"/>
          </w:tcPr>
          <w:p w14:paraId="711FBBA1" w14:textId="77777777" w:rsidR="007F43E5" w:rsidRPr="00FA5C8D" w:rsidRDefault="007F43E5" w:rsidP="00FA5C8D">
            <w:pPr>
              <w:snapToGrid w:val="0"/>
              <w:spacing w:line="360" w:lineRule="auto"/>
              <w:jc w:val="both"/>
              <w:rPr>
                <w:rFonts w:ascii="Book Antiqua" w:hAnsi="Book Antiqua" w:cs="Calibri"/>
                <w:bCs/>
                <w:sz w:val="24"/>
                <w:szCs w:val="24"/>
                <w:lang w:val="en-US"/>
              </w:rPr>
            </w:pPr>
          </w:p>
        </w:tc>
      </w:tr>
      <w:tr w:rsidR="007F43E5" w:rsidRPr="00FA5C8D" w14:paraId="55BB9FBB" w14:textId="77777777" w:rsidTr="00366835">
        <w:trPr>
          <w:jc w:val="center"/>
        </w:trPr>
        <w:tc>
          <w:tcPr>
            <w:tcW w:w="1883" w:type="pct"/>
            <w:vMerge w:val="restart"/>
            <w:shd w:val="clear" w:color="auto" w:fill="auto"/>
            <w:vAlign w:val="center"/>
          </w:tcPr>
          <w:p w14:paraId="3E17CE27"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Diarrhea</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81)</w:t>
            </w:r>
          </w:p>
        </w:tc>
        <w:tc>
          <w:tcPr>
            <w:tcW w:w="922" w:type="pct"/>
            <w:shd w:val="clear" w:color="auto" w:fill="auto"/>
            <w:vAlign w:val="center"/>
          </w:tcPr>
          <w:p w14:paraId="324C7E58"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793" w:type="pct"/>
            <w:gridSpan w:val="3"/>
            <w:shd w:val="clear" w:color="auto" w:fill="auto"/>
            <w:vAlign w:val="center"/>
          </w:tcPr>
          <w:p w14:paraId="3B97B715"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 (44.4)</w:t>
            </w:r>
          </w:p>
        </w:tc>
        <w:tc>
          <w:tcPr>
            <w:tcW w:w="684" w:type="pct"/>
            <w:shd w:val="clear" w:color="auto" w:fill="auto"/>
            <w:vAlign w:val="center"/>
          </w:tcPr>
          <w:p w14:paraId="4657748C"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11 (17.5)</w:t>
            </w:r>
          </w:p>
        </w:tc>
        <w:tc>
          <w:tcPr>
            <w:tcW w:w="718" w:type="pct"/>
            <w:gridSpan w:val="2"/>
            <w:vMerge w:val="restart"/>
            <w:shd w:val="clear" w:color="auto" w:fill="auto"/>
            <w:vAlign w:val="center"/>
          </w:tcPr>
          <w:p w14:paraId="241F097C"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0.027</w:t>
            </w:r>
            <w:r w:rsidR="007825A2" w:rsidRPr="00FA5C8D">
              <w:rPr>
                <w:rFonts w:ascii="Book Antiqua" w:hAnsi="Book Antiqua" w:cs="Calibri"/>
                <w:bCs/>
                <w:color w:val="000000"/>
                <w:sz w:val="24"/>
                <w:szCs w:val="24"/>
                <w:vertAlign w:val="superscript"/>
              </w:rPr>
              <w:t>a</w:t>
            </w:r>
          </w:p>
        </w:tc>
      </w:tr>
      <w:tr w:rsidR="007F43E5" w:rsidRPr="00FA5C8D" w14:paraId="7FB789C0" w14:textId="77777777" w:rsidTr="00366835">
        <w:trPr>
          <w:jc w:val="center"/>
        </w:trPr>
        <w:tc>
          <w:tcPr>
            <w:tcW w:w="1883" w:type="pct"/>
            <w:vMerge/>
            <w:shd w:val="clear" w:color="auto" w:fill="auto"/>
            <w:vAlign w:val="center"/>
          </w:tcPr>
          <w:p w14:paraId="19EB9FEE"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7F631C8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793" w:type="pct"/>
            <w:gridSpan w:val="3"/>
            <w:shd w:val="clear" w:color="auto" w:fill="auto"/>
            <w:vAlign w:val="center"/>
          </w:tcPr>
          <w:p w14:paraId="1849D07E"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10 (55.6)</w:t>
            </w:r>
          </w:p>
        </w:tc>
        <w:tc>
          <w:tcPr>
            <w:tcW w:w="684" w:type="pct"/>
            <w:shd w:val="clear" w:color="auto" w:fill="auto"/>
            <w:vAlign w:val="center"/>
          </w:tcPr>
          <w:p w14:paraId="62D031D6"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52 (82.5)</w:t>
            </w:r>
          </w:p>
        </w:tc>
        <w:tc>
          <w:tcPr>
            <w:tcW w:w="718" w:type="pct"/>
            <w:gridSpan w:val="2"/>
            <w:vMerge/>
            <w:shd w:val="clear" w:color="auto" w:fill="auto"/>
            <w:vAlign w:val="center"/>
          </w:tcPr>
          <w:p w14:paraId="6814C431"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6296FFB5" w14:textId="77777777" w:rsidTr="00366835">
        <w:trPr>
          <w:jc w:val="center"/>
        </w:trPr>
        <w:tc>
          <w:tcPr>
            <w:tcW w:w="1883" w:type="pct"/>
            <w:vMerge/>
            <w:shd w:val="clear" w:color="auto" w:fill="auto"/>
            <w:vAlign w:val="center"/>
          </w:tcPr>
          <w:p w14:paraId="3F2C97EA"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2CCCCDF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4805598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1048C57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 (100)</w:t>
            </w:r>
          </w:p>
        </w:tc>
        <w:tc>
          <w:tcPr>
            <w:tcW w:w="718" w:type="pct"/>
            <w:gridSpan w:val="2"/>
            <w:vMerge/>
            <w:shd w:val="clear" w:color="auto" w:fill="auto"/>
            <w:vAlign w:val="center"/>
          </w:tcPr>
          <w:p w14:paraId="52CB76BD"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3DEEF881" w14:textId="77777777" w:rsidTr="00366835">
        <w:trPr>
          <w:jc w:val="center"/>
        </w:trPr>
        <w:tc>
          <w:tcPr>
            <w:tcW w:w="1883" w:type="pct"/>
            <w:shd w:val="clear" w:color="auto" w:fill="auto"/>
            <w:vAlign w:val="center"/>
          </w:tcPr>
          <w:p w14:paraId="55DCB4CB"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0F10BB1F"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793" w:type="pct"/>
            <w:gridSpan w:val="3"/>
            <w:shd w:val="clear" w:color="auto" w:fill="auto"/>
            <w:vAlign w:val="center"/>
          </w:tcPr>
          <w:p w14:paraId="0FE752E8"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 (22.2)</w:t>
            </w:r>
          </w:p>
        </w:tc>
        <w:tc>
          <w:tcPr>
            <w:tcW w:w="684" w:type="pct"/>
            <w:shd w:val="clear" w:color="auto" w:fill="auto"/>
            <w:vAlign w:val="center"/>
          </w:tcPr>
          <w:p w14:paraId="38643C10"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 (6.4)</w:t>
            </w:r>
          </w:p>
        </w:tc>
        <w:tc>
          <w:tcPr>
            <w:tcW w:w="718" w:type="pct"/>
            <w:gridSpan w:val="2"/>
            <w:vMerge w:val="restart"/>
            <w:shd w:val="clear" w:color="auto" w:fill="auto"/>
            <w:vAlign w:val="center"/>
          </w:tcPr>
          <w:p w14:paraId="78610AF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0.068</w:t>
            </w:r>
          </w:p>
        </w:tc>
      </w:tr>
      <w:tr w:rsidR="007F43E5" w:rsidRPr="00FA5C8D" w14:paraId="63D7D9B4" w14:textId="77777777" w:rsidTr="00366835">
        <w:trPr>
          <w:jc w:val="center"/>
        </w:trPr>
        <w:tc>
          <w:tcPr>
            <w:tcW w:w="1883" w:type="pct"/>
            <w:shd w:val="clear" w:color="auto" w:fill="auto"/>
            <w:vAlign w:val="center"/>
          </w:tcPr>
          <w:p w14:paraId="13C0450F"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Weight loss (</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81)</w:t>
            </w:r>
          </w:p>
        </w:tc>
        <w:tc>
          <w:tcPr>
            <w:tcW w:w="922" w:type="pct"/>
            <w:shd w:val="clear" w:color="auto" w:fill="auto"/>
            <w:vAlign w:val="center"/>
          </w:tcPr>
          <w:p w14:paraId="5225FBE8"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793" w:type="pct"/>
            <w:gridSpan w:val="3"/>
            <w:shd w:val="clear" w:color="auto" w:fill="auto"/>
            <w:vAlign w:val="center"/>
          </w:tcPr>
          <w:p w14:paraId="163DDA9C"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14 (77.8)</w:t>
            </w:r>
          </w:p>
        </w:tc>
        <w:tc>
          <w:tcPr>
            <w:tcW w:w="684" w:type="pct"/>
            <w:shd w:val="clear" w:color="auto" w:fill="auto"/>
            <w:vAlign w:val="center"/>
          </w:tcPr>
          <w:p w14:paraId="5DF858A7"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59 (93.6)</w:t>
            </w:r>
          </w:p>
        </w:tc>
        <w:tc>
          <w:tcPr>
            <w:tcW w:w="718" w:type="pct"/>
            <w:gridSpan w:val="2"/>
            <w:vMerge/>
            <w:shd w:val="clear" w:color="auto" w:fill="auto"/>
            <w:vAlign w:val="center"/>
          </w:tcPr>
          <w:p w14:paraId="1B6DF18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07CF4ACC" w14:textId="77777777" w:rsidTr="00366835">
        <w:trPr>
          <w:jc w:val="center"/>
        </w:trPr>
        <w:tc>
          <w:tcPr>
            <w:tcW w:w="1883" w:type="pct"/>
            <w:shd w:val="clear" w:color="auto" w:fill="auto"/>
            <w:vAlign w:val="center"/>
          </w:tcPr>
          <w:p w14:paraId="6AC7AC6C"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092EA9DE"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5E375C3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0CD9E7DA"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 (100)</w:t>
            </w:r>
          </w:p>
        </w:tc>
        <w:tc>
          <w:tcPr>
            <w:tcW w:w="718" w:type="pct"/>
            <w:gridSpan w:val="2"/>
            <w:vMerge/>
            <w:shd w:val="clear" w:color="auto" w:fill="auto"/>
            <w:vAlign w:val="center"/>
          </w:tcPr>
          <w:p w14:paraId="1EA05450"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58843798" w14:textId="77777777" w:rsidTr="00366835">
        <w:trPr>
          <w:jc w:val="center"/>
        </w:trPr>
        <w:tc>
          <w:tcPr>
            <w:tcW w:w="1883" w:type="pct"/>
            <w:vMerge w:val="restart"/>
            <w:shd w:val="clear" w:color="auto" w:fill="auto"/>
            <w:vAlign w:val="center"/>
          </w:tcPr>
          <w:p w14:paraId="36751D65"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Abdominal pain</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81)</w:t>
            </w:r>
          </w:p>
        </w:tc>
        <w:tc>
          <w:tcPr>
            <w:tcW w:w="922" w:type="pct"/>
            <w:shd w:val="clear" w:color="auto" w:fill="auto"/>
            <w:vAlign w:val="center"/>
          </w:tcPr>
          <w:p w14:paraId="45F588C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Yes</w:t>
            </w:r>
          </w:p>
        </w:tc>
        <w:tc>
          <w:tcPr>
            <w:tcW w:w="793" w:type="pct"/>
            <w:gridSpan w:val="3"/>
            <w:shd w:val="clear" w:color="auto" w:fill="auto"/>
            <w:vAlign w:val="center"/>
          </w:tcPr>
          <w:p w14:paraId="778C1E8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3 (16.7)</w:t>
            </w:r>
          </w:p>
        </w:tc>
        <w:tc>
          <w:tcPr>
            <w:tcW w:w="684" w:type="pct"/>
            <w:shd w:val="clear" w:color="auto" w:fill="auto"/>
            <w:vAlign w:val="center"/>
          </w:tcPr>
          <w:p w14:paraId="557B95F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14 (22.2)</w:t>
            </w:r>
          </w:p>
        </w:tc>
        <w:tc>
          <w:tcPr>
            <w:tcW w:w="718" w:type="pct"/>
            <w:gridSpan w:val="2"/>
            <w:vMerge w:val="restart"/>
            <w:shd w:val="clear" w:color="auto" w:fill="auto"/>
            <w:vAlign w:val="center"/>
          </w:tcPr>
          <w:p w14:paraId="01348FFB"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0.751</w:t>
            </w:r>
          </w:p>
        </w:tc>
      </w:tr>
      <w:tr w:rsidR="007F43E5" w:rsidRPr="00FA5C8D" w14:paraId="2897D27D" w14:textId="77777777" w:rsidTr="00366835">
        <w:trPr>
          <w:jc w:val="center"/>
        </w:trPr>
        <w:tc>
          <w:tcPr>
            <w:tcW w:w="1883" w:type="pct"/>
            <w:vMerge/>
            <w:shd w:val="clear" w:color="auto" w:fill="auto"/>
            <w:vAlign w:val="center"/>
          </w:tcPr>
          <w:p w14:paraId="6355B0E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696FE4A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No</w:t>
            </w:r>
          </w:p>
        </w:tc>
        <w:tc>
          <w:tcPr>
            <w:tcW w:w="793" w:type="pct"/>
            <w:gridSpan w:val="3"/>
            <w:shd w:val="clear" w:color="auto" w:fill="auto"/>
            <w:vAlign w:val="center"/>
          </w:tcPr>
          <w:p w14:paraId="04A2F17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15 (83.3)</w:t>
            </w:r>
          </w:p>
        </w:tc>
        <w:tc>
          <w:tcPr>
            <w:tcW w:w="684" w:type="pct"/>
            <w:shd w:val="clear" w:color="auto" w:fill="auto"/>
            <w:vAlign w:val="center"/>
          </w:tcPr>
          <w:p w14:paraId="7A166188"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49 (77.8)</w:t>
            </w:r>
          </w:p>
        </w:tc>
        <w:tc>
          <w:tcPr>
            <w:tcW w:w="718" w:type="pct"/>
            <w:gridSpan w:val="2"/>
            <w:vMerge/>
            <w:shd w:val="clear" w:color="auto" w:fill="auto"/>
            <w:vAlign w:val="center"/>
          </w:tcPr>
          <w:p w14:paraId="47A88F8C"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14920EF9" w14:textId="77777777" w:rsidTr="00366835">
        <w:trPr>
          <w:jc w:val="center"/>
        </w:trPr>
        <w:tc>
          <w:tcPr>
            <w:tcW w:w="1883" w:type="pct"/>
            <w:vMerge/>
            <w:shd w:val="clear" w:color="auto" w:fill="auto"/>
            <w:vAlign w:val="center"/>
          </w:tcPr>
          <w:p w14:paraId="6372DD1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48980FAC"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0C9E174C"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27F081F9"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63 (100)</w:t>
            </w:r>
          </w:p>
        </w:tc>
        <w:tc>
          <w:tcPr>
            <w:tcW w:w="718" w:type="pct"/>
            <w:gridSpan w:val="2"/>
            <w:vMerge/>
            <w:shd w:val="clear" w:color="auto" w:fill="auto"/>
            <w:vAlign w:val="center"/>
          </w:tcPr>
          <w:p w14:paraId="50B6EC3F"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6D196FC9" w14:textId="77777777" w:rsidTr="00366835">
        <w:trPr>
          <w:jc w:val="center"/>
        </w:trPr>
        <w:tc>
          <w:tcPr>
            <w:tcW w:w="1883" w:type="pct"/>
            <w:vMerge w:val="restart"/>
            <w:shd w:val="clear" w:color="auto" w:fill="auto"/>
            <w:vAlign w:val="center"/>
          </w:tcPr>
          <w:p w14:paraId="42551104"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Anemia</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80)</w:t>
            </w:r>
          </w:p>
        </w:tc>
        <w:tc>
          <w:tcPr>
            <w:tcW w:w="922" w:type="pct"/>
            <w:shd w:val="clear" w:color="auto" w:fill="auto"/>
            <w:vAlign w:val="center"/>
          </w:tcPr>
          <w:p w14:paraId="547AA6E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793" w:type="pct"/>
            <w:gridSpan w:val="3"/>
            <w:shd w:val="clear" w:color="auto" w:fill="auto"/>
            <w:vAlign w:val="center"/>
          </w:tcPr>
          <w:p w14:paraId="0061238B"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 (5.6)</w:t>
            </w:r>
          </w:p>
        </w:tc>
        <w:tc>
          <w:tcPr>
            <w:tcW w:w="684" w:type="pct"/>
            <w:shd w:val="clear" w:color="auto" w:fill="auto"/>
            <w:vAlign w:val="center"/>
          </w:tcPr>
          <w:p w14:paraId="299D2D2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 (12.9)</w:t>
            </w:r>
          </w:p>
        </w:tc>
        <w:tc>
          <w:tcPr>
            <w:tcW w:w="718" w:type="pct"/>
            <w:gridSpan w:val="2"/>
            <w:vMerge w:val="restart"/>
            <w:shd w:val="clear" w:color="auto" w:fill="auto"/>
            <w:vAlign w:val="center"/>
          </w:tcPr>
          <w:p w14:paraId="0DD986EA"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0.676</w:t>
            </w:r>
          </w:p>
        </w:tc>
      </w:tr>
      <w:tr w:rsidR="007F43E5" w:rsidRPr="00FA5C8D" w14:paraId="09169F89" w14:textId="77777777" w:rsidTr="00366835">
        <w:trPr>
          <w:jc w:val="center"/>
        </w:trPr>
        <w:tc>
          <w:tcPr>
            <w:tcW w:w="1883" w:type="pct"/>
            <w:vMerge/>
            <w:shd w:val="clear" w:color="auto" w:fill="auto"/>
            <w:vAlign w:val="center"/>
          </w:tcPr>
          <w:p w14:paraId="03E2556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1CF21852"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793" w:type="pct"/>
            <w:gridSpan w:val="3"/>
            <w:shd w:val="clear" w:color="auto" w:fill="auto"/>
            <w:vAlign w:val="center"/>
          </w:tcPr>
          <w:p w14:paraId="0E9BD078"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17 (94.4)</w:t>
            </w:r>
          </w:p>
        </w:tc>
        <w:tc>
          <w:tcPr>
            <w:tcW w:w="684" w:type="pct"/>
            <w:shd w:val="clear" w:color="auto" w:fill="auto"/>
            <w:vAlign w:val="center"/>
          </w:tcPr>
          <w:p w14:paraId="0A99346F"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54 (87.1)</w:t>
            </w:r>
          </w:p>
        </w:tc>
        <w:tc>
          <w:tcPr>
            <w:tcW w:w="718" w:type="pct"/>
            <w:gridSpan w:val="2"/>
            <w:vMerge/>
            <w:shd w:val="clear" w:color="auto" w:fill="auto"/>
            <w:vAlign w:val="center"/>
          </w:tcPr>
          <w:p w14:paraId="327D399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7D600752" w14:textId="77777777" w:rsidTr="00366835">
        <w:trPr>
          <w:jc w:val="center"/>
        </w:trPr>
        <w:tc>
          <w:tcPr>
            <w:tcW w:w="1883" w:type="pct"/>
            <w:vMerge/>
            <w:shd w:val="clear" w:color="auto" w:fill="auto"/>
            <w:vAlign w:val="center"/>
          </w:tcPr>
          <w:p w14:paraId="43F30A29"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5DD993FF"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7F0F73F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0EE03B1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62 (100)</w:t>
            </w:r>
          </w:p>
        </w:tc>
        <w:tc>
          <w:tcPr>
            <w:tcW w:w="718" w:type="pct"/>
            <w:gridSpan w:val="2"/>
            <w:vMerge/>
            <w:shd w:val="clear" w:color="auto" w:fill="auto"/>
            <w:vAlign w:val="center"/>
          </w:tcPr>
          <w:p w14:paraId="4B46FCE0"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0BB01533" w14:textId="77777777" w:rsidTr="00366835">
        <w:trPr>
          <w:jc w:val="center"/>
        </w:trPr>
        <w:tc>
          <w:tcPr>
            <w:tcW w:w="1883" w:type="pct"/>
            <w:vMerge w:val="restart"/>
            <w:shd w:val="clear" w:color="auto" w:fill="auto"/>
            <w:vAlign w:val="center"/>
          </w:tcPr>
          <w:p w14:paraId="6805CED8"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Sideropenia</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80)</w:t>
            </w:r>
          </w:p>
        </w:tc>
        <w:tc>
          <w:tcPr>
            <w:tcW w:w="922" w:type="pct"/>
            <w:shd w:val="clear" w:color="auto" w:fill="auto"/>
            <w:vAlign w:val="center"/>
          </w:tcPr>
          <w:p w14:paraId="41DD30A0"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793" w:type="pct"/>
            <w:gridSpan w:val="3"/>
            <w:shd w:val="clear" w:color="auto" w:fill="auto"/>
            <w:vAlign w:val="center"/>
          </w:tcPr>
          <w:p w14:paraId="5D9F432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 (22.2)</w:t>
            </w:r>
          </w:p>
        </w:tc>
        <w:tc>
          <w:tcPr>
            <w:tcW w:w="684" w:type="pct"/>
            <w:shd w:val="clear" w:color="auto" w:fill="auto"/>
            <w:vAlign w:val="center"/>
          </w:tcPr>
          <w:p w14:paraId="41DF8DD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(29)</w:t>
            </w:r>
          </w:p>
        </w:tc>
        <w:tc>
          <w:tcPr>
            <w:tcW w:w="718" w:type="pct"/>
            <w:gridSpan w:val="2"/>
            <w:vMerge w:val="restart"/>
            <w:shd w:val="clear" w:color="auto" w:fill="auto"/>
            <w:vAlign w:val="center"/>
          </w:tcPr>
          <w:p w14:paraId="3850B80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0.766</w:t>
            </w:r>
          </w:p>
        </w:tc>
      </w:tr>
      <w:tr w:rsidR="007F43E5" w:rsidRPr="00FA5C8D" w14:paraId="51F4B354" w14:textId="77777777" w:rsidTr="00366835">
        <w:trPr>
          <w:jc w:val="center"/>
        </w:trPr>
        <w:tc>
          <w:tcPr>
            <w:tcW w:w="1883" w:type="pct"/>
            <w:vMerge/>
            <w:shd w:val="clear" w:color="auto" w:fill="auto"/>
            <w:vAlign w:val="center"/>
          </w:tcPr>
          <w:p w14:paraId="7D29EB4A"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4C3464B4"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793" w:type="pct"/>
            <w:gridSpan w:val="3"/>
            <w:shd w:val="clear" w:color="auto" w:fill="auto"/>
            <w:vAlign w:val="center"/>
          </w:tcPr>
          <w:p w14:paraId="110819BF"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14 (77.8)</w:t>
            </w:r>
          </w:p>
        </w:tc>
        <w:tc>
          <w:tcPr>
            <w:tcW w:w="684" w:type="pct"/>
            <w:shd w:val="clear" w:color="auto" w:fill="auto"/>
            <w:vAlign w:val="center"/>
          </w:tcPr>
          <w:p w14:paraId="7ED06B61"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44 (71)</w:t>
            </w:r>
          </w:p>
        </w:tc>
        <w:tc>
          <w:tcPr>
            <w:tcW w:w="718" w:type="pct"/>
            <w:gridSpan w:val="2"/>
            <w:vMerge/>
            <w:shd w:val="clear" w:color="auto" w:fill="auto"/>
            <w:vAlign w:val="center"/>
          </w:tcPr>
          <w:p w14:paraId="1CB474E2"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59B67F10" w14:textId="77777777" w:rsidTr="00366835">
        <w:trPr>
          <w:jc w:val="center"/>
        </w:trPr>
        <w:tc>
          <w:tcPr>
            <w:tcW w:w="1883" w:type="pct"/>
            <w:vMerge/>
            <w:shd w:val="clear" w:color="auto" w:fill="auto"/>
            <w:vAlign w:val="center"/>
          </w:tcPr>
          <w:p w14:paraId="3390845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4A30F95B"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53DB0168"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13D1DB76"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62 (100)</w:t>
            </w:r>
          </w:p>
        </w:tc>
        <w:tc>
          <w:tcPr>
            <w:tcW w:w="718" w:type="pct"/>
            <w:gridSpan w:val="2"/>
            <w:vMerge/>
            <w:shd w:val="clear" w:color="auto" w:fill="auto"/>
            <w:vAlign w:val="center"/>
          </w:tcPr>
          <w:p w14:paraId="74DCE7D3"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6E299B4B" w14:textId="77777777" w:rsidTr="00366835">
        <w:trPr>
          <w:jc w:val="center"/>
        </w:trPr>
        <w:tc>
          <w:tcPr>
            <w:tcW w:w="1883" w:type="pct"/>
            <w:vMerge w:val="restart"/>
            <w:shd w:val="clear" w:color="auto" w:fill="auto"/>
            <w:vAlign w:val="center"/>
          </w:tcPr>
          <w:p w14:paraId="49357AEE"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Vitamin D deficiency</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w:t>
            </w:r>
            <w:r w:rsidRPr="00FA5C8D">
              <w:rPr>
                <w:rFonts w:ascii="Book Antiqua" w:hAnsi="Book Antiqua" w:cstheme="minorHAnsi"/>
                <w:bCs/>
                <w:i/>
                <w:sz w:val="24"/>
                <w:szCs w:val="24"/>
              </w:rPr>
              <w:t>n</w:t>
            </w:r>
            <w:r w:rsidR="007825A2" w:rsidRPr="00FA5C8D">
              <w:rPr>
                <w:rFonts w:ascii="Book Antiqua" w:hAnsi="Book Antiqua" w:cstheme="minorHAnsi"/>
                <w:bCs/>
                <w:i/>
                <w:sz w:val="24"/>
                <w:szCs w:val="24"/>
              </w:rPr>
              <w:t xml:space="preserve"> </w:t>
            </w:r>
            <w:r w:rsidRPr="00FA5C8D">
              <w:rPr>
                <w:rFonts w:ascii="Book Antiqua" w:hAnsi="Book Antiqua" w:cstheme="minorHAnsi"/>
                <w:bCs/>
                <w:sz w:val="24"/>
                <w:szCs w:val="24"/>
              </w:rPr>
              <w:t>=</w:t>
            </w:r>
            <w:r w:rsidR="007825A2" w:rsidRPr="00FA5C8D">
              <w:rPr>
                <w:rFonts w:ascii="Book Antiqua" w:hAnsi="Book Antiqua" w:cstheme="minorHAnsi"/>
                <w:bCs/>
                <w:sz w:val="24"/>
                <w:szCs w:val="24"/>
              </w:rPr>
              <w:t xml:space="preserve"> </w:t>
            </w:r>
            <w:r w:rsidRPr="00FA5C8D">
              <w:rPr>
                <w:rFonts w:ascii="Book Antiqua" w:hAnsi="Book Antiqua" w:cstheme="minorHAnsi"/>
                <w:bCs/>
                <w:sz w:val="24"/>
                <w:szCs w:val="24"/>
              </w:rPr>
              <w:t>80)</w:t>
            </w:r>
          </w:p>
        </w:tc>
        <w:tc>
          <w:tcPr>
            <w:tcW w:w="922" w:type="pct"/>
            <w:shd w:val="clear" w:color="auto" w:fill="auto"/>
            <w:vAlign w:val="center"/>
          </w:tcPr>
          <w:p w14:paraId="23B9C87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Positive</w:t>
            </w:r>
          </w:p>
        </w:tc>
        <w:tc>
          <w:tcPr>
            <w:tcW w:w="793" w:type="pct"/>
            <w:gridSpan w:val="3"/>
            <w:shd w:val="clear" w:color="auto" w:fill="auto"/>
            <w:vAlign w:val="center"/>
          </w:tcPr>
          <w:p w14:paraId="294B5192"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8 (44.4)</w:t>
            </w:r>
          </w:p>
        </w:tc>
        <w:tc>
          <w:tcPr>
            <w:tcW w:w="684" w:type="pct"/>
            <w:shd w:val="clear" w:color="auto" w:fill="auto"/>
            <w:vAlign w:val="center"/>
          </w:tcPr>
          <w:p w14:paraId="4985228F"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9 (14.5)</w:t>
            </w:r>
          </w:p>
        </w:tc>
        <w:tc>
          <w:tcPr>
            <w:tcW w:w="718" w:type="pct"/>
            <w:gridSpan w:val="2"/>
            <w:vMerge w:val="restart"/>
            <w:shd w:val="clear" w:color="auto" w:fill="auto"/>
            <w:vAlign w:val="center"/>
          </w:tcPr>
          <w:p w14:paraId="138B9D98"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0.018</w:t>
            </w:r>
            <w:r w:rsidR="007825A2" w:rsidRPr="00FA5C8D">
              <w:rPr>
                <w:rFonts w:ascii="Book Antiqua" w:hAnsi="Book Antiqua" w:cs="Calibri"/>
                <w:bCs/>
                <w:color w:val="000000"/>
                <w:sz w:val="24"/>
                <w:szCs w:val="24"/>
                <w:vertAlign w:val="superscript"/>
              </w:rPr>
              <w:t>a</w:t>
            </w:r>
          </w:p>
        </w:tc>
      </w:tr>
      <w:tr w:rsidR="007F43E5" w:rsidRPr="00FA5C8D" w14:paraId="6584CCA6" w14:textId="77777777" w:rsidTr="00366835">
        <w:trPr>
          <w:jc w:val="center"/>
        </w:trPr>
        <w:tc>
          <w:tcPr>
            <w:tcW w:w="1883" w:type="pct"/>
            <w:vMerge/>
            <w:shd w:val="clear" w:color="auto" w:fill="auto"/>
            <w:vAlign w:val="center"/>
          </w:tcPr>
          <w:p w14:paraId="4D378C99"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6719A943"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Negative</w:t>
            </w:r>
          </w:p>
        </w:tc>
        <w:tc>
          <w:tcPr>
            <w:tcW w:w="793" w:type="pct"/>
            <w:gridSpan w:val="3"/>
            <w:shd w:val="clear" w:color="auto" w:fill="auto"/>
            <w:vAlign w:val="center"/>
          </w:tcPr>
          <w:p w14:paraId="5E7F6DD1"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10 (55.6)</w:t>
            </w:r>
          </w:p>
        </w:tc>
        <w:tc>
          <w:tcPr>
            <w:tcW w:w="684" w:type="pct"/>
            <w:shd w:val="clear" w:color="auto" w:fill="auto"/>
            <w:vAlign w:val="center"/>
          </w:tcPr>
          <w:p w14:paraId="59A4DC2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53 (85.5)</w:t>
            </w:r>
          </w:p>
        </w:tc>
        <w:tc>
          <w:tcPr>
            <w:tcW w:w="718" w:type="pct"/>
            <w:gridSpan w:val="2"/>
            <w:vMerge/>
            <w:shd w:val="clear" w:color="auto" w:fill="auto"/>
          </w:tcPr>
          <w:p w14:paraId="249E3C87"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r w:rsidR="007F43E5" w:rsidRPr="00FA5C8D" w14:paraId="2A0BF49D" w14:textId="77777777" w:rsidTr="00366835">
        <w:trPr>
          <w:jc w:val="center"/>
        </w:trPr>
        <w:tc>
          <w:tcPr>
            <w:tcW w:w="1883" w:type="pct"/>
            <w:vMerge/>
            <w:shd w:val="clear" w:color="auto" w:fill="auto"/>
            <w:vAlign w:val="center"/>
          </w:tcPr>
          <w:p w14:paraId="32ABF2B1"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p>
        </w:tc>
        <w:tc>
          <w:tcPr>
            <w:tcW w:w="922" w:type="pct"/>
            <w:shd w:val="clear" w:color="auto" w:fill="auto"/>
            <w:vAlign w:val="center"/>
          </w:tcPr>
          <w:p w14:paraId="098A49D8" w14:textId="77777777" w:rsidR="007F43E5" w:rsidRPr="00FA5C8D" w:rsidRDefault="007F43E5"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Total</w:t>
            </w:r>
          </w:p>
        </w:tc>
        <w:tc>
          <w:tcPr>
            <w:tcW w:w="793" w:type="pct"/>
            <w:gridSpan w:val="3"/>
            <w:shd w:val="clear" w:color="auto" w:fill="auto"/>
            <w:vAlign w:val="center"/>
          </w:tcPr>
          <w:p w14:paraId="193F9945"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18 (100)</w:t>
            </w:r>
          </w:p>
        </w:tc>
        <w:tc>
          <w:tcPr>
            <w:tcW w:w="684" w:type="pct"/>
            <w:shd w:val="clear" w:color="auto" w:fill="auto"/>
            <w:vAlign w:val="center"/>
          </w:tcPr>
          <w:p w14:paraId="37E7AF94"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r w:rsidRPr="00FA5C8D">
              <w:rPr>
                <w:rFonts w:ascii="Book Antiqua" w:hAnsi="Book Antiqua" w:cs="Calibri"/>
                <w:bCs/>
                <w:color w:val="000000"/>
                <w:sz w:val="24"/>
                <w:szCs w:val="24"/>
              </w:rPr>
              <w:t>62 (100)</w:t>
            </w:r>
          </w:p>
        </w:tc>
        <w:tc>
          <w:tcPr>
            <w:tcW w:w="718" w:type="pct"/>
            <w:gridSpan w:val="2"/>
            <w:vMerge/>
            <w:shd w:val="clear" w:color="auto" w:fill="auto"/>
          </w:tcPr>
          <w:p w14:paraId="4E478D7E" w14:textId="77777777" w:rsidR="007F43E5" w:rsidRPr="00FA5C8D" w:rsidRDefault="007F43E5" w:rsidP="00FA5C8D">
            <w:pPr>
              <w:snapToGrid w:val="0"/>
              <w:spacing w:line="360" w:lineRule="auto"/>
              <w:jc w:val="both"/>
              <w:rPr>
                <w:rFonts w:ascii="Book Antiqua" w:hAnsi="Book Antiqua" w:cs="Calibri"/>
                <w:bCs/>
                <w:color w:val="000000"/>
                <w:sz w:val="24"/>
                <w:szCs w:val="24"/>
                <w:lang w:val="en-US"/>
              </w:rPr>
            </w:pPr>
          </w:p>
        </w:tc>
      </w:tr>
    </w:tbl>
    <w:p w14:paraId="27B3FCB5" w14:textId="77777777" w:rsidR="00C77650" w:rsidRPr="00C408C9" w:rsidRDefault="00366835" w:rsidP="00FA5C8D">
      <w:pPr>
        <w:snapToGrid w:val="0"/>
        <w:spacing w:after="0" w:line="360" w:lineRule="auto"/>
        <w:jc w:val="both"/>
        <w:rPr>
          <w:rFonts w:ascii="Book Antiqua" w:hAnsi="Book Antiqua" w:cs="Calibri"/>
          <w:bCs/>
          <w:color w:val="000000" w:themeColor="text1"/>
          <w:sz w:val="24"/>
          <w:szCs w:val="24"/>
        </w:rPr>
      </w:pPr>
      <w:proofErr w:type="spellStart"/>
      <w:r w:rsidRPr="00FA5C8D">
        <w:rPr>
          <w:rFonts w:ascii="Book Antiqua" w:hAnsi="Book Antiqua" w:cs="Times New Roman"/>
          <w:sz w:val="24"/>
          <w:szCs w:val="24"/>
          <w:vertAlign w:val="superscript"/>
          <w:lang w:eastAsia="zh-CN"/>
        </w:rPr>
        <w:t>a</w:t>
      </w:r>
      <w:r w:rsidRPr="00FA5C8D">
        <w:rPr>
          <w:rFonts w:ascii="Book Antiqua" w:hAnsi="Book Antiqua" w:cs="Times New Roman"/>
          <w:i/>
          <w:iCs/>
          <w:sz w:val="24"/>
          <w:szCs w:val="24"/>
          <w:lang w:eastAsia="zh-CN"/>
        </w:rPr>
        <w:t>P</w:t>
      </w:r>
      <w:proofErr w:type="spellEnd"/>
      <w:r w:rsidRPr="00FA5C8D">
        <w:rPr>
          <w:rFonts w:ascii="Book Antiqua" w:hAnsi="Book Antiqua" w:cs="Times New Roman"/>
          <w:sz w:val="24"/>
          <w:szCs w:val="24"/>
          <w:lang w:eastAsia="zh-CN"/>
        </w:rPr>
        <w:t xml:space="preserve"> </w:t>
      </w:r>
      <w:r w:rsidRPr="00FA5C8D">
        <w:rPr>
          <w:rFonts w:ascii="Book Antiqua" w:hAnsi="Book Antiqua" w:cs="Calibri"/>
          <w:bCs/>
          <w:color w:val="000000" w:themeColor="text1"/>
          <w:sz w:val="24"/>
          <w:szCs w:val="24"/>
        </w:rPr>
        <w:t>&lt; 0.05.</w:t>
      </w:r>
      <w:r w:rsidR="00C408C9">
        <w:rPr>
          <w:rFonts w:ascii="Book Antiqua" w:hAnsi="Book Antiqua" w:cs="Calibri" w:hint="eastAsia"/>
          <w:bCs/>
          <w:color w:val="000000" w:themeColor="text1"/>
          <w:sz w:val="24"/>
          <w:szCs w:val="24"/>
          <w:lang w:eastAsia="zh-CN"/>
        </w:rPr>
        <w:t xml:space="preserve"> </w:t>
      </w:r>
      <w:proofErr w:type="spellStart"/>
      <w:r w:rsidRPr="00FA5C8D">
        <w:rPr>
          <w:rFonts w:ascii="Book Antiqua" w:hAnsi="Book Antiqua" w:cs="Calibri"/>
          <w:bCs/>
          <w:color w:val="000000" w:themeColor="text1"/>
          <w:sz w:val="24"/>
          <w:szCs w:val="24"/>
          <w:vertAlign w:val="superscript"/>
          <w:lang w:eastAsia="zh-CN"/>
        </w:rPr>
        <w:t>b</w:t>
      </w:r>
      <w:r w:rsidRPr="00FA5C8D">
        <w:rPr>
          <w:rFonts w:ascii="Book Antiqua" w:hAnsi="Book Antiqua" w:cs="Calibri"/>
          <w:bCs/>
          <w:i/>
          <w:iCs/>
          <w:color w:val="000000" w:themeColor="text1"/>
          <w:sz w:val="24"/>
          <w:szCs w:val="24"/>
          <w:lang w:eastAsia="zh-CN"/>
        </w:rPr>
        <w:t>P</w:t>
      </w:r>
      <w:proofErr w:type="spellEnd"/>
      <w:r w:rsidRPr="00FA5C8D">
        <w:rPr>
          <w:rFonts w:ascii="Book Antiqua" w:hAnsi="Book Antiqua" w:cs="Calibri"/>
          <w:bCs/>
          <w:color w:val="000000" w:themeColor="text1"/>
          <w:sz w:val="24"/>
          <w:szCs w:val="24"/>
          <w:lang w:eastAsia="zh-CN"/>
        </w:rPr>
        <w:t xml:space="preserve"> </w:t>
      </w:r>
      <w:r w:rsidRPr="00FA5C8D">
        <w:rPr>
          <w:rFonts w:ascii="Book Antiqua" w:hAnsi="Book Antiqua" w:cs="Calibri"/>
          <w:bCs/>
          <w:color w:val="000000" w:themeColor="text1"/>
          <w:sz w:val="24"/>
          <w:szCs w:val="24"/>
        </w:rPr>
        <w:t>&lt; 0.01.</w:t>
      </w:r>
      <w:r w:rsidR="00C408C9">
        <w:rPr>
          <w:rFonts w:ascii="Book Antiqua" w:hAnsi="Book Antiqua" w:cs="Calibri" w:hint="eastAsia"/>
          <w:bCs/>
          <w:color w:val="000000" w:themeColor="text1"/>
          <w:sz w:val="24"/>
          <w:szCs w:val="24"/>
          <w:lang w:eastAsia="zh-CN"/>
        </w:rPr>
        <w:t xml:space="preserve"> </w:t>
      </w:r>
      <w:r w:rsidR="00C77650" w:rsidRPr="00FA5C8D">
        <w:rPr>
          <w:rFonts w:ascii="Book Antiqua" w:hAnsi="Book Antiqua" w:cs="Times New Roman"/>
          <w:sz w:val="24"/>
          <w:szCs w:val="24"/>
        </w:rPr>
        <w:t xml:space="preserve">aTTG: </w:t>
      </w:r>
      <w:r w:rsidR="007825A2" w:rsidRPr="00FA5C8D">
        <w:rPr>
          <w:rFonts w:ascii="Book Antiqua" w:hAnsi="Book Antiqua" w:cs="Times New Roman"/>
          <w:sz w:val="24"/>
          <w:szCs w:val="24"/>
        </w:rPr>
        <w:t>Anti</w:t>
      </w:r>
      <w:r w:rsidR="00C77650" w:rsidRPr="00FA5C8D">
        <w:rPr>
          <w:rFonts w:ascii="Book Antiqua" w:hAnsi="Book Antiqua" w:cs="Times New Roman"/>
          <w:sz w:val="24"/>
          <w:szCs w:val="24"/>
        </w:rPr>
        <w:t xml:space="preserve">-tissue </w:t>
      </w:r>
      <w:proofErr w:type="spellStart"/>
      <w:r w:rsidR="00C77650" w:rsidRPr="00FA5C8D">
        <w:rPr>
          <w:rFonts w:ascii="Book Antiqua" w:hAnsi="Book Antiqua" w:cs="Times New Roman"/>
          <w:sz w:val="24"/>
          <w:szCs w:val="24"/>
        </w:rPr>
        <w:t>transglutaminase</w:t>
      </w:r>
      <w:proofErr w:type="spellEnd"/>
      <w:r w:rsidR="00C77650" w:rsidRPr="00FA5C8D">
        <w:rPr>
          <w:rFonts w:ascii="Book Antiqua" w:hAnsi="Book Antiqua" w:cs="Times New Roman"/>
          <w:sz w:val="24"/>
          <w:szCs w:val="24"/>
        </w:rPr>
        <w:t xml:space="preserve"> antibodies; </w:t>
      </w:r>
      <w:proofErr w:type="spellStart"/>
      <w:r w:rsidR="00C77650" w:rsidRPr="00FA5C8D">
        <w:rPr>
          <w:rFonts w:ascii="Book Antiqua" w:hAnsi="Book Antiqua" w:cs="Times New Roman"/>
          <w:sz w:val="24"/>
          <w:szCs w:val="24"/>
        </w:rPr>
        <w:t>aDGP</w:t>
      </w:r>
      <w:proofErr w:type="spellEnd"/>
      <w:r w:rsidR="00C77650" w:rsidRPr="00FA5C8D">
        <w:rPr>
          <w:rFonts w:ascii="Book Antiqua" w:hAnsi="Book Antiqua" w:cs="Times New Roman"/>
          <w:sz w:val="24"/>
          <w:szCs w:val="24"/>
        </w:rPr>
        <w:t xml:space="preserve">: </w:t>
      </w:r>
      <w:r w:rsidR="007825A2" w:rsidRPr="00FA5C8D">
        <w:rPr>
          <w:rFonts w:ascii="Book Antiqua" w:hAnsi="Book Antiqua" w:cs="Times New Roman"/>
          <w:sz w:val="24"/>
          <w:szCs w:val="24"/>
        </w:rPr>
        <w:t>Anti</w:t>
      </w:r>
      <w:r w:rsidR="00C77650" w:rsidRPr="00FA5C8D">
        <w:rPr>
          <w:rFonts w:ascii="Book Antiqua" w:hAnsi="Book Antiqua" w:cs="Times New Roman"/>
          <w:sz w:val="24"/>
          <w:szCs w:val="24"/>
        </w:rPr>
        <w:t>-</w:t>
      </w:r>
      <w:proofErr w:type="spellStart"/>
      <w:r w:rsidR="00C77650" w:rsidRPr="00FA5C8D">
        <w:rPr>
          <w:rFonts w:ascii="Book Antiqua" w:hAnsi="Book Antiqua" w:cs="Times New Roman"/>
          <w:sz w:val="24"/>
          <w:szCs w:val="24"/>
        </w:rPr>
        <w:t>deamidated</w:t>
      </w:r>
      <w:proofErr w:type="spellEnd"/>
      <w:r w:rsidR="00C77650" w:rsidRPr="00FA5C8D">
        <w:rPr>
          <w:rFonts w:ascii="Book Antiqua" w:hAnsi="Book Antiqua" w:cs="Times New Roman"/>
          <w:sz w:val="24"/>
          <w:szCs w:val="24"/>
        </w:rPr>
        <w:t xml:space="preserve"> </w:t>
      </w:r>
      <w:proofErr w:type="spellStart"/>
      <w:r w:rsidR="00C77650" w:rsidRPr="00FA5C8D">
        <w:rPr>
          <w:rFonts w:ascii="Book Antiqua" w:hAnsi="Book Antiqua" w:cs="Times New Roman"/>
          <w:sz w:val="24"/>
          <w:szCs w:val="24"/>
        </w:rPr>
        <w:t>gliadin</w:t>
      </w:r>
      <w:proofErr w:type="spellEnd"/>
      <w:r w:rsidR="00C77650" w:rsidRPr="00FA5C8D">
        <w:rPr>
          <w:rFonts w:ascii="Book Antiqua" w:hAnsi="Book Antiqua" w:cs="Times New Roman"/>
          <w:sz w:val="24"/>
          <w:szCs w:val="24"/>
        </w:rPr>
        <w:t xml:space="preserve"> peptide antibodies</w:t>
      </w:r>
      <w:r w:rsidR="007825A2" w:rsidRPr="00FA5C8D">
        <w:rPr>
          <w:rFonts w:ascii="Book Antiqua" w:hAnsi="Book Antiqua" w:cs="Times New Roman"/>
          <w:sz w:val="24"/>
          <w:szCs w:val="24"/>
        </w:rPr>
        <w:t>.</w:t>
      </w:r>
    </w:p>
    <w:p w14:paraId="3EF28525" w14:textId="77777777" w:rsidR="007825A2" w:rsidRPr="00FA5C8D" w:rsidRDefault="007825A2"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78EAAAAA" w14:textId="77777777" w:rsidR="00780093" w:rsidRPr="00FA5C8D" w:rsidRDefault="00780093" w:rsidP="00FA5C8D">
      <w:pPr>
        <w:snapToGrid w:val="0"/>
        <w:spacing w:after="0" w:line="360" w:lineRule="auto"/>
        <w:jc w:val="both"/>
        <w:rPr>
          <w:rFonts w:ascii="Book Antiqua" w:hAnsi="Book Antiqua" w:cs="Times New Roman"/>
          <w:b/>
          <w:bCs/>
          <w:sz w:val="24"/>
          <w:szCs w:val="24"/>
        </w:rPr>
      </w:pPr>
      <w:r w:rsidRPr="00FA5C8D">
        <w:rPr>
          <w:rFonts w:ascii="Book Antiqua" w:hAnsi="Book Antiqua" w:cs="Times New Roman"/>
          <w:b/>
          <w:sz w:val="24"/>
          <w:szCs w:val="24"/>
        </w:rPr>
        <w:lastRenderedPageBreak/>
        <w:t xml:space="preserve">Table </w:t>
      </w:r>
      <w:r w:rsidR="007F45DD" w:rsidRPr="00FA5C8D">
        <w:rPr>
          <w:rFonts w:ascii="Book Antiqua" w:hAnsi="Book Antiqua" w:cs="Times New Roman"/>
          <w:b/>
          <w:sz w:val="24"/>
          <w:szCs w:val="24"/>
        </w:rPr>
        <w:t>4</w:t>
      </w:r>
      <w:r w:rsidR="00C77650" w:rsidRPr="00FA5C8D">
        <w:rPr>
          <w:rFonts w:ascii="Book Antiqua" w:hAnsi="Book Antiqua" w:cs="Times New Roman"/>
          <w:b/>
          <w:sz w:val="24"/>
          <w:szCs w:val="24"/>
        </w:rPr>
        <w:t xml:space="preserve"> </w:t>
      </w:r>
      <w:r w:rsidRPr="00FA5C8D">
        <w:rPr>
          <w:rFonts w:ascii="Book Antiqua" w:hAnsi="Book Antiqua" w:cs="Times New Roman"/>
          <w:b/>
          <w:bCs/>
          <w:sz w:val="24"/>
          <w:szCs w:val="24"/>
        </w:rPr>
        <w:t xml:space="preserve">Sensitivity, specificity, positive and negative predictive value of </w:t>
      </w:r>
      <w:r w:rsidR="00366835" w:rsidRPr="00FA5C8D">
        <w:rPr>
          <w:rFonts w:ascii="Book Antiqua" w:hAnsi="Book Antiqua" w:cs="Times New Roman"/>
          <w:b/>
          <w:bCs/>
          <w:sz w:val="24"/>
          <w:szCs w:val="24"/>
        </w:rPr>
        <w:t xml:space="preserve">anti-tissue transglutaminase antibodies </w:t>
      </w:r>
      <w:r w:rsidRPr="00FA5C8D">
        <w:rPr>
          <w:rFonts w:ascii="Book Antiqua" w:hAnsi="Book Antiqua" w:cs="Times New Roman"/>
          <w:b/>
          <w:bCs/>
          <w:sz w:val="24"/>
          <w:szCs w:val="24"/>
        </w:rPr>
        <w:t xml:space="preserve">and </w:t>
      </w:r>
      <w:r w:rsidR="00366835" w:rsidRPr="00FA5C8D">
        <w:rPr>
          <w:rFonts w:ascii="Book Antiqua" w:hAnsi="Book Antiqua" w:cs="Times New Roman"/>
          <w:b/>
          <w:bCs/>
          <w:sz w:val="24"/>
          <w:szCs w:val="24"/>
        </w:rPr>
        <w:t xml:space="preserve">anti-deamidated gliadin peptide antibodies </w:t>
      </w:r>
      <w:r w:rsidRPr="00FA5C8D">
        <w:rPr>
          <w:rFonts w:ascii="Book Antiqua" w:hAnsi="Book Antiqua" w:cs="Times New Roman"/>
          <w:b/>
          <w:bCs/>
          <w:sz w:val="24"/>
          <w:szCs w:val="24"/>
        </w:rPr>
        <w:t>autoantibodies (with standard cutoff values according to laboratory references 18 U/m</w:t>
      </w:r>
      <w:r w:rsidR="00E06DA3" w:rsidRPr="00FA5C8D">
        <w:rPr>
          <w:rFonts w:ascii="Book Antiqua" w:hAnsi="Book Antiqua" w:cs="Times New Roman"/>
          <w:b/>
          <w:bCs/>
          <w:sz w:val="24"/>
          <w:szCs w:val="24"/>
        </w:rPr>
        <w:t>L</w:t>
      </w:r>
      <w:r w:rsidRPr="00FA5C8D">
        <w:rPr>
          <w:rFonts w:ascii="Book Antiqua" w:hAnsi="Book Antiqua" w:cs="Times New Roman"/>
          <w:b/>
          <w:bCs/>
          <w:sz w:val="24"/>
          <w:szCs w:val="24"/>
        </w:rPr>
        <w:t xml:space="preserve"> for </w:t>
      </w:r>
      <w:r w:rsidR="00366835" w:rsidRPr="00FA5C8D">
        <w:rPr>
          <w:rFonts w:ascii="Book Antiqua" w:hAnsi="Book Antiqua" w:cs="Times New Roman"/>
          <w:b/>
          <w:bCs/>
          <w:sz w:val="24"/>
          <w:szCs w:val="24"/>
        </w:rPr>
        <w:t xml:space="preserve">anti-tissue transglutaminase antibodies </w:t>
      </w:r>
      <w:r w:rsidRPr="00FA5C8D">
        <w:rPr>
          <w:rFonts w:ascii="Book Antiqua" w:hAnsi="Book Antiqua" w:cs="Times New Roman"/>
          <w:b/>
          <w:bCs/>
          <w:sz w:val="24"/>
          <w:szCs w:val="24"/>
        </w:rPr>
        <w:t>and 20</w:t>
      </w:r>
      <w:r w:rsidR="007825A2" w:rsidRPr="00FA5C8D">
        <w:rPr>
          <w:rFonts w:ascii="Book Antiqua" w:hAnsi="Book Antiqua" w:cs="Times New Roman"/>
          <w:b/>
          <w:bCs/>
          <w:sz w:val="24"/>
          <w:szCs w:val="24"/>
        </w:rPr>
        <w:t xml:space="preserve"> </w:t>
      </w:r>
      <w:r w:rsidRPr="00FA5C8D">
        <w:rPr>
          <w:rFonts w:ascii="Book Antiqua" w:hAnsi="Book Antiqua" w:cs="Times New Roman"/>
          <w:b/>
          <w:bCs/>
          <w:sz w:val="24"/>
          <w:szCs w:val="24"/>
        </w:rPr>
        <w:t>U/m</w:t>
      </w:r>
      <w:r w:rsidR="00E06DA3" w:rsidRPr="00FA5C8D">
        <w:rPr>
          <w:rFonts w:ascii="Book Antiqua" w:hAnsi="Book Antiqua" w:cs="Times New Roman"/>
          <w:b/>
          <w:bCs/>
          <w:sz w:val="24"/>
          <w:szCs w:val="24"/>
        </w:rPr>
        <w:t>L</w:t>
      </w:r>
      <w:r w:rsidRPr="00FA5C8D">
        <w:rPr>
          <w:rFonts w:ascii="Book Antiqua" w:hAnsi="Book Antiqua" w:cs="Times New Roman"/>
          <w:b/>
          <w:bCs/>
          <w:sz w:val="24"/>
          <w:szCs w:val="24"/>
        </w:rPr>
        <w:t xml:space="preserve"> for </w:t>
      </w:r>
      <w:r w:rsidR="00366835" w:rsidRPr="00FA5C8D">
        <w:rPr>
          <w:rFonts w:ascii="Book Antiqua" w:hAnsi="Book Antiqua" w:cs="Times New Roman"/>
          <w:b/>
          <w:bCs/>
          <w:sz w:val="24"/>
          <w:szCs w:val="24"/>
        </w:rPr>
        <w:t>anti-deamidated gliadin peptide antibodies</w:t>
      </w:r>
      <w:r w:rsidR="00CE69FC" w:rsidRPr="00FA5C8D">
        <w:rPr>
          <w:rFonts w:ascii="Book Antiqua" w:hAnsi="Book Antiqua" w:cs="Times New Roman"/>
          <w:b/>
          <w:bCs/>
          <w:sz w:val="24"/>
          <w:szCs w:val="24"/>
        </w:rPr>
        <w:t>) for</w:t>
      </w:r>
      <w:r w:rsidRPr="00FA5C8D">
        <w:rPr>
          <w:rFonts w:ascii="Book Antiqua" w:hAnsi="Book Antiqua" w:cs="Times New Roman"/>
          <w:b/>
          <w:bCs/>
          <w:sz w:val="24"/>
          <w:szCs w:val="24"/>
        </w:rPr>
        <w:t xml:space="preserve"> prediction of villous atrophy in patients with celiac disease</w:t>
      </w:r>
    </w:p>
    <w:tbl>
      <w:tblPr>
        <w:tblStyle w:val="a3"/>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417"/>
        <w:gridCol w:w="1418"/>
        <w:gridCol w:w="1339"/>
        <w:gridCol w:w="1323"/>
        <w:gridCol w:w="1323"/>
      </w:tblGrid>
      <w:tr w:rsidR="00366835" w:rsidRPr="00FA5C8D" w14:paraId="3559E923" w14:textId="77777777" w:rsidTr="00366835">
        <w:trPr>
          <w:jc w:val="center"/>
        </w:trPr>
        <w:tc>
          <w:tcPr>
            <w:tcW w:w="2802" w:type="dxa"/>
            <w:tcBorders>
              <w:top w:val="single" w:sz="4" w:space="0" w:color="auto"/>
              <w:bottom w:val="single" w:sz="4" w:space="0" w:color="auto"/>
            </w:tcBorders>
            <w:shd w:val="clear" w:color="auto" w:fill="auto"/>
            <w:vAlign w:val="center"/>
          </w:tcPr>
          <w:p w14:paraId="5DA22DDF"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Characteristics</w:t>
            </w:r>
          </w:p>
        </w:tc>
        <w:tc>
          <w:tcPr>
            <w:tcW w:w="1417" w:type="dxa"/>
            <w:tcBorders>
              <w:top w:val="single" w:sz="4" w:space="0" w:color="auto"/>
              <w:bottom w:val="single" w:sz="4" w:space="0" w:color="auto"/>
            </w:tcBorders>
            <w:shd w:val="clear" w:color="auto" w:fill="auto"/>
            <w:vAlign w:val="center"/>
          </w:tcPr>
          <w:p w14:paraId="31C6B66E"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Sensitivity</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w:t>
            </w:r>
            <w:r w:rsidR="007825A2" w:rsidRPr="00FA5C8D">
              <w:rPr>
                <w:rFonts w:ascii="Book Antiqua" w:hAnsi="Book Antiqua" w:cstheme="minorHAnsi"/>
                <w:b/>
                <w:sz w:val="24"/>
                <w:szCs w:val="24"/>
              </w:rPr>
              <w:t xml:space="preserve"> (</w:t>
            </w:r>
            <w:r w:rsidRPr="00FA5C8D">
              <w:rPr>
                <w:rFonts w:ascii="Book Antiqua" w:hAnsi="Book Antiqua" w:cstheme="minorHAnsi"/>
                <w:b/>
                <w:sz w:val="24"/>
                <w:szCs w:val="24"/>
              </w:rPr>
              <w:t>95%CI)</w:t>
            </w:r>
          </w:p>
        </w:tc>
        <w:tc>
          <w:tcPr>
            <w:tcW w:w="1418" w:type="dxa"/>
            <w:tcBorders>
              <w:top w:val="single" w:sz="4" w:space="0" w:color="auto"/>
              <w:bottom w:val="single" w:sz="4" w:space="0" w:color="auto"/>
            </w:tcBorders>
            <w:shd w:val="clear" w:color="auto" w:fill="auto"/>
            <w:vAlign w:val="center"/>
          </w:tcPr>
          <w:p w14:paraId="2F515B73"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Specificity</w:t>
            </w:r>
            <w:r w:rsidR="00366835" w:rsidRPr="00FA5C8D">
              <w:rPr>
                <w:rFonts w:ascii="Book Antiqua" w:hAnsi="Book Antiqua" w:cstheme="minorHAnsi"/>
                <w:b/>
                <w:sz w:val="24"/>
                <w:szCs w:val="24"/>
              </w:rPr>
              <w:t xml:space="preserve"> (%)</w:t>
            </w:r>
            <w:r w:rsidR="007825A2" w:rsidRPr="00FA5C8D">
              <w:rPr>
                <w:rFonts w:ascii="Book Antiqua" w:hAnsi="Book Antiqua" w:cstheme="minorHAnsi"/>
                <w:b/>
                <w:sz w:val="24"/>
                <w:szCs w:val="24"/>
              </w:rPr>
              <w:t xml:space="preserve"> </w:t>
            </w:r>
            <w:r w:rsidRPr="00FA5C8D">
              <w:rPr>
                <w:rFonts w:ascii="Book Antiqua" w:hAnsi="Book Antiqua" w:cstheme="minorHAnsi"/>
                <w:b/>
                <w:sz w:val="24"/>
                <w:szCs w:val="24"/>
              </w:rPr>
              <w:t>(95%CI)</w:t>
            </w:r>
          </w:p>
        </w:tc>
        <w:tc>
          <w:tcPr>
            <w:tcW w:w="1339" w:type="dxa"/>
            <w:tcBorders>
              <w:top w:val="single" w:sz="4" w:space="0" w:color="auto"/>
              <w:bottom w:val="single" w:sz="4" w:space="0" w:color="auto"/>
            </w:tcBorders>
            <w:shd w:val="clear" w:color="auto" w:fill="auto"/>
            <w:vAlign w:val="center"/>
          </w:tcPr>
          <w:p w14:paraId="5F2E1B2C"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Accuracy</w:t>
            </w:r>
            <w:r w:rsidR="00366835" w:rsidRPr="00FA5C8D">
              <w:rPr>
                <w:rFonts w:ascii="Book Antiqua" w:hAnsi="Book Antiqua" w:cstheme="minorHAnsi"/>
                <w:b/>
                <w:sz w:val="24"/>
                <w:szCs w:val="24"/>
              </w:rPr>
              <w:t xml:space="preserve"> (%)</w:t>
            </w:r>
            <w:r w:rsidR="007825A2" w:rsidRPr="00FA5C8D">
              <w:rPr>
                <w:rFonts w:ascii="Book Antiqua" w:hAnsi="Book Antiqua" w:cstheme="minorHAnsi"/>
                <w:b/>
                <w:sz w:val="24"/>
                <w:szCs w:val="24"/>
              </w:rPr>
              <w:t xml:space="preserve">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06D5635F"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Positive predictive value</w:t>
            </w:r>
            <w:r w:rsidR="00366835" w:rsidRPr="00FA5C8D">
              <w:rPr>
                <w:rFonts w:ascii="Book Antiqua" w:hAnsi="Book Antiqua" w:cstheme="minorHAnsi"/>
                <w:b/>
                <w:sz w:val="24"/>
                <w:szCs w:val="24"/>
              </w:rPr>
              <w:t xml:space="preserve"> (%)</w:t>
            </w:r>
            <w:r w:rsidR="007825A2" w:rsidRPr="00FA5C8D">
              <w:rPr>
                <w:rFonts w:ascii="Book Antiqua" w:hAnsi="Book Antiqua" w:cstheme="minorHAnsi"/>
                <w:b/>
                <w:sz w:val="24"/>
                <w:szCs w:val="24"/>
              </w:rPr>
              <w:t xml:space="preserve">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4351D4B5" w14:textId="77777777" w:rsidR="008B31B2" w:rsidRPr="00FA5C8D" w:rsidRDefault="008B31B2"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Negative predictive value</w:t>
            </w:r>
            <w:r w:rsidR="00366835" w:rsidRPr="00FA5C8D">
              <w:rPr>
                <w:rFonts w:ascii="Book Antiqua" w:hAnsi="Book Antiqua" w:cstheme="minorHAnsi"/>
                <w:b/>
                <w:sz w:val="24"/>
                <w:szCs w:val="24"/>
              </w:rPr>
              <w:t xml:space="preserve"> (%)</w:t>
            </w:r>
            <w:r w:rsidR="007825A2" w:rsidRPr="00FA5C8D">
              <w:rPr>
                <w:rFonts w:ascii="Book Antiqua" w:hAnsi="Book Antiqua" w:cstheme="minorHAnsi"/>
                <w:b/>
                <w:sz w:val="24"/>
                <w:szCs w:val="24"/>
              </w:rPr>
              <w:t xml:space="preserve"> </w:t>
            </w:r>
            <w:r w:rsidRPr="00FA5C8D">
              <w:rPr>
                <w:rFonts w:ascii="Book Antiqua" w:hAnsi="Book Antiqua" w:cstheme="minorHAnsi"/>
                <w:b/>
                <w:sz w:val="24"/>
                <w:szCs w:val="24"/>
              </w:rPr>
              <w:t>(95%CI)</w:t>
            </w:r>
          </w:p>
        </w:tc>
      </w:tr>
      <w:tr w:rsidR="00366835" w:rsidRPr="00FA5C8D" w14:paraId="17DC7ADF" w14:textId="77777777" w:rsidTr="00366835">
        <w:trPr>
          <w:jc w:val="center"/>
        </w:trPr>
        <w:tc>
          <w:tcPr>
            <w:tcW w:w="2802" w:type="dxa"/>
            <w:tcBorders>
              <w:top w:val="single" w:sz="4" w:space="0" w:color="auto"/>
              <w:bottom w:val="nil"/>
            </w:tcBorders>
          </w:tcPr>
          <w:p w14:paraId="5551C532"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aTTG</w:t>
            </w:r>
          </w:p>
        </w:tc>
        <w:tc>
          <w:tcPr>
            <w:tcW w:w="1417" w:type="dxa"/>
            <w:tcBorders>
              <w:top w:val="single" w:sz="4" w:space="0" w:color="auto"/>
              <w:bottom w:val="nil"/>
            </w:tcBorders>
            <w:vAlign w:val="center"/>
          </w:tcPr>
          <w:p w14:paraId="3D06F511" w14:textId="77777777" w:rsidR="008B31B2" w:rsidRPr="00FA5C8D" w:rsidRDefault="008B31B2"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50.0 (26.0-74.0)</w:t>
            </w:r>
          </w:p>
        </w:tc>
        <w:tc>
          <w:tcPr>
            <w:tcW w:w="1418" w:type="dxa"/>
            <w:tcBorders>
              <w:top w:val="single" w:sz="4" w:space="0" w:color="auto"/>
              <w:bottom w:val="nil"/>
            </w:tcBorders>
            <w:vAlign w:val="center"/>
          </w:tcPr>
          <w:p w14:paraId="4EF46837"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85.7 (74.6-93.3)</w:t>
            </w:r>
          </w:p>
        </w:tc>
        <w:tc>
          <w:tcPr>
            <w:tcW w:w="1339" w:type="dxa"/>
            <w:tcBorders>
              <w:top w:val="single" w:sz="4" w:space="0" w:color="auto"/>
              <w:bottom w:val="nil"/>
            </w:tcBorders>
            <w:vAlign w:val="center"/>
          </w:tcPr>
          <w:p w14:paraId="114ED40F"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77.8 (67.2-86.3)</w:t>
            </w:r>
          </w:p>
        </w:tc>
        <w:tc>
          <w:tcPr>
            <w:tcW w:w="1323" w:type="dxa"/>
            <w:tcBorders>
              <w:top w:val="single" w:sz="4" w:space="0" w:color="auto"/>
              <w:bottom w:val="nil"/>
            </w:tcBorders>
            <w:vAlign w:val="center"/>
          </w:tcPr>
          <w:p w14:paraId="182A0145"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50.0 (31.8-68.2)</w:t>
            </w:r>
          </w:p>
        </w:tc>
        <w:tc>
          <w:tcPr>
            <w:tcW w:w="1323" w:type="dxa"/>
            <w:tcBorders>
              <w:top w:val="single" w:sz="4" w:space="0" w:color="auto"/>
              <w:bottom w:val="nil"/>
            </w:tcBorders>
            <w:vAlign w:val="center"/>
          </w:tcPr>
          <w:p w14:paraId="1E7F61ED"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85.7 (78.9-90.6)</w:t>
            </w:r>
          </w:p>
        </w:tc>
      </w:tr>
      <w:tr w:rsidR="00366835" w:rsidRPr="00FA5C8D" w14:paraId="45DFFEF0" w14:textId="77777777" w:rsidTr="00366835">
        <w:trPr>
          <w:jc w:val="center"/>
        </w:trPr>
        <w:tc>
          <w:tcPr>
            <w:tcW w:w="2802" w:type="dxa"/>
            <w:tcBorders>
              <w:top w:val="nil"/>
              <w:bottom w:val="nil"/>
            </w:tcBorders>
          </w:tcPr>
          <w:p w14:paraId="00627237"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aDGP</w:t>
            </w:r>
          </w:p>
        </w:tc>
        <w:tc>
          <w:tcPr>
            <w:tcW w:w="1417" w:type="dxa"/>
            <w:tcBorders>
              <w:top w:val="nil"/>
              <w:bottom w:val="nil"/>
            </w:tcBorders>
            <w:vAlign w:val="center"/>
          </w:tcPr>
          <w:p w14:paraId="5BC45A1B"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77.8 (52.4-93.6)</w:t>
            </w:r>
          </w:p>
        </w:tc>
        <w:tc>
          <w:tcPr>
            <w:tcW w:w="1418" w:type="dxa"/>
            <w:tcBorders>
              <w:top w:val="nil"/>
              <w:bottom w:val="nil"/>
            </w:tcBorders>
            <w:vAlign w:val="center"/>
          </w:tcPr>
          <w:p w14:paraId="16C1AB82"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75.0 (62.1-85.3)</w:t>
            </w:r>
          </w:p>
        </w:tc>
        <w:tc>
          <w:tcPr>
            <w:tcW w:w="1339" w:type="dxa"/>
            <w:tcBorders>
              <w:top w:val="nil"/>
              <w:bottom w:val="nil"/>
            </w:tcBorders>
            <w:vAlign w:val="center"/>
          </w:tcPr>
          <w:p w14:paraId="1EDD5918"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75.6 (64.6-84.7)</w:t>
            </w:r>
          </w:p>
        </w:tc>
        <w:tc>
          <w:tcPr>
            <w:tcW w:w="1323" w:type="dxa"/>
            <w:tcBorders>
              <w:top w:val="nil"/>
              <w:bottom w:val="nil"/>
            </w:tcBorders>
            <w:vAlign w:val="center"/>
          </w:tcPr>
          <w:p w14:paraId="2CAFB068"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48.3 (36.1-60.7)</w:t>
            </w:r>
          </w:p>
        </w:tc>
        <w:tc>
          <w:tcPr>
            <w:tcW w:w="1323" w:type="dxa"/>
            <w:tcBorders>
              <w:top w:val="nil"/>
              <w:bottom w:val="nil"/>
            </w:tcBorders>
            <w:vAlign w:val="center"/>
          </w:tcPr>
          <w:p w14:paraId="6B0F5295"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91.8 (82.4-96.4)</w:t>
            </w:r>
          </w:p>
        </w:tc>
      </w:tr>
      <w:tr w:rsidR="00366835" w:rsidRPr="00FA5C8D" w14:paraId="2ED32ECD" w14:textId="77777777" w:rsidTr="00366835">
        <w:trPr>
          <w:jc w:val="center"/>
        </w:trPr>
        <w:tc>
          <w:tcPr>
            <w:tcW w:w="2802" w:type="dxa"/>
            <w:tcBorders>
              <w:top w:val="nil"/>
              <w:bottom w:val="nil"/>
            </w:tcBorders>
          </w:tcPr>
          <w:p w14:paraId="3D440ABD"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aTTG IgA</w:t>
            </w:r>
          </w:p>
        </w:tc>
        <w:tc>
          <w:tcPr>
            <w:tcW w:w="1417" w:type="dxa"/>
            <w:tcBorders>
              <w:top w:val="nil"/>
              <w:bottom w:val="nil"/>
            </w:tcBorders>
            <w:vAlign w:val="center"/>
          </w:tcPr>
          <w:p w14:paraId="765CCE6C"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50.0 (26.0-74.0)</w:t>
            </w:r>
          </w:p>
        </w:tc>
        <w:tc>
          <w:tcPr>
            <w:tcW w:w="1418" w:type="dxa"/>
            <w:tcBorders>
              <w:top w:val="nil"/>
              <w:bottom w:val="nil"/>
            </w:tcBorders>
            <w:vAlign w:val="center"/>
          </w:tcPr>
          <w:p w14:paraId="6167F64D"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96.8 (89.0-99.6)</w:t>
            </w:r>
          </w:p>
        </w:tc>
        <w:tc>
          <w:tcPr>
            <w:tcW w:w="1339" w:type="dxa"/>
            <w:tcBorders>
              <w:top w:val="nil"/>
              <w:bottom w:val="nil"/>
            </w:tcBorders>
            <w:vAlign w:val="center"/>
          </w:tcPr>
          <w:p w14:paraId="6C60C58E"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86.4 (77.0-93.0)</w:t>
            </w:r>
          </w:p>
        </w:tc>
        <w:tc>
          <w:tcPr>
            <w:tcW w:w="1323" w:type="dxa"/>
            <w:tcBorders>
              <w:top w:val="nil"/>
              <w:bottom w:val="nil"/>
            </w:tcBorders>
            <w:vAlign w:val="center"/>
          </w:tcPr>
          <w:p w14:paraId="5787D3C4"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81.8 (51.6-95.0)</w:t>
            </w:r>
          </w:p>
        </w:tc>
        <w:tc>
          <w:tcPr>
            <w:tcW w:w="1323" w:type="dxa"/>
            <w:tcBorders>
              <w:top w:val="nil"/>
              <w:bottom w:val="nil"/>
            </w:tcBorders>
            <w:vAlign w:val="center"/>
          </w:tcPr>
          <w:p w14:paraId="10D3F7B9"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87.1 (81.0-91.5)</w:t>
            </w:r>
          </w:p>
        </w:tc>
      </w:tr>
      <w:tr w:rsidR="00366835" w:rsidRPr="00FA5C8D" w14:paraId="1724AB67" w14:textId="77777777" w:rsidTr="00366835">
        <w:trPr>
          <w:jc w:val="center"/>
        </w:trPr>
        <w:tc>
          <w:tcPr>
            <w:tcW w:w="2802" w:type="dxa"/>
            <w:tcBorders>
              <w:top w:val="nil"/>
              <w:bottom w:val="nil"/>
            </w:tcBorders>
          </w:tcPr>
          <w:p w14:paraId="76B749F5"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aTTG</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IgG</w:t>
            </w:r>
          </w:p>
        </w:tc>
        <w:tc>
          <w:tcPr>
            <w:tcW w:w="1417" w:type="dxa"/>
            <w:tcBorders>
              <w:top w:val="nil"/>
              <w:bottom w:val="nil"/>
            </w:tcBorders>
            <w:vAlign w:val="center"/>
          </w:tcPr>
          <w:p w14:paraId="709D33E3"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5.6 (0.1-27.3)</w:t>
            </w:r>
          </w:p>
        </w:tc>
        <w:tc>
          <w:tcPr>
            <w:tcW w:w="1418" w:type="dxa"/>
            <w:tcBorders>
              <w:top w:val="nil"/>
              <w:bottom w:val="nil"/>
            </w:tcBorders>
            <w:vAlign w:val="center"/>
          </w:tcPr>
          <w:p w14:paraId="59DC7D48"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88.9 (78.4-95.4)</w:t>
            </w:r>
          </w:p>
        </w:tc>
        <w:tc>
          <w:tcPr>
            <w:tcW w:w="1339" w:type="dxa"/>
            <w:tcBorders>
              <w:top w:val="nil"/>
              <w:bottom w:val="nil"/>
            </w:tcBorders>
            <w:vAlign w:val="center"/>
          </w:tcPr>
          <w:p w14:paraId="7ABF09B2"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70.4 (59.2-80.0)</w:t>
            </w:r>
          </w:p>
        </w:tc>
        <w:tc>
          <w:tcPr>
            <w:tcW w:w="1323" w:type="dxa"/>
            <w:tcBorders>
              <w:top w:val="nil"/>
              <w:bottom w:val="nil"/>
            </w:tcBorders>
            <w:vAlign w:val="center"/>
          </w:tcPr>
          <w:p w14:paraId="0DE3EA01"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12.5 (1.8-52.1)</w:t>
            </w:r>
          </w:p>
        </w:tc>
        <w:tc>
          <w:tcPr>
            <w:tcW w:w="1323" w:type="dxa"/>
            <w:tcBorders>
              <w:top w:val="nil"/>
              <w:bottom w:val="nil"/>
            </w:tcBorders>
            <w:vAlign w:val="center"/>
          </w:tcPr>
          <w:p w14:paraId="7B94D10C"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76.7 (74.1-79.2)</w:t>
            </w:r>
          </w:p>
        </w:tc>
      </w:tr>
      <w:tr w:rsidR="00366835" w:rsidRPr="00FA5C8D" w14:paraId="095BAB01" w14:textId="77777777" w:rsidTr="00366835">
        <w:trPr>
          <w:jc w:val="center"/>
        </w:trPr>
        <w:tc>
          <w:tcPr>
            <w:tcW w:w="2802" w:type="dxa"/>
            <w:tcBorders>
              <w:top w:val="nil"/>
              <w:bottom w:val="nil"/>
            </w:tcBorders>
          </w:tcPr>
          <w:p w14:paraId="74D05393"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aDGP IgA</w:t>
            </w:r>
          </w:p>
        </w:tc>
        <w:tc>
          <w:tcPr>
            <w:tcW w:w="1417" w:type="dxa"/>
            <w:tcBorders>
              <w:top w:val="nil"/>
              <w:bottom w:val="nil"/>
            </w:tcBorders>
            <w:vAlign w:val="center"/>
          </w:tcPr>
          <w:p w14:paraId="77232157"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72.2 (46.5-90.3)</w:t>
            </w:r>
          </w:p>
        </w:tc>
        <w:tc>
          <w:tcPr>
            <w:tcW w:w="1418" w:type="dxa"/>
            <w:tcBorders>
              <w:top w:val="nil"/>
              <w:bottom w:val="nil"/>
            </w:tcBorders>
            <w:vAlign w:val="center"/>
          </w:tcPr>
          <w:p w14:paraId="19C2F906"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81.7 (69.6-90.5)</w:t>
            </w:r>
          </w:p>
        </w:tc>
        <w:tc>
          <w:tcPr>
            <w:tcW w:w="1339" w:type="dxa"/>
            <w:tcBorders>
              <w:top w:val="nil"/>
              <w:bottom w:val="nil"/>
            </w:tcBorders>
            <w:vAlign w:val="center"/>
          </w:tcPr>
          <w:p w14:paraId="67D81CBD"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79.5 (68.8-87.8)</w:t>
            </w:r>
          </w:p>
        </w:tc>
        <w:tc>
          <w:tcPr>
            <w:tcW w:w="1323" w:type="dxa"/>
            <w:tcBorders>
              <w:top w:val="nil"/>
              <w:bottom w:val="nil"/>
            </w:tcBorders>
            <w:vAlign w:val="center"/>
          </w:tcPr>
          <w:p w14:paraId="68D37C63"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54.2 (39.2-68.4)</w:t>
            </w:r>
          </w:p>
        </w:tc>
        <w:tc>
          <w:tcPr>
            <w:tcW w:w="1323" w:type="dxa"/>
            <w:tcBorders>
              <w:top w:val="nil"/>
              <w:bottom w:val="nil"/>
            </w:tcBorders>
            <w:vAlign w:val="center"/>
          </w:tcPr>
          <w:p w14:paraId="1457DA3A"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90.7 (82.2-95.4)</w:t>
            </w:r>
          </w:p>
        </w:tc>
      </w:tr>
      <w:tr w:rsidR="00366835" w:rsidRPr="00FA5C8D" w14:paraId="22EC731A" w14:textId="77777777" w:rsidTr="00366835">
        <w:trPr>
          <w:jc w:val="center"/>
        </w:trPr>
        <w:tc>
          <w:tcPr>
            <w:tcW w:w="2802" w:type="dxa"/>
            <w:tcBorders>
              <w:top w:val="nil"/>
              <w:bottom w:val="single" w:sz="4" w:space="0" w:color="auto"/>
            </w:tcBorders>
          </w:tcPr>
          <w:p w14:paraId="1CBC073A" w14:textId="77777777" w:rsidR="008B31B2" w:rsidRPr="00FA5C8D" w:rsidRDefault="008B31B2" w:rsidP="00FA5C8D">
            <w:pPr>
              <w:snapToGrid w:val="0"/>
              <w:spacing w:line="360" w:lineRule="auto"/>
              <w:jc w:val="both"/>
              <w:rPr>
                <w:rFonts w:ascii="Book Antiqua" w:hAnsi="Book Antiqua"/>
                <w:bCs/>
                <w:sz w:val="24"/>
                <w:szCs w:val="24"/>
                <w:lang w:val="en-US"/>
              </w:rPr>
            </w:pPr>
            <w:r w:rsidRPr="00FA5C8D">
              <w:rPr>
                <w:rFonts w:ascii="Book Antiqua" w:hAnsi="Book Antiqua" w:cstheme="minorHAnsi"/>
                <w:bCs/>
                <w:sz w:val="24"/>
                <w:szCs w:val="24"/>
              </w:rPr>
              <w:t>Autoantibodies aDGP</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IgG</w:t>
            </w:r>
          </w:p>
        </w:tc>
        <w:tc>
          <w:tcPr>
            <w:tcW w:w="1417" w:type="dxa"/>
            <w:tcBorders>
              <w:top w:val="nil"/>
              <w:bottom w:val="single" w:sz="4" w:space="0" w:color="auto"/>
            </w:tcBorders>
            <w:vAlign w:val="center"/>
          </w:tcPr>
          <w:p w14:paraId="746E08F2"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61.1 (35.8-82.7)</w:t>
            </w:r>
          </w:p>
        </w:tc>
        <w:tc>
          <w:tcPr>
            <w:tcW w:w="1418" w:type="dxa"/>
            <w:tcBorders>
              <w:top w:val="nil"/>
              <w:bottom w:val="single" w:sz="4" w:space="0" w:color="auto"/>
            </w:tcBorders>
            <w:vAlign w:val="center"/>
          </w:tcPr>
          <w:p w14:paraId="3C5A13B1"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85.0 (73.4-92.9)</w:t>
            </w:r>
          </w:p>
        </w:tc>
        <w:tc>
          <w:tcPr>
            <w:tcW w:w="1339" w:type="dxa"/>
            <w:tcBorders>
              <w:top w:val="nil"/>
              <w:bottom w:val="single" w:sz="4" w:space="0" w:color="auto"/>
            </w:tcBorders>
            <w:vAlign w:val="center"/>
          </w:tcPr>
          <w:p w14:paraId="66B236CE"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79.5 (68.8-87.8)</w:t>
            </w:r>
          </w:p>
        </w:tc>
        <w:tc>
          <w:tcPr>
            <w:tcW w:w="1323" w:type="dxa"/>
            <w:tcBorders>
              <w:top w:val="nil"/>
              <w:bottom w:val="single" w:sz="4" w:space="0" w:color="auto"/>
            </w:tcBorders>
            <w:vAlign w:val="center"/>
          </w:tcPr>
          <w:p w14:paraId="5DED5DF1"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55.0 (37.6-71.2)</w:t>
            </w:r>
          </w:p>
        </w:tc>
        <w:tc>
          <w:tcPr>
            <w:tcW w:w="1323" w:type="dxa"/>
            <w:tcBorders>
              <w:top w:val="nil"/>
              <w:bottom w:val="single" w:sz="4" w:space="0" w:color="auto"/>
            </w:tcBorders>
            <w:vAlign w:val="center"/>
          </w:tcPr>
          <w:p w14:paraId="7639CFF9" w14:textId="77777777" w:rsidR="008B31B2" w:rsidRPr="00FA5C8D" w:rsidRDefault="008B31B2"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87.9 (80.2-92.9)</w:t>
            </w:r>
          </w:p>
        </w:tc>
      </w:tr>
    </w:tbl>
    <w:p w14:paraId="640878CC" w14:textId="77777777" w:rsidR="00780093" w:rsidRPr="00FA5C8D" w:rsidRDefault="00C77650" w:rsidP="00FA5C8D">
      <w:pPr>
        <w:snapToGrid w:val="0"/>
        <w:spacing w:after="0" w:line="360" w:lineRule="auto"/>
        <w:jc w:val="both"/>
        <w:rPr>
          <w:rFonts w:ascii="Book Antiqua" w:hAnsi="Book Antiqua" w:cs="Times New Roman"/>
          <w:b/>
          <w:sz w:val="24"/>
          <w:szCs w:val="24"/>
        </w:rPr>
      </w:pP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w:t>
      </w:r>
      <w:r w:rsidR="00366835" w:rsidRPr="00FA5C8D">
        <w:rPr>
          <w:rFonts w:ascii="Book Antiqua" w:hAnsi="Book Antiqua" w:cs="Times New Roman"/>
          <w:sz w:val="24"/>
          <w:szCs w:val="24"/>
        </w:rPr>
        <w:t>Anti</w:t>
      </w:r>
      <w:r w:rsidRPr="00FA5C8D">
        <w:rPr>
          <w:rFonts w:ascii="Book Antiqua" w:hAnsi="Book Antiqua" w:cs="Times New Roman"/>
          <w:sz w:val="24"/>
          <w:szCs w:val="24"/>
        </w:rPr>
        <w:t xml:space="preserve">-tissue </w:t>
      </w:r>
      <w:proofErr w:type="spellStart"/>
      <w:r w:rsidRPr="00FA5C8D">
        <w:rPr>
          <w:rFonts w:ascii="Book Antiqua" w:hAnsi="Book Antiqua" w:cs="Times New Roman"/>
          <w:sz w:val="24"/>
          <w:szCs w:val="24"/>
        </w:rPr>
        <w:t>transglutaminase</w:t>
      </w:r>
      <w:proofErr w:type="spellEnd"/>
      <w:r w:rsidRPr="00FA5C8D">
        <w:rPr>
          <w:rFonts w:ascii="Book Antiqua" w:hAnsi="Book Antiqua" w:cs="Times New Roman"/>
          <w:sz w:val="24"/>
          <w:szCs w:val="24"/>
        </w:rPr>
        <w:t xml:space="preserve"> antibodies;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w:t>
      </w:r>
      <w:r w:rsidR="00366835" w:rsidRPr="00FA5C8D">
        <w:rPr>
          <w:rFonts w:ascii="Book Antiqua" w:hAnsi="Book Antiqua" w:cs="Times New Roman"/>
          <w:sz w:val="24"/>
          <w:szCs w:val="24"/>
        </w:rPr>
        <w:t>Anti</w:t>
      </w:r>
      <w:r w:rsidRPr="00FA5C8D">
        <w:rPr>
          <w:rFonts w:ascii="Book Antiqua" w:hAnsi="Book Antiqua" w:cs="Times New Roman"/>
          <w:sz w:val="24"/>
          <w:szCs w:val="24"/>
        </w:rPr>
        <w:t>-</w:t>
      </w:r>
      <w:proofErr w:type="spellStart"/>
      <w:r w:rsidRPr="00FA5C8D">
        <w:rPr>
          <w:rFonts w:ascii="Book Antiqua" w:hAnsi="Book Antiqua" w:cs="Times New Roman"/>
          <w:sz w:val="24"/>
          <w:szCs w:val="24"/>
        </w:rPr>
        <w:t>deamidated</w:t>
      </w:r>
      <w:proofErr w:type="spellEnd"/>
      <w:r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gliadin</w:t>
      </w:r>
      <w:proofErr w:type="spellEnd"/>
      <w:r w:rsidRPr="00FA5C8D">
        <w:rPr>
          <w:rFonts w:ascii="Book Antiqua" w:hAnsi="Book Antiqua" w:cs="Times New Roman"/>
          <w:sz w:val="24"/>
          <w:szCs w:val="24"/>
        </w:rPr>
        <w:t xml:space="preserve"> peptide antibodies; CI: </w:t>
      </w:r>
      <w:r w:rsidR="00366835" w:rsidRPr="00FA5C8D">
        <w:rPr>
          <w:rFonts w:ascii="Book Antiqua" w:hAnsi="Book Antiqua" w:cs="Times New Roman"/>
          <w:sz w:val="24"/>
          <w:szCs w:val="24"/>
        </w:rPr>
        <w:t xml:space="preserve">Confidence </w:t>
      </w:r>
      <w:r w:rsidRPr="00FA5C8D">
        <w:rPr>
          <w:rFonts w:ascii="Book Antiqua" w:hAnsi="Book Antiqua" w:cs="Times New Roman"/>
          <w:sz w:val="24"/>
          <w:szCs w:val="24"/>
        </w:rPr>
        <w:t>interval</w:t>
      </w:r>
      <w:r w:rsidR="007825A2" w:rsidRPr="00FA5C8D">
        <w:rPr>
          <w:rFonts w:ascii="Book Antiqua" w:hAnsi="Book Antiqua" w:cs="Times New Roman"/>
          <w:b/>
          <w:sz w:val="24"/>
          <w:szCs w:val="24"/>
        </w:rPr>
        <w:t>.</w:t>
      </w:r>
    </w:p>
    <w:p w14:paraId="340F0779" w14:textId="77777777" w:rsidR="009628DC" w:rsidRPr="00FA5C8D" w:rsidRDefault="009628DC"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3F9E6CDF" w14:textId="77777777" w:rsidR="00246471" w:rsidRPr="00FA5C8D" w:rsidRDefault="00246471"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b/>
          <w:sz w:val="24"/>
          <w:szCs w:val="24"/>
        </w:rPr>
        <w:lastRenderedPageBreak/>
        <w:t>Table</w:t>
      </w:r>
      <w:r w:rsidR="00FB1A63" w:rsidRPr="00FA5C8D">
        <w:rPr>
          <w:rFonts w:ascii="Book Antiqua" w:hAnsi="Book Antiqua" w:cs="Times New Roman"/>
          <w:b/>
          <w:sz w:val="24"/>
          <w:szCs w:val="24"/>
        </w:rPr>
        <w:t xml:space="preserve"> 5</w:t>
      </w:r>
      <w:r w:rsidRPr="00FA5C8D">
        <w:rPr>
          <w:rFonts w:ascii="Book Antiqua" w:hAnsi="Book Antiqua" w:cs="Times New Roman"/>
          <w:b/>
          <w:bCs/>
          <w:sz w:val="24"/>
          <w:szCs w:val="24"/>
        </w:rPr>
        <w:t xml:space="preserve"> Sensitivity, specificity, positive and negative predictive value of recalculated cutoff values of </w:t>
      </w:r>
      <w:r w:rsidR="00366835" w:rsidRPr="00FA5C8D">
        <w:rPr>
          <w:rFonts w:ascii="Book Antiqua" w:hAnsi="Book Antiqua" w:cs="Times New Roman"/>
          <w:b/>
          <w:bCs/>
          <w:sz w:val="24"/>
          <w:szCs w:val="24"/>
        </w:rPr>
        <w:t>anti-tissue transglutaminase antibodies and anti-deamidated gliadin peptide antibodies</w:t>
      </w:r>
      <w:r w:rsidRPr="00FA5C8D">
        <w:rPr>
          <w:rFonts w:ascii="Book Antiqua" w:hAnsi="Book Antiqua" w:cs="Times New Roman"/>
          <w:b/>
          <w:bCs/>
          <w:sz w:val="24"/>
          <w:szCs w:val="24"/>
        </w:rPr>
        <w:t xml:space="preserve"> autoantibodies titers and their combination with small bowel ultrasonography for prediction of villous atrophy in patients with celiac disease</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417"/>
        <w:gridCol w:w="1418"/>
        <w:gridCol w:w="1339"/>
        <w:gridCol w:w="1323"/>
        <w:gridCol w:w="1323"/>
      </w:tblGrid>
      <w:tr w:rsidR="00366835" w:rsidRPr="00FA5C8D" w14:paraId="1C5A78C0" w14:textId="77777777" w:rsidTr="00366835">
        <w:trPr>
          <w:trHeight w:val="1132"/>
          <w:jc w:val="center"/>
        </w:trPr>
        <w:tc>
          <w:tcPr>
            <w:tcW w:w="2802" w:type="dxa"/>
            <w:tcBorders>
              <w:top w:val="single" w:sz="4" w:space="0" w:color="auto"/>
              <w:bottom w:val="single" w:sz="4" w:space="0" w:color="auto"/>
            </w:tcBorders>
            <w:shd w:val="clear" w:color="auto" w:fill="auto"/>
            <w:vAlign w:val="center"/>
          </w:tcPr>
          <w:p w14:paraId="3BC37E87"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Characteristics</w:t>
            </w:r>
          </w:p>
        </w:tc>
        <w:tc>
          <w:tcPr>
            <w:tcW w:w="1417" w:type="dxa"/>
            <w:tcBorders>
              <w:top w:val="single" w:sz="4" w:space="0" w:color="auto"/>
              <w:bottom w:val="single" w:sz="4" w:space="0" w:color="auto"/>
            </w:tcBorders>
            <w:shd w:val="clear" w:color="auto" w:fill="auto"/>
            <w:vAlign w:val="center"/>
          </w:tcPr>
          <w:p w14:paraId="55D9E0E0"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Sensitivity</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c>
          <w:tcPr>
            <w:tcW w:w="1418" w:type="dxa"/>
            <w:tcBorders>
              <w:top w:val="single" w:sz="4" w:space="0" w:color="auto"/>
              <w:bottom w:val="single" w:sz="4" w:space="0" w:color="auto"/>
            </w:tcBorders>
            <w:shd w:val="clear" w:color="auto" w:fill="auto"/>
            <w:vAlign w:val="center"/>
          </w:tcPr>
          <w:p w14:paraId="2294D76E"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Specificity</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c>
          <w:tcPr>
            <w:tcW w:w="1339" w:type="dxa"/>
            <w:tcBorders>
              <w:top w:val="single" w:sz="4" w:space="0" w:color="auto"/>
              <w:bottom w:val="single" w:sz="4" w:space="0" w:color="auto"/>
            </w:tcBorders>
            <w:shd w:val="clear" w:color="auto" w:fill="auto"/>
            <w:vAlign w:val="center"/>
          </w:tcPr>
          <w:p w14:paraId="43195993"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Accuracy</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3E8E223C"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Positive predictive value</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6DC43CB9" w14:textId="77777777" w:rsidR="00246471" w:rsidRPr="00FA5C8D" w:rsidRDefault="0024647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Negative predictive value</w:t>
            </w:r>
            <w:r w:rsidR="00366835" w:rsidRPr="00FA5C8D">
              <w:rPr>
                <w:rFonts w:ascii="Book Antiqua" w:hAnsi="Book Antiqua" w:cstheme="minorHAnsi"/>
                <w:b/>
                <w:sz w:val="24"/>
                <w:szCs w:val="24"/>
              </w:rPr>
              <w:t xml:space="preserv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r>
      <w:tr w:rsidR="0058298B" w:rsidRPr="00FA5C8D" w14:paraId="0AD8DE54" w14:textId="77777777" w:rsidTr="00366835">
        <w:trPr>
          <w:trHeight w:val="583"/>
          <w:jc w:val="center"/>
        </w:trPr>
        <w:tc>
          <w:tcPr>
            <w:tcW w:w="2802" w:type="dxa"/>
            <w:tcBorders>
              <w:top w:val="single" w:sz="4" w:space="0" w:color="auto"/>
            </w:tcBorders>
            <w:shd w:val="clear" w:color="auto" w:fill="auto"/>
          </w:tcPr>
          <w:p w14:paraId="55D714D2"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aTTG IgA (cutoff: 13.4)</w:t>
            </w:r>
          </w:p>
        </w:tc>
        <w:tc>
          <w:tcPr>
            <w:tcW w:w="1417" w:type="dxa"/>
            <w:tcBorders>
              <w:top w:val="single" w:sz="4" w:space="0" w:color="auto"/>
            </w:tcBorders>
            <w:shd w:val="clear" w:color="auto" w:fill="auto"/>
            <w:vAlign w:val="center"/>
          </w:tcPr>
          <w:p w14:paraId="3746A989" w14:textId="77777777" w:rsidR="00246471" w:rsidRPr="00FA5C8D" w:rsidRDefault="00246471"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66.7</w:t>
            </w:r>
            <w:r w:rsidR="00366835" w:rsidRPr="00FA5C8D">
              <w:rPr>
                <w:rFonts w:ascii="Book Antiqua" w:hAnsi="Book Antiqua" w:cs="Calibri"/>
                <w:bCs/>
                <w:color w:val="000000" w:themeColor="text1"/>
                <w:sz w:val="24"/>
                <w:szCs w:val="24"/>
              </w:rPr>
              <w:t xml:space="preserve"> </w:t>
            </w:r>
            <w:r w:rsidRPr="00FA5C8D">
              <w:rPr>
                <w:rFonts w:ascii="Book Antiqua" w:hAnsi="Book Antiqua" w:cs="Calibri"/>
                <w:bCs/>
                <w:color w:val="000000" w:themeColor="text1"/>
                <w:sz w:val="24"/>
                <w:szCs w:val="24"/>
              </w:rPr>
              <w:t>(41.0-86.7)</w:t>
            </w:r>
          </w:p>
        </w:tc>
        <w:tc>
          <w:tcPr>
            <w:tcW w:w="1418" w:type="dxa"/>
            <w:tcBorders>
              <w:top w:val="single" w:sz="4" w:space="0" w:color="auto"/>
            </w:tcBorders>
            <w:shd w:val="clear" w:color="auto" w:fill="auto"/>
            <w:vAlign w:val="center"/>
          </w:tcPr>
          <w:p w14:paraId="2CE2C02B"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93.7 (84.5-98.2)</w:t>
            </w:r>
          </w:p>
        </w:tc>
        <w:tc>
          <w:tcPr>
            <w:tcW w:w="1339" w:type="dxa"/>
            <w:tcBorders>
              <w:top w:val="single" w:sz="4" w:space="0" w:color="auto"/>
            </w:tcBorders>
            <w:shd w:val="clear" w:color="auto" w:fill="auto"/>
            <w:vAlign w:val="center"/>
          </w:tcPr>
          <w:p w14:paraId="11F2EB78"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87.7 (78.5-93.9)</w:t>
            </w:r>
          </w:p>
        </w:tc>
        <w:tc>
          <w:tcPr>
            <w:tcW w:w="1323" w:type="dxa"/>
            <w:tcBorders>
              <w:top w:val="single" w:sz="4" w:space="0" w:color="auto"/>
            </w:tcBorders>
            <w:shd w:val="clear" w:color="auto" w:fill="auto"/>
            <w:vAlign w:val="center"/>
          </w:tcPr>
          <w:p w14:paraId="2F4016C3"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75.0 (52.4-89.1)</w:t>
            </w:r>
          </w:p>
        </w:tc>
        <w:tc>
          <w:tcPr>
            <w:tcW w:w="1323" w:type="dxa"/>
            <w:tcBorders>
              <w:top w:val="single" w:sz="4" w:space="0" w:color="auto"/>
            </w:tcBorders>
            <w:shd w:val="clear" w:color="auto" w:fill="auto"/>
            <w:vAlign w:val="center"/>
          </w:tcPr>
          <w:p w14:paraId="48B60B35"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90.8 (83.6-95.0)</w:t>
            </w:r>
          </w:p>
        </w:tc>
      </w:tr>
      <w:tr w:rsidR="0058298B" w:rsidRPr="00FA5C8D" w14:paraId="39372B18" w14:textId="77777777" w:rsidTr="00366835">
        <w:trPr>
          <w:trHeight w:val="583"/>
          <w:jc w:val="center"/>
        </w:trPr>
        <w:tc>
          <w:tcPr>
            <w:tcW w:w="2802" w:type="dxa"/>
            <w:shd w:val="clear" w:color="auto" w:fill="auto"/>
          </w:tcPr>
          <w:p w14:paraId="3CD5E979"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aTTG</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IgG</w:t>
            </w:r>
            <w:r w:rsidR="00366835" w:rsidRPr="00FA5C8D">
              <w:rPr>
                <w:rFonts w:ascii="Book Antiqua" w:hAnsi="Book Antiqua" w:cstheme="minorHAnsi"/>
                <w:bCs/>
                <w:sz w:val="24"/>
                <w:szCs w:val="24"/>
                <w:lang w:eastAsia="zh-CN"/>
              </w:rPr>
              <w:t xml:space="preserve"> </w:t>
            </w:r>
            <w:r w:rsidRPr="00FA5C8D">
              <w:rPr>
                <w:rFonts w:ascii="Book Antiqua" w:hAnsi="Book Antiqua" w:cstheme="minorHAnsi"/>
                <w:bCs/>
                <w:sz w:val="24"/>
                <w:szCs w:val="24"/>
              </w:rPr>
              <w:t>(cutoff: 6.7)</w:t>
            </w:r>
          </w:p>
        </w:tc>
        <w:tc>
          <w:tcPr>
            <w:tcW w:w="1417" w:type="dxa"/>
            <w:shd w:val="clear" w:color="auto" w:fill="auto"/>
            <w:vAlign w:val="center"/>
          </w:tcPr>
          <w:p w14:paraId="756AA032" w14:textId="77777777" w:rsidR="00246471" w:rsidRPr="00FA5C8D" w:rsidRDefault="00246471"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33.3 (13.3-59.0)</w:t>
            </w:r>
          </w:p>
        </w:tc>
        <w:tc>
          <w:tcPr>
            <w:tcW w:w="1418" w:type="dxa"/>
            <w:shd w:val="clear" w:color="auto" w:fill="auto"/>
            <w:vAlign w:val="center"/>
          </w:tcPr>
          <w:p w14:paraId="169084D2"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87.3 (76.5-94.4)</w:t>
            </w:r>
          </w:p>
        </w:tc>
        <w:tc>
          <w:tcPr>
            <w:tcW w:w="1339" w:type="dxa"/>
            <w:shd w:val="clear" w:color="auto" w:fill="auto"/>
            <w:vAlign w:val="center"/>
          </w:tcPr>
          <w:p w14:paraId="41441A12"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75.3 (64.5-84.2)</w:t>
            </w:r>
          </w:p>
        </w:tc>
        <w:tc>
          <w:tcPr>
            <w:tcW w:w="1323" w:type="dxa"/>
            <w:shd w:val="clear" w:color="auto" w:fill="auto"/>
            <w:vAlign w:val="center"/>
          </w:tcPr>
          <w:p w14:paraId="6CA8FDB4"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42.9 (23.0-65.3)</w:t>
            </w:r>
          </w:p>
        </w:tc>
        <w:tc>
          <w:tcPr>
            <w:tcW w:w="1323" w:type="dxa"/>
            <w:shd w:val="clear" w:color="auto" w:fill="auto"/>
            <w:vAlign w:val="center"/>
          </w:tcPr>
          <w:p w14:paraId="2A19C213"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82.1 (76.5-86.6)</w:t>
            </w:r>
          </w:p>
        </w:tc>
      </w:tr>
      <w:tr w:rsidR="0058298B" w:rsidRPr="00FA5C8D" w14:paraId="6BEC9EAE" w14:textId="77777777" w:rsidTr="00366835">
        <w:trPr>
          <w:trHeight w:val="583"/>
          <w:jc w:val="center"/>
        </w:trPr>
        <w:tc>
          <w:tcPr>
            <w:tcW w:w="2802" w:type="dxa"/>
            <w:shd w:val="clear" w:color="auto" w:fill="auto"/>
          </w:tcPr>
          <w:p w14:paraId="147D098B"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aDGP IgA (cutoff: 22.6)</w:t>
            </w:r>
          </w:p>
        </w:tc>
        <w:tc>
          <w:tcPr>
            <w:tcW w:w="1417" w:type="dxa"/>
            <w:shd w:val="clear" w:color="auto" w:fill="auto"/>
            <w:vAlign w:val="center"/>
          </w:tcPr>
          <w:p w14:paraId="1BE3DA76" w14:textId="77777777" w:rsidR="00246471" w:rsidRPr="00FA5C8D" w:rsidRDefault="00246471"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72.2 (46.5-90.3)</w:t>
            </w:r>
          </w:p>
        </w:tc>
        <w:tc>
          <w:tcPr>
            <w:tcW w:w="1418" w:type="dxa"/>
            <w:shd w:val="clear" w:color="auto" w:fill="auto"/>
            <w:vAlign w:val="center"/>
          </w:tcPr>
          <w:p w14:paraId="0F40A6DA"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90.0 (79.5-96.2)</w:t>
            </w:r>
          </w:p>
        </w:tc>
        <w:tc>
          <w:tcPr>
            <w:tcW w:w="1339" w:type="dxa"/>
            <w:shd w:val="clear" w:color="auto" w:fill="auto"/>
            <w:vAlign w:val="center"/>
          </w:tcPr>
          <w:p w14:paraId="3E4DC5B3"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85.9 (76.2-92.7)</w:t>
            </w:r>
          </w:p>
        </w:tc>
        <w:tc>
          <w:tcPr>
            <w:tcW w:w="1323" w:type="dxa"/>
            <w:shd w:val="clear" w:color="auto" w:fill="auto"/>
            <w:vAlign w:val="center"/>
          </w:tcPr>
          <w:p w14:paraId="48A628F6"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68.4 (49.1-83.0)</w:t>
            </w:r>
          </w:p>
        </w:tc>
        <w:tc>
          <w:tcPr>
            <w:tcW w:w="1323" w:type="dxa"/>
            <w:shd w:val="clear" w:color="auto" w:fill="auto"/>
            <w:vAlign w:val="center"/>
          </w:tcPr>
          <w:p w14:paraId="297E4367"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91.5 (83.6-95.8)</w:t>
            </w:r>
          </w:p>
        </w:tc>
      </w:tr>
      <w:tr w:rsidR="0058298B" w:rsidRPr="00FA5C8D" w14:paraId="138B9BB7" w14:textId="77777777" w:rsidTr="00366835">
        <w:trPr>
          <w:trHeight w:val="601"/>
          <w:jc w:val="center"/>
        </w:trPr>
        <w:tc>
          <w:tcPr>
            <w:tcW w:w="2802" w:type="dxa"/>
            <w:shd w:val="clear" w:color="auto" w:fill="auto"/>
          </w:tcPr>
          <w:p w14:paraId="6F90785D"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 aDGP</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IgG</w:t>
            </w:r>
            <w:r w:rsidR="00366835" w:rsidRPr="00FA5C8D">
              <w:rPr>
                <w:rFonts w:ascii="Book Antiqua" w:hAnsi="Book Antiqua" w:cstheme="minorHAnsi"/>
                <w:bCs/>
                <w:sz w:val="24"/>
                <w:szCs w:val="24"/>
                <w:lang w:eastAsia="zh-CN"/>
              </w:rPr>
              <w:t xml:space="preserve"> </w:t>
            </w:r>
            <w:r w:rsidRPr="00FA5C8D">
              <w:rPr>
                <w:rFonts w:ascii="Book Antiqua" w:hAnsi="Book Antiqua" w:cstheme="minorHAnsi"/>
                <w:bCs/>
                <w:sz w:val="24"/>
                <w:szCs w:val="24"/>
              </w:rPr>
              <w:t>(cutoff: 28.8)</w:t>
            </w:r>
          </w:p>
        </w:tc>
        <w:tc>
          <w:tcPr>
            <w:tcW w:w="1417" w:type="dxa"/>
            <w:shd w:val="clear" w:color="auto" w:fill="auto"/>
            <w:vAlign w:val="center"/>
          </w:tcPr>
          <w:p w14:paraId="14666B11" w14:textId="77777777" w:rsidR="00246471" w:rsidRPr="00FA5C8D" w:rsidRDefault="00246471" w:rsidP="00FA5C8D">
            <w:pPr>
              <w:snapToGrid w:val="0"/>
              <w:spacing w:line="360" w:lineRule="auto"/>
              <w:jc w:val="both"/>
              <w:rPr>
                <w:rFonts w:ascii="Book Antiqua" w:hAnsi="Book Antiqua" w:cs="Calibri"/>
                <w:bCs/>
                <w:sz w:val="24"/>
                <w:szCs w:val="24"/>
                <w:lang w:val="en-US"/>
              </w:rPr>
            </w:pPr>
            <w:r w:rsidRPr="00FA5C8D">
              <w:rPr>
                <w:rFonts w:ascii="Book Antiqua" w:hAnsi="Book Antiqua" w:cs="Calibri"/>
                <w:bCs/>
                <w:color w:val="000000" w:themeColor="text1"/>
                <w:sz w:val="24"/>
                <w:szCs w:val="24"/>
              </w:rPr>
              <w:t>61.1 (35.8-82.7)</w:t>
            </w:r>
          </w:p>
        </w:tc>
        <w:tc>
          <w:tcPr>
            <w:tcW w:w="1418" w:type="dxa"/>
            <w:shd w:val="clear" w:color="auto" w:fill="auto"/>
            <w:vAlign w:val="center"/>
          </w:tcPr>
          <w:p w14:paraId="38263894"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90.0 (79.5-96.2)</w:t>
            </w:r>
          </w:p>
        </w:tc>
        <w:tc>
          <w:tcPr>
            <w:tcW w:w="1339" w:type="dxa"/>
            <w:shd w:val="clear" w:color="auto" w:fill="auto"/>
            <w:vAlign w:val="center"/>
          </w:tcPr>
          <w:p w14:paraId="2D555198"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83.3 (73.2-90.8)</w:t>
            </w:r>
          </w:p>
        </w:tc>
        <w:tc>
          <w:tcPr>
            <w:tcW w:w="1323" w:type="dxa"/>
            <w:shd w:val="clear" w:color="auto" w:fill="auto"/>
            <w:vAlign w:val="center"/>
          </w:tcPr>
          <w:p w14:paraId="3D28072A"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64.7 (44.1-81.0)</w:t>
            </w:r>
          </w:p>
        </w:tc>
        <w:tc>
          <w:tcPr>
            <w:tcW w:w="1323" w:type="dxa"/>
            <w:shd w:val="clear" w:color="auto" w:fill="auto"/>
            <w:vAlign w:val="center"/>
          </w:tcPr>
          <w:p w14:paraId="43A7B305" w14:textId="77777777" w:rsidR="00246471" w:rsidRPr="00FA5C8D" w:rsidRDefault="0024647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88.5 (81.1-93.3)</w:t>
            </w:r>
          </w:p>
        </w:tc>
      </w:tr>
      <w:tr w:rsidR="0058298B" w:rsidRPr="00FA5C8D" w14:paraId="76DAC5D5" w14:textId="77777777" w:rsidTr="00366835">
        <w:trPr>
          <w:trHeight w:val="583"/>
          <w:jc w:val="center"/>
        </w:trPr>
        <w:tc>
          <w:tcPr>
            <w:tcW w:w="2802" w:type="dxa"/>
            <w:shd w:val="clear" w:color="auto" w:fill="auto"/>
          </w:tcPr>
          <w:p w14:paraId="6DE1673C"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aTT</w:t>
            </w:r>
            <w:r w:rsidR="00C77650" w:rsidRPr="00FA5C8D">
              <w:rPr>
                <w:rFonts w:ascii="Book Antiqua" w:hAnsi="Book Antiqua" w:cstheme="minorHAnsi"/>
                <w:bCs/>
                <w:sz w:val="24"/>
                <w:szCs w:val="24"/>
              </w:rPr>
              <w:t xml:space="preserve">G </w:t>
            </w:r>
            <w:r w:rsidRPr="00FA5C8D">
              <w:rPr>
                <w:rFonts w:ascii="Book Antiqua" w:hAnsi="Book Antiqua" w:cstheme="minorHAnsi"/>
                <w:bCs/>
                <w:sz w:val="24"/>
                <w:szCs w:val="24"/>
              </w:rPr>
              <w:t>IgA (cut</w:t>
            </w:r>
            <w:r w:rsidR="00300716" w:rsidRPr="00FA5C8D">
              <w:rPr>
                <w:rFonts w:ascii="Book Antiqua" w:hAnsi="Book Antiqua" w:cstheme="minorHAnsi"/>
                <w:bCs/>
                <w:sz w:val="24"/>
                <w:szCs w:val="24"/>
              </w:rPr>
              <w:t>off</w:t>
            </w:r>
            <w:r w:rsidRPr="00FA5C8D">
              <w:rPr>
                <w:rFonts w:ascii="Book Antiqua" w:hAnsi="Book Antiqua" w:cstheme="minorHAnsi"/>
                <w:bCs/>
                <w:sz w:val="24"/>
                <w:szCs w:val="24"/>
              </w:rPr>
              <w:t xml:space="preserve"> 13.4) AND ultrasonography</w:t>
            </w:r>
          </w:p>
        </w:tc>
        <w:tc>
          <w:tcPr>
            <w:tcW w:w="1417" w:type="dxa"/>
            <w:shd w:val="clear" w:color="auto" w:fill="auto"/>
            <w:vAlign w:val="center"/>
          </w:tcPr>
          <w:p w14:paraId="7B426BFE" w14:textId="77777777" w:rsidR="00246471" w:rsidRPr="00FA5C8D" w:rsidRDefault="00246471"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47.1 (23.0-72.2)</w:t>
            </w:r>
          </w:p>
        </w:tc>
        <w:tc>
          <w:tcPr>
            <w:tcW w:w="1418" w:type="dxa"/>
            <w:shd w:val="clear" w:color="auto" w:fill="auto"/>
            <w:vAlign w:val="center"/>
          </w:tcPr>
          <w:p w14:paraId="3E35F193"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98.0 (89.2-99.9)</w:t>
            </w:r>
          </w:p>
        </w:tc>
        <w:tc>
          <w:tcPr>
            <w:tcW w:w="1339" w:type="dxa"/>
            <w:shd w:val="clear" w:color="auto" w:fill="auto"/>
            <w:vAlign w:val="center"/>
          </w:tcPr>
          <w:p w14:paraId="36816972"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84</w:t>
            </w:r>
            <w:r w:rsidR="00366835" w:rsidRPr="00FA5C8D">
              <w:rPr>
                <w:rFonts w:ascii="Book Antiqua" w:hAnsi="Book Antiqua" w:cs="Calibri"/>
                <w:color w:val="000000" w:themeColor="text1"/>
                <w:sz w:val="24"/>
                <w:szCs w:val="24"/>
              </w:rPr>
              <w:t>.</w:t>
            </w:r>
            <w:r w:rsidRPr="00FA5C8D">
              <w:rPr>
                <w:rFonts w:ascii="Book Antiqua" w:hAnsi="Book Antiqua" w:cs="Calibri"/>
                <w:color w:val="000000" w:themeColor="text1"/>
                <w:sz w:val="24"/>
                <w:szCs w:val="24"/>
              </w:rPr>
              <w:t>9 (73.9-92.5)</w:t>
            </w:r>
          </w:p>
        </w:tc>
        <w:tc>
          <w:tcPr>
            <w:tcW w:w="1323" w:type="dxa"/>
            <w:shd w:val="clear" w:color="auto" w:fill="auto"/>
            <w:vAlign w:val="center"/>
          </w:tcPr>
          <w:p w14:paraId="1DB71A79"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88</w:t>
            </w:r>
            <w:r w:rsidR="00366835" w:rsidRPr="00FA5C8D">
              <w:rPr>
                <w:rFonts w:ascii="Book Antiqua" w:hAnsi="Book Antiqua" w:cs="Calibri"/>
                <w:color w:val="000000" w:themeColor="text1"/>
                <w:sz w:val="24"/>
                <w:szCs w:val="24"/>
              </w:rPr>
              <w:t>.</w:t>
            </w:r>
            <w:r w:rsidRPr="00FA5C8D">
              <w:rPr>
                <w:rFonts w:ascii="Book Antiqua" w:hAnsi="Book Antiqua" w:cs="Calibri"/>
                <w:color w:val="000000" w:themeColor="text1"/>
                <w:sz w:val="24"/>
                <w:szCs w:val="24"/>
              </w:rPr>
              <w:t>9 (51.9-98.3)</w:t>
            </w:r>
          </w:p>
        </w:tc>
        <w:tc>
          <w:tcPr>
            <w:tcW w:w="1323" w:type="dxa"/>
            <w:shd w:val="clear" w:color="auto" w:fill="auto"/>
            <w:vAlign w:val="center"/>
          </w:tcPr>
          <w:p w14:paraId="147F688E"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84</w:t>
            </w:r>
            <w:r w:rsidR="00366835" w:rsidRPr="00FA5C8D">
              <w:rPr>
                <w:rFonts w:ascii="Book Antiqua" w:hAnsi="Book Antiqua" w:cs="Calibri"/>
                <w:color w:val="000000" w:themeColor="text1"/>
                <w:sz w:val="24"/>
                <w:szCs w:val="24"/>
              </w:rPr>
              <w:t>.</w:t>
            </w:r>
            <w:r w:rsidRPr="00FA5C8D">
              <w:rPr>
                <w:rFonts w:ascii="Book Antiqua" w:hAnsi="Book Antiqua" w:cs="Calibri"/>
                <w:color w:val="000000" w:themeColor="text1"/>
                <w:sz w:val="24"/>
                <w:szCs w:val="24"/>
              </w:rPr>
              <w:t>2 (77.3-89.3)</w:t>
            </w:r>
          </w:p>
        </w:tc>
      </w:tr>
      <w:tr w:rsidR="0058298B" w:rsidRPr="00FA5C8D" w14:paraId="5C5CBEED" w14:textId="77777777" w:rsidTr="00366835">
        <w:trPr>
          <w:trHeight w:val="583"/>
          <w:jc w:val="center"/>
        </w:trPr>
        <w:tc>
          <w:tcPr>
            <w:tcW w:w="2802" w:type="dxa"/>
            <w:shd w:val="clear" w:color="auto" w:fill="auto"/>
          </w:tcPr>
          <w:p w14:paraId="41E469B3" w14:textId="77777777" w:rsidR="00246471" w:rsidRPr="00FA5C8D" w:rsidRDefault="0024647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Autoantibodies</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aDGP</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IgA</w:t>
            </w:r>
            <w:r w:rsidR="00C77650" w:rsidRPr="00FA5C8D">
              <w:rPr>
                <w:rFonts w:ascii="Book Antiqua" w:hAnsi="Book Antiqua" w:cstheme="minorHAnsi"/>
                <w:bCs/>
                <w:sz w:val="24"/>
                <w:szCs w:val="24"/>
              </w:rPr>
              <w:t xml:space="preserve"> </w:t>
            </w:r>
            <w:r w:rsidRPr="00FA5C8D">
              <w:rPr>
                <w:rFonts w:ascii="Book Antiqua" w:hAnsi="Book Antiqua" w:cstheme="minorHAnsi"/>
                <w:bCs/>
                <w:sz w:val="24"/>
                <w:szCs w:val="24"/>
              </w:rPr>
              <w:t>(cut</w:t>
            </w:r>
            <w:r w:rsidR="00300716" w:rsidRPr="00FA5C8D">
              <w:rPr>
                <w:rFonts w:ascii="Book Antiqua" w:hAnsi="Book Antiqua" w:cstheme="minorHAnsi"/>
                <w:bCs/>
                <w:sz w:val="24"/>
                <w:szCs w:val="24"/>
              </w:rPr>
              <w:t>off</w:t>
            </w:r>
            <w:r w:rsidRPr="00FA5C8D">
              <w:rPr>
                <w:rFonts w:ascii="Book Antiqua" w:hAnsi="Book Antiqua" w:cstheme="minorHAnsi"/>
                <w:bCs/>
                <w:sz w:val="24"/>
                <w:szCs w:val="24"/>
              </w:rPr>
              <w:t xml:space="preserve"> 22.6) AND ultrasonography</w:t>
            </w:r>
          </w:p>
        </w:tc>
        <w:tc>
          <w:tcPr>
            <w:tcW w:w="1417" w:type="dxa"/>
            <w:shd w:val="clear" w:color="auto" w:fill="auto"/>
            <w:vAlign w:val="center"/>
          </w:tcPr>
          <w:p w14:paraId="72B7D277" w14:textId="77777777" w:rsidR="00246471" w:rsidRPr="00FA5C8D" w:rsidRDefault="00246471" w:rsidP="00FA5C8D">
            <w:pPr>
              <w:snapToGrid w:val="0"/>
              <w:spacing w:line="360" w:lineRule="auto"/>
              <w:jc w:val="both"/>
              <w:rPr>
                <w:rFonts w:ascii="Book Antiqua" w:hAnsi="Book Antiqua" w:cs="Calibri"/>
                <w:bCs/>
                <w:color w:val="000000" w:themeColor="text1"/>
                <w:sz w:val="24"/>
                <w:szCs w:val="24"/>
                <w:lang w:val="en-US"/>
              </w:rPr>
            </w:pPr>
            <w:r w:rsidRPr="00FA5C8D">
              <w:rPr>
                <w:rFonts w:ascii="Book Antiqua" w:hAnsi="Book Antiqua" w:cs="Calibri"/>
                <w:bCs/>
                <w:color w:val="000000" w:themeColor="text1"/>
                <w:sz w:val="24"/>
                <w:szCs w:val="24"/>
              </w:rPr>
              <w:t>52.9 (27.8-77.0)</w:t>
            </w:r>
          </w:p>
        </w:tc>
        <w:tc>
          <w:tcPr>
            <w:tcW w:w="1418" w:type="dxa"/>
            <w:shd w:val="clear" w:color="auto" w:fill="auto"/>
            <w:vAlign w:val="center"/>
          </w:tcPr>
          <w:p w14:paraId="1112024A"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97.8 (88.5-99.9)</w:t>
            </w:r>
          </w:p>
        </w:tc>
        <w:tc>
          <w:tcPr>
            <w:tcW w:w="1339" w:type="dxa"/>
            <w:shd w:val="clear" w:color="auto" w:fill="auto"/>
            <w:vAlign w:val="center"/>
          </w:tcPr>
          <w:p w14:paraId="7AEE8973"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85.7 (74.6-93.3)</w:t>
            </w:r>
          </w:p>
        </w:tc>
        <w:tc>
          <w:tcPr>
            <w:tcW w:w="1323" w:type="dxa"/>
            <w:shd w:val="clear" w:color="auto" w:fill="auto"/>
            <w:vAlign w:val="center"/>
          </w:tcPr>
          <w:p w14:paraId="2C1C064D"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90.0 (55.2-98.5)</w:t>
            </w:r>
          </w:p>
        </w:tc>
        <w:tc>
          <w:tcPr>
            <w:tcW w:w="1323" w:type="dxa"/>
            <w:shd w:val="clear" w:color="auto" w:fill="auto"/>
            <w:vAlign w:val="center"/>
          </w:tcPr>
          <w:p w14:paraId="4A2A85D3" w14:textId="77777777" w:rsidR="00246471" w:rsidRPr="00FA5C8D" w:rsidRDefault="00246471" w:rsidP="00FA5C8D">
            <w:pPr>
              <w:snapToGrid w:val="0"/>
              <w:spacing w:line="360" w:lineRule="auto"/>
              <w:jc w:val="both"/>
              <w:rPr>
                <w:rFonts w:ascii="Book Antiqua" w:hAnsi="Book Antiqua" w:cs="Calibri"/>
                <w:color w:val="000000" w:themeColor="text1"/>
                <w:sz w:val="24"/>
                <w:szCs w:val="24"/>
                <w:lang w:val="en-US"/>
              </w:rPr>
            </w:pPr>
            <w:r w:rsidRPr="00FA5C8D">
              <w:rPr>
                <w:rFonts w:ascii="Book Antiqua" w:hAnsi="Book Antiqua" w:cs="Calibri"/>
                <w:color w:val="000000" w:themeColor="text1"/>
                <w:sz w:val="24"/>
                <w:szCs w:val="24"/>
              </w:rPr>
              <w:t>84.9 (77.2-90.3)</w:t>
            </w:r>
          </w:p>
        </w:tc>
      </w:tr>
    </w:tbl>
    <w:p w14:paraId="6D156AAE" w14:textId="77777777" w:rsidR="00246471" w:rsidRPr="00FA5C8D" w:rsidRDefault="00C77650" w:rsidP="00FA5C8D">
      <w:pPr>
        <w:snapToGrid w:val="0"/>
        <w:spacing w:after="0" w:line="360" w:lineRule="auto"/>
        <w:jc w:val="both"/>
        <w:rPr>
          <w:rFonts w:ascii="Book Antiqua" w:hAnsi="Book Antiqua" w:cs="Times New Roman"/>
          <w:b/>
          <w:sz w:val="24"/>
          <w:szCs w:val="24"/>
          <w:lang w:eastAsia="zh-CN"/>
        </w:rPr>
      </w:pPr>
      <w:proofErr w:type="spellStart"/>
      <w:r w:rsidRPr="00FA5C8D">
        <w:rPr>
          <w:rFonts w:ascii="Book Antiqua" w:hAnsi="Book Antiqua" w:cs="Times New Roman"/>
          <w:sz w:val="24"/>
          <w:szCs w:val="24"/>
        </w:rPr>
        <w:t>aTTG</w:t>
      </w:r>
      <w:proofErr w:type="spellEnd"/>
      <w:r w:rsidRPr="00FA5C8D">
        <w:rPr>
          <w:rFonts w:ascii="Book Antiqua" w:hAnsi="Book Antiqua" w:cs="Times New Roman"/>
          <w:sz w:val="24"/>
          <w:szCs w:val="24"/>
        </w:rPr>
        <w:t xml:space="preserve">: </w:t>
      </w:r>
      <w:r w:rsidR="00366835" w:rsidRPr="00FA5C8D">
        <w:rPr>
          <w:rFonts w:ascii="Book Antiqua" w:hAnsi="Book Antiqua" w:cs="Times New Roman"/>
          <w:sz w:val="24"/>
          <w:szCs w:val="24"/>
        </w:rPr>
        <w:t>Anti</w:t>
      </w:r>
      <w:r w:rsidRPr="00FA5C8D">
        <w:rPr>
          <w:rFonts w:ascii="Book Antiqua" w:hAnsi="Book Antiqua" w:cs="Times New Roman"/>
          <w:sz w:val="24"/>
          <w:szCs w:val="24"/>
        </w:rPr>
        <w:t xml:space="preserve">-tissue </w:t>
      </w:r>
      <w:proofErr w:type="spellStart"/>
      <w:r w:rsidRPr="00FA5C8D">
        <w:rPr>
          <w:rFonts w:ascii="Book Antiqua" w:hAnsi="Book Antiqua" w:cs="Times New Roman"/>
          <w:sz w:val="24"/>
          <w:szCs w:val="24"/>
        </w:rPr>
        <w:t>transglutaminase</w:t>
      </w:r>
      <w:proofErr w:type="spellEnd"/>
      <w:r w:rsidRPr="00FA5C8D">
        <w:rPr>
          <w:rFonts w:ascii="Book Antiqua" w:hAnsi="Book Antiqua" w:cs="Times New Roman"/>
          <w:sz w:val="24"/>
          <w:szCs w:val="24"/>
        </w:rPr>
        <w:t xml:space="preserve"> antibodies; </w:t>
      </w:r>
      <w:proofErr w:type="spellStart"/>
      <w:r w:rsidRPr="00FA5C8D">
        <w:rPr>
          <w:rFonts w:ascii="Book Antiqua" w:hAnsi="Book Antiqua" w:cs="Times New Roman"/>
          <w:sz w:val="24"/>
          <w:szCs w:val="24"/>
        </w:rPr>
        <w:t>aDGP</w:t>
      </w:r>
      <w:proofErr w:type="spellEnd"/>
      <w:r w:rsidRPr="00FA5C8D">
        <w:rPr>
          <w:rFonts w:ascii="Book Antiqua" w:hAnsi="Book Antiqua" w:cs="Times New Roman"/>
          <w:sz w:val="24"/>
          <w:szCs w:val="24"/>
        </w:rPr>
        <w:t xml:space="preserve">: </w:t>
      </w:r>
      <w:r w:rsidR="00366835" w:rsidRPr="00FA5C8D">
        <w:rPr>
          <w:rFonts w:ascii="Book Antiqua" w:hAnsi="Book Antiqua" w:cs="Times New Roman"/>
          <w:sz w:val="24"/>
          <w:szCs w:val="24"/>
        </w:rPr>
        <w:t>Anti</w:t>
      </w:r>
      <w:r w:rsidRPr="00FA5C8D">
        <w:rPr>
          <w:rFonts w:ascii="Book Antiqua" w:hAnsi="Book Antiqua" w:cs="Times New Roman"/>
          <w:sz w:val="24"/>
          <w:szCs w:val="24"/>
        </w:rPr>
        <w:t>-</w:t>
      </w:r>
      <w:proofErr w:type="spellStart"/>
      <w:r w:rsidRPr="00FA5C8D">
        <w:rPr>
          <w:rFonts w:ascii="Book Antiqua" w:hAnsi="Book Antiqua" w:cs="Times New Roman"/>
          <w:sz w:val="24"/>
          <w:szCs w:val="24"/>
        </w:rPr>
        <w:t>deamidated</w:t>
      </w:r>
      <w:proofErr w:type="spellEnd"/>
      <w:r w:rsidRPr="00FA5C8D">
        <w:rPr>
          <w:rFonts w:ascii="Book Antiqua" w:hAnsi="Book Antiqua" w:cs="Times New Roman"/>
          <w:sz w:val="24"/>
          <w:szCs w:val="24"/>
        </w:rPr>
        <w:t xml:space="preserve"> </w:t>
      </w:r>
      <w:proofErr w:type="spellStart"/>
      <w:r w:rsidRPr="00FA5C8D">
        <w:rPr>
          <w:rFonts w:ascii="Book Antiqua" w:hAnsi="Book Antiqua" w:cs="Times New Roman"/>
          <w:sz w:val="24"/>
          <w:szCs w:val="24"/>
        </w:rPr>
        <w:t>gliadin</w:t>
      </w:r>
      <w:proofErr w:type="spellEnd"/>
      <w:r w:rsidRPr="00FA5C8D">
        <w:rPr>
          <w:rFonts w:ascii="Book Antiqua" w:hAnsi="Book Antiqua" w:cs="Times New Roman"/>
          <w:sz w:val="24"/>
          <w:szCs w:val="24"/>
        </w:rPr>
        <w:t xml:space="preserve"> peptide antibodies; CI: </w:t>
      </w:r>
      <w:r w:rsidR="00366835" w:rsidRPr="00FA5C8D">
        <w:rPr>
          <w:rFonts w:ascii="Book Antiqua" w:hAnsi="Book Antiqua" w:cs="Times New Roman"/>
          <w:sz w:val="24"/>
          <w:szCs w:val="24"/>
        </w:rPr>
        <w:t xml:space="preserve">Confidence </w:t>
      </w:r>
      <w:r w:rsidRPr="00FA5C8D">
        <w:rPr>
          <w:rFonts w:ascii="Book Antiqua" w:hAnsi="Book Antiqua" w:cs="Times New Roman"/>
          <w:sz w:val="24"/>
          <w:szCs w:val="24"/>
        </w:rPr>
        <w:t>interval</w:t>
      </w:r>
      <w:r w:rsidR="00366835" w:rsidRPr="00FA5C8D">
        <w:rPr>
          <w:rFonts w:ascii="Book Antiqua" w:hAnsi="Book Antiqua" w:cs="Times New Roman"/>
          <w:b/>
          <w:sz w:val="24"/>
          <w:szCs w:val="24"/>
          <w:lang w:eastAsia="zh-CN"/>
        </w:rPr>
        <w:t>.</w:t>
      </w:r>
    </w:p>
    <w:p w14:paraId="69AA7438" w14:textId="77777777" w:rsidR="00045A9B" w:rsidRPr="00FA5C8D" w:rsidRDefault="00045A9B" w:rsidP="00FA5C8D">
      <w:pPr>
        <w:snapToGrid w:val="0"/>
        <w:spacing w:after="0" w:line="360" w:lineRule="auto"/>
        <w:jc w:val="both"/>
        <w:rPr>
          <w:rFonts w:ascii="Book Antiqua" w:hAnsi="Book Antiqua" w:cs="Times New Roman"/>
          <w:b/>
          <w:sz w:val="24"/>
          <w:szCs w:val="24"/>
        </w:rPr>
      </w:pPr>
      <w:r w:rsidRPr="00FA5C8D">
        <w:rPr>
          <w:rFonts w:ascii="Book Antiqua" w:hAnsi="Book Antiqua" w:cs="Times New Roman"/>
          <w:b/>
          <w:sz w:val="24"/>
          <w:szCs w:val="24"/>
        </w:rPr>
        <w:br w:type="page"/>
      </w:r>
    </w:p>
    <w:p w14:paraId="4B396E78" w14:textId="77777777" w:rsidR="005C3621" w:rsidRPr="00FA5C8D" w:rsidRDefault="005C3621" w:rsidP="00FA5C8D">
      <w:pPr>
        <w:snapToGrid w:val="0"/>
        <w:spacing w:after="0" w:line="360" w:lineRule="auto"/>
        <w:jc w:val="both"/>
        <w:rPr>
          <w:rFonts w:ascii="Book Antiqua" w:hAnsi="Book Antiqua" w:cs="Times New Roman"/>
          <w:sz w:val="24"/>
          <w:szCs w:val="24"/>
        </w:rPr>
      </w:pPr>
      <w:r w:rsidRPr="00FA5C8D">
        <w:rPr>
          <w:rFonts w:ascii="Book Antiqua" w:hAnsi="Book Antiqua" w:cs="Times New Roman"/>
          <w:b/>
          <w:sz w:val="24"/>
          <w:szCs w:val="24"/>
        </w:rPr>
        <w:lastRenderedPageBreak/>
        <w:t xml:space="preserve">Table </w:t>
      </w:r>
      <w:r w:rsidR="00FB1A63" w:rsidRPr="00FA5C8D">
        <w:rPr>
          <w:rFonts w:ascii="Book Antiqua" w:hAnsi="Book Antiqua" w:cs="Times New Roman"/>
          <w:b/>
          <w:sz w:val="24"/>
          <w:szCs w:val="24"/>
        </w:rPr>
        <w:t>6</w:t>
      </w:r>
      <w:r w:rsidR="00C77650" w:rsidRPr="00FA5C8D">
        <w:rPr>
          <w:rFonts w:ascii="Book Antiqua" w:hAnsi="Book Antiqua" w:cs="Times New Roman"/>
          <w:b/>
          <w:sz w:val="24"/>
          <w:szCs w:val="24"/>
        </w:rPr>
        <w:t xml:space="preserve"> </w:t>
      </w:r>
      <w:r w:rsidRPr="00FA5C8D">
        <w:rPr>
          <w:rFonts w:ascii="Book Antiqua" w:hAnsi="Book Antiqua" w:cs="Times New Roman"/>
          <w:b/>
          <w:bCs/>
          <w:sz w:val="24"/>
          <w:szCs w:val="24"/>
        </w:rPr>
        <w:t>Sensitivity, specificity, positive and negative predictive value of bowel ultrasonography, clinical and laboratory markers for prediction of villous atrophy in patients with celiac disease</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560"/>
        <w:gridCol w:w="1559"/>
        <w:gridCol w:w="1481"/>
        <w:gridCol w:w="1323"/>
        <w:gridCol w:w="1323"/>
      </w:tblGrid>
      <w:tr w:rsidR="00366835" w:rsidRPr="00FA5C8D" w14:paraId="761D5B04" w14:textId="77777777" w:rsidTr="00366835">
        <w:trPr>
          <w:jc w:val="center"/>
        </w:trPr>
        <w:tc>
          <w:tcPr>
            <w:tcW w:w="2376" w:type="dxa"/>
            <w:tcBorders>
              <w:top w:val="single" w:sz="4" w:space="0" w:color="auto"/>
              <w:bottom w:val="single" w:sz="4" w:space="0" w:color="auto"/>
            </w:tcBorders>
            <w:shd w:val="clear" w:color="auto" w:fill="auto"/>
            <w:vAlign w:val="center"/>
          </w:tcPr>
          <w:p w14:paraId="754FE189"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Characteristics</w:t>
            </w:r>
          </w:p>
        </w:tc>
        <w:tc>
          <w:tcPr>
            <w:tcW w:w="1560" w:type="dxa"/>
            <w:tcBorders>
              <w:top w:val="single" w:sz="4" w:space="0" w:color="auto"/>
              <w:bottom w:val="single" w:sz="4" w:space="0" w:color="auto"/>
            </w:tcBorders>
            <w:shd w:val="clear" w:color="auto" w:fill="auto"/>
            <w:vAlign w:val="center"/>
          </w:tcPr>
          <w:p w14:paraId="148C2CD9"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Sensitivity</w:t>
            </w:r>
            <w:r w:rsidR="00366835" w:rsidRPr="00FA5C8D">
              <w:rPr>
                <w:rFonts w:ascii="Book Antiqua" w:hAnsi="Book Antiqua" w:cstheme="minorHAnsi"/>
                <w:b/>
                <w:sz w:val="24"/>
                <w:szCs w:val="24"/>
                <w:lang w:eastAsia="zh-CN"/>
              </w:rPr>
              <w:t xml:space="preserve"> (%) </w:t>
            </w:r>
            <w:r w:rsidRPr="00FA5C8D">
              <w:rPr>
                <w:rFonts w:ascii="Book Antiqua" w:hAnsi="Book Antiqua" w:cstheme="minorHAnsi"/>
                <w:b/>
                <w:sz w:val="24"/>
                <w:szCs w:val="24"/>
              </w:rPr>
              <w:t>(95%CI)</w:t>
            </w:r>
          </w:p>
        </w:tc>
        <w:tc>
          <w:tcPr>
            <w:tcW w:w="1559" w:type="dxa"/>
            <w:tcBorders>
              <w:top w:val="single" w:sz="4" w:space="0" w:color="auto"/>
              <w:bottom w:val="single" w:sz="4" w:space="0" w:color="auto"/>
            </w:tcBorders>
            <w:shd w:val="clear" w:color="auto" w:fill="auto"/>
            <w:vAlign w:val="center"/>
          </w:tcPr>
          <w:p w14:paraId="60A13FD8"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Specificity</w:t>
            </w:r>
            <w:r w:rsidR="00366835" w:rsidRPr="00FA5C8D">
              <w:rPr>
                <w:rFonts w:ascii="Book Antiqua" w:hAnsi="Book Antiqua" w:cstheme="minorHAnsi"/>
                <w:b/>
                <w:sz w:val="24"/>
                <w:szCs w:val="24"/>
                <w:lang w:eastAsia="zh-CN"/>
              </w:rPr>
              <w:t xml:space="preserve"> (%) </w:t>
            </w:r>
            <w:r w:rsidRPr="00FA5C8D">
              <w:rPr>
                <w:rFonts w:ascii="Book Antiqua" w:hAnsi="Book Antiqua" w:cstheme="minorHAnsi"/>
                <w:b/>
                <w:sz w:val="24"/>
                <w:szCs w:val="24"/>
              </w:rPr>
              <w:t>(95%CI)</w:t>
            </w:r>
          </w:p>
        </w:tc>
        <w:tc>
          <w:tcPr>
            <w:tcW w:w="1481" w:type="dxa"/>
            <w:tcBorders>
              <w:top w:val="single" w:sz="4" w:space="0" w:color="auto"/>
              <w:bottom w:val="single" w:sz="4" w:space="0" w:color="auto"/>
            </w:tcBorders>
            <w:shd w:val="clear" w:color="auto" w:fill="auto"/>
            <w:vAlign w:val="center"/>
          </w:tcPr>
          <w:p w14:paraId="251B3875"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Accuracy</w:t>
            </w:r>
            <w:r w:rsidR="00366835" w:rsidRPr="00FA5C8D">
              <w:rPr>
                <w:rFonts w:ascii="Book Antiqua" w:hAnsi="Book Antiqua" w:cstheme="minorHAnsi"/>
                <w:b/>
                <w:sz w:val="24"/>
                <w:szCs w:val="24"/>
                <w:lang w:eastAsia="zh-CN"/>
              </w:rPr>
              <w:t xml:space="preserve"> (%)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2051A511"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 xml:space="preserve">Positive predictive value </w:t>
            </w:r>
            <w:r w:rsidR="00366835" w:rsidRPr="00FA5C8D">
              <w:rPr>
                <w:rFonts w:ascii="Book Antiqua" w:hAnsi="Book Antiqua" w:cstheme="minorHAnsi"/>
                <w:b/>
                <w:sz w:val="24"/>
                <w:szCs w:val="24"/>
                <w:lang w:eastAsia="zh-CN"/>
              </w:rPr>
              <w:t xml:space="preserve">(%) </w:t>
            </w:r>
            <w:r w:rsidRPr="00FA5C8D">
              <w:rPr>
                <w:rFonts w:ascii="Book Antiqua" w:hAnsi="Book Antiqua" w:cstheme="minorHAnsi"/>
                <w:b/>
                <w:sz w:val="24"/>
                <w:szCs w:val="24"/>
              </w:rPr>
              <w:t>(95%CI)</w:t>
            </w:r>
          </w:p>
        </w:tc>
        <w:tc>
          <w:tcPr>
            <w:tcW w:w="1323" w:type="dxa"/>
            <w:tcBorders>
              <w:top w:val="single" w:sz="4" w:space="0" w:color="auto"/>
              <w:bottom w:val="single" w:sz="4" w:space="0" w:color="auto"/>
            </w:tcBorders>
            <w:shd w:val="clear" w:color="auto" w:fill="auto"/>
            <w:vAlign w:val="center"/>
          </w:tcPr>
          <w:p w14:paraId="7736385E" w14:textId="77777777" w:rsidR="005C3621" w:rsidRPr="00FA5C8D" w:rsidRDefault="005C3621" w:rsidP="00FA5C8D">
            <w:pPr>
              <w:snapToGrid w:val="0"/>
              <w:spacing w:line="360" w:lineRule="auto"/>
              <w:jc w:val="both"/>
              <w:rPr>
                <w:rFonts w:ascii="Book Antiqua" w:hAnsi="Book Antiqua" w:cstheme="minorHAnsi"/>
                <w:b/>
                <w:sz w:val="24"/>
                <w:szCs w:val="24"/>
                <w:lang w:val="en-US"/>
              </w:rPr>
            </w:pPr>
            <w:r w:rsidRPr="00FA5C8D">
              <w:rPr>
                <w:rFonts w:ascii="Book Antiqua" w:hAnsi="Book Antiqua" w:cstheme="minorHAnsi"/>
                <w:b/>
                <w:sz w:val="24"/>
                <w:szCs w:val="24"/>
              </w:rPr>
              <w:t>Negative predictive value</w:t>
            </w:r>
            <w:r w:rsidR="00366835" w:rsidRPr="00FA5C8D">
              <w:rPr>
                <w:rFonts w:ascii="Book Antiqua" w:hAnsi="Book Antiqua" w:cstheme="minorHAnsi"/>
                <w:b/>
                <w:sz w:val="24"/>
                <w:szCs w:val="24"/>
                <w:lang w:eastAsia="zh-CN"/>
              </w:rPr>
              <w:t xml:space="preserve"> (%) </w:t>
            </w:r>
            <w:r w:rsidRPr="00FA5C8D">
              <w:rPr>
                <w:rFonts w:ascii="Book Antiqua" w:hAnsi="Book Antiqua" w:cstheme="minorHAnsi"/>
                <w:b/>
                <w:sz w:val="24"/>
                <w:szCs w:val="24"/>
              </w:rPr>
              <w:t>(95%CI)</w:t>
            </w:r>
          </w:p>
        </w:tc>
      </w:tr>
      <w:tr w:rsidR="00366835" w:rsidRPr="00FA5C8D" w14:paraId="5416BDB0" w14:textId="77777777" w:rsidTr="00366835">
        <w:trPr>
          <w:jc w:val="center"/>
        </w:trPr>
        <w:tc>
          <w:tcPr>
            <w:tcW w:w="2376" w:type="dxa"/>
            <w:tcBorders>
              <w:top w:val="single" w:sz="4" w:space="0" w:color="auto"/>
            </w:tcBorders>
            <w:shd w:val="clear" w:color="auto" w:fill="auto"/>
            <w:vAlign w:val="center"/>
          </w:tcPr>
          <w:p w14:paraId="5F39A5CE"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Ultrasonography</w:t>
            </w:r>
          </w:p>
        </w:tc>
        <w:tc>
          <w:tcPr>
            <w:tcW w:w="1560" w:type="dxa"/>
            <w:tcBorders>
              <w:top w:val="single" w:sz="4" w:space="0" w:color="auto"/>
            </w:tcBorders>
            <w:shd w:val="clear" w:color="auto" w:fill="auto"/>
            <w:vAlign w:val="center"/>
          </w:tcPr>
          <w:p w14:paraId="419ACBB1"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64.7 (38.3-85.8)</w:t>
            </w:r>
          </w:p>
        </w:tc>
        <w:tc>
          <w:tcPr>
            <w:tcW w:w="1559" w:type="dxa"/>
            <w:tcBorders>
              <w:top w:val="single" w:sz="4" w:space="0" w:color="auto"/>
            </w:tcBorders>
            <w:shd w:val="clear" w:color="auto" w:fill="auto"/>
            <w:vAlign w:val="center"/>
          </w:tcPr>
          <w:p w14:paraId="6A8528CE"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73.5 (58.9-85.1)</w:t>
            </w:r>
          </w:p>
        </w:tc>
        <w:tc>
          <w:tcPr>
            <w:tcW w:w="1481" w:type="dxa"/>
            <w:tcBorders>
              <w:top w:val="single" w:sz="4" w:space="0" w:color="auto"/>
            </w:tcBorders>
            <w:shd w:val="clear" w:color="auto" w:fill="auto"/>
            <w:vAlign w:val="center"/>
          </w:tcPr>
          <w:p w14:paraId="117B4912"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71.2 (58.8-81.7)</w:t>
            </w:r>
          </w:p>
        </w:tc>
        <w:tc>
          <w:tcPr>
            <w:tcW w:w="1323" w:type="dxa"/>
            <w:tcBorders>
              <w:top w:val="single" w:sz="4" w:space="0" w:color="auto"/>
            </w:tcBorders>
            <w:shd w:val="clear" w:color="auto" w:fill="auto"/>
            <w:vAlign w:val="center"/>
          </w:tcPr>
          <w:p w14:paraId="41AEF009"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45.8 (32.1-60.3)</w:t>
            </w:r>
          </w:p>
        </w:tc>
        <w:tc>
          <w:tcPr>
            <w:tcW w:w="1323" w:type="dxa"/>
            <w:tcBorders>
              <w:top w:val="single" w:sz="4" w:space="0" w:color="auto"/>
            </w:tcBorders>
            <w:shd w:val="clear" w:color="auto" w:fill="auto"/>
            <w:vAlign w:val="center"/>
          </w:tcPr>
          <w:p w14:paraId="6F3B6175"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85.7 (75.5-92.1)</w:t>
            </w:r>
          </w:p>
        </w:tc>
      </w:tr>
      <w:tr w:rsidR="00366835" w:rsidRPr="00FA5C8D" w14:paraId="3EC3F97C" w14:textId="77777777" w:rsidTr="00366835">
        <w:trPr>
          <w:jc w:val="center"/>
        </w:trPr>
        <w:tc>
          <w:tcPr>
            <w:tcW w:w="2376" w:type="dxa"/>
            <w:shd w:val="clear" w:color="auto" w:fill="auto"/>
            <w:vAlign w:val="center"/>
          </w:tcPr>
          <w:p w14:paraId="0777F044"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Diarrhea</w:t>
            </w:r>
          </w:p>
        </w:tc>
        <w:tc>
          <w:tcPr>
            <w:tcW w:w="1560" w:type="dxa"/>
            <w:shd w:val="clear" w:color="auto" w:fill="auto"/>
            <w:vAlign w:val="center"/>
          </w:tcPr>
          <w:p w14:paraId="1F4926B0"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44.4 (21.5-69.2)</w:t>
            </w:r>
          </w:p>
        </w:tc>
        <w:tc>
          <w:tcPr>
            <w:tcW w:w="1559" w:type="dxa"/>
            <w:shd w:val="clear" w:color="auto" w:fill="auto"/>
            <w:vAlign w:val="center"/>
          </w:tcPr>
          <w:p w14:paraId="545DFA70"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82.5 (70.9-91.0)</w:t>
            </w:r>
          </w:p>
        </w:tc>
        <w:tc>
          <w:tcPr>
            <w:tcW w:w="1481" w:type="dxa"/>
            <w:shd w:val="clear" w:color="auto" w:fill="auto"/>
            <w:vAlign w:val="center"/>
          </w:tcPr>
          <w:p w14:paraId="345D85FC"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74.1 (63.1-83.2)</w:t>
            </w:r>
          </w:p>
        </w:tc>
        <w:tc>
          <w:tcPr>
            <w:tcW w:w="1323" w:type="dxa"/>
            <w:shd w:val="clear" w:color="auto" w:fill="auto"/>
            <w:vAlign w:val="center"/>
          </w:tcPr>
          <w:p w14:paraId="02E9F296"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42.1 (25.7-60.5)</w:t>
            </w:r>
          </w:p>
        </w:tc>
        <w:tc>
          <w:tcPr>
            <w:tcW w:w="1323" w:type="dxa"/>
            <w:shd w:val="clear" w:color="auto" w:fill="auto"/>
            <w:vAlign w:val="center"/>
          </w:tcPr>
          <w:p w14:paraId="640C1664"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color w:val="000000" w:themeColor="text1"/>
                <w:sz w:val="24"/>
                <w:szCs w:val="24"/>
              </w:rPr>
              <w:t>83.9 (77.2-88.9)</w:t>
            </w:r>
          </w:p>
        </w:tc>
      </w:tr>
      <w:tr w:rsidR="00366835" w:rsidRPr="00FA5C8D" w14:paraId="129C5BCC" w14:textId="77777777" w:rsidTr="00366835">
        <w:trPr>
          <w:jc w:val="center"/>
        </w:trPr>
        <w:tc>
          <w:tcPr>
            <w:tcW w:w="2376" w:type="dxa"/>
            <w:shd w:val="clear" w:color="auto" w:fill="auto"/>
            <w:vAlign w:val="center"/>
          </w:tcPr>
          <w:p w14:paraId="7F46DDE3"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Weight loss</w:t>
            </w:r>
          </w:p>
        </w:tc>
        <w:tc>
          <w:tcPr>
            <w:tcW w:w="1560" w:type="dxa"/>
            <w:shd w:val="clear" w:color="auto" w:fill="auto"/>
            <w:vAlign w:val="center"/>
          </w:tcPr>
          <w:p w14:paraId="5CBB577B"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22.2 (6.4-47.6)</w:t>
            </w:r>
          </w:p>
        </w:tc>
        <w:tc>
          <w:tcPr>
            <w:tcW w:w="1559" w:type="dxa"/>
            <w:shd w:val="clear" w:color="auto" w:fill="auto"/>
            <w:vAlign w:val="center"/>
          </w:tcPr>
          <w:p w14:paraId="1A17FA01"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93.7 (84.5-98.2)</w:t>
            </w:r>
          </w:p>
        </w:tc>
        <w:tc>
          <w:tcPr>
            <w:tcW w:w="1481" w:type="dxa"/>
            <w:shd w:val="clear" w:color="auto" w:fill="auto"/>
            <w:vAlign w:val="center"/>
          </w:tcPr>
          <w:p w14:paraId="24DEB68E"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77.8 (67.2-86.3)</w:t>
            </w:r>
          </w:p>
        </w:tc>
        <w:tc>
          <w:tcPr>
            <w:tcW w:w="1323" w:type="dxa"/>
            <w:shd w:val="clear" w:color="auto" w:fill="auto"/>
            <w:vAlign w:val="center"/>
          </w:tcPr>
          <w:p w14:paraId="0F0E3649"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50.0 (21.7-78.3)</w:t>
            </w:r>
          </w:p>
        </w:tc>
        <w:tc>
          <w:tcPr>
            <w:tcW w:w="1323" w:type="dxa"/>
            <w:shd w:val="clear" w:color="auto" w:fill="auto"/>
            <w:vAlign w:val="center"/>
          </w:tcPr>
          <w:p w14:paraId="2F455A0C"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80.8 (76.6-84.5)</w:t>
            </w:r>
          </w:p>
        </w:tc>
      </w:tr>
      <w:tr w:rsidR="00366835" w:rsidRPr="00FA5C8D" w14:paraId="776B92E5" w14:textId="77777777" w:rsidTr="00366835">
        <w:trPr>
          <w:jc w:val="center"/>
        </w:trPr>
        <w:tc>
          <w:tcPr>
            <w:tcW w:w="2376" w:type="dxa"/>
            <w:shd w:val="clear" w:color="auto" w:fill="auto"/>
            <w:vAlign w:val="center"/>
          </w:tcPr>
          <w:p w14:paraId="137A67FF"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Abdominal pain</w:t>
            </w:r>
          </w:p>
        </w:tc>
        <w:tc>
          <w:tcPr>
            <w:tcW w:w="1560" w:type="dxa"/>
            <w:shd w:val="clear" w:color="auto" w:fill="auto"/>
            <w:vAlign w:val="center"/>
          </w:tcPr>
          <w:p w14:paraId="59F44EAB"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16.7 (3.6-41.4)</w:t>
            </w:r>
          </w:p>
        </w:tc>
        <w:tc>
          <w:tcPr>
            <w:tcW w:w="1559" w:type="dxa"/>
            <w:shd w:val="clear" w:color="auto" w:fill="auto"/>
            <w:vAlign w:val="center"/>
          </w:tcPr>
          <w:p w14:paraId="0C7AD655"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77.8 (65.5-87.3)</w:t>
            </w:r>
          </w:p>
        </w:tc>
        <w:tc>
          <w:tcPr>
            <w:tcW w:w="1481" w:type="dxa"/>
            <w:shd w:val="clear" w:color="auto" w:fill="auto"/>
            <w:vAlign w:val="center"/>
          </w:tcPr>
          <w:p w14:paraId="5F7D370B"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64.2 (52.8-74.6)</w:t>
            </w:r>
          </w:p>
        </w:tc>
        <w:tc>
          <w:tcPr>
            <w:tcW w:w="1323" w:type="dxa"/>
            <w:shd w:val="clear" w:color="auto" w:fill="auto"/>
            <w:vAlign w:val="center"/>
          </w:tcPr>
          <w:p w14:paraId="61B59BBA"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17.7 (6.5-39.9)</w:t>
            </w:r>
          </w:p>
        </w:tc>
        <w:tc>
          <w:tcPr>
            <w:tcW w:w="1323" w:type="dxa"/>
            <w:shd w:val="clear" w:color="auto" w:fill="auto"/>
            <w:vAlign w:val="center"/>
          </w:tcPr>
          <w:p w14:paraId="0F241CA5"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76.6 (71.9-80.7)</w:t>
            </w:r>
          </w:p>
        </w:tc>
      </w:tr>
      <w:tr w:rsidR="00366835" w:rsidRPr="00FA5C8D" w14:paraId="7F4F3526" w14:textId="77777777" w:rsidTr="00366835">
        <w:trPr>
          <w:jc w:val="center"/>
        </w:trPr>
        <w:tc>
          <w:tcPr>
            <w:tcW w:w="2376" w:type="dxa"/>
            <w:shd w:val="clear" w:color="auto" w:fill="auto"/>
            <w:vAlign w:val="center"/>
          </w:tcPr>
          <w:p w14:paraId="74EF5ACB"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Anemia</w:t>
            </w:r>
          </w:p>
        </w:tc>
        <w:tc>
          <w:tcPr>
            <w:tcW w:w="1560" w:type="dxa"/>
            <w:shd w:val="clear" w:color="auto" w:fill="auto"/>
            <w:vAlign w:val="center"/>
          </w:tcPr>
          <w:p w14:paraId="1D7B047A"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5.6 (0.1-27.3)</w:t>
            </w:r>
          </w:p>
        </w:tc>
        <w:tc>
          <w:tcPr>
            <w:tcW w:w="1559" w:type="dxa"/>
            <w:shd w:val="clear" w:color="auto" w:fill="auto"/>
            <w:vAlign w:val="center"/>
          </w:tcPr>
          <w:p w14:paraId="136770FF"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87.1 (76.2-94.3)</w:t>
            </w:r>
          </w:p>
        </w:tc>
        <w:tc>
          <w:tcPr>
            <w:tcW w:w="1481" w:type="dxa"/>
            <w:shd w:val="clear" w:color="auto" w:fill="auto"/>
            <w:vAlign w:val="center"/>
          </w:tcPr>
          <w:p w14:paraId="0266B4B7"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68.8 (57.4-78.7)</w:t>
            </w:r>
          </w:p>
        </w:tc>
        <w:tc>
          <w:tcPr>
            <w:tcW w:w="1323" w:type="dxa"/>
            <w:shd w:val="clear" w:color="auto" w:fill="auto"/>
            <w:vAlign w:val="center"/>
          </w:tcPr>
          <w:p w14:paraId="392F8E4C"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11.1 (1.6-48.3)</w:t>
            </w:r>
          </w:p>
        </w:tc>
        <w:tc>
          <w:tcPr>
            <w:tcW w:w="1323" w:type="dxa"/>
            <w:shd w:val="clear" w:color="auto" w:fill="auto"/>
            <w:vAlign w:val="center"/>
          </w:tcPr>
          <w:p w14:paraId="7072CDD4"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76.1 (73.3-78.6)</w:t>
            </w:r>
          </w:p>
        </w:tc>
      </w:tr>
      <w:tr w:rsidR="00366835" w:rsidRPr="00FA5C8D" w14:paraId="0611016A" w14:textId="77777777" w:rsidTr="00366835">
        <w:trPr>
          <w:jc w:val="center"/>
        </w:trPr>
        <w:tc>
          <w:tcPr>
            <w:tcW w:w="2376" w:type="dxa"/>
            <w:shd w:val="clear" w:color="auto" w:fill="auto"/>
            <w:vAlign w:val="center"/>
          </w:tcPr>
          <w:p w14:paraId="1CB6EBD1"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Sideropenia</w:t>
            </w:r>
          </w:p>
        </w:tc>
        <w:tc>
          <w:tcPr>
            <w:tcW w:w="1560" w:type="dxa"/>
            <w:shd w:val="clear" w:color="auto" w:fill="auto"/>
            <w:vAlign w:val="center"/>
          </w:tcPr>
          <w:p w14:paraId="308171E4"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22.2 (6.4-47.6)</w:t>
            </w:r>
          </w:p>
        </w:tc>
        <w:tc>
          <w:tcPr>
            <w:tcW w:w="1559" w:type="dxa"/>
            <w:shd w:val="clear" w:color="auto" w:fill="auto"/>
            <w:vAlign w:val="center"/>
          </w:tcPr>
          <w:p w14:paraId="70FAFDCF"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71.0 (58.1-81.8)</w:t>
            </w:r>
          </w:p>
        </w:tc>
        <w:tc>
          <w:tcPr>
            <w:tcW w:w="1481" w:type="dxa"/>
            <w:shd w:val="clear" w:color="auto" w:fill="auto"/>
            <w:vAlign w:val="center"/>
          </w:tcPr>
          <w:p w14:paraId="67E7E110"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60.0 (48.4-70.8)</w:t>
            </w:r>
          </w:p>
        </w:tc>
        <w:tc>
          <w:tcPr>
            <w:tcW w:w="1323" w:type="dxa"/>
            <w:shd w:val="clear" w:color="auto" w:fill="auto"/>
            <w:vAlign w:val="center"/>
          </w:tcPr>
          <w:p w14:paraId="45B20E2F"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18.2 (7.9-36.4)</w:t>
            </w:r>
          </w:p>
        </w:tc>
        <w:tc>
          <w:tcPr>
            <w:tcW w:w="1323" w:type="dxa"/>
            <w:shd w:val="clear" w:color="auto" w:fill="auto"/>
            <w:vAlign w:val="center"/>
          </w:tcPr>
          <w:p w14:paraId="5AD70614"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75.9 (70.1-80.8)</w:t>
            </w:r>
          </w:p>
        </w:tc>
      </w:tr>
      <w:tr w:rsidR="00366835" w:rsidRPr="00FA5C8D" w14:paraId="32658135" w14:textId="77777777" w:rsidTr="00366835">
        <w:trPr>
          <w:jc w:val="center"/>
        </w:trPr>
        <w:tc>
          <w:tcPr>
            <w:tcW w:w="2376" w:type="dxa"/>
            <w:shd w:val="clear" w:color="auto" w:fill="auto"/>
            <w:vAlign w:val="center"/>
          </w:tcPr>
          <w:p w14:paraId="556FF24F" w14:textId="77777777" w:rsidR="005C3621" w:rsidRPr="00FA5C8D" w:rsidRDefault="005C3621" w:rsidP="00FA5C8D">
            <w:pPr>
              <w:snapToGrid w:val="0"/>
              <w:spacing w:line="360" w:lineRule="auto"/>
              <w:jc w:val="both"/>
              <w:rPr>
                <w:rFonts w:ascii="Book Antiqua" w:hAnsi="Book Antiqua" w:cstheme="minorHAnsi"/>
                <w:bCs/>
                <w:sz w:val="24"/>
                <w:szCs w:val="24"/>
                <w:lang w:val="en-US"/>
              </w:rPr>
            </w:pPr>
            <w:r w:rsidRPr="00FA5C8D">
              <w:rPr>
                <w:rFonts w:ascii="Book Antiqua" w:hAnsi="Book Antiqua" w:cstheme="minorHAnsi"/>
                <w:bCs/>
                <w:sz w:val="24"/>
                <w:szCs w:val="24"/>
              </w:rPr>
              <w:t>Vitamin D deficiency</w:t>
            </w:r>
          </w:p>
        </w:tc>
        <w:tc>
          <w:tcPr>
            <w:tcW w:w="1560" w:type="dxa"/>
            <w:shd w:val="clear" w:color="auto" w:fill="auto"/>
            <w:vAlign w:val="center"/>
          </w:tcPr>
          <w:p w14:paraId="42AFA062"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44.4 (21.5-69.2)</w:t>
            </w:r>
          </w:p>
        </w:tc>
        <w:tc>
          <w:tcPr>
            <w:tcW w:w="1559" w:type="dxa"/>
            <w:shd w:val="clear" w:color="auto" w:fill="auto"/>
            <w:vAlign w:val="center"/>
          </w:tcPr>
          <w:p w14:paraId="66A8A7B7"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85.5 (74.2-93.1)</w:t>
            </w:r>
          </w:p>
        </w:tc>
        <w:tc>
          <w:tcPr>
            <w:tcW w:w="1481" w:type="dxa"/>
            <w:shd w:val="clear" w:color="auto" w:fill="auto"/>
            <w:vAlign w:val="center"/>
          </w:tcPr>
          <w:p w14:paraId="6F3708B2"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76.3 (65.4-85.1)</w:t>
            </w:r>
          </w:p>
        </w:tc>
        <w:tc>
          <w:tcPr>
            <w:tcW w:w="1323" w:type="dxa"/>
            <w:shd w:val="clear" w:color="auto" w:fill="auto"/>
            <w:vAlign w:val="center"/>
          </w:tcPr>
          <w:p w14:paraId="2D55801D"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47.1 (28.7-66.3)</w:t>
            </w:r>
          </w:p>
        </w:tc>
        <w:tc>
          <w:tcPr>
            <w:tcW w:w="1323" w:type="dxa"/>
            <w:shd w:val="clear" w:color="auto" w:fill="auto"/>
            <w:vAlign w:val="center"/>
          </w:tcPr>
          <w:p w14:paraId="44209E4B" w14:textId="77777777" w:rsidR="005C3621" w:rsidRPr="00FA5C8D" w:rsidRDefault="005C3621" w:rsidP="00FA5C8D">
            <w:pPr>
              <w:snapToGrid w:val="0"/>
              <w:spacing w:line="360" w:lineRule="auto"/>
              <w:jc w:val="both"/>
              <w:rPr>
                <w:rFonts w:ascii="Book Antiqua" w:hAnsi="Book Antiqua" w:cs="Calibri"/>
                <w:sz w:val="24"/>
                <w:szCs w:val="24"/>
                <w:lang w:val="en-US"/>
              </w:rPr>
            </w:pPr>
            <w:r w:rsidRPr="00FA5C8D">
              <w:rPr>
                <w:rFonts w:ascii="Book Antiqua" w:hAnsi="Book Antiqua" w:cs="Calibri"/>
                <w:sz w:val="24"/>
                <w:szCs w:val="24"/>
              </w:rPr>
              <w:t>84.1 (77.6-89.0)</w:t>
            </w:r>
          </w:p>
        </w:tc>
      </w:tr>
    </w:tbl>
    <w:p w14:paraId="7B1A9F8C" w14:textId="77777777" w:rsidR="00780093" w:rsidRPr="00FA5C8D" w:rsidRDefault="00C77650" w:rsidP="00FA5C8D">
      <w:pPr>
        <w:snapToGrid w:val="0"/>
        <w:spacing w:after="0" w:line="360" w:lineRule="auto"/>
        <w:jc w:val="both"/>
        <w:rPr>
          <w:rFonts w:ascii="Book Antiqua" w:hAnsi="Book Antiqua" w:cs="Times New Roman"/>
          <w:iCs/>
          <w:sz w:val="24"/>
          <w:szCs w:val="24"/>
        </w:rPr>
      </w:pPr>
      <w:r w:rsidRPr="00FA5C8D">
        <w:rPr>
          <w:rFonts w:ascii="Book Antiqua" w:hAnsi="Book Antiqua" w:cs="Times New Roman"/>
          <w:iCs/>
          <w:sz w:val="24"/>
          <w:szCs w:val="24"/>
        </w:rPr>
        <w:t xml:space="preserve">CI: </w:t>
      </w:r>
      <w:r w:rsidR="00366835" w:rsidRPr="00FA5C8D">
        <w:rPr>
          <w:rFonts w:ascii="Book Antiqua" w:hAnsi="Book Antiqua" w:cs="Times New Roman"/>
          <w:iCs/>
          <w:sz w:val="24"/>
          <w:szCs w:val="24"/>
        </w:rPr>
        <w:t xml:space="preserve">Confidence </w:t>
      </w:r>
      <w:r w:rsidRPr="00FA5C8D">
        <w:rPr>
          <w:rFonts w:ascii="Book Antiqua" w:hAnsi="Book Antiqua" w:cs="Times New Roman"/>
          <w:iCs/>
          <w:sz w:val="24"/>
          <w:szCs w:val="24"/>
        </w:rPr>
        <w:t>interval</w:t>
      </w:r>
      <w:r w:rsidR="0047007F" w:rsidRPr="00FA5C8D">
        <w:rPr>
          <w:rFonts w:ascii="Book Antiqua" w:hAnsi="Book Antiqua" w:cs="Times New Roman"/>
          <w:iCs/>
          <w:sz w:val="24"/>
          <w:szCs w:val="24"/>
        </w:rPr>
        <w:t>.</w:t>
      </w:r>
    </w:p>
    <w:sectPr w:rsidR="00780093" w:rsidRPr="00FA5C8D" w:rsidSect="00A36356">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66537" w14:textId="77777777" w:rsidR="00A96BD6" w:rsidRDefault="00A96BD6" w:rsidP="0047007F">
      <w:pPr>
        <w:spacing w:after="0" w:line="240" w:lineRule="auto"/>
      </w:pPr>
      <w:r>
        <w:separator/>
      </w:r>
    </w:p>
  </w:endnote>
  <w:endnote w:type="continuationSeparator" w:id="0">
    <w:p w14:paraId="4406894C" w14:textId="77777777" w:rsidR="00A96BD6" w:rsidRDefault="00A96BD6" w:rsidP="00470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984E" w14:textId="77777777" w:rsidR="00B41151" w:rsidRPr="00C408C9" w:rsidRDefault="00B41151" w:rsidP="0047007F">
    <w:pPr>
      <w:pStyle w:val="ad"/>
      <w:spacing w:line="360" w:lineRule="auto"/>
      <w:jc w:val="right"/>
      <w:rPr>
        <w:rFonts w:ascii="Book Antiqua" w:hAnsi="Book Antiqua"/>
        <w:sz w:val="24"/>
        <w:szCs w:val="24"/>
      </w:rPr>
    </w:pPr>
    <w:r w:rsidRPr="00C408C9">
      <w:rPr>
        <w:rFonts w:ascii="Book Antiqua" w:hAnsi="Book Antiqua"/>
        <w:sz w:val="24"/>
        <w:szCs w:val="24"/>
      </w:rPr>
      <w:fldChar w:fldCharType="begin"/>
    </w:r>
    <w:r w:rsidRPr="00C408C9">
      <w:rPr>
        <w:rFonts w:ascii="Book Antiqua" w:hAnsi="Book Antiqua"/>
        <w:sz w:val="24"/>
        <w:szCs w:val="24"/>
      </w:rPr>
      <w:instrText>PAGE  \* Arabic  \* MERGEFORMAT</w:instrText>
    </w:r>
    <w:r w:rsidRPr="00C408C9">
      <w:rPr>
        <w:rFonts w:ascii="Book Antiqua" w:hAnsi="Book Antiqua"/>
        <w:sz w:val="24"/>
        <w:szCs w:val="24"/>
      </w:rPr>
      <w:fldChar w:fldCharType="separate"/>
    </w:r>
    <w:r w:rsidR="002D2683" w:rsidRPr="002D2683">
      <w:rPr>
        <w:rFonts w:ascii="Book Antiqua" w:hAnsi="Book Antiqua"/>
        <w:noProof/>
        <w:sz w:val="24"/>
        <w:szCs w:val="24"/>
        <w:lang w:val="zh-CN"/>
      </w:rPr>
      <w:t>4</w:t>
    </w:r>
    <w:r w:rsidRPr="00C408C9">
      <w:rPr>
        <w:rFonts w:ascii="Book Antiqua" w:hAnsi="Book Antiqua"/>
        <w:sz w:val="24"/>
        <w:szCs w:val="24"/>
      </w:rPr>
      <w:fldChar w:fldCharType="end"/>
    </w:r>
    <w:r w:rsidRPr="00C408C9">
      <w:rPr>
        <w:rFonts w:ascii="Book Antiqua" w:hAnsi="Book Antiqua"/>
        <w:sz w:val="24"/>
        <w:szCs w:val="24"/>
        <w:lang w:val="zh-CN"/>
      </w:rPr>
      <w:t>/</w:t>
    </w:r>
    <w:r w:rsidRPr="00C408C9">
      <w:rPr>
        <w:rFonts w:ascii="Book Antiqua" w:hAnsi="Book Antiqua"/>
        <w:sz w:val="24"/>
        <w:szCs w:val="24"/>
      </w:rPr>
      <w:fldChar w:fldCharType="begin"/>
    </w:r>
    <w:r w:rsidRPr="00C408C9">
      <w:rPr>
        <w:rFonts w:ascii="Book Antiqua" w:hAnsi="Book Antiqua"/>
        <w:sz w:val="24"/>
        <w:szCs w:val="24"/>
      </w:rPr>
      <w:instrText>NUMPAGES  \* Arabic  \* MERGEFORMAT</w:instrText>
    </w:r>
    <w:r w:rsidRPr="00C408C9">
      <w:rPr>
        <w:rFonts w:ascii="Book Antiqua" w:hAnsi="Book Antiqua"/>
        <w:sz w:val="24"/>
        <w:szCs w:val="24"/>
      </w:rPr>
      <w:fldChar w:fldCharType="separate"/>
    </w:r>
    <w:r w:rsidR="002D2683" w:rsidRPr="002D2683">
      <w:rPr>
        <w:rFonts w:ascii="Book Antiqua" w:hAnsi="Book Antiqua"/>
        <w:noProof/>
        <w:sz w:val="24"/>
        <w:szCs w:val="24"/>
        <w:lang w:val="zh-CN"/>
      </w:rPr>
      <w:t>30</w:t>
    </w:r>
    <w:r w:rsidRPr="00C408C9">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39458" w14:textId="77777777" w:rsidR="00A96BD6" w:rsidRDefault="00A96BD6" w:rsidP="0047007F">
      <w:pPr>
        <w:spacing w:after="0" w:line="240" w:lineRule="auto"/>
      </w:pPr>
      <w:r>
        <w:separator/>
      </w:r>
    </w:p>
  </w:footnote>
  <w:footnote w:type="continuationSeparator" w:id="0">
    <w:p w14:paraId="6E7030B8" w14:textId="77777777" w:rsidR="00A96BD6" w:rsidRDefault="00A96BD6" w:rsidP="00470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66E40E52"/>
    <w:multiLevelType w:val="hybridMultilevel"/>
    <w:tmpl w:val="1146FD62"/>
    <w:lvl w:ilvl="0" w:tplc="04050001">
      <w:start w:val="1"/>
      <w:numFmt w:val="bullet"/>
      <w:pStyle w:val="1"/>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0042FE"/>
    <w:rsid w:val="00004B5B"/>
    <w:rsid w:val="000051CA"/>
    <w:rsid w:val="000058CD"/>
    <w:rsid w:val="0000688B"/>
    <w:rsid w:val="0001013F"/>
    <w:rsid w:val="00010281"/>
    <w:rsid w:val="00012A3D"/>
    <w:rsid w:val="0001372B"/>
    <w:rsid w:val="00014A90"/>
    <w:rsid w:val="00015896"/>
    <w:rsid w:val="000200B2"/>
    <w:rsid w:val="00020754"/>
    <w:rsid w:val="00022B2B"/>
    <w:rsid w:val="00022C39"/>
    <w:rsid w:val="00023F7A"/>
    <w:rsid w:val="000242CA"/>
    <w:rsid w:val="00024DF6"/>
    <w:rsid w:val="00030F86"/>
    <w:rsid w:val="00032554"/>
    <w:rsid w:val="000352A7"/>
    <w:rsid w:val="00041314"/>
    <w:rsid w:val="00045A9B"/>
    <w:rsid w:val="000475C0"/>
    <w:rsid w:val="00047F9F"/>
    <w:rsid w:val="00050D99"/>
    <w:rsid w:val="00053ADA"/>
    <w:rsid w:val="00054A0E"/>
    <w:rsid w:val="00055157"/>
    <w:rsid w:val="000563C0"/>
    <w:rsid w:val="0005742A"/>
    <w:rsid w:val="000628C4"/>
    <w:rsid w:val="00063710"/>
    <w:rsid w:val="00064472"/>
    <w:rsid w:val="0007118C"/>
    <w:rsid w:val="00072B44"/>
    <w:rsid w:val="00076B14"/>
    <w:rsid w:val="000802D0"/>
    <w:rsid w:val="000809BF"/>
    <w:rsid w:val="00082B78"/>
    <w:rsid w:val="00083A78"/>
    <w:rsid w:val="000852A3"/>
    <w:rsid w:val="00091518"/>
    <w:rsid w:val="00093C4B"/>
    <w:rsid w:val="000A2829"/>
    <w:rsid w:val="000A2FE3"/>
    <w:rsid w:val="000A42B7"/>
    <w:rsid w:val="000A79DB"/>
    <w:rsid w:val="000B10AF"/>
    <w:rsid w:val="000B2846"/>
    <w:rsid w:val="000B3A33"/>
    <w:rsid w:val="000B3B29"/>
    <w:rsid w:val="000B60AE"/>
    <w:rsid w:val="000C00A4"/>
    <w:rsid w:val="000C196B"/>
    <w:rsid w:val="000C29F8"/>
    <w:rsid w:val="000C33FF"/>
    <w:rsid w:val="000C3EC3"/>
    <w:rsid w:val="000C5636"/>
    <w:rsid w:val="000D05CC"/>
    <w:rsid w:val="000D121E"/>
    <w:rsid w:val="000D130C"/>
    <w:rsid w:val="000D28DE"/>
    <w:rsid w:val="000D2F45"/>
    <w:rsid w:val="000D525E"/>
    <w:rsid w:val="000D6889"/>
    <w:rsid w:val="000E363E"/>
    <w:rsid w:val="000F1C54"/>
    <w:rsid w:val="000F2FB1"/>
    <w:rsid w:val="000F3629"/>
    <w:rsid w:val="000F4AC7"/>
    <w:rsid w:val="000F53C0"/>
    <w:rsid w:val="000F55C4"/>
    <w:rsid w:val="00100765"/>
    <w:rsid w:val="00102DB8"/>
    <w:rsid w:val="00103AB7"/>
    <w:rsid w:val="00104443"/>
    <w:rsid w:val="00106BE8"/>
    <w:rsid w:val="00112596"/>
    <w:rsid w:val="0011383E"/>
    <w:rsid w:val="001149F4"/>
    <w:rsid w:val="001200A2"/>
    <w:rsid w:val="00120A22"/>
    <w:rsid w:val="00121E31"/>
    <w:rsid w:val="001224CD"/>
    <w:rsid w:val="001231D9"/>
    <w:rsid w:val="0012567D"/>
    <w:rsid w:val="00126ADC"/>
    <w:rsid w:val="00127F6E"/>
    <w:rsid w:val="001304D3"/>
    <w:rsid w:val="001309EF"/>
    <w:rsid w:val="00131AFE"/>
    <w:rsid w:val="001329BE"/>
    <w:rsid w:val="001339EF"/>
    <w:rsid w:val="00134CCB"/>
    <w:rsid w:val="001374DB"/>
    <w:rsid w:val="0014078A"/>
    <w:rsid w:val="001410F3"/>
    <w:rsid w:val="001415D3"/>
    <w:rsid w:val="00143807"/>
    <w:rsid w:val="001438AE"/>
    <w:rsid w:val="00144115"/>
    <w:rsid w:val="00145167"/>
    <w:rsid w:val="001472B9"/>
    <w:rsid w:val="001476A0"/>
    <w:rsid w:val="00153732"/>
    <w:rsid w:val="00155183"/>
    <w:rsid w:val="001551BE"/>
    <w:rsid w:val="00156701"/>
    <w:rsid w:val="001570C8"/>
    <w:rsid w:val="0016463F"/>
    <w:rsid w:val="00167992"/>
    <w:rsid w:val="001718EB"/>
    <w:rsid w:val="00172C3F"/>
    <w:rsid w:val="00174B4E"/>
    <w:rsid w:val="00175AD0"/>
    <w:rsid w:val="00177244"/>
    <w:rsid w:val="00177D91"/>
    <w:rsid w:val="00180ACD"/>
    <w:rsid w:val="00185175"/>
    <w:rsid w:val="001856BA"/>
    <w:rsid w:val="001917DD"/>
    <w:rsid w:val="00193B20"/>
    <w:rsid w:val="00194F9B"/>
    <w:rsid w:val="00195507"/>
    <w:rsid w:val="00197F86"/>
    <w:rsid w:val="001A007B"/>
    <w:rsid w:val="001A1E9C"/>
    <w:rsid w:val="001A2508"/>
    <w:rsid w:val="001A277E"/>
    <w:rsid w:val="001A529B"/>
    <w:rsid w:val="001A6DBC"/>
    <w:rsid w:val="001A7D36"/>
    <w:rsid w:val="001B0406"/>
    <w:rsid w:val="001B1D0A"/>
    <w:rsid w:val="001B1FA3"/>
    <w:rsid w:val="001B4D4B"/>
    <w:rsid w:val="001C0360"/>
    <w:rsid w:val="001C0F1E"/>
    <w:rsid w:val="001C332D"/>
    <w:rsid w:val="001D08BC"/>
    <w:rsid w:val="001D1610"/>
    <w:rsid w:val="001D33CF"/>
    <w:rsid w:val="001E0BA6"/>
    <w:rsid w:val="001E485A"/>
    <w:rsid w:val="001E4C30"/>
    <w:rsid w:val="001E58D1"/>
    <w:rsid w:val="001E64BC"/>
    <w:rsid w:val="001E6869"/>
    <w:rsid w:val="001E70C0"/>
    <w:rsid w:val="001E71FD"/>
    <w:rsid w:val="001F1E82"/>
    <w:rsid w:val="001F2E88"/>
    <w:rsid w:val="001F41A2"/>
    <w:rsid w:val="001F6A8C"/>
    <w:rsid w:val="00203B36"/>
    <w:rsid w:val="00210808"/>
    <w:rsid w:val="00210F81"/>
    <w:rsid w:val="00214CF3"/>
    <w:rsid w:val="00214F57"/>
    <w:rsid w:val="002179FE"/>
    <w:rsid w:val="0022015A"/>
    <w:rsid w:val="00221BAD"/>
    <w:rsid w:val="00221E2E"/>
    <w:rsid w:val="00222F18"/>
    <w:rsid w:val="00227E1B"/>
    <w:rsid w:val="002302BF"/>
    <w:rsid w:val="00232BE0"/>
    <w:rsid w:val="002343CC"/>
    <w:rsid w:val="00240169"/>
    <w:rsid w:val="002417D4"/>
    <w:rsid w:val="002432F1"/>
    <w:rsid w:val="00244E1F"/>
    <w:rsid w:val="00245367"/>
    <w:rsid w:val="00246471"/>
    <w:rsid w:val="00247855"/>
    <w:rsid w:val="002510A3"/>
    <w:rsid w:val="00253611"/>
    <w:rsid w:val="002559AB"/>
    <w:rsid w:val="002570D3"/>
    <w:rsid w:val="00260692"/>
    <w:rsid w:val="00260D1C"/>
    <w:rsid w:val="00262193"/>
    <w:rsid w:val="00262469"/>
    <w:rsid w:val="00263E30"/>
    <w:rsid w:val="00264AFB"/>
    <w:rsid w:val="00266929"/>
    <w:rsid w:val="00270BC3"/>
    <w:rsid w:val="0027388A"/>
    <w:rsid w:val="00274DC0"/>
    <w:rsid w:val="00276675"/>
    <w:rsid w:val="002766B5"/>
    <w:rsid w:val="00276C9A"/>
    <w:rsid w:val="00281691"/>
    <w:rsid w:val="002819DF"/>
    <w:rsid w:val="002876AB"/>
    <w:rsid w:val="00287831"/>
    <w:rsid w:val="0029426D"/>
    <w:rsid w:val="00296206"/>
    <w:rsid w:val="0029680E"/>
    <w:rsid w:val="002A3FBB"/>
    <w:rsid w:val="002A7182"/>
    <w:rsid w:val="002A7E78"/>
    <w:rsid w:val="002B1E3C"/>
    <w:rsid w:val="002B6E23"/>
    <w:rsid w:val="002C265A"/>
    <w:rsid w:val="002D2683"/>
    <w:rsid w:val="002D3D77"/>
    <w:rsid w:val="002D5912"/>
    <w:rsid w:val="002D788A"/>
    <w:rsid w:val="002E1850"/>
    <w:rsid w:val="002E2E6F"/>
    <w:rsid w:val="002E3FE0"/>
    <w:rsid w:val="002E681B"/>
    <w:rsid w:val="002F40B6"/>
    <w:rsid w:val="002F5B09"/>
    <w:rsid w:val="00300716"/>
    <w:rsid w:val="00301A80"/>
    <w:rsid w:val="00301E69"/>
    <w:rsid w:val="00312360"/>
    <w:rsid w:val="00315962"/>
    <w:rsid w:val="00316E43"/>
    <w:rsid w:val="00317660"/>
    <w:rsid w:val="003224F6"/>
    <w:rsid w:val="00322821"/>
    <w:rsid w:val="00322DA6"/>
    <w:rsid w:val="00323D69"/>
    <w:rsid w:val="00325302"/>
    <w:rsid w:val="00332F10"/>
    <w:rsid w:val="00333FA7"/>
    <w:rsid w:val="0033499E"/>
    <w:rsid w:val="00337002"/>
    <w:rsid w:val="00343F9D"/>
    <w:rsid w:val="00345597"/>
    <w:rsid w:val="00346790"/>
    <w:rsid w:val="00352A1F"/>
    <w:rsid w:val="00356E4F"/>
    <w:rsid w:val="00360EDB"/>
    <w:rsid w:val="003616CD"/>
    <w:rsid w:val="00365D13"/>
    <w:rsid w:val="00366835"/>
    <w:rsid w:val="00371BBB"/>
    <w:rsid w:val="0037229C"/>
    <w:rsid w:val="00373DF4"/>
    <w:rsid w:val="00374D78"/>
    <w:rsid w:val="0037577A"/>
    <w:rsid w:val="00375FB9"/>
    <w:rsid w:val="00380C7D"/>
    <w:rsid w:val="0038157E"/>
    <w:rsid w:val="0038261B"/>
    <w:rsid w:val="00382DED"/>
    <w:rsid w:val="00383D97"/>
    <w:rsid w:val="003840EB"/>
    <w:rsid w:val="0038570E"/>
    <w:rsid w:val="003861E7"/>
    <w:rsid w:val="00387C1F"/>
    <w:rsid w:val="00391492"/>
    <w:rsid w:val="00391EAD"/>
    <w:rsid w:val="00392463"/>
    <w:rsid w:val="00393891"/>
    <w:rsid w:val="00394A0F"/>
    <w:rsid w:val="00397B19"/>
    <w:rsid w:val="003A15DC"/>
    <w:rsid w:val="003A18C1"/>
    <w:rsid w:val="003A1A11"/>
    <w:rsid w:val="003A420C"/>
    <w:rsid w:val="003A4991"/>
    <w:rsid w:val="003A6D27"/>
    <w:rsid w:val="003A7297"/>
    <w:rsid w:val="003A7A27"/>
    <w:rsid w:val="003B204C"/>
    <w:rsid w:val="003B5F71"/>
    <w:rsid w:val="003B746D"/>
    <w:rsid w:val="003B7A13"/>
    <w:rsid w:val="003C0B93"/>
    <w:rsid w:val="003C7C8F"/>
    <w:rsid w:val="003D00C1"/>
    <w:rsid w:val="003D09C3"/>
    <w:rsid w:val="003D41A3"/>
    <w:rsid w:val="003D5268"/>
    <w:rsid w:val="003D7B22"/>
    <w:rsid w:val="003E01C0"/>
    <w:rsid w:val="003E5202"/>
    <w:rsid w:val="003F00E4"/>
    <w:rsid w:val="003F153F"/>
    <w:rsid w:val="003F1B88"/>
    <w:rsid w:val="003F1E09"/>
    <w:rsid w:val="003F40AB"/>
    <w:rsid w:val="003F675E"/>
    <w:rsid w:val="003F6CE9"/>
    <w:rsid w:val="003F6FA4"/>
    <w:rsid w:val="00402637"/>
    <w:rsid w:val="00407440"/>
    <w:rsid w:val="00407F37"/>
    <w:rsid w:val="0041116D"/>
    <w:rsid w:val="00411AEF"/>
    <w:rsid w:val="00412078"/>
    <w:rsid w:val="004130B5"/>
    <w:rsid w:val="00413117"/>
    <w:rsid w:val="00414587"/>
    <w:rsid w:val="004162B4"/>
    <w:rsid w:val="0041710B"/>
    <w:rsid w:val="0041799D"/>
    <w:rsid w:val="00426580"/>
    <w:rsid w:val="00426E40"/>
    <w:rsid w:val="00432220"/>
    <w:rsid w:val="00433F22"/>
    <w:rsid w:val="00434B62"/>
    <w:rsid w:val="004352C9"/>
    <w:rsid w:val="0043613E"/>
    <w:rsid w:val="0043675F"/>
    <w:rsid w:val="00437682"/>
    <w:rsid w:val="004414A4"/>
    <w:rsid w:val="00441DAC"/>
    <w:rsid w:val="00444AF4"/>
    <w:rsid w:val="00445842"/>
    <w:rsid w:val="00451902"/>
    <w:rsid w:val="00452893"/>
    <w:rsid w:val="004531E4"/>
    <w:rsid w:val="0045492A"/>
    <w:rsid w:val="00457255"/>
    <w:rsid w:val="00462F51"/>
    <w:rsid w:val="00463173"/>
    <w:rsid w:val="00463827"/>
    <w:rsid w:val="00465651"/>
    <w:rsid w:val="004658AC"/>
    <w:rsid w:val="00466F89"/>
    <w:rsid w:val="0047007F"/>
    <w:rsid w:val="00471A9E"/>
    <w:rsid w:val="00474C9B"/>
    <w:rsid w:val="00475049"/>
    <w:rsid w:val="00477DAF"/>
    <w:rsid w:val="00477E50"/>
    <w:rsid w:val="00480212"/>
    <w:rsid w:val="00482466"/>
    <w:rsid w:val="00482AE5"/>
    <w:rsid w:val="004832CE"/>
    <w:rsid w:val="00486043"/>
    <w:rsid w:val="00487EB6"/>
    <w:rsid w:val="00492525"/>
    <w:rsid w:val="004965EE"/>
    <w:rsid w:val="00496C60"/>
    <w:rsid w:val="00497CAB"/>
    <w:rsid w:val="004A2825"/>
    <w:rsid w:val="004A4668"/>
    <w:rsid w:val="004A4AD0"/>
    <w:rsid w:val="004A4D65"/>
    <w:rsid w:val="004B038E"/>
    <w:rsid w:val="004B15EC"/>
    <w:rsid w:val="004B1904"/>
    <w:rsid w:val="004C0D86"/>
    <w:rsid w:val="004C20D9"/>
    <w:rsid w:val="004C23F7"/>
    <w:rsid w:val="004C2FE3"/>
    <w:rsid w:val="004C35D8"/>
    <w:rsid w:val="004C3D46"/>
    <w:rsid w:val="004C40FA"/>
    <w:rsid w:val="004C431C"/>
    <w:rsid w:val="004C6DCF"/>
    <w:rsid w:val="004D0C3F"/>
    <w:rsid w:val="004D187D"/>
    <w:rsid w:val="004D37BF"/>
    <w:rsid w:val="004D73D7"/>
    <w:rsid w:val="004E09B6"/>
    <w:rsid w:val="004E11F7"/>
    <w:rsid w:val="004E2F95"/>
    <w:rsid w:val="004E2FC8"/>
    <w:rsid w:val="004E3793"/>
    <w:rsid w:val="004E3E2F"/>
    <w:rsid w:val="004E5520"/>
    <w:rsid w:val="004E58AE"/>
    <w:rsid w:val="004E6616"/>
    <w:rsid w:val="004E6C66"/>
    <w:rsid w:val="004F0A21"/>
    <w:rsid w:val="004F1503"/>
    <w:rsid w:val="004F2036"/>
    <w:rsid w:val="004F5EC2"/>
    <w:rsid w:val="004F6A7A"/>
    <w:rsid w:val="004F6B7A"/>
    <w:rsid w:val="004F6BD5"/>
    <w:rsid w:val="004F6CEE"/>
    <w:rsid w:val="00501102"/>
    <w:rsid w:val="00504048"/>
    <w:rsid w:val="00504297"/>
    <w:rsid w:val="0050636B"/>
    <w:rsid w:val="0051001B"/>
    <w:rsid w:val="0051153C"/>
    <w:rsid w:val="005118B4"/>
    <w:rsid w:val="00513163"/>
    <w:rsid w:val="005141C6"/>
    <w:rsid w:val="00514D3C"/>
    <w:rsid w:val="00515D34"/>
    <w:rsid w:val="005172EA"/>
    <w:rsid w:val="00520E40"/>
    <w:rsid w:val="005214F0"/>
    <w:rsid w:val="00522AA7"/>
    <w:rsid w:val="00524213"/>
    <w:rsid w:val="00524815"/>
    <w:rsid w:val="00530163"/>
    <w:rsid w:val="005331AC"/>
    <w:rsid w:val="0053367E"/>
    <w:rsid w:val="0053376E"/>
    <w:rsid w:val="00536FB4"/>
    <w:rsid w:val="005379C8"/>
    <w:rsid w:val="00537EBC"/>
    <w:rsid w:val="00541499"/>
    <w:rsid w:val="005421E2"/>
    <w:rsid w:val="00544C8C"/>
    <w:rsid w:val="00544CF8"/>
    <w:rsid w:val="00545095"/>
    <w:rsid w:val="005452A9"/>
    <w:rsid w:val="00547E1A"/>
    <w:rsid w:val="0055086D"/>
    <w:rsid w:val="0055185F"/>
    <w:rsid w:val="00553657"/>
    <w:rsid w:val="005560D7"/>
    <w:rsid w:val="005579A7"/>
    <w:rsid w:val="00557F05"/>
    <w:rsid w:val="00564190"/>
    <w:rsid w:val="0056754D"/>
    <w:rsid w:val="005700A3"/>
    <w:rsid w:val="005727AB"/>
    <w:rsid w:val="00573CA4"/>
    <w:rsid w:val="0057584A"/>
    <w:rsid w:val="00576C0F"/>
    <w:rsid w:val="0057775F"/>
    <w:rsid w:val="00581F8B"/>
    <w:rsid w:val="0058298B"/>
    <w:rsid w:val="00583A31"/>
    <w:rsid w:val="005858ED"/>
    <w:rsid w:val="00587290"/>
    <w:rsid w:val="0059211E"/>
    <w:rsid w:val="00592FCB"/>
    <w:rsid w:val="005934AA"/>
    <w:rsid w:val="00595101"/>
    <w:rsid w:val="005A0C2F"/>
    <w:rsid w:val="005B3536"/>
    <w:rsid w:val="005B4668"/>
    <w:rsid w:val="005C05CF"/>
    <w:rsid w:val="005C1556"/>
    <w:rsid w:val="005C29BA"/>
    <w:rsid w:val="005C2A4F"/>
    <w:rsid w:val="005C3621"/>
    <w:rsid w:val="005C57BA"/>
    <w:rsid w:val="005C58DB"/>
    <w:rsid w:val="005C5ADA"/>
    <w:rsid w:val="005C66A6"/>
    <w:rsid w:val="005D6711"/>
    <w:rsid w:val="005E314B"/>
    <w:rsid w:val="005E32BB"/>
    <w:rsid w:val="005E3613"/>
    <w:rsid w:val="005E7A64"/>
    <w:rsid w:val="005F1055"/>
    <w:rsid w:val="005F401F"/>
    <w:rsid w:val="005F614C"/>
    <w:rsid w:val="005F7D16"/>
    <w:rsid w:val="006025C7"/>
    <w:rsid w:val="00604139"/>
    <w:rsid w:val="006070ED"/>
    <w:rsid w:val="00612A4D"/>
    <w:rsid w:val="00612B93"/>
    <w:rsid w:val="00615463"/>
    <w:rsid w:val="006157AC"/>
    <w:rsid w:val="00615872"/>
    <w:rsid w:val="00616717"/>
    <w:rsid w:val="006203F0"/>
    <w:rsid w:val="00621ED8"/>
    <w:rsid w:val="00623748"/>
    <w:rsid w:val="0063129A"/>
    <w:rsid w:val="00631901"/>
    <w:rsid w:val="00632141"/>
    <w:rsid w:val="0063214B"/>
    <w:rsid w:val="00634BAF"/>
    <w:rsid w:val="00634C23"/>
    <w:rsid w:val="00635968"/>
    <w:rsid w:val="00636DCF"/>
    <w:rsid w:val="00640C05"/>
    <w:rsid w:val="006423EC"/>
    <w:rsid w:val="006428AC"/>
    <w:rsid w:val="006446D4"/>
    <w:rsid w:val="00645B78"/>
    <w:rsid w:val="00646863"/>
    <w:rsid w:val="00655880"/>
    <w:rsid w:val="006571DD"/>
    <w:rsid w:val="00657624"/>
    <w:rsid w:val="00660A92"/>
    <w:rsid w:val="006629C9"/>
    <w:rsid w:val="00662C5B"/>
    <w:rsid w:val="0066326A"/>
    <w:rsid w:val="0066448D"/>
    <w:rsid w:val="0066470E"/>
    <w:rsid w:val="0066731A"/>
    <w:rsid w:val="00670B99"/>
    <w:rsid w:val="00675F18"/>
    <w:rsid w:val="006770EE"/>
    <w:rsid w:val="00680DF8"/>
    <w:rsid w:val="00684BBA"/>
    <w:rsid w:val="00685EC5"/>
    <w:rsid w:val="00686DCA"/>
    <w:rsid w:val="00686E91"/>
    <w:rsid w:val="00687C80"/>
    <w:rsid w:val="0069025D"/>
    <w:rsid w:val="00690944"/>
    <w:rsid w:val="006914FF"/>
    <w:rsid w:val="0069767E"/>
    <w:rsid w:val="00697E38"/>
    <w:rsid w:val="006A1E05"/>
    <w:rsid w:val="006A3B95"/>
    <w:rsid w:val="006A4119"/>
    <w:rsid w:val="006A620C"/>
    <w:rsid w:val="006A720D"/>
    <w:rsid w:val="006A75BE"/>
    <w:rsid w:val="006B05D0"/>
    <w:rsid w:val="006B10A9"/>
    <w:rsid w:val="006B140C"/>
    <w:rsid w:val="006B62E7"/>
    <w:rsid w:val="006C6778"/>
    <w:rsid w:val="006C6C84"/>
    <w:rsid w:val="006C7B41"/>
    <w:rsid w:val="006D05CE"/>
    <w:rsid w:val="006D2BAC"/>
    <w:rsid w:val="006D5A53"/>
    <w:rsid w:val="006D6890"/>
    <w:rsid w:val="006E3DB3"/>
    <w:rsid w:val="006E5635"/>
    <w:rsid w:val="006E6969"/>
    <w:rsid w:val="006F0237"/>
    <w:rsid w:val="006F1869"/>
    <w:rsid w:val="006F27FE"/>
    <w:rsid w:val="006F2F13"/>
    <w:rsid w:val="006F430A"/>
    <w:rsid w:val="006F4954"/>
    <w:rsid w:val="006F4AAB"/>
    <w:rsid w:val="006F6187"/>
    <w:rsid w:val="006F6366"/>
    <w:rsid w:val="00701C72"/>
    <w:rsid w:val="00702D4D"/>
    <w:rsid w:val="00702D67"/>
    <w:rsid w:val="007036E7"/>
    <w:rsid w:val="00703D70"/>
    <w:rsid w:val="00704657"/>
    <w:rsid w:val="00704683"/>
    <w:rsid w:val="00705AF7"/>
    <w:rsid w:val="007069F1"/>
    <w:rsid w:val="007075B3"/>
    <w:rsid w:val="00710200"/>
    <w:rsid w:val="00710DAC"/>
    <w:rsid w:val="00712179"/>
    <w:rsid w:val="00712E8A"/>
    <w:rsid w:val="00713245"/>
    <w:rsid w:val="007144B7"/>
    <w:rsid w:val="00715723"/>
    <w:rsid w:val="00715FF0"/>
    <w:rsid w:val="00717038"/>
    <w:rsid w:val="00720002"/>
    <w:rsid w:val="007205AC"/>
    <w:rsid w:val="0072065F"/>
    <w:rsid w:val="00721021"/>
    <w:rsid w:val="00721518"/>
    <w:rsid w:val="007237E3"/>
    <w:rsid w:val="007239C0"/>
    <w:rsid w:val="007302C6"/>
    <w:rsid w:val="007302CA"/>
    <w:rsid w:val="00730556"/>
    <w:rsid w:val="00732B6C"/>
    <w:rsid w:val="00732F07"/>
    <w:rsid w:val="007356EF"/>
    <w:rsid w:val="00736D83"/>
    <w:rsid w:val="0073709E"/>
    <w:rsid w:val="00737A80"/>
    <w:rsid w:val="0074082C"/>
    <w:rsid w:val="007428B1"/>
    <w:rsid w:val="0074297F"/>
    <w:rsid w:val="00746315"/>
    <w:rsid w:val="00746E68"/>
    <w:rsid w:val="007506DA"/>
    <w:rsid w:val="00752022"/>
    <w:rsid w:val="00752A46"/>
    <w:rsid w:val="00752D02"/>
    <w:rsid w:val="0075324C"/>
    <w:rsid w:val="007546B8"/>
    <w:rsid w:val="0075556E"/>
    <w:rsid w:val="00762552"/>
    <w:rsid w:val="00762EBB"/>
    <w:rsid w:val="00763218"/>
    <w:rsid w:val="00763228"/>
    <w:rsid w:val="0076342E"/>
    <w:rsid w:val="00763E77"/>
    <w:rsid w:val="0076435C"/>
    <w:rsid w:val="00764AFD"/>
    <w:rsid w:val="00776A2B"/>
    <w:rsid w:val="00780093"/>
    <w:rsid w:val="007825A2"/>
    <w:rsid w:val="00782E63"/>
    <w:rsid w:val="00784C72"/>
    <w:rsid w:val="00784EAC"/>
    <w:rsid w:val="0079037D"/>
    <w:rsid w:val="0079063B"/>
    <w:rsid w:val="00792F61"/>
    <w:rsid w:val="00794038"/>
    <w:rsid w:val="00795B44"/>
    <w:rsid w:val="0079631F"/>
    <w:rsid w:val="007A08FB"/>
    <w:rsid w:val="007A1B7C"/>
    <w:rsid w:val="007A2487"/>
    <w:rsid w:val="007A49DF"/>
    <w:rsid w:val="007A61E4"/>
    <w:rsid w:val="007A6BD6"/>
    <w:rsid w:val="007A7728"/>
    <w:rsid w:val="007B0DC0"/>
    <w:rsid w:val="007B1FC7"/>
    <w:rsid w:val="007B3B67"/>
    <w:rsid w:val="007B4D41"/>
    <w:rsid w:val="007C1A59"/>
    <w:rsid w:val="007D1107"/>
    <w:rsid w:val="007D21BE"/>
    <w:rsid w:val="007D2B7A"/>
    <w:rsid w:val="007D67B8"/>
    <w:rsid w:val="007E03B4"/>
    <w:rsid w:val="007E050C"/>
    <w:rsid w:val="007E1F73"/>
    <w:rsid w:val="007E2EC6"/>
    <w:rsid w:val="007E37D9"/>
    <w:rsid w:val="007E54E5"/>
    <w:rsid w:val="007E74F9"/>
    <w:rsid w:val="007F09EE"/>
    <w:rsid w:val="007F4129"/>
    <w:rsid w:val="007F43E5"/>
    <w:rsid w:val="007F45DD"/>
    <w:rsid w:val="007F46E2"/>
    <w:rsid w:val="007F60B0"/>
    <w:rsid w:val="007F712A"/>
    <w:rsid w:val="008023B3"/>
    <w:rsid w:val="00804C27"/>
    <w:rsid w:val="00807C19"/>
    <w:rsid w:val="00807F96"/>
    <w:rsid w:val="0081273D"/>
    <w:rsid w:val="00815814"/>
    <w:rsid w:val="00815906"/>
    <w:rsid w:val="00817BC1"/>
    <w:rsid w:val="00821436"/>
    <w:rsid w:val="00824744"/>
    <w:rsid w:val="008259D4"/>
    <w:rsid w:val="00825E79"/>
    <w:rsid w:val="0082673E"/>
    <w:rsid w:val="0082680B"/>
    <w:rsid w:val="008273EF"/>
    <w:rsid w:val="00833CF7"/>
    <w:rsid w:val="00834DE7"/>
    <w:rsid w:val="00840655"/>
    <w:rsid w:val="00840B1A"/>
    <w:rsid w:val="0084300E"/>
    <w:rsid w:val="00844908"/>
    <w:rsid w:val="00847057"/>
    <w:rsid w:val="00847F62"/>
    <w:rsid w:val="00847FEF"/>
    <w:rsid w:val="00852926"/>
    <w:rsid w:val="00853B3D"/>
    <w:rsid w:val="0085686A"/>
    <w:rsid w:val="008568C1"/>
    <w:rsid w:val="008601D3"/>
    <w:rsid w:val="0086059D"/>
    <w:rsid w:val="00861350"/>
    <w:rsid w:val="00864AE6"/>
    <w:rsid w:val="00864AF5"/>
    <w:rsid w:val="0086562D"/>
    <w:rsid w:val="0086732B"/>
    <w:rsid w:val="00870A7C"/>
    <w:rsid w:val="00872E21"/>
    <w:rsid w:val="008732CF"/>
    <w:rsid w:val="00875E24"/>
    <w:rsid w:val="00877952"/>
    <w:rsid w:val="00880352"/>
    <w:rsid w:val="0088230C"/>
    <w:rsid w:val="00884948"/>
    <w:rsid w:val="00886110"/>
    <w:rsid w:val="0088669D"/>
    <w:rsid w:val="00887B19"/>
    <w:rsid w:val="00887B9A"/>
    <w:rsid w:val="0089026D"/>
    <w:rsid w:val="0089156D"/>
    <w:rsid w:val="00892F83"/>
    <w:rsid w:val="008934DB"/>
    <w:rsid w:val="008952F3"/>
    <w:rsid w:val="008956E2"/>
    <w:rsid w:val="00895EA4"/>
    <w:rsid w:val="008969D7"/>
    <w:rsid w:val="008A0809"/>
    <w:rsid w:val="008A25EF"/>
    <w:rsid w:val="008A28A4"/>
    <w:rsid w:val="008A3630"/>
    <w:rsid w:val="008A5C85"/>
    <w:rsid w:val="008B0B71"/>
    <w:rsid w:val="008B108D"/>
    <w:rsid w:val="008B306A"/>
    <w:rsid w:val="008B31B2"/>
    <w:rsid w:val="008B4F69"/>
    <w:rsid w:val="008B7EE5"/>
    <w:rsid w:val="008C07BE"/>
    <w:rsid w:val="008C1523"/>
    <w:rsid w:val="008C1CE8"/>
    <w:rsid w:val="008C3D12"/>
    <w:rsid w:val="008C69AB"/>
    <w:rsid w:val="008D1C81"/>
    <w:rsid w:val="008D1E2C"/>
    <w:rsid w:val="008D4D2E"/>
    <w:rsid w:val="008D57DD"/>
    <w:rsid w:val="008D7507"/>
    <w:rsid w:val="008E2957"/>
    <w:rsid w:val="008E4371"/>
    <w:rsid w:val="008E6A36"/>
    <w:rsid w:val="008E7AD7"/>
    <w:rsid w:val="008F36CC"/>
    <w:rsid w:val="008F36F8"/>
    <w:rsid w:val="008F50E5"/>
    <w:rsid w:val="008F6C2D"/>
    <w:rsid w:val="00900A2C"/>
    <w:rsid w:val="00902DB2"/>
    <w:rsid w:val="00903AA6"/>
    <w:rsid w:val="00904D8C"/>
    <w:rsid w:val="0090619E"/>
    <w:rsid w:val="0090656B"/>
    <w:rsid w:val="009069B2"/>
    <w:rsid w:val="00906BB0"/>
    <w:rsid w:val="00910225"/>
    <w:rsid w:val="00912134"/>
    <w:rsid w:val="0091605D"/>
    <w:rsid w:val="00920CA4"/>
    <w:rsid w:val="0092217F"/>
    <w:rsid w:val="00923158"/>
    <w:rsid w:val="0092487E"/>
    <w:rsid w:val="00924D4B"/>
    <w:rsid w:val="00930114"/>
    <w:rsid w:val="00931ED7"/>
    <w:rsid w:val="009341EB"/>
    <w:rsid w:val="00934747"/>
    <w:rsid w:val="00940550"/>
    <w:rsid w:val="00944A51"/>
    <w:rsid w:val="00946880"/>
    <w:rsid w:val="00947FE3"/>
    <w:rsid w:val="00952CE5"/>
    <w:rsid w:val="009539A1"/>
    <w:rsid w:val="009571F5"/>
    <w:rsid w:val="00957248"/>
    <w:rsid w:val="00957C3B"/>
    <w:rsid w:val="009628DC"/>
    <w:rsid w:val="00964AEB"/>
    <w:rsid w:val="00965081"/>
    <w:rsid w:val="00965515"/>
    <w:rsid w:val="00965EDA"/>
    <w:rsid w:val="00970DB6"/>
    <w:rsid w:val="009730D1"/>
    <w:rsid w:val="00973CA1"/>
    <w:rsid w:val="00974A1A"/>
    <w:rsid w:val="009750B8"/>
    <w:rsid w:val="009762F1"/>
    <w:rsid w:val="00976A4D"/>
    <w:rsid w:val="00976B8E"/>
    <w:rsid w:val="00976EA8"/>
    <w:rsid w:val="00980372"/>
    <w:rsid w:val="0098122B"/>
    <w:rsid w:val="009814ED"/>
    <w:rsid w:val="00981D1E"/>
    <w:rsid w:val="00984FFF"/>
    <w:rsid w:val="0098622C"/>
    <w:rsid w:val="009A45E9"/>
    <w:rsid w:val="009A4871"/>
    <w:rsid w:val="009A53AA"/>
    <w:rsid w:val="009A5B5B"/>
    <w:rsid w:val="009A637D"/>
    <w:rsid w:val="009A6B90"/>
    <w:rsid w:val="009A7211"/>
    <w:rsid w:val="009A7664"/>
    <w:rsid w:val="009B15F8"/>
    <w:rsid w:val="009B1E12"/>
    <w:rsid w:val="009B52CB"/>
    <w:rsid w:val="009B7DA5"/>
    <w:rsid w:val="009C13B3"/>
    <w:rsid w:val="009C192D"/>
    <w:rsid w:val="009C340B"/>
    <w:rsid w:val="009C601A"/>
    <w:rsid w:val="009C6707"/>
    <w:rsid w:val="009C69C7"/>
    <w:rsid w:val="009C6CFB"/>
    <w:rsid w:val="009C7A4E"/>
    <w:rsid w:val="009D1602"/>
    <w:rsid w:val="009D1F3B"/>
    <w:rsid w:val="009D23E3"/>
    <w:rsid w:val="009D4D56"/>
    <w:rsid w:val="009D6DF5"/>
    <w:rsid w:val="009E1E97"/>
    <w:rsid w:val="009E21BD"/>
    <w:rsid w:val="009E28A7"/>
    <w:rsid w:val="009E7346"/>
    <w:rsid w:val="009F0085"/>
    <w:rsid w:val="009F1478"/>
    <w:rsid w:val="009F4940"/>
    <w:rsid w:val="009F6968"/>
    <w:rsid w:val="009F709E"/>
    <w:rsid w:val="00A00651"/>
    <w:rsid w:val="00A02F5E"/>
    <w:rsid w:val="00A0336D"/>
    <w:rsid w:val="00A047F4"/>
    <w:rsid w:val="00A055BF"/>
    <w:rsid w:val="00A10E9E"/>
    <w:rsid w:val="00A130C7"/>
    <w:rsid w:val="00A1610C"/>
    <w:rsid w:val="00A200A7"/>
    <w:rsid w:val="00A23FD6"/>
    <w:rsid w:val="00A24AFF"/>
    <w:rsid w:val="00A2549B"/>
    <w:rsid w:val="00A30B18"/>
    <w:rsid w:val="00A3267B"/>
    <w:rsid w:val="00A35586"/>
    <w:rsid w:val="00A36356"/>
    <w:rsid w:val="00A36785"/>
    <w:rsid w:val="00A36DDA"/>
    <w:rsid w:val="00A374FF"/>
    <w:rsid w:val="00A42E27"/>
    <w:rsid w:val="00A43A4A"/>
    <w:rsid w:val="00A445C3"/>
    <w:rsid w:val="00A455B1"/>
    <w:rsid w:val="00A521DC"/>
    <w:rsid w:val="00A533CD"/>
    <w:rsid w:val="00A55CBF"/>
    <w:rsid w:val="00A60778"/>
    <w:rsid w:val="00A63A1C"/>
    <w:rsid w:val="00A64ED6"/>
    <w:rsid w:val="00A65125"/>
    <w:rsid w:val="00A655F9"/>
    <w:rsid w:val="00A66EC1"/>
    <w:rsid w:val="00A67025"/>
    <w:rsid w:val="00A70C5F"/>
    <w:rsid w:val="00A70F86"/>
    <w:rsid w:val="00A771CC"/>
    <w:rsid w:val="00A80989"/>
    <w:rsid w:val="00A8459B"/>
    <w:rsid w:val="00A865FD"/>
    <w:rsid w:val="00A874AA"/>
    <w:rsid w:val="00A90B97"/>
    <w:rsid w:val="00A92418"/>
    <w:rsid w:val="00A95E28"/>
    <w:rsid w:val="00A95E79"/>
    <w:rsid w:val="00A96BD6"/>
    <w:rsid w:val="00AA669E"/>
    <w:rsid w:val="00AB01AB"/>
    <w:rsid w:val="00AB0C3C"/>
    <w:rsid w:val="00AB291E"/>
    <w:rsid w:val="00AB3F4B"/>
    <w:rsid w:val="00AB62B6"/>
    <w:rsid w:val="00AB6919"/>
    <w:rsid w:val="00AC1829"/>
    <w:rsid w:val="00AC187B"/>
    <w:rsid w:val="00AC57E4"/>
    <w:rsid w:val="00AC6436"/>
    <w:rsid w:val="00AC67C3"/>
    <w:rsid w:val="00AC765E"/>
    <w:rsid w:val="00AD024A"/>
    <w:rsid w:val="00AD0A38"/>
    <w:rsid w:val="00AD0D71"/>
    <w:rsid w:val="00AD2251"/>
    <w:rsid w:val="00AD41E7"/>
    <w:rsid w:val="00AD5B9A"/>
    <w:rsid w:val="00AD6F7B"/>
    <w:rsid w:val="00AD79F0"/>
    <w:rsid w:val="00AE090E"/>
    <w:rsid w:val="00AE0B14"/>
    <w:rsid w:val="00AE2EF4"/>
    <w:rsid w:val="00AE39DC"/>
    <w:rsid w:val="00AE3ABB"/>
    <w:rsid w:val="00AE5B12"/>
    <w:rsid w:val="00AF2096"/>
    <w:rsid w:val="00AF4973"/>
    <w:rsid w:val="00AF4B07"/>
    <w:rsid w:val="00AF551F"/>
    <w:rsid w:val="00B058AC"/>
    <w:rsid w:val="00B11C3A"/>
    <w:rsid w:val="00B13F40"/>
    <w:rsid w:val="00B1481C"/>
    <w:rsid w:val="00B14DF4"/>
    <w:rsid w:val="00B161B1"/>
    <w:rsid w:val="00B166E2"/>
    <w:rsid w:val="00B21299"/>
    <w:rsid w:val="00B23333"/>
    <w:rsid w:val="00B26CF2"/>
    <w:rsid w:val="00B331F1"/>
    <w:rsid w:val="00B3643E"/>
    <w:rsid w:val="00B370DD"/>
    <w:rsid w:val="00B41151"/>
    <w:rsid w:val="00B415C9"/>
    <w:rsid w:val="00B419CB"/>
    <w:rsid w:val="00B50E37"/>
    <w:rsid w:val="00B51986"/>
    <w:rsid w:val="00B51C89"/>
    <w:rsid w:val="00B5230F"/>
    <w:rsid w:val="00B5341A"/>
    <w:rsid w:val="00B55682"/>
    <w:rsid w:val="00B55CFC"/>
    <w:rsid w:val="00B56129"/>
    <w:rsid w:val="00B60273"/>
    <w:rsid w:val="00B62603"/>
    <w:rsid w:val="00B62C25"/>
    <w:rsid w:val="00B67163"/>
    <w:rsid w:val="00B70855"/>
    <w:rsid w:val="00B70FD0"/>
    <w:rsid w:val="00B70FE5"/>
    <w:rsid w:val="00B747B1"/>
    <w:rsid w:val="00B76DF4"/>
    <w:rsid w:val="00B76F06"/>
    <w:rsid w:val="00B77279"/>
    <w:rsid w:val="00B774CD"/>
    <w:rsid w:val="00B77863"/>
    <w:rsid w:val="00B80128"/>
    <w:rsid w:val="00B81EF3"/>
    <w:rsid w:val="00B824BD"/>
    <w:rsid w:val="00B841DF"/>
    <w:rsid w:val="00B8468B"/>
    <w:rsid w:val="00B8477B"/>
    <w:rsid w:val="00B8634F"/>
    <w:rsid w:val="00B87469"/>
    <w:rsid w:val="00B92A65"/>
    <w:rsid w:val="00B934CC"/>
    <w:rsid w:val="00B935E7"/>
    <w:rsid w:val="00B9469F"/>
    <w:rsid w:val="00B94930"/>
    <w:rsid w:val="00B95A9F"/>
    <w:rsid w:val="00B97A20"/>
    <w:rsid w:val="00BA098E"/>
    <w:rsid w:val="00BA2CD9"/>
    <w:rsid w:val="00BA4006"/>
    <w:rsid w:val="00BB359D"/>
    <w:rsid w:val="00BB3738"/>
    <w:rsid w:val="00BB481C"/>
    <w:rsid w:val="00BB514D"/>
    <w:rsid w:val="00BC113D"/>
    <w:rsid w:val="00BC1F1F"/>
    <w:rsid w:val="00BC32AE"/>
    <w:rsid w:val="00BD1193"/>
    <w:rsid w:val="00BD192A"/>
    <w:rsid w:val="00BD2442"/>
    <w:rsid w:val="00BD24C5"/>
    <w:rsid w:val="00BD2E0A"/>
    <w:rsid w:val="00BD4768"/>
    <w:rsid w:val="00BE01D7"/>
    <w:rsid w:val="00BE3FB0"/>
    <w:rsid w:val="00BE6873"/>
    <w:rsid w:val="00BF18F4"/>
    <w:rsid w:val="00BF202F"/>
    <w:rsid w:val="00BF5553"/>
    <w:rsid w:val="00BF5599"/>
    <w:rsid w:val="00BF76C9"/>
    <w:rsid w:val="00C00BA5"/>
    <w:rsid w:val="00C01FCD"/>
    <w:rsid w:val="00C02D04"/>
    <w:rsid w:val="00C05ABE"/>
    <w:rsid w:val="00C05E60"/>
    <w:rsid w:val="00C06F12"/>
    <w:rsid w:val="00C075B3"/>
    <w:rsid w:val="00C07ED1"/>
    <w:rsid w:val="00C103B3"/>
    <w:rsid w:val="00C10E85"/>
    <w:rsid w:val="00C11095"/>
    <w:rsid w:val="00C118EF"/>
    <w:rsid w:val="00C13C27"/>
    <w:rsid w:val="00C20908"/>
    <w:rsid w:val="00C23965"/>
    <w:rsid w:val="00C23FC9"/>
    <w:rsid w:val="00C24481"/>
    <w:rsid w:val="00C25A2E"/>
    <w:rsid w:val="00C26759"/>
    <w:rsid w:val="00C32B77"/>
    <w:rsid w:val="00C34EC7"/>
    <w:rsid w:val="00C3520E"/>
    <w:rsid w:val="00C35FC6"/>
    <w:rsid w:val="00C36BE9"/>
    <w:rsid w:val="00C372E9"/>
    <w:rsid w:val="00C37954"/>
    <w:rsid w:val="00C4051A"/>
    <w:rsid w:val="00C408C9"/>
    <w:rsid w:val="00C43945"/>
    <w:rsid w:val="00C50591"/>
    <w:rsid w:val="00C51F1A"/>
    <w:rsid w:val="00C529B2"/>
    <w:rsid w:val="00C545F6"/>
    <w:rsid w:val="00C548F3"/>
    <w:rsid w:val="00C55BAC"/>
    <w:rsid w:val="00C61EA5"/>
    <w:rsid w:val="00C62600"/>
    <w:rsid w:val="00C6283C"/>
    <w:rsid w:val="00C643C3"/>
    <w:rsid w:val="00C70803"/>
    <w:rsid w:val="00C7145B"/>
    <w:rsid w:val="00C7151C"/>
    <w:rsid w:val="00C73B22"/>
    <w:rsid w:val="00C7480E"/>
    <w:rsid w:val="00C76DFA"/>
    <w:rsid w:val="00C77386"/>
    <w:rsid w:val="00C77650"/>
    <w:rsid w:val="00C77CB4"/>
    <w:rsid w:val="00C8038B"/>
    <w:rsid w:val="00C8101F"/>
    <w:rsid w:val="00C81301"/>
    <w:rsid w:val="00C823A1"/>
    <w:rsid w:val="00C84582"/>
    <w:rsid w:val="00C8602E"/>
    <w:rsid w:val="00C862DE"/>
    <w:rsid w:val="00C87526"/>
    <w:rsid w:val="00C925F9"/>
    <w:rsid w:val="00C95AAD"/>
    <w:rsid w:val="00C95C58"/>
    <w:rsid w:val="00CA0858"/>
    <w:rsid w:val="00CA0EF6"/>
    <w:rsid w:val="00CA1BD3"/>
    <w:rsid w:val="00CA6F1C"/>
    <w:rsid w:val="00CB03BA"/>
    <w:rsid w:val="00CB22CD"/>
    <w:rsid w:val="00CB606B"/>
    <w:rsid w:val="00CC24D6"/>
    <w:rsid w:val="00CC4327"/>
    <w:rsid w:val="00CC61D7"/>
    <w:rsid w:val="00CD1E47"/>
    <w:rsid w:val="00CD5A3C"/>
    <w:rsid w:val="00CE1AC6"/>
    <w:rsid w:val="00CE4C50"/>
    <w:rsid w:val="00CE61C9"/>
    <w:rsid w:val="00CE69FC"/>
    <w:rsid w:val="00CE79C0"/>
    <w:rsid w:val="00CF16B3"/>
    <w:rsid w:val="00CF1DCE"/>
    <w:rsid w:val="00CF31BC"/>
    <w:rsid w:val="00CF3537"/>
    <w:rsid w:val="00D04730"/>
    <w:rsid w:val="00D05C83"/>
    <w:rsid w:val="00D100F8"/>
    <w:rsid w:val="00D127D4"/>
    <w:rsid w:val="00D13DE0"/>
    <w:rsid w:val="00D200FF"/>
    <w:rsid w:val="00D208DD"/>
    <w:rsid w:val="00D232C3"/>
    <w:rsid w:val="00D25A2D"/>
    <w:rsid w:val="00D2758B"/>
    <w:rsid w:val="00D27753"/>
    <w:rsid w:val="00D32E84"/>
    <w:rsid w:val="00D35B74"/>
    <w:rsid w:val="00D3701B"/>
    <w:rsid w:val="00D409E3"/>
    <w:rsid w:val="00D41748"/>
    <w:rsid w:val="00D45654"/>
    <w:rsid w:val="00D4567D"/>
    <w:rsid w:val="00D457FF"/>
    <w:rsid w:val="00D45F66"/>
    <w:rsid w:val="00D46EE5"/>
    <w:rsid w:val="00D474DD"/>
    <w:rsid w:val="00D47D62"/>
    <w:rsid w:val="00D55FB3"/>
    <w:rsid w:val="00D562E7"/>
    <w:rsid w:val="00D564A7"/>
    <w:rsid w:val="00D61B42"/>
    <w:rsid w:val="00D64C57"/>
    <w:rsid w:val="00D65236"/>
    <w:rsid w:val="00D707B2"/>
    <w:rsid w:val="00D77845"/>
    <w:rsid w:val="00D846D1"/>
    <w:rsid w:val="00D90BF6"/>
    <w:rsid w:val="00D91B83"/>
    <w:rsid w:val="00D92F62"/>
    <w:rsid w:val="00D93184"/>
    <w:rsid w:val="00D93C96"/>
    <w:rsid w:val="00D95E57"/>
    <w:rsid w:val="00DA4F15"/>
    <w:rsid w:val="00DA5EA0"/>
    <w:rsid w:val="00DB0BAA"/>
    <w:rsid w:val="00DB1758"/>
    <w:rsid w:val="00DB3169"/>
    <w:rsid w:val="00DB4DCF"/>
    <w:rsid w:val="00DB6805"/>
    <w:rsid w:val="00DB7A32"/>
    <w:rsid w:val="00DC0983"/>
    <w:rsid w:val="00DC542F"/>
    <w:rsid w:val="00DC678E"/>
    <w:rsid w:val="00DC6E6B"/>
    <w:rsid w:val="00DC7142"/>
    <w:rsid w:val="00DD2030"/>
    <w:rsid w:val="00DD5A4D"/>
    <w:rsid w:val="00DE04E1"/>
    <w:rsid w:val="00DE0B72"/>
    <w:rsid w:val="00DE155C"/>
    <w:rsid w:val="00DE24DC"/>
    <w:rsid w:val="00DE2640"/>
    <w:rsid w:val="00DE71DA"/>
    <w:rsid w:val="00DF1D76"/>
    <w:rsid w:val="00DF21B7"/>
    <w:rsid w:val="00DF3C90"/>
    <w:rsid w:val="00DF3DF6"/>
    <w:rsid w:val="00DF5155"/>
    <w:rsid w:val="00DF73D8"/>
    <w:rsid w:val="00DF7CF4"/>
    <w:rsid w:val="00E019DC"/>
    <w:rsid w:val="00E0232F"/>
    <w:rsid w:val="00E050E5"/>
    <w:rsid w:val="00E0680C"/>
    <w:rsid w:val="00E0694D"/>
    <w:rsid w:val="00E06DA3"/>
    <w:rsid w:val="00E15C26"/>
    <w:rsid w:val="00E161E1"/>
    <w:rsid w:val="00E21599"/>
    <w:rsid w:val="00E25DA3"/>
    <w:rsid w:val="00E31B78"/>
    <w:rsid w:val="00E336D7"/>
    <w:rsid w:val="00E34BAC"/>
    <w:rsid w:val="00E3746C"/>
    <w:rsid w:val="00E407E1"/>
    <w:rsid w:val="00E42254"/>
    <w:rsid w:val="00E52E62"/>
    <w:rsid w:val="00E54717"/>
    <w:rsid w:val="00E5505C"/>
    <w:rsid w:val="00E5539A"/>
    <w:rsid w:val="00E574F2"/>
    <w:rsid w:val="00E57DC3"/>
    <w:rsid w:val="00E6401F"/>
    <w:rsid w:val="00E66EA7"/>
    <w:rsid w:val="00E70133"/>
    <w:rsid w:val="00E70C18"/>
    <w:rsid w:val="00E77A14"/>
    <w:rsid w:val="00E77E5E"/>
    <w:rsid w:val="00E81A77"/>
    <w:rsid w:val="00E84891"/>
    <w:rsid w:val="00E856BF"/>
    <w:rsid w:val="00E858E1"/>
    <w:rsid w:val="00E86342"/>
    <w:rsid w:val="00E877C7"/>
    <w:rsid w:val="00E92E95"/>
    <w:rsid w:val="00E947AA"/>
    <w:rsid w:val="00E9513D"/>
    <w:rsid w:val="00E96C66"/>
    <w:rsid w:val="00EA00A7"/>
    <w:rsid w:val="00EA32ED"/>
    <w:rsid w:val="00EA3C9A"/>
    <w:rsid w:val="00EA3CD2"/>
    <w:rsid w:val="00EA554F"/>
    <w:rsid w:val="00EA6A28"/>
    <w:rsid w:val="00EA6A9D"/>
    <w:rsid w:val="00EA6E72"/>
    <w:rsid w:val="00EB37A5"/>
    <w:rsid w:val="00EB3E68"/>
    <w:rsid w:val="00EB6190"/>
    <w:rsid w:val="00EB6D47"/>
    <w:rsid w:val="00EC4311"/>
    <w:rsid w:val="00EC4C40"/>
    <w:rsid w:val="00ED2C92"/>
    <w:rsid w:val="00ED3013"/>
    <w:rsid w:val="00ED3B83"/>
    <w:rsid w:val="00ED4D17"/>
    <w:rsid w:val="00ED5061"/>
    <w:rsid w:val="00ED5CC2"/>
    <w:rsid w:val="00EE1BF6"/>
    <w:rsid w:val="00EE33B2"/>
    <w:rsid w:val="00EE4C67"/>
    <w:rsid w:val="00EE5B6B"/>
    <w:rsid w:val="00EE66A6"/>
    <w:rsid w:val="00EE70EB"/>
    <w:rsid w:val="00EF02CC"/>
    <w:rsid w:val="00EF249D"/>
    <w:rsid w:val="00EF33F5"/>
    <w:rsid w:val="00EF716D"/>
    <w:rsid w:val="00F00598"/>
    <w:rsid w:val="00F013B6"/>
    <w:rsid w:val="00F04360"/>
    <w:rsid w:val="00F04815"/>
    <w:rsid w:val="00F06880"/>
    <w:rsid w:val="00F07542"/>
    <w:rsid w:val="00F148D2"/>
    <w:rsid w:val="00F14F75"/>
    <w:rsid w:val="00F207C7"/>
    <w:rsid w:val="00F21C19"/>
    <w:rsid w:val="00F22A12"/>
    <w:rsid w:val="00F257F0"/>
    <w:rsid w:val="00F26085"/>
    <w:rsid w:val="00F26A66"/>
    <w:rsid w:val="00F312D8"/>
    <w:rsid w:val="00F3249C"/>
    <w:rsid w:val="00F3333F"/>
    <w:rsid w:val="00F345C1"/>
    <w:rsid w:val="00F355F4"/>
    <w:rsid w:val="00F3585D"/>
    <w:rsid w:val="00F363AD"/>
    <w:rsid w:val="00F4348C"/>
    <w:rsid w:val="00F4386C"/>
    <w:rsid w:val="00F47AEB"/>
    <w:rsid w:val="00F503D5"/>
    <w:rsid w:val="00F53596"/>
    <w:rsid w:val="00F5523E"/>
    <w:rsid w:val="00F55CF1"/>
    <w:rsid w:val="00F55F85"/>
    <w:rsid w:val="00F60D9D"/>
    <w:rsid w:val="00F62FD1"/>
    <w:rsid w:val="00F644F7"/>
    <w:rsid w:val="00F70AE2"/>
    <w:rsid w:val="00F70BB0"/>
    <w:rsid w:val="00F70C80"/>
    <w:rsid w:val="00F72BBF"/>
    <w:rsid w:val="00F820E5"/>
    <w:rsid w:val="00F82D5A"/>
    <w:rsid w:val="00F82D8C"/>
    <w:rsid w:val="00F83233"/>
    <w:rsid w:val="00F83C59"/>
    <w:rsid w:val="00F84561"/>
    <w:rsid w:val="00F84FE5"/>
    <w:rsid w:val="00F85C79"/>
    <w:rsid w:val="00F86CE0"/>
    <w:rsid w:val="00F86FD8"/>
    <w:rsid w:val="00F90865"/>
    <w:rsid w:val="00F935DE"/>
    <w:rsid w:val="00F94BB5"/>
    <w:rsid w:val="00F9500E"/>
    <w:rsid w:val="00F962DD"/>
    <w:rsid w:val="00F9637C"/>
    <w:rsid w:val="00FA1283"/>
    <w:rsid w:val="00FA1A89"/>
    <w:rsid w:val="00FA3B92"/>
    <w:rsid w:val="00FA3D6A"/>
    <w:rsid w:val="00FA41E9"/>
    <w:rsid w:val="00FA4F22"/>
    <w:rsid w:val="00FA5011"/>
    <w:rsid w:val="00FA5294"/>
    <w:rsid w:val="00FA5C8D"/>
    <w:rsid w:val="00FA6333"/>
    <w:rsid w:val="00FA79C2"/>
    <w:rsid w:val="00FB1A63"/>
    <w:rsid w:val="00FB3525"/>
    <w:rsid w:val="00FB462C"/>
    <w:rsid w:val="00FB67BD"/>
    <w:rsid w:val="00FB7604"/>
    <w:rsid w:val="00FC1944"/>
    <w:rsid w:val="00FC373B"/>
    <w:rsid w:val="00FC4872"/>
    <w:rsid w:val="00FC49AD"/>
    <w:rsid w:val="00FC674B"/>
    <w:rsid w:val="00FD075C"/>
    <w:rsid w:val="00FD0BEA"/>
    <w:rsid w:val="00FD1B3F"/>
    <w:rsid w:val="00FD2041"/>
    <w:rsid w:val="00FD2CCD"/>
    <w:rsid w:val="00FD54A7"/>
    <w:rsid w:val="00FD6012"/>
    <w:rsid w:val="00FD7D25"/>
    <w:rsid w:val="00FE05CB"/>
    <w:rsid w:val="00FE215B"/>
    <w:rsid w:val="00FE3667"/>
    <w:rsid w:val="00FE6E3A"/>
    <w:rsid w:val="00FF078A"/>
    <w:rsid w:val="00FF18AF"/>
    <w:rsid w:val="00FF4C08"/>
    <w:rsid w:val="00FF4EF1"/>
    <w:rsid w:val="00FF57D7"/>
    <w:rsid w:val="00FF6EB1"/>
    <w:rsid w:val="00FF7DEE"/>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75"/>
  </w:style>
  <w:style w:type="paragraph" w:styleId="1">
    <w:name w:val="heading 1"/>
    <w:basedOn w:val="a"/>
    <w:next w:val="a"/>
    <w:link w:val="1Char"/>
    <w:qFormat/>
    <w:rsid w:val="0058298B"/>
    <w:pPr>
      <w:keepNext/>
      <w:numPr>
        <w:numId w:val="1"/>
      </w:numPr>
      <w:suppressAutoHyphens/>
      <w:spacing w:after="0" w:line="240" w:lineRule="auto"/>
      <w:jc w:val="both"/>
      <w:outlineLvl w:val="0"/>
    </w:pPr>
    <w:rPr>
      <w:rFonts w:ascii="Times New Roman" w:eastAsia="Times New Roman" w:hAnsi="Times New Roman" w:cs="Times New Roman"/>
      <w:b/>
      <w:bCs/>
      <w:sz w:val="24"/>
      <w:szCs w:val="24"/>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6206"/>
    <w:pPr>
      <w:spacing w:after="0" w:line="240" w:lineRule="auto"/>
    </w:pPr>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07BE"/>
    <w:pPr>
      <w:spacing w:after="0" w:line="240" w:lineRule="auto"/>
      <w:ind w:left="720"/>
      <w:contextualSpacing/>
    </w:pPr>
    <w:rPr>
      <w:rFonts w:ascii="Cambria" w:eastAsia="Times New Roman" w:hAnsi="Cambria" w:cs="Times New Roman"/>
      <w:szCs w:val="20"/>
      <w:lang w:val="cs-CZ" w:eastAsia="cs-CZ"/>
    </w:rPr>
  </w:style>
  <w:style w:type="character" w:styleId="a5">
    <w:name w:val="Strong"/>
    <w:uiPriority w:val="22"/>
    <w:qFormat/>
    <w:rsid w:val="00023F7A"/>
    <w:rPr>
      <w:b/>
      <w:bCs/>
    </w:rPr>
  </w:style>
  <w:style w:type="paragraph" w:styleId="a6">
    <w:name w:val="Bibliography"/>
    <w:basedOn w:val="a"/>
    <w:next w:val="a"/>
    <w:uiPriority w:val="37"/>
    <w:unhideWhenUsed/>
    <w:rsid w:val="0057775F"/>
    <w:pPr>
      <w:tabs>
        <w:tab w:val="left" w:pos="504"/>
      </w:tabs>
      <w:spacing w:after="240" w:line="240" w:lineRule="auto"/>
      <w:ind w:left="504" w:hanging="504"/>
    </w:pPr>
  </w:style>
  <w:style w:type="character" w:styleId="a7">
    <w:name w:val="Hyperlink"/>
    <w:basedOn w:val="a0"/>
    <w:uiPriority w:val="99"/>
    <w:unhideWhenUsed/>
    <w:rsid w:val="007B1FC7"/>
    <w:rPr>
      <w:color w:val="0000FF"/>
      <w:u w:val="single"/>
    </w:rPr>
  </w:style>
  <w:style w:type="paragraph" w:styleId="a8">
    <w:name w:val="Balloon Text"/>
    <w:basedOn w:val="a"/>
    <w:link w:val="Char"/>
    <w:uiPriority w:val="99"/>
    <w:semiHidden/>
    <w:unhideWhenUsed/>
    <w:rsid w:val="009A53AA"/>
    <w:pPr>
      <w:spacing w:after="0" w:line="240" w:lineRule="auto"/>
    </w:pPr>
    <w:rPr>
      <w:rFonts w:ascii="Segoe UI" w:hAnsi="Segoe UI" w:cs="Segoe UI"/>
      <w:sz w:val="18"/>
      <w:szCs w:val="18"/>
    </w:rPr>
  </w:style>
  <w:style w:type="character" w:customStyle="1" w:styleId="Char">
    <w:name w:val="批注框文本 Char"/>
    <w:basedOn w:val="a0"/>
    <w:link w:val="a8"/>
    <w:uiPriority w:val="99"/>
    <w:semiHidden/>
    <w:rsid w:val="009A53AA"/>
    <w:rPr>
      <w:rFonts w:ascii="Segoe UI" w:hAnsi="Segoe UI" w:cs="Segoe UI"/>
      <w:sz w:val="18"/>
      <w:szCs w:val="18"/>
    </w:rPr>
  </w:style>
  <w:style w:type="character" w:styleId="a9">
    <w:name w:val="annotation reference"/>
    <w:basedOn w:val="a0"/>
    <w:uiPriority w:val="99"/>
    <w:semiHidden/>
    <w:unhideWhenUsed/>
    <w:rsid w:val="009A53AA"/>
    <w:rPr>
      <w:sz w:val="16"/>
      <w:szCs w:val="16"/>
    </w:rPr>
  </w:style>
  <w:style w:type="paragraph" w:styleId="aa">
    <w:name w:val="annotation text"/>
    <w:basedOn w:val="a"/>
    <w:link w:val="Char1"/>
    <w:unhideWhenUsed/>
    <w:rsid w:val="009A53AA"/>
    <w:pPr>
      <w:spacing w:line="240" w:lineRule="auto"/>
    </w:pPr>
    <w:rPr>
      <w:sz w:val="20"/>
      <w:szCs w:val="20"/>
    </w:rPr>
  </w:style>
  <w:style w:type="character" w:customStyle="1" w:styleId="Char1">
    <w:name w:val="批注文字 Char1"/>
    <w:basedOn w:val="a0"/>
    <w:link w:val="aa"/>
    <w:uiPriority w:val="99"/>
    <w:semiHidden/>
    <w:rsid w:val="009A53AA"/>
    <w:rPr>
      <w:sz w:val="20"/>
      <w:szCs w:val="20"/>
    </w:rPr>
  </w:style>
  <w:style w:type="paragraph" w:styleId="ab">
    <w:name w:val="annotation subject"/>
    <w:basedOn w:val="aa"/>
    <w:next w:val="aa"/>
    <w:link w:val="Char0"/>
    <w:uiPriority w:val="99"/>
    <w:semiHidden/>
    <w:unhideWhenUsed/>
    <w:rsid w:val="009A53AA"/>
    <w:rPr>
      <w:b/>
      <w:bCs/>
    </w:rPr>
  </w:style>
  <w:style w:type="character" w:customStyle="1" w:styleId="Char0">
    <w:name w:val="批注主题 Char"/>
    <w:basedOn w:val="Char1"/>
    <w:link w:val="ab"/>
    <w:uiPriority w:val="99"/>
    <w:semiHidden/>
    <w:rsid w:val="009A53AA"/>
    <w:rPr>
      <w:b/>
      <w:bCs/>
      <w:sz w:val="20"/>
      <w:szCs w:val="20"/>
    </w:rPr>
  </w:style>
  <w:style w:type="table" w:customStyle="1" w:styleId="Mkatabulky1">
    <w:name w:val="Mřížka tabulky1"/>
    <w:basedOn w:val="a1"/>
    <w:next w:val="a3"/>
    <w:uiPriority w:val="39"/>
    <w:rsid w:val="00227E1B"/>
    <w:pPr>
      <w:spacing w:after="0" w:line="240" w:lineRule="auto"/>
    </w:pPr>
    <w:rPr>
      <w:rFonts w:eastAsia="Calibri"/>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a1"/>
    <w:next w:val="a3"/>
    <w:uiPriority w:val="39"/>
    <w:rsid w:val="00F53596"/>
    <w:pPr>
      <w:spacing w:after="0" w:line="240" w:lineRule="auto"/>
    </w:pPr>
    <w:rPr>
      <w:rFonts w:eastAsia="Calibri"/>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2"/>
    <w:uiPriority w:val="99"/>
    <w:unhideWhenUsed/>
    <w:rsid w:val="0047007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47007F"/>
    <w:rPr>
      <w:sz w:val="18"/>
      <w:szCs w:val="18"/>
    </w:rPr>
  </w:style>
  <w:style w:type="paragraph" w:styleId="ad">
    <w:name w:val="footer"/>
    <w:basedOn w:val="a"/>
    <w:link w:val="Char3"/>
    <w:uiPriority w:val="99"/>
    <w:unhideWhenUsed/>
    <w:rsid w:val="0047007F"/>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47007F"/>
    <w:rPr>
      <w:sz w:val="18"/>
      <w:szCs w:val="18"/>
    </w:rPr>
  </w:style>
  <w:style w:type="character" w:customStyle="1" w:styleId="1Char">
    <w:name w:val="标题 1 Char"/>
    <w:basedOn w:val="a0"/>
    <w:link w:val="1"/>
    <w:rsid w:val="0058298B"/>
    <w:rPr>
      <w:rFonts w:ascii="Times New Roman" w:eastAsia="Times New Roman" w:hAnsi="Times New Roman" w:cs="Times New Roman"/>
      <w:b/>
      <w:bCs/>
      <w:sz w:val="24"/>
      <w:szCs w:val="24"/>
      <w:lang w:val="it-IT" w:eastAsia="ar-SA"/>
    </w:rPr>
  </w:style>
  <w:style w:type="paragraph" w:customStyle="1" w:styleId="Corpodeltesto">
    <w:name w:val="Corpo del tes.to"/>
    <w:basedOn w:val="ae"/>
    <w:rsid w:val="0058298B"/>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e">
    <w:name w:val="Body Text"/>
    <w:basedOn w:val="a"/>
    <w:link w:val="Char4"/>
    <w:uiPriority w:val="99"/>
    <w:semiHidden/>
    <w:unhideWhenUsed/>
    <w:rsid w:val="0058298B"/>
    <w:pPr>
      <w:spacing w:after="120"/>
    </w:pPr>
  </w:style>
  <w:style w:type="character" w:customStyle="1" w:styleId="Char4">
    <w:name w:val="正文文本 Char"/>
    <w:basedOn w:val="a0"/>
    <w:link w:val="ae"/>
    <w:uiPriority w:val="99"/>
    <w:semiHidden/>
    <w:rsid w:val="0058298B"/>
  </w:style>
  <w:style w:type="character" w:customStyle="1" w:styleId="Char5">
    <w:name w:val="批注文字 Char"/>
    <w:rsid w:val="0058298B"/>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175"/>
  </w:style>
  <w:style w:type="paragraph" w:styleId="1">
    <w:name w:val="heading 1"/>
    <w:basedOn w:val="a"/>
    <w:next w:val="a"/>
    <w:link w:val="1Char"/>
    <w:qFormat/>
    <w:rsid w:val="0058298B"/>
    <w:pPr>
      <w:keepNext/>
      <w:numPr>
        <w:numId w:val="1"/>
      </w:numPr>
      <w:suppressAutoHyphens/>
      <w:spacing w:after="0" w:line="240" w:lineRule="auto"/>
      <w:jc w:val="both"/>
      <w:outlineLvl w:val="0"/>
    </w:pPr>
    <w:rPr>
      <w:rFonts w:ascii="Times New Roman" w:eastAsia="Times New Roman" w:hAnsi="Times New Roman" w:cs="Times New Roman"/>
      <w:b/>
      <w:bCs/>
      <w:sz w:val="24"/>
      <w:szCs w:val="24"/>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6206"/>
    <w:pPr>
      <w:spacing w:after="0" w:line="240" w:lineRule="auto"/>
    </w:pPr>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07BE"/>
    <w:pPr>
      <w:spacing w:after="0" w:line="240" w:lineRule="auto"/>
      <w:ind w:left="720"/>
      <w:contextualSpacing/>
    </w:pPr>
    <w:rPr>
      <w:rFonts w:ascii="Cambria" w:eastAsia="Times New Roman" w:hAnsi="Cambria" w:cs="Times New Roman"/>
      <w:szCs w:val="20"/>
      <w:lang w:val="cs-CZ" w:eastAsia="cs-CZ"/>
    </w:rPr>
  </w:style>
  <w:style w:type="character" w:styleId="a5">
    <w:name w:val="Strong"/>
    <w:uiPriority w:val="22"/>
    <w:qFormat/>
    <w:rsid w:val="00023F7A"/>
    <w:rPr>
      <w:b/>
      <w:bCs/>
    </w:rPr>
  </w:style>
  <w:style w:type="paragraph" w:styleId="a6">
    <w:name w:val="Bibliography"/>
    <w:basedOn w:val="a"/>
    <w:next w:val="a"/>
    <w:uiPriority w:val="37"/>
    <w:unhideWhenUsed/>
    <w:rsid w:val="0057775F"/>
    <w:pPr>
      <w:tabs>
        <w:tab w:val="left" w:pos="504"/>
      </w:tabs>
      <w:spacing w:after="240" w:line="240" w:lineRule="auto"/>
      <w:ind w:left="504" w:hanging="504"/>
    </w:pPr>
  </w:style>
  <w:style w:type="character" w:styleId="a7">
    <w:name w:val="Hyperlink"/>
    <w:basedOn w:val="a0"/>
    <w:uiPriority w:val="99"/>
    <w:unhideWhenUsed/>
    <w:rsid w:val="007B1FC7"/>
    <w:rPr>
      <w:color w:val="0000FF"/>
      <w:u w:val="single"/>
    </w:rPr>
  </w:style>
  <w:style w:type="paragraph" w:styleId="a8">
    <w:name w:val="Balloon Text"/>
    <w:basedOn w:val="a"/>
    <w:link w:val="Char"/>
    <w:uiPriority w:val="99"/>
    <w:semiHidden/>
    <w:unhideWhenUsed/>
    <w:rsid w:val="009A53AA"/>
    <w:pPr>
      <w:spacing w:after="0" w:line="240" w:lineRule="auto"/>
    </w:pPr>
    <w:rPr>
      <w:rFonts w:ascii="Segoe UI" w:hAnsi="Segoe UI" w:cs="Segoe UI"/>
      <w:sz w:val="18"/>
      <w:szCs w:val="18"/>
    </w:rPr>
  </w:style>
  <w:style w:type="character" w:customStyle="1" w:styleId="Char">
    <w:name w:val="批注框文本 Char"/>
    <w:basedOn w:val="a0"/>
    <w:link w:val="a8"/>
    <w:uiPriority w:val="99"/>
    <w:semiHidden/>
    <w:rsid w:val="009A53AA"/>
    <w:rPr>
      <w:rFonts w:ascii="Segoe UI" w:hAnsi="Segoe UI" w:cs="Segoe UI"/>
      <w:sz w:val="18"/>
      <w:szCs w:val="18"/>
    </w:rPr>
  </w:style>
  <w:style w:type="character" w:styleId="a9">
    <w:name w:val="annotation reference"/>
    <w:basedOn w:val="a0"/>
    <w:uiPriority w:val="99"/>
    <w:semiHidden/>
    <w:unhideWhenUsed/>
    <w:rsid w:val="009A53AA"/>
    <w:rPr>
      <w:sz w:val="16"/>
      <w:szCs w:val="16"/>
    </w:rPr>
  </w:style>
  <w:style w:type="paragraph" w:styleId="aa">
    <w:name w:val="annotation text"/>
    <w:basedOn w:val="a"/>
    <w:link w:val="Char1"/>
    <w:unhideWhenUsed/>
    <w:rsid w:val="009A53AA"/>
    <w:pPr>
      <w:spacing w:line="240" w:lineRule="auto"/>
    </w:pPr>
    <w:rPr>
      <w:sz w:val="20"/>
      <w:szCs w:val="20"/>
    </w:rPr>
  </w:style>
  <w:style w:type="character" w:customStyle="1" w:styleId="Char1">
    <w:name w:val="批注文字 Char1"/>
    <w:basedOn w:val="a0"/>
    <w:link w:val="aa"/>
    <w:uiPriority w:val="99"/>
    <w:semiHidden/>
    <w:rsid w:val="009A53AA"/>
    <w:rPr>
      <w:sz w:val="20"/>
      <w:szCs w:val="20"/>
    </w:rPr>
  </w:style>
  <w:style w:type="paragraph" w:styleId="ab">
    <w:name w:val="annotation subject"/>
    <w:basedOn w:val="aa"/>
    <w:next w:val="aa"/>
    <w:link w:val="Char0"/>
    <w:uiPriority w:val="99"/>
    <w:semiHidden/>
    <w:unhideWhenUsed/>
    <w:rsid w:val="009A53AA"/>
    <w:rPr>
      <w:b/>
      <w:bCs/>
    </w:rPr>
  </w:style>
  <w:style w:type="character" w:customStyle="1" w:styleId="Char0">
    <w:name w:val="批注主题 Char"/>
    <w:basedOn w:val="Char1"/>
    <w:link w:val="ab"/>
    <w:uiPriority w:val="99"/>
    <w:semiHidden/>
    <w:rsid w:val="009A53AA"/>
    <w:rPr>
      <w:b/>
      <w:bCs/>
      <w:sz w:val="20"/>
      <w:szCs w:val="20"/>
    </w:rPr>
  </w:style>
  <w:style w:type="table" w:customStyle="1" w:styleId="Mkatabulky1">
    <w:name w:val="Mřížka tabulky1"/>
    <w:basedOn w:val="a1"/>
    <w:next w:val="a3"/>
    <w:uiPriority w:val="39"/>
    <w:rsid w:val="00227E1B"/>
    <w:pPr>
      <w:spacing w:after="0" w:line="240" w:lineRule="auto"/>
    </w:pPr>
    <w:rPr>
      <w:rFonts w:eastAsia="Calibri"/>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a1"/>
    <w:next w:val="a3"/>
    <w:uiPriority w:val="39"/>
    <w:rsid w:val="00F53596"/>
    <w:pPr>
      <w:spacing w:after="0" w:line="240" w:lineRule="auto"/>
    </w:pPr>
    <w:rPr>
      <w:rFonts w:eastAsia="Calibri"/>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Char2"/>
    <w:uiPriority w:val="99"/>
    <w:unhideWhenUsed/>
    <w:rsid w:val="0047007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47007F"/>
    <w:rPr>
      <w:sz w:val="18"/>
      <w:szCs w:val="18"/>
    </w:rPr>
  </w:style>
  <w:style w:type="paragraph" w:styleId="ad">
    <w:name w:val="footer"/>
    <w:basedOn w:val="a"/>
    <w:link w:val="Char3"/>
    <w:uiPriority w:val="99"/>
    <w:unhideWhenUsed/>
    <w:rsid w:val="0047007F"/>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47007F"/>
    <w:rPr>
      <w:sz w:val="18"/>
      <w:szCs w:val="18"/>
    </w:rPr>
  </w:style>
  <w:style w:type="character" w:customStyle="1" w:styleId="1Char">
    <w:name w:val="标题 1 Char"/>
    <w:basedOn w:val="a0"/>
    <w:link w:val="1"/>
    <w:rsid w:val="0058298B"/>
    <w:rPr>
      <w:rFonts w:ascii="Times New Roman" w:eastAsia="Times New Roman" w:hAnsi="Times New Roman" w:cs="Times New Roman"/>
      <w:b/>
      <w:bCs/>
      <w:sz w:val="24"/>
      <w:szCs w:val="24"/>
      <w:lang w:val="it-IT" w:eastAsia="ar-SA"/>
    </w:rPr>
  </w:style>
  <w:style w:type="paragraph" w:customStyle="1" w:styleId="Corpodeltesto">
    <w:name w:val="Corpo del tes.to"/>
    <w:basedOn w:val="ae"/>
    <w:rsid w:val="0058298B"/>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e">
    <w:name w:val="Body Text"/>
    <w:basedOn w:val="a"/>
    <w:link w:val="Char4"/>
    <w:uiPriority w:val="99"/>
    <w:semiHidden/>
    <w:unhideWhenUsed/>
    <w:rsid w:val="0058298B"/>
    <w:pPr>
      <w:spacing w:after="120"/>
    </w:pPr>
  </w:style>
  <w:style w:type="character" w:customStyle="1" w:styleId="Char4">
    <w:name w:val="正文文本 Char"/>
    <w:basedOn w:val="a0"/>
    <w:link w:val="ae"/>
    <w:uiPriority w:val="99"/>
    <w:semiHidden/>
    <w:rsid w:val="0058298B"/>
  </w:style>
  <w:style w:type="character" w:customStyle="1" w:styleId="Char5">
    <w:name w:val="批注文字 Char"/>
    <w:rsid w:val="0058298B"/>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046">
      <w:bodyDiv w:val="1"/>
      <w:marLeft w:val="0"/>
      <w:marRight w:val="0"/>
      <w:marTop w:val="0"/>
      <w:marBottom w:val="0"/>
      <w:divBdr>
        <w:top w:val="none" w:sz="0" w:space="0" w:color="auto"/>
        <w:left w:val="none" w:sz="0" w:space="0" w:color="auto"/>
        <w:bottom w:val="none" w:sz="0" w:space="0" w:color="auto"/>
        <w:right w:val="none" w:sz="0" w:space="0" w:color="auto"/>
      </w:divBdr>
    </w:div>
    <w:div w:id="89201348">
      <w:bodyDiv w:val="1"/>
      <w:marLeft w:val="0"/>
      <w:marRight w:val="0"/>
      <w:marTop w:val="0"/>
      <w:marBottom w:val="0"/>
      <w:divBdr>
        <w:top w:val="none" w:sz="0" w:space="0" w:color="auto"/>
        <w:left w:val="none" w:sz="0" w:space="0" w:color="auto"/>
        <w:bottom w:val="none" w:sz="0" w:space="0" w:color="auto"/>
        <w:right w:val="none" w:sz="0" w:space="0" w:color="auto"/>
      </w:divBdr>
    </w:div>
    <w:div w:id="126313737">
      <w:bodyDiv w:val="1"/>
      <w:marLeft w:val="0"/>
      <w:marRight w:val="0"/>
      <w:marTop w:val="0"/>
      <w:marBottom w:val="0"/>
      <w:divBdr>
        <w:top w:val="none" w:sz="0" w:space="0" w:color="auto"/>
        <w:left w:val="none" w:sz="0" w:space="0" w:color="auto"/>
        <w:bottom w:val="none" w:sz="0" w:space="0" w:color="auto"/>
        <w:right w:val="none" w:sz="0" w:space="0" w:color="auto"/>
      </w:divBdr>
    </w:div>
    <w:div w:id="139079771">
      <w:bodyDiv w:val="1"/>
      <w:marLeft w:val="0"/>
      <w:marRight w:val="0"/>
      <w:marTop w:val="0"/>
      <w:marBottom w:val="0"/>
      <w:divBdr>
        <w:top w:val="none" w:sz="0" w:space="0" w:color="auto"/>
        <w:left w:val="none" w:sz="0" w:space="0" w:color="auto"/>
        <w:bottom w:val="none" w:sz="0" w:space="0" w:color="auto"/>
        <w:right w:val="none" w:sz="0" w:space="0" w:color="auto"/>
      </w:divBdr>
    </w:div>
    <w:div w:id="146283252">
      <w:bodyDiv w:val="1"/>
      <w:marLeft w:val="0"/>
      <w:marRight w:val="0"/>
      <w:marTop w:val="0"/>
      <w:marBottom w:val="0"/>
      <w:divBdr>
        <w:top w:val="none" w:sz="0" w:space="0" w:color="auto"/>
        <w:left w:val="none" w:sz="0" w:space="0" w:color="auto"/>
        <w:bottom w:val="none" w:sz="0" w:space="0" w:color="auto"/>
        <w:right w:val="none" w:sz="0" w:space="0" w:color="auto"/>
      </w:divBdr>
    </w:div>
    <w:div w:id="260603162">
      <w:bodyDiv w:val="1"/>
      <w:marLeft w:val="0"/>
      <w:marRight w:val="0"/>
      <w:marTop w:val="0"/>
      <w:marBottom w:val="0"/>
      <w:divBdr>
        <w:top w:val="none" w:sz="0" w:space="0" w:color="auto"/>
        <w:left w:val="none" w:sz="0" w:space="0" w:color="auto"/>
        <w:bottom w:val="none" w:sz="0" w:space="0" w:color="auto"/>
        <w:right w:val="none" w:sz="0" w:space="0" w:color="auto"/>
      </w:divBdr>
    </w:div>
    <w:div w:id="533084379">
      <w:bodyDiv w:val="1"/>
      <w:marLeft w:val="0"/>
      <w:marRight w:val="0"/>
      <w:marTop w:val="0"/>
      <w:marBottom w:val="0"/>
      <w:divBdr>
        <w:top w:val="none" w:sz="0" w:space="0" w:color="auto"/>
        <w:left w:val="none" w:sz="0" w:space="0" w:color="auto"/>
        <w:bottom w:val="none" w:sz="0" w:space="0" w:color="auto"/>
        <w:right w:val="none" w:sz="0" w:space="0" w:color="auto"/>
      </w:divBdr>
    </w:div>
    <w:div w:id="541206762">
      <w:bodyDiv w:val="1"/>
      <w:marLeft w:val="0"/>
      <w:marRight w:val="0"/>
      <w:marTop w:val="0"/>
      <w:marBottom w:val="0"/>
      <w:divBdr>
        <w:top w:val="none" w:sz="0" w:space="0" w:color="auto"/>
        <w:left w:val="none" w:sz="0" w:space="0" w:color="auto"/>
        <w:bottom w:val="none" w:sz="0" w:space="0" w:color="auto"/>
        <w:right w:val="none" w:sz="0" w:space="0" w:color="auto"/>
      </w:divBdr>
    </w:div>
    <w:div w:id="651374569">
      <w:bodyDiv w:val="1"/>
      <w:marLeft w:val="0"/>
      <w:marRight w:val="0"/>
      <w:marTop w:val="0"/>
      <w:marBottom w:val="0"/>
      <w:divBdr>
        <w:top w:val="none" w:sz="0" w:space="0" w:color="auto"/>
        <w:left w:val="none" w:sz="0" w:space="0" w:color="auto"/>
        <w:bottom w:val="none" w:sz="0" w:space="0" w:color="auto"/>
        <w:right w:val="none" w:sz="0" w:space="0" w:color="auto"/>
      </w:divBdr>
    </w:div>
    <w:div w:id="724253270">
      <w:bodyDiv w:val="1"/>
      <w:marLeft w:val="0"/>
      <w:marRight w:val="0"/>
      <w:marTop w:val="0"/>
      <w:marBottom w:val="0"/>
      <w:divBdr>
        <w:top w:val="none" w:sz="0" w:space="0" w:color="auto"/>
        <w:left w:val="none" w:sz="0" w:space="0" w:color="auto"/>
        <w:bottom w:val="none" w:sz="0" w:space="0" w:color="auto"/>
        <w:right w:val="none" w:sz="0" w:space="0" w:color="auto"/>
      </w:divBdr>
    </w:div>
    <w:div w:id="727606298">
      <w:bodyDiv w:val="1"/>
      <w:marLeft w:val="0"/>
      <w:marRight w:val="0"/>
      <w:marTop w:val="0"/>
      <w:marBottom w:val="0"/>
      <w:divBdr>
        <w:top w:val="none" w:sz="0" w:space="0" w:color="auto"/>
        <w:left w:val="none" w:sz="0" w:space="0" w:color="auto"/>
        <w:bottom w:val="none" w:sz="0" w:space="0" w:color="auto"/>
        <w:right w:val="none" w:sz="0" w:space="0" w:color="auto"/>
      </w:divBdr>
    </w:div>
    <w:div w:id="957175359">
      <w:bodyDiv w:val="1"/>
      <w:marLeft w:val="0"/>
      <w:marRight w:val="0"/>
      <w:marTop w:val="0"/>
      <w:marBottom w:val="0"/>
      <w:divBdr>
        <w:top w:val="none" w:sz="0" w:space="0" w:color="auto"/>
        <w:left w:val="none" w:sz="0" w:space="0" w:color="auto"/>
        <w:bottom w:val="none" w:sz="0" w:space="0" w:color="auto"/>
        <w:right w:val="none" w:sz="0" w:space="0" w:color="auto"/>
      </w:divBdr>
    </w:div>
    <w:div w:id="982082229">
      <w:bodyDiv w:val="1"/>
      <w:marLeft w:val="0"/>
      <w:marRight w:val="0"/>
      <w:marTop w:val="0"/>
      <w:marBottom w:val="0"/>
      <w:divBdr>
        <w:top w:val="none" w:sz="0" w:space="0" w:color="auto"/>
        <w:left w:val="none" w:sz="0" w:space="0" w:color="auto"/>
        <w:bottom w:val="none" w:sz="0" w:space="0" w:color="auto"/>
        <w:right w:val="none" w:sz="0" w:space="0" w:color="auto"/>
      </w:divBdr>
    </w:div>
    <w:div w:id="1040864659">
      <w:bodyDiv w:val="1"/>
      <w:marLeft w:val="0"/>
      <w:marRight w:val="0"/>
      <w:marTop w:val="0"/>
      <w:marBottom w:val="0"/>
      <w:divBdr>
        <w:top w:val="none" w:sz="0" w:space="0" w:color="auto"/>
        <w:left w:val="none" w:sz="0" w:space="0" w:color="auto"/>
        <w:bottom w:val="none" w:sz="0" w:space="0" w:color="auto"/>
        <w:right w:val="none" w:sz="0" w:space="0" w:color="auto"/>
      </w:divBdr>
    </w:div>
    <w:div w:id="1226647987">
      <w:bodyDiv w:val="1"/>
      <w:marLeft w:val="0"/>
      <w:marRight w:val="0"/>
      <w:marTop w:val="0"/>
      <w:marBottom w:val="0"/>
      <w:divBdr>
        <w:top w:val="none" w:sz="0" w:space="0" w:color="auto"/>
        <w:left w:val="none" w:sz="0" w:space="0" w:color="auto"/>
        <w:bottom w:val="none" w:sz="0" w:space="0" w:color="auto"/>
        <w:right w:val="none" w:sz="0" w:space="0" w:color="auto"/>
      </w:divBdr>
    </w:div>
    <w:div w:id="1332366158">
      <w:bodyDiv w:val="1"/>
      <w:marLeft w:val="0"/>
      <w:marRight w:val="0"/>
      <w:marTop w:val="0"/>
      <w:marBottom w:val="0"/>
      <w:divBdr>
        <w:top w:val="none" w:sz="0" w:space="0" w:color="auto"/>
        <w:left w:val="none" w:sz="0" w:space="0" w:color="auto"/>
        <w:bottom w:val="none" w:sz="0" w:space="0" w:color="auto"/>
        <w:right w:val="none" w:sz="0" w:space="0" w:color="auto"/>
      </w:divBdr>
    </w:div>
    <w:div w:id="1467972264">
      <w:bodyDiv w:val="1"/>
      <w:marLeft w:val="0"/>
      <w:marRight w:val="0"/>
      <w:marTop w:val="0"/>
      <w:marBottom w:val="0"/>
      <w:divBdr>
        <w:top w:val="none" w:sz="0" w:space="0" w:color="auto"/>
        <w:left w:val="none" w:sz="0" w:space="0" w:color="auto"/>
        <w:bottom w:val="none" w:sz="0" w:space="0" w:color="auto"/>
        <w:right w:val="none" w:sz="0" w:space="0" w:color="auto"/>
      </w:divBdr>
    </w:div>
    <w:div w:id="1922450958">
      <w:bodyDiv w:val="1"/>
      <w:marLeft w:val="0"/>
      <w:marRight w:val="0"/>
      <w:marTop w:val="0"/>
      <w:marBottom w:val="0"/>
      <w:divBdr>
        <w:top w:val="none" w:sz="0" w:space="0" w:color="auto"/>
        <w:left w:val="none" w:sz="0" w:space="0" w:color="auto"/>
        <w:bottom w:val="none" w:sz="0" w:space="0" w:color="auto"/>
        <w:right w:val="none" w:sz="0" w:space="0" w:color="auto"/>
      </w:divBdr>
    </w:div>
    <w:div w:id="1955595137">
      <w:bodyDiv w:val="1"/>
      <w:marLeft w:val="0"/>
      <w:marRight w:val="0"/>
      <w:marTop w:val="0"/>
      <w:marBottom w:val="0"/>
      <w:divBdr>
        <w:top w:val="none" w:sz="0" w:space="0" w:color="auto"/>
        <w:left w:val="none" w:sz="0" w:space="0" w:color="auto"/>
        <w:bottom w:val="none" w:sz="0" w:space="0" w:color="auto"/>
        <w:right w:val="none" w:sz="0" w:space="0" w:color="auto"/>
      </w:divBdr>
    </w:div>
    <w:div w:id="1987204165">
      <w:bodyDiv w:val="1"/>
      <w:marLeft w:val="0"/>
      <w:marRight w:val="0"/>
      <w:marTop w:val="0"/>
      <w:marBottom w:val="0"/>
      <w:divBdr>
        <w:top w:val="none" w:sz="0" w:space="0" w:color="auto"/>
        <w:left w:val="none" w:sz="0" w:space="0" w:color="auto"/>
        <w:bottom w:val="none" w:sz="0" w:space="0" w:color="auto"/>
        <w:right w:val="none" w:sz="0" w:space="0" w:color="auto"/>
      </w:divBdr>
    </w:div>
    <w:div w:id="20131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0B2E-9742-4AC8-BADF-1C02CA72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25333</Words>
  <Characters>144402</Characters>
  <Application>Microsoft Office Word</Application>
  <DocSecurity>0</DocSecurity>
  <Lines>1203</Lines>
  <Paragraphs>338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FN Brno</Company>
  <LinksUpToDate>false</LinksUpToDate>
  <CharactersWithSpaces>169397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3</cp:revision>
  <cp:lastPrinted>2020-04-13T09:03:00Z</cp:lastPrinted>
  <dcterms:created xsi:type="dcterms:W3CDTF">2020-06-30T18:53:00Z</dcterms:created>
  <dcterms:modified xsi:type="dcterms:W3CDTF">2020-07-14T03:53:00Z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id="bFFhgLmz"/&gt;&lt;style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ies>
</file>