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25" w:rsidRPr="002B2C64" w:rsidRDefault="00BC3725" w:rsidP="0083105B">
      <w:pPr>
        <w:adjustRightInd w:val="0"/>
        <w:snapToGrid w:val="0"/>
        <w:spacing w:after="0" w:line="360" w:lineRule="auto"/>
        <w:jc w:val="both"/>
        <w:rPr>
          <w:rFonts w:ascii="Book Antiqua" w:hAnsi="Book Antiqua"/>
          <w:b/>
          <w:bCs/>
          <w:sz w:val="24"/>
          <w:szCs w:val="24"/>
        </w:rPr>
      </w:pPr>
      <w:r w:rsidRPr="002B2C64">
        <w:rPr>
          <w:rFonts w:ascii="Book Antiqua" w:hAnsi="Book Antiqua"/>
          <w:b/>
          <w:bCs/>
          <w:sz w:val="24"/>
          <w:szCs w:val="24"/>
        </w:rPr>
        <w:t xml:space="preserve">Name of Journal: </w:t>
      </w:r>
      <w:r w:rsidRPr="002B2C64">
        <w:rPr>
          <w:rFonts w:ascii="Book Antiqua" w:hAnsi="Book Antiqua"/>
          <w:bCs/>
          <w:i/>
          <w:iCs/>
          <w:sz w:val="24"/>
          <w:szCs w:val="24"/>
        </w:rPr>
        <w:t>World Journal of Gastroenterology</w:t>
      </w:r>
    </w:p>
    <w:p w:rsidR="00BC3725" w:rsidRPr="002B2C64" w:rsidRDefault="00BC3725" w:rsidP="0083105B">
      <w:pPr>
        <w:adjustRightInd w:val="0"/>
        <w:snapToGrid w:val="0"/>
        <w:spacing w:after="0" w:line="360" w:lineRule="auto"/>
        <w:jc w:val="both"/>
        <w:rPr>
          <w:rFonts w:ascii="Book Antiqua" w:hAnsi="Book Antiqua"/>
          <w:b/>
          <w:bCs/>
          <w:sz w:val="24"/>
          <w:szCs w:val="24"/>
        </w:rPr>
      </w:pPr>
      <w:r w:rsidRPr="002B2C64">
        <w:rPr>
          <w:rFonts w:ascii="Book Antiqua" w:eastAsia="Times New Roman" w:hAnsi="Book Antiqua"/>
          <w:b/>
          <w:bCs/>
          <w:color w:val="222222"/>
          <w:sz w:val="24"/>
          <w:szCs w:val="24"/>
          <w:lang w:val="hu-HU"/>
        </w:rPr>
        <w:t>Manuscript NO</w:t>
      </w:r>
      <w:r w:rsidRPr="002B2C64">
        <w:rPr>
          <w:rFonts w:ascii="Book Antiqua" w:hAnsi="Book Antiqua" w:cs="Arial"/>
          <w:b/>
          <w:color w:val="000000"/>
          <w:sz w:val="24"/>
          <w:szCs w:val="24"/>
          <w:lang w:val="en"/>
        </w:rPr>
        <w:t xml:space="preserve">: </w:t>
      </w:r>
      <w:r w:rsidRPr="002B2C64">
        <w:rPr>
          <w:rFonts w:ascii="Book Antiqua" w:hAnsi="Book Antiqua" w:cs="Arial"/>
          <w:bCs/>
          <w:color w:val="000000"/>
          <w:sz w:val="24"/>
          <w:szCs w:val="24"/>
          <w:lang w:val="en" w:eastAsia="zh-CN"/>
        </w:rPr>
        <w:t>54827</w:t>
      </w:r>
    </w:p>
    <w:p w:rsidR="00BC3725" w:rsidRPr="002B2C64" w:rsidRDefault="00BC3725" w:rsidP="0083105B">
      <w:pPr>
        <w:adjustRightInd w:val="0"/>
        <w:snapToGrid w:val="0"/>
        <w:spacing w:after="0" w:line="360" w:lineRule="auto"/>
        <w:jc w:val="both"/>
        <w:rPr>
          <w:rFonts w:ascii="Book Antiqua" w:hAnsi="Book Antiqua"/>
          <w:bCs/>
          <w:sz w:val="24"/>
          <w:szCs w:val="24"/>
        </w:rPr>
      </w:pPr>
      <w:r w:rsidRPr="002B2C64">
        <w:rPr>
          <w:rFonts w:ascii="Book Antiqua" w:hAnsi="Book Antiqua"/>
          <w:b/>
          <w:bCs/>
          <w:sz w:val="24"/>
          <w:szCs w:val="24"/>
        </w:rPr>
        <w:t xml:space="preserve">Manuscript Type: </w:t>
      </w:r>
      <w:r w:rsidRPr="002B2C64">
        <w:rPr>
          <w:rFonts w:ascii="Book Antiqua" w:hAnsi="Book Antiqua"/>
          <w:sz w:val="24"/>
          <w:szCs w:val="24"/>
        </w:rPr>
        <w:t>ORIGINAL ARTICLE</w:t>
      </w:r>
    </w:p>
    <w:p w:rsidR="005C2843" w:rsidRPr="002B2C64" w:rsidRDefault="005C2843" w:rsidP="0083105B">
      <w:pPr>
        <w:snapToGrid w:val="0"/>
        <w:spacing w:after="0" w:line="360" w:lineRule="auto"/>
        <w:jc w:val="both"/>
        <w:rPr>
          <w:rFonts w:ascii="Book Antiqua" w:hAnsi="Book Antiqua"/>
          <w:b/>
          <w:i/>
          <w:sz w:val="24"/>
          <w:szCs w:val="24"/>
          <w:lang w:val="en-GB"/>
        </w:rPr>
      </w:pPr>
    </w:p>
    <w:p w:rsidR="009F54CF" w:rsidRPr="002B2C64" w:rsidRDefault="009F54CF" w:rsidP="0083105B">
      <w:pPr>
        <w:snapToGrid w:val="0"/>
        <w:spacing w:after="0" w:line="360" w:lineRule="auto"/>
        <w:jc w:val="both"/>
        <w:rPr>
          <w:rFonts w:ascii="Book Antiqua" w:hAnsi="Book Antiqua"/>
          <w:b/>
          <w:i/>
          <w:sz w:val="24"/>
          <w:szCs w:val="24"/>
          <w:lang w:val="en-GB"/>
        </w:rPr>
      </w:pPr>
      <w:r w:rsidRPr="002B2C64">
        <w:rPr>
          <w:rFonts w:ascii="Book Antiqua" w:hAnsi="Book Antiqua"/>
          <w:b/>
          <w:i/>
          <w:sz w:val="24"/>
          <w:szCs w:val="24"/>
          <w:lang w:val="en-GB"/>
        </w:rPr>
        <w:t>Retrospective Study</w:t>
      </w:r>
    </w:p>
    <w:p w:rsidR="009F54CF" w:rsidRPr="002B2C64" w:rsidRDefault="00B10D7D" w:rsidP="0083105B">
      <w:pPr>
        <w:snapToGrid w:val="0"/>
        <w:spacing w:after="0" w:line="360" w:lineRule="auto"/>
        <w:jc w:val="both"/>
        <w:rPr>
          <w:rFonts w:ascii="Book Antiqua" w:hAnsi="Book Antiqua"/>
          <w:b/>
          <w:sz w:val="24"/>
          <w:szCs w:val="24"/>
          <w:lang w:val="en-GB"/>
        </w:rPr>
      </w:pPr>
      <w:bookmarkStart w:id="0" w:name="OLE_LINK11"/>
      <w:r w:rsidRPr="002B2C64">
        <w:rPr>
          <w:rFonts w:ascii="Book Antiqua" w:hAnsi="Book Antiqua"/>
          <w:b/>
          <w:sz w:val="24"/>
          <w:szCs w:val="24"/>
          <w:lang w:val="en-GB"/>
        </w:rPr>
        <w:t xml:space="preserve">Monocyte-to-lymphocyte ratio as a prognostic factor in </w:t>
      </w:r>
      <w:r w:rsidR="00673748" w:rsidRPr="002B2C64">
        <w:rPr>
          <w:rFonts w:ascii="Book Antiqua" w:hAnsi="Book Antiqua"/>
          <w:b/>
          <w:sz w:val="24"/>
          <w:szCs w:val="24"/>
          <w:lang w:val="en-GB"/>
        </w:rPr>
        <w:t xml:space="preserve">peripheral whole </w:t>
      </w:r>
      <w:r w:rsidR="008861F6" w:rsidRPr="002B2C64">
        <w:rPr>
          <w:rFonts w:ascii="Book Antiqua" w:hAnsi="Book Antiqua"/>
          <w:b/>
          <w:sz w:val="24"/>
          <w:szCs w:val="24"/>
          <w:lang w:val="en-GB"/>
        </w:rPr>
        <w:t>blood samples of colorectal cancer patients</w:t>
      </w:r>
    </w:p>
    <w:bookmarkEnd w:id="0"/>
    <w:p w:rsidR="00BC3725" w:rsidRPr="002B2C64" w:rsidRDefault="00BC3725" w:rsidP="0083105B">
      <w:pPr>
        <w:snapToGrid w:val="0"/>
        <w:spacing w:after="0" w:line="360" w:lineRule="auto"/>
        <w:jc w:val="both"/>
        <w:rPr>
          <w:rFonts w:ascii="Book Antiqua" w:hAnsi="Book Antiqua"/>
          <w:b/>
          <w:sz w:val="24"/>
          <w:szCs w:val="24"/>
          <w:lang w:val="en-GB"/>
        </w:rPr>
      </w:pPr>
    </w:p>
    <w:p w:rsidR="008861F6" w:rsidRPr="002B2C64" w:rsidRDefault="009F54CF" w:rsidP="0083105B">
      <w:pPr>
        <w:snapToGrid w:val="0"/>
        <w:spacing w:after="0" w:line="360" w:lineRule="auto"/>
        <w:jc w:val="both"/>
        <w:rPr>
          <w:rFonts w:ascii="Book Antiqua" w:hAnsi="Book Antiqua"/>
          <w:iCs/>
          <w:sz w:val="24"/>
          <w:szCs w:val="24"/>
        </w:rPr>
      </w:pPr>
      <w:r w:rsidRPr="002B2C64">
        <w:rPr>
          <w:rFonts w:ascii="Book Antiqua" w:hAnsi="Book Antiqua"/>
          <w:sz w:val="24"/>
          <w:szCs w:val="24"/>
        </w:rPr>
        <w:t>Jakubowska K</w:t>
      </w:r>
      <w:r w:rsidRPr="002B2C64">
        <w:rPr>
          <w:rFonts w:ascii="Book Antiqua" w:hAnsi="Book Antiqua"/>
          <w:i/>
          <w:sz w:val="24"/>
          <w:szCs w:val="24"/>
        </w:rPr>
        <w:t xml:space="preserve"> et al. </w:t>
      </w:r>
      <w:bookmarkStart w:id="1" w:name="OLE_LINK7"/>
      <w:r w:rsidRPr="002B2C64">
        <w:rPr>
          <w:rFonts w:ascii="Book Antiqua" w:hAnsi="Book Antiqua"/>
          <w:iCs/>
          <w:sz w:val="24"/>
          <w:szCs w:val="24"/>
        </w:rPr>
        <w:t>MLR in blood samples of CRC patients</w:t>
      </w:r>
      <w:bookmarkEnd w:id="1"/>
    </w:p>
    <w:p w:rsidR="009B66AD" w:rsidRPr="002B2C64" w:rsidRDefault="009B66AD" w:rsidP="0083105B">
      <w:pPr>
        <w:snapToGrid w:val="0"/>
        <w:spacing w:after="0" w:line="360" w:lineRule="auto"/>
        <w:jc w:val="both"/>
        <w:rPr>
          <w:rFonts w:ascii="Book Antiqua" w:hAnsi="Book Antiqua"/>
          <w:i/>
          <w:sz w:val="24"/>
          <w:szCs w:val="24"/>
        </w:rPr>
      </w:pPr>
    </w:p>
    <w:p w:rsidR="00570F88" w:rsidRPr="002B2C64" w:rsidRDefault="00F158C3" w:rsidP="0083105B">
      <w:pPr>
        <w:snapToGrid w:val="0"/>
        <w:spacing w:after="0" w:line="360" w:lineRule="auto"/>
        <w:jc w:val="both"/>
        <w:rPr>
          <w:rFonts w:ascii="Book Antiqua" w:hAnsi="Book Antiqua"/>
          <w:bCs/>
          <w:sz w:val="24"/>
          <w:szCs w:val="24"/>
          <w:lang w:val="pl-PL"/>
        </w:rPr>
      </w:pPr>
      <w:r w:rsidRPr="002B2C64">
        <w:rPr>
          <w:rFonts w:ascii="Book Antiqua" w:hAnsi="Book Antiqua"/>
          <w:bCs/>
          <w:sz w:val="24"/>
          <w:szCs w:val="24"/>
          <w:lang w:val="pl-PL"/>
        </w:rPr>
        <w:t>Katarzyna Jakubowska</w:t>
      </w:r>
      <w:r w:rsidR="00570F88" w:rsidRPr="002B2C64">
        <w:rPr>
          <w:rFonts w:ascii="Book Antiqua" w:hAnsi="Book Antiqua"/>
          <w:bCs/>
          <w:sz w:val="24"/>
          <w:szCs w:val="24"/>
          <w:lang w:val="pl-PL"/>
        </w:rPr>
        <w:t xml:space="preserve">, </w:t>
      </w:r>
      <w:r w:rsidRPr="002B2C64">
        <w:rPr>
          <w:rFonts w:ascii="Book Antiqua" w:hAnsi="Book Antiqua"/>
          <w:bCs/>
          <w:sz w:val="24"/>
          <w:szCs w:val="24"/>
          <w:lang w:val="pl-PL"/>
        </w:rPr>
        <w:t xml:space="preserve">Mariusz Koda, </w:t>
      </w:r>
      <w:r w:rsidR="00116578" w:rsidRPr="002B2C64">
        <w:rPr>
          <w:rFonts w:ascii="Book Antiqua" w:hAnsi="Book Antiqua"/>
          <w:bCs/>
          <w:sz w:val="24"/>
          <w:szCs w:val="24"/>
          <w:lang w:val="pl-PL"/>
        </w:rPr>
        <w:t xml:space="preserve">Małgorzata Grudzińska, </w:t>
      </w:r>
      <w:r w:rsidR="002D2F6B" w:rsidRPr="002B2C64">
        <w:rPr>
          <w:rFonts w:ascii="Book Antiqua" w:hAnsi="Book Antiqua"/>
          <w:bCs/>
          <w:sz w:val="24"/>
          <w:szCs w:val="24"/>
          <w:lang w:val="pl-PL"/>
        </w:rPr>
        <w:t xml:space="preserve">Luiza </w:t>
      </w:r>
      <w:bookmarkStart w:id="2" w:name="OLE_LINK10"/>
      <w:bookmarkStart w:id="3" w:name="OLE_LINK15"/>
      <w:r w:rsidR="002D2F6B" w:rsidRPr="002B2C64">
        <w:rPr>
          <w:rFonts w:ascii="Book Antiqua" w:hAnsi="Book Antiqua"/>
          <w:bCs/>
          <w:sz w:val="24"/>
          <w:szCs w:val="24"/>
          <w:lang w:val="pl-PL"/>
        </w:rPr>
        <w:t>Kańczuga-Koda</w:t>
      </w:r>
      <w:bookmarkEnd w:id="2"/>
      <w:bookmarkEnd w:id="3"/>
      <w:r w:rsidR="002D2F6B" w:rsidRPr="002B2C64">
        <w:rPr>
          <w:rFonts w:ascii="Book Antiqua" w:hAnsi="Book Antiqua"/>
          <w:bCs/>
          <w:sz w:val="24"/>
          <w:szCs w:val="24"/>
          <w:lang w:val="pl-PL"/>
        </w:rPr>
        <w:t xml:space="preserve">, </w:t>
      </w:r>
      <w:r w:rsidR="00116578" w:rsidRPr="002B2C64">
        <w:rPr>
          <w:rFonts w:ascii="Book Antiqua" w:hAnsi="Book Antiqua"/>
          <w:bCs/>
          <w:sz w:val="24"/>
          <w:szCs w:val="24"/>
          <w:lang w:val="pl-PL"/>
        </w:rPr>
        <w:t>Waldemar Famulski</w:t>
      </w:r>
    </w:p>
    <w:p w:rsidR="008861F6" w:rsidRPr="002B2C64" w:rsidRDefault="008861F6" w:rsidP="0083105B">
      <w:pPr>
        <w:snapToGrid w:val="0"/>
        <w:spacing w:after="0" w:line="360" w:lineRule="auto"/>
        <w:jc w:val="both"/>
        <w:rPr>
          <w:rFonts w:ascii="Book Antiqua" w:hAnsi="Book Antiqua"/>
          <w:sz w:val="24"/>
          <w:szCs w:val="24"/>
          <w:vertAlign w:val="superscript"/>
          <w:lang w:val="pl-PL"/>
        </w:rPr>
      </w:pPr>
    </w:p>
    <w:p w:rsidR="00570F88" w:rsidRPr="002B2C64" w:rsidRDefault="00570F88" w:rsidP="0083105B">
      <w:pPr>
        <w:snapToGrid w:val="0"/>
        <w:spacing w:after="0" w:line="360" w:lineRule="auto"/>
        <w:jc w:val="both"/>
        <w:rPr>
          <w:rFonts w:ascii="Book Antiqua" w:hAnsi="Book Antiqua"/>
          <w:sz w:val="24"/>
          <w:szCs w:val="24"/>
        </w:rPr>
      </w:pPr>
      <w:r w:rsidRPr="002B2C64">
        <w:rPr>
          <w:rFonts w:ascii="Book Antiqua" w:hAnsi="Book Antiqua"/>
          <w:b/>
          <w:sz w:val="24"/>
          <w:szCs w:val="24"/>
        </w:rPr>
        <w:t>Katarzyna Jakubowska, Luiza Kańczuga-Koda</w:t>
      </w:r>
      <w:r w:rsidR="00BC3725" w:rsidRPr="002B2C64">
        <w:rPr>
          <w:rFonts w:ascii="Book Antiqua" w:hAnsi="Book Antiqua"/>
          <w:b/>
          <w:sz w:val="24"/>
          <w:szCs w:val="24"/>
          <w:lang w:eastAsia="zh-CN"/>
        </w:rPr>
        <w:t>,</w:t>
      </w:r>
      <w:r w:rsidRPr="002B2C64">
        <w:rPr>
          <w:rFonts w:ascii="Book Antiqua" w:hAnsi="Book Antiqua"/>
          <w:b/>
          <w:sz w:val="24"/>
          <w:szCs w:val="24"/>
        </w:rPr>
        <w:t xml:space="preserve"> </w:t>
      </w:r>
      <w:r w:rsidRPr="002B2C64">
        <w:rPr>
          <w:rFonts w:ascii="Book Antiqua" w:hAnsi="Book Antiqua"/>
          <w:sz w:val="24"/>
          <w:szCs w:val="24"/>
        </w:rPr>
        <w:t>Department of Pathomorphology, Comprehensive Cancer Centre, Bialystok</w:t>
      </w:r>
      <w:r w:rsidR="008267E9" w:rsidRPr="002B2C64">
        <w:rPr>
          <w:rFonts w:ascii="Book Antiqua" w:hAnsi="Book Antiqua"/>
          <w:sz w:val="24"/>
          <w:szCs w:val="24"/>
        </w:rPr>
        <w:t xml:space="preserve"> 15027</w:t>
      </w:r>
      <w:r w:rsidRPr="002B2C64">
        <w:rPr>
          <w:rFonts w:ascii="Book Antiqua" w:hAnsi="Book Antiqua"/>
          <w:sz w:val="24"/>
          <w:szCs w:val="24"/>
        </w:rPr>
        <w:t xml:space="preserve">, Poland </w:t>
      </w:r>
    </w:p>
    <w:p w:rsidR="008267E9" w:rsidRPr="002B2C64" w:rsidRDefault="008267E9" w:rsidP="0083105B">
      <w:pPr>
        <w:snapToGrid w:val="0"/>
        <w:spacing w:after="0" w:line="360" w:lineRule="auto"/>
        <w:jc w:val="both"/>
        <w:rPr>
          <w:rFonts w:ascii="Book Antiqua" w:hAnsi="Book Antiqua"/>
          <w:b/>
          <w:sz w:val="24"/>
          <w:szCs w:val="24"/>
        </w:rPr>
      </w:pPr>
    </w:p>
    <w:p w:rsidR="00570F88" w:rsidRPr="002B2C64" w:rsidRDefault="00570F88" w:rsidP="0083105B">
      <w:pPr>
        <w:snapToGrid w:val="0"/>
        <w:spacing w:after="0" w:line="360" w:lineRule="auto"/>
        <w:jc w:val="both"/>
        <w:rPr>
          <w:rFonts w:ascii="Book Antiqua" w:hAnsi="Book Antiqua"/>
          <w:sz w:val="24"/>
          <w:szCs w:val="24"/>
          <w:lang w:val="en-GB"/>
        </w:rPr>
      </w:pPr>
      <w:r w:rsidRPr="002B2C64">
        <w:rPr>
          <w:rFonts w:ascii="Book Antiqua" w:hAnsi="Book Antiqua"/>
          <w:b/>
          <w:sz w:val="24"/>
          <w:szCs w:val="24"/>
        </w:rPr>
        <w:t>Mariusz Koda, Małgorzata Grudzińska</w:t>
      </w:r>
      <w:r w:rsidR="00BC3725" w:rsidRPr="002B2C64">
        <w:rPr>
          <w:rFonts w:ascii="Book Antiqua" w:hAnsi="Book Antiqua"/>
          <w:b/>
          <w:sz w:val="24"/>
          <w:szCs w:val="24"/>
        </w:rPr>
        <w:t>,</w:t>
      </w:r>
      <w:r w:rsidRPr="002B2C64">
        <w:rPr>
          <w:rFonts w:ascii="Book Antiqua" w:hAnsi="Book Antiqua"/>
          <w:b/>
          <w:sz w:val="24"/>
          <w:szCs w:val="24"/>
        </w:rPr>
        <w:t xml:space="preserve"> </w:t>
      </w:r>
      <w:r w:rsidRPr="002B2C64">
        <w:rPr>
          <w:rFonts w:ascii="Book Antiqua" w:hAnsi="Book Antiqua"/>
          <w:sz w:val="24"/>
          <w:szCs w:val="24"/>
          <w:lang w:val="en-GB"/>
        </w:rPr>
        <w:t>Department of General Pathomorphology, Medical University of Bialystok, Bialystok</w:t>
      </w:r>
      <w:r w:rsidR="008267E9" w:rsidRPr="002B2C64">
        <w:rPr>
          <w:rFonts w:ascii="Book Antiqua" w:hAnsi="Book Antiqua"/>
          <w:sz w:val="24"/>
          <w:szCs w:val="24"/>
          <w:lang w:val="en-GB"/>
        </w:rPr>
        <w:t xml:space="preserve"> 15027</w:t>
      </w:r>
      <w:r w:rsidRPr="002B2C64">
        <w:rPr>
          <w:rFonts w:ascii="Book Antiqua" w:hAnsi="Book Antiqua"/>
          <w:sz w:val="24"/>
          <w:szCs w:val="24"/>
          <w:lang w:val="en-GB"/>
        </w:rPr>
        <w:t>, Poland</w:t>
      </w:r>
    </w:p>
    <w:p w:rsidR="008267E9" w:rsidRPr="002B2C64" w:rsidRDefault="008267E9" w:rsidP="0083105B">
      <w:pPr>
        <w:snapToGrid w:val="0"/>
        <w:spacing w:after="0" w:line="360" w:lineRule="auto"/>
        <w:jc w:val="both"/>
        <w:rPr>
          <w:rFonts w:ascii="Book Antiqua" w:hAnsi="Book Antiqua"/>
          <w:b/>
          <w:sz w:val="24"/>
          <w:szCs w:val="24"/>
          <w:lang w:val="en-GB"/>
        </w:rPr>
      </w:pPr>
    </w:p>
    <w:p w:rsidR="00570F88" w:rsidRPr="002B2C64" w:rsidRDefault="00570F88" w:rsidP="0083105B">
      <w:pPr>
        <w:snapToGrid w:val="0"/>
        <w:spacing w:after="0" w:line="360" w:lineRule="auto"/>
        <w:jc w:val="both"/>
        <w:rPr>
          <w:rFonts w:ascii="Book Antiqua" w:hAnsi="Book Antiqua"/>
          <w:sz w:val="24"/>
          <w:szCs w:val="24"/>
          <w:lang w:val="en-GB"/>
        </w:rPr>
      </w:pPr>
      <w:r w:rsidRPr="002B2C64">
        <w:rPr>
          <w:rFonts w:ascii="Book Antiqua" w:hAnsi="Book Antiqua"/>
          <w:b/>
          <w:sz w:val="24"/>
          <w:szCs w:val="24"/>
        </w:rPr>
        <w:t>Waldemar Famulski</w:t>
      </w:r>
      <w:r w:rsidR="00BC3725" w:rsidRPr="002B2C64">
        <w:rPr>
          <w:rFonts w:ascii="Book Antiqua" w:hAnsi="Book Antiqua"/>
          <w:b/>
          <w:sz w:val="24"/>
          <w:szCs w:val="24"/>
        </w:rPr>
        <w:t>,</w:t>
      </w:r>
      <w:r w:rsidRPr="002B2C64">
        <w:rPr>
          <w:rFonts w:ascii="Book Antiqua" w:hAnsi="Book Antiqua"/>
          <w:b/>
          <w:sz w:val="24"/>
          <w:szCs w:val="24"/>
        </w:rPr>
        <w:t xml:space="preserve"> </w:t>
      </w:r>
      <w:r w:rsidRPr="002B2C64">
        <w:rPr>
          <w:rFonts w:ascii="Book Antiqua" w:hAnsi="Book Antiqua"/>
          <w:sz w:val="24"/>
          <w:szCs w:val="24"/>
          <w:lang w:val="en-GB"/>
        </w:rPr>
        <w:t>Department of Medical Pathomorphology, Medical University of Bialystok, Bialystok</w:t>
      </w:r>
      <w:r w:rsidR="008267E9" w:rsidRPr="002B2C64">
        <w:rPr>
          <w:rFonts w:ascii="Book Antiqua" w:hAnsi="Book Antiqua"/>
          <w:sz w:val="24"/>
          <w:szCs w:val="24"/>
          <w:lang w:val="en-GB"/>
        </w:rPr>
        <w:t xml:space="preserve"> 15027</w:t>
      </w:r>
      <w:r w:rsidRPr="002B2C64">
        <w:rPr>
          <w:rFonts w:ascii="Book Antiqua" w:hAnsi="Book Antiqua"/>
          <w:sz w:val="24"/>
          <w:szCs w:val="24"/>
          <w:lang w:val="en-GB"/>
        </w:rPr>
        <w:t>, Poland</w:t>
      </w:r>
    </w:p>
    <w:p w:rsidR="00570F88" w:rsidRPr="002B2C64" w:rsidRDefault="00570F88" w:rsidP="0083105B">
      <w:pPr>
        <w:snapToGrid w:val="0"/>
        <w:spacing w:after="0" w:line="360" w:lineRule="auto"/>
        <w:jc w:val="both"/>
        <w:rPr>
          <w:rFonts w:ascii="Book Antiqua" w:hAnsi="Book Antiqua"/>
          <w:sz w:val="24"/>
          <w:szCs w:val="24"/>
          <w:vertAlign w:val="superscript"/>
        </w:rPr>
      </w:pPr>
    </w:p>
    <w:p w:rsidR="00343258" w:rsidRPr="002B2C64" w:rsidRDefault="00BC3725" w:rsidP="0083105B">
      <w:pPr>
        <w:snapToGrid w:val="0"/>
        <w:spacing w:after="0" w:line="360" w:lineRule="auto"/>
        <w:jc w:val="both"/>
        <w:rPr>
          <w:rFonts w:ascii="Book Antiqua" w:hAnsi="Book Antiqua"/>
          <w:sz w:val="24"/>
          <w:szCs w:val="24"/>
          <w:lang w:val="en-GB"/>
        </w:rPr>
      </w:pPr>
      <w:bookmarkStart w:id="4" w:name="_Hlk44794165"/>
      <w:r w:rsidRPr="002B2C64">
        <w:rPr>
          <w:rFonts w:ascii="Book Antiqua" w:hAnsi="Book Antiqua"/>
          <w:b/>
          <w:color w:val="000000"/>
          <w:sz w:val="24"/>
          <w:szCs w:val="24"/>
          <w:lang w:val="en-GB"/>
        </w:rPr>
        <w:t>Author contributions:</w:t>
      </w:r>
      <w:bookmarkEnd w:id="4"/>
      <w:r w:rsidRPr="002B2C64">
        <w:rPr>
          <w:rFonts w:ascii="Book Antiqua" w:hAnsi="Book Antiqua"/>
          <w:b/>
          <w:color w:val="000000"/>
          <w:sz w:val="24"/>
          <w:szCs w:val="24"/>
          <w:lang w:val="en-GB"/>
        </w:rPr>
        <w:t xml:space="preserve"> </w:t>
      </w:r>
      <w:r w:rsidR="004319B5" w:rsidRPr="002B2C64">
        <w:rPr>
          <w:rFonts w:ascii="Book Antiqua" w:hAnsi="Book Antiqua"/>
          <w:sz w:val="24"/>
          <w:szCs w:val="24"/>
          <w:lang w:val="en-GB"/>
        </w:rPr>
        <w:t xml:space="preserve">Jakubowska K collected </w:t>
      </w:r>
      <w:r w:rsidR="00501A69" w:rsidRPr="002B2C64">
        <w:rPr>
          <w:rFonts w:ascii="Book Antiqua" w:hAnsi="Book Antiqua"/>
          <w:sz w:val="24"/>
          <w:szCs w:val="24"/>
          <w:lang w:val="en-GB"/>
        </w:rPr>
        <w:t>and analy</w:t>
      </w:r>
      <w:r w:rsidR="009B4998" w:rsidRPr="002B2C64">
        <w:rPr>
          <w:rFonts w:ascii="Book Antiqua" w:hAnsi="Book Antiqua"/>
          <w:sz w:val="24"/>
          <w:szCs w:val="24"/>
          <w:lang w:val="en-GB"/>
        </w:rPr>
        <w:t>s</w:t>
      </w:r>
      <w:r w:rsidR="00501A69" w:rsidRPr="002B2C64">
        <w:rPr>
          <w:rFonts w:ascii="Book Antiqua" w:hAnsi="Book Antiqua"/>
          <w:sz w:val="24"/>
          <w:szCs w:val="24"/>
          <w:lang w:val="en-GB"/>
        </w:rPr>
        <w:t>ed the</w:t>
      </w:r>
      <w:r w:rsidR="004319B5" w:rsidRPr="002B2C64">
        <w:rPr>
          <w:rFonts w:ascii="Book Antiqua" w:hAnsi="Book Antiqua"/>
          <w:sz w:val="24"/>
          <w:szCs w:val="24"/>
          <w:lang w:val="en-GB"/>
        </w:rPr>
        <w:t xml:space="preserve"> data, </w:t>
      </w:r>
      <w:r w:rsidR="00A65729" w:rsidRPr="002B2C64">
        <w:rPr>
          <w:rFonts w:ascii="Book Antiqua" w:hAnsi="Book Antiqua"/>
          <w:sz w:val="24"/>
          <w:szCs w:val="24"/>
          <w:lang w:val="en-GB"/>
        </w:rPr>
        <w:t>reviewed the literature, acquired the data and contributed to manuscript drafting; Koda M analy</w:t>
      </w:r>
      <w:r w:rsidR="009B4998" w:rsidRPr="002B2C64">
        <w:rPr>
          <w:rFonts w:ascii="Book Antiqua" w:hAnsi="Book Antiqua"/>
          <w:sz w:val="24"/>
          <w:szCs w:val="24"/>
          <w:lang w:val="en-GB"/>
        </w:rPr>
        <w:t>s</w:t>
      </w:r>
      <w:r w:rsidR="00A65729" w:rsidRPr="002B2C64">
        <w:rPr>
          <w:rFonts w:ascii="Book Antiqua" w:hAnsi="Book Antiqua"/>
          <w:sz w:val="24"/>
          <w:szCs w:val="24"/>
          <w:lang w:val="en-GB"/>
        </w:rPr>
        <w:t xml:space="preserve">ed and interpreted the pathological </w:t>
      </w:r>
      <w:r w:rsidR="004319B5" w:rsidRPr="002B2C64">
        <w:rPr>
          <w:rFonts w:ascii="Book Antiqua" w:hAnsi="Book Antiqua"/>
          <w:sz w:val="24"/>
          <w:szCs w:val="24"/>
          <w:lang w:val="en-GB"/>
        </w:rPr>
        <w:t>examination</w:t>
      </w:r>
      <w:r w:rsidR="002F0844" w:rsidRPr="002B2C64">
        <w:rPr>
          <w:rFonts w:ascii="Book Antiqua" w:hAnsi="Book Antiqua"/>
          <w:sz w:val="24"/>
          <w:szCs w:val="24"/>
          <w:lang w:val="en-GB"/>
        </w:rPr>
        <w:t>s;</w:t>
      </w:r>
      <w:r w:rsidR="004319B5" w:rsidRPr="002B2C64">
        <w:rPr>
          <w:rFonts w:ascii="Book Antiqua" w:hAnsi="Book Antiqua"/>
          <w:sz w:val="24"/>
          <w:szCs w:val="24"/>
          <w:lang w:val="en-GB"/>
        </w:rPr>
        <w:t xml:space="preserve"> Famulski W and Kańczuga-Koda L </w:t>
      </w:r>
      <w:r w:rsidR="00C252AF" w:rsidRPr="002B2C64">
        <w:rPr>
          <w:rFonts w:ascii="Book Antiqua" w:hAnsi="Book Antiqua"/>
          <w:sz w:val="24"/>
          <w:szCs w:val="24"/>
          <w:lang w:val="en-GB"/>
        </w:rPr>
        <w:t>collected data; Grudzińska M reviewed the literature, acquired the data and contributed to manuscript drafting</w:t>
      </w:r>
      <w:r w:rsidR="00F61DB1" w:rsidRPr="002B2C64">
        <w:rPr>
          <w:rFonts w:ascii="Book Antiqua" w:hAnsi="Book Antiqua"/>
          <w:sz w:val="24"/>
          <w:szCs w:val="24"/>
          <w:lang w:val="en-GB"/>
        </w:rPr>
        <w:t>; a</w:t>
      </w:r>
      <w:r w:rsidR="00343258" w:rsidRPr="002B2C64">
        <w:rPr>
          <w:rFonts w:ascii="Book Antiqua" w:hAnsi="Book Antiqua"/>
          <w:sz w:val="24"/>
          <w:szCs w:val="24"/>
          <w:lang w:val="en-GB"/>
        </w:rPr>
        <w:t>ll authors issued final approval for the version to be submitted.</w:t>
      </w:r>
    </w:p>
    <w:p w:rsidR="00AC049B" w:rsidRPr="002B2C64" w:rsidRDefault="00AC049B" w:rsidP="0083105B">
      <w:pPr>
        <w:snapToGrid w:val="0"/>
        <w:spacing w:after="0" w:line="360" w:lineRule="auto"/>
        <w:jc w:val="both"/>
        <w:rPr>
          <w:rFonts w:ascii="Book Antiqua" w:hAnsi="Book Antiqua"/>
          <w:sz w:val="24"/>
          <w:szCs w:val="24"/>
          <w:lang w:val="en-GB"/>
        </w:rPr>
      </w:pPr>
    </w:p>
    <w:p w:rsidR="00D45318" w:rsidRPr="002B2C64" w:rsidRDefault="00316FC1" w:rsidP="0083105B">
      <w:pPr>
        <w:snapToGrid w:val="0"/>
        <w:spacing w:after="0" w:line="360" w:lineRule="auto"/>
        <w:jc w:val="both"/>
        <w:rPr>
          <w:rFonts w:ascii="Book Antiqua" w:hAnsi="Book Antiqua"/>
          <w:sz w:val="24"/>
          <w:szCs w:val="24"/>
        </w:rPr>
      </w:pPr>
      <w:r w:rsidRPr="002B2C64">
        <w:rPr>
          <w:rFonts w:ascii="Book Antiqua" w:hAnsi="Book Antiqua"/>
          <w:b/>
          <w:sz w:val="24"/>
          <w:szCs w:val="24"/>
          <w:lang w:val="en-GB"/>
        </w:rPr>
        <w:lastRenderedPageBreak/>
        <w:t xml:space="preserve">Corresponding author: </w:t>
      </w:r>
      <w:r w:rsidR="00D45318" w:rsidRPr="002B2C64">
        <w:rPr>
          <w:rFonts w:ascii="Book Antiqua" w:hAnsi="Book Antiqua"/>
          <w:b/>
          <w:bCs/>
          <w:sz w:val="24"/>
          <w:szCs w:val="24"/>
          <w:lang w:val="en-GB"/>
        </w:rPr>
        <w:t xml:space="preserve">Katarzyna Jakubowska, </w:t>
      </w:r>
      <w:r w:rsidRPr="002B2C64">
        <w:rPr>
          <w:rFonts w:ascii="Book Antiqua" w:hAnsi="Book Antiqua"/>
          <w:b/>
          <w:bCs/>
          <w:sz w:val="24"/>
          <w:szCs w:val="24"/>
          <w:lang w:val="en-GB"/>
        </w:rPr>
        <w:t>PhD,</w:t>
      </w:r>
      <w:r w:rsidR="005B2E97" w:rsidRPr="002B2C64">
        <w:rPr>
          <w:rFonts w:ascii="Book Antiqua" w:hAnsi="Book Antiqua"/>
          <w:sz w:val="24"/>
          <w:szCs w:val="24"/>
        </w:rPr>
        <w:t xml:space="preserve"> </w:t>
      </w:r>
      <w:r w:rsidR="005B2E97" w:rsidRPr="002B2C64">
        <w:rPr>
          <w:rFonts w:ascii="Book Antiqua" w:hAnsi="Book Antiqua"/>
          <w:b/>
          <w:bCs/>
          <w:sz w:val="24"/>
          <w:szCs w:val="24"/>
          <w:lang w:val="en-GB"/>
        </w:rPr>
        <w:t xml:space="preserve">Academic Research, </w:t>
      </w:r>
      <w:r w:rsidR="00D45318" w:rsidRPr="002B2C64">
        <w:rPr>
          <w:rFonts w:ascii="Book Antiqua" w:hAnsi="Book Antiqua"/>
          <w:sz w:val="24"/>
          <w:szCs w:val="24"/>
          <w:lang w:val="en-GB"/>
        </w:rPr>
        <w:t xml:space="preserve">Department of Pathomorphology, </w:t>
      </w:r>
      <w:bookmarkStart w:id="5" w:name="OLE_LINK16"/>
      <w:bookmarkStart w:id="6" w:name="OLE_LINK17"/>
      <w:r w:rsidR="00D45318" w:rsidRPr="002B2C64">
        <w:rPr>
          <w:rFonts w:ascii="Book Antiqua" w:hAnsi="Book Antiqua"/>
          <w:sz w:val="24"/>
          <w:szCs w:val="24"/>
          <w:lang w:val="en-GB"/>
        </w:rPr>
        <w:t xml:space="preserve">Comprehensive Cancer </w:t>
      </w:r>
      <w:r w:rsidR="009C5714" w:rsidRPr="002B2C64">
        <w:rPr>
          <w:rFonts w:ascii="Book Antiqua" w:hAnsi="Book Antiqua"/>
          <w:sz w:val="24"/>
          <w:szCs w:val="24"/>
          <w:lang w:val="en-GB"/>
        </w:rPr>
        <w:t>Centre</w:t>
      </w:r>
      <w:bookmarkEnd w:id="5"/>
      <w:bookmarkEnd w:id="6"/>
      <w:r w:rsidR="00D45318" w:rsidRPr="002B2C64">
        <w:rPr>
          <w:rFonts w:ascii="Book Antiqua" w:hAnsi="Book Antiqua"/>
          <w:sz w:val="24"/>
          <w:szCs w:val="24"/>
          <w:lang w:val="en-GB"/>
        </w:rPr>
        <w:t xml:space="preserve">, </w:t>
      </w:r>
      <w:bookmarkStart w:id="7" w:name="OLE_LINK18"/>
      <w:bookmarkStart w:id="8" w:name="OLE_LINK19"/>
      <w:r w:rsidR="008267E9" w:rsidRPr="002B2C64">
        <w:rPr>
          <w:rFonts w:ascii="Book Antiqua" w:hAnsi="Book Antiqua"/>
          <w:sz w:val="24"/>
          <w:szCs w:val="24"/>
          <w:lang w:val="en-GB"/>
        </w:rPr>
        <w:t xml:space="preserve">No. </w:t>
      </w:r>
      <w:r w:rsidR="00D45318" w:rsidRPr="002B2C64">
        <w:rPr>
          <w:rFonts w:ascii="Book Antiqua" w:hAnsi="Book Antiqua"/>
          <w:sz w:val="24"/>
          <w:szCs w:val="24"/>
          <w:lang w:val="en-GB"/>
        </w:rPr>
        <w:t>12 Ogrodowa Street</w:t>
      </w:r>
      <w:bookmarkEnd w:id="7"/>
      <w:bookmarkEnd w:id="8"/>
      <w:r w:rsidR="00D45318" w:rsidRPr="002B2C64">
        <w:rPr>
          <w:rFonts w:ascii="Book Antiqua" w:hAnsi="Book Antiqua"/>
          <w:sz w:val="24"/>
          <w:szCs w:val="24"/>
          <w:lang w:val="en-GB"/>
        </w:rPr>
        <w:t>, Bialystok</w:t>
      </w:r>
      <w:r w:rsidR="008267E9" w:rsidRPr="002B2C64">
        <w:rPr>
          <w:rFonts w:ascii="Book Antiqua" w:hAnsi="Book Antiqua"/>
          <w:sz w:val="24"/>
          <w:szCs w:val="24"/>
          <w:lang w:val="en-GB"/>
        </w:rPr>
        <w:t xml:space="preserve"> 15027</w:t>
      </w:r>
      <w:r w:rsidR="00D45318" w:rsidRPr="002B2C64">
        <w:rPr>
          <w:rFonts w:ascii="Book Antiqua" w:hAnsi="Book Antiqua"/>
          <w:sz w:val="24"/>
          <w:szCs w:val="24"/>
          <w:lang w:val="en-GB"/>
        </w:rPr>
        <w:t>, Poland</w:t>
      </w:r>
      <w:r w:rsidR="00BC3725" w:rsidRPr="002B2C64">
        <w:rPr>
          <w:rFonts w:ascii="Book Antiqua" w:hAnsi="Book Antiqua"/>
          <w:sz w:val="24"/>
          <w:szCs w:val="24"/>
          <w:lang w:val="en-GB"/>
        </w:rPr>
        <w:t>.</w:t>
      </w:r>
      <w:r w:rsidR="008A696F" w:rsidRPr="002B2C64">
        <w:rPr>
          <w:rFonts w:ascii="Book Antiqua" w:hAnsi="Book Antiqua"/>
          <w:sz w:val="24"/>
          <w:szCs w:val="24"/>
          <w:lang w:val="en-GB"/>
        </w:rPr>
        <w:t xml:space="preserve"> </w:t>
      </w:r>
      <w:hyperlink r:id="rId9" w:history="1">
        <w:r w:rsidR="008A696F" w:rsidRPr="002B2C64">
          <w:rPr>
            <w:rStyle w:val="ad"/>
            <w:rFonts w:ascii="Book Antiqua" w:hAnsi="Book Antiqua"/>
            <w:sz w:val="24"/>
            <w:szCs w:val="24"/>
            <w:lang w:val="en-GB"/>
          </w:rPr>
          <w:t>kathian@wp.pl</w:t>
        </w:r>
      </w:hyperlink>
    </w:p>
    <w:p w:rsidR="008267E9" w:rsidRPr="002B2C64" w:rsidRDefault="008267E9" w:rsidP="0083105B">
      <w:pPr>
        <w:widowControl w:val="0"/>
        <w:adjustRightInd w:val="0"/>
        <w:snapToGrid w:val="0"/>
        <w:spacing w:after="0" w:line="360" w:lineRule="auto"/>
        <w:jc w:val="both"/>
        <w:rPr>
          <w:rFonts w:ascii="Book Antiqua" w:hAnsi="Book Antiqua"/>
          <w:b/>
          <w:kern w:val="2"/>
          <w:sz w:val="24"/>
          <w:szCs w:val="24"/>
          <w:lang w:eastAsia="zh-CN"/>
        </w:rPr>
      </w:pPr>
      <w:bookmarkStart w:id="9" w:name="_Hlk44859249"/>
      <w:bookmarkStart w:id="10" w:name="OLE_LINK75"/>
      <w:bookmarkStart w:id="11" w:name="OLE_LINK76"/>
      <w:bookmarkStart w:id="12" w:name="OLE_LINK269"/>
      <w:bookmarkStart w:id="13" w:name="OLE_LINK239"/>
    </w:p>
    <w:p w:rsidR="00BC3725" w:rsidRPr="002B2C64" w:rsidRDefault="00BC3725" w:rsidP="0083105B">
      <w:pPr>
        <w:widowControl w:val="0"/>
        <w:adjustRightInd w:val="0"/>
        <w:snapToGrid w:val="0"/>
        <w:spacing w:after="0" w:line="360" w:lineRule="auto"/>
        <w:jc w:val="both"/>
        <w:rPr>
          <w:rFonts w:ascii="Book Antiqua" w:hAnsi="Book Antiqua"/>
          <w:kern w:val="2"/>
          <w:sz w:val="24"/>
          <w:szCs w:val="24"/>
          <w:lang w:eastAsia="zh-CN"/>
        </w:rPr>
      </w:pPr>
      <w:r w:rsidRPr="002B2C64">
        <w:rPr>
          <w:rFonts w:ascii="Book Antiqua" w:hAnsi="Book Antiqua"/>
          <w:b/>
          <w:kern w:val="2"/>
          <w:sz w:val="24"/>
          <w:szCs w:val="24"/>
          <w:lang w:eastAsia="zh-CN"/>
        </w:rPr>
        <w:t>Received:</w:t>
      </w:r>
      <w:bookmarkStart w:id="14" w:name="_Hlk44859186"/>
      <w:bookmarkEnd w:id="9"/>
      <w:r w:rsidR="00B22CBD" w:rsidRPr="002B2C64">
        <w:rPr>
          <w:rFonts w:ascii="Book Antiqua" w:hAnsi="Book Antiqua"/>
          <w:b/>
          <w:kern w:val="2"/>
          <w:sz w:val="24"/>
          <w:szCs w:val="24"/>
          <w:lang w:eastAsia="zh-CN"/>
        </w:rPr>
        <w:t xml:space="preserve"> </w:t>
      </w:r>
      <w:r w:rsidR="00B22CBD" w:rsidRPr="002B2C64">
        <w:rPr>
          <w:rFonts w:ascii="Book Antiqua" w:hAnsi="Book Antiqua"/>
          <w:kern w:val="2"/>
          <w:sz w:val="24"/>
          <w:szCs w:val="24"/>
          <w:lang w:eastAsia="zh-CN"/>
        </w:rPr>
        <w:t>February</w:t>
      </w:r>
      <w:r w:rsidRPr="002B2C64">
        <w:rPr>
          <w:rFonts w:ascii="Book Antiqua" w:hAnsi="Book Antiqua"/>
          <w:kern w:val="2"/>
          <w:sz w:val="24"/>
          <w:szCs w:val="24"/>
          <w:lang w:eastAsia="zh-CN"/>
        </w:rPr>
        <w:t xml:space="preserve"> 2</w:t>
      </w:r>
      <w:r w:rsidR="00B22CBD" w:rsidRPr="002B2C64">
        <w:rPr>
          <w:rFonts w:ascii="Book Antiqua" w:hAnsi="Book Antiqua"/>
          <w:kern w:val="2"/>
          <w:sz w:val="24"/>
          <w:szCs w:val="24"/>
          <w:lang w:eastAsia="zh-CN"/>
        </w:rPr>
        <w:t>0</w:t>
      </w:r>
      <w:r w:rsidRPr="002B2C64">
        <w:rPr>
          <w:rFonts w:ascii="Book Antiqua" w:hAnsi="Book Antiqua"/>
          <w:kern w:val="2"/>
          <w:sz w:val="24"/>
          <w:szCs w:val="24"/>
          <w:lang w:eastAsia="zh-CN"/>
        </w:rPr>
        <w:t>, 20</w:t>
      </w:r>
      <w:r w:rsidR="00B22CBD" w:rsidRPr="002B2C64">
        <w:rPr>
          <w:rFonts w:ascii="Book Antiqua" w:hAnsi="Book Antiqua"/>
          <w:kern w:val="2"/>
          <w:sz w:val="24"/>
          <w:szCs w:val="24"/>
          <w:lang w:eastAsia="zh-CN"/>
        </w:rPr>
        <w:t>20</w:t>
      </w:r>
    </w:p>
    <w:p w:rsidR="00BC3725" w:rsidRPr="002B2C64" w:rsidRDefault="00BC3725" w:rsidP="0083105B">
      <w:pPr>
        <w:widowControl w:val="0"/>
        <w:adjustRightInd w:val="0"/>
        <w:snapToGrid w:val="0"/>
        <w:spacing w:after="0" w:line="360" w:lineRule="auto"/>
        <w:jc w:val="both"/>
        <w:rPr>
          <w:rFonts w:ascii="Book Antiqua" w:hAnsi="Book Antiqua"/>
          <w:b/>
          <w:kern w:val="2"/>
          <w:sz w:val="24"/>
          <w:szCs w:val="24"/>
          <w:lang w:eastAsia="zh-CN"/>
        </w:rPr>
      </w:pPr>
      <w:bookmarkStart w:id="15" w:name="_Hlk44859258"/>
      <w:bookmarkEnd w:id="14"/>
      <w:r w:rsidRPr="002B2C64">
        <w:rPr>
          <w:rFonts w:ascii="Book Antiqua" w:hAnsi="Book Antiqua"/>
          <w:b/>
          <w:kern w:val="2"/>
          <w:sz w:val="24"/>
          <w:szCs w:val="24"/>
          <w:lang w:eastAsia="zh-CN"/>
        </w:rPr>
        <w:t>Revised:</w:t>
      </w:r>
      <w:bookmarkEnd w:id="15"/>
      <w:r w:rsidR="00B22CBD" w:rsidRPr="002B2C64">
        <w:rPr>
          <w:rFonts w:ascii="Book Antiqua" w:hAnsi="Book Antiqua"/>
          <w:b/>
          <w:kern w:val="2"/>
          <w:sz w:val="24"/>
          <w:szCs w:val="24"/>
          <w:lang w:eastAsia="zh-CN"/>
        </w:rPr>
        <w:t xml:space="preserve"> </w:t>
      </w:r>
      <w:r w:rsidR="004D326A" w:rsidRPr="002B2C64">
        <w:rPr>
          <w:rFonts w:ascii="Book Antiqua" w:hAnsi="Book Antiqua"/>
          <w:kern w:val="2"/>
          <w:sz w:val="24"/>
          <w:szCs w:val="24"/>
          <w:lang w:eastAsia="zh-CN"/>
        </w:rPr>
        <w:t>April 9</w:t>
      </w:r>
      <w:r w:rsidRPr="002B2C64">
        <w:rPr>
          <w:rFonts w:ascii="Book Antiqua" w:hAnsi="Book Antiqua"/>
          <w:kern w:val="2"/>
          <w:sz w:val="24"/>
          <w:szCs w:val="24"/>
          <w:lang w:eastAsia="zh-CN"/>
        </w:rPr>
        <w:t>, 20</w:t>
      </w:r>
      <w:r w:rsidR="00B22CBD" w:rsidRPr="002B2C64">
        <w:rPr>
          <w:rFonts w:ascii="Book Antiqua" w:hAnsi="Book Antiqua"/>
          <w:kern w:val="2"/>
          <w:sz w:val="24"/>
          <w:szCs w:val="24"/>
          <w:lang w:eastAsia="zh-CN"/>
        </w:rPr>
        <w:t>20</w:t>
      </w:r>
    </w:p>
    <w:p w:rsidR="00BC3725" w:rsidRPr="002B2C64" w:rsidRDefault="00BC3725" w:rsidP="0083105B">
      <w:pPr>
        <w:widowControl w:val="0"/>
        <w:adjustRightInd w:val="0"/>
        <w:snapToGrid w:val="0"/>
        <w:spacing w:after="0" w:line="360" w:lineRule="auto"/>
        <w:jc w:val="both"/>
        <w:rPr>
          <w:rFonts w:ascii="Book Antiqua" w:hAnsi="Book Antiqua"/>
          <w:color w:val="000000"/>
          <w:kern w:val="2"/>
          <w:sz w:val="24"/>
          <w:szCs w:val="24"/>
          <w:lang w:eastAsia="zh-CN"/>
        </w:rPr>
      </w:pPr>
      <w:bookmarkStart w:id="16" w:name="_Hlk44859310"/>
      <w:r w:rsidRPr="002B2C64">
        <w:rPr>
          <w:rFonts w:ascii="Book Antiqua" w:hAnsi="Book Antiqua"/>
          <w:b/>
          <w:kern w:val="2"/>
          <w:sz w:val="24"/>
          <w:szCs w:val="24"/>
          <w:lang w:eastAsia="zh-CN"/>
        </w:rPr>
        <w:t>Accepted:</w:t>
      </w:r>
      <w:r w:rsidRPr="002B2C64">
        <w:rPr>
          <w:rFonts w:ascii="Book Antiqua" w:hAnsi="Book Antiqua"/>
          <w:sz w:val="24"/>
          <w:szCs w:val="24"/>
        </w:rPr>
        <w:t xml:space="preserve"> </w:t>
      </w:r>
      <w:r w:rsidR="00593375" w:rsidRPr="002B2C64">
        <w:rPr>
          <w:rFonts w:ascii="Book Antiqua" w:hAnsi="Book Antiqua"/>
          <w:sz w:val="24"/>
          <w:szCs w:val="24"/>
        </w:rPr>
        <w:t>July 18, 2020</w:t>
      </w:r>
    </w:p>
    <w:p w:rsidR="00B22CBD" w:rsidRPr="002B2C64" w:rsidRDefault="00BC3725" w:rsidP="0083105B">
      <w:pPr>
        <w:widowControl w:val="0"/>
        <w:adjustRightInd w:val="0"/>
        <w:snapToGrid w:val="0"/>
        <w:spacing w:after="0" w:line="360" w:lineRule="auto"/>
        <w:jc w:val="both"/>
        <w:rPr>
          <w:rFonts w:ascii="Book Antiqua" w:hAnsi="Book Antiqua"/>
          <w:b/>
          <w:kern w:val="2"/>
          <w:sz w:val="24"/>
          <w:szCs w:val="24"/>
          <w:lang w:eastAsia="zh-CN"/>
        </w:rPr>
      </w:pPr>
      <w:r w:rsidRPr="002B2C64">
        <w:rPr>
          <w:rFonts w:ascii="Book Antiqua" w:hAnsi="Book Antiqua"/>
          <w:b/>
          <w:kern w:val="2"/>
          <w:sz w:val="24"/>
          <w:szCs w:val="24"/>
          <w:lang w:eastAsia="zh-CN"/>
        </w:rPr>
        <w:t>Published online:</w:t>
      </w:r>
      <w:bookmarkEnd w:id="10"/>
      <w:bookmarkEnd w:id="11"/>
      <w:bookmarkEnd w:id="12"/>
      <w:bookmarkEnd w:id="13"/>
      <w:bookmarkEnd w:id="16"/>
      <w:r w:rsidR="002B2C64" w:rsidRPr="002B2C64">
        <w:rPr>
          <w:rFonts w:ascii="Book Antiqua" w:hAnsi="Book Antiqua" w:hint="eastAsia"/>
          <w:b/>
          <w:kern w:val="2"/>
          <w:sz w:val="24"/>
          <w:szCs w:val="24"/>
          <w:lang w:eastAsia="zh-CN"/>
        </w:rPr>
        <w:t xml:space="preserve"> </w:t>
      </w:r>
      <w:r w:rsidR="002B2C64" w:rsidRPr="002B2C64">
        <w:rPr>
          <w:rFonts w:ascii="Book Antiqua" w:hAnsi="Book Antiqua" w:hint="eastAsia"/>
          <w:kern w:val="2"/>
          <w:sz w:val="24"/>
          <w:szCs w:val="24"/>
          <w:lang w:eastAsia="zh-CN"/>
        </w:rPr>
        <w:t>August 21</w:t>
      </w:r>
      <w:r w:rsidR="002B2C64" w:rsidRPr="002B2C64">
        <w:rPr>
          <w:rFonts w:ascii="Book Antiqua" w:hAnsi="Book Antiqua" w:hint="eastAsia"/>
          <w:kern w:val="2"/>
          <w:sz w:val="24"/>
          <w:szCs w:val="24"/>
          <w:lang w:eastAsia="zh-CN"/>
        </w:rPr>
        <w:t xml:space="preserve">, </w:t>
      </w:r>
      <w:r w:rsidR="002B2C64" w:rsidRPr="002B2C64">
        <w:rPr>
          <w:rFonts w:ascii="Book Antiqua" w:hAnsi="Book Antiqua" w:hint="eastAsia"/>
          <w:kern w:val="2"/>
          <w:sz w:val="24"/>
          <w:szCs w:val="24"/>
          <w:lang w:eastAsia="zh-CN"/>
        </w:rPr>
        <w:t xml:space="preserve"> 2020</w:t>
      </w:r>
    </w:p>
    <w:p w:rsidR="00B22CBD" w:rsidRPr="002B2C64" w:rsidRDefault="00B22CBD" w:rsidP="0083105B">
      <w:pPr>
        <w:widowControl w:val="0"/>
        <w:adjustRightInd w:val="0"/>
        <w:snapToGrid w:val="0"/>
        <w:spacing w:after="0" w:line="360" w:lineRule="auto"/>
        <w:jc w:val="both"/>
        <w:rPr>
          <w:rFonts w:ascii="Book Antiqua" w:hAnsi="Book Antiqua"/>
          <w:b/>
          <w:kern w:val="2"/>
          <w:sz w:val="24"/>
          <w:szCs w:val="24"/>
          <w:lang w:eastAsia="zh-CN"/>
        </w:rPr>
      </w:pPr>
      <w:r w:rsidRPr="002B2C64">
        <w:rPr>
          <w:rFonts w:ascii="Book Antiqua" w:hAnsi="Book Antiqua"/>
          <w:b/>
          <w:kern w:val="2"/>
          <w:sz w:val="24"/>
          <w:szCs w:val="24"/>
          <w:lang w:eastAsia="zh-CN"/>
        </w:rPr>
        <w:br w:type="page"/>
      </w:r>
      <w:bookmarkStart w:id="17" w:name="_Hlk44863189"/>
      <w:r w:rsidR="0083105B" w:rsidRPr="002B2C64">
        <w:rPr>
          <w:rFonts w:ascii="Book Antiqua" w:hAnsi="Book Antiqua" w:cs="等线"/>
          <w:b/>
          <w:sz w:val="24"/>
          <w:szCs w:val="24"/>
        </w:rPr>
        <w:lastRenderedPageBreak/>
        <w:t>Abstract</w:t>
      </w:r>
    </w:p>
    <w:p w:rsidR="00701815" w:rsidRPr="002B2C64" w:rsidRDefault="00701815" w:rsidP="0083105B">
      <w:pPr>
        <w:adjustRightInd w:val="0"/>
        <w:snapToGrid w:val="0"/>
        <w:spacing w:after="0" w:line="360" w:lineRule="auto"/>
        <w:jc w:val="both"/>
        <w:rPr>
          <w:rFonts w:ascii="Book Antiqua" w:hAnsi="Book Antiqua" w:cs="等线"/>
          <w:sz w:val="24"/>
          <w:szCs w:val="24"/>
          <w:lang w:eastAsia="zh-CN"/>
        </w:rPr>
      </w:pPr>
      <w:bookmarkStart w:id="18" w:name="_Hlk44863242"/>
      <w:bookmarkEnd w:id="17"/>
      <w:r w:rsidRPr="002B2C64">
        <w:rPr>
          <w:rFonts w:ascii="Book Antiqua" w:hAnsi="Book Antiqua" w:cs="等线"/>
          <w:sz w:val="24"/>
          <w:szCs w:val="24"/>
        </w:rPr>
        <w:t>BACKGROUND</w:t>
      </w:r>
    </w:p>
    <w:bookmarkEnd w:id="18"/>
    <w:p w:rsidR="005A78CA" w:rsidRPr="002B2C64" w:rsidRDefault="008858F0"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Colorectal cancer is the third most common malignancy worldwide</w:t>
      </w:r>
      <w:r w:rsidR="00CD3EAC" w:rsidRPr="002B2C64">
        <w:rPr>
          <w:rFonts w:ascii="Book Antiqua" w:hAnsi="Book Antiqua"/>
          <w:sz w:val="24"/>
          <w:szCs w:val="24"/>
          <w:lang w:val="en-GB"/>
        </w:rPr>
        <w:t xml:space="preserve">. </w:t>
      </w:r>
      <w:r w:rsidR="00EB4916" w:rsidRPr="002B2C64">
        <w:rPr>
          <w:rFonts w:ascii="Book Antiqua" w:hAnsi="Book Antiqua"/>
          <w:sz w:val="24"/>
          <w:szCs w:val="24"/>
          <w:lang w:val="en-GB"/>
        </w:rPr>
        <w:t xml:space="preserve">Therefore, it is critically important to </w:t>
      </w:r>
      <w:r w:rsidR="00501A69" w:rsidRPr="002B2C64">
        <w:rPr>
          <w:rFonts w:ascii="Book Antiqua" w:hAnsi="Book Antiqua"/>
          <w:sz w:val="24"/>
          <w:szCs w:val="24"/>
          <w:lang w:val="en-GB"/>
        </w:rPr>
        <w:t>identify</w:t>
      </w:r>
      <w:r w:rsidR="00EB4916" w:rsidRPr="002B2C64">
        <w:rPr>
          <w:rFonts w:ascii="Book Antiqua" w:hAnsi="Book Antiqua"/>
          <w:sz w:val="24"/>
          <w:szCs w:val="24"/>
          <w:lang w:val="en-GB"/>
        </w:rPr>
        <w:t xml:space="preserve"> new useful markers that can be easily obtained in routine practice. Inflammation is a crucial issue in the pathogenesis and development of cancer.</w:t>
      </w:r>
    </w:p>
    <w:p w:rsidR="00701815" w:rsidRPr="002B2C64" w:rsidRDefault="00701815" w:rsidP="0083105B">
      <w:pPr>
        <w:snapToGrid w:val="0"/>
        <w:spacing w:after="0" w:line="360" w:lineRule="auto"/>
        <w:jc w:val="both"/>
        <w:rPr>
          <w:rFonts w:ascii="Book Antiqua" w:hAnsi="Book Antiqua"/>
          <w:sz w:val="24"/>
          <w:szCs w:val="24"/>
          <w:lang w:val="en-GB"/>
        </w:rPr>
      </w:pPr>
    </w:p>
    <w:p w:rsidR="00701815" w:rsidRPr="002B2C64" w:rsidRDefault="00701815" w:rsidP="0083105B">
      <w:pPr>
        <w:adjustRightInd w:val="0"/>
        <w:snapToGrid w:val="0"/>
        <w:spacing w:after="0" w:line="360" w:lineRule="auto"/>
        <w:jc w:val="both"/>
        <w:rPr>
          <w:rFonts w:ascii="Book Antiqua" w:hAnsi="Book Antiqua"/>
          <w:sz w:val="24"/>
          <w:szCs w:val="24"/>
        </w:rPr>
      </w:pPr>
      <w:r w:rsidRPr="002B2C64">
        <w:rPr>
          <w:rFonts w:ascii="Book Antiqua" w:hAnsi="Book Antiqua"/>
          <w:sz w:val="24"/>
          <w:szCs w:val="24"/>
        </w:rPr>
        <w:t>AIM</w:t>
      </w:r>
    </w:p>
    <w:p w:rsidR="008858F0" w:rsidRPr="002B2C64" w:rsidRDefault="00701815"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rPr>
        <w:t>T</w:t>
      </w:r>
      <w:r w:rsidR="00CD3EAC" w:rsidRPr="002B2C64">
        <w:rPr>
          <w:rFonts w:ascii="Book Antiqua" w:hAnsi="Book Antiqua"/>
          <w:sz w:val="24"/>
          <w:szCs w:val="24"/>
          <w:lang w:val="en-GB"/>
        </w:rPr>
        <w:t>o evaluate the prognostic value of absolute monocyte count, monocyte to lymphocyte ratio (MLR), the combination of neutrophil-to-lymphocyte ratio and platelet</w:t>
      </w:r>
      <w:r w:rsidR="00DB2F6C" w:rsidRPr="002B2C64">
        <w:rPr>
          <w:rFonts w:ascii="Book Antiqua" w:hAnsi="Book Antiqua"/>
          <w:sz w:val="24"/>
          <w:szCs w:val="24"/>
          <w:lang w:val="en-GB"/>
        </w:rPr>
        <w:t>-to-lymphocyte ratio (NLR-PLR)</w:t>
      </w:r>
      <w:r w:rsidR="003A454F" w:rsidRPr="002B2C64">
        <w:rPr>
          <w:rFonts w:ascii="Book Antiqua" w:hAnsi="Book Antiqua"/>
          <w:sz w:val="24"/>
          <w:szCs w:val="24"/>
          <w:lang w:val="en-GB"/>
        </w:rPr>
        <w:t>,</w:t>
      </w:r>
      <w:r w:rsidR="00EE54F4" w:rsidRPr="002B2C64">
        <w:rPr>
          <w:rFonts w:ascii="Book Antiqua" w:hAnsi="Book Antiqua"/>
          <w:sz w:val="24"/>
          <w:szCs w:val="24"/>
          <w:lang w:val="en-GB"/>
        </w:rPr>
        <w:t xml:space="preserve"> and combined </w:t>
      </w:r>
      <w:r w:rsidR="00DB2F6C" w:rsidRPr="002B2C64">
        <w:rPr>
          <w:rFonts w:ascii="Book Antiqua" w:hAnsi="Book Antiqua"/>
          <w:sz w:val="24"/>
          <w:szCs w:val="24"/>
          <w:lang w:val="en-GB"/>
        </w:rPr>
        <w:t xml:space="preserve">platelet and </w:t>
      </w:r>
      <w:r w:rsidR="00D04486" w:rsidRPr="002B2C64">
        <w:rPr>
          <w:rFonts w:ascii="Book Antiqua" w:hAnsi="Book Antiqua"/>
          <w:sz w:val="24"/>
          <w:szCs w:val="24"/>
          <w:lang w:val="en-GB"/>
        </w:rPr>
        <w:t xml:space="preserve">neutrophil-to-lymphocyte ratio (PLT-NLR) in peripheral blood samples of patients with colorectal cancer undergoing surgery. </w:t>
      </w:r>
    </w:p>
    <w:p w:rsidR="00701815" w:rsidRPr="002B2C64" w:rsidRDefault="00701815" w:rsidP="0083105B">
      <w:pPr>
        <w:snapToGrid w:val="0"/>
        <w:spacing w:after="0" w:line="360" w:lineRule="auto"/>
        <w:jc w:val="both"/>
        <w:rPr>
          <w:rFonts w:ascii="Book Antiqua" w:hAnsi="Book Antiqua"/>
          <w:sz w:val="24"/>
          <w:szCs w:val="24"/>
          <w:lang w:val="en-GB"/>
        </w:rPr>
      </w:pPr>
    </w:p>
    <w:p w:rsidR="00701815" w:rsidRPr="002B2C64" w:rsidRDefault="00701815" w:rsidP="0083105B">
      <w:pPr>
        <w:adjustRightInd w:val="0"/>
        <w:snapToGrid w:val="0"/>
        <w:spacing w:after="0" w:line="360" w:lineRule="auto"/>
        <w:jc w:val="both"/>
        <w:rPr>
          <w:rFonts w:ascii="Book Antiqua" w:hAnsi="Book Antiqua"/>
          <w:sz w:val="24"/>
          <w:szCs w:val="24"/>
        </w:rPr>
      </w:pPr>
      <w:bookmarkStart w:id="19" w:name="_Hlk44863692"/>
      <w:r w:rsidRPr="002B2C64">
        <w:rPr>
          <w:rFonts w:ascii="Book Antiqua" w:hAnsi="Book Antiqua"/>
          <w:sz w:val="24"/>
          <w:szCs w:val="24"/>
        </w:rPr>
        <w:t>METHODS</w:t>
      </w:r>
    </w:p>
    <w:bookmarkEnd w:id="19"/>
    <w:p w:rsidR="00C22597" w:rsidRPr="002B2C64" w:rsidRDefault="00BE5980"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 xml:space="preserve">We conducted a retrospective study of </w:t>
      </w:r>
      <w:r w:rsidR="002F07B3" w:rsidRPr="002B2C64">
        <w:rPr>
          <w:rFonts w:ascii="Book Antiqua" w:hAnsi="Book Antiqua"/>
          <w:sz w:val="24"/>
          <w:szCs w:val="24"/>
          <w:lang w:val="en-GB"/>
        </w:rPr>
        <w:t xml:space="preserve">160 patients with </w:t>
      </w:r>
      <w:r w:rsidR="003D7C99" w:rsidRPr="002B2C64">
        <w:rPr>
          <w:rFonts w:ascii="Book Antiqua" w:hAnsi="Book Antiqua"/>
          <w:sz w:val="24"/>
          <w:szCs w:val="24"/>
          <w:lang w:val="en-GB"/>
        </w:rPr>
        <w:t xml:space="preserve">colorectal </w:t>
      </w:r>
      <w:r w:rsidR="00DE4F6E" w:rsidRPr="002B2C64">
        <w:rPr>
          <w:rFonts w:ascii="Book Antiqua" w:hAnsi="Book Antiqua"/>
          <w:sz w:val="24"/>
          <w:szCs w:val="24"/>
          <w:lang w:val="en-GB"/>
        </w:rPr>
        <w:t>cancer</w:t>
      </w:r>
      <w:r w:rsidR="002F07B3" w:rsidRPr="002B2C64">
        <w:rPr>
          <w:rFonts w:ascii="Book Antiqua" w:hAnsi="Book Antiqua"/>
          <w:sz w:val="24"/>
          <w:szCs w:val="24"/>
          <w:lang w:val="en-GB"/>
        </w:rPr>
        <w:t xml:space="preserve"> who underwent surgery</w:t>
      </w:r>
      <w:r w:rsidR="0001043B" w:rsidRPr="002B2C64">
        <w:rPr>
          <w:rFonts w:ascii="Book Antiqua" w:hAnsi="Book Antiqua"/>
          <w:sz w:val="24"/>
          <w:szCs w:val="24"/>
          <w:lang w:val="en-GB"/>
        </w:rPr>
        <w:t>,</w:t>
      </w:r>
      <w:r w:rsidR="00DA3B64" w:rsidRPr="002B2C64">
        <w:rPr>
          <w:rFonts w:ascii="Book Antiqua" w:hAnsi="Book Antiqua"/>
          <w:sz w:val="24"/>
          <w:szCs w:val="24"/>
          <w:lang w:val="en-GB"/>
        </w:rPr>
        <w:t xml:space="preserve"> and 42 healthy controls</w:t>
      </w:r>
      <w:r w:rsidR="002F07B3" w:rsidRPr="002B2C64">
        <w:rPr>
          <w:rFonts w:ascii="Book Antiqua" w:hAnsi="Book Antiqua"/>
          <w:sz w:val="24"/>
          <w:szCs w:val="24"/>
          <w:lang w:val="en-GB"/>
        </w:rPr>
        <w:t xml:space="preserve">. </w:t>
      </w:r>
      <w:r w:rsidR="0001043B" w:rsidRPr="002B2C64">
        <w:rPr>
          <w:rFonts w:ascii="Book Antiqua" w:hAnsi="Book Antiqua"/>
          <w:sz w:val="24"/>
          <w:szCs w:val="24"/>
          <w:lang w:val="en-GB"/>
        </w:rPr>
        <w:t>The status of a</w:t>
      </w:r>
      <w:r w:rsidR="00AA3E1C" w:rsidRPr="002B2C64">
        <w:rPr>
          <w:rFonts w:ascii="Book Antiqua" w:hAnsi="Book Antiqua"/>
          <w:sz w:val="24"/>
          <w:szCs w:val="24"/>
          <w:lang w:val="en-GB"/>
        </w:rPr>
        <w:t xml:space="preserve">bsolute monocyte count, MLR, NLR-PLR and PLT-NLR </w:t>
      </w:r>
      <w:r w:rsidR="0001043B" w:rsidRPr="002B2C64">
        <w:rPr>
          <w:rFonts w:ascii="Book Antiqua" w:hAnsi="Book Antiqua"/>
          <w:sz w:val="24"/>
          <w:szCs w:val="24"/>
          <w:lang w:val="en-GB"/>
        </w:rPr>
        <w:t>was</w:t>
      </w:r>
      <w:r w:rsidR="00547CA8" w:rsidRPr="002B2C64">
        <w:rPr>
          <w:rFonts w:ascii="Book Antiqua" w:hAnsi="Book Antiqua"/>
          <w:sz w:val="24"/>
          <w:szCs w:val="24"/>
          <w:lang w:val="en-GB"/>
        </w:rPr>
        <w:t xml:space="preserve"> </w:t>
      </w:r>
      <w:r w:rsidR="00AA3E1C" w:rsidRPr="002B2C64">
        <w:rPr>
          <w:rFonts w:ascii="Book Antiqua" w:hAnsi="Book Antiqua"/>
          <w:sz w:val="24"/>
          <w:szCs w:val="24"/>
          <w:lang w:val="en-GB"/>
        </w:rPr>
        <w:t xml:space="preserve">calculated </w:t>
      </w:r>
      <w:r w:rsidR="00547CA8" w:rsidRPr="002B2C64">
        <w:rPr>
          <w:rFonts w:ascii="Book Antiqua" w:hAnsi="Book Antiqua"/>
          <w:sz w:val="24"/>
          <w:szCs w:val="24"/>
          <w:lang w:val="en-GB"/>
        </w:rPr>
        <w:t xml:space="preserve">on </w:t>
      </w:r>
      <w:r w:rsidR="00AA3E1C" w:rsidRPr="002B2C64">
        <w:rPr>
          <w:rFonts w:ascii="Book Antiqua" w:hAnsi="Book Antiqua"/>
          <w:sz w:val="24"/>
          <w:szCs w:val="24"/>
          <w:lang w:val="en-GB"/>
        </w:rPr>
        <w:t>the basis of b</w:t>
      </w:r>
      <w:r w:rsidR="007D3A56" w:rsidRPr="002B2C64">
        <w:rPr>
          <w:rFonts w:ascii="Book Antiqua" w:hAnsi="Book Antiqua"/>
          <w:sz w:val="24"/>
          <w:szCs w:val="24"/>
          <w:lang w:val="en-GB"/>
        </w:rPr>
        <w:t xml:space="preserve">lood samples obtained before and after surgery. </w:t>
      </w:r>
      <w:r w:rsidR="00881B87" w:rsidRPr="002B2C64">
        <w:rPr>
          <w:rFonts w:ascii="Book Antiqua" w:hAnsi="Book Antiqua"/>
          <w:sz w:val="24"/>
          <w:szCs w:val="24"/>
          <w:lang w:val="en-GB"/>
        </w:rPr>
        <w:t>H</w:t>
      </w:r>
      <w:r w:rsidR="002F0844" w:rsidRPr="002B2C64">
        <w:rPr>
          <w:rFonts w:ascii="Book Antiqua" w:hAnsi="Book Antiqua"/>
          <w:sz w:val="24"/>
          <w:szCs w:val="24"/>
          <w:lang w:val="en-GB"/>
        </w:rPr>
        <w:t>a</w:t>
      </w:r>
      <w:r w:rsidR="00881B87" w:rsidRPr="002B2C64">
        <w:rPr>
          <w:rFonts w:ascii="Book Antiqua" w:hAnsi="Book Antiqua"/>
          <w:sz w:val="24"/>
          <w:szCs w:val="24"/>
          <w:lang w:val="en-GB"/>
        </w:rPr>
        <w:t xml:space="preserve">ematologic factors were examined in correlation </w:t>
      </w:r>
      <w:r w:rsidR="00495BB2" w:rsidRPr="002B2C64">
        <w:rPr>
          <w:rFonts w:ascii="Book Antiqua" w:hAnsi="Book Antiqua"/>
          <w:sz w:val="24"/>
          <w:szCs w:val="24"/>
          <w:lang w:val="en-GB"/>
        </w:rPr>
        <w:t xml:space="preserve">with the </w:t>
      </w:r>
      <w:r w:rsidR="00881B87" w:rsidRPr="002B2C64">
        <w:rPr>
          <w:rFonts w:ascii="Book Antiqua" w:hAnsi="Book Antiqua"/>
          <w:sz w:val="24"/>
          <w:szCs w:val="24"/>
          <w:lang w:val="en-GB"/>
        </w:rPr>
        <w:t xml:space="preserve">type of </w:t>
      </w:r>
      <w:r w:rsidR="00BF13D9" w:rsidRPr="002B2C64">
        <w:rPr>
          <w:rFonts w:ascii="Book Antiqua" w:hAnsi="Book Antiqua"/>
          <w:sz w:val="24"/>
          <w:szCs w:val="24"/>
          <w:lang w:val="en-GB"/>
        </w:rPr>
        <w:t>tumour</w:t>
      </w:r>
      <w:r w:rsidR="00881B87" w:rsidRPr="002B2C64">
        <w:rPr>
          <w:rFonts w:ascii="Book Antiqua" w:hAnsi="Book Antiqua"/>
          <w:sz w:val="24"/>
          <w:szCs w:val="24"/>
          <w:lang w:val="en-GB"/>
        </w:rPr>
        <w:t xml:space="preserve"> growth, </w:t>
      </w:r>
      <w:r w:rsidR="00BF13D9" w:rsidRPr="002B2C64">
        <w:rPr>
          <w:rFonts w:ascii="Book Antiqua" w:hAnsi="Book Antiqua"/>
          <w:sz w:val="24"/>
          <w:szCs w:val="24"/>
          <w:lang w:val="en-GB"/>
        </w:rPr>
        <w:t>tumour</w:t>
      </w:r>
      <w:r w:rsidR="00881B87" w:rsidRPr="002B2C64">
        <w:rPr>
          <w:rFonts w:ascii="Book Antiqua" w:hAnsi="Book Antiqua"/>
          <w:sz w:val="24"/>
          <w:szCs w:val="24"/>
          <w:lang w:val="en-GB"/>
        </w:rPr>
        <w:t xml:space="preserve"> size, histological type, percentage of mucinous component, grade of malignancy, </w:t>
      </w:r>
      <w:r w:rsidR="00DE4F6E" w:rsidRPr="002B2C64">
        <w:rPr>
          <w:rFonts w:ascii="Book Antiqua" w:hAnsi="Book Antiqua"/>
          <w:sz w:val="24"/>
          <w:szCs w:val="24"/>
          <w:lang w:val="en-GB"/>
        </w:rPr>
        <w:t>Tumour-Node-Metastasis</w:t>
      </w:r>
      <w:r w:rsidR="00881B87" w:rsidRPr="002B2C64">
        <w:rPr>
          <w:rFonts w:ascii="Book Antiqua" w:hAnsi="Book Antiqua"/>
          <w:sz w:val="24"/>
          <w:szCs w:val="24"/>
          <w:lang w:val="en-GB"/>
        </w:rPr>
        <w:t xml:space="preserve"> stage, venous, lymphatic and perineural invasion of cancer cells, status of lymph node invasion and the presence of cancer cell</w:t>
      </w:r>
      <w:r w:rsidR="00501A69" w:rsidRPr="002B2C64">
        <w:rPr>
          <w:rFonts w:ascii="Book Antiqua" w:hAnsi="Book Antiqua"/>
          <w:sz w:val="24"/>
          <w:szCs w:val="24"/>
          <w:lang w:val="en-GB"/>
        </w:rPr>
        <w:t xml:space="preserve"> deposits</w:t>
      </w:r>
      <w:r w:rsidR="00881B87" w:rsidRPr="002B2C64">
        <w:rPr>
          <w:rFonts w:ascii="Book Antiqua" w:hAnsi="Book Antiqua"/>
          <w:sz w:val="24"/>
          <w:szCs w:val="24"/>
          <w:lang w:val="en-GB"/>
        </w:rPr>
        <w:t xml:space="preserve">. </w:t>
      </w:r>
      <w:r w:rsidR="00547CA8" w:rsidRPr="002B2C64">
        <w:rPr>
          <w:rFonts w:ascii="Book Antiqua" w:hAnsi="Book Antiqua"/>
          <w:sz w:val="24"/>
          <w:szCs w:val="24"/>
          <w:lang w:val="en-GB"/>
        </w:rPr>
        <w:t xml:space="preserve">The </w:t>
      </w:r>
      <w:r w:rsidR="00E63059" w:rsidRPr="002B2C64">
        <w:rPr>
          <w:rFonts w:ascii="Book Antiqua" w:hAnsi="Book Antiqua"/>
          <w:sz w:val="24"/>
          <w:szCs w:val="24"/>
          <w:lang w:val="en-GB"/>
        </w:rPr>
        <w:t>Kaplan-Mei</w:t>
      </w:r>
      <w:r w:rsidR="00143D95" w:rsidRPr="002B2C64">
        <w:rPr>
          <w:rFonts w:ascii="Book Antiqua" w:hAnsi="Book Antiqua"/>
          <w:sz w:val="24"/>
          <w:szCs w:val="24"/>
          <w:lang w:val="en-GB"/>
        </w:rPr>
        <w:t xml:space="preserve">er method and </w:t>
      </w:r>
      <w:r w:rsidR="00547CA8" w:rsidRPr="002B2C64">
        <w:rPr>
          <w:rFonts w:ascii="Book Antiqua" w:hAnsi="Book Antiqua"/>
          <w:sz w:val="24"/>
          <w:szCs w:val="24"/>
          <w:lang w:val="en-GB"/>
        </w:rPr>
        <w:t xml:space="preserve">the </w:t>
      </w:r>
      <w:r w:rsidR="00143D95" w:rsidRPr="002B2C64">
        <w:rPr>
          <w:rFonts w:ascii="Book Antiqua" w:hAnsi="Book Antiqua"/>
          <w:sz w:val="24"/>
          <w:szCs w:val="24"/>
          <w:lang w:val="en-GB"/>
        </w:rPr>
        <w:t>long-rank test were</w:t>
      </w:r>
      <w:r w:rsidR="00E63059" w:rsidRPr="002B2C64">
        <w:rPr>
          <w:rFonts w:ascii="Book Antiqua" w:hAnsi="Book Antiqua"/>
          <w:sz w:val="24"/>
          <w:szCs w:val="24"/>
          <w:lang w:val="en-GB"/>
        </w:rPr>
        <w:t xml:space="preserve"> used to </w:t>
      </w:r>
      <w:r w:rsidR="00547CA8" w:rsidRPr="002B2C64">
        <w:rPr>
          <w:rFonts w:ascii="Book Antiqua" w:hAnsi="Book Antiqua"/>
          <w:sz w:val="24"/>
          <w:szCs w:val="24"/>
          <w:lang w:val="en-GB"/>
        </w:rPr>
        <w:t xml:space="preserve">compare </w:t>
      </w:r>
      <w:r w:rsidR="00E63059" w:rsidRPr="002B2C64">
        <w:rPr>
          <w:rFonts w:ascii="Book Antiqua" w:hAnsi="Book Antiqua"/>
          <w:sz w:val="24"/>
          <w:szCs w:val="24"/>
          <w:lang w:val="en-GB"/>
        </w:rPr>
        <w:t>survival curves. To determine independent prognostic factors, univariate and multivariate Cox proportio</w:t>
      </w:r>
      <w:r w:rsidR="00E263FC" w:rsidRPr="002B2C64">
        <w:rPr>
          <w:rFonts w:ascii="Book Antiqua" w:hAnsi="Book Antiqua"/>
          <w:sz w:val="24"/>
          <w:szCs w:val="24"/>
          <w:lang w:val="en-GB"/>
        </w:rPr>
        <w:t>nal hazards regression model</w:t>
      </w:r>
      <w:r w:rsidR="00547CA8" w:rsidRPr="002B2C64">
        <w:rPr>
          <w:rFonts w:ascii="Book Antiqua" w:hAnsi="Book Antiqua"/>
          <w:sz w:val="24"/>
          <w:szCs w:val="24"/>
          <w:lang w:val="en-GB"/>
        </w:rPr>
        <w:t>s</w:t>
      </w:r>
      <w:r w:rsidR="00E263FC" w:rsidRPr="002B2C64">
        <w:rPr>
          <w:rFonts w:ascii="Book Antiqua" w:hAnsi="Book Antiqua"/>
          <w:sz w:val="24"/>
          <w:szCs w:val="24"/>
          <w:lang w:val="en-GB"/>
        </w:rPr>
        <w:t xml:space="preserve"> were</w:t>
      </w:r>
      <w:r w:rsidR="00E63059" w:rsidRPr="002B2C64">
        <w:rPr>
          <w:rFonts w:ascii="Book Antiqua" w:hAnsi="Book Antiqua"/>
          <w:sz w:val="24"/>
          <w:szCs w:val="24"/>
          <w:lang w:val="en-GB"/>
        </w:rPr>
        <w:t xml:space="preserve"> </w:t>
      </w:r>
      <w:r w:rsidR="00547CA8" w:rsidRPr="002B2C64">
        <w:rPr>
          <w:rFonts w:ascii="Book Antiqua" w:hAnsi="Book Antiqua"/>
          <w:sz w:val="24"/>
          <w:szCs w:val="24"/>
          <w:lang w:val="en-GB"/>
        </w:rPr>
        <w:t>applied</w:t>
      </w:r>
      <w:r w:rsidR="00E63059" w:rsidRPr="002B2C64">
        <w:rPr>
          <w:rFonts w:ascii="Book Antiqua" w:hAnsi="Book Antiqua"/>
          <w:sz w:val="24"/>
          <w:szCs w:val="24"/>
          <w:lang w:val="en-GB"/>
        </w:rPr>
        <w:t xml:space="preserve">. </w:t>
      </w:r>
    </w:p>
    <w:p w:rsidR="00701815" w:rsidRPr="002B2C64" w:rsidRDefault="00701815" w:rsidP="0083105B">
      <w:pPr>
        <w:snapToGrid w:val="0"/>
        <w:spacing w:after="0" w:line="360" w:lineRule="auto"/>
        <w:jc w:val="both"/>
        <w:rPr>
          <w:rFonts w:ascii="Book Antiqua" w:hAnsi="Book Antiqua"/>
          <w:sz w:val="24"/>
          <w:szCs w:val="24"/>
          <w:lang w:val="en-GB"/>
        </w:rPr>
      </w:pPr>
    </w:p>
    <w:p w:rsidR="00701815" w:rsidRPr="002B2C64" w:rsidRDefault="00701815" w:rsidP="0083105B">
      <w:pPr>
        <w:adjustRightInd w:val="0"/>
        <w:snapToGrid w:val="0"/>
        <w:spacing w:after="0" w:line="360" w:lineRule="auto"/>
        <w:jc w:val="both"/>
        <w:rPr>
          <w:rFonts w:ascii="Book Antiqua" w:hAnsi="Book Antiqua"/>
          <w:sz w:val="24"/>
          <w:szCs w:val="24"/>
        </w:rPr>
      </w:pPr>
      <w:r w:rsidRPr="002B2C64">
        <w:rPr>
          <w:rFonts w:ascii="Book Antiqua" w:hAnsi="Book Antiqua"/>
          <w:sz w:val="24"/>
          <w:szCs w:val="24"/>
        </w:rPr>
        <w:t>RESULTS</w:t>
      </w:r>
    </w:p>
    <w:p w:rsidR="00AC7D1C" w:rsidRPr="002B2C64" w:rsidRDefault="00985799" w:rsidP="0083105B">
      <w:pPr>
        <w:snapToGrid w:val="0"/>
        <w:spacing w:after="0" w:line="360" w:lineRule="auto"/>
        <w:jc w:val="both"/>
        <w:rPr>
          <w:rFonts w:ascii="Book Antiqua" w:eastAsia="Calibri" w:hAnsi="Book Antiqua"/>
          <w:color w:val="auto"/>
          <w:sz w:val="24"/>
          <w:szCs w:val="24"/>
          <w:lang w:val="en-GB"/>
        </w:rPr>
      </w:pPr>
      <w:r w:rsidRPr="002B2C64">
        <w:rPr>
          <w:rFonts w:ascii="Book Antiqua" w:hAnsi="Book Antiqua"/>
          <w:sz w:val="24"/>
          <w:szCs w:val="24"/>
          <w:lang w:val="en-GB"/>
        </w:rPr>
        <w:t>The</w:t>
      </w:r>
      <w:r w:rsidRPr="002B2C64">
        <w:rPr>
          <w:rFonts w:ascii="Book Antiqua" w:hAnsi="Book Antiqua"/>
          <w:b/>
          <w:sz w:val="24"/>
          <w:szCs w:val="24"/>
          <w:lang w:val="en-GB"/>
        </w:rPr>
        <w:t xml:space="preserve"> </w:t>
      </w:r>
      <w:r w:rsidR="00B05CDB" w:rsidRPr="002B2C64">
        <w:rPr>
          <w:rFonts w:ascii="Book Antiqua" w:hAnsi="Book Antiqua"/>
          <w:sz w:val="24"/>
          <w:szCs w:val="24"/>
          <w:lang w:val="en-GB"/>
        </w:rPr>
        <w:t>PLT-NLR status was correlated with tumo</w:t>
      </w:r>
      <w:r w:rsidR="00D2163B" w:rsidRPr="002B2C64">
        <w:rPr>
          <w:rFonts w:ascii="Book Antiqua" w:hAnsi="Book Antiqua"/>
          <w:sz w:val="24"/>
          <w:szCs w:val="24"/>
          <w:lang w:val="en-GB"/>
        </w:rPr>
        <w:t>u</w:t>
      </w:r>
      <w:r w:rsidR="00B05CDB" w:rsidRPr="002B2C64">
        <w:rPr>
          <w:rFonts w:ascii="Book Antiqua" w:hAnsi="Book Antiqua"/>
          <w:sz w:val="24"/>
          <w:szCs w:val="24"/>
          <w:lang w:val="en-GB"/>
        </w:rPr>
        <w:t>r size and the presence of perineural invasion (</w:t>
      </w:r>
      <w:r w:rsidR="00F66A5E" w:rsidRPr="002B2C64">
        <w:rPr>
          <w:rFonts w:ascii="Book Antiqua" w:hAnsi="Book Antiqua"/>
          <w:i/>
          <w:iCs/>
          <w:sz w:val="24"/>
          <w:szCs w:val="24"/>
          <w:lang w:val="en-GB"/>
        </w:rPr>
        <w:t>P</w:t>
      </w:r>
      <w:r w:rsidR="00DE4F6E" w:rsidRPr="002B2C64">
        <w:rPr>
          <w:rFonts w:ascii="Book Antiqua" w:hAnsi="Book Antiqua"/>
          <w:i/>
          <w:iCs/>
          <w:sz w:val="24"/>
          <w:szCs w:val="24"/>
          <w:lang w:val="en-GB"/>
        </w:rPr>
        <w:t xml:space="preserve"> </w:t>
      </w:r>
      <w:r w:rsidR="00B05CDB" w:rsidRPr="002B2C64">
        <w:rPr>
          <w:rFonts w:ascii="Book Antiqua" w:hAnsi="Book Antiqua"/>
          <w:sz w:val="24"/>
          <w:szCs w:val="24"/>
          <w:lang w:val="en-GB"/>
        </w:rPr>
        <w:t>=</w:t>
      </w:r>
      <w:r w:rsidR="00DE4F6E" w:rsidRPr="002B2C64">
        <w:rPr>
          <w:rFonts w:ascii="Book Antiqua" w:hAnsi="Book Antiqua"/>
          <w:sz w:val="24"/>
          <w:szCs w:val="24"/>
          <w:lang w:val="en-GB"/>
        </w:rPr>
        <w:t xml:space="preserve"> </w:t>
      </w:r>
      <w:r w:rsidR="00B05CDB" w:rsidRPr="002B2C64">
        <w:rPr>
          <w:rFonts w:ascii="Book Antiqua" w:hAnsi="Book Antiqua"/>
          <w:sz w:val="24"/>
          <w:szCs w:val="24"/>
          <w:lang w:val="en-GB"/>
        </w:rPr>
        <w:t>0.015;</w:t>
      </w:r>
      <w:r w:rsidR="007D1B88" w:rsidRPr="002B2C64">
        <w:rPr>
          <w:rFonts w:ascii="Book Antiqua" w:hAnsi="Book Antiqua"/>
          <w:sz w:val="24"/>
          <w:szCs w:val="24"/>
          <w:lang w:val="en-GB"/>
        </w:rPr>
        <w:t xml:space="preserve"> </w:t>
      </w:r>
      <w:r w:rsidR="00F66A5E" w:rsidRPr="002B2C64">
        <w:rPr>
          <w:rFonts w:ascii="Book Antiqua" w:hAnsi="Book Antiqua"/>
          <w:i/>
          <w:iCs/>
          <w:sz w:val="24"/>
          <w:szCs w:val="24"/>
          <w:lang w:val="en-GB"/>
        </w:rPr>
        <w:t>P</w:t>
      </w:r>
      <w:r w:rsidR="00DE4F6E" w:rsidRPr="002B2C64">
        <w:rPr>
          <w:rFonts w:ascii="Book Antiqua" w:hAnsi="Book Antiqua"/>
          <w:i/>
          <w:iCs/>
          <w:sz w:val="24"/>
          <w:szCs w:val="24"/>
          <w:lang w:val="en-GB"/>
        </w:rPr>
        <w:t xml:space="preserve"> </w:t>
      </w:r>
      <w:r w:rsidR="007D1B88" w:rsidRPr="002B2C64">
        <w:rPr>
          <w:rFonts w:ascii="Book Antiqua" w:hAnsi="Book Antiqua"/>
          <w:sz w:val="24"/>
          <w:szCs w:val="24"/>
          <w:lang w:val="en-GB"/>
        </w:rPr>
        <w:t>=</w:t>
      </w:r>
      <w:r w:rsidR="00DE4F6E" w:rsidRPr="002B2C64">
        <w:rPr>
          <w:rFonts w:ascii="Book Antiqua" w:hAnsi="Book Antiqua"/>
          <w:sz w:val="24"/>
          <w:szCs w:val="24"/>
          <w:lang w:val="en-GB"/>
        </w:rPr>
        <w:t xml:space="preserve"> </w:t>
      </w:r>
      <w:r w:rsidR="007D1B88" w:rsidRPr="002B2C64">
        <w:rPr>
          <w:rFonts w:ascii="Book Antiqua" w:hAnsi="Book Antiqua"/>
          <w:sz w:val="24"/>
          <w:szCs w:val="24"/>
          <w:lang w:val="en-GB"/>
        </w:rPr>
        <w:t>-0.174,</w:t>
      </w:r>
      <w:r w:rsidR="007D1B88" w:rsidRPr="002B2C64">
        <w:rPr>
          <w:rFonts w:ascii="Book Antiqua" w:hAnsi="Book Antiqua"/>
          <w:i/>
          <w:iCs/>
          <w:sz w:val="24"/>
          <w:szCs w:val="24"/>
          <w:lang w:val="en-GB"/>
        </w:rPr>
        <w:t xml:space="preserve"> </w:t>
      </w:r>
      <w:r w:rsidR="00F66A5E" w:rsidRPr="002B2C64">
        <w:rPr>
          <w:rFonts w:ascii="Book Antiqua" w:hAnsi="Book Antiqua"/>
          <w:i/>
          <w:iCs/>
          <w:sz w:val="24"/>
          <w:szCs w:val="24"/>
          <w:lang w:val="en-GB"/>
        </w:rPr>
        <w:t>P</w:t>
      </w:r>
      <w:r w:rsidR="00DE4F6E" w:rsidRPr="002B2C64">
        <w:rPr>
          <w:rFonts w:ascii="Book Antiqua" w:hAnsi="Book Antiqua"/>
          <w:i/>
          <w:iCs/>
          <w:sz w:val="24"/>
          <w:szCs w:val="24"/>
          <w:lang w:val="en-GB"/>
        </w:rPr>
        <w:t xml:space="preserve"> </w:t>
      </w:r>
      <w:r w:rsidR="007D1B88" w:rsidRPr="002B2C64">
        <w:rPr>
          <w:rFonts w:ascii="Book Antiqua" w:hAnsi="Book Antiqua"/>
          <w:sz w:val="24"/>
          <w:szCs w:val="24"/>
          <w:lang w:val="en-GB"/>
        </w:rPr>
        <w:t>=</w:t>
      </w:r>
      <w:r w:rsidR="00DE4F6E" w:rsidRPr="002B2C64">
        <w:rPr>
          <w:rFonts w:ascii="Book Antiqua" w:hAnsi="Book Antiqua"/>
          <w:sz w:val="24"/>
          <w:szCs w:val="24"/>
          <w:lang w:val="en-GB"/>
        </w:rPr>
        <w:t xml:space="preserve"> </w:t>
      </w:r>
      <w:r w:rsidR="007D1B88" w:rsidRPr="002B2C64">
        <w:rPr>
          <w:rFonts w:ascii="Book Antiqua" w:hAnsi="Book Antiqua"/>
          <w:sz w:val="24"/>
          <w:szCs w:val="24"/>
          <w:lang w:val="en-GB"/>
        </w:rPr>
        <w:t xml:space="preserve">0.037). Moreover, </w:t>
      </w:r>
      <w:r w:rsidR="008F5CE5" w:rsidRPr="002B2C64">
        <w:rPr>
          <w:rFonts w:ascii="Book Antiqua" w:hAnsi="Book Antiqua"/>
          <w:sz w:val="24"/>
          <w:szCs w:val="24"/>
          <w:lang w:val="en-GB"/>
        </w:rPr>
        <w:t>h</w:t>
      </w:r>
      <w:r w:rsidR="00B05CDB" w:rsidRPr="002B2C64">
        <w:rPr>
          <w:rFonts w:ascii="Book Antiqua" w:hAnsi="Book Antiqua"/>
          <w:sz w:val="24"/>
          <w:szCs w:val="24"/>
          <w:lang w:val="en-GB"/>
        </w:rPr>
        <w:t>igh NLR-</w:t>
      </w:r>
      <w:r w:rsidR="00B05CDB" w:rsidRPr="002B2C64">
        <w:rPr>
          <w:rFonts w:ascii="Book Antiqua" w:hAnsi="Book Antiqua"/>
          <w:sz w:val="24"/>
          <w:szCs w:val="24"/>
          <w:lang w:val="en-GB"/>
        </w:rPr>
        <w:lastRenderedPageBreak/>
        <w:t xml:space="preserve">PLR and PLR-NLR </w:t>
      </w:r>
      <w:r w:rsidRPr="002B2C64">
        <w:rPr>
          <w:rFonts w:ascii="Book Antiqua" w:hAnsi="Book Antiqua"/>
          <w:sz w:val="24"/>
          <w:szCs w:val="24"/>
          <w:lang w:val="en-GB"/>
        </w:rPr>
        <w:t xml:space="preserve">ratios </w:t>
      </w:r>
      <w:r w:rsidR="00B05CDB" w:rsidRPr="002B2C64">
        <w:rPr>
          <w:rFonts w:ascii="Book Antiqua" w:hAnsi="Book Antiqua"/>
          <w:sz w:val="24"/>
          <w:szCs w:val="24"/>
          <w:lang w:val="en-GB"/>
        </w:rPr>
        <w:t>in the blood samples obtained after surgery w</w:t>
      </w:r>
      <w:r w:rsidR="00501A69" w:rsidRPr="002B2C64">
        <w:rPr>
          <w:rFonts w:ascii="Book Antiqua" w:hAnsi="Book Antiqua"/>
          <w:sz w:val="24"/>
          <w:szCs w:val="24"/>
          <w:lang w:val="en-GB"/>
        </w:rPr>
        <w:t>ere</w:t>
      </w:r>
      <w:r w:rsidR="00B05CDB" w:rsidRPr="002B2C64">
        <w:rPr>
          <w:rFonts w:ascii="Book Antiqua" w:hAnsi="Book Antiqua"/>
          <w:sz w:val="24"/>
          <w:szCs w:val="24"/>
          <w:lang w:val="en-GB"/>
        </w:rPr>
        <w:t xml:space="preserve"> positively associated with histological type of cancer and percentage of </w:t>
      </w:r>
      <w:r w:rsidR="002F0844" w:rsidRPr="002B2C64">
        <w:rPr>
          <w:rFonts w:ascii="Book Antiqua" w:hAnsi="Book Antiqua"/>
          <w:sz w:val="24"/>
          <w:szCs w:val="24"/>
          <w:lang w:val="en-GB"/>
        </w:rPr>
        <w:t xml:space="preserve">the </w:t>
      </w:r>
      <w:r w:rsidR="00B05CDB" w:rsidRPr="002B2C64">
        <w:rPr>
          <w:rFonts w:ascii="Book Antiqua" w:hAnsi="Book Antiqua"/>
          <w:sz w:val="24"/>
          <w:szCs w:val="24"/>
          <w:lang w:val="en-GB"/>
        </w:rPr>
        <w:t xml:space="preserve">mucinous component (NLR-PLR: </w:t>
      </w:r>
      <w:r w:rsidR="00F66A5E" w:rsidRPr="002B2C64">
        <w:rPr>
          <w:rFonts w:ascii="Book Antiqua" w:hAnsi="Book Antiqua"/>
          <w:i/>
          <w:iCs/>
          <w:sz w:val="24"/>
          <w:szCs w:val="24"/>
          <w:lang w:val="en-GB"/>
        </w:rPr>
        <w:t>P</w:t>
      </w:r>
      <w:r w:rsidR="00DE4F6E" w:rsidRPr="002B2C64">
        <w:rPr>
          <w:rFonts w:ascii="Book Antiqua" w:hAnsi="Book Antiqua"/>
          <w:i/>
          <w:iCs/>
          <w:sz w:val="24"/>
          <w:szCs w:val="24"/>
          <w:lang w:val="en-GB"/>
        </w:rPr>
        <w:t xml:space="preserve"> </w:t>
      </w:r>
      <w:r w:rsidR="00B05CDB" w:rsidRPr="002B2C64">
        <w:rPr>
          <w:rFonts w:ascii="Book Antiqua" w:hAnsi="Book Antiqua"/>
          <w:sz w:val="24"/>
          <w:szCs w:val="24"/>
          <w:lang w:val="en-GB"/>
        </w:rPr>
        <w:t>=</w:t>
      </w:r>
      <w:r w:rsidR="00DE4F6E" w:rsidRPr="002B2C64">
        <w:rPr>
          <w:rFonts w:ascii="Book Antiqua" w:hAnsi="Book Antiqua"/>
          <w:sz w:val="24"/>
          <w:szCs w:val="24"/>
          <w:lang w:val="en-GB"/>
        </w:rPr>
        <w:t xml:space="preserve"> </w:t>
      </w:r>
      <w:r w:rsidR="00B05CDB" w:rsidRPr="002B2C64">
        <w:rPr>
          <w:rFonts w:ascii="Book Antiqua" w:hAnsi="Book Antiqua"/>
          <w:sz w:val="24"/>
          <w:szCs w:val="24"/>
          <w:lang w:val="en-GB"/>
        </w:rPr>
        <w:t xml:space="preserve">0.002; </w:t>
      </w:r>
      <w:r w:rsidR="00F66A5E" w:rsidRPr="002B2C64">
        <w:rPr>
          <w:rFonts w:ascii="Book Antiqua" w:hAnsi="Book Antiqua"/>
          <w:i/>
          <w:iCs/>
          <w:sz w:val="24"/>
          <w:szCs w:val="24"/>
          <w:lang w:val="en-GB"/>
        </w:rPr>
        <w:t>P</w:t>
      </w:r>
      <w:r w:rsidR="00DE4F6E" w:rsidRPr="002B2C64">
        <w:rPr>
          <w:rFonts w:ascii="Book Antiqua" w:hAnsi="Book Antiqua"/>
          <w:i/>
          <w:iCs/>
          <w:sz w:val="24"/>
          <w:szCs w:val="24"/>
          <w:lang w:val="en-GB"/>
        </w:rPr>
        <w:t xml:space="preserve"> </w:t>
      </w:r>
      <w:r w:rsidR="00B05CDB" w:rsidRPr="002B2C64">
        <w:rPr>
          <w:rFonts w:ascii="Book Antiqua" w:hAnsi="Book Antiqua"/>
          <w:sz w:val="24"/>
          <w:szCs w:val="24"/>
          <w:lang w:val="en-GB"/>
        </w:rPr>
        <w:t>=</w:t>
      </w:r>
      <w:r w:rsidR="00DE4F6E" w:rsidRPr="002B2C64">
        <w:rPr>
          <w:rFonts w:ascii="Book Antiqua" w:hAnsi="Book Antiqua"/>
          <w:sz w:val="24"/>
          <w:szCs w:val="24"/>
          <w:lang w:val="en-GB"/>
        </w:rPr>
        <w:t xml:space="preserve"> </w:t>
      </w:r>
      <w:r w:rsidR="00B05CDB" w:rsidRPr="002B2C64">
        <w:rPr>
          <w:rFonts w:ascii="Book Antiqua" w:hAnsi="Book Antiqua"/>
          <w:sz w:val="24"/>
          <w:szCs w:val="24"/>
          <w:lang w:val="en-GB"/>
        </w:rPr>
        <w:t xml:space="preserve">0.009; PLR-NLR status: </w:t>
      </w:r>
      <w:r w:rsidR="00F66A5E" w:rsidRPr="002B2C64">
        <w:rPr>
          <w:rFonts w:ascii="Book Antiqua" w:hAnsi="Book Antiqua"/>
          <w:i/>
          <w:iCs/>
          <w:sz w:val="24"/>
          <w:szCs w:val="24"/>
          <w:lang w:val="en-GB"/>
        </w:rPr>
        <w:t>P</w:t>
      </w:r>
      <w:r w:rsidR="00DE4F6E" w:rsidRPr="002B2C64">
        <w:rPr>
          <w:rFonts w:ascii="Book Antiqua" w:hAnsi="Book Antiqua"/>
          <w:i/>
          <w:iCs/>
          <w:sz w:val="24"/>
          <w:szCs w:val="24"/>
          <w:lang w:val="en-GB"/>
        </w:rPr>
        <w:t xml:space="preserve"> </w:t>
      </w:r>
      <w:r w:rsidR="00B05CDB" w:rsidRPr="002B2C64">
        <w:rPr>
          <w:rFonts w:ascii="Book Antiqua" w:hAnsi="Book Antiqua"/>
          <w:sz w:val="24"/>
          <w:szCs w:val="24"/>
          <w:lang w:val="en-GB"/>
        </w:rPr>
        <w:t>=</w:t>
      </w:r>
      <w:r w:rsidR="00DE4F6E" w:rsidRPr="002B2C64">
        <w:rPr>
          <w:rFonts w:ascii="Book Antiqua" w:hAnsi="Book Antiqua"/>
          <w:sz w:val="24"/>
          <w:szCs w:val="24"/>
          <w:lang w:val="en-GB"/>
        </w:rPr>
        <w:t xml:space="preserve"> </w:t>
      </w:r>
      <w:r w:rsidR="00B05CDB" w:rsidRPr="002B2C64">
        <w:rPr>
          <w:rFonts w:ascii="Book Antiqua" w:hAnsi="Book Antiqua"/>
          <w:sz w:val="24"/>
          <w:szCs w:val="24"/>
          <w:lang w:val="en-GB"/>
        </w:rPr>
        <w:t xml:space="preserve">0.002; </w:t>
      </w:r>
      <w:r w:rsidR="00F66A5E" w:rsidRPr="002B2C64">
        <w:rPr>
          <w:rFonts w:ascii="Book Antiqua" w:hAnsi="Book Antiqua"/>
          <w:i/>
          <w:iCs/>
          <w:sz w:val="24"/>
          <w:szCs w:val="24"/>
          <w:lang w:val="en-GB"/>
        </w:rPr>
        <w:t>P</w:t>
      </w:r>
      <w:r w:rsidR="00DE4F6E" w:rsidRPr="002B2C64">
        <w:rPr>
          <w:rFonts w:ascii="Book Antiqua" w:hAnsi="Book Antiqua"/>
          <w:i/>
          <w:iCs/>
          <w:sz w:val="24"/>
          <w:szCs w:val="24"/>
          <w:lang w:val="en-GB"/>
        </w:rPr>
        <w:t xml:space="preserve"> </w:t>
      </w:r>
      <w:r w:rsidR="00B05CDB" w:rsidRPr="002B2C64">
        <w:rPr>
          <w:rFonts w:ascii="Book Antiqua" w:hAnsi="Book Antiqua"/>
          <w:sz w:val="24"/>
          <w:szCs w:val="24"/>
          <w:lang w:val="en-GB"/>
        </w:rPr>
        <w:t>=</w:t>
      </w:r>
      <w:r w:rsidR="00DE4F6E" w:rsidRPr="002B2C64">
        <w:rPr>
          <w:rFonts w:ascii="Book Antiqua" w:hAnsi="Book Antiqua"/>
          <w:sz w:val="24"/>
          <w:szCs w:val="24"/>
          <w:lang w:val="en-GB"/>
        </w:rPr>
        <w:t xml:space="preserve"> </w:t>
      </w:r>
      <w:r w:rsidR="00B05CDB" w:rsidRPr="002B2C64">
        <w:rPr>
          <w:rFonts w:ascii="Book Antiqua" w:hAnsi="Book Antiqua"/>
          <w:sz w:val="24"/>
          <w:szCs w:val="24"/>
          <w:lang w:val="en-GB"/>
        </w:rPr>
        <w:t>0.007).</w:t>
      </w:r>
      <w:r w:rsidR="005C5986" w:rsidRPr="002B2C64">
        <w:rPr>
          <w:rFonts w:ascii="Book Antiqua" w:hAnsi="Book Antiqua"/>
          <w:sz w:val="24"/>
          <w:szCs w:val="24"/>
          <w:lang w:val="en-GB"/>
        </w:rPr>
        <w:t xml:space="preserve"> </w:t>
      </w:r>
      <w:r w:rsidR="004B575C" w:rsidRPr="002B2C64">
        <w:rPr>
          <w:rFonts w:ascii="Book Antiqua" w:hAnsi="Book Antiqua"/>
          <w:sz w:val="24"/>
          <w:szCs w:val="24"/>
          <w:lang w:val="en-GB"/>
        </w:rPr>
        <w:t>The analysis of 5-y</w:t>
      </w:r>
      <w:r w:rsidR="00B84375" w:rsidRPr="002B2C64">
        <w:rPr>
          <w:rFonts w:ascii="Book Antiqua" w:hAnsi="Book Antiqua"/>
          <w:sz w:val="24"/>
          <w:szCs w:val="24"/>
          <w:lang w:val="en-GB"/>
        </w:rPr>
        <w:t>ea</w:t>
      </w:r>
      <w:r w:rsidR="004B575C" w:rsidRPr="002B2C64">
        <w:rPr>
          <w:rFonts w:ascii="Book Antiqua" w:hAnsi="Book Antiqua"/>
          <w:sz w:val="24"/>
          <w:szCs w:val="24"/>
          <w:lang w:val="en-GB"/>
        </w:rPr>
        <w:t xml:space="preserve">r </w:t>
      </w:r>
      <w:r w:rsidR="002802C5" w:rsidRPr="002B2C64">
        <w:rPr>
          <w:rFonts w:ascii="Book Antiqua" w:hAnsi="Book Antiqua"/>
          <w:sz w:val="24"/>
          <w:szCs w:val="24"/>
          <w:lang w:val="en-GB"/>
        </w:rPr>
        <w:t>disease-free survival</w:t>
      </w:r>
      <w:r w:rsidR="004B575C" w:rsidRPr="002B2C64">
        <w:rPr>
          <w:rFonts w:ascii="Book Antiqua" w:hAnsi="Book Antiqua"/>
          <w:sz w:val="24"/>
          <w:szCs w:val="24"/>
          <w:lang w:val="en-GB"/>
        </w:rPr>
        <w:t xml:space="preserve"> showed that </w:t>
      </w:r>
      <w:r w:rsidR="00501A69" w:rsidRPr="002B2C64">
        <w:rPr>
          <w:rFonts w:ascii="Book Antiqua" w:hAnsi="Book Antiqua"/>
          <w:sz w:val="24"/>
          <w:szCs w:val="24"/>
          <w:lang w:val="en-GB"/>
        </w:rPr>
        <w:t xml:space="preserve">the </w:t>
      </w:r>
      <w:r w:rsidR="004B575C" w:rsidRPr="002B2C64">
        <w:rPr>
          <w:rFonts w:ascii="Book Antiqua" w:hAnsi="Book Antiqua"/>
          <w:sz w:val="24"/>
          <w:szCs w:val="24"/>
          <w:lang w:val="en-GB"/>
        </w:rPr>
        <w:t>MLR of whol</w:t>
      </w:r>
      <w:r w:rsidR="003D7C99" w:rsidRPr="002B2C64">
        <w:rPr>
          <w:rFonts w:ascii="Book Antiqua" w:hAnsi="Book Antiqua"/>
          <w:sz w:val="24"/>
          <w:szCs w:val="24"/>
          <w:lang w:val="en-GB"/>
        </w:rPr>
        <w:t>e blood obtained after surgery [</w:t>
      </w:r>
      <w:r w:rsidR="004B575C" w:rsidRPr="002B2C64">
        <w:rPr>
          <w:rFonts w:ascii="Book Antiqua" w:eastAsia="Calibri" w:hAnsi="Book Antiqua"/>
          <w:color w:val="auto"/>
          <w:sz w:val="24"/>
          <w:szCs w:val="24"/>
          <w:lang w:val="en-GB" w:eastAsia="pl-PL"/>
        </w:rPr>
        <w:t>HR =</w:t>
      </w:r>
      <w:r w:rsidR="00DE4F6E" w:rsidRPr="002B2C64">
        <w:rPr>
          <w:rFonts w:ascii="Book Antiqua" w:eastAsia="Calibri" w:hAnsi="Book Antiqua"/>
          <w:color w:val="auto"/>
          <w:sz w:val="24"/>
          <w:szCs w:val="24"/>
          <w:lang w:val="en-GB" w:eastAsia="pl-PL"/>
        </w:rPr>
        <w:t xml:space="preserve"> </w:t>
      </w:r>
      <w:r w:rsidR="004B575C" w:rsidRPr="002B2C64">
        <w:rPr>
          <w:rFonts w:ascii="Book Antiqua" w:eastAsia="Calibri" w:hAnsi="Book Antiqua"/>
          <w:color w:val="auto"/>
          <w:sz w:val="24"/>
          <w:szCs w:val="24"/>
          <w:lang w:val="en-GB"/>
        </w:rPr>
        <w:t>2.903</w:t>
      </w:r>
      <w:r w:rsidR="004B575C" w:rsidRPr="002B2C64">
        <w:rPr>
          <w:rFonts w:ascii="Book Antiqua" w:eastAsia="Calibri" w:hAnsi="Book Antiqua"/>
          <w:color w:val="auto"/>
          <w:sz w:val="24"/>
          <w:szCs w:val="24"/>
          <w:lang w:val="en-GB" w:eastAsia="pl-PL"/>
        </w:rPr>
        <w:t xml:space="preserve">, 95%CI: </w:t>
      </w:r>
      <w:r w:rsidR="004B575C" w:rsidRPr="002B2C64">
        <w:rPr>
          <w:rFonts w:ascii="Book Antiqua" w:eastAsia="Calibri" w:hAnsi="Book Antiqua"/>
          <w:color w:val="auto"/>
          <w:sz w:val="24"/>
          <w:szCs w:val="24"/>
          <w:lang w:val="en-GB"/>
        </w:rPr>
        <w:t>(1.368-6.158)</w:t>
      </w:r>
      <w:r w:rsidR="004B575C" w:rsidRPr="002B2C64">
        <w:rPr>
          <w:rFonts w:ascii="Book Antiqua" w:eastAsia="Calibri" w:hAnsi="Book Antiqua"/>
          <w:color w:val="auto"/>
          <w:sz w:val="24"/>
          <w:szCs w:val="24"/>
          <w:lang w:val="en-GB" w:eastAsia="pl-PL"/>
        </w:rPr>
        <w:t>,</w:t>
      </w:r>
      <w:r w:rsidR="004B575C" w:rsidRPr="002B2C64">
        <w:rPr>
          <w:rFonts w:ascii="Book Antiqua" w:eastAsia="Calibri" w:hAnsi="Book Antiqua"/>
          <w:i/>
          <w:iCs/>
          <w:color w:val="auto"/>
          <w:sz w:val="24"/>
          <w:szCs w:val="24"/>
          <w:lang w:val="en-GB" w:eastAsia="pl-PL"/>
        </w:rPr>
        <w:t xml:space="preserve"> </w:t>
      </w:r>
      <w:r w:rsidR="00F66A5E" w:rsidRPr="002B2C64">
        <w:rPr>
          <w:rFonts w:ascii="Book Antiqua" w:eastAsia="Calibri" w:hAnsi="Book Antiqua"/>
          <w:i/>
          <w:iCs/>
          <w:color w:val="auto"/>
          <w:sz w:val="24"/>
          <w:szCs w:val="24"/>
          <w:lang w:val="en-GB"/>
        </w:rPr>
        <w:t>P</w:t>
      </w:r>
      <w:r w:rsidR="00DE4F6E" w:rsidRPr="002B2C64">
        <w:rPr>
          <w:rFonts w:ascii="Book Antiqua" w:eastAsia="Calibri" w:hAnsi="Book Antiqua"/>
          <w:i/>
          <w:iCs/>
          <w:color w:val="auto"/>
          <w:sz w:val="24"/>
          <w:szCs w:val="24"/>
          <w:lang w:val="en-GB"/>
        </w:rPr>
        <w:t xml:space="preserve"> </w:t>
      </w:r>
      <w:r w:rsidR="003D7C99" w:rsidRPr="002B2C64">
        <w:rPr>
          <w:rFonts w:ascii="Book Antiqua" w:eastAsia="Calibri" w:hAnsi="Book Antiqua"/>
          <w:color w:val="auto"/>
          <w:sz w:val="24"/>
          <w:szCs w:val="24"/>
          <w:lang w:val="en-GB"/>
        </w:rPr>
        <w:t>= 0.005]</w:t>
      </w:r>
      <w:r w:rsidR="004B575C" w:rsidRPr="002B2C64">
        <w:rPr>
          <w:rFonts w:ascii="Book Antiqua" w:eastAsia="Calibri" w:hAnsi="Book Antiqua"/>
          <w:color w:val="auto"/>
          <w:sz w:val="24"/>
          <w:szCs w:val="24"/>
          <w:lang w:val="en-GB"/>
        </w:rPr>
        <w:t xml:space="preserve"> </w:t>
      </w:r>
      <w:r w:rsidR="004B575C" w:rsidRPr="002B2C64">
        <w:rPr>
          <w:rFonts w:ascii="Book Antiqua" w:hAnsi="Book Antiqua"/>
          <w:sz w:val="24"/>
          <w:szCs w:val="24"/>
          <w:lang w:val="en-GB"/>
        </w:rPr>
        <w:t xml:space="preserve">and the status of lymph </w:t>
      </w:r>
      <w:r w:rsidR="003D7C99" w:rsidRPr="002B2C64">
        <w:rPr>
          <w:rFonts w:ascii="Book Antiqua" w:hAnsi="Book Antiqua"/>
          <w:sz w:val="24"/>
          <w:szCs w:val="24"/>
          <w:lang w:val="en-GB"/>
        </w:rPr>
        <w:t>node metastasis [</w:t>
      </w:r>
      <w:r w:rsidR="004B575C" w:rsidRPr="002B2C64">
        <w:rPr>
          <w:rFonts w:ascii="Book Antiqua" w:eastAsia="Calibri" w:hAnsi="Book Antiqua"/>
          <w:color w:val="auto"/>
          <w:sz w:val="24"/>
          <w:szCs w:val="24"/>
          <w:lang w:val="en-GB" w:eastAsia="pl-PL"/>
        </w:rPr>
        <w:t>HR =</w:t>
      </w:r>
      <w:r w:rsidR="00DE4F6E" w:rsidRPr="002B2C64">
        <w:rPr>
          <w:rFonts w:ascii="Book Antiqua" w:eastAsia="Calibri" w:hAnsi="Book Antiqua"/>
          <w:color w:val="auto"/>
          <w:sz w:val="24"/>
          <w:szCs w:val="24"/>
          <w:lang w:val="en-GB" w:eastAsia="pl-PL"/>
        </w:rPr>
        <w:t xml:space="preserve"> </w:t>
      </w:r>
      <w:r w:rsidR="004B575C" w:rsidRPr="002B2C64">
        <w:rPr>
          <w:rFonts w:ascii="Book Antiqua" w:eastAsia="Calibri" w:hAnsi="Book Antiqua"/>
          <w:color w:val="auto"/>
          <w:sz w:val="24"/>
          <w:szCs w:val="24"/>
          <w:lang w:val="en-GB"/>
        </w:rPr>
        <w:t>0.813</w:t>
      </w:r>
      <w:r w:rsidR="004B575C" w:rsidRPr="002B2C64">
        <w:rPr>
          <w:rFonts w:ascii="Book Antiqua" w:eastAsia="Calibri" w:hAnsi="Book Antiqua"/>
          <w:color w:val="auto"/>
          <w:sz w:val="24"/>
          <w:szCs w:val="24"/>
          <w:lang w:val="en-GB" w:eastAsia="pl-PL"/>
        </w:rPr>
        <w:t xml:space="preserve">, 95%CI: </w:t>
      </w:r>
      <w:r w:rsidR="004B575C" w:rsidRPr="002B2C64">
        <w:rPr>
          <w:rFonts w:ascii="Book Antiqua" w:eastAsia="Calibri" w:hAnsi="Book Antiqua"/>
          <w:color w:val="auto"/>
          <w:sz w:val="24"/>
          <w:szCs w:val="24"/>
          <w:lang w:val="en-GB"/>
        </w:rPr>
        <w:t>(0.653-1.013)</w:t>
      </w:r>
      <w:r w:rsidR="004B575C" w:rsidRPr="002B2C64">
        <w:rPr>
          <w:rFonts w:ascii="Book Antiqua" w:eastAsia="Calibri" w:hAnsi="Book Antiqua"/>
          <w:color w:val="auto"/>
          <w:sz w:val="24"/>
          <w:szCs w:val="24"/>
          <w:lang w:val="en-GB" w:eastAsia="pl-PL"/>
        </w:rPr>
        <w:t xml:space="preserve">, </w:t>
      </w:r>
      <w:r w:rsidR="00F66A5E" w:rsidRPr="002B2C64">
        <w:rPr>
          <w:rFonts w:ascii="Book Antiqua" w:eastAsia="Calibri" w:hAnsi="Book Antiqua"/>
          <w:i/>
          <w:iCs/>
          <w:color w:val="auto"/>
          <w:sz w:val="24"/>
          <w:szCs w:val="24"/>
          <w:lang w:val="en-GB"/>
        </w:rPr>
        <w:t>P</w:t>
      </w:r>
      <w:r w:rsidR="00DE4F6E" w:rsidRPr="002B2C64">
        <w:rPr>
          <w:rFonts w:ascii="Book Antiqua" w:eastAsia="Calibri" w:hAnsi="Book Antiqua"/>
          <w:i/>
          <w:iCs/>
          <w:color w:val="auto"/>
          <w:sz w:val="24"/>
          <w:szCs w:val="24"/>
          <w:lang w:val="en-GB"/>
        </w:rPr>
        <w:t xml:space="preserve"> </w:t>
      </w:r>
      <w:r w:rsidR="003D7C99" w:rsidRPr="002B2C64">
        <w:rPr>
          <w:rFonts w:ascii="Book Antiqua" w:eastAsia="Calibri" w:hAnsi="Book Antiqua"/>
          <w:color w:val="auto"/>
          <w:sz w:val="24"/>
          <w:szCs w:val="24"/>
          <w:lang w:val="en-GB"/>
        </w:rPr>
        <w:t>= 0.050]</w:t>
      </w:r>
      <w:r w:rsidR="00566A21" w:rsidRPr="002B2C64">
        <w:rPr>
          <w:rFonts w:ascii="Book Antiqua" w:eastAsia="Calibri" w:hAnsi="Book Antiqua"/>
          <w:color w:val="auto"/>
          <w:sz w:val="24"/>
          <w:szCs w:val="24"/>
          <w:lang w:val="en-GB"/>
        </w:rPr>
        <w:t xml:space="preserve"> were independent </w:t>
      </w:r>
      <w:r w:rsidR="00501A69" w:rsidRPr="002B2C64">
        <w:rPr>
          <w:rFonts w:ascii="Book Antiqua" w:eastAsia="Calibri" w:hAnsi="Book Antiqua"/>
          <w:color w:val="auto"/>
          <w:sz w:val="24"/>
          <w:szCs w:val="24"/>
          <w:lang w:val="en-GB"/>
        </w:rPr>
        <w:t xml:space="preserve">prognostic </w:t>
      </w:r>
      <w:r w:rsidR="00566A21" w:rsidRPr="002B2C64">
        <w:rPr>
          <w:rFonts w:ascii="Book Antiqua" w:eastAsia="Calibri" w:hAnsi="Book Antiqua"/>
          <w:color w:val="auto"/>
          <w:sz w:val="24"/>
          <w:szCs w:val="24"/>
          <w:lang w:val="en-GB"/>
        </w:rPr>
        <w:t xml:space="preserve">factors </w:t>
      </w:r>
      <w:r w:rsidR="00982FB4" w:rsidRPr="002B2C64">
        <w:rPr>
          <w:rFonts w:ascii="Book Antiqua" w:eastAsia="Calibri" w:hAnsi="Book Antiqua"/>
          <w:color w:val="auto"/>
          <w:sz w:val="24"/>
          <w:szCs w:val="24"/>
          <w:lang w:val="en-GB"/>
        </w:rPr>
        <w:t xml:space="preserve">in </w:t>
      </w:r>
      <w:r w:rsidR="00566A21" w:rsidRPr="002B2C64">
        <w:rPr>
          <w:rFonts w:ascii="Book Antiqua" w:eastAsia="Calibri" w:hAnsi="Book Antiqua"/>
          <w:color w:val="auto"/>
          <w:sz w:val="24"/>
          <w:szCs w:val="24"/>
          <w:lang w:val="en-GB"/>
        </w:rPr>
        <w:t>colorectal cancer patients</w:t>
      </w:r>
      <w:r w:rsidR="004B575C" w:rsidRPr="002B2C64">
        <w:rPr>
          <w:rFonts w:ascii="Book Antiqua" w:eastAsia="Calibri" w:hAnsi="Book Antiqua"/>
          <w:color w:val="auto"/>
          <w:sz w:val="24"/>
          <w:szCs w:val="24"/>
          <w:lang w:val="en-GB"/>
        </w:rPr>
        <w:t>.</w:t>
      </w:r>
    </w:p>
    <w:p w:rsidR="00701815" w:rsidRPr="002B2C64" w:rsidRDefault="00701815" w:rsidP="0083105B">
      <w:pPr>
        <w:snapToGrid w:val="0"/>
        <w:spacing w:after="0" w:line="360" w:lineRule="auto"/>
        <w:jc w:val="both"/>
        <w:rPr>
          <w:rFonts w:ascii="Book Antiqua" w:eastAsia="Calibri" w:hAnsi="Book Antiqua"/>
          <w:color w:val="auto"/>
          <w:sz w:val="24"/>
          <w:szCs w:val="24"/>
          <w:lang w:val="en-GB"/>
        </w:rPr>
      </w:pPr>
    </w:p>
    <w:p w:rsidR="00701815" w:rsidRPr="002B2C64" w:rsidRDefault="00701815" w:rsidP="0083105B">
      <w:pPr>
        <w:adjustRightInd w:val="0"/>
        <w:snapToGrid w:val="0"/>
        <w:spacing w:after="0" w:line="360" w:lineRule="auto"/>
        <w:jc w:val="both"/>
        <w:rPr>
          <w:rFonts w:ascii="Book Antiqua" w:hAnsi="Book Antiqua"/>
          <w:sz w:val="24"/>
          <w:szCs w:val="24"/>
        </w:rPr>
      </w:pPr>
      <w:r w:rsidRPr="002B2C64">
        <w:rPr>
          <w:rFonts w:ascii="Book Antiqua" w:hAnsi="Book Antiqua"/>
          <w:sz w:val="24"/>
          <w:szCs w:val="24"/>
        </w:rPr>
        <w:t>CONCLUSION</w:t>
      </w:r>
    </w:p>
    <w:p w:rsidR="00F573CD" w:rsidRPr="002B2C64" w:rsidRDefault="002F0844" w:rsidP="0083105B">
      <w:pPr>
        <w:snapToGrid w:val="0"/>
        <w:spacing w:after="0" w:line="360" w:lineRule="auto"/>
        <w:jc w:val="both"/>
        <w:rPr>
          <w:rFonts w:ascii="Book Antiqua" w:hAnsi="Book Antiqua"/>
          <w:sz w:val="24"/>
          <w:szCs w:val="24"/>
          <w:lang w:val="en-GB"/>
        </w:rPr>
      </w:pPr>
      <w:r w:rsidRPr="002B2C64">
        <w:rPr>
          <w:rFonts w:ascii="Book Antiqua" w:eastAsia="Calibri" w:hAnsi="Book Antiqua"/>
          <w:color w:val="auto"/>
          <w:sz w:val="24"/>
          <w:szCs w:val="24"/>
          <w:lang w:val="en-GB"/>
        </w:rPr>
        <w:t>The p</w:t>
      </w:r>
      <w:r w:rsidR="00F31661" w:rsidRPr="002B2C64">
        <w:rPr>
          <w:rFonts w:ascii="Book Antiqua" w:hAnsi="Book Antiqua"/>
          <w:sz w:val="24"/>
          <w:szCs w:val="24"/>
          <w:lang w:val="en-GB"/>
        </w:rPr>
        <w:t xml:space="preserve">ostoperative MLR in whole blood samples can </w:t>
      </w:r>
      <w:r w:rsidR="00C35B1E" w:rsidRPr="002B2C64">
        <w:rPr>
          <w:rFonts w:ascii="Book Antiqua" w:hAnsi="Book Antiqua"/>
          <w:sz w:val="24"/>
          <w:szCs w:val="24"/>
          <w:lang w:val="en-GB"/>
        </w:rPr>
        <w:t xml:space="preserve">be </w:t>
      </w:r>
      <w:r w:rsidR="005C5986" w:rsidRPr="002B2C64">
        <w:rPr>
          <w:rFonts w:ascii="Book Antiqua" w:hAnsi="Book Antiqua"/>
          <w:sz w:val="24"/>
          <w:szCs w:val="24"/>
          <w:lang w:val="en-GB"/>
        </w:rPr>
        <w:t>used</w:t>
      </w:r>
      <w:r w:rsidR="00F31661" w:rsidRPr="002B2C64">
        <w:rPr>
          <w:rFonts w:ascii="Book Antiqua" w:hAnsi="Book Antiqua"/>
          <w:sz w:val="24"/>
          <w:szCs w:val="24"/>
          <w:lang w:val="en-GB"/>
        </w:rPr>
        <w:t xml:space="preserve"> as an independent prognostic factor in patients d</w:t>
      </w:r>
      <w:r w:rsidR="005C5986" w:rsidRPr="002B2C64">
        <w:rPr>
          <w:rFonts w:ascii="Book Antiqua" w:hAnsi="Book Antiqua"/>
          <w:sz w:val="24"/>
          <w:szCs w:val="24"/>
          <w:lang w:val="en-GB"/>
        </w:rPr>
        <w:t>iagnosed with colorectal cancer.</w:t>
      </w:r>
    </w:p>
    <w:p w:rsidR="00C22597" w:rsidRPr="002B2C64" w:rsidRDefault="00C22597" w:rsidP="0083105B">
      <w:pPr>
        <w:snapToGrid w:val="0"/>
        <w:spacing w:after="0" w:line="360" w:lineRule="auto"/>
        <w:jc w:val="both"/>
        <w:rPr>
          <w:rFonts w:ascii="Book Antiqua" w:hAnsi="Book Antiqua"/>
          <w:sz w:val="24"/>
          <w:szCs w:val="24"/>
          <w:lang w:val="en-GB"/>
        </w:rPr>
      </w:pPr>
    </w:p>
    <w:p w:rsidR="00657AB1" w:rsidRPr="002B2C64" w:rsidRDefault="00701815" w:rsidP="0083105B">
      <w:pPr>
        <w:snapToGrid w:val="0"/>
        <w:spacing w:after="0" w:line="360" w:lineRule="auto"/>
        <w:jc w:val="both"/>
        <w:rPr>
          <w:rFonts w:ascii="Book Antiqua" w:hAnsi="Book Antiqua"/>
          <w:sz w:val="24"/>
          <w:szCs w:val="24"/>
          <w:lang w:val="en-GB"/>
        </w:rPr>
      </w:pPr>
      <w:bookmarkStart w:id="20" w:name="_Hlk8052531"/>
      <w:bookmarkStart w:id="21" w:name="_Hlk44866319"/>
      <w:r w:rsidRPr="002B2C64">
        <w:rPr>
          <w:rFonts w:ascii="Book Antiqua" w:hAnsi="Book Antiqua"/>
          <w:b/>
          <w:sz w:val="24"/>
          <w:szCs w:val="24"/>
          <w:lang w:val="hu-HU"/>
        </w:rPr>
        <w:t>Key words:</w:t>
      </w:r>
      <w:bookmarkEnd w:id="20"/>
      <w:bookmarkEnd w:id="21"/>
      <w:r w:rsidRPr="002B2C64">
        <w:rPr>
          <w:rFonts w:ascii="Book Antiqua" w:hAnsi="Book Antiqua"/>
          <w:b/>
          <w:sz w:val="24"/>
          <w:szCs w:val="24"/>
          <w:lang w:val="hu-HU"/>
        </w:rPr>
        <w:t xml:space="preserve"> </w:t>
      </w:r>
      <w:bookmarkStart w:id="22" w:name="OLE_LINK13"/>
      <w:r w:rsidR="00C22597" w:rsidRPr="002B2C64">
        <w:rPr>
          <w:rFonts w:ascii="Book Antiqua" w:hAnsi="Book Antiqua"/>
          <w:sz w:val="24"/>
          <w:szCs w:val="24"/>
          <w:lang w:val="en-GB"/>
        </w:rPr>
        <w:t xml:space="preserve">Monocyte count; </w:t>
      </w:r>
      <w:bookmarkStart w:id="23" w:name="OLE_LINK1"/>
      <w:r w:rsidR="00DE4F6E" w:rsidRPr="002B2C64">
        <w:rPr>
          <w:rFonts w:ascii="Book Antiqua" w:hAnsi="Book Antiqua"/>
          <w:sz w:val="24"/>
          <w:szCs w:val="24"/>
          <w:lang w:val="en-GB"/>
        </w:rPr>
        <w:t>Monocyte to lymphocyte ratio</w:t>
      </w:r>
      <w:bookmarkEnd w:id="23"/>
      <w:r w:rsidR="00C22597" w:rsidRPr="002B2C64">
        <w:rPr>
          <w:rFonts w:ascii="Book Antiqua" w:hAnsi="Book Antiqua"/>
          <w:sz w:val="24"/>
          <w:szCs w:val="24"/>
          <w:lang w:val="en-GB"/>
        </w:rPr>
        <w:t xml:space="preserve">; </w:t>
      </w:r>
      <w:bookmarkStart w:id="24" w:name="OLE_LINK2"/>
      <w:bookmarkStart w:id="25" w:name="OLE_LINK8"/>
      <w:r w:rsidR="00DE4F6E" w:rsidRPr="002B2C64">
        <w:rPr>
          <w:rFonts w:ascii="Book Antiqua" w:hAnsi="Book Antiqua"/>
          <w:sz w:val="24"/>
          <w:szCs w:val="24"/>
          <w:lang w:val="en-GB"/>
        </w:rPr>
        <w:t>Platelet</w:t>
      </w:r>
      <w:bookmarkEnd w:id="24"/>
      <w:r w:rsidR="00C22597" w:rsidRPr="002B2C64">
        <w:rPr>
          <w:rFonts w:ascii="Book Antiqua" w:hAnsi="Book Antiqua"/>
          <w:sz w:val="24"/>
          <w:szCs w:val="24"/>
          <w:lang w:val="en-GB"/>
        </w:rPr>
        <w:t xml:space="preserve">; </w:t>
      </w:r>
      <w:bookmarkStart w:id="26" w:name="OLE_LINK3"/>
      <w:r w:rsidR="00DE4F6E" w:rsidRPr="002B2C64">
        <w:rPr>
          <w:rFonts w:ascii="Book Antiqua" w:hAnsi="Book Antiqua"/>
          <w:sz w:val="24"/>
          <w:szCs w:val="24"/>
          <w:lang w:val="en-GB"/>
        </w:rPr>
        <w:t>Neutrophil-to-lymphocyte ratio</w:t>
      </w:r>
      <w:bookmarkEnd w:id="25"/>
      <w:bookmarkEnd w:id="26"/>
      <w:r w:rsidR="00C22597" w:rsidRPr="002B2C64">
        <w:rPr>
          <w:rFonts w:ascii="Book Antiqua" w:hAnsi="Book Antiqua"/>
          <w:sz w:val="24"/>
          <w:szCs w:val="24"/>
          <w:lang w:val="en-GB"/>
        </w:rPr>
        <w:t xml:space="preserve">; </w:t>
      </w:r>
      <w:bookmarkStart w:id="27" w:name="OLE_LINK9"/>
      <w:bookmarkStart w:id="28" w:name="OLE_LINK4"/>
      <w:r w:rsidR="00C22597" w:rsidRPr="002B2C64">
        <w:rPr>
          <w:rFonts w:ascii="Book Antiqua" w:hAnsi="Book Antiqua"/>
          <w:sz w:val="24"/>
          <w:szCs w:val="24"/>
          <w:lang w:val="en-GB"/>
        </w:rPr>
        <w:t>Colorectal cancer</w:t>
      </w:r>
      <w:bookmarkEnd w:id="28"/>
      <w:r w:rsidR="00C22597" w:rsidRPr="002B2C64">
        <w:rPr>
          <w:rFonts w:ascii="Book Antiqua" w:hAnsi="Book Antiqua"/>
          <w:sz w:val="24"/>
          <w:szCs w:val="24"/>
          <w:lang w:val="en-GB"/>
        </w:rPr>
        <w:t xml:space="preserve">; </w:t>
      </w:r>
      <w:bookmarkStart w:id="29" w:name="OLE_LINK5"/>
      <w:r w:rsidR="00DE4F6E" w:rsidRPr="002B2C64">
        <w:rPr>
          <w:rFonts w:ascii="Book Antiqua" w:hAnsi="Book Antiqua"/>
          <w:sz w:val="24"/>
          <w:szCs w:val="24"/>
          <w:lang w:val="en-GB"/>
        </w:rPr>
        <w:t>P</w:t>
      </w:r>
      <w:r w:rsidR="00C22597" w:rsidRPr="002B2C64">
        <w:rPr>
          <w:rFonts w:ascii="Book Antiqua" w:hAnsi="Book Antiqua"/>
          <w:sz w:val="24"/>
          <w:szCs w:val="24"/>
          <w:lang w:val="en-GB"/>
        </w:rPr>
        <w:t>rognosis</w:t>
      </w:r>
      <w:bookmarkEnd w:id="27"/>
    </w:p>
    <w:bookmarkEnd w:id="22"/>
    <w:bookmarkEnd w:id="29"/>
    <w:p w:rsidR="00DE4F6E" w:rsidRPr="002B2C64" w:rsidRDefault="00DE4F6E" w:rsidP="0083105B">
      <w:pPr>
        <w:snapToGrid w:val="0"/>
        <w:spacing w:after="0" w:line="360" w:lineRule="auto"/>
        <w:jc w:val="both"/>
        <w:rPr>
          <w:rFonts w:ascii="Book Antiqua" w:hAnsi="Book Antiqua"/>
          <w:sz w:val="24"/>
          <w:szCs w:val="24"/>
          <w:lang w:val="en-GB"/>
        </w:rPr>
      </w:pPr>
    </w:p>
    <w:p w:rsidR="002B2C64" w:rsidRPr="002B2C64" w:rsidRDefault="002B2C64" w:rsidP="002B2C64">
      <w:pPr>
        <w:adjustRightInd w:val="0"/>
        <w:snapToGrid w:val="0"/>
        <w:spacing w:after="0" w:line="360" w:lineRule="auto"/>
        <w:jc w:val="both"/>
        <w:rPr>
          <w:rFonts w:ascii="Book Antiqua" w:hAnsi="Book Antiqua" w:hint="eastAsia"/>
          <w:bCs/>
          <w:iCs/>
          <w:sz w:val="24"/>
          <w:szCs w:val="24"/>
          <w:lang w:eastAsia="zh-CN"/>
        </w:rPr>
      </w:pPr>
      <w:bookmarkStart w:id="30" w:name="OLE_LINK14"/>
      <w:r w:rsidRPr="002B2C64">
        <w:rPr>
          <w:rFonts w:ascii="Book Antiqua" w:hAnsi="Book Antiqua" w:hint="eastAsia"/>
          <w:b/>
          <w:bCs/>
          <w:sz w:val="24"/>
          <w:szCs w:val="24"/>
          <w:lang w:val="pl-PL" w:eastAsia="zh-CN"/>
        </w:rPr>
        <w:t>Citation:</w:t>
      </w:r>
      <w:r w:rsidRPr="002B2C64">
        <w:rPr>
          <w:rFonts w:ascii="Book Antiqua" w:hAnsi="Book Antiqua" w:hint="eastAsia"/>
          <w:bCs/>
          <w:sz w:val="24"/>
          <w:szCs w:val="24"/>
          <w:lang w:val="pl-PL" w:eastAsia="zh-CN"/>
        </w:rPr>
        <w:t xml:space="preserve"> </w:t>
      </w:r>
      <w:r w:rsidRPr="002B2C64">
        <w:rPr>
          <w:rFonts w:ascii="Book Antiqua" w:hAnsi="Book Antiqua"/>
          <w:bCs/>
          <w:sz w:val="24"/>
          <w:szCs w:val="24"/>
          <w:lang w:val="pl-PL"/>
        </w:rPr>
        <w:t>Jakubowska K, Koda M, Grudzińska M, Kańczuga-Koda L, Famulski W.</w:t>
      </w:r>
      <w:r w:rsidRPr="002B2C64">
        <w:rPr>
          <w:rFonts w:ascii="Book Antiqua" w:hAnsi="Book Antiqua"/>
          <w:b/>
          <w:sz w:val="24"/>
          <w:szCs w:val="24"/>
          <w:lang w:val="en-GB"/>
        </w:rPr>
        <w:t xml:space="preserve"> </w:t>
      </w:r>
      <w:r w:rsidRPr="002B2C64">
        <w:rPr>
          <w:rFonts w:ascii="Book Antiqua" w:hAnsi="Book Antiqua"/>
          <w:bCs/>
          <w:sz w:val="24"/>
          <w:szCs w:val="24"/>
          <w:lang w:val="en-GB"/>
        </w:rPr>
        <w:t>Monocyte-to-lymphocyte ratio as a prognostic factor in peripheral whole blood samples of colorectal cancer patients.</w:t>
      </w:r>
      <w:bookmarkStart w:id="31" w:name="_Hlk44866860"/>
      <w:r w:rsidRPr="002B2C64">
        <w:rPr>
          <w:rFonts w:ascii="Book Antiqua" w:hAnsi="Book Antiqua"/>
          <w:bCs/>
          <w:i/>
          <w:iCs/>
          <w:sz w:val="24"/>
          <w:szCs w:val="24"/>
        </w:rPr>
        <w:t xml:space="preserve"> World J Gastroenterol </w:t>
      </w:r>
      <w:r w:rsidRPr="002B2C64">
        <w:rPr>
          <w:rFonts w:ascii="Book Antiqua" w:hAnsi="Book Antiqua"/>
          <w:bCs/>
          <w:iCs/>
          <w:sz w:val="24"/>
          <w:szCs w:val="24"/>
        </w:rPr>
        <w:t xml:space="preserve">2020; </w:t>
      </w:r>
      <w:bookmarkEnd w:id="30"/>
      <w:bookmarkEnd w:id="31"/>
      <w:r w:rsidRPr="002B2C64">
        <w:rPr>
          <w:rFonts w:ascii="Book Antiqua" w:hAnsi="Book Antiqua"/>
          <w:bCs/>
          <w:iCs/>
          <w:sz w:val="24"/>
          <w:szCs w:val="24"/>
        </w:rPr>
        <w:t xml:space="preserve">26(31): </w:t>
      </w:r>
      <w:r w:rsidRPr="002B2C64">
        <w:rPr>
          <w:rFonts w:ascii="Book Antiqua" w:hAnsi="Book Antiqua" w:hint="eastAsia"/>
          <w:bCs/>
          <w:iCs/>
          <w:sz w:val="24"/>
          <w:szCs w:val="24"/>
          <w:lang w:eastAsia="zh-CN"/>
        </w:rPr>
        <w:t>4639</w:t>
      </w:r>
      <w:r w:rsidRPr="002B2C64">
        <w:rPr>
          <w:rFonts w:ascii="Book Antiqua" w:hAnsi="Book Antiqua"/>
          <w:bCs/>
          <w:iCs/>
          <w:sz w:val="24"/>
          <w:szCs w:val="24"/>
        </w:rPr>
        <w:t>-</w:t>
      </w:r>
      <w:r w:rsidRPr="002B2C64">
        <w:rPr>
          <w:rFonts w:ascii="Book Antiqua" w:hAnsi="Book Antiqua" w:hint="eastAsia"/>
          <w:bCs/>
          <w:iCs/>
          <w:sz w:val="24"/>
          <w:szCs w:val="24"/>
          <w:lang w:eastAsia="zh-CN"/>
        </w:rPr>
        <w:t>4655</w:t>
      </w:r>
      <w:r w:rsidRPr="002B2C64">
        <w:rPr>
          <w:rFonts w:ascii="Book Antiqua" w:hAnsi="Book Antiqua"/>
          <w:bCs/>
          <w:iCs/>
          <w:sz w:val="24"/>
          <w:szCs w:val="24"/>
        </w:rPr>
        <w:t xml:space="preserve">  </w:t>
      </w:r>
    </w:p>
    <w:p w:rsidR="002B2C64" w:rsidRPr="002B2C64" w:rsidRDefault="002B2C64" w:rsidP="002B2C64">
      <w:pPr>
        <w:adjustRightInd w:val="0"/>
        <w:snapToGrid w:val="0"/>
        <w:spacing w:after="0" w:line="360" w:lineRule="auto"/>
        <w:jc w:val="both"/>
        <w:rPr>
          <w:rFonts w:ascii="Book Antiqua" w:hAnsi="Book Antiqua" w:hint="eastAsia"/>
          <w:bCs/>
          <w:iCs/>
          <w:sz w:val="24"/>
          <w:szCs w:val="24"/>
          <w:lang w:eastAsia="zh-CN"/>
        </w:rPr>
      </w:pPr>
      <w:r w:rsidRPr="002B2C64">
        <w:rPr>
          <w:rFonts w:ascii="Book Antiqua" w:hAnsi="Book Antiqua"/>
          <w:b/>
          <w:bCs/>
          <w:iCs/>
          <w:sz w:val="24"/>
          <w:szCs w:val="24"/>
        </w:rPr>
        <w:t>URL:</w:t>
      </w:r>
      <w:r w:rsidRPr="002B2C64">
        <w:rPr>
          <w:rFonts w:ascii="Book Antiqua" w:hAnsi="Book Antiqua"/>
          <w:bCs/>
          <w:iCs/>
          <w:sz w:val="24"/>
          <w:szCs w:val="24"/>
        </w:rPr>
        <w:t xml:space="preserve"> https://www.wjgnet.com/1007-9327/full/v26/i31/</w:t>
      </w:r>
      <w:r w:rsidRPr="002B2C64">
        <w:rPr>
          <w:rFonts w:ascii="Book Antiqua" w:hAnsi="Book Antiqua" w:hint="eastAsia"/>
          <w:bCs/>
          <w:iCs/>
          <w:sz w:val="24"/>
          <w:szCs w:val="24"/>
          <w:lang w:eastAsia="zh-CN"/>
        </w:rPr>
        <w:t>4639</w:t>
      </w:r>
      <w:r w:rsidRPr="002B2C64">
        <w:rPr>
          <w:rFonts w:ascii="Book Antiqua" w:hAnsi="Book Antiqua"/>
          <w:bCs/>
          <w:iCs/>
          <w:sz w:val="24"/>
          <w:szCs w:val="24"/>
        </w:rPr>
        <w:t xml:space="preserve">.htm  </w:t>
      </w:r>
    </w:p>
    <w:p w:rsidR="002B2C64" w:rsidRPr="002B2C64" w:rsidRDefault="002B2C64" w:rsidP="002B2C64">
      <w:pPr>
        <w:adjustRightInd w:val="0"/>
        <w:snapToGrid w:val="0"/>
        <w:spacing w:after="0" w:line="360" w:lineRule="auto"/>
        <w:jc w:val="both"/>
        <w:rPr>
          <w:rFonts w:ascii="Book Antiqua" w:hAnsi="Book Antiqua" w:hint="eastAsia"/>
          <w:sz w:val="24"/>
          <w:szCs w:val="24"/>
          <w:lang w:val="pl-PL" w:eastAsia="zh-CN"/>
        </w:rPr>
      </w:pPr>
      <w:r w:rsidRPr="002B2C64">
        <w:rPr>
          <w:rFonts w:ascii="Book Antiqua" w:hAnsi="Book Antiqua"/>
          <w:bCs/>
          <w:iCs/>
          <w:sz w:val="24"/>
          <w:szCs w:val="24"/>
        </w:rPr>
        <w:t>DOI: https://dx.doi.org/10.3748/wjg.v26.i31.</w:t>
      </w:r>
      <w:r w:rsidRPr="002B2C64">
        <w:rPr>
          <w:rFonts w:ascii="Book Antiqua" w:hAnsi="Book Antiqua" w:hint="eastAsia"/>
          <w:bCs/>
          <w:iCs/>
          <w:sz w:val="24"/>
          <w:szCs w:val="24"/>
          <w:lang w:eastAsia="zh-CN"/>
        </w:rPr>
        <w:t>4639</w:t>
      </w:r>
    </w:p>
    <w:p w:rsidR="00DE4F6E" w:rsidRPr="002B2C64" w:rsidRDefault="00DE4F6E" w:rsidP="0083105B">
      <w:pPr>
        <w:snapToGrid w:val="0"/>
        <w:spacing w:after="0" w:line="360" w:lineRule="auto"/>
        <w:jc w:val="both"/>
        <w:rPr>
          <w:rFonts w:ascii="Book Antiqua" w:hAnsi="Book Antiqua"/>
          <w:sz w:val="24"/>
          <w:szCs w:val="24"/>
          <w:lang w:val="pl-PL"/>
        </w:rPr>
      </w:pPr>
    </w:p>
    <w:p w:rsidR="009E4737" w:rsidRPr="002B2C64" w:rsidRDefault="00657AB1" w:rsidP="0083105B">
      <w:pPr>
        <w:snapToGrid w:val="0"/>
        <w:spacing w:after="0" w:line="360" w:lineRule="auto"/>
        <w:jc w:val="both"/>
        <w:rPr>
          <w:rFonts w:ascii="Book Antiqua" w:hAnsi="Book Antiqua"/>
          <w:sz w:val="24"/>
          <w:szCs w:val="24"/>
          <w:lang w:val="en-GB"/>
        </w:rPr>
      </w:pPr>
      <w:r w:rsidRPr="002B2C64">
        <w:rPr>
          <w:rFonts w:ascii="Book Antiqua" w:hAnsi="Book Antiqua"/>
          <w:b/>
          <w:bCs/>
          <w:color w:val="000000"/>
          <w:sz w:val="24"/>
          <w:szCs w:val="24"/>
        </w:rPr>
        <w:t>Core tip:</w:t>
      </w:r>
      <w:r w:rsidR="00F02B21" w:rsidRPr="002B2C64">
        <w:rPr>
          <w:rFonts w:ascii="Book Antiqua" w:hAnsi="Book Antiqua"/>
          <w:b/>
          <w:bCs/>
          <w:color w:val="000000"/>
          <w:sz w:val="24"/>
          <w:szCs w:val="24"/>
        </w:rPr>
        <w:t xml:space="preserve"> </w:t>
      </w:r>
      <w:bookmarkStart w:id="32" w:name="OLE_LINK24"/>
      <w:bookmarkStart w:id="33" w:name="OLE_LINK25"/>
      <w:r w:rsidR="00F02B21" w:rsidRPr="002B2C64">
        <w:rPr>
          <w:rFonts w:ascii="Book Antiqua" w:hAnsi="Book Antiqua"/>
          <w:bCs/>
          <w:color w:val="000000"/>
          <w:sz w:val="24"/>
          <w:szCs w:val="24"/>
        </w:rPr>
        <w:t xml:space="preserve">This </w:t>
      </w:r>
      <w:r w:rsidR="00F02B21" w:rsidRPr="002B2C64">
        <w:rPr>
          <w:rFonts w:ascii="Book Antiqua" w:hAnsi="Book Antiqua"/>
          <w:bCs/>
          <w:sz w:val="24"/>
          <w:szCs w:val="24"/>
        </w:rPr>
        <w:t>is a retrospective study evaluat</w:t>
      </w:r>
      <w:r w:rsidR="00501A69" w:rsidRPr="002B2C64">
        <w:rPr>
          <w:rFonts w:ascii="Book Antiqua" w:hAnsi="Book Antiqua"/>
          <w:bCs/>
          <w:sz w:val="24"/>
          <w:szCs w:val="24"/>
        </w:rPr>
        <w:t>ing</w:t>
      </w:r>
      <w:r w:rsidR="00F02B21" w:rsidRPr="002B2C64">
        <w:rPr>
          <w:rFonts w:ascii="Book Antiqua" w:hAnsi="Book Antiqua"/>
          <w:bCs/>
          <w:sz w:val="24"/>
          <w:szCs w:val="24"/>
        </w:rPr>
        <w:t xml:space="preserve"> the </w:t>
      </w:r>
      <w:r w:rsidR="003D7C99" w:rsidRPr="002B2C64">
        <w:rPr>
          <w:rFonts w:ascii="Book Antiqua" w:hAnsi="Book Antiqua"/>
          <w:bCs/>
          <w:sz w:val="24"/>
          <w:szCs w:val="24"/>
        </w:rPr>
        <w:t>monocyte</w:t>
      </w:r>
      <w:r w:rsidR="00F02B21" w:rsidRPr="002B2C64">
        <w:rPr>
          <w:rFonts w:ascii="Book Antiqua" w:hAnsi="Book Antiqua"/>
          <w:bCs/>
          <w:sz w:val="24"/>
          <w:szCs w:val="24"/>
        </w:rPr>
        <w:t>-to-lymphocyte ratio in peripheral whole blood samples of colorectal cancer patients. H</w:t>
      </w:r>
      <w:r w:rsidR="002F0844" w:rsidRPr="002B2C64">
        <w:rPr>
          <w:rFonts w:ascii="Book Antiqua" w:hAnsi="Book Antiqua"/>
          <w:bCs/>
          <w:sz w:val="24"/>
          <w:szCs w:val="24"/>
        </w:rPr>
        <w:t>a</w:t>
      </w:r>
      <w:r w:rsidR="00F02B21" w:rsidRPr="002B2C64">
        <w:rPr>
          <w:rFonts w:ascii="Book Antiqua" w:hAnsi="Book Antiqua"/>
          <w:bCs/>
          <w:sz w:val="24"/>
          <w:szCs w:val="24"/>
        </w:rPr>
        <w:t xml:space="preserve">ematologic parameters can be useful in the diagnosis and prognosis </w:t>
      </w:r>
      <w:r w:rsidR="00501A69" w:rsidRPr="002B2C64">
        <w:rPr>
          <w:rFonts w:ascii="Book Antiqua" w:hAnsi="Book Antiqua"/>
          <w:bCs/>
          <w:sz w:val="24"/>
          <w:szCs w:val="24"/>
        </w:rPr>
        <w:t>of</w:t>
      </w:r>
      <w:r w:rsidR="00F02B21" w:rsidRPr="002B2C64">
        <w:rPr>
          <w:rFonts w:ascii="Book Antiqua" w:hAnsi="Book Antiqua"/>
          <w:bCs/>
          <w:sz w:val="24"/>
          <w:szCs w:val="24"/>
        </w:rPr>
        <w:t xml:space="preserve"> colorectal cancer. </w:t>
      </w:r>
      <w:r w:rsidR="00501A69" w:rsidRPr="002B2C64">
        <w:rPr>
          <w:rFonts w:ascii="Book Antiqua" w:hAnsi="Book Antiqua"/>
          <w:bCs/>
          <w:sz w:val="24"/>
          <w:szCs w:val="24"/>
        </w:rPr>
        <w:t>The m</w:t>
      </w:r>
      <w:r w:rsidR="009E4737" w:rsidRPr="002B2C64">
        <w:rPr>
          <w:rFonts w:ascii="Book Antiqua" w:hAnsi="Book Antiqua"/>
          <w:bCs/>
          <w:sz w:val="24"/>
          <w:szCs w:val="24"/>
        </w:rPr>
        <w:t>onocyte-to-lymphocyte ratio</w:t>
      </w:r>
      <w:r w:rsidR="00F87172" w:rsidRPr="002B2C64">
        <w:rPr>
          <w:rFonts w:ascii="Book Antiqua" w:hAnsi="Book Antiqua"/>
          <w:bCs/>
          <w:sz w:val="24"/>
          <w:szCs w:val="24"/>
        </w:rPr>
        <w:t xml:space="preserve"> </w:t>
      </w:r>
      <w:r w:rsidR="00F87172" w:rsidRPr="002B2C64">
        <w:rPr>
          <w:rFonts w:ascii="Book Antiqua" w:hAnsi="Book Antiqua"/>
          <w:sz w:val="24"/>
          <w:szCs w:val="24"/>
          <w:lang w:val="en-GB"/>
        </w:rPr>
        <w:t xml:space="preserve">of whole blood obtained after surgery was </w:t>
      </w:r>
      <w:r w:rsidR="00501A69" w:rsidRPr="002B2C64">
        <w:rPr>
          <w:rFonts w:ascii="Book Antiqua" w:hAnsi="Book Antiqua"/>
          <w:sz w:val="24"/>
          <w:szCs w:val="24"/>
          <w:lang w:val="en-GB"/>
        </w:rPr>
        <w:t xml:space="preserve">an </w:t>
      </w:r>
      <w:r w:rsidR="00F87172" w:rsidRPr="002B2C64">
        <w:rPr>
          <w:rFonts w:ascii="Book Antiqua" w:hAnsi="Book Antiqua"/>
          <w:sz w:val="24"/>
          <w:szCs w:val="24"/>
          <w:lang w:val="en-GB"/>
        </w:rPr>
        <w:t xml:space="preserve">independent factor in </w:t>
      </w:r>
      <w:r w:rsidR="00501A69" w:rsidRPr="002B2C64">
        <w:rPr>
          <w:rFonts w:ascii="Book Antiqua" w:hAnsi="Book Antiqua"/>
          <w:sz w:val="24"/>
          <w:szCs w:val="24"/>
          <w:lang w:val="en-GB"/>
        </w:rPr>
        <w:t>the</w:t>
      </w:r>
      <w:r w:rsidR="00F87172" w:rsidRPr="002B2C64">
        <w:rPr>
          <w:rFonts w:ascii="Book Antiqua" w:hAnsi="Book Antiqua"/>
          <w:sz w:val="24"/>
          <w:szCs w:val="24"/>
          <w:lang w:val="en-GB"/>
        </w:rPr>
        <w:t xml:space="preserve"> 5-y</w:t>
      </w:r>
      <w:r w:rsidR="00B84375" w:rsidRPr="002B2C64">
        <w:rPr>
          <w:rFonts w:ascii="Book Antiqua" w:hAnsi="Book Antiqua"/>
          <w:sz w:val="24"/>
          <w:szCs w:val="24"/>
          <w:lang w:val="en-GB"/>
        </w:rPr>
        <w:t>ea</w:t>
      </w:r>
      <w:r w:rsidR="00F87172" w:rsidRPr="002B2C64">
        <w:rPr>
          <w:rFonts w:ascii="Book Antiqua" w:hAnsi="Book Antiqua"/>
          <w:sz w:val="24"/>
          <w:szCs w:val="24"/>
          <w:lang w:val="en-GB"/>
        </w:rPr>
        <w:t>r disease</w:t>
      </w:r>
      <w:r w:rsidR="00501A69" w:rsidRPr="002B2C64">
        <w:rPr>
          <w:rFonts w:ascii="Book Antiqua" w:hAnsi="Book Antiqua"/>
          <w:sz w:val="24"/>
          <w:szCs w:val="24"/>
          <w:lang w:val="en-GB"/>
        </w:rPr>
        <w:t>-</w:t>
      </w:r>
      <w:r w:rsidR="00F87172" w:rsidRPr="002B2C64">
        <w:rPr>
          <w:rFonts w:ascii="Book Antiqua" w:hAnsi="Book Antiqua"/>
          <w:sz w:val="24"/>
          <w:szCs w:val="24"/>
          <w:lang w:val="en-GB"/>
        </w:rPr>
        <w:t>free survival time</w:t>
      </w:r>
      <w:r w:rsidR="006C613B" w:rsidRPr="002B2C64">
        <w:rPr>
          <w:rFonts w:ascii="Book Antiqua" w:hAnsi="Book Antiqua"/>
          <w:sz w:val="24"/>
          <w:szCs w:val="24"/>
          <w:lang w:val="en-GB"/>
        </w:rPr>
        <w:t xml:space="preserve"> </w:t>
      </w:r>
      <w:r w:rsidR="00F87172" w:rsidRPr="002B2C64">
        <w:rPr>
          <w:rFonts w:ascii="Book Antiqua" w:hAnsi="Book Antiqua"/>
          <w:sz w:val="24"/>
          <w:szCs w:val="24"/>
          <w:lang w:val="en-GB"/>
        </w:rPr>
        <w:t xml:space="preserve">of colorectal </w:t>
      </w:r>
      <w:r w:rsidR="006C613B" w:rsidRPr="002B2C64">
        <w:rPr>
          <w:rFonts w:ascii="Book Antiqua" w:hAnsi="Book Antiqua"/>
          <w:sz w:val="24"/>
          <w:szCs w:val="24"/>
          <w:lang w:val="en-GB"/>
        </w:rPr>
        <w:t xml:space="preserve">cancer </w:t>
      </w:r>
      <w:r w:rsidR="00F87172" w:rsidRPr="002B2C64">
        <w:rPr>
          <w:rFonts w:ascii="Book Antiqua" w:hAnsi="Book Antiqua"/>
          <w:sz w:val="24"/>
          <w:szCs w:val="24"/>
          <w:lang w:val="en-GB"/>
        </w:rPr>
        <w:t>patients.</w:t>
      </w:r>
    </w:p>
    <w:bookmarkEnd w:id="32"/>
    <w:bookmarkEnd w:id="33"/>
    <w:p w:rsidR="003E5745" w:rsidRPr="002B2C64" w:rsidRDefault="009E4737"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br w:type="page"/>
      </w:r>
      <w:r w:rsidR="003E5745" w:rsidRPr="002B2C64">
        <w:rPr>
          <w:rFonts w:ascii="Book Antiqua" w:hAnsi="Book Antiqua"/>
          <w:b/>
          <w:sz w:val="24"/>
          <w:szCs w:val="24"/>
          <w:u w:val="single"/>
          <w:lang w:val="en-GB"/>
        </w:rPr>
        <w:lastRenderedPageBreak/>
        <w:t xml:space="preserve">INTRODUCTION </w:t>
      </w:r>
    </w:p>
    <w:p w:rsidR="009E0312" w:rsidRPr="002B2C64" w:rsidRDefault="003E5745" w:rsidP="0083105B">
      <w:pPr>
        <w:widowControl w:val="0"/>
        <w:autoSpaceDE w:val="0"/>
        <w:autoSpaceDN w:val="0"/>
        <w:adjustRightInd w:val="0"/>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According to the latest data</w:t>
      </w:r>
      <w:r w:rsidR="00985799" w:rsidRPr="002B2C64">
        <w:rPr>
          <w:rFonts w:ascii="Book Antiqua" w:hAnsi="Book Antiqua"/>
          <w:sz w:val="24"/>
          <w:szCs w:val="24"/>
          <w:lang w:val="en-GB"/>
        </w:rPr>
        <w:t>,</w:t>
      </w:r>
      <w:r w:rsidRPr="002B2C64">
        <w:rPr>
          <w:rFonts w:ascii="Book Antiqua" w:hAnsi="Book Antiqua"/>
          <w:sz w:val="24"/>
          <w:szCs w:val="24"/>
          <w:lang w:val="en-GB"/>
        </w:rPr>
        <w:t xml:space="preserve"> colorectal cancer (CRC) is the third most common malignancy worldwide. It is </w:t>
      </w:r>
      <w:r w:rsidR="00982FB4" w:rsidRPr="002B2C64">
        <w:rPr>
          <w:rFonts w:ascii="Book Antiqua" w:hAnsi="Book Antiqua"/>
          <w:sz w:val="24"/>
          <w:szCs w:val="24"/>
          <w:lang w:val="en-GB"/>
        </w:rPr>
        <w:t>estimated to be</w:t>
      </w:r>
      <w:r w:rsidRPr="002B2C64">
        <w:rPr>
          <w:rFonts w:ascii="Book Antiqua" w:hAnsi="Book Antiqua"/>
          <w:sz w:val="24"/>
          <w:szCs w:val="24"/>
          <w:lang w:val="en-GB"/>
        </w:rPr>
        <w:t xml:space="preserve"> </w:t>
      </w:r>
      <w:r w:rsidR="00FE0F23" w:rsidRPr="002B2C64">
        <w:rPr>
          <w:rFonts w:ascii="Book Antiqua" w:hAnsi="Book Antiqua"/>
          <w:sz w:val="24"/>
          <w:szCs w:val="24"/>
          <w:lang w:val="en-GB"/>
        </w:rPr>
        <w:t xml:space="preserve">the </w:t>
      </w:r>
      <w:r w:rsidRPr="002B2C64">
        <w:rPr>
          <w:rFonts w:ascii="Book Antiqua" w:hAnsi="Book Antiqua"/>
          <w:sz w:val="24"/>
          <w:szCs w:val="24"/>
          <w:lang w:val="en-GB"/>
        </w:rPr>
        <w:t xml:space="preserve">third leading </w:t>
      </w:r>
      <w:r w:rsidR="00982FB4" w:rsidRPr="002B2C64">
        <w:rPr>
          <w:rFonts w:ascii="Book Antiqua" w:hAnsi="Book Antiqua"/>
          <w:sz w:val="24"/>
          <w:szCs w:val="24"/>
          <w:lang w:val="en-GB"/>
        </w:rPr>
        <w:t xml:space="preserve">cause </w:t>
      </w:r>
      <w:r w:rsidRPr="002B2C64">
        <w:rPr>
          <w:rFonts w:ascii="Book Antiqua" w:hAnsi="Book Antiqua"/>
          <w:sz w:val="24"/>
          <w:szCs w:val="24"/>
          <w:lang w:val="en-GB"/>
        </w:rPr>
        <w:t xml:space="preserve">of death </w:t>
      </w:r>
      <w:r w:rsidR="00BA10BA" w:rsidRPr="002B2C64">
        <w:rPr>
          <w:rFonts w:ascii="Book Antiqua" w:hAnsi="Book Antiqua"/>
          <w:sz w:val="24"/>
          <w:szCs w:val="24"/>
          <w:lang w:val="en-GB"/>
        </w:rPr>
        <w:t>due to</w:t>
      </w:r>
      <w:r w:rsidRPr="002B2C64">
        <w:rPr>
          <w:rFonts w:ascii="Book Antiqua" w:hAnsi="Book Antiqua"/>
          <w:sz w:val="24"/>
          <w:szCs w:val="24"/>
          <w:lang w:val="en-GB"/>
        </w:rPr>
        <w:t xml:space="preserve"> cancer </w:t>
      </w:r>
      <w:r w:rsidR="00BA10BA" w:rsidRPr="002B2C64">
        <w:rPr>
          <w:rFonts w:ascii="Book Antiqua" w:hAnsi="Book Antiqua"/>
          <w:sz w:val="24"/>
          <w:szCs w:val="24"/>
          <w:lang w:val="en-GB"/>
        </w:rPr>
        <w:t>in</w:t>
      </w:r>
      <w:r w:rsidRPr="002B2C64">
        <w:rPr>
          <w:rFonts w:ascii="Book Antiqua" w:hAnsi="Book Antiqua"/>
          <w:sz w:val="24"/>
          <w:szCs w:val="24"/>
          <w:lang w:val="en-GB"/>
        </w:rPr>
        <w:t xml:space="preserve"> both males and females</w:t>
      </w:r>
      <w:r w:rsidR="00190221" w:rsidRPr="002B2C64">
        <w:rPr>
          <w:rFonts w:ascii="Book Antiqua" w:hAnsi="Book Antiqua"/>
          <w:sz w:val="24"/>
          <w:szCs w:val="24"/>
          <w:vertAlign w:val="superscript"/>
          <w:lang w:val="en-GB"/>
        </w:rPr>
        <w:t>[1]</w:t>
      </w:r>
      <w:r w:rsidRPr="002B2C64">
        <w:rPr>
          <w:rFonts w:ascii="Book Antiqua" w:hAnsi="Book Antiqua"/>
          <w:sz w:val="24"/>
          <w:szCs w:val="24"/>
          <w:lang w:val="en-GB"/>
        </w:rPr>
        <w:t xml:space="preserve">. The appearance of regional lymph-node metastasis in </w:t>
      </w:r>
      <w:r w:rsidR="00BA10BA" w:rsidRPr="002B2C64">
        <w:rPr>
          <w:rFonts w:ascii="Book Antiqua" w:hAnsi="Book Antiqua"/>
          <w:sz w:val="24"/>
          <w:szCs w:val="24"/>
          <w:lang w:val="en-GB"/>
        </w:rPr>
        <w:t>CRC</w:t>
      </w:r>
      <w:r w:rsidRPr="002B2C64">
        <w:rPr>
          <w:rFonts w:ascii="Book Antiqua" w:hAnsi="Book Antiqua"/>
          <w:sz w:val="24"/>
          <w:szCs w:val="24"/>
          <w:lang w:val="en-GB"/>
        </w:rPr>
        <w:t xml:space="preserve"> is a relevant risk factor for the development not only of regional recurr</w:t>
      </w:r>
      <w:r w:rsidR="008B3731" w:rsidRPr="002B2C64">
        <w:rPr>
          <w:rFonts w:ascii="Book Antiqua" w:hAnsi="Book Antiqua"/>
          <w:sz w:val="24"/>
          <w:szCs w:val="24"/>
          <w:lang w:val="en-GB"/>
        </w:rPr>
        <w:t>ences but also distant metastatic lesions</w:t>
      </w:r>
      <w:r w:rsidR="00190221" w:rsidRPr="002B2C64">
        <w:rPr>
          <w:rFonts w:ascii="Book Antiqua" w:hAnsi="Book Antiqua"/>
          <w:sz w:val="24"/>
          <w:szCs w:val="24"/>
          <w:vertAlign w:val="superscript"/>
          <w:lang w:val="en-GB"/>
        </w:rPr>
        <w:t>[2]</w:t>
      </w:r>
      <w:r w:rsidR="000367A7" w:rsidRPr="002B2C64">
        <w:rPr>
          <w:rFonts w:ascii="Book Antiqua" w:hAnsi="Book Antiqua"/>
          <w:sz w:val="24"/>
          <w:szCs w:val="24"/>
          <w:lang w:val="en-GB"/>
        </w:rPr>
        <w:t>.</w:t>
      </w:r>
      <w:r w:rsidRPr="002B2C64">
        <w:rPr>
          <w:rFonts w:ascii="Book Antiqua" w:hAnsi="Book Antiqua"/>
          <w:sz w:val="24"/>
          <w:szCs w:val="24"/>
          <w:lang w:val="en-GB"/>
        </w:rPr>
        <w:t xml:space="preserve"> Distant metastases are the main </w:t>
      </w:r>
      <w:r w:rsidR="00982FB4" w:rsidRPr="002B2C64">
        <w:rPr>
          <w:rFonts w:ascii="Book Antiqua" w:hAnsi="Book Antiqua"/>
          <w:sz w:val="24"/>
          <w:szCs w:val="24"/>
          <w:lang w:val="en-GB"/>
        </w:rPr>
        <w:t xml:space="preserve">cause </w:t>
      </w:r>
      <w:r w:rsidRPr="002B2C64">
        <w:rPr>
          <w:rFonts w:ascii="Book Antiqua" w:hAnsi="Book Antiqua"/>
          <w:sz w:val="24"/>
          <w:szCs w:val="24"/>
          <w:lang w:val="en-GB"/>
        </w:rPr>
        <w:t xml:space="preserve">of death </w:t>
      </w:r>
      <w:r w:rsidR="00982FB4" w:rsidRPr="002B2C64">
        <w:rPr>
          <w:rFonts w:ascii="Book Antiqua" w:hAnsi="Book Antiqua"/>
          <w:sz w:val="24"/>
          <w:szCs w:val="24"/>
          <w:lang w:val="en-GB"/>
        </w:rPr>
        <w:t xml:space="preserve">in </w:t>
      </w:r>
      <w:r w:rsidRPr="002B2C64">
        <w:rPr>
          <w:rFonts w:ascii="Book Antiqua" w:hAnsi="Book Antiqua"/>
          <w:sz w:val="24"/>
          <w:szCs w:val="24"/>
          <w:lang w:val="en-GB"/>
        </w:rPr>
        <w:t xml:space="preserve">CRC patients. It is assessed that roughly one-fifth of </w:t>
      </w:r>
      <w:r w:rsidR="00BA10BA" w:rsidRPr="002B2C64">
        <w:rPr>
          <w:rFonts w:ascii="Book Antiqua" w:hAnsi="Book Antiqua"/>
          <w:sz w:val="24"/>
          <w:szCs w:val="24"/>
          <w:lang w:val="en-GB"/>
        </w:rPr>
        <w:t xml:space="preserve">CRC </w:t>
      </w:r>
      <w:r w:rsidRPr="002B2C64">
        <w:rPr>
          <w:rFonts w:ascii="Book Antiqua" w:hAnsi="Book Antiqua"/>
          <w:sz w:val="24"/>
          <w:szCs w:val="24"/>
          <w:lang w:val="en-GB"/>
        </w:rPr>
        <w:t xml:space="preserve">patients will have </w:t>
      </w:r>
      <w:r w:rsidR="00982FB4" w:rsidRPr="002B2C64">
        <w:rPr>
          <w:rFonts w:ascii="Book Antiqua" w:hAnsi="Book Antiqua"/>
          <w:sz w:val="24"/>
          <w:szCs w:val="24"/>
          <w:lang w:val="en-GB"/>
        </w:rPr>
        <w:t xml:space="preserve">liver </w:t>
      </w:r>
      <w:r w:rsidRPr="002B2C64">
        <w:rPr>
          <w:rFonts w:ascii="Book Antiqua" w:hAnsi="Book Antiqua"/>
          <w:sz w:val="24"/>
          <w:szCs w:val="24"/>
          <w:lang w:val="en-GB"/>
        </w:rPr>
        <w:t xml:space="preserve">metastases. A </w:t>
      </w:r>
      <w:r w:rsidR="004F5A6F" w:rsidRPr="002B2C64">
        <w:rPr>
          <w:rFonts w:ascii="Book Antiqua" w:hAnsi="Book Antiqua"/>
          <w:sz w:val="24"/>
          <w:szCs w:val="24"/>
          <w:lang w:val="en-GB"/>
        </w:rPr>
        <w:t xml:space="preserve">significant </w:t>
      </w:r>
      <w:r w:rsidR="00982FB4" w:rsidRPr="002B2C64">
        <w:rPr>
          <w:rFonts w:ascii="Book Antiqua" w:hAnsi="Book Antiqua"/>
          <w:sz w:val="24"/>
          <w:szCs w:val="24"/>
          <w:lang w:val="en-GB"/>
        </w:rPr>
        <w:t xml:space="preserve">number </w:t>
      </w:r>
      <w:r w:rsidRPr="002B2C64">
        <w:rPr>
          <w:rFonts w:ascii="Book Antiqua" w:hAnsi="Book Antiqua"/>
          <w:sz w:val="24"/>
          <w:szCs w:val="24"/>
          <w:lang w:val="en-GB"/>
        </w:rPr>
        <w:t>of patients die within 5 years</w:t>
      </w:r>
      <w:r w:rsidR="00190221" w:rsidRPr="002B2C64">
        <w:rPr>
          <w:rFonts w:ascii="Book Antiqua" w:hAnsi="Book Antiqua"/>
          <w:sz w:val="24"/>
          <w:szCs w:val="24"/>
          <w:vertAlign w:val="superscript"/>
          <w:lang w:val="en-GB"/>
        </w:rPr>
        <w:t>[3]</w:t>
      </w:r>
      <w:r w:rsidR="000367A7" w:rsidRPr="002B2C64">
        <w:rPr>
          <w:rFonts w:ascii="Book Antiqua" w:hAnsi="Book Antiqua"/>
          <w:sz w:val="24"/>
          <w:szCs w:val="24"/>
          <w:lang w:val="en-GB"/>
        </w:rPr>
        <w:t>.</w:t>
      </w:r>
      <w:r w:rsidRPr="002B2C64">
        <w:rPr>
          <w:rFonts w:ascii="Book Antiqua" w:hAnsi="Book Antiqua"/>
          <w:sz w:val="24"/>
          <w:szCs w:val="24"/>
          <w:lang w:val="en-GB"/>
        </w:rPr>
        <w:t xml:space="preserve"> Surgery is the most frequent and primary treatment in non-metastatic CRC. In addition, patients with stage II and III </w:t>
      </w:r>
      <w:r w:rsidR="00FE0F23" w:rsidRPr="002B2C64">
        <w:rPr>
          <w:rFonts w:ascii="Book Antiqua" w:hAnsi="Book Antiqua"/>
          <w:sz w:val="24"/>
          <w:szCs w:val="24"/>
          <w:lang w:val="en-GB"/>
        </w:rPr>
        <w:t>undergo</w:t>
      </w:r>
      <w:r w:rsidRPr="002B2C64">
        <w:rPr>
          <w:rFonts w:ascii="Book Antiqua" w:hAnsi="Book Antiqua"/>
          <w:sz w:val="24"/>
          <w:szCs w:val="24"/>
          <w:lang w:val="en-GB"/>
        </w:rPr>
        <w:t xml:space="preserve"> chemotherapy based on 5­fluorouracil</w:t>
      </w:r>
      <w:r w:rsidR="00190221" w:rsidRPr="002B2C64">
        <w:rPr>
          <w:rFonts w:ascii="Book Antiqua" w:hAnsi="Book Antiqua"/>
          <w:sz w:val="24"/>
          <w:szCs w:val="24"/>
          <w:vertAlign w:val="superscript"/>
          <w:lang w:val="en-GB"/>
        </w:rPr>
        <w:t>[4]</w:t>
      </w:r>
      <w:r w:rsidRPr="002B2C64">
        <w:rPr>
          <w:rFonts w:ascii="Book Antiqua" w:hAnsi="Book Antiqua"/>
          <w:sz w:val="24"/>
          <w:szCs w:val="24"/>
          <w:lang w:val="en-GB"/>
        </w:rPr>
        <w:t>.</w:t>
      </w:r>
      <w:r w:rsidR="00985799" w:rsidRPr="002B2C64">
        <w:rPr>
          <w:rFonts w:ascii="Book Antiqua" w:hAnsi="Book Antiqua"/>
          <w:sz w:val="24"/>
          <w:szCs w:val="24"/>
          <w:lang w:val="en-GB"/>
        </w:rPr>
        <w:t xml:space="preserve"> </w:t>
      </w:r>
      <w:r w:rsidR="00982FB4" w:rsidRPr="002B2C64">
        <w:rPr>
          <w:rFonts w:ascii="Book Antiqua" w:hAnsi="Book Antiqua"/>
          <w:sz w:val="24"/>
          <w:szCs w:val="24"/>
          <w:lang w:val="en-GB"/>
        </w:rPr>
        <w:t>E</w:t>
      </w:r>
      <w:r w:rsidRPr="002B2C64">
        <w:rPr>
          <w:rFonts w:ascii="Book Antiqua" w:hAnsi="Book Antiqua"/>
          <w:sz w:val="24"/>
          <w:szCs w:val="24"/>
          <w:lang w:val="en-GB"/>
        </w:rPr>
        <w:t xml:space="preserve">arly </w:t>
      </w:r>
      <w:r w:rsidR="004F5A6F" w:rsidRPr="002B2C64">
        <w:rPr>
          <w:rFonts w:ascii="Book Antiqua" w:hAnsi="Book Antiqua"/>
          <w:sz w:val="24"/>
          <w:szCs w:val="24"/>
          <w:lang w:val="en-GB"/>
        </w:rPr>
        <w:t>identification of</w:t>
      </w:r>
      <w:r w:rsidR="00E25124" w:rsidRPr="002B2C64">
        <w:rPr>
          <w:rFonts w:ascii="Book Antiqua" w:hAnsi="Book Antiqua"/>
          <w:sz w:val="24"/>
          <w:szCs w:val="24"/>
          <w:lang w:val="en-GB"/>
        </w:rPr>
        <w:t xml:space="preserve"> </w:t>
      </w:r>
      <w:r w:rsidRPr="002B2C64">
        <w:rPr>
          <w:rFonts w:ascii="Book Antiqua" w:hAnsi="Book Antiqua"/>
          <w:sz w:val="24"/>
          <w:szCs w:val="24"/>
          <w:lang w:val="en-GB"/>
        </w:rPr>
        <w:t xml:space="preserve">patients with </w:t>
      </w:r>
      <w:r w:rsidR="00BA10BA" w:rsidRPr="002B2C64">
        <w:rPr>
          <w:rFonts w:ascii="Book Antiqua" w:hAnsi="Book Antiqua"/>
          <w:sz w:val="24"/>
          <w:szCs w:val="24"/>
          <w:lang w:val="en-GB"/>
        </w:rPr>
        <w:t>a poor</w:t>
      </w:r>
      <w:r w:rsidRPr="002B2C64">
        <w:rPr>
          <w:rFonts w:ascii="Book Antiqua" w:hAnsi="Book Antiqua"/>
          <w:sz w:val="24"/>
          <w:szCs w:val="24"/>
          <w:lang w:val="en-GB"/>
        </w:rPr>
        <w:t xml:space="preserve"> prognosis could optimiz</w:t>
      </w:r>
      <w:r w:rsidR="00982FB4" w:rsidRPr="002B2C64">
        <w:rPr>
          <w:rFonts w:ascii="Book Antiqua" w:hAnsi="Book Antiqua"/>
          <w:sz w:val="24"/>
          <w:szCs w:val="24"/>
          <w:lang w:val="en-GB"/>
        </w:rPr>
        <w:t>e</w:t>
      </w:r>
      <w:r w:rsidRPr="002B2C64">
        <w:rPr>
          <w:rFonts w:ascii="Book Antiqua" w:hAnsi="Book Antiqua"/>
          <w:sz w:val="24"/>
          <w:szCs w:val="24"/>
          <w:lang w:val="en-GB"/>
        </w:rPr>
        <w:t xml:space="preserve"> treatment. </w:t>
      </w:r>
      <w:r w:rsidR="00BA10BA" w:rsidRPr="002B2C64">
        <w:rPr>
          <w:rFonts w:ascii="Book Antiqua" w:hAnsi="Book Antiqua"/>
          <w:sz w:val="24"/>
          <w:szCs w:val="24"/>
          <w:lang w:val="en-GB"/>
        </w:rPr>
        <w:t>I</w:t>
      </w:r>
      <w:r w:rsidR="00E51D7A" w:rsidRPr="002B2C64">
        <w:rPr>
          <w:rFonts w:ascii="Book Antiqua" w:hAnsi="Book Antiqua"/>
          <w:sz w:val="24"/>
          <w:szCs w:val="24"/>
          <w:lang w:val="en-GB"/>
        </w:rPr>
        <w:t xml:space="preserve">t is </w:t>
      </w:r>
      <w:r w:rsidR="00BA10BA" w:rsidRPr="002B2C64">
        <w:rPr>
          <w:rFonts w:ascii="Book Antiqua" w:hAnsi="Book Antiqua"/>
          <w:sz w:val="24"/>
          <w:szCs w:val="24"/>
          <w:lang w:val="en-GB"/>
        </w:rPr>
        <w:t xml:space="preserve">currently </w:t>
      </w:r>
      <w:r w:rsidR="004A178E" w:rsidRPr="002B2C64">
        <w:rPr>
          <w:rFonts w:ascii="Book Antiqua" w:hAnsi="Book Antiqua"/>
          <w:sz w:val="24"/>
          <w:szCs w:val="24"/>
          <w:lang w:val="en-GB"/>
        </w:rPr>
        <w:t>believed that the characteristic</w:t>
      </w:r>
      <w:r w:rsidR="00982FB4" w:rsidRPr="002B2C64">
        <w:rPr>
          <w:rFonts w:ascii="Book Antiqua" w:hAnsi="Book Antiqua"/>
          <w:sz w:val="24"/>
          <w:szCs w:val="24"/>
          <w:lang w:val="en-GB"/>
        </w:rPr>
        <w:t>s</w:t>
      </w:r>
      <w:r w:rsidR="004A178E" w:rsidRPr="002B2C64">
        <w:rPr>
          <w:rFonts w:ascii="Book Antiqua" w:hAnsi="Book Antiqua"/>
          <w:sz w:val="24"/>
          <w:szCs w:val="24"/>
          <w:lang w:val="en-GB"/>
        </w:rPr>
        <w:t xml:space="preserve"> of </w:t>
      </w:r>
      <w:r w:rsidR="00BA10BA" w:rsidRPr="002B2C64">
        <w:rPr>
          <w:rFonts w:ascii="Book Antiqua" w:hAnsi="Book Antiqua"/>
          <w:sz w:val="24"/>
          <w:szCs w:val="24"/>
          <w:lang w:val="en-GB"/>
        </w:rPr>
        <w:t xml:space="preserve">a </w:t>
      </w:r>
      <w:r w:rsidR="004F5A6F" w:rsidRPr="002B2C64">
        <w:rPr>
          <w:rFonts w:ascii="Book Antiqua" w:hAnsi="Book Antiqua"/>
          <w:sz w:val="24"/>
          <w:szCs w:val="24"/>
          <w:lang w:val="en-GB"/>
        </w:rPr>
        <w:t>tumour</w:t>
      </w:r>
      <w:r w:rsidR="00366E61" w:rsidRPr="002B2C64">
        <w:rPr>
          <w:rFonts w:ascii="Book Antiqua" w:hAnsi="Book Antiqua"/>
          <w:sz w:val="24"/>
          <w:szCs w:val="24"/>
          <w:lang w:val="en-GB"/>
        </w:rPr>
        <w:t xml:space="preserve"> mass </w:t>
      </w:r>
      <w:r w:rsidR="00982FB4" w:rsidRPr="002B2C64">
        <w:rPr>
          <w:rFonts w:ascii="Book Antiqua" w:hAnsi="Book Antiqua"/>
          <w:sz w:val="24"/>
          <w:szCs w:val="24"/>
          <w:lang w:val="en-GB"/>
        </w:rPr>
        <w:t xml:space="preserve">are </w:t>
      </w:r>
      <w:r w:rsidR="00366E61" w:rsidRPr="002B2C64">
        <w:rPr>
          <w:rFonts w:ascii="Book Antiqua" w:hAnsi="Book Antiqua"/>
          <w:sz w:val="24"/>
          <w:szCs w:val="24"/>
          <w:lang w:val="en-GB"/>
        </w:rPr>
        <w:t xml:space="preserve">insufficient </w:t>
      </w:r>
      <w:r w:rsidR="00985799" w:rsidRPr="002B2C64">
        <w:rPr>
          <w:rFonts w:ascii="Book Antiqua" w:hAnsi="Book Antiqua"/>
          <w:sz w:val="24"/>
          <w:szCs w:val="24"/>
          <w:lang w:val="en-GB"/>
        </w:rPr>
        <w:t xml:space="preserve">to </w:t>
      </w:r>
      <w:r w:rsidRPr="002B2C64">
        <w:rPr>
          <w:rFonts w:ascii="Book Antiqua" w:hAnsi="Book Antiqua"/>
          <w:sz w:val="24"/>
          <w:szCs w:val="24"/>
          <w:lang w:val="en-GB"/>
        </w:rPr>
        <w:t>determin</w:t>
      </w:r>
      <w:r w:rsidR="00985799" w:rsidRPr="002B2C64">
        <w:rPr>
          <w:rFonts w:ascii="Book Antiqua" w:hAnsi="Book Antiqua"/>
          <w:sz w:val="24"/>
          <w:szCs w:val="24"/>
          <w:lang w:val="en-GB"/>
        </w:rPr>
        <w:t>e</w:t>
      </w:r>
      <w:r w:rsidR="003D7C99" w:rsidRPr="002B2C64">
        <w:rPr>
          <w:rFonts w:ascii="Book Antiqua" w:hAnsi="Book Antiqua"/>
          <w:sz w:val="24"/>
          <w:szCs w:val="24"/>
          <w:lang w:val="en-GB"/>
        </w:rPr>
        <w:t xml:space="preserve"> prognosis and treatment.</w:t>
      </w:r>
    </w:p>
    <w:p w:rsidR="009E0312" w:rsidRPr="002B2C64" w:rsidRDefault="003E5745" w:rsidP="0083105B">
      <w:pPr>
        <w:widowControl w:val="0"/>
        <w:autoSpaceDE w:val="0"/>
        <w:autoSpaceDN w:val="0"/>
        <w:adjustRightInd w:val="0"/>
        <w:snapToGrid w:val="0"/>
        <w:spacing w:after="0" w:line="360" w:lineRule="auto"/>
        <w:ind w:firstLineChars="100" w:firstLine="240"/>
        <w:jc w:val="both"/>
        <w:rPr>
          <w:rFonts w:ascii="Book Antiqua" w:hAnsi="Book Antiqua"/>
          <w:color w:val="222222"/>
          <w:sz w:val="24"/>
          <w:szCs w:val="24"/>
          <w:shd w:val="clear" w:color="auto" w:fill="FFFFFF"/>
          <w:lang w:val="en-GB"/>
        </w:rPr>
      </w:pPr>
      <w:r w:rsidRPr="002B2C64">
        <w:rPr>
          <w:rFonts w:ascii="Book Antiqua" w:hAnsi="Book Antiqua"/>
          <w:sz w:val="24"/>
          <w:szCs w:val="24"/>
          <w:lang w:val="en-GB"/>
        </w:rPr>
        <w:t xml:space="preserve">A systemic inflammatory response is related </w:t>
      </w:r>
      <w:r w:rsidR="00982FB4" w:rsidRPr="002B2C64">
        <w:rPr>
          <w:rFonts w:ascii="Book Antiqua" w:hAnsi="Book Antiqua"/>
          <w:sz w:val="24"/>
          <w:szCs w:val="24"/>
          <w:lang w:val="en-GB"/>
        </w:rPr>
        <w:t xml:space="preserve">to </w:t>
      </w:r>
      <w:r w:rsidRPr="002B2C64">
        <w:rPr>
          <w:rFonts w:ascii="Book Antiqua" w:hAnsi="Book Antiqua"/>
          <w:sz w:val="24"/>
          <w:szCs w:val="24"/>
          <w:lang w:val="en-GB"/>
        </w:rPr>
        <w:t>tumour progression</w:t>
      </w:r>
      <w:r w:rsidR="00190221" w:rsidRPr="002B2C64">
        <w:rPr>
          <w:rFonts w:ascii="Book Antiqua" w:hAnsi="Book Antiqua"/>
          <w:sz w:val="24"/>
          <w:szCs w:val="24"/>
          <w:vertAlign w:val="superscript"/>
          <w:lang w:val="en-GB"/>
        </w:rPr>
        <w:t>[5]</w:t>
      </w:r>
      <w:r w:rsidRPr="002B2C64">
        <w:rPr>
          <w:rFonts w:ascii="Book Antiqua" w:hAnsi="Book Antiqua"/>
          <w:sz w:val="24"/>
          <w:szCs w:val="24"/>
          <w:lang w:val="en-GB"/>
        </w:rPr>
        <w:t>. In addition, inflammatory cells are key player</w:t>
      </w:r>
      <w:r w:rsidR="00BA10BA" w:rsidRPr="002B2C64">
        <w:rPr>
          <w:rFonts w:ascii="Book Antiqua" w:hAnsi="Book Antiqua"/>
          <w:sz w:val="24"/>
          <w:szCs w:val="24"/>
          <w:lang w:val="en-GB"/>
        </w:rPr>
        <w:t>s</w:t>
      </w:r>
      <w:r w:rsidRPr="002B2C64">
        <w:rPr>
          <w:rFonts w:ascii="Book Antiqua" w:hAnsi="Book Antiqua"/>
          <w:sz w:val="24"/>
          <w:szCs w:val="24"/>
          <w:lang w:val="en-GB"/>
        </w:rPr>
        <w:t xml:space="preserve"> in the </w:t>
      </w:r>
      <w:r w:rsidR="00BA10BA" w:rsidRPr="002B2C64">
        <w:rPr>
          <w:rFonts w:ascii="Book Antiqua" w:hAnsi="Book Antiqua"/>
          <w:sz w:val="24"/>
          <w:szCs w:val="24"/>
          <w:lang w:val="en-GB"/>
        </w:rPr>
        <w:t xml:space="preserve">tumour </w:t>
      </w:r>
      <w:r w:rsidRPr="002B2C64">
        <w:rPr>
          <w:rFonts w:ascii="Book Antiqua" w:hAnsi="Book Antiqua"/>
          <w:sz w:val="24"/>
          <w:szCs w:val="24"/>
          <w:lang w:val="en-GB"/>
        </w:rPr>
        <w:t>microenvironment</w:t>
      </w:r>
      <w:r w:rsidR="00E668F0" w:rsidRPr="002B2C64">
        <w:rPr>
          <w:rFonts w:ascii="Book Antiqua" w:hAnsi="Book Antiqua"/>
          <w:sz w:val="24"/>
          <w:szCs w:val="24"/>
          <w:vertAlign w:val="superscript"/>
          <w:lang w:val="en-GB"/>
        </w:rPr>
        <w:t>[6]</w:t>
      </w:r>
      <w:r w:rsidRPr="002B2C64">
        <w:rPr>
          <w:rFonts w:ascii="Book Antiqua" w:hAnsi="Book Antiqua"/>
          <w:sz w:val="24"/>
          <w:szCs w:val="24"/>
          <w:lang w:val="en-GB"/>
        </w:rPr>
        <w:t>. Their count can be meas</w:t>
      </w:r>
      <w:r w:rsidR="009E49E1" w:rsidRPr="002B2C64">
        <w:rPr>
          <w:rFonts w:ascii="Book Antiqua" w:hAnsi="Book Antiqua"/>
          <w:sz w:val="24"/>
          <w:szCs w:val="24"/>
          <w:lang w:val="en-GB"/>
        </w:rPr>
        <w:t>ure</w:t>
      </w:r>
      <w:r w:rsidR="00982FB4" w:rsidRPr="002B2C64">
        <w:rPr>
          <w:rFonts w:ascii="Book Antiqua" w:hAnsi="Book Antiqua"/>
          <w:sz w:val="24"/>
          <w:szCs w:val="24"/>
          <w:lang w:val="en-GB"/>
        </w:rPr>
        <w:t>d</w:t>
      </w:r>
      <w:r w:rsidR="009E49E1" w:rsidRPr="002B2C64">
        <w:rPr>
          <w:rFonts w:ascii="Book Antiqua" w:hAnsi="Book Antiqua"/>
          <w:sz w:val="24"/>
          <w:szCs w:val="24"/>
          <w:lang w:val="en-GB"/>
        </w:rPr>
        <w:t xml:space="preserve"> by simple laboratory tests</w:t>
      </w:r>
      <w:r w:rsidRPr="002B2C64">
        <w:rPr>
          <w:rFonts w:ascii="Book Antiqua" w:hAnsi="Book Antiqua"/>
          <w:sz w:val="24"/>
          <w:szCs w:val="24"/>
          <w:lang w:val="en-GB"/>
        </w:rPr>
        <w:t>. The available data o</w:t>
      </w:r>
      <w:r w:rsidR="00BA10BA" w:rsidRPr="002B2C64">
        <w:rPr>
          <w:rFonts w:ascii="Book Antiqua" w:hAnsi="Book Antiqua"/>
          <w:sz w:val="24"/>
          <w:szCs w:val="24"/>
          <w:lang w:val="en-GB"/>
        </w:rPr>
        <w:t>n</w:t>
      </w:r>
      <w:r w:rsidRPr="002B2C64">
        <w:rPr>
          <w:rFonts w:ascii="Book Antiqua" w:hAnsi="Book Antiqua"/>
          <w:sz w:val="24"/>
          <w:szCs w:val="24"/>
          <w:lang w:val="en-GB"/>
        </w:rPr>
        <w:t xml:space="preserve"> peripheral blood cells in cancer patients show that a rise </w:t>
      </w:r>
      <w:r w:rsidR="00982FB4" w:rsidRPr="002B2C64">
        <w:rPr>
          <w:rFonts w:ascii="Book Antiqua" w:hAnsi="Book Antiqua"/>
          <w:sz w:val="24"/>
          <w:szCs w:val="24"/>
          <w:lang w:val="en-GB"/>
        </w:rPr>
        <w:t xml:space="preserve">in </w:t>
      </w:r>
      <w:r w:rsidRPr="002B2C64">
        <w:rPr>
          <w:rFonts w:ascii="Book Antiqua" w:hAnsi="Book Antiqua"/>
          <w:sz w:val="24"/>
          <w:szCs w:val="24"/>
          <w:lang w:val="en-GB"/>
        </w:rPr>
        <w:t xml:space="preserve">monocyte </w:t>
      </w:r>
      <w:r w:rsidR="00982FB4" w:rsidRPr="002B2C64">
        <w:rPr>
          <w:rFonts w:ascii="Book Antiqua" w:hAnsi="Book Antiqua"/>
          <w:sz w:val="24"/>
          <w:szCs w:val="24"/>
          <w:lang w:val="en-GB"/>
        </w:rPr>
        <w:t xml:space="preserve">count </w:t>
      </w:r>
      <w:r w:rsidRPr="002B2C64">
        <w:rPr>
          <w:rFonts w:ascii="Book Antiqua" w:hAnsi="Book Antiqua"/>
          <w:sz w:val="24"/>
          <w:szCs w:val="24"/>
          <w:lang w:val="en-GB"/>
        </w:rPr>
        <w:t>in the peripheral blood is a predictive factor of a poor prognosis in patients with hepatocarcinoma or stomach cancer</w:t>
      </w:r>
      <w:r w:rsidR="00E668F0" w:rsidRPr="002B2C64">
        <w:rPr>
          <w:rFonts w:ascii="Book Antiqua" w:hAnsi="Book Antiqua"/>
          <w:sz w:val="24"/>
          <w:szCs w:val="24"/>
          <w:vertAlign w:val="superscript"/>
          <w:lang w:val="en-GB"/>
        </w:rPr>
        <w:t>[7,8]</w:t>
      </w:r>
      <w:r w:rsidR="000A74DA" w:rsidRPr="002B2C64">
        <w:rPr>
          <w:rFonts w:ascii="Book Antiqua" w:hAnsi="Book Antiqua"/>
          <w:sz w:val="24"/>
          <w:szCs w:val="24"/>
          <w:lang w:val="en-GB"/>
        </w:rPr>
        <w:t xml:space="preserve">. </w:t>
      </w:r>
      <w:r w:rsidR="00982FB4" w:rsidRPr="002B2C64">
        <w:rPr>
          <w:rFonts w:ascii="Book Antiqua" w:hAnsi="Book Antiqua"/>
          <w:sz w:val="24"/>
          <w:szCs w:val="24"/>
          <w:lang w:val="en-GB"/>
        </w:rPr>
        <w:t>In ano</w:t>
      </w:r>
      <w:r w:rsidRPr="002B2C64">
        <w:rPr>
          <w:rFonts w:ascii="Book Antiqua" w:hAnsi="Book Antiqua"/>
          <w:sz w:val="24"/>
          <w:szCs w:val="24"/>
          <w:lang w:val="en-GB"/>
        </w:rPr>
        <w:t>ther study</w:t>
      </w:r>
      <w:r w:rsidR="00985799" w:rsidRPr="002B2C64">
        <w:rPr>
          <w:rFonts w:ascii="Book Antiqua" w:hAnsi="Book Antiqua"/>
          <w:sz w:val="24"/>
          <w:szCs w:val="24"/>
          <w:lang w:val="en-GB"/>
        </w:rPr>
        <w:t>,</w:t>
      </w:r>
      <w:r w:rsidRPr="002B2C64">
        <w:rPr>
          <w:rFonts w:ascii="Book Antiqua" w:hAnsi="Book Antiqua"/>
          <w:sz w:val="24"/>
          <w:szCs w:val="24"/>
          <w:lang w:val="en-GB"/>
        </w:rPr>
        <w:t xml:space="preserve"> monocyte count was an independent factor correlated with survival in patients with metastasis from </w:t>
      </w:r>
      <w:r w:rsidR="00BA10BA" w:rsidRPr="002B2C64">
        <w:rPr>
          <w:rFonts w:ascii="Book Antiqua" w:hAnsi="Book Antiqua"/>
          <w:sz w:val="24"/>
          <w:szCs w:val="24"/>
          <w:lang w:val="en-GB"/>
        </w:rPr>
        <w:t>CRC</w:t>
      </w:r>
      <w:r w:rsidR="00E668F0" w:rsidRPr="002B2C64">
        <w:rPr>
          <w:rFonts w:ascii="Book Antiqua" w:hAnsi="Book Antiqua"/>
          <w:sz w:val="24"/>
          <w:szCs w:val="24"/>
          <w:vertAlign w:val="superscript"/>
          <w:lang w:val="en-GB"/>
        </w:rPr>
        <w:t>[9]</w:t>
      </w:r>
      <w:r w:rsidR="000A74DA" w:rsidRPr="002B2C64">
        <w:rPr>
          <w:rFonts w:ascii="Book Antiqua" w:hAnsi="Book Antiqua"/>
          <w:sz w:val="24"/>
          <w:szCs w:val="24"/>
          <w:lang w:val="en-GB"/>
        </w:rPr>
        <w:t>.</w:t>
      </w:r>
      <w:r w:rsidR="003D7C99" w:rsidRPr="002B2C64">
        <w:rPr>
          <w:rFonts w:ascii="Book Antiqua" w:hAnsi="Book Antiqua"/>
          <w:sz w:val="24"/>
          <w:szCs w:val="24"/>
          <w:lang w:val="en-GB"/>
        </w:rPr>
        <w:t xml:space="preserve"> </w:t>
      </w:r>
      <w:r w:rsidRPr="002B2C64">
        <w:rPr>
          <w:rFonts w:ascii="Book Antiqua" w:hAnsi="Book Antiqua"/>
          <w:sz w:val="24"/>
          <w:szCs w:val="24"/>
          <w:lang w:val="en-GB"/>
        </w:rPr>
        <w:t xml:space="preserve">Another important parameter is </w:t>
      </w:r>
      <w:r w:rsidR="00985799" w:rsidRPr="002B2C64">
        <w:rPr>
          <w:rFonts w:ascii="Book Antiqua" w:hAnsi="Book Antiqua"/>
          <w:sz w:val="24"/>
          <w:szCs w:val="24"/>
          <w:lang w:val="en-GB"/>
        </w:rPr>
        <w:t xml:space="preserve">the </w:t>
      </w:r>
      <w:r w:rsidRPr="002B2C64">
        <w:rPr>
          <w:rFonts w:ascii="Book Antiqua" w:hAnsi="Book Antiqua"/>
          <w:sz w:val="24"/>
          <w:szCs w:val="24"/>
          <w:lang w:val="en-GB"/>
        </w:rPr>
        <w:t>monocyte/lymphocyte rat</w:t>
      </w:r>
      <w:r w:rsidR="00293BCD" w:rsidRPr="002B2C64">
        <w:rPr>
          <w:rFonts w:ascii="Book Antiqua" w:hAnsi="Book Antiqua"/>
          <w:sz w:val="24"/>
          <w:szCs w:val="24"/>
          <w:lang w:val="en-GB"/>
        </w:rPr>
        <w:t>io</w:t>
      </w:r>
      <w:r w:rsidR="00BA10BA" w:rsidRPr="002B2C64">
        <w:rPr>
          <w:rFonts w:ascii="Book Antiqua" w:hAnsi="Book Antiqua"/>
          <w:sz w:val="24"/>
          <w:szCs w:val="24"/>
          <w:lang w:val="en-GB"/>
        </w:rPr>
        <w:t xml:space="preserve"> (MLR)</w:t>
      </w:r>
      <w:r w:rsidR="00293BCD" w:rsidRPr="002B2C64">
        <w:rPr>
          <w:rFonts w:ascii="Book Antiqua" w:hAnsi="Book Antiqua"/>
          <w:sz w:val="24"/>
          <w:szCs w:val="24"/>
          <w:lang w:val="en-GB"/>
        </w:rPr>
        <w:t xml:space="preserve">. </w:t>
      </w:r>
      <w:r w:rsidRPr="002B2C64">
        <w:rPr>
          <w:rFonts w:ascii="Book Antiqua" w:hAnsi="Book Antiqua"/>
          <w:sz w:val="24"/>
          <w:szCs w:val="24"/>
          <w:lang w:val="en-GB"/>
        </w:rPr>
        <w:t xml:space="preserve">In recent </w:t>
      </w:r>
      <w:r w:rsidR="004F5A6F" w:rsidRPr="002B2C64">
        <w:rPr>
          <w:rFonts w:ascii="Book Antiqua" w:hAnsi="Book Antiqua"/>
          <w:sz w:val="24"/>
          <w:szCs w:val="24"/>
          <w:lang w:val="en-GB"/>
        </w:rPr>
        <w:t xml:space="preserve">times, </w:t>
      </w:r>
      <w:r w:rsidR="00BA10BA" w:rsidRPr="002B2C64">
        <w:rPr>
          <w:rFonts w:ascii="Book Antiqua" w:hAnsi="Book Antiqua"/>
          <w:sz w:val="24"/>
          <w:szCs w:val="24"/>
          <w:lang w:val="en-GB"/>
        </w:rPr>
        <w:t xml:space="preserve">the </w:t>
      </w:r>
      <w:r w:rsidR="004F5A6F" w:rsidRPr="002B2C64">
        <w:rPr>
          <w:rFonts w:ascii="Book Antiqua" w:hAnsi="Book Antiqua"/>
          <w:sz w:val="24"/>
          <w:szCs w:val="24"/>
          <w:lang w:val="en-GB"/>
        </w:rPr>
        <w:t>MLR</w:t>
      </w:r>
      <w:r w:rsidR="00D23118" w:rsidRPr="002B2C64">
        <w:rPr>
          <w:rFonts w:ascii="Book Antiqua" w:hAnsi="Book Antiqua"/>
          <w:sz w:val="24"/>
          <w:szCs w:val="24"/>
          <w:lang w:val="en-GB"/>
        </w:rPr>
        <w:t xml:space="preserve"> </w:t>
      </w:r>
      <w:r w:rsidRPr="002B2C64">
        <w:rPr>
          <w:rFonts w:ascii="Book Antiqua" w:hAnsi="Book Antiqua"/>
          <w:sz w:val="24"/>
          <w:szCs w:val="24"/>
          <w:lang w:val="en-GB"/>
        </w:rPr>
        <w:t xml:space="preserve">has been investigated in patients with solid tumours. The monocyte level divided by the lymphocyte level may be </w:t>
      </w:r>
      <w:r w:rsidR="00985799" w:rsidRPr="002B2C64">
        <w:rPr>
          <w:rFonts w:ascii="Book Antiqua" w:hAnsi="Book Antiqua"/>
          <w:sz w:val="24"/>
          <w:szCs w:val="24"/>
          <w:lang w:val="en-GB"/>
        </w:rPr>
        <w:t xml:space="preserve">an </w:t>
      </w:r>
      <w:r w:rsidRPr="002B2C64">
        <w:rPr>
          <w:rFonts w:ascii="Book Antiqua" w:hAnsi="Book Antiqua"/>
          <w:sz w:val="24"/>
          <w:szCs w:val="24"/>
          <w:lang w:val="en-GB"/>
        </w:rPr>
        <w:t>efficient prognostic indicator in tumours</w:t>
      </w:r>
      <w:r w:rsidR="00E668F0" w:rsidRPr="002B2C64">
        <w:rPr>
          <w:rFonts w:ascii="Book Antiqua" w:hAnsi="Book Antiqua"/>
          <w:sz w:val="24"/>
          <w:szCs w:val="24"/>
          <w:vertAlign w:val="superscript"/>
          <w:lang w:val="en-GB"/>
        </w:rPr>
        <w:t>[10,11]</w:t>
      </w:r>
      <w:r w:rsidRPr="002B2C64">
        <w:rPr>
          <w:rFonts w:ascii="Book Antiqua" w:hAnsi="Book Antiqua"/>
          <w:sz w:val="24"/>
          <w:szCs w:val="24"/>
          <w:lang w:val="en-GB"/>
        </w:rPr>
        <w:t xml:space="preserve">. The neutrophil/lymphocyte ratio (NLR) </w:t>
      </w:r>
      <w:r w:rsidR="004E1736" w:rsidRPr="002B2C64">
        <w:rPr>
          <w:rFonts w:ascii="Book Antiqua" w:hAnsi="Book Antiqua"/>
          <w:sz w:val="24"/>
          <w:szCs w:val="24"/>
          <w:lang w:val="en-GB"/>
        </w:rPr>
        <w:t xml:space="preserve">has been </w:t>
      </w:r>
      <w:r w:rsidRPr="002B2C64">
        <w:rPr>
          <w:rFonts w:ascii="Book Antiqua" w:hAnsi="Book Antiqua"/>
          <w:sz w:val="24"/>
          <w:szCs w:val="24"/>
          <w:lang w:val="en-GB"/>
        </w:rPr>
        <w:t xml:space="preserve">described as a prognostic factor dependent </w:t>
      </w:r>
      <w:r w:rsidR="000A74DA" w:rsidRPr="002B2C64">
        <w:rPr>
          <w:rFonts w:ascii="Book Antiqua" w:hAnsi="Book Antiqua"/>
          <w:sz w:val="24"/>
          <w:szCs w:val="24"/>
          <w:lang w:val="en-GB"/>
        </w:rPr>
        <w:t xml:space="preserve">on </w:t>
      </w:r>
      <w:r w:rsidRPr="002B2C64">
        <w:rPr>
          <w:rFonts w:ascii="Book Antiqua" w:hAnsi="Book Antiqua"/>
          <w:sz w:val="24"/>
          <w:szCs w:val="24"/>
          <w:lang w:val="en-GB"/>
        </w:rPr>
        <w:t xml:space="preserve">CRC </w:t>
      </w:r>
      <w:r w:rsidR="004F5A6F" w:rsidRPr="002B2C64">
        <w:rPr>
          <w:rFonts w:ascii="Book Antiqua" w:hAnsi="Book Antiqua"/>
          <w:sz w:val="24"/>
          <w:szCs w:val="24"/>
          <w:lang w:val="en-GB"/>
        </w:rPr>
        <w:t xml:space="preserve">stage. </w:t>
      </w:r>
      <w:r w:rsidR="00BA10BA" w:rsidRPr="002B2C64">
        <w:rPr>
          <w:rFonts w:ascii="Book Antiqua" w:hAnsi="Book Antiqua"/>
          <w:sz w:val="24"/>
          <w:szCs w:val="24"/>
          <w:lang w:val="en-GB"/>
        </w:rPr>
        <w:t xml:space="preserve">The </w:t>
      </w:r>
      <w:r w:rsidR="004F5A6F" w:rsidRPr="002B2C64">
        <w:rPr>
          <w:rFonts w:ascii="Book Antiqua" w:hAnsi="Book Antiqua"/>
          <w:sz w:val="24"/>
          <w:szCs w:val="24"/>
          <w:lang w:val="en-GB"/>
        </w:rPr>
        <w:t xml:space="preserve">NLR ratio was </w:t>
      </w:r>
      <w:r w:rsidR="004E1736" w:rsidRPr="002B2C64">
        <w:rPr>
          <w:rFonts w:ascii="Book Antiqua" w:hAnsi="Book Antiqua"/>
          <w:sz w:val="24"/>
          <w:szCs w:val="24"/>
          <w:lang w:val="en-GB"/>
        </w:rPr>
        <w:t xml:space="preserve">found to be </w:t>
      </w:r>
      <w:r w:rsidR="004F5A6F" w:rsidRPr="002B2C64">
        <w:rPr>
          <w:rFonts w:ascii="Book Antiqua" w:hAnsi="Book Antiqua"/>
          <w:sz w:val="24"/>
          <w:szCs w:val="24"/>
          <w:lang w:val="en-GB"/>
        </w:rPr>
        <w:t>higher in cases with more advanced disease</w:t>
      </w:r>
      <w:r w:rsidR="004F5A6F" w:rsidRPr="002B2C64">
        <w:rPr>
          <w:rFonts w:ascii="Book Antiqua" w:hAnsi="Book Antiqua"/>
          <w:sz w:val="24"/>
          <w:szCs w:val="24"/>
          <w:vertAlign w:val="superscript"/>
          <w:lang w:val="en-GB"/>
        </w:rPr>
        <w:t>[12]</w:t>
      </w:r>
      <w:r w:rsidR="004F5A6F" w:rsidRPr="002B2C64">
        <w:rPr>
          <w:rFonts w:ascii="Book Antiqua" w:hAnsi="Book Antiqua"/>
          <w:sz w:val="24"/>
          <w:szCs w:val="24"/>
          <w:lang w:val="en-GB"/>
        </w:rPr>
        <w:t xml:space="preserve">. </w:t>
      </w:r>
      <w:r w:rsidR="00332FC0" w:rsidRPr="002B2C64">
        <w:rPr>
          <w:rFonts w:ascii="Book Antiqua" w:hAnsi="Book Antiqua"/>
          <w:sz w:val="24"/>
          <w:szCs w:val="24"/>
          <w:lang w:val="en-GB"/>
        </w:rPr>
        <w:t>Another</w:t>
      </w:r>
      <w:r w:rsidRPr="002B2C64">
        <w:rPr>
          <w:rFonts w:ascii="Book Antiqua" w:hAnsi="Book Antiqua"/>
          <w:sz w:val="24"/>
          <w:szCs w:val="24"/>
          <w:lang w:val="en-GB"/>
        </w:rPr>
        <w:t xml:space="preserve"> inflammation-based marker is the combination of platelet count (PLT) and NLR (PLT–NLR status). This indicator </w:t>
      </w:r>
      <w:r w:rsidR="004E1736" w:rsidRPr="002B2C64">
        <w:rPr>
          <w:rFonts w:ascii="Book Antiqua" w:hAnsi="Book Antiqua"/>
          <w:sz w:val="24"/>
          <w:szCs w:val="24"/>
          <w:lang w:val="en-GB"/>
        </w:rPr>
        <w:t>was</w:t>
      </w:r>
      <w:r w:rsidRPr="002B2C64">
        <w:rPr>
          <w:rFonts w:ascii="Book Antiqua" w:hAnsi="Book Antiqua"/>
          <w:sz w:val="24"/>
          <w:szCs w:val="24"/>
          <w:lang w:val="en-GB"/>
        </w:rPr>
        <w:t xml:space="preserve"> examined </w:t>
      </w:r>
      <w:r w:rsidR="00985799" w:rsidRPr="002B2C64">
        <w:rPr>
          <w:rFonts w:ascii="Book Antiqua" w:hAnsi="Book Antiqua"/>
          <w:sz w:val="24"/>
          <w:szCs w:val="24"/>
          <w:lang w:val="en-GB"/>
        </w:rPr>
        <w:t xml:space="preserve">to </w:t>
      </w:r>
      <w:r w:rsidRPr="002B2C64">
        <w:rPr>
          <w:rFonts w:ascii="Book Antiqua" w:hAnsi="Book Antiqua"/>
          <w:sz w:val="24"/>
          <w:szCs w:val="24"/>
          <w:lang w:val="en-GB"/>
        </w:rPr>
        <w:t xml:space="preserve">predict survival </w:t>
      </w:r>
      <w:r w:rsidR="004E1736" w:rsidRPr="002B2C64">
        <w:rPr>
          <w:rFonts w:ascii="Book Antiqua" w:hAnsi="Book Antiqua"/>
          <w:sz w:val="24"/>
          <w:szCs w:val="24"/>
          <w:lang w:val="en-GB"/>
        </w:rPr>
        <w:t xml:space="preserve">in </w:t>
      </w:r>
      <w:r w:rsidRPr="002B2C64">
        <w:rPr>
          <w:rFonts w:ascii="Book Antiqua" w:hAnsi="Book Antiqua"/>
          <w:sz w:val="24"/>
          <w:szCs w:val="24"/>
          <w:lang w:val="en-GB"/>
        </w:rPr>
        <w:t>patients with gastric cancer</w:t>
      </w:r>
      <w:r w:rsidR="00ED4F2D" w:rsidRPr="002B2C64">
        <w:rPr>
          <w:rFonts w:ascii="Book Antiqua" w:hAnsi="Book Antiqua"/>
          <w:sz w:val="24"/>
          <w:szCs w:val="24"/>
          <w:vertAlign w:val="superscript"/>
          <w:lang w:val="en-GB"/>
        </w:rPr>
        <w:t>[13]</w:t>
      </w:r>
      <w:r w:rsidRPr="002B2C64">
        <w:rPr>
          <w:rFonts w:ascii="Book Antiqua" w:hAnsi="Book Antiqua"/>
          <w:sz w:val="24"/>
          <w:szCs w:val="24"/>
          <w:lang w:val="en-GB"/>
        </w:rPr>
        <w:t>.</w:t>
      </w:r>
      <w:r w:rsidR="00DC54A1" w:rsidRPr="002B2C64">
        <w:rPr>
          <w:rFonts w:ascii="Book Antiqua" w:hAnsi="Book Antiqua"/>
          <w:sz w:val="24"/>
          <w:szCs w:val="24"/>
          <w:lang w:val="en-GB"/>
        </w:rPr>
        <w:t xml:space="preserve"> </w:t>
      </w:r>
      <w:r w:rsidRPr="002B2C64">
        <w:rPr>
          <w:rFonts w:ascii="Book Antiqua" w:hAnsi="Book Antiqua"/>
          <w:color w:val="222222"/>
          <w:sz w:val="24"/>
          <w:szCs w:val="24"/>
          <w:shd w:val="clear" w:color="auto" w:fill="FFFFFF"/>
          <w:lang w:val="en-GB"/>
        </w:rPr>
        <w:t xml:space="preserve">Identifying novel prognostic markers of CRC may help identify patients at </w:t>
      </w:r>
      <w:r w:rsidRPr="002B2C64">
        <w:rPr>
          <w:rFonts w:ascii="Book Antiqua" w:hAnsi="Book Antiqua"/>
          <w:color w:val="222222"/>
          <w:sz w:val="24"/>
          <w:szCs w:val="24"/>
          <w:shd w:val="clear" w:color="auto" w:fill="FFFFFF"/>
          <w:lang w:val="en-GB"/>
        </w:rPr>
        <w:lastRenderedPageBreak/>
        <w:t xml:space="preserve">high risk and choose appropriate treatment </w:t>
      </w:r>
      <w:r w:rsidR="00BA10BA" w:rsidRPr="002B2C64">
        <w:rPr>
          <w:rFonts w:ascii="Book Antiqua" w:hAnsi="Book Antiqua"/>
          <w:color w:val="222222"/>
          <w:sz w:val="24"/>
          <w:szCs w:val="24"/>
          <w:shd w:val="clear" w:color="auto" w:fill="FFFFFF"/>
          <w:lang w:val="en-GB"/>
        </w:rPr>
        <w:t>in</w:t>
      </w:r>
      <w:r w:rsidRPr="002B2C64">
        <w:rPr>
          <w:rFonts w:ascii="Book Antiqua" w:hAnsi="Book Antiqua"/>
          <w:color w:val="222222"/>
          <w:sz w:val="24"/>
          <w:szCs w:val="24"/>
          <w:shd w:val="clear" w:color="auto" w:fill="FFFFFF"/>
          <w:lang w:val="en-GB"/>
        </w:rPr>
        <w:t xml:space="preserve"> selec</w:t>
      </w:r>
      <w:r w:rsidR="003D7C99" w:rsidRPr="002B2C64">
        <w:rPr>
          <w:rFonts w:ascii="Book Antiqua" w:hAnsi="Book Antiqua"/>
          <w:color w:val="222222"/>
          <w:sz w:val="24"/>
          <w:szCs w:val="24"/>
          <w:shd w:val="clear" w:color="auto" w:fill="FFFFFF"/>
          <w:lang w:val="en-GB"/>
        </w:rPr>
        <w:t>ted cases.</w:t>
      </w:r>
    </w:p>
    <w:p w:rsidR="003E5745" w:rsidRPr="002B2C64" w:rsidRDefault="003E5745" w:rsidP="0083105B">
      <w:pPr>
        <w:widowControl w:val="0"/>
        <w:autoSpaceDE w:val="0"/>
        <w:autoSpaceDN w:val="0"/>
        <w:adjustRightInd w:val="0"/>
        <w:snapToGrid w:val="0"/>
        <w:spacing w:after="0" w:line="360" w:lineRule="auto"/>
        <w:ind w:firstLineChars="100" w:firstLine="240"/>
        <w:jc w:val="both"/>
        <w:rPr>
          <w:rFonts w:ascii="Book Antiqua" w:hAnsi="Book Antiqua"/>
          <w:sz w:val="24"/>
          <w:szCs w:val="24"/>
          <w:lang w:val="en-GB"/>
        </w:rPr>
      </w:pPr>
      <w:r w:rsidRPr="002B2C64">
        <w:rPr>
          <w:rFonts w:ascii="Book Antiqua" w:hAnsi="Book Antiqua"/>
          <w:color w:val="222222"/>
          <w:sz w:val="24"/>
          <w:szCs w:val="24"/>
          <w:shd w:val="clear" w:color="auto" w:fill="FFFFFF"/>
          <w:lang w:val="en-GB"/>
        </w:rPr>
        <w:t>Therefore, </w:t>
      </w:r>
      <w:r w:rsidRPr="002B2C64">
        <w:rPr>
          <w:rFonts w:ascii="Book Antiqua" w:hAnsi="Book Antiqua"/>
          <w:sz w:val="24"/>
          <w:szCs w:val="24"/>
          <w:lang w:val="en-GB"/>
        </w:rPr>
        <w:t xml:space="preserve">the aim of the present study was to </w:t>
      </w:r>
      <w:r w:rsidR="004E1736" w:rsidRPr="002B2C64">
        <w:rPr>
          <w:rFonts w:ascii="Book Antiqua" w:hAnsi="Book Antiqua"/>
          <w:sz w:val="24"/>
          <w:szCs w:val="24"/>
          <w:lang w:val="en-GB"/>
        </w:rPr>
        <w:t>investigate the</w:t>
      </w:r>
      <w:r w:rsidRPr="002B2C64">
        <w:rPr>
          <w:rFonts w:ascii="Book Antiqua" w:hAnsi="Book Antiqua"/>
          <w:sz w:val="24"/>
          <w:szCs w:val="24"/>
          <w:lang w:val="en-GB"/>
        </w:rPr>
        <w:t xml:space="preserve"> correlation </w:t>
      </w:r>
      <w:r w:rsidR="004E1736" w:rsidRPr="002B2C64">
        <w:rPr>
          <w:rFonts w:ascii="Book Antiqua" w:hAnsi="Book Antiqua"/>
          <w:sz w:val="24"/>
          <w:szCs w:val="24"/>
          <w:lang w:val="en-GB"/>
        </w:rPr>
        <w:t xml:space="preserve">of </w:t>
      </w:r>
      <w:r w:rsidRPr="002B2C64">
        <w:rPr>
          <w:rFonts w:ascii="Book Antiqua" w:hAnsi="Book Antiqua"/>
          <w:sz w:val="24"/>
          <w:szCs w:val="24"/>
          <w:lang w:val="en-GB"/>
        </w:rPr>
        <w:t xml:space="preserve">monocyte count, </w:t>
      </w:r>
      <w:r w:rsidR="00BA10BA" w:rsidRPr="002B2C64">
        <w:rPr>
          <w:rFonts w:ascii="Book Antiqua" w:hAnsi="Book Antiqua"/>
          <w:sz w:val="24"/>
          <w:szCs w:val="24"/>
          <w:lang w:val="en-GB"/>
        </w:rPr>
        <w:t>MLR</w:t>
      </w:r>
      <w:r w:rsidRPr="002B2C64">
        <w:rPr>
          <w:rFonts w:ascii="Book Antiqua" w:hAnsi="Book Antiqua"/>
          <w:sz w:val="24"/>
          <w:szCs w:val="24"/>
          <w:lang w:val="en-GB"/>
        </w:rPr>
        <w:t>, neutrophil-to-monocyte ratio</w:t>
      </w:r>
      <w:r w:rsidR="00031F30" w:rsidRPr="002B2C64">
        <w:rPr>
          <w:rFonts w:ascii="Book Antiqua" w:hAnsi="Book Antiqua"/>
          <w:sz w:val="24"/>
          <w:szCs w:val="24"/>
          <w:lang w:val="en-GB"/>
        </w:rPr>
        <w:t xml:space="preserve"> (NMR)</w:t>
      </w:r>
      <w:r w:rsidRPr="002B2C64">
        <w:rPr>
          <w:rFonts w:ascii="Book Antiqua" w:hAnsi="Book Antiqua"/>
          <w:sz w:val="24"/>
          <w:szCs w:val="24"/>
          <w:lang w:val="en-GB"/>
        </w:rPr>
        <w:t>, NLR-PLR status</w:t>
      </w:r>
      <w:r w:rsidR="004E1736" w:rsidRPr="002B2C64">
        <w:rPr>
          <w:rFonts w:ascii="Book Antiqua" w:hAnsi="Book Antiqua"/>
          <w:sz w:val="24"/>
          <w:szCs w:val="24"/>
          <w:lang w:val="en-GB"/>
        </w:rPr>
        <w:t xml:space="preserve"> and</w:t>
      </w:r>
      <w:r w:rsidRPr="002B2C64">
        <w:rPr>
          <w:rFonts w:ascii="Book Antiqua" w:hAnsi="Book Antiqua"/>
          <w:sz w:val="24"/>
          <w:szCs w:val="24"/>
          <w:lang w:val="en-GB"/>
        </w:rPr>
        <w:t xml:space="preserve"> PLT-NLR status with clinical outcome in </w:t>
      </w:r>
      <w:r w:rsidR="00BA10BA" w:rsidRPr="002B2C64">
        <w:rPr>
          <w:rFonts w:ascii="Book Antiqua" w:hAnsi="Book Antiqua"/>
          <w:sz w:val="24"/>
          <w:szCs w:val="24"/>
          <w:lang w:val="en-GB"/>
        </w:rPr>
        <w:t>CRC</w:t>
      </w:r>
      <w:r w:rsidRPr="002B2C64">
        <w:rPr>
          <w:rFonts w:ascii="Book Antiqua" w:hAnsi="Book Antiqua"/>
          <w:sz w:val="24"/>
          <w:szCs w:val="24"/>
          <w:lang w:val="en-GB"/>
        </w:rPr>
        <w:t xml:space="preserve"> patients. </w:t>
      </w:r>
    </w:p>
    <w:p w:rsidR="00124331" w:rsidRPr="002B2C64" w:rsidRDefault="00124331" w:rsidP="0083105B">
      <w:pPr>
        <w:snapToGrid w:val="0"/>
        <w:spacing w:after="0" w:line="360" w:lineRule="auto"/>
        <w:jc w:val="both"/>
        <w:rPr>
          <w:rFonts w:ascii="Book Antiqua" w:hAnsi="Book Antiqua"/>
          <w:b/>
          <w:sz w:val="24"/>
          <w:szCs w:val="24"/>
          <w:lang w:val="en-GB"/>
        </w:rPr>
      </w:pPr>
    </w:p>
    <w:p w:rsidR="003D7C99" w:rsidRPr="002B2C64" w:rsidRDefault="003D7C99" w:rsidP="0083105B">
      <w:pPr>
        <w:adjustRightInd w:val="0"/>
        <w:snapToGrid w:val="0"/>
        <w:spacing w:after="0" w:line="360" w:lineRule="auto"/>
        <w:jc w:val="both"/>
        <w:rPr>
          <w:rFonts w:ascii="Book Antiqua" w:hAnsi="Book Antiqua"/>
          <w:b/>
          <w:sz w:val="24"/>
          <w:szCs w:val="24"/>
          <w:u w:val="single"/>
        </w:rPr>
      </w:pPr>
      <w:r w:rsidRPr="002B2C64">
        <w:rPr>
          <w:rFonts w:ascii="Book Antiqua" w:hAnsi="Book Antiqua"/>
          <w:b/>
          <w:sz w:val="24"/>
          <w:szCs w:val="24"/>
          <w:u w:val="single"/>
        </w:rPr>
        <w:t>MATERIALS AND METHODS</w:t>
      </w:r>
    </w:p>
    <w:p w:rsidR="00F45876" w:rsidRPr="002B2C64" w:rsidRDefault="00F45876" w:rsidP="0083105B">
      <w:pPr>
        <w:snapToGrid w:val="0"/>
        <w:spacing w:after="0" w:line="360" w:lineRule="auto"/>
        <w:jc w:val="both"/>
        <w:rPr>
          <w:rFonts w:ascii="Book Antiqua" w:hAnsi="Book Antiqua"/>
          <w:b/>
          <w:i/>
          <w:sz w:val="24"/>
          <w:szCs w:val="24"/>
          <w:lang w:val="en-GB"/>
        </w:rPr>
      </w:pPr>
      <w:r w:rsidRPr="002B2C64">
        <w:rPr>
          <w:rFonts w:ascii="Book Antiqua" w:hAnsi="Book Antiqua"/>
          <w:b/>
          <w:i/>
          <w:sz w:val="24"/>
          <w:szCs w:val="24"/>
          <w:lang w:val="en-GB"/>
        </w:rPr>
        <w:t>Baseline characteristics of the study group</w:t>
      </w:r>
    </w:p>
    <w:p w:rsidR="00D26E47" w:rsidRPr="002B2C64" w:rsidRDefault="00AC049B"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 xml:space="preserve">We retrospectively reviewed </w:t>
      </w:r>
      <w:r w:rsidR="00BA10BA" w:rsidRPr="002B2C64">
        <w:rPr>
          <w:rFonts w:ascii="Book Antiqua" w:hAnsi="Book Antiqua"/>
          <w:sz w:val="24"/>
          <w:szCs w:val="24"/>
          <w:lang w:val="en-GB"/>
        </w:rPr>
        <w:t xml:space="preserve">the </w:t>
      </w:r>
      <w:r w:rsidRPr="002B2C64">
        <w:rPr>
          <w:rFonts w:ascii="Book Antiqua" w:hAnsi="Book Antiqua"/>
          <w:sz w:val="24"/>
          <w:szCs w:val="24"/>
          <w:lang w:val="en-GB"/>
        </w:rPr>
        <w:t xml:space="preserve">medical records of 160 patients diagnosed with CRC </w:t>
      </w:r>
      <w:r w:rsidR="00996011" w:rsidRPr="002B2C64">
        <w:rPr>
          <w:rFonts w:ascii="Book Antiqua" w:hAnsi="Book Antiqua"/>
          <w:sz w:val="24"/>
          <w:szCs w:val="24"/>
          <w:lang w:val="en-GB"/>
        </w:rPr>
        <w:t xml:space="preserve">(96 men and 64 </w:t>
      </w:r>
      <w:r w:rsidRPr="002B2C64">
        <w:rPr>
          <w:rFonts w:ascii="Book Antiqua" w:hAnsi="Book Antiqua"/>
          <w:sz w:val="24"/>
          <w:szCs w:val="24"/>
          <w:lang w:val="en-GB"/>
        </w:rPr>
        <w:t xml:space="preserve">women) who underwent surgery in the Department of Oncological Surgery, Comprehensive Cancer </w:t>
      </w:r>
      <w:r w:rsidR="00B02586" w:rsidRPr="002B2C64">
        <w:rPr>
          <w:rFonts w:ascii="Book Antiqua" w:hAnsi="Book Antiqua"/>
          <w:sz w:val="24"/>
          <w:szCs w:val="24"/>
          <w:lang w:val="en-GB"/>
        </w:rPr>
        <w:t xml:space="preserve">Centre </w:t>
      </w:r>
      <w:r w:rsidRPr="002B2C64">
        <w:rPr>
          <w:rFonts w:ascii="Book Antiqua" w:hAnsi="Book Antiqua"/>
          <w:sz w:val="24"/>
          <w:szCs w:val="24"/>
          <w:lang w:val="en-GB"/>
        </w:rPr>
        <w:t>(Bialystok, Poland) between April 2014 and December 2016. The mean age of the patients was 67.5 years, including 40 patients</w:t>
      </w:r>
      <w:r w:rsidR="009E4737" w:rsidRPr="002B2C64">
        <w:rPr>
          <w:rFonts w:ascii="Book Antiqua" w:hAnsi="Book Antiqua"/>
          <w:sz w:val="24"/>
          <w:szCs w:val="24"/>
          <w:lang w:val="en-GB"/>
        </w:rPr>
        <w:t xml:space="preserve"> </w:t>
      </w:r>
      <w:r w:rsidRPr="002B2C64">
        <w:rPr>
          <w:rFonts w:ascii="Book Antiqua" w:hAnsi="Book Antiqua"/>
          <w:sz w:val="24"/>
          <w:szCs w:val="24"/>
          <w:lang w:val="en-GB"/>
        </w:rPr>
        <w:t>&lt;</w:t>
      </w:r>
      <w:r w:rsidR="009E4737" w:rsidRPr="002B2C64">
        <w:rPr>
          <w:rFonts w:ascii="Book Antiqua" w:hAnsi="Book Antiqua"/>
          <w:sz w:val="24"/>
          <w:szCs w:val="24"/>
          <w:lang w:val="en-GB"/>
        </w:rPr>
        <w:t xml:space="preserve"> </w:t>
      </w:r>
      <w:r w:rsidRPr="002B2C64">
        <w:rPr>
          <w:rFonts w:ascii="Book Antiqua" w:hAnsi="Book Antiqua"/>
          <w:sz w:val="24"/>
          <w:szCs w:val="24"/>
          <w:lang w:val="en-GB"/>
        </w:rPr>
        <w:t>60 years</w:t>
      </w:r>
      <w:r w:rsidR="004C75E1" w:rsidRPr="002B2C64">
        <w:rPr>
          <w:rFonts w:ascii="Book Antiqua" w:hAnsi="Book Antiqua"/>
          <w:sz w:val="24"/>
          <w:szCs w:val="24"/>
          <w:lang w:val="en-GB"/>
        </w:rPr>
        <w:t xml:space="preserve"> </w:t>
      </w:r>
      <w:r w:rsidRPr="002B2C64">
        <w:rPr>
          <w:rFonts w:ascii="Book Antiqua" w:hAnsi="Book Antiqua"/>
          <w:sz w:val="24"/>
          <w:szCs w:val="24"/>
          <w:lang w:val="en-GB"/>
        </w:rPr>
        <w:t xml:space="preserve">old and 120 patients </w:t>
      </w:r>
      <w:r w:rsidR="00C61C57" w:rsidRPr="002B2C64">
        <w:rPr>
          <w:rFonts w:ascii="Book Antiqua" w:hAnsi="Book Antiqua"/>
          <w:sz w:val="24"/>
          <w:szCs w:val="24"/>
          <w:lang w:val="en-GB"/>
        </w:rPr>
        <w:t>≥</w:t>
      </w:r>
      <w:r w:rsidR="009E4737" w:rsidRPr="002B2C64">
        <w:rPr>
          <w:rFonts w:ascii="Book Antiqua" w:hAnsi="Book Antiqua"/>
          <w:sz w:val="24"/>
          <w:szCs w:val="24"/>
          <w:lang w:val="en-GB"/>
        </w:rPr>
        <w:t xml:space="preserve"> </w:t>
      </w:r>
      <w:r w:rsidRPr="002B2C64">
        <w:rPr>
          <w:rFonts w:ascii="Book Antiqua" w:hAnsi="Book Antiqua"/>
          <w:sz w:val="24"/>
          <w:szCs w:val="24"/>
          <w:lang w:val="en-GB"/>
        </w:rPr>
        <w:t>60 years</w:t>
      </w:r>
      <w:r w:rsidR="004C75E1" w:rsidRPr="002B2C64">
        <w:rPr>
          <w:rFonts w:ascii="Book Antiqua" w:hAnsi="Book Antiqua"/>
          <w:sz w:val="24"/>
          <w:szCs w:val="24"/>
          <w:lang w:val="en-GB"/>
        </w:rPr>
        <w:t xml:space="preserve"> </w:t>
      </w:r>
      <w:r w:rsidRPr="002B2C64">
        <w:rPr>
          <w:rFonts w:ascii="Book Antiqua" w:hAnsi="Book Antiqua"/>
          <w:sz w:val="24"/>
          <w:szCs w:val="24"/>
          <w:lang w:val="en-GB"/>
        </w:rPr>
        <w:t>old. The majority presented similar symptoms, including abdominal pain, an</w:t>
      </w:r>
      <w:r w:rsidR="00B02586" w:rsidRPr="002B2C64">
        <w:rPr>
          <w:rFonts w:ascii="Book Antiqua" w:hAnsi="Book Antiqua"/>
          <w:sz w:val="24"/>
          <w:szCs w:val="24"/>
          <w:lang w:val="en-GB"/>
        </w:rPr>
        <w:t>a</w:t>
      </w:r>
      <w:r w:rsidRPr="002B2C64">
        <w:rPr>
          <w:rFonts w:ascii="Book Antiqua" w:hAnsi="Book Antiqua"/>
          <w:sz w:val="24"/>
          <w:szCs w:val="24"/>
          <w:lang w:val="en-GB"/>
        </w:rPr>
        <w:t>emia, rectal bleeding, constipation, diarrh</w:t>
      </w:r>
      <w:r w:rsidR="00B02586" w:rsidRPr="002B2C64">
        <w:rPr>
          <w:rFonts w:ascii="Book Antiqua" w:hAnsi="Book Antiqua"/>
          <w:sz w:val="24"/>
          <w:szCs w:val="24"/>
          <w:lang w:val="en-GB"/>
        </w:rPr>
        <w:t>o</w:t>
      </w:r>
      <w:r w:rsidRPr="002B2C64">
        <w:rPr>
          <w:rFonts w:ascii="Book Antiqua" w:hAnsi="Book Antiqua"/>
          <w:sz w:val="24"/>
          <w:szCs w:val="24"/>
          <w:lang w:val="en-GB"/>
        </w:rPr>
        <w:t xml:space="preserve">ea, vomiting and anorexia. In </w:t>
      </w:r>
      <w:r w:rsidR="00B02586" w:rsidRPr="002B2C64">
        <w:rPr>
          <w:rFonts w:ascii="Book Antiqua" w:hAnsi="Book Antiqua"/>
          <w:sz w:val="24"/>
          <w:szCs w:val="24"/>
          <w:lang w:val="en-GB"/>
        </w:rPr>
        <w:t>most</w:t>
      </w:r>
      <w:r w:rsidRPr="002B2C64">
        <w:rPr>
          <w:rFonts w:ascii="Book Antiqua" w:hAnsi="Book Antiqua"/>
          <w:sz w:val="24"/>
          <w:szCs w:val="24"/>
          <w:lang w:val="en-GB"/>
        </w:rPr>
        <w:t xml:space="preserve"> cases, patients additionally received treatment for hypertension, type II diabetes, osteoarthritis and coronary heart disease. However, none of the patients had received </w:t>
      </w:r>
      <w:r w:rsidR="00B02586" w:rsidRPr="002B2C64">
        <w:rPr>
          <w:rFonts w:ascii="Book Antiqua" w:hAnsi="Book Antiqua"/>
          <w:sz w:val="24"/>
          <w:szCs w:val="24"/>
          <w:lang w:val="en-GB"/>
        </w:rPr>
        <w:t>anti-inflammatory</w:t>
      </w:r>
      <w:r w:rsidR="00D16386" w:rsidRPr="002B2C64">
        <w:rPr>
          <w:rFonts w:ascii="Book Antiqua" w:hAnsi="Book Antiqua"/>
          <w:sz w:val="24"/>
          <w:szCs w:val="24"/>
          <w:lang w:val="en-GB"/>
        </w:rPr>
        <w:t xml:space="preserve"> therapy</w:t>
      </w:r>
      <w:r w:rsidRPr="002B2C64">
        <w:rPr>
          <w:rFonts w:ascii="Book Antiqua" w:hAnsi="Book Antiqua"/>
          <w:sz w:val="24"/>
          <w:szCs w:val="24"/>
          <w:lang w:val="en-GB"/>
        </w:rPr>
        <w:t>.</w:t>
      </w:r>
      <w:r w:rsidR="00DC54A1" w:rsidRPr="002B2C64">
        <w:rPr>
          <w:rFonts w:ascii="Book Antiqua" w:hAnsi="Book Antiqua"/>
          <w:sz w:val="24"/>
          <w:szCs w:val="24"/>
          <w:lang w:val="en-GB"/>
        </w:rPr>
        <w:t xml:space="preserve"> </w:t>
      </w:r>
      <w:r w:rsidRPr="002B2C64">
        <w:rPr>
          <w:rFonts w:ascii="Book Antiqua" w:hAnsi="Book Antiqua"/>
          <w:sz w:val="24"/>
          <w:szCs w:val="24"/>
          <w:lang w:val="en-GB"/>
        </w:rPr>
        <w:t xml:space="preserve">All patients underwent routine diagnostic tests, including basic diagnostic laboratory tests (morphological tests and lipid profiles), electrocardiography, spirometry, arterial blood </w:t>
      </w:r>
      <w:r w:rsidR="009C5714" w:rsidRPr="002B2C64">
        <w:rPr>
          <w:rFonts w:ascii="Book Antiqua" w:hAnsi="Book Antiqua"/>
          <w:sz w:val="24"/>
          <w:szCs w:val="24"/>
          <w:lang w:val="en-GB"/>
        </w:rPr>
        <w:t>gas</w:t>
      </w:r>
      <w:r w:rsidRPr="002B2C64">
        <w:rPr>
          <w:rFonts w:ascii="Book Antiqua" w:hAnsi="Book Antiqua"/>
          <w:sz w:val="24"/>
          <w:szCs w:val="24"/>
          <w:lang w:val="en-GB"/>
        </w:rPr>
        <w:t xml:space="preserve"> </w:t>
      </w:r>
      <w:r w:rsidR="00350536" w:rsidRPr="002B2C64">
        <w:rPr>
          <w:rFonts w:ascii="Book Antiqua" w:hAnsi="Book Antiqua"/>
          <w:sz w:val="24"/>
          <w:szCs w:val="24"/>
          <w:lang w:val="en-GB"/>
        </w:rPr>
        <w:t>analysis</w:t>
      </w:r>
      <w:r w:rsidRPr="002B2C64">
        <w:rPr>
          <w:rFonts w:ascii="Book Antiqua" w:hAnsi="Book Antiqua"/>
          <w:sz w:val="24"/>
          <w:szCs w:val="24"/>
          <w:lang w:val="en-GB"/>
        </w:rPr>
        <w:t xml:space="preserve">, X-ray and </w:t>
      </w:r>
      <w:r w:rsidR="003521DD" w:rsidRPr="002B2C64">
        <w:rPr>
          <w:rFonts w:ascii="Book Antiqua" w:hAnsi="Book Antiqua"/>
          <w:sz w:val="24"/>
          <w:szCs w:val="24"/>
          <w:lang w:val="en-GB"/>
        </w:rPr>
        <w:t xml:space="preserve">chest </w:t>
      </w:r>
      <w:r w:rsidRPr="002B2C64">
        <w:rPr>
          <w:rFonts w:ascii="Book Antiqua" w:hAnsi="Book Antiqua"/>
          <w:sz w:val="24"/>
          <w:szCs w:val="24"/>
          <w:lang w:val="en-GB"/>
        </w:rPr>
        <w:t>computed tomography. The clinical stage of CRC was evaluated according to the Tumo</w:t>
      </w:r>
      <w:r w:rsidR="00EA5CA5" w:rsidRPr="002B2C64">
        <w:rPr>
          <w:rFonts w:ascii="Book Antiqua" w:hAnsi="Book Antiqua"/>
          <w:sz w:val="24"/>
          <w:szCs w:val="24"/>
          <w:lang w:val="en-GB"/>
        </w:rPr>
        <w:t>u</w:t>
      </w:r>
      <w:r w:rsidRPr="002B2C64">
        <w:rPr>
          <w:rFonts w:ascii="Book Antiqua" w:hAnsi="Book Antiqua"/>
          <w:sz w:val="24"/>
          <w:szCs w:val="24"/>
          <w:lang w:val="en-GB"/>
        </w:rPr>
        <w:t>r-Node-Metastasis (TNM) classification</w:t>
      </w:r>
      <w:r w:rsidR="009E4737" w:rsidRPr="002B2C64">
        <w:rPr>
          <w:rFonts w:ascii="Book Antiqua" w:hAnsi="Book Antiqua"/>
          <w:sz w:val="24"/>
          <w:szCs w:val="24"/>
          <w:vertAlign w:val="superscript"/>
          <w:lang w:val="en-GB"/>
        </w:rPr>
        <w:t>[14]</w:t>
      </w:r>
      <w:r w:rsidR="00DC54A1" w:rsidRPr="002B2C64">
        <w:rPr>
          <w:rFonts w:ascii="Book Antiqua" w:hAnsi="Book Antiqua"/>
          <w:color w:val="auto"/>
          <w:sz w:val="24"/>
          <w:szCs w:val="24"/>
          <w:lang w:val="en-GB"/>
        </w:rPr>
        <w:t>.</w:t>
      </w:r>
      <w:r w:rsidRPr="002B2C64">
        <w:rPr>
          <w:rFonts w:ascii="Book Antiqua" w:hAnsi="Book Antiqua"/>
          <w:sz w:val="24"/>
          <w:szCs w:val="24"/>
          <w:lang w:val="en-GB"/>
        </w:rPr>
        <w:t xml:space="preserve"> Prior to surgery, patients with tumo</w:t>
      </w:r>
      <w:r w:rsidR="00B02586" w:rsidRPr="002B2C64">
        <w:rPr>
          <w:rFonts w:ascii="Book Antiqua" w:hAnsi="Book Antiqua"/>
          <w:sz w:val="24"/>
          <w:szCs w:val="24"/>
          <w:lang w:val="en-GB"/>
        </w:rPr>
        <w:t>u</w:t>
      </w:r>
      <w:r w:rsidRPr="002B2C64">
        <w:rPr>
          <w:rFonts w:ascii="Book Antiqua" w:hAnsi="Book Antiqua"/>
          <w:sz w:val="24"/>
          <w:szCs w:val="24"/>
          <w:lang w:val="en-GB"/>
        </w:rPr>
        <w:t xml:space="preserve">rs identified in other sites </w:t>
      </w:r>
      <w:r w:rsidR="004A42BE" w:rsidRPr="002B2C64">
        <w:rPr>
          <w:rFonts w:ascii="Book Antiqua" w:hAnsi="Book Antiqua"/>
          <w:sz w:val="24"/>
          <w:szCs w:val="24"/>
          <w:lang w:val="en-GB"/>
        </w:rPr>
        <w:t xml:space="preserve">had not </w:t>
      </w:r>
      <w:r w:rsidRPr="002B2C64">
        <w:rPr>
          <w:rFonts w:ascii="Book Antiqua" w:hAnsi="Book Antiqua"/>
          <w:sz w:val="24"/>
          <w:szCs w:val="24"/>
          <w:lang w:val="en-GB"/>
        </w:rPr>
        <w:t xml:space="preserve">received </w:t>
      </w:r>
      <w:r w:rsidR="00EA5CA5" w:rsidRPr="002B2C64">
        <w:rPr>
          <w:rFonts w:ascii="Book Antiqua" w:hAnsi="Book Antiqua"/>
          <w:sz w:val="24"/>
          <w:szCs w:val="24"/>
          <w:lang w:val="en-GB"/>
        </w:rPr>
        <w:t>anti-</w:t>
      </w:r>
      <w:r w:rsidRPr="002B2C64">
        <w:rPr>
          <w:rFonts w:ascii="Book Antiqua" w:hAnsi="Book Antiqua"/>
          <w:sz w:val="24"/>
          <w:szCs w:val="24"/>
          <w:lang w:val="en-GB"/>
        </w:rPr>
        <w:t xml:space="preserve">inflammatory or immunosuppressive therapy. </w:t>
      </w:r>
    </w:p>
    <w:p w:rsidR="00AF7D47" w:rsidRPr="002B2C64" w:rsidRDefault="00AF7D47" w:rsidP="0083105B">
      <w:pPr>
        <w:pStyle w:val="Pa1"/>
        <w:snapToGrid w:val="0"/>
        <w:spacing w:line="360" w:lineRule="auto"/>
        <w:ind w:firstLineChars="100" w:firstLine="240"/>
        <w:jc w:val="both"/>
        <w:rPr>
          <w:rFonts w:ascii="Book Antiqua" w:hAnsi="Book Antiqua" w:cs="Times New Roman"/>
          <w:lang w:val="en-GB"/>
        </w:rPr>
      </w:pPr>
      <w:r w:rsidRPr="002B2C64">
        <w:rPr>
          <w:rFonts w:ascii="Book Antiqua" w:hAnsi="Book Antiqua" w:cs="Times New Roman"/>
          <w:color w:val="000000"/>
          <w:lang w:val="en-GB"/>
        </w:rPr>
        <w:t>P</w:t>
      </w:r>
      <w:r w:rsidR="00DC54A1" w:rsidRPr="002B2C64">
        <w:rPr>
          <w:rFonts w:ascii="Book Antiqua" w:hAnsi="Book Antiqua" w:cs="Times New Roman"/>
          <w:color w:val="000000"/>
          <w:lang w:val="en-GB"/>
        </w:rPr>
        <w:t>atients diagnosed with neoplasm</w:t>
      </w:r>
      <w:r w:rsidR="003521DD" w:rsidRPr="002B2C64">
        <w:rPr>
          <w:rFonts w:ascii="Book Antiqua" w:hAnsi="Book Antiqua" w:cs="Times New Roman"/>
          <w:color w:val="000000"/>
          <w:lang w:val="en-GB"/>
        </w:rPr>
        <w:t>s</w:t>
      </w:r>
      <w:r w:rsidRPr="002B2C64">
        <w:rPr>
          <w:rFonts w:ascii="Book Antiqua" w:hAnsi="Book Antiqua" w:cs="Times New Roman"/>
          <w:color w:val="000000"/>
          <w:lang w:val="en-GB"/>
        </w:rPr>
        <w:t xml:space="preserve"> in </w:t>
      </w:r>
      <w:r w:rsidR="00EA5CA5" w:rsidRPr="002B2C64">
        <w:rPr>
          <w:rFonts w:ascii="Book Antiqua" w:hAnsi="Book Antiqua" w:cs="Times New Roman"/>
          <w:color w:val="000000"/>
          <w:lang w:val="en-GB"/>
        </w:rPr>
        <w:t xml:space="preserve">the </w:t>
      </w:r>
      <w:r w:rsidRPr="002B2C64">
        <w:rPr>
          <w:rFonts w:ascii="Book Antiqua" w:hAnsi="Book Antiqua" w:cs="Times New Roman"/>
          <w:color w:val="000000"/>
          <w:lang w:val="en-GB"/>
        </w:rPr>
        <w:t>rectum received preoperative therapy (</w:t>
      </w:r>
      <w:r w:rsidR="003D7C99" w:rsidRPr="002B2C64">
        <w:rPr>
          <w:rFonts w:ascii="Book Antiqua" w:hAnsi="Book Antiqua" w:cs="Times New Roman"/>
          <w:i/>
          <w:iCs/>
          <w:color w:val="000000"/>
          <w:lang w:val="en-GB"/>
        </w:rPr>
        <w:t>n</w:t>
      </w:r>
      <w:r w:rsidR="009E4737" w:rsidRPr="002B2C64">
        <w:rPr>
          <w:rFonts w:ascii="Book Antiqua" w:hAnsi="Book Antiqua" w:cs="Times New Roman"/>
          <w:i/>
          <w:iCs/>
          <w:color w:val="000000"/>
          <w:lang w:val="en-GB"/>
        </w:rPr>
        <w:t xml:space="preserve"> </w:t>
      </w:r>
      <w:r w:rsidR="002227A3" w:rsidRPr="002B2C64">
        <w:rPr>
          <w:rFonts w:ascii="Book Antiqua" w:hAnsi="Book Antiqua"/>
          <w:i/>
          <w:lang w:val="en-GB" w:eastAsia="pl-PL"/>
        </w:rPr>
        <w:t>=</w:t>
      </w:r>
      <w:r w:rsidR="009E4737" w:rsidRPr="002B2C64">
        <w:rPr>
          <w:rFonts w:ascii="Book Antiqua" w:hAnsi="Book Antiqua" w:cs="Times New Roman"/>
          <w:color w:val="000000"/>
          <w:lang w:val="en-GB"/>
        </w:rPr>
        <w:t xml:space="preserve"> </w:t>
      </w:r>
      <w:r w:rsidRPr="002B2C64">
        <w:rPr>
          <w:rFonts w:ascii="Book Antiqua" w:hAnsi="Book Antiqua" w:cs="Times New Roman"/>
          <w:color w:val="000000"/>
          <w:lang w:val="en-GB"/>
        </w:rPr>
        <w:t xml:space="preserve">53). </w:t>
      </w:r>
      <w:r w:rsidR="00EA5CA5" w:rsidRPr="002B2C64">
        <w:rPr>
          <w:rFonts w:ascii="Book Antiqua" w:hAnsi="Book Antiqua" w:cs="Times New Roman"/>
          <w:color w:val="000000"/>
          <w:lang w:val="en-GB"/>
        </w:rPr>
        <w:t xml:space="preserve">They </w:t>
      </w:r>
      <w:r w:rsidRPr="002B2C64">
        <w:rPr>
          <w:rFonts w:ascii="Book Antiqua" w:hAnsi="Book Antiqua" w:cs="Times New Roman"/>
          <w:color w:val="000000"/>
          <w:lang w:val="en-GB"/>
        </w:rPr>
        <w:t>received radiotherapy (</w:t>
      </w:r>
      <w:r w:rsidR="003D7C99" w:rsidRPr="002B2C64">
        <w:rPr>
          <w:rFonts w:ascii="Book Antiqua" w:hAnsi="Book Antiqua" w:cs="Times New Roman"/>
          <w:i/>
          <w:iCs/>
          <w:color w:val="000000"/>
          <w:lang w:val="en-GB"/>
        </w:rPr>
        <w:t>n</w:t>
      </w:r>
      <w:r w:rsidR="002227A3" w:rsidRPr="002B2C64">
        <w:rPr>
          <w:rFonts w:ascii="Book Antiqua" w:hAnsi="Book Antiqua" w:cs="Times New Roman"/>
          <w:i/>
          <w:iCs/>
          <w:color w:val="000000"/>
          <w:lang w:val="en-GB"/>
        </w:rPr>
        <w:t xml:space="preserve"> </w:t>
      </w:r>
      <w:r w:rsidR="002227A3" w:rsidRPr="002B2C64">
        <w:rPr>
          <w:rFonts w:ascii="Book Antiqua" w:hAnsi="Book Antiqua"/>
          <w:i/>
          <w:lang w:val="en-GB" w:eastAsia="pl-PL"/>
        </w:rPr>
        <w:t>=</w:t>
      </w:r>
      <w:r w:rsidR="009E4737" w:rsidRPr="002B2C64">
        <w:rPr>
          <w:rFonts w:ascii="Book Antiqua" w:hAnsi="Book Antiqua" w:cs="Times New Roman"/>
          <w:color w:val="000000"/>
          <w:lang w:val="en-GB"/>
        </w:rPr>
        <w:t xml:space="preserve"> </w:t>
      </w:r>
      <w:r w:rsidRPr="002B2C64">
        <w:rPr>
          <w:rFonts w:ascii="Book Antiqua" w:hAnsi="Book Antiqua" w:cs="Times New Roman"/>
          <w:color w:val="000000"/>
          <w:lang w:val="en-GB"/>
        </w:rPr>
        <w:t>39), chemotherapy (</w:t>
      </w:r>
      <w:r w:rsidR="003D7C99" w:rsidRPr="002B2C64">
        <w:rPr>
          <w:rFonts w:ascii="Book Antiqua" w:hAnsi="Book Antiqua" w:cs="Times New Roman"/>
          <w:i/>
          <w:iCs/>
          <w:color w:val="000000"/>
          <w:lang w:val="en-GB"/>
        </w:rPr>
        <w:t>n</w:t>
      </w:r>
      <w:r w:rsidR="009E4737" w:rsidRPr="002B2C64">
        <w:rPr>
          <w:rFonts w:ascii="Book Antiqua" w:hAnsi="Book Antiqua" w:cs="Times New Roman"/>
          <w:i/>
          <w:iCs/>
          <w:color w:val="000000"/>
          <w:lang w:val="en-GB"/>
        </w:rPr>
        <w:t xml:space="preserve"> </w:t>
      </w:r>
      <w:r w:rsidR="002227A3" w:rsidRPr="002B2C64">
        <w:rPr>
          <w:rFonts w:ascii="Book Antiqua" w:hAnsi="Book Antiqua"/>
          <w:i/>
          <w:lang w:val="en-GB" w:eastAsia="pl-PL"/>
        </w:rPr>
        <w:t>=</w:t>
      </w:r>
      <w:r w:rsidR="009E4737" w:rsidRPr="002B2C64">
        <w:rPr>
          <w:rFonts w:ascii="Book Antiqua" w:hAnsi="Book Antiqua" w:cs="Times New Roman"/>
          <w:color w:val="000000"/>
          <w:lang w:val="en-GB"/>
        </w:rPr>
        <w:t xml:space="preserve"> </w:t>
      </w:r>
      <w:r w:rsidRPr="002B2C64">
        <w:rPr>
          <w:rFonts w:ascii="Book Antiqua" w:hAnsi="Book Antiqua" w:cs="Times New Roman"/>
          <w:color w:val="000000"/>
          <w:lang w:val="en-GB"/>
        </w:rPr>
        <w:t xml:space="preserve">7) and </w:t>
      </w:r>
      <w:r w:rsidR="00332FC0" w:rsidRPr="002B2C64">
        <w:rPr>
          <w:rFonts w:ascii="Book Antiqua" w:hAnsi="Book Antiqua" w:cs="Times New Roman"/>
          <w:color w:val="000000"/>
          <w:lang w:val="en-GB"/>
        </w:rPr>
        <w:t>radio-chemotherapy</w:t>
      </w:r>
      <w:r w:rsidRPr="002B2C64">
        <w:rPr>
          <w:rFonts w:ascii="Book Antiqua" w:hAnsi="Book Antiqua" w:cs="Times New Roman"/>
          <w:color w:val="000000"/>
          <w:lang w:val="en-GB"/>
        </w:rPr>
        <w:t xml:space="preserve"> (</w:t>
      </w:r>
      <w:r w:rsidR="003D7C99" w:rsidRPr="002B2C64">
        <w:rPr>
          <w:rFonts w:ascii="Book Antiqua" w:hAnsi="Book Antiqua" w:cs="Times New Roman"/>
          <w:i/>
          <w:iCs/>
          <w:color w:val="000000"/>
          <w:lang w:val="en-GB"/>
        </w:rPr>
        <w:t>n</w:t>
      </w:r>
      <w:r w:rsidR="002227A3" w:rsidRPr="002B2C64">
        <w:rPr>
          <w:rFonts w:ascii="Book Antiqua" w:hAnsi="Book Antiqua" w:cs="Times New Roman"/>
          <w:i/>
          <w:iCs/>
          <w:color w:val="000000"/>
          <w:lang w:val="en-GB"/>
        </w:rPr>
        <w:t xml:space="preserve"> </w:t>
      </w:r>
      <w:r w:rsidR="002227A3" w:rsidRPr="002B2C64">
        <w:rPr>
          <w:rFonts w:ascii="Book Antiqua" w:hAnsi="Book Antiqua"/>
          <w:i/>
          <w:lang w:val="en-GB" w:eastAsia="pl-PL"/>
        </w:rPr>
        <w:t>=</w:t>
      </w:r>
      <w:r w:rsidR="009E4737" w:rsidRPr="002B2C64">
        <w:rPr>
          <w:rFonts w:ascii="Book Antiqua" w:hAnsi="Book Antiqua" w:cs="Times New Roman"/>
          <w:color w:val="000000"/>
          <w:lang w:val="en-GB"/>
        </w:rPr>
        <w:t xml:space="preserve"> </w:t>
      </w:r>
      <w:r w:rsidRPr="002B2C64">
        <w:rPr>
          <w:rFonts w:ascii="Book Antiqua" w:hAnsi="Book Antiqua" w:cs="Times New Roman"/>
          <w:color w:val="000000"/>
          <w:lang w:val="en-GB"/>
        </w:rPr>
        <w:t>7)</w:t>
      </w:r>
      <w:r w:rsidR="00EA5CA5" w:rsidRPr="002B2C64">
        <w:rPr>
          <w:rFonts w:ascii="Book Antiqua" w:hAnsi="Book Antiqua" w:cs="Times New Roman"/>
          <w:color w:val="000000"/>
          <w:lang w:val="en-GB"/>
        </w:rPr>
        <w:t>, and</w:t>
      </w:r>
      <w:r w:rsidRPr="002B2C64">
        <w:rPr>
          <w:rFonts w:ascii="Book Antiqua" w:hAnsi="Book Antiqua" w:cs="Times New Roman"/>
          <w:color w:val="000000"/>
          <w:lang w:val="en-GB"/>
        </w:rPr>
        <w:t xml:space="preserve"> </w:t>
      </w:r>
      <w:r w:rsidR="003521DD" w:rsidRPr="002B2C64">
        <w:rPr>
          <w:rFonts w:ascii="Book Antiqua" w:hAnsi="Book Antiqua" w:cs="Times New Roman"/>
          <w:color w:val="000000"/>
          <w:lang w:val="en-GB"/>
        </w:rPr>
        <w:t>received</w:t>
      </w:r>
      <w:r w:rsidRPr="002B2C64">
        <w:rPr>
          <w:rFonts w:ascii="Book Antiqua" w:hAnsi="Book Antiqua" w:cs="Times New Roman"/>
          <w:color w:val="000000"/>
          <w:lang w:val="en-GB"/>
        </w:rPr>
        <w:t xml:space="preserve"> a dose of 25 Gy in fractions of 5 Gy during one week in the pelvic area. </w:t>
      </w:r>
      <w:r w:rsidR="00AC049B" w:rsidRPr="002B2C64">
        <w:rPr>
          <w:rFonts w:ascii="Book Antiqua" w:hAnsi="Book Antiqua" w:cs="Times New Roman"/>
          <w:lang w:val="en-GB"/>
        </w:rPr>
        <w:t>The response to preoperative therapy was estimated according to the Response Evaluat</w:t>
      </w:r>
      <w:r w:rsidR="001777C4" w:rsidRPr="002B2C64">
        <w:rPr>
          <w:rFonts w:ascii="Book Antiqua" w:hAnsi="Book Antiqua" w:cs="Times New Roman"/>
          <w:lang w:val="en-GB"/>
        </w:rPr>
        <w:t>ion Criteria in Solid Tumo</w:t>
      </w:r>
      <w:r w:rsidR="00EA5CA5" w:rsidRPr="002B2C64">
        <w:rPr>
          <w:rFonts w:ascii="Book Antiqua" w:hAnsi="Book Antiqua" w:cs="Times New Roman"/>
          <w:lang w:val="en-GB"/>
        </w:rPr>
        <w:t>u</w:t>
      </w:r>
      <w:r w:rsidR="001777C4" w:rsidRPr="002B2C64">
        <w:rPr>
          <w:rFonts w:ascii="Book Antiqua" w:hAnsi="Book Antiqua" w:cs="Times New Roman"/>
          <w:lang w:val="en-GB"/>
        </w:rPr>
        <w:t>rs</w:t>
      </w:r>
      <w:r w:rsidR="001D43AF" w:rsidRPr="002B2C64">
        <w:rPr>
          <w:rFonts w:ascii="Book Antiqua" w:hAnsi="Book Antiqua" w:cs="Times New Roman"/>
          <w:vertAlign w:val="superscript"/>
          <w:lang w:val="en-GB"/>
        </w:rPr>
        <w:t>[</w:t>
      </w:r>
      <w:r w:rsidR="003962A4" w:rsidRPr="002B2C64">
        <w:rPr>
          <w:rFonts w:ascii="Book Antiqua" w:hAnsi="Book Antiqua" w:cs="Times New Roman"/>
          <w:vertAlign w:val="superscript"/>
          <w:lang w:val="en-GB"/>
        </w:rPr>
        <w:t>15</w:t>
      </w:r>
      <w:r w:rsidR="001D43AF" w:rsidRPr="002B2C64">
        <w:rPr>
          <w:rFonts w:ascii="Book Antiqua" w:hAnsi="Book Antiqua" w:cs="Times New Roman"/>
          <w:vertAlign w:val="superscript"/>
          <w:lang w:val="en-GB"/>
        </w:rPr>
        <w:t>]</w:t>
      </w:r>
      <w:r w:rsidR="00AC049B" w:rsidRPr="002B2C64">
        <w:rPr>
          <w:rFonts w:ascii="Book Antiqua" w:hAnsi="Book Antiqua" w:cs="Times New Roman"/>
          <w:lang w:val="en-GB"/>
        </w:rPr>
        <w:t>.</w:t>
      </w:r>
      <w:r w:rsidR="00DC54A1" w:rsidRPr="002B2C64">
        <w:rPr>
          <w:rFonts w:ascii="Book Antiqua" w:hAnsi="Book Antiqua" w:cs="Times New Roman"/>
          <w:lang w:val="en-GB"/>
        </w:rPr>
        <w:t xml:space="preserve"> </w:t>
      </w:r>
      <w:r w:rsidR="006A66D5" w:rsidRPr="002B2C64">
        <w:rPr>
          <w:rFonts w:ascii="Book Antiqua" w:hAnsi="Book Antiqua" w:cs="Times New Roman"/>
          <w:lang w:val="en-GB"/>
        </w:rPr>
        <w:t xml:space="preserve">Stable </w:t>
      </w:r>
      <w:r w:rsidR="003521DD" w:rsidRPr="002B2C64">
        <w:rPr>
          <w:rFonts w:ascii="Book Antiqua" w:hAnsi="Book Antiqua" w:cs="Times New Roman"/>
          <w:lang w:val="en-GB"/>
        </w:rPr>
        <w:t>d</w:t>
      </w:r>
      <w:r w:rsidR="006A66D5" w:rsidRPr="002B2C64">
        <w:rPr>
          <w:rFonts w:ascii="Book Antiqua" w:hAnsi="Book Antiqua" w:cs="Times New Roman"/>
          <w:lang w:val="en-GB"/>
        </w:rPr>
        <w:t>isease was observed in 26 patients</w:t>
      </w:r>
      <w:r w:rsidR="003521DD" w:rsidRPr="002B2C64">
        <w:rPr>
          <w:rFonts w:ascii="Book Antiqua" w:hAnsi="Book Antiqua" w:cs="Times New Roman"/>
          <w:lang w:val="en-GB"/>
        </w:rPr>
        <w:t>,</w:t>
      </w:r>
      <w:r w:rsidR="006A66D5" w:rsidRPr="002B2C64">
        <w:rPr>
          <w:rFonts w:ascii="Book Antiqua" w:hAnsi="Book Antiqua" w:cs="Times New Roman"/>
          <w:lang w:val="en-GB"/>
        </w:rPr>
        <w:t xml:space="preserve"> while </w:t>
      </w:r>
      <w:r w:rsidR="003521DD" w:rsidRPr="002B2C64">
        <w:rPr>
          <w:rFonts w:ascii="Book Antiqua" w:hAnsi="Book Antiqua" w:cs="Times New Roman"/>
          <w:lang w:val="en-GB"/>
        </w:rPr>
        <w:t>27 patients had a p</w:t>
      </w:r>
      <w:r w:rsidR="00224E7E" w:rsidRPr="002B2C64">
        <w:rPr>
          <w:rFonts w:ascii="Book Antiqua" w:hAnsi="Book Antiqua" w:cs="Times New Roman"/>
          <w:lang w:val="en-GB"/>
        </w:rPr>
        <w:t xml:space="preserve">artial </w:t>
      </w:r>
      <w:r w:rsidR="003521DD" w:rsidRPr="002B2C64">
        <w:rPr>
          <w:rFonts w:ascii="Book Antiqua" w:hAnsi="Book Antiqua" w:cs="Times New Roman"/>
          <w:lang w:val="en-GB"/>
        </w:rPr>
        <w:t>r</w:t>
      </w:r>
      <w:r w:rsidR="00224E7E" w:rsidRPr="002B2C64">
        <w:rPr>
          <w:rFonts w:ascii="Book Antiqua" w:hAnsi="Book Antiqua" w:cs="Times New Roman"/>
          <w:lang w:val="en-GB"/>
        </w:rPr>
        <w:t>esponse</w:t>
      </w:r>
      <w:r w:rsidR="00B554BA" w:rsidRPr="002B2C64">
        <w:rPr>
          <w:rFonts w:ascii="Book Antiqua" w:hAnsi="Book Antiqua" w:cs="Times New Roman"/>
          <w:lang w:val="en-GB"/>
        </w:rPr>
        <w:t>.</w:t>
      </w:r>
    </w:p>
    <w:p w:rsidR="00885498" w:rsidRPr="002B2C64" w:rsidRDefault="00D26E47" w:rsidP="0083105B">
      <w:pPr>
        <w:snapToGrid w:val="0"/>
        <w:spacing w:after="0" w:line="360" w:lineRule="auto"/>
        <w:ind w:firstLineChars="100" w:firstLine="240"/>
        <w:jc w:val="both"/>
        <w:rPr>
          <w:rFonts w:ascii="Book Antiqua" w:hAnsi="Book Antiqua"/>
          <w:sz w:val="24"/>
          <w:szCs w:val="24"/>
          <w:lang w:val="en-GB" w:eastAsia="zh-CN"/>
        </w:rPr>
      </w:pPr>
      <w:r w:rsidRPr="002B2C64">
        <w:rPr>
          <w:rFonts w:ascii="Book Antiqua" w:hAnsi="Book Antiqua"/>
          <w:sz w:val="24"/>
          <w:szCs w:val="24"/>
          <w:lang w:val="en-GB"/>
        </w:rPr>
        <w:lastRenderedPageBreak/>
        <w:t xml:space="preserve">The inclusion criteria were as follows: (1) Pathologically confirmed </w:t>
      </w:r>
      <w:r w:rsidR="003521DD" w:rsidRPr="002B2C64">
        <w:rPr>
          <w:rFonts w:ascii="Book Antiqua" w:hAnsi="Book Antiqua"/>
          <w:sz w:val="24"/>
          <w:szCs w:val="24"/>
          <w:lang w:val="en-GB"/>
        </w:rPr>
        <w:t>CRC</w:t>
      </w:r>
      <w:r w:rsidRPr="002B2C64">
        <w:rPr>
          <w:rFonts w:ascii="Book Antiqua" w:hAnsi="Book Antiqua"/>
          <w:sz w:val="24"/>
          <w:szCs w:val="24"/>
          <w:lang w:val="en-GB"/>
        </w:rPr>
        <w:t>; (2) Tr</w:t>
      </w:r>
      <w:r w:rsidR="00CD20DC" w:rsidRPr="002B2C64">
        <w:rPr>
          <w:rFonts w:ascii="Book Antiqua" w:hAnsi="Book Antiqua"/>
          <w:sz w:val="24"/>
          <w:szCs w:val="24"/>
          <w:lang w:val="en-GB"/>
        </w:rPr>
        <w:t>eatme</w:t>
      </w:r>
      <w:r w:rsidR="00651870" w:rsidRPr="002B2C64">
        <w:rPr>
          <w:rFonts w:ascii="Book Antiqua" w:hAnsi="Book Antiqua"/>
          <w:sz w:val="24"/>
          <w:szCs w:val="24"/>
          <w:lang w:val="en-GB"/>
        </w:rPr>
        <w:t>nt with radical resection</w:t>
      </w:r>
      <w:r w:rsidR="004B32F0" w:rsidRPr="002B2C64">
        <w:rPr>
          <w:rFonts w:ascii="Book Antiqua" w:hAnsi="Book Antiqua"/>
          <w:sz w:val="24"/>
          <w:szCs w:val="24"/>
          <w:lang w:val="en-GB"/>
        </w:rPr>
        <w:t>;</w:t>
      </w:r>
      <w:r w:rsidR="00651870" w:rsidRPr="002B2C64">
        <w:rPr>
          <w:rFonts w:ascii="Book Antiqua" w:hAnsi="Book Antiqua"/>
          <w:sz w:val="24"/>
          <w:szCs w:val="24"/>
          <w:lang w:val="en-GB"/>
        </w:rPr>
        <w:t xml:space="preserve"> </w:t>
      </w:r>
      <w:r w:rsidR="004B32F0" w:rsidRPr="002B2C64">
        <w:rPr>
          <w:rFonts w:ascii="Book Antiqua" w:hAnsi="Book Antiqua"/>
          <w:sz w:val="24"/>
          <w:szCs w:val="24"/>
          <w:lang w:val="en-GB"/>
        </w:rPr>
        <w:t>and</w:t>
      </w:r>
      <w:r w:rsidR="003D7C99" w:rsidRPr="002B2C64">
        <w:rPr>
          <w:rFonts w:ascii="Book Antiqua" w:hAnsi="Book Antiqua"/>
          <w:sz w:val="24"/>
          <w:szCs w:val="24"/>
          <w:lang w:val="en-GB"/>
        </w:rPr>
        <w:t xml:space="preserve"> </w:t>
      </w:r>
      <w:r w:rsidR="00651870" w:rsidRPr="002B2C64">
        <w:rPr>
          <w:rFonts w:ascii="Book Antiqua" w:hAnsi="Book Antiqua"/>
          <w:sz w:val="24"/>
          <w:szCs w:val="24"/>
          <w:lang w:val="en-GB"/>
        </w:rPr>
        <w:t xml:space="preserve">(3) </w:t>
      </w:r>
      <w:r w:rsidR="003521DD" w:rsidRPr="002B2C64">
        <w:rPr>
          <w:rFonts w:ascii="Book Antiqua" w:hAnsi="Book Antiqua"/>
          <w:sz w:val="24"/>
          <w:szCs w:val="24"/>
          <w:lang w:val="en-GB"/>
        </w:rPr>
        <w:t>No previous</w:t>
      </w:r>
      <w:r w:rsidR="00CD20DC" w:rsidRPr="002B2C64">
        <w:rPr>
          <w:rFonts w:ascii="Book Antiqua" w:hAnsi="Book Antiqua"/>
          <w:sz w:val="24"/>
          <w:szCs w:val="24"/>
          <w:lang w:val="en-GB"/>
        </w:rPr>
        <w:t xml:space="preserve"> anti-inflammatory therapy</w:t>
      </w:r>
      <w:r w:rsidR="00651870" w:rsidRPr="002B2C64">
        <w:rPr>
          <w:rFonts w:ascii="Book Antiqua" w:hAnsi="Book Antiqua"/>
          <w:sz w:val="24"/>
          <w:szCs w:val="24"/>
          <w:lang w:val="en-GB"/>
        </w:rPr>
        <w:t>. T</w:t>
      </w:r>
      <w:r w:rsidRPr="002B2C64">
        <w:rPr>
          <w:rFonts w:ascii="Book Antiqua" w:hAnsi="Book Antiqua"/>
          <w:sz w:val="24"/>
          <w:szCs w:val="24"/>
          <w:lang w:val="en-GB"/>
        </w:rPr>
        <w:t>he exclusion criteria were: (1) Incomplete clinicopatholog</w:t>
      </w:r>
      <w:r w:rsidR="00CD20DC" w:rsidRPr="002B2C64">
        <w:rPr>
          <w:rFonts w:ascii="Book Antiqua" w:hAnsi="Book Antiqua"/>
          <w:sz w:val="24"/>
          <w:szCs w:val="24"/>
          <w:lang w:val="en-GB"/>
        </w:rPr>
        <w:t>ical and follow-up data</w:t>
      </w:r>
      <w:r w:rsidRPr="002B2C64">
        <w:rPr>
          <w:rFonts w:ascii="Book Antiqua" w:hAnsi="Book Antiqua"/>
          <w:sz w:val="24"/>
          <w:szCs w:val="24"/>
          <w:lang w:val="en-GB"/>
        </w:rPr>
        <w:t xml:space="preserve">; </w:t>
      </w:r>
      <w:r w:rsidR="003D7C99" w:rsidRPr="002B2C64">
        <w:rPr>
          <w:rFonts w:ascii="Book Antiqua" w:hAnsi="Book Antiqua"/>
          <w:sz w:val="24"/>
          <w:szCs w:val="24"/>
          <w:lang w:val="en-GB"/>
        </w:rPr>
        <w:t xml:space="preserve">and </w:t>
      </w:r>
      <w:r w:rsidRPr="002B2C64">
        <w:rPr>
          <w:rFonts w:ascii="Book Antiqua" w:hAnsi="Book Antiqua"/>
          <w:sz w:val="24"/>
          <w:szCs w:val="24"/>
          <w:lang w:val="en-GB"/>
        </w:rPr>
        <w:t xml:space="preserve">(2) </w:t>
      </w:r>
      <w:r w:rsidR="00651870" w:rsidRPr="002B2C64">
        <w:rPr>
          <w:rFonts w:ascii="Book Antiqua" w:hAnsi="Book Antiqua"/>
          <w:sz w:val="24"/>
          <w:szCs w:val="24"/>
          <w:lang w:val="en-GB"/>
        </w:rPr>
        <w:t>Presence of haematological disorders.</w:t>
      </w:r>
    </w:p>
    <w:p w:rsidR="0004553B" w:rsidRPr="002B2C64" w:rsidRDefault="00AC049B" w:rsidP="0083105B">
      <w:pPr>
        <w:snapToGrid w:val="0"/>
        <w:spacing w:after="0" w:line="360" w:lineRule="auto"/>
        <w:ind w:firstLineChars="100" w:firstLine="240"/>
        <w:jc w:val="both"/>
        <w:rPr>
          <w:rFonts w:ascii="Book Antiqua" w:hAnsi="Book Antiqua"/>
          <w:sz w:val="24"/>
          <w:szCs w:val="24"/>
          <w:lang w:val="en-GB"/>
        </w:rPr>
      </w:pPr>
      <w:r w:rsidRPr="002B2C64">
        <w:rPr>
          <w:rFonts w:ascii="Book Antiqua" w:hAnsi="Book Antiqua"/>
          <w:sz w:val="24"/>
          <w:szCs w:val="24"/>
          <w:lang w:val="en-GB"/>
        </w:rPr>
        <w:t>Tissues obtained from surgery were fixed in 4%</w:t>
      </w:r>
      <w:r w:rsidR="00DC54A1" w:rsidRPr="002B2C64">
        <w:rPr>
          <w:rFonts w:ascii="Book Antiqua" w:hAnsi="Book Antiqua"/>
          <w:sz w:val="24"/>
          <w:szCs w:val="24"/>
          <w:lang w:val="en-GB"/>
        </w:rPr>
        <w:t xml:space="preserve"> buffered formalin for 24 to 72 h</w:t>
      </w:r>
      <w:r w:rsidR="004B32F0" w:rsidRPr="002B2C64">
        <w:rPr>
          <w:rFonts w:ascii="Book Antiqua" w:hAnsi="Book Antiqua"/>
          <w:sz w:val="24"/>
          <w:szCs w:val="24"/>
          <w:lang w:val="en-GB"/>
        </w:rPr>
        <w:t xml:space="preserve"> </w:t>
      </w:r>
      <w:r w:rsidRPr="002B2C64">
        <w:rPr>
          <w:rFonts w:ascii="Book Antiqua" w:hAnsi="Book Antiqua"/>
          <w:sz w:val="24"/>
          <w:szCs w:val="24"/>
          <w:lang w:val="en-GB"/>
        </w:rPr>
        <w:t xml:space="preserve">at room temperature. Small sections of tissue were embedded in paraffin. Sections (4 µm-thick) were cut from paraffin blocks and stained with </w:t>
      </w:r>
      <w:r w:rsidR="00EA5CA5" w:rsidRPr="002B2C64">
        <w:rPr>
          <w:rFonts w:ascii="Book Antiqua" w:hAnsi="Book Antiqua"/>
          <w:sz w:val="24"/>
          <w:szCs w:val="24"/>
          <w:lang w:val="en-GB"/>
        </w:rPr>
        <w:t>haematoxylin</w:t>
      </w:r>
      <w:r w:rsidRPr="002B2C64">
        <w:rPr>
          <w:rFonts w:ascii="Book Antiqua" w:hAnsi="Book Antiqua"/>
          <w:sz w:val="24"/>
          <w:szCs w:val="24"/>
          <w:lang w:val="en-GB"/>
        </w:rPr>
        <w:t xml:space="preserve"> and eosin (H</w:t>
      </w:r>
      <w:r w:rsidR="003D7C99" w:rsidRPr="002B2C64">
        <w:rPr>
          <w:rFonts w:ascii="Book Antiqua" w:hAnsi="Book Antiqua"/>
          <w:sz w:val="24"/>
          <w:szCs w:val="24"/>
          <w:lang w:val="en-GB"/>
        </w:rPr>
        <w:t>E</w:t>
      </w:r>
      <w:r w:rsidRPr="002B2C64">
        <w:rPr>
          <w:rFonts w:ascii="Book Antiqua" w:hAnsi="Book Antiqua"/>
          <w:sz w:val="24"/>
          <w:szCs w:val="24"/>
          <w:lang w:val="en-GB"/>
        </w:rPr>
        <w:t xml:space="preserve">) at room temperature for 4 min (cat. no. 468802128; POCH S.A.; Avantor Performance Materials Poland, Gliwice, Poland) according to the manufacturer's protocol. The slides were </w:t>
      </w:r>
      <w:r w:rsidR="00EA5CA5" w:rsidRPr="002B2C64">
        <w:rPr>
          <w:rFonts w:ascii="Book Antiqua" w:hAnsi="Book Antiqua"/>
          <w:sz w:val="24"/>
          <w:szCs w:val="24"/>
          <w:lang w:val="en-GB"/>
        </w:rPr>
        <w:t>deparaffinised</w:t>
      </w:r>
      <w:r w:rsidRPr="002B2C64">
        <w:rPr>
          <w:rFonts w:ascii="Book Antiqua" w:hAnsi="Book Antiqua"/>
          <w:sz w:val="24"/>
          <w:szCs w:val="24"/>
          <w:lang w:val="en-GB"/>
        </w:rPr>
        <w:t xml:space="preserve"> in an oven at 60°C for 5 min. </w:t>
      </w:r>
      <w:r w:rsidR="003521DD" w:rsidRPr="002B2C64">
        <w:rPr>
          <w:rFonts w:ascii="Book Antiqua" w:hAnsi="Book Antiqua"/>
          <w:sz w:val="24"/>
          <w:szCs w:val="24"/>
          <w:lang w:val="en-GB"/>
        </w:rPr>
        <w:t>The slides were s</w:t>
      </w:r>
      <w:r w:rsidRPr="002B2C64">
        <w:rPr>
          <w:rFonts w:ascii="Book Antiqua" w:hAnsi="Book Antiqua"/>
          <w:sz w:val="24"/>
          <w:szCs w:val="24"/>
          <w:lang w:val="en-GB"/>
        </w:rPr>
        <w:t>ubsequently rehydrated in xylene (three washes, 10 min each) and graded ethanol (100</w:t>
      </w:r>
      <w:r w:rsidR="003D7C99" w:rsidRPr="002B2C64">
        <w:rPr>
          <w:rFonts w:ascii="Book Antiqua" w:hAnsi="Book Antiqua"/>
          <w:sz w:val="24"/>
          <w:szCs w:val="24"/>
          <w:lang w:val="en-GB"/>
        </w:rPr>
        <w:t>%</w:t>
      </w:r>
      <w:r w:rsidRPr="002B2C64">
        <w:rPr>
          <w:rFonts w:ascii="Book Antiqua" w:hAnsi="Book Antiqua"/>
          <w:sz w:val="24"/>
          <w:szCs w:val="24"/>
          <w:lang w:val="en-GB"/>
        </w:rPr>
        <w:t>, 95</w:t>
      </w:r>
      <w:r w:rsidR="003D7C99" w:rsidRPr="002B2C64">
        <w:rPr>
          <w:rFonts w:ascii="Book Antiqua" w:hAnsi="Book Antiqua"/>
          <w:sz w:val="24"/>
          <w:szCs w:val="24"/>
          <w:lang w:val="en-GB"/>
        </w:rPr>
        <w:t>%</w:t>
      </w:r>
      <w:r w:rsidRPr="002B2C64">
        <w:rPr>
          <w:rFonts w:ascii="Book Antiqua" w:hAnsi="Book Antiqua"/>
          <w:sz w:val="24"/>
          <w:szCs w:val="24"/>
          <w:lang w:val="en-GB"/>
        </w:rPr>
        <w:t>, 85</w:t>
      </w:r>
      <w:r w:rsidR="003D7C99" w:rsidRPr="002B2C64">
        <w:rPr>
          <w:rFonts w:ascii="Book Antiqua" w:hAnsi="Book Antiqua"/>
          <w:sz w:val="24"/>
          <w:szCs w:val="24"/>
          <w:lang w:val="en-GB"/>
        </w:rPr>
        <w:t>%</w:t>
      </w:r>
      <w:r w:rsidRPr="002B2C64">
        <w:rPr>
          <w:rFonts w:ascii="Book Antiqua" w:hAnsi="Book Antiqua"/>
          <w:sz w:val="24"/>
          <w:szCs w:val="24"/>
          <w:lang w:val="en-GB"/>
        </w:rPr>
        <w:t xml:space="preserve"> and 75%, 1 min at each concentration). The type of </w:t>
      </w:r>
      <w:r w:rsidR="00EA5CA5" w:rsidRPr="002B2C64">
        <w:rPr>
          <w:rFonts w:ascii="Book Antiqua" w:hAnsi="Book Antiqua"/>
          <w:sz w:val="24"/>
          <w:szCs w:val="24"/>
          <w:lang w:val="en-GB"/>
        </w:rPr>
        <w:t>tumour</w:t>
      </w:r>
      <w:r w:rsidRPr="002B2C64">
        <w:rPr>
          <w:rFonts w:ascii="Book Antiqua" w:hAnsi="Book Antiqua"/>
          <w:sz w:val="24"/>
          <w:szCs w:val="24"/>
          <w:lang w:val="en-GB"/>
        </w:rPr>
        <w:t xml:space="preserve"> growth, </w:t>
      </w:r>
      <w:r w:rsidR="00EA5CA5" w:rsidRPr="002B2C64">
        <w:rPr>
          <w:rFonts w:ascii="Book Antiqua" w:hAnsi="Book Antiqua"/>
          <w:sz w:val="24"/>
          <w:szCs w:val="24"/>
          <w:lang w:val="en-GB"/>
        </w:rPr>
        <w:t>tumour</w:t>
      </w:r>
      <w:r w:rsidRPr="002B2C64">
        <w:rPr>
          <w:rFonts w:ascii="Book Antiqua" w:hAnsi="Book Antiqua"/>
          <w:sz w:val="24"/>
          <w:szCs w:val="24"/>
          <w:lang w:val="en-GB"/>
        </w:rPr>
        <w:t xml:space="preserve"> size, histological type, percentage of mucinous component, grade of malignancy</w:t>
      </w:r>
      <w:r w:rsidR="00EA5CA5" w:rsidRPr="002B2C64">
        <w:rPr>
          <w:rFonts w:ascii="Book Antiqua" w:hAnsi="Book Antiqua"/>
          <w:sz w:val="24"/>
          <w:szCs w:val="24"/>
          <w:lang w:val="en-GB"/>
        </w:rPr>
        <w:t xml:space="preserve"> and</w:t>
      </w:r>
      <w:r w:rsidRPr="002B2C64">
        <w:rPr>
          <w:rFonts w:ascii="Book Antiqua" w:hAnsi="Book Antiqua"/>
          <w:sz w:val="24"/>
          <w:szCs w:val="24"/>
          <w:lang w:val="en-GB"/>
        </w:rPr>
        <w:t xml:space="preserve"> TNM </w:t>
      </w:r>
      <w:r w:rsidR="00E95E11" w:rsidRPr="002B2C64">
        <w:rPr>
          <w:rFonts w:ascii="Book Antiqua" w:hAnsi="Book Antiqua"/>
          <w:sz w:val="24"/>
          <w:szCs w:val="24"/>
          <w:lang w:val="en-GB"/>
        </w:rPr>
        <w:t>stage</w:t>
      </w:r>
      <w:r w:rsidRPr="002B2C64">
        <w:rPr>
          <w:rFonts w:ascii="Book Antiqua" w:hAnsi="Book Antiqua"/>
          <w:sz w:val="24"/>
          <w:szCs w:val="24"/>
          <w:lang w:val="en-GB"/>
        </w:rPr>
        <w:t xml:space="preserve"> w</w:t>
      </w:r>
      <w:r w:rsidR="00EA5CA5" w:rsidRPr="002B2C64">
        <w:rPr>
          <w:rFonts w:ascii="Book Antiqua" w:hAnsi="Book Antiqua"/>
          <w:sz w:val="24"/>
          <w:szCs w:val="24"/>
          <w:lang w:val="en-GB"/>
        </w:rPr>
        <w:t>ere</w:t>
      </w:r>
      <w:r w:rsidRPr="002B2C64">
        <w:rPr>
          <w:rFonts w:ascii="Book Antiqua" w:hAnsi="Book Antiqua"/>
          <w:sz w:val="24"/>
          <w:szCs w:val="24"/>
          <w:lang w:val="en-GB"/>
        </w:rPr>
        <w:t xml:space="preserve"> determined by pathologists. Venous, lymphatic and perineural invasion</w:t>
      </w:r>
      <w:r w:rsidR="00EA5CA5" w:rsidRPr="002B2C64">
        <w:rPr>
          <w:rFonts w:ascii="Book Antiqua" w:hAnsi="Book Antiqua"/>
          <w:sz w:val="24"/>
          <w:szCs w:val="24"/>
          <w:lang w:val="en-GB"/>
        </w:rPr>
        <w:t>s</w:t>
      </w:r>
      <w:r w:rsidRPr="002B2C64">
        <w:rPr>
          <w:rFonts w:ascii="Book Antiqua" w:hAnsi="Book Antiqua"/>
          <w:sz w:val="24"/>
          <w:szCs w:val="24"/>
          <w:lang w:val="en-GB"/>
        </w:rPr>
        <w:t xml:space="preserve"> of cancer cells were also analy</w:t>
      </w:r>
      <w:r w:rsidR="00EA5CA5" w:rsidRPr="002B2C64">
        <w:rPr>
          <w:rFonts w:ascii="Book Antiqua" w:hAnsi="Book Antiqua"/>
          <w:sz w:val="24"/>
          <w:szCs w:val="24"/>
          <w:lang w:val="en-GB"/>
        </w:rPr>
        <w:t>se</w:t>
      </w:r>
      <w:r w:rsidRPr="002B2C64">
        <w:rPr>
          <w:rFonts w:ascii="Book Antiqua" w:hAnsi="Book Antiqua"/>
          <w:sz w:val="24"/>
          <w:szCs w:val="24"/>
          <w:lang w:val="en-GB"/>
        </w:rPr>
        <w:t xml:space="preserve">d. Characteristic features of lymph node invasion were examined, including the number of resected and invaded lymph nodes, the presence of micro- and macro-metastases, invasion of the pouch lymph node, </w:t>
      </w:r>
      <w:r w:rsidR="004A42BE" w:rsidRPr="002B2C64">
        <w:rPr>
          <w:rFonts w:ascii="Book Antiqua" w:hAnsi="Book Antiqua"/>
          <w:sz w:val="24"/>
          <w:szCs w:val="24"/>
          <w:lang w:val="en-GB"/>
        </w:rPr>
        <w:t xml:space="preserve">the </w:t>
      </w:r>
      <w:r w:rsidRPr="002B2C64">
        <w:rPr>
          <w:rFonts w:ascii="Book Antiqua" w:hAnsi="Book Antiqua"/>
          <w:sz w:val="24"/>
          <w:szCs w:val="24"/>
          <w:lang w:val="en-GB"/>
        </w:rPr>
        <w:t xml:space="preserve">presence of distant metastases and the size of metastases. The presence, number and size of  cancer cell </w:t>
      </w:r>
      <w:r w:rsidR="003521DD" w:rsidRPr="002B2C64">
        <w:rPr>
          <w:rFonts w:ascii="Book Antiqua" w:hAnsi="Book Antiqua"/>
          <w:sz w:val="24"/>
          <w:szCs w:val="24"/>
          <w:lang w:val="en-GB"/>
        </w:rPr>
        <w:t xml:space="preserve">deposits </w:t>
      </w:r>
      <w:r w:rsidRPr="002B2C64">
        <w:rPr>
          <w:rFonts w:ascii="Book Antiqua" w:hAnsi="Book Antiqua"/>
          <w:sz w:val="24"/>
          <w:szCs w:val="24"/>
          <w:lang w:val="en-GB"/>
        </w:rPr>
        <w:t xml:space="preserve">were also </w:t>
      </w:r>
      <w:r w:rsidR="00722CCA" w:rsidRPr="002B2C64">
        <w:rPr>
          <w:rFonts w:ascii="Book Antiqua" w:hAnsi="Book Antiqua"/>
          <w:sz w:val="24"/>
          <w:szCs w:val="24"/>
          <w:lang w:val="en-GB"/>
        </w:rPr>
        <w:t>assessed</w:t>
      </w:r>
      <w:r w:rsidR="001D43AF" w:rsidRPr="002B2C64">
        <w:rPr>
          <w:rFonts w:ascii="Book Antiqua" w:hAnsi="Book Antiqua"/>
          <w:sz w:val="24"/>
          <w:szCs w:val="24"/>
          <w:vertAlign w:val="superscript"/>
          <w:lang w:val="en-GB"/>
        </w:rPr>
        <w:t>[</w:t>
      </w:r>
      <w:r w:rsidR="00722CCA" w:rsidRPr="002B2C64">
        <w:rPr>
          <w:rFonts w:ascii="Book Antiqua" w:hAnsi="Book Antiqua"/>
          <w:sz w:val="24"/>
          <w:szCs w:val="24"/>
          <w:vertAlign w:val="superscript"/>
          <w:lang w:val="en-GB"/>
        </w:rPr>
        <w:t>16</w:t>
      </w:r>
      <w:r w:rsidR="001D43AF" w:rsidRPr="002B2C64">
        <w:rPr>
          <w:rFonts w:ascii="Book Antiqua" w:hAnsi="Book Antiqua"/>
          <w:sz w:val="24"/>
          <w:szCs w:val="24"/>
          <w:vertAlign w:val="superscript"/>
          <w:lang w:val="en-GB"/>
        </w:rPr>
        <w:t>]</w:t>
      </w:r>
      <w:r w:rsidR="007D244D" w:rsidRPr="002B2C64">
        <w:rPr>
          <w:rFonts w:ascii="Book Antiqua" w:hAnsi="Book Antiqua"/>
          <w:sz w:val="24"/>
          <w:szCs w:val="24"/>
          <w:lang w:val="en-GB"/>
        </w:rPr>
        <w:t>.</w:t>
      </w:r>
    </w:p>
    <w:p w:rsidR="008B5398" w:rsidRPr="002B2C64" w:rsidRDefault="008B5398" w:rsidP="0083105B">
      <w:pPr>
        <w:snapToGrid w:val="0"/>
        <w:spacing w:after="0" w:line="360" w:lineRule="auto"/>
        <w:jc w:val="both"/>
        <w:rPr>
          <w:rFonts w:ascii="Book Antiqua" w:hAnsi="Book Antiqua"/>
          <w:b/>
          <w:sz w:val="24"/>
          <w:szCs w:val="24"/>
          <w:lang w:val="en-GB"/>
        </w:rPr>
      </w:pPr>
    </w:p>
    <w:p w:rsidR="00AC049B" w:rsidRPr="002B2C64" w:rsidRDefault="00AC049B" w:rsidP="0083105B">
      <w:pPr>
        <w:snapToGrid w:val="0"/>
        <w:spacing w:after="0" w:line="360" w:lineRule="auto"/>
        <w:jc w:val="both"/>
        <w:rPr>
          <w:rFonts w:ascii="Book Antiqua" w:hAnsi="Book Antiqua"/>
          <w:b/>
          <w:i/>
          <w:sz w:val="24"/>
          <w:szCs w:val="24"/>
          <w:lang w:val="en-GB"/>
        </w:rPr>
      </w:pPr>
      <w:r w:rsidRPr="002B2C64">
        <w:rPr>
          <w:rFonts w:ascii="Book Antiqua" w:hAnsi="Book Antiqua"/>
          <w:b/>
          <w:i/>
          <w:sz w:val="24"/>
          <w:szCs w:val="24"/>
          <w:lang w:val="en-GB"/>
        </w:rPr>
        <w:t>Blood sample examination</w:t>
      </w:r>
    </w:p>
    <w:p w:rsidR="007C3139" w:rsidRPr="002B2C64" w:rsidRDefault="00AC049B"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Blood samples were obtained within 3 d</w:t>
      </w:r>
      <w:r w:rsidR="004B32F0" w:rsidRPr="002B2C64">
        <w:rPr>
          <w:rFonts w:ascii="Book Antiqua" w:hAnsi="Book Antiqua"/>
          <w:sz w:val="24"/>
          <w:szCs w:val="24"/>
          <w:lang w:val="en-GB"/>
        </w:rPr>
        <w:t xml:space="preserve"> </w:t>
      </w:r>
      <w:r w:rsidRPr="002B2C64">
        <w:rPr>
          <w:rFonts w:ascii="Book Antiqua" w:hAnsi="Book Antiqua"/>
          <w:sz w:val="24"/>
          <w:szCs w:val="24"/>
          <w:lang w:val="en-GB"/>
        </w:rPr>
        <w:t xml:space="preserve">before and after surgical treatment. </w:t>
      </w:r>
      <w:r w:rsidR="00332FC0" w:rsidRPr="002B2C64">
        <w:rPr>
          <w:rFonts w:ascii="Book Antiqua" w:hAnsi="Book Antiqua"/>
          <w:sz w:val="24"/>
          <w:szCs w:val="24"/>
          <w:lang w:val="en-GB"/>
        </w:rPr>
        <w:t xml:space="preserve">Venous blood samples were also obtained from 42 healthy controls (female: 21, male: 21; mean age: 45 years old; min-max: 25-65 years old). </w:t>
      </w:r>
      <w:r w:rsidRPr="002B2C64">
        <w:rPr>
          <w:rFonts w:ascii="Book Antiqua" w:hAnsi="Book Antiqua"/>
          <w:sz w:val="24"/>
          <w:szCs w:val="24"/>
          <w:lang w:val="en-GB"/>
        </w:rPr>
        <w:t xml:space="preserve">The differential white blood cell </w:t>
      </w:r>
      <w:r w:rsidR="00332FC0" w:rsidRPr="002B2C64">
        <w:rPr>
          <w:rFonts w:ascii="Book Antiqua" w:hAnsi="Book Antiqua"/>
          <w:sz w:val="24"/>
          <w:szCs w:val="24"/>
          <w:lang w:val="en-GB"/>
        </w:rPr>
        <w:t>count was</w:t>
      </w:r>
      <w:r w:rsidR="005B7579" w:rsidRPr="002B2C64">
        <w:rPr>
          <w:rFonts w:ascii="Book Antiqua" w:hAnsi="Book Antiqua"/>
          <w:sz w:val="24"/>
          <w:szCs w:val="24"/>
          <w:lang w:val="en-GB"/>
        </w:rPr>
        <w:t xml:space="preserve"> </w:t>
      </w:r>
      <w:r w:rsidR="00EA5CA5" w:rsidRPr="002B2C64">
        <w:rPr>
          <w:rFonts w:ascii="Book Antiqua" w:hAnsi="Book Antiqua"/>
          <w:sz w:val="24"/>
          <w:szCs w:val="24"/>
          <w:lang w:val="en-GB"/>
        </w:rPr>
        <w:t xml:space="preserve">determined </w:t>
      </w:r>
      <w:r w:rsidR="005B7579" w:rsidRPr="002B2C64">
        <w:rPr>
          <w:rFonts w:ascii="Book Antiqua" w:hAnsi="Book Antiqua"/>
          <w:sz w:val="24"/>
          <w:szCs w:val="24"/>
          <w:lang w:val="en-GB"/>
        </w:rPr>
        <w:t xml:space="preserve">using an </w:t>
      </w:r>
      <w:r w:rsidRPr="002B2C64">
        <w:rPr>
          <w:rFonts w:ascii="Book Antiqua" w:hAnsi="Book Antiqua"/>
          <w:sz w:val="24"/>
          <w:szCs w:val="24"/>
          <w:lang w:val="en-GB"/>
        </w:rPr>
        <w:t xml:space="preserve">XN-1000 </w:t>
      </w:r>
      <w:r w:rsidR="005B7579" w:rsidRPr="002B2C64">
        <w:rPr>
          <w:rFonts w:ascii="Book Antiqua" w:hAnsi="Book Antiqua"/>
          <w:sz w:val="24"/>
          <w:szCs w:val="24"/>
          <w:lang w:val="en-GB"/>
        </w:rPr>
        <w:t>automated h</w:t>
      </w:r>
      <w:r w:rsidR="00D2163B" w:rsidRPr="002B2C64">
        <w:rPr>
          <w:rFonts w:ascii="Book Antiqua" w:hAnsi="Book Antiqua"/>
          <w:sz w:val="24"/>
          <w:szCs w:val="24"/>
          <w:lang w:val="en-GB"/>
        </w:rPr>
        <w:t>a</w:t>
      </w:r>
      <w:r w:rsidR="005B7579" w:rsidRPr="002B2C64">
        <w:rPr>
          <w:rFonts w:ascii="Book Antiqua" w:hAnsi="Book Antiqua"/>
          <w:sz w:val="24"/>
          <w:szCs w:val="24"/>
          <w:lang w:val="en-GB"/>
        </w:rPr>
        <w:t xml:space="preserve">ematology </w:t>
      </w:r>
      <w:r w:rsidR="00D2163B" w:rsidRPr="002B2C64">
        <w:rPr>
          <w:rFonts w:ascii="Book Antiqua" w:hAnsi="Book Antiqua"/>
          <w:sz w:val="24"/>
          <w:szCs w:val="24"/>
          <w:lang w:val="en-GB"/>
        </w:rPr>
        <w:t xml:space="preserve">analyser </w:t>
      </w:r>
      <w:r w:rsidR="005B7579" w:rsidRPr="002B2C64">
        <w:rPr>
          <w:rFonts w:ascii="Book Antiqua" w:hAnsi="Book Antiqua"/>
          <w:sz w:val="24"/>
          <w:szCs w:val="24"/>
          <w:lang w:val="en-GB"/>
        </w:rPr>
        <w:t>(Sysmex Co., Kobe, Japan).</w:t>
      </w:r>
    </w:p>
    <w:p w:rsidR="00AC049B" w:rsidRPr="002B2C64" w:rsidRDefault="005F1E5D" w:rsidP="0083105B">
      <w:pPr>
        <w:snapToGrid w:val="0"/>
        <w:spacing w:after="0" w:line="360" w:lineRule="auto"/>
        <w:ind w:firstLineChars="100" w:firstLine="240"/>
        <w:jc w:val="both"/>
        <w:rPr>
          <w:rFonts w:ascii="Book Antiqua" w:hAnsi="Book Antiqua"/>
          <w:sz w:val="24"/>
          <w:szCs w:val="24"/>
        </w:rPr>
      </w:pPr>
      <w:r w:rsidRPr="002B2C64">
        <w:rPr>
          <w:rFonts w:ascii="Book Antiqua" w:hAnsi="Book Antiqua"/>
          <w:sz w:val="24"/>
          <w:szCs w:val="24"/>
          <w:lang w:val="en-GB"/>
        </w:rPr>
        <w:t xml:space="preserve">We </w:t>
      </w:r>
      <w:r w:rsidR="00EA5CA5" w:rsidRPr="002B2C64">
        <w:rPr>
          <w:rFonts w:ascii="Book Antiqua" w:hAnsi="Book Antiqua"/>
          <w:sz w:val="24"/>
          <w:szCs w:val="24"/>
          <w:lang w:val="en-GB"/>
        </w:rPr>
        <w:t xml:space="preserve">analysed </w:t>
      </w:r>
      <w:r w:rsidRPr="002B2C64">
        <w:rPr>
          <w:rFonts w:ascii="Book Antiqua" w:hAnsi="Book Antiqua"/>
          <w:sz w:val="24"/>
          <w:szCs w:val="24"/>
          <w:lang w:val="en-GB"/>
        </w:rPr>
        <w:t xml:space="preserve">monocyte count </w:t>
      </w:r>
      <w:r w:rsidR="00AC049B" w:rsidRPr="002B2C64">
        <w:rPr>
          <w:rFonts w:ascii="Book Antiqua" w:hAnsi="Book Antiqua"/>
          <w:sz w:val="24"/>
          <w:szCs w:val="24"/>
          <w:lang w:val="en-GB"/>
        </w:rPr>
        <w:t xml:space="preserve">and </w:t>
      </w:r>
      <w:r w:rsidR="003521DD" w:rsidRPr="002B2C64">
        <w:rPr>
          <w:rFonts w:ascii="Book Antiqua" w:hAnsi="Book Antiqua"/>
          <w:sz w:val="24"/>
          <w:szCs w:val="24"/>
          <w:lang w:val="en-GB"/>
        </w:rPr>
        <w:t>the MLR</w:t>
      </w:r>
      <w:r w:rsidR="0010278D" w:rsidRPr="002B2C64">
        <w:rPr>
          <w:rFonts w:ascii="Book Antiqua" w:hAnsi="Book Antiqua"/>
          <w:sz w:val="24"/>
          <w:szCs w:val="24"/>
          <w:lang w:val="en-GB"/>
        </w:rPr>
        <w:t xml:space="preserve"> </w:t>
      </w:r>
      <w:r w:rsidR="00AC049B" w:rsidRPr="002B2C64">
        <w:rPr>
          <w:rFonts w:ascii="Book Antiqua" w:hAnsi="Book Antiqua"/>
          <w:sz w:val="24"/>
          <w:szCs w:val="24"/>
          <w:lang w:val="en-GB"/>
        </w:rPr>
        <w:t xml:space="preserve">in whole blood before and after surgery of patients with CRC. </w:t>
      </w:r>
      <w:r w:rsidR="00031F30" w:rsidRPr="002B2C64">
        <w:rPr>
          <w:rFonts w:ascii="Book Antiqua" w:hAnsi="Book Antiqua"/>
          <w:sz w:val="24"/>
          <w:szCs w:val="24"/>
          <w:lang w:val="en-GB"/>
        </w:rPr>
        <w:t xml:space="preserve">The </w:t>
      </w:r>
      <w:r w:rsidR="00AC049B" w:rsidRPr="002B2C64">
        <w:rPr>
          <w:rFonts w:ascii="Book Antiqua" w:hAnsi="Book Antiqua"/>
          <w:sz w:val="24"/>
          <w:szCs w:val="24"/>
          <w:lang w:val="en-GB"/>
        </w:rPr>
        <w:t xml:space="preserve">MLR was </w:t>
      </w:r>
      <w:r w:rsidR="004A42BE" w:rsidRPr="002B2C64">
        <w:rPr>
          <w:rFonts w:ascii="Book Antiqua" w:hAnsi="Book Antiqua"/>
          <w:sz w:val="24"/>
          <w:szCs w:val="24"/>
          <w:lang w:val="en-GB"/>
        </w:rPr>
        <w:t xml:space="preserve">defined as </w:t>
      </w:r>
      <w:r w:rsidR="00AC049B" w:rsidRPr="002B2C64">
        <w:rPr>
          <w:rFonts w:ascii="Book Antiqua" w:hAnsi="Book Antiqua"/>
          <w:sz w:val="24"/>
          <w:szCs w:val="24"/>
          <w:lang w:val="en-GB"/>
        </w:rPr>
        <w:t xml:space="preserve">the absolute monocyte count divided by </w:t>
      </w:r>
      <w:r w:rsidR="00031F30" w:rsidRPr="002B2C64">
        <w:rPr>
          <w:rFonts w:ascii="Book Antiqua" w:hAnsi="Book Antiqua"/>
          <w:sz w:val="24"/>
          <w:szCs w:val="24"/>
          <w:lang w:val="en-GB"/>
        </w:rPr>
        <w:t xml:space="preserve">the </w:t>
      </w:r>
      <w:r w:rsidR="00AC049B" w:rsidRPr="002B2C64">
        <w:rPr>
          <w:rFonts w:ascii="Book Antiqua" w:hAnsi="Book Antiqua"/>
          <w:sz w:val="24"/>
          <w:szCs w:val="24"/>
          <w:lang w:val="en-GB"/>
        </w:rPr>
        <w:t xml:space="preserve">absolute lymphocyte count. Receiver </w:t>
      </w:r>
      <w:r w:rsidR="00AC049B" w:rsidRPr="002B2C64">
        <w:rPr>
          <w:rFonts w:ascii="Book Antiqua" w:hAnsi="Book Antiqua"/>
          <w:sz w:val="24"/>
          <w:szCs w:val="24"/>
          <w:lang w:val="en-GB"/>
        </w:rPr>
        <w:lastRenderedPageBreak/>
        <w:t>operating characteristic (ROC) curve analysis was used to investigat</w:t>
      </w:r>
      <w:r w:rsidR="00EA5CA5" w:rsidRPr="002B2C64">
        <w:rPr>
          <w:rFonts w:ascii="Book Antiqua" w:hAnsi="Book Antiqua"/>
          <w:sz w:val="24"/>
          <w:szCs w:val="24"/>
          <w:lang w:val="en-GB"/>
        </w:rPr>
        <w:t>e</w:t>
      </w:r>
      <w:r w:rsidR="00AC049B" w:rsidRPr="002B2C64">
        <w:rPr>
          <w:rFonts w:ascii="Book Antiqua" w:hAnsi="Book Antiqua"/>
          <w:sz w:val="24"/>
          <w:szCs w:val="24"/>
          <w:lang w:val="en-GB"/>
        </w:rPr>
        <w:t xml:space="preserve"> cut-off values of the pre- and postoperative mon</w:t>
      </w:r>
      <w:r w:rsidRPr="002B2C64">
        <w:rPr>
          <w:rFonts w:ascii="Book Antiqua" w:hAnsi="Book Antiqua"/>
          <w:sz w:val="24"/>
          <w:szCs w:val="24"/>
          <w:lang w:val="en-GB"/>
        </w:rPr>
        <w:t xml:space="preserve">ocyte count (preMONO/postMONO) </w:t>
      </w:r>
      <w:r w:rsidR="00AC049B" w:rsidRPr="002B2C64">
        <w:rPr>
          <w:rFonts w:ascii="Book Antiqua" w:hAnsi="Book Antiqua"/>
          <w:sz w:val="24"/>
          <w:szCs w:val="24"/>
          <w:lang w:val="en-GB"/>
        </w:rPr>
        <w:t xml:space="preserve">and MLR (preMLR/postMLR). </w:t>
      </w:r>
      <w:r w:rsidR="00113BD8" w:rsidRPr="002B2C64">
        <w:rPr>
          <w:rFonts w:ascii="Book Antiqua" w:hAnsi="Book Antiqua"/>
          <w:sz w:val="24"/>
          <w:szCs w:val="24"/>
          <w:lang w:val="en-GB"/>
        </w:rPr>
        <w:t xml:space="preserve">The cut-off of pre- and postoperative monocyte count were 0.39 and 0.68 with sensitivity (preMONO-75.8%; postMONO-27.89%) and specificity (preMONO-16.67%; postMONO-85.71%) The area under the ROC curve for pre and post monocyte count had weak prognostic </w:t>
      </w:r>
      <w:r w:rsidR="00A15E8A" w:rsidRPr="002B2C64">
        <w:rPr>
          <w:rFonts w:ascii="Book Antiqua" w:hAnsi="Book Antiqua"/>
          <w:sz w:val="24"/>
          <w:szCs w:val="24"/>
          <w:lang w:val="en-GB"/>
        </w:rPr>
        <w:t>value</w:t>
      </w:r>
      <w:r w:rsidR="003D7C99" w:rsidRPr="002B2C64">
        <w:rPr>
          <w:rFonts w:ascii="Book Antiqua" w:hAnsi="Book Antiqua"/>
          <w:sz w:val="24"/>
          <w:szCs w:val="24"/>
          <w:lang w:val="en-GB"/>
        </w:rPr>
        <w:t xml:space="preserve"> </w:t>
      </w:r>
      <w:r w:rsidR="00031F30" w:rsidRPr="002B2C64">
        <w:rPr>
          <w:rFonts w:ascii="Book Antiqua" w:hAnsi="Book Antiqua"/>
          <w:sz w:val="24"/>
          <w:szCs w:val="24"/>
          <w:lang w:val="en-GB"/>
        </w:rPr>
        <w:t>in</w:t>
      </w:r>
      <w:r w:rsidR="003D7C99" w:rsidRPr="002B2C64">
        <w:rPr>
          <w:rFonts w:ascii="Book Antiqua" w:hAnsi="Book Antiqua"/>
          <w:sz w:val="24"/>
          <w:szCs w:val="24"/>
          <w:lang w:val="en-GB"/>
        </w:rPr>
        <w:t xml:space="preserve"> CRC patients (0.505</w:t>
      </w:r>
      <w:r w:rsidR="00113BD8" w:rsidRPr="002B2C64">
        <w:rPr>
          <w:rFonts w:ascii="Book Antiqua" w:hAnsi="Book Antiqua"/>
          <w:sz w:val="24"/>
          <w:szCs w:val="24"/>
          <w:lang w:val="en-GB"/>
        </w:rPr>
        <w:t xml:space="preserve"> and 0.532).</w:t>
      </w:r>
      <w:r w:rsidR="00113BD8" w:rsidRPr="002B2C64">
        <w:rPr>
          <w:rFonts w:ascii="Book Antiqua" w:hAnsi="Book Antiqua"/>
          <w:sz w:val="24"/>
          <w:szCs w:val="24"/>
        </w:rPr>
        <w:t xml:space="preserve"> </w:t>
      </w:r>
      <w:r w:rsidR="00113BD8" w:rsidRPr="002B2C64">
        <w:rPr>
          <w:rFonts w:ascii="Book Antiqua" w:hAnsi="Book Antiqua"/>
          <w:sz w:val="24"/>
          <w:szCs w:val="24"/>
          <w:lang w:val="en-GB"/>
        </w:rPr>
        <w:t>Moreover, the cut-off of pre- and postoperative MLR was 1.46 in both cases. The sensitivity and specificity of analysis in pre</w:t>
      </w:r>
      <w:r w:rsidR="00350536" w:rsidRPr="002B2C64">
        <w:rPr>
          <w:rFonts w:ascii="Book Antiqua" w:hAnsi="Book Antiqua"/>
          <w:sz w:val="24"/>
          <w:szCs w:val="24"/>
          <w:lang w:val="en-GB"/>
        </w:rPr>
        <w:t>operative</w:t>
      </w:r>
      <w:r w:rsidR="00113BD8" w:rsidRPr="002B2C64">
        <w:rPr>
          <w:rFonts w:ascii="Book Antiqua" w:hAnsi="Book Antiqua"/>
          <w:sz w:val="24"/>
          <w:szCs w:val="24"/>
          <w:lang w:val="en-GB"/>
        </w:rPr>
        <w:t xml:space="preserve"> blood samples were 94.27% and 73.81% and w</w:t>
      </w:r>
      <w:r w:rsidR="00031F30" w:rsidRPr="002B2C64">
        <w:rPr>
          <w:rFonts w:ascii="Book Antiqua" w:hAnsi="Book Antiqua"/>
          <w:sz w:val="24"/>
          <w:szCs w:val="24"/>
          <w:lang w:val="en-GB"/>
        </w:rPr>
        <w:t>ere</w:t>
      </w:r>
      <w:r w:rsidR="00113BD8" w:rsidRPr="002B2C64">
        <w:rPr>
          <w:rFonts w:ascii="Book Antiqua" w:hAnsi="Book Antiqua"/>
          <w:sz w:val="24"/>
          <w:szCs w:val="24"/>
          <w:lang w:val="en-GB"/>
        </w:rPr>
        <w:t xml:space="preserve"> similar to those in </w:t>
      </w:r>
      <w:r w:rsidR="00A15E8A" w:rsidRPr="002B2C64">
        <w:rPr>
          <w:rFonts w:ascii="Book Antiqua" w:hAnsi="Book Antiqua"/>
          <w:sz w:val="24"/>
          <w:szCs w:val="24"/>
          <w:lang w:val="en-GB"/>
        </w:rPr>
        <w:t>postoperative</w:t>
      </w:r>
      <w:r w:rsidR="00113BD8" w:rsidRPr="002B2C64">
        <w:rPr>
          <w:rFonts w:ascii="Book Antiqua" w:hAnsi="Book Antiqua"/>
          <w:sz w:val="24"/>
          <w:szCs w:val="24"/>
          <w:lang w:val="en-GB"/>
        </w:rPr>
        <w:t xml:space="preserve"> samples (90.41% and 73.81%). The area under the ROC curve for pre and postNMR showed that the parameter exhibits strong diagnostic power (1.000). Pre and post MLR had moderate diagnostic power </w:t>
      </w:r>
      <w:r w:rsidR="00031F30" w:rsidRPr="002B2C64">
        <w:rPr>
          <w:rFonts w:ascii="Book Antiqua" w:hAnsi="Book Antiqua"/>
          <w:sz w:val="24"/>
          <w:szCs w:val="24"/>
          <w:lang w:val="en-GB"/>
        </w:rPr>
        <w:t>of</w:t>
      </w:r>
      <w:r w:rsidR="00113BD8" w:rsidRPr="002B2C64">
        <w:rPr>
          <w:rFonts w:ascii="Book Antiqua" w:hAnsi="Book Antiqua"/>
          <w:sz w:val="24"/>
          <w:szCs w:val="24"/>
          <w:lang w:val="en-GB"/>
        </w:rPr>
        <w:t xml:space="preserve"> 0.751 and 0.746. </w:t>
      </w:r>
      <w:r w:rsidR="002A05CB" w:rsidRPr="002B2C64">
        <w:rPr>
          <w:rFonts w:ascii="Book Antiqua" w:hAnsi="Book Antiqua"/>
          <w:sz w:val="24"/>
          <w:szCs w:val="24"/>
          <w:lang w:val="en-GB"/>
        </w:rPr>
        <w:t xml:space="preserve">Patients were divided into </w:t>
      </w:r>
      <w:r w:rsidR="00031F30" w:rsidRPr="002B2C64">
        <w:rPr>
          <w:rFonts w:ascii="Book Antiqua" w:hAnsi="Book Antiqua"/>
          <w:sz w:val="24"/>
          <w:szCs w:val="24"/>
          <w:lang w:val="en-GB"/>
        </w:rPr>
        <w:t xml:space="preserve">the </w:t>
      </w:r>
      <w:r w:rsidR="002A05CB" w:rsidRPr="002B2C64">
        <w:rPr>
          <w:rFonts w:ascii="Book Antiqua" w:hAnsi="Book Antiqua"/>
          <w:sz w:val="24"/>
          <w:szCs w:val="24"/>
          <w:lang w:val="en-GB"/>
        </w:rPr>
        <w:t xml:space="preserve">high and low groups according to the cut-off values </w:t>
      </w:r>
      <w:r w:rsidR="00AC049B" w:rsidRPr="002B2C64">
        <w:rPr>
          <w:rFonts w:ascii="Book Antiqua" w:hAnsi="Book Antiqua"/>
          <w:sz w:val="24"/>
          <w:szCs w:val="24"/>
          <w:lang w:val="en-GB"/>
        </w:rPr>
        <w:t>in pre- and postoperative blood samples.</w:t>
      </w:r>
    </w:p>
    <w:p w:rsidR="00C05B1C" w:rsidRPr="002B2C64" w:rsidRDefault="00EA5CA5" w:rsidP="0083105B">
      <w:pPr>
        <w:snapToGrid w:val="0"/>
        <w:spacing w:after="0" w:line="360" w:lineRule="auto"/>
        <w:ind w:firstLineChars="100" w:firstLine="240"/>
        <w:jc w:val="both"/>
        <w:rPr>
          <w:rFonts w:ascii="Book Antiqua" w:hAnsi="Book Antiqua"/>
          <w:sz w:val="24"/>
          <w:szCs w:val="24"/>
          <w:lang w:val="en-GB"/>
        </w:rPr>
      </w:pPr>
      <w:r w:rsidRPr="002B2C64">
        <w:rPr>
          <w:rFonts w:ascii="Book Antiqua" w:hAnsi="Book Antiqua"/>
          <w:sz w:val="24"/>
          <w:szCs w:val="24"/>
          <w:lang w:val="en-GB"/>
        </w:rPr>
        <w:t xml:space="preserve">The </w:t>
      </w:r>
      <w:r w:rsidR="009316E1" w:rsidRPr="002B2C64">
        <w:rPr>
          <w:rFonts w:ascii="Book Antiqua" w:hAnsi="Book Antiqua"/>
          <w:sz w:val="24"/>
          <w:szCs w:val="24"/>
          <w:lang w:val="en-GB"/>
        </w:rPr>
        <w:t xml:space="preserve">NLR-PLR </w:t>
      </w:r>
      <w:r w:rsidR="0068236B" w:rsidRPr="002B2C64">
        <w:rPr>
          <w:rFonts w:ascii="Book Antiqua" w:hAnsi="Book Antiqua"/>
          <w:sz w:val="24"/>
          <w:szCs w:val="24"/>
          <w:lang w:val="en-GB"/>
        </w:rPr>
        <w:t>was c</w:t>
      </w:r>
      <w:r w:rsidR="004A42BE" w:rsidRPr="002B2C64">
        <w:rPr>
          <w:rFonts w:ascii="Book Antiqua" w:hAnsi="Book Antiqua"/>
          <w:sz w:val="24"/>
          <w:szCs w:val="24"/>
          <w:lang w:val="en-GB"/>
        </w:rPr>
        <w:t>alculated</w:t>
      </w:r>
      <w:r w:rsidR="0068236B" w:rsidRPr="002B2C64">
        <w:rPr>
          <w:rFonts w:ascii="Book Antiqua" w:hAnsi="Book Antiqua"/>
          <w:sz w:val="24"/>
          <w:szCs w:val="24"/>
          <w:lang w:val="en-GB"/>
        </w:rPr>
        <w:t xml:space="preserve"> according to </w:t>
      </w:r>
      <w:r w:rsidR="009316E1" w:rsidRPr="002B2C64">
        <w:rPr>
          <w:rFonts w:ascii="Book Antiqua" w:hAnsi="Book Antiqua"/>
          <w:sz w:val="24"/>
          <w:szCs w:val="24"/>
          <w:lang w:val="en-GB"/>
        </w:rPr>
        <w:t>Hirahara</w:t>
      </w:r>
      <w:r w:rsidR="009F3BCF" w:rsidRPr="002B2C64">
        <w:rPr>
          <w:rFonts w:ascii="Book Antiqua" w:hAnsi="Book Antiqua"/>
          <w:sz w:val="24"/>
          <w:szCs w:val="24"/>
          <w:lang w:val="en-GB"/>
        </w:rPr>
        <w:t xml:space="preserve"> </w:t>
      </w:r>
      <w:r w:rsidR="003D7C99" w:rsidRPr="002B2C64">
        <w:rPr>
          <w:rFonts w:ascii="Book Antiqua" w:hAnsi="Book Antiqua"/>
          <w:i/>
          <w:iCs/>
          <w:sz w:val="24"/>
          <w:szCs w:val="24"/>
          <w:lang w:val="en-GB"/>
        </w:rPr>
        <w:t>et al</w:t>
      </w:r>
      <w:r w:rsidR="001D43AF" w:rsidRPr="002B2C64">
        <w:rPr>
          <w:rFonts w:ascii="Book Antiqua" w:hAnsi="Book Antiqua"/>
          <w:sz w:val="24"/>
          <w:szCs w:val="24"/>
          <w:vertAlign w:val="superscript"/>
          <w:lang w:val="en-GB"/>
        </w:rPr>
        <w:t>[</w:t>
      </w:r>
      <w:r w:rsidR="009F3BCF" w:rsidRPr="002B2C64">
        <w:rPr>
          <w:rFonts w:ascii="Book Antiqua" w:hAnsi="Book Antiqua"/>
          <w:sz w:val="24"/>
          <w:szCs w:val="24"/>
          <w:vertAlign w:val="superscript"/>
          <w:lang w:val="en-GB"/>
        </w:rPr>
        <w:t>17</w:t>
      </w:r>
      <w:r w:rsidR="001D43AF" w:rsidRPr="002B2C64">
        <w:rPr>
          <w:rFonts w:ascii="Book Antiqua" w:hAnsi="Book Antiqua"/>
          <w:sz w:val="24"/>
          <w:szCs w:val="24"/>
          <w:vertAlign w:val="superscript"/>
          <w:lang w:val="en-GB"/>
        </w:rPr>
        <w:t>]</w:t>
      </w:r>
      <w:r w:rsidR="009316E1" w:rsidRPr="002B2C64">
        <w:rPr>
          <w:rFonts w:ascii="Book Antiqua" w:hAnsi="Book Antiqua"/>
          <w:sz w:val="24"/>
          <w:szCs w:val="24"/>
          <w:lang w:val="en-GB"/>
        </w:rPr>
        <w:t>.</w:t>
      </w:r>
      <w:r w:rsidR="00DC54A1" w:rsidRPr="002B2C64">
        <w:rPr>
          <w:rFonts w:ascii="Book Antiqua" w:hAnsi="Book Antiqua"/>
          <w:sz w:val="24"/>
          <w:szCs w:val="24"/>
          <w:lang w:val="en-GB"/>
        </w:rPr>
        <w:t xml:space="preserve"> </w:t>
      </w:r>
      <w:r w:rsidRPr="002B2C64">
        <w:rPr>
          <w:rFonts w:ascii="Book Antiqua" w:hAnsi="Book Antiqua"/>
          <w:sz w:val="24"/>
          <w:szCs w:val="24"/>
          <w:lang w:val="en-GB"/>
        </w:rPr>
        <w:t xml:space="preserve">The </w:t>
      </w:r>
      <w:r w:rsidR="00AD4017" w:rsidRPr="002B2C64">
        <w:rPr>
          <w:rFonts w:ascii="Book Antiqua" w:hAnsi="Book Antiqua"/>
          <w:sz w:val="24"/>
          <w:szCs w:val="24"/>
          <w:lang w:val="en-GB"/>
        </w:rPr>
        <w:t xml:space="preserve">NLR-PLR status consists of two parameters: NLR (the absolute neutrophil count divided by the absolute lymphocyte count) and PLR (the platelet count divided by the absolute lymphocyte count). </w:t>
      </w:r>
      <w:r w:rsidR="00F60626" w:rsidRPr="002B2C64">
        <w:rPr>
          <w:rFonts w:ascii="Book Antiqua" w:hAnsi="Book Antiqua"/>
          <w:sz w:val="24"/>
          <w:szCs w:val="24"/>
          <w:lang w:val="en-GB"/>
        </w:rPr>
        <w:t xml:space="preserve">The cut-off values were 2.5 and </w:t>
      </w:r>
      <w:r w:rsidR="00795A6B" w:rsidRPr="002B2C64">
        <w:rPr>
          <w:rFonts w:ascii="Book Antiqua" w:hAnsi="Book Antiqua"/>
          <w:sz w:val="24"/>
          <w:szCs w:val="24"/>
          <w:lang w:val="en-GB"/>
        </w:rPr>
        <w:t>267.3</w:t>
      </w:r>
      <w:r w:rsidRPr="002B2C64">
        <w:rPr>
          <w:rFonts w:ascii="Book Antiqua" w:hAnsi="Book Antiqua"/>
          <w:sz w:val="24"/>
          <w:szCs w:val="24"/>
          <w:lang w:val="en-GB"/>
        </w:rPr>
        <w:t>, respectively</w:t>
      </w:r>
      <w:r w:rsidR="00795A6B" w:rsidRPr="002B2C64">
        <w:rPr>
          <w:rFonts w:ascii="Book Antiqua" w:hAnsi="Book Antiqua"/>
          <w:sz w:val="24"/>
          <w:szCs w:val="24"/>
          <w:lang w:val="en-GB"/>
        </w:rPr>
        <w:t xml:space="preserve">. </w:t>
      </w:r>
      <w:r w:rsidR="00CB0B0E" w:rsidRPr="002B2C64">
        <w:rPr>
          <w:rFonts w:ascii="Book Antiqua" w:hAnsi="Book Antiqua"/>
          <w:sz w:val="24"/>
          <w:szCs w:val="24"/>
          <w:lang w:val="en-GB"/>
        </w:rPr>
        <w:t xml:space="preserve">Patients with </w:t>
      </w:r>
      <w:r w:rsidR="00F25971" w:rsidRPr="002B2C64">
        <w:rPr>
          <w:rFonts w:ascii="Book Antiqua" w:hAnsi="Book Antiqua"/>
          <w:sz w:val="24"/>
          <w:szCs w:val="24"/>
          <w:lang w:val="en-GB"/>
        </w:rPr>
        <w:t xml:space="preserve">low </w:t>
      </w:r>
      <w:r w:rsidR="00394F64" w:rsidRPr="002B2C64">
        <w:rPr>
          <w:rFonts w:ascii="Book Antiqua" w:hAnsi="Book Antiqua"/>
          <w:sz w:val="24"/>
          <w:szCs w:val="24"/>
          <w:lang w:val="en-GB"/>
        </w:rPr>
        <w:t xml:space="preserve">values </w:t>
      </w:r>
      <w:r w:rsidRPr="002B2C64">
        <w:rPr>
          <w:rFonts w:ascii="Book Antiqua" w:hAnsi="Book Antiqua"/>
          <w:sz w:val="24"/>
          <w:szCs w:val="24"/>
          <w:lang w:val="en-GB"/>
        </w:rPr>
        <w:t>of both</w:t>
      </w:r>
      <w:r w:rsidR="00CC09C9" w:rsidRPr="002B2C64">
        <w:rPr>
          <w:rFonts w:ascii="Book Antiqua" w:hAnsi="Book Antiqua"/>
          <w:sz w:val="24"/>
          <w:szCs w:val="24"/>
          <w:lang w:val="en-GB"/>
        </w:rPr>
        <w:t xml:space="preserve"> parameters</w:t>
      </w:r>
      <w:r w:rsidRPr="002B2C64">
        <w:rPr>
          <w:rFonts w:ascii="Book Antiqua" w:hAnsi="Book Antiqua"/>
          <w:sz w:val="24"/>
          <w:szCs w:val="24"/>
          <w:lang w:val="en-GB"/>
        </w:rPr>
        <w:t xml:space="preserve"> </w:t>
      </w:r>
      <w:r w:rsidR="00394F64" w:rsidRPr="002B2C64">
        <w:rPr>
          <w:rFonts w:ascii="Book Antiqua" w:hAnsi="Book Antiqua"/>
          <w:sz w:val="24"/>
          <w:szCs w:val="24"/>
          <w:lang w:val="en-GB"/>
        </w:rPr>
        <w:t>(NLR</w:t>
      </w:r>
      <w:r w:rsidR="004B32F0" w:rsidRPr="002B2C64">
        <w:rPr>
          <w:rFonts w:ascii="Book Antiqua" w:hAnsi="Book Antiqua"/>
          <w:sz w:val="24"/>
          <w:szCs w:val="24"/>
          <w:lang w:val="en-GB"/>
        </w:rPr>
        <w:t xml:space="preserve"> </w:t>
      </w:r>
      <w:r w:rsidR="00394F64" w:rsidRPr="002B2C64">
        <w:rPr>
          <w:rFonts w:ascii="Book Antiqua" w:hAnsi="Book Antiqua"/>
          <w:sz w:val="24"/>
          <w:szCs w:val="24"/>
          <w:lang w:val="en-GB"/>
        </w:rPr>
        <w:t>&lt;</w:t>
      </w:r>
      <w:r w:rsidR="004B32F0" w:rsidRPr="002B2C64">
        <w:rPr>
          <w:rFonts w:ascii="Book Antiqua" w:hAnsi="Book Antiqua"/>
          <w:sz w:val="24"/>
          <w:szCs w:val="24"/>
          <w:lang w:val="en-GB"/>
        </w:rPr>
        <w:t xml:space="preserve"> </w:t>
      </w:r>
      <w:r w:rsidR="00F60626" w:rsidRPr="002B2C64">
        <w:rPr>
          <w:rFonts w:ascii="Book Antiqua" w:hAnsi="Book Antiqua"/>
          <w:sz w:val="24"/>
          <w:szCs w:val="24"/>
          <w:lang w:val="en-GB"/>
        </w:rPr>
        <w:t xml:space="preserve">2.5, </w:t>
      </w:r>
      <w:r w:rsidR="00795A6B" w:rsidRPr="002B2C64">
        <w:rPr>
          <w:rFonts w:ascii="Book Antiqua" w:hAnsi="Book Antiqua"/>
          <w:sz w:val="24"/>
          <w:szCs w:val="24"/>
          <w:lang w:val="en-GB"/>
        </w:rPr>
        <w:t>PLR</w:t>
      </w:r>
      <w:r w:rsidR="004B32F0" w:rsidRPr="002B2C64">
        <w:rPr>
          <w:rFonts w:ascii="Book Antiqua" w:hAnsi="Book Antiqua"/>
          <w:sz w:val="24"/>
          <w:szCs w:val="24"/>
          <w:lang w:val="en-GB"/>
        </w:rPr>
        <w:t xml:space="preserve"> </w:t>
      </w:r>
      <w:r w:rsidR="00F25971" w:rsidRPr="002B2C64">
        <w:rPr>
          <w:rFonts w:ascii="Book Antiqua" w:hAnsi="Book Antiqua"/>
          <w:sz w:val="24"/>
          <w:szCs w:val="24"/>
          <w:lang w:val="en-GB"/>
        </w:rPr>
        <w:t>&lt;</w:t>
      </w:r>
      <w:r w:rsidR="004B32F0" w:rsidRPr="002B2C64">
        <w:rPr>
          <w:rFonts w:ascii="Book Antiqua" w:hAnsi="Book Antiqua"/>
          <w:sz w:val="24"/>
          <w:szCs w:val="24"/>
          <w:lang w:val="en-GB"/>
        </w:rPr>
        <w:t xml:space="preserve"> </w:t>
      </w:r>
      <w:r w:rsidR="00795A6B" w:rsidRPr="002B2C64">
        <w:rPr>
          <w:rFonts w:ascii="Book Antiqua" w:hAnsi="Book Antiqua"/>
          <w:sz w:val="24"/>
          <w:szCs w:val="24"/>
          <w:lang w:val="en-GB"/>
        </w:rPr>
        <w:t>267.3</w:t>
      </w:r>
      <w:r w:rsidR="00332FC0" w:rsidRPr="002B2C64">
        <w:rPr>
          <w:rFonts w:ascii="Book Antiqua" w:hAnsi="Book Antiqua"/>
          <w:sz w:val="24"/>
          <w:szCs w:val="24"/>
          <w:lang w:val="en-GB"/>
        </w:rPr>
        <w:t xml:space="preserve">) </w:t>
      </w:r>
      <w:r w:rsidRPr="002B2C64">
        <w:rPr>
          <w:rFonts w:ascii="Book Antiqua" w:hAnsi="Book Antiqua"/>
          <w:sz w:val="24"/>
          <w:szCs w:val="24"/>
          <w:lang w:val="en-GB"/>
        </w:rPr>
        <w:t xml:space="preserve">were </w:t>
      </w:r>
      <w:r w:rsidR="00F25971" w:rsidRPr="002B2C64">
        <w:rPr>
          <w:rFonts w:ascii="Book Antiqua" w:hAnsi="Book Antiqua"/>
          <w:sz w:val="24"/>
          <w:szCs w:val="24"/>
          <w:lang w:val="en-GB"/>
        </w:rPr>
        <w:t xml:space="preserve">scored as group 0. Score 1 </w:t>
      </w:r>
      <w:r w:rsidR="00235733" w:rsidRPr="002B2C64">
        <w:rPr>
          <w:rFonts w:ascii="Book Antiqua" w:hAnsi="Book Antiqua"/>
          <w:sz w:val="24"/>
          <w:szCs w:val="24"/>
          <w:lang w:val="en-GB"/>
        </w:rPr>
        <w:t xml:space="preserve">consisted </w:t>
      </w:r>
      <w:r w:rsidR="00332FC0" w:rsidRPr="002B2C64">
        <w:rPr>
          <w:rFonts w:ascii="Book Antiqua" w:hAnsi="Book Antiqua"/>
          <w:sz w:val="24"/>
          <w:szCs w:val="24"/>
          <w:lang w:val="en-GB"/>
        </w:rPr>
        <w:t xml:space="preserve">of </w:t>
      </w:r>
      <w:r w:rsidR="00F537C2" w:rsidRPr="002B2C64">
        <w:rPr>
          <w:rFonts w:ascii="Book Antiqua" w:hAnsi="Book Antiqua"/>
          <w:sz w:val="24"/>
          <w:szCs w:val="24"/>
          <w:lang w:val="en-GB"/>
        </w:rPr>
        <w:t xml:space="preserve">one high parameter: </w:t>
      </w:r>
      <w:r w:rsidR="00F405F1" w:rsidRPr="002B2C64">
        <w:rPr>
          <w:rFonts w:ascii="Book Antiqua" w:hAnsi="Book Antiqua"/>
          <w:sz w:val="24"/>
          <w:szCs w:val="24"/>
          <w:lang w:val="en-GB"/>
        </w:rPr>
        <w:t>NLR (&gt;</w:t>
      </w:r>
      <w:r w:rsidR="00F25971" w:rsidRPr="002B2C64">
        <w:rPr>
          <w:rFonts w:ascii="Book Antiqua" w:hAnsi="Book Antiqua"/>
          <w:sz w:val="24"/>
          <w:szCs w:val="24"/>
          <w:lang w:val="en-GB"/>
        </w:rPr>
        <w:t xml:space="preserve"> 2.5) or PLR (&gt;</w:t>
      </w:r>
      <w:r w:rsidR="004B32F0" w:rsidRPr="002B2C64">
        <w:rPr>
          <w:rFonts w:ascii="Book Antiqua" w:hAnsi="Book Antiqua"/>
          <w:sz w:val="24"/>
          <w:szCs w:val="24"/>
          <w:lang w:val="en-GB"/>
        </w:rPr>
        <w:t xml:space="preserve"> </w:t>
      </w:r>
      <w:r w:rsidR="00F25971" w:rsidRPr="002B2C64">
        <w:rPr>
          <w:rFonts w:ascii="Book Antiqua" w:hAnsi="Book Antiqua"/>
          <w:sz w:val="24"/>
          <w:szCs w:val="24"/>
          <w:lang w:val="en-GB"/>
        </w:rPr>
        <w:t>267.3</w:t>
      </w:r>
      <w:r w:rsidR="00F537C2" w:rsidRPr="002B2C64">
        <w:rPr>
          <w:rFonts w:ascii="Book Antiqua" w:hAnsi="Book Antiqua"/>
          <w:sz w:val="24"/>
          <w:szCs w:val="24"/>
          <w:lang w:val="en-GB"/>
        </w:rPr>
        <w:t xml:space="preserve">). Score 2 was </w:t>
      </w:r>
      <w:r w:rsidR="00332FC0" w:rsidRPr="002B2C64">
        <w:rPr>
          <w:rFonts w:ascii="Book Antiqua" w:hAnsi="Book Antiqua"/>
          <w:sz w:val="24"/>
          <w:szCs w:val="24"/>
          <w:lang w:val="en-GB"/>
        </w:rPr>
        <w:t>generated by</w:t>
      </w:r>
      <w:r w:rsidR="00F537C2" w:rsidRPr="002B2C64">
        <w:rPr>
          <w:rFonts w:ascii="Book Antiqua" w:hAnsi="Book Antiqua"/>
          <w:sz w:val="24"/>
          <w:szCs w:val="24"/>
          <w:lang w:val="en-GB"/>
        </w:rPr>
        <w:t xml:space="preserve"> combining both high parameters (NLR</w:t>
      </w:r>
      <w:r w:rsidR="004B32F0" w:rsidRPr="002B2C64">
        <w:rPr>
          <w:rFonts w:ascii="Book Antiqua" w:hAnsi="Book Antiqua"/>
          <w:sz w:val="24"/>
          <w:szCs w:val="24"/>
          <w:lang w:val="en-GB"/>
        </w:rPr>
        <w:t xml:space="preserve"> </w:t>
      </w:r>
      <w:r w:rsidR="00F537C2" w:rsidRPr="002B2C64">
        <w:rPr>
          <w:rFonts w:ascii="Book Antiqua" w:hAnsi="Book Antiqua"/>
          <w:sz w:val="24"/>
          <w:szCs w:val="24"/>
          <w:lang w:val="en-GB"/>
        </w:rPr>
        <w:t>&gt;</w:t>
      </w:r>
      <w:r w:rsidR="004B32F0" w:rsidRPr="002B2C64">
        <w:rPr>
          <w:rFonts w:ascii="Book Antiqua" w:hAnsi="Book Antiqua"/>
          <w:sz w:val="24"/>
          <w:szCs w:val="24"/>
          <w:lang w:val="en-GB"/>
        </w:rPr>
        <w:t xml:space="preserve"> </w:t>
      </w:r>
      <w:r w:rsidR="00F537C2" w:rsidRPr="002B2C64">
        <w:rPr>
          <w:rFonts w:ascii="Book Antiqua" w:hAnsi="Book Antiqua"/>
          <w:sz w:val="24"/>
          <w:szCs w:val="24"/>
          <w:lang w:val="en-GB"/>
        </w:rPr>
        <w:t>2.5, PLR &gt;</w:t>
      </w:r>
      <w:r w:rsidR="004B32F0" w:rsidRPr="002B2C64">
        <w:rPr>
          <w:rFonts w:ascii="Book Antiqua" w:hAnsi="Book Antiqua"/>
          <w:sz w:val="24"/>
          <w:szCs w:val="24"/>
          <w:lang w:val="en-GB"/>
        </w:rPr>
        <w:t xml:space="preserve"> </w:t>
      </w:r>
      <w:r w:rsidR="00F537C2" w:rsidRPr="002B2C64">
        <w:rPr>
          <w:rFonts w:ascii="Book Antiqua" w:hAnsi="Book Antiqua"/>
          <w:sz w:val="24"/>
          <w:szCs w:val="24"/>
          <w:lang w:val="en-GB"/>
        </w:rPr>
        <w:t>267.3).</w:t>
      </w:r>
      <w:r w:rsidR="00235733" w:rsidRPr="002B2C64">
        <w:rPr>
          <w:rFonts w:ascii="Book Antiqua" w:hAnsi="Book Antiqua"/>
          <w:sz w:val="24"/>
          <w:szCs w:val="24"/>
          <w:lang w:val="en-GB"/>
        </w:rPr>
        <w:t xml:space="preserve"> The </w:t>
      </w:r>
      <w:r w:rsidR="009316E1" w:rsidRPr="002B2C64">
        <w:rPr>
          <w:rFonts w:ascii="Book Antiqua" w:hAnsi="Book Antiqua"/>
          <w:sz w:val="24"/>
          <w:szCs w:val="24"/>
          <w:lang w:val="en-GB"/>
        </w:rPr>
        <w:t xml:space="preserve">PLT-NLR status </w:t>
      </w:r>
      <w:r w:rsidR="00293BCD" w:rsidRPr="002B2C64">
        <w:rPr>
          <w:rFonts w:ascii="Book Antiqua" w:hAnsi="Book Antiqua"/>
          <w:sz w:val="24"/>
          <w:szCs w:val="24"/>
          <w:lang w:val="en-GB"/>
        </w:rPr>
        <w:t>was generated by PLT</w:t>
      </w:r>
      <w:r w:rsidR="00B3131A" w:rsidRPr="002B2C64">
        <w:rPr>
          <w:rFonts w:ascii="Book Antiqua" w:hAnsi="Book Antiqua"/>
          <w:sz w:val="24"/>
          <w:szCs w:val="24"/>
          <w:lang w:val="en-GB"/>
        </w:rPr>
        <w:t xml:space="preserve"> with the NLR</w:t>
      </w:r>
      <w:r w:rsidR="00AA38B0" w:rsidRPr="002B2C64">
        <w:rPr>
          <w:rFonts w:ascii="Book Antiqua" w:hAnsi="Book Antiqua"/>
          <w:sz w:val="24"/>
          <w:szCs w:val="24"/>
          <w:lang w:val="en-GB"/>
        </w:rPr>
        <w:t xml:space="preserve"> score. </w:t>
      </w:r>
      <w:r w:rsidR="008D4876" w:rsidRPr="002B2C64">
        <w:rPr>
          <w:rFonts w:ascii="Book Antiqua" w:hAnsi="Book Antiqua"/>
          <w:sz w:val="24"/>
          <w:szCs w:val="24"/>
          <w:lang w:val="en-GB"/>
        </w:rPr>
        <w:t xml:space="preserve">The cut-off values were 300 and 2.5 based on the </w:t>
      </w:r>
      <w:r w:rsidR="00653B33" w:rsidRPr="002B2C64">
        <w:rPr>
          <w:rFonts w:ascii="Book Antiqua" w:hAnsi="Book Antiqua"/>
          <w:sz w:val="24"/>
          <w:szCs w:val="24"/>
          <w:lang w:val="en-GB"/>
        </w:rPr>
        <w:t>ROC</w:t>
      </w:r>
      <w:r w:rsidR="008D4876" w:rsidRPr="002B2C64">
        <w:rPr>
          <w:rFonts w:ascii="Book Antiqua" w:hAnsi="Book Antiqua"/>
          <w:sz w:val="24"/>
          <w:szCs w:val="24"/>
          <w:lang w:val="en-GB"/>
        </w:rPr>
        <w:t xml:space="preserve"> curve.</w:t>
      </w:r>
      <w:r w:rsidR="00DC54A1" w:rsidRPr="002B2C64">
        <w:rPr>
          <w:rFonts w:ascii="Book Antiqua" w:hAnsi="Book Antiqua"/>
          <w:sz w:val="24"/>
          <w:szCs w:val="24"/>
          <w:lang w:val="en-GB"/>
        </w:rPr>
        <w:t xml:space="preserve"> </w:t>
      </w:r>
      <w:r w:rsidR="00871287" w:rsidRPr="002B2C64">
        <w:rPr>
          <w:rFonts w:ascii="Book Antiqua" w:hAnsi="Book Antiqua"/>
          <w:sz w:val="24"/>
          <w:szCs w:val="24"/>
          <w:lang w:val="en-GB"/>
        </w:rPr>
        <w:t xml:space="preserve">Score 0 </w:t>
      </w:r>
      <w:r w:rsidR="00B3131A" w:rsidRPr="002B2C64">
        <w:rPr>
          <w:rFonts w:ascii="Book Antiqua" w:hAnsi="Book Antiqua"/>
          <w:sz w:val="24"/>
          <w:szCs w:val="24"/>
          <w:lang w:val="en-GB"/>
        </w:rPr>
        <w:t xml:space="preserve">was calculated </w:t>
      </w:r>
      <w:r w:rsidR="00FA1FA9" w:rsidRPr="002B2C64">
        <w:rPr>
          <w:rFonts w:ascii="Book Antiqua" w:hAnsi="Book Antiqua"/>
          <w:sz w:val="24"/>
          <w:szCs w:val="24"/>
          <w:lang w:val="en-GB"/>
        </w:rPr>
        <w:t>as PLT (</w:t>
      </w:r>
      <w:r w:rsidR="00C05B1C" w:rsidRPr="002B2C64">
        <w:rPr>
          <w:rFonts w:ascii="Book Antiqua" w:hAnsi="Book Antiqua"/>
          <w:sz w:val="24"/>
          <w:szCs w:val="24"/>
          <w:lang w:val="en-GB"/>
        </w:rPr>
        <w:t>&lt;</w:t>
      </w:r>
      <w:r w:rsidR="004B32F0" w:rsidRPr="002B2C64">
        <w:rPr>
          <w:rFonts w:ascii="Book Antiqua" w:hAnsi="Book Antiqua"/>
          <w:sz w:val="24"/>
          <w:szCs w:val="24"/>
          <w:lang w:val="en-GB"/>
        </w:rPr>
        <w:t xml:space="preserve"> </w:t>
      </w:r>
      <w:r w:rsidR="00C05B1C" w:rsidRPr="002B2C64">
        <w:rPr>
          <w:rFonts w:ascii="Book Antiqua" w:hAnsi="Book Antiqua"/>
          <w:sz w:val="24"/>
          <w:szCs w:val="24"/>
          <w:lang w:val="en-GB"/>
        </w:rPr>
        <w:t>300) and NLR (&lt;</w:t>
      </w:r>
      <w:r w:rsidR="004B32F0" w:rsidRPr="002B2C64">
        <w:rPr>
          <w:rFonts w:ascii="Book Antiqua" w:hAnsi="Book Antiqua"/>
          <w:sz w:val="24"/>
          <w:szCs w:val="24"/>
          <w:lang w:val="en-GB"/>
        </w:rPr>
        <w:t xml:space="preserve"> </w:t>
      </w:r>
      <w:r w:rsidR="00C05B1C" w:rsidRPr="002B2C64">
        <w:rPr>
          <w:rFonts w:ascii="Book Antiqua" w:hAnsi="Book Antiqua"/>
          <w:sz w:val="24"/>
          <w:szCs w:val="24"/>
          <w:lang w:val="en-GB"/>
        </w:rPr>
        <w:t xml:space="preserve">2.5). </w:t>
      </w:r>
      <w:r w:rsidR="008D4876" w:rsidRPr="002B2C64">
        <w:rPr>
          <w:rFonts w:ascii="Book Antiqua" w:hAnsi="Book Antiqua"/>
          <w:sz w:val="24"/>
          <w:szCs w:val="24"/>
          <w:lang w:val="en-GB"/>
        </w:rPr>
        <w:t xml:space="preserve">Patients with either </w:t>
      </w:r>
      <w:r w:rsidR="00031F30" w:rsidRPr="002B2C64">
        <w:rPr>
          <w:rFonts w:ascii="Book Antiqua" w:hAnsi="Book Antiqua"/>
          <w:sz w:val="24"/>
          <w:szCs w:val="24"/>
          <w:lang w:val="en-GB"/>
        </w:rPr>
        <w:t xml:space="preserve">elevated </w:t>
      </w:r>
      <w:r w:rsidR="008D4876" w:rsidRPr="002B2C64">
        <w:rPr>
          <w:rFonts w:ascii="Book Antiqua" w:hAnsi="Book Antiqua"/>
          <w:sz w:val="24"/>
          <w:szCs w:val="24"/>
          <w:lang w:val="en-GB"/>
        </w:rPr>
        <w:t xml:space="preserve">NLR or PLR were allocated </w:t>
      </w:r>
      <w:r w:rsidR="005954D3" w:rsidRPr="002B2C64">
        <w:rPr>
          <w:rFonts w:ascii="Book Antiqua" w:hAnsi="Book Antiqua"/>
          <w:sz w:val="24"/>
          <w:szCs w:val="24"/>
          <w:lang w:val="en-GB"/>
        </w:rPr>
        <w:t xml:space="preserve">to score 1. </w:t>
      </w:r>
      <w:r w:rsidR="00FD2342" w:rsidRPr="002B2C64">
        <w:rPr>
          <w:rFonts w:ascii="Book Antiqua" w:hAnsi="Book Antiqua"/>
          <w:sz w:val="24"/>
          <w:szCs w:val="24"/>
          <w:lang w:val="en-GB"/>
        </w:rPr>
        <w:t xml:space="preserve">Patients with </w:t>
      </w:r>
      <w:r w:rsidR="005954D3" w:rsidRPr="002B2C64">
        <w:rPr>
          <w:rFonts w:ascii="Book Antiqua" w:hAnsi="Book Antiqua"/>
          <w:sz w:val="24"/>
          <w:szCs w:val="24"/>
          <w:lang w:val="en-GB"/>
        </w:rPr>
        <w:t xml:space="preserve">both </w:t>
      </w:r>
      <w:r w:rsidR="00031F30" w:rsidRPr="002B2C64">
        <w:rPr>
          <w:rFonts w:ascii="Book Antiqua" w:hAnsi="Book Antiqua"/>
          <w:sz w:val="24"/>
          <w:szCs w:val="24"/>
          <w:lang w:val="en-GB"/>
        </w:rPr>
        <w:t xml:space="preserve">increased </w:t>
      </w:r>
      <w:r w:rsidR="005954D3" w:rsidRPr="002B2C64">
        <w:rPr>
          <w:rFonts w:ascii="Book Antiqua" w:hAnsi="Book Antiqua"/>
          <w:sz w:val="24"/>
          <w:szCs w:val="24"/>
          <w:lang w:val="en-GB"/>
        </w:rPr>
        <w:t>NLR</w:t>
      </w:r>
      <w:r w:rsidR="002D109B" w:rsidRPr="002B2C64">
        <w:rPr>
          <w:rFonts w:ascii="Book Antiqua" w:hAnsi="Book Antiqua"/>
          <w:sz w:val="24"/>
          <w:szCs w:val="24"/>
          <w:lang w:val="en-GB"/>
        </w:rPr>
        <w:t xml:space="preserve"> (&gt;</w:t>
      </w:r>
      <w:r w:rsidR="004B32F0" w:rsidRPr="002B2C64">
        <w:rPr>
          <w:rFonts w:ascii="Book Antiqua" w:hAnsi="Book Antiqua"/>
          <w:sz w:val="24"/>
          <w:szCs w:val="24"/>
          <w:lang w:val="en-GB"/>
        </w:rPr>
        <w:t xml:space="preserve"> </w:t>
      </w:r>
      <w:r w:rsidR="002D109B" w:rsidRPr="002B2C64">
        <w:rPr>
          <w:rFonts w:ascii="Book Antiqua" w:hAnsi="Book Antiqua"/>
          <w:sz w:val="24"/>
          <w:szCs w:val="24"/>
          <w:lang w:val="en-GB"/>
        </w:rPr>
        <w:t>2.5)</w:t>
      </w:r>
      <w:r w:rsidR="005954D3" w:rsidRPr="002B2C64">
        <w:rPr>
          <w:rFonts w:ascii="Book Antiqua" w:hAnsi="Book Antiqua"/>
          <w:sz w:val="24"/>
          <w:szCs w:val="24"/>
          <w:lang w:val="en-GB"/>
        </w:rPr>
        <w:t xml:space="preserve"> and PLR </w:t>
      </w:r>
      <w:r w:rsidR="002D109B" w:rsidRPr="002B2C64">
        <w:rPr>
          <w:rFonts w:ascii="Book Antiqua" w:hAnsi="Book Antiqua"/>
          <w:sz w:val="24"/>
          <w:szCs w:val="24"/>
          <w:lang w:val="en-GB"/>
        </w:rPr>
        <w:t>(&gt;</w:t>
      </w:r>
      <w:r w:rsidR="004B32F0" w:rsidRPr="002B2C64">
        <w:rPr>
          <w:rFonts w:ascii="Book Antiqua" w:hAnsi="Book Antiqua"/>
          <w:sz w:val="24"/>
          <w:szCs w:val="24"/>
          <w:lang w:val="en-GB"/>
        </w:rPr>
        <w:t xml:space="preserve"> </w:t>
      </w:r>
      <w:r w:rsidR="002D109B" w:rsidRPr="002B2C64">
        <w:rPr>
          <w:rFonts w:ascii="Book Antiqua" w:hAnsi="Book Antiqua"/>
          <w:sz w:val="24"/>
          <w:szCs w:val="24"/>
          <w:lang w:val="en-GB"/>
        </w:rPr>
        <w:t xml:space="preserve">300) </w:t>
      </w:r>
      <w:r w:rsidR="005954D3" w:rsidRPr="002B2C64">
        <w:rPr>
          <w:rFonts w:ascii="Book Antiqua" w:hAnsi="Book Antiqua"/>
          <w:sz w:val="24"/>
          <w:szCs w:val="24"/>
          <w:lang w:val="en-GB"/>
        </w:rPr>
        <w:t xml:space="preserve">were </w:t>
      </w:r>
      <w:r w:rsidR="00FD2342" w:rsidRPr="002B2C64">
        <w:rPr>
          <w:rFonts w:ascii="Book Antiqua" w:hAnsi="Book Antiqua"/>
          <w:sz w:val="24"/>
          <w:szCs w:val="24"/>
          <w:lang w:val="en-GB"/>
        </w:rPr>
        <w:t>in group 2.</w:t>
      </w:r>
      <w:r w:rsidR="006E718A" w:rsidRPr="002B2C64">
        <w:rPr>
          <w:rFonts w:ascii="Book Antiqua" w:hAnsi="Book Antiqua"/>
          <w:sz w:val="24"/>
          <w:szCs w:val="24"/>
          <w:lang w:val="en-GB"/>
        </w:rPr>
        <w:t xml:space="preserve"> For </w:t>
      </w:r>
      <w:r w:rsidR="002802C5" w:rsidRPr="002B2C64">
        <w:rPr>
          <w:rFonts w:ascii="Book Antiqua" w:hAnsi="Book Antiqua"/>
          <w:sz w:val="24"/>
          <w:szCs w:val="24"/>
          <w:lang w:val="en-GB"/>
        </w:rPr>
        <w:t>disease-free survival (</w:t>
      </w:r>
      <w:r w:rsidR="006E718A" w:rsidRPr="002B2C64">
        <w:rPr>
          <w:rFonts w:ascii="Book Antiqua" w:hAnsi="Book Antiqua"/>
          <w:sz w:val="24"/>
          <w:szCs w:val="24"/>
          <w:lang w:val="en-GB"/>
        </w:rPr>
        <w:t>DFS</w:t>
      </w:r>
      <w:r w:rsidR="002802C5" w:rsidRPr="002B2C64">
        <w:rPr>
          <w:rFonts w:ascii="Book Antiqua" w:hAnsi="Book Antiqua"/>
          <w:sz w:val="24"/>
          <w:szCs w:val="24"/>
          <w:lang w:val="en-GB"/>
        </w:rPr>
        <w:t>)</w:t>
      </w:r>
      <w:r w:rsidR="006E718A" w:rsidRPr="002B2C64">
        <w:rPr>
          <w:rFonts w:ascii="Book Antiqua" w:hAnsi="Book Antiqua"/>
          <w:sz w:val="24"/>
          <w:szCs w:val="24"/>
          <w:lang w:val="en-GB"/>
        </w:rPr>
        <w:t xml:space="preserve"> analysis, we </w:t>
      </w:r>
      <w:r w:rsidR="00AF0D65" w:rsidRPr="002B2C64">
        <w:rPr>
          <w:rFonts w:ascii="Book Antiqua" w:hAnsi="Book Antiqua"/>
          <w:sz w:val="24"/>
          <w:szCs w:val="24"/>
          <w:lang w:val="en-GB"/>
        </w:rPr>
        <w:t>div</w:t>
      </w:r>
      <w:r w:rsidR="00235733" w:rsidRPr="002B2C64">
        <w:rPr>
          <w:rFonts w:ascii="Book Antiqua" w:hAnsi="Book Antiqua"/>
          <w:sz w:val="24"/>
          <w:szCs w:val="24"/>
          <w:lang w:val="en-GB"/>
        </w:rPr>
        <w:t>id</w:t>
      </w:r>
      <w:r w:rsidR="00AF0D65" w:rsidRPr="002B2C64">
        <w:rPr>
          <w:rFonts w:ascii="Book Antiqua" w:hAnsi="Book Antiqua"/>
          <w:sz w:val="24"/>
          <w:szCs w:val="24"/>
          <w:lang w:val="en-GB"/>
        </w:rPr>
        <w:t xml:space="preserve">ed </w:t>
      </w:r>
      <w:r w:rsidR="00235733" w:rsidRPr="002B2C64">
        <w:rPr>
          <w:rFonts w:ascii="Book Antiqua" w:hAnsi="Book Antiqua"/>
          <w:sz w:val="24"/>
          <w:szCs w:val="24"/>
          <w:lang w:val="en-GB"/>
        </w:rPr>
        <w:t xml:space="preserve">the </w:t>
      </w:r>
      <w:r w:rsidR="00AF0D65" w:rsidRPr="002B2C64">
        <w:rPr>
          <w:rFonts w:ascii="Book Antiqua" w:hAnsi="Book Antiqua"/>
          <w:sz w:val="24"/>
          <w:szCs w:val="24"/>
          <w:lang w:val="en-GB"/>
        </w:rPr>
        <w:t xml:space="preserve">study group </w:t>
      </w:r>
      <w:r w:rsidR="00D2163B" w:rsidRPr="002B2C64">
        <w:rPr>
          <w:rFonts w:ascii="Book Antiqua" w:hAnsi="Book Antiqua"/>
          <w:sz w:val="24"/>
          <w:szCs w:val="24"/>
          <w:lang w:val="en-GB"/>
        </w:rPr>
        <w:t>in</w:t>
      </w:r>
      <w:r w:rsidR="00AF0D65" w:rsidRPr="002B2C64">
        <w:rPr>
          <w:rFonts w:ascii="Book Antiqua" w:hAnsi="Book Antiqua"/>
          <w:sz w:val="24"/>
          <w:szCs w:val="24"/>
          <w:lang w:val="en-GB"/>
        </w:rPr>
        <w:t>to two subgr</w:t>
      </w:r>
      <w:r w:rsidR="00735B31" w:rsidRPr="002B2C64">
        <w:rPr>
          <w:rFonts w:ascii="Book Antiqua" w:hAnsi="Book Antiqua"/>
          <w:sz w:val="24"/>
          <w:szCs w:val="24"/>
          <w:lang w:val="en-GB"/>
        </w:rPr>
        <w:t>o</w:t>
      </w:r>
      <w:r w:rsidR="00704234" w:rsidRPr="002B2C64">
        <w:rPr>
          <w:rFonts w:ascii="Book Antiqua" w:hAnsi="Book Antiqua"/>
          <w:sz w:val="24"/>
          <w:szCs w:val="24"/>
          <w:lang w:val="en-GB"/>
        </w:rPr>
        <w:t>up</w:t>
      </w:r>
      <w:r w:rsidR="00735B31" w:rsidRPr="002B2C64">
        <w:rPr>
          <w:rFonts w:ascii="Book Antiqua" w:hAnsi="Book Antiqua"/>
          <w:sz w:val="24"/>
          <w:szCs w:val="24"/>
          <w:lang w:val="en-GB"/>
        </w:rPr>
        <w:t xml:space="preserve">s </w:t>
      </w:r>
      <w:r w:rsidR="00754FAB" w:rsidRPr="002B2C64">
        <w:rPr>
          <w:rFonts w:ascii="Book Antiqua" w:hAnsi="Book Antiqua"/>
          <w:sz w:val="24"/>
          <w:szCs w:val="24"/>
          <w:lang w:val="en-GB"/>
        </w:rPr>
        <w:t>with score 0</w:t>
      </w:r>
      <w:r w:rsidR="00735B31" w:rsidRPr="002B2C64">
        <w:rPr>
          <w:rFonts w:ascii="Book Antiqua" w:hAnsi="Book Antiqua"/>
          <w:sz w:val="24"/>
          <w:szCs w:val="24"/>
          <w:lang w:val="en-GB"/>
        </w:rPr>
        <w:t xml:space="preserve"> and </w:t>
      </w:r>
      <w:r w:rsidR="00D2163B" w:rsidRPr="002B2C64">
        <w:rPr>
          <w:rFonts w:ascii="Book Antiqua" w:hAnsi="Book Antiqua"/>
          <w:sz w:val="24"/>
          <w:szCs w:val="24"/>
          <w:lang w:val="en-GB"/>
        </w:rPr>
        <w:t xml:space="preserve">score </w:t>
      </w:r>
      <w:r w:rsidR="00754FAB" w:rsidRPr="002B2C64">
        <w:rPr>
          <w:rFonts w:ascii="Book Antiqua" w:hAnsi="Book Antiqua"/>
          <w:sz w:val="24"/>
          <w:szCs w:val="24"/>
          <w:lang w:val="en-GB"/>
        </w:rPr>
        <w:t>1</w:t>
      </w:r>
      <w:r w:rsidR="004B32F0" w:rsidRPr="002B2C64">
        <w:rPr>
          <w:rFonts w:ascii="Book Antiqua" w:hAnsi="Book Antiqua"/>
          <w:sz w:val="24"/>
          <w:szCs w:val="24"/>
          <w:lang w:val="en-GB"/>
        </w:rPr>
        <w:t xml:space="preserve"> </w:t>
      </w:r>
      <w:r w:rsidR="00754FAB" w:rsidRPr="002B2C64">
        <w:rPr>
          <w:rFonts w:ascii="Book Antiqua" w:hAnsi="Book Antiqua"/>
          <w:sz w:val="24"/>
          <w:szCs w:val="24"/>
          <w:lang w:val="en-GB"/>
        </w:rPr>
        <w:t>+</w:t>
      </w:r>
      <w:r w:rsidR="004B32F0" w:rsidRPr="002B2C64">
        <w:rPr>
          <w:rFonts w:ascii="Book Antiqua" w:hAnsi="Book Antiqua"/>
          <w:sz w:val="24"/>
          <w:szCs w:val="24"/>
          <w:lang w:val="en-GB"/>
        </w:rPr>
        <w:t xml:space="preserve"> </w:t>
      </w:r>
      <w:r w:rsidR="00754FAB" w:rsidRPr="002B2C64">
        <w:rPr>
          <w:rFonts w:ascii="Book Antiqua" w:hAnsi="Book Antiqua"/>
          <w:sz w:val="24"/>
          <w:szCs w:val="24"/>
          <w:lang w:val="en-GB"/>
        </w:rPr>
        <w:t>2</w:t>
      </w:r>
      <w:r w:rsidR="006F2720" w:rsidRPr="002B2C64">
        <w:rPr>
          <w:rFonts w:ascii="Book Antiqua" w:hAnsi="Book Antiqua"/>
          <w:sz w:val="24"/>
          <w:szCs w:val="24"/>
          <w:lang w:val="en-GB"/>
        </w:rPr>
        <w:t>.</w:t>
      </w:r>
    </w:p>
    <w:p w:rsidR="00C03B7B" w:rsidRPr="002B2C64" w:rsidRDefault="00C03B7B" w:rsidP="0083105B">
      <w:pPr>
        <w:snapToGrid w:val="0"/>
        <w:spacing w:after="0" w:line="360" w:lineRule="auto"/>
        <w:jc w:val="both"/>
        <w:rPr>
          <w:rFonts w:ascii="Book Antiqua" w:hAnsi="Book Antiqua"/>
          <w:sz w:val="24"/>
          <w:szCs w:val="24"/>
          <w:lang w:val="en-GB"/>
        </w:rPr>
      </w:pPr>
    </w:p>
    <w:p w:rsidR="00CE0B13" w:rsidRPr="002B2C64" w:rsidRDefault="00AC049B" w:rsidP="0083105B">
      <w:pPr>
        <w:snapToGrid w:val="0"/>
        <w:spacing w:after="0" w:line="360" w:lineRule="auto"/>
        <w:jc w:val="both"/>
        <w:rPr>
          <w:rFonts w:ascii="Book Antiqua" w:hAnsi="Book Antiqua"/>
          <w:b/>
          <w:i/>
          <w:color w:val="auto"/>
          <w:sz w:val="24"/>
          <w:szCs w:val="24"/>
          <w:lang w:val="en-GB"/>
        </w:rPr>
      </w:pPr>
      <w:r w:rsidRPr="002B2C64">
        <w:rPr>
          <w:rFonts w:ascii="Book Antiqua" w:hAnsi="Book Antiqua"/>
          <w:b/>
          <w:i/>
          <w:color w:val="auto"/>
          <w:sz w:val="24"/>
          <w:szCs w:val="24"/>
          <w:lang w:val="en-GB"/>
        </w:rPr>
        <w:t>Follow-up data</w:t>
      </w:r>
    </w:p>
    <w:p w:rsidR="00AC049B" w:rsidRPr="002B2C64" w:rsidRDefault="00AC049B" w:rsidP="0083105B">
      <w:pPr>
        <w:snapToGrid w:val="0"/>
        <w:spacing w:after="0" w:line="360" w:lineRule="auto"/>
        <w:jc w:val="both"/>
        <w:rPr>
          <w:rFonts w:ascii="Book Antiqua" w:hAnsi="Book Antiqua"/>
          <w:color w:val="auto"/>
          <w:sz w:val="24"/>
          <w:szCs w:val="24"/>
          <w:lang w:val="en-GB"/>
        </w:rPr>
      </w:pPr>
      <w:r w:rsidRPr="002B2C64">
        <w:rPr>
          <w:rFonts w:ascii="Book Antiqua" w:hAnsi="Book Antiqua"/>
          <w:color w:val="auto"/>
          <w:sz w:val="24"/>
          <w:szCs w:val="24"/>
          <w:lang w:val="en-GB"/>
        </w:rPr>
        <w:lastRenderedPageBreak/>
        <w:t>Patients were followed</w:t>
      </w:r>
      <w:r w:rsidR="00DC54A1" w:rsidRPr="002B2C64">
        <w:rPr>
          <w:rFonts w:ascii="Book Antiqua" w:hAnsi="Book Antiqua"/>
          <w:color w:val="auto"/>
          <w:sz w:val="24"/>
          <w:szCs w:val="24"/>
          <w:lang w:val="en-GB"/>
        </w:rPr>
        <w:t xml:space="preserve"> </w:t>
      </w:r>
      <w:r w:rsidRPr="002B2C64">
        <w:rPr>
          <w:rFonts w:ascii="Book Antiqua" w:hAnsi="Book Antiqua"/>
          <w:color w:val="auto"/>
          <w:sz w:val="24"/>
          <w:szCs w:val="24"/>
          <w:lang w:val="en-GB"/>
        </w:rPr>
        <w:t xml:space="preserve">up </w:t>
      </w:r>
      <w:r w:rsidR="00031F30" w:rsidRPr="002B2C64">
        <w:rPr>
          <w:rFonts w:ascii="Book Antiqua" w:hAnsi="Book Antiqua"/>
          <w:color w:val="auto"/>
          <w:sz w:val="24"/>
          <w:szCs w:val="24"/>
          <w:lang w:val="en-GB"/>
        </w:rPr>
        <w:t>for</w:t>
      </w:r>
      <w:r w:rsidRPr="002B2C64">
        <w:rPr>
          <w:rFonts w:ascii="Book Antiqua" w:hAnsi="Book Antiqua"/>
          <w:color w:val="auto"/>
          <w:sz w:val="24"/>
          <w:szCs w:val="24"/>
          <w:lang w:val="en-GB"/>
        </w:rPr>
        <w:t xml:space="preserve"> 2</w:t>
      </w:r>
      <w:r w:rsidRPr="002B2C64">
        <w:rPr>
          <w:rFonts w:ascii="MS Gothic" w:eastAsia="MS Mincho" w:hAnsi="MS Gothic" w:cs="MS Gothic"/>
          <w:color w:val="auto"/>
          <w:sz w:val="24"/>
          <w:szCs w:val="24"/>
          <w:lang w:val="en-GB"/>
        </w:rPr>
        <w:t>‑</w:t>
      </w:r>
      <w:r w:rsidRPr="002B2C64">
        <w:rPr>
          <w:rFonts w:ascii="Book Antiqua" w:hAnsi="Book Antiqua"/>
          <w:color w:val="auto"/>
          <w:sz w:val="24"/>
          <w:szCs w:val="24"/>
          <w:lang w:val="en-GB"/>
        </w:rPr>
        <w:t>5.</w:t>
      </w:r>
      <w:r w:rsidR="005F32BA" w:rsidRPr="002B2C64">
        <w:rPr>
          <w:rFonts w:ascii="Book Antiqua" w:hAnsi="Book Antiqua"/>
          <w:color w:val="auto"/>
          <w:sz w:val="24"/>
          <w:szCs w:val="24"/>
          <w:lang w:val="en-GB"/>
        </w:rPr>
        <w:t xml:space="preserve">0 years. They were monitored by </w:t>
      </w:r>
      <w:r w:rsidRPr="002B2C64">
        <w:rPr>
          <w:rFonts w:ascii="Book Antiqua" w:hAnsi="Book Antiqua"/>
          <w:color w:val="auto"/>
          <w:sz w:val="24"/>
          <w:szCs w:val="24"/>
          <w:lang w:val="en-GB"/>
        </w:rPr>
        <w:t>the measurement of carcinoembryonic antigen and CA19</w:t>
      </w:r>
      <w:r w:rsidRPr="002B2C64">
        <w:rPr>
          <w:rFonts w:ascii="MS Gothic" w:eastAsia="MS Mincho" w:hAnsi="MS Gothic" w:cs="MS Gothic"/>
          <w:color w:val="auto"/>
          <w:sz w:val="24"/>
          <w:szCs w:val="24"/>
          <w:lang w:val="en-GB"/>
        </w:rPr>
        <w:t>‑</w:t>
      </w:r>
      <w:r w:rsidRPr="002B2C64">
        <w:rPr>
          <w:rFonts w:ascii="Book Antiqua" w:hAnsi="Book Antiqua"/>
          <w:color w:val="auto"/>
          <w:sz w:val="24"/>
          <w:szCs w:val="24"/>
          <w:lang w:val="en-GB"/>
        </w:rPr>
        <w:t xml:space="preserve">9 levels, physical examination, colonoscopy or/and radiological imaging including computed tomography of the chest, abdomen and pelvis, bone scan, and positron emission tomography scans. Local and distant recurrences were defined as pathologic </w:t>
      </w:r>
      <w:r w:rsidR="00235733" w:rsidRPr="002B2C64">
        <w:rPr>
          <w:rFonts w:ascii="Book Antiqua" w:hAnsi="Book Antiqua"/>
          <w:color w:val="auto"/>
          <w:sz w:val="24"/>
          <w:szCs w:val="24"/>
          <w:lang w:val="en-GB"/>
        </w:rPr>
        <w:t xml:space="preserve">evidence </w:t>
      </w:r>
      <w:r w:rsidRPr="002B2C64">
        <w:rPr>
          <w:rFonts w:ascii="Book Antiqua" w:hAnsi="Book Antiqua"/>
          <w:color w:val="auto"/>
          <w:sz w:val="24"/>
          <w:szCs w:val="24"/>
          <w:lang w:val="en-GB"/>
        </w:rPr>
        <w:t>of the spread of tumo</w:t>
      </w:r>
      <w:r w:rsidR="00235733" w:rsidRPr="002B2C64">
        <w:rPr>
          <w:rFonts w:ascii="Book Antiqua" w:hAnsi="Book Antiqua"/>
          <w:color w:val="auto"/>
          <w:sz w:val="24"/>
          <w:szCs w:val="24"/>
          <w:lang w:val="en-GB"/>
        </w:rPr>
        <w:t>u</w:t>
      </w:r>
      <w:r w:rsidRPr="002B2C64">
        <w:rPr>
          <w:rFonts w:ascii="Book Antiqua" w:hAnsi="Book Antiqua"/>
          <w:color w:val="auto"/>
          <w:sz w:val="24"/>
          <w:szCs w:val="24"/>
          <w:lang w:val="en-GB"/>
        </w:rPr>
        <w:t>rs in the region of anastomosis (local recurrence) or/and present outside the primary tumo</w:t>
      </w:r>
      <w:r w:rsidR="00235733" w:rsidRPr="002B2C64">
        <w:rPr>
          <w:rFonts w:ascii="Book Antiqua" w:hAnsi="Book Antiqua"/>
          <w:color w:val="auto"/>
          <w:sz w:val="24"/>
          <w:szCs w:val="24"/>
          <w:lang w:val="en-GB"/>
        </w:rPr>
        <w:t>u</w:t>
      </w:r>
      <w:r w:rsidRPr="002B2C64">
        <w:rPr>
          <w:rFonts w:ascii="Book Antiqua" w:hAnsi="Book Antiqua"/>
          <w:color w:val="auto"/>
          <w:sz w:val="24"/>
          <w:szCs w:val="24"/>
          <w:lang w:val="en-GB"/>
        </w:rPr>
        <w:t xml:space="preserve">r at other sites such as liver, lungs, bones, brain (distant recurrence) and confirmed by </w:t>
      </w:r>
      <w:r w:rsidR="00235733" w:rsidRPr="002B2C64">
        <w:rPr>
          <w:rFonts w:ascii="Book Antiqua" w:hAnsi="Book Antiqua"/>
          <w:color w:val="auto"/>
          <w:sz w:val="24"/>
          <w:szCs w:val="24"/>
          <w:lang w:val="en-GB"/>
        </w:rPr>
        <w:t xml:space="preserve">the techniques </w:t>
      </w:r>
      <w:r w:rsidRPr="002B2C64">
        <w:rPr>
          <w:rFonts w:ascii="Book Antiqua" w:hAnsi="Book Antiqua"/>
          <w:color w:val="auto"/>
          <w:sz w:val="24"/>
          <w:szCs w:val="24"/>
          <w:lang w:val="en-GB"/>
        </w:rPr>
        <w:t>mentioned above.</w:t>
      </w:r>
    </w:p>
    <w:p w:rsidR="00CE0B13" w:rsidRPr="002B2C64" w:rsidRDefault="00CE0B13" w:rsidP="0083105B">
      <w:pPr>
        <w:snapToGrid w:val="0"/>
        <w:spacing w:after="0" w:line="360" w:lineRule="auto"/>
        <w:jc w:val="both"/>
        <w:rPr>
          <w:rFonts w:ascii="Book Antiqua" w:hAnsi="Book Antiqua"/>
          <w:b/>
          <w:i/>
          <w:color w:val="auto"/>
          <w:sz w:val="24"/>
          <w:szCs w:val="24"/>
          <w:lang w:val="en-GB"/>
        </w:rPr>
      </w:pPr>
    </w:p>
    <w:p w:rsidR="00CE0B13" w:rsidRPr="002B2C64" w:rsidRDefault="00AC049B" w:rsidP="0083105B">
      <w:pPr>
        <w:snapToGrid w:val="0"/>
        <w:spacing w:after="0" w:line="360" w:lineRule="auto"/>
        <w:jc w:val="both"/>
        <w:rPr>
          <w:rFonts w:ascii="Book Antiqua" w:hAnsi="Book Antiqua"/>
          <w:b/>
          <w:i/>
          <w:sz w:val="24"/>
          <w:szCs w:val="24"/>
          <w:lang w:val="en-GB"/>
        </w:rPr>
      </w:pPr>
      <w:r w:rsidRPr="002B2C64">
        <w:rPr>
          <w:rFonts w:ascii="Book Antiqua" w:hAnsi="Book Antiqua"/>
          <w:b/>
          <w:i/>
          <w:sz w:val="24"/>
          <w:szCs w:val="24"/>
          <w:lang w:val="en-GB"/>
        </w:rPr>
        <w:t>Statistical analysis</w:t>
      </w:r>
    </w:p>
    <w:p w:rsidR="00DD0ECF" w:rsidRPr="002B2C64" w:rsidRDefault="00AC049B"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Statistical analysis was p</w:t>
      </w:r>
      <w:r w:rsidR="00C20EF0" w:rsidRPr="002B2C64">
        <w:rPr>
          <w:rFonts w:ascii="Book Antiqua" w:hAnsi="Book Antiqua"/>
          <w:sz w:val="24"/>
          <w:szCs w:val="24"/>
          <w:lang w:val="en-GB"/>
        </w:rPr>
        <w:t>erformed using the STATISTICA 13</w:t>
      </w:r>
      <w:r w:rsidR="00DC54A1" w:rsidRPr="002B2C64">
        <w:rPr>
          <w:rFonts w:ascii="Book Antiqua" w:hAnsi="Book Antiqua"/>
          <w:sz w:val="24"/>
          <w:szCs w:val="24"/>
          <w:lang w:val="en-GB"/>
        </w:rPr>
        <w:t>.0 program</w:t>
      </w:r>
      <w:r w:rsidRPr="002B2C64">
        <w:rPr>
          <w:rFonts w:ascii="Book Antiqua" w:hAnsi="Book Antiqua"/>
          <w:sz w:val="24"/>
          <w:szCs w:val="24"/>
          <w:lang w:val="en-GB"/>
        </w:rPr>
        <w:t>.</w:t>
      </w:r>
      <w:r w:rsidR="00DC54A1" w:rsidRPr="002B2C64">
        <w:rPr>
          <w:rFonts w:ascii="Book Antiqua" w:hAnsi="Book Antiqua"/>
          <w:sz w:val="24"/>
          <w:szCs w:val="24"/>
          <w:lang w:val="en-GB"/>
        </w:rPr>
        <w:t xml:space="preserve"> </w:t>
      </w:r>
      <w:r w:rsidR="007E36F2" w:rsidRPr="002B2C64">
        <w:rPr>
          <w:rFonts w:ascii="Book Antiqua" w:hAnsi="Book Antiqua"/>
          <w:sz w:val="24"/>
          <w:szCs w:val="24"/>
          <w:lang w:val="en-GB"/>
        </w:rPr>
        <w:t>Comparisons between groups were analy</w:t>
      </w:r>
      <w:r w:rsidR="009B4998" w:rsidRPr="002B2C64">
        <w:rPr>
          <w:rFonts w:ascii="Book Antiqua" w:hAnsi="Book Antiqua"/>
          <w:sz w:val="24"/>
          <w:szCs w:val="24"/>
          <w:lang w:val="en-GB"/>
        </w:rPr>
        <w:t>s</w:t>
      </w:r>
      <w:r w:rsidR="007E36F2" w:rsidRPr="002B2C64">
        <w:rPr>
          <w:rFonts w:ascii="Book Antiqua" w:hAnsi="Book Antiqua"/>
          <w:sz w:val="24"/>
          <w:szCs w:val="24"/>
          <w:lang w:val="en-GB"/>
        </w:rPr>
        <w:t xml:space="preserve">ed using the independent-samples </w:t>
      </w:r>
      <w:r w:rsidR="007E36F2" w:rsidRPr="002B2C64">
        <w:rPr>
          <w:rFonts w:ascii="Book Antiqua" w:hAnsi="Book Antiqua"/>
          <w:i/>
          <w:iCs/>
          <w:sz w:val="24"/>
          <w:szCs w:val="24"/>
          <w:lang w:val="en-GB"/>
        </w:rPr>
        <w:t>t</w:t>
      </w:r>
      <w:r w:rsidR="005958F9" w:rsidRPr="002B2C64">
        <w:rPr>
          <w:rFonts w:ascii="Book Antiqua" w:hAnsi="Book Antiqua"/>
          <w:sz w:val="24"/>
          <w:szCs w:val="24"/>
          <w:lang w:val="en-GB"/>
        </w:rPr>
        <w:t>-</w:t>
      </w:r>
      <w:r w:rsidR="007E36F2" w:rsidRPr="002B2C64">
        <w:rPr>
          <w:rFonts w:ascii="Book Antiqua" w:hAnsi="Book Antiqua"/>
          <w:sz w:val="24"/>
          <w:szCs w:val="24"/>
          <w:lang w:val="en-GB"/>
        </w:rPr>
        <w:t>test, and comparisons within groups were analy</w:t>
      </w:r>
      <w:r w:rsidR="009B4998" w:rsidRPr="002B2C64">
        <w:rPr>
          <w:rFonts w:ascii="Book Antiqua" w:hAnsi="Book Antiqua"/>
          <w:sz w:val="24"/>
          <w:szCs w:val="24"/>
          <w:lang w:val="en-GB"/>
        </w:rPr>
        <w:t>s</w:t>
      </w:r>
      <w:r w:rsidR="007E36F2" w:rsidRPr="002B2C64">
        <w:rPr>
          <w:rFonts w:ascii="Book Antiqua" w:hAnsi="Book Antiqua"/>
          <w:sz w:val="24"/>
          <w:szCs w:val="24"/>
          <w:lang w:val="en-GB"/>
        </w:rPr>
        <w:t xml:space="preserve">ed using the paired </w:t>
      </w:r>
      <w:r w:rsidR="005958F9" w:rsidRPr="002B2C64">
        <w:rPr>
          <w:rFonts w:ascii="Book Antiqua" w:hAnsi="Book Antiqua"/>
          <w:i/>
          <w:iCs/>
          <w:sz w:val="24"/>
          <w:szCs w:val="24"/>
          <w:lang w:val="en-GB"/>
        </w:rPr>
        <w:t>t</w:t>
      </w:r>
      <w:r w:rsidR="005958F9" w:rsidRPr="002B2C64">
        <w:rPr>
          <w:rFonts w:ascii="Book Antiqua" w:hAnsi="Book Antiqua"/>
          <w:sz w:val="24"/>
          <w:szCs w:val="24"/>
          <w:lang w:val="en-GB"/>
        </w:rPr>
        <w:t>-test</w:t>
      </w:r>
      <w:r w:rsidR="007E36F2" w:rsidRPr="002B2C64">
        <w:rPr>
          <w:rFonts w:ascii="Book Antiqua" w:hAnsi="Book Antiqua"/>
          <w:sz w:val="24"/>
          <w:szCs w:val="24"/>
          <w:lang w:val="en-GB"/>
        </w:rPr>
        <w:t>. Enumeration data were analy</w:t>
      </w:r>
      <w:r w:rsidR="009B4998" w:rsidRPr="002B2C64">
        <w:rPr>
          <w:rFonts w:ascii="Book Antiqua" w:hAnsi="Book Antiqua"/>
          <w:sz w:val="24"/>
          <w:szCs w:val="24"/>
          <w:lang w:val="en-GB"/>
        </w:rPr>
        <w:t>s</w:t>
      </w:r>
      <w:r w:rsidR="007E36F2" w:rsidRPr="002B2C64">
        <w:rPr>
          <w:rFonts w:ascii="Book Antiqua" w:hAnsi="Book Antiqua"/>
          <w:sz w:val="24"/>
          <w:szCs w:val="24"/>
          <w:lang w:val="en-GB"/>
        </w:rPr>
        <w:t xml:space="preserve">ed using the </w:t>
      </w:r>
      <w:r w:rsidR="007E36F2" w:rsidRPr="002B2C64">
        <w:rPr>
          <w:rFonts w:ascii="Book Antiqua" w:hAnsi="Book Antiqua"/>
          <w:i/>
          <w:sz w:val="24"/>
          <w:szCs w:val="24"/>
          <w:lang w:val="en-GB"/>
        </w:rPr>
        <w:t>χ</w:t>
      </w:r>
      <w:r w:rsidR="007E36F2" w:rsidRPr="002B2C64">
        <w:rPr>
          <w:rFonts w:ascii="Book Antiqua" w:hAnsi="Book Antiqua"/>
          <w:sz w:val="24"/>
          <w:szCs w:val="24"/>
          <w:vertAlign w:val="superscript"/>
          <w:lang w:val="en-GB"/>
        </w:rPr>
        <w:t>2</w:t>
      </w:r>
      <w:r w:rsidR="00F26A07" w:rsidRPr="002B2C64">
        <w:rPr>
          <w:rFonts w:ascii="Book Antiqua" w:hAnsi="Book Antiqua"/>
          <w:sz w:val="24"/>
          <w:szCs w:val="24"/>
          <w:lang w:val="en-GB"/>
        </w:rPr>
        <w:t xml:space="preserve"> test</w:t>
      </w:r>
      <w:r w:rsidR="007E36F2" w:rsidRPr="002B2C64">
        <w:rPr>
          <w:rFonts w:ascii="Book Antiqua" w:hAnsi="Book Antiqua"/>
          <w:sz w:val="24"/>
          <w:szCs w:val="24"/>
          <w:lang w:val="en-GB"/>
        </w:rPr>
        <w:t>. Comparisons among multiple groups were analy</w:t>
      </w:r>
      <w:r w:rsidR="009B4998" w:rsidRPr="002B2C64">
        <w:rPr>
          <w:rFonts w:ascii="Book Antiqua" w:hAnsi="Book Antiqua"/>
          <w:sz w:val="24"/>
          <w:szCs w:val="24"/>
          <w:lang w:val="en-GB"/>
        </w:rPr>
        <w:t>s</w:t>
      </w:r>
      <w:r w:rsidR="007E36F2" w:rsidRPr="002B2C64">
        <w:rPr>
          <w:rFonts w:ascii="Book Antiqua" w:hAnsi="Book Antiqua"/>
          <w:sz w:val="24"/>
          <w:szCs w:val="24"/>
          <w:lang w:val="en-GB"/>
        </w:rPr>
        <w:t xml:space="preserve">ed using one-way ANOVA. </w:t>
      </w:r>
      <w:r w:rsidRPr="002B2C64">
        <w:rPr>
          <w:rFonts w:ascii="Book Antiqua" w:hAnsi="Book Antiqua"/>
          <w:sz w:val="24"/>
          <w:szCs w:val="24"/>
          <w:lang w:val="en-GB"/>
        </w:rPr>
        <w:t>DFS time was calculated as the duration between the date of diagnosis and the date of disease progression, including local or distant relapse. The DFS rate was estimated using the Kaplan Meier estimator method and the survival curves were compared using log-rank tests.</w:t>
      </w:r>
      <w:r w:rsidR="007D6515" w:rsidRPr="002B2C64">
        <w:rPr>
          <w:rFonts w:ascii="Book Antiqua" w:hAnsi="Book Antiqua"/>
          <w:sz w:val="24"/>
          <w:szCs w:val="24"/>
          <w:lang w:val="en-GB"/>
        </w:rPr>
        <w:t xml:space="preserve"> Prognostic factors were assessed using univariate and multivariate analyses (Cox proportional hazard regression model).</w:t>
      </w:r>
      <w:r w:rsidR="002B2CC8" w:rsidRPr="002B2C64">
        <w:rPr>
          <w:rFonts w:ascii="Book Antiqua" w:hAnsi="Book Antiqua"/>
          <w:sz w:val="24"/>
          <w:szCs w:val="24"/>
          <w:lang w:val="en-GB"/>
        </w:rPr>
        <w:t xml:space="preserve"> A </w:t>
      </w:r>
      <w:r w:rsidR="002B2CC8" w:rsidRPr="002B2C64">
        <w:rPr>
          <w:rFonts w:ascii="Book Antiqua" w:hAnsi="Book Antiqua"/>
          <w:i/>
          <w:iCs/>
          <w:sz w:val="24"/>
          <w:szCs w:val="24"/>
          <w:lang w:val="en-GB"/>
        </w:rPr>
        <w:t>P</w:t>
      </w:r>
      <w:r w:rsidR="002B2CC8" w:rsidRPr="002B2C64">
        <w:rPr>
          <w:rFonts w:ascii="Book Antiqua" w:hAnsi="Book Antiqua"/>
          <w:sz w:val="24"/>
          <w:szCs w:val="24"/>
          <w:lang w:val="en-GB"/>
        </w:rPr>
        <w:t xml:space="preserve"> value &lt; </w:t>
      </w:r>
      <w:r w:rsidR="005A68B1" w:rsidRPr="002B2C64">
        <w:rPr>
          <w:rFonts w:ascii="Book Antiqua" w:hAnsi="Book Antiqua"/>
          <w:sz w:val="24"/>
          <w:szCs w:val="24"/>
          <w:lang w:val="en-GB"/>
        </w:rPr>
        <w:t>0</w:t>
      </w:r>
      <w:r w:rsidR="002B2CC8" w:rsidRPr="002B2C64">
        <w:rPr>
          <w:rFonts w:ascii="Book Antiqua" w:hAnsi="Book Antiqua"/>
          <w:sz w:val="24"/>
          <w:szCs w:val="24"/>
          <w:lang w:val="en-GB"/>
        </w:rPr>
        <w:t>.05 was considered statistically significant.</w:t>
      </w:r>
    </w:p>
    <w:p w:rsidR="00F26A07" w:rsidRPr="002B2C64" w:rsidRDefault="00F26A07" w:rsidP="0083105B">
      <w:pPr>
        <w:snapToGrid w:val="0"/>
        <w:spacing w:after="0" w:line="360" w:lineRule="auto"/>
        <w:jc w:val="both"/>
        <w:rPr>
          <w:rFonts w:ascii="Book Antiqua" w:hAnsi="Book Antiqua"/>
          <w:sz w:val="24"/>
          <w:szCs w:val="24"/>
          <w:lang w:val="en-GB"/>
        </w:rPr>
      </w:pPr>
    </w:p>
    <w:p w:rsidR="00C20EF0" w:rsidRPr="002B2C64" w:rsidRDefault="00AC049B" w:rsidP="0083105B">
      <w:pPr>
        <w:snapToGrid w:val="0"/>
        <w:spacing w:after="0" w:line="360" w:lineRule="auto"/>
        <w:jc w:val="both"/>
        <w:rPr>
          <w:rFonts w:ascii="Book Antiqua" w:hAnsi="Book Antiqua"/>
          <w:b/>
          <w:i/>
          <w:sz w:val="24"/>
          <w:szCs w:val="24"/>
          <w:u w:val="single"/>
          <w:lang w:val="en-GB"/>
        </w:rPr>
      </w:pPr>
      <w:r w:rsidRPr="002B2C64">
        <w:rPr>
          <w:rFonts w:ascii="Book Antiqua" w:hAnsi="Book Antiqua"/>
          <w:b/>
          <w:sz w:val="24"/>
          <w:szCs w:val="24"/>
          <w:u w:val="single"/>
          <w:lang w:val="en-GB"/>
        </w:rPr>
        <w:t>RESULTS</w:t>
      </w:r>
    </w:p>
    <w:p w:rsidR="00CC79E5" w:rsidRPr="002B2C64" w:rsidRDefault="00D970FD" w:rsidP="0083105B">
      <w:pPr>
        <w:snapToGrid w:val="0"/>
        <w:spacing w:after="0" w:line="360" w:lineRule="auto"/>
        <w:jc w:val="both"/>
        <w:rPr>
          <w:rFonts w:ascii="Book Antiqua" w:hAnsi="Book Antiqua"/>
          <w:b/>
          <w:i/>
          <w:sz w:val="24"/>
          <w:szCs w:val="24"/>
          <w:lang w:val="en-GB"/>
        </w:rPr>
      </w:pPr>
      <w:r w:rsidRPr="002B2C64">
        <w:rPr>
          <w:rFonts w:ascii="Book Antiqua" w:hAnsi="Book Antiqua"/>
          <w:b/>
          <w:i/>
          <w:sz w:val="24"/>
          <w:szCs w:val="24"/>
          <w:lang w:val="en-GB"/>
        </w:rPr>
        <w:t>The clinicopathological characteristics of patients with</w:t>
      </w:r>
      <w:r w:rsidR="004C75E1" w:rsidRPr="002B2C64">
        <w:rPr>
          <w:rFonts w:ascii="Book Antiqua" w:hAnsi="Book Antiqua"/>
          <w:b/>
          <w:i/>
          <w:sz w:val="24"/>
          <w:szCs w:val="24"/>
          <w:lang w:val="en-GB"/>
        </w:rPr>
        <w:t xml:space="preserve"> colorectal cancer</w:t>
      </w:r>
    </w:p>
    <w:p w:rsidR="004F5A6F" w:rsidRPr="002B2C64" w:rsidRDefault="004A76D4"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The study group</w:t>
      </w:r>
      <w:r w:rsidR="003E5745" w:rsidRPr="002B2C64">
        <w:rPr>
          <w:rFonts w:ascii="Book Antiqua" w:hAnsi="Book Antiqua"/>
          <w:sz w:val="24"/>
          <w:szCs w:val="24"/>
          <w:lang w:val="en-GB"/>
        </w:rPr>
        <w:t xml:space="preserve"> was heterogeneous in terms of </w:t>
      </w:r>
      <w:r w:rsidR="00235733" w:rsidRPr="002B2C64">
        <w:rPr>
          <w:rFonts w:ascii="Book Antiqua" w:hAnsi="Book Antiqua"/>
          <w:sz w:val="24"/>
          <w:szCs w:val="24"/>
          <w:lang w:val="en-GB"/>
        </w:rPr>
        <w:t xml:space="preserve">sex </w:t>
      </w:r>
      <w:r w:rsidR="003E5745" w:rsidRPr="002B2C64">
        <w:rPr>
          <w:rFonts w:ascii="Book Antiqua" w:hAnsi="Book Antiqua"/>
          <w:sz w:val="24"/>
          <w:szCs w:val="24"/>
          <w:lang w:val="en-GB"/>
        </w:rPr>
        <w:t>(40% female, 60% male) and age (25% &lt;</w:t>
      </w:r>
      <w:r w:rsidR="005958F9" w:rsidRPr="002B2C64">
        <w:rPr>
          <w:rFonts w:ascii="Book Antiqua" w:hAnsi="Book Antiqua"/>
          <w:sz w:val="24"/>
          <w:szCs w:val="24"/>
          <w:lang w:val="en-GB"/>
        </w:rPr>
        <w:t xml:space="preserve"> </w:t>
      </w:r>
      <w:r w:rsidR="003E5745" w:rsidRPr="002B2C64">
        <w:rPr>
          <w:rFonts w:ascii="Book Antiqua" w:hAnsi="Book Antiqua"/>
          <w:sz w:val="24"/>
          <w:szCs w:val="24"/>
          <w:lang w:val="en-GB"/>
        </w:rPr>
        <w:t xml:space="preserve">60 years old, 75% </w:t>
      </w:r>
      <w:r w:rsidR="003E5745" w:rsidRPr="002B2C64">
        <w:rPr>
          <w:rFonts w:ascii="Book Antiqua" w:eastAsia="Calibri" w:hAnsi="Book Antiqua"/>
          <w:sz w:val="24"/>
          <w:szCs w:val="24"/>
          <w:lang w:val="en-GB"/>
        </w:rPr>
        <w:t>&gt;</w:t>
      </w:r>
      <w:r w:rsidR="005958F9" w:rsidRPr="002B2C64">
        <w:rPr>
          <w:rFonts w:ascii="Book Antiqua" w:eastAsia="Calibri" w:hAnsi="Book Antiqua"/>
          <w:sz w:val="24"/>
          <w:szCs w:val="24"/>
          <w:lang w:val="en-GB"/>
        </w:rPr>
        <w:t xml:space="preserve"> </w:t>
      </w:r>
      <w:r w:rsidR="003E5745" w:rsidRPr="002B2C64">
        <w:rPr>
          <w:rFonts w:ascii="Book Antiqua" w:hAnsi="Book Antiqua"/>
          <w:sz w:val="24"/>
          <w:szCs w:val="24"/>
          <w:lang w:val="en-GB"/>
        </w:rPr>
        <w:t xml:space="preserve">60 years old). Tumour </w:t>
      </w:r>
      <w:r w:rsidR="00235733" w:rsidRPr="002B2C64">
        <w:rPr>
          <w:rFonts w:ascii="Book Antiqua" w:hAnsi="Book Antiqua"/>
          <w:sz w:val="24"/>
          <w:szCs w:val="24"/>
          <w:lang w:val="en-GB"/>
        </w:rPr>
        <w:t xml:space="preserve">locations </w:t>
      </w:r>
      <w:r w:rsidR="003E5745" w:rsidRPr="002B2C64">
        <w:rPr>
          <w:rFonts w:ascii="Book Antiqua" w:hAnsi="Book Antiqua"/>
          <w:sz w:val="24"/>
          <w:szCs w:val="24"/>
          <w:lang w:val="en-GB"/>
        </w:rPr>
        <w:t xml:space="preserve">were the right-side of </w:t>
      </w:r>
      <w:r w:rsidR="00235733" w:rsidRPr="002B2C64">
        <w:rPr>
          <w:rFonts w:ascii="Book Antiqua" w:hAnsi="Book Antiqua"/>
          <w:sz w:val="24"/>
          <w:szCs w:val="24"/>
          <w:lang w:val="en-GB"/>
        </w:rPr>
        <w:t xml:space="preserve">the </w:t>
      </w:r>
      <w:r w:rsidR="003E5745" w:rsidRPr="002B2C64">
        <w:rPr>
          <w:rFonts w:ascii="Book Antiqua" w:hAnsi="Book Antiqua"/>
          <w:sz w:val="24"/>
          <w:szCs w:val="24"/>
          <w:lang w:val="en-GB"/>
        </w:rPr>
        <w:t xml:space="preserve">colon in 20 patients (12.5%), transverse colon in 14 patients (8.75%), left-side in 15 patients (9.37%), sigmoid colon in 29 patients (18.12%) and rectum in 82 patients (51.25%). There were 42 (26.25%) patients with TNM stage I, 31 (19.37%) with stage II, 69 </w:t>
      </w:r>
      <w:r w:rsidR="00212056" w:rsidRPr="002B2C64">
        <w:rPr>
          <w:rFonts w:ascii="Book Antiqua" w:hAnsi="Book Antiqua"/>
          <w:sz w:val="24"/>
          <w:szCs w:val="24"/>
          <w:lang w:val="en-GB"/>
        </w:rPr>
        <w:t xml:space="preserve">(43.12%) </w:t>
      </w:r>
      <w:r w:rsidR="003E5745" w:rsidRPr="002B2C64">
        <w:rPr>
          <w:rFonts w:ascii="Book Antiqua" w:hAnsi="Book Antiqua"/>
          <w:sz w:val="24"/>
          <w:szCs w:val="24"/>
          <w:lang w:val="en-GB"/>
        </w:rPr>
        <w:t xml:space="preserve">with stage III and 18 </w:t>
      </w:r>
      <w:r w:rsidR="003E5745" w:rsidRPr="002B2C64">
        <w:rPr>
          <w:rFonts w:ascii="Book Antiqua" w:hAnsi="Book Antiqua"/>
          <w:sz w:val="24"/>
          <w:szCs w:val="24"/>
          <w:lang w:val="en-GB"/>
        </w:rPr>
        <w:lastRenderedPageBreak/>
        <w:t xml:space="preserve">(11.25%) with stage IV. In </w:t>
      </w:r>
      <w:r w:rsidR="00212056" w:rsidRPr="002B2C64">
        <w:rPr>
          <w:rFonts w:ascii="Book Antiqua" w:hAnsi="Book Antiqua"/>
          <w:sz w:val="24"/>
          <w:szCs w:val="24"/>
          <w:lang w:val="en-GB"/>
        </w:rPr>
        <w:t>more than</w:t>
      </w:r>
      <w:r w:rsidR="003E5745" w:rsidRPr="002B2C64">
        <w:rPr>
          <w:rFonts w:ascii="Book Antiqua" w:hAnsi="Book Antiqua"/>
          <w:sz w:val="24"/>
          <w:szCs w:val="24"/>
          <w:lang w:val="en-GB"/>
        </w:rPr>
        <w:t xml:space="preserve"> </w:t>
      </w:r>
      <w:r w:rsidR="00235733" w:rsidRPr="002B2C64">
        <w:rPr>
          <w:rFonts w:ascii="Book Antiqua" w:hAnsi="Book Antiqua"/>
          <w:sz w:val="24"/>
          <w:szCs w:val="24"/>
          <w:lang w:val="en-GB"/>
        </w:rPr>
        <w:t>92%</w:t>
      </w:r>
      <w:r w:rsidR="003E5745" w:rsidRPr="002B2C64">
        <w:rPr>
          <w:rFonts w:ascii="Book Antiqua" w:hAnsi="Book Antiqua"/>
          <w:sz w:val="24"/>
          <w:szCs w:val="24"/>
          <w:lang w:val="en-GB"/>
        </w:rPr>
        <w:t xml:space="preserve"> of patients</w:t>
      </w:r>
      <w:r w:rsidR="00212056" w:rsidRPr="002B2C64">
        <w:rPr>
          <w:rFonts w:ascii="Book Antiqua" w:hAnsi="Book Antiqua"/>
          <w:sz w:val="24"/>
          <w:szCs w:val="24"/>
          <w:lang w:val="en-GB"/>
        </w:rPr>
        <w:t xml:space="preserve"> the</w:t>
      </w:r>
      <w:r w:rsidR="003E5745" w:rsidRPr="002B2C64">
        <w:rPr>
          <w:rFonts w:ascii="Book Antiqua" w:hAnsi="Book Antiqua"/>
          <w:sz w:val="24"/>
          <w:szCs w:val="24"/>
          <w:lang w:val="en-GB"/>
        </w:rPr>
        <w:t xml:space="preserve"> grade of malignanc</w:t>
      </w:r>
      <w:r w:rsidR="00212056" w:rsidRPr="002B2C64">
        <w:rPr>
          <w:rFonts w:ascii="Book Antiqua" w:hAnsi="Book Antiqua"/>
          <w:sz w:val="24"/>
          <w:szCs w:val="24"/>
          <w:lang w:val="en-GB"/>
        </w:rPr>
        <w:t>y</w:t>
      </w:r>
      <w:r w:rsidR="003E5745" w:rsidRPr="002B2C64">
        <w:rPr>
          <w:rFonts w:ascii="Book Antiqua" w:hAnsi="Book Antiqua"/>
          <w:sz w:val="24"/>
          <w:szCs w:val="24"/>
          <w:lang w:val="en-GB"/>
        </w:rPr>
        <w:t xml:space="preserve"> was determined as 2. Tumour size </w:t>
      </w:r>
      <w:r w:rsidR="00212056" w:rsidRPr="002B2C64">
        <w:rPr>
          <w:rFonts w:ascii="Book Antiqua" w:hAnsi="Book Antiqua"/>
          <w:sz w:val="24"/>
          <w:szCs w:val="24"/>
          <w:lang w:val="en-GB"/>
        </w:rPr>
        <w:t xml:space="preserve">was </w:t>
      </w:r>
      <w:r w:rsidR="003E5745" w:rsidRPr="002B2C64">
        <w:rPr>
          <w:rFonts w:ascii="Book Antiqua" w:hAnsi="Book Antiqua"/>
          <w:sz w:val="24"/>
          <w:szCs w:val="24"/>
          <w:lang w:val="en-GB"/>
        </w:rPr>
        <w:t xml:space="preserve">between 2.5 and 5.0 cm </w:t>
      </w:r>
      <w:r w:rsidR="00212056" w:rsidRPr="002B2C64">
        <w:rPr>
          <w:rFonts w:ascii="Book Antiqua" w:hAnsi="Book Antiqua"/>
          <w:sz w:val="24"/>
          <w:szCs w:val="24"/>
          <w:lang w:val="en-GB"/>
        </w:rPr>
        <w:t>in</w:t>
      </w:r>
      <w:r w:rsidR="003E5745" w:rsidRPr="002B2C64">
        <w:rPr>
          <w:rFonts w:ascii="Book Antiqua" w:hAnsi="Book Antiqua"/>
          <w:sz w:val="24"/>
          <w:szCs w:val="24"/>
          <w:lang w:val="en-GB"/>
        </w:rPr>
        <w:t xml:space="preserve"> 106 </w:t>
      </w:r>
      <w:r w:rsidR="00212056" w:rsidRPr="002B2C64">
        <w:rPr>
          <w:rFonts w:ascii="Book Antiqua" w:hAnsi="Book Antiqua"/>
          <w:sz w:val="24"/>
          <w:szCs w:val="24"/>
          <w:lang w:val="en-GB"/>
        </w:rPr>
        <w:t xml:space="preserve">patients </w:t>
      </w:r>
      <w:r w:rsidR="003E5745" w:rsidRPr="002B2C64">
        <w:rPr>
          <w:rFonts w:ascii="Book Antiqua" w:hAnsi="Book Antiqua"/>
          <w:sz w:val="24"/>
          <w:szCs w:val="24"/>
          <w:lang w:val="en-GB"/>
        </w:rPr>
        <w:t xml:space="preserve">(66.25%). Among 160 evaluable patients, only 17 had distant metastasis. Lymph-node metastasis was found in </w:t>
      </w:r>
      <w:r w:rsidR="00212056" w:rsidRPr="002B2C64">
        <w:rPr>
          <w:rFonts w:ascii="Book Antiqua" w:hAnsi="Book Antiqua"/>
          <w:sz w:val="24"/>
          <w:szCs w:val="24"/>
          <w:lang w:val="en-GB"/>
        </w:rPr>
        <w:t xml:space="preserve">almost </w:t>
      </w:r>
      <w:r w:rsidR="003E5745" w:rsidRPr="002B2C64">
        <w:rPr>
          <w:rFonts w:ascii="Book Antiqua" w:hAnsi="Book Antiqua"/>
          <w:sz w:val="24"/>
          <w:szCs w:val="24"/>
          <w:lang w:val="en-GB"/>
        </w:rPr>
        <w:t xml:space="preserve">half of patients </w:t>
      </w:r>
      <w:r w:rsidR="00212056" w:rsidRPr="002B2C64">
        <w:rPr>
          <w:rFonts w:ascii="Book Antiqua" w:hAnsi="Book Antiqua"/>
          <w:sz w:val="24"/>
          <w:szCs w:val="24"/>
          <w:lang w:val="en-GB"/>
        </w:rPr>
        <w:t>in</w:t>
      </w:r>
      <w:r w:rsidR="003E5745" w:rsidRPr="002B2C64">
        <w:rPr>
          <w:rFonts w:ascii="Book Antiqua" w:hAnsi="Book Antiqua"/>
          <w:sz w:val="24"/>
          <w:szCs w:val="24"/>
          <w:lang w:val="en-GB"/>
        </w:rPr>
        <w:t xml:space="preserve"> the study group (49.37%). </w:t>
      </w:r>
      <w:r w:rsidR="00035553" w:rsidRPr="002B2C64">
        <w:rPr>
          <w:rFonts w:ascii="Book Antiqua" w:hAnsi="Book Antiqua"/>
          <w:sz w:val="24"/>
          <w:szCs w:val="24"/>
          <w:lang w:val="en-GB"/>
        </w:rPr>
        <w:t xml:space="preserve">The presence </w:t>
      </w:r>
      <w:r w:rsidR="003E5745" w:rsidRPr="002B2C64">
        <w:rPr>
          <w:rFonts w:ascii="Book Antiqua" w:hAnsi="Book Antiqua"/>
          <w:sz w:val="24"/>
          <w:szCs w:val="24"/>
          <w:lang w:val="en-GB"/>
        </w:rPr>
        <w:t xml:space="preserve">of venous invasion and lymphatic invasion </w:t>
      </w:r>
      <w:r w:rsidR="00035553" w:rsidRPr="002B2C64">
        <w:rPr>
          <w:rFonts w:ascii="Book Antiqua" w:hAnsi="Book Antiqua"/>
          <w:sz w:val="24"/>
          <w:szCs w:val="24"/>
          <w:lang w:val="en-GB"/>
        </w:rPr>
        <w:t>was</w:t>
      </w:r>
      <w:r w:rsidR="003E5745" w:rsidRPr="002B2C64">
        <w:rPr>
          <w:rFonts w:ascii="Book Antiqua" w:hAnsi="Book Antiqua"/>
          <w:sz w:val="24"/>
          <w:szCs w:val="24"/>
          <w:lang w:val="en-GB"/>
        </w:rPr>
        <w:t xml:space="preserve"> determined in 46 and 38 patients</w:t>
      </w:r>
      <w:r w:rsidR="00035553" w:rsidRPr="002B2C64">
        <w:rPr>
          <w:rFonts w:ascii="Book Antiqua" w:hAnsi="Book Antiqua"/>
          <w:sz w:val="24"/>
          <w:szCs w:val="24"/>
          <w:lang w:val="en-GB"/>
        </w:rPr>
        <w:t>,</w:t>
      </w:r>
      <w:r w:rsidR="003E5745" w:rsidRPr="002B2C64">
        <w:rPr>
          <w:rFonts w:ascii="Book Antiqua" w:hAnsi="Book Antiqua"/>
          <w:sz w:val="24"/>
          <w:szCs w:val="24"/>
          <w:lang w:val="en-GB"/>
        </w:rPr>
        <w:t xml:space="preserve"> respectively. </w:t>
      </w:r>
      <w:r w:rsidR="00035553" w:rsidRPr="002B2C64">
        <w:rPr>
          <w:rFonts w:ascii="Book Antiqua" w:hAnsi="Book Antiqua"/>
          <w:sz w:val="24"/>
          <w:szCs w:val="24"/>
          <w:lang w:val="en-GB"/>
        </w:rPr>
        <w:t>The c</w:t>
      </w:r>
      <w:r w:rsidR="003E5745" w:rsidRPr="002B2C64">
        <w:rPr>
          <w:rFonts w:ascii="Book Antiqua" w:hAnsi="Book Antiqua"/>
          <w:sz w:val="24"/>
          <w:szCs w:val="24"/>
          <w:lang w:val="en-GB"/>
        </w:rPr>
        <w:t>omplete characteristic</w:t>
      </w:r>
      <w:r w:rsidR="00035553" w:rsidRPr="002B2C64">
        <w:rPr>
          <w:rFonts w:ascii="Book Antiqua" w:hAnsi="Book Antiqua"/>
          <w:sz w:val="24"/>
          <w:szCs w:val="24"/>
          <w:lang w:val="en-GB"/>
        </w:rPr>
        <w:t>s</w:t>
      </w:r>
      <w:r w:rsidR="003E5745" w:rsidRPr="002B2C64">
        <w:rPr>
          <w:rFonts w:ascii="Book Antiqua" w:hAnsi="Book Antiqua"/>
          <w:sz w:val="24"/>
          <w:szCs w:val="24"/>
          <w:lang w:val="en-GB"/>
        </w:rPr>
        <w:t xml:space="preserve"> of the study group are shown in Table 1.</w:t>
      </w:r>
    </w:p>
    <w:p w:rsidR="007857A2" w:rsidRPr="002B2C64" w:rsidRDefault="007857A2" w:rsidP="0083105B">
      <w:pPr>
        <w:snapToGrid w:val="0"/>
        <w:spacing w:after="0" w:line="360" w:lineRule="auto"/>
        <w:jc w:val="both"/>
        <w:rPr>
          <w:rFonts w:ascii="Book Antiqua" w:hAnsi="Book Antiqua"/>
          <w:sz w:val="24"/>
          <w:szCs w:val="24"/>
          <w:lang w:val="en-GB"/>
        </w:rPr>
      </w:pPr>
    </w:p>
    <w:p w:rsidR="004F5A6F" w:rsidRPr="002B2C64" w:rsidRDefault="00162130" w:rsidP="0083105B">
      <w:pPr>
        <w:snapToGrid w:val="0"/>
        <w:spacing w:after="0" w:line="360" w:lineRule="auto"/>
        <w:jc w:val="both"/>
        <w:rPr>
          <w:rFonts w:ascii="Book Antiqua" w:hAnsi="Book Antiqua"/>
          <w:b/>
          <w:i/>
          <w:sz w:val="24"/>
          <w:szCs w:val="24"/>
          <w:lang w:val="en-GB"/>
        </w:rPr>
      </w:pPr>
      <w:r w:rsidRPr="002B2C64">
        <w:rPr>
          <w:rFonts w:ascii="Book Antiqua" w:hAnsi="Book Antiqua"/>
          <w:b/>
          <w:i/>
          <w:sz w:val="24"/>
          <w:szCs w:val="24"/>
          <w:lang w:val="en-GB"/>
        </w:rPr>
        <w:t>Correlation between monocyt</w:t>
      </w:r>
      <w:r w:rsidR="00E84DF2" w:rsidRPr="002B2C64">
        <w:rPr>
          <w:rFonts w:ascii="Book Antiqua" w:hAnsi="Book Antiqua"/>
          <w:b/>
          <w:i/>
          <w:sz w:val="24"/>
          <w:szCs w:val="24"/>
          <w:lang w:val="en-GB"/>
        </w:rPr>
        <w:t xml:space="preserve">e count, </w:t>
      </w:r>
      <w:r w:rsidR="00991755" w:rsidRPr="002B2C64">
        <w:rPr>
          <w:rFonts w:ascii="Book Antiqua" w:hAnsi="Book Antiqua"/>
          <w:b/>
          <w:i/>
          <w:sz w:val="24"/>
          <w:szCs w:val="24"/>
          <w:lang w:val="en-GB"/>
        </w:rPr>
        <w:t>monocyte to lymphocyte ratio</w:t>
      </w:r>
      <w:r w:rsidR="00E84DF2" w:rsidRPr="002B2C64">
        <w:rPr>
          <w:rFonts w:ascii="Book Antiqua" w:hAnsi="Book Antiqua"/>
          <w:b/>
          <w:i/>
          <w:sz w:val="24"/>
          <w:szCs w:val="24"/>
          <w:lang w:val="en-GB"/>
        </w:rPr>
        <w:t>,</w:t>
      </w:r>
      <w:r w:rsidR="00991755" w:rsidRPr="002B2C64">
        <w:rPr>
          <w:rFonts w:ascii="Book Antiqua" w:hAnsi="Book Antiqua"/>
          <w:b/>
          <w:i/>
          <w:sz w:val="24"/>
          <w:szCs w:val="24"/>
          <w:lang w:val="en-GB"/>
        </w:rPr>
        <w:t xml:space="preserve"> neutrophil-to-lymphocyte ratio and platelet-to-lymphocyte ratio</w:t>
      </w:r>
      <w:r w:rsidR="00E84DF2" w:rsidRPr="002B2C64">
        <w:rPr>
          <w:rFonts w:ascii="Book Antiqua" w:hAnsi="Book Antiqua"/>
          <w:b/>
          <w:i/>
          <w:sz w:val="24"/>
          <w:szCs w:val="24"/>
          <w:lang w:val="en-GB"/>
        </w:rPr>
        <w:t xml:space="preserve"> status,</w:t>
      </w:r>
      <w:r w:rsidRPr="002B2C64">
        <w:rPr>
          <w:rFonts w:ascii="Book Antiqua" w:hAnsi="Book Antiqua"/>
          <w:b/>
          <w:i/>
          <w:sz w:val="24"/>
          <w:szCs w:val="24"/>
          <w:lang w:val="en-GB"/>
        </w:rPr>
        <w:t xml:space="preserve"> </w:t>
      </w:r>
      <w:r w:rsidR="00991755" w:rsidRPr="002B2C64">
        <w:rPr>
          <w:rFonts w:ascii="Book Antiqua" w:hAnsi="Book Antiqua"/>
          <w:b/>
          <w:i/>
          <w:sz w:val="24"/>
          <w:szCs w:val="24"/>
          <w:lang w:val="en-GB"/>
        </w:rPr>
        <w:t>platelet and neutrophil-to-lymphocyte ratio</w:t>
      </w:r>
      <w:r w:rsidRPr="002B2C64">
        <w:rPr>
          <w:rFonts w:ascii="Book Antiqua" w:hAnsi="Book Antiqua"/>
          <w:b/>
          <w:i/>
          <w:sz w:val="24"/>
          <w:szCs w:val="24"/>
          <w:lang w:val="en-GB"/>
        </w:rPr>
        <w:t xml:space="preserve"> status and clinicopathological variables </w:t>
      </w:r>
      <w:r w:rsidR="00212056" w:rsidRPr="002B2C64">
        <w:rPr>
          <w:rFonts w:ascii="Book Antiqua" w:hAnsi="Book Antiqua"/>
          <w:b/>
          <w:i/>
          <w:sz w:val="24"/>
          <w:szCs w:val="24"/>
          <w:lang w:val="en-GB"/>
        </w:rPr>
        <w:t>in</w:t>
      </w:r>
      <w:r w:rsidRPr="002B2C64">
        <w:rPr>
          <w:rFonts w:ascii="Book Antiqua" w:hAnsi="Book Antiqua"/>
          <w:b/>
          <w:i/>
          <w:sz w:val="24"/>
          <w:szCs w:val="24"/>
          <w:lang w:val="en-GB"/>
        </w:rPr>
        <w:t xml:space="preserve"> </w:t>
      </w:r>
      <w:r w:rsidR="004C75E1" w:rsidRPr="002B2C64">
        <w:rPr>
          <w:rFonts w:ascii="Book Antiqua" w:hAnsi="Book Antiqua"/>
          <w:b/>
          <w:i/>
          <w:sz w:val="24"/>
          <w:szCs w:val="24"/>
          <w:lang w:val="en-GB"/>
        </w:rPr>
        <w:t>colorectal cancer</w:t>
      </w:r>
      <w:r w:rsidRPr="002B2C64">
        <w:rPr>
          <w:rFonts w:ascii="Book Antiqua" w:hAnsi="Book Antiqua"/>
          <w:b/>
          <w:i/>
          <w:sz w:val="24"/>
          <w:szCs w:val="24"/>
          <w:lang w:val="en-GB"/>
        </w:rPr>
        <w:t xml:space="preserve"> patients</w:t>
      </w:r>
    </w:p>
    <w:p w:rsidR="00876627" w:rsidRPr="002B2C64" w:rsidRDefault="00035553" w:rsidP="0083105B">
      <w:pPr>
        <w:snapToGrid w:val="0"/>
        <w:spacing w:after="0" w:line="360" w:lineRule="auto"/>
        <w:jc w:val="both"/>
        <w:rPr>
          <w:rFonts w:ascii="Book Antiqua" w:hAnsi="Book Antiqua"/>
          <w:b/>
          <w:i/>
          <w:sz w:val="24"/>
          <w:szCs w:val="24"/>
          <w:lang w:val="en-GB"/>
        </w:rPr>
      </w:pPr>
      <w:r w:rsidRPr="002B2C64">
        <w:rPr>
          <w:rFonts w:ascii="Book Antiqua" w:hAnsi="Book Antiqua"/>
          <w:sz w:val="24"/>
          <w:szCs w:val="24"/>
          <w:lang w:val="en-GB"/>
        </w:rPr>
        <w:t>The c</w:t>
      </w:r>
      <w:r w:rsidR="003E1239" w:rsidRPr="002B2C64">
        <w:rPr>
          <w:rFonts w:ascii="Book Antiqua" w:hAnsi="Book Antiqua"/>
          <w:sz w:val="24"/>
          <w:szCs w:val="24"/>
          <w:lang w:val="en-GB"/>
        </w:rPr>
        <w:t>orrelation</w:t>
      </w:r>
      <w:r w:rsidRPr="002B2C64">
        <w:rPr>
          <w:rFonts w:ascii="Book Antiqua" w:hAnsi="Book Antiqua"/>
          <w:sz w:val="24"/>
          <w:szCs w:val="24"/>
          <w:lang w:val="en-GB"/>
        </w:rPr>
        <w:t>s</w:t>
      </w:r>
      <w:r w:rsidR="003E1239" w:rsidRPr="002B2C64">
        <w:rPr>
          <w:rFonts w:ascii="Book Antiqua" w:hAnsi="Book Antiqua"/>
          <w:sz w:val="24"/>
          <w:szCs w:val="24"/>
          <w:lang w:val="en-GB"/>
        </w:rPr>
        <w:t xml:space="preserve"> between monocyte count and MLR and an</w:t>
      </w:r>
      <w:r w:rsidR="009F4ED7" w:rsidRPr="002B2C64">
        <w:rPr>
          <w:rFonts w:ascii="Book Antiqua" w:hAnsi="Book Antiqua"/>
          <w:sz w:val="24"/>
          <w:szCs w:val="24"/>
          <w:lang w:val="en-GB"/>
        </w:rPr>
        <w:t>a</w:t>
      </w:r>
      <w:r w:rsidR="003E1239" w:rsidRPr="002B2C64">
        <w:rPr>
          <w:rFonts w:ascii="Book Antiqua" w:hAnsi="Book Antiqua"/>
          <w:sz w:val="24"/>
          <w:szCs w:val="24"/>
          <w:lang w:val="en-GB"/>
        </w:rPr>
        <w:t>t</w:t>
      </w:r>
      <w:r w:rsidR="009F4ED7" w:rsidRPr="002B2C64">
        <w:rPr>
          <w:rFonts w:ascii="Book Antiqua" w:hAnsi="Book Antiqua"/>
          <w:sz w:val="24"/>
          <w:szCs w:val="24"/>
          <w:lang w:val="en-GB"/>
        </w:rPr>
        <w:t>o</w:t>
      </w:r>
      <w:r w:rsidR="003E1239" w:rsidRPr="002B2C64">
        <w:rPr>
          <w:rFonts w:ascii="Book Antiqua" w:hAnsi="Book Antiqua"/>
          <w:sz w:val="24"/>
          <w:szCs w:val="24"/>
          <w:lang w:val="en-GB"/>
        </w:rPr>
        <w:t>moclinical variables were published previous</w:t>
      </w:r>
      <w:r w:rsidRPr="002B2C64">
        <w:rPr>
          <w:rFonts w:ascii="Book Antiqua" w:hAnsi="Book Antiqua"/>
          <w:sz w:val="24"/>
          <w:szCs w:val="24"/>
          <w:lang w:val="en-GB"/>
        </w:rPr>
        <w:t>ly</w:t>
      </w:r>
      <w:r w:rsidR="003E1239" w:rsidRPr="002B2C64">
        <w:rPr>
          <w:rFonts w:ascii="Book Antiqua" w:hAnsi="Book Antiqua"/>
          <w:sz w:val="24"/>
          <w:szCs w:val="24"/>
          <w:lang w:val="en-GB"/>
        </w:rPr>
        <w:t xml:space="preserve">. </w:t>
      </w:r>
      <w:r w:rsidRPr="002B2C64">
        <w:rPr>
          <w:rFonts w:ascii="Book Antiqua" w:hAnsi="Book Antiqua"/>
          <w:sz w:val="24"/>
          <w:szCs w:val="24"/>
          <w:lang w:val="en-GB"/>
        </w:rPr>
        <w:t xml:space="preserve">The </w:t>
      </w:r>
      <w:r w:rsidR="00AD4116" w:rsidRPr="002B2C64">
        <w:rPr>
          <w:rFonts w:ascii="Book Antiqua" w:hAnsi="Book Antiqua"/>
          <w:sz w:val="24"/>
          <w:szCs w:val="24"/>
          <w:lang w:val="en-GB"/>
        </w:rPr>
        <w:t>PLT-NLR status calculated based on the preoperative blood samples was correlated with tumo</w:t>
      </w:r>
      <w:r w:rsidRPr="002B2C64">
        <w:rPr>
          <w:rFonts w:ascii="Book Antiqua" w:hAnsi="Book Antiqua"/>
          <w:sz w:val="24"/>
          <w:szCs w:val="24"/>
          <w:lang w:val="en-GB"/>
        </w:rPr>
        <w:t>u</w:t>
      </w:r>
      <w:r w:rsidR="00AD4116" w:rsidRPr="002B2C64">
        <w:rPr>
          <w:rFonts w:ascii="Book Antiqua" w:hAnsi="Book Antiqua"/>
          <w:sz w:val="24"/>
          <w:szCs w:val="24"/>
          <w:lang w:val="en-GB"/>
        </w:rPr>
        <w:t>r size and the presence of perineural invasion (</w:t>
      </w:r>
      <w:r w:rsidR="00106D54" w:rsidRPr="002B2C64">
        <w:rPr>
          <w:rFonts w:ascii="Book Antiqua" w:hAnsi="Book Antiqua"/>
          <w:i/>
          <w:sz w:val="24"/>
          <w:szCs w:val="24"/>
          <w:lang w:val="en-GB"/>
        </w:rPr>
        <w:t>P</w:t>
      </w:r>
      <w:r w:rsidR="00106D54" w:rsidRPr="002B2C64">
        <w:rPr>
          <w:rFonts w:ascii="Book Antiqua" w:hAnsi="Book Antiqua"/>
          <w:sz w:val="24"/>
          <w:szCs w:val="24"/>
          <w:lang w:val="en-GB"/>
        </w:rPr>
        <w:t xml:space="preserve"> </w:t>
      </w:r>
      <w:r w:rsidR="005958F9" w:rsidRPr="002B2C64">
        <w:rPr>
          <w:rFonts w:ascii="Book Antiqua" w:hAnsi="Book Antiqua"/>
          <w:i/>
          <w:sz w:val="24"/>
          <w:szCs w:val="24"/>
          <w:lang w:val="en-GB"/>
        </w:rPr>
        <w:t>=</w:t>
      </w:r>
      <w:r w:rsidR="005958F9" w:rsidRPr="002B2C64">
        <w:rPr>
          <w:rFonts w:ascii="Book Antiqua" w:hAnsi="Book Antiqua"/>
          <w:sz w:val="24"/>
          <w:szCs w:val="24"/>
          <w:lang w:val="en-GB"/>
        </w:rPr>
        <w:t xml:space="preserve"> </w:t>
      </w:r>
      <w:r w:rsidR="00AD4116" w:rsidRPr="002B2C64">
        <w:rPr>
          <w:rFonts w:ascii="Book Antiqua" w:hAnsi="Book Antiqua"/>
          <w:sz w:val="24"/>
          <w:szCs w:val="24"/>
          <w:lang w:val="en-GB"/>
        </w:rPr>
        <w:t xml:space="preserve">0.015; </w:t>
      </w:r>
      <w:r w:rsidR="00106D54" w:rsidRPr="002B2C64">
        <w:rPr>
          <w:rFonts w:ascii="Book Antiqua" w:hAnsi="Book Antiqua"/>
          <w:i/>
          <w:sz w:val="24"/>
          <w:szCs w:val="24"/>
          <w:lang w:val="en-GB"/>
        </w:rPr>
        <w:t>P</w:t>
      </w:r>
      <w:r w:rsidR="00106D54" w:rsidRPr="002B2C64">
        <w:rPr>
          <w:rFonts w:ascii="Book Antiqua" w:hAnsi="Book Antiqua"/>
          <w:sz w:val="24"/>
          <w:szCs w:val="24"/>
          <w:lang w:val="en-GB"/>
        </w:rPr>
        <w:t xml:space="preserve"> </w:t>
      </w:r>
      <w:r w:rsidR="005958F9" w:rsidRPr="002B2C64">
        <w:rPr>
          <w:rFonts w:ascii="Book Antiqua" w:hAnsi="Book Antiqua"/>
          <w:i/>
          <w:sz w:val="24"/>
          <w:szCs w:val="24"/>
          <w:lang w:val="en-GB"/>
        </w:rPr>
        <w:t>=</w:t>
      </w:r>
      <w:r w:rsidR="005958F9" w:rsidRPr="002B2C64">
        <w:rPr>
          <w:rFonts w:ascii="Book Antiqua" w:hAnsi="Book Antiqua"/>
          <w:sz w:val="24"/>
          <w:szCs w:val="24"/>
          <w:lang w:val="en-GB"/>
        </w:rPr>
        <w:t xml:space="preserve"> </w:t>
      </w:r>
      <w:r w:rsidR="00AD4116" w:rsidRPr="002B2C64">
        <w:rPr>
          <w:rFonts w:ascii="Book Antiqua" w:hAnsi="Book Antiqua"/>
          <w:sz w:val="24"/>
          <w:szCs w:val="24"/>
          <w:lang w:val="en-GB"/>
        </w:rPr>
        <w:t xml:space="preserve">0.037). Moreover, </w:t>
      </w:r>
      <w:r w:rsidRPr="002B2C64">
        <w:rPr>
          <w:rFonts w:ascii="Book Antiqua" w:hAnsi="Book Antiqua"/>
          <w:sz w:val="24"/>
          <w:szCs w:val="24"/>
          <w:lang w:val="en-GB"/>
        </w:rPr>
        <w:t xml:space="preserve">high </w:t>
      </w:r>
      <w:r w:rsidR="005E660E" w:rsidRPr="002B2C64">
        <w:rPr>
          <w:rFonts w:ascii="Book Antiqua" w:hAnsi="Book Antiqua"/>
          <w:sz w:val="24"/>
          <w:szCs w:val="24"/>
          <w:lang w:val="en-GB"/>
        </w:rPr>
        <w:t>values of NLR-PLR and PLT</w:t>
      </w:r>
      <w:r w:rsidR="00142022" w:rsidRPr="002B2C64">
        <w:rPr>
          <w:rFonts w:ascii="Book Antiqua" w:hAnsi="Book Antiqua"/>
          <w:sz w:val="24"/>
          <w:szCs w:val="24"/>
          <w:lang w:val="en-GB"/>
        </w:rPr>
        <w:t xml:space="preserve">-NLR in the </w:t>
      </w:r>
      <w:r w:rsidR="00FA4B4E" w:rsidRPr="002B2C64">
        <w:rPr>
          <w:rFonts w:ascii="Book Antiqua" w:hAnsi="Book Antiqua"/>
          <w:sz w:val="24"/>
          <w:szCs w:val="24"/>
          <w:lang w:val="en-GB"/>
        </w:rPr>
        <w:t xml:space="preserve">blood samples obtained after surgery </w:t>
      </w:r>
      <w:r w:rsidRPr="002B2C64">
        <w:rPr>
          <w:rFonts w:ascii="Book Antiqua" w:hAnsi="Book Antiqua"/>
          <w:sz w:val="24"/>
          <w:szCs w:val="24"/>
          <w:lang w:val="en-GB"/>
        </w:rPr>
        <w:t xml:space="preserve">were </w:t>
      </w:r>
      <w:r w:rsidR="00FA4B4E" w:rsidRPr="002B2C64">
        <w:rPr>
          <w:rFonts w:ascii="Book Antiqua" w:hAnsi="Book Antiqua"/>
          <w:sz w:val="24"/>
          <w:szCs w:val="24"/>
          <w:lang w:val="en-GB"/>
        </w:rPr>
        <w:t xml:space="preserve">positively associated with histological type of the cancer and the percentage of mucinous component (NLR-PLR: </w:t>
      </w:r>
      <w:r w:rsidR="00106D54"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5958F9" w:rsidRPr="002B2C64">
        <w:rPr>
          <w:rFonts w:ascii="Book Antiqua" w:hAnsi="Book Antiqua"/>
          <w:sz w:val="24"/>
          <w:szCs w:val="24"/>
          <w:lang w:val="en-GB"/>
        </w:rPr>
        <w:t xml:space="preserve"> </w:t>
      </w:r>
      <w:r w:rsidR="00FA4B4E" w:rsidRPr="002B2C64">
        <w:rPr>
          <w:rFonts w:ascii="Book Antiqua" w:hAnsi="Book Antiqua"/>
          <w:sz w:val="24"/>
          <w:szCs w:val="24"/>
          <w:lang w:val="en-GB"/>
        </w:rPr>
        <w:t xml:space="preserve">0.002; </w:t>
      </w:r>
      <w:r w:rsidR="00106D54"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FA4B4E" w:rsidRPr="002B2C64">
        <w:rPr>
          <w:rFonts w:ascii="Book Antiqua" w:hAnsi="Book Antiqua"/>
          <w:i/>
          <w:sz w:val="24"/>
          <w:szCs w:val="24"/>
          <w:lang w:val="en-GB"/>
        </w:rPr>
        <w:t>=</w:t>
      </w:r>
      <w:r w:rsidR="005958F9" w:rsidRPr="002B2C64">
        <w:rPr>
          <w:rFonts w:ascii="Book Antiqua" w:hAnsi="Book Antiqua"/>
          <w:i/>
          <w:sz w:val="24"/>
          <w:szCs w:val="24"/>
          <w:lang w:val="en-GB"/>
        </w:rPr>
        <w:t xml:space="preserve"> </w:t>
      </w:r>
      <w:r w:rsidR="005E660E" w:rsidRPr="002B2C64">
        <w:rPr>
          <w:rFonts w:ascii="Book Antiqua" w:hAnsi="Book Antiqua"/>
          <w:sz w:val="24"/>
          <w:szCs w:val="24"/>
          <w:lang w:val="en-GB"/>
        </w:rPr>
        <w:t>0.009; PLT</w:t>
      </w:r>
      <w:r w:rsidR="00FA4B4E" w:rsidRPr="002B2C64">
        <w:rPr>
          <w:rFonts w:ascii="Book Antiqua" w:hAnsi="Book Antiqua"/>
          <w:sz w:val="24"/>
          <w:szCs w:val="24"/>
          <w:lang w:val="en-GB"/>
        </w:rPr>
        <w:t xml:space="preserve">-NLR status: </w:t>
      </w:r>
      <w:r w:rsidR="00106D54"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FA4B4E" w:rsidRPr="002B2C64">
        <w:rPr>
          <w:rFonts w:ascii="Book Antiqua" w:hAnsi="Book Antiqua"/>
          <w:i/>
          <w:sz w:val="24"/>
          <w:szCs w:val="24"/>
          <w:lang w:val="en-GB"/>
        </w:rPr>
        <w:t>=</w:t>
      </w:r>
      <w:r w:rsidR="005958F9" w:rsidRPr="002B2C64">
        <w:rPr>
          <w:rFonts w:ascii="Book Antiqua" w:hAnsi="Book Antiqua"/>
          <w:i/>
          <w:sz w:val="24"/>
          <w:szCs w:val="24"/>
          <w:lang w:val="en-GB"/>
        </w:rPr>
        <w:t xml:space="preserve"> </w:t>
      </w:r>
      <w:r w:rsidR="00FA4B4E" w:rsidRPr="002B2C64">
        <w:rPr>
          <w:rFonts w:ascii="Book Antiqua" w:hAnsi="Book Antiqua"/>
          <w:sz w:val="24"/>
          <w:szCs w:val="24"/>
          <w:lang w:val="en-GB"/>
        </w:rPr>
        <w:t xml:space="preserve">0.002; </w:t>
      </w:r>
      <w:r w:rsidR="00106D54"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FA4B4E" w:rsidRPr="002B2C64">
        <w:rPr>
          <w:rFonts w:ascii="Book Antiqua" w:hAnsi="Book Antiqua"/>
          <w:i/>
          <w:sz w:val="24"/>
          <w:szCs w:val="24"/>
          <w:lang w:val="en-GB"/>
        </w:rPr>
        <w:t>=</w:t>
      </w:r>
      <w:r w:rsidR="005958F9" w:rsidRPr="002B2C64">
        <w:rPr>
          <w:rFonts w:ascii="Book Antiqua" w:hAnsi="Book Antiqua"/>
          <w:i/>
          <w:sz w:val="24"/>
          <w:szCs w:val="24"/>
          <w:lang w:val="en-GB"/>
        </w:rPr>
        <w:t xml:space="preserve"> </w:t>
      </w:r>
      <w:r w:rsidR="00FA4B4E" w:rsidRPr="002B2C64">
        <w:rPr>
          <w:rFonts w:ascii="Book Antiqua" w:hAnsi="Book Antiqua"/>
          <w:sz w:val="24"/>
          <w:szCs w:val="24"/>
          <w:lang w:val="en-GB"/>
        </w:rPr>
        <w:t>0.007).</w:t>
      </w:r>
      <w:r w:rsidR="00212056" w:rsidRPr="002B2C64">
        <w:rPr>
          <w:rFonts w:ascii="Book Antiqua" w:hAnsi="Book Antiqua"/>
          <w:sz w:val="24"/>
          <w:szCs w:val="24"/>
          <w:lang w:val="en-GB"/>
        </w:rPr>
        <w:t xml:space="preserve"> </w:t>
      </w:r>
      <w:r w:rsidR="005D0F0A" w:rsidRPr="002B2C64">
        <w:rPr>
          <w:rFonts w:ascii="Book Antiqua" w:hAnsi="Book Antiqua"/>
          <w:sz w:val="24"/>
          <w:szCs w:val="24"/>
          <w:lang w:val="en-GB"/>
        </w:rPr>
        <w:t xml:space="preserve">We found </w:t>
      </w:r>
      <w:r w:rsidRPr="002B2C64">
        <w:rPr>
          <w:rFonts w:ascii="Book Antiqua" w:hAnsi="Book Antiqua"/>
          <w:sz w:val="24"/>
          <w:szCs w:val="24"/>
          <w:lang w:val="en-GB"/>
        </w:rPr>
        <w:t xml:space="preserve">no </w:t>
      </w:r>
      <w:r w:rsidR="005D0F0A" w:rsidRPr="002B2C64">
        <w:rPr>
          <w:rFonts w:ascii="Book Antiqua" w:hAnsi="Book Antiqua"/>
          <w:sz w:val="24"/>
          <w:szCs w:val="24"/>
          <w:lang w:val="en-GB"/>
        </w:rPr>
        <w:t>cor</w:t>
      </w:r>
      <w:r w:rsidR="005E660E" w:rsidRPr="002B2C64">
        <w:rPr>
          <w:rFonts w:ascii="Book Antiqua" w:hAnsi="Book Antiqua"/>
          <w:sz w:val="24"/>
          <w:szCs w:val="24"/>
          <w:lang w:val="en-GB"/>
        </w:rPr>
        <w:t>relation between NLR-PLR and PLT</w:t>
      </w:r>
      <w:r w:rsidR="005D0F0A" w:rsidRPr="002B2C64">
        <w:rPr>
          <w:rFonts w:ascii="Book Antiqua" w:hAnsi="Book Antiqua"/>
          <w:sz w:val="24"/>
          <w:szCs w:val="24"/>
          <w:lang w:val="en-GB"/>
        </w:rPr>
        <w:t xml:space="preserve">-NLR and any other variables such as age, </w:t>
      </w:r>
      <w:r w:rsidRPr="002B2C64">
        <w:rPr>
          <w:rFonts w:ascii="Book Antiqua" w:hAnsi="Book Antiqua"/>
          <w:sz w:val="24"/>
          <w:szCs w:val="24"/>
          <w:lang w:val="en-GB"/>
        </w:rPr>
        <w:t>sex</w:t>
      </w:r>
      <w:r w:rsidR="005D0F0A" w:rsidRPr="002B2C64">
        <w:rPr>
          <w:rFonts w:ascii="Book Antiqua" w:hAnsi="Book Antiqua"/>
          <w:sz w:val="24"/>
          <w:szCs w:val="24"/>
          <w:lang w:val="en-GB"/>
        </w:rPr>
        <w:t>, TNM stage, lymph node status, the presence of distant metastasis and cancer cell</w:t>
      </w:r>
      <w:r w:rsidR="00212056" w:rsidRPr="002B2C64">
        <w:rPr>
          <w:rFonts w:ascii="Book Antiqua" w:hAnsi="Book Antiqua"/>
          <w:sz w:val="24"/>
          <w:szCs w:val="24"/>
          <w:lang w:val="en-GB"/>
        </w:rPr>
        <w:t xml:space="preserve"> deposits</w:t>
      </w:r>
      <w:r w:rsidR="005D0F0A" w:rsidRPr="002B2C64">
        <w:rPr>
          <w:rFonts w:ascii="Book Antiqua" w:hAnsi="Book Antiqua"/>
          <w:sz w:val="24"/>
          <w:szCs w:val="24"/>
          <w:lang w:val="en-GB"/>
        </w:rPr>
        <w:t>.</w:t>
      </w:r>
      <w:r w:rsidR="003D4414" w:rsidRPr="002B2C64">
        <w:rPr>
          <w:rFonts w:ascii="Book Antiqua" w:hAnsi="Book Antiqua"/>
          <w:sz w:val="24"/>
          <w:szCs w:val="24"/>
          <w:lang w:val="en-GB"/>
        </w:rPr>
        <w:t xml:space="preserve"> </w:t>
      </w:r>
      <w:r w:rsidR="00212056" w:rsidRPr="002B2C64">
        <w:rPr>
          <w:rFonts w:ascii="Book Antiqua" w:hAnsi="Book Antiqua"/>
          <w:sz w:val="24"/>
          <w:szCs w:val="24"/>
          <w:lang w:val="en-GB"/>
        </w:rPr>
        <w:t>The</w:t>
      </w:r>
      <w:r w:rsidR="00350536" w:rsidRPr="002B2C64">
        <w:rPr>
          <w:rFonts w:ascii="Book Antiqua" w:hAnsi="Book Antiqua"/>
          <w:sz w:val="24"/>
          <w:szCs w:val="24"/>
          <w:lang w:val="en-GB"/>
        </w:rPr>
        <w:t>se</w:t>
      </w:r>
      <w:r w:rsidR="00212056" w:rsidRPr="002B2C64">
        <w:rPr>
          <w:rFonts w:ascii="Book Antiqua" w:hAnsi="Book Antiqua"/>
          <w:sz w:val="24"/>
          <w:szCs w:val="24"/>
          <w:lang w:val="en-GB"/>
        </w:rPr>
        <w:t xml:space="preserve"> r</w:t>
      </w:r>
      <w:r w:rsidR="003D4414" w:rsidRPr="002B2C64">
        <w:rPr>
          <w:rFonts w:ascii="Book Antiqua" w:hAnsi="Book Antiqua"/>
          <w:sz w:val="24"/>
          <w:szCs w:val="24"/>
          <w:lang w:val="en-GB"/>
        </w:rPr>
        <w:t xml:space="preserve">esults </w:t>
      </w:r>
      <w:r w:rsidR="00E94460" w:rsidRPr="002B2C64">
        <w:rPr>
          <w:rFonts w:ascii="Book Antiqua" w:hAnsi="Book Antiqua"/>
          <w:sz w:val="24"/>
          <w:szCs w:val="24"/>
          <w:lang w:val="en-GB"/>
        </w:rPr>
        <w:t xml:space="preserve">are </w:t>
      </w:r>
      <w:r w:rsidR="003D4414" w:rsidRPr="002B2C64">
        <w:rPr>
          <w:rFonts w:ascii="Book Antiqua" w:hAnsi="Book Antiqua"/>
          <w:sz w:val="24"/>
          <w:szCs w:val="24"/>
          <w:lang w:val="en-GB"/>
        </w:rPr>
        <w:t>shown in Table 2.</w:t>
      </w:r>
    </w:p>
    <w:p w:rsidR="00876627" w:rsidRPr="002B2C64" w:rsidRDefault="00876627" w:rsidP="0083105B">
      <w:pPr>
        <w:snapToGrid w:val="0"/>
        <w:spacing w:after="0" w:line="360" w:lineRule="auto"/>
        <w:jc w:val="both"/>
        <w:rPr>
          <w:rFonts w:ascii="Book Antiqua" w:hAnsi="Book Antiqua"/>
          <w:b/>
          <w:i/>
          <w:sz w:val="24"/>
          <w:szCs w:val="24"/>
          <w:lang w:val="en-GB"/>
        </w:rPr>
      </w:pPr>
    </w:p>
    <w:p w:rsidR="00AC049B" w:rsidRPr="002B2C64" w:rsidRDefault="00AC049B" w:rsidP="0083105B">
      <w:pPr>
        <w:snapToGrid w:val="0"/>
        <w:spacing w:after="0" w:line="360" w:lineRule="auto"/>
        <w:jc w:val="both"/>
        <w:rPr>
          <w:rFonts w:ascii="Book Antiqua" w:hAnsi="Book Antiqua"/>
          <w:b/>
          <w:i/>
          <w:sz w:val="24"/>
          <w:szCs w:val="24"/>
          <w:lang w:val="en-GB"/>
        </w:rPr>
      </w:pPr>
      <w:r w:rsidRPr="002B2C64">
        <w:rPr>
          <w:rFonts w:ascii="Book Antiqua" w:hAnsi="Book Antiqua"/>
          <w:b/>
          <w:i/>
          <w:sz w:val="24"/>
          <w:szCs w:val="24"/>
          <w:lang w:val="en-GB"/>
        </w:rPr>
        <w:t>Prognostic value</w:t>
      </w:r>
      <w:r w:rsidR="009D4C3A" w:rsidRPr="002B2C64">
        <w:rPr>
          <w:rFonts w:ascii="Book Antiqua" w:hAnsi="Book Antiqua"/>
          <w:b/>
          <w:i/>
          <w:sz w:val="24"/>
          <w:szCs w:val="24"/>
          <w:lang w:val="en-GB"/>
        </w:rPr>
        <w:t>s</w:t>
      </w:r>
      <w:r w:rsidRPr="002B2C64">
        <w:rPr>
          <w:rFonts w:ascii="Book Antiqua" w:hAnsi="Book Antiqua"/>
          <w:b/>
          <w:i/>
          <w:sz w:val="24"/>
          <w:szCs w:val="24"/>
          <w:lang w:val="en-GB"/>
        </w:rPr>
        <w:t xml:space="preserve"> of monocyte count,</w:t>
      </w:r>
      <w:r w:rsidR="00991755" w:rsidRPr="002B2C64">
        <w:rPr>
          <w:rFonts w:ascii="Book Antiqua" w:hAnsi="Book Antiqua"/>
          <w:b/>
          <w:i/>
          <w:sz w:val="24"/>
          <w:szCs w:val="24"/>
          <w:lang w:val="en-GB"/>
        </w:rPr>
        <w:t xml:space="preserve"> monocyte to lymphocyte ratio</w:t>
      </w:r>
      <w:r w:rsidR="00154C62" w:rsidRPr="002B2C64">
        <w:rPr>
          <w:rFonts w:ascii="Book Antiqua" w:hAnsi="Book Antiqua"/>
          <w:b/>
          <w:i/>
          <w:sz w:val="24"/>
          <w:szCs w:val="24"/>
          <w:lang w:val="en-GB"/>
        </w:rPr>
        <w:t xml:space="preserve">, </w:t>
      </w:r>
      <w:r w:rsidR="00991755" w:rsidRPr="002B2C64">
        <w:rPr>
          <w:rFonts w:ascii="Book Antiqua" w:hAnsi="Book Antiqua"/>
          <w:b/>
          <w:i/>
          <w:sz w:val="24"/>
          <w:szCs w:val="24"/>
          <w:lang w:val="en-GB"/>
        </w:rPr>
        <w:t xml:space="preserve">neutrophil-to-lymphocyte ratio and platelet-to-lymphocyte ratio </w:t>
      </w:r>
      <w:r w:rsidR="00154C62" w:rsidRPr="002B2C64">
        <w:rPr>
          <w:rFonts w:ascii="Book Antiqua" w:hAnsi="Book Antiqua"/>
          <w:b/>
          <w:i/>
          <w:sz w:val="24"/>
          <w:szCs w:val="24"/>
          <w:lang w:val="en-GB"/>
        </w:rPr>
        <w:t xml:space="preserve">status and </w:t>
      </w:r>
      <w:r w:rsidR="00991755" w:rsidRPr="002B2C64">
        <w:rPr>
          <w:rFonts w:ascii="Book Antiqua" w:hAnsi="Book Antiqua"/>
          <w:b/>
          <w:i/>
          <w:sz w:val="24"/>
          <w:szCs w:val="24"/>
          <w:lang w:val="en-GB"/>
        </w:rPr>
        <w:t>platelet and neutrophil-to-lymphocyte ratio</w:t>
      </w:r>
      <w:r w:rsidR="00154C62" w:rsidRPr="002B2C64">
        <w:rPr>
          <w:rFonts w:ascii="Book Antiqua" w:hAnsi="Book Antiqua"/>
          <w:b/>
          <w:i/>
          <w:sz w:val="24"/>
          <w:szCs w:val="24"/>
          <w:lang w:val="en-GB"/>
        </w:rPr>
        <w:t xml:space="preserve"> status</w:t>
      </w:r>
      <w:r w:rsidRPr="002B2C64">
        <w:rPr>
          <w:rFonts w:ascii="Book Antiqua" w:hAnsi="Book Antiqua"/>
          <w:b/>
          <w:i/>
          <w:sz w:val="24"/>
          <w:szCs w:val="24"/>
          <w:lang w:val="en-GB"/>
        </w:rPr>
        <w:t xml:space="preserve"> in </w:t>
      </w:r>
      <w:r w:rsidR="004C75E1" w:rsidRPr="002B2C64">
        <w:rPr>
          <w:rFonts w:ascii="Book Antiqua" w:hAnsi="Book Antiqua"/>
          <w:b/>
          <w:i/>
          <w:sz w:val="24"/>
          <w:szCs w:val="24"/>
          <w:lang w:val="en-GB"/>
        </w:rPr>
        <w:t>colorectal cancer</w:t>
      </w:r>
      <w:r w:rsidRPr="002B2C64">
        <w:rPr>
          <w:rFonts w:ascii="Book Antiqua" w:hAnsi="Book Antiqua"/>
          <w:b/>
          <w:i/>
          <w:sz w:val="24"/>
          <w:szCs w:val="24"/>
          <w:lang w:val="en-GB"/>
        </w:rPr>
        <w:t xml:space="preserve"> patients</w:t>
      </w:r>
    </w:p>
    <w:p w:rsidR="00503220" w:rsidRPr="002B2C64" w:rsidRDefault="00212056"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The m</w:t>
      </w:r>
      <w:r w:rsidR="00332FC0" w:rsidRPr="002B2C64">
        <w:rPr>
          <w:rFonts w:ascii="Book Antiqua" w:hAnsi="Book Antiqua"/>
          <w:sz w:val="24"/>
          <w:szCs w:val="24"/>
          <w:lang w:val="en-GB"/>
        </w:rPr>
        <w:t xml:space="preserve">edian 3- and 5-year </w:t>
      </w:r>
      <w:r w:rsidRPr="002B2C64">
        <w:rPr>
          <w:rFonts w:ascii="Book Antiqua" w:hAnsi="Book Antiqua"/>
          <w:sz w:val="24"/>
          <w:szCs w:val="24"/>
          <w:lang w:val="en-GB"/>
        </w:rPr>
        <w:t>DFS</w:t>
      </w:r>
      <w:r w:rsidR="00332FC0" w:rsidRPr="002B2C64">
        <w:rPr>
          <w:rFonts w:ascii="Book Antiqua" w:hAnsi="Book Antiqua"/>
          <w:sz w:val="24"/>
          <w:szCs w:val="24"/>
          <w:lang w:val="en-GB"/>
        </w:rPr>
        <w:t xml:space="preserve"> time was 11.6 and 27.6 mo, respectively. </w:t>
      </w:r>
      <w:r w:rsidR="00AC1E4C" w:rsidRPr="002B2C64">
        <w:rPr>
          <w:rFonts w:ascii="Book Antiqua" w:hAnsi="Book Antiqua"/>
          <w:sz w:val="24"/>
          <w:szCs w:val="24"/>
          <w:lang w:val="en-GB"/>
        </w:rPr>
        <w:t xml:space="preserve">Patients with </w:t>
      </w:r>
      <w:r w:rsidR="00BA2521" w:rsidRPr="002B2C64">
        <w:rPr>
          <w:rFonts w:ascii="Book Antiqua" w:hAnsi="Book Antiqua"/>
          <w:sz w:val="24"/>
          <w:szCs w:val="24"/>
          <w:lang w:val="en-GB"/>
        </w:rPr>
        <w:t xml:space="preserve">a </w:t>
      </w:r>
      <w:r w:rsidR="00AC1E4C" w:rsidRPr="002B2C64">
        <w:rPr>
          <w:rFonts w:ascii="Book Antiqua" w:hAnsi="Book Antiqua"/>
          <w:sz w:val="24"/>
          <w:szCs w:val="24"/>
          <w:lang w:val="en-GB"/>
        </w:rPr>
        <w:t>low monocyte count in p</w:t>
      </w:r>
      <w:r w:rsidR="00AC049B" w:rsidRPr="002B2C64">
        <w:rPr>
          <w:rFonts w:ascii="Book Antiqua" w:hAnsi="Book Antiqua"/>
          <w:sz w:val="24"/>
          <w:szCs w:val="24"/>
          <w:lang w:val="en-GB"/>
        </w:rPr>
        <w:t xml:space="preserve">reoperative blood samples </w:t>
      </w:r>
      <w:r w:rsidR="00AC1E4C" w:rsidRPr="002B2C64">
        <w:rPr>
          <w:rFonts w:ascii="Book Antiqua" w:hAnsi="Book Antiqua"/>
          <w:sz w:val="24"/>
          <w:szCs w:val="24"/>
          <w:lang w:val="en-GB"/>
        </w:rPr>
        <w:t xml:space="preserve">lived </w:t>
      </w:r>
      <w:r w:rsidR="00AC049B" w:rsidRPr="002B2C64">
        <w:rPr>
          <w:rFonts w:ascii="Book Antiqua" w:hAnsi="Book Antiqua"/>
          <w:sz w:val="24"/>
          <w:szCs w:val="24"/>
          <w:lang w:val="en-GB"/>
        </w:rPr>
        <w:t xml:space="preserve">approximately 12.3 mo (3-year </w:t>
      </w:r>
      <w:r w:rsidR="004A6326" w:rsidRPr="002B2C64">
        <w:rPr>
          <w:rFonts w:ascii="Book Antiqua" w:hAnsi="Book Antiqua"/>
          <w:sz w:val="24"/>
          <w:szCs w:val="24"/>
          <w:lang w:val="en-GB"/>
        </w:rPr>
        <w:t xml:space="preserve">DFS </w:t>
      </w:r>
      <w:r w:rsidR="00AC049B" w:rsidRPr="002B2C64">
        <w:rPr>
          <w:rFonts w:ascii="Book Antiqua" w:hAnsi="Book Antiqua"/>
          <w:sz w:val="24"/>
          <w:szCs w:val="24"/>
          <w:lang w:val="en-GB"/>
        </w:rPr>
        <w:t xml:space="preserve">survival) and 28.3 mo (5-year </w:t>
      </w:r>
      <w:r w:rsidR="004A6326" w:rsidRPr="002B2C64">
        <w:rPr>
          <w:rFonts w:ascii="Book Antiqua" w:hAnsi="Book Antiqua"/>
          <w:sz w:val="24"/>
          <w:szCs w:val="24"/>
          <w:lang w:val="en-GB"/>
        </w:rPr>
        <w:t xml:space="preserve">DFS </w:t>
      </w:r>
      <w:r w:rsidR="00AC049B" w:rsidRPr="002B2C64">
        <w:rPr>
          <w:rFonts w:ascii="Book Antiqua" w:hAnsi="Book Antiqua"/>
          <w:sz w:val="24"/>
          <w:szCs w:val="24"/>
          <w:lang w:val="en-GB"/>
        </w:rPr>
        <w:lastRenderedPageBreak/>
        <w:t>survival) compare</w:t>
      </w:r>
      <w:r w:rsidR="00035553" w:rsidRPr="002B2C64">
        <w:rPr>
          <w:rFonts w:ascii="Book Antiqua" w:hAnsi="Book Antiqua"/>
          <w:sz w:val="24"/>
          <w:szCs w:val="24"/>
          <w:lang w:val="en-GB"/>
        </w:rPr>
        <w:t>d</w:t>
      </w:r>
      <w:r w:rsidR="00AC049B" w:rsidRPr="002B2C64">
        <w:rPr>
          <w:rFonts w:ascii="Book Antiqua" w:hAnsi="Book Antiqua"/>
          <w:sz w:val="24"/>
          <w:szCs w:val="24"/>
          <w:lang w:val="en-GB"/>
        </w:rPr>
        <w:t xml:space="preserve"> to </w:t>
      </w:r>
      <w:r w:rsidR="00BA2521" w:rsidRPr="002B2C64">
        <w:rPr>
          <w:rFonts w:ascii="Book Antiqua" w:hAnsi="Book Antiqua"/>
          <w:sz w:val="24"/>
          <w:szCs w:val="24"/>
          <w:lang w:val="en-GB"/>
        </w:rPr>
        <w:t xml:space="preserve">8.25 mo (3-year DFS time) and 20.3 mo (5-year DFS time) in </w:t>
      </w:r>
      <w:r w:rsidR="00AC1E4C" w:rsidRPr="002B2C64">
        <w:rPr>
          <w:rFonts w:ascii="Book Antiqua" w:hAnsi="Book Antiqua"/>
          <w:sz w:val="24"/>
          <w:szCs w:val="24"/>
          <w:lang w:val="en-GB"/>
        </w:rPr>
        <w:t>th</w:t>
      </w:r>
      <w:r w:rsidR="00BA2521" w:rsidRPr="002B2C64">
        <w:rPr>
          <w:rFonts w:ascii="Book Antiqua" w:hAnsi="Book Antiqua"/>
          <w:sz w:val="24"/>
          <w:szCs w:val="24"/>
          <w:lang w:val="en-GB"/>
        </w:rPr>
        <w:t>ose with a</w:t>
      </w:r>
      <w:r w:rsidR="00AC1E4C" w:rsidRPr="002B2C64">
        <w:rPr>
          <w:rFonts w:ascii="Book Antiqua" w:hAnsi="Book Antiqua"/>
          <w:sz w:val="24"/>
          <w:szCs w:val="24"/>
          <w:lang w:val="en-GB"/>
        </w:rPr>
        <w:t xml:space="preserve"> </w:t>
      </w:r>
      <w:r w:rsidR="00AC049B" w:rsidRPr="002B2C64">
        <w:rPr>
          <w:rFonts w:ascii="Book Antiqua" w:hAnsi="Book Antiqua"/>
          <w:sz w:val="24"/>
          <w:szCs w:val="24"/>
          <w:lang w:val="en-GB"/>
        </w:rPr>
        <w:t xml:space="preserve">high </w:t>
      </w:r>
      <w:r w:rsidR="00BA2521" w:rsidRPr="002B2C64">
        <w:rPr>
          <w:rFonts w:ascii="Book Antiqua" w:hAnsi="Book Antiqua"/>
          <w:sz w:val="24"/>
          <w:szCs w:val="24"/>
          <w:lang w:val="en-GB"/>
        </w:rPr>
        <w:t>monocyte count</w:t>
      </w:r>
      <w:r w:rsidR="00AC049B" w:rsidRPr="002B2C64">
        <w:rPr>
          <w:rFonts w:ascii="Book Antiqua" w:hAnsi="Book Antiqua"/>
          <w:sz w:val="24"/>
          <w:szCs w:val="24"/>
          <w:lang w:val="en-GB"/>
        </w:rPr>
        <w:t>. Th</w:t>
      </w:r>
      <w:r w:rsidR="00BA2521" w:rsidRPr="002B2C64">
        <w:rPr>
          <w:rFonts w:ascii="Book Antiqua" w:hAnsi="Book Antiqua"/>
          <w:sz w:val="24"/>
          <w:szCs w:val="24"/>
          <w:lang w:val="en-GB"/>
        </w:rPr>
        <w:t>ese</w:t>
      </w:r>
      <w:r w:rsidR="00AC049B" w:rsidRPr="002B2C64">
        <w:rPr>
          <w:rFonts w:ascii="Book Antiqua" w:hAnsi="Book Antiqua"/>
          <w:sz w:val="24"/>
          <w:szCs w:val="24"/>
          <w:lang w:val="en-GB"/>
        </w:rPr>
        <w:t xml:space="preserve"> values </w:t>
      </w:r>
      <w:r w:rsidR="00350536" w:rsidRPr="002B2C64">
        <w:rPr>
          <w:rFonts w:ascii="Book Antiqua" w:hAnsi="Book Antiqua"/>
          <w:sz w:val="24"/>
          <w:szCs w:val="24"/>
          <w:lang w:val="en-GB"/>
        </w:rPr>
        <w:t xml:space="preserve">for </w:t>
      </w:r>
      <w:r w:rsidR="00AC049B" w:rsidRPr="002B2C64">
        <w:rPr>
          <w:rFonts w:ascii="Book Antiqua" w:hAnsi="Book Antiqua"/>
          <w:sz w:val="24"/>
          <w:szCs w:val="24"/>
          <w:lang w:val="en-GB"/>
        </w:rPr>
        <w:t>monocyte count differ</w:t>
      </w:r>
      <w:r w:rsidR="00035553" w:rsidRPr="002B2C64">
        <w:rPr>
          <w:rFonts w:ascii="Book Antiqua" w:hAnsi="Book Antiqua"/>
          <w:sz w:val="24"/>
          <w:szCs w:val="24"/>
          <w:lang w:val="en-GB"/>
        </w:rPr>
        <w:t>ed</w:t>
      </w:r>
      <w:r w:rsidR="00AC049B" w:rsidRPr="002B2C64">
        <w:rPr>
          <w:rFonts w:ascii="Book Antiqua" w:hAnsi="Book Antiqua"/>
          <w:sz w:val="24"/>
          <w:szCs w:val="24"/>
          <w:lang w:val="en-GB"/>
        </w:rPr>
        <w:t xml:space="preserve"> from each other but they were not statistically </w:t>
      </w:r>
      <w:r w:rsidR="00035553" w:rsidRPr="002B2C64">
        <w:rPr>
          <w:rFonts w:ascii="Book Antiqua" w:hAnsi="Book Antiqua"/>
          <w:sz w:val="24"/>
          <w:szCs w:val="24"/>
          <w:lang w:val="en-GB"/>
        </w:rPr>
        <w:t xml:space="preserve">significant </w:t>
      </w:r>
      <w:r w:rsidR="00AF0CDB" w:rsidRPr="002B2C64">
        <w:rPr>
          <w:rFonts w:ascii="Book Antiqua" w:hAnsi="Book Antiqua"/>
          <w:i/>
          <w:sz w:val="24"/>
          <w:szCs w:val="24"/>
          <w:lang w:val="en-GB"/>
        </w:rPr>
        <w:t>(</w:t>
      </w:r>
      <w:r w:rsidR="0061493E"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AF0CDB" w:rsidRPr="002B2C64">
        <w:rPr>
          <w:rFonts w:ascii="Book Antiqua" w:hAnsi="Book Antiqua"/>
          <w:i/>
          <w:sz w:val="24"/>
          <w:szCs w:val="24"/>
          <w:lang w:val="en-GB"/>
        </w:rPr>
        <w:t>=</w:t>
      </w:r>
      <w:r w:rsidR="00AF0CDB" w:rsidRPr="002B2C64">
        <w:rPr>
          <w:rFonts w:ascii="Book Antiqua" w:hAnsi="Book Antiqua"/>
          <w:sz w:val="24"/>
          <w:szCs w:val="24"/>
          <w:lang w:val="en-GB"/>
        </w:rPr>
        <w:t xml:space="preserve"> 0.145; </w:t>
      </w:r>
      <w:r w:rsidR="0061493E"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5958F9" w:rsidRPr="002B2C64">
        <w:rPr>
          <w:rFonts w:ascii="Book Antiqua" w:hAnsi="Book Antiqua"/>
          <w:sz w:val="24"/>
          <w:szCs w:val="24"/>
          <w:lang w:val="en-GB"/>
        </w:rPr>
        <w:t xml:space="preserve"> </w:t>
      </w:r>
      <w:r w:rsidR="00AF0CDB" w:rsidRPr="002B2C64">
        <w:rPr>
          <w:rFonts w:ascii="Book Antiqua" w:hAnsi="Book Antiqua"/>
          <w:sz w:val="24"/>
          <w:szCs w:val="24"/>
          <w:lang w:val="en-GB"/>
        </w:rPr>
        <w:t>0.138)</w:t>
      </w:r>
      <w:r w:rsidR="00225640" w:rsidRPr="002B2C64">
        <w:rPr>
          <w:rFonts w:ascii="Book Antiqua" w:hAnsi="Book Antiqua"/>
          <w:sz w:val="24"/>
          <w:szCs w:val="24"/>
          <w:lang w:val="en-GB"/>
        </w:rPr>
        <w:t xml:space="preserve"> </w:t>
      </w:r>
      <w:r w:rsidR="004F5E36" w:rsidRPr="002B2C64">
        <w:rPr>
          <w:rFonts w:ascii="Book Antiqua" w:hAnsi="Book Antiqua"/>
          <w:sz w:val="24"/>
          <w:szCs w:val="24"/>
          <w:lang w:val="en-GB"/>
        </w:rPr>
        <w:t>(Figure 1</w:t>
      </w:r>
      <w:r w:rsidR="00AC049B" w:rsidRPr="002B2C64">
        <w:rPr>
          <w:rFonts w:ascii="Book Antiqua" w:hAnsi="Book Antiqua"/>
          <w:sz w:val="24"/>
          <w:szCs w:val="24"/>
          <w:lang w:val="en-GB"/>
        </w:rPr>
        <w:t>A</w:t>
      </w:r>
      <w:r w:rsidR="005958F9" w:rsidRPr="002B2C64">
        <w:rPr>
          <w:rFonts w:ascii="Book Antiqua" w:hAnsi="Book Antiqua"/>
          <w:sz w:val="24"/>
          <w:szCs w:val="24"/>
          <w:lang w:val="en-GB"/>
        </w:rPr>
        <w:t xml:space="preserve"> and</w:t>
      </w:r>
      <w:r w:rsidR="00AC049B" w:rsidRPr="002B2C64">
        <w:rPr>
          <w:rFonts w:ascii="Book Antiqua" w:hAnsi="Book Antiqua"/>
          <w:sz w:val="24"/>
          <w:szCs w:val="24"/>
          <w:lang w:val="en-GB"/>
        </w:rPr>
        <w:t xml:space="preserve"> B). In </w:t>
      </w:r>
      <w:r w:rsidR="00AC1E4C" w:rsidRPr="002B2C64">
        <w:rPr>
          <w:rFonts w:ascii="Book Antiqua" w:hAnsi="Book Antiqua"/>
          <w:sz w:val="24"/>
          <w:szCs w:val="24"/>
          <w:lang w:val="en-GB"/>
        </w:rPr>
        <w:t xml:space="preserve">the </w:t>
      </w:r>
      <w:r w:rsidR="00AC049B" w:rsidRPr="002B2C64">
        <w:rPr>
          <w:rFonts w:ascii="Book Antiqua" w:hAnsi="Book Antiqua"/>
          <w:sz w:val="24"/>
          <w:szCs w:val="24"/>
          <w:lang w:val="en-GB"/>
        </w:rPr>
        <w:t xml:space="preserve">whole blood </w:t>
      </w:r>
      <w:r w:rsidR="00AC1E4C" w:rsidRPr="002B2C64">
        <w:rPr>
          <w:rFonts w:ascii="Book Antiqua" w:hAnsi="Book Antiqua"/>
          <w:sz w:val="24"/>
          <w:szCs w:val="24"/>
          <w:lang w:val="en-GB"/>
        </w:rPr>
        <w:t xml:space="preserve">samples </w:t>
      </w:r>
      <w:r w:rsidR="00BA2521" w:rsidRPr="002B2C64">
        <w:rPr>
          <w:rFonts w:ascii="Book Antiqua" w:hAnsi="Book Antiqua"/>
          <w:sz w:val="24"/>
          <w:szCs w:val="24"/>
          <w:lang w:val="en-GB"/>
        </w:rPr>
        <w:t xml:space="preserve">obtained </w:t>
      </w:r>
      <w:r w:rsidR="00AC049B" w:rsidRPr="002B2C64">
        <w:rPr>
          <w:rFonts w:ascii="Book Antiqua" w:hAnsi="Book Antiqua"/>
          <w:sz w:val="24"/>
          <w:szCs w:val="24"/>
          <w:lang w:val="en-GB"/>
        </w:rPr>
        <w:t>after surgery</w:t>
      </w:r>
      <w:r w:rsidR="00BA2521" w:rsidRPr="002B2C64">
        <w:rPr>
          <w:rFonts w:ascii="Book Antiqua" w:hAnsi="Book Antiqua"/>
          <w:sz w:val="24"/>
          <w:szCs w:val="24"/>
          <w:lang w:val="en-GB"/>
        </w:rPr>
        <w:t>,</w:t>
      </w:r>
      <w:r w:rsidR="00AC049B" w:rsidRPr="002B2C64">
        <w:rPr>
          <w:rFonts w:ascii="Book Antiqua" w:hAnsi="Book Antiqua"/>
          <w:sz w:val="24"/>
          <w:szCs w:val="24"/>
          <w:lang w:val="en-GB"/>
        </w:rPr>
        <w:t xml:space="preserve"> </w:t>
      </w:r>
      <w:r w:rsidR="00AC1E4C" w:rsidRPr="002B2C64">
        <w:rPr>
          <w:rFonts w:ascii="Book Antiqua" w:hAnsi="Book Antiqua"/>
          <w:sz w:val="24"/>
          <w:szCs w:val="24"/>
          <w:lang w:val="en-GB"/>
        </w:rPr>
        <w:t xml:space="preserve">the </w:t>
      </w:r>
      <w:r w:rsidR="00AC049B" w:rsidRPr="002B2C64">
        <w:rPr>
          <w:rFonts w:ascii="Book Antiqua" w:hAnsi="Book Antiqua"/>
          <w:sz w:val="24"/>
          <w:szCs w:val="24"/>
          <w:lang w:val="en-GB"/>
        </w:rPr>
        <w:t xml:space="preserve">monocyte count </w:t>
      </w:r>
      <w:r w:rsidR="00AC1E4C" w:rsidRPr="002B2C64">
        <w:rPr>
          <w:rFonts w:ascii="Book Antiqua" w:hAnsi="Book Antiqua"/>
          <w:sz w:val="24"/>
          <w:szCs w:val="24"/>
          <w:lang w:val="en-GB"/>
        </w:rPr>
        <w:t>tended</w:t>
      </w:r>
      <w:r w:rsidR="00AC049B" w:rsidRPr="002B2C64">
        <w:rPr>
          <w:rFonts w:ascii="Book Antiqua" w:hAnsi="Book Antiqua"/>
          <w:sz w:val="24"/>
          <w:szCs w:val="24"/>
          <w:lang w:val="en-GB"/>
        </w:rPr>
        <w:t xml:space="preserve"> to differ </w:t>
      </w:r>
      <w:r w:rsidR="00AC1E4C" w:rsidRPr="002B2C64">
        <w:rPr>
          <w:rFonts w:ascii="Book Antiqua" w:hAnsi="Book Antiqua"/>
          <w:sz w:val="24"/>
          <w:szCs w:val="24"/>
          <w:lang w:val="en-GB"/>
        </w:rPr>
        <w:t xml:space="preserve">significantly for </w:t>
      </w:r>
      <w:r w:rsidR="00BA2521" w:rsidRPr="002B2C64">
        <w:rPr>
          <w:rFonts w:ascii="Book Antiqua" w:hAnsi="Book Antiqua"/>
          <w:sz w:val="24"/>
          <w:szCs w:val="24"/>
          <w:lang w:val="en-GB"/>
        </w:rPr>
        <w:t xml:space="preserve">the </w:t>
      </w:r>
      <w:r w:rsidR="00AC049B" w:rsidRPr="002B2C64">
        <w:rPr>
          <w:rFonts w:ascii="Book Antiqua" w:hAnsi="Book Antiqua"/>
          <w:sz w:val="24"/>
          <w:szCs w:val="24"/>
          <w:lang w:val="en-GB"/>
        </w:rPr>
        <w:t>5</w:t>
      </w:r>
      <w:r w:rsidR="00BA2521" w:rsidRPr="002B2C64">
        <w:rPr>
          <w:rFonts w:ascii="Book Antiqua" w:hAnsi="Book Antiqua"/>
          <w:sz w:val="24"/>
          <w:szCs w:val="24"/>
          <w:lang w:val="en-GB"/>
        </w:rPr>
        <w:t>-</w:t>
      </w:r>
      <w:r w:rsidR="00AC049B" w:rsidRPr="002B2C64">
        <w:rPr>
          <w:rFonts w:ascii="Book Antiqua" w:hAnsi="Book Antiqua"/>
          <w:sz w:val="24"/>
          <w:szCs w:val="24"/>
          <w:lang w:val="en-GB"/>
        </w:rPr>
        <w:t>year</w:t>
      </w:r>
      <w:r w:rsidR="00BA2521" w:rsidRPr="002B2C64">
        <w:rPr>
          <w:rFonts w:ascii="Book Antiqua" w:hAnsi="Book Antiqua"/>
          <w:sz w:val="24"/>
          <w:szCs w:val="24"/>
          <w:lang w:val="en-GB"/>
        </w:rPr>
        <w:t xml:space="preserve"> DFS</w:t>
      </w:r>
      <w:r w:rsidR="00AC049B" w:rsidRPr="002B2C64">
        <w:rPr>
          <w:rFonts w:ascii="Book Antiqua" w:hAnsi="Book Antiqua"/>
          <w:sz w:val="24"/>
          <w:szCs w:val="24"/>
          <w:lang w:val="en-GB"/>
        </w:rPr>
        <w:t xml:space="preserve"> time </w:t>
      </w:r>
      <w:r w:rsidR="00BA2521" w:rsidRPr="002B2C64">
        <w:rPr>
          <w:rFonts w:ascii="Book Antiqua" w:hAnsi="Book Antiqua"/>
          <w:sz w:val="24"/>
          <w:szCs w:val="24"/>
          <w:lang w:val="en-GB"/>
        </w:rPr>
        <w:t>which was</w:t>
      </w:r>
      <w:r w:rsidR="00AC1E4C" w:rsidRPr="002B2C64">
        <w:rPr>
          <w:rFonts w:ascii="Book Antiqua" w:hAnsi="Book Antiqua"/>
          <w:sz w:val="24"/>
          <w:szCs w:val="24"/>
          <w:lang w:val="en-GB"/>
        </w:rPr>
        <w:t xml:space="preserve"> </w:t>
      </w:r>
      <w:r w:rsidR="007E49A9" w:rsidRPr="002B2C64">
        <w:rPr>
          <w:rFonts w:ascii="Book Antiqua" w:hAnsi="Book Antiqua"/>
          <w:sz w:val="24"/>
          <w:szCs w:val="24"/>
          <w:lang w:val="en-GB"/>
        </w:rPr>
        <w:t xml:space="preserve">0.084. </w:t>
      </w:r>
      <w:r w:rsidR="00BA2521" w:rsidRPr="002B2C64">
        <w:rPr>
          <w:rFonts w:ascii="Book Antiqua" w:hAnsi="Book Antiqua"/>
          <w:sz w:val="24"/>
          <w:szCs w:val="24"/>
          <w:lang w:val="en-GB"/>
        </w:rPr>
        <w:t>The m</w:t>
      </w:r>
      <w:r w:rsidR="007E49A9" w:rsidRPr="002B2C64">
        <w:rPr>
          <w:rFonts w:ascii="Book Antiqua" w:hAnsi="Book Antiqua"/>
          <w:sz w:val="24"/>
          <w:szCs w:val="24"/>
          <w:lang w:val="en-GB"/>
        </w:rPr>
        <w:t>ean 3-year and 5-</w:t>
      </w:r>
      <w:r w:rsidR="00AC049B" w:rsidRPr="002B2C64">
        <w:rPr>
          <w:rFonts w:ascii="Book Antiqua" w:hAnsi="Book Antiqua"/>
          <w:sz w:val="24"/>
          <w:szCs w:val="24"/>
          <w:lang w:val="en-GB"/>
        </w:rPr>
        <w:t xml:space="preserve">year DFS were 15.7 mo and 27.6 mo in </w:t>
      </w:r>
      <w:r w:rsidR="00AD2549" w:rsidRPr="002B2C64">
        <w:rPr>
          <w:rFonts w:ascii="Book Antiqua" w:hAnsi="Book Antiqua"/>
          <w:sz w:val="24"/>
          <w:szCs w:val="24"/>
          <w:lang w:val="en-GB"/>
        </w:rPr>
        <w:t xml:space="preserve">the </w:t>
      </w:r>
      <w:r w:rsidR="00AC049B" w:rsidRPr="002B2C64">
        <w:rPr>
          <w:rFonts w:ascii="Book Antiqua" w:hAnsi="Book Antiqua"/>
          <w:sz w:val="24"/>
          <w:szCs w:val="24"/>
          <w:lang w:val="en-GB"/>
        </w:rPr>
        <w:t>high group and 11.6 mo and 37</w:t>
      </w:r>
      <w:r w:rsidR="00AF0CDB" w:rsidRPr="002B2C64">
        <w:rPr>
          <w:rFonts w:ascii="Book Antiqua" w:hAnsi="Book Antiqua"/>
          <w:sz w:val="24"/>
          <w:szCs w:val="24"/>
          <w:lang w:val="en-GB"/>
        </w:rPr>
        <w:t xml:space="preserve">.1 mo in </w:t>
      </w:r>
      <w:r w:rsidR="00AD2549" w:rsidRPr="002B2C64">
        <w:rPr>
          <w:rFonts w:ascii="Book Antiqua" w:hAnsi="Book Antiqua"/>
          <w:sz w:val="24"/>
          <w:szCs w:val="24"/>
          <w:lang w:val="en-GB"/>
        </w:rPr>
        <w:t xml:space="preserve">the </w:t>
      </w:r>
      <w:r w:rsidR="004F5E36" w:rsidRPr="002B2C64">
        <w:rPr>
          <w:rFonts w:ascii="Book Antiqua" w:hAnsi="Book Antiqua"/>
          <w:sz w:val="24"/>
          <w:szCs w:val="24"/>
          <w:lang w:val="en-GB"/>
        </w:rPr>
        <w:t>low group (Figure 1</w:t>
      </w:r>
      <w:r w:rsidR="00AC049B" w:rsidRPr="002B2C64">
        <w:rPr>
          <w:rFonts w:ascii="Book Antiqua" w:hAnsi="Book Antiqua"/>
          <w:sz w:val="24"/>
          <w:szCs w:val="24"/>
          <w:lang w:val="en-GB"/>
        </w:rPr>
        <w:t>C</w:t>
      </w:r>
      <w:r w:rsidR="005958F9" w:rsidRPr="002B2C64">
        <w:rPr>
          <w:rFonts w:ascii="Book Antiqua" w:hAnsi="Book Antiqua"/>
          <w:sz w:val="24"/>
          <w:szCs w:val="24"/>
          <w:lang w:val="en-GB"/>
        </w:rPr>
        <w:t xml:space="preserve"> and</w:t>
      </w:r>
      <w:r w:rsidR="00AC049B" w:rsidRPr="002B2C64">
        <w:rPr>
          <w:rFonts w:ascii="Book Antiqua" w:hAnsi="Book Antiqua"/>
          <w:sz w:val="24"/>
          <w:szCs w:val="24"/>
          <w:lang w:val="en-GB"/>
        </w:rPr>
        <w:t xml:space="preserve"> D). Patients with a higher preMLR value </w:t>
      </w:r>
      <w:r w:rsidR="00D2163B" w:rsidRPr="002B2C64">
        <w:rPr>
          <w:rFonts w:ascii="Book Antiqua" w:hAnsi="Book Antiqua"/>
          <w:sz w:val="24"/>
          <w:szCs w:val="24"/>
          <w:lang w:val="en-GB"/>
        </w:rPr>
        <w:t>tended to have</w:t>
      </w:r>
      <w:r w:rsidR="00AC049B" w:rsidRPr="002B2C64">
        <w:rPr>
          <w:rFonts w:ascii="Book Antiqua" w:hAnsi="Book Antiqua"/>
          <w:sz w:val="24"/>
          <w:szCs w:val="24"/>
          <w:lang w:val="en-GB"/>
        </w:rPr>
        <w:t xml:space="preserve"> shorter 3- and 5-year DFS time </w:t>
      </w:r>
      <w:r w:rsidR="00AC049B" w:rsidRPr="002B2C64">
        <w:rPr>
          <w:rFonts w:ascii="Book Antiqua" w:hAnsi="Book Antiqua"/>
          <w:i/>
          <w:sz w:val="24"/>
          <w:szCs w:val="24"/>
          <w:lang w:val="en-GB"/>
        </w:rPr>
        <w:t>(</w:t>
      </w:r>
      <w:r w:rsidR="0061493E"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AC049B" w:rsidRPr="002B2C64">
        <w:rPr>
          <w:rFonts w:ascii="Book Antiqua" w:hAnsi="Book Antiqua"/>
          <w:i/>
          <w:sz w:val="24"/>
          <w:szCs w:val="24"/>
          <w:lang w:val="en-GB"/>
        </w:rPr>
        <w:t>=</w:t>
      </w:r>
      <w:r w:rsidR="005958F9" w:rsidRPr="002B2C64">
        <w:rPr>
          <w:rFonts w:ascii="Book Antiqua" w:hAnsi="Book Antiqua"/>
          <w:i/>
          <w:sz w:val="24"/>
          <w:szCs w:val="24"/>
          <w:lang w:val="en-GB"/>
        </w:rPr>
        <w:t xml:space="preserve"> </w:t>
      </w:r>
      <w:r w:rsidR="00AC049B" w:rsidRPr="002B2C64">
        <w:rPr>
          <w:rFonts w:ascii="Book Antiqua" w:hAnsi="Book Antiqua"/>
          <w:sz w:val="24"/>
          <w:szCs w:val="24"/>
          <w:lang w:val="en-GB"/>
        </w:rPr>
        <w:t xml:space="preserve">0.248, </w:t>
      </w:r>
      <w:r w:rsidR="0061493E"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5958F9" w:rsidRPr="002B2C64">
        <w:rPr>
          <w:rFonts w:ascii="Book Antiqua" w:hAnsi="Book Antiqua"/>
          <w:sz w:val="24"/>
          <w:szCs w:val="24"/>
          <w:lang w:val="en-GB"/>
        </w:rPr>
        <w:t xml:space="preserve"> </w:t>
      </w:r>
      <w:r w:rsidR="00AC049B" w:rsidRPr="002B2C64">
        <w:rPr>
          <w:rFonts w:ascii="Book Antiqua" w:hAnsi="Book Antiqua"/>
          <w:sz w:val="24"/>
          <w:szCs w:val="24"/>
          <w:lang w:val="en-GB"/>
        </w:rPr>
        <w:t xml:space="preserve">0.122) </w:t>
      </w:r>
      <w:r w:rsidR="004F5E36" w:rsidRPr="002B2C64">
        <w:rPr>
          <w:rFonts w:ascii="Book Antiqua" w:hAnsi="Book Antiqua"/>
          <w:sz w:val="24"/>
          <w:szCs w:val="24"/>
          <w:lang w:val="en-GB"/>
        </w:rPr>
        <w:t>(Figure 1</w:t>
      </w:r>
      <w:r w:rsidR="00AF0CDB" w:rsidRPr="002B2C64">
        <w:rPr>
          <w:rFonts w:ascii="Book Antiqua" w:hAnsi="Book Antiqua"/>
          <w:sz w:val="24"/>
          <w:szCs w:val="24"/>
          <w:lang w:val="en-GB"/>
        </w:rPr>
        <w:t>E</w:t>
      </w:r>
      <w:r w:rsidR="005958F9" w:rsidRPr="002B2C64">
        <w:rPr>
          <w:rFonts w:ascii="Book Antiqua" w:hAnsi="Book Antiqua"/>
          <w:sz w:val="24"/>
          <w:szCs w:val="24"/>
          <w:lang w:val="en-GB"/>
        </w:rPr>
        <w:t xml:space="preserve"> and </w:t>
      </w:r>
      <w:r w:rsidR="00AF0CDB" w:rsidRPr="002B2C64">
        <w:rPr>
          <w:rFonts w:ascii="Book Antiqua" w:hAnsi="Book Antiqua"/>
          <w:sz w:val="24"/>
          <w:szCs w:val="24"/>
          <w:lang w:val="en-GB"/>
        </w:rPr>
        <w:t>F</w:t>
      </w:r>
      <w:r w:rsidR="00011133" w:rsidRPr="002B2C64">
        <w:rPr>
          <w:rFonts w:ascii="Book Antiqua" w:hAnsi="Book Antiqua"/>
          <w:color w:val="auto"/>
          <w:sz w:val="24"/>
          <w:szCs w:val="24"/>
          <w:lang w:val="en-GB"/>
        </w:rPr>
        <w:t>).</w:t>
      </w:r>
      <w:r w:rsidR="00504CC9" w:rsidRPr="002B2C64">
        <w:rPr>
          <w:rFonts w:ascii="Book Antiqua" w:hAnsi="Book Antiqua"/>
          <w:color w:val="auto"/>
          <w:sz w:val="24"/>
          <w:szCs w:val="24"/>
          <w:lang w:val="en-GB"/>
        </w:rPr>
        <w:t xml:space="preserve"> </w:t>
      </w:r>
      <w:r w:rsidR="00011133" w:rsidRPr="002B2C64">
        <w:rPr>
          <w:rFonts w:ascii="Book Antiqua" w:hAnsi="Book Antiqua"/>
          <w:color w:val="auto"/>
          <w:sz w:val="24"/>
          <w:szCs w:val="24"/>
          <w:lang w:val="en-GB"/>
        </w:rPr>
        <w:t>Patients with low</w:t>
      </w:r>
      <w:r w:rsidR="00AC049B" w:rsidRPr="002B2C64">
        <w:rPr>
          <w:rFonts w:ascii="Book Antiqua" w:hAnsi="Book Antiqua"/>
          <w:color w:val="auto"/>
          <w:sz w:val="24"/>
          <w:szCs w:val="24"/>
          <w:lang w:val="en-GB"/>
        </w:rPr>
        <w:t xml:space="preserve"> postMLR had longer 3- and 5-year DFS time </w:t>
      </w:r>
      <w:r w:rsidR="00011133" w:rsidRPr="002B2C64">
        <w:rPr>
          <w:rFonts w:ascii="Book Antiqua" w:hAnsi="Book Antiqua"/>
          <w:i/>
          <w:color w:val="auto"/>
          <w:sz w:val="24"/>
          <w:szCs w:val="24"/>
          <w:lang w:val="en-GB"/>
        </w:rPr>
        <w:t>(</w:t>
      </w:r>
      <w:r w:rsidR="0061493E" w:rsidRPr="002B2C64">
        <w:rPr>
          <w:rFonts w:ascii="Book Antiqua" w:hAnsi="Book Antiqua"/>
          <w:i/>
          <w:color w:val="auto"/>
          <w:sz w:val="24"/>
          <w:szCs w:val="24"/>
          <w:lang w:val="en-GB"/>
        </w:rPr>
        <w:t>P</w:t>
      </w:r>
      <w:r w:rsidR="005958F9" w:rsidRPr="002B2C64">
        <w:rPr>
          <w:rFonts w:ascii="Book Antiqua" w:hAnsi="Book Antiqua"/>
          <w:i/>
          <w:color w:val="auto"/>
          <w:sz w:val="24"/>
          <w:szCs w:val="24"/>
          <w:lang w:val="en-GB"/>
        </w:rPr>
        <w:t xml:space="preserve"> </w:t>
      </w:r>
      <w:r w:rsidR="00011133" w:rsidRPr="002B2C64">
        <w:rPr>
          <w:rFonts w:ascii="Book Antiqua" w:hAnsi="Book Antiqua"/>
          <w:i/>
          <w:color w:val="auto"/>
          <w:sz w:val="24"/>
          <w:szCs w:val="24"/>
          <w:lang w:val="en-GB"/>
        </w:rPr>
        <w:t>=</w:t>
      </w:r>
      <w:r w:rsidR="005958F9" w:rsidRPr="002B2C64">
        <w:rPr>
          <w:rFonts w:ascii="Book Antiqua" w:hAnsi="Book Antiqua"/>
          <w:i/>
          <w:color w:val="auto"/>
          <w:sz w:val="24"/>
          <w:szCs w:val="24"/>
          <w:lang w:val="en-GB"/>
        </w:rPr>
        <w:t xml:space="preserve"> </w:t>
      </w:r>
      <w:r w:rsidR="00011133" w:rsidRPr="002B2C64">
        <w:rPr>
          <w:rFonts w:ascii="Book Antiqua" w:hAnsi="Book Antiqua"/>
          <w:color w:val="auto"/>
          <w:sz w:val="24"/>
          <w:szCs w:val="24"/>
          <w:lang w:val="en-GB"/>
        </w:rPr>
        <w:t xml:space="preserve">0.031, </w:t>
      </w:r>
      <w:r w:rsidR="0061493E" w:rsidRPr="002B2C64">
        <w:rPr>
          <w:rFonts w:ascii="Book Antiqua" w:hAnsi="Book Antiqua"/>
          <w:i/>
          <w:color w:val="auto"/>
          <w:sz w:val="24"/>
          <w:szCs w:val="24"/>
          <w:lang w:val="en-GB"/>
        </w:rPr>
        <w:t>P</w:t>
      </w:r>
      <w:r w:rsidR="005958F9" w:rsidRPr="002B2C64">
        <w:rPr>
          <w:rFonts w:ascii="Book Antiqua" w:hAnsi="Book Antiqua"/>
          <w:i/>
          <w:color w:val="auto"/>
          <w:sz w:val="24"/>
          <w:szCs w:val="24"/>
          <w:lang w:val="en-GB"/>
        </w:rPr>
        <w:t xml:space="preserve"> =</w:t>
      </w:r>
      <w:r w:rsidR="005958F9" w:rsidRPr="002B2C64">
        <w:rPr>
          <w:rFonts w:ascii="Book Antiqua" w:hAnsi="Book Antiqua"/>
          <w:color w:val="auto"/>
          <w:sz w:val="24"/>
          <w:szCs w:val="24"/>
          <w:lang w:val="en-GB"/>
        </w:rPr>
        <w:t xml:space="preserve"> </w:t>
      </w:r>
      <w:r w:rsidR="00011133" w:rsidRPr="002B2C64">
        <w:rPr>
          <w:rFonts w:ascii="Book Antiqua" w:hAnsi="Book Antiqua"/>
          <w:color w:val="auto"/>
          <w:sz w:val="24"/>
          <w:szCs w:val="24"/>
          <w:lang w:val="en-GB"/>
        </w:rPr>
        <w:t>0.049</w:t>
      </w:r>
      <w:r w:rsidR="0067459B" w:rsidRPr="002B2C64">
        <w:rPr>
          <w:rFonts w:ascii="Book Antiqua" w:hAnsi="Book Antiqua"/>
          <w:color w:val="auto"/>
          <w:sz w:val="24"/>
          <w:szCs w:val="24"/>
          <w:lang w:val="en-GB"/>
        </w:rPr>
        <w:t>) (</w:t>
      </w:r>
      <w:r w:rsidR="004F5E36" w:rsidRPr="002B2C64">
        <w:rPr>
          <w:rFonts w:ascii="Book Antiqua" w:hAnsi="Book Antiqua"/>
          <w:color w:val="auto"/>
          <w:sz w:val="24"/>
          <w:szCs w:val="24"/>
          <w:lang w:val="en-GB"/>
        </w:rPr>
        <w:t>Figure 1</w:t>
      </w:r>
      <w:r w:rsidR="00AF0CDB" w:rsidRPr="002B2C64">
        <w:rPr>
          <w:rFonts w:ascii="Book Antiqua" w:hAnsi="Book Antiqua"/>
          <w:color w:val="auto"/>
          <w:sz w:val="24"/>
          <w:szCs w:val="24"/>
          <w:lang w:val="en-GB"/>
        </w:rPr>
        <w:t>G</w:t>
      </w:r>
      <w:r w:rsidR="005958F9" w:rsidRPr="002B2C64">
        <w:rPr>
          <w:rFonts w:ascii="Book Antiqua" w:hAnsi="Book Antiqua"/>
          <w:color w:val="auto"/>
          <w:sz w:val="24"/>
          <w:szCs w:val="24"/>
          <w:lang w:val="en-GB"/>
        </w:rPr>
        <w:t xml:space="preserve"> and </w:t>
      </w:r>
      <w:r w:rsidR="00AF0CDB" w:rsidRPr="002B2C64">
        <w:rPr>
          <w:rFonts w:ascii="Book Antiqua" w:hAnsi="Book Antiqua"/>
          <w:color w:val="auto"/>
          <w:sz w:val="24"/>
          <w:szCs w:val="24"/>
          <w:lang w:val="en-GB"/>
        </w:rPr>
        <w:t>H</w:t>
      </w:r>
      <w:r w:rsidR="00AC049B" w:rsidRPr="002B2C64">
        <w:rPr>
          <w:rFonts w:ascii="Book Antiqua" w:hAnsi="Book Antiqua"/>
          <w:color w:val="auto"/>
          <w:sz w:val="24"/>
          <w:szCs w:val="24"/>
          <w:lang w:val="en-GB"/>
        </w:rPr>
        <w:t xml:space="preserve">). </w:t>
      </w:r>
      <w:r w:rsidR="00157C0C" w:rsidRPr="002B2C64">
        <w:rPr>
          <w:rFonts w:ascii="Book Antiqua" w:hAnsi="Book Antiqua"/>
          <w:sz w:val="24"/>
          <w:szCs w:val="24"/>
          <w:lang w:val="en-GB"/>
        </w:rPr>
        <w:t xml:space="preserve">Analysis of </w:t>
      </w:r>
      <w:r w:rsidR="00D2163B" w:rsidRPr="002B2C64">
        <w:rPr>
          <w:rFonts w:ascii="Book Antiqua" w:hAnsi="Book Antiqua"/>
          <w:sz w:val="24"/>
          <w:szCs w:val="24"/>
          <w:lang w:val="en-GB"/>
        </w:rPr>
        <w:t>the</w:t>
      </w:r>
      <w:r w:rsidR="00157C0C" w:rsidRPr="002B2C64">
        <w:rPr>
          <w:rFonts w:ascii="Book Antiqua" w:hAnsi="Book Antiqua"/>
          <w:sz w:val="24"/>
          <w:szCs w:val="24"/>
          <w:lang w:val="en-GB"/>
        </w:rPr>
        <w:t xml:space="preserve"> NLR-PLR status measured after surgery showed only a tendency </w:t>
      </w:r>
      <w:r w:rsidR="005D2CC2" w:rsidRPr="002B2C64">
        <w:rPr>
          <w:rFonts w:ascii="Book Antiqua" w:hAnsi="Book Antiqua"/>
          <w:sz w:val="24"/>
          <w:szCs w:val="24"/>
          <w:lang w:val="en-GB"/>
        </w:rPr>
        <w:t xml:space="preserve">for </w:t>
      </w:r>
      <w:r w:rsidR="00157C0C" w:rsidRPr="002B2C64">
        <w:rPr>
          <w:rFonts w:ascii="Book Antiqua" w:hAnsi="Book Antiqua"/>
          <w:sz w:val="24"/>
          <w:szCs w:val="24"/>
          <w:lang w:val="en-GB"/>
        </w:rPr>
        <w:t>shorter 5</w:t>
      </w:r>
      <w:r w:rsidR="00BA2521" w:rsidRPr="002B2C64">
        <w:rPr>
          <w:rFonts w:ascii="Book Antiqua" w:hAnsi="Book Antiqua"/>
          <w:sz w:val="24"/>
          <w:szCs w:val="24"/>
          <w:lang w:val="en-GB"/>
        </w:rPr>
        <w:t>-</w:t>
      </w:r>
      <w:r w:rsidR="00157C0C" w:rsidRPr="002B2C64">
        <w:rPr>
          <w:rFonts w:ascii="Book Antiqua" w:hAnsi="Book Antiqua"/>
          <w:sz w:val="24"/>
          <w:szCs w:val="24"/>
          <w:lang w:val="en-GB"/>
        </w:rPr>
        <w:t xml:space="preserve">year DFS in </w:t>
      </w:r>
      <w:r w:rsidR="00AD2549" w:rsidRPr="002B2C64">
        <w:rPr>
          <w:rFonts w:ascii="Book Antiqua" w:hAnsi="Book Antiqua"/>
          <w:sz w:val="24"/>
          <w:szCs w:val="24"/>
          <w:lang w:val="en-GB"/>
        </w:rPr>
        <w:t xml:space="preserve">the </w:t>
      </w:r>
      <w:r w:rsidR="00157C0C" w:rsidRPr="002B2C64">
        <w:rPr>
          <w:rFonts w:ascii="Book Antiqua" w:hAnsi="Book Antiqua"/>
          <w:sz w:val="24"/>
          <w:szCs w:val="24"/>
          <w:lang w:val="en-GB"/>
        </w:rPr>
        <w:t xml:space="preserve">low group </w:t>
      </w:r>
      <w:r w:rsidR="00157C0C" w:rsidRPr="002B2C64">
        <w:rPr>
          <w:rFonts w:ascii="Book Antiqua" w:hAnsi="Book Antiqua"/>
          <w:i/>
          <w:sz w:val="24"/>
          <w:szCs w:val="24"/>
          <w:lang w:val="en-GB"/>
        </w:rPr>
        <w:t>(</w:t>
      </w:r>
      <w:r w:rsidR="0061493E"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157C0C" w:rsidRPr="002B2C64">
        <w:rPr>
          <w:rFonts w:ascii="Book Antiqua" w:hAnsi="Book Antiqua"/>
          <w:i/>
          <w:sz w:val="24"/>
          <w:szCs w:val="24"/>
          <w:lang w:val="en-GB"/>
        </w:rPr>
        <w:t>=</w:t>
      </w:r>
      <w:r w:rsidR="005958F9" w:rsidRPr="002B2C64">
        <w:rPr>
          <w:rFonts w:ascii="Book Antiqua" w:hAnsi="Book Antiqua"/>
          <w:i/>
          <w:sz w:val="24"/>
          <w:szCs w:val="24"/>
          <w:lang w:val="en-GB"/>
        </w:rPr>
        <w:t xml:space="preserve"> </w:t>
      </w:r>
      <w:r w:rsidR="00157C0C" w:rsidRPr="002B2C64">
        <w:rPr>
          <w:rFonts w:ascii="Book Antiqua" w:hAnsi="Book Antiqua"/>
          <w:sz w:val="24"/>
          <w:szCs w:val="24"/>
          <w:lang w:val="en-GB"/>
        </w:rPr>
        <w:t>0.054)</w:t>
      </w:r>
      <w:r w:rsidR="00AD2549" w:rsidRPr="002B2C64">
        <w:rPr>
          <w:rFonts w:ascii="Book Antiqua" w:hAnsi="Book Antiqua"/>
          <w:sz w:val="24"/>
          <w:szCs w:val="24"/>
          <w:lang w:val="en-GB"/>
        </w:rPr>
        <w:t xml:space="preserve"> </w:t>
      </w:r>
      <w:r w:rsidR="004F5E36" w:rsidRPr="002B2C64">
        <w:rPr>
          <w:rFonts w:ascii="Book Antiqua" w:hAnsi="Book Antiqua"/>
          <w:sz w:val="24"/>
          <w:szCs w:val="24"/>
          <w:lang w:val="en-GB"/>
        </w:rPr>
        <w:t>(Figure 2</w:t>
      </w:r>
      <w:r w:rsidR="00F66268" w:rsidRPr="002B2C64">
        <w:rPr>
          <w:rFonts w:ascii="Book Antiqua" w:hAnsi="Book Antiqua"/>
          <w:sz w:val="24"/>
          <w:szCs w:val="24"/>
          <w:lang w:val="en-GB"/>
        </w:rPr>
        <w:t>A-D)</w:t>
      </w:r>
      <w:r w:rsidR="00157C0C" w:rsidRPr="002B2C64">
        <w:rPr>
          <w:rFonts w:ascii="Book Antiqua" w:hAnsi="Book Antiqua"/>
          <w:sz w:val="24"/>
          <w:szCs w:val="24"/>
          <w:lang w:val="en-GB"/>
        </w:rPr>
        <w:t xml:space="preserve">. Moreover, </w:t>
      </w:r>
      <w:r w:rsidR="00C77362" w:rsidRPr="002B2C64">
        <w:rPr>
          <w:rFonts w:ascii="Book Antiqua" w:hAnsi="Book Antiqua"/>
          <w:sz w:val="24"/>
          <w:szCs w:val="24"/>
          <w:lang w:val="en-GB"/>
        </w:rPr>
        <w:t xml:space="preserve">the results of </w:t>
      </w:r>
      <w:r w:rsidR="00D2163B" w:rsidRPr="002B2C64">
        <w:rPr>
          <w:rFonts w:ascii="Book Antiqua" w:hAnsi="Book Antiqua"/>
          <w:sz w:val="24"/>
          <w:szCs w:val="24"/>
          <w:lang w:val="en-GB"/>
        </w:rPr>
        <w:t xml:space="preserve">the </w:t>
      </w:r>
      <w:r w:rsidR="00DF78CA" w:rsidRPr="002B2C64">
        <w:rPr>
          <w:rFonts w:ascii="Book Antiqua" w:hAnsi="Book Antiqua"/>
          <w:sz w:val="24"/>
          <w:szCs w:val="24"/>
          <w:lang w:val="en-GB"/>
        </w:rPr>
        <w:t xml:space="preserve">PLT-NLR status </w:t>
      </w:r>
      <w:r w:rsidR="00F56A76" w:rsidRPr="002B2C64">
        <w:rPr>
          <w:rFonts w:ascii="Book Antiqua" w:hAnsi="Book Antiqua"/>
          <w:sz w:val="24"/>
          <w:szCs w:val="24"/>
          <w:lang w:val="en-GB"/>
        </w:rPr>
        <w:t xml:space="preserve">obtained after surgery </w:t>
      </w:r>
      <w:r w:rsidR="00BA2521" w:rsidRPr="002B2C64">
        <w:rPr>
          <w:rFonts w:ascii="Book Antiqua" w:hAnsi="Book Antiqua"/>
          <w:sz w:val="24"/>
          <w:szCs w:val="24"/>
          <w:lang w:val="en-GB"/>
        </w:rPr>
        <w:t>showed</w:t>
      </w:r>
      <w:r w:rsidR="00F56A76" w:rsidRPr="002B2C64">
        <w:rPr>
          <w:rFonts w:ascii="Book Antiqua" w:hAnsi="Book Antiqua"/>
          <w:sz w:val="24"/>
          <w:szCs w:val="24"/>
          <w:lang w:val="en-GB"/>
        </w:rPr>
        <w:t xml:space="preserve"> a tendency </w:t>
      </w:r>
      <w:r w:rsidR="005D2CC2" w:rsidRPr="002B2C64">
        <w:rPr>
          <w:rFonts w:ascii="Book Antiqua" w:hAnsi="Book Antiqua"/>
          <w:sz w:val="24"/>
          <w:szCs w:val="24"/>
          <w:lang w:val="en-GB"/>
        </w:rPr>
        <w:t xml:space="preserve">for </w:t>
      </w:r>
      <w:r w:rsidR="00F56A76" w:rsidRPr="002B2C64">
        <w:rPr>
          <w:rFonts w:ascii="Book Antiqua" w:hAnsi="Book Antiqua"/>
          <w:sz w:val="24"/>
          <w:szCs w:val="24"/>
          <w:lang w:val="en-GB"/>
        </w:rPr>
        <w:t xml:space="preserve">shorter 3- and 5-year DFS in </w:t>
      </w:r>
      <w:r w:rsidR="00D2163B" w:rsidRPr="002B2C64">
        <w:rPr>
          <w:rFonts w:ascii="Book Antiqua" w:hAnsi="Book Antiqua"/>
          <w:sz w:val="24"/>
          <w:szCs w:val="24"/>
          <w:lang w:val="en-GB"/>
        </w:rPr>
        <w:t xml:space="preserve">the </w:t>
      </w:r>
      <w:r w:rsidR="00F56A76" w:rsidRPr="002B2C64">
        <w:rPr>
          <w:rFonts w:ascii="Book Antiqua" w:hAnsi="Book Antiqua"/>
          <w:sz w:val="24"/>
          <w:szCs w:val="24"/>
          <w:lang w:val="en-GB"/>
        </w:rPr>
        <w:t xml:space="preserve">low group </w:t>
      </w:r>
      <w:r w:rsidR="00D2163B" w:rsidRPr="002B2C64">
        <w:rPr>
          <w:rFonts w:ascii="Book Antiqua" w:hAnsi="Book Antiqua"/>
          <w:sz w:val="24"/>
          <w:szCs w:val="24"/>
          <w:lang w:val="en-GB"/>
        </w:rPr>
        <w:t xml:space="preserve">as </w:t>
      </w:r>
      <w:r w:rsidR="00497915" w:rsidRPr="002B2C64">
        <w:rPr>
          <w:rFonts w:ascii="Book Antiqua" w:hAnsi="Book Antiqua"/>
          <w:sz w:val="24"/>
          <w:szCs w:val="24"/>
          <w:lang w:val="en-GB"/>
        </w:rPr>
        <w:t>compare</w:t>
      </w:r>
      <w:r w:rsidR="00D2163B" w:rsidRPr="002B2C64">
        <w:rPr>
          <w:rFonts w:ascii="Book Antiqua" w:hAnsi="Book Antiqua"/>
          <w:sz w:val="24"/>
          <w:szCs w:val="24"/>
          <w:lang w:val="en-GB"/>
        </w:rPr>
        <w:t>d</w:t>
      </w:r>
      <w:r w:rsidR="00497915" w:rsidRPr="002B2C64">
        <w:rPr>
          <w:rFonts w:ascii="Book Antiqua" w:hAnsi="Book Antiqua"/>
          <w:sz w:val="24"/>
          <w:szCs w:val="24"/>
          <w:lang w:val="en-GB"/>
        </w:rPr>
        <w:t xml:space="preserve"> to </w:t>
      </w:r>
      <w:r w:rsidR="00D2163B" w:rsidRPr="002B2C64">
        <w:rPr>
          <w:rFonts w:ascii="Book Antiqua" w:hAnsi="Book Antiqua"/>
          <w:sz w:val="24"/>
          <w:szCs w:val="24"/>
          <w:lang w:val="en-GB"/>
        </w:rPr>
        <w:t xml:space="preserve">the </w:t>
      </w:r>
      <w:r w:rsidR="00497915" w:rsidRPr="002B2C64">
        <w:rPr>
          <w:rFonts w:ascii="Book Antiqua" w:hAnsi="Book Antiqua"/>
          <w:sz w:val="24"/>
          <w:szCs w:val="24"/>
          <w:lang w:val="en-GB"/>
        </w:rPr>
        <w:t xml:space="preserve">high group </w:t>
      </w:r>
      <w:r w:rsidR="00497915" w:rsidRPr="002B2C64">
        <w:rPr>
          <w:rFonts w:ascii="Book Antiqua" w:hAnsi="Book Antiqua"/>
          <w:i/>
          <w:sz w:val="24"/>
          <w:szCs w:val="24"/>
          <w:lang w:val="en-GB"/>
        </w:rPr>
        <w:t>(</w:t>
      </w:r>
      <w:r w:rsidR="0061493E"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497915" w:rsidRPr="002B2C64">
        <w:rPr>
          <w:rFonts w:ascii="Book Antiqua" w:hAnsi="Book Antiqua"/>
          <w:i/>
          <w:sz w:val="24"/>
          <w:szCs w:val="24"/>
          <w:lang w:val="en-GB"/>
        </w:rPr>
        <w:t>=</w:t>
      </w:r>
      <w:r w:rsidR="00497915" w:rsidRPr="002B2C64">
        <w:rPr>
          <w:rFonts w:ascii="Book Antiqua" w:hAnsi="Book Antiqua"/>
          <w:sz w:val="24"/>
          <w:szCs w:val="24"/>
          <w:lang w:val="en-GB"/>
        </w:rPr>
        <w:t xml:space="preserve"> 0.071</w:t>
      </w:r>
      <w:r w:rsidR="00F56A76" w:rsidRPr="002B2C64">
        <w:rPr>
          <w:rFonts w:ascii="Book Antiqua" w:hAnsi="Book Antiqua"/>
          <w:sz w:val="24"/>
          <w:szCs w:val="24"/>
          <w:lang w:val="en-GB"/>
        </w:rPr>
        <w:t xml:space="preserve">; </w:t>
      </w:r>
      <w:r w:rsidR="0061493E" w:rsidRPr="002B2C64">
        <w:rPr>
          <w:rFonts w:ascii="Book Antiqua" w:hAnsi="Book Antiqua"/>
          <w:i/>
          <w:sz w:val="24"/>
          <w:szCs w:val="24"/>
          <w:lang w:val="en-GB"/>
        </w:rPr>
        <w:t>P</w:t>
      </w:r>
      <w:r w:rsidR="005958F9" w:rsidRPr="002B2C64">
        <w:rPr>
          <w:rFonts w:ascii="Book Antiqua" w:hAnsi="Book Antiqua"/>
          <w:i/>
          <w:sz w:val="24"/>
          <w:szCs w:val="24"/>
          <w:lang w:val="en-GB"/>
        </w:rPr>
        <w:t xml:space="preserve"> =</w:t>
      </w:r>
      <w:r w:rsidR="005958F9" w:rsidRPr="002B2C64">
        <w:rPr>
          <w:rFonts w:ascii="Book Antiqua" w:hAnsi="Book Antiqua"/>
          <w:sz w:val="24"/>
          <w:szCs w:val="24"/>
          <w:lang w:val="en-GB"/>
        </w:rPr>
        <w:t xml:space="preserve"> </w:t>
      </w:r>
      <w:r w:rsidR="00F56A76" w:rsidRPr="002B2C64">
        <w:rPr>
          <w:rFonts w:ascii="Book Antiqua" w:hAnsi="Book Antiqua"/>
          <w:sz w:val="24"/>
          <w:szCs w:val="24"/>
          <w:lang w:val="en-GB"/>
        </w:rPr>
        <w:t>0.072)</w:t>
      </w:r>
      <w:r w:rsidR="00F66268" w:rsidRPr="002B2C64">
        <w:rPr>
          <w:rFonts w:ascii="Book Antiqua" w:hAnsi="Book Antiqua"/>
          <w:sz w:val="24"/>
          <w:szCs w:val="24"/>
          <w:lang w:val="en-GB"/>
        </w:rPr>
        <w:t xml:space="preserve"> (Figure 2E-H)</w:t>
      </w:r>
      <w:r w:rsidR="00F56A76" w:rsidRPr="002B2C64">
        <w:rPr>
          <w:rFonts w:ascii="Book Antiqua" w:hAnsi="Book Antiqua"/>
          <w:sz w:val="24"/>
          <w:szCs w:val="24"/>
          <w:lang w:val="en-GB"/>
        </w:rPr>
        <w:t xml:space="preserve">. </w:t>
      </w:r>
    </w:p>
    <w:p w:rsidR="00A04AEA" w:rsidRPr="002B2C64" w:rsidRDefault="00503220" w:rsidP="0083105B">
      <w:pPr>
        <w:snapToGrid w:val="0"/>
        <w:spacing w:after="0" w:line="360" w:lineRule="auto"/>
        <w:ind w:firstLineChars="100" w:firstLine="240"/>
        <w:jc w:val="both"/>
        <w:rPr>
          <w:rFonts w:ascii="Book Antiqua" w:hAnsi="Book Antiqua"/>
          <w:sz w:val="24"/>
          <w:szCs w:val="24"/>
          <w:lang w:val="en-GB"/>
        </w:rPr>
      </w:pPr>
      <w:r w:rsidRPr="002B2C64">
        <w:rPr>
          <w:rFonts w:ascii="Book Antiqua" w:hAnsi="Book Antiqua"/>
          <w:sz w:val="24"/>
          <w:szCs w:val="24"/>
          <w:lang w:val="en-GB"/>
        </w:rPr>
        <w:t xml:space="preserve">Factors found to be predictive of 3-year DFS </w:t>
      </w:r>
      <w:r w:rsidR="00D2163B" w:rsidRPr="002B2C64">
        <w:rPr>
          <w:rFonts w:ascii="Book Antiqua" w:hAnsi="Book Antiqua"/>
          <w:sz w:val="24"/>
          <w:szCs w:val="24"/>
          <w:lang w:val="en-GB"/>
        </w:rPr>
        <w:t xml:space="preserve">in </w:t>
      </w:r>
      <w:r w:rsidRPr="002B2C64">
        <w:rPr>
          <w:rFonts w:ascii="Book Antiqua" w:hAnsi="Book Antiqua"/>
          <w:sz w:val="24"/>
          <w:szCs w:val="24"/>
          <w:lang w:val="en-GB"/>
        </w:rPr>
        <w:t>univariate Cox regression analysis include</w:t>
      </w:r>
      <w:r w:rsidR="00D2163B" w:rsidRPr="002B2C64">
        <w:rPr>
          <w:rFonts w:ascii="Book Antiqua" w:hAnsi="Book Antiqua"/>
          <w:sz w:val="24"/>
          <w:szCs w:val="24"/>
          <w:lang w:val="en-GB"/>
        </w:rPr>
        <w:t>d</w:t>
      </w:r>
      <w:r w:rsidRPr="002B2C64">
        <w:rPr>
          <w:rFonts w:ascii="Book Antiqua" w:hAnsi="Book Antiqua"/>
          <w:sz w:val="24"/>
          <w:szCs w:val="24"/>
          <w:lang w:val="en-GB"/>
        </w:rPr>
        <w:t xml:space="preserve">: </w:t>
      </w:r>
      <w:r w:rsidR="00C74360" w:rsidRPr="002B2C64">
        <w:rPr>
          <w:rFonts w:ascii="Book Antiqua" w:hAnsi="Book Antiqua"/>
          <w:sz w:val="24"/>
          <w:szCs w:val="24"/>
          <w:lang w:val="en-GB"/>
        </w:rPr>
        <w:t>the n</w:t>
      </w:r>
      <w:r w:rsidR="00C74360" w:rsidRPr="002B2C64">
        <w:rPr>
          <w:rFonts w:ascii="Book Antiqua" w:eastAsia="Calibri" w:hAnsi="Book Antiqua"/>
          <w:color w:val="auto"/>
          <w:sz w:val="24"/>
          <w:szCs w:val="24"/>
          <w:lang w:val="en-GB" w:eastAsia="pl-PL"/>
        </w:rPr>
        <w:t xml:space="preserve">umber of lymph nodes </w:t>
      </w:r>
      <w:r w:rsidR="00BA2521" w:rsidRPr="002B2C64">
        <w:rPr>
          <w:rFonts w:ascii="Book Antiqua" w:eastAsia="Calibri" w:hAnsi="Book Antiqua"/>
          <w:color w:val="auto"/>
          <w:sz w:val="24"/>
          <w:szCs w:val="24"/>
          <w:lang w:val="en-GB" w:eastAsia="pl-PL"/>
        </w:rPr>
        <w:t xml:space="preserve">removed </w:t>
      </w:r>
      <w:r w:rsidR="00C74360" w:rsidRPr="002B2C64">
        <w:rPr>
          <w:rFonts w:ascii="Book Antiqua" w:eastAsia="Calibri" w:hAnsi="Book Antiqua"/>
          <w:color w:val="auto"/>
          <w:sz w:val="24"/>
          <w:szCs w:val="24"/>
          <w:lang w:val="en-GB" w:eastAsia="pl-PL"/>
        </w:rPr>
        <w:t>(</w:t>
      </w:r>
      <w:r w:rsidR="00DC54A1" w:rsidRPr="002B2C64">
        <w:rPr>
          <w:rFonts w:ascii="Book Antiqua" w:eastAsia="Calibri" w:hAnsi="Book Antiqua"/>
          <w:color w:val="auto"/>
          <w:sz w:val="24"/>
          <w:szCs w:val="24"/>
          <w:lang w:val="en-GB" w:eastAsia="pl-PL"/>
        </w:rPr>
        <w:t>HR</w:t>
      </w:r>
      <w:r w:rsidR="005958F9" w:rsidRPr="002B2C64">
        <w:rPr>
          <w:rFonts w:ascii="Book Antiqua" w:eastAsia="Calibri" w:hAnsi="Book Antiqua"/>
          <w:color w:val="auto"/>
          <w:sz w:val="24"/>
          <w:szCs w:val="24"/>
          <w:lang w:val="en-GB" w:eastAsia="pl-PL"/>
        </w:rPr>
        <w:t xml:space="preserve"> </w:t>
      </w:r>
      <w:r w:rsidR="005958F9" w:rsidRPr="002B2C64">
        <w:rPr>
          <w:rFonts w:ascii="Book Antiqua" w:eastAsia="Calibri" w:hAnsi="Book Antiqua"/>
          <w:i/>
          <w:color w:val="auto"/>
          <w:sz w:val="24"/>
          <w:szCs w:val="24"/>
          <w:lang w:val="en-GB" w:eastAsia="pl-PL"/>
        </w:rPr>
        <w:t>=</w:t>
      </w:r>
      <w:r w:rsidR="005958F9" w:rsidRPr="002B2C64">
        <w:rPr>
          <w:rFonts w:ascii="Book Antiqua" w:eastAsia="Calibri" w:hAnsi="Book Antiqua"/>
          <w:color w:val="auto"/>
          <w:sz w:val="24"/>
          <w:szCs w:val="24"/>
          <w:lang w:val="en-GB" w:eastAsia="pl-PL"/>
        </w:rPr>
        <w:t xml:space="preserve"> </w:t>
      </w:r>
      <w:r w:rsidR="008E74BD" w:rsidRPr="002B2C64">
        <w:rPr>
          <w:rFonts w:ascii="Book Antiqua" w:eastAsia="Calibri" w:hAnsi="Book Antiqua"/>
          <w:color w:val="auto"/>
          <w:sz w:val="24"/>
          <w:szCs w:val="24"/>
          <w:lang w:val="en-GB"/>
        </w:rPr>
        <w:t>0.415</w:t>
      </w:r>
      <w:r w:rsidR="008217A9" w:rsidRPr="002B2C64">
        <w:rPr>
          <w:rFonts w:ascii="Book Antiqua" w:eastAsia="Calibri" w:hAnsi="Book Antiqua"/>
          <w:color w:val="auto"/>
          <w:sz w:val="24"/>
          <w:szCs w:val="24"/>
          <w:lang w:val="en-GB" w:eastAsia="pl-PL"/>
        </w:rPr>
        <w:t>, 95%CI:</w:t>
      </w:r>
      <w:r w:rsidR="004F5E36" w:rsidRPr="002B2C64">
        <w:rPr>
          <w:rFonts w:ascii="Book Antiqua" w:eastAsia="Calibri" w:hAnsi="Book Antiqua"/>
          <w:color w:val="auto"/>
          <w:sz w:val="24"/>
          <w:szCs w:val="24"/>
          <w:lang w:val="en-GB"/>
        </w:rPr>
        <w:t xml:space="preserve"> 0.193-0.890</w:t>
      </w:r>
      <w:r w:rsidR="008217A9" w:rsidRPr="002B2C64">
        <w:rPr>
          <w:rFonts w:ascii="Book Antiqua" w:eastAsia="Calibri" w:hAnsi="Book Antiqua"/>
          <w:color w:val="auto"/>
          <w:sz w:val="24"/>
          <w:szCs w:val="24"/>
          <w:lang w:val="en-GB" w:eastAsia="pl-PL"/>
        </w:rPr>
        <w:t xml:space="preserve">, </w:t>
      </w:r>
      <w:r w:rsidR="0061493E" w:rsidRPr="002B2C64">
        <w:rPr>
          <w:rFonts w:ascii="Book Antiqua" w:eastAsia="Calibri" w:hAnsi="Book Antiqua"/>
          <w:i/>
          <w:color w:val="auto"/>
          <w:sz w:val="24"/>
          <w:szCs w:val="24"/>
          <w:lang w:val="en-GB" w:eastAsia="pl-PL"/>
        </w:rPr>
        <w:t>P</w:t>
      </w:r>
      <w:r w:rsidR="005958F9" w:rsidRPr="002B2C64">
        <w:rPr>
          <w:rFonts w:ascii="Book Antiqua" w:eastAsia="Calibri" w:hAnsi="Book Antiqua"/>
          <w:i/>
          <w:color w:val="auto"/>
          <w:sz w:val="24"/>
          <w:szCs w:val="24"/>
          <w:lang w:val="en-GB" w:eastAsia="pl-PL"/>
        </w:rPr>
        <w:t xml:space="preserve"> =</w:t>
      </w:r>
      <w:r w:rsidR="005958F9" w:rsidRPr="002B2C64">
        <w:rPr>
          <w:rFonts w:ascii="Book Antiqua" w:eastAsia="Calibri" w:hAnsi="Book Antiqua"/>
          <w:color w:val="auto"/>
          <w:sz w:val="24"/>
          <w:szCs w:val="24"/>
          <w:lang w:val="en-GB" w:eastAsia="pl-PL"/>
        </w:rPr>
        <w:t xml:space="preserve"> </w:t>
      </w:r>
      <w:r w:rsidR="00C74360" w:rsidRPr="002B2C64">
        <w:rPr>
          <w:rFonts w:ascii="Book Antiqua" w:eastAsia="Calibri" w:hAnsi="Book Antiqua"/>
          <w:color w:val="auto"/>
          <w:sz w:val="24"/>
          <w:szCs w:val="24"/>
          <w:lang w:val="en-GB" w:eastAsia="pl-PL"/>
        </w:rPr>
        <w:t xml:space="preserve">0.023), </w:t>
      </w:r>
      <w:r w:rsidR="00C74360" w:rsidRPr="002B2C64">
        <w:rPr>
          <w:rFonts w:ascii="Book Antiqua" w:eastAsia="Calibri" w:hAnsi="Book Antiqua"/>
          <w:color w:val="auto"/>
          <w:sz w:val="24"/>
          <w:szCs w:val="24"/>
          <w:lang w:val="en-GB"/>
        </w:rPr>
        <w:t xml:space="preserve">invasion of </w:t>
      </w:r>
      <w:r w:rsidR="00BA2521" w:rsidRPr="002B2C64">
        <w:rPr>
          <w:rFonts w:ascii="Book Antiqua" w:eastAsia="Calibri" w:hAnsi="Book Antiqua"/>
          <w:color w:val="auto"/>
          <w:sz w:val="24"/>
          <w:szCs w:val="24"/>
          <w:lang w:val="en-GB"/>
        </w:rPr>
        <w:t xml:space="preserve">the </w:t>
      </w:r>
      <w:r w:rsidR="00C74360" w:rsidRPr="002B2C64">
        <w:rPr>
          <w:rFonts w:ascii="Book Antiqua" w:eastAsia="Calibri" w:hAnsi="Book Antiqua"/>
          <w:color w:val="auto"/>
          <w:sz w:val="24"/>
          <w:szCs w:val="24"/>
          <w:lang w:val="en-GB"/>
        </w:rPr>
        <w:t>lymph node pouch (</w:t>
      </w:r>
      <w:r w:rsidR="00DC54A1" w:rsidRPr="002B2C64">
        <w:rPr>
          <w:rFonts w:ascii="Book Antiqua" w:eastAsia="Calibri" w:hAnsi="Book Antiqua"/>
          <w:color w:val="auto"/>
          <w:sz w:val="24"/>
          <w:szCs w:val="24"/>
          <w:lang w:val="en-GB" w:eastAsia="pl-PL"/>
        </w:rPr>
        <w:t>HR</w:t>
      </w:r>
      <w:r w:rsidR="005958F9" w:rsidRPr="002B2C64">
        <w:rPr>
          <w:rFonts w:ascii="Book Antiqua" w:eastAsia="Calibri" w:hAnsi="Book Antiqua"/>
          <w:color w:val="auto"/>
          <w:sz w:val="24"/>
          <w:szCs w:val="24"/>
          <w:lang w:val="en-GB" w:eastAsia="pl-PL"/>
        </w:rPr>
        <w:t xml:space="preserve"> </w:t>
      </w:r>
      <w:r w:rsidR="005958F9" w:rsidRPr="002B2C64">
        <w:rPr>
          <w:rFonts w:ascii="Book Antiqua" w:eastAsia="Calibri" w:hAnsi="Book Antiqua"/>
          <w:i/>
          <w:color w:val="auto"/>
          <w:sz w:val="24"/>
          <w:szCs w:val="24"/>
          <w:lang w:val="en-GB" w:eastAsia="pl-PL"/>
        </w:rPr>
        <w:t>=</w:t>
      </w:r>
      <w:r w:rsidR="005958F9" w:rsidRPr="002B2C64">
        <w:rPr>
          <w:rFonts w:ascii="Book Antiqua" w:eastAsia="Calibri" w:hAnsi="Book Antiqua"/>
          <w:color w:val="auto"/>
          <w:sz w:val="24"/>
          <w:szCs w:val="24"/>
          <w:lang w:val="en-GB" w:eastAsia="pl-PL"/>
        </w:rPr>
        <w:t xml:space="preserve"> </w:t>
      </w:r>
      <w:r w:rsidR="008E74BD" w:rsidRPr="002B2C64">
        <w:rPr>
          <w:rFonts w:ascii="Book Antiqua" w:eastAsia="Calibri" w:hAnsi="Book Antiqua"/>
          <w:color w:val="auto"/>
          <w:sz w:val="24"/>
          <w:szCs w:val="24"/>
          <w:lang w:val="en-GB"/>
        </w:rPr>
        <w:t>14.191</w:t>
      </w:r>
      <w:r w:rsidR="008217A9" w:rsidRPr="002B2C64">
        <w:rPr>
          <w:rFonts w:ascii="Book Antiqua" w:eastAsia="Calibri" w:hAnsi="Book Antiqua"/>
          <w:color w:val="auto"/>
          <w:sz w:val="24"/>
          <w:szCs w:val="24"/>
          <w:lang w:val="en-GB" w:eastAsia="pl-PL"/>
        </w:rPr>
        <w:t>, 95%</w:t>
      </w:r>
      <w:r w:rsidR="00DC54A1" w:rsidRPr="002B2C64">
        <w:rPr>
          <w:rFonts w:ascii="Book Antiqua" w:eastAsia="Calibri" w:hAnsi="Book Antiqua"/>
          <w:color w:val="auto"/>
          <w:sz w:val="24"/>
          <w:szCs w:val="24"/>
          <w:lang w:val="en-GB" w:eastAsia="pl-PL"/>
        </w:rPr>
        <w:t>CI:</w:t>
      </w:r>
      <w:r w:rsidR="004F5E36" w:rsidRPr="002B2C64">
        <w:rPr>
          <w:rFonts w:ascii="Book Antiqua" w:eastAsia="Calibri" w:hAnsi="Book Antiqua"/>
          <w:color w:val="auto"/>
          <w:sz w:val="24"/>
          <w:szCs w:val="24"/>
          <w:lang w:val="en-GB" w:eastAsia="pl-PL"/>
        </w:rPr>
        <w:t xml:space="preserve"> </w:t>
      </w:r>
      <w:r w:rsidR="004F5E36" w:rsidRPr="002B2C64">
        <w:rPr>
          <w:rFonts w:ascii="Book Antiqua" w:eastAsia="Calibri" w:hAnsi="Book Antiqua"/>
          <w:color w:val="auto"/>
          <w:sz w:val="24"/>
          <w:szCs w:val="24"/>
          <w:lang w:val="en-GB"/>
        </w:rPr>
        <w:t>1.458-138.08</w:t>
      </w:r>
      <w:r w:rsidR="008217A9" w:rsidRPr="002B2C64">
        <w:rPr>
          <w:rFonts w:ascii="Book Antiqua" w:eastAsia="Calibri" w:hAnsi="Book Antiqua"/>
          <w:color w:val="auto"/>
          <w:sz w:val="24"/>
          <w:szCs w:val="24"/>
          <w:lang w:val="en-GB" w:eastAsia="pl-PL"/>
        </w:rPr>
        <w:t xml:space="preserve">, </w:t>
      </w:r>
      <w:r w:rsidR="0061493E" w:rsidRPr="002B2C64">
        <w:rPr>
          <w:rFonts w:ascii="Book Antiqua" w:eastAsia="Calibri" w:hAnsi="Book Antiqua"/>
          <w:i/>
          <w:color w:val="auto"/>
          <w:sz w:val="24"/>
          <w:szCs w:val="24"/>
          <w:lang w:val="en-GB"/>
        </w:rPr>
        <w:t>P</w:t>
      </w:r>
      <w:r w:rsidR="005958F9" w:rsidRPr="002B2C64">
        <w:rPr>
          <w:rFonts w:ascii="Book Antiqua" w:eastAsia="Calibri" w:hAnsi="Book Antiqua"/>
          <w:i/>
          <w:color w:val="auto"/>
          <w:sz w:val="24"/>
          <w:szCs w:val="24"/>
          <w:lang w:val="en-GB"/>
        </w:rPr>
        <w:t xml:space="preserve"> </w:t>
      </w:r>
      <w:r w:rsidR="005958F9" w:rsidRPr="002B2C64">
        <w:rPr>
          <w:rFonts w:ascii="Book Antiqua" w:eastAsia="Calibri" w:hAnsi="Book Antiqua"/>
          <w:i/>
          <w:color w:val="auto"/>
          <w:sz w:val="24"/>
          <w:szCs w:val="24"/>
          <w:lang w:val="en-GB" w:eastAsia="pl-PL"/>
        </w:rPr>
        <w:t>=</w:t>
      </w:r>
      <w:r w:rsidR="005958F9" w:rsidRPr="002B2C64">
        <w:rPr>
          <w:rFonts w:ascii="Book Antiqua" w:eastAsia="Calibri" w:hAnsi="Book Antiqua"/>
          <w:color w:val="auto"/>
          <w:sz w:val="24"/>
          <w:szCs w:val="24"/>
          <w:lang w:val="en-GB" w:eastAsia="pl-PL"/>
        </w:rPr>
        <w:t xml:space="preserve"> </w:t>
      </w:r>
      <w:r w:rsidR="00C74360" w:rsidRPr="002B2C64">
        <w:rPr>
          <w:rFonts w:ascii="Book Antiqua" w:eastAsia="Calibri" w:hAnsi="Book Antiqua"/>
          <w:color w:val="auto"/>
          <w:sz w:val="24"/>
          <w:szCs w:val="24"/>
          <w:lang w:val="en-GB"/>
        </w:rPr>
        <w:t>0.022), inflammatory cell infiltration in the invasive front (</w:t>
      </w:r>
      <w:r w:rsidR="008217A9" w:rsidRPr="002B2C64">
        <w:rPr>
          <w:rFonts w:ascii="Book Antiqua" w:eastAsia="Calibri" w:hAnsi="Book Antiqua"/>
          <w:color w:val="auto"/>
          <w:sz w:val="24"/>
          <w:szCs w:val="24"/>
          <w:lang w:val="en-GB" w:eastAsia="pl-PL"/>
        </w:rPr>
        <w:t xml:space="preserve">HR </w:t>
      </w:r>
      <w:r w:rsidR="005958F9" w:rsidRPr="002B2C64">
        <w:rPr>
          <w:rFonts w:ascii="Book Antiqua" w:eastAsia="Calibri" w:hAnsi="Book Antiqua"/>
          <w:i/>
          <w:color w:val="auto"/>
          <w:sz w:val="24"/>
          <w:szCs w:val="24"/>
          <w:lang w:val="en-GB" w:eastAsia="pl-PL"/>
        </w:rPr>
        <w:t>=</w:t>
      </w:r>
      <w:r w:rsidR="005958F9" w:rsidRPr="002B2C64">
        <w:rPr>
          <w:rFonts w:ascii="Book Antiqua" w:eastAsia="Calibri" w:hAnsi="Book Antiqua"/>
          <w:color w:val="auto"/>
          <w:sz w:val="24"/>
          <w:szCs w:val="24"/>
          <w:lang w:val="en-GB" w:eastAsia="pl-PL"/>
        </w:rPr>
        <w:t xml:space="preserve"> </w:t>
      </w:r>
      <w:r w:rsidR="00675E29" w:rsidRPr="002B2C64">
        <w:rPr>
          <w:rFonts w:ascii="Book Antiqua" w:eastAsia="Calibri" w:hAnsi="Book Antiqua"/>
          <w:color w:val="auto"/>
          <w:sz w:val="24"/>
          <w:szCs w:val="24"/>
          <w:lang w:val="en-GB"/>
        </w:rPr>
        <w:t>1.590</w:t>
      </w:r>
      <w:r w:rsidR="008217A9" w:rsidRPr="002B2C64">
        <w:rPr>
          <w:rFonts w:ascii="Book Antiqua" w:eastAsia="Calibri" w:hAnsi="Book Antiqua"/>
          <w:color w:val="auto"/>
          <w:sz w:val="24"/>
          <w:szCs w:val="24"/>
          <w:lang w:val="en-GB" w:eastAsia="pl-PL"/>
        </w:rPr>
        <w:t xml:space="preserve">, 95%CI: </w:t>
      </w:r>
      <w:r w:rsidR="004F5E36" w:rsidRPr="002B2C64">
        <w:rPr>
          <w:rFonts w:ascii="Book Antiqua" w:eastAsia="Calibri" w:hAnsi="Book Antiqua"/>
          <w:color w:val="auto"/>
          <w:sz w:val="24"/>
          <w:szCs w:val="24"/>
          <w:lang w:val="en-GB"/>
        </w:rPr>
        <w:t>1.011-2.525</w:t>
      </w:r>
      <w:r w:rsidR="008217A9" w:rsidRPr="002B2C64">
        <w:rPr>
          <w:rFonts w:ascii="Book Antiqua" w:eastAsia="Calibri" w:hAnsi="Book Antiqua"/>
          <w:color w:val="auto"/>
          <w:sz w:val="24"/>
          <w:szCs w:val="24"/>
          <w:lang w:val="en-GB" w:eastAsia="pl-PL"/>
        </w:rPr>
        <w:t xml:space="preserve">, </w:t>
      </w:r>
      <w:r w:rsidR="0061493E" w:rsidRPr="002B2C64">
        <w:rPr>
          <w:rFonts w:ascii="Book Antiqua" w:eastAsia="Calibri" w:hAnsi="Book Antiqua"/>
          <w:i/>
          <w:color w:val="auto"/>
          <w:sz w:val="24"/>
          <w:szCs w:val="24"/>
          <w:lang w:val="en-GB"/>
        </w:rPr>
        <w:t>P</w:t>
      </w:r>
      <w:r w:rsidR="005958F9" w:rsidRPr="002B2C64">
        <w:rPr>
          <w:rFonts w:ascii="Book Antiqua" w:eastAsia="Calibri" w:hAnsi="Book Antiqua"/>
          <w:i/>
          <w:color w:val="auto"/>
          <w:sz w:val="24"/>
          <w:szCs w:val="24"/>
          <w:lang w:val="en-GB"/>
        </w:rPr>
        <w:t xml:space="preserve"> </w:t>
      </w:r>
      <w:r w:rsidR="005958F9" w:rsidRPr="002B2C64">
        <w:rPr>
          <w:rFonts w:ascii="Book Antiqua" w:eastAsia="Calibri" w:hAnsi="Book Antiqua"/>
          <w:i/>
          <w:color w:val="auto"/>
          <w:sz w:val="24"/>
          <w:szCs w:val="24"/>
          <w:lang w:val="en-GB" w:eastAsia="pl-PL"/>
        </w:rPr>
        <w:t>=</w:t>
      </w:r>
      <w:r w:rsidR="005958F9" w:rsidRPr="002B2C64">
        <w:rPr>
          <w:rFonts w:ascii="Book Antiqua" w:eastAsia="Calibri" w:hAnsi="Book Antiqua"/>
          <w:color w:val="auto"/>
          <w:sz w:val="24"/>
          <w:szCs w:val="24"/>
          <w:lang w:val="en-GB" w:eastAsia="pl-PL"/>
        </w:rPr>
        <w:t xml:space="preserve"> </w:t>
      </w:r>
      <w:r w:rsidR="00C74360" w:rsidRPr="002B2C64">
        <w:rPr>
          <w:rFonts w:ascii="Book Antiqua" w:eastAsia="Calibri" w:hAnsi="Book Antiqua"/>
          <w:color w:val="auto"/>
          <w:sz w:val="24"/>
          <w:szCs w:val="24"/>
          <w:lang w:val="en-GB"/>
        </w:rPr>
        <w:t>0.044) and MLR obtained before surgery (</w:t>
      </w:r>
      <w:r w:rsidR="008217A9" w:rsidRPr="002B2C64">
        <w:rPr>
          <w:rFonts w:ascii="Book Antiqua" w:eastAsia="Calibri" w:hAnsi="Book Antiqua"/>
          <w:color w:val="auto"/>
          <w:sz w:val="24"/>
          <w:szCs w:val="24"/>
          <w:lang w:val="en-GB" w:eastAsia="pl-PL"/>
        </w:rPr>
        <w:t>HR</w:t>
      </w:r>
      <w:r w:rsidR="002227A3" w:rsidRPr="002B2C64">
        <w:rPr>
          <w:rFonts w:ascii="Book Antiqua" w:eastAsia="Calibri" w:hAnsi="Book Antiqua"/>
          <w:color w:val="auto"/>
          <w:sz w:val="24"/>
          <w:szCs w:val="24"/>
          <w:lang w:val="en-GB" w:eastAsia="pl-PL"/>
        </w:rPr>
        <w:t xml:space="preserve"> </w:t>
      </w:r>
      <w:r w:rsidR="002227A3" w:rsidRPr="002B2C64">
        <w:rPr>
          <w:rFonts w:ascii="Book Antiqua" w:eastAsia="Calibri" w:hAnsi="Book Antiqua"/>
          <w:i/>
          <w:color w:val="auto"/>
          <w:sz w:val="24"/>
          <w:szCs w:val="24"/>
          <w:lang w:val="en-GB" w:eastAsia="pl-PL"/>
        </w:rPr>
        <w:t>=</w:t>
      </w:r>
      <w:r w:rsidR="002227A3" w:rsidRPr="002B2C64">
        <w:rPr>
          <w:rFonts w:ascii="Book Antiqua" w:eastAsia="Calibri" w:hAnsi="Book Antiqua"/>
          <w:color w:val="auto"/>
          <w:sz w:val="24"/>
          <w:szCs w:val="24"/>
          <w:lang w:val="en-GB" w:eastAsia="pl-PL"/>
        </w:rPr>
        <w:t xml:space="preserve"> </w:t>
      </w:r>
      <w:r w:rsidR="00CD62A5" w:rsidRPr="002B2C64">
        <w:rPr>
          <w:rFonts w:ascii="Book Antiqua" w:eastAsia="Calibri" w:hAnsi="Book Antiqua"/>
          <w:color w:val="auto"/>
          <w:sz w:val="24"/>
          <w:szCs w:val="24"/>
          <w:lang w:val="en-GB"/>
        </w:rPr>
        <w:t>2.000</w:t>
      </w:r>
      <w:r w:rsidR="008217A9" w:rsidRPr="002B2C64">
        <w:rPr>
          <w:rFonts w:ascii="Book Antiqua" w:eastAsia="Calibri" w:hAnsi="Book Antiqua"/>
          <w:color w:val="auto"/>
          <w:sz w:val="24"/>
          <w:szCs w:val="24"/>
          <w:lang w:val="en-GB" w:eastAsia="pl-PL"/>
        </w:rPr>
        <w:t>, 95%</w:t>
      </w:r>
      <w:r w:rsidR="00DC54A1" w:rsidRPr="002B2C64">
        <w:rPr>
          <w:rFonts w:ascii="Book Antiqua" w:eastAsia="Calibri" w:hAnsi="Book Antiqua"/>
          <w:color w:val="auto"/>
          <w:sz w:val="24"/>
          <w:szCs w:val="24"/>
          <w:lang w:val="en-GB" w:eastAsia="pl-PL"/>
        </w:rPr>
        <w:t>CI:</w:t>
      </w:r>
      <w:r w:rsidR="004F5E36" w:rsidRPr="002B2C64">
        <w:rPr>
          <w:rFonts w:ascii="Book Antiqua" w:eastAsia="Calibri" w:hAnsi="Book Antiqua"/>
          <w:color w:val="auto"/>
          <w:sz w:val="24"/>
          <w:szCs w:val="24"/>
          <w:lang w:val="en-GB"/>
        </w:rPr>
        <w:t xml:space="preserve"> 0.814-5.063</w:t>
      </w:r>
      <w:r w:rsidR="008217A9" w:rsidRPr="002B2C64">
        <w:rPr>
          <w:rFonts w:ascii="Book Antiqua" w:eastAsia="Calibri" w:hAnsi="Book Antiqua"/>
          <w:color w:val="auto"/>
          <w:sz w:val="24"/>
          <w:szCs w:val="24"/>
          <w:lang w:val="en-GB" w:eastAsia="pl-PL"/>
        </w:rPr>
        <w:t xml:space="preserve">, </w:t>
      </w:r>
      <w:r w:rsidR="0061493E" w:rsidRPr="002B2C64">
        <w:rPr>
          <w:rFonts w:ascii="Book Antiqua" w:eastAsia="Calibri" w:hAnsi="Book Antiqua"/>
          <w:i/>
          <w:color w:val="auto"/>
          <w:sz w:val="24"/>
          <w:szCs w:val="24"/>
          <w:lang w:val="en-GB"/>
        </w:rPr>
        <w:t>P</w:t>
      </w:r>
      <w:r w:rsidR="002227A3" w:rsidRPr="002B2C64">
        <w:rPr>
          <w:rFonts w:ascii="Book Antiqua" w:eastAsia="Calibri" w:hAnsi="Book Antiqua"/>
          <w:i/>
          <w:color w:val="auto"/>
          <w:sz w:val="24"/>
          <w:szCs w:val="24"/>
          <w:lang w:val="en-GB"/>
        </w:rPr>
        <w:t xml:space="preserve"> </w:t>
      </w:r>
      <w:r w:rsidR="002227A3" w:rsidRPr="002B2C64">
        <w:rPr>
          <w:rFonts w:ascii="Book Antiqua" w:eastAsia="Calibri" w:hAnsi="Book Antiqua"/>
          <w:i/>
          <w:color w:val="auto"/>
          <w:sz w:val="24"/>
          <w:szCs w:val="24"/>
          <w:lang w:val="en-GB" w:eastAsia="pl-PL"/>
        </w:rPr>
        <w:t>=</w:t>
      </w:r>
      <w:r w:rsidR="002227A3" w:rsidRPr="002B2C64">
        <w:rPr>
          <w:rFonts w:ascii="Book Antiqua" w:eastAsia="Calibri" w:hAnsi="Book Antiqua"/>
          <w:color w:val="auto"/>
          <w:sz w:val="24"/>
          <w:szCs w:val="24"/>
          <w:lang w:val="en-GB" w:eastAsia="pl-PL"/>
        </w:rPr>
        <w:t xml:space="preserve"> </w:t>
      </w:r>
      <w:r w:rsidR="00C74360" w:rsidRPr="002B2C64">
        <w:rPr>
          <w:rFonts w:ascii="Book Antiqua" w:eastAsia="Calibri" w:hAnsi="Book Antiqua"/>
          <w:color w:val="auto"/>
          <w:sz w:val="24"/>
          <w:szCs w:val="24"/>
          <w:lang w:val="en-GB"/>
        </w:rPr>
        <w:t>0.015).</w:t>
      </w:r>
      <w:r w:rsidR="00DC54A1" w:rsidRPr="002B2C64">
        <w:rPr>
          <w:rFonts w:ascii="Book Antiqua" w:eastAsia="Calibri" w:hAnsi="Book Antiqua"/>
          <w:color w:val="auto"/>
          <w:sz w:val="24"/>
          <w:szCs w:val="24"/>
          <w:lang w:val="en-GB"/>
        </w:rPr>
        <w:t xml:space="preserve"> </w:t>
      </w:r>
      <w:r w:rsidRPr="002B2C64">
        <w:rPr>
          <w:rFonts w:ascii="Book Antiqua" w:hAnsi="Book Antiqua"/>
          <w:sz w:val="24"/>
          <w:szCs w:val="24"/>
          <w:lang w:val="en-GB"/>
        </w:rPr>
        <w:t>According</w:t>
      </w:r>
      <w:r w:rsidR="00DC54A1" w:rsidRPr="002B2C64">
        <w:rPr>
          <w:rFonts w:ascii="Book Antiqua" w:hAnsi="Book Antiqua"/>
          <w:sz w:val="24"/>
          <w:szCs w:val="24"/>
          <w:lang w:val="en-GB"/>
        </w:rPr>
        <w:t xml:space="preserve"> </w:t>
      </w:r>
      <w:r w:rsidRPr="002B2C64">
        <w:rPr>
          <w:rFonts w:ascii="Book Antiqua" w:hAnsi="Book Antiqua"/>
          <w:sz w:val="24"/>
          <w:szCs w:val="24"/>
          <w:lang w:val="en-GB"/>
        </w:rPr>
        <w:t xml:space="preserve">to </w:t>
      </w:r>
      <w:r w:rsidR="00D2163B" w:rsidRPr="002B2C64">
        <w:rPr>
          <w:rFonts w:ascii="Book Antiqua" w:hAnsi="Book Antiqua"/>
          <w:sz w:val="24"/>
          <w:szCs w:val="24"/>
          <w:lang w:val="en-GB"/>
        </w:rPr>
        <w:t xml:space="preserve">the </w:t>
      </w:r>
      <w:r w:rsidRPr="002B2C64">
        <w:rPr>
          <w:rFonts w:ascii="Book Antiqua" w:hAnsi="Book Antiqua"/>
          <w:sz w:val="24"/>
          <w:szCs w:val="24"/>
          <w:lang w:val="en-GB"/>
        </w:rPr>
        <w:t xml:space="preserve">multivariate </w:t>
      </w:r>
      <w:r w:rsidR="00332FC0" w:rsidRPr="002B2C64">
        <w:rPr>
          <w:rFonts w:ascii="Book Antiqua" w:hAnsi="Book Antiqua"/>
          <w:sz w:val="24"/>
          <w:szCs w:val="24"/>
          <w:lang w:val="en-GB"/>
        </w:rPr>
        <w:t>Cox</w:t>
      </w:r>
      <w:r w:rsidRPr="002B2C64">
        <w:rPr>
          <w:rFonts w:ascii="Book Antiqua" w:hAnsi="Book Antiqua"/>
          <w:sz w:val="24"/>
          <w:szCs w:val="24"/>
          <w:lang w:val="en-GB"/>
        </w:rPr>
        <w:t xml:space="preserve"> proportional model</w:t>
      </w:r>
      <w:r w:rsidR="00D2163B" w:rsidRPr="002B2C64">
        <w:rPr>
          <w:rFonts w:ascii="Book Antiqua" w:hAnsi="Book Antiqua"/>
          <w:sz w:val="24"/>
          <w:szCs w:val="24"/>
          <w:lang w:val="en-GB"/>
        </w:rPr>
        <w:t>,</w:t>
      </w:r>
      <w:r w:rsidRPr="002B2C64">
        <w:rPr>
          <w:rFonts w:ascii="Book Antiqua" w:hAnsi="Book Antiqua"/>
          <w:sz w:val="24"/>
          <w:szCs w:val="24"/>
          <w:lang w:val="en-GB"/>
        </w:rPr>
        <w:t xml:space="preserve"> </w:t>
      </w:r>
      <w:r w:rsidR="00F40704" w:rsidRPr="002B2C64">
        <w:rPr>
          <w:rFonts w:ascii="Book Antiqua" w:hAnsi="Book Antiqua"/>
          <w:sz w:val="24"/>
          <w:szCs w:val="24"/>
          <w:lang w:val="en-GB"/>
        </w:rPr>
        <w:t>the n</w:t>
      </w:r>
      <w:r w:rsidR="00F40704" w:rsidRPr="002B2C64">
        <w:rPr>
          <w:rFonts w:ascii="Book Antiqua" w:eastAsia="Calibri" w:hAnsi="Book Antiqua"/>
          <w:color w:val="auto"/>
          <w:sz w:val="24"/>
          <w:szCs w:val="24"/>
          <w:lang w:val="en-GB" w:eastAsia="pl-PL"/>
        </w:rPr>
        <w:t xml:space="preserve">umber of lymph nodes </w:t>
      </w:r>
      <w:r w:rsidR="00BA2521" w:rsidRPr="002B2C64">
        <w:rPr>
          <w:rFonts w:ascii="Book Antiqua" w:eastAsia="Calibri" w:hAnsi="Book Antiqua"/>
          <w:color w:val="auto"/>
          <w:sz w:val="24"/>
          <w:szCs w:val="24"/>
          <w:lang w:val="en-GB" w:eastAsia="pl-PL"/>
        </w:rPr>
        <w:t>removed</w:t>
      </w:r>
      <w:r w:rsidR="00BA2521" w:rsidRPr="002B2C64">
        <w:rPr>
          <w:rFonts w:ascii="Book Antiqua" w:eastAsia="Calibri" w:hAnsi="Book Antiqua"/>
          <w:i/>
          <w:color w:val="auto"/>
          <w:sz w:val="24"/>
          <w:szCs w:val="24"/>
          <w:lang w:val="en-GB" w:eastAsia="pl-PL"/>
        </w:rPr>
        <w:t xml:space="preserve"> </w:t>
      </w:r>
      <w:r w:rsidR="00F40704" w:rsidRPr="002B2C64">
        <w:rPr>
          <w:rFonts w:ascii="Book Antiqua" w:eastAsia="Calibri" w:hAnsi="Book Antiqua"/>
          <w:i/>
          <w:color w:val="auto"/>
          <w:sz w:val="24"/>
          <w:szCs w:val="24"/>
          <w:lang w:val="en-GB" w:eastAsia="pl-PL"/>
        </w:rPr>
        <w:t>(</w:t>
      </w:r>
      <w:r w:rsidR="0061493E" w:rsidRPr="002B2C64">
        <w:rPr>
          <w:rFonts w:ascii="Book Antiqua" w:eastAsia="Calibri" w:hAnsi="Book Antiqua"/>
          <w:i/>
          <w:color w:val="auto"/>
          <w:sz w:val="24"/>
          <w:szCs w:val="24"/>
          <w:lang w:val="en-GB" w:eastAsia="pl-PL"/>
        </w:rPr>
        <w:t>P</w:t>
      </w:r>
      <w:r w:rsidR="002227A3" w:rsidRPr="002B2C64">
        <w:rPr>
          <w:rFonts w:ascii="Book Antiqua" w:eastAsia="Calibri" w:hAnsi="Book Antiqua"/>
          <w:i/>
          <w:color w:val="auto"/>
          <w:sz w:val="24"/>
          <w:szCs w:val="24"/>
          <w:lang w:val="en-GB" w:eastAsia="pl-PL"/>
        </w:rPr>
        <w:t xml:space="preserve"> </w:t>
      </w:r>
      <w:r w:rsidR="00F40704" w:rsidRPr="002B2C64">
        <w:rPr>
          <w:rFonts w:ascii="Book Antiqua" w:eastAsia="Calibri" w:hAnsi="Book Antiqua"/>
          <w:i/>
          <w:color w:val="auto"/>
          <w:sz w:val="24"/>
          <w:szCs w:val="24"/>
          <w:lang w:val="en-GB" w:eastAsia="pl-PL"/>
        </w:rPr>
        <w:t>=</w:t>
      </w:r>
      <w:r w:rsidR="002227A3" w:rsidRPr="002B2C64">
        <w:rPr>
          <w:rFonts w:ascii="Book Antiqua" w:eastAsia="Calibri" w:hAnsi="Book Antiqua"/>
          <w:i/>
          <w:color w:val="auto"/>
          <w:sz w:val="24"/>
          <w:szCs w:val="24"/>
          <w:lang w:val="en-GB" w:eastAsia="pl-PL"/>
        </w:rPr>
        <w:t xml:space="preserve"> </w:t>
      </w:r>
      <w:r w:rsidR="00F40704" w:rsidRPr="002B2C64">
        <w:rPr>
          <w:rFonts w:ascii="Book Antiqua" w:eastAsia="Calibri" w:hAnsi="Book Antiqua"/>
          <w:color w:val="auto"/>
          <w:sz w:val="24"/>
          <w:szCs w:val="24"/>
          <w:lang w:val="en-GB" w:eastAsia="pl-PL"/>
        </w:rPr>
        <w:t xml:space="preserve">0.020) </w:t>
      </w:r>
      <w:r w:rsidR="0047567F" w:rsidRPr="002B2C64">
        <w:rPr>
          <w:rFonts w:ascii="Book Antiqua" w:eastAsia="Calibri" w:hAnsi="Book Antiqua"/>
          <w:color w:val="auto"/>
          <w:sz w:val="24"/>
          <w:szCs w:val="24"/>
          <w:lang w:val="en-GB" w:eastAsia="pl-PL"/>
        </w:rPr>
        <w:t xml:space="preserve">and </w:t>
      </w:r>
      <w:r w:rsidR="00F40704" w:rsidRPr="002B2C64">
        <w:rPr>
          <w:rFonts w:ascii="Book Antiqua" w:eastAsia="Calibri" w:hAnsi="Book Antiqua"/>
          <w:color w:val="auto"/>
          <w:sz w:val="24"/>
          <w:szCs w:val="24"/>
          <w:lang w:val="en-GB"/>
        </w:rPr>
        <w:t xml:space="preserve">inflammatory cell infiltration in the invasive front </w:t>
      </w:r>
      <w:r w:rsidR="00F40704" w:rsidRPr="002B2C64">
        <w:rPr>
          <w:rFonts w:ascii="Book Antiqua" w:eastAsia="Calibri" w:hAnsi="Book Antiqua"/>
          <w:i/>
          <w:color w:val="auto"/>
          <w:sz w:val="24"/>
          <w:szCs w:val="24"/>
          <w:lang w:val="en-GB"/>
        </w:rPr>
        <w:t>(</w:t>
      </w:r>
      <w:r w:rsidR="0061493E" w:rsidRPr="002B2C64">
        <w:rPr>
          <w:rFonts w:ascii="Book Antiqua" w:eastAsia="Calibri" w:hAnsi="Book Antiqua"/>
          <w:i/>
          <w:color w:val="auto"/>
          <w:sz w:val="24"/>
          <w:szCs w:val="24"/>
          <w:lang w:val="en-GB"/>
        </w:rPr>
        <w:t>P</w:t>
      </w:r>
      <w:r w:rsidR="002227A3" w:rsidRPr="002B2C64">
        <w:rPr>
          <w:rFonts w:ascii="Book Antiqua" w:eastAsia="Calibri" w:hAnsi="Book Antiqua"/>
          <w:i/>
          <w:color w:val="auto"/>
          <w:sz w:val="24"/>
          <w:szCs w:val="24"/>
          <w:lang w:val="en-GB"/>
        </w:rPr>
        <w:t xml:space="preserve"> </w:t>
      </w:r>
      <w:r w:rsidR="00F40704" w:rsidRPr="002B2C64">
        <w:rPr>
          <w:rFonts w:ascii="Book Antiqua" w:eastAsia="Calibri" w:hAnsi="Book Antiqua"/>
          <w:i/>
          <w:color w:val="auto"/>
          <w:sz w:val="24"/>
          <w:szCs w:val="24"/>
          <w:lang w:val="en-GB"/>
        </w:rPr>
        <w:t>=</w:t>
      </w:r>
      <w:r w:rsidR="002227A3" w:rsidRPr="002B2C64">
        <w:rPr>
          <w:rFonts w:ascii="Book Antiqua" w:eastAsia="Calibri" w:hAnsi="Book Antiqua"/>
          <w:i/>
          <w:color w:val="auto"/>
          <w:sz w:val="24"/>
          <w:szCs w:val="24"/>
          <w:lang w:val="en-GB"/>
        </w:rPr>
        <w:t xml:space="preserve"> </w:t>
      </w:r>
      <w:r w:rsidR="00F40704" w:rsidRPr="002B2C64">
        <w:rPr>
          <w:rFonts w:ascii="Book Antiqua" w:eastAsia="Calibri" w:hAnsi="Book Antiqua"/>
          <w:color w:val="auto"/>
          <w:sz w:val="24"/>
          <w:szCs w:val="24"/>
          <w:lang w:val="en-GB"/>
        </w:rPr>
        <w:t>0.015)</w:t>
      </w:r>
      <w:r w:rsidR="00225640" w:rsidRPr="002B2C64">
        <w:rPr>
          <w:rFonts w:ascii="Book Antiqua" w:eastAsia="Calibri" w:hAnsi="Book Antiqua"/>
          <w:color w:val="auto"/>
          <w:sz w:val="24"/>
          <w:szCs w:val="24"/>
          <w:lang w:val="en-GB"/>
        </w:rPr>
        <w:t xml:space="preserve"> </w:t>
      </w:r>
      <w:r w:rsidR="00DC54A1" w:rsidRPr="002B2C64">
        <w:rPr>
          <w:rFonts w:ascii="Book Antiqua" w:hAnsi="Book Antiqua"/>
          <w:sz w:val="24"/>
          <w:szCs w:val="24"/>
          <w:lang w:val="en-GB"/>
        </w:rPr>
        <w:t>were independent factors of 3-</w:t>
      </w:r>
      <w:r w:rsidRPr="002B2C64">
        <w:rPr>
          <w:rFonts w:ascii="Book Antiqua" w:hAnsi="Book Antiqua"/>
          <w:sz w:val="24"/>
          <w:szCs w:val="24"/>
          <w:lang w:val="en-GB"/>
        </w:rPr>
        <w:t xml:space="preserve">year DFS in </w:t>
      </w:r>
      <w:r w:rsidR="00BA2521" w:rsidRPr="002B2C64">
        <w:rPr>
          <w:rFonts w:ascii="Book Antiqua" w:hAnsi="Book Antiqua"/>
          <w:sz w:val="24"/>
          <w:szCs w:val="24"/>
          <w:lang w:val="en-GB"/>
        </w:rPr>
        <w:t>CRC</w:t>
      </w:r>
      <w:r w:rsidR="0047500A" w:rsidRPr="002B2C64">
        <w:rPr>
          <w:rFonts w:ascii="Book Antiqua" w:hAnsi="Book Antiqua"/>
          <w:sz w:val="24"/>
          <w:szCs w:val="24"/>
          <w:lang w:val="en-GB"/>
        </w:rPr>
        <w:t xml:space="preserve">. </w:t>
      </w:r>
      <w:r w:rsidR="00A04AEA" w:rsidRPr="002B2C64">
        <w:rPr>
          <w:rFonts w:ascii="Book Antiqua" w:hAnsi="Book Antiqua"/>
          <w:sz w:val="24"/>
          <w:szCs w:val="24"/>
          <w:lang w:val="en-GB"/>
        </w:rPr>
        <w:t xml:space="preserve">Moreover, the analysis of 5-year DFS showed that </w:t>
      </w:r>
      <w:r w:rsidR="00BA2521" w:rsidRPr="002B2C64">
        <w:rPr>
          <w:rFonts w:ascii="Book Antiqua" w:hAnsi="Book Antiqua"/>
          <w:sz w:val="24"/>
          <w:szCs w:val="24"/>
          <w:lang w:val="en-GB"/>
        </w:rPr>
        <w:t xml:space="preserve">the </w:t>
      </w:r>
      <w:r w:rsidR="00A04AEA" w:rsidRPr="002B2C64">
        <w:rPr>
          <w:rFonts w:ascii="Book Antiqua" w:hAnsi="Book Antiqua"/>
          <w:sz w:val="24"/>
          <w:szCs w:val="24"/>
          <w:lang w:val="en-GB"/>
        </w:rPr>
        <w:t xml:space="preserve">MLR </w:t>
      </w:r>
      <w:r w:rsidR="00350536" w:rsidRPr="002B2C64">
        <w:rPr>
          <w:rFonts w:ascii="Book Antiqua" w:hAnsi="Book Antiqua"/>
          <w:sz w:val="24"/>
          <w:szCs w:val="24"/>
          <w:lang w:val="en-GB"/>
        </w:rPr>
        <w:t>in</w:t>
      </w:r>
      <w:r w:rsidR="00A04AEA" w:rsidRPr="002B2C64">
        <w:rPr>
          <w:rFonts w:ascii="Book Antiqua" w:hAnsi="Book Antiqua"/>
          <w:sz w:val="24"/>
          <w:szCs w:val="24"/>
          <w:lang w:val="en-GB"/>
        </w:rPr>
        <w:t xml:space="preserve"> whole blood obtained after surgery </w:t>
      </w:r>
      <w:r w:rsidR="00847F3C" w:rsidRPr="002B2C64">
        <w:rPr>
          <w:rFonts w:ascii="Book Antiqua" w:hAnsi="Book Antiqua"/>
          <w:sz w:val="24"/>
          <w:szCs w:val="24"/>
          <w:lang w:val="en-GB"/>
        </w:rPr>
        <w:t>(</w:t>
      </w:r>
      <w:r w:rsidR="00847F3C" w:rsidRPr="002B2C64">
        <w:rPr>
          <w:rFonts w:ascii="Book Antiqua" w:eastAsia="Calibri" w:hAnsi="Book Antiqua"/>
          <w:color w:val="auto"/>
          <w:sz w:val="24"/>
          <w:szCs w:val="24"/>
          <w:lang w:val="en-GB" w:eastAsia="pl-PL"/>
        </w:rPr>
        <w:t xml:space="preserve">HR </w:t>
      </w:r>
      <w:r w:rsidR="002227A3" w:rsidRPr="002B2C64">
        <w:rPr>
          <w:rFonts w:ascii="Book Antiqua" w:eastAsia="Calibri" w:hAnsi="Book Antiqua"/>
          <w:i/>
          <w:color w:val="auto"/>
          <w:sz w:val="24"/>
          <w:szCs w:val="24"/>
          <w:lang w:val="en-GB" w:eastAsia="pl-PL"/>
        </w:rPr>
        <w:t>=</w:t>
      </w:r>
      <w:r w:rsidR="002227A3" w:rsidRPr="002B2C64">
        <w:rPr>
          <w:rFonts w:ascii="Book Antiqua" w:eastAsia="Calibri" w:hAnsi="Book Antiqua"/>
          <w:color w:val="auto"/>
          <w:sz w:val="24"/>
          <w:szCs w:val="24"/>
          <w:lang w:val="en-GB" w:eastAsia="pl-PL"/>
        </w:rPr>
        <w:t xml:space="preserve"> </w:t>
      </w:r>
      <w:r w:rsidR="00847F3C" w:rsidRPr="002B2C64">
        <w:rPr>
          <w:rFonts w:ascii="Book Antiqua" w:eastAsia="Calibri" w:hAnsi="Book Antiqua"/>
          <w:color w:val="auto"/>
          <w:sz w:val="24"/>
          <w:szCs w:val="24"/>
          <w:lang w:val="en-GB"/>
        </w:rPr>
        <w:t>2.903</w:t>
      </w:r>
      <w:r w:rsidR="00847F3C" w:rsidRPr="002B2C64">
        <w:rPr>
          <w:rFonts w:ascii="Book Antiqua" w:eastAsia="Calibri" w:hAnsi="Book Antiqua"/>
          <w:color w:val="auto"/>
          <w:sz w:val="24"/>
          <w:szCs w:val="24"/>
          <w:lang w:val="en-GB" w:eastAsia="pl-PL"/>
        </w:rPr>
        <w:t>, 95%</w:t>
      </w:r>
      <w:r w:rsidR="00DC54A1" w:rsidRPr="002B2C64">
        <w:rPr>
          <w:rFonts w:ascii="Book Antiqua" w:eastAsia="Calibri" w:hAnsi="Book Antiqua"/>
          <w:color w:val="auto"/>
          <w:sz w:val="24"/>
          <w:szCs w:val="24"/>
          <w:lang w:val="en-GB" w:eastAsia="pl-PL"/>
        </w:rPr>
        <w:t>CI:</w:t>
      </w:r>
      <w:r w:rsidR="004F5E36" w:rsidRPr="002B2C64">
        <w:rPr>
          <w:rFonts w:ascii="Book Antiqua" w:eastAsia="Calibri" w:hAnsi="Book Antiqua"/>
          <w:color w:val="auto"/>
          <w:sz w:val="24"/>
          <w:szCs w:val="24"/>
          <w:lang w:val="en-GB"/>
        </w:rPr>
        <w:t xml:space="preserve"> </w:t>
      </w:r>
      <w:r w:rsidR="00847F3C" w:rsidRPr="002B2C64">
        <w:rPr>
          <w:rFonts w:ascii="Book Antiqua" w:eastAsia="Calibri" w:hAnsi="Book Antiqua"/>
          <w:color w:val="auto"/>
          <w:sz w:val="24"/>
          <w:szCs w:val="24"/>
          <w:lang w:val="en-GB"/>
        </w:rPr>
        <w:t>1.368-6.</w:t>
      </w:r>
      <w:r w:rsidR="004F5E36" w:rsidRPr="002B2C64">
        <w:rPr>
          <w:rFonts w:ascii="Book Antiqua" w:eastAsia="Calibri" w:hAnsi="Book Antiqua"/>
          <w:color w:val="auto"/>
          <w:sz w:val="24"/>
          <w:szCs w:val="24"/>
          <w:lang w:val="en-GB"/>
        </w:rPr>
        <w:t>158</w:t>
      </w:r>
      <w:r w:rsidR="00847F3C" w:rsidRPr="002B2C64">
        <w:rPr>
          <w:rFonts w:ascii="Book Antiqua" w:eastAsia="Calibri" w:hAnsi="Book Antiqua"/>
          <w:color w:val="auto"/>
          <w:sz w:val="24"/>
          <w:szCs w:val="24"/>
          <w:lang w:val="en-GB" w:eastAsia="pl-PL"/>
        </w:rPr>
        <w:t xml:space="preserve">, </w:t>
      </w:r>
      <w:r w:rsidR="0061493E" w:rsidRPr="002B2C64">
        <w:rPr>
          <w:rFonts w:ascii="Book Antiqua" w:eastAsia="Calibri" w:hAnsi="Book Antiqua"/>
          <w:i/>
          <w:color w:val="auto"/>
          <w:sz w:val="24"/>
          <w:szCs w:val="24"/>
          <w:lang w:val="en-GB"/>
        </w:rPr>
        <w:t>P</w:t>
      </w:r>
      <w:r w:rsidR="002227A3" w:rsidRPr="002B2C64">
        <w:rPr>
          <w:rFonts w:ascii="Book Antiqua" w:eastAsia="Calibri" w:hAnsi="Book Antiqua"/>
          <w:i/>
          <w:color w:val="auto"/>
          <w:sz w:val="24"/>
          <w:szCs w:val="24"/>
          <w:lang w:val="en-GB"/>
        </w:rPr>
        <w:t xml:space="preserve"> </w:t>
      </w:r>
      <w:r w:rsidR="002227A3" w:rsidRPr="002B2C64">
        <w:rPr>
          <w:rFonts w:ascii="Book Antiqua" w:eastAsia="Calibri" w:hAnsi="Book Antiqua"/>
          <w:i/>
          <w:color w:val="auto"/>
          <w:sz w:val="24"/>
          <w:szCs w:val="24"/>
          <w:lang w:val="en-GB" w:eastAsia="pl-PL"/>
        </w:rPr>
        <w:t>=</w:t>
      </w:r>
      <w:r w:rsidR="002227A3" w:rsidRPr="002B2C64">
        <w:rPr>
          <w:rFonts w:ascii="Book Antiqua" w:eastAsia="Calibri" w:hAnsi="Book Antiqua"/>
          <w:color w:val="auto"/>
          <w:sz w:val="24"/>
          <w:szCs w:val="24"/>
          <w:lang w:val="en-GB" w:eastAsia="pl-PL"/>
        </w:rPr>
        <w:t xml:space="preserve"> </w:t>
      </w:r>
      <w:r w:rsidR="00847F3C" w:rsidRPr="002B2C64">
        <w:rPr>
          <w:rFonts w:ascii="Book Antiqua" w:eastAsia="Calibri" w:hAnsi="Book Antiqua"/>
          <w:color w:val="auto"/>
          <w:sz w:val="24"/>
          <w:szCs w:val="24"/>
          <w:lang w:val="en-GB"/>
        </w:rPr>
        <w:t xml:space="preserve">0.005) </w:t>
      </w:r>
      <w:r w:rsidR="00847F3C" w:rsidRPr="002B2C64">
        <w:rPr>
          <w:rFonts w:ascii="Book Antiqua" w:hAnsi="Book Antiqua"/>
          <w:sz w:val="24"/>
          <w:szCs w:val="24"/>
          <w:lang w:val="en-GB"/>
        </w:rPr>
        <w:t>and the status of lymph node metastasis (</w:t>
      </w:r>
      <w:r w:rsidR="00DC54A1" w:rsidRPr="002B2C64">
        <w:rPr>
          <w:rFonts w:ascii="Book Antiqua" w:eastAsia="Calibri" w:hAnsi="Book Antiqua"/>
          <w:color w:val="auto"/>
          <w:sz w:val="24"/>
          <w:szCs w:val="24"/>
          <w:lang w:val="en-GB" w:eastAsia="pl-PL"/>
        </w:rPr>
        <w:t>HR</w:t>
      </w:r>
      <w:r w:rsidR="007E49A9" w:rsidRPr="002B2C64">
        <w:rPr>
          <w:rFonts w:ascii="Book Antiqua" w:eastAsia="Calibri" w:hAnsi="Book Antiqua"/>
          <w:color w:val="auto"/>
          <w:sz w:val="24"/>
          <w:szCs w:val="24"/>
          <w:lang w:val="en-GB" w:eastAsia="pl-PL"/>
        </w:rPr>
        <w:t xml:space="preserve"> </w:t>
      </w:r>
      <w:r w:rsidR="002227A3" w:rsidRPr="002B2C64">
        <w:rPr>
          <w:rFonts w:ascii="Book Antiqua" w:eastAsia="Calibri" w:hAnsi="Book Antiqua"/>
          <w:i/>
          <w:color w:val="auto"/>
          <w:sz w:val="24"/>
          <w:szCs w:val="24"/>
          <w:lang w:val="en-GB" w:eastAsia="pl-PL"/>
        </w:rPr>
        <w:t>=</w:t>
      </w:r>
      <w:r w:rsidR="002227A3" w:rsidRPr="002B2C64">
        <w:rPr>
          <w:rFonts w:ascii="Book Antiqua" w:eastAsia="Calibri" w:hAnsi="Book Antiqua"/>
          <w:color w:val="auto"/>
          <w:sz w:val="24"/>
          <w:szCs w:val="24"/>
          <w:lang w:val="en-GB" w:eastAsia="pl-PL"/>
        </w:rPr>
        <w:t xml:space="preserve"> </w:t>
      </w:r>
      <w:r w:rsidR="00847F3C" w:rsidRPr="002B2C64">
        <w:rPr>
          <w:rFonts w:ascii="Book Antiqua" w:eastAsia="Calibri" w:hAnsi="Book Antiqua"/>
          <w:color w:val="auto"/>
          <w:sz w:val="24"/>
          <w:szCs w:val="24"/>
          <w:lang w:val="en-GB"/>
        </w:rPr>
        <w:t>0.813</w:t>
      </w:r>
      <w:r w:rsidR="00847F3C" w:rsidRPr="002B2C64">
        <w:rPr>
          <w:rFonts w:ascii="Book Antiqua" w:eastAsia="Calibri" w:hAnsi="Book Antiqua"/>
          <w:color w:val="auto"/>
          <w:sz w:val="24"/>
          <w:szCs w:val="24"/>
          <w:lang w:val="en-GB" w:eastAsia="pl-PL"/>
        </w:rPr>
        <w:t>, 95%</w:t>
      </w:r>
      <w:r w:rsidR="00DC54A1" w:rsidRPr="002B2C64">
        <w:rPr>
          <w:rFonts w:ascii="Book Antiqua" w:eastAsia="Calibri" w:hAnsi="Book Antiqua"/>
          <w:color w:val="auto"/>
          <w:sz w:val="24"/>
          <w:szCs w:val="24"/>
          <w:lang w:val="en-GB" w:eastAsia="pl-PL"/>
        </w:rPr>
        <w:t>CI:</w:t>
      </w:r>
      <w:r w:rsidR="004F5E36" w:rsidRPr="002B2C64">
        <w:rPr>
          <w:rFonts w:ascii="Book Antiqua" w:eastAsia="Calibri" w:hAnsi="Book Antiqua"/>
          <w:color w:val="auto"/>
          <w:sz w:val="24"/>
          <w:szCs w:val="24"/>
          <w:lang w:val="en-GB"/>
        </w:rPr>
        <w:t xml:space="preserve"> 0.653-1.013</w:t>
      </w:r>
      <w:r w:rsidR="00847F3C" w:rsidRPr="002B2C64">
        <w:rPr>
          <w:rFonts w:ascii="Book Antiqua" w:eastAsia="Calibri" w:hAnsi="Book Antiqua"/>
          <w:color w:val="auto"/>
          <w:sz w:val="24"/>
          <w:szCs w:val="24"/>
          <w:lang w:val="en-GB" w:eastAsia="pl-PL"/>
        </w:rPr>
        <w:t xml:space="preserve">, </w:t>
      </w:r>
      <w:r w:rsidR="0061493E" w:rsidRPr="002B2C64">
        <w:rPr>
          <w:rFonts w:ascii="Book Antiqua" w:eastAsia="Calibri" w:hAnsi="Book Antiqua"/>
          <w:i/>
          <w:color w:val="auto"/>
          <w:sz w:val="24"/>
          <w:szCs w:val="24"/>
          <w:lang w:val="en-GB"/>
        </w:rPr>
        <w:t>P</w:t>
      </w:r>
      <w:r w:rsidR="002227A3" w:rsidRPr="002B2C64">
        <w:rPr>
          <w:rFonts w:ascii="Book Antiqua" w:eastAsia="Calibri" w:hAnsi="Book Antiqua"/>
          <w:i/>
          <w:color w:val="auto"/>
          <w:sz w:val="24"/>
          <w:szCs w:val="24"/>
          <w:lang w:val="en-GB"/>
        </w:rPr>
        <w:t xml:space="preserve"> </w:t>
      </w:r>
      <w:r w:rsidR="002227A3" w:rsidRPr="002B2C64">
        <w:rPr>
          <w:rFonts w:ascii="Book Antiqua" w:eastAsia="Calibri" w:hAnsi="Book Antiqua"/>
          <w:i/>
          <w:color w:val="auto"/>
          <w:sz w:val="24"/>
          <w:szCs w:val="24"/>
          <w:lang w:val="en-GB" w:eastAsia="pl-PL"/>
        </w:rPr>
        <w:t>=</w:t>
      </w:r>
      <w:r w:rsidR="002227A3" w:rsidRPr="002B2C64">
        <w:rPr>
          <w:rFonts w:ascii="Book Antiqua" w:eastAsia="Calibri" w:hAnsi="Book Antiqua"/>
          <w:color w:val="auto"/>
          <w:sz w:val="24"/>
          <w:szCs w:val="24"/>
          <w:lang w:val="en-GB" w:eastAsia="pl-PL"/>
        </w:rPr>
        <w:t xml:space="preserve"> </w:t>
      </w:r>
      <w:r w:rsidR="00847F3C" w:rsidRPr="002B2C64">
        <w:rPr>
          <w:rFonts w:ascii="Book Antiqua" w:eastAsia="Calibri" w:hAnsi="Book Antiqua"/>
          <w:color w:val="auto"/>
          <w:sz w:val="24"/>
          <w:szCs w:val="24"/>
          <w:lang w:val="en-GB"/>
        </w:rPr>
        <w:t>0.050)</w:t>
      </w:r>
      <w:r w:rsidR="00DC54A1" w:rsidRPr="002B2C64">
        <w:rPr>
          <w:rFonts w:ascii="Book Antiqua" w:hAnsi="Book Antiqua"/>
          <w:sz w:val="24"/>
          <w:szCs w:val="24"/>
          <w:lang w:val="en-GB"/>
        </w:rPr>
        <w:t xml:space="preserve"> </w:t>
      </w:r>
      <w:r w:rsidR="00BA2521" w:rsidRPr="002B2C64">
        <w:rPr>
          <w:rFonts w:ascii="Book Antiqua" w:hAnsi="Book Antiqua"/>
          <w:sz w:val="24"/>
          <w:szCs w:val="24"/>
          <w:lang w:val="en-GB"/>
        </w:rPr>
        <w:t>were</w:t>
      </w:r>
      <w:r w:rsidR="006A130F" w:rsidRPr="002B2C64">
        <w:rPr>
          <w:rFonts w:ascii="Book Antiqua" w:hAnsi="Book Antiqua"/>
          <w:sz w:val="24"/>
          <w:szCs w:val="24"/>
          <w:lang w:val="en-GB"/>
        </w:rPr>
        <w:t xml:space="preserve"> prognostic factor</w:t>
      </w:r>
      <w:r w:rsidR="00847F3C" w:rsidRPr="002B2C64">
        <w:rPr>
          <w:rFonts w:ascii="Book Antiqua" w:hAnsi="Book Antiqua"/>
          <w:sz w:val="24"/>
          <w:szCs w:val="24"/>
          <w:lang w:val="en-GB"/>
        </w:rPr>
        <w:t>s</w:t>
      </w:r>
      <w:r w:rsidR="00DC54A1" w:rsidRPr="002B2C64">
        <w:rPr>
          <w:rFonts w:ascii="Book Antiqua" w:hAnsi="Book Antiqua"/>
          <w:sz w:val="24"/>
          <w:szCs w:val="24"/>
          <w:lang w:val="en-GB"/>
        </w:rPr>
        <w:t xml:space="preserve"> </w:t>
      </w:r>
      <w:r w:rsidR="00BA2521" w:rsidRPr="002B2C64">
        <w:rPr>
          <w:rFonts w:ascii="Book Antiqua" w:hAnsi="Book Antiqua"/>
          <w:sz w:val="24"/>
          <w:szCs w:val="24"/>
          <w:lang w:val="en-GB"/>
        </w:rPr>
        <w:t>in</w:t>
      </w:r>
      <w:r w:rsidR="007A5673" w:rsidRPr="002B2C64">
        <w:rPr>
          <w:rFonts w:ascii="Book Antiqua" w:hAnsi="Book Antiqua"/>
          <w:sz w:val="24"/>
          <w:szCs w:val="24"/>
          <w:lang w:val="en-GB"/>
        </w:rPr>
        <w:t xml:space="preserve"> patients diagnosed with </w:t>
      </w:r>
      <w:r w:rsidR="00BA2521" w:rsidRPr="002B2C64">
        <w:rPr>
          <w:rFonts w:ascii="Book Antiqua" w:hAnsi="Book Antiqua"/>
          <w:sz w:val="24"/>
          <w:szCs w:val="24"/>
          <w:lang w:val="en-GB"/>
        </w:rPr>
        <w:t>CRC</w:t>
      </w:r>
      <w:r w:rsidR="006A130F" w:rsidRPr="002B2C64">
        <w:rPr>
          <w:rFonts w:ascii="Book Antiqua" w:eastAsia="Calibri" w:hAnsi="Book Antiqua"/>
          <w:color w:val="auto"/>
          <w:sz w:val="24"/>
          <w:szCs w:val="24"/>
          <w:lang w:val="en-GB"/>
        </w:rPr>
        <w:t>.</w:t>
      </w:r>
      <w:r w:rsidR="00DC54A1" w:rsidRPr="002B2C64">
        <w:rPr>
          <w:rFonts w:ascii="Book Antiqua" w:eastAsia="Calibri" w:hAnsi="Book Antiqua"/>
          <w:color w:val="auto"/>
          <w:sz w:val="24"/>
          <w:szCs w:val="24"/>
          <w:lang w:val="en-GB"/>
        </w:rPr>
        <w:t xml:space="preserve"> </w:t>
      </w:r>
      <w:r w:rsidR="00D2163B" w:rsidRPr="002B2C64">
        <w:rPr>
          <w:rFonts w:ascii="Book Antiqua" w:eastAsia="Calibri" w:hAnsi="Book Antiqua"/>
          <w:color w:val="auto"/>
          <w:sz w:val="24"/>
          <w:szCs w:val="24"/>
          <w:lang w:val="en-GB"/>
        </w:rPr>
        <w:t xml:space="preserve">Using the </w:t>
      </w:r>
      <w:r w:rsidR="00AC07A4" w:rsidRPr="002B2C64">
        <w:rPr>
          <w:rFonts w:ascii="Book Antiqua" w:hAnsi="Book Antiqua"/>
          <w:sz w:val="24"/>
          <w:szCs w:val="24"/>
          <w:lang w:val="en-GB"/>
        </w:rPr>
        <w:t xml:space="preserve">multivariate </w:t>
      </w:r>
      <w:r w:rsidR="00332FC0" w:rsidRPr="002B2C64">
        <w:rPr>
          <w:rFonts w:ascii="Book Antiqua" w:hAnsi="Book Antiqua"/>
          <w:sz w:val="24"/>
          <w:szCs w:val="24"/>
          <w:lang w:val="en-GB"/>
        </w:rPr>
        <w:t>Cox</w:t>
      </w:r>
      <w:r w:rsidR="00AC07A4" w:rsidRPr="002B2C64">
        <w:rPr>
          <w:rFonts w:ascii="Book Antiqua" w:hAnsi="Book Antiqua"/>
          <w:sz w:val="24"/>
          <w:szCs w:val="24"/>
          <w:lang w:val="en-GB"/>
        </w:rPr>
        <w:t xml:space="preserve"> proportional model, we </w:t>
      </w:r>
      <w:r w:rsidR="00BA2521" w:rsidRPr="002B2C64">
        <w:rPr>
          <w:rFonts w:ascii="Book Antiqua" w:hAnsi="Book Antiqua"/>
          <w:sz w:val="24"/>
          <w:szCs w:val="24"/>
          <w:lang w:val="en-GB"/>
        </w:rPr>
        <w:t>demonstrated</w:t>
      </w:r>
      <w:r w:rsidR="00AC07A4" w:rsidRPr="002B2C64">
        <w:rPr>
          <w:rFonts w:ascii="Book Antiqua" w:hAnsi="Book Antiqua"/>
          <w:sz w:val="24"/>
          <w:szCs w:val="24"/>
          <w:lang w:val="en-GB"/>
        </w:rPr>
        <w:t xml:space="preserve"> that only the MLR </w:t>
      </w:r>
      <w:r w:rsidR="00D2163B" w:rsidRPr="002B2C64">
        <w:rPr>
          <w:rFonts w:ascii="Book Antiqua" w:hAnsi="Book Antiqua"/>
          <w:sz w:val="24"/>
          <w:szCs w:val="24"/>
          <w:lang w:val="en-GB"/>
        </w:rPr>
        <w:t xml:space="preserve">calculated </w:t>
      </w:r>
      <w:r w:rsidR="00AC07A4" w:rsidRPr="002B2C64">
        <w:rPr>
          <w:rFonts w:ascii="Book Antiqua" w:hAnsi="Book Antiqua"/>
          <w:sz w:val="24"/>
          <w:szCs w:val="24"/>
          <w:lang w:val="en-GB"/>
        </w:rPr>
        <w:t xml:space="preserve">from whole blood </w:t>
      </w:r>
      <w:r w:rsidR="00C02802" w:rsidRPr="002B2C64">
        <w:rPr>
          <w:rFonts w:ascii="Book Antiqua" w:hAnsi="Book Antiqua"/>
          <w:sz w:val="24"/>
          <w:szCs w:val="24"/>
          <w:lang w:val="en-GB"/>
        </w:rPr>
        <w:t xml:space="preserve">after surgical treatment was </w:t>
      </w:r>
      <w:r w:rsidR="00BA2521" w:rsidRPr="002B2C64">
        <w:rPr>
          <w:rFonts w:ascii="Book Antiqua" w:hAnsi="Book Antiqua"/>
          <w:sz w:val="24"/>
          <w:szCs w:val="24"/>
          <w:lang w:val="en-GB"/>
        </w:rPr>
        <w:t>an</w:t>
      </w:r>
      <w:r w:rsidR="00D2163B" w:rsidRPr="002B2C64">
        <w:rPr>
          <w:rFonts w:ascii="Book Antiqua" w:hAnsi="Book Antiqua"/>
          <w:sz w:val="24"/>
          <w:szCs w:val="24"/>
          <w:lang w:val="en-GB"/>
        </w:rPr>
        <w:t xml:space="preserve"> </w:t>
      </w:r>
      <w:r w:rsidR="00C02802" w:rsidRPr="002B2C64">
        <w:rPr>
          <w:rFonts w:ascii="Book Antiqua" w:hAnsi="Book Antiqua"/>
          <w:sz w:val="24"/>
          <w:szCs w:val="24"/>
          <w:lang w:val="en-GB"/>
        </w:rPr>
        <w:t xml:space="preserve">independent factor of 5-year DFS in </w:t>
      </w:r>
      <w:r w:rsidR="00BA2521" w:rsidRPr="002B2C64">
        <w:rPr>
          <w:rFonts w:ascii="Book Antiqua" w:hAnsi="Book Antiqua"/>
          <w:sz w:val="24"/>
          <w:szCs w:val="24"/>
          <w:lang w:val="en-GB"/>
        </w:rPr>
        <w:t>CRC patients</w:t>
      </w:r>
      <w:r w:rsidR="00C02802" w:rsidRPr="002B2C64">
        <w:rPr>
          <w:rFonts w:ascii="Book Antiqua" w:hAnsi="Book Antiqua"/>
          <w:sz w:val="24"/>
          <w:szCs w:val="24"/>
          <w:lang w:val="en-GB"/>
        </w:rPr>
        <w:t>.</w:t>
      </w:r>
      <w:r w:rsidR="001359B0" w:rsidRPr="002B2C64">
        <w:rPr>
          <w:rFonts w:ascii="Book Antiqua" w:hAnsi="Book Antiqua"/>
          <w:sz w:val="24"/>
          <w:szCs w:val="24"/>
          <w:lang w:val="en-GB"/>
        </w:rPr>
        <w:t xml:space="preserve"> </w:t>
      </w:r>
      <w:r w:rsidR="00BA2521" w:rsidRPr="002B2C64">
        <w:rPr>
          <w:rFonts w:ascii="Book Antiqua" w:hAnsi="Book Antiqua"/>
          <w:sz w:val="24"/>
          <w:szCs w:val="24"/>
          <w:lang w:val="en-GB"/>
        </w:rPr>
        <w:t>The</w:t>
      </w:r>
      <w:r w:rsidR="00350536" w:rsidRPr="002B2C64">
        <w:rPr>
          <w:rFonts w:ascii="Book Antiqua" w:hAnsi="Book Antiqua"/>
          <w:sz w:val="24"/>
          <w:szCs w:val="24"/>
          <w:lang w:val="en-GB"/>
        </w:rPr>
        <w:t>se</w:t>
      </w:r>
      <w:r w:rsidR="00BA2521" w:rsidRPr="002B2C64">
        <w:rPr>
          <w:rFonts w:ascii="Book Antiqua" w:hAnsi="Book Antiqua"/>
          <w:sz w:val="24"/>
          <w:szCs w:val="24"/>
          <w:lang w:val="en-GB"/>
        </w:rPr>
        <w:t xml:space="preserve"> r</w:t>
      </w:r>
      <w:r w:rsidR="001359B0" w:rsidRPr="002B2C64">
        <w:rPr>
          <w:rFonts w:ascii="Book Antiqua" w:hAnsi="Book Antiqua"/>
          <w:sz w:val="24"/>
          <w:szCs w:val="24"/>
          <w:lang w:val="en-GB"/>
        </w:rPr>
        <w:t>esults are shown in Table</w:t>
      </w:r>
      <w:r w:rsidR="004F5E36" w:rsidRPr="002B2C64">
        <w:rPr>
          <w:rFonts w:ascii="Book Antiqua" w:hAnsi="Book Antiqua"/>
          <w:sz w:val="24"/>
          <w:szCs w:val="24"/>
          <w:lang w:val="en-GB"/>
        </w:rPr>
        <w:t>s</w:t>
      </w:r>
      <w:r w:rsidR="001359B0" w:rsidRPr="002B2C64">
        <w:rPr>
          <w:rFonts w:ascii="Book Antiqua" w:hAnsi="Book Antiqua"/>
          <w:sz w:val="24"/>
          <w:szCs w:val="24"/>
          <w:lang w:val="en-GB"/>
        </w:rPr>
        <w:t xml:space="preserve"> 3 and 4.</w:t>
      </w:r>
    </w:p>
    <w:p w:rsidR="00943406" w:rsidRPr="002B2C64" w:rsidRDefault="00943406" w:rsidP="0083105B">
      <w:pPr>
        <w:snapToGrid w:val="0"/>
        <w:spacing w:after="0" w:line="360" w:lineRule="auto"/>
        <w:jc w:val="both"/>
        <w:rPr>
          <w:rFonts w:ascii="Book Antiqua" w:hAnsi="Book Antiqua"/>
          <w:b/>
          <w:sz w:val="24"/>
          <w:szCs w:val="24"/>
          <w:lang w:val="en-GB"/>
        </w:rPr>
      </w:pPr>
    </w:p>
    <w:p w:rsidR="00943406" w:rsidRPr="002B2C64" w:rsidRDefault="00373988" w:rsidP="0083105B">
      <w:pPr>
        <w:snapToGrid w:val="0"/>
        <w:spacing w:after="0" w:line="360" w:lineRule="auto"/>
        <w:jc w:val="both"/>
        <w:rPr>
          <w:rFonts w:ascii="Book Antiqua" w:hAnsi="Book Antiqua"/>
          <w:b/>
          <w:sz w:val="24"/>
          <w:szCs w:val="24"/>
          <w:u w:val="single"/>
          <w:lang w:val="en-GB"/>
        </w:rPr>
      </w:pPr>
      <w:r w:rsidRPr="002B2C64">
        <w:rPr>
          <w:rFonts w:ascii="Book Antiqua" w:hAnsi="Book Antiqua"/>
          <w:b/>
          <w:sz w:val="24"/>
          <w:szCs w:val="24"/>
          <w:u w:val="single"/>
          <w:lang w:val="en-GB"/>
        </w:rPr>
        <w:t>DISCUSSION</w:t>
      </w:r>
    </w:p>
    <w:p w:rsidR="009F31BF" w:rsidRPr="002B2C64" w:rsidRDefault="00D13F8A" w:rsidP="0083105B">
      <w:pPr>
        <w:snapToGrid w:val="0"/>
        <w:spacing w:after="0" w:line="360" w:lineRule="auto"/>
        <w:jc w:val="both"/>
        <w:rPr>
          <w:rFonts w:ascii="Book Antiqua" w:hAnsi="Book Antiqua"/>
          <w:b/>
          <w:sz w:val="24"/>
          <w:szCs w:val="24"/>
          <w:lang w:val="en-GB"/>
        </w:rPr>
      </w:pPr>
      <w:r w:rsidRPr="002B2C64">
        <w:rPr>
          <w:rFonts w:ascii="Book Antiqua" w:hAnsi="Book Antiqua"/>
          <w:sz w:val="24"/>
          <w:szCs w:val="24"/>
          <w:lang w:val="en-GB"/>
        </w:rPr>
        <w:t xml:space="preserve">Systemic </w:t>
      </w:r>
      <w:r w:rsidR="00373988" w:rsidRPr="002B2C64">
        <w:rPr>
          <w:rFonts w:ascii="Book Antiqua" w:hAnsi="Book Antiqua"/>
          <w:sz w:val="24"/>
          <w:szCs w:val="24"/>
          <w:lang w:val="en-GB"/>
        </w:rPr>
        <w:t xml:space="preserve">inflammation </w:t>
      </w:r>
      <w:r w:rsidRPr="002B2C64">
        <w:rPr>
          <w:rFonts w:ascii="Book Antiqua" w:hAnsi="Book Antiqua"/>
          <w:sz w:val="24"/>
          <w:szCs w:val="24"/>
          <w:lang w:val="en-GB"/>
        </w:rPr>
        <w:t>is</w:t>
      </w:r>
      <w:r w:rsidR="00373988" w:rsidRPr="002B2C64">
        <w:rPr>
          <w:rFonts w:ascii="Book Antiqua" w:hAnsi="Book Antiqua"/>
          <w:sz w:val="24"/>
          <w:szCs w:val="24"/>
          <w:lang w:val="en-GB"/>
        </w:rPr>
        <w:t xml:space="preserve"> closely associated with carcinogenesis</w:t>
      </w:r>
      <w:r w:rsidR="00C51E82" w:rsidRPr="002B2C64">
        <w:rPr>
          <w:rFonts w:ascii="Book Antiqua" w:hAnsi="Book Antiqua"/>
          <w:sz w:val="24"/>
          <w:szCs w:val="24"/>
          <w:lang w:val="en-GB"/>
        </w:rPr>
        <w:t>.</w:t>
      </w:r>
      <w:r w:rsidR="008B2F5F" w:rsidRPr="002B2C64">
        <w:rPr>
          <w:rFonts w:ascii="Book Antiqua" w:hAnsi="Book Antiqua"/>
          <w:sz w:val="24"/>
          <w:szCs w:val="24"/>
          <w:lang w:val="en-GB"/>
        </w:rPr>
        <w:t xml:space="preserve"> The tumour microenvironment consists of </w:t>
      </w:r>
      <w:r w:rsidR="00332FC0" w:rsidRPr="002B2C64">
        <w:rPr>
          <w:rFonts w:ascii="Book Antiqua" w:hAnsi="Book Antiqua"/>
          <w:sz w:val="24"/>
          <w:szCs w:val="24"/>
          <w:lang w:val="en-GB"/>
        </w:rPr>
        <w:t>tumour</w:t>
      </w:r>
      <w:r w:rsidR="008B2F5F" w:rsidRPr="002B2C64">
        <w:rPr>
          <w:rFonts w:ascii="Book Antiqua" w:hAnsi="Book Antiqua"/>
          <w:sz w:val="24"/>
          <w:szCs w:val="24"/>
          <w:lang w:val="en-GB"/>
        </w:rPr>
        <w:t xml:space="preserve"> cell</w:t>
      </w:r>
      <w:r w:rsidRPr="002B2C64">
        <w:rPr>
          <w:rFonts w:ascii="Book Antiqua" w:hAnsi="Book Antiqua"/>
          <w:sz w:val="24"/>
          <w:szCs w:val="24"/>
          <w:lang w:val="en-GB"/>
        </w:rPr>
        <w:t>s</w:t>
      </w:r>
      <w:r w:rsidR="008B2F5F" w:rsidRPr="002B2C64">
        <w:rPr>
          <w:rFonts w:ascii="Book Antiqua" w:hAnsi="Book Antiqua"/>
          <w:sz w:val="24"/>
          <w:szCs w:val="24"/>
          <w:lang w:val="en-GB"/>
        </w:rPr>
        <w:t xml:space="preserve"> </w:t>
      </w:r>
      <w:r w:rsidRPr="002B2C64">
        <w:rPr>
          <w:rFonts w:ascii="Book Antiqua" w:hAnsi="Book Antiqua"/>
          <w:sz w:val="24"/>
          <w:szCs w:val="24"/>
          <w:lang w:val="en-GB"/>
        </w:rPr>
        <w:t>and</w:t>
      </w:r>
      <w:r w:rsidR="00917046" w:rsidRPr="002B2C64">
        <w:rPr>
          <w:rFonts w:ascii="Book Antiqua" w:hAnsi="Book Antiqua"/>
          <w:sz w:val="24"/>
          <w:szCs w:val="24"/>
          <w:lang w:val="en-GB"/>
        </w:rPr>
        <w:t xml:space="preserve"> inflammatory cells </w:t>
      </w:r>
      <w:r w:rsidR="00AC1E4C" w:rsidRPr="002B2C64">
        <w:rPr>
          <w:rFonts w:ascii="Book Antiqua" w:hAnsi="Book Antiqua"/>
          <w:sz w:val="24"/>
          <w:szCs w:val="24"/>
          <w:lang w:val="en-GB"/>
        </w:rPr>
        <w:t xml:space="preserve">which </w:t>
      </w:r>
      <w:r w:rsidR="00E15B91" w:rsidRPr="002B2C64">
        <w:rPr>
          <w:rFonts w:ascii="Book Antiqua" w:hAnsi="Book Antiqua"/>
          <w:sz w:val="24"/>
          <w:szCs w:val="24"/>
          <w:lang w:val="en-GB"/>
        </w:rPr>
        <w:t xml:space="preserve">release </w:t>
      </w:r>
      <w:r w:rsidR="008B2F5F" w:rsidRPr="002B2C64">
        <w:rPr>
          <w:rFonts w:ascii="Book Antiqua" w:hAnsi="Book Antiqua"/>
          <w:sz w:val="24"/>
          <w:szCs w:val="24"/>
          <w:lang w:val="en-GB"/>
        </w:rPr>
        <w:t>various cytokines and che</w:t>
      </w:r>
      <w:r w:rsidR="00625098" w:rsidRPr="002B2C64">
        <w:rPr>
          <w:rFonts w:ascii="Book Antiqua" w:hAnsi="Book Antiqua"/>
          <w:sz w:val="24"/>
          <w:szCs w:val="24"/>
          <w:lang w:val="en-GB"/>
        </w:rPr>
        <w:t>mokines</w:t>
      </w:r>
      <w:r w:rsidRPr="002B2C64">
        <w:rPr>
          <w:rFonts w:ascii="Book Antiqua" w:hAnsi="Book Antiqua"/>
          <w:sz w:val="24"/>
          <w:szCs w:val="24"/>
          <w:lang w:val="en-GB"/>
        </w:rPr>
        <w:t xml:space="preserve">. </w:t>
      </w:r>
      <w:r w:rsidR="002D46D2" w:rsidRPr="002B2C64">
        <w:rPr>
          <w:rFonts w:ascii="Book Antiqua" w:hAnsi="Book Antiqua"/>
          <w:sz w:val="24"/>
          <w:szCs w:val="24"/>
          <w:lang w:val="en-GB"/>
        </w:rPr>
        <w:t xml:space="preserve">Literature data </w:t>
      </w:r>
      <w:r w:rsidRPr="002B2C64">
        <w:rPr>
          <w:rFonts w:ascii="Book Antiqua" w:hAnsi="Book Antiqua"/>
          <w:sz w:val="24"/>
          <w:szCs w:val="24"/>
          <w:lang w:val="en-GB"/>
        </w:rPr>
        <w:t xml:space="preserve">have shown </w:t>
      </w:r>
      <w:r w:rsidR="006C025B" w:rsidRPr="002B2C64">
        <w:rPr>
          <w:rFonts w:ascii="Book Antiqua" w:hAnsi="Book Antiqua"/>
          <w:sz w:val="24"/>
          <w:szCs w:val="24"/>
          <w:lang w:val="en-GB"/>
        </w:rPr>
        <w:t xml:space="preserve">that monocytes appear to be recruited as inflammatory cells with cellular machinery to directly kill malignant cells. </w:t>
      </w:r>
      <w:r w:rsidR="00332FC0" w:rsidRPr="002B2C64">
        <w:rPr>
          <w:rFonts w:ascii="Book Antiqua" w:hAnsi="Book Antiqua"/>
          <w:sz w:val="24"/>
          <w:szCs w:val="24"/>
          <w:lang w:val="en-GB"/>
        </w:rPr>
        <w:t xml:space="preserve">They are involved in TRAIL-mediated apoptosis </w:t>
      </w:r>
      <w:r w:rsidR="00332FC0" w:rsidRPr="002B2C64">
        <w:rPr>
          <w:rFonts w:ascii="Book Antiqua" w:hAnsi="Book Antiqua"/>
          <w:i/>
          <w:iCs/>
          <w:sz w:val="24"/>
          <w:szCs w:val="24"/>
          <w:lang w:val="en-GB"/>
        </w:rPr>
        <w:t>via</w:t>
      </w:r>
      <w:r w:rsidR="00332FC0" w:rsidRPr="002B2C64">
        <w:rPr>
          <w:rFonts w:ascii="Book Antiqua" w:hAnsi="Book Antiqua"/>
          <w:sz w:val="24"/>
          <w:szCs w:val="24"/>
          <w:lang w:val="en-GB"/>
        </w:rPr>
        <w:t xml:space="preserve"> the production of </w:t>
      </w:r>
      <w:r w:rsidR="006033D5" w:rsidRPr="002B2C64">
        <w:rPr>
          <w:rFonts w:ascii="Book Antiqua" w:hAnsi="Book Antiqua"/>
          <w:sz w:val="24"/>
          <w:szCs w:val="24"/>
          <w:lang w:val="en-GB"/>
        </w:rPr>
        <w:t>interferon alfa</w:t>
      </w:r>
      <w:r w:rsidR="00332FC0" w:rsidRPr="002B2C64">
        <w:rPr>
          <w:rFonts w:ascii="Book Antiqua" w:hAnsi="Book Antiqua"/>
          <w:sz w:val="24"/>
          <w:szCs w:val="24"/>
          <w:vertAlign w:val="superscript"/>
          <w:lang w:val="en-GB"/>
        </w:rPr>
        <w:t>[18]</w:t>
      </w:r>
      <w:r w:rsidR="00332FC0" w:rsidRPr="002B2C64">
        <w:rPr>
          <w:rFonts w:ascii="Book Antiqua" w:hAnsi="Book Antiqua"/>
          <w:sz w:val="24"/>
          <w:szCs w:val="24"/>
          <w:lang w:val="en-GB"/>
        </w:rPr>
        <w:t xml:space="preserve">. </w:t>
      </w:r>
      <w:r w:rsidR="00F01E65" w:rsidRPr="002B2C64">
        <w:rPr>
          <w:rFonts w:ascii="Book Antiqua" w:hAnsi="Book Antiqua"/>
          <w:sz w:val="24"/>
          <w:szCs w:val="24"/>
          <w:lang w:val="en-GB"/>
        </w:rPr>
        <w:t>Monocytes</w:t>
      </w:r>
      <w:r w:rsidR="00D96631" w:rsidRPr="002B2C64">
        <w:rPr>
          <w:rFonts w:ascii="Book Antiqua" w:hAnsi="Book Antiqua"/>
          <w:sz w:val="24"/>
          <w:szCs w:val="24"/>
          <w:lang w:val="en-GB"/>
        </w:rPr>
        <w:t xml:space="preserve"> </w:t>
      </w:r>
      <w:r w:rsidR="0079079C" w:rsidRPr="002B2C64">
        <w:rPr>
          <w:rFonts w:ascii="Book Antiqua" w:hAnsi="Book Antiqua"/>
          <w:sz w:val="24"/>
          <w:szCs w:val="24"/>
          <w:lang w:val="en-GB"/>
        </w:rPr>
        <w:t xml:space="preserve">are </w:t>
      </w:r>
      <w:r w:rsidR="006E2E96" w:rsidRPr="002B2C64">
        <w:rPr>
          <w:rFonts w:ascii="Book Antiqua" w:hAnsi="Book Antiqua"/>
          <w:sz w:val="24"/>
          <w:szCs w:val="24"/>
          <w:lang w:val="en-GB"/>
        </w:rPr>
        <w:t xml:space="preserve">also </w:t>
      </w:r>
      <w:r w:rsidR="0079079C" w:rsidRPr="002B2C64">
        <w:rPr>
          <w:rFonts w:ascii="Book Antiqua" w:hAnsi="Book Antiqua"/>
          <w:sz w:val="24"/>
          <w:szCs w:val="24"/>
          <w:lang w:val="en-GB"/>
        </w:rPr>
        <w:t xml:space="preserve">able </w:t>
      </w:r>
      <w:r w:rsidR="00D96631" w:rsidRPr="002B2C64">
        <w:rPr>
          <w:rFonts w:ascii="Book Antiqua" w:hAnsi="Book Antiqua"/>
          <w:sz w:val="24"/>
          <w:szCs w:val="24"/>
          <w:lang w:val="en-GB"/>
        </w:rPr>
        <w:t xml:space="preserve">to </w:t>
      </w:r>
      <w:r w:rsidR="007845E5" w:rsidRPr="002B2C64">
        <w:rPr>
          <w:rFonts w:ascii="Book Antiqua" w:hAnsi="Book Antiqua"/>
          <w:sz w:val="24"/>
          <w:szCs w:val="24"/>
          <w:lang w:val="en-GB"/>
        </w:rPr>
        <w:t xml:space="preserve">stimulate </w:t>
      </w:r>
      <w:r w:rsidR="00D96631" w:rsidRPr="002B2C64">
        <w:rPr>
          <w:rFonts w:ascii="Book Antiqua" w:hAnsi="Book Antiqua"/>
          <w:sz w:val="24"/>
          <w:szCs w:val="24"/>
          <w:lang w:val="en-GB"/>
        </w:rPr>
        <w:t>cancer cell death th</w:t>
      </w:r>
      <w:r w:rsidR="0079079C" w:rsidRPr="002B2C64">
        <w:rPr>
          <w:rFonts w:ascii="Book Antiqua" w:hAnsi="Book Antiqua"/>
          <w:sz w:val="24"/>
          <w:szCs w:val="24"/>
          <w:lang w:val="en-GB"/>
        </w:rPr>
        <w:t>r</w:t>
      </w:r>
      <w:r w:rsidR="00D96631" w:rsidRPr="002B2C64">
        <w:rPr>
          <w:rFonts w:ascii="Book Antiqua" w:hAnsi="Book Antiqua"/>
          <w:sz w:val="24"/>
          <w:szCs w:val="24"/>
          <w:lang w:val="en-GB"/>
        </w:rPr>
        <w:t>ough Ab-dependent cytolysis and phagocytosis</w:t>
      </w:r>
      <w:r w:rsidR="00D96631" w:rsidRPr="002B2C64">
        <w:rPr>
          <w:rFonts w:ascii="Book Antiqua" w:hAnsi="Book Antiqua"/>
          <w:sz w:val="24"/>
          <w:szCs w:val="24"/>
          <w:vertAlign w:val="superscript"/>
          <w:lang w:val="en-GB"/>
        </w:rPr>
        <w:t>[</w:t>
      </w:r>
      <w:r w:rsidR="00904625" w:rsidRPr="002B2C64">
        <w:rPr>
          <w:rFonts w:ascii="Book Antiqua" w:hAnsi="Book Antiqua"/>
          <w:sz w:val="24"/>
          <w:szCs w:val="24"/>
          <w:vertAlign w:val="superscript"/>
          <w:lang w:val="en-GB"/>
        </w:rPr>
        <w:t>19</w:t>
      </w:r>
      <w:r w:rsidR="00D96631" w:rsidRPr="002B2C64">
        <w:rPr>
          <w:rFonts w:ascii="Book Antiqua" w:hAnsi="Book Antiqua"/>
          <w:sz w:val="24"/>
          <w:szCs w:val="24"/>
          <w:vertAlign w:val="superscript"/>
          <w:lang w:val="en-GB"/>
        </w:rPr>
        <w:t>]</w:t>
      </w:r>
      <w:r w:rsidR="00D96631" w:rsidRPr="002B2C64">
        <w:rPr>
          <w:rFonts w:ascii="Book Antiqua" w:hAnsi="Book Antiqua"/>
          <w:sz w:val="24"/>
          <w:szCs w:val="24"/>
          <w:lang w:val="en-GB"/>
        </w:rPr>
        <w:t xml:space="preserve">. </w:t>
      </w:r>
      <w:r w:rsidR="00F01E65" w:rsidRPr="002B2C64">
        <w:rPr>
          <w:rFonts w:ascii="Book Antiqua" w:hAnsi="Book Antiqua"/>
          <w:sz w:val="24"/>
          <w:szCs w:val="24"/>
          <w:lang w:val="en-GB"/>
        </w:rPr>
        <w:t xml:space="preserve">However, cancer cells appear to </w:t>
      </w:r>
      <w:r w:rsidR="009531AC" w:rsidRPr="002B2C64">
        <w:rPr>
          <w:rFonts w:ascii="Book Antiqua" w:hAnsi="Book Antiqua"/>
          <w:sz w:val="24"/>
          <w:szCs w:val="24"/>
          <w:lang w:val="en-GB"/>
        </w:rPr>
        <w:t>protect</w:t>
      </w:r>
      <w:r w:rsidR="00DC54A1" w:rsidRPr="002B2C64">
        <w:rPr>
          <w:rFonts w:ascii="Book Antiqua" w:hAnsi="Book Antiqua"/>
          <w:sz w:val="24"/>
          <w:szCs w:val="24"/>
          <w:lang w:val="en-GB"/>
        </w:rPr>
        <w:t xml:space="preserve"> </w:t>
      </w:r>
      <w:r w:rsidR="00F01E65" w:rsidRPr="002B2C64">
        <w:rPr>
          <w:rFonts w:ascii="Book Antiqua" w:hAnsi="Book Antiqua"/>
          <w:sz w:val="24"/>
          <w:szCs w:val="24"/>
          <w:lang w:val="en-GB"/>
        </w:rPr>
        <w:t>themselves</w:t>
      </w:r>
      <w:r w:rsidR="00DC54A1" w:rsidRPr="002B2C64">
        <w:rPr>
          <w:rFonts w:ascii="Book Antiqua" w:hAnsi="Book Antiqua"/>
          <w:sz w:val="24"/>
          <w:szCs w:val="24"/>
          <w:lang w:val="en-GB"/>
        </w:rPr>
        <w:t xml:space="preserve"> </w:t>
      </w:r>
      <w:r w:rsidR="00F01E65" w:rsidRPr="002B2C64">
        <w:rPr>
          <w:rFonts w:ascii="Book Antiqua" w:hAnsi="Book Antiqua"/>
          <w:sz w:val="24"/>
          <w:szCs w:val="24"/>
          <w:lang w:val="en-GB"/>
        </w:rPr>
        <w:t>from</w:t>
      </w:r>
      <w:r w:rsidR="00DC54A1" w:rsidRPr="002B2C64">
        <w:rPr>
          <w:rFonts w:ascii="Book Antiqua" w:hAnsi="Book Antiqua"/>
          <w:sz w:val="24"/>
          <w:szCs w:val="24"/>
          <w:lang w:val="en-GB"/>
        </w:rPr>
        <w:t xml:space="preserve"> </w:t>
      </w:r>
      <w:r w:rsidR="00F01E65" w:rsidRPr="002B2C64">
        <w:rPr>
          <w:rFonts w:ascii="Book Antiqua" w:hAnsi="Book Antiqua"/>
          <w:sz w:val="24"/>
          <w:szCs w:val="24"/>
          <w:lang w:val="en-GB"/>
        </w:rPr>
        <w:t>phagocytosis</w:t>
      </w:r>
      <w:r w:rsidR="00DC54A1" w:rsidRPr="002B2C64">
        <w:rPr>
          <w:rFonts w:ascii="Book Antiqua" w:hAnsi="Book Antiqua"/>
          <w:sz w:val="24"/>
          <w:szCs w:val="24"/>
          <w:lang w:val="en-GB"/>
        </w:rPr>
        <w:t xml:space="preserve"> </w:t>
      </w:r>
      <w:r w:rsidR="00F01E65" w:rsidRPr="002B2C64">
        <w:rPr>
          <w:rFonts w:ascii="Book Antiqua" w:hAnsi="Book Antiqua"/>
          <w:sz w:val="24"/>
          <w:szCs w:val="24"/>
          <w:lang w:val="en-GB"/>
        </w:rPr>
        <w:t>in</w:t>
      </w:r>
      <w:r w:rsidR="00DC54A1" w:rsidRPr="002B2C64">
        <w:rPr>
          <w:rFonts w:ascii="Book Antiqua" w:hAnsi="Book Antiqua"/>
          <w:sz w:val="24"/>
          <w:szCs w:val="24"/>
          <w:lang w:val="en-GB"/>
        </w:rPr>
        <w:t xml:space="preserve"> </w:t>
      </w:r>
      <w:r w:rsidR="0079079C" w:rsidRPr="002B2C64">
        <w:rPr>
          <w:rFonts w:ascii="Book Antiqua" w:hAnsi="Book Antiqua"/>
          <w:sz w:val="24"/>
          <w:szCs w:val="24"/>
          <w:lang w:val="en-GB"/>
        </w:rPr>
        <w:t xml:space="preserve">the </w:t>
      </w:r>
      <w:r w:rsidR="00F01E65" w:rsidRPr="002B2C64">
        <w:rPr>
          <w:rFonts w:ascii="Book Antiqua" w:hAnsi="Book Antiqua"/>
          <w:sz w:val="24"/>
          <w:szCs w:val="24"/>
          <w:lang w:val="en-GB"/>
        </w:rPr>
        <w:t>circulatio</w:t>
      </w:r>
      <w:r w:rsidR="00950237" w:rsidRPr="002B2C64">
        <w:rPr>
          <w:rFonts w:ascii="Book Antiqua" w:hAnsi="Book Antiqua"/>
          <w:sz w:val="24"/>
          <w:szCs w:val="24"/>
          <w:lang w:val="en-GB"/>
        </w:rPr>
        <w:t>n</w:t>
      </w:r>
      <w:r w:rsidR="00950237" w:rsidRPr="002B2C64">
        <w:rPr>
          <w:rFonts w:ascii="Book Antiqua" w:hAnsi="Book Antiqua"/>
          <w:i/>
          <w:iCs/>
          <w:sz w:val="24"/>
          <w:szCs w:val="24"/>
          <w:lang w:val="en-GB"/>
        </w:rPr>
        <w:t xml:space="preserve"> via</w:t>
      </w:r>
      <w:r w:rsidR="00225640" w:rsidRPr="002B2C64">
        <w:rPr>
          <w:rFonts w:ascii="Book Antiqua" w:hAnsi="Book Antiqua"/>
          <w:sz w:val="24"/>
          <w:szCs w:val="24"/>
          <w:lang w:val="en-GB"/>
        </w:rPr>
        <w:t xml:space="preserve"> </w:t>
      </w:r>
      <w:r w:rsidR="0078299A" w:rsidRPr="002B2C64">
        <w:rPr>
          <w:rFonts w:ascii="Book Antiqua" w:hAnsi="Book Antiqua"/>
          <w:sz w:val="24"/>
          <w:szCs w:val="24"/>
          <w:lang w:val="en-GB"/>
        </w:rPr>
        <w:t>chemokine</w:t>
      </w:r>
      <w:r w:rsidR="00F01E65" w:rsidRPr="002B2C64">
        <w:rPr>
          <w:rFonts w:ascii="Book Antiqua" w:hAnsi="Book Antiqua"/>
          <w:sz w:val="24"/>
          <w:szCs w:val="24"/>
          <w:lang w:val="en-GB"/>
        </w:rPr>
        <w:t xml:space="preserve"> CD47</w:t>
      </w:r>
      <w:r w:rsidR="0079079C" w:rsidRPr="002B2C64">
        <w:rPr>
          <w:rFonts w:ascii="Book Antiqua" w:hAnsi="Book Antiqua"/>
          <w:sz w:val="24"/>
          <w:szCs w:val="24"/>
          <w:lang w:val="en-GB"/>
        </w:rPr>
        <w:t xml:space="preserve"> overexpression</w:t>
      </w:r>
      <w:r w:rsidR="00950237" w:rsidRPr="002B2C64">
        <w:rPr>
          <w:rFonts w:ascii="Book Antiqua" w:hAnsi="Book Antiqua"/>
          <w:sz w:val="24"/>
          <w:szCs w:val="24"/>
          <w:lang w:val="en-GB"/>
        </w:rPr>
        <w:t xml:space="preserve">. </w:t>
      </w:r>
      <w:r w:rsidR="000000B4" w:rsidRPr="002B2C64">
        <w:rPr>
          <w:rFonts w:ascii="Book Antiqua" w:hAnsi="Book Antiqua"/>
          <w:sz w:val="24"/>
          <w:szCs w:val="24"/>
          <w:lang w:val="en-GB"/>
        </w:rPr>
        <w:t xml:space="preserve">Despite high expression of </w:t>
      </w:r>
      <w:r w:rsidR="00203FCB" w:rsidRPr="002B2C64">
        <w:rPr>
          <w:rFonts w:ascii="Book Antiqua" w:hAnsi="Book Antiqua"/>
          <w:sz w:val="24"/>
          <w:szCs w:val="24"/>
          <w:lang w:val="en-GB"/>
        </w:rPr>
        <w:t xml:space="preserve">the </w:t>
      </w:r>
      <w:r w:rsidR="000000B4" w:rsidRPr="002B2C64">
        <w:rPr>
          <w:rFonts w:ascii="Book Antiqua" w:hAnsi="Book Antiqua"/>
          <w:sz w:val="24"/>
          <w:szCs w:val="24"/>
          <w:lang w:val="en-GB"/>
        </w:rPr>
        <w:t xml:space="preserve">ligand </w:t>
      </w:r>
      <w:r w:rsidR="0079079C" w:rsidRPr="002B2C64">
        <w:rPr>
          <w:rFonts w:ascii="Book Antiqua" w:hAnsi="Book Antiqua"/>
          <w:sz w:val="24"/>
          <w:szCs w:val="24"/>
          <w:lang w:val="en-GB"/>
        </w:rPr>
        <w:t xml:space="preserve">for </w:t>
      </w:r>
      <w:r w:rsidR="000000B4" w:rsidRPr="002B2C64">
        <w:rPr>
          <w:rFonts w:ascii="Book Antiqua" w:hAnsi="Book Antiqua"/>
          <w:sz w:val="24"/>
          <w:szCs w:val="24"/>
          <w:lang w:val="en-GB"/>
        </w:rPr>
        <w:t xml:space="preserve">CD47 on </w:t>
      </w:r>
      <w:r w:rsidR="000F38B9" w:rsidRPr="002B2C64">
        <w:rPr>
          <w:rFonts w:ascii="Book Antiqua" w:hAnsi="Book Antiqua"/>
          <w:sz w:val="24"/>
          <w:szCs w:val="24"/>
          <w:lang w:val="en-GB"/>
        </w:rPr>
        <w:t xml:space="preserve">the </w:t>
      </w:r>
      <w:r w:rsidR="004C4604" w:rsidRPr="002B2C64">
        <w:rPr>
          <w:rFonts w:ascii="Book Antiqua" w:hAnsi="Book Antiqua"/>
          <w:sz w:val="24"/>
          <w:szCs w:val="24"/>
          <w:lang w:val="en-GB"/>
        </w:rPr>
        <w:t xml:space="preserve">surface of circulating </w:t>
      </w:r>
      <w:r w:rsidR="000000B4" w:rsidRPr="002B2C64">
        <w:rPr>
          <w:rFonts w:ascii="Book Antiqua" w:hAnsi="Book Antiqua"/>
          <w:sz w:val="24"/>
          <w:szCs w:val="24"/>
          <w:lang w:val="en-GB"/>
        </w:rPr>
        <w:t xml:space="preserve">monocytes, they </w:t>
      </w:r>
      <w:r w:rsidR="004C4604" w:rsidRPr="002B2C64">
        <w:rPr>
          <w:rFonts w:ascii="Book Antiqua" w:hAnsi="Book Antiqua"/>
          <w:sz w:val="24"/>
          <w:szCs w:val="24"/>
          <w:lang w:val="en-GB"/>
        </w:rPr>
        <w:t xml:space="preserve">are </w:t>
      </w:r>
      <w:r w:rsidR="0079079C" w:rsidRPr="002B2C64">
        <w:rPr>
          <w:rFonts w:ascii="Book Antiqua" w:hAnsi="Book Antiqua"/>
          <w:sz w:val="24"/>
          <w:szCs w:val="24"/>
          <w:lang w:val="en-GB"/>
        </w:rPr>
        <w:t>un</w:t>
      </w:r>
      <w:r w:rsidR="004C4604" w:rsidRPr="002B2C64">
        <w:rPr>
          <w:rFonts w:ascii="Book Antiqua" w:hAnsi="Book Antiqua"/>
          <w:sz w:val="24"/>
          <w:szCs w:val="24"/>
          <w:lang w:val="en-GB"/>
        </w:rPr>
        <w:t>able to stop cancer cell invasion th</w:t>
      </w:r>
      <w:r w:rsidR="0079079C" w:rsidRPr="002B2C64">
        <w:rPr>
          <w:rFonts w:ascii="Book Antiqua" w:hAnsi="Book Antiqua"/>
          <w:sz w:val="24"/>
          <w:szCs w:val="24"/>
          <w:lang w:val="en-GB"/>
        </w:rPr>
        <w:t>r</w:t>
      </w:r>
      <w:r w:rsidR="004C4604" w:rsidRPr="002B2C64">
        <w:rPr>
          <w:rFonts w:ascii="Book Antiqua" w:hAnsi="Book Antiqua"/>
          <w:sz w:val="24"/>
          <w:szCs w:val="24"/>
          <w:lang w:val="en-GB"/>
        </w:rPr>
        <w:t>ough phagocytosis</w:t>
      </w:r>
      <w:r w:rsidR="00DB22C6" w:rsidRPr="002B2C64">
        <w:rPr>
          <w:rFonts w:ascii="Book Antiqua" w:hAnsi="Book Antiqua"/>
          <w:sz w:val="24"/>
          <w:szCs w:val="24"/>
          <w:vertAlign w:val="superscript"/>
          <w:lang w:val="en-GB"/>
        </w:rPr>
        <w:t>[</w:t>
      </w:r>
      <w:r w:rsidR="000269CC" w:rsidRPr="002B2C64">
        <w:rPr>
          <w:rFonts w:ascii="Book Antiqua" w:hAnsi="Book Antiqua"/>
          <w:sz w:val="24"/>
          <w:szCs w:val="24"/>
          <w:vertAlign w:val="superscript"/>
          <w:lang w:val="en-GB"/>
        </w:rPr>
        <w:t>20</w:t>
      </w:r>
      <w:r w:rsidR="00DB22C6" w:rsidRPr="002B2C64">
        <w:rPr>
          <w:rFonts w:ascii="Book Antiqua" w:hAnsi="Book Antiqua"/>
          <w:sz w:val="24"/>
          <w:szCs w:val="24"/>
          <w:vertAlign w:val="superscript"/>
          <w:lang w:val="en-GB"/>
        </w:rPr>
        <w:t>]</w:t>
      </w:r>
      <w:r w:rsidR="004C4604" w:rsidRPr="002B2C64">
        <w:rPr>
          <w:rFonts w:ascii="Book Antiqua" w:hAnsi="Book Antiqua"/>
          <w:sz w:val="24"/>
          <w:szCs w:val="24"/>
          <w:lang w:val="en-GB"/>
        </w:rPr>
        <w:t>.</w:t>
      </w:r>
      <w:r w:rsidR="00DC54A1" w:rsidRPr="002B2C64">
        <w:rPr>
          <w:rFonts w:ascii="Book Antiqua" w:hAnsi="Book Antiqua"/>
          <w:sz w:val="24"/>
          <w:szCs w:val="24"/>
          <w:lang w:val="en-GB"/>
        </w:rPr>
        <w:t xml:space="preserve"> </w:t>
      </w:r>
      <w:r w:rsidR="00C16E8E" w:rsidRPr="002B2C64">
        <w:rPr>
          <w:rFonts w:ascii="Book Antiqua" w:hAnsi="Book Antiqua"/>
          <w:sz w:val="24"/>
          <w:szCs w:val="24"/>
          <w:lang w:val="en-GB"/>
        </w:rPr>
        <w:t xml:space="preserve">Multiple </w:t>
      </w:r>
      <w:r w:rsidR="00296998" w:rsidRPr="002B2C64">
        <w:rPr>
          <w:rFonts w:ascii="Book Antiqua" w:hAnsi="Book Antiqua"/>
          <w:sz w:val="24"/>
          <w:szCs w:val="24"/>
          <w:lang w:val="en-GB"/>
        </w:rPr>
        <w:t xml:space="preserve">reports </w:t>
      </w:r>
      <w:r w:rsidR="006D3432" w:rsidRPr="002B2C64">
        <w:rPr>
          <w:rFonts w:ascii="Book Antiqua" w:hAnsi="Book Antiqua"/>
          <w:sz w:val="24"/>
          <w:szCs w:val="24"/>
          <w:lang w:val="en-GB"/>
        </w:rPr>
        <w:t xml:space="preserve">have </w:t>
      </w:r>
      <w:r w:rsidR="00296998" w:rsidRPr="002B2C64">
        <w:rPr>
          <w:rFonts w:ascii="Book Antiqua" w:hAnsi="Book Antiqua"/>
          <w:sz w:val="24"/>
          <w:szCs w:val="24"/>
          <w:lang w:val="en-GB"/>
        </w:rPr>
        <w:t xml:space="preserve">documented </w:t>
      </w:r>
      <w:r w:rsidR="002D46D2" w:rsidRPr="002B2C64">
        <w:rPr>
          <w:rFonts w:ascii="Book Antiqua" w:hAnsi="Book Antiqua"/>
          <w:sz w:val="24"/>
          <w:szCs w:val="24"/>
          <w:lang w:val="en-GB"/>
        </w:rPr>
        <w:t xml:space="preserve">that monocytes can be responsible for </w:t>
      </w:r>
      <w:r w:rsidR="00332FC0" w:rsidRPr="002B2C64">
        <w:rPr>
          <w:rFonts w:ascii="Book Antiqua" w:hAnsi="Book Antiqua"/>
          <w:sz w:val="24"/>
          <w:szCs w:val="24"/>
          <w:lang w:val="en-GB"/>
        </w:rPr>
        <w:t>tumour</w:t>
      </w:r>
      <w:r w:rsidR="002D46D2" w:rsidRPr="002B2C64">
        <w:rPr>
          <w:rFonts w:ascii="Book Antiqua" w:hAnsi="Book Antiqua"/>
          <w:sz w:val="24"/>
          <w:szCs w:val="24"/>
          <w:lang w:val="en-GB"/>
        </w:rPr>
        <w:t xml:space="preserve"> progression, including </w:t>
      </w:r>
      <w:r w:rsidR="00233BAB" w:rsidRPr="002B2C64">
        <w:rPr>
          <w:rFonts w:ascii="Book Antiqua" w:hAnsi="Book Antiqua"/>
          <w:sz w:val="24"/>
          <w:szCs w:val="24"/>
          <w:lang w:val="en-GB"/>
        </w:rPr>
        <w:t xml:space="preserve">the </w:t>
      </w:r>
      <w:r w:rsidR="002D46D2" w:rsidRPr="002B2C64">
        <w:rPr>
          <w:rFonts w:ascii="Book Antiqua" w:hAnsi="Book Antiqua"/>
          <w:sz w:val="24"/>
          <w:szCs w:val="24"/>
          <w:lang w:val="en-GB"/>
        </w:rPr>
        <w:t>early stages of tumo</w:t>
      </w:r>
      <w:r w:rsidR="00D2163B" w:rsidRPr="002B2C64">
        <w:rPr>
          <w:rFonts w:ascii="Book Antiqua" w:hAnsi="Book Antiqua"/>
          <w:sz w:val="24"/>
          <w:szCs w:val="24"/>
          <w:lang w:val="en-GB"/>
        </w:rPr>
        <w:t>u</w:t>
      </w:r>
      <w:r w:rsidR="002D46D2" w:rsidRPr="002B2C64">
        <w:rPr>
          <w:rFonts w:ascii="Book Antiqua" w:hAnsi="Book Antiqua"/>
          <w:sz w:val="24"/>
          <w:szCs w:val="24"/>
          <w:lang w:val="en-GB"/>
        </w:rPr>
        <w:t xml:space="preserve">r growth and </w:t>
      </w:r>
      <w:r w:rsidR="00D378CA" w:rsidRPr="002B2C64">
        <w:rPr>
          <w:rFonts w:ascii="Book Antiqua" w:hAnsi="Book Antiqua"/>
          <w:sz w:val="24"/>
          <w:szCs w:val="24"/>
          <w:lang w:val="en-GB"/>
        </w:rPr>
        <w:t xml:space="preserve">the formation of </w:t>
      </w:r>
      <w:r w:rsidR="002D46D2" w:rsidRPr="002B2C64">
        <w:rPr>
          <w:rFonts w:ascii="Book Antiqua" w:hAnsi="Book Antiqua"/>
          <w:sz w:val="24"/>
          <w:szCs w:val="24"/>
          <w:lang w:val="en-GB"/>
        </w:rPr>
        <w:t>distant metastase</w:t>
      </w:r>
      <w:r w:rsidR="00233BAB" w:rsidRPr="002B2C64">
        <w:rPr>
          <w:rFonts w:ascii="Book Antiqua" w:hAnsi="Book Antiqua"/>
          <w:sz w:val="24"/>
          <w:szCs w:val="24"/>
          <w:lang w:val="en-GB"/>
        </w:rPr>
        <w:t>s</w:t>
      </w:r>
      <w:r w:rsidR="0075775E" w:rsidRPr="002B2C64">
        <w:rPr>
          <w:rFonts w:ascii="Book Antiqua" w:hAnsi="Book Antiqua"/>
          <w:sz w:val="24"/>
          <w:szCs w:val="24"/>
          <w:vertAlign w:val="superscript"/>
          <w:lang w:val="en-GB"/>
        </w:rPr>
        <w:t>[21</w:t>
      </w:r>
      <w:r w:rsidR="002D46D2" w:rsidRPr="002B2C64">
        <w:rPr>
          <w:rFonts w:ascii="Book Antiqua" w:hAnsi="Book Antiqua"/>
          <w:sz w:val="24"/>
          <w:szCs w:val="24"/>
          <w:vertAlign w:val="superscript"/>
          <w:lang w:val="en-GB"/>
        </w:rPr>
        <w:t>]</w:t>
      </w:r>
      <w:r w:rsidR="002D46D2" w:rsidRPr="002B2C64">
        <w:rPr>
          <w:rFonts w:ascii="Book Antiqua" w:hAnsi="Book Antiqua"/>
          <w:sz w:val="24"/>
          <w:szCs w:val="24"/>
          <w:lang w:val="en-GB"/>
        </w:rPr>
        <w:t xml:space="preserve">. </w:t>
      </w:r>
      <w:r w:rsidR="0079079C" w:rsidRPr="002B2C64">
        <w:rPr>
          <w:rFonts w:ascii="Book Antiqua" w:hAnsi="Book Antiqua"/>
          <w:sz w:val="24"/>
          <w:szCs w:val="24"/>
          <w:lang w:val="en-GB"/>
        </w:rPr>
        <w:t>B</w:t>
      </w:r>
      <w:r w:rsidR="00553691" w:rsidRPr="002B2C64">
        <w:rPr>
          <w:rFonts w:ascii="Book Antiqua" w:hAnsi="Book Antiqua"/>
          <w:sz w:val="24"/>
          <w:szCs w:val="24"/>
          <w:lang w:val="en-GB"/>
        </w:rPr>
        <w:t xml:space="preserve">oth human and mouse models of colorectal </w:t>
      </w:r>
      <w:r w:rsidR="00117093" w:rsidRPr="002B2C64">
        <w:rPr>
          <w:rFonts w:ascii="Book Antiqua" w:hAnsi="Book Antiqua"/>
          <w:sz w:val="24"/>
          <w:szCs w:val="24"/>
          <w:lang w:val="en-GB"/>
        </w:rPr>
        <w:t xml:space="preserve">and breast cancer </w:t>
      </w:r>
      <w:r w:rsidR="00AD2549" w:rsidRPr="002B2C64">
        <w:rPr>
          <w:rFonts w:ascii="Book Antiqua" w:hAnsi="Book Antiqua"/>
          <w:sz w:val="24"/>
          <w:szCs w:val="24"/>
          <w:lang w:val="en-GB"/>
        </w:rPr>
        <w:t xml:space="preserve">have shown </w:t>
      </w:r>
      <w:r w:rsidR="00553691" w:rsidRPr="002B2C64">
        <w:rPr>
          <w:rFonts w:ascii="Book Antiqua" w:hAnsi="Book Antiqua"/>
          <w:sz w:val="24"/>
          <w:szCs w:val="24"/>
          <w:lang w:val="en-GB"/>
        </w:rPr>
        <w:t>that monocytes can be recruited</w:t>
      </w:r>
      <w:r w:rsidR="00117093" w:rsidRPr="002B2C64">
        <w:rPr>
          <w:rFonts w:ascii="Book Antiqua" w:hAnsi="Book Antiqua"/>
          <w:sz w:val="24"/>
          <w:szCs w:val="24"/>
          <w:lang w:val="en-GB"/>
        </w:rPr>
        <w:t xml:space="preserve"> to </w:t>
      </w:r>
      <w:r w:rsidR="00553691" w:rsidRPr="002B2C64">
        <w:rPr>
          <w:rFonts w:ascii="Book Antiqua" w:hAnsi="Book Antiqua"/>
          <w:sz w:val="24"/>
          <w:szCs w:val="24"/>
          <w:lang w:val="en-GB"/>
        </w:rPr>
        <w:t>primary tumo</w:t>
      </w:r>
      <w:r w:rsidR="00D2163B" w:rsidRPr="002B2C64">
        <w:rPr>
          <w:rFonts w:ascii="Book Antiqua" w:hAnsi="Book Antiqua"/>
          <w:sz w:val="24"/>
          <w:szCs w:val="24"/>
          <w:lang w:val="en-GB"/>
        </w:rPr>
        <w:t>u</w:t>
      </w:r>
      <w:r w:rsidR="00553691" w:rsidRPr="002B2C64">
        <w:rPr>
          <w:rFonts w:ascii="Book Antiqua" w:hAnsi="Book Antiqua"/>
          <w:sz w:val="24"/>
          <w:szCs w:val="24"/>
          <w:lang w:val="en-GB"/>
        </w:rPr>
        <w:t xml:space="preserve">rs </w:t>
      </w:r>
      <w:r w:rsidR="00117093" w:rsidRPr="002B2C64">
        <w:rPr>
          <w:rFonts w:ascii="Book Antiqua" w:hAnsi="Book Antiqua"/>
          <w:sz w:val="24"/>
          <w:szCs w:val="24"/>
          <w:lang w:val="en-GB"/>
        </w:rPr>
        <w:t xml:space="preserve">and pulmonary metastases </w:t>
      </w:r>
      <w:r w:rsidR="0079079C" w:rsidRPr="002B2C64">
        <w:rPr>
          <w:rFonts w:ascii="Book Antiqua" w:hAnsi="Book Antiqua"/>
          <w:sz w:val="24"/>
          <w:szCs w:val="24"/>
          <w:lang w:val="en-GB"/>
        </w:rPr>
        <w:t xml:space="preserve">in a </w:t>
      </w:r>
      <w:r w:rsidR="00117093" w:rsidRPr="002B2C64">
        <w:rPr>
          <w:rFonts w:ascii="Book Antiqua" w:hAnsi="Book Antiqua"/>
          <w:sz w:val="24"/>
          <w:szCs w:val="24"/>
          <w:lang w:val="en-GB"/>
        </w:rPr>
        <w:t>CCL2</w:t>
      </w:r>
      <w:r w:rsidR="006033D5" w:rsidRPr="002B2C64">
        <w:rPr>
          <w:rFonts w:ascii="Book Antiqua" w:hAnsi="Book Antiqua"/>
          <w:sz w:val="24"/>
          <w:szCs w:val="24"/>
          <w:lang w:val="en-GB"/>
        </w:rPr>
        <w:t xml:space="preserve"> Monocyte chemoattractant protein-1 (MCP-1/CCL2)</w:t>
      </w:r>
      <w:r w:rsidR="00117093" w:rsidRPr="002B2C64">
        <w:rPr>
          <w:rFonts w:ascii="Book Antiqua" w:hAnsi="Book Antiqua"/>
          <w:sz w:val="24"/>
          <w:szCs w:val="24"/>
          <w:lang w:val="en-GB"/>
        </w:rPr>
        <w:t>-dependent manner</w:t>
      </w:r>
      <w:r w:rsidR="00117093" w:rsidRPr="002B2C64">
        <w:rPr>
          <w:rFonts w:ascii="Book Antiqua" w:hAnsi="Book Antiqua"/>
          <w:sz w:val="24"/>
          <w:szCs w:val="24"/>
          <w:vertAlign w:val="superscript"/>
          <w:lang w:val="en-GB"/>
        </w:rPr>
        <w:t>[</w:t>
      </w:r>
      <w:r w:rsidR="00D04779" w:rsidRPr="002B2C64">
        <w:rPr>
          <w:rFonts w:ascii="Book Antiqua" w:hAnsi="Book Antiqua"/>
          <w:sz w:val="24"/>
          <w:szCs w:val="24"/>
          <w:vertAlign w:val="superscript"/>
          <w:lang w:val="en-GB"/>
        </w:rPr>
        <w:t>22</w:t>
      </w:r>
      <w:r w:rsidR="00C37326" w:rsidRPr="002B2C64">
        <w:rPr>
          <w:rFonts w:ascii="Book Antiqua" w:hAnsi="Book Antiqua"/>
          <w:sz w:val="24"/>
          <w:szCs w:val="24"/>
          <w:vertAlign w:val="superscript"/>
          <w:lang w:val="en-GB"/>
        </w:rPr>
        <w:t>,2</w:t>
      </w:r>
      <w:r w:rsidR="008D4390" w:rsidRPr="002B2C64">
        <w:rPr>
          <w:rFonts w:ascii="Book Antiqua" w:hAnsi="Book Antiqua"/>
          <w:sz w:val="24"/>
          <w:szCs w:val="24"/>
          <w:vertAlign w:val="superscript"/>
          <w:lang w:val="en-GB"/>
        </w:rPr>
        <w:t>3</w:t>
      </w:r>
      <w:r w:rsidR="00FE2801" w:rsidRPr="002B2C64">
        <w:rPr>
          <w:rFonts w:ascii="Book Antiqua" w:hAnsi="Book Antiqua"/>
          <w:sz w:val="24"/>
          <w:szCs w:val="24"/>
          <w:vertAlign w:val="superscript"/>
          <w:lang w:val="en-GB"/>
        </w:rPr>
        <w:t>]</w:t>
      </w:r>
      <w:r w:rsidR="00117093" w:rsidRPr="002B2C64">
        <w:rPr>
          <w:rFonts w:ascii="Book Antiqua" w:hAnsi="Book Antiqua"/>
          <w:sz w:val="24"/>
          <w:szCs w:val="24"/>
          <w:lang w:val="en-GB"/>
        </w:rPr>
        <w:t>.</w:t>
      </w:r>
      <w:r w:rsidR="00225640" w:rsidRPr="002B2C64">
        <w:rPr>
          <w:rFonts w:ascii="Book Antiqua" w:hAnsi="Book Antiqua"/>
          <w:sz w:val="24"/>
          <w:szCs w:val="24"/>
          <w:lang w:val="en-GB"/>
        </w:rPr>
        <w:t xml:space="preserve"> </w:t>
      </w:r>
      <w:r w:rsidR="007520E8" w:rsidRPr="002B2C64">
        <w:rPr>
          <w:rFonts w:ascii="Book Antiqua" w:hAnsi="Book Antiqua"/>
          <w:sz w:val="24"/>
          <w:szCs w:val="24"/>
          <w:lang w:val="en-GB"/>
        </w:rPr>
        <w:t xml:space="preserve">In our study we showed that patients with </w:t>
      </w:r>
      <w:r w:rsidR="00233BAB" w:rsidRPr="002B2C64">
        <w:rPr>
          <w:rFonts w:ascii="Book Antiqua" w:hAnsi="Book Antiqua"/>
          <w:sz w:val="24"/>
          <w:szCs w:val="24"/>
          <w:lang w:val="en-GB"/>
        </w:rPr>
        <w:t>CRC and</w:t>
      </w:r>
      <w:r w:rsidR="007520E8" w:rsidRPr="002B2C64">
        <w:rPr>
          <w:rFonts w:ascii="Book Antiqua" w:hAnsi="Book Antiqua"/>
          <w:sz w:val="24"/>
          <w:szCs w:val="24"/>
          <w:lang w:val="en-GB"/>
        </w:rPr>
        <w:t xml:space="preserve"> </w:t>
      </w:r>
      <w:r w:rsidR="00233BAB" w:rsidRPr="002B2C64">
        <w:rPr>
          <w:rFonts w:ascii="Book Antiqua" w:hAnsi="Book Antiqua"/>
          <w:sz w:val="24"/>
          <w:szCs w:val="24"/>
          <w:lang w:val="en-GB"/>
        </w:rPr>
        <w:t xml:space="preserve">a </w:t>
      </w:r>
      <w:r w:rsidR="00E37FEC" w:rsidRPr="002B2C64">
        <w:rPr>
          <w:rFonts w:ascii="Book Antiqua" w:hAnsi="Book Antiqua"/>
          <w:sz w:val="24"/>
          <w:szCs w:val="24"/>
          <w:lang w:val="en-GB"/>
        </w:rPr>
        <w:t xml:space="preserve">low </w:t>
      </w:r>
      <w:r w:rsidR="00332FC0" w:rsidRPr="002B2C64">
        <w:rPr>
          <w:rFonts w:ascii="Book Antiqua" w:hAnsi="Book Antiqua"/>
          <w:sz w:val="24"/>
          <w:szCs w:val="24"/>
          <w:lang w:val="en-GB"/>
        </w:rPr>
        <w:t>preoperative</w:t>
      </w:r>
      <w:r w:rsidR="00922E18" w:rsidRPr="002B2C64">
        <w:rPr>
          <w:rFonts w:ascii="Book Antiqua" w:hAnsi="Book Antiqua"/>
          <w:sz w:val="24"/>
          <w:szCs w:val="24"/>
          <w:lang w:val="en-GB"/>
        </w:rPr>
        <w:t xml:space="preserve"> </w:t>
      </w:r>
      <w:r w:rsidR="00E37FEC" w:rsidRPr="002B2C64">
        <w:rPr>
          <w:rFonts w:ascii="Book Antiqua" w:hAnsi="Book Antiqua"/>
          <w:sz w:val="24"/>
          <w:szCs w:val="24"/>
          <w:lang w:val="en-GB"/>
        </w:rPr>
        <w:t>absolute monocyte count</w:t>
      </w:r>
      <w:r w:rsidR="007520E8" w:rsidRPr="002B2C64">
        <w:rPr>
          <w:rFonts w:ascii="Book Antiqua" w:hAnsi="Book Antiqua"/>
          <w:sz w:val="24"/>
          <w:szCs w:val="24"/>
          <w:lang w:val="en-GB"/>
        </w:rPr>
        <w:t xml:space="preserve"> had </w:t>
      </w:r>
      <w:r w:rsidR="0079079C" w:rsidRPr="002B2C64">
        <w:rPr>
          <w:rFonts w:ascii="Book Antiqua" w:hAnsi="Book Antiqua"/>
          <w:sz w:val="24"/>
          <w:szCs w:val="24"/>
          <w:lang w:val="en-GB"/>
        </w:rPr>
        <w:t xml:space="preserve">a </w:t>
      </w:r>
      <w:r w:rsidR="007520E8" w:rsidRPr="002B2C64">
        <w:rPr>
          <w:rFonts w:ascii="Book Antiqua" w:hAnsi="Book Antiqua"/>
          <w:sz w:val="24"/>
          <w:szCs w:val="24"/>
          <w:lang w:val="en-GB"/>
        </w:rPr>
        <w:t xml:space="preserve">tendency </w:t>
      </w:r>
      <w:r w:rsidR="0079079C" w:rsidRPr="002B2C64">
        <w:rPr>
          <w:rFonts w:ascii="Book Antiqua" w:hAnsi="Book Antiqua"/>
          <w:sz w:val="24"/>
          <w:szCs w:val="24"/>
          <w:lang w:val="en-GB"/>
        </w:rPr>
        <w:t xml:space="preserve">for </w:t>
      </w:r>
      <w:r w:rsidR="007520E8" w:rsidRPr="002B2C64">
        <w:rPr>
          <w:rFonts w:ascii="Book Antiqua" w:hAnsi="Book Antiqua"/>
          <w:sz w:val="24"/>
          <w:szCs w:val="24"/>
          <w:lang w:val="en-GB"/>
        </w:rPr>
        <w:t xml:space="preserve">longer 3-year and 5-year DFS. Our results are in </w:t>
      </w:r>
      <w:r w:rsidR="004C3BEB" w:rsidRPr="002B2C64">
        <w:rPr>
          <w:rFonts w:ascii="Book Antiqua" w:hAnsi="Book Antiqua"/>
          <w:sz w:val="24"/>
          <w:szCs w:val="24"/>
          <w:lang w:val="en-GB"/>
        </w:rPr>
        <w:t xml:space="preserve">contrast </w:t>
      </w:r>
      <w:r w:rsidR="007520E8" w:rsidRPr="002B2C64">
        <w:rPr>
          <w:rFonts w:ascii="Book Antiqua" w:hAnsi="Book Antiqua"/>
          <w:sz w:val="24"/>
          <w:szCs w:val="24"/>
          <w:lang w:val="en-GB"/>
        </w:rPr>
        <w:t xml:space="preserve">with </w:t>
      </w:r>
      <w:r w:rsidR="00233BAB" w:rsidRPr="002B2C64">
        <w:rPr>
          <w:rFonts w:ascii="Book Antiqua" w:hAnsi="Book Antiqua"/>
          <w:sz w:val="24"/>
          <w:szCs w:val="24"/>
          <w:lang w:val="en-GB"/>
        </w:rPr>
        <w:t xml:space="preserve">those of </w:t>
      </w:r>
      <w:r w:rsidR="007520E8" w:rsidRPr="002B2C64">
        <w:rPr>
          <w:rFonts w:ascii="Book Antiqua" w:hAnsi="Book Antiqua"/>
          <w:sz w:val="24"/>
          <w:szCs w:val="24"/>
          <w:lang w:val="en-GB"/>
        </w:rPr>
        <w:t>Li</w:t>
      </w:r>
      <w:r w:rsidR="00DC54A1" w:rsidRPr="002B2C64">
        <w:rPr>
          <w:rFonts w:ascii="Book Antiqua" w:hAnsi="Book Antiqua"/>
          <w:sz w:val="24"/>
          <w:szCs w:val="24"/>
          <w:lang w:val="en-GB"/>
        </w:rPr>
        <w:t xml:space="preserve"> </w:t>
      </w:r>
      <w:r w:rsidR="004F5E36" w:rsidRPr="002B2C64">
        <w:rPr>
          <w:rFonts w:ascii="Book Antiqua" w:hAnsi="Book Antiqua"/>
          <w:i/>
          <w:iCs/>
          <w:sz w:val="24"/>
          <w:szCs w:val="24"/>
          <w:lang w:val="en-GB"/>
        </w:rPr>
        <w:t>et al</w:t>
      </w:r>
      <w:r w:rsidR="007520E8" w:rsidRPr="002B2C64">
        <w:rPr>
          <w:rFonts w:ascii="Book Antiqua" w:hAnsi="Book Antiqua"/>
          <w:sz w:val="24"/>
          <w:szCs w:val="24"/>
          <w:vertAlign w:val="superscript"/>
          <w:lang w:val="en-GB"/>
        </w:rPr>
        <w:t>[</w:t>
      </w:r>
      <w:r w:rsidR="00285E6F" w:rsidRPr="002B2C64">
        <w:rPr>
          <w:rFonts w:ascii="Book Antiqua" w:hAnsi="Book Antiqua"/>
          <w:sz w:val="24"/>
          <w:szCs w:val="24"/>
          <w:vertAlign w:val="superscript"/>
          <w:lang w:val="en-GB"/>
        </w:rPr>
        <w:t>24</w:t>
      </w:r>
      <w:r w:rsidR="00525AED" w:rsidRPr="002B2C64">
        <w:rPr>
          <w:rFonts w:ascii="Book Antiqua" w:hAnsi="Book Antiqua"/>
          <w:sz w:val="24"/>
          <w:szCs w:val="24"/>
          <w:vertAlign w:val="superscript"/>
          <w:lang w:val="en-GB"/>
        </w:rPr>
        <w:t>]</w:t>
      </w:r>
      <w:r w:rsidR="000F38B9" w:rsidRPr="002B2C64">
        <w:rPr>
          <w:rFonts w:ascii="Book Antiqua" w:hAnsi="Book Antiqua"/>
          <w:sz w:val="24"/>
          <w:szCs w:val="24"/>
          <w:lang w:val="en-GB"/>
        </w:rPr>
        <w:t xml:space="preserve"> who</w:t>
      </w:r>
      <w:r w:rsidR="00096C04" w:rsidRPr="002B2C64">
        <w:rPr>
          <w:rFonts w:ascii="Book Antiqua" w:hAnsi="Book Antiqua"/>
          <w:sz w:val="24"/>
          <w:szCs w:val="24"/>
          <w:lang w:val="en-GB"/>
        </w:rPr>
        <w:t xml:space="preserve"> demonstrated shorter one, three</w:t>
      </w:r>
      <w:r w:rsidR="0079079C" w:rsidRPr="002B2C64">
        <w:rPr>
          <w:rFonts w:ascii="Book Antiqua" w:hAnsi="Book Antiqua"/>
          <w:sz w:val="24"/>
          <w:szCs w:val="24"/>
          <w:lang w:val="en-GB"/>
        </w:rPr>
        <w:t>-</w:t>
      </w:r>
      <w:r w:rsidR="00096C04" w:rsidRPr="002B2C64">
        <w:rPr>
          <w:rFonts w:ascii="Book Antiqua" w:hAnsi="Book Antiqua"/>
          <w:sz w:val="24"/>
          <w:szCs w:val="24"/>
          <w:lang w:val="en-GB"/>
        </w:rPr>
        <w:t>, five</w:t>
      </w:r>
      <w:r w:rsidR="0079079C" w:rsidRPr="002B2C64">
        <w:rPr>
          <w:rFonts w:ascii="Book Antiqua" w:hAnsi="Book Antiqua"/>
          <w:sz w:val="24"/>
          <w:szCs w:val="24"/>
          <w:lang w:val="en-GB"/>
        </w:rPr>
        <w:t>-year</w:t>
      </w:r>
      <w:r w:rsidR="00096C04" w:rsidRPr="002B2C64">
        <w:rPr>
          <w:rFonts w:ascii="Book Antiqua" w:hAnsi="Book Antiqua"/>
          <w:sz w:val="24"/>
          <w:szCs w:val="24"/>
          <w:lang w:val="en-GB"/>
        </w:rPr>
        <w:t xml:space="preserve"> overall survival rate</w:t>
      </w:r>
      <w:r w:rsidR="00233BAB" w:rsidRPr="002B2C64">
        <w:rPr>
          <w:rFonts w:ascii="Book Antiqua" w:hAnsi="Book Antiqua"/>
          <w:sz w:val="24"/>
          <w:szCs w:val="24"/>
          <w:lang w:val="en-GB"/>
        </w:rPr>
        <w:t>s</w:t>
      </w:r>
      <w:r w:rsidR="00096C04" w:rsidRPr="002B2C64">
        <w:rPr>
          <w:rFonts w:ascii="Book Antiqua" w:hAnsi="Book Antiqua"/>
          <w:sz w:val="24"/>
          <w:szCs w:val="24"/>
          <w:lang w:val="en-GB"/>
        </w:rPr>
        <w:t xml:space="preserve"> in </w:t>
      </w:r>
      <w:r w:rsidR="00C61F4B" w:rsidRPr="002B2C64">
        <w:rPr>
          <w:rFonts w:ascii="Book Antiqua" w:hAnsi="Book Antiqua"/>
          <w:sz w:val="24"/>
          <w:szCs w:val="24"/>
          <w:lang w:val="en-GB"/>
        </w:rPr>
        <w:t>C</w:t>
      </w:r>
      <w:r w:rsidR="005763DB" w:rsidRPr="002B2C64">
        <w:rPr>
          <w:rFonts w:ascii="Book Antiqua" w:hAnsi="Book Antiqua"/>
          <w:sz w:val="24"/>
          <w:szCs w:val="24"/>
          <w:lang w:val="en-GB"/>
        </w:rPr>
        <w:t>R</w:t>
      </w:r>
      <w:r w:rsidR="00C61F4B" w:rsidRPr="002B2C64">
        <w:rPr>
          <w:rFonts w:ascii="Book Antiqua" w:hAnsi="Book Antiqua"/>
          <w:sz w:val="24"/>
          <w:szCs w:val="24"/>
          <w:lang w:val="en-GB"/>
        </w:rPr>
        <w:t xml:space="preserve">C </w:t>
      </w:r>
      <w:r w:rsidR="00096C04" w:rsidRPr="002B2C64">
        <w:rPr>
          <w:rFonts w:ascii="Book Antiqua" w:hAnsi="Book Antiqua"/>
          <w:sz w:val="24"/>
          <w:szCs w:val="24"/>
          <w:lang w:val="en-GB"/>
        </w:rPr>
        <w:t xml:space="preserve">patients with </w:t>
      </w:r>
      <w:r w:rsidR="00233BAB" w:rsidRPr="002B2C64">
        <w:rPr>
          <w:rFonts w:ascii="Book Antiqua" w:hAnsi="Book Antiqua"/>
          <w:sz w:val="24"/>
          <w:szCs w:val="24"/>
          <w:lang w:val="en-GB"/>
        </w:rPr>
        <w:t xml:space="preserve">a </w:t>
      </w:r>
      <w:r w:rsidR="00096C04" w:rsidRPr="002B2C64">
        <w:rPr>
          <w:rFonts w:ascii="Book Antiqua" w:hAnsi="Book Antiqua"/>
          <w:sz w:val="24"/>
          <w:szCs w:val="24"/>
          <w:lang w:val="en-GB"/>
        </w:rPr>
        <w:t xml:space="preserve">low absolute monocyte count. </w:t>
      </w:r>
      <w:r w:rsidR="004F5E36" w:rsidRPr="002B2C64">
        <w:rPr>
          <w:rFonts w:ascii="Book Antiqua" w:hAnsi="Book Antiqua"/>
          <w:sz w:val="24"/>
          <w:szCs w:val="24"/>
          <w:lang w:val="en-GB"/>
        </w:rPr>
        <w:t>Also, Hu</w:t>
      </w:r>
      <w:r w:rsidR="00332FC0" w:rsidRPr="002B2C64">
        <w:rPr>
          <w:rFonts w:ascii="Book Antiqua" w:hAnsi="Book Antiqua"/>
          <w:sz w:val="24"/>
          <w:szCs w:val="24"/>
          <w:lang w:val="en-GB"/>
        </w:rPr>
        <w:t xml:space="preserve"> </w:t>
      </w:r>
      <w:r w:rsidR="004F5E36" w:rsidRPr="002B2C64">
        <w:rPr>
          <w:rFonts w:ascii="Book Antiqua" w:hAnsi="Book Antiqua"/>
          <w:i/>
          <w:iCs/>
          <w:sz w:val="24"/>
          <w:szCs w:val="24"/>
          <w:lang w:val="en-GB"/>
        </w:rPr>
        <w:t>et al</w:t>
      </w:r>
      <w:r w:rsidR="00332FC0" w:rsidRPr="002B2C64">
        <w:rPr>
          <w:rFonts w:ascii="Book Antiqua" w:hAnsi="Book Antiqua"/>
          <w:sz w:val="24"/>
          <w:szCs w:val="24"/>
          <w:vertAlign w:val="superscript"/>
          <w:lang w:val="en-GB"/>
        </w:rPr>
        <w:t>[25]</w:t>
      </w:r>
      <w:r w:rsidR="00332FC0" w:rsidRPr="002B2C64">
        <w:rPr>
          <w:rFonts w:ascii="Book Antiqua" w:hAnsi="Book Antiqua"/>
          <w:sz w:val="24"/>
          <w:szCs w:val="24"/>
          <w:lang w:val="en-GB"/>
        </w:rPr>
        <w:t xml:space="preserve"> proved that preoperative monocyte counts </w:t>
      </w:r>
      <w:r w:rsidR="00233BAB" w:rsidRPr="002B2C64">
        <w:rPr>
          <w:rFonts w:ascii="Book Antiqua" w:hAnsi="Book Antiqua"/>
          <w:sz w:val="24"/>
          <w:szCs w:val="24"/>
          <w:lang w:val="en-GB"/>
        </w:rPr>
        <w:t>in</w:t>
      </w:r>
      <w:r w:rsidR="00332FC0" w:rsidRPr="002B2C64">
        <w:rPr>
          <w:rFonts w:ascii="Book Antiqua" w:hAnsi="Book Antiqua"/>
          <w:sz w:val="24"/>
          <w:szCs w:val="24"/>
          <w:lang w:val="en-GB"/>
        </w:rPr>
        <w:t xml:space="preserve"> peripheral blood samples </w:t>
      </w:r>
      <w:r w:rsidR="0079079C" w:rsidRPr="002B2C64">
        <w:rPr>
          <w:rFonts w:ascii="Book Antiqua" w:hAnsi="Book Antiqua"/>
          <w:sz w:val="24"/>
          <w:szCs w:val="24"/>
          <w:lang w:val="en-GB"/>
        </w:rPr>
        <w:t xml:space="preserve">were </w:t>
      </w:r>
      <w:r w:rsidR="00332FC0" w:rsidRPr="002B2C64">
        <w:rPr>
          <w:rFonts w:ascii="Book Antiqua" w:hAnsi="Book Antiqua"/>
          <w:sz w:val="24"/>
          <w:szCs w:val="24"/>
          <w:lang w:val="en-GB"/>
        </w:rPr>
        <w:t xml:space="preserve">associated with 5-year overall survival and appear to be </w:t>
      </w:r>
      <w:r w:rsidR="0079079C" w:rsidRPr="002B2C64">
        <w:rPr>
          <w:rFonts w:ascii="Book Antiqua" w:hAnsi="Book Antiqua"/>
          <w:sz w:val="24"/>
          <w:szCs w:val="24"/>
          <w:lang w:val="en-GB"/>
        </w:rPr>
        <w:t xml:space="preserve">an </w:t>
      </w:r>
      <w:r w:rsidR="00332FC0" w:rsidRPr="002B2C64">
        <w:rPr>
          <w:rFonts w:ascii="Book Antiqua" w:hAnsi="Book Antiqua"/>
          <w:sz w:val="24"/>
          <w:szCs w:val="24"/>
          <w:lang w:val="en-GB"/>
        </w:rPr>
        <w:t xml:space="preserve">independent risk factor for liver metastasis of </w:t>
      </w:r>
      <w:r w:rsidR="00233BAB" w:rsidRPr="002B2C64">
        <w:rPr>
          <w:rFonts w:ascii="Book Antiqua" w:hAnsi="Book Antiqua"/>
          <w:sz w:val="24"/>
          <w:szCs w:val="24"/>
          <w:lang w:val="en-GB"/>
        </w:rPr>
        <w:t>CRC</w:t>
      </w:r>
      <w:r w:rsidR="00332FC0" w:rsidRPr="002B2C64">
        <w:rPr>
          <w:rFonts w:ascii="Book Antiqua" w:hAnsi="Book Antiqua"/>
          <w:sz w:val="24"/>
          <w:szCs w:val="24"/>
          <w:lang w:val="en-GB"/>
        </w:rPr>
        <w:t xml:space="preserve">. </w:t>
      </w:r>
      <w:r w:rsidR="00EB6984" w:rsidRPr="002B2C64">
        <w:rPr>
          <w:rFonts w:ascii="Book Antiqua" w:hAnsi="Book Antiqua"/>
          <w:sz w:val="24"/>
          <w:szCs w:val="24"/>
          <w:lang w:val="en-GB"/>
        </w:rPr>
        <w:t xml:space="preserve">Sasaki </w:t>
      </w:r>
      <w:r w:rsidR="00EB6984" w:rsidRPr="002B2C64">
        <w:rPr>
          <w:rFonts w:ascii="Book Antiqua" w:hAnsi="Book Antiqua"/>
          <w:i/>
          <w:iCs/>
          <w:sz w:val="24"/>
          <w:szCs w:val="24"/>
          <w:lang w:val="en-GB"/>
        </w:rPr>
        <w:t>et al</w:t>
      </w:r>
      <w:r w:rsidR="00EB6984" w:rsidRPr="002B2C64">
        <w:rPr>
          <w:rFonts w:ascii="Book Antiqua" w:hAnsi="Book Antiqua"/>
          <w:sz w:val="24"/>
          <w:szCs w:val="24"/>
          <w:vertAlign w:val="superscript"/>
          <w:lang w:val="en-GB"/>
        </w:rPr>
        <w:t>[</w:t>
      </w:r>
      <w:r w:rsidR="005A225D" w:rsidRPr="002B2C64">
        <w:rPr>
          <w:rFonts w:ascii="Book Antiqua" w:hAnsi="Book Antiqua"/>
          <w:sz w:val="24"/>
          <w:szCs w:val="24"/>
          <w:vertAlign w:val="superscript"/>
          <w:lang w:val="en-GB"/>
        </w:rPr>
        <w:t>9</w:t>
      </w:r>
      <w:r w:rsidR="00EB6984" w:rsidRPr="002B2C64">
        <w:rPr>
          <w:rFonts w:ascii="Book Antiqua" w:hAnsi="Book Antiqua"/>
          <w:sz w:val="24"/>
          <w:szCs w:val="24"/>
          <w:vertAlign w:val="superscript"/>
          <w:lang w:val="en-GB"/>
        </w:rPr>
        <w:t>]</w:t>
      </w:r>
      <w:r w:rsidR="00EB6984" w:rsidRPr="002B2C64">
        <w:rPr>
          <w:rFonts w:ascii="Book Antiqua" w:hAnsi="Book Antiqua"/>
          <w:sz w:val="24"/>
          <w:szCs w:val="24"/>
          <w:lang w:val="en-GB"/>
        </w:rPr>
        <w:t xml:space="preserve"> and Haruki </w:t>
      </w:r>
      <w:r w:rsidR="00EB6984" w:rsidRPr="002B2C64">
        <w:rPr>
          <w:rFonts w:ascii="Book Antiqua" w:hAnsi="Book Antiqua"/>
          <w:i/>
          <w:iCs/>
          <w:sz w:val="24"/>
          <w:szCs w:val="24"/>
          <w:lang w:val="en-GB"/>
        </w:rPr>
        <w:t>et al</w:t>
      </w:r>
      <w:r w:rsidR="00EB6984" w:rsidRPr="002B2C64">
        <w:rPr>
          <w:rFonts w:ascii="Book Antiqua" w:hAnsi="Book Antiqua"/>
          <w:sz w:val="24"/>
          <w:szCs w:val="24"/>
          <w:vertAlign w:val="superscript"/>
          <w:lang w:val="en-GB"/>
        </w:rPr>
        <w:t>[</w:t>
      </w:r>
      <w:r w:rsidR="00915AE3" w:rsidRPr="002B2C64">
        <w:rPr>
          <w:rFonts w:ascii="Book Antiqua" w:hAnsi="Book Antiqua"/>
          <w:sz w:val="24"/>
          <w:szCs w:val="24"/>
          <w:vertAlign w:val="superscript"/>
          <w:lang w:val="en-GB"/>
        </w:rPr>
        <w:t>26</w:t>
      </w:r>
      <w:r w:rsidR="00EB6984" w:rsidRPr="002B2C64">
        <w:rPr>
          <w:rFonts w:ascii="Book Antiqua" w:hAnsi="Book Antiqua"/>
          <w:sz w:val="24"/>
          <w:szCs w:val="24"/>
          <w:vertAlign w:val="superscript"/>
          <w:lang w:val="en-GB"/>
        </w:rPr>
        <w:t>]</w:t>
      </w:r>
      <w:r w:rsidR="00057882" w:rsidRPr="002B2C64">
        <w:rPr>
          <w:rFonts w:ascii="Book Antiqua" w:hAnsi="Book Antiqua"/>
          <w:sz w:val="24"/>
          <w:szCs w:val="24"/>
          <w:lang w:val="en-GB"/>
        </w:rPr>
        <w:t xml:space="preserve"> observed that </w:t>
      </w:r>
      <w:r w:rsidR="00233BAB" w:rsidRPr="002B2C64">
        <w:rPr>
          <w:rFonts w:ascii="Book Antiqua" w:hAnsi="Book Antiqua"/>
          <w:sz w:val="24"/>
          <w:szCs w:val="24"/>
          <w:lang w:val="en-GB"/>
        </w:rPr>
        <w:t>an</w:t>
      </w:r>
      <w:r w:rsidR="00057882" w:rsidRPr="002B2C64">
        <w:rPr>
          <w:rFonts w:ascii="Book Antiqua" w:hAnsi="Book Antiqua"/>
          <w:sz w:val="24"/>
          <w:szCs w:val="24"/>
          <w:lang w:val="en-GB"/>
        </w:rPr>
        <w:t xml:space="preserve"> increase in </w:t>
      </w:r>
      <w:r w:rsidR="00332FC0" w:rsidRPr="002B2C64">
        <w:rPr>
          <w:rFonts w:ascii="Book Antiqua" w:hAnsi="Book Antiqua"/>
          <w:sz w:val="24"/>
          <w:szCs w:val="24"/>
          <w:lang w:val="en-GB"/>
        </w:rPr>
        <w:t>preoperative peripheral</w:t>
      </w:r>
      <w:r w:rsidR="00057882" w:rsidRPr="002B2C64">
        <w:rPr>
          <w:rFonts w:ascii="Book Antiqua" w:hAnsi="Book Antiqua"/>
          <w:sz w:val="24"/>
          <w:szCs w:val="24"/>
          <w:lang w:val="en-GB"/>
        </w:rPr>
        <w:t xml:space="preserve"> blood monocyte count can be </w:t>
      </w:r>
      <w:r w:rsidR="0079079C" w:rsidRPr="002B2C64">
        <w:rPr>
          <w:rFonts w:ascii="Book Antiqua" w:hAnsi="Book Antiqua"/>
          <w:sz w:val="24"/>
          <w:szCs w:val="24"/>
          <w:lang w:val="en-GB"/>
        </w:rPr>
        <w:t xml:space="preserve">an </w:t>
      </w:r>
      <w:r w:rsidR="00057882" w:rsidRPr="002B2C64">
        <w:rPr>
          <w:rFonts w:ascii="Book Antiqua" w:hAnsi="Book Antiqua"/>
          <w:sz w:val="24"/>
          <w:szCs w:val="24"/>
          <w:lang w:val="en-GB"/>
        </w:rPr>
        <w:t xml:space="preserve">independent risk factor for overall and cancer-related survival </w:t>
      </w:r>
      <w:r w:rsidR="00FC6B9D" w:rsidRPr="002B2C64">
        <w:rPr>
          <w:rFonts w:ascii="Book Antiqua" w:hAnsi="Book Antiqua"/>
          <w:sz w:val="24"/>
          <w:szCs w:val="24"/>
          <w:lang w:val="en-GB"/>
        </w:rPr>
        <w:t xml:space="preserve">of patients with </w:t>
      </w:r>
      <w:r w:rsidR="00233BAB" w:rsidRPr="002B2C64">
        <w:rPr>
          <w:rFonts w:ascii="Book Antiqua" w:hAnsi="Book Antiqua"/>
          <w:sz w:val="24"/>
          <w:szCs w:val="24"/>
          <w:lang w:val="en-GB"/>
        </w:rPr>
        <w:t>CRC</w:t>
      </w:r>
      <w:r w:rsidR="00FC6B9D" w:rsidRPr="002B2C64">
        <w:rPr>
          <w:rFonts w:ascii="Book Antiqua" w:hAnsi="Book Antiqua"/>
          <w:sz w:val="24"/>
          <w:szCs w:val="24"/>
          <w:lang w:val="en-GB"/>
        </w:rPr>
        <w:t xml:space="preserve"> metastasis </w:t>
      </w:r>
      <w:r w:rsidR="00057882" w:rsidRPr="002B2C64">
        <w:rPr>
          <w:rFonts w:ascii="Book Antiqua" w:hAnsi="Book Antiqua"/>
          <w:sz w:val="24"/>
          <w:szCs w:val="24"/>
          <w:lang w:val="en-GB"/>
        </w:rPr>
        <w:t xml:space="preserve">after hepatic resection. </w:t>
      </w:r>
      <w:r w:rsidR="007D43E0" w:rsidRPr="002B2C64">
        <w:rPr>
          <w:rFonts w:ascii="Book Antiqua" w:hAnsi="Book Antiqua"/>
          <w:sz w:val="24"/>
          <w:szCs w:val="24"/>
          <w:lang w:val="en-GB"/>
        </w:rPr>
        <w:t xml:space="preserve">Our results suggest that </w:t>
      </w:r>
      <w:r w:rsidR="00922E18" w:rsidRPr="002B2C64">
        <w:rPr>
          <w:rFonts w:ascii="Book Antiqua" w:hAnsi="Book Antiqua"/>
          <w:sz w:val="24"/>
          <w:szCs w:val="24"/>
          <w:lang w:val="en-GB"/>
        </w:rPr>
        <w:t xml:space="preserve">preoperative </w:t>
      </w:r>
      <w:r w:rsidR="007D43E0" w:rsidRPr="002B2C64">
        <w:rPr>
          <w:rFonts w:ascii="Book Antiqua" w:hAnsi="Book Antiqua"/>
          <w:sz w:val="24"/>
          <w:szCs w:val="24"/>
          <w:lang w:val="en-GB"/>
        </w:rPr>
        <w:t>circulating monocyte</w:t>
      </w:r>
      <w:r w:rsidR="00496315" w:rsidRPr="002B2C64">
        <w:rPr>
          <w:rFonts w:ascii="Book Antiqua" w:hAnsi="Book Antiqua"/>
          <w:sz w:val="24"/>
          <w:szCs w:val="24"/>
          <w:lang w:val="en-GB"/>
        </w:rPr>
        <w:t>s</w:t>
      </w:r>
      <w:r w:rsidR="007D43E0" w:rsidRPr="002B2C64">
        <w:rPr>
          <w:rFonts w:ascii="Book Antiqua" w:hAnsi="Book Antiqua"/>
          <w:sz w:val="24"/>
          <w:szCs w:val="24"/>
          <w:lang w:val="en-GB"/>
        </w:rPr>
        <w:t xml:space="preserve"> </w:t>
      </w:r>
      <w:r w:rsidR="00233BAB" w:rsidRPr="002B2C64">
        <w:rPr>
          <w:rFonts w:ascii="Book Antiqua" w:hAnsi="Book Antiqua"/>
          <w:sz w:val="24"/>
          <w:szCs w:val="24"/>
          <w:lang w:val="en-GB"/>
        </w:rPr>
        <w:t>in</w:t>
      </w:r>
      <w:r w:rsidR="007D43E0" w:rsidRPr="002B2C64">
        <w:rPr>
          <w:rFonts w:ascii="Book Antiqua" w:hAnsi="Book Antiqua"/>
          <w:sz w:val="24"/>
          <w:szCs w:val="24"/>
          <w:lang w:val="en-GB"/>
        </w:rPr>
        <w:t xml:space="preserve"> </w:t>
      </w:r>
      <w:r w:rsidR="00233BAB" w:rsidRPr="002B2C64">
        <w:rPr>
          <w:rFonts w:ascii="Book Antiqua" w:hAnsi="Book Antiqua"/>
          <w:sz w:val="24"/>
          <w:szCs w:val="24"/>
          <w:lang w:val="en-GB"/>
        </w:rPr>
        <w:t>the blood of patients with CRC</w:t>
      </w:r>
      <w:r w:rsidR="007D43E0" w:rsidRPr="002B2C64">
        <w:rPr>
          <w:rFonts w:ascii="Book Antiqua" w:hAnsi="Book Antiqua"/>
          <w:sz w:val="24"/>
          <w:szCs w:val="24"/>
          <w:lang w:val="en-GB"/>
        </w:rPr>
        <w:t xml:space="preserve"> </w:t>
      </w:r>
      <w:r w:rsidR="00E97D86" w:rsidRPr="002B2C64">
        <w:rPr>
          <w:rFonts w:ascii="Book Antiqua" w:hAnsi="Book Antiqua"/>
          <w:sz w:val="24"/>
          <w:szCs w:val="24"/>
          <w:lang w:val="en-GB"/>
        </w:rPr>
        <w:t>take part in tumo</w:t>
      </w:r>
      <w:r w:rsidR="00D2163B" w:rsidRPr="002B2C64">
        <w:rPr>
          <w:rFonts w:ascii="Book Antiqua" w:hAnsi="Book Antiqua"/>
          <w:sz w:val="24"/>
          <w:szCs w:val="24"/>
          <w:lang w:val="en-GB"/>
        </w:rPr>
        <w:t>u</w:t>
      </w:r>
      <w:r w:rsidR="00E97D86" w:rsidRPr="002B2C64">
        <w:rPr>
          <w:rFonts w:ascii="Book Antiqua" w:hAnsi="Book Antiqua"/>
          <w:sz w:val="24"/>
          <w:szCs w:val="24"/>
          <w:lang w:val="en-GB"/>
        </w:rPr>
        <w:t xml:space="preserve">r progression </w:t>
      </w:r>
      <w:r w:rsidR="0092692C" w:rsidRPr="002B2C64">
        <w:rPr>
          <w:rFonts w:ascii="Book Antiqua" w:hAnsi="Book Antiqua"/>
          <w:sz w:val="24"/>
          <w:szCs w:val="24"/>
          <w:lang w:val="en-GB"/>
        </w:rPr>
        <w:t xml:space="preserve">and </w:t>
      </w:r>
      <w:r w:rsidR="00496315" w:rsidRPr="002B2C64">
        <w:rPr>
          <w:rFonts w:ascii="Book Antiqua" w:hAnsi="Book Antiqua"/>
          <w:sz w:val="24"/>
          <w:szCs w:val="24"/>
          <w:lang w:val="en-GB"/>
        </w:rPr>
        <w:t xml:space="preserve">can be responsible for </w:t>
      </w:r>
      <w:r w:rsidR="00C05FCC" w:rsidRPr="002B2C64">
        <w:rPr>
          <w:rFonts w:ascii="Book Antiqua" w:hAnsi="Book Antiqua"/>
          <w:sz w:val="24"/>
          <w:szCs w:val="24"/>
          <w:lang w:val="en-GB"/>
        </w:rPr>
        <w:lastRenderedPageBreak/>
        <w:t>reduc</w:t>
      </w:r>
      <w:r w:rsidR="00770A86" w:rsidRPr="002B2C64">
        <w:rPr>
          <w:rFonts w:ascii="Book Antiqua" w:hAnsi="Book Antiqua"/>
          <w:sz w:val="24"/>
          <w:szCs w:val="24"/>
          <w:lang w:val="en-GB"/>
        </w:rPr>
        <w:t>ed</w:t>
      </w:r>
      <w:r w:rsidR="00C05FCC" w:rsidRPr="002B2C64">
        <w:rPr>
          <w:rFonts w:ascii="Book Antiqua" w:hAnsi="Book Antiqua"/>
          <w:sz w:val="24"/>
          <w:szCs w:val="24"/>
          <w:lang w:val="en-GB"/>
        </w:rPr>
        <w:t xml:space="preserve"> patient survival.</w:t>
      </w:r>
      <w:r w:rsidR="00922E18" w:rsidRPr="002B2C64">
        <w:rPr>
          <w:rFonts w:ascii="Book Antiqua" w:hAnsi="Book Antiqua"/>
          <w:sz w:val="24"/>
          <w:szCs w:val="24"/>
          <w:lang w:val="en-GB"/>
        </w:rPr>
        <w:t xml:space="preserve"> Moreover, we also showed that </w:t>
      </w:r>
      <w:r w:rsidR="00770A86" w:rsidRPr="002B2C64">
        <w:rPr>
          <w:rFonts w:ascii="Book Antiqua" w:hAnsi="Book Antiqua"/>
          <w:sz w:val="24"/>
          <w:szCs w:val="24"/>
          <w:lang w:val="en-GB"/>
        </w:rPr>
        <w:t xml:space="preserve">the </w:t>
      </w:r>
      <w:r w:rsidR="00922E18" w:rsidRPr="002B2C64">
        <w:rPr>
          <w:rFonts w:ascii="Book Antiqua" w:hAnsi="Book Antiqua"/>
          <w:sz w:val="24"/>
          <w:szCs w:val="24"/>
          <w:lang w:val="en-GB"/>
        </w:rPr>
        <w:t xml:space="preserve">peripheral absolute monocyte </w:t>
      </w:r>
      <w:r w:rsidR="00332FC0" w:rsidRPr="002B2C64">
        <w:rPr>
          <w:rFonts w:ascii="Book Antiqua" w:hAnsi="Book Antiqua"/>
          <w:sz w:val="24"/>
          <w:szCs w:val="24"/>
          <w:lang w:val="en-GB"/>
        </w:rPr>
        <w:t>count in</w:t>
      </w:r>
      <w:r w:rsidR="00922E18" w:rsidRPr="002B2C64">
        <w:rPr>
          <w:rFonts w:ascii="Book Antiqua" w:hAnsi="Book Antiqua"/>
          <w:sz w:val="24"/>
          <w:szCs w:val="24"/>
          <w:lang w:val="en-GB"/>
        </w:rPr>
        <w:t xml:space="preserve"> postoperative blood samples had </w:t>
      </w:r>
      <w:r w:rsidR="009F4ED7" w:rsidRPr="002B2C64">
        <w:rPr>
          <w:rFonts w:ascii="Book Antiqua" w:hAnsi="Book Antiqua"/>
          <w:sz w:val="24"/>
          <w:szCs w:val="24"/>
          <w:lang w:val="en-GB"/>
        </w:rPr>
        <w:t xml:space="preserve">a </w:t>
      </w:r>
      <w:r w:rsidR="00922E18" w:rsidRPr="002B2C64">
        <w:rPr>
          <w:rFonts w:ascii="Book Antiqua" w:hAnsi="Book Antiqua"/>
          <w:sz w:val="24"/>
          <w:szCs w:val="24"/>
          <w:lang w:val="en-GB"/>
        </w:rPr>
        <w:t xml:space="preserve">reverse tendency </w:t>
      </w:r>
      <w:r w:rsidR="00770A86" w:rsidRPr="002B2C64">
        <w:rPr>
          <w:rFonts w:ascii="Book Antiqua" w:hAnsi="Book Antiqua"/>
          <w:sz w:val="24"/>
          <w:szCs w:val="24"/>
          <w:lang w:val="en-GB"/>
        </w:rPr>
        <w:t xml:space="preserve">for </w:t>
      </w:r>
      <w:r w:rsidR="00922E18" w:rsidRPr="002B2C64">
        <w:rPr>
          <w:rFonts w:ascii="Book Antiqua" w:hAnsi="Book Antiqua"/>
          <w:sz w:val="24"/>
          <w:szCs w:val="24"/>
          <w:lang w:val="en-GB"/>
        </w:rPr>
        <w:t xml:space="preserve">survival time. </w:t>
      </w:r>
      <w:r w:rsidR="00EE4969" w:rsidRPr="002B2C64">
        <w:rPr>
          <w:rFonts w:ascii="Book Antiqua" w:hAnsi="Book Antiqua"/>
          <w:sz w:val="24"/>
          <w:szCs w:val="24"/>
          <w:lang w:val="en-GB"/>
        </w:rPr>
        <w:t xml:space="preserve">Additional work </w:t>
      </w:r>
      <w:r w:rsidR="00770A86" w:rsidRPr="002B2C64">
        <w:rPr>
          <w:rFonts w:ascii="Book Antiqua" w:hAnsi="Book Antiqua"/>
          <w:sz w:val="24"/>
          <w:szCs w:val="24"/>
          <w:lang w:val="en-GB"/>
        </w:rPr>
        <w:t xml:space="preserve">on the </w:t>
      </w:r>
      <w:r w:rsidR="00EE4969" w:rsidRPr="002B2C64">
        <w:rPr>
          <w:rFonts w:ascii="Book Antiqua" w:hAnsi="Book Antiqua"/>
          <w:sz w:val="24"/>
          <w:szCs w:val="24"/>
          <w:lang w:val="en-GB"/>
        </w:rPr>
        <w:t>evaluat</w:t>
      </w:r>
      <w:r w:rsidR="00233BAB" w:rsidRPr="002B2C64">
        <w:rPr>
          <w:rFonts w:ascii="Book Antiqua" w:hAnsi="Book Antiqua"/>
          <w:sz w:val="24"/>
          <w:szCs w:val="24"/>
          <w:lang w:val="en-GB"/>
        </w:rPr>
        <w:t>ion</w:t>
      </w:r>
      <w:r w:rsidR="00EE4969" w:rsidRPr="002B2C64">
        <w:rPr>
          <w:rFonts w:ascii="Book Antiqua" w:hAnsi="Book Antiqua"/>
          <w:sz w:val="24"/>
          <w:szCs w:val="24"/>
          <w:lang w:val="en-GB"/>
        </w:rPr>
        <w:t xml:space="preserve"> </w:t>
      </w:r>
      <w:r w:rsidR="00233BAB" w:rsidRPr="002B2C64">
        <w:rPr>
          <w:rFonts w:ascii="Book Antiqua" w:hAnsi="Book Antiqua"/>
          <w:sz w:val="24"/>
          <w:szCs w:val="24"/>
          <w:lang w:val="en-GB"/>
        </w:rPr>
        <w:t xml:space="preserve">of </w:t>
      </w:r>
      <w:r w:rsidR="00EE4969" w:rsidRPr="002B2C64">
        <w:rPr>
          <w:rFonts w:ascii="Book Antiqua" w:hAnsi="Book Antiqua"/>
          <w:sz w:val="24"/>
          <w:szCs w:val="24"/>
          <w:lang w:val="en-GB"/>
        </w:rPr>
        <w:t xml:space="preserve">monocyte count in postoperative blood samples </w:t>
      </w:r>
      <w:r w:rsidR="00233BAB" w:rsidRPr="002B2C64">
        <w:rPr>
          <w:rFonts w:ascii="Book Antiqua" w:hAnsi="Book Antiqua"/>
          <w:sz w:val="24"/>
          <w:szCs w:val="24"/>
          <w:lang w:val="en-GB"/>
        </w:rPr>
        <w:t xml:space="preserve">in a larger group </w:t>
      </w:r>
      <w:r w:rsidR="00EE4969" w:rsidRPr="002B2C64">
        <w:rPr>
          <w:rFonts w:ascii="Book Antiqua" w:hAnsi="Book Antiqua"/>
          <w:sz w:val="24"/>
          <w:szCs w:val="24"/>
          <w:lang w:val="en-GB"/>
        </w:rPr>
        <w:t>is needed to better understand the observed correlation.</w:t>
      </w:r>
    </w:p>
    <w:p w:rsidR="00E357CE" w:rsidRPr="002B2C64" w:rsidRDefault="00ED35ED" w:rsidP="0083105B">
      <w:pPr>
        <w:snapToGrid w:val="0"/>
        <w:spacing w:after="0" w:line="360" w:lineRule="auto"/>
        <w:ind w:firstLineChars="100" w:firstLine="240"/>
        <w:jc w:val="both"/>
        <w:rPr>
          <w:rFonts w:ascii="Book Antiqua" w:hAnsi="Book Antiqua"/>
          <w:sz w:val="24"/>
          <w:szCs w:val="24"/>
          <w:lang w:val="en-GB"/>
        </w:rPr>
      </w:pPr>
      <w:r w:rsidRPr="002B2C64">
        <w:rPr>
          <w:rFonts w:ascii="Book Antiqua" w:hAnsi="Book Antiqua"/>
          <w:sz w:val="24"/>
          <w:szCs w:val="24"/>
          <w:lang w:val="en-GB"/>
        </w:rPr>
        <w:t>Monocytes are able to interact with adaptive</w:t>
      </w:r>
      <w:r w:rsidR="00B347B5" w:rsidRPr="002B2C64">
        <w:rPr>
          <w:rFonts w:ascii="Book Antiqua" w:hAnsi="Book Antiqua"/>
          <w:sz w:val="24"/>
          <w:szCs w:val="24"/>
          <w:lang w:val="en-GB"/>
        </w:rPr>
        <w:t xml:space="preserve"> </w:t>
      </w:r>
      <w:r w:rsidRPr="002B2C64">
        <w:rPr>
          <w:rFonts w:ascii="Book Antiqua" w:hAnsi="Book Antiqua"/>
          <w:sz w:val="24"/>
          <w:szCs w:val="24"/>
          <w:lang w:val="en-GB"/>
        </w:rPr>
        <w:t>immunity by directing the recruitment and function of lymphocytes</w:t>
      </w:r>
      <w:r w:rsidR="00B347B5" w:rsidRPr="002B2C64">
        <w:rPr>
          <w:rFonts w:ascii="Book Antiqua" w:hAnsi="Book Antiqua"/>
          <w:sz w:val="24"/>
          <w:szCs w:val="24"/>
          <w:lang w:val="en-GB"/>
        </w:rPr>
        <w:t xml:space="preserve"> </w:t>
      </w:r>
      <w:r w:rsidRPr="002B2C64">
        <w:rPr>
          <w:rFonts w:ascii="Book Antiqua" w:hAnsi="Book Antiqua"/>
          <w:sz w:val="24"/>
          <w:szCs w:val="24"/>
          <w:lang w:val="en-GB"/>
        </w:rPr>
        <w:t>within the tumo</w:t>
      </w:r>
      <w:r w:rsidR="00D2163B" w:rsidRPr="002B2C64">
        <w:rPr>
          <w:rFonts w:ascii="Book Antiqua" w:hAnsi="Book Antiqua"/>
          <w:sz w:val="24"/>
          <w:szCs w:val="24"/>
          <w:lang w:val="en-GB"/>
        </w:rPr>
        <w:t>u</w:t>
      </w:r>
      <w:r w:rsidRPr="002B2C64">
        <w:rPr>
          <w:rFonts w:ascii="Book Antiqua" w:hAnsi="Book Antiqua"/>
          <w:sz w:val="24"/>
          <w:szCs w:val="24"/>
          <w:lang w:val="en-GB"/>
        </w:rPr>
        <w:t>r microenvironment. Circulating monocytes take part in paracrine signal</w:t>
      </w:r>
      <w:r w:rsidR="00D2163B" w:rsidRPr="002B2C64">
        <w:rPr>
          <w:rFonts w:ascii="Book Antiqua" w:hAnsi="Book Antiqua"/>
          <w:sz w:val="24"/>
          <w:szCs w:val="24"/>
          <w:lang w:val="en-GB"/>
        </w:rPr>
        <w:t>l</w:t>
      </w:r>
      <w:r w:rsidRPr="002B2C64">
        <w:rPr>
          <w:rFonts w:ascii="Book Antiqua" w:hAnsi="Book Antiqua"/>
          <w:sz w:val="24"/>
          <w:szCs w:val="24"/>
          <w:lang w:val="en-GB"/>
        </w:rPr>
        <w:t>ing and produce</w:t>
      </w:r>
      <w:r w:rsidR="00B347B5" w:rsidRPr="002B2C64">
        <w:rPr>
          <w:rFonts w:ascii="Book Antiqua" w:hAnsi="Book Antiqua"/>
          <w:sz w:val="24"/>
          <w:szCs w:val="24"/>
          <w:lang w:val="en-GB"/>
        </w:rPr>
        <w:t xml:space="preserve"> </w:t>
      </w:r>
      <w:r w:rsidRPr="002B2C64">
        <w:rPr>
          <w:rFonts w:ascii="Book Antiqua" w:hAnsi="Book Antiqua"/>
          <w:sz w:val="24"/>
          <w:szCs w:val="24"/>
          <w:lang w:val="en-GB"/>
        </w:rPr>
        <w:t>higher</w:t>
      </w:r>
      <w:r w:rsidR="00B347B5" w:rsidRPr="002B2C64">
        <w:rPr>
          <w:rFonts w:ascii="Book Antiqua" w:hAnsi="Book Antiqua"/>
          <w:sz w:val="24"/>
          <w:szCs w:val="24"/>
          <w:lang w:val="en-GB"/>
        </w:rPr>
        <w:t xml:space="preserve"> </w:t>
      </w:r>
      <w:r w:rsidRPr="002B2C64">
        <w:rPr>
          <w:rFonts w:ascii="Book Antiqua" w:hAnsi="Book Antiqua"/>
          <w:sz w:val="24"/>
          <w:szCs w:val="24"/>
          <w:lang w:val="en-GB"/>
        </w:rPr>
        <w:t>levels</w:t>
      </w:r>
      <w:r w:rsidR="00B347B5" w:rsidRPr="002B2C64">
        <w:rPr>
          <w:rFonts w:ascii="Book Antiqua" w:hAnsi="Book Antiqua"/>
          <w:sz w:val="24"/>
          <w:szCs w:val="24"/>
          <w:lang w:val="en-GB"/>
        </w:rPr>
        <w:t xml:space="preserve"> </w:t>
      </w:r>
      <w:r w:rsidRPr="002B2C64">
        <w:rPr>
          <w:rFonts w:ascii="Book Antiqua" w:hAnsi="Book Antiqua"/>
          <w:sz w:val="24"/>
          <w:szCs w:val="24"/>
          <w:lang w:val="en-GB"/>
        </w:rPr>
        <w:t>of</w:t>
      </w:r>
      <w:r w:rsidR="00B347B5" w:rsidRPr="002B2C64">
        <w:rPr>
          <w:rFonts w:ascii="Book Antiqua" w:hAnsi="Book Antiqua"/>
          <w:sz w:val="24"/>
          <w:szCs w:val="24"/>
          <w:lang w:val="en-GB"/>
        </w:rPr>
        <w:t xml:space="preserve"> </w:t>
      </w:r>
      <w:r w:rsidRPr="002B2C64">
        <w:rPr>
          <w:rFonts w:ascii="Book Antiqua" w:hAnsi="Book Antiqua"/>
          <w:sz w:val="24"/>
          <w:szCs w:val="24"/>
          <w:lang w:val="en-GB"/>
        </w:rPr>
        <w:t>many</w:t>
      </w:r>
      <w:r w:rsidR="00B347B5" w:rsidRPr="002B2C64">
        <w:rPr>
          <w:rFonts w:ascii="Book Antiqua" w:hAnsi="Book Antiqua"/>
          <w:sz w:val="24"/>
          <w:szCs w:val="24"/>
          <w:lang w:val="en-GB"/>
        </w:rPr>
        <w:t xml:space="preserve"> </w:t>
      </w:r>
      <w:r w:rsidRPr="002B2C64">
        <w:rPr>
          <w:rFonts w:ascii="Book Antiqua" w:hAnsi="Book Antiqua"/>
          <w:sz w:val="24"/>
          <w:szCs w:val="24"/>
          <w:lang w:val="en-GB"/>
        </w:rPr>
        <w:t>inflammatory</w:t>
      </w:r>
      <w:r w:rsidR="00B347B5" w:rsidRPr="002B2C64">
        <w:rPr>
          <w:rFonts w:ascii="Book Antiqua" w:hAnsi="Book Antiqua"/>
          <w:sz w:val="24"/>
          <w:szCs w:val="24"/>
          <w:lang w:val="en-GB"/>
        </w:rPr>
        <w:t xml:space="preserve"> </w:t>
      </w:r>
      <w:r w:rsidRPr="002B2C64">
        <w:rPr>
          <w:rFonts w:ascii="Book Antiqua" w:hAnsi="Book Antiqua"/>
          <w:sz w:val="24"/>
          <w:szCs w:val="24"/>
          <w:lang w:val="en-GB"/>
        </w:rPr>
        <w:t>cytokines</w:t>
      </w:r>
      <w:r w:rsidR="00B347B5" w:rsidRPr="002B2C64">
        <w:rPr>
          <w:rFonts w:ascii="Book Antiqua" w:hAnsi="Book Antiqua"/>
          <w:sz w:val="24"/>
          <w:szCs w:val="24"/>
          <w:lang w:val="en-GB"/>
        </w:rPr>
        <w:t xml:space="preserve"> </w:t>
      </w:r>
      <w:r w:rsidRPr="002B2C64">
        <w:rPr>
          <w:rFonts w:ascii="Book Antiqua" w:hAnsi="Book Antiqua"/>
          <w:sz w:val="24"/>
          <w:szCs w:val="24"/>
          <w:lang w:val="en-GB"/>
        </w:rPr>
        <w:t>and</w:t>
      </w:r>
      <w:r w:rsidR="00B347B5" w:rsidRPr="002B2C64">
        <w:rPr>
          <w:rFonts w:ascii="Book Antiqua" w:hAnsi="Book Antiqua"/>
          <w:sz w:val="24"/>
          <w:szCs w:val="24"/>
          <w:lang w:val="en-GB"/>
        </w:rPr>
        <w:t xml:space="preserve"> </w:t>
      </w:r>
      <w:r w:rsidRPr="002B2C64">
        <w:rPr>
          <w:rFonts w:ascii="Book Antiqua" w:hAnsi="Book Antiqua"/>
          <w:sz w:val="24"/>
          <w:szCs w:val="24"/>
          <w:lang w:val="en-GB"/>
        </w:rPr>
        <w:t xml:space="preserve">chemokines, including </w:t>
      </w:r>
      <w:r w:rsidR="005763DB" w:rsidRPr="002B2C64">
        <w:rPr>
          <w:rFonts w:ascii="Book Antiqua" w:hAnsi="Book Antiqua"/>
          <w:sz w:val="24"/>
          <w:szCs w:val="24"/>
          <w:lang w:val="en-GB"/>
        </w:rPr>
        <w:t>tumour necrosis factor alfa</w:t>
      </w:r>
      <w:r w:rsidRPr="002B2C64">
        <w:rPr>
          <w:rFonts w:ascii="Book Antiqua" w:hAnsi="Book Antiqua"/>
          <w:sz w:val="24"/>
          <w:szCs w:val="24"/>
          <w:lang w:val="en-GB"/>
        </w:rPr>
        <w:t>,</w:t>
      </w:r>
      <w:r w:rsidR="005763DB" w:rsidRPr="002B2C64">
        <w:rPr>
          <w:rFonts w:ascii="Book Antiqua" w:hAnsi="Book Antiqua"/>
          <w:sz w:val="24"/>
          <w:szCs w:val="24"/>
          <w:lang w:val="en-GB"/>
        </w:rPr>
        <w:t xml:space="preserve"> interleukin 1 (</w:t>
      </w:r>
      <w:r w:rsidRPr="002B2C64">
        <w:rPr>
          <w:rFonts w:ascii="Book Antiqua" w:hAnsi="Book Antiqua"/>
          <w:sz w:val="24"/>
          <w:szCs w:val="24"/>
          <w:lang w:val="en-GB"/>
        </w:rPr>
        <w:t>IL-1</w:t>
      </w:r>
      <w:r w:rsidRPr="002B2C64">
        <w:rPr>
          <w:rFonts w:ascii="Cambria Math" w:hAnsi="Cambria Math" w:cs="Cambria Math"/>
          <w:sz w:val="24"/>
          <w:szCs w:val="24"/>
          <w:lang w:val="en-GB"/>
        </w:rPr>
        <w:t>𝛽</w:t>
      </w:r>
      <w:r w:rsidR="005763DB" w:rsidRPr="002B2C64">
        <w:rPr>
          <w:rFonts w:ascii="Book Antiqua" w:hAnsi="Book Antiqua" w:cs="Cambria Math"/>
          <w:sz w:val="24"/>
          <w:szCs w:val="24"/>
          <w:lang w:val="en-GB"/>
        </w:rPr>
        <w:t>)</w:t>
      </w:r>
      <w:r w:rsidRPr="002B2C64">
        <w:rPr>
          <w:rFonts w:ascii="Book Antiqua" w:hAnsi="Book Antiqua"/>
          <w:sz w:val="24"/>
          <w:szCs w:val="24"/>
          <w:lang w:val="en-GB"/>
        </w:rPr>
        <w:t xml:space="preserve">, </w:t>
      </w:r>
      <w:r w:rsidR="005763DB" w:rsidRPr="002B2C64">
        <w:rPr>
          <w:rFonts w:ascii="Book Antiqua" w:hAnsi="Book Antiqua"/>
          <w:sz w:val="24"/>
          <w:szCs w:val="24"/>
          <w:lang w:val="en-GB"/>
        </w:rPr>
        <w:t>interleukin 6 (I</w:t>
      </w:r>
      <w:r w:rsidRPr="002B2C64">
        <w:rPr>
          <w:rFonts w:ascii="Book Antiqua" w:hAnsi="Book Antiqua"/>
          <w:sz w:val="24"/>
          <w:szCs w:val="24"/>
          <w:lang w:val="en-GB"/>
        </w:rPr>
        <w:t>L-6</w:t>
      </w:r>
      <w:r w:rsidR="005763DB" w:rsidRPr="002B2C64">
        <w:rPr>
          <w:rFonts w:ascii="Book Antiqua" w:hAnsi="Book Antiqua"/>
          <w:sz w:val="24"/>
          <w:szCs w:val="24"/>
          <w:lang w:val="en-GB"/>
        </w:rPr>
        <w:t>)</w:t>
      </w:r>
      <w:r w:rsidRPr="002B2C64">
        <w:rPr>
          <w:rFonts w:ascii="Book Antiqua" w:hAnsi="Book Antiqua"/>
          <w:sz w:val="24"/>
          <w:szCs w:val="24"/>
          <w:lang w:val="en-GB"/>
        </w:rPr>
        <w:t xml:space="preserve">, and </w:t>
      </w:r>
      <w:r w:rsidR="004F5E36" w:rsidRPr="002B2C64">
        <w:rPr>
          <w:rFonts w:ascii="Book Antiqua" w:hAnsi="Book Antiqua"/>
          <w:sz w:val="24"/>
          <w:szCs w:val="24"/>
          <w:lang w:val="en-GB"/>
        </w:rPr>
        <w:t>chemokine ligand 3</w:t>
      </w:r>
      <w:r w:rsidRPr="002B2C64">
        <w:rPr>
          <w:rFonts w:ascii="Book Antiqua" w:hAnsi="Book Antiqua"/>
          <w:sz w:val="24"/>
          <w:szCs w:val="24"/>
          <w:vertAlign w:val="superscript"/>
          <w:lang w:val="en-GB"/>
        </w:rPr>
        <w:t>[</w:t>
      </w:r>
      <w:r w:rsidR="00915AE3" w:rsidRPr="002B2C64">
        <w:rPr>
          <w:rFonts w:ascii="Book Antiqua" w:hAnsi="Book Antiqua"/>
          <w:sz w:val="24"/>
          <w:szCs w:val="24"/>
          <w:vertAlign w:val="superscript"/>
          <w:lang w:val="en-GB"/>
        </w:rPr>
        <w:t>27</w:t>
      </w:r>
      <w:r w:rsidRPr="002B2C64">
        <w:rPr>
          <w:rFonts w:ascii="Book Antiqua" w:hAnsi="Book Antiqua"/>
          <w:sz w:val="24"/>
          <w:szCs w:val="24"/>
          <w:vertAlign w:val="superscript"/>
          <w:lang w:val="en-GB"/>
        </w:rPr>
        <w:t>]</w:t>
      </w:r>
      <w:r w:rsidR="006A7EFA" w:rsidRPr="002B2C64">
        <w:rPr>
          <w:rFonts w:ascii="Book Antiqua" w:hAnsi="Book Antiqua"/>
          <w:sz w:val="24"/>
          <w:szCs w:val="24"/>
          <w:lang w:val="en-GB"/>
        </w:rPr>
        <w:t xml:space="preserve">. </w:t>
      </w:r>
      <w:r w:rsidR="0064350A" w:rsidRPr="002B2C64">
        <w:rPr>
          <w:rFonts w:ascii="Book Antiqua" w:hAnsi="Book Antiqua"/>
          <w:sz w:val="24"/>
          <w:szCs w:val="24"/>
          <w:lang w:val="en-GB"/>
        </w:rPr>
        <w:t xml:space="preserve">They </w:t>
      </w:r>
      <w:r w:rsidR="006C5C5C" w:rsidRPr="002B2C64">
        <w:rPr>
          <w:rFonts w:ascii="Book Antiqua" w:hAnsi="Book Antiqua"/>
          <w:sz w:val="24"/>
          <w:szCs w:val="24"/>
          <w:lang w:val="en-GB"/>
        </w:rPr>
        <w:t>can be recruited into tumo</w:t>
      </w:r>
      <w:r w:rsidR="00D2163B" w:rsidRPr="002B2C64">
        <w:rPr>
          <w:rFonts w:ascii="Book Antiqua" w:hAnsi="Book Antiqua"/>
          <w:sz w:val="24"/>
          <w:szCs w:val="24"/>
          <w:lang w:val="en-GB"/>
        </w:rPr>
        <w:t>u</w:t>
      </w:r>
      <w:r w:rsidR="006C5C5C" w:rsidRPr="002B2C64">
        <w:rPr>
          <w:rFonts w:ascii="Book Antiqua" w:hAnsi="Book Antiqua"/>
          <w:sz w:val="24"/>
          <w:szCs w:val="24"/>
          <w:lang w:val="en-GB"/>
        </w:rPr>
        <w:t xml:space="preserve">rs and determine </w:t>
      </w:r>
      <w:r w:rsidR="00A70E16" w:rsidRPr="002B2C64">
        <w:rPr>
          <w:rFonts w:ascii="Book Antiqua" w:hAnsi="Book Antiqua"/>
          <w:sz w:val="24"/>
          <w:szCs w:val="24"/>
          <w:lang w:val="en-GB"/>
        </w:rPr>
        <w:t xml:space="preserve">the </w:t>
      </w:r>
      <w:r w:rsidR="00B41FC6" w:rsidRPr="002B2C64">
        <w:rPr>
          <w:rFonts w:ascii="Book Antiqua" w:hAnsi="Book Antiqua"/>
          <w:sz w:val="24"/>
          <w:szCs w:val="24"/>
          <w:lang w:val="en-GB"/>
        </w:rPr>
        <w:t xml:space="preserve">reduction </w:t>
      </w:r>
      <w:r w:rsidR="00A70E16" w:rsidRPr="002B2C64">
        <w:rPr>
          <w:rFonts w:ascii="Book Antiqua" w:hAnsi="Book Antiqua"/>
          <w:sz w:val="24"/>
          <w:szCs w:val="24"/>
          <w:lang w:val="en-GB"/>
        </w:rPr>
        <w:t xml:space="preserve">of </w:t>
      </w:r>
      <w:r w:rsidR="006C5C5C" w:rsidRPr="002B2C64">
        <w:rPr>
          <w:rFonts w:ascii="Book Antiqua" w:hAnsi="Book Antiqua"/>
          <w:sz w:val="24"/>
          <w:szCs w:val="24"/>
          <w:lang w:val="en-GB"/>
        </w:rPr>
        <w:t>cytotoxic CD8+T</w:t>
      </w:r>
      <w:r w:rsidR="00A70E16" w:rsidRPr="002B2C64">
        <w:rPr>
          <w:rFonts w:ascii="Book Antiqua" w:hAnsi="Book Antiqua"/>
          <w:sz w:val="24"/>
          <w:szCs w:val="24"/>
          <w:lang w:val="en-GB"/>
        </w:rPr>
        <w:t xml:space="preserve"> cell</w:t>
      </w:r>
      <w:r w:rsidR="00B347B5" w:rsidRPr="002B2C64">
        <w:rPr>
          <w:rFonts w:ascii="Book Antiqua" w:hAnsi="Book Antiqua"/>
          <w:sz w:val="24"/>
          <w:szCs w:val="24"/>
          <w:lang w:val="en-GB"/>
        </w:rPr>
        <w:t xml:space="preserve"> </w:t>
      </w:r>
      <w:r w:rsidR="00A70E16" w:rsidRPr="002B2C64">
        <w:rPr>
          <w:rFonts w:ascii="Book Antiqua" w:hAnsi="Book Antiqua"/>
          <w:sz w:val="24"/>
          <w:szCs w:val="24"/>
          <w:lang w:val="en-GB"/>
        </w:rPr>
        <w:t>infiltration</w:t>
      </w:r>
      <w:r w:rsidR="006C5C5C" w:rsidRPr="002B2C64">
        <w:rPr>
          <w:rFonts w:ascii="Book Antiqua" w:hAnsi="Book Antiqua"/>
          <w:sz w:val="24"/>
          <w:szCs w:val="24"/>
          <w:lang w:val="en-GB"/>
        </w:rPr>
        <w:t xml:space="preserve">. </w:t>
      </w:r>
      <w:r w:rsidR="0001114F" w:rsidRPr="002B2C64">
        <w:rPr>
          <w:rFonts w:ascii="Book Antiqua" w:hAnsi="Book Antiqua"/>
          <w:sz w:val="24"/>
          <w:szCs w:val="24"/>
          <w:lang w:val="en-GB"/>
        </w:rPr>
        <w:t xml:space="preserve">Literature data </w:t>
      </w:r>
      <w:r w:rsidR="002D26B1" w:rsidRPr="002B2C64">
        <w:rPr>
          <w:rFonts w:ascii="Book Antiqua" w:hAnsi="Book Antiqua"/>
          <w:sz w:val="24"/>
          <w:szCs w:val="24"/>
          <w:lang w:val="en-GB"/>
        </w:rPr>
        <w:t xml:space="preserve">have </w:t>
      </w:r>
      <w:r w:rsidR="0001114F" w:rsidRPr="002B2C64">
        <w:rPr>
          <w:rFonts w:ascii="Book Antiqua" w:hAnsi="Book Antiqua"/>
          <w:sz w:val="24"/>
          <w:szCs w:val="24"/>
          <w:lang w:val="en-GB"/>
        </w:rPr>
        <w:t>show</w:t>
      </w:r>
      <w:r w:rsidR="002D26B1" w:rsidRPr="002B2C64">
        <w:rPr>
          <w:rFonts w:ascii="Book Antiqua" w:hAnsi="Book Antiqua"/>
          <w:sz w:val="24"/>
          <w:szCs w:val="24"/>
          <w:lang w:val="en-GB"/>
        </w:rPr>
        <w:t>n</w:t>
      </w:r>
      <w:r w:rsidR="0001114F" w:rsidRPr="002B2C64">
        <w:rPr>
          <w:rFonts w:ascii="Book Antiqua" w:hAnsi="Book Antiqua"/>
          <w:sz w:val="24"/>
          <w:szCs w:val="24"/>
          <w:lang w:val="en-GB"/>
        </w:rPr>
        <w:t xml:space="preserve"> that </w:t>
      </w:r>
      <w:r w:rsidR="00EB722B" w:rsidRPr="002B2C64">
        <w:rPr>
          <w:rFonts w:ascii="Book Antiqua" w:hAnsi="Book Antiqua"/>
          <w:sz w:val="24"/>
          <w:szCs w:val="24"/>
          <w:lang w:val="en-GB"/>
        </w:rPr>
        <w:t xml:space="preserve">the </w:t>
      </w:r>
      <w:r w:rsidR="0001114F" w:rsidRPr="002B2C64">
        <w:rPr>
          <w:rFonts w:ascii="Book Antiqua" w:hAnsi="Book Antiqua"/>
          <w:sz w:val="24"/>
          <w:szCs w:val="24"/>
          <w:lang w:val="en-GB"/>
        </w:rPr>
        <w:t>inhibition of CCR2-dependent monocyte-derived cell</w:t>
      </w:r>
      <w:r w:rsidR="00C25D3F" w:rsidRPr="002B2C64">
        <w:rPr>
          <w:rFonts w:ascii="Book Antiqua" w:hAnsi="Book Antiqua"/>
          <w:sz w:val="24"/>
          <w:szCs w:val="24"/>
          <w:lang w:val="en-GB"/>
        </w:rPr>
        <w:t xml:space="preserve">s leads to </w:t>
      </w:r>
      <w:r w:rsidR="00BB1337" w:rsidRPr="002B2C64">
        <w:rPr>
          <w:rFonts w:ascii="Book Antiqua" w:hAnsi="Book Antiqua"/>
          <w:sz w:val="24"/>
          <w:szCs w:val="24"/>
          <w:lang w:val="en-GB"/>
        </w:rPr>
        <w:t xml:space="preserve">intensive infiltration of CD8+T cells and </w:t>
      </w:r>
      <w:r w:rsidR="001008F8" w:rsidRPr="002B2C64">
        <w:rPr>
          <w:rFonts w:ascii="Book Antiqua" w:hAnsi="Book Antiqua"/>
          <w:sz w:val="24"/>
          <w:szCs w:val="24"/>
          <w:lang w:val="en-GB"/>
        </w:rPr>
        <w:t xml:space="preserve">a </w:t>
      </w:r>
      <w:r w:rsidR="00BB1337" w:rsidRPr="002B2C64">
        <w:rPr>
          <w:rFonts w:ascii="Book Antiqua" w:hAnsi="Book Antiqua"/>
          <w:sz w:val="24"/>
          <w:szCs w:val="24"/>
          <w:lang w:val="en-GB"/>
        </w:rPr>
        <w:t xml:space="preserve">reduction </w:t>
      </w:r>
      <w:r w:rsidR="002D26B1" w:rsidRPr="002B2C64">
        <w:rPr>
          <w:rFonts w:ascii="Book Antiqua" w:hAnsi="Book Antiqua"/>
          <w:sz w:val="24"/>
          <w:szCs w:val="24"/>
          <w:lang w:val="en-GB"/>
        </w:rPr>
        <w:t>in</w:t>
      </w:r>
      <w:r w:rsidR="00BB1337" w:rsidRPr="002B2C64">
        <w:rPr>
          <w:rFonts w:ascii="Book Antiqua" w:hAnsi="Book Antiqua"/>
          <w:sz w:val="24"/>
          <w:szCs w:val="24"/>
          <w:lang w:val="en-GB"/>
        </w:rPr>
        <w:t xml:space="preserve"> tumo</w:t>
      </w:r>
      <w:r w:rsidR="00D2163B" w:rsidRPr="002B2C64">
        <w:rPr>
          <w:rFonts w:ascii="Book Antiqua" w:hAnsi="Book Antiqua"/>
          <w:sz w:val="24"/>
          <w:szCs w:val="24"/>
          <w:lang w:val="en-GB"/>
        </w:rPr>
        <w:t>u</w:t>
      </w:r>
      <w:r w:rsidR="00BB1337" w:rsidRPr="002B2C64">
        <w:rPr>
          <w:rFonts w:ascii="Book Antiqua" w:hAnsi="Book Antiqua"/>
          <w:sz w:val="24"/>
          <w:szCs w:val="24"/>
          <w:lang w:val="en-GB"/>
        </w:rPr>
        <w:t>r growth in various tumo</w:t>
      </w:r>
      <w:r w:rsidR="00D2163B" w:rsidRPr="002B2C64">
        <w:rPr>
          <w:rFonts w:ascii="Book Antiqua" w:hAnsi="Book Antiqua"/>
          <w:sz w:val="24"/>
          <w:szCs w:val="24"/>
          <w:lang w:val="en-GB"/>
        </w:rPr>
        <w:t>u</w:t>
      </w:r>
      <w:r w:rsidR="00BB1337" w:rsidRPr="002B2C64">
        <w:rPr>
          <w:rFonts w:ascii="Book Antiqua" w:hAnsi="Book Antiqua"/>
          <w:sz w:val="24"/>
          <w:szCs w:val="24"/>
          <w:lang w:val="en-GB"/>
        </w:rPr>
        <w:t>rs, including malignant melanoma, pancreatic and liver tumo</w:t>
      </w:r>
      <w:r w:rsidR="00D2163B" w:rsidRPr="002B2C64">
        <w:rPr>
          <w:rFonts w:ascii="Book Antiqua" w:hAnsi="Book Antiqua"/>
          <w:sz w:val="24"/>
          <w:szCs w:val="24"/>
          <w:lang w:val="en-GB"/>
        </w:rPr>
        <w:t>u</w:t>
      </w:r>
      <w:r w:rsidR="00BB1337" w:rsidRPr="002B2C64">
        <w:rPr>
          <w:rFonts w:ascii="Book Antiqua" w:hAnsi="Book Antiqua"/>
          <w:sz w:val="24"/>
          <w:szCs w:val="24"/>
          <w:lang w:val="en-GB"/>
        </w:rPr>
        <w:t>rs</w:t>
      </w:r>
      <w:r w:rsidR="00BB1337" w:rsidRPr="002B2C64">
        <w:rPr>
          <w:rFonts w:ascii="Book Antiqua" w:hAnsi="Book Antiqua"/>
          <w:sz w:val="24"/>
          <w:szCs w:val="24"/>
          <w:vertAlign w:val="superscript"/>
          <w:lang w:val="en-GB"/>
        </w:rPr>
        <w:t>[</w:t>
      </w:r>
      <w:r w:rsidR="00915AE3" w:rsidRPr="002B2C64">
        <w:rPr>
          <w:rFonts w:ascii="Book Antiqua" w:hAnsi="Book Antiqua"/>
          <w:sz w:val="24"/>
          <w:szCs w:val="24"/>
          <w:vertAlign w:val="superscript"/>
          <w:lang w:val="en-GB"/>
        </w:rPr>
        <w:t>28,29</w:t>
      </w:r>
      <w:r w:rsidR="009902E7" w:rsidRPr="002B2C64">
        <w:rPr>
          <w:rFonts w:ascii="Book Antiqua" w:hAnsi="Book Antiqua"/>
          <w:sz w:val="24"/>
          <w:szCs w:val="24"/>
          <w:vertAlign w:val="superscript"/>
          <w:lang w:val="en-GB"/>
        </w:rPr>
        <w:t>]</w:t>
      </w:r>
      <w:r w:rsidR="00BB1337" w:rsidRPr="002B2C64">
        <w:rPr>
          <w:rFonts w:ascii="Book Antiqua" w:hAnsi="Book Antiqua"/>
          <w:sz w:val="24"/>
          <w:szCs w:val="24"/>
          <w:lang w:val="en-GB"/>
        </w:rPr>
        <w:t>.</w:t>
      </w:r>
      <w:r w:rsidR="00B347B5" w:rsidRPr="002B2C64">
        <w:rPr>
          <w:rFonts w:ascii="Book Antiqua" w:hAnsi="Book Antiqua"/>
          <w:sz w:val="24"/>
          <w:szCs w:val="24"/>
          <w:lang w:val="en-GB"/>
        </w:rPr>
        <w:t xml:space="preserve"> </w:t>
      </w:r>
      <w:r w:rsidR="00AE528E" w:rsidRPr="002B2C64">
        <w:rPr>
          <w:rFonts w:ascii="Book Antiqua" w:hAnsi="Book Antiqua"/>
          <w:sz w:val="24"/>
          <w:szCs w:val="24"/>
          <w:lang w:val="en-GB"/>
        </w:rPr>
        <w:t>Monocyte-derived</w:t>
      </w:r>
      <w:r w:rsidR="00225640" w:rsidRPr="002B2C64">
        <w:rPr>
          <w:rFonts w:ascii="Book Antiqua" w:hAnsi="Book Antiqua"/>
          <w:sz w:val="24"/>
          <w:szCs w:val="24"/>
          <w:lang w:val="en-GB"/>
        </w:rPr>
        <w:t xml:space="preserve"> </w:t>
      </w:r>
      <w:r w:rsidR="00AE528E" w:rsidRPr="002B2C64">
        <w:rPr>
          <w:rFonts w:ascii="Book Antiqua" w:hAnsi="Book Antiqua"/>
          <w:sz w:val="24"/>
          <w:szCs w:val="24"/>
          <w:lang w:val="en-GB"/>
        </w:rPr>
        <w:t>cells</w:t>
      </w:r>
      <w:r w:rsidR="00225640" w:rsidRPr="002B2C64">
        <w:rPr>
          <w:rFonts w:ascii="Book Antiqua" w:hAnsi="Book Antiqua"/>
          <w:sz w:val="24"/>
          <w:szCs w:val="24"/>
          <w:lang w:val="en-GB"/>
        </w:rPr>
        <w:t xml:space="preserve"> </w:t>
      </w:r>
      <w:r w:rsidR="00AE528E" w:rsidRPr="002B2C64">
        <w:rPr>
          <w:rFonts w:ascii="Book Antiqua" w:hAnsi="Book Antiqua"/>
          <w:sz w:val="24"/>
          <w:szCs w:val="24"/>
          <w:lang w:val="en-GB"/>
        </w:rPr>
        <w:t>can</w:t>
      </w:r>
      <w:r w:rsidR="00225640" w:rsidRPr="002B2C64">
        <w:rPr>
          <w:rFonts w:ascii="Book Antiqua" w:hAnsi="Book Antiqua"/>
          <w:sz w:val="24"/>
          <w:szCs w:val="24"/>
          <w:lang w:val="en-GB"/>
        </w:rPr>
        <w:t xml:space="preserve"> </w:t>
      </w:r>
      <w:r w:rsidR="007732C7" w:rsidRPr="002B2C64">
        <w:rPr>
          <w:rFonts w:ascii="Book Antiqua" w:hAnsi="Book Antiqua"/>
          <w:sz w:val="24"/>
          <w:szCs w:val="24"/>
          <w:lang w:val="en-GB"/>
        </w:rPr>
        <w:t xml:space="preserve">also secrete </w:t>
      </w:r>
      <w:r w:rsidR="004F5E36" w:rsidRPr="002B2C64">
        <w:rPr>
          <w:rFonts w:ascii="Book Antiqua" w:hAnsi="Book Antiqua"/>
          <w:sz w:val="24"/>
          <w:szCs w:val="24"/>
          <w:lang w:val="en-GB"/>
        </w:rPr>
        <w:t xml:space="preserve">chemokine </w:t>
      </w:r>
      <w:r w:rsidR="00296112" w:rsidRPr="002B2C64">
        <w:rPr>
          <w:rFonts w:ascii="Book Antiqua" w:hAnsi="Book Antiqua"/>
          <w:sz w:val="24"/>
          <w:szCs w:val="24"/>
          <w:lang w:val="en-GB"/>
        </w:rPr>
        <w:t>ligand 5 (</w:t>
      </w:r>
      <w:r w:rsidR="00AE528E" w:rsidRPr="002B2C64">
        <w:rPr>
          <w:rFonts w:ascii="Book Antiqua" w:hAnsi="Book Antiqua"/>
          <w:sz w:val="24"/>
          <w:szCs w:val="24"/>
          <w:lang w:val="en-GB"/>
        </w:rPr>
        <w:t>CCL5</w:t>
      </w:r>
      <w:r w:rsidR="00296112" w:rsidRPr="002B2C64">
        <w:rPr>
          <w:rFonts w:ascii="Book Antiqua" w:hAnsi="Book Antiqua"/>
          <w:sz w:val="24"/>
          <w:szCs w:val="24"/>
          <w:lang w:val="en-GB"/>
        </w:rPr>
        <w:t>)</w:t>
      </w:r>
      <w:r w:rsidR="00AE528E" w:rsidRPr="002B2C64">
        <w:rPr>
          <w:rFonts w:ascii="Book Antiqua" w:hAnsi="Book Antiqua"/>
          <w:sz w:val="24"/>
          <w:szCs w:val="24"/>
          <w:lang w:val="en-GB"/>
        </w:rPr>
        <w:t xml:space="preserve"> that recruit</w:t>
      </w:r>
      <w:r w:rsidR="001008F8" w:rsidRPr="002B2C64">
        <w:rPr>
          <w:rFonts w:ascii="Book Antiqua" w:hAnsi="Book Antiqua"/>
          <w:sz w:val="24"/>
          <w:szCs w:val="24"/>
          <w:lang w:val="en-GB"/>
        </w:rPr>
        <w:t>s</w:t>
      </w:r>
      <w:r w:rsidR="00AE528E" w:rsidRPr="002B2C64">
        <w:rPr>
          <w:rFonts w:ascii="Book Antiqua" w:hAnsi="Book Antiqua"/>
          <w:sz w:val="24"/>
          <w:szCs w:val="24"/>
          <w:lang w:val="en-GB"/>
        </w:rPr>
        <w:t xml:space="preserve"> immune suppressive</w:t>
      </w:r>
      <w:r w:rsidR="00B347B5" w:rsidRPr="002B2C64">
        <w:rPr>
          <w:rFonts w:ascii="Book Antiqua" w:hAnsi="Book Antiqua"/>
          <w:sz w:val="24"/>
          <w:szCs w:val="24"/>
          <w:lang w:val="en-GB"/>
        </w:rPr>
        <w:t xml:space="preserve"> </w:t>
      </w:r>
      <w:r w:rsidR="00AE528E" w:rsidRPr="002B2C64">
        <w:rPr>
          <w:rFonts w:ascii="Book Antiqua" w:hAnsi="Book Antiqua"/>
          <w:sz w:val="24"/>
          <w:szCs w:val="24"/>
          <w:lang w:val="en-GB"/>
        </w:rPr>
        <w:t xml:space="preserve">regulatory T cells into </w:t>
      </w:r>
      <w:r w:rsidR="001008F8" w:rsidRPr="002B2C64">
        <w:rPr>
          <w:rFonts w:ascii="Book Antiqua" w:hAnsi="Book Antiqua"/>
          <w:sz w:val="24"/>
          <w:szCs w:val="24"/>
          <w:lang w:val="en-GB"/>
        </w:rPr>
        <w:t xml:space="preserve">the </w:t>
      </w:r>
      <w:r w:rsidR="00AE528E" w:rsidRPr="002B2C64">
        <w:rPr>
          <w:rFonts w:ascii="Book Antiqua" w:hAnsi="Book Antiqua"/>
          <w:sz w:val="24"/>
          <w:szCs w:val="24"/>
          <w:lang w:val="en-GB"/>
        </w:rPr>
        <w:t>tumo</w:t>
      </w:r>
      <w:r w:rsidR="00D2163B" w:rsidRPr="002B2C64">
        <w:rPr>
          <w:rFonts w:ascii="Book Antiqua" w:hAnsi="Book Antiqua"/>
          <w:sz w:val="24"/>
          <w:szCs w:val="24"/>
          <w:lang w:val="en-GB"/>
        </w:rPr>
        <w:t>u</w:t>
      </w:r>
      <w:r w:rsidR="00AE528E" w:rsidRPr="002B2C64">
        <w:rPr>
          <w:rFonts w:ascii="Book Antiqua" w:hAnsi="Book Antiqua"/>
          <w:sz w:val="24"/>
          <w:szCs w:val="24"/>
          <w:lang w:val="en-GB"/>
        </w:rPr>
        <w:t>r microenvironment</w:t>
      </w:r>
      <w:r w:rsidR="00AE528E" w:rsidRPr="002B2C64">
        <w:rPr>
          <w:rFonts w:ascii="Book Antiqua" w:hAnsi="Book Antiqua"/>
          <w:sz w:val="24"/>
          <w:szCs w:val="24"/>
          <w:vertAlign w:val="superscript"/>
          <w:lang w:val="en-GB"/>
        </w:rPr>
        <w:t>[</w:t>
      </w:r>
      <w:r w:rsidR="00915AE3" w:rsidRPr="002B2C64">
        <w:rPr>
          <w:rFonts w:ascii="Book Antiqua" w:hAnsi="Book Antiqua"/>
          <w:sz w:val="24"/>
          <w:szCs w:val="24"/>
          <w:vertAlign w:val="superscript"/>
          <w:lang w:val="en-GB"/>
        </w:rPr>
        <w:t>30</w:t>
      </w:r>
      <w:r w:rsidR="00AE528E" w:rsidRPr="002B2C64">
        <w:rPr>
          <w:rFonts w:ascii="Book Antiqua" w:hAnsi="Book Antiqua"/>
          <w:sz w:val="24"/>
          <w:szCs w:val="24"/>
          <w:vertAlign w:val="superscript"/>
          <w:lang w:val="en-GB"/>
        </w:rPr>
        <w:t>]</w:t>
      </w:r>
      <w:r w:rsidR="00C16E8E" w:rsidRPr="002B2C64">
        <w:rPr>
          <w:rFonts w:ascii="Book Antiqua" w:hAnsi="Book Antiqua"/>
          <w:sz w:val="24"/>
          <w:szCs w:val="24"/>
          <w:lang w:val="en-GB"/>
        </w:rPr>
        <w:t xml:space="preserve">. </w:t>
      </w:r>
      <w:r w:rsidR="00662CC4" w:rsidRPr="002B2C64">
        <w:rPr>
          <w:rFonts w:ascii="Book Antiqua" w:hAnsi="Book Antiqua"/>
          <w:sz w:val="24"/>
          <w:szCs w:val="24"/>
          <w:lang w:val="en-GB"/>
        </w:rPr>
        <w:t xml:space="preserve">In addition, nonclassical monocytes are important for </w:t>
      </w:r>
      <w:r w:rsidR="002D26B1" w:rsidRPr="002B2C64">
        <w:rPr>
          <w:rFonts w:ascii="Book Antiqua" w:hAnsi="Book Antiqua"/>
          <w:sz w:val="24"/>
          <w:szCs w:val="24"/>
          <w:lang w:val="en-GB"/>
        </w:rPr>
        <w:t xml:space="preserve">the </w:t>
      </w:r>
      <w:r w:rsidR="00662CC4" w:rsidRPr="002B2C64">
        <w:rPr>
          <w:rFonts w:ascii="Book Antiqua" w:hAnsi="Book Antiqua"/>
          <w:sz w:val="24"/>
          <w:szCs w:val="24"/>
          <w:lang w:val="en-GB"/>
        </w:rPr>
        <w:t xml:space="preserve">recruitment of </w:t>
      </w:r>
      <w:r w:rsidR="008C69FC" w:rsidRPr="002B2C64">
        <w:rPr>
          <w:rFonts w:ascii="Book Antiqua" w:hAnsi="Book Antiqua"/>
          <w:sz w:val="24"/>
          <w:szCs w:val="24"/>
          <w:lang w:val="en-GB"/>
        </w:rPr>
        <w:t>natural killer (NK)</w:t>
      </w:r>
      <w:r w:rsidR="00662CC4" w:rsidRPr="002B2C64">
        <w:rPr>
          <w:rFonts w:ascii="Book Antiqua" w:hAnsi="Book Antiqua"/>
          <w:sz w:val="24"/>
          <w:szCs w:val="24"/>
          <w:lang w:val="en-GB"/>
        </w:rPr>
        <w:t xml:space="preserve"> cells to metastatic sites of malignant tumo</w:t>
      </w:r>
      <w:r w:rsidR="00D2163B" w:rsidRPr="002B2C64">
        <w:rPr>
          <w:rFonts w:ascii="Book Antiqua" w:hAnsi="Book Antiqua"/>
          <w:sz w:val="24"/>
          <w:szCs w:val="24"/>
          <w:lang w:val="en-GB"/>
        </w:rPr>
        <w:t>u</w:t>
      </w:r>
      <w:r w:rsidR="00662CC4" w:rsidRPr="002B2C64">
        <w:rPr>
          <w:rFonts w:ascii="Book Antiqua" w:hAnsi="Book Antiqua"/>
          <w:sz w:val="24"/>
          <w:szCs w:val="24"/>
          <w:lang w:val="en-GB"/>
        </w:rPr>
        <w:t>rs</w:t>
      </w:r>
      <w:r w:rsidR="00662CC4" w:rsidRPr="002B2C64">
        <w:rPr>
          <w:rFonts w:ascii="Book Antiqua" w:hAnsi="Book Antiqua"/>
          <w:sz w:val="24"/>
          <w:szCs w:val="24"/>
          <w:vertAlign w:val="superscript"/>
          <w:lang w:val="en-GB"/>
        </w:rPr>
        <w:t>[</w:t>
      </w:r>
      <w:r w:rsidR="00915AE3" w:rsidRPr="002B2C64">
        <w:rPr>
          <w:rFonts w:ascii="Book Antiqua" w:hAnsi="Book Antiqua"/>
          <w:sz w:val="24"/>
          <w:szCs w:val="24"/>
          <w:vertAlign w:val="superscript"/>
          <w:lang w:val="en-GB"/>
        </w:rPr>
        <w:t>31</w:t>
      </w:r>
      <w:r w:rsidR="00662CC4" w:rsidRPr="002B2C64">
        <w:rPr>
          <w:rFonts w:ascii="Book Antiqua" w:hAnsi="Book Antiqua"/>
          <w:sz w:val="24"/>
          <w:szCs w:val="24"/>
          <w:vertAlign w:val="superscript"/>
          <w:lang w:val="en-GB"/>
        </w:rPr>
        <w:t>]</w:t>
      </w:r>
      <w:r w:rsidR="00662CC4" w:rsidRPr="002B2C64">
        <w:rPr>
          <w:rFonts w:ascii="Book Antiqua" w:hAnsi="Book Antiqua"/>
          <w:sz w:val="24"/>
          <w:szCs w:val="24"/>
          <w:lang w:val="en-GB"/>
        </w:rPr>
        <w:t xml:space="preserve">. Monocytes can </w:t>
      </w:r>
      <w:r w:rsidR="00332FC0" w:rsidRPr="002B2C64">
        <w:rPr>
          <w:rFonts w:ascii="Book Antiqua" w:hAnsi="Book Antiqua"/>
          <w:sz w:val="24"/>
          <w:szCs w:val="24"/>
          <w:lang w:val="en-GB"/>
        </w:rPr>
        <w:t>overexpress</w:t>
      </w:r>
      <w:r w:rsidR="00662CC4" w:rsidRPr="002B2C64">
        <w:rPr>
          <w:rFonts w:ascii="Book Antiqua" w:hAnsi="Book Antiqua"/>
          <w:sz w:val="24"/>
          <w:szCs w:val="24"/>
          <w:lang w:val="en-GB"/>
        </w:rPr>
        <w:t xml:space="preserve"> </w:t>
      </w:r>
      <w:r w:rsidR="006A3FFA" w:rsidRPr="002B2C64">
        <w:rPr>
          <w:rFonts w:ascii="Book Antiqua" w:hAnsi="Book Antiqua"/>
          <w:sz w:val="24"/>
          <w:szCs w:val="24"/>
          <w:lang w:val="en-GB"/>
        </w:rPr>
        <w:t>chemoattractants</w:t>
      </w:r>
      <w:r w:rsidR="00225640" w:rsidRPr="002B2C64">
        <w:rPr>
          <w:rFonts w:ascii="Book Antiqua" w:hAnsi="Book Antiqua"/>
          <w:sz w:val="24"/>
          <w:szCs w:val="24"/>
          <w:lang w:val="en-GB"/>
        </w:rPr>
        <w:t xml:space="preserve"> </w:t>
      </w:r>
      <w:r w:rsidR="00662CC4" w:rsidRPr="002B2C64">
        <w:rPr>
          <w:rFonts w:ascii="Book Antiqua" w:hAnsi="Book Antiqua"/>
          <w:sz w:val="24"/>
          <w:szCs w:val="24"/>
          <w:lang w:val="en-GB"/>
        </w:rPr>
        <w:t xml:space="preserve">for NK cells, including </w:t>
      </w:r>
      <w:r w:rsidR="004F5E36" w:rsidRPr="002B2C64">
        <w:rPr>
          <w:rFonts w:ascii="Book Antiqua" w:hAnsi="Book Antiqua"/>
          <w:sz w:val="24"/>
          <w:szCs w:val="24"/>
          <w:lang w:val="en-GB"/>
        </w:rPr>
        <w:t>chemokine ligand 3</w:t>
      </w:r>
      <w:r w:rsidR="00662CC4" w:rsidRPr="002B2C64">
        <w:rPr>
          <w:rFonts w:ascii="Book Antiqua" w:hAnsi="Book Antiqua"/>
          <w:sz w:val="24"/>
          <w:szCs w:val="24"/>
          <w:lang w:val="en-GB"/>
        </w:rPr>
        <w:t>, CCL4, and CCL5</w:t>
      </w:r>
      <w:r w:rsidR="00C61F4B" w:rsidRPr="002B2C64">
        <w:rPr>
          <w:rFonts w:ascii="Book Antiqua" w:hAnsi="Book Antiqua"/>
          <w:sz w:val="24"/>
          <w:szCs w:val="24"/>
          <w:lang w:val="en-GB"/>
        </w:rPr>
        <w:t>,</w:t>
      </w:r>
      <w:r w:rsidR="00662CC4" w:rsidRPr="002B2C64">
        <w:rPr>
          <w:rFonts w:ascii="Book Antiqua" w:hAnsi="Book Antiqua"/>
          <w:sz w:val="24"/>
          <w:szCs w:val="24"/>
          <w:lang w:val="en-GB"/>
        </w:rPr>
        <w:t xml:space="preserve"> and </w:t>
      </w:r>
      <w:r w:rsidR="002D26B1" w:rsidRPr="002B2C64">
        <w:rPr>
          <w:rFonts w:ascii="Book Antiqua" w:hAnsi="Book Antiqua"/>
          <w:sz w:val="24"/>
          <w:szCs w:val="24"/>
          <w:lang w:val="en-GB"/>
        </w:rPr>
        <w:t xml:space="preserve">may </w:t>
      </w:r>
      <w:r w:rsidR="00C9645D" w:rsidRPr="002B2C64">
        <w:rPr>
          <w:rFonts w:ascii="Book Antiqua" w:hAnsi="Book Antiqua"/>
          <w:sz w:val="24"/>
          <w:szCs w:val="24"/>
          <w:lang w:val="en-GB"/>
        </w:rPr>
        <w:t xml:space="preserve">be </w:t>
      </w:r>
      <w:r w:rsidR="00662CC4" w:rsidRPr="002B2C64">
        <w:rPr>
          <w:rFonts w:ascii="Book Antiqua" w:hAnsi="Book Antiqua"/>
          <w:sz w:val="24"/>
          <w:szCs w:val="24"/>
          <w:lang w:val="en-GB"/>
        </w:rPr>
        <w:t>able to attract NK cells to lung metastases</w:t>
      </w:r>
      <w:r w:rsidR="00662CC4" w:rsidRPr="002B2C64">
        <w:rPr>
          <w:rFonts w:ascii="Book Antiqua" w:hAnsi="Book Antiqua"/>
          <w:sz w:val="24"/>
          <w:szCs w:val="24"/>
          <w:vertAlign w:val="superscript"/>
          <w:lang w:val="en-GB"/>
        </w:rPr>
        <w:t>[</w:t>
      </w:r>
      <w:r w:rsidR="00915AE3" w:rsidRPr="002B2C64">
        <w:rPr>
          <w:rFonts w:ascii="Book Antiqua" w:hAnsi="Book Antiqua"/>
          <w:sz w:val="24"/>
          <w:szCs w:val="24"/>
          <w:vertAlign w:val="superscript"/>
          <w:lang w:val="en-GB"/>
        </w:rPr>
        <w:t>32</w:t>
      </w:r>
      <w:r w:rsidR="00662CC4" w:rsidRPr="002B2C64">
        <w:rPr>
          <w:rFonts w:ascii="Book Antiqua" w:hAnsi="Book Antiqua"/>
          <w:sz w:val="24"/>
          <w:szCs w:val="24"/>
          <w:vertAlign w:val="superscript"/>
          <w:lang w:val="en-GB"/>
        </w:rPr>
        <w:t>]</w:t>
      </w:r>
      <w:r w:rsidR="00662CC4" w:rsidRPr="002B2C64">
        <w:rPr>
          <w:rFonts w:ascii="Book Antiqua" w:hAnsi="Book Antiqua"/>
          <w:sz w:val="24"/>
          <w:szCs w:val="24"/>
          <w:lang w:val="en-GB"/>
        </w:rPr>
        <w:t>.</w:t>
      </w:r>
      <w:r w:rsidR="00B347B5" w:rsidRPr="002B2C64">
        <w:rPr>
          <w:rFonts w:ascii="Book Antiqua" w:hAnsi="Book Antiqua"/>
          <w:sz w:val="24"/>
          <w:szCs w:val="24"/>
          <w:lang w:val="en-GB"/>
        </w:rPr>
        <w:t xml:space="preserve"> </w:t>
      </w:r>
      <w:r w:rsidR="001008F8" w:rsidRPr="002B2C64">
        <w:rPr>
          <w:rFonts w:ascii="Book Antiqua" w:hAnsi="Book Antiqua"/>
          <w:sz w:val="24"/>
          <w:szCs w:val="24"/>
          <w:lang w:val="en-GB"/>
        </w:rPr>
        <w:t>The c</w:t>
      </w:r>
      <w:r w:rsidR="00A90FAF" w:rsidRPr="002B2C64">
        <w:rPr>
          <w:rFonts w:ascii="Book Antiqua" w:hAnsi="Book Antiqua"/>
          <w:sz w:val="24"/>
          <w:szCs w:val="24"/>
          <w:lang w:val="en-GB"/>
        </w:rPr>
        <w:t xml:space="preserve">lose relation between monocytes and lymphocytes prompted us to determine </w:t>
      </w:r>
      <w:r w:rsidR="00D51EF4" w:rsidRPr="002B2C64">
        <w:rPr>
          <w:rFonts w:ascii="Book Antiqua" w:hAnsi="Book Antiqua"/>
          <w:sz w:val="24"/>
          <w:szCs w:val="24"/>
          <w:lang w:val="en-GB"/>
        </w:rPr>
        <w:t xml:space="preserve">a </w:t>
      </w:r>
      <w:r w:rsidR="00A90FAF" w:rsidRPr="002B2C64">
        <w:rPr>
          <w:rFonts w:ascii="Book Antiqua" w:hAnsi="Book Antiqua"/>
          <w:sz w:val="24"/>
          <w:szCs w:val="24"/>
          <w:lang w:val="en-GB"/>
        </w:rPr>
        <w:t>simple, h</w:t>
      </w:r>
      <w:r w:rsidR="002F0844" w:rsidRPr="002B2C64">
        <w:rPr>
          <w:rFonts w:ascii="Book Antiqua" w:hAnsi="Book Antiqua"/>
          <w:sz w:val="24"/>
          <w:szCs w:val="24"/>
          <w:lang w:val="en-GB"/>
        </w:rPr>
        <w:t>a</w:t>
      </w:r>
      <w:r w:rsidR="00A90FAF" w:rsidRPr="002B2C64">
        <w:rPr>
          <w:rFonts w:ascii="Book Antiqua" w:hAnsi="Book Antiqua"/>
          <w:sz w:val="24"/>
          <w:szCs w:val="24"/>
          <w:lang w:val="en-GB"/>
        </w:rPr>
        <w:t>ematologic MLR.</w:t>
      </w:r>
      <w:r w:rsidR="00B347B5" w:rsidRPr="002B2C64">
        <w:rPr>
          <w:rFonts w:ascii="Book Antiqua" w:hAnsi="Book Antiqua"/>
          <w:sz w:val="24"/>
          <w:szCs w:val="24"/>
          <w:lang w:val="en-GB"/>
        </w:rPr>
        <w:t xml:space="preserve"> </w:t>
      </w:r>
      <w:r w:rsidR="000C0279" w:rsidRPr="002B2C64">
        <w:rPr>
          <w:rFonts w:ascii="Book Antiqua" w:hAnsi="Book Antiqua"/>
          <w:sz w:val="24"/>
          <w:szCs w:val="24"/>
          <w:lang w:val="en-GB"/>
        </w:rPr>
        <w:t xml:space="preserve">Literature data </w:t>
      </w:r>
      <w:r w:rsidR="002D26B1" w:rsidRPr="002B2C64">
        <w:rPr>
          <w:rFonts w:ascii="Book Antiqua" w:hAnsi="Book Antiqua"/>
          <w:sz w:val="24"/>
          <w:szCs w:val="24"/>
          <w:lang w:val="en-GB"/>
        </w:rPr>
        <w:t xml:space="preserve">have </w:t>
      </w:r>
      <w:r w:rsidR="000C0279" w:rsidRPr="002B2C64">
        <w:rPr>
          <w:rFonts w:ascii="Book Antiqua" w:hAnsi="Book Antiqua"/>
          <w:sz w:val="24"/>
          <w:szCs w:val="24"/>
          <w:lang w:val="en-GB"/>
        </w:rPr>
        <w:t xml:space="preserve">demonstrated that </w:t>
      </w:r>
      <w:r w:rsidR="001008F8" w:rsidRPr="002B2C64">
        <w:rPr>
          <w:rFonts w:ascii="Book Antiqua" w:hAnsi="Book Antiqua"/>
          <w:sz w:val="24"/>
          <w:szCs w:val="24"/>
          <w:lang w:val="en-GB"/>
        </w:rPr>
        <w:t xml:space="preserve">the </w:t>
      </w:r>
      <w:r w:rsidR="00C23E00" w:rsidRPr="002B2C64">
        <w:rPr>
          <w:rFonts w:ascii="Book Antiqua" w:hAnsi="Book Antiqua"/>
          <w:sz w:val="24"/>
          <w:szCs w:val="24"/>
          <w:lang w:val="en-GB"/>
        </w:rPr>
        <w:t xml:space="preserve">MLR </w:t>
      </w:r>
      <w:r w:rsidR="002D26B1" w:rsidRPr="002B2C64">
        <w:rPr>
          <w:rFonts w:ascii="Book Antiqua" w:hAnsi="Book Antiqua"/>
          <w:sz w:val="24"/>
          <w:szCs w:val="24"/>
          <w:lang w:val="en-GB"/>
        </w:rPr>
        <w:t xml:space="preserve">is </w:t>
      </w:r>
      <w:r w:rsidR="00604ACA" w:rsidRPr="002B2C64">
        <w:rPr>
          <w:rFonts w:ascii="Book Antiqua" w:hAnsi="Book Antiqua"/>
          <w:sz w:val="24"/>
          <w:szCs w:val="24"/>
          <w:lang w:val="en-GB"/>
        </w:rPr>
        <w:t>an</w:t>
      </w:r>
      <w:r w:rsidR="00C23E00" w:rsidRPr="002B2C64">
        <w:rPr>
          <w:rFonts w:ascii="Book Antiqua" w:hAnsi="Book Antiqua"/>
          <w:sz w:val="24"/>
          <w:szCs w:val="24"/>
          <w:lang w:val="en-GB"/>
        </w:rPr>
        <w:t xml:space="preserve"> independent prognostic factor for patients with advanced gastric cancer and </w:t>
      </w:r>
      <w:r w:rsidR="00872791" w:rsidRPr="002B2C64">
        <w:rPr>
          <w:rFonts w:ascii="Book Antiqua" w:hAnsi="Book Antiqua"/>
          <w:sz w:val="24"/>
          <w:szCs w:val="24"/>
          <w:lang w:val="en-GB"/>
        </w:rPr>
        <w:t>hepatocellular carcinoma undergoing neoadjuvant treatment</w:t>
      </w:r>
      <w:r w:rsidR="00872791" w:rsidRPr="002B2C64">
        <w:rPr>
          <w:rFonts w:ascii="Book Antiqua" w:hAnsi="Book Antiqua"/>
          <w:sz w:val="24"/>
          <w:szCs w:val="24"/>
          <w:vertAlign w:val="superscript"/>
          <w:lang w:val="en-GB"/>
        </w:rPr>
        <w:t>[</w:t>
      </w:r>
      <w:r w:rsidR="00915AE3" w:rsidRPr="002B2C64">
        <w:rPr>
          <w:rFonts w:ascii="Book Antiqua" w:hAnsi="Book Antiqua"/>
          <w:sz w:val="24"/>
          <w:szCs w:val="24"/>
          <w:vertAlign w:val="superscript"/>
          <w:lang w:val="en-GB"/>
        </w:rPr>
        <w:t>33,34</w:t>
      </w:r>
      <w:r w:rsidR="00336054" w:rsidRPr="002B2C64">
        <w:rPr>
          <w:rFonts w:ascii="Book Antiqua" w:hAnsi="Book Antiqua"/>
          <w:sz w:val="24"/>
          <w:szCs w:val="24"/>
          <w:vertAlign w:val="superscript"/>
          <w:lang w:val="en-GB"/>
        </w:rPr>
        <w:t>]</w:t>
      </w:r>
      <w:r w:rsidR="00B347B5" w:rsidRPr="002B2C64">
        <w:rPr>
          <w:rFonts w:ascii="Book Antiqua" w:hAnsi="Book Antiqua"/>
          <w:sz w:val="24"/>
          <w:szCs w:val="24"/>
          <w:lang w:val="en-GB"/>
        </w:rPr>
        <w:t xml:space="preserve">. </w:t>
      </w:r>
      <w:r w:rsidR="00332FC0" w:rsidRPr="002B2C64">
        <w:rPr>
          <w:rFonts w:ascii="Book Antiqua" w:hAnsi="Book Antiqua"/>
          <w:sz w:val="24"/>
          <w:szCs w:val="24"/>
          <w:lang w:val="en-GB"/>
        </w:rPr>
        <w:t xml:space="preserve">Most of the research was focused on the preoperative MLR. </w:t>
      </w:r>
      <w:r w:rsidR="00E31868" w:rsidRPr="002B2C64">
        <w:rPr>
          <w:rFonts w:ascii="Book Antiqua" w:hAnsi="Book Antiqua"/>
          <w:sz w:val="24"/>
          <w:szCs w:val="24"/>
          <w:lang w:val="en-GB"/>
        </w:rPr>
        <w:t xml:space="preserve">The </w:t>
      </w:r>
      <w:r w:rsidR="002D26B1" w:rsidRPr="002B2C64">
        <w:rPr>
          <w:rFonts w:ascii="Book Antiqua" w:hAnsi="Book Antiqua"/>
          <w:sz w:val="24"/>
          <w:szCs w:val="24"/>
          <w:lang w:val="en-GB"/>
        </w:rPr>
        <w:t xml:space="preserve">significant </w:t>
      </w:r>
      <w:r w:rsidR="0039055D" w:rsidRPr="002B2C64">
        <w:rPr>
          <w:rFonts w:ascii="Book Antiqua" w:hAnsi="Book Antiqua"/>
          <w:sz w:val="24"/>
          <w:szCs w:val="24"/>
          <w:lang w:val="en-GB"/>
        </w:rPr>
        <w:t xml:space="preserve">role </w:t>
      </w:r>
      <w:r w:rsidR="00E31868" w:rsidRPr="002B2C64">
        <w:rPr>
          <w:rFonts w:ascii="Book Antiqua" w:hAnsi="Book Antiqua"/>
          <w:sz w:val="24"/>
          <w:szCs w:val="24"/>
          <w:lang w:val="en-GB"/>
        </w:rPr>
        <w:t xml:space="preserve">of the MLR as a prognostic factor </w:t>
      </w:r>
      <w:r w:rsidR="002D26B1" w:rsidRPr="002B2C64">
        <w:rPr>
          <w:rFonts w:ascii="Book Antiqua" w:hAnsi="Book Antiqua"/>
          <w:sz w:val="24"/>
          <w:szCs w:val="24"/>
          <w:lang w:val="en-GB"/>
        </w:rPr>
        <w:t xml:space="preserve">has been </w:t>
      </w:r>
      <w:r w:rsidR="00E31868" w:rsidRPr="002B2C64">
        <w:rPr>
          <w:rFonts w:ascii="Book Antiqua" w:hAnsi="Book Antiqua"/>
          <w:sz w:val="24"/>
          <w:szCs w:val="24"/>
          <w:lang w:val="en-GB"/>
        </w:rPr>
        <w:t>confirmed in various malignant neoplasm</w:t>
      </w:r>
      <w:r w:rsidR="002D26B1" w:rsidRPr="002B2C64">
        <w:rPr>
          <w:rFonts w:ascii="Book Antiqua" w:hAnsi="Book Antiqua"/>
          <w:sz w:val="24"/>
          <w:szCs w:val="24"/>
          <w:lang w:val="en-GB"/>
        </w:rPr>
        <w:t>s</w:t>
      </w:r>
      <w:r w:rsidR="00E31868" w:rsidRPr="002B2C64">
        <w:rPr>
          <w:rFonts w:ascii="Book Antiqua" w:hAnsi="Book Antiqua"/>
          <w:sz w:val="24"/>
          <w:szCs w:val="24"/>
          <w:lang w:val="en-GB"/>
        </w:rPr>
        <w:t>, including lung cancer, urothelial carcinoma, ovarian carcinoma and gastrointestinal stromal tumo</w:t>
      </w:r>
      <w:r w:rsidR="00D2163B" w:rsidRPr="002B2C64">
        <w:rPr>
          <w:rFonts w:ascii="Book Antiqua" w:hAnsi="Book Antiqua"/>
          <w:sz w:val="24"/>
          <w:szCs w:val="24"/>
          <w:lang w:val="en-GB"/>
        </w:rPr>
        <w:t>u</w:t>
      </w:r>
      <w:r w:rsidR="00E31868" w:rsidRPr="002B2C64">
        <w:rPr>
          <w:rFonts w:ascii="Book Antiqua" w:hAnsi="Book Antiqua"/>
          <w:sz w:val="24"/>
          <w:szCs w:val="24"/>
          <w:lang w:val="en-GB"/>
        </w:rPr>
        <w:t>rs</w:t>
      </w:r>
      <w:r w:rsidR="00E31868" w:rsidRPr="002B2C64">
        <w:rPr>
          <w:rFonts w:ascii="Book Antiqua" w:hAnsi="Book Antiqua"/>
          <w:sz w:val="24"/>
          <w:szCs w:val="24"/>
          <w:vertAlign w:val="superscript"/>
          <w:lang w:val="en-GB"/>
        </w:rPr>
        <w:t>[</w:t>
      </w:r>
      <w:r w:rsidR="00A47F2A" w:rsidRPr="002B2C64">
        <w:rPr>
          <w:rFonts w:ascii="Book Antiqua" w:hAnsi="Book Antiqua"/>
          <w:sz w:val="24"/>
          <w:szCs w:val="24"/>
          <w:vertAlign w:val="superscript"/>
          <w:lang w:val="en-GB"/>
        </w:rPr>
        <w:t>35-</w:t>
      </w:r>
      <w:r w:rsidR="00915AE3" w:rsidRPr="002B2C64">
        <w:rPr>
          <w:rFonts w:ascii="Book Antiqua" w:hAnsi="Book Antiqua"/>
          <w:sz w:val="24"/>
          <w:szCs w:val="24"/>
          <w:vertAlign w:val="superscript"/>
          <w:lang w:val="en-GB"/>
        </w:rPr>
        <w:t>3</w:t>
      </w:r>
      <w:r w:rsidR="005C086E" w:rsidRPr="002B2C64">
        <w:rPr>
          <w:rFonts w:ascii="Book Antiqua" w:hAnsi="Book Antiqua"/>
          <w:sz w:val="24"/>
          <w:szCs w:val="24"/>
          <w:vertAlign w:val="superscript"/>
          <w:lang w:val="en-GB"/>
        </w:rPr>
        <w:t>7</w:t>
      </w:r>
      <w:r w:rsidR="008126F2" w:rsidRPr="002B2C64">
        <w:rPr>
          <w:rFonts w:ascii="Book Antiqua" w:hAnsi="Book Antiqua"/>
          <w:sz w:val="24"/>
          <w:szCs w:val="24"/>
          <w:vertAlign w:val="superscript"/>
          <w:lang w:val="en-GB"/>
        </w:rPr>
        <w:t>]</w:t>
      </w:r>
      <w:r w:rsidR="00225640" w:rsidRPr="002B2C64">
        <w:rPr>
          <w:rFonts w:ascii="Book Antiqua" w:hAnsi="Book Antiqua"/>
          <w:sz w:val="24"/>
          <w:szCs w:val="24"/>
          <w:lang w:val="en-GB"/>
        </w:rPr>
        <w:t>.</w:t>
      </w:r>
      <w:r w:rsidR="00B347B5" w:rsidRPr="002B2C64">
        <w:rPr>
          <w:rFonts w:ascii="Book Antiqua" w:hAnsi="Book Antiqua"/>
          <w:sz w:val="24"/>
          <w:szCs w:val="24"/>
          <w:lang w:val="en-GB"/>
        </w:rPr>
        <w:t xml:space="preserve"> </w:t>
      </w:r>
      <w:r w:rsidR="00BB7B1B" w:rsidRPr="002B2C64">
        <w:rPr>
          <w:rFonts w:ascii="Book Antiqua" w:hAnsi="Book Antiqua"/>
          <w:sz w:val="24"/>
          <w:szCs w:val="24"/>
          <w:lang w:val="en-GB"/>
        </w:rPr>
        <w:t>I</w:t>
      </w:r>
      <w:r w:rsidR="00891CEB" w:rsidRPr="002B2C64">
        <w:rPr>
          <w:rFonts w:ascii="Book Antiqua" w:hAnsi="Book Antiqua"/>
          <w:sz w:val="24"/>
          <w:szCs w:val="24"/>
          <w:lang w:val="en-GB"/>
        </w:rPr>
        <w:t>n</w:t>
      </w:r>
      <w:r w:rsidR="00F41CD7" w:rsidRPr="002B2C64">
        <w:rPr>
          <w:rFonts w:ascii="Book Antiqua" w:hAnsi="Book Antiqua"/>
          <w:sz w:val="24"/>
          <w:szCs w:val="24"/>
          <w:lang w:val="en-GB"/>
        </w:rPr>
        <w:t xml:space="preserve"> </w:t>
      </w:r>
      <w:r w:rsidR="002D26B1" w:rsidRPr="002B2C64">
        <w:rPr>
          <w:rFonts w:ascii="Book Antiqua" w:hAnsi="Book Antiqua"/>
          <w:sz w:val="24"/>
          <w:szCs w:val="24"/>
          <w:lang w:val="en-GB"/>
        </w:rPr>
        <w:t xml:space="preserve">the </w:t>
      </w:r>
      <w:r w:rsidR="00F41CD7" w:rsidRPr="002B2C64">
        <w:rPr>
          <w:rFonts w:ascii="Book Antiqua" w:hAnsi="Book Antiqua"/>
          <w:sz w:val="24"/>
          <w:szCs w:val="24"/>
          <w:lang w:val="en-GB"/>
        </w:rPr>
        <w:t>present</w:t>
      </w:r>
      <w:r w:rsidR="001573E1" w:rsidRPr="002B2C64">
        <w:rPr>
          <w:rFonts w:ascii="Book Antiqua" w:hAnsi="Book Antiqua"/>
          <w:sz w:val="24"/>
          <w:szCs w:val="24"/>
          <w:lang w:val="en-GB"/>
        </w:rPr>
        <w:t xml:space="preserve"> study,</w:t>
      </w:r>
      <w:r w:rsidR="00B347B5" w:rsidRPr="002B2C64">
        <w:rPr>
          <w:rFonts w:ascii="Book Antiqua" w:hAnsi="Book Antiqua"/>
          <w:sz w:val="24"/>
          <w:szCs w:val="24"/>
          <w:lang w:val="en-GB"/>
        </w:rPr>
        <w:t xml:space="preserve"> </w:t>
      </w:r>
      <w:r w:rsidR="00F476AC" w:rsidRPr="002B2C64">
        <w:rPr>
          <w:rFonts w:ascii="Book Antiqua" w:hAnsi="Book Antiqua"/>
          <w:sz w:val="24"/>
          <w:szCs w:val="24"/>
          <w:lang w:val="en-GB"/>
        </w:rPr>
        <w:t xml:space="preserve">CRC </w:t>
      </w:r>
      <w:r w:rsidR="00C73615" w:rsidRPr="002B2C64">
        <w:rPr>
          <w:rFonts w:ascii="Book Antiqua" w:hAnsi="Book Antiqua"/>
          <w:sz w:val="24"/>
          <w:szCs w:val="24"/>
          <w:lang w:val="en-GB"/>
        </w:rPr>
        <w:t xml:space="preserve">patients with </w:t>
      </w:r>
      <w:r w:rsidR="001008F8" w:rsidRPr="002B2C64">
        <w:rPr>
          <w:rFonts w:ascii="Book Antiqua" w:hAnsi="Book Antiqua"/>
          <w:sz w:val="24"/>
          <w:szCs w:val="24"/>
          <w:lang w:val="en-GB"/>
        </w:rPr>
        <w:t xml:space="preserve">a </w:t>
      </w:r>
      <w:r w:rsidR="00C73615" w:rsidRPr="002B2C64">
        <w:rPr>
          <w:rFonts w:ascii="Book Antiqua" w:hAnsi="Book Antiqua"/>
          <w:sz w:val="24"/>
          <w:szCs w:val="24"/>
          <w:lang w:val="en-GB"/>
        </w:rPr>
        <w:t xml:space="preserve">low MLR </w:t>
      </w:r>
      <w:r w:rsidR="001008F8" w:rsidRPr="002B2C64">
        <w:rPr>
          <w:rFonts w:ascii="Book Antiqua" w:hAnsi="Book Antiqua"/>
          <w:sz w:val="24"/>
          <w:szCs w:val="24"/>
          <w:lang w:val="en-GB"/>
        </w:rPr>
        <w:t>in</w:t>
      </w:r>
      <w:r w:rsidR="00C61F4B" w:rsidRPr="002B2C64">
        <w:rPr>
          <w:rFonts w:ascii="Book Antiqua" w:hAnsi="Book Antiqua"/>
          <w:sz w:val="24"/>
          <w:szCs w:val="24"/>
          <w:lang w:val="en-GB"/>
        </w:rPr>
        <w:t xml:space="preserve"> </w:t>
      </w:r>
      <w:r w:rsidR="00F86093" w:rsidRPr="002B2C64">
        <w:rPr>
          <w:rFonts w:ascii="Book Antiqua" w:hAnsi="Book Antiqua"/>
          <w:sz w:val="24"/>
          <w:szCs w:val="24"/>
          <w:lang w:val="en-GB"/>
        </w:rPr>
        <w:t xml:space="preserve">peripheral blood obtained after surgery </w:t>
      </w:r>
      <w:r w:rsidR="00C73615" w:rsidRPr="002B2C64">
        <w:rPr>
          <w:rFonts w:ascii="Book Antiqua" w:hAnsi="Book Antiqua"/>
          <w:sz w:val="24"/>
          <w:szCs w:val="24"/>
          <w:lang w:val="en-GB"/>
        </w:rPr>
        <w:t xml:space="preserve">had longer 5-year DFS. Moreover, </w:t>
      </w:r>
      <w:r w:rsidR="001008F8" w:rsidRPr="002B2C64">
        <w:rPr>
          <w:rFonts w:ascii="Book Antiqua" w:hAnsi="Book Antiqua"/>
          <w:sz w:val="24"/>
          <w:szCs w:val="24"/>
          <w:lang w:val="en-GB"/>
        </w:rPr>
        <w:t xml:space="preserve">the </w:t>
      </w:r>
      <w:r w:rsidR="001008F8" w:rsidRPr="002B2C64">
        <w:rPr>
          <w:rFonts w:ascii="Book Antiqua" w:hAnsi="Book Antiqua"/>
          <w:sz w:val="24"/>
          <w:szCs w:val="24"/>
          <w:lang w:val="en-GB"/>
        </w:rPr>
        <w:lastRenderedPageBreak/>
        <w:t>m</w:t>
      </w:r>
      <w:r w:rsidR="00C73615" w:rsidRPr="002B2C64">
        <w:rPr>
          <w:rFonts w:ascii="Book Antiqua" w:hAnsi="Book Antiqua"/>
          <w:sz w:val="24"/>
          <w:szCs w:val="24"/>
          <w:lang w:val="en-GB"/>
        </w:rPr>
        <w:t xml:space="preserve">ultivariate Cox regression model showed that </w:t>
      </w:r>
      <w:r w:rsidR="002D26B1" w:rsidRPr="002B2C64">
        <w:rPr>
          <w:rFonts w:ascii="Book Antiqua" w:hAnsi="Book Antiqua"/>
          <w:sz w:val="24"/>
          <w:szCs w:val="24"/>
          <w:lang w:val="en-GB"/>
        </w:rPr>
        <w:t xml:space="preserve">the </w:t>
      </w:r>
      <w:r w:rsidR="001573E1" w:rsidRPr="002B2C64">
        <w:rPr>
          <w:rFonts w:ascii="Book Antiqua" w:hAnsi="Book Antiqua"/>
          <w:sz w:val="24"/>
          <w:szCs w:val="24"/>
          <w:lang w:val="en-GB"/>
        </w:rPr>
        <w:t xml:space="preserve">MLR </w:t>
      </w:r>
      <w:r w:rsidR="001008F8" w:rsidRPr="002B2C64">
        <w:rPr>
          <w:rFonts w:ascii="Book Antiqua" w:hAnsi="Book Antiqua"/>
          <w:sz w:val="24"/>
          <w:szCs w:val="24"/>
          <w:lang w:val="en-GB"/>
        </w:rPr>
        <w:t>in</w:t>
      </w:r>
      <w:r w:rsidR="00C61F4B" w:rsidRPr="002B2C64">
        <w:rPr>
          <w:rFonts w:ascii="Book Antiqua" w:hAnsi="Book Antiqua"/>
          <w:sz w:val="24"/>
          <w:szCs w:val="24"/>
          <w:lang w:val="en-GB"/>
        </w:rPr>
        <w:t xml:space="preserve"> </w:t>
      </w:r>
      <w:r w:rsidR="001573E1" w:rsidRPr="002B2C64">
        <w:rPr>
          <w:rFonts w:ascii="Book Antiqua" w:hAnsi="Book Antiqua"/>
          <w:sz w:val="24"/>
          <w:szCs w:val="24"/>
          <w:lang w:val="en-GB"/>
        </w:rPr>
        <w:t xml:space="preserve">peripheral blood obtained after surgery </w:t>
      </w:r>
      <w:r w:rsidR="00FA4A40" w:rsidRPr="002B2C64">
        <w:rPr>
          <w:rFonts w:ascii="Book Antiqua" w:hAnsi="Book Antiqua"/>
          <w:sz w:val="24"/>
          <w:szCs w:val="24"/>
          <w:lang w:val="en-GB"/>
        </w:rPr>
        <w:t>is</w:t>
      </w:r>
      <w:r w:rsidR="00604ACA" w:rsidRPr="002B2C64">
        <w:rPr>
          <w:rFonts w:ascii="Book Antiqua" w:hAnsi="Book Antiqua"/>
          <w:sz w:val="24"/>
          <w:szCs w:val="24"/>
          <w:lang w:val="en-GB"/>
        </w:rPr>
        <w:t xml:space="preserve"> an</w:t>
      </w:r>
      <w:r w:rsidR="00FA4A40" w:rsidRPr="002B2C64">
        <w:rPr>
          <w:rFonts w:ascii="Book Antiqua" w:hAnsi="Book Antiqua"/>
          <w:sz w:val="24"/>
          <w:szCs w:val="24"/>
          <w:lang w:val="en-GB"/>
        </w:rPr>
        <w:t xml:space="preserve"> independent prognostic factor for 5-year DFS. </w:t>
      </w:r>
      <w:r w:rsidR="0036212A" w:rsidRPr="002B2C64">
        <w:rPr>
          <w:rFonts w:ascii="Book Antiqua" w:hAnsi="Book Antiqua"/>
          <w:sz w:val="24"/>
          <w:szCs w:val="24"/>
          <w:lang w:val="en-GB"/>
        </w:rPr>
        <w:t xml:space="preserve">Our results are in </w:t>
      </w:r>
      <w:r w:rsidR="001008F8" w:rsidRPr="002B2C64">
        <w:rPr>
          <w:rFonts w:ascii="Book Antiqua" w:hAnsi="Book Antiqua"/>
          <w:sz w:val="24"/>
          <w:szCs w:val="24"/>
          <w:lang w:val="en-GB"/>
        </w:rPr>
        <w:t>accordance with those of</w:t>
      </w:r>
      <w:r w:rsidR="00B347B5" w:rsidRPr="002B2C64">
        <w:rPr>
          <w:rFonts w:ascii="Book Antiqua" w:hAnsi="Book Antiqua"/>
          <w:sz w:val="24"/>
          <w:szCs w:val="24"/>
          <w:lang w:val="en-GB"/>
        </w:rPr>
        <w:t xml:space="preserve"> </w:t>
      </w:r>
      <w:r w:rsidR="008C69FC" w:rsidRPr="002B2C64">
        <w:rPr>
          <w:rFonts w:ascii="Book Antiqua" w:hAnsi="Book Antiqua"/>
          <w:sz w:val="24"/>
          <w:szCs w:val="24"/>
          <w:lang w:val="en-GB"/>
        </w:rPr>
        <w:t>Huang</w:t>
      </w:r>
      <w:r w:rsidR="00F86093" w:rsidRPr="002B2C64">
        <w:rPr>
          <w:rFonts w:ascii="Book Antiqua" w:hAnsi="Book Antiqua"/>
          <w:sz w:val="24"/>
          <w:szCs w:val="24"/>
          <w:lang w:val="en-GB"/>
        </w:rPr>
        <w:t xml:space="preserve"> </w:t>
      </w:r>
      <w:r w:rsidR="00F86093" w:rsidRPr="002B2C64">
        <w:rPr>
          <w:rFonts w:ascii="Book Antiqua" w:hAnsi="Book Antiqua"/>
          <w:i/>
          <w:iCs/>
          <w:sz w:val="24"/>
          <w:szCs w:val="24"/>
          <w:lang w:val="en-GB"/>
        </w:rPr>
        <w:t>et al</w:t>
      </w:r>
      <w:r w:rsidR="00F86093" w:rsidRPr="002B2C64">
        <w:rPr>
          <w:rFonts w:ascii="Book Antiqua" w:hAnsi="Book Antiqua"/>
          <w:sz w:val="24"/>
          <w:szCs w:val="24"/>
          <w:vertAlign w:val="superscript"/>
          <w:lang w:val="en-GB"/>
        </w:rPr>
        <w:t>[</w:t>
      </w:r>
      <w:r w:rsidR="00915AE3" w:rsidRPr="002B2C64">
        <w:rPr>
          <w:rFonts w:ascii="Book Antiqua" w:hAnsi="Book Antiqua"/>
          <w:sz w:val="24"/>
          <w:szCs w:val="24"/>
          <w:vertAlign w:val="superscript"/>
          <w:lang w:val="en-GB"/>
        </w:rPr>
        <w:t>3</w:t>
      </w:r>
      <w:r w:rsidR="005C086E" w:rsidRPr="002B2C64">
        <w:rPr>
          <w:rFonts w:ascii="Book Antiqua" w:hAnsi="Book Antiqua"/>
          <w:sz w:val="24"/>
          <w:szCs w:val="24"/>
          <w:vertAlign w:val="superscript"/>
          <w:lang w:val="en-GB"/>
        </w:rPr>
        <w:t>8</w:t>
      </w:r>
      <w:r w:rsidR="00E357CE" w:rsidRPr="002B2C64">
        <w:rPr>
          <w:rFonts w:ascii="Book Antiqua" w:hAnsi="Book Antiqua"/>
          <w:sz w:val="24"/>
          <w:szCs w:val="24"/>
          <w:vertAlign w:val="superscript"/>
          <w:lang w:val="en-GB"/>
        </w:rPr>
        <w:t>]</w:t>
      </w:r>
      <w:r w:rsidR="00E357CE" w:rsidRPr="002B2C64">
        <w:rPr>
          <w:rFonts w:ascii="Book Antiqua" w:hAnsi="Book Antiqua"/>
          <w:sz w:val="24"/>
          <w:szCs w:val="24"/>
          <w:lang w:val="en-GB"/>
        </w:rPr>
        <w:t xml:space="preserve"> who </w:t>
      </w:r>
      <w:r w:rsidR="00470B1F" w:rsidRPr="002B2C64">
        <w:rPr>
          <w:rFonts w:ascii="Book Antiqua" w:hAnsi="Book Antiqua"/>
          <w:sz w:val="24"/>
          <w:szCs w:val="24"/>
          <w:lang w:val="en-GB"/>
        </w:rPr>
        <w:t xml:space="preserve">found that </w:t>
      </w:r>
      <w:r w:rsidR="001008F8" w:rsidRPr="002B2C64">
        <w:rPr>
          <w:rFonts w:ascii="Book Antiqua" w:hAnsi="Book Antiqua"/>
          <w:sz w:val="24"/>
          <w:szCs w:val="24"/>
          <w:lang w:val="en-GB"/>
        </w:rPr>
        <w:t>CRC</w:t>
      </w:r>
      <w:r w:rsidR="00470B1F" w:rsidRPr="002B2C64">
        <w:rPr>
          <w:rFonts w:ascii="Book Antiqua" w:hAnsi="Book Antiqua"/>
          <w:sz w:val="24"/>
          <w:szCs w:val="24"/>
          <w:lang w:val="en-GB"/>
        </w:rPr>
        <w:t xml:space="preserve"> patients with </w:t>
      </w:r>
      <w:r w:rsidR="001008F8" w:rsidRPr="002B2C64">
        <w:rPr>
          <w:rFonts w:ascii="Book Antiqua" w:hAnsi="Book Antiqua"/>
          <w:sz w:val="24"/>
          <w:szCs w:val="24"/>
          <w:lang w:val="en-GB"/>
        </w:rPr>
        <w:t xml:space="preserve">a </w:t>
      </w:r>
      <w:r w:rsidR="00470B1F" w:rsidRPr="002B2C64">
        <w:rPr>
          <w:rFonts w:ascii="Book Antiqua" w:hAnsi="Book Antiqua"/>
          <w:sz w:val="24"/>
          <w:szCs w:val="24"/>
          <w:lang w:val="en-GB"/>
        </w:rPr>
        <w:t xml:space="preserve">high MLR had </w:t>
      </w:r>
      <w:r w:rsidR="001008F8" w:rsidRPr="002B2C64">
        <w:rPr>
          <w:rFonts w:ascii="Book Antiqua" w:hAnsi="Book Antiqua"/>
          <w:sz w:val="24"/>
          <w:szCs w:val="24"/>
          <w:lang w:val="en-GB"/>
        </w:rPr>
        <w:t xml:space="preserve">a </w:t>
      </w:r>
      <w:r w:rsidR="00470B1F" w:rsidRPr="002B2C64">
        <w:rPr>
          <w:rFonts w:ascii="Book Antiqua" w:hAnsi="Book Antiqua"/>
          <w:sz w:val="24"/>
          <w:szCs w:val="24"/>
          <w:lang w:val="en-GB"/>
        </w:rPr>
        <w:t xml:space="preserve">poor prognosis. </w:t>
      </w:r>
      <w:r w:rsidR="00C55917" w:rsidRPr="002B2C64">
        <w:rPr>
          <w:rFonts w:ascii="Book Antiqua" w:hAnsi="Book Antiqua"/>
          <w:sz w:val="24"/>
          <w:szCs w:val="24"/>
          <w:lang w:val="en-GB"/>
        </w:rPr>
        <w:t xml:space="preserve">More studies are required to determine the significance of </w:t>
      </w:r>
      <w:r w:rsidR="001008F8" w:rsidRPr="002B2C64">
        <w:rPr>
          <w:rFonts w:ascii="Book Antiqua" w:hAnsi="Book Antiqua"/>
          <w:sz w:val="24"/>
          <w:szCs w:val="24"/>
          <w:lang w:val="en-GB"/>
        </w:rPr>
        <w:t xml:space="preserve">the </w:t>
      </w:r>
      <w:r w:rsidR="00C55917" w:rsidRPr="002B2C64">
        <w:rPr>
          <w:rFonts w:ascii="Book Antiqua" w:hAnsi="Book Antiqua"/>
          <w:sz w:val="24"/>
          <w:szCs w:val="24"/>
          <w:lang w:val="en-GB"/>
        </w:rPr>
        <w:t xml:space="preserve">MLR </w:t>
      </w:r>
      <w:r w:rsidR="002D26B1" w:rsidRPr="002B2C64">
        <w:rPr>
          <w:rFonts w:ascii="Book Antiqua" w:hAnsi="Book Antiqua"/>
          <w:sz w:val="24"/>
          <w:szCs w:val="24"/>
          <w:lang w:val="en-GB"/>
        </w:rPr>
        <w:t xml:space="preserve">in </w:t>
      </w:r>
      <w:r w:rsidR="001008F8" w:rsidRPr="002B2C64">
        <w:rPr>
          <w:rFonts w:ascii="Book Antiqua" w:hAnsi="Book Antiqua"/>
          <w:sz w:val="24"/>
          <w:szCs w:val="24"/>
          <w:lang w:val="en-GB"/>
        </w:rPr>
        <w:t>CRC</w:t>
      </w:r>
      <w:r w:rsidR="008C69FC" w:rsidRPr="002B2C64">
        <w:rPr>
          <w:rFonts w:ascii="Book Antiqua" w:hAnsi="Book Antiqua"/>
          <w:sz w:val="24"/>
          <w:szCs w:val="24"/>
          <w:lang w:val="en-GB"/>
        </w:rPr>
        <w:t xml:space="preserve"> patients.</w:t>
      </w:r>
    </w:p>
    <w:p w:rsidR="004748D9" w:rsidRPr="002B2C64" w:rsidRDefault="002D26B1" w:rsidP="0083105B">
      <w:pPr>
        <w:snapToGrid w:val="0"/>
        <w:spacing w:after="0" w:line="360" w:lineRule="auto"/>
        <w:ind w:firstLineChars="100" w:firstLine="240"/>
        <w:jc w:val="both"/>
        <w:rPr>
          <w:rFonts w:ascii="Book Antiqua" w:hAnsi="Book Antiqua"/>
          <w:sz w:val="24"/>
          <w:szCs w:val="24"/>
          <w:lang w:val="en-GB"/>
        </w:rPr>
      </w:pPr>
      <w:r w:rsidRPr="002B2C64">
        <w:rPr>
          <w:rFonts w:ascii="Book Antiqua" w:hAnsi="Book Antiqua"/>
          <w:sz w:val="24"/>
          <w:szCs w:val="24"/>
          <w:lang w:val="en-GB"/>
        </w:rPr>
        <w:t>Moreover</w:t>
      </w:r>
      <w:r w:rsidR="007B2B07" w:rsidRPr="002B2C64">
        <w:rPr>
          <w:rFonts w:ascii="Book Antiqua" w:hAnsi="Book Antiqua"/>
          <w:sz w:val="24"/>
          <w:szCs w:val="24"/>
          <w:lang w:val="en-GB"/>
        </w:rPr>
        <w:t xml:space="preserve">, we also </w:t>
      </w:r>
      <w:r w:rsidR="00332FC0" w:rsidRPr="002B2C64">
        <w:rPr>
          <w:rFonts w:ascii="Book Antiqua" w:hAnsi="Book Antiqua"/>
          <w:sz w:val="24"/>
          <w:szCs w:val="24"/>
          <w:lang w:val="en-GB"/>
        </w:rPr>
        <w:t>examined</w:t>
      </w:r>
      <w:r w:rsidR="00B347B5" w:rsidRPr="002B2C64">
        <w:rPr>
          <w:rFonts w:ascii="Book Antiqua" w:hAnsi="Book Antiqua"/>
          <w:sz w:val="24"/>
          <w:szCs w:val="24"/>
          <w:lang w:val="en-GB"/>
        </w:rPr>
        <w:t xml:space="preserve"> </w:t>
      </w:r>
      <w:r w:rsidR="00C86E5C" w:rsidRPr="002B2C64">
        <w:rPr>
          <w:rFonts w:ascii="Book Antiqua" w:hAnsi="Book Antiqua"/>
          <w:sz w:val="24"/>
          <w:szCs w:val="24"/>
          <w:lang w:val="en-GB"/>
        </w:rPr>
        <w:t xml:space="preserve">the </w:t>
      </w:r>
      <w:r w:rsidR="00496EC8" w:rsidRPr="002B2C64">
        <w:rPr>
          <w:rFonts w:ascii="Book Antiqua" w:hAnsi="Book Antiqua"/>
          <w:sz w:val="24"/>
          <w:szCs w:val="24"/>
          <w:lang w:val="en-GB"/>
        </w:rPr>
        <w:t>neutrophil to lymphocyte and platelet to lymphocyte ratios</w:t>
      </w:r>
      <w:r w:rsidR="00A5199C" w:rsidRPr="002B2C64">
        <w:rPr>
          <w:rFonts w:ascii="Book Antiqua" w:hAnsi="Book Antiqua"/>
          <w:sz w:val="24"/>
          <w:szCs w:val="24"/>
          <w:lang w:val="en-GB"/>
        </w:rPr>
        <w:t xml:space="preserve"> in pre-</w:t>
      </w:r>
      <w:r w:rsidR="00133627" w:rsidRPr="002B2C64">
        <w:rPr>
          <w:rFonts w:ascii="Book Antiqua" w:hAnsi="Book Antiqua"/>
          <w:sz w:val="24"/>
          <w:szCs w:val="24"/>
          <w:lang w:val="en-GB"/>
        </w:rPr>
        <w:t xml:space="preserve"> and post</w:t>
      </w:r>
      <w:r w:rsidR="008979B0" w:rsidRPr="002B2C64">
        <w:rPr>
          <w:rFonts w:ascii="Book Antiqua" w:hAnsi="Book Antiqua"/>
          <w:sz w:val="24"/>
          <w:szCs w:val="24"/>
          <w:lang w:val="en-GB"/>
        </w:rPr>
        <w:t xml:space="preserve">operative blood samples </w:t>
      </w:r>
      <w:r w:rsidR="003D3C6E" w:rsidRPr="002B2C64">
        <w:rPr>
          <w:rFonts w:ascii="Book Antiqua" w:hAnsi="Book Antiqua"/>
          <w:sz w:val="24"/>
          <w:szCs w:val="24"/>
          <w:lang w:val="en-GB"/>
        </w:rPr>
        <w:t>from</w:t>
      </w:r>
      <w:r w:rsidR="008979B0" w:rsidRPr="002B2C64">
        <w:rPr>
          <w:rFonts w:ascii="Book Antiqua" w:hAnsi="Book Antiqua"/>
          <w:sz w:val="24"/>
          <w:szCs w:val="24"/>
          <w:lang w:val="en-GB"/>
        </w:rPr>
        <w:t xml:space="preserve"> </w:t>
      </w:r>
      <w:r w:rsidR="00C86E5C" w:rsidRPr="002B2C64">
        <w:rPr>
          <w:rFonts w:ascii="Book Antiqua" w:hAnsi="Book Antiqua"/>
          <w:sz w:val="24"/>
          <w:szCs w:val="24"/>
          <w:lang w:val="en-GB"/>
        </w:rPr>
        <w:t>CRC patients</w:t>
      </w:r>
      <w:r w:rsidR="008979B0" w:rsidRPr="002B2C64">
        <w:rPr>
          <w:rFonts w:ascii="Book Antiqua" w:hAnsi="Book Antiqua"/>
          <w:sz w:val="24"/>
          <w:szCs w:val="24"/>
          <w:lang w:val="en-GB"/>
        </w:rPr>
        <w:t xml:space="preserve">. </w:t>
      </w:r>
      <w:r w:rsidRPr="002B2C64">
        <w:rPr>
          <w:rFonts w:ascii="Book Antiqua" w:hAnsi="Book Antiqua"/>
          <w:sz w:val="24"/>
          <w:szCs w:val="24"/>
          <w:lang w:val="en-GB"/>
        </w:rPr>
        <w:t xml:space="preserve">In the current </w:t>
      </w:r>
      <w:r w:rsidR="00685533" w:rsidRPr="002B2C64">
        <w:rPr>
          <w:rFonts w:ascii="Book Antiqua" w:hAnsi="Book Antiqua"/>
          <w:sz w:val="24"/>
          <w:szCs w:val="24"/>
          <w:lang w:val="en-GB"/>
        </w:rPr>
        <w:t>study</w:t>
      </w:r>
      <w:r w:rsidR="00C86E5C" w:rsidRPr="002B2C64">
        <w:rPr>
          <w:rFonts w:ascii="Book Antiqua" w:hAnsi="Book Antiqua"/>
          <w:sz w:val="24"/>
          <w:szCs w:val="24"/>
          <w:lang w:val="en-GB"/>
        </w:rPr>
        <w:t>,</w:t>
      </w:r>
      <w:r w:rsidR="00685533" w:rsidRPr="002B2C64">
        <w:rPr>
          <w:rFonts w:ascii="Book Antiqua" w:hAnsi="Book Antiqua"/>
          <w:sz w:val="24"/>
          <w:szCs w:val="24"/>
          <w:lang w:val="en-GB"/>
        </w:rPr>
        <w:t xml:space="preserve"> </w:t>
      </w:r>
      <w:r w:rsidRPr="002B2C64">
        <w:rPr>
          <w:rFonts w:ascii="Book Antiqua" w:hAnsi="Book Antiqua"/>
          <w:sz w:val="24"/>
          <w:szCs w:val="24"/>
          <w:lang w:val="en-GB"/>
        </w:rPr>
        <w:t xml:space="preserve">the </w:t>
      </w:r>
      <w:r w:rsidR="00627F69" w:rsidRPr="002B2C64">
        <w:rPr>
          <w:rFonts w:ascii="Book Antiqua" w:hAnsi="Book Antiqua"/>
          <w:sz w:val="24"/>
          <w:szCs w:val="24"/>
          <w:lang w:val="en-GB"/>
        </w:rPr>
        <w:t>NLR-PLR status</w:t>
      </w:r>
      <w:r w:rsidR="00804E19" w:rsidRPr="002B2C64">
        <w:rPr>
          <w:rFonts w:ascii="Book Antiqua" w:hAnsi="Book Antiqua"/>
          <w:sz w:val="24"/>
          <w:szCs w:val="24"/>
          <w:lang w:val="en-GB"/>
        </w:rPr>
        <w:t xml:space="preserve"> in postoperative peripheral blood was </w:t>
      </w:r>
      <w:r w:rsidRPr="002B2C64">
        <w:rPr>
          <w:rFonts w:ascii="Book Antiqua" w:hAnsi="Book Antiqua"/>
          <w:sz w:val="24"/>
          <w:szCs w:val="24"/>
          <w:lang w:val="en-GB"/>
        </w:rPr>
        <w:t xml:space="preserve">found to </w:t>
      </w:r>
      <w:r w:rsidR="00804E19" w:rsidRPr="002B2C64">
        <w:rPr>
          <w:rFonts w:ascii="Book Antiqua" w:hAnsi="Book Antiqua"/>
          <w:sz w:val="24"/>
          <w:szCs w:val="24"/>
          <w:lang w:val="en-GB"/>
        </w:rPr>
        <w:t xml:space="preserve">correlate with histological type and </w:t>
      </w:r>
      <w:r w:rsidR="00235860" w:rsidRPr="002B2C64">
        <w:rPr>
          <w:rFonts w:ascii="Book Antiqua" w:hAnsi="Book Antiqua"/>
          <w:sz w:val="24"/>
          <w:szCs w:val="24"/>
          <w:lang w:val="en-GB"/>
        </w:rPr>
        <w:t xml:space="preserve">percentage of </w:t>
      </w:r>
      <w:r w:rsidR="00C86E5C" w:rsidRPr="002B2C64">
        <w:rPr>
          <w:rFonts w:ascii="Book Antiqua" w:hAnsi="Book Antiqua"/>
          <w:sz w:val="24"/>
          <w:szCs w:val="24"/>
          <w:lang w:val="en-GB"/>
        </w:rPr>
        <w:t xml:space="preserve">the </w:t>
      </w:r>
      <w:r w:rsidR="00235860" w:rsidRPr="002B2C64">
        <w:rPr>
          <w:rFonts w:ascii="Book Antiqua" w:hAnsi="Book Antiqua"/>
          <w:sz w:val="24"/>
          <w:szCs w:val="24"/>
          <w:lang w:val="en-GB"/>
        </w:rPr>
        <w:t xml:space="preserve">mucinous component. </w:t>
      </w:r>
      <w:r w:rsidRPr="002B2C64">
        <w:rPr>
          <w:rFonts w:ascii="Book Antiqua" w:hAnsi="Book Antiqua"/>
          <w:sz w:val="24"/>
          <w:szCs w:val="24"/>
          <w:lang w:val="en-GB"/>
        </w:rPr>
        <w:t>The p</w:t>
      </w:r>
      <w:r w:rsidR="00CA7B70" w:rsidRPr="002B2C64">
        <w:rPr>
          <w:rFonts w:ascii="Book Antiqua" w:hAnsi="Book Antiqua"/>
          <w:sz w:val="24"/>
          <w:szCs w:val="24"/>
          <w:lang w:val="en-GB"/>
        </w:rPr>
        <w:t xml:space="preserve">reoperative </w:t>
      </w:r>
      <w:r w:rsidR="00BD31E3" w:rsidRPr="002B2C64">
        <w:rPr>
          <w:rFonts w:ascii="Book Antiqua" w:hAnsi="Book Antiqua"/>
          <w:sz w:val="24"/>
          <w:szCs w:val="24"/>
          <w:lang w:val="en-GB"/>
        </w:rPr>
        <w:t>NLR-PLR status</w:t>
      </w:r>
      <w:r w:rsidR="00B347B5" w:rsidRPr="002B2C64">
        <w:rPr>
          <w:rFonts w:ascii="Book Antiqua" w:hAnsi="Book Antiqua"/>
          <w:sz w:val="24"/>
          <w:szCs w:val="24"/>
          <w:lang w:val="en-GB"/>
        </w:rPr>
        <w:t xml:space="preserve"> </w:t>
      </w:r>
      <w:r w:rsidR="00BD31E3" w:rsidRPr="002B2C64">
        <w:rPr>
          <w:rFonts w:ascii="Book Antiqua" w:hAnsi="Book Antiqua"/>
          <w:sz w:val="24"/>
          <w:szCs w:val="24"/>
          <w:lang w:val="en-GB"/>
        </w:rPr>
        <w:t xml:space="preserve">has been reported to be </w:t>
      </w:r>
      <w:r w:rsidR="00332FC0" w:rsidRPr="002B2C64">
        <w:rPr>
          <w:rFonts w:ascii="Book Antiqua" w:hAnsi="Book Antiqua"/>
          <w:sz w:val="24"/>
          <w:szCs w:val="24"/>
          <w:lang w:val="en-GB"/>
        </w:rPr>
        <w:t>a</w:t>
      </w:r>
      <w:r w:rsidR="00BD31E3" w:rsidRPr="002B2C64">
        <w:rPr>
          <w:rFonts w:ascii="Book Antiqua" w:hAnsi="Book Antiqua"/>
          <w:sz w:val="24"/>
          <w:szCs w:val="24"/>
          <w:lang w:val="en-GB"/>
        </w:rPr>
        <w:t xml:space="preserve"> useful prognostic factor in patients with various </w:t>
      </w:r>
      <w:r w:rsidR="00FF1A93" w:rsidRPr="002B2C64">
        <w:rPr>
          <w:rFonts w:ascii="Book Antiqua" w:hAnsi="Book Antiqua"/>
          <w:sz w:val="24"/>
          <w:szCs w:val="24"/>
          <w:lang w:val="en-GB"/>
        </w:rPr>
        <w:t xml:space="preserve">gastrointestinal </w:t>
      </w:r>
      <w:r w:rsidR="00BD31E3" w:rsidRPr="002B2C64">
        <w:rPr>
          <w:rFonts w:ascii="Book Antiqua" w:hAnsi="Book Antiqua"/>
          <w:sz w:val="24"/>
          <w:szCs w:val="24"/>
          <w:lang w:val="en-GB"/>
        </w:rPr>
        <w:t>malignancies</w:t>
      </w:r>
      <w:r w:rsidR="00BD31E3" w:rsidRPr="002B2C64">
        <w:rPr>
          <w:rFonts w:ascii="Book Antiqua" w:hAnsi="Book Antiqua"/>
          <w:sz w:val="24"/>
          <w:szCs w:val="24"/>
          <w:vertAlign w:val="superscript"/>
          <w:lang w:val="en-GB"/>
        </w:rPr>
        <w:t>[</w:t>
      </w:r>
      <w:r w:rsidR="005C086E" w:rsidRPr="002B2C64">
        <w:rPr>
          <w:rFonts w:ascii="Book Antiqua" w:hAnsi="Book Antiqua"/>
          <w:sz w:val="24"/>
          <w:szCs w:val="24"/>
          <w:vertAlign w:val="superscript"/>
          <w:lang w:val="en-GB"/>
        </w:rPr>
        <w:t>39</w:t>
      </w:r>
      <w:r w:rsidR="00A47F2A" w:rsidRPr="002B2C64">
        <w:rPr>
          <w:rFonts w:ascii="Book Antiqua" w:hAnsi="Book Antiqua"/>
          <w:sz w:val="24"/>
          <w:szCs w:val="24"/>
          <w:vertAlign w:val="superscript"/>
          <w:lang w:val="en-GB"/>
        </w:rPr>
        <w:t>-</w:t>
      </w:r>
      <w:r w:rsidR="009F7DA1" w:rsidRPr="002B2C64">
        <w:rPr>
          <w:rFonts w:ascii="Book Antiqua" w:hAnsi="Book Antiqua"/>
          <w:sz w:val="24"/>
          <w:szCs w:val="24"/>
          <w:vertAlign w:val="superscript"/>
          <w:lang w:val="en-GB"/>
        </w:rPr>
        <w:t>4</w:t>
      </w:r>
      <w:r w:rsidR="005C086E" w:rsidRPr="002B2C64">
        <w:rPr>
          <w:rFonts w:ascii="Book Antiqua" w:hAnsi="Book Antiqua"/>
          <w:sz w:val="24"/>
          <w:szCs w:val="24"/>
          <w:vertAlign w:val="superscript"/>
          <w:lang w:val="en-GB"/>
        </w:rPr>
        <w:t>1</w:t>
      </w:r>
      <w:r w:rsidR="009F7DA1" w:rsidRPr="002B2C64">
        <w:rPr>
          <w:rFonts w:ascii="Book Antiqua" w:hAnsi="Book Antiqua"/>
          <w:sz w:val="24"/>
          <w:szCs w:val="24"/>
          <w:vertAlign w:val="superscript"/>
          <w:lang w:val="en-GB"/>
        </w:rPr>
        <w:t>]</w:t>
      </w:r>
      <w:r w:rsidR="009F7DA1" w:rsidRPr="002B2C64">
        <w:rPr>
          <w:rFonts w:ascii="Book Antiqua" w:hAnsi="Book Antiqua"/>
          <w:sz w:val="24"/>
          <w:szCs w:val="24"/>
          <w:lang w:val="en-GB"/>
        </w:rPr>
        <w:t>.</w:t>
      </w:r>
      <w:r w:rsidR="00366E83" w:rsidRPr="002B2C64">
        <w:rPr>
          <w:rFonts w:ascii="Book Antiqua" w:hAnsi="Book Antiqua"/>
          <w:sz w:val="24"/>
          <w:szCs w:val="24"/>
          <w:lang w:val="en-GB"/>
        </w:rPr>
        <w:t xml:space="preserve"> Recio-Boiles </w:t>
      </w:r>
      <w:r w:rsidR="00366E83" w:rsidRPr="002B2C64">
        <w:rPr>
          <w:rFonts w:ascii="Book Antiqua" w:hAnsi="Book Antiqua"/>
          <w:i/>
          <w:iCs/>
          <w:sz w:val="24"/>
          <w:szCs w:val="24"/>
          <w:lang w:val="en-GB"/>
        </w:rPr>
        <w:t>et al</w:t>
      </w:r>
      <w:r w:rsidR="009F7DA1" w:rsidRPr="002B2C64">
        <w:rPr>
          <w:rFonts w:ascii="Book Antiqua" w:hAnsi="Book Antiqua"/>
          <w:sz w:val="24"/>
          <w:szCs w:val="24"/>
          <w:vertAlign w:val="superscript"/>
          <w:lang w:val="en-GB"/>
        </w:rPr>
        <w:t>[</w:t>
      </w:r>
      <w:r w:rsidR="005C086E" w:rsidRPr="002B2C64">
        <w:rPr>
          <w:rFonts w:ascii="Book Antiqua" w:hAnsi="Book Antiqua"/>
          <w:sz w:val="24"/>
          <w:szCs w:val="24"/>
          <w:vertAlign w:val="superscript"/>
          <w:lang w:val="en-GB"/>
        </w:rPr>
        <w:t>39</w:t>
      </w:r>
      <w:r w:rsidR="00366E83" w:rsidRPr="002B2C64">
        <w:rPr>
          <w:rFonts w:ascii="Book Antiqua" w:hAnsi="Book Antiqua"/>
          <w:sz w:val="24"/>
          <w:szCs w:val="24"/>
          <w:vertAlign w:val="superscript"/>
          <w:lang w:val="en-GB"/>
        </w:rPr>
        <w:t>]</w:t>
      </w:r>
      <w:r w:rsidR="00B347B5" w:rsidRPr="002B2C64">
        <w:rPr>
          <w:rFonts w:ascii="Book Antiqua" w:hAnsi="Book Antiqua"/>
          <w:sz w:val="24"/>
          <w:szCs w:val="24"/>
          <w:lang w:val="en-GB"/>
        </w:rPr>
        <w:t xml:space="preserve"> </w:t>
      </w:r>
      <w:r w:rsidR="00366E83" w:rsidRPr="002B2C64">
        <w:rPr>
          <w:rFonts w:ascii="Book Antiqua" w:hAnsi="Book Antiqua"/>
          <w:sz w:val="24"/>
          <w:szCs w:val="24"/>
          <w:lang w:val="en-GB"/>
        </w:rPr>
        <w:t xml:space="preserve">showed that </w:t>
      </w:r>
      <w:r w:rsidR="00AB2717" w:rsidRPr="002B2C64">
        <w:rPr>
          <w:rFonts w:ascii="Book Antiqua" w:hAnsi="Book Antiqua"/>
          <w:sz w:val="24"/>
          <w:szCs w:val="24"/>
          <w:lang w:val="en-GB"/>
        </w:rPr>
        <w:t xml:space="preserve">NLR-PLR status in perioperative blood </w:t>
      </w:r>
      <w:r w:rsidR="00332FC0" w:rsidRPr="002B2C64">
        <w:rPr>
          <w:rFonts w:ascii="Book Antiqua" w:hAnsi="Book Antiqua"/>
          <w:sz w:val="24"/>
          <w:szCs w:val="24"/>
          <w:lang w:val="en-GB"/>
        </w:rPr>
        <w:t xml:space="preserve">samples </w:t>
      </w:r>
      <w:r w:rsidR="00C86E5C" w:rsidRPr="002B2C64">
        <w:rPr>
          <w:rFonts w:ascii="Book Antiqua" w:hAnsi="Book Antiqua"/>
          <w:sz w:val="24"/>
          <w:szCs w:val="24"/>
          <w:lang w:val="en-GB"/>
        </w:rPr>
        <w:t>from patients with</w:t>
      </w:r>
      <w:r w:rsidR="00332FC0" w:rsidRPr="002B2C64">
        <w:rPr>
          <w:rFonts w:ascii="Book Antiqua" w:hAnsi="Book Antiqua"/>
          <w:sz w:val="24"/>
          <w:szCs w:val="24"/>
          <w:lang w:val="en-GB"/>
        </w:rPr>
        <w:t xml:space="preserve"> resectable</w:t>
      </w:r>
      <w:r w:rsidR="00C221F2" w:rsidRPr="002B2C64">
        <w:rPr>
          <w:rFonts w:ascii="Book Antiqua" w:hAnsi="Book Antiqua"/>
          <w:sz w:val="24"/>
          <w:szCs w:val="24"/>
          <w:lang w:val="en-GB"/>
        </w:rPr>
        <w:t xml:space="preserve"> pancreatic ductal adenocarcinoma </w:t>
      </w:r>
      <w:r w:rsidR="00AB2717" w:rsidRPr="002B2C64">
        <w:rPr>
          <w:rFonts w:ascii="Book Antiqua" w:hAnsi="Book Antiqua"/>
          <w:sz w:val="24"/>
          <w:szCs w:val="24"/>
          <w:lang w:val="en-GB"/>
        </w:rPr>
        <w:t>was associated with invasion of the resected</w:t>
      </w:r>
      <w:r w:rsidR="00B347B5" w:rsidRPr="002B2C64">
        <w:rPr>
          <w:rFonts w:ascii="Book Antiqua" w:hAnsi="Book Antiqua"/>
          <w:sz w:val="24"/>
          <w:szCs w:val="24"/>
          <w:lang w:val="en-GB"/>
        </w:rPr>
        <w:t xml:space="preserve"> </w:t>
      </w:r>
      <w:r w:rsidR="00AB2717" w:rsidRPr="002B2C64">
        <w:rPr>
          <w:rFonts w:ascii="Book Antiqua" w:hAnsi="Book Antiqua"/>
          <w:sz w:val="24"/>
          <w:szCs w:val="24"/>
          <w:lang w:val="en-GB"/>
        </w:rPr>
        <w:t>margins</w:t>
      </w:r>
      <w:r w:rsidR="00230677" w:rsidRPr="002B2C64">
        <w:rPr>
          <w:rFonts w:ascii="Book Antiqua" w:hAnsi="Book Antiqua"/>
          <w:sz w:val="24"/>
          <w:szCs w:val="24"/>
          <w:lang w:val="en-GB"/>
        </w:rPr>
        <w:t xml:space="preserve"> and lymph nodes</w:t>
      </w:r>
      <w:r w:rsidR="00C221F2" w:rsidRPr="002B2C64">
        <w:rPr>
          <w:rFonts w:ascii="Book Antiqua" w:hAnsi="Book Antiqua"/>
          <w:sz w:val="24"/>
          <w:szCs w:val="24"/>
          <w:lang w:val="en-GB"/>
        </w:rPr>
        <w:t xml:space="preserve">. </w:t>
      </w:r>
      <w:r w:rsidR="00C86E5C" w:rsidRPr="002B2C64">
        <w:rPr>
          <w:rFonts w:ascii="Book Antiqua" w:hAnsi="Book Antiqua"/>
          <w:sz w:val="24"/>
          <w:szCs w:val="24"/>
          <w:lang w:val="en-GB"/>
        </w:rPr>
        <w:t xml:space="preserve">The </w:t>
      </w:r>
      <w:r w:rsidR="00EF2923" w:rsidRPr="002B2C64">
        <w:rPr>
          <w:rFonts w:ascii="Book Antiqua" w:hAnsi="Book Antiqua"/>
          <w:sz w:val="24"/>
          <w:szCs w:val="24"/>
          <w:lang w:val="en-GB"/>
        </w:rPr>
        <w:t>NLR-PLR score was higher in patients with progressive advanced gastric cancer</w:t>
      </w:r>
      <w:r w:rsidR="002802C5" w:rsidRPr="002B2C64">
        <w:rPr>
          <w:rFonts w:ascii="Book Antiqua" w:hAnsi="Book Antiqua"/>
          <w:sz w:val="24"/>
          <w:szCs w:val="24"/>
          <w:vertAlign w:val="superscript"/>
          <w:lang w:val="en-GB"/>
        </w:rPr>
        <w:t>[40]</w:t>
      </w:r>
      <w:r w:rsidR="00EF2923" w:rsidRPr="002B2C64">
        <w:rPr>
          <w:rFonts w:ascii="Book Antiqua" w:hAnsi="Book Antiqua"/>
          <w:sz w:val="24"/>
          <w:szCs w:val="24"/>
          <w:lang w:val="en-GB"/>
        </w:rPr>
        <w:t xml:space="preserve">. </w:t>
      </w:r>
      <w:r w:rsidR="008C69FC" w:rsidRPr="002B2C64">
        <w:rPr>
          <w:rFonts w:ascii="Book Antiqua" w:hAnsi="Book Antiqua"/>
          <w:sz w:val="24"/>
          <w:szCs w:val="24"/>
          <w:lang w:val="en-GB"/>
        </w:rPr>
        <w:t xml:space="preserve">Moreover, Kabir </w:t>
      </w:r>
      <w:r w:rsidR="00A83D1A" w:rsidRPr="002B2C64">
        <w:rPr>
          <w:rFonts w:ascii="Book Antiqua" w:hAnsi="Book Antiqua"/>
          <w:i/>
          <w:iCs/>
          <w:sz w:val="24"/>
          <w:szCs w:val="24"/>
          <w:lang w:val="en-GB"/>
        </w:rPr>
        <w:t>et al</w:t>
      </w:r>
      <w:r w:rsidR="009F7DA1" w:rsidRPr="002B2C64">
        <w:rPr>
          <w:rFonts w:ascii="Book Antiqua" w:hAnsi="Book Antiqua"/>
          <w:sz w:val="24"/>
          <w:szCs w:val="24"/>
          <w:vertAlign w:val="superscript"/>
          <w:lang w:val="en-GB"/>
        </w:rPr>
        <w:t>[4</w:t>
      </w:r>
      <w:r w:rsidR="005C086E" w:rsidRPr="002B2C64">
        <w:rPr>
          <w:rFonts w:ascii="Book Antiqua" w:hAnsi="Book Antiqua"/>
          <w:sz w:val="24"/>
          <w:szCs w:val="24"/>
          <w:vertAlign w:val="superscript"/>
          <w:lang w:val="en-GB"/>
        </w:rPr>
        <w:t>1</w:t>
      </w:r>
      <w:r w:rsidR="00A83D1A" w:rsidRPr="002B2C64">
        <w:rPr>
          <w:rFonts w:ascii="Book Antiqua" w:hAnsi="Book Antiqua"/>
          <w:sz w:val="24"/>
          <w:szCs w:val="24"/>
          <w:vertAlign w:val="superscript"/>
          <w:lang w:val="en-GB"/>
        </w:rPr>
        <w:t>]</w:t>
      </w:r>
      <w:r w:rsidR="00A83D1A" w:rsidRPr="002B2C64">
        <w:rPr>
          <w:rFonts w:ascii="Book Antiqua" w:hAnsi="Book Antiqua"/>
          <w:sz w:val="24"/>
          <w:szCs w:val="24"/>
          <w:lang w:val="en-GB"/>
        </w:rPr>
        <w:t xml:space="preserve"> confirmed that </w:t>
      </w:r>
      <w:r w:rsidR="008D73BA" w:rsidRPr="002B2C64">
        <w:rPr>
          <w:rFonts w:ascii="Book Antiqua" w:hAnsi="Book Antiqua"/>
          <w:sz w:val="24"/>
          <w:szCs w:val="24"/>
          <w:lang w:val="en-GB"/>
        </w:rPr>
        <w:t xml:space="preserve">the </w:t>
      </w:r>
      <w:r w:rsidR="00F55D49" w:rsidRPr="002B2C64">
        <w:rPr>
          <w:rFonts w:ascii="Book Antiqua" w:hAnsi="Book Antiqua"/>
          <w:sz w:val="24"/>
          <w:szCs w:val="24"/>
          <w:lang w:val="en-GB"/>
        </w:rPr>
        <w:t xml:space="preserve">elevated NLR-PLR value </w:t>
      </w:r>
      <w:r w:rsidR="00C86E5C" w:rsidRPr="002B2C64">
        <w:rPr>
          <w:rFonts w:ascii="Book Antiqua" w:hAnsi="Book Antiqua"/>
          <w:sz w:val="24"/>
          <w:szCs w:val="24"/>
          <w:lang w:val="en-GB"/>
        </w:rPr>
        <w:t>in</w:t>
      </w:r>
      <w:r w:rsidR="00F55D49" w:rsidRPr="002B2C64">
        <w:rPr>
          <w:rFonts w:ascii="Book Antiqua" w:hAnsi="Book Antiqua"/>
          <w:sz w:val="24"/>
          <w:szCs w:val="24"/>
          <w:lang w:val="en-GB"/>
        </w:rPr>
        <w:t xml:space="preserve"> preoperative blood samples </w:t>
      </w:r>
      <w:r w:rsidR="00C86E5C" w:rsidRPr="002B2C64">
        <w:rPr>
          <w:rFonts w:ascii="Book Antiqua" w:hAnsi="Book Antiqua"/>
          <w:sz w:val="24"/>
          <w:szCs w:val="24"/>
          <w:lang w:val="en-GB"/>
        </w:rPr>
        <w:t>from</w:t>
      </w:r>
      <w:r w:rsidR="00F55D49" w:rsidRPr="002B2C64">
        <w:rPr>
          <w:rFonts w:ascii="Book Antiqua" w:hAnsi="Book Antiqua"/>
          <w:sz w:val="24"/>
          <w:szCs w:val="24"/>
          <w:lang w:val="en-GB"/>
        </w:rPr>
        <w:t xml:space="preserve"> hepatocellular carcinoma </w:t>
      </w:r>
      <w:r w:rsidR="00C86E5C" w:rsidRPr="002B2C64">
        <w:rPr>
          <w:rFonts w:ascii="Book Antiqua" w:hAnsi="Book Antiqua"/>
          <w:sz w:val="24"/>
          <w:szCs w:val="24"/>
          <w:lang w:val="en-GB"/>
        </w:rPr>
        <w:t xml:space="preserve">patients </w:t>
      </w:r>
      <w:r w:rsidR="00F55D49" w:rsidRPr="002B2C64">
        <w:rPr>
          <w:rFonts w:ascii="Book Antiqua" w:hAnsi="Book Antiqua"/>
          <w:sz w:val="24"/>
          <w:szCs w:val="24"/>
          <w:lang w:val="en-GB"/>
        </w:rPr>
        <w:t>predicts both overall survival and recurrence</w:t>
      </w:r>
      <w:r w:rsidR="00C86E5C" w:rsidRPr="002B2C64">
        <w:rPr>
          <w:rFonts w:ascii="Book Antiqua" w:hAnsi="Book Antiqua"/>
          <w:sz w:val="24"/>
          <w:szCs w:val="24"/>
          <w:lang w:val="en-GB"/>
        </w:rPr>
        <w:t>-</w:t>
      </w:r>
      <w:r w:rsidR="00F55D49" w:rsidRPr="002B2C64">
        <w:rPr>
          <w:rFonts w:ascii="Book Antiqua" w:hAnsi="Book Antiqua"/>
          <w:sz w:val="24"/>
          <w:szCs w:val="24"/>
          <w:lang w:val="en-GB"/>
        </w:rPr>
        <w:t xml:space="preserve">free survival. </w:t>
      </w:r>
      <w:r w:rsidR="00B030E7" w:rsidRPr="002B2C64">
        <w:rPr>
          <w:rFonts w:ascii="Book Antiqua" w:hAnsi="Book Antiqua"/>
          <w:sz w:val="24"/>
          <w:szCs w:val="24"/>
          <w:lang w:val="en-GB"/>
        </w:rPr>
        <w:t xml:space="preserve">In </w:t>
      </w:r>
      <w:r w:rsidR="00A83D1A" w:rsidRPr="002B2C64">
        <w:rPr>
          <w:rFonts w:ascii="Book Antiqua" w:hAnsi="Book Antiqua"/>
          <w:sz w:val="24"/>
          <w:szCs w:val="24"/>
          <w:lang w:val="en-GB"/>
        </w:rPr>
        <w:t xml:space="preserve">multivariate analysis, we </w:t>
      </w:r>
      <w:r w:rsidR="00B030E7" w:rsidRPr="002B2C64">
        <w:rPr>
          <w:rFonts w:ascii="Book Antiqua" w:hAnsi="Book Antiqua"/>
          <w:sz w:val="24"/>
          <w:szCs w:val="24"/>
          <w:lang w:val="en-GB"/>
        </w:rPr>
        <w:t>failed to</w:t>
      </w:r>
      <w:r w:rsidR="00F55D49" w:rsidRPr="002B2C64">
        <w:rPr>
          <w:rFonts w:ascii="Book Antiqua" w:hAnsi="Book Antiqua"/>
          <w:sz w:val="24"/>
          <w:szCs w:val="24"/>
          <w:lang w:val="en-GB"/>
        </w:rPr>
        <w:t xml:space="preserve"> confirm </w:t>
      </w:r>
      <w:r w:rsidR="00C86E5C" w:rsidRPr="002B2C64">
        <w:rPr>
          <w:rFonts w:ascii="Book Antiqua" w:hAnsi="Book Antiqua"/>
          <w:sz w:val="24"/>
          <w:szCs w:val="24"/>
          <w:lang w:val="en-GB"/>
        </w:rPr>
        <w:t>these</w:t>
      </w:r>
      <w:r w:rsidR="00F55D49" w:rsidRPr="002B2C64">
        <w:rPr>
          <w:rFonts w:ascii="Book Antiqua" w:hAnsi="Book Antiqua"/>
          <w:sz w:val="24"/>
          <w:szCs w:val="24"/>
          <w:lang w:val="en-GB"/>
        </w:rPr>
        <w:t xml:space="preserve"> relation</w:t>
      </w:r>
      <w:r w:rsidR="00B030E7" w:rsidRPr="002B2C64">
        <w:rPr>
          <w:rFonts w:ascii="Book Antiqua" w:hAnsi="Book Antiqua"/>
          <w:sz w:val="24"/>
          <w:szCs w:val="24"/>
          <w:lang w:val="en-GB"/>
        </w:rPr>
        <w:t>s</w:t>
      </w:r>
      <w:r w:rsidR="00C86E5C" w:rsidRPr="002B2C64">
        <w:rPr>
          <w:rFonts w:ascii="Book Antiqua" w:hAnsi="Book Antiqua"/>
          <w:sz w:val="24"/>
          <w:szCs w:val="24"/>
          <w:lang w:val="en-GB"/>
        </w:rPr>
        <w:t>hips</w:t>
      </w:r>
      <w:r w:rsidR="00F55D49" w:rsidRPr="002B2C64">
        <w:rPr>
          <w:rFonts w:ascii="Book Antiqua" w:hAnsi="Book Antiqua"/>
          <w:sz w:val="24"/>
          <w:szCs w:val="24"/>
          <w:lang w:val="en-GB"/>
        </w:rPr>
        <w:t xml:space="preserve"> in patients with </w:t>
      </w:r>
      <w:r w:rsidR="00C86E5C" w:rsidRPr="002B2C64">
        <w:rPr>
          <w:rFonts w:ascii="Book Antiqua" w:hAnsi="Book Antiqua"/>
          <w:sz w:val="24"/>
          <w:szCs w:val="24"/>
          <w:lang w:val="en-GB"/>
        </w:rPr>
        <w:t>CRC</w:t>
      </w:r>
      <w:r w:rsidR="00F55D49" w:rsidRPr="002B2C64">
        <w:rPr>
          <w:rFonts w:ascii="Book Antiqua" w:hAnsi="Book Antiqua"/>
          <w:sz w:val="24"/>
          <w:szCs w:val="24"/>
          <w:lang w:val="en-GB"/>
        </w:rPr>
        <w:t xml:space="preserve">. </w:t>
      </w:r>
      <w:r w:rsidR="00946F3B" w:rsidRPr="002B2C64">
        <w:rPr>
          <w:rFonts w:ascii="Book Antiqua" w:hAnsi="Book Antiqua"/>
          <w:sz w:val="24"/>
          <w:szCs w:val="24"/>
          <w:lang w:val="en-GB"/>
        </w:rPr>
        <w:t xml:space="preserve">We only </w:t>
      </w:r>
      <w:r w:rsidR="00C86E5C" w:rsidRPr="002B2C64">
        <w:rPr>
          <w:rFonts w:ascii="Book Antiqua" w:hAnsi="Book Antiqua"/>
          <w:sz w:val="24"/>
          <w:szCs w:val="24"/>
          <w:lang w:val="en-GB"/>
        </w:rPr>
        <w:t xml:space="preserve">found </w:t>
      </w:r>
      <w:r w:rsidR="00C61F4B" w:rsidRPr="002B2C64">
        <w:rPr>
          <w:rFonts w:ascii="Book Antiqua" w:hAnsi="Book Antiqua"/>
          <w:sz w:val="24"/>
          <w:szCs w:val="24"/>
          <w:lang w:val="en-GB"/>
        </w:rPr>
        <w:t xml:space="preserve">a </w:t>
      </w:r>
      <w:r w:rsidR="00946F3B" w:rsidRPr="002B2C64">
        <w:rPr>
          <w:rFonts w:ascii="Book Antiqua" w:hAnsi="Book Antiqua"/>
          <w:sz w:val="24"/>
          <w:szCs w:val="24"/>
          <w:lang w:val="en-GB"/>
        </w:rPr>
        <w:t xml:space="preserve">tendency </w:t>
      </w:r>
      <w:r w:rsidR="00C61F4B" w:rsidRPr="002B2C64">
        <w:rPr>
          <w:rFonts w:ascii="Book Antiqua" w:hAnsi="Book Antiqua"/>
          <w:sz w:val="24"/>
          <w:szCs w:val="24"/>
          <w:lang w:val="en-GB"/>
        </w:rPr>
        <w:t xml:space="preserve">for </w:t>
      </w:r>
      <w:r w:rsidR="00946F3B" w:rsidRPr="002B2C64">
        <w:rPr>
          <w:rFonts w:ascii="Book Antiqua" w:hAnsi="Book Antiqua"/>
          <w:sz w:val="24"/>
          <w:szCs w:val="24"/>
          <w:lang w:val="en-GB"/>
        </w:rPr>
        <w:t xml:space="preserve">shorter 3- and 5-year DFS in postoperative samples. Our observation was in </w:t>
      </w:r>
      <w:r w:rsidR="002802C5" w:rsidRPr="002B2C64">
        <w:rPr>
          <w:rFonts w:ascii="Book Antiqua" w:hAnsi="Book Antiqua"/>
          <w:sz w:val="24"/>
          <w:szCs w:val="24"/>
          <w:lang w:val="en-GB"/>
        </w:rPr>
        <w:t xml:space="preserve">contrast </w:t>
      </w:r>
      <w:r w:rsidR="00C86E5C" w:rsidRPr="002B2C64">
        <w:rPr>
          <w:rFonts w:ascii="Book Antiqua" w:hAnsi="Book Antiqua"/>
          <w:sz w:val="24"/>
          <w:szCs w:val="24"/>
          <w:lang w:val="en-GB"/>
        </w:rPr>
        <w:t>to</w:t>
      </w:r>
      <w:r w:rsidR="002802C5" w:rsidRPr="002B2C64">
        <w:rPr>
          <w:rFonts w:ascii="Book Antiqua" w:hAnsi="Book Antiqua"/>
          <w:sz w:val="24"/>
          <w:szCs w:val="24"/>
          <w:lang w:val="en-GB"/>
        </w:rPr>
        <w:t xml:space="preserve"> Li </w:t>
      </w:r>
      <w:r w:rsidR="00946F3B" w:rsidRPr="002B2C64">
        <w:rPr>
          <w:rFonts w:ascii="Book Antiqua" w:hAnsi="Book Antiqua"/>
          <w:i/>
          <w:iCs/>
          <w:sz w:val="24"/>
          <w:szCs w:val="24"/>
          <w:lang w:val="en-GB"/>
        </w:rPr>
        <w:t>et al</w:t>
      </w:r>
      <w:r w:rsidR="00946F3B" w:rsidRPr="002B2C64">
        <w:rPr>
          <w:rFonts w:ascii="Book Antiqua" w:hAnsi="Book Antiqua"/>
          <w:sz w:val="24"/>
          <w:szCs w:val="24"/>
          <w:vertAlign w:val="superscript"/>
          <w:lang w:val="en-GB"/>
        </w:rPr>
        <w:t>[</w:t>
      </w:r>
      <w:r w:rsidR="009F7DA1" w:rsidRPr="002B2C64">
        <w:rPr>
          <w:rFonts w:ascii="Book Antiqua" w:hAnsi="Book Antiqua"/>
          <w:sz w:val="24"/>
          <w:szCs w:val="24"/>
          <w:vertAlign w:val="superscript"/>
          <w:lang w:val="en-GB"/>
        </w:rPr>
        <w:t>4</w:t>
      </w:r>
      <w:r w:rsidR="005C086E" w:rsidRPr="002B2C64">
        <w:rPr>
          <w:rFonts w:ascii="Book Antiqua" w:hAnsi="Book Antiqua"/>
          <w:sz w:val="24"/>
          <w:szCs w:val="24"/>
          <w:vertAlign w:val="superscript"/>
          <w:lang w:val="en-GB"/>
        </w:rPr>
        <w:t>2</w:t>
      </w:r>
      <w:r w:rsidR="009315D3" w:rsidRPr="002B2C64">
        <w:rPr>
          <w:rFonts w:ascii="Book Antiqua" w:hAnsi="Book Antiqua"/>
          <w:sz w:val="24"/>
          <w:szCs w:val="24"/>
          <w:vertAlign w:val="superscript"/>
          <w:lang w:val="en-GB"/>
        </w:rPr>
        <w:t>]</w:t>
      </w:r>
      <w:r w:rsidR="00282792" w:rsidRPr="002B2C64">
        <w:rPr>
          <w:rFonts w:ascii="Book Antiqua" w:hAnsi="Book Antiqua"/>
          <w:sz w:val="24"/>
          <w:szCs w:val="24"/>
          <w:lang w:val="en-GB"/>
        </w:rPr>
        <w:t xml:space="preserve"> who demonstrated </w:t>
      </w:r>
      <w:r w:rsidR="00C86E5C" w:rsidRPr="002B2C64">
        <w:rPr>
          <w:rFonts w:ascii="Book Antiqua" w:hAnsi="Book Antiqua"/>
          <w:sz w:val="24"/>
          <w:szCs w:val="24"/>
          <w:lang w:val="en-GB"/>
        </w:rPr>
        <w:t xml:space="preserve">an </w:t>
      </w:r>
      <w:r w:rsidR="00282792" w:rsidRPr="002B2C64">
        <w:rPr>
          <w:rFonts w:ascii="Book Antiqua" w:hAnsi="Book Antiqua"/>
          <w:sz w:val="24"/>
          <w:szCs w:val="24"/>
          <w:lang w:val="en-GB"/>
        </w:rPr>
        <w:t xml:space="preserve">inverse correlation between NLR-PLR status and </w:t>
      </w:r>
      <w:r w:rsidR="000E7271" w:rsidRPr="002B2C64">
        <w:rPr>
          <w:rFonts w:ascii="Book Antiqua" w:hAnsi="Book Antiqua"/>
          <w:sz w:val="24"/>
          <w:szCs w:val="24"/>
          <w:lang w:val="en-GB"/>
        </w:rPr>
        <w:t xml:space="preserve">survival time. </w:t>
      </w:r>
    </w:p>
    <w:p w:rsidR="00220F0A" w:rsidRPr="002B2C64" w:rsidRDefault="00E16684" w:rsidP="0083105B">
      <w:pPr>
        <w:snapToGrid w:val="0"/>
        <w:spacing w:after="0" w:line="360" w:lineRule="auto"/>
        <w:ind w:firstLineChars="100" w:firstLine="240"/>
        <w:jc w:val="both"/>
        <w:rPr>
          <w:rFonts w:ascii="Book Antiqua" w:hAnsi="Book Antiqua"/>
          <w:color w:val="FF0000"/>
          <w:sz w:val="24"/>
          <w:szCs w:val="24"/>
          <w:lang w:val="en-GB"/>
        </w:rPr>
      </w:pPr>
      <w:r w:rsidRPr="002B2C64">
        <w:rPr>
          <w:rFonts w:ascii="Book Antiqua" w:hAnsi="Book Antiqua"/>
          <w:sz w:val="24"/>
          <w:szCs w:val="24"/>
          <w:lang w:val="en-GB"/>
        </w:rPr>
        <w:t xml:space="preserve">Patients with CRC may </w:t>
      </w:r>
      <w:r w:rsidR="00220D39" w:rsidRPr="002B2C64">
        <w:rPr>
          <w:rFonts w:ascii="Book Antiqua" w:hAnsi="Book Antiqua"/>
          <w:sz w:val="24"/>
          <w:szCs w:val="24"/>
          <w:lang w:val="en-GB"/>
        </w:rPr>
        <w:t xml:space="preserve">suffer from thrombocythemia </w:t>
      </w:r>
      <w:r w:rsidR="00367516" w:rsidRPr="002B2C64">
        <w:rPr>
          <w:rFonts w:ascii="Book Antiqua" w:hAnsi="Book Antiqua"/>
          <w:sz w:val="24"/>
          <w:szCs w:val="24"/>
          <w:lang w:val="en-GB"/>
        </w:rPr>
        <w:t xml:space="preserve">and have </w:t>
      </w:r>
      <w:r w:rsidR="00C86E5C" w:rsidRPr="002B2C64">
        <w:rPr>
          <w:rFonts w:ascii="Book Antiqua" w:hAnsi="Book Antiqua"/>
          <w:sz w:val="24"/>
          <w:szCs w:val="24"/>
          <w:lang w:val="en-GB"/>
        </w:rPr>
        <w:t xml:space="preserve">a </w:t>
      </w:r>
      <w:r w:rsidR="00367516" w:rsidRPr="002B2C64">
        <w:rPr>
          <w:rFonts w:ascii="Book Antiqua" w:hAnsi="Book Antiqua"/>
          <w:sz w:val="24"/>
          <w:szCs w:val="24"/>
          <w:lang w:val="en-GB"/>
        </w:rPr>
        <w:t>poor prognosis</w:t>
      </w:r>
      <w:r w:rsidR="00CD170B" w:rsidRPr="002B2C64">
        <w:rPr>
          <w:rFonts w:ascii="Book Antiqua" w:hAnsi="Book Antiqua"/>
          <w:sz w:val="24"/>
          <w:szCs w:val="24"/>
          <w:vertAlign w:val="superscript"/>
          <w:lang w:val="en-GB"/>
        </w:rPr>
        <w:t>[</w:t>
      </w:r>
      <w:r w:rsidR="00016092" w:rsidRPr="002B2C64">
        <w:rPr>
          <w:rFonts w:ascii="Book Antiqua" w:hAnsi="Book Antiqua"/>
          <w:sz w:val="24"/>
          <w:szCs w:val="24"/>
          <w:vertAlign w:val="superscript"/>
          <w:lang w:val="en-GB"/>
        </w:rPr>
        <w:t>4</w:t>
      </w:r>
      <w:r w:rsidR="005C086E" w:rsidRPr="002B2C64">
        <w:rPr>
          <w:rFonts w:ascii="Book Antiqua" w:hAnsi="Book Antiqua"/>
          <w:sz w:val="24"/>
          <w:szCs w:val="24"/>
          <w:vertAlign w:val="superscript"/>
          <w:lang w:val="en-GB"/>
        </w:rPr>
        <w:t>3</w:t>
      </w:r>
      <w:r w:rsidR="00EF1E83" w:rsidRPr="002B2C64">
        <w:rPr>
          <w:rFonts w:ascii="Book Antiqua" w:hAnsi="Book Antiqua"/>
          <w:sz w:val="24"/>
          <w:szCs w:val="24"/>
          <w:vertAlign w:val="superscript"/>
          <w:lang w:val="en-GB"/>
        </w:rPr>
        <w:t>]</w:t>
      </w:r>
      <w:r w:rsidR="00EE5C80" w:rsidRPr="002B2C64">
        <w:rPr>
          <w:rFonts w:ascii="Book Antiqua" w:hAnsi="Book Antiqua"/>
          <w:sz w:val="24"/>
          <w:szCs w:val="24"/>
          <w:lang w:val="en-GB"/>
        </w:rPr>
        <w:t>.</w:t>
      </w:r>
      <w:r w:rsidR="004F5A6F" w:rsidRPr="002B2C64">
        <w:rPr>
          <w:rFonts w:ascii="Book Antiqua" w:hAnsi="Book Antiqua"/>
          <w:sz w:val="24"/>
          <w:szCs w:val="24"/>
          <w:lang w:val="en-GB"/>
        </w:rPr>
        <w:t xml:space="preserve"> </w:t>
      </w:r>
      <w:r w:rsidR="00332FC0" w:rsidRPr="002B2C64">
        <w:rPr>
          <w:rFonts w:ascii="Book Antiqua" w:hAnsi="Book Antiqua"/>
          <w:sz w:val="24"/>
          <w:szCs w:val="24"/>
          <w:lang w:val="en-GB"/>
        </w:rPr>
        <w:t xml:space="preserve">It </w:t>
      </w:r>
      <w:r w:rsidR="00C86E5C" w:rsidRPr="002B2C64">
        <w:rPr>
          <w:rFonts w:ascii="Book Antiqua" w:hAnsi="Book Antiqua"/>
          <w:sz w:val="24"/>
          <w:szCs w:val="24"/>
          <w:lang w:val="en-GB"/>
        </w:rPr>
        <w:t>is</w:t>
      </w:r>
      <w:r w:rsidR="00332FC0" w:rsidRPr="002B2C64">
        <w:rPr>
          <w:rFonts w:ascii="Book Antiqua" w:hAnsi="Book Antiqua"/>
          <w:sz w:val="24"/>
          <w:szCs w:val="24"/>
          <w:lang w:val="en-GB"/>
        </w:rPr>
        <w:t xml:space="preserve"> well known that platelets are closely related </w:t>
      </w:r>
      <w:r w:rsidR="00B030E7" w:rsidRPr="002B2C64">
        <w:rPr>
          <w:rFonts w:ascii="Book Antiqua" w:hAnsi="Book Antiqua"/>
          <w:sz w:val="24"/>
          <w:szCs w:val="24"/>
          <w:lang w:val="en-GB"/>
        </w:rPr>
        <w:t xml:space="preserve">to </w:t>
      </w:r>
      <w:r w:rsidR="00332FC0" w:rsidRPr="002B2C64">
        <w:rPr>
          <w:rFonts w:ascii="Book Antiqua" w:hAnsi="Book Antiqua"/>
          <w:sz w:val="24"/>
          <w:szCs w:val="24"/>
          <w:lang w:val="en-GB"/>
        </w:rPr>
        <w:t>cancer cell</w:t>
      </w:r>
      <w:r w:rsidR="00332FC0" w:rsidRPr="002B2C64">
        <w:rPr>
          <w:rFonts w:ascii="Book Antiqua" w:hAnsi="Book Antiqua"/>
          <w:color w:val="auto"/>
          <w:sz w:val="24"/>
          <w:szCs w:val="24"/>
          <w:lang w:val="en-GB"/>
        </w:rPr>
        <w:t xml:space="preserve">s. </w:t>
      </w:r>
      <w:r w:rsidR="00771FC6" w:rsidRPr="002B2C64">
        <w:rPr>
          <w:rFonts w:ascii="Book Antiqua" w:hAnsi="Book Antiqua"/>
          <w:color w:val="auto"/>
          <w:sz w:val="24"/>
          <w:szCs w:val="24"/>
          <w:lang w:val="en-GB"/>
        </w:rPr>
        <w:t xml:space="preserve">Cancer cells can modify platelet </w:t>
      </w:r>
      <w:r w:rsidR="00332FC0" w:rsidRPr="002B2C64">
        <w:rPr>
          <w:rFonts w:ascii="Book Antiqua" w:hAnsi="Book Antiqua"/>
          <w:color w:val="auto"/>
          <w:sz w:val="24"/>
          <w:szCs w:val="24"/>
          <w:lang w:val="en-GB"/>
        </w:rPr>
        <w:t>behavio</w:t>
      </w:r>
      <w:r w:rsidR="00D2163B" w:rsidRPr="002B2C64">
        <w:rPr>
          <w:rFonts w:ascii="Book Antiqua" w:hAnsi="Book Antiqua"/>
          <w:color w:val="auto"/>
          <w:sz w:val="24"/>
          <w:szCs w:val="24"/>
          <w:lang w:val="en-GB"/>
        </w:rPr>
        <w:t>u</w:t>
      </w:r>
      <w:r w:rsidR="00332FC0" w:rsidRPr="002B2C64">
        <w:rPr>
          <w:rFonts w:ascii="Book Antiqua" w:hAnsi="Book Antiqua"/>
          <w:color w:val="auto"/>
          <w:sz w:val="24"/>
          <w:szCs w:val="24"/>
          <w:lang w:val="en-GB"/>
        </w:rPr>
        <w:t>r which includes</w:t>
      </w:r>
      <w:r w:rsidR="00AD799C" w:rsidRPr="002B2C64">
        <w:rPr>
          <w:rFonts w:ascii="Book Antiqua" w:hAnsi="Book Antiqua"/>
          <w:color w:val="auto"/>
          <w:sz w:val="24"/>
          <w:szCs w:val="24"/>
          <w:lang w:val="en-GB"/>
        </w:rPr>
        <w:t xml:space="preserve"> </w:t>
      </w:r>
      <w:r w:rsidR="00771FC6" w:rsidRPr="002B2C64">
        <w:rPr>
          <w:rFonts w:ascii="Book Antiqua" w:hAnsi="Book Antiqua"/>
          <w:color w:val="auto"/>
          <w:sz w:val="24"/>
          <w:szCs w:val="24"/>
          <w:lang w:val="en-GB"/>
        </w:rPr>
        <w:t>tumo</w:t>
      </w:r>
      <w:r w:rsidR="00D2163B" w:rsidRPr="002B2C64">
        <w:rPr>
          <w:rFonts w:ascii="Book Antiqua" w:hAnsi="Book Antiqua"/>
          <w:color w:val="auto"/>
          <w:sz w:val="24"/>
          <w:szCs w:val="24"/>
          <w:lang w:val="en-GB"/>
        </w:rPr>
        <w:t>u</w:t>
      </w:r>
      <w:r w:rsidR="00771FC6" w:rsidRPr="002B2C64">
        <w:rPr>
          <w:rFonts w:ascii="Book Antiqua" w:hAnsi="Book Antiqua"/>
          <w:color w:val="auto"/>
          <w:sz w:val="24"/>
          <w:szCs w:val="24"/>
          <w:lang w:val="en-GB"/>
        </w:rPr>
        <w:t>r-platelet aggregates, triggering platelet granule</w:t>
      </w:r>
      <w:r w:rsidR="00C86E5C" w:rsidRPr="002B2C64">
        <w:rPr>
          <w:rFonts w:ascii="Book Antiqua" w:hAnsi="Book Antiqua"/>
          <w:color w:val="auto"/>
          <w:sz w:val="24"/>
          <w:szCs w:val="24"/>
          <w:lang w:val="en-GB"/>
        </w:rPr>
        <w:t>s</w:t>
      </w:r>
      <w:r w:rsidR="00771FC6" w:rsidRPr="002B2C64">
        <w:rPr>
          <w:rFonts w:ascii="Book Antiqua" w:hAnsi="Book Antiqua"/>
          <w:color w:val="auto"/>
          <w:sz w:val="24"/>
          <w:szCs w:val="24"/>
          <w:lang w:val="en-GB"/>
        </w:rPr>
        <w:t xml:space="preserve"> and</w:t>
      </w:r>
      <w:r w:rsidR="00392F95" w:rsidRPr="002B2C64">
        <w:rPr>
          <w:rFonts w:ascii="Book Antiqua" w:hAnsi="Book Antiqua"/>
          <w:color w:val="auto"/>
          <w:sz w:val="24"/>
          <w:szCs w:val="24"/>
          <w:lang w:val="en-GB"/>
        </w:rPr>
        <w:t xml:space="preserve"> extracellular vesicle release and </w:t>
      </w:r>
      <w:r w:rsidR="00771FC6" w:rsidRPr="002B2C64">
        <w:rPr>
          <w:rFonts w:ascii="Book Antiqua" w:hAnsi="Book Antiqua"/>
          <w:color w:val="auto"/>
          <w:sz w:val="24"/>
          <w:szCs w:val="24"/>
          <w:lang w:val="en-GB"/>
        </w:rPr>
        <w:t>altering platelet phenotype</w:t>
      </w:r>
      <w:r w:rsidR="005C6BD4" w:rsidRPr="002B2C64">
        <w:rPr>
          <w:rFonts w:ascii="Book Antiqua" w:hAnsi="Book Antiqua"/>
          <w:color w:val="auto"/>
          <w:sz w:val="24"/>
          <w:szCs w:val="24"/>
          <w:lang w:val="en-GB"/>
        </w:rPr>
        <w:t xml:space="preserve">. Platelets </w:t>
      </w:r>
      <w:r w:rsidR="00462061" w:rsidRPr="002B2C64">
        <w:rPr>
          <w:rFonts w:ascii="Book Antiqua" w:hAnsi="Book Antiqua"/>
          <w:color w:val="auto"/>
          <w:sz w:val="24"/>
          <w:szCs w:val="24"/>
          <w:lang w:val="en-GB"/>
        </w:rPr>
        <w:t>can secrete angiogenic factors</w:t>
      </w:r>
      <w:r w:rsidR="00C86E5C" w:rsidRPr="002B2C64">
        <w:rPr>
          <w:rFonts w:ascii="Book Antiqua" w:hAnsi="Book Antiqua"/>
          <w:color w:val="auto"/>
          <w:sz w:val="24"/>
          <w:szCs w:val="24"/>
          <w:lang w:val="en-GB"/>
        </w:rPr>
        <w:t xml:space="preserve"> and</w:t>
      </w:r>
      <w:r w:rsidR="00462061" w:rsidRPr="002B2C64">
        <w:rPr>
          <w:rFonts w:ascii="Book Antiqua" w:hAnsi="Book Antiqua"/>
          <w:color w:val="auto"/>
          <w:sz w:val="24"/>
          <w:szCs w:val="24"/>
          <w:lang w:val="en-GB"/>
        </w:rPr>
        <w:t xml:space="preserve"> </w:t>
      </w:r>
      <w:r w:rsidR="00D239E9" w:rsidRPr="002B2C64">
        <w:rPr>
          <w:rFonts w:ascii="Book Antiqua" w:hAnsi="Book Antiqua"/>
          <w:color w:val="auto"/>
          <w:sz w:val="24"/>
          <w:szCs w:val="24"/>
          <w:lang w:val="en-GB"/>
        </w:rPr>
        <w:t>enhance</w:t>
      </w:r>
      <w:r w:rsidR="005C6BD4" w:rsidRPr="002B2C64">
        <w:rPr>
          <w:rFonts w:ascii="Book Antiqua" w:hAnsi="Book Antiqua"/>
          <w:color w:val="auto"/>
          <w:sz w:val="24"/>
          <w:szCs w:val="24"/>
          <w:lang w:val="en-GB"/>
        </w:rPr>
        <w:t xml:space="preserve"> tumo</w:t>
      </w:r>
      <w:r w:rsidR="00D2163B" w:rsidRPr="002B2C64">
        <w:rPr>
          <w:rFonts w:ascii="Book Antiqua" w:hAnsi="Book Antiqua"/>
          <w:color w:val="auto"/>
          <w:sz w:val="24"/>
          <w:szCs w:val="24"/>
          <w:lang w:val="en-GB"/>
        </w:rPr>
        <w:t>u</w:t>
      </w:r>
      <w:r w:rsidR="005C6BD4" w:rsidRPr="002B2C64">
        <w:rPr>
          <w:rFonts w:ascii="Book Antiqua" w:hAnsi="Book Antiqua"/>
          <w:color w:val="auto"/>
          <w:sz w:val="24"/>
          <w:szCs w:val="24"/>
          <w:lang w:val="en-GB"/>
        </w:rPr>
        <w:t xml:space="preserve">r growth </w:t>
      </w:r>
      <w:r w:rsidR="00D239E9" w:rsidRPr="002B2C64">
        <w:rPr>
          <w:rFonts w:ascii="Book Antiqua" w:hAnsi="Book Antiqua"/>
          <w:color w:val="auto"/>
          <w:sz w:val="24"/>
          <w:szCs w:val="24"/>
          <w:lang w:val="en-GB"/>
        </w:rPr>
        <w:t xml:space="preserve">by promoting proliferation and antiapoptotic signals. Moreover, they </w:t>
      </w:r>
      <w:r w:rsidR="005C6BD4" w:rsidRPr="002B2C64">
        <w:rPr>
          <w:rFonts w:ascii="Book Antiqua" w:hAnsi="Book Antiqua"/>
          <w:color w:val="auto"/>
          <w:sz w:val="24"/>
          <w:szCs w:val="24"/>
          <w:lang w:val="en-GB"/>
        </w:rPr>
        <w:t>promote tumo</w:t>
      </w:r>
      <w:r w:rsidR="00D2163B" w:rsidRPr="002B2C64">
        <w:rPr>
          <w:rFonts w:ascii="Book Antiqua" w:hAnsi="Book Antiqua"/>
          <w:color w:val="auto"/>
          <w:sz w:val="24"/>
          <w:szCs w:val="24"/>
          <w:lang w:val="en-GB"/>
        </w:rPr>
        <w:t>u</w:t>
      </w:r>
      <w:r w:rsidR="005C6BD4" w:rsidRPr="002B2C64">
        <w:rPr>
          <w:rFonts w:ascii="Book Antiqua" w:hAnsi="Book Antiqua"/>
          <w:color w:val="auto"/>
          <w:sz w:val="24"/>
          <w:szCs w:val="24"/>
          <w:lang w:val="en-GB"/>
        </w:rPr>
        <w:t>r invasion and sustain metastasis</w:t>
      </w:r>
      <w:r w:rsidR="00340997" w:rsidRPr="002B2C64">
        <w:rPr>
          <w:rFonts w:ascii="Book Antiqua" w:hAnsi="Book Antiqua"/>
          <w:color w:val="auto"/>
          <w:sz w:val="24"/>
          <w:szCs w:val="24"/>
          <w:lang w:val="en-GB"/>
        </w:rPr>
        <w:t xml:space="preserve">. </w:t>
      </w:r>
      <w:r w:rsidR="005C6BD4" w:rsidRPr="002B2C64">
        <w:rPr>
          <w:rFonts w:ascii="Book Antiqua" w:hAnsi="Book Antiqua"/>
          <w:color w:val="auto"/>
          <w:sz w:val="24"/>
          <w:szCs w:val="24"/>
          <w:lang w:val="en-GB"/>
        </w:rPr>
        <w:t>Furthermore, platelets assist tumo</w:t>
      </w:r>
      <w:r w:rsidR="00D2163B" w:rsidRPr="002B2C64">
        <w:rPr>
          <w:rFonts w:ascii="Book Antiqua" w:hAnsi="Book Antiqua"/>
          <w:color w:val="auto"/>
          <w:sz w:val="24"/>
          <w:szCs w:val="24"/>
          <w:lang w:val="en-GB"/>
        </w:rPr>
        <w:t>u</w:t>
      </w:r>
      <w:r w:rsidR="005C6BD4" w:rsidRPr="002B2C64">
        <w:rPr>
          <w:rFonts w:ascii="Book Antiqua" w:hAnsi="Book Antiqua"/>
          <w:color w:val="auto"/>
          <w:sz w:val="24"/>
          <w:szCs w:val="24"/>
          <w:lang w:val="en-GB"/>
        </w:rPr>
        <w:t>rs in evading immune destruction</w:t>
      </w:r>
      <w:r w:rsidR="003A118B" w:rsidRPr="002B2C64">
        <w:rPr>
          <w:rFonts w:ascii="Book Antiqua" w:hAnsi="Book Antiqua"/>
          <w:sz w:val="24"/>
          <w:szCs w:val="24"/>
          <w:vertAlign w:val="superscript"/>
          <w:lang w:val="en-GB"/>
        </w:rPr>
        <w:t>[</w:t>
      </w:r>
      <w:r w:rsidR="002E7E3C" w:rsidRPr="002B2C64">
        <w:rPr>
          <w:rFonts w:ascii="Book Antiqua" w:hAnsi="Book Antiqua"/>
          <w:sz w:val="24"/>
          <w:szCs w:val="24"/>
          <w:vertAlign w:val="superscript"/>
          <w:lang w:val="en-GB"/>
        </w:rPr>
        <w:t>4</w:t>
      </w:r>
      <w:r w:rsidR="005C086E" w:rsidRPr="002B2C64">
        <w:rPr>
          <w:rFonts w:ascii="Book Antiqua" w:hAnsi="Book Antiqua"/>
          <w:sz w:val="24"/>
          <w:szCs w:val="24"/>
          <w:vertAlign w:val="superscript"/>
          <w:lang w:val="en-GB"/>
        </w:rPr>
        <w:t>4</w:t>
      </w:r>
      <w:r w:rsidR="003A118B" w:rsidRPr="002B2C64">
        <w:rPr>
          <w:rFonts w:ascii="Book Antiqua" w:hAnsi="Book Antiqua"/>
          <w:sz w:val="24"/>
          <w:szCs w:val="24"/>
          <w:vertAlign w:val="superscript"/>
          <w:lang w:val="en-GB"/>
        </w:rPr>
        <w:t>]</w:t>
      </w:r>
      <w:r w:rsidR="003A118B" w:rsidRPr="002B2C64">
        <w:rPr>
          <w:rFonts w:ascii="Book Antiqua" w:hAnsi="Book Antiqua"/>
          <w:sz w:val="24"/>
          <w:szCs w:val="24"/>
          <w:lang w:val="en-GB"/>
        </w:rPr>
        <w:t>.</w:t>
      </w:r>
      <w:r w:rsidR="00B347B5" w:rsidRPr="002B2C64">
        <w:rPr>
          <w:rFonts w:ascii="Book Antiqua" w:hAnsi="Book Antiqua"/>
          <w:sz w:val="24"/>
          <w:szCs w:val="24"/>
          <w:lang w:val="en-GB"/>
        </w:rPr>
        <w:t xml:space="preserve"> </w:t>
      </w:r>
      <w:r w:rsidR="00332FC0" w:rsidRPr="002B2C64">
        <w:rPr>
          <w:rFonts w:ascii="Book Antiqua" w:hAnsi="Book Antiqua"/>
          <w:sz w:val="24"/>
          <w:szCs w:val="24"/>
          <w:lang w:val="en-GB"/>
        </w:rPr>
        <w:lastRenderedPageBreak/>
        <w:t xml:space="preserve">Therefore, they </w:t>
      </w:r>
      <w:r w:rsidR="003D35FD" w:rsidRPr="002B2C64">
        <w:rPr>
          <w:rFonts w:ascii="Book Antiqua" w:hAnsi="Book Antiqua"/>
          <w:sz w:val="24"/>
          <w:szCs w:val="24"/>
          <w:lang w:val="en-GB"/>
        </w:rPr>
        <w:t xml:space="preserve">appear </w:t>
      </w:r>
      <w:r w:rsidR="00332FC0" w:rsidRPr="002B2C64">
        <w:rPr>
          <w:rFonts w:ascii="Book Antiqua" w:hAnsi="Book Antiqua"/>
          <w:sz w:val="24"/>
          <w:szCs w:val="24"/>
          <w:lang w:val="en-GB"/>
        </w:rPr>
        <w:t>to be important in</w:t>
      </w:r>
      <w:r w:rsidR="00E34B67" w:rsidRPr="002B2C64">
        <w:rPr>
          <w:rFonts w:ascii="Book Antiqua" w:hAnsi="Book Antiqua"/>
          <w:sz w:val="24"/>
          <w:szCs w:val="24"/>
          <w:lang w:val="en-GB"/>
        </w:rPr>
        <w:t xml:space="preserve"> the</w:t>
      </w:r>
      <w:r w:rsidR="00332FC0" w:rsidRPr="002B2C64">
        <w:rPr>
          <w:rFonts w:ascii="Book Antiqua" w:hAnsi="Book Antiqua"/>
          <w:sz w:val="24"/>
          <w:szCs w:val="24"/>
          <w:lang w:val="en-GB"/>
        </w:rPr>
        <w:t xml:space="preserve"> immune response against cancer in correlation with neutrophils and lymphocytes. </w:t>
      </w:r>
      <w:r w:rsidR="00CD170B" w:rsidRPr="002B2C64">
        <w:rPr>
          <w:rFonts w:ascii="Book Antiqua" w:hAnsi="Book Antiqua"/>
          <w:sz w:val="24"/>
          <w:szCs w:val="24"/>
          <w:lang w:val="en-GB"/>
        </w:rPr>
        <w:t xml:space="preserve">We </w:t>
      </w:r>
      <w:r w:rsidR="00D2163B" w:rsidRPr="002B2C64">
        <w:rPr>
          <w:rFonts w:ascii="Book Antiqua" w:hAnsi="Book Antiqua"/>
          <w:sz w:val="24"/>
          <w:szCs w:val="24"/>
          <w:lang w:val="en-GB"/>
        </w:rPr>
        <w:t xml:space="preserve">analysed </w:t>
      </w:r>
      <w:r w:rsidR="00C86E5C" w:rsidRPr="002B2C64">
        <w:rPr>
          <w:rFonts w:ascii="Book Antiqua" w:hAnsi="Book Antiqua"/>
          <w:sz w:val="24"/>
          <w:szCs w:val="24"/>
          <w:lang w:val="en-GB"/>
        </w:rPr>
        <w:t xml:space="preserve">the </w:t>
      </w:r>
      <w:r w:rsidR="00921A3C" w:rsidRPr="002B2C64">
        <w:rPr>
          <w:rFonts w:ascii="Book Antiqua" w:hAnsi="Book Antiqua"/>
          <w:sz w:val="24"/>
          <w:szCs w:val="24"/>
          <w:lang w:val="en-GB"/>
        </w:rPr>
        <w:t xml:space="preserve">platelet count and </w:t>
      </w:r>
      <w:r w:rsidR="00C86E5C" w:rsidRPr="002B2C64">
        <w:rPr>
          <w:rFonts w:ascii="Book Antiqua" w:hAnsi="Book Antiqua"/>
          <w:sz w:val="24"/>
          <w:szCs w:val="24"/>
          <w:lang w:val="en-GB"/>
        </w:rPr>
        <w:t>NLR</w:t>
      </w:r>
      <w:r w:rsidR="00921A3C" w:rsidRPr="002B2C64">
        <w:rPr>
          <w:rFonts w:ascii="Book Antiqua" w:hAnsi="Book Antiqua"/>
          <w:sz w:val="24"/>
          <w:szCs w:val="24"/>
          <w:lang w:val="en-GB"/>
        </w:rPr>
        <w:t xml:space="preserve"> in pre- and postoperative peripheral blood samples </w:t>
      </w:r>
      <w:r w:rsidR="00C86E5C" w:rsidRPr="002B2C64">
        <w:rPr>
          <w:rFonts w:ascii="Book Antiqua" w:hAnsi="Book Antiqua"/>
          <w:sz w:val="24"/>
          <w:szCs w:val="24"/>
          <w:lang w:val="en-GB"/>
        </w:rPr>
        <w:t>from CRC</w:t>
      </w:r>
      <w:r w:rsidR="00921A3C" w:rsidRPr="002B2C64">
        <w:rPr>
          <w:rFonts w:ascii="Book Antiqua" w:hAnsi="Book Antiqua"/>
          <w:sz w:val="24"/>
          <w:szCs w:val="24"/>
          <w:lang w:val="en-GB"/>
        </w:rPr>
        <w:t xml:space="preserve"> patients. The present study showed that high PLT-NLR status </w:t>
      </w:r>
      <w:r w:rsidR="002E56DC" w:rsidRPr="002B2C64">
        <w:rPr>
          <w:rFonts w:ascii="Book Antiqua" w:hAnsi="Book Antiqua"/>
          <w:sz w:val="24"/>
          <w:szCs w:val="24"/>
          <w:lang w:val="en-GB"/>
        </w:rPr>
        <w:t xml:space="preserve">was found to positively correlate with </w:t>
      </w:r>
      <w:r w:rsidR="008A74FE" w:rsidRPr="002B2C64">
        <w:rPr>
          <w:rFonts w:ascii="Book Antiqua" w:hAnsi="Book Antiqua"/>
          <w:sz w:val="24"/>
          <w:szCs w:val="24"/>
          <w:lang w:val="en-GB"/>
        </w:rPr>
        <w:t>tumo</w:t>
      </w:r>
      <w:r w:rsidR="00D2163B" w:rsidRPr="002B2C64">
        <w:rPr>
          <w:rFonts w:ascii="Book Antiqua" w:hAnsi="Book Antiqua"/>
          <w:sz w:val="24"/>
          <w:szCs w:val="24"/>
          <w:lang w:val="en-GB"/>
        </w:rPr>
        <w:t>u</w:t>
      </w:r>
      <w:r w:rsidR="008A74FE" w:rsidRPr="002B2C64">
        <w:rPr>
          <w:rFonts w:ascii="Book Antiqua" w:hAnsi="Book Antiqua"/>
          <w:sz w:val="24"/>
          <w:szCs w:val="24"/>
          <w:lang w:val="en-GB"/>
        </w:rPr>
        <w:t xml:space="preserve">r size in preoperative samples and with histological type and the percentage of mucinous component in samples obtained after surgery. </w:t>
      </w:r>
      <w:r w:rsidR="00922B2F" w:rsidRPr="002B2C64">
        <w:rPr>
          <w:rFonts w:ascii="Book Antiqua" w:hAnsi="Book Antiqua"/>
          <w:sz w:val="24"/>
          <w:szCs w:val="24"/>
          <w:lang w:val="en-GB"/>
        </w:rPr>
        <w:t xml:space="preserve">Moreover, </w:t>
      </w:r>
      <w:r w:rsidR="0048650F" w:rsidRPr="002B2C64">
        <w:rPr>
          <w:rFonts w:ascii="Book Antiqua" w:hAnsi="Book Antiqua"/>
          <w:sz w:val="24"/>
          <w:szCs w:val="24"/>
          <w:lang w:val="en-GB"/>
        </w:rPr>
        <w:t>the</w:t>
      </w:r>
      <w:r w:rsidR="00922B2F" w:rsidRPr="002B2C64">
        <w:rPr>
          <w:rFonts w:ascii="Book Antiqua" w:hAnsi="Book Antiqua"/>
          <w:sz w:val="24"/>
          <w:szCs w:val="24"/>
          <w:lang w:val="en-GB"/>
        </w:rPr>
        <w:t xml:space="preserve"> analys</w:t>
      </w:r>
      <w:r w:rsidR="00AB7D6C" w:rsidRPr="002B2C64">
        <w:rPr>
          <w:rFonts w:ascii="Book Antiqua" w:hAnsi="Book Antiqua"/>
          <w:sz w:val="24"/>
          <w:szCs w:val="24"/>
          <w:lang w:val="en-GB"/>
        </w:rPr>
        <w:t>is</w:t>
      </w:r>
      <w:r w:rsidR="00922B2F" w:rsidRPr="002B2C64">
        <w:rPr>
          <w:rFonts w:ascii="Book Antiqua" w:hAnsi="Book Antiqua"/>
          <w:sz w:val="24"/>
          <w:szCs w:val="24"/>
          <w:lang w:val="en-GB"/>
        </w:rPr>
        <w:t xml:space="preserve"> showed </w:t>
      </w:r>
      <w:r w:rsidR="00EF6F01" w:rsidRPr="002B2C64">
        <w:rPr>
          <w:rFonts w:ascii="Book Antiqua" w:hAnsi="Book Antiqua"/>
          <w:sz w:val="24"/>
          <w:szCs w:val="24"/>
          <w:lang w:val="en-GB"/>
        </w:rPr>
        <w:t xml:space="preserve">that </w:t>
      </w:r>
      <w:r w:rsidR="00AB7D6C" w:rsidRPr="002B2C64">
        <w:rPr>
          <w:rFonts w:ascii="Book Antiqua" w:hAnsi="Book Antiqua"/>
          <w:sz w:val="24"/>
          <w:szCs w:val="24"/>
          <w:lang w:val="en-GB"/>
        </w:rPr>
        <w:t xml:space="preserve">patients with </w:t>
      </w:r>
      <w:r w:rsidR="00EF6F01" w:rsidRPr="002B2C64">
        <w:rPr>
          <w:rFonts w:ascii="Book Antiqua" w:hAnsi="Book Antiqua"/>
          <w:sz w:val="24"/>
          <w:szCs w:val="24"/>
          <w:lang w:val="en-GB"/>
        </w:rPr>
        <w:t xml:space="preserve">high PLT-NLR status </w:t>
      </w:r>
      <w:r w:rsidR="00AB7D6C" w:rsidRPr="002B2C64">
        <w:rPr>
          <w:rFonts w:ascii="Book Antiqua" w:hAnsi="Book Antiqua"/>
          <w:sz w:val="24"/>
          <w:szCs w:val="24"/>
          <w:lang w:val="en-GB"/>
        </w:rPr>
        <w:t xml:space="preserve">had </w:t>
      </w:r>
      <w:r w:rsidR="00C61F4B" w:rsidRPr="002B2C64">
        <w:rPr>
          <w:rFonts w:ascii="Book Antiqua" w:hAnsi="Book Antiqua"/>
          <w:sz w:val="24"/>
          <w:szCs w:val="24"/>
          <w:lang w:val="en-GB"/>
        </w:rPr>
        <w:t xml:space="preserve">a </w:t>
      </w:r>
      <w:r w:rsidR="00AB7D6C" w:rsidRPr="002B2C64">
        <w:rPr>
          <w:rFonts w:ascii="Book Antiqua" w:hAnsi="Book Antiqua"/>
          <w:sz w:val="24"/>
          <w:szCs w:val="24"/>
          <w:lang w:val="en-GB"/>
        </w:rPr>
        <w:t>longer 3-year and 5-year DFS</w:t>
      </w:r>
      <w:r w:rsidR="00E35A7F" w:rsidRPr="002B2C64">
        <w:rPr>
          <w:rFonts w:ascii="Book Antiqua" w:hAnsi="Book Antiqua"/>
          <w:sz w:val="24"/>
          <w:szCs w:val="24"/>
          <w:lang w:val="en-GB"/>
        </w:rPr>
        <w:t xml:space="preserve">. </w:t>
      </w:r>
      <w:r w:rsidR="0005086C" w:rsidRPr="002B2C64">
        <w:rPr>
          <w:rFonts w:ascii="Book Antiqua" w:hAnsi="Book Antiqua"/>
          <w:sz w:val="24"/>
          <w:szCs w:val="24"/>
          <w:lang w:val="en-GB"/>
        </w:rPr>
        <w:t xml:space="preserve">Our observations suggest that </w:t>
      </w:r>
      <w:r w:rsidR="00B030E7" w:rsidRPr="002B2C64">
        <w:rPr>
          <w:rFonts w:ascii="Book Antiqua" w:hAnsi="Book Antiqua"/>
          <w:sz w:val="24"/>
          <w:szCs w:val="24"/>
          <w:lang w:val="en-GB"/>
        </w:rPr>
        <w:t xml:space="preserve">the </w:t>
      </w:r>
      <w:r w:rsidR="0005086C" w:rsidRPr="002B2C64">
        <w:rPr>
          <w:rFonts w:ascii="Book Antiqua" w:hAnsi="Book Antiqua"/>
          <w:sz w:val="24"/>
          <w:szCs w:val="24"/>
          <w:lang w:val="en-GB"/>
        </w:rPr>
        <w:t xml:space="preserve">PLT-NLR status may be </w:t>
      </w:r>
      <w:r w:rsidR="00B030E7" w:rsidRPr="002B2C64">
        <w:rPr>
          <w:rFonts w:ascii="Book Antiqua" w:hAnsi="Book Antiqua"/>
          <w:sz w:val="24"/>
          <w:szCs w:val="24"/>
          <w:lang w:val="en-GB"/>
        </w:rPr>
        <w:t xml:space="preserve">a </w:t>
      </w:r>
      <w:r w:rsidR="0005086C" w:rsidRPr="002B2C64">
        <w:rPr>
          <w:rFonts w:ascii="Book Antiqua" w:hAnsi="Book Antiqua"/>
          <w:sz w:val="24"/>
          <w:szCs w:val="24"/>
          <w:lang w:val="en-GB"/>
        </w:rPr>
        <w:t xml:space="preserve">useful </w:t>
      </w:r>
      <w:r w:rsidR="00BF249C" w:rsidRPr="002B2C64">
        <w:rPr>
          <w:rFonts w:ascii="Book Antiqua" w:hAnsi="Book Antiqua"/>
          <w:sz w:val="24"/>
          <w:szCs w:val="24"/>
          <w:lang w:val="en-GB"/>
        </w:rPr>
        <w:t>h</w:t>
      </w:r>
      <w:r w:rsidR="002F0844" w:rsidRPr="002B2C64">
        <w:rPr>
          <w:rFonts w:ascii="Book Antiqua" w:hAnsi="Book Antiqua"/>
          <w:sz w:val="24"/>
          <w:szCs w:val="24"/>
          <w:lang w:val="en-GB"/>
        </w:rPr>
        <w:t>a</w:t>
      </w:r>
      <w:r w:rsidR="00BF249C" w:rsidRPr="002B2C64">
        <w:rPr>
          <w:rFonts w:ascii="Book Antiqua" w:hAnsi="Book Antiqua"/>
          <w:sz w:val="24"/>
          <w:szCs w:val="24"/>
          <w:lang w:val="en-GB"/>
        </w:rPr>
        <w:t xml:space="preserve">ematologic </w:t>
      </w:r>
      <w:r w:rsidR="0005086C" w:rsidRPr="002B2C64">
        <w:rPr>
          <w:rFonts w:ascii="Book Antiqua" w:hAnsi="Book Antiqua"/>
          <w:sz w:val="24"/>
          <w:szCs w:val="24"/>
          <w:lang w:val="en-GB"/>
        </w:rPr>
        <w:t>marker of</w:t>
      </w:r>
      <w:r w:rsidR="00BF249C" w:rsidRPr="002B2C64">
        <w:rPr>
          <w:rFonts w:ascii="Book Antiqua" w:hAnsi="Book Antiqua"/>
          <w:sz w:val="24"/>
          <w:szCs w:val="24"/>
          <w:lang w:val="en-GB"/>
        </w:rPr>
        <w:t xml:space="preserve"> </w:t>
      </w:r>
      <w:r w:rsidR="00C86E5C" w:rsidRPr="002B2C64">
        <w:rPr>
          <w:rFonts w:ascii="Book Antiqua" w:hAnsi="Book Antiqua"/>
          <w:sz w:val="24"/>
          <w:szCs w:val="24"/>
          <w:lang w:val="en-GB"/>
        </w:rPr>
        <w:t>CRC</w:t>
      </w:r>
      <w:r w:rsidR="00BF249C" w:rsidRPr="002B2C64">
        <w:rPr>
          <w:rFonts w:ascii="Book Antiqua" w:hAnsi="Book Antiqua"/>
          <w:sz w:val="24"/>
          <w:szCs w:val="24"/>
          <w:lang w:val="en-GB"/>
        </w:rPr>
        <w:t xml:space="preserve">. </w:t>
      </w:r>
      <w:r w:rsidR="002E48FB" w:rsidRPr="002B2C64">
        <w:rPr>
          <w:rFonts w:ascii="Book Antiqua" w:hAnsi="Book Antiqua"/>
          <w:sz w:val="24"/>
          <w:szCs w:val="24"/>
          <w:lang w:val="en-GB"/>
        </w:rPr>
        <w:t xml:space="preserve">To our knowledge, </w:t>
      </w:r>
      <w:r w:rsidR="00C86E5C" w:rsidRPr="002B2C64">
        <w:rPr>
          <w:rFonts w:ascii="Book Antiqua" w:hAnsi="Book Antiqua"/>
          <w:sz w:val="24"/>
          <w:szCs w:val="24"/>
          <w:lang w:val="en-GB"/>
        </w:rPr>
        <w:t>this</w:t>
      </w:r>
      <w:r w:rsidR="002E48FB" w:rsidRPr="002B2C64">
        <w:rPr>
          <w:rFonts w:ascii="Book Antiqua" w:hAnsi="Book Antiqua"/>
          <w:sz w:val="24"/>
          <w:szCs w:val="24"/>
          <w:lang w:val="en-GB"/>
        </w:rPr>
        <w:t xml:space="preserve"> is </w:t>
      </w:r>
      <w:r w:rsidR="00C2090F" w:rsidRPr="002B2C64">
        <w:rPr>
          <w:rFonts w:ascii="Book Antiqua" w:hAnsi="Book Antiqua"/>
          <w:sz w:val="24"/>
          <w:szCs w:val="24"/>
          <w:lang w:val="en-GB"/>
        </w:rPr>
        <w:t xml:space="preserve">the </w:t>
      </w:r>
      <w:r w:rsidR="002E48FB" w:rsidRPr="002B2C64">
        <w:rPr>
          <w:rFonts w:ascii="Book Antiqua" w:hAnsi="Book Antiqua"/>
          <w:sz w:val="24"/>
          <w:szCs w:val="24"/>
          <w:lang w:val="en-GB"/>
        </w:rPr>
        <w:t>first research o</w:t>
      </w:r>
      <w:r w:rsidR="00C86E5C" w:rsidRPr="002B2C64">
        <w:rPr>
          <w:rFonts w:ascii="Book Antiqua" w:hAnsi="Book Antiqua"/>
          <w:sz w:val="24"/>
          <w:szCs w:val="24"/>
          <w:lang w:val="en-GB"/>
        </w:rPr>
        <w:t>n</w:t>
      </w:r>
      <w:r w:rsidR="002E48FB" w:rsidRPr="002B2C64">
        <w:rPr>
          <w:rFonts w:ascii="Book Antiqua" w:hAnsi="Book Antiqua"/>
          <w:sz w:val="24"/>
          <w:szCs w:val="24"/>
          <w:lang w:val="en-GB"/>
        </w:rPr>
        <w:t xml:space="preserve"> PLT-NLR status in </w:t>
      </w:r>
      <w:r w:rsidR="00C86E5C" w:rsidRPr="002B2C64">
        <w:rPr>
          <w:rFonts w:ascii="Book Antiqua" w:hAnsi="Book Antiqua"/>
          <w:sz w:val="24"/>
          <w:szCs w:val="24"/>
          <w:lang w:val="en-GB"/>
        </w:rPr>
        <w:t>CRC</w:t>
      </w:r>
      <w:r w:rsidR="002E48FB" w:rsidRPr="002B2C64">
        <w:rPr>
          <w:rFonts w:ascii="Book Antiqua" w:hAnsi="Book Antiqua"/>
          <w:sz w:val="24"/>
          <w:szCs w:val="24"/>
          <w:lang w:val="en-GB"/>
        </w:rPr>
        <w:t xml:space="preserve"> </w:t>
      </w:r>
      <w:r w:rsidR="002F772A" w:rsidRPr="002B2C64">
        <w:rPr>
          <w:rFonts w:ascii="Book Antiqua" w:hAnsi="Book Antiqua"/>
          <w:sz w:val="24"/>
          <w:szCs w:val="24"/>
          <w:lang w:val="en-GB"/>
        </w:rPr>
        <w:t>and</w:t>
      </w:r>
      <w:r w:rsidR="002E48FB" w:rsidRPr="002B2C64">
        <w:rPr>
          <w:rFonts w:ascii="Book Antiqua" w:hAnsi="Book Antiqua"/>
          <w:sz w:val="24"/>
          <w:szCs w:val="24"/>
          <w:lang w:val="en-GB"/>
        </w:rPr>
        <w:t xml:space="preserve"> </w:t>
      </w:r>
      <w:r w:rsidR="006C1D72" w:rsidRPr="002B2C64">
        <w:rPr>
          <w:rFonts w:ascii="Book Antiqua" w:hAnsi="Book Antiqua"/>
          <w:sz w:val="24"/>
          <w:szCs w:val="24"/>
          <w:lang w:val="en-GB"/>
        </w:rPr>
        <w:t xml:space="preserve">should be </w:t>
      </w:r>
      <w:r w:rsidR="002248AB" w:rsidRPr="002B2C64">
        <w:rPr>
          <w:rFonts w:ascii="Book Antiqua" w:hAnsi="Book Antiqua"/>
          <w:sz w:val="24"/>
          <w:szCs w:val="24"/>
          <w:lang w:val="en-GB"/>
        </w:rPr>
        <w:t>expand</w:t>
      </w:r>
      <w:r w:rsidR="00B030E7" w:rsidRPr="002B2C64">
        <w:rPr>
          <w:rFonts w:ascii="Book Antiqua" w:hAnsi="Book Antiqua"/>
          <w:sz w:val="24"/>
          <w:szCs w:val="24"/>
          <w:lang w:val="en-GB"/>
        </w:rPr>
        <w:t>ed</w:t>
      </w:r>
      <w:r w:rsidR="006C1D72" w:rsidRPr="002B2C64">
        <w:rPr>
          <w:rFonts w:ascii="Book Antiqua" w:hAnsi="Book Antiqua"/>
          <w:sz w:val="24"/>
          <w:szCs w:val="24"/>
          <w:lang w:val="en-GB"/>
        </w:rPr>
        <w:t xml:space="preserve"> in </w:t>
      </w:r>
      <w:r w:rsidR="00261A3E" w:rsidRPr="002B2C64">
        <w:rPr>
          <w:rFonts w:ascii="Book Antiqua" w:hAnsi="Book Antiqua"/>
          <w:sz w:val="24"/>
          <w:szCs w:val="24"/>
          <w:lang w:val="en-GB"/>
        </w:rPr>
        <w:t xml:space="preserve">a larger group of CRC patients in </w:t>
      </w:r>
      <w:r w:rsidR="002802C5" w:rsidRPr="002B2C64">
        <w:rPr>
          <w:rFonts w:ascii="Book Antiqua" w:hAnsi="Book Antiqua"/>
          <w:sz w:val="24"/>
          <w:szCs w:val="24"/>
          <w:lang w:val="en-GB"/>
        </w:rPr>
        <w:t>the near future.</w:t>
      </w:r>
    </w:p>
    <w:p w:rsidR="00754C8B" w:rsidRPr="002B2C64" w:rsidRDefault="00220F0A" w:rsidP="0083105B">
      <w:pPr>
        <w:snapToGrid w:val="0"/>
        <w:spacing w:after="0" w:line="360" w:lineRule="auto"/>
        <w:ind w:firstLineChars="100" w:firstLine="240"/>
        <w:jc w:val="both"/>
        <w:rPr>
          <w:rFonts w:ascii="Book Antiqua" w:hAnsi="Book Antiqua"/>
          <w:sz w:val="24"/>
          <w:szCs w:val="24"/>
          <w:lang w:val="en-GB"/>
        </w:rPr>
      </w:pPr>
      <w:r w:rsidRPr="002B2C64">
        <w:rPr>
          <w:rFonts w:ascii="Book Antiqua" w:hAnsi="Book Antiqua"/>
          <w:sz w:val="24"/>
          <w:szCs w:val="24"/>
          <w:lang w:val="en-GB"/>
        </w:rPr>
        <w:t xml:space="preserve">In conclusion, </w:t>
      </w:r>
      <w:r w:rsidR="003D3C6E" w:rsidRPr="002B2C64">
        <w:rPr>
          <w:rFonts w:ascii="Book Antiqua" w:hAnsi="Book Antiqua"/>
          <w:sz w:val="24"/>
          <w:szCs w:val="24"/>
          <w:lang w:val="en-GB"/>
        </w:rPr>
        <w:t xml:space="preserve">the </w:t>
      </w:r>
      <w:r w:rsidR="007D387F" w:rsidRPr="002B2C64">
        <w:rPr>
          <w:rFonts w:ascii="Book Antiqua" w:hAnsi="Book Antiqua"/>
          <w:sz w:val="24"/>
          <w:szCs w:val="24"/>
          <w:lang w:val="en-GB"/>
        </w:rPr>
        <w:t xml:space="preserve">postoperative MLR in whole blood samples can </w:t>
      </w:r>
      <w:r w:rsidR="00B030E7" w:rsidRPr="002B2C64">
        <w:rPr>
          <w:rFonts w:ascii="Book Antiqua" w:hAnsi="Book Antiqua"/>
          <w:sz w:val="24"/>
          <w:szCs w:val="24"/>
          <w:lang w:val="en-GB"/>
        </w:rPr>
        <w:t xml:space="preserve">be </w:t>
      </w:r>
      <w:r w:rsidR="007D387F" w:rsidRPr="002B2C64">
        <w:rPr>
          <w:rFonts w:ascii="Book Antiqua" w:hAnsi="Book Antiqua"/>
          <w:sz w:val="24"/>
          <w:szCs w:val="24"/>
          <w:lang w:val="en-GB"/>
        </w:rPr>
        <w:t>use</w:t>
      </w:r>
      <w:r w:rsidR="00B030E7" w:rsidRPr="002B2C64">
        <w:rPr>
          <w:rFonts w:ascii="Book Antiqua" w:hAnsi="Book Antiqua"/>
          <w:sz w:val="24"/>
          <w:szCs w:val="24"/>
          <w:lang w:val="en-GB"/>
        </w:rPr>
        <w:t>d</w:t>
      </w:r>
      <w:r w:rsidR="007D387F" w:rsidRPr="002B2C64">
        <w:rPr>
          <w:rFonts w:ascii="Book Antiqua" w:hAnsi="Book Antiqua"/>
          <w:sz w:val="24"/>
          <w:szCs w:val="24"/>
          <w:lang w:val="en-GB"/>
        </w:rPr>
        <w:t xml:space="preserve"> as an independent </w:t>
      </w:r>
      <w:r w:rsidR="00172B8D" w:rsidRPr="002B2C64">
        <w:rPr>
          <w:rFonts w:ascii="Book Antiqua" w:hAnsi="Book Antiqua"/>
          <w:sz w:val="24"/>
          <w:szCs w:val="24"/>
          <w:lang w:val="en-GB"/>
        </w:rPr>
        <w:t xml:space="preserve">prognostic factor in patients diagnosed with </w:t>
      </w:r>
      <w:r w:rsidR="002F772A" w:rsidRPr="002B2C64">
        <w:rPr>
          <w:rFonts w:ascii="Book Antiqua" w:hAnsi="Book Antiqua"/>
          <w:sz w:val="24"/>
          <w:szCs w:val="24"/>
          <w:lang w:val="en-GB"/>
        </w:rPr>
        <w:t>CRC</w:t>
      </w:r>
      <w:r w:rsidR="00172B8D" w:rsidRPr="002B2C64">
        <w:rPr>
          <w:rFonts w:ascii="Book Antiqua" w:hAnsi="Book Antiqua"/>
          <w:sz w:val="24"/>
          <w:szCs w:val="24"/>
          <w:lang w:val="en-GB"/>
        </w:rPr>
        <w:t xml:space="preserve"> undergoing surgery</w:t>
      </w:r>
      <w:r w:rsidR="00504CC9" w:rsidRPr="002B2C64">
        <w:rPr>
          <w:rFonts w:ascii="Book Antiqua" w:hAnsi="Book Antiqua"/>
          <w:sz w:val="24"/>
          <w:szCs w:val="24"/>
          <w:lang w:val="en-GB"/>
        </w:rPr>
        <w:t xml:space="preserve">. In addition, invasion of </w:t>
      </w:r>
      <w:r w:rsidR="002F772A" w:rsidRPr="002B2C64">
        <w:rPr>
          <w:rFonts w:ascii="Book Antiqua" w:hAnsi="Book Antiqua"/>
          <w:sz w:val="24"/>
          <w:szCs w:val="24"/>
          <w:lang w:val="en-GB"/>
        </w:rPr>
        <w:t xml:space="preserve">the </w:t>
      </w:r>
      <w:r w:rsidR="00504CC9" w:rsidRPr="002B2C64">
        <w:rPr>
          <w:rFonts w:ascii="Book Antiqua" w:hAnsi="Book Antiqua"/>
          <w:sz w:val="24"/>
          <w:szCs w:val="24"/>
          <w:lang w:val="en-GB"/>
        </w:rPr>
        <w:t xml:space="preserve">lymph node pouch, the number of lymph nodes </w:t>
      </w:r>
      <w:r w:rsidR="002F772A" w:rsidRPr="002B2C64">
        <w:rPr>
          <w:rFonts w:ascii="Book Antiqua" w:hAnsi="Book Antiqua"/>
          <w:sz w:val="24"/>
          <w:szCs w:val="24"/>
          <w:lang w:val="en-GB"/>
        </w:rPr>
        <w:t xml:space="preserve">removed </w:t>
      </w:r>
      <w:r w:rsidR="00504CC9" w:rsidRPr="002B2C64">
        <w:rPr>
          <w:rFonts w:ascii="Book Antiqua" w:hAnsi="Book Antiqua"/>
          <w:sz w:val="24"/>
          <w:szCs w:val="24"/>
          <w:lang w:val="en-GB"/>
        </w:rPr>
        <w:t xml:space="preserve">and inflammatory cell infiltration in the invasive front can be considered directly related </w:t>
      </w:r>
      <w:r w:rsidR="002F772A" w:rsidRPr="002B2C64">
        <w:rPr>
          <w:rFonts w:ascii="Book Antiqua" w:hAnsi="Book Antiqua"/>
          <w:sz w:val="24"/>
          <w:szCs w:val="24"/>
          <w:lang w:val="en-GB"/>
        </w:rPr>
        <w:t>to DFS</w:t>
      </w:r>
      <w:r w:rsidR="00504CC9" w:rsidRPr="002B2C64">
        <w:rPr>
          <w:rFonts w:ascii="Book Antiqua" w:hAnsi="Book Antiqua"/>
          <w:sz w:val="24"/>
          <w:szCs w:val="24"/>
          <w:lang w:val="en-GB"/>
        </w:rPr>
        <w:t xml:space="preserve"> in </w:t>
      </w:r>
      <w:r w:rsidR="002F772A" w:rsidRPr="002B2C64">
        <w:rPr>
          <w:rFonts w:ascii="Book Antiqua" w:hAnsi="Book Antiqua"/>
          <w:sz w:val="24"/>
          <w:szCs w:val="24"/>
          <w:lang w:val="en-GB"/>
        </w:rPr>
        <w:t>patients with CRC</w:t>
      </w:r>
      <w:r w:rsidR="00504CC9" w:rsidRPr="002B2C64">
        <w:rPr>
          <w:rFonts w:ascii="Book Antiqua" w:hAnsi="Book Antiqua"/>
          <w:sz w:val="24"/>
          <w:szCs w:val="24"/>
          <w:lang w:val="en-GB"/>
        </w:rPr>
        <w:t>.</w:t>
      </w:r>
    </w:p>
    <w:p w:rsidR="005C2843" w:rsidRPr="002B2C64" w:rsidRDefault="005C2843" w:rsidP="0083105B">
      <w:pPr>
        <w:snapToGrid w:val="0"/>
        <w:spacing w:after="0" w:line="360" w:lineRule="auto"/>
        <w:jc w:val="both"/>
        <w:rPr>
          <w:rFonts w:ascii="Book Antiqua" w:hAnsi="Book Antiqua"/>
          <w:i/>
          <w:sz w:val="24"/>
          <w:szCs w:val="24"/>
        </w:rPr>
      </w:pPr>
    </w:p>
    <w:p w:rsidR="008755C5" w:rsidRPr="002B2C64" w:rsidRDefault="008755C5" w:rsidP="0083105B">
      <w:pPr>
        <w:adjustRightInd w:val="0"/>
        <w:snapToGrid w:val="0"/>
        <w:spacing w:after="0" w:line="360" w:lineRule="auto"/>
        <w:jc w:val="both"/>
        <w:rPr>
          <w:rFonts w:ascii="Book Antiqua" w:hAnsi="Book Antiqua" w:cs="等线"/>
          <w:b/>
          <w:sz w:val="24"/>
          <w:szCs w:val="24"/>
          <w:u w:val="single"/>
        </w:rPr>
      </w:pPr>
      <w:bookmarkStart w:id="34" w:name="_Hlk44944818"/>
      <w:r w:rsidRPr="002B2C64">
        <w:rPr>
          <w:rFonts w:ascii="Book Antiqua" w:hAnsi="Book Antiqua" w:cs="等线"/>
          <w:b/>
          <w:sz w:val="24"/>
          <w:szCs w:val="24"/>
          <w:u w:val="single"/>
        </w:rPr>
        <w:t>ARTICLE HIGHLIGHTS</w:t>
      </w:r>
    </w:p>
    <w:bookmarkEnd w:id="34"/>
    <w:p w:rsidR="008755C5" w:rsidRPr="002B2C64" w:rsidRDefault="008755C5" w:rsidP="0083105B">
      <w:pPr>
        <w:adjustRightInd w:val="0"/>
        <w:snapToGrid w:val="0"/>
        <w:spacing w:after="0" w:line="360" w:lineRule="auto"/>
        <w:jc w:val="both"/>
        <w:rPr>
          <w:rFonts w:ascii="Book Antiqua" w:hAnsi="Book Antiqua"/>
          <w:b/>
          <w:i/>
          <w:iCs/>
          <w:sz w:val="24"/>
          <w:szCs w:val="24"/>
        </w:rPr>
      </w:pPr>
      <w:r w:rsidRPr="002B2C64">
        <w:rPr>
          <w:rFonts w:ascii="Book Antiqua" w:hAnsi="Book Antiqua"/>
          <w:b/>
          <w:i/>
          <w:iCs/>
          <w:sz w:val="24"/>
          <w:szCs w:val="24"/>
        </w:rPr>
        <w:t>Research background</w:t>
      </w:r>
    </w:p>
    <w:p w:rsidR="005C2843" w:rsidRPr="002B2C64" w:rsidRDefault="006F603F"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 xml:space="preserve">Colorectal cancer (CRC) is the third most common malignancy worldwide. Therefore, it is critically important to </w:t>
      </w:r>
      <w:r w:rsidR="002F772A" w:rsidRPr="002B2C64">
        <w:rPr>
          <w:rFonts w:ascii="Book Antiqua" w:hAnsi="Book Antiqua"/>
          <w:sz w:val="24"/>
          <w:szCs w:val="24"/>
          <w:lang w:val="en-GB"/>
        </w:rPr>
        <w:t>identify</w:t>
      </w:r>
      <w:r w:rsidRPr="002B2C64">
        <w:rPr>
          <w:rFonts w:ascii="Book Antiqua" w:hAnsi="Book Antiqua"/>
          <w:sz w:val="24"/>
          <w:szCs w:val="24"/>
          <w:lang w:val="en-GB"/>
        </w:rPr>
        <w:t xml:space="preserve"> new useful markers that can be easily obtained in routine practice. Recent studies showed that inflammation is a crucial issue in the pathogenesis and development of cancer, especially in tumo</w:t>
      </w:r>
      <w:r w:rsidR="002F772A" w:rsidRPr="002B2C64">
        <w:rPr>
          <w:rFonts w:ascii="Book Antiqua" w:hAnsi="Book Antiqua"/>
          <w:sz w:val="24"/>
          <w:szCs w:val="24"/>
          <w:lang w:val="en-GB"/>
        </w:rPr>
        <w:t>u</w:t>
      </w:r>
      <w:r w:rsidRPr="002B2C64">
        <w:rPr>
          <w:rFonts w:ascii="Book Antiqua" w:hAnsi="Book Antiqua"/>
          <w:sz w:val="24"/>
          <w:szCs w:val="24"/>
          <w:lang w:val="en-GB"/>
        </w:rPr>
        <w:t>r progression.</w:t>
      </w:r>
      <w:r w:rsidR="00C34747" w:rsidRPr="002B2C64">
        <w:rPr>
          <w:rFonts w:ascii="Book Antiqua" w:hAnsi="Book Antiqua"/>
          <w:sz w:val="24"/>
          <w:szCs w:val="24"/>
          <w:lang w:val="en-GB"/>
        </w:rPr>
        <w:t xml:space="preserve"> However, little </w:t>
      </w:r>
      <w:r w:rsidR="002F772A" w:rsidRPr="002B2C64">
        <w:rPr>
          <w:rFonts w:ascii="Book Antiqua" w:hAnsi="Book Antiqua"/>
          <w:sz w:val="24"/>
          <w:szCs w:val="24"/>
          <w:lang w:val="en-GB"/>
        </w:rPr>
        <w:t xml:space="preserve">is </w:t>
      </w:r>
      <w:r w:rsidR="00C34747" w:rsidRPr="002B2C64">
        <w:rPr>
          <w:rFonts w:ascii="Book Antiqua" w:hAnsi="Book Antiqua"/>
          <w:sz w:val="24"/>
          <w:szCs w:val="24"/>
          <w:lang w:val="en-GB"/>
        </w:rPr>
        <w:t>know</w:t>
      </w:r>
      <w:r w:rsidR="002F772A" w:rsidRPr="002B2C64">
        <w:rPr>
          <w:rFonts w:ascii="Book Antiqua" w:hAnsi="Book Antiqua"/>
          <w:sz w:val="24"/>
          <w:szCs w:val="24"/>
          <w:lang w:val="en-GB"/>
        </w:rPr>
        <w:t>n</w:t>
      </w:r>
      <w:r w:rsidR="00C34747" w:rsidRPr="002B2C64">
        <w:rPr>
          <w:rFonts w:ascii="Book Antiqua" w:hAnsi="Book Antiqua"/>
          <w:sz w:val="24"/>
          <w:szCs w:val="24"/>
          <w:lang w:val="en-GB"/>
        </w:rPr>
        <w:t xml:space="preserve"> about the prognostic value of </w:t>
      </w:r>
      <w:r w:rsidR="002F772A" w:rsidRPr="002B2C64">
        <w:rPr>
          <w:rFonts w:ascii="Book Antiqua" w:hAnsi="Book Antiqua"/>
          <w:sz w:val="24"/>
          <w:szCs w:val="24"/>
          <w:lang w:val="en-GB"/>
        </w:rPr>
        <w:t xml:space="preserve">the </w:t>
      </w:r>
      <w:r w:rsidR="00C34747" w:rsidRPr="002B2C64">
        <w:rPr>
          <w:rFonts w:ascii="Book Antiqua" w:hAnsi="Book Antiqua"/>
          <w:sz w:val="24"/>
          <w:szCs w:val="24"/>
          <w:lang w:val="en-GB"/>
        </w:rPr>
        <w:t xml:space="preserve">absolute monocyte count, monocyte to lymphocyte ratio (MLR), the combination of neutrophil-to-lymphocyte ratio and platelet-to-lymphocyte ratio (NLR-PLR), and combined platelet and neutrophil-to-lymphocyte ratio (PLT-NLR) </w:t>
      </w:r>
      <w:r w:rsidR="00D97617" w:rsidRPr="002B2C64">
        <w:rPr>
          <w:rFonts w:ascii="Book Antiqua" w:hAnsi="Book Antiqua"/>
          <w:sz w:val="24"/>
          <w:szCs w:val="24"/>
          <w:lang w:val="en-GB"/>
        </w:rPr>
        <w:t>in patients diagnosed with CRC.</w:t>
      </w:r>
    </w:p>
    <w:p w:rsidR="008755C5" w:rsidRPr="002B2C64" w:rsidRDefault="008755C5" w:rsidP="0083105B">
      <w:pPr>
        <w:snapToGrid w:val="0"/>
        <w:spacing w:after="0" w:line="360" w:lineRule="auto"/>
        <w:jc w:val="both"/>
        <w:rPr>
          <w:rFonts w:ascii="Book Antiqua" w:hAnsi="Book Antiqua"/>
          <w:sz w:val="24"/>
          <w:szCs w:val="24"/>
          <w:lang w:val="en-GB"/>
        </w:rPr>
      </w:pPr>
    </w:p>
    <w:p w:rsidR="008755C5" w:rsidRPr="002B2C64" w:rsidRDefault="008755C5" w:rsidP="0083105B">
      <w:pPr>
        <w:adjustRightInd w:val="0"/>
        <w:snapToGrid w:val="0"/>
        <w:spacing w:after="0" w:line="360" w:lineRule="auto"/>
        <w:jc w:val="both"/>
        <w:rPr>
          <w:rFonts w:ascii="Book Antiqua" w:hAnsi="Book Antiqua"/>
          <w:b/>
          <w:i/>
          <w:iCs/>
          <w:sz w:val="24"/>
          <w:szCs w:val="24"/>
        </w:rPr>
      </w:pPr>
      <w:r w:rsidRPr="002B2C64">
        <w:rPr>
          <w:rFonts w:ascii="Book Antiqua" w:hAnsi="Book Antiqua"/>
          <w:b/>
          <w:i/>
          <w:iCs/>
          <w:sz w:val="24"/>
          <w:szCs w:val="24"/>
        </w:rPr>
        <w:t>Research motivation</w:t>
      </w:r>
    </w:p>
    <w:p w:rsidR="005C2843" w:rsidRPr="002B2C64" w:rsidRDefault="00D97617" w:rsidP="0083105B">
      <w:pPr>
        <w:snapToGrid w:val="0"/>
        <w:spacing w:after="0" w:line="360" w:lineRule="auto"/>
        <w:jc w:val="both"/>
        <w:rPr>
          <w:rFonts w:ascii="Book Antiqua" w:hAnsi="Book Antiqua"/>
          <w:color w:val="auto"/>
          <w:sz w:val="24"/>
          <w:szCs w:val="24"/>
        </w:rPr>
      </w:pPr>
      <w:r w:rsidRPr="002B2C64">
        <w:rPr>
          <w:rFonts w:ascii="Book Antiqua" w:hAnsi="Book Antiqua"/>
          <w:color w:val="auto"/>
          <w:sz w:val="24"/>
          <w:szCs w:val="24"/>
        </w:rPr>
        <w:lastRenderedPageBreak/>
        <w:t xml:space="preserve">Effective research </w:t>
      </w:r>
      <w:r w:rsidR="002F772A" w:rsidRPr="002B2C64">
        <w:rPr>
          <w:rFonts w:ascii="Book Antiqua" w:hAnsi="Book Antiqua"/>
          <w:color w:val="auto"/>
          <w:sz w:val="24"/>
          <w:szCs w:val="24"/>
        </w:rPr>
        <w:t>on</w:t>
      </w:r>
      <w:r w:rsidRPr="002B2C64">
        <w:rPr>
          <w:rFonts w:ascii="Book Antiqua" w:hAnsi="Book Antiqua"/>
          <w:color w:val="auto"/>
          <w:sz w:val="24"/>
          <w:szCs w:val="24"/>
        </w:rPr>
        <w:t xml:space="preserve"> h</w:t>
      </w:r>
      <w:r w:rsidR="002F772A" w:rsidRPr="002B2C64">
        <w:rPr>
          <w:rFonts w:ascii="Book Antiqua" w:hAnsi="Book Antiqua"/>
          <w:color w:val="auto"/>
          <w:sz w:val="24"/>
          <w:szCs w:val="24"/>
        </w:rPr>
        <w:t>a</w:t>
      </w:r>
      <w:r w:rsidRPr="002B2C64">
        <w:rPr>
          <w:rFonts w:ascii="Book Antiqua" w:hAnsi="Book Antiqua"/>
          <w:color w:val="auto"/>
          <w:sz w:val="24"/>
          <w:szCs w:val="24"/>
        </w:rPr>
        <w:t xml:space="preserve">ematologic markers that can improve the diagnosis of colorectal cancer and establish patient prognosis. </w:t>
      </w:r>
    </w:p>
    <w:p w:rsidR="008755C5" w:rsidRPr="002B2C64" w:rsidRDefault="008755C5" w:rsidP="0083105B">
      <w:pPr>
        <w:snapToGrid w:val="0"/>
        <w:spacing w:after="0" w:line="360" w:lineRule="auto"/>
        <w:jc w:val="both"/>
        <w:rPr>
          <w:rFonts w:ascii="Book Antiqua" w:hAnsi="Book Antiqua"/>
          <w:color w:val="auto"/>
          <w:sz w:val="24"/>
          <w:szCs w:val="24"/>
        </w:rPr>
      </w:pPr>
    </w:p>
    <w:p w:rsidR="008755C5" w:rsidRPr="002B2C64" w:rsidRDefault="008755C5" w:rsidP="0083105B">
      <w:pPr>
        <w:adjustRightInd w:val="0"/>
        <w:snapToGrid w:val="0"/>
        <w:spacing w:after="0" w:line="360" w:lineRule="auto"/>
        <w:jc w:val="both"/>
        <w:rPr>
          <w:rFonts w:ascii="Book Antiqua" w:hAnsi="Book Antiqua"/>
          <w:b/>
          <w:i/>
          <w:iCs/>
          <w:sz w:val="24"/>
          <w:szCs w:val="24"/>
        </w:rPr>
      </w:pPr>
      <w:r w:rsidRPr="002B2C64">
        <w:rPr>
          <w:rFonts w:ascii="Book Antiqua" w:hAnsi="Book Antiqua"/>
          <w:b/>
          <w:i/>
          <w:iCs/>
          <w:sz w:val="24"/>
          <w:szCs w:val="24"/>
        </w:rPr>
        <w:t>Research objectives</w:t>
      </w:r>
    </w:p>
    <w:p w:rsidR="005C2843" w:rsidRPr="002B2C64" w:rsidRDefault="00D97617"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rPr>
        <w:t>T</w:t>
      </w:r>
      <w:r w:rsidRPr="002B2C64">
        <w:rPr>
          <w:rFonts w:ascii="Book Antiqua" w:hAnsi="Book Antiqua"/>
          <w:sz w:val="24"/>
          <w:szCs w:val="24"/>
          <w:lang w:val="en-GB"/>
        </w:rPr>
        <w:t xml:space="preserve">he aim of the study </w:t>
      </w:r>
      <w:r w:rsidR="002F772A" w:rsidRPr="002B2C64">
        <w:rPr>
          <w:rFonts w:ascii="Book Antiqua" w:hAnsi="Book Antiqua"/>
          <w:sz w:val="24"/>
          <w:szCs w:val="24"/>
          <w:lang w:val="en-GB"/>
        </w:rPr>
        <w:t>was</w:t>
      </w:r>
      <w:r w:rsidRPr="002B2C64">
        <w:rPr>
          <w:rFonts w:ascii="Book Antiqua" w:hAnsi="Book Antiqua"/>
          <w:sz w:val="24"/>
          <w:szCs w:val="24"/>
          <w:lang w:val="en-GB"/>
        </w:rPr>
        <w:t xml:space="preserve"> to evaluate the prognostic value of absolute monocyte count, MLR, the combination of</w:t>
      </w:r>
      <w:r w:rsidR="008755C5" w:rsidRPr="002B2C64">
        <w:rPr>
          <w:rFonts w:ascii="Book Antiqua" w:hAnsi="Book Antiqua"/>
          <w:sz w:val="24"/>
          <w:szCs w:val="24"/>
          <w:lang w:val="en-GB"/>
        </w:rPr>
        <w:t xml:space="preserve"> </w:t>
      </w:r>
      <w:r w:rsidRPr="002B2C64">
        <w:rPr>
          <w:rFonts w:ascii="Book Antiqua" w:hAnsi="Book Antiqua"/>
          <w:sz w:val="24"/>
          <w:szCs w:val="24"/>
          <w:lang w:val="en-GB"/>
        </w:rPr>
        <w:t>NLR-PLR, and PLT-NLR in peripheral blood samples of patients with colorectal cancer undergoing surgery.</w:t>
      </w:r>
    </w:p>
    <w:p w:rsidR="008755C5" w:rsidRPr="002B2C64" w:rsidRDefault="008755C5" w:rsidP="0083105B">
      <w:pPr>
        <w:snapToGrid w:val="0"/>
        <w:spacing w:after="0" w:line="360" w:lineRule="auto"/>
        <w:jc w:val="both"/>
        <w:rPr>
          <w:rFonts w:ascii="Book Antiqua" w:hAnsi="Book Antiqua"/>
          <w:b/>
          <w:i/>
          <w:color w:val="FF0000"/>
          <w:sz w:val="24"/>
          <w:szCs w:val="24"/>
        </w:rPr>
      </w:pPr>
    </w:p>
    <w:p w:rsidR="008755C5" w:rsidRPr="002B2C64" w:rsidRDefault="008755C5" w:rsidP="0083105B">
      <w:pPr>
        <w:adjustRightInd w:val="0"/>
        <w:snapToGrid w:val="0"/>
        <w:spacing w:after="0" w:line="360" w:lineRule="auto"/>
        <w:jc w:val="both"/>
        <w:rPr>
          <w:rFonts w:ascii="Book Antiqua" w:hAnsi="Book Antiqua"/>
          <w:b/>
          <w:i/>
          <w:iCs/>
          <w:sz w:val="24"/>
          <w:szCs w:val="24"/>
        </w:rPr>
      </w:pPr>
      <w:r w:rsidRPr="002B2C64">
        <w:rPr>
          <w:rFonts w:ascii="Book Antiqua" w:hAnsi="Book Antiqua"/>
          <w:b/>
          <w:i/>
          <w:iCs/>
          <w:sz w:val="24"/>
          <w:szCs w:val="24"/>
        </w:rPr>
        <w:t>Research methods</w:t>
      </w:r>
    </w:p>
    <w:p w:rsidR="0013255F" w:rsidRPr="002B2C64" w:rsidRDefault="00D97617" w:rsidP="0083105B">
      <w:pPr>
        <w:snapToGrid w:val="0"/>
        <w:spacing w:after="0" w:line="360" w:lineRule="auto"/>
        <w:jc w:val="both"/>
        <w:rPr>
          <w:rFonts w:ascii="Book Antiqua" w:hAnsi="Book Antiqua"/>
          <w:sz w:val="24"/>
          <w:szCs w:val="24"/>
          <w:lang w:val="en-GB"/>
        </w:rPr>
      </w:pPr>
      <w:r w:rsidRPr="002B2C64">
        <w:rPr>
          <w:rFonts w:ascii="Book Antiqua" w:hAnsi="Book Antiqua"/>
          <w:color w:val="auto"/>
          <w:sz w:val="24"/>
          <w:szCs w:val="24"/>
        </w:rPr>
        <w:t xml:space="preserve">We respectively enrolled CRC patients who undergone surgery </w:t>
      </w:r>
      <w:r w:rsidRPr="002B2C64">
        <w:rPr>
          <w:rFonts w:ascii="Book Antiqua" w:hAnsi="Book Antiqua"/>
          <w:sz w:val="24"/>
          <w:szCs w:val="24"/>
          <w:lang w:val="en-GB"/>
        </w:rPr>
        <w:t>between April 2014 and December 2016 in the Department of Oncological Surgery, Comprehensive Cancer Centre (Bialystok, Poland)</w:t>
      </w:r>
      <w:r w:rsidR="0013255F" w:rsidRPr="002B2C64">
        <w:rPr>
          <w:rFonts w:ascii="Book Antiqua" w:hAnsi="Book Antiqua"/>
          <w:sz w:val="24"/>
          <w:szCs w:val="24"/>
          <w:lang w:val="en-GB"/>
        </w:rPr>
        <w:t>. The status of absolute monocyte count, MLR, NLR-PLR and PLT-NLR was calculated on the basis of blood samples obtained before and after surgery and were examined in correlation with various pathomorphological and clinical factors. Receiver operating characteristic</w:t>
      </w:r>
      <w:r w:rsidR="002802C5" w:rsidRPr="002B2C64">
        <w:rPr>
          <w:rFonts w:ascii="Book Antiqua" w:hAnsi="Book Antiqua"/>
          <w:sz w:val="24"/>
          <w:szCs w:val="24"/>
          <w:lang w:val="en-GB"/>
        </w:rPr>
        <w:t xml:space="preserve"> </w:t>
      </w:r>
      <w:r w:rsidR="0013255F" w:rsidRPr="002B2C64">
        <w:rPr>
          <w:rFonts w:ascii="Book Antiqua" w:hAnsi="Book Antiqua"/>
          <w:sz w:val="24"/>
          <w:szCs w:val="24"/>
          <w:lang w:val="en-GB"/>
        </w:rPr>
        <w:t xml:space="preserve">curve analysis was used to investigate cut-off values </w:t>
      </w:r>
      <w:r w:rsidR="002F772A" w:rsidRPr="002B2C64">
        <w:rPr>
          <w:rFonts w:ascii="Book Antiqua" w:hAnsi="Book Antiqua"/>
          <w:sz w:val="24"/>
          <w:szCs w:val="24"/>
          <w:lang w:val="en-GB"/>
        </w:rPr>
        <w:t>for</w:t>
      </w:r>
      <w:r w:rsidR="0013255F" w:rsidRPr="002B2C64">
        <w:rPr>
          <w:rFonts w:ascii="Book Antiqua" w:hAnsi="Book Antiqua"/>
          <w:sz w:val="24"/>
          <w:szCs w:val="24"/>
          <w:lang w:val="en-GB"/>
        </w:rPr>
        <w:t xml:space="preserve"> the pre- and postoperative h</w:t>
      </w:r>
      <w:r w:rsidR="002F772A" w:rsidRPr="002B2C64">
        <w:rPr>
          <w:rFonts w:ascii="Book Antiqua" w:hAnsi="Book Antiqua"/>
          <w:sz w:val="24"/>
          <w:szCs w:val="24"/>
          <w:lang w:val="en-GB"/>
        </w:rPr>
        <w:t>a</w:t>
      </w:r>
      <w:r w:rsidR="0013255F" w:rsidRPr="002B2C64">
        <w:rPr>
          <w:rFonts w:ascii="Book Antiqua" w:hAnsi="Book Antiqua"/>
          <w:sz w:val="24"/>
          <w:szCs w:val="24"/>
          <w:lang w:val="en-GB"/>
        </w:rPr>
        <w:t>ematologic factors</w:t>
      </w:r>
      <w:r w:rsidR="002F772A" w:rsidRPr="002B2C64">
        <w:rPr>
          <w:rFonts w:ascii="Book Antiqua" w:hAnsi="Book Antiqua"/>
          <w:sz w:val="24"/>
          <w:szCs w:val="24"/>
          <w:lang w:val="en-GB"/>
        </w:rPr>
        <w:t xml:space="preserve"> examined</w:t>
      </w:r>
      <w:r w:rsidR="0013255F" w:rsidRPr="002B2C64">
        <w:rPr>
          <w:rFonts w:ascii="Book Antiqua" w:hAnsi="Book Antiqua"/>
          <w:sz w:val="24"/>
          <w:szCs w:val="24"/>
          <w:lang w:val="en-GB"/>
        </w:rPr>
        <w:t>.</w:t>
      </w:r>
      <w:r w:rsidR="008755C5" w:rsidRPr="002B2C64">
        <w:rPr>
          <w:rFonts w:ascii="Book Antiqua" w:hAnsi="Book Antiqua"/>
          <w:sz w:val="24"/>
          <w:szCs w:val="24"/>
          <w:lang w:val="en-GB"/>
        </w:rPr>
        <w:t xml:space="preserve"> </w:t>
      </w:r>
      <w:r w:rsidR="0013255F" w:rsidRPr="002B2C64">
        <w:rPr>
          <w:rFonts w:ascii="Book Antiqua" w:hAnsi="Book Antiqua"/>
          <w:sz w:val="24"/>
          <w:szCs w:val="24"/>
          <w:lang w:val="en-GB"/>
        </w:rPr>
        <w:t xml:space="preserve">The Kaplan-Meier method and the long-rank test were used to compare survival curves. To determine independent prognostic factors, univariate and multivariate Cox proportional hazards regression models were applied. </w:t>
      </w:r>
    </w:p>
    <w:p w:rsidR="008755C5" w:rsidRPr="002B2C64" w:rsidRDefault="008755C5" w:rsidP="0083105B">
      <w:pPr>
        <w:snapToGrid w:val="0"/>
        <w:spacing w:after="0" w:line="360" w:lineRule="auto"/>
        <w:jc w:val="both"/>
        <w:rPr>
          <w:rFonts w:ascii="Book Antiqua" w:hAnsi="Book Antiqua"/>
          <w:sz w:val="24"/>
          <w:szCs w:val="24"/>
          <w:lang w:val="en-GB"/>
        </w:rPr>
      </w:pPr>
    </w:p>
    <w:p w:rsidR="008755C5" w:rsidRPr="002B2C64" w:rsidRDefault="008755C5" w:rsidP="0083105B">
      <w:pPr>
        <w:adjustRightInd w:val="0"/>
        <w:snapToGrid w:val="0"/>
        <w:spacing w:after="0" w:line="360" w:lineRule="auto"/>
        <w:jc w:val="both"/>
        <w:rPr>
          <w:rFonts w:ascii="Book Antiqua" w:hAnsi="Book Antiqua"/>
          <w:b/>
          <w:i/>
          <w:iCs/>
          <w:sz w:val="24"/>
          <w:szCs w:val="24"/>
        </w:rPr>
      </w:pPr>
      <w:r w:rsidRPr="002B2C64">
        <w:rPr>
          <w:rFonts w:ascii="Book Antiqua" w:hAnsi="Book Antiqua"/>
          <w:b/>
          <w:i/>
          <w:iCs/>
          <w:sz w:val="24"/>
          <w:szCs w:val="24"/>
        </w:rPr>
        <w:t>Research results</w:t>
      </w:r>
    </w:p>
    <w:p w:rsidR="005C2843" w:rsidRPr="002B2C64" w:rsidRDefault="0013255F" w:rsidP="0083105B">
      <w:pPr>
        <w:snapToGrid w:val="0"/>
        <w:spacing w:after="0" w:line="360" w:lineRule="auto"/>
        <w:jc w:val="both"/>
        <w:rPr>
          <w:rFonts w:ascii="Book Antiqua" w:eastAsia="Calibri" w:hAnsi="Book Antiqua"/>
          <w:color w:val="auto"/>
          <w:sz w:val="24"/>
          <w:szCs w:val="24"/>
          <w:lang w:val="en-GB"/>
        </w:rPr>
      </w:pPr>
      <w:r w:rsidRPr="002B2C64">
        <w:rPr>
          <w:rFonts w:ascii="Book Antiqua" w:hAnsi="Book Antiqua"/>
          <w:sz w:val="24"/>
          <w:szCs w:val="24"/>
          <w:lang w:val="en-GB"/>
        </w:rPr>
        <w:t>The analysis showed that</w:t>
      </w:r>
      <w:r w:rsidRPr="002B2C64">
        <w:rPr>
          <w:rFonts w:ascii="Book Antiqua" w:hAnsi="Book Antiqua"/>
          <w:b/>
          <w:sz w:val="24"/>
          <w:szCs w:val="24"/>
          <w:lang w:val="en-GB"/>
        </w:rPr>
        <w:t xml:space="preserve"> </w:t>
      </w:r>
      <w:r w:rsidRPr="002B2C64">
        <w:rPr>
          <w:rFonts w:ascii="Book Antiqua" w:hAnsi="Book Antiqua"/>
          <w:sz w:val="24"/>
          <w:szCs w:val="24"/>
          <w:lang w:val="en-GB"/>
        </w:rPr>
        <w:t>PLT-NLR status was correlated with tumour size and the presence of perineural invasion (</w:t>
      </w:r>
      <w:r w:rsidRPr="002B2C64">
        <w:rPr>
          <w:rFonts w:ascii="Book Antiqua" w:hAnsi="Book Antiqua"/>
          <w:i/>
          <w:iCs/>
          <w:sz w:val="24"/>
          <w:szCs w:val="24"/>
          <w:lang w:val="en-GB"/>
        </w:rPr>
        <w:t>P</w:t>
      </w:r>
      <w:r w:rsidR="008755C5" w:rsidRPr="002B2C64">
        <w:rPr>
          <w:rFonts w:ascii="Book Antiqua" w:hAnsi="Book Antiqua"/>
          <w:i/>
          <w:iCs/>
          <w:sz w:val="24"/>
          <w:szCs w:val="24"/>
          <w:lang w:val="en-GB"/>
        </w:rPr>
        <w:t xml:space="preserve"> </w:t>
      </w:r>
      <w:r w:rsidR="008755C5" w:rsidRPr="002B2C64">
        <w:rPr>
          <w:rFonts w:ascii="Book Antiqua" w:hAnsi="Book Antiqua"/>
          <w:sz w:val="24"/>
          <w:szCs w:val="24"/>
          <w:lang w:val="en-GB"/>
        </w:rPr>
        <w:t xml:space="preserve">= </w:t>
      </w:r>
      <w:r w:rsidRPr="002B2C64">
        <w:rPr>
          <w:rFonts w:ascii="Book Antiqua" w:hAnsi="Book Antiqua"/>
          <w:sz w:val="24"/>
          <w:szCs w:val="24"/>
          <w:lang w:val="en-GB"/>
        </w:rPr>
        <w:t xml:space="preserve">0.015; </w:t>
      </w:r>
      <w:r w:rsidRPr="002B2C64">
        <w:rPr>
          <w:rFonts w:ascii="Book Antiqua" w:hAnsi="Book Antiqua"/>
          <w:i/>
          <w:iCs/>
          <w:sz w:val="24"/>
          <w:szCs w:val="24"/>
          <w:lang w:val="en-GB"/>
        </w:rPr>
        <w:t>P</w:t>
      </w:r>
      <w:r w:rsidR="008755C5" w:rsidRPr="002B2C64">
        <w:rPr>
          <w:rFonts w:ascii="Book Antiqua" w:hAnsi="Book Antiqua"/>
          <w:sz w:val="24"/>
          <w:szCs w:val="24"/>
          <w:lang w:val="en-GB"/>
        </w:rPr>
        <w:t xml:space="preserve"> </w:t>
      </w:r>
      <w:r w:rsidRPr="002B2C64">
        <w:rPr>
          <w:rFonts w:ascii="Book Antiqua" w:hAnsi="Book Antiqua"/>
          <w:sz w:val="24"/>
          <w:szCs w:val="24"/>
          <w:lang w:val="en-GB"/>
        </w:rPr>
        <w:t>=</w:t>
      </w:r>
      <w:r w:rsidR="008755C5" w:rsidRPr="002B2C64">
        <w:rPr>
          <w:rFonts w:ascii="Book Antiqua" w:hAnsi="Book Antiqua"/>
          <w:sz w:val="24"/>
          <w:szCs w:val="24"/>
          <w:lang w:val="en-GB"/>
        </w:rPr>
        <w:t xml:space="preserve"> </w:t>
      </w:r>
      <w:r w:rsidRPr="002B2C64">
        <w:rPr>
          <w:rFonts w:ascii="Book Antiqua" w:hAnsi="Book Antiqua"/>
          <w:sz w:val="24"/>
          <w:szCs w:val="24"/>
          <w:lang w:val="en-GB"/>
        </w:rPr>
        <w:t xml:space="preserve">-0.174, </w:t>
      </w:r>
      <w:r w:rsidRPr="002B2C64">
        <w:rPr>
          <w:rFonts w:ascii="Book Antiqua" w:hAnsi="Book Antiqua"/>
          <w:i/>
          <w:iCs/>
          <w:sz w:val="24"/>
          <w:szCs w:val="24"/>
          <w:lang w:val="en-GB"/>
        </w:rPr>
        <w:t>P</w:t>
      </w:r>
      <w:r w:rsidR="008755C5" w:rsidRPr="002B2C64">
        <w:rPr>
          <w:rFonts w:ascii="Book Antiqua" w:hAnsi="Book Antiqua"/>
          <w:sz w:val="24"/>
          <w:szCs w:val="24"/>
          <w:lang w:val="en-GB"/>
        </w:rPr>
        <w:t xml:space="preserve"> </w:t>
      </w:r>
      <w:r w:rsidRPr="002B2C64">
        <w:rPr>
          <w:rFonts w:ascii="Book Antiqua" w:hAnsi="Book Antiqua"/>
          <w:sz w:val="24"/>
          <w:szCs w:val="24"/>
          <w:lang w:val="en-GB"/>
        </w:rPr>
        <w:t>=</w:t>
      </w:r>
      <w:r w:rsidR="008755C5" w:rsidRPr="002B2C64">
        <w:rPr>
          <w:rFonts w:ascii="Book Antiqua" w:hAnsi="Book Antiqua"/>
          <w:sz w:val="24"/>
          <w:szCs w:val="24"/>
          <w:lang w:val="en-GB"/>
        </w:rPr>
        <w:t xml:space="preserve"> </w:t>
      </w:r>
      <w:r w:rsidRPr="002B2C64">
        <w:rPr>
          <w:rFonts w:ascii="Book Antiqua" w:hAnsi="Book Antiqua"/>
          <w:sz w:val="24"/>
          <w:szCs w:val="24"/>
          <w:lang w:val="en-GB"/>
        </w:rPr>
        <w:t>0.037). Moreover, high NLR-PLR and PLR-NLR in the blood samples obtained after surgery w</w:t>
      </w:r>
      <w:r w:rsidR="002F772A" w:rsidRPr="002B2C64">
        <w:rPr>
          <w:rFonts w:ascii="Book Antiqua" w:hAnsi="Book Antiqua"/>
          <w:sz w:val="24"/>
          <w:szCs w:val="24"/>
          <w:lang w:val="en-GB"/>
        </w:rPr>
        <w:t>ere</w:t>
      </w:r>
      <w:r w:rsidRPr="002B2C64">
        <w:rPr>
          <w:rFonts w:ascii="Book Antiqua" w:hAnsi="Book Antiqua"/>
          <w:sz w:val="24"/>
          <w:szCs w:val="24"/>
          <w:lang w:val="en-GB"/>
        </w:rPr>
        <w:t xml:space="preserve"> positively associated with </w:t>
      </w:r>
      <w:r w:rsidR="003D3C6E" w:rsidRPr="002B2C64">
        <w:rPr>
          <w:rFonts w:ascii="Book Antiqua" w:hAnsi="Book Antiqua"/>
          <w:sz w:val="24"/>
          <w:szCs w:val="24"/>
          <w:lang w:val="en-GB"/>
        </w:rPr>
        <w:t xml:space="preserve">the </w:t>
      </w:r>
      <w:r w:rsidRPr="002B2C64">
        <w:rPr>
          <w:rFonts w:ascii="Book Antiqua" w:hAnsi="Book Antiqua"/>
          <w:sz w:val="24"/>
          <w:szCs w:val="24"/>
          <w:lang w:val="en-GB"/>
        </w:rPr>
        <w:t xml:space="preserve">histological type of cancer and percentage of </w:t>
      </w:r>
      <w:r w:rsidR="002F772A" w:rsidRPr="002B2C64">
        <w:rPr>
          <w:rFonts w:ascii="Book Antiqua" w:hAnsi="Book Antiqua"/>
          <w:sz w:val="24"/>
          <w:szCs w:val="24"/>
          <w:lang w:val="en-GB"/>
        </w:rPr>
        <w:t xml:space="preserve">the </w:t>
      </w:r>
      <w:r w:rsidRPr="002B2C64">
        <w:rPr>
          <w:rFonts w:ascii="Book Antiqua" w:hAnsi="Book Antiqua"/>
          <w:sz w:val="24"/>
          <w:szCs w:val="24"/>
          <w:lang w:val="en-GB"/>
        </w:rPr>
        <w:t xml:space="preserve">mucinous component (NLR-PLR: </w:t>
      </w:r>
      <w:r w:rsidRPr="002B2C64">
        <w:rPr>
          <w:rFonts w:ascii="Book Antiqua" w:hAnsi="Book Antiqua"/>
          <w:i/>
          <w:iCs/>
          <w:sz w:val="24"/>
          <w:szCs w:val="24"/>
          <w:lang w:val="en-GB"/>
        </w:rPr>
        <w:t>P</w:t>
      </w:r>
      <w:r w:rsidR="008755C5" w:rsidRPr="002B2C64">
        <w:rPr>
          <w:rFonts w:ascii="Book Antiqua" w:hAnsi="Book Antiqua"/>
          <w:sz w:val="24"/>
          <w:szCs w:val="24"/>
          <w:lang w:val="en-GB"/>
        </w:rPr>
        <w:t xml:space="preserve"> </w:t>
      </w:r>
      <w:r w:rsidRPr="002B2C64">
        <w:rPr>
          <w:rFonts w:ascii="Book Antiqua" w:hAnsi="Book Antiqua"/>
          <w:sz w:val="24"/>
          <w:szCs w:val="24"/>
          <w:lang w:val="en-GB"/>
        </w:rPr>
        <w:t>=</w:t>
      </w:r>
      <w:r w:rsidR="008755C5" w:rsidRPr="002B2C64">
        <w:rPr>
          <w:rFonts w:ascii="Book Antiqua" w:hAnsi="Book Antiqua"/>
          <w:sz w:val="24"/>
          <w:szCs w:val="24"/>
          <w:lang w:val="en-GB"/>
        </w:rPr>
        <w:t xml:space="preserve"> </w:t>
      </w:r>
      <w:r w:rsidRPr="002B2C64">
        <w:rPr>
          <w:rFonts w:ascii="Book Antiqua" w:hAnsi="Book Antiqua"/>
          <w:sz w:val="24"/>
          <w:szCs w:val="24"/>
          <w:lang w:val="en-GB"/>
        </w:rPr>
        <w:t xml:space="preserve">0.002; </w:t>
      </w:r>
      <w:r w:rsidRPr="002B2C64">
        <w:rPr>
          <w:rFonts w:ascii="Book Antiqua" w:hAnsi="Book Antiqua"/>
          <w:i/>
          <w:iCs/>
          <w:sz w:val="24"/>
          <w:szCs w:val="24"/>
          <w:lang w:val="en-GB"/>
        </w:rPr>
        <w:t>P</w:t>
      </w:r>
      <w:r w:rsidR="008755C5" w:rsidRPr="002B2C64">
        <w:rPr>
          <w:rFonts w:ascii="Book Antiqua" w:hAnsi="Book Antiqua"/>
          <w:sz w:val="24"/>
          <w:szCs w:val="24"/>
          <w:lang w:val="en-GB"/>
        </w:rPr>
        <w:t xml:space="preserve"> </w:t>
      </w:r>
      <w:r w:rsidRPr="002B2C64">
        <w:rPr>
          <w:rFonts w:ascii="Book Antiqua" w:hAnsi="Book Antiqua"/>
          <w:sz w:val="24"/>
          <w:szCs w:val="24"/>
          <w:lang w:val="en-GB"/>
        </w:rPr>
        <w:t>=</w:t>
      </w:r>
      <w:r w:rsidR="008755C5" w:rsidRPr="002B2C64">
        <w:rPr>
          <w:rFonts w:ascii="Book Antiqua" w:hAnsi="Book Antiqua"/>
          <w:sz w:val="24"/>
          <w:szCs w:val="24"/>
          <w:lang w:val="en-GB"/>
        </w:rPr>
        <w:t xml:space="preserve"> </w:t>
      </w:r>
      <w:r w:rsidRPr="002B2C64">
        <w:rPr>
          <w:rFonts w:ascii="Book Antiqua" w:hAnsi="Book Antiqua"/>
          <w:sz w:val="24"/>
          <w:szCs w:val="24"/>
          <w:lang w:val="en-GB"/>
        </w:rPr>
        <w:t xml:space="preserve">0.009; PLR-NLR status: </w:t>
      </w:r>
      <w:r w:rsidRPr="002B2C64">
        <w:rPr>
          <w:rFonts w:ascii="Book Antiqua" w:hAnsi="Book Antiqua"/>
          <w:i/>
          <w:iCs/>
          <w:sz w:val="24"/>
          <w:szCs w:val="24"/>
          <w:lang w:val="en-GB"/>
        </w:rPr>
        <w:t>P</w:t>
      </w:r>
      <w:r w:rsidR="008755C5" w:rsidRPr="002B2C64">
        <w:rPr>
          <w:rFonts w:ascii="Book Antiqua" w:hAnsi="Book Antiqua"/>
          <w:sz w:val="24"/>
          <w:szCs w:val="24"/>
          <w:lang w:val="en-GB"/>
        </w:rPr>
        <w:t xml:space="preserve"> </w:t>
      </w:r>
      <w:r w:rsidRPr="002B2C64">
        <w:rPr>
          <w:rFonts w:ascii="Book Antiqua" w:hAnsi="Book Antiqua"/>
          <w:sz w:val="24"/>
          <w:szCs w:val="24"/>
          <w:lang w:val="en-GB"/>
        </w:rPr>
        <w:t>=</w:t>
      </w:r>
      <w:r w:rsidR="008755C5" w:rsidRPr="002B2C64">
        <w:rPr>
          <w:rFonts w:ascii="Book Antiqua" w:hAnsi="Book Antiqua"/>
          <w:sz w:val="24"/>
          <w:szCs w:val="24"/>
          <w:lang w:val="en-GB"/>
        </w:rPr>
        <w:t xml:space="preserve"> </w:t>
      </w:r>
      <w:r w:rsidRPr="002B2C64">
        <w:rPr>
          <w:rFonts w:ascii="Book Antiqua" w:hAnsi="Book Antiqua"/>
          <w:sz w:val="24"/>
          <w:szCs w:val="24"/>
          <w:lang w:val="en-GB"/>
        </w:rPr>
        <w:t xml:space="preserve">0.002; </w:t>
      </w:r>
      <w:r w:rsidRPr="002B2C64">
        <w:rPr>
          <w:rFonts w:ascii="Book Antiqua" w:hAnsi="Book Antiqua"/>
          <w:i/>
          <w:iCs/>
          <w:sz w:val="24"/>
          <w:szCs w:val="24"/>
          <w:lang w:val="en-GB"/>
        </w:rPr>
        <w:t>P</w:t>
      </w:r>
      <w:r w:rsidR="008755C5" w:rsidRPr="002B2C64">
        <w:rPr>
          <w:rFonts w:ascii="Book Antiqua" w:hAnsi="Book Antiqua"/>
          <w:sz w:val="24"/>
          <w:szCs w:val="24"/>
          <w:lang w:val="en-GB"/>
        </w:rPr>
        <w:t xml:space="preserve"> </w:t>
      </w:r>
      <w:r w:rsidRPr="002B2C64">
        <w:rPr>
          <w:rFonts w:ascii="Book Antiqua" w:hAnsi="Book Antiqua"/>
          <w:sz w:val="24"/>
          <w:szCs w:val="24"/>
          <w:lang w:val="en-GB"/>
        </w:rPr>
        <w:t>=</w:t>
      </w:r>
      <w:r w:rsidR="008755C5" w:rsidRPr="002B2C64">
        <w:rPr>
          <w:rFonts w:ascii="Book Antiqua" w:hAnsi="Book Antiqua"/>
          <w:sz w:val="24"/>
          <w:szCs w:val="24"/>
          <w:lang w:val="en-GB"/>
        </w:rPr>
        <w:t xml:space="preserve"> </w:t>
      </w:r>
      <w:r w:rsidRPr="002B2C64">
        <w:rPr>
          <w:rFonts w:ascii="Book Antiqua" w:hAnsi="Book Antiqua"/>
          <w:sz w:val="24"/>
          <w:szCs w:val="24"/>
          <w:lang w:val="en-GB"/>
        </w:rPr>
        <w:t xml:space="preserve">0.007). The analysis of 5-year </w:t>
      </w:r>
      <w:r w:rsidR="002802C5" w:rsidRPr="002B2C64">
        <w:rPr>
          <w:rFonts w:ascii="Book Antiqua" w:hAnsi="Book Antiqua"/>
          <w:sz w:val="24"/>
          <w:szCs w:val="24"/>
          <w:lang w:val="en-GB"/>
        </w:rPr>
        <w:t>disease-free survival</w:t>
      </w:r>
      <w:r w:rsidRPr="002B2C64">
        <w:rPr>
          <w:rFonts w:ascii="Book Antiqua" w:hAnsi="Book Antiqua"/>
          <w:sz w:val="24"/>
          <w:szCs w:val="24"/>
          <w:lang w:val="en-GB"/>
        </w:rPr>
        <w:t xml:space="preserve"> showed that </w:t>
      </w:r>
      <w:r w:rsidR="002F772A" w:rsidRPr="002B2C64">
        <w:rPr>
          <w:rFonts w:ascii="Book Antiqua" w:hAnsi="Book Antiqua"/>
          <w:sz w:val="24"/>
          <w:szCs w:val="24"/>
          <w:lang w:val="en-GB"/>
        </w:rPr>
        <w:t xml:space="preserve">the </w:t>
      </w:r>
      <w:r w:rsidRPr="002B2C64">
        <w:rPr>
          <w:rFonts w:ascii="Book Antiqua" w:hAnsi="Book Antiqua"/>
          <w:sz w:val="24"/>
          <w:szCs w:val="24"/>
          <w:lang w:val="en-GB"/>
        </w:rPr>
        <w:t xml:space="preserve">MLR </w:t>
      </w:r>
      <w:r w:rsidR="002F772A" w:rsidRPr="002B2C64">
        <w:rPr>
          <w:rFonts w:ascii="Book Antiqua" w:hAnsi="Book Antiqua"/>
          <w:sz w:val="24"/>
          <w:szCs w:val="24"/>
          <w:lang w:val="en-GB"/>
        </w:rPr>
        <w:t>in</w:t>
      </w:r>
      <w:r w:rsidRPr="002B2C64">
        <w:rPr>
          <w:rFonts w:ascii="Book Antiqua" w:hAnsi="Book Antiqua"/>
          <w:sz w:val="24"/>
          <w:szCs w:val="24"/>
          <w:lang w:val="en-GB"/>
        </w:rPr>
        <w:t xml:space="preserve"> whole blood obtained after surgery (</w:t>
      </w:r>
      <w:r w:rsidRPr="002B2C64">
        <w:rPr>
          <w:rFonts w:ascii="Book Antiqua" w:eastAsia="Calibri" w:hAnsi="Book Antiqua"/>
          <w:color w:val="auto"/>
          <w:sz w:val="24"/>
          <w:szCs w:val="24"/>
          <w:lang w:val="en-GB" w:eastAsia="pl-PL"/>
        </w:rPr>
        <w:t>HR =</w:t>
      </w:r>
      <w:r w:rsidR="008755C5"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rPr>
        <w:t>2.903</w:t>
      </w:r>
      <w:r w:rsidRPr="002B2C64">
        <w:rPr>
          <w:rFonts w:ascii="Book Antiqua" w:eastAsia="Calibri" w:hAnsi="Book Antiqua"/>
          <w:color w:val="auto"/>
          <w:sz w:val="24"/>
          <w:szCs w:val="24"/>
          <w:lang w:val="en-GB" w:eastAsia="pl-PL"/>
        </w:rPr>
        <w:t xml:space="preserve">, 95%CI: </w:t>
      </w:r>
      <w:r w:rsidR="002802C5" w:rsidRPr="002B2C64">
        <w:rPr>
          <w:rFonts w:ascii="Book Antiqua" w:eastAsia="Calibri" w:hAnsi="Book Antiqua"/>
          <w:color w:val="auto"/>
          <w:sz w:val="24"/>
          <w:szCs w:val="24"/>
          <w:lang w:val="en-GB"/>
        </w:rPr>
        <w:t>1.368-6.158</w:t>
      </w:r>
      <w:r w:rsidRPr="002B2C64">
        <w:rPr>
          <w:rFonts w:ascii="Book Antiqua" w:eastAsia="Calibri" w:hAnsi="Book Antiqua"/>
          <w:color w:val="auto"/>
          <w:sz w:val="24"/>
          <w:szCs w:val="24"/>
          <w:lang w:val="en-GB" w:eastAsia="pl-PL"/>
        </w:rPr>
        <w:t xml:space="preserve">, </w:t>
      </w:r>
      <w:r w:rsidRPr="002B2C64">
        <w:rPr>
          <w:rFonts w:ascii="Book Antiqua" w:eastAsia="Calibri" w:hAnsi="Book Antiqua"/>
          <w:i/>
          <w:iCs/>
          <w:color w:val="auto"/>
          <w:sz w:val="24"/>
          <w:szCs w:val="24"/>
          <w:lang w:val="en-GB"/>
        </w:rPr>
        <w:t>P</w:t>
      </w:r>
      <w:r w:rsidR="008755C5"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 xml:space="preserve">= 0.005) </w:t>
      </w:r>
      <w:r w:rsidRPr="002B2C64">
        <w:rPr>
          <w:rFonts w:ascii="Book Antiqua" w:hAnsi="Book Antiqua"/>
          <w:sz w:val="24"/>
          <w:szCs w:val="24"/>
          <w:lang w:val="en-GB"/>
        </w:rPr>
        <w:t>and the status of lymph node metastasis (</w:t>
      </w:r>
      <w:r w:rsidRPr="002B2C64">
        <w:rPr>
          <w:rFonts w:ascii="Book Antiqua" w:eastAsia="Calibri" w:hAnsi="Book Antiqua"/>
          <w:color w:val="auto"/>
          <w:sz w:val="24"/>
          <w:szCs w:val="24"/>
          <w:lang w:val="en-GB" w:eastAsia="pl-PL"/>
        </w:rPr>
        <w:t>HR =</w:t>
      </w:r>
      <w:r w:rsidR="008755C5"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rPr>
        <w:lastRenderedPageBreak/>
        <w:t>0.813</w:t>
      </w:r>
      <w:r w:rsidRPr="002B2C64">
        <w:rPr>
          <w:rFonts w:ascii="Book Antiqua" w:eastAsia="Calibri" w:hAnsi="Book Antiqua"/>
          <w:color w:val="auto"/>
          <w:sz w:val="24"/>
          <w:szCs w:val="24"/>
          <w:lang w:val="en-GB" w:eastAsia="pl-PL"/>
        </w:rPr>
        <w:t xml:space="preserve">, 95%CI: </w:t>
      </w:r>
      <w:r w:rsidR="002802C5" w:rsidRPr="002B2C64">
        <w:rPr>
          <w:rFonts w:ascii="Book Antiqua" w:eastAsia="Calibri" w:hAnsi="Book Antiqua"/>
          <w:color w:val="auto"/>
          <w:sz w:val="24"/>
          <w:szCs w:val="24"/>
          <w:lang w:val="en-GB"/>
        </w:rPr>
        <w:t>0.653-1.013</w:t>
      </w:r>
      <w:r w:rsidRPr="002B2C64">
        <w:rPr>
          <w:rFonts w:ascii="Book Antiqua" w:eastAsia="Calibri" w:hAnsi="Book Antiqua"/>
          <w:color w:val="auto"/>
          <w:sz w:val="24"/>
          <w:szCs w:val="24"/>
          <w:lang w:val="en-GB" w:eastAsia="pl-PL"/>
        </w:rPr>
        <w:t xml:space="preserve">, </w:t>
      </w:r>
      <w:r w:rsidRPr="002B2C64">
        <w:rPr>
          <w:rFonts w:ascii="Book Antiqua" w:eastAsia="Calibri" w:hAnsi="Book Antiqua"/>
          <w:i/>
          <w:iCs/>
          <w:color w:val="auto"/>
          <w:sz w:val="24"/>
          <w:szCs w:val="24"/>
          <w:lang w:val="en-GB"/>
        </w:rPr>
        <w:t>P</w:t>
      </w:r>
      <w:r w:rsidR="008755C5"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 xml:space="preserve">= 0.050) were independent </w:t>
      </w:r>
      <w:r w:rsidR="00172AAC" w:rsidRPr="002B2C64">
        <w:rPr>
          <w:rFonts w:ascii="Book Antiqua" w:eastAsia="Calibri" w:hAnsi="Book Antiqua"/>
          <w:color w:val="auto"/>
          <w:sz w:val="24"/>
          <w:szCs w:val="24"/>
          <w:lang w:val="en-GB"/>
        </w:rPr>
        <w:t xml:space="preserve">prognostic </w:t>
      </w:r>
      <w:r w:rsidRPr="002B2C64">
        <w:rPr>
          <w:rFonts w:ascii="Book Antiqua" w:eastAsia="Calibri" w:hAnsi="Book Antiqua"/>
          <w:color w:val="auto"/>
          <w:sz w:val="24"/>
          <w:szCs w:val="24"/>
          <w:lang w:val="en-GB"/>
        </w:rPr>
        <w:t>factors in colorectal cancer patients.</w:t>
      </w:r>
    </w:p>
    <w:p w:rsidR="00B44C23" w:rsidRPr="002B2C64" w:rsidRDefault="00B44C23" w:rsidP="0083105B">
      <w:pPr>
        <w:snapToGrid w:val="0"/>
        <w:spacing w:after="0" w:line="360" w:lineRule="auto"/>
        <w:jc w:val="both"/>
        <w:rPr>
          <w:rFonts w:ascii="Book Antiqua" w:eastAsia="Calibri" w:hAnsi="Book Antiqua"/>
          <w:color w:val="auto"/>
          <w:sz w:val="24"/>
          <w:szCs w:val="24"/>
          <w:lang w:val="en-GB"/>
        </w:rPr>
      </w:pPr>
    </w:p>
    <w:p w:rsidR="008755C5" w:rsidRPr="002B2C64" w:rsidRDefault="008755C5" w:rsidP="0083105B">
      <w:pPr>
        <w:adjustRightInd w:val="0"/>
        <w:snapToGrid w:val="0"/>
        <w:spacing w:after="0" w:line="360" w:lineRule="auto"/>
        <w:jc w:val="both"/>
        <w:rPr>
          <w:rFonts w:ascii="Book Antiqua" w:hAnsi="Book Antiqua"/>
          <w:b/>
          <w:i/>
          <w:iCs/>
          <w:sz w:val="24"/>
          <w:szCs w:val="24"/>
        </w:rPr>
      </w:pPr>
      <w:r w:rsidRPr="002B2C64">
        <w:rPr>
          <w:rFonts w:ascii="Book Antiqua" w:hAnsi="Book Antiqua"/>
          <w:b/>
          <w:i/>
          <w:iCs/>
          <w:sz w:val="24"/>
          <w:szCs w:val="24"/>
        </w:rPr>
        <w:t>Research conclusions</w:t>
      </w:r>
    </w:p>
    <w:p w:rsidR="005C2843" w:rsidRPr="002B2C64" w:rsidRDefault="001E20F3"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rPr>
        <w:t xml:space="preserve">The present study </w:t>
      </w:r>
      <w:r w:rsidR="00172AAC" w:rsidRPr="002B2C64">
        <w:rPr>
          <w:rFonts w:ascii="Book Antiqua" w:hAnsi="Book Antiqua"/>
          <w:sz w:val="24"/>
          <w:szCs w:val="24"/>
        </w:rPr>
        <w:t>demonstrated</w:t>
      </w:r>
      <w:r w:rsidRPr="002B2C64">
        <w:rPr>
          <w:rFonts w:ascii="Book Antiqua" w:hAnsi="Book Antiqua"/>
          <w:sz w:val="24"/>
          <w:szCs w:val="24"/>
        </w:rPr>
        <w:t xml:space="preserve"> that </w:t>
      </w:r>
      <w:r w:rsidR="00172AAC" w:rsidRPr="002B2C64">
        <w:rPr>
          <w:rFonts w:ascii="Book Antiqua" w:hAnsi="Book Antiqua"/>
          <w:sz w:val="24"/>
          <w:szCs w:val="24"/>
        </w:rPr>
        <w:t xml:space="preserve">the </w:t>
      </w:r>
      <w:r w:rsidRPr="002B2C64">
        <w:rPr>
          <w:rFonts w:ascii="Book Antiqua" w:hAnsi="Book Antiqua"/>
          <w:sz w:val="24"/>
          <w:szCs w:val="24"/>
          <w:lang w:val="en-GB"/>
        </w:rPr>
        <w:t>postoperative MLR in whole blood samples can be used as an independent prognostic factor in patients diagnosed with colorectal cancer.</w:t>
      </w:r>
    </w:p>
    <w:p w:rsidR="00225640" w:rsidRPr="002B2C64" w:rsidRDefault="00225640" w:rsidP="0083105B">
      <w:pPr>
        <w:autoSpaceDE w:val="0"/>
        <w:autoSpaceDN w:val="0"/>
        <w:adjustRightInd w:val="0"/>
        <w:snapToGrid w:val="0"/>
        <w:spacing w:after="0" w:line="360" w:lineRule="auto"/>
        <w:jc w:val="both"/>
        <w:rPr>
          <w:rFonts w:ascii="Book Antiqua" w:hAnsi="Book Antiqua"/>
          <w:color w:val="000000"/>
          <w:sz w:val="24"/>
          <w:szCs w:val="24"/>
          <w:u w:color="000000"/>
          <w:lang w:val="en-GB"/>
        </w:rPr>
      </w:pPr>
    </w:p>
    <w:p w:rsidR="006A6118" w:rsidRPr="002B2C64" w:rsidRDefault="00301BC8" w:rsidP="0083105B">
      <w:pPr>
        <w:widowControl w:val="0"/>
        <w:autoSpaceDE w:val="0"/>
        <w:autoSpaceDN w:val="0"/>
        <w:adjustRightInd w:val="0"/>
        <w:snapToGrid w:val="0"/>
        <w:spacing w:after="0" w:line="360" w:lineRule="auto"/>
        <w:jc w:val="both"/>
        <w:rPr>
          <w:rFonts w:ascii="Book Antiqua" w:hAnsi="Book Antiqua"/>
          <w:sz w:val="24"/>
          <w:szCs w:val="24"/>
        </w:rPr>
      </w:pPr>
      <w:bookmarkStart w:id="35" w:name="_Hlk44945015"/>
      <w:r w:rsidRPr="002B2C64">
        <w:rPr>
          <w:rFonts w:ascii="Book Antiqua" w:hAnsi="Book Antiqua"/>
          <w:b/>
          <w:sz w:val="24"/>
          <w:szCs w:val="24"/>
        </w:rPr>
        <w:t>REFERENCES</w:t>
      </w:r>
      <w:bookmarkEnd w:id="35"/>
      <w:r w:rsidR="006A6118" w:rsidRPr="002B2C64">
        <w:rPr>
          <w:rFonts w:ascii="Book Antiqua" w:hAnsi="Book Antiqua"/>
          <w:b/>
          <w:sz w:val="24"/>
          <w:szCs w:val="24"/>
          <w:lang w:val="en-GB"/>
        </w:rPr>
        <w:t xml:space="preserve"> </w:t>
      </w:r>
    </w:p>
    <w:p w:rsidR="00301BC8" w:rsidRPr="002B2C64" w:rsidRDefault="00301BC8" w:rsidP="0083105B">
      <w:pPr>
        <w:snapToGrid w:val="0"/>
        <w:spacing w:after="0" w:line="360" w:lineRule="auto"/>
        <w:jc w:val="both"/>
        <w:rPr>
          <w:rFonts w:ascii="Book Antiqua" w:hAnsi="Book Antiqua"/>
          <w:color w:val="auto"/>
          <w:sz w:val="24"/>
          <w:szCs w:val="24"/>
          <w:lang w:eastAsia="zh-CN"/>
        </w:rPr>
      </w:pPr>
      <w:r w:rsidRPr="002B2C64">
        <w:rPr>
          <w:rFonts w:ascii="Book Antiqua" w:hAnsi="Book Antiqua"/>
          <w:sz w:val="24"/>
          <w:szCs w:val="24"/>
        </w:rPr>
        <w:t xml:space="preserve">1 </w:t>
      </w:r>
      <w:r w:rsidRPr="002B2C64">
        <w:rPr>
          <w:rFonts w:ascii="Book Antiqua" w:hAnsi="Book Antiqua"/>
          <w:b/>
          <w:sz w:val="24"/>
          <w:szCs w:val="24"/>
        </w:rPr>
        <w:t>Siegel RL</w:t>
      </w:r>
      <w:r w:rsidRPr="002B2C64">
        <w:rPr>
          <w:rFonts w:ascii="Book Antiqua" w:hAnsi="Book Antiqua"/>
          <w:sz w:val="24"/>
          <w:szCs w:val="24"/>
        </w:rPr>
        <w:t xml:space="preserve">, Miller KD, Jemal A. Cancer statistics, 2018. </w:t>
      </w:r>
      <w:r w:rsidRPr="002B2C64">
        <w:rPr>
          <w:rFonts w:ascii="Book Antiqua" w:hAnsi="Book Antiqua"/>
          <w:i/>
          <w:sz w:val="24"/>
          <w:szCs w:val="24"/>
        </w:rPr>
        <w:t>CA Cancer J Clin</w:t>
      </w:r>
      <w:r w:rsidRPr="002B2C64">
        <w:rPr>
          <w:rFonts w:ascii="Book Antiqua" w:hAnsi="Book Antiqua"/>
          <w:sz w:val="24"/>
          <w:szCs w:val="24"/>
        </w:rPr>
        <w:t xml:space="preserve"> 2018; </w:t>
      </w:r>
      <w:r w:rsidRPr="002B2C64">
        <w:rPr>
          <w:rFonts w:ascii="Book Antiqua" w:hAnsi="Book Antiqua"/>
          <w:b/>
          <w:sz w:val="24"/>
          <w:szCs w:val="24"/>
        </w:rPr>
        <w:t>68</w:t>
      </w:r>
      <w:r w:rsidRPr="002B2C64">
        <w:rPr>
          <w:rFonts w:ascii="Book Antiqua" w:hAnsi="Book Antiqua"/>
          <w:sz w:val="24"/>
          <w:szCs w:val="24"/>
        </w:rPr>
        <w:t>: 7-30 [PMID: 29313949 DOI: 10.3322/caac.21442]</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 </w:t>
      </w:r>
      <w:r w:rsidRPr="002B2C64">
        <w:rPr>
          <w:rFonts w:ascii="Book Antiqua" w:hAnsi="Book Antiqua"/>
          <w:b/>
          <w:sz w:val="24"/>
          <w:szCs w:val="24"/>
        </w:rPr>
        <w:t>Saha S</w:t>
      </w:r>
      <w:r w:rsidRPr="002B2C64">
        <w:rPr>
          <w:rFonts w:ascii="Book Antiqua" w:hAnsi="Book Antiqua"/>
          <w:sz w:val="24"/>
          <w:szCs w:val="24"/>
        </w:rPr>
        <w:t xml:space="preserve">, Nora D, Wong JH, Weise D. Sentinel lymph node mapping in colorectal cancer--a review. </w:t>
      </w:r>
      <w:r w:rsidRPr="002B2C64">
        <w:rPr>
          <w:rFonts w:ascii="Book Antiqua" w:hAnsi="Book Antiqua"/>
          <w:i/>
          <w:sz w:val="24"/>
          <w:szCs w:val="24"/>
        </w:rPr>
        <w:t>Surg Clin North Am</w:t>
      </w:r>
      <w:r w:rsidRPr="002B2C64">
        <w:rPr>
          <w:rFonts w:ascii="Book Antiqua" w:hAnsi="Book Antiqua"/>
          <w:sz w:val="24"/>
          <w:szCs w:val="24"/>
        </w:rPr>
        <w:t xml:space="preserve"> 2000; </w:t>
      </w:r>
      <w:r w:rsidRPr="002B2C64">
        <w:rPr>
          <w:rFonts w:ascii="Book Antiqua" w:hAnsi="Book Antiqua"/>
          <w:b/>
          <w:sz w:val="24"/>
          <w:szCs w:val="24"/>
        </w:rPr>
        <w:t>80</w:t>
      </w:r>
      <w:r w:rsidRPr="002B2C64">
        <w:rPr>
          <w:rFonts w:ascii="Book Antiqua" w:hAnsi="Book Antiqua"/>
          <w:sz w:val="24"/>
          <w:szCs w:val="24"/>
        </w:rPr>
        <w:t>: 1811-1819 [PMID: 11140875 DOI: 10.1016/s0039-6109(05)70263-2]</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 </w:t>
      </w:r>
      <w:r w:rsidRPr="002B2C64">
        <w:rPr>
          <w:rFonts w:ascii="Book Antiqua" w:hAnsi="Book Antiqua"/>
          <w:b/>
          <w:sz w:val="24"/>
          <w:szCs w:val="24"/>
        </w:rPr>
        <w:t>McArdle CS</w:t>
      </w:r>
      <w:r w:rsidRPr="002B2C64">
        <w:rPr>
          <w:rFonts w:ascii="Book Antiqua" w:hAnsi="Book Antiqua"/>
          <w:sz w:val="24"/>
          <w:szCs w:val="24"/>
        </w:rPr>
        <w:t xml:space="preserve">, Hole DJ. Outcome following surgery for colorectal cancer: analysis by hospital after adjustment for case-mix and deprivation. </w:t>
      </w:r>
      <w:r w:rsidRPr="002B2C64">
        <w:rPr>
          <w:rFonts w:ascii="Book Antiqua" w:hAnsi="Book Antiqua"/>
          <w:i/>
          <w:sz w:val="24"/>
          <w:szCs w:val="24"/>
        </w:rPr>
        <w:t>Br J Cancer</w:t>
      </w:r>
      <w:r w:rsidRPr="002B2C64">
        <w:rPr>
          <w:rFonts w:ascii="Book Antiqua" w:hAnsi="Book Antiqua"/>
          <w:sz w:val="24"/>
          <w:szCs w:val="24"/>
        </w:rPr>
        <w:t xml:space="preserve"> 2002; </w:t>
      </w:r>
      <w:r w:rsidRPr="002B2C64">
        <w:rPr>
          <w:rFonts w:ascii="Book Antiqua" w:hAnsi="Book Antiqua"/>
          <w:b/>
          <w:sz w:val="24"/>
          <w:szCs w:val="24"/>
        </w:rPr>
        <w:t>86</w:t>
      </w:r>
      <w:r w:rsidRPr="002B2C64">
        <w:rPr>
          <w:rFonts w:ascii="Book Antiqua" w:hAnsi="Book Antiqua"/>
          <w:sz w:val="24"/>
          <w:szCs w:val="24"/>
        </w:rPr>
        <w:t>: 331-335 [PMID: 11875693 DOI: 10.1038/sj.bjc.6600120]</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4 </w:t>
      </w:r>
      <w:r w:rsidRPr="002B2C64">
        <w:rPr>
          <w:rFonts w:ascii="Book Antiqua" w:hAnsi="Book Antiqua"/>
          <w:b/>
          <w:sz w:val="24"/>
          <w:szCs w:val="24"/>
        </w:rPr>
        <w:t>Schmoll HJ</w:t>
      </w:r>
      <w:r w:rsidRPr="002B2C64">
        <w:rPr>
          <w:rFonts w:ascii="Book Antiqua" w:hAnsi="Book Antiqua"/>
          <w:sz w:val="24"/>
          <w:szCs w:val="24"/>
        </w:rPr>
        <w:t xml:space="preserve">,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w:t>
      </w:r>
      <w:r w:rsidRPr="002B2C64">
        <w:rPr>
          <w:rFonts w:ascii="Book Antiqua" w:hAnsi="Book Antiqua"/>
          <w:caps/>
          <w:sz w:val="24"/>
          <w:szCs w:val="24"/>
        </w:rPr>
        <w:t>a</w:t>
      </w:r>
      <w:r w:rsidRPr="002B2C64">
        <w:rPr>
          <w:rFonts w:ascii="Book Antiqua" w:hAnsi="Book Antiqua"/>
          <w:sz w:val="24"/>
          <w:szCs w:val="24"/>
        </w:rPr>
        <w:t xml:space="preserve"> personalized approach to clinical decision making. </w:t>
      </w:r>
      <w:r w:rsidRPr="002B2C64">
        <w:rPr>
          <w:rFonts w:ascii="Book Antiqua" w:hAnsi="Book Antiqua"/>
          <w:i/>
          <w:sz w:val="24"/>
          <w:szCs w:val="24"/>
        </w:rPr>
        <w:t>Ann Oncol</w:t>
      </w:r>
      <w:r w:rsidRPr="002B2C64">
        <w:rPr>
          <w:rFonts w:ascii="Book Antiqua" w:hAnsi="Book Antiqua"/>
          <w:sz w:val="24"/>
          <w:szCs w:val="24"/>
        </w:rPr>
        <w:t xml:space="preserve"> 2012; </w:t>
      </w:r>
      <w:r w:rsidRPr="002B2C64">
        <w:rPr>
          <w:rFonts w:ascii="Book Antiqua" w:hAnsi="Book Antiqua"/>
          <w:b/>
          <w:sz w:val="24"/>
          <w:szCs w:val="24"/>
        </w:rPr>
        <w:t>23</w:t>
      </w:r>
      <w:r w:rsidRPr="002B2C64">
        <w:rPr>
          <w:rFonts w:ascii="Book Antiqua" w:hAnsi="Book Antiqua"/>
          <w:sz w:val="24"/>
          <w:szCs w:val="24"/>
        </w:rPr>
        <w:t>: 2479-2516 [PMID: 23012255 DOI: 10.1093/annonc/mds236]</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5 </w:t>
      </w:r>
      <w:r w:rsidRPr="002B2C64">
        <w:rPr>
          <w:rFonts w:ascii="Book Antiqua" w:hAnsi="Book Antiqua"/>
          <w:b/>
          <w:sz w:val="24"/>
          <w:szCs w:val="24"/>
        </w:rPr>
        <w:t>Yamashita H</w:t>
      </w:r>
      <w:r w:rsidRPr="002B2C64">
        <w:rPr>
          <w:rFonts w:ascii="Book Antiqua" w:hAnsi="Book Antiqua"/>
          <w:sz w:val="24"/>
          <w:szCs w:val="24"/>
        </w:rPr>
        <w:t xml:space="preserve">, Katai H. Systemic inflammatory response in gastric cancer. </w:t>
      </w:r>
      <w:r w:rsidRPr="002B2C64">
        <w:rPr>
          <w:rFonts w:ascii="Book Antiqua" w:hAnsi="Book Antiqua"/>
          <w:i/>
          <w:sz w:val="24"/>
          <w:szCs w:val="24"/>
        </w:rPr>
        <w:t>World J Surg</w:t>
      </w:r>
      <w:r w:rsidRPr="002B2C64">
        <w:rPr>
          <w:rFonts w:ascii="Book Antiqua" w:hAnsi="Book Antiqua"/>
          <w:sz w:val="24"/>
          <w:szCs w:val="24"/>
        </w:rPr>
        <w:t xml:space="preserve"> 2010; </w:t>
      </w:r>
      <w:r w:rsidRPr="002B2C64">
        <w:rPr>
          <w:rFonts w:ascii="Book Antiqua" w:hAnsi="Book Antiqua"/>
          <w:b/>
          <w:sz w:val="24"/>
          <w:szCs w:val="24"/>
        </w:rPr>
        <w:t>34</w:t>
      </w:r>
      <w:r w:rsidRPr="002B2C64">
        <w:rPr>
          <w:rFonts w:ascii="Book Antiqua" w:hAnsi="Book Antiqua"/>
          <w:sz w:val="24"/>
          <w:szCs w:val="24"/>
        </w:rPr>
        <w:t>: 2399-2400 [PMID: 20602100 DOI: 10.1007/s00268-010-0703-1]</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6 </w:t>
      </w:r>
      <w:r w:rsidRPr="002B2C64">
        <w:rPr>
          <w:rFonts w:ascii="Book Antiqua" w:hAnsi="Book Antiqua"/>
          <w:b/>
          <w:sz w:val="24"/>
          <w:szCs w:val="24"/>
        </w:rPr>
        <w:t xml:space="preserve">Ribatti D. </w:t>
      </w:r>
      <w:r w:rsidRPr="002B2C64">
        <w:rPr>
          <w:rFonts w:ascii="Book Antiqua" w:hAnsi="Book Antiqua"/>
          <w:bCs/>
          <w:sz w:val="24"/>
          <w:szCs w:val="24"/>
        </w:rPr>
        <w:t xml:space="preserve">Inflammatory Cells in Tumor Microenvironment. In: The Role of Microenvironment in the Control of Tumor Angiogenesis, </w:t>
      </w:r>
      <w:r w:rsidRPr="002B2C64">
        <w:rPr>
          <w:rFonts w:ascii="Book Antiqua" w:hAnsi="Book Antiqua"/>
          <w:sz w:val="24"/>
          <w:szCs w:val="24"/>
        </w:rPr>
        <w:t>2016: 1–86</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lastRenderedPageBreak/>
        <w:t xml:space="preserve">7 </w:t>
      </w:r>
      <w:r w:rsidRPr="002B2C64">
        <w:rPr>
          <w:rFonts w:ascii="Book Antiqua" w:hAnsi="Book Antiqua"/>
          <w:b/>
          <w:sz w:val="24"/>
          <w:szCs w:val="24"/>
        </w:rPr>
        <w:t>Bruckner HW</w:t>
      </w:r>
      <w:r w:rsidRPr="002B2C64">
        <w:rPr>
          <w:rFonts w:ascii="Book Antiqua" w:hAnsi="Book Antiqua"/>
          <w:sz w:val="24"/>
          <w:szCs w:val="24"/>
        </w:rPr>
        <w:t xml:space="preserve">, Lavin PT, Plaxe SC, Storch JA, Livstone EM. Absolute granulocyte, lymphocyte, and moncyte counts. Useful determinants of prognosis for patients with metastatic cancer of the stomach. </w:t>
      </w:r>
      <w:r w:rsidRPr="002B2C64">
        <w:rPr>
          <w:rFonts w:ascii="Book Antiqua" w:hAnsi="Book Antiqua"/>
          <w:i/>
          <w:sz w:val="24"/>
          <w:szCs w:val="24"/>
        </w:rPr>
        <w:t>JAMA</w:t>
      </w:r>
      <w:r w:rsidRPr="002B2C64">
        <w:rPr>
          <w:rFonts w:ascii="Book Antiqua" w:hAnsi="Book Antiqua"/>
          <w:sz w:val="24"/>
          <w:szCs w:val="24"/>
        </w:rPr>
        <w:t xml:space="preserve"> 1982; </w:t>
      </w:r>
      <w:r w:rsidRPr="002B2C64">
        <w:rPr>
          <w:rFonts w:ascii="Book Antiqua" w:hAnsi="Book Antiqua"/>
          <w:b/>
          <w:sz w:val="24"/>
          <w:szCs w:val="24"/>
        </w:rPr>
        <w:t>247</w:t>
      </w:r>
      <w:r w:rsidRPr="002B2C64">
        <w:rPr>
          <w:rFonts w:ascii="Book Antiqua" w:hAnsi="Book Antiqua"/>
          <w:sz w:val="24"/>
          <w:szCs w:val="24"/>
        </w:rPr>
        <w:t>: 1004-1006 [PMID: 7035703 DOI: 10.1001/jama.247.7.1004]</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8 </w:t>
      </w:r>
      <w:r w:rsidRPr="002B2C64">
        <w:rPr>
          <w:rFonts w:ascii="Book Antiqua" w:hAnsi="Book Antiqua"/>
          <w:b/>
          <w:sz w:val="24"/>
          <w:szCs w:val="24"/>
        </w:rPr>
        <w:t>Sasaki A</w:t>
      </w:r>
      <w:r w:rsidRPr="002B2C64">
        <w:rPr>
          <w:rFonts w:ascii="Book Antiqua" w:hAnsi="Book Antiqua"/>
          <w:sz w:val="24"/>
          <w:szCs w:val="24"/>
        </w:rPr>
        <w:t xml:space="preserve">, Iwashita Y, Shibata K, Matsumoto T, Ohta M, Kitano S. Prognostic value of preoperative peripheral blood monocyte count in patients with hepatocellular carcinoma. </w:t>
      </w:r>
      <w:r w:rsidRPr="002B2C64">
        <w:rPr>
          <w:rFonts w:ascii="Book Antiqua" w:hAnsi="Book Antiqua"/>
          <w:i/>
          <w:sz w:val="24"/>
          <w:szCs w:val="24"/>
        </w:rPr>
        <w:t>Surgery</w:t>
      </w:r>
      <w:r w:rsidRPr="002B2C64">
        <w:rPr>
          <w:rFonts w:ascii="Book Antiqua" w:hAnsi="Book Antiqua"/>
          <w:sz w:val="24"/>
          <w:szCs w:val="24"/>
        </w:rPr>
        <w:t xml:space="preserve"> 2006; </w:t>
      </w:r>
      <w:r w:rsidRPr="002B2C64">
        <w:rPr>
          <w:rFonts w:ascii="Book Antiqua" w:hAnsi="Book Antiqua"/>
          <w:b/>
          <w:sz w:val="24"/>
          <w:szCs w:val="24"/>
        </w:rPr>
        <w:t>139</w:t>
      </w:r>
      <w:r w:rsidRPr="002B2C64">
        <w:rPr>
          <w:rFonts w:ascii="Book Antiqua" w:hAnsi="Book Antiqua"/>
          <w:sz w:val="24"/>
          <w:szCs w:val="24"/>
        </w:rPr>
        <w:t>: 755-764 [PMID: 16782430 DOI: 10.1016/j.surg.2005.10.009]</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9 </w:t>
      </w:r>
      <w:r w:rsidRPr="002B2C64">
        <w:rPr>
          <w:rFonts w:ascii="Book Antiqua" w:hAnsi="Book Antiqua"/>
          <w:b/>
          <w:sz w:val="24"/>
          <w:szCs w:val="24"/>
        </w:rPr>
        <w:t>Sasaki A</w:t>
      </w:r>
      <w:r w:rsidRPr="002B2C64">
        <w:rPr>
          <w:rFonts w:ascii="Book Antiqua" w:hAnsi="Book Antiqua"/>
          <w:sz w:val="24"/>
          <w:szCs w:val="24"/>
        </w:rPr>
        <w:t xml:space="preserve">, Kai S, Endo Y, Iwaki K, Uchida H, Tominaga M, Okunaga R, Shibata K, Ohta M, Kitano S. Prognostic value of preoperative peripheral blood monocyte count in patients with colorectal liver metastasis after liver resection. </w:t>
      </w:r>
      <w:r w:rsidRPr="002B2C64">
        <w:rPr>
          <w:rFonts w:ascii="Book Antiqua" w:hAnsi="Book Antiqua"/>
          <w:i/>
          <w:sz w:val="24"/>
          <w:szCs w:val="24"/>
        </w:rPr>
        <w:t>J Gastrointest Surg</w:t>
      </w:r>
      <w:r w:rsidRPr="002B2C64">
        <w:rPr>
          <w:rFonts w:ascii="Book Antiqua" w:hAnsi="Book Antiqua"/>
          <w:sz w:val="24"/>
          <w:szCs w:val="24"/>
        </w:rPr>
        <w:t xml:space="preserve"> 2007; </w:t>
      </w:r>
      <w:r w:rsidRPr="002B2C64">
        <w:rPr>
          <w:rFonts w:ascii="Book Antiqua" w:hAnsi="Book Antiqua"/>
          <w:b/>
          <w:sz w:val="24"/>
          <w:szCs w:val="24"/>
        </w:rPr>
        <w:t>11</w:t>
      </w:r>
      <w:r w:rsidRPr="002B2C64">
        <w:rPr>
          <w:rFonts w:ascii="Book Antiqua" w:hAnsi="Book Antiqua"/>
          <w:sz w:val="24"/>
          <w:szCs w:val="24"/>
        </w:rPr>
        <w:t>: 596-602 [PMID: 17468918 DOI: 10.1007/s11605-007-0140-0]</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10 </w:t>
      </w:r>
      <w:r w:rsidRPr="002B2C64">
        <w:rPr>
          <w:rFonts w:ascii="Book Antiqua" w:hAnsi="Book Antiqua"/>
          <w:b/>
          <w:sz w:val="24"/>
          <w:szCs w:val="24"/>
        </w:rPr>
        <w:t>Xiang J</w:t>
      </w:r>
      <w:r w:rsidRPr="002B2C64">
        <w:rPr>
          <w:rFonts w:ascii="Book Antiqua" w:hAnsi="Book Antiqua"/>
          <w:sz w:val="24"/>
          <w:szCs w:val="24"/>
        </w:rPr>
        <w:t xml:space="preserve">, Zhou L, Li X, Bao W, Chen T, Xi X, He Y, Wan X. Preoperative Monocyte-to-Lymphocyte Ratio in Peripheral Blood Predicts Stages, Metastasis, and Histological Grades in Patients with Ovarian Cancer. </w:t>
      </w:r>
      <w:r w:rsidRPr="002B2C64">
        <w:rPr>
          <w:rFonts w:ascii="Book Antiqua" w:hAnsi="Book Antiqua"/>
          <w:i/>
          <w:sz w:val="24"/>
          <w:szCs w:val="24"/>
        </w:rPr>
        <w:t>Transl Oncol</w:t>
      </w:r>
      <w:r w:rsidRPr="002B2C64">
        <w:rPr>
          <w:rFonts w:ascii="Book Antiqua" w:hAnsi="Book Antiqua"/>
          <w:sz w:val="24"/>
          <w:szCs w:val="24"/>
        </w:rPr>
        <w:t xml:space="preserve"> 2017; </w:t>
      </w:r>
      <w:r w:rsidRPr="002B2C64">
        <w:rPr>
          <w:rFonts w:ascii="Book Antiqua" w:hAnsi="Book Antiqua"/>
          <w:b/>
          <w:sz w:val="24"/>
          <w:szCs w:val="24"/>
        </w:rPr>
        <w:t>10</w:t>
      </w:r>
      <w:r w:rsidRPr="002B2C64">
        <w:rPr>
          <w:rFonts w:ascii="Book Antiqua" w:hAnsi="Book Antiqua"/>
          <w:sz w:val="24"/>
          <w:szCs w:val="24"/>
        </w:rPr>
        <w:t>: 33-39 [PMID: 27888711 DOI: 10.1016/j.tranon.2016.10.006]</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11 </w:t>
      </w:r>
      <w:r w:rsidRPr="002B2C64">
        <w:rPr>
          <w:rFonts w:ascii="Book Antiqua" w:hAnsi="Book Antiqua"/>
          <w:b/>
          <w:sz w:val="24"/>
          <w:szCs w:val="24"/>
        </w:rPr>
        <w:t>Zhou D</w:t>
      </w:r>
      <w:r w:rsidRPr="002B2C64">
        <w:rPr>
          <w:rFonts w:ascii="Book Antiqua" w:hAnsi="Book Antiqua"/>
          <w:sz w:val="24"/>
          <w:szCs w:val="24"/>
        </w:rPr>
        <w:t xml:space="preserve">, Zhang Y, Xu L, Zhou Z, Huang J, Chen M. A monocyte/granulocyte to lymphocyte ratio predicts survival in patients with hepatocellular carcinoma. </w:t>
      </w:r>
      <w:r w:rsidRPr="002B2C64">
        <w:rPr>
          <w:rFonts w:ascii="Book Antiqua" w:hAnsi="Book Antiqua"/>
          <w:i/>
          <w:sz w:val="24"/>
          <w:szCs w:val="24"/>
        </w:rPr>
        <w:t>Sci Rep</w:t>
      </w:r>
      <w:r w:rsidRPr="002B2C64">
        <w:rPr>
          <w:rFonts w:ascii="Book Antiqua" w:hAnsi="Book Antiqua"/>
          <w:sz w:val="24"/>
          <w:szCs w:val="24"/>
        </w:rPr>
        <w:t xml:space="preserve"> 2015; </w:t>
      </w:r>
      <w:r w:rsidRPr="002B2C64">
        <w:rPr>
          <w:rFonts w:ascii="Book Antiqua" w:hAnsi="Book Antiqua"/>
          <w:b/>
          <w:sz w:val="24"/>
          <w:szCs w:val="24"/>
        </w:rPr>
        <w:t>5</w:t>
      </w:r>
      <w:r w:rsidRPr="002B2C64">
        <w:rPr>
          <w:rFonts w:ascii="Book Antiqua" w:hAnsi="Book Antiqua"/>
          <w:sz w:val="24"/>
          <w:szCs w:val="24"/>
        </w:rPr>
        <w:t>: 15263 [PMID: 26486016 DOI: 10.1038/srep15263]</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12 </w:t>
      </w:r>
      <w:r w:rsidRPr="002B2C64">
        <w:rPr>
          <w:rFonts w:ascii="Book Antiqua" w:hAnsi="Book Antiqua"/>
          <w:b/>
          <w:sz w:val="24"/>
          <w:szCs w:val="24"/>
        </w:rPr>
        <w:t>Walsh SR</w:t>
      </w:r>
      <w:r w:rsidRPr="002B2C64">
        <w:rPr>
          <w:rFonts w:ascii="Book Antiqua" w:hAnsi="Book Antiqua"/>
          <w:sz w:val="24"/>
          <w:szCs w:val="24"/>
        </w:rPr>
        <w:t xml:space="preserve">, Cook EJ, Goulder F, Justin TA, Keeling NJ. Neutrophil-lymphocyte ratio as a prognostic factor in colorectal cancer. </w:t>
      </w:r>
      <w:r w:rsidRPr="002B2C64">
        <w:rPr>
          <w:rFonts w:ascii="Book Antiqua" w:hAnsi="Book Antiqua"/>
          <w:i/>
          <w:sz w:val="24"/>
          <w:szCs w:val="24"/>
        </w:rPr>
        <w:t>J Surg Oncol</w:t>
      </w:r>
      <w:r w:rsidRPr="002B2C64">
        <w:rPr>
          <w:rFonts w:ascii="Book Antiqua" w:hAnsi="Book Antiqua"/>
          <w:sz w:val="24"/>
          <w:szCs w:val="24"/>
        </w:rPr>
        <w:t xml:space="preserve"> 2005; </w:t>
      </w:r>
      <w:r w:rsidRPr="002B2C64">
        <w:rPr>
          <w:rFonts w:ascii="Book Antiqua" w:hAnsi="Book Antiqua"/>
          <w:b/>
          <w:sz w:val="24"/>
          <w:szCs w:val="24"/>
        </w:rPr>
        <w:t>91</w:t>
      </w:r>
      <w:r w:rsidRPr="002B2C64">
        <w:rPr>
          <w:rFonts w:ascii="Book Antiqua" w:hAnsi="Book Antiqua"/>
          <w:sz w:val="24"/>
          <w:szCs w:val="24"/>
        </w:rPr>
        <w:t>: 181-184 [PMID: 16118772 DOI: 10.1002/jso.20329]</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13 </w:t>
      </w:r>
      <w:r w:rsidRPr="002B2C64">
        <w:rPr>
          <w:rFonts w:ascii="Book Antiqua" w:hAnsi="Book Antiqua"/>
          <w:b/>
          <w:sz w:val="24"/>
          <w:szCs w:val="24"/>
        </w:rPr>
        <w:t>Sun X</w:t>
      </w:r>
      <w:r w:rsidRPr="002B2C64">
        <w:rPr>
          <w:rFonts w:ascii="Book Antiqua" w:hAnsi="Book Antiqua"/>
          <w:sz w:val="24"/>
          <w:szCs w:val="24"/>
        </w:rPr>
        <w:t xml:space="preserve">, Liu X, Liu J, Chen S, Xu D, Li W, Zhan Y, Li Y, Chen Y, Zhou Z. Preoperative neutrophil-to-lymphocyte ratio plus platelet-to-lymphocyte ratio in predicting survival for patients with stage I-II gastric cancer. </w:t>
      </w:r>
      <w:r w:rsidRPr="002B2C64">
        <w:rPr>
          <w:rFonts w:ascii="Book Antiqua" w:hAnsi="Book Antiqua"/>
          <w:i/>
          <w:sz w:val="24"/>
          <w:szCs w:val="24"/>
        </w:rPr>
        <w:t>Chin J Cancer</w:t>
      </w:r>
      <w:r w:rsidRPr="002B2C64">
        <w:rPr>
          <w:rFonts w:ascii="Book Antiqua" w:hAnsi="Book Antiqua"/>
          <w:sz w:val="24"/>
          <w:szCs w:val="24"/>
        </w:rPr>
        <w:t xml:space="preserve"> 2016; </w:t>
      </w:r>
      <w:r w:rsidRPr="002B2C64">
        <w:rPr>
          <w:rFonts w:ascii="Book Antiqua" w:hAnsi="Book Antiqua"/>
          <w:b/>
          <w:sz w:val="24"/>
          <w:szCs w:val="24"/>
        </w:rPr>
        <w:t>35</w:t>
      </w:r>
      <w:r w:rsidRPr="002B2C64">
        <w:rPr>
          <w:rFonts w:ascii="Book Antiqua" w:hAnsi="Book Antiqua"/>
          <w:sz w:val="24"/>
          <w:szCs w:val="24"/>
        </w:rPr>
        <w:t>: 57 [PMID: 27342313 DOI: 10.1186/s40880-016-0122-2]</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14 </w:t>
      </w:r>
      <w:r w:rsidRPr="002B2C64">
        <w:rPr>
          <w:rFonts w:ascii="Book Antiqua" w:hAnsi="Book Antiqua"/>
          <w:b/>
          <w:sz w:val="24"/>
          <w:szCs w:val="24"/>
        </w:rPr>
        <w:t>Benson AB</w:t>
      </w:r>
      <w:r w:rsidRPr="002B2C64">
        <w:rPr>
          <w:rFonts w:ascii="Book Antiqua" w:hAnsi="Book Antiqua"/>
          <w:sz w:val="24"/>
          <w:szCs w:val="24"/>
        </w:rPr>
        <w:t xml:space="preserve">, Venook AP, Al-Hawary MM, Cederquist L, Chen YJ, Ciombor KK, Cohen S, Cooper HS, Deming D, Engstrom PF, Garrido-Laguna I, Grem JL, Grothey A, Hochster HS, Hoffe S, Hunt S, Kamel A, Kirilcuk N, </w:t>
      </w:r>
      <w:r w:rsidRPr="002B2C64">
        <w:rPr>
          <w:rFonts w:ascii="Book Antiqua" w:hAnsi="Book Antiqua"/>
          <w:sz w:val="24"/>
          <w:szCs w:val="24"/>
        </w:rPr>
        <w:lastRenderedPageBreak/>
        <w:t xml:space="preserve">Krishnamurthi S, Messersmith WA, Meyerhardt J, Miller ED, Mulcahy MF, Murphy JD, Nurkin S, Saltz L, Sharma S, Shibata D, Skibber JM, Sofocleous CT, Stoffel EM, Stotsky-Himelfarb E, Willett CG, Wuthrick E, Gregory KM, Freedman-Cass DA. NCCN Guidelines Insights: Colon Cancer, Version 2.2018. </w:t>
      </w:r>
      <w:r w:rsidRPr="002B2C64">
        <w:rPr>
          <w:rFonts w:ascii="Book Antiqua" w:hAnsi="Book Antiqua"/>
          <w:i/>
          <w:sz w:val="24"/>
          <w:szCs w:val="24"/>
        </w:rPr>
        <w:t>J Natl Compr Canc Netw</w:t>
      </w:r>
      <w:r w:rsidRPr="002B2C64">
        <w:rPr>
          <w:rFonts w:ascii="Book Antiqua" w:hAnsi="Book Antiqua"/>
          <w:sz w:val="24"/>
          <w:szCs w:val="24"/>
        </w:rPr>
        <w:t xml:space="preserve"> 2018; </w:t>
      </w:r>
      <w:r w:rsidRPr="002B2C64">
        <w:rPr>
          <w:rFonts w:ascii="Book Antiqua" w:hAnsi="Book Antiqua"/>
          <w:b/>
          <w:sz w:val="24"/>
          <w:szCs w:val="24"/>
        </w:rPr>
        <w:t>16</w:t>
      </w:r>
      <w:r w:rsidRPr="002B2C64">
        <w:rPr>
          <w:rFonts w:ascii="Book Antiqua" w:hAnsi="Book Antiqua"/>
          <w:sz w:val="24"/>
          <w:szCs w:val="24"/>
        </w:rPr>
        <w:t>: 359-369 [PMID: 29632055 DOI: 10.6004/jnccn.2018.0021]</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15 </w:t>
      </w:r>
      <w:r w:rsidRPr="002B2C64">
        <w:rPr>
          <w:rFonts w:ascii="Book Antiqua" w:hAnsi="Book Antiqua"/>
          <w:b/>
          <w:sz w:val="24"/>
          <w:szCs w:val="24"/>
        </w:rPr>
        <w:t>Eisenhauer EA</w:t>
      </w:r>
      <w:r w:rsidRPr="002B2C64">
        <w:rPr>
          <w:rFonts w:ascii="Book Antiqua" w:hAnsi="Book Antiqua"/>
          <w:sz w:val="24"/>
          <w:szCs w:val="24"/>
        </w:rPr>
        <w:t xml:space="preserve">, Therasse P, Bogaerts J, Schwartz LH, Sargent D, Ford R, Dancey J, Arbuck S, Gwyther S, Mooney M, Rubinstein L, Shankar L, Dodd L, Kaplan R, Lacombe D, Verweij J. New response evaluation criteria in solid tumours: revised RECIST guideline (version 1.1). </w:t>
      </w:r>
      <w:r w:rsidRPr="002B2C64">
        <w:rPr>
          <w:rFonts w:ascii="Book Antiqua" w:hAnsi="Book Antiqua"/>
          <w:i/>
          <w:sz w:val="24"/>
          <w:szCs w:val="24"/>
        </w:rPr>
        <w:t>Eur J Cancer</w:t>
      </w:r>
      <w:r w:rsidRPr="002B2C64">
        <w:rPr>
          <w:rFonts w:ascii="Book Antiqua" w:hAnsi="Book Antiqua"/>
          <w:sz w:val="24"/>
          <w:szCs w:val="24"/>
        </w:rPr>
        <w:t xml:space="preserve"> 2009; </w:t>
      </w:r>
      <w:r w:rsidRPr="002B2C64">
        <w:rPr>
          <w:rFonts w:ascii="Book Antiqua" w:hAnsi="Book Antiqua"/>
          <w:b/>
          <w:sz w:val="24"/>
          <w:szCs w:val="24"/>
        </w:rPr>
        <w:t>45</w:t>
      </w:r>
      <w:r w:rsidRPr="002B2C64">
        <w:rPr>
          <w:rFonts w:ascii="Book Antiqua" w:hAnsi="Book Antiqua"/>
          <w:sz w:val="24"/>
          <w:szCs w:val="24"/>
        </w:rPr>
        <w:t>: 228-247 [PMID: 19097774 DOI: 10.1016/j.ejca.2008.10.026]</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16 </w:t>
      </w:r>
      <w:r w:rsidRPr="002B2C64">
        <w:rPr>
          <w:rFonts w:ascii="Book Antiqua" w:hAnsi="Book Antiqua"/>
          <w:b/>
          <w:sz w:val="24"/>
          <w:szCs w:val="24"/>
        </w:rPr>
        <w:t>Lin Q</w:t>
      </w:r>
      <w:r w:rsidRPr="002B2C64">
        <w:rPr>
          <w:rFonts w:ascii="Book Antiqua" w:hAnsi="Book Antiqua"/>
          <w:sz w:val="24"/>
          <w:szCs w:val="24"/>
        </w:rPr>
        <w:t xml:space="preserve">, Wei Y, Ren L, Zhong Y, Qin C, Zheng P, Xu P, Zhu D, Ji M, Xu J. Tumor deposit is a poor prognostic indicator in patients who underwent simultaneous resection for synchronous colorectal liver metastases. </w:t>
      </w:r>
      <w:r w:rsidRPr="002B2C64">
        <w:rPr>
          <w:rFonts w:ascii="Book Antiqua" w:hAnsi="Book Antiqua"/>
          <w:i/>
          <w:sz w:val="24"/>
          <w:szCs w:val="24"/>
        </w:rPr>
        <w:t>Onco Targets Ther</w:t>
      </w:r>
      <w:r w:rsidRPr="002B2C64">
        <w:rPr>
          <w:rFonts w:ascii="Book Antiqua" w:hAnsi="Book Antiqua"/>
          <w:sz w:val="24"/>
          <w:szCs w:val="24"/>
        </w:rPr>
        <w:t xml:space="preserve"> 2015; </w:t>
      </w:r>
      <w:r w:rsidRPr="002B2C64">
        <w:rPr>
          <w:rFonts w:ascii="Book Antiqua" w:hAnsi="Book Antiqua"/>
          <w:b/>
          <w:sz w:val="24"/>
          <w:szCs w:val="24"/>
        </w:rPr>
        <w:t>8</w:t>
      </w:r>
      <w:r w:rsidRPr="002B2C64">
        <w:rPr>
          <w:rFonts w:ascii="Book Antiqua" w:hAnsi="Book Antiqua"/>
          <w:sz w:val="24"/>
          <w:szCs w:val="24"/>
        </w:rPr>
        <w:t>: 233-240 [PMID: 25653544 DOI: 10.2147/OTT.S71414]</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17 </w:t>
      </w:r>
      <w:r w:rsidRPr="002B2C64">
        <w:rPr>
          <w:rFonts w:ascii="Book Antiqua" w:hAnsi="Book Antiqua"/>
          <w:b/>
          <w:sz w:val="24"/>
          <w:szCs w:val="24"/>
        </w:rPr>
        <w:t>Hirahara T</w:t>
      </w:r>
      <w:r w:rsidRPr="002B2C64">
        <w:rPr>
          <w:rFonts w:ascii="Book Antiqua" w:hAnsi="Book Antiqua"/>
          <w:sz w:val="24"/>
          <w:szCs w:val="24"/>
        </w:rPr>
        <w:t xml:space="preserve">, Arigami T, Yanagita S, Matsushita D, Uchikado Y, Kita Y, Mori S, Sasaki K, Omoto I, Kurahara H, Maemura K, Okubo K, Uenosono Y, Ishigami S, Natsugoe S. Combined neutrophil-lymphocyte ratio and platelet-lymphocyte ratio predicts chemotherapy response and prognosis in patients with advanced gastric cancer. </w:t>
      </w:r>
      <w:r w:rsidRPr="002B2C64">
        <w:rPr>
          <w:rFonts w:ascii="Book Antiqua" w:hAnsi="Book Antiqua"/>
          <w:i/>
          <w:sz w:val="24"/>
          <w:szCs w:val="24"/>
        </w:rPr>
        <w:t>BMC Cancer</w:t>
      </w:r>
      <w:r w:rsidRPr="002B2C64">
        <w:rPr>
          <w:rFonts w:ascii="Book Antiqua" w:hAnsi="Book Antiqua"/>
          <w:sz w:val="24"/>
          <w:szCs w:val="24"/>
        </w:rPr>
        <w:t xml:space="preserve"> 2019; </w:t>
      </w:r>
      <w:r w:rsidRPr="002B2C64">
        <w:rPr>
          <w:rFonts w:ascii="Book Antiqua" w:hAnsi="Book Antiqua"/>
          <w:b/>
          <w:sz w:val="24"/>
          <w:szCs w:val="24"/>
        </w:rPr>
        <w:t>19</w:t>
      </w:r>
      <w:r w:rsidRPr="002B2C64">
        <w:rPr>
          <w:rFonts w:ascii="Book Antiqua" w:hAnsi="Book Antiqua"/>
          <w:sz w:val="24"/>
          <w:szCs w:val="24"/>
        </w:rPr>
        <w:t>: 672 [PMID: 31286873 DOI: 10.1186/s12885-019-5903-y]</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18 </w:t>
      </w:r>
      <w:r w:rsidRPr="002B2C64">
        <w:rPr>
          <w:rFonts w:ascii="Book Antiqua" w:hAnsi="Book Antiqua"/>
          <w:b/>
          <w:sz w:val="24"/>
          <w:szCs w:val="24"/>
        </w:rPr>
        <w:t>Griffith TS</w:t>
      </w:r>
      <w:r w:rsidRPr="002B2C64">
        <w:rPr>
          <w:rFonts w:ascii="Book Antiqua" w:hAnsi="Book Antiqua"/>
          <w:sz w:val="24"/>
          <w:szCs w:val="24"/>
        </w:rPr>
        <w:t xml:space="preserve">, Wiley SR, Kubin MZ, Sedger LM, Maliszewski CR, Fanger NA. Monocyte-mediated tumoricidal activity </w:t>
      </w:r>
      <w:r w:rsidRPr="002B2C64">
        <w:rPr>
          <w:rFonts w:ascii="Book Antiqua" w:hAnsi="Book Antiqua"/>
          <w:i/>
          <w:iCs/>
          <w:sz w:val="24"/>
          <w:szCs w:val="24"/>
        </w:rPr>
        <w:t>via</w:t>
      </w:r>
      <w:r w:rsidRPr="002B2C64">
        <w:rPr>
          <w:rFonts w:ascii="Book Antiqua" w:hAnsi="Book Antiqua"/>
          <w:sz w:val="24"/>
          <w:szCs w:val="24"/>
        </w:rPr>
        <w:t xml:space="preserve"> the tumor necrosis factor-related cytokine, TRAIL. </w:t>
      </w:r>
      <w:r w:rsidRPr="002B2C64">
        <w:rPr>
          <w:rFonts w:ascii="Book Antiqua" w:hAnsi="Book Antiqua"/>
          <w:i/>
          <w:sz w:val="24"/>
          <w:szCs w:val="24"/>
        </w:rPr>
        <w:t>J Exp Med</w:t>
      </w:r>
      <w:r w:rsidRPr="002B2C64">
        <w:rPr>
          <w:rFonts w:ascii="Book Antiqua" w:hAnsi="Book Antiqua"/>
          <w:sz w:val="24"/>
          <w:szCs w:val="24"/>
        </w:rPr>
        <w:t xml:space="preserve"> 1999; </w:t>
      </w:r>
      <w:r w:rsidRPr="002B2C64">
        <w:rPr>
          <w:rFonts w:ascii="Book Antiqua" w:hAnsi="Book Antiqua"/>
          <w:b/>
          <w:sz w:val="24"/>
          <w:szCs w:val="24"/>
        </w:rPr>
        <w:t>189</w:t>
      </w:r>
      <w:r w:rsidRPr="002B2C64">
        <w:rPr>
          <w:rFonts w:ascii="Book Antiqua" w:hAnsi="Book Antiqua"/>
          <w:sz w:val="24"/>
          <w:szCs w:val="24"/>
        </w:rPr>
        <w:t>: 1343-1354 [PMID: 10209050 DOI: 10.1084/jem.189.8.1343]</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19 </w:t>
      </w:r>
      <w:r w:rsidRPr="002B2C64">
        <w:rPr>
          <w:rFonts w:ascii="Book Antiqua" w:hAnsi="Book Antiqua"/>
          <w:b/>
          <w:sz w:val="24"/>
          <w:szCs w:val="24"/>
        </w:rPr>
        <w:t>Yeap WH</w:t>
      </w:r>
      <w:r w:rsidRPr="002B2C64">
        <w:rPr>
          <w:rFonts w:ascii="Book Antiqua" w:hAnsi="Book Antiqua"/>
          <w:sz w:val="24"/>
          <w:szCs w:val="24"/>
        </w:rPr>
        <w:t xml:space="preserve">, Wong KL, Shimasaki N, Teo EC, Quek JK, Yong HX, Diong CP, Bertoletti A, Linn YC, Wong SC. CD16 is indispensable for antibody-dependent cellular cytotoxicity by human monocytes. </w:t>
      </w:r>
      <w:r w:rsidRPr="002B2C64">
        <w:rPr>
          <w:rFonts w:ascii="Book Antiqua" w:hAnsi="Book Antiqua"/>
          <w:i/>
          <w:sz w:val="24"/>
          <w:szCs w:val="24"/>
        </w:rPr>
        <w:t>Sci Rep</w:t>
      </w:r>
      <w:r w:rsidRPr="002B2C64">
        <w:rPr>
          <w:rFonts w:ascii="Book Antiqua" w:hAnsi="Book Antiqua"/>
          <w:sz w:val="24"/>
          <w:szCs w:val="24"/>
        </w:rPr>
        <w:t xml:space="preserve"> 2016; </w:t>
      </w:r>
      <w:r w:rsidRPr="002B2C64">
        <w:rPr>
          <w:rFonts w:ascii="Book Antiqua" w:hAnsi="Book Antiqua"/>
          <w:b/>
          <w:sz w:val="24"/>
          <w:szCs w:val="24"/>
        </w:rPr>
        <w:t>6</w:t>
      </w:r>
      <w:r w:rsidRPr="002B2C64">
        <w:rPr>
          <w:rFonts w:ascii="Book Antiqua" w:hAnsi="Book Antiqua"/>
          <w:sz w:val="24"/>
          <w:szCs w:val="24"/>
        </w:rPr>
        <w:t>: 34310 [PMID: 27670158 DOI: 10.1038/srep34310]</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20 </w:t>
      </w:r>
      <w:r w:rsidRPr="002B2C64">
        <w:rPr>
          <w:rFonts w:ascii="Book Antiqua" w:hAnsi="Book Antiqua"/>
          <w:b/>
          <w:sz w:val="24"/>
          <w:szCs w:val="24"/>
        </w:rPr>
        <w:t>Jaiswal S</w:t>
      </w:r>
      <w:r w:rsidRPr="002B2C64">
        <w:rPr>
          <w:rFonts w:ascii="Book Antiqua" w:hAnsi="Book Antiqua"/>
          <w:sz w:val="24"/>
          <w:szCs w:val="24"/>
        </w:rPr>
        <w:t xml:space="preserve">, Jamieson CH, Pang WW, Park CY, Chao MP, Majeti R, Traver D, van Rooijen N, Weissman IL. CD47 is upregulated on circulating </w:t>
      </w:r>
      <w:r w:rsidRPr="002B2C64">
        <w:rPr>
          <w:rFonts w:ascii="Book Antiqua" w:hAnsi="Book Antiqua"/>
          <w:sz w:val="24"/>
          <w:szCs w:val="24"/>
        </w:rPr>
        <w:lastRenderedPageBreak/>
        <w:t xml:space="preserve">hematopoietic stem cells and leukemia cells to avoid phagocytosis. </w:t>
      </w:r>
      <w:r w:rsidRPr="002B2C64">
        <w:rPr>
          <w:rFonts w:ascii="Book Antiqua" w:hAnsi="Book Antiqua"/>
          <w:i/>
          <w:sz w:val="24"/>
          <w:szCs w:val="24"/>
        </w:rPr>
        <w:t>Cell</w:t>
      </w:r>
      <w:r w:rsidRPr="002B2C64">
        <w:rPr>
          <w:rFonts w:ascii="Book Antiqua" w:hAnsi="Book Antiqua"/>
          <w:sz w:val="24"/>
          <w:szCs w:val="24"/>
        </w:rPr>
        <w:t xml:space="preserve"> 2009; </w:t>
      </w:r>
      <w:r w:rsidRPr="002B2C64">
        <w:rPr>
          <w:rFonts w:ascii="Book Antiqua" w:hAnsi="Book Antiqua"/>
          <w:b/>
          <w:sz w:val="24"/>
          <w:szCs w:val="24"/>
        </w:rPr>
        <w:t>138</w:t>
      </w:r>
      <w:r w:rsidRPr="002B2C64">
        <w:rPr>
          <w:rFonts w:ascii="Book Antiqua" w:hAnsi="Book Antiqua"/>
          <w:sz w:val="24"/>
          <w:szCs w:val="24"/>
        </w:rPr>
        <w:t>: 271-285 [PMID: 19632178 DOI: 10.1016/j.cell.2009.05.046]</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21 </w:t>
      </w:r>
      <w:r w:rsidRPr="002B2C64">
        <w:rPr>
          <w:rFonts w:ascii="Book Antiqua" w:hAnsi="Book Antiqua"/>
          <w:b/>
          <w:sz w:val="24"/>
          <w:szCs w:val="24"/>
        </w:rPr>
        <w:t>Kitamura T</w:t>
      </w:r>
      <w:r w:rsidRPr="002B2C64">
        <w:rPr>
          <w:rFonts w:ascii="Book Antiqua" w:hAnsi="Book Antiqua"/>
          <w:sz w:val="24"/>
          <w:szCs w:val="24"/>
        </w:rPr>
        <w:t xml:space="preserve">, Doughty-Shenton D, Cassetta L, Fragkogianni S, Brownlie D, Kato Y, Carragher N, Pollard JW. Monocytes Differentiate to Immune Suppressive Precursors of Metastasis-Associated Macrophages in Mouse Models of Metastatic Breast Cancer. </w:t>
      </w:r>
      <w:r w:rsidRPr="002B2C64">
        <w:rPr>
          <w:rFonts w:ascii="Book Antiqua" w:hAnsi="Book Antiqua"/>
          <w:i/>
          <w:sz w:val="24"/>
          <w:szCs w:val="24"/>
        </w:rPr>
        <w:t>Front Immunol</w:t>
      </w:r>
      <w:r w:rsidRPr="002B2C64">
        <w:rPr>
          <w:rFonts w:ascii="Book Antiqua" w:hAnsi="Book Antiqua"/>
          <w:sz w:val="24"/>
          <w:szCs w:val="24"/>
        </w:rPr>
        <w:t xml:space="preserve"> 2017; </w:t>
      </w:r>
      <w:r w:rsidRPr="002B2C64">
        <w:rPr>
          <w:rFonts w:ascii="Book Antiqua" w:hAnsi="Book Antiqua"/>
          <w:b/>
          <w:sz w:val="24"/>
          <w:szCs w:val="24"/>
        </w:rPr>
        <w:t>8</w:t>
      </w:r>
      <w:r w:rsidRPr="002B2C64">
        <w:rPr>
          <w:rFonts w:ascii="Book Antiqua" w:hAnsi="Book Antiqua"/>
          <w:sz w:val="24"/>
          <w:szCs w:val="24"/>
        </w:rPr>
        <w:t>: 2004 [PMID: 29387063 DOI: 10.3389/fimmu.2017.02004]</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22 </w:t>
      </w:r>
      <w:r w:rsidRPr="002B2C64">
        <w:rPr>
          <w:rFonts w:ascii="Book Antiqua" w:hAnsi="Book Antiqua"/>
          <w:b/>
          <w:sz w:val="24"/>
          <w:szCs w:val="24"/>
        </w:rPr>
        <w:t>Chun E</w:t>
      </w:r>
      <w:r w:rsidRPr="002B2C64">
        <w:rPr>
          <w:rFonts w:ascii="Book Antiqua" w:hAnsi="Book Antiqua"/>
          <w:sz w:val="24"/>
          <w:szCs w:val="24"/>
        </w:rPr>
        <w:t xml:space="preserve">, Lavoie S, Michaud M, Gallini CA, Kim J, Soucy G, Odze R, Glickman JN, Garrett WS. CCL2 Promotes Colorectal Carcinogenesis by Enhancing Polymorphonuclear Myeloid-Derived Suppressor Cell Population and Function. </w:t>
      </w:r>
      <w:r w:rsidRPr="002B2C64">
        <w:rPr>
          <w:rFonts w:ascii="Book Antiqua" w:hAnsi="Book Antiqua"/>
          <w:i/>
          <w:sz w:val="24"/>
          <w:szCs w:val="24"/>
        </w:rPr>
        <w:t>Cell Rep</w:t>
      </w:r>
      <w:r w:rsidRPr="002B2C64">
        <w:rPr>
          <w:rFonts w:ascii="Book Antiqua" w:hAnsi="Book Antiqua"/>
          <w:sz w:val="24"/>
          <w:szCs w:val="24"/>
        </w:rPr>
        <w:t xml:space="preserve"> 2015; </w:t>
      </w:r>
      <w:r w:rsidRPr="002B2C64">
        <w:rPr>
          <w:rFonts w:ascii="Book Antiqua" w:hAnsi="Book Antiqua"/>
          <w:b/>
          <w:sz w:val="24"/>
          <w:szCs w:val="24"/>
        </w:rPr>
        <w:t>12</w:t>
      </w:r>
      <w:r w:rsidRPr="002B2C64">
        <w:rPr>
          <w:rFonts w:ascii="Book Antiqua" w:hAnsi="Book Antiqua"/>
          <w:sz w:val="24"/>
          <w:szCs w:val="24"/>
        </w:rPr>
        <w:t>: 244-257 [PMID: 26146082 DOI: 10.1016/j.celrep.2015.06.024]</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23 </w:t>
      </w:r>
      <w:r w:rsidRPr="002B2C64">
        <w:rPr>
          <w:rFonts w:ascii="Book Antiqua" w:hAnsi="Book Antiqua"/>
          <w:b/>
          <w:sz w:val="24"/>
          <w:szCs w:val="24"/>
        </w:rPr>
        <w:t>Qian BZ</w:t>
      </w:r>
      <w:r w:rsidRPr="002B2C64">
        <w:rPr>
          <w:rFonts w:ascii="Book Antiqua" w:hAnsi="Book Antiqua"/>
          <w:sz w:val="24"/>
          <w:szCs w:val="24"/>
        </w:rPr>
        <w:t xml:space="preserve">, Li J, Zhang H, Kitamura T, Zhang J, Campion LR, Kaiser EA, Snyder LA, Pollard JW. CCL2 recruits inflammatory monocytes to facilitate breast-tumour metastasis. </w:t>
      </w:r>
      <w:r w:rsidRPr="002B2C64">
        <w:rPr>
          <w:rFonts w:ascii="Book Antiqua" w:hAnsi="Book Antiqua"/>
          <w:i/>
          <w:sz w:val="24"/>
          <w:szCs w:val="24"/>
        </w:rPr>
        <w:t>Nature</w:t>
      </w:r>
      <w:r w:rsidRPr="002B2C64">
        <w:rPr>
          <w:rFonts w:ascii="Book Antiqua" w:hAnsi="Book Antiqua"/>
          <w:sz w:val="24"/>
          <w:szCs w:val="24"/>
        </w:rPr>
        <w:t xml:space="preserve"> 2011; </w:t>
      </w:r>
      <w:r w:rsidRPr="002B2C64">
        <w:rPr>
          <w:rFonts w:ascii="Book Antiqua" w:hAnsi="Book Antiqua"/>
          <w:b/>
          <w:sz w:val="24"/>
          <w:szCs w:val="24"/>
        </w:rPr>
        <w:t>475</w:t>
      </w:r>
      <w:r w:rsidRPr="002B2C64">
        <w:rPr>
          <w:rFonts w:ascii="Book Antiqua" w:hAnsi="Book Antiqua"/>
          <w:sz w:val="24"/>
          <w:szCs w:val="24"/>
        </w:rPr>
        <w:t>: 222-225 [PMID: 21654748 DOI: 10.1038/nature10138]</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24 </w:t>
      </w:r>
      <w:r w:rsidRPr="002B2C64">
        <w:rPr>
          <w:rFonts w:ascii="Book Antiqua" w:hAnsi="Book Antiqua"/>
          <w:b/>
          <w:sz w:val="24"/>
          <w:szCs w:val="24"/>
        </w:rPr>
        <w:t>Li Z</w:t>
      </w:r>
      <w:r w:rsidRPr="002B2C64">
        <w:rPr>
          <w:rFonts w:ascii="Book Antiqua" w:hAnsi="Book Antiqua"/>
          <w:sz w:val="24"/>
          <w:szCs w:val="24"/>
        </w:rPr>
        <w:t xml:space="preserve">, Xu Z, Huang Y, Zhao R, Cui Y, Zhou Y, Wu X. The predictive value and the correlation of peripheral absolute monocyte count, tumor-associated macrophage and microvessel density in patients with colon cancer. </w:t>
      </w:r>
      <w:r w:rsidRPr="002B2C64">
        <w:rPr>
          <w:rFonts w:ascii="Book Antiqua" w:hAnsi="Book Antiqua"/>
          <w:i/>
          <w:sz w:val="24"/>
          <w:szCs w:val="24"/>
        </w:rPr>
        <w:t>Medicine (Baltimore)</w:t>
      </w:r>
      <w:r w:rsidRPr="002B2C64">
        <w:rPr>
          <w:rFonts w:ascii="Book Antiqua" w:hAnsi="Book Antiqua"/>
          <w:sz w:val="24"/>
          <w:szCs w:val="24"/>
        </w:rPr>
        <w:t xml:space="preserve"> 2018; </w:t>
      </w:r>
      <w:r w:rsidRPr="002B2C64">
        <w:rPr>
          <w:rFonts w:ascii="Book Antiqua" w:hAnsi="Book Antiqua"/>
          <w:b/>
          <w:sz w:val="24"/>
          <w:szCs w:val="24"/>
        </w:rPr>
        <w:t>97</w:t>
      </w:r>
      <w:r w:rsidRPr="002B2C64">
        <w:rPr>
          <w:rFonts w:ascii="Book Antiqua" w:hAnsi="Book Antiqua"/>
          <w:sz w:val="24"/>
          <w:szCs w:val="24"/>
        </w:rPr>
        <w:t>: e10759 [PMID: 29794753 DOI: 10.1097/MD.0000000000010759]</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25 </w:t>
      </w:r>
      <w:r w:rsidRPr="002B2C64">
        <w:rPr>
          <w:rFonts w:ascii="Book Antiqua" w:hAnsi="Book Antiqua"/>
          <w:b/>
          <w:sz w:val="24"/>
          <w:szCs w:val="24"/>
        </w:rPr>
        <w:t>Hu S</w:t>
      </w:r>
      <w:r w:rsidRPr="002B2C64">
        <w:rPr>
          <w:rFonts w:ascii="Book Antiqua" w:hAnsi="Book Antiqua"/>
          <w:sz w:val="24"/>
          <w:szCs w:val="24"/>
        </w:rPr>
        <w:t xml:space="preserve">, Zou Z, Li H, Zou G, Li Z, Xu J, Wang L, Du X. The Preoperative Peripheral Blood Monocyte Count Is Associated with Liver Metastasis and Overall Survival in Colorectal Cancer Patients. </w:t>
      </w:r>
      <w:r w:rsidRPr="002B2C64">
        <w:rPr>
          <w:rFonts w:ascii="Book Antiqua" w:hAnsi="Book Antiqua"/>
          <w:i/>
          <w:sz w:val="24"/>
          <w:szCs w:val="24"/>
        </w:rPr>
        <w:t>PLoS One</w:t>
      </w:r>
      <w:r w:rsidRPr="002B2C64">
        <w:rPr>
          <w:rFonts w:ascii="Book Antiqua" w:hAnsi="Book Antiqua"/>
          <w:sz w:val="24"/>
          <w:szCs w:val="24"/>
        </w:rPr>
        <w:t xml:space="preserve"> 2016; </w:t>
      </w:r>
      <w:r w:rsidRPr="002B2C64">
        <w:rPr>
          <w:rFonts w:ascii="Book Antiqua" w:hAnsi="Book Antiqua"/>
          <w:b/>
          <w:sz w:val="24"/>
          <w:szCs w:val="24"/>
        </w:rPr>
        <w:t>11</w:t>
      </w:r>
      <w:r w:rsidRPr="002B2C64">
        <w:rPr>
          <w:rFonts w:ascii="Book Antiqua" w:hAnsi="Book Antiqua"/>
          <w:sz w:val="24"/>
          <w:szCs w:val="24"/>
        </w:rPr>
        <w:t>: e0157486 [PMID: 27355390 DOI: 10.1371/journal.pone.0157486]</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26 </w:t>
      </w:r>
      <w:r w:rsidRPr="002B2C64">
        <w:rPr>
          <w:rFonts w:ascii="Book Antiqua" w:hAnsi="Book Antiqua"/>
          <w:b/>
          <w:sz w:val="24"/>
          <w:szCs w:val="24"/>
        </w:rPr>
        <w:t>Haruki K</w:t>
      </w:r>
      <w:r w:rsidRPr="002B2C64">
        <w:rPr>
          <w:rFonts w:ascii="Book Antiqua" w:hAnsi="Book Antiqua"/>
          <w:sz w:val="24"/>
          <w:szCs w:val="24"/>
        </w:rPr>
        <w:t xml:space="preserve">, Shiba H, Fujiwara Y, Furukawa K, Wakiyama S, Ogawa M, Ishida Y, Misawa T, Yanaga K. Perioperative change in peripheral blood monocyte count may predict prognosis in patients with colorectal liver metastasis after hepatic resection. </w:t>
      </w:r>
      <w:r w:rsidRPr="002B2C64">
        <w:rPr>
          <w:rFonts w:ascii="Book Antiqua" w:hAnsi="Book Antiqua"/>
          <w:i/>
          <w:sz w:val="24"/>
          <w:szCs w:val="24"/>
        </w:rPr>
        <w:t>J Surg Oncol</w:t>
      </w:r>
      <w:r w:rsidRPr="002B2C64">
        <w:rPr>
          <w:rFonts w:ascii="Book Antiqua" w:hAnsi="Book Antiqua"/>
          <w:sz w:val="24"/>
          <w:szCs w:val="24"/>
        </w:rPr>
        <w:t xml:space="preserve"> 2012; </w:t>
      </w:r>
      <w:r w:rsidRPr="002B2C64">
        <w:rPr>
          <w:rFonts w:ascii="Book Antiqua" w:hAnsi="Book Antiqua"/>
          <w:b/>
          <w:sz w:val="24"/>
          <w:szCs w:val="24"/>
        </w:rPr>
        <w:t>106</w:t>
      </w:r>
      <w:r w:rsidRPr="002B2C64">
        <w:rPr>
          <w:rFonts w:ascii="Book Antiqua" w:hAnsi="Book Antiqua"/>
          <w:sz w:val="24"/>
          <w:szCs w:val="24"/>
        </w:rPr>
        <w:t>: 31-35 [PMID: 22231029 DOI: 10.1002/jso.23033]</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lastRenderedPageBreak/>
        <w:t xml:space="preserve">27 </w:t>
      </w:r>
      <w:r w:rsidRPr="002B2C64">
        <w:rPr>
          <w:rFonts w:ascii="Book Antiqua" w:hAnsi="Book Antiqua"/>
          <w:b/>
          <w:sz w:val="24"/>
          <w:szCs w:val="24"/>
        </w:rPr>
        <w:t>Chittezhath M</w:t>
      </w:r>
      <w:r w:rsidRPr="002B2C64">
        <w:rPr>
          <w:rFonts w:ascii="Book Antiqua" w:hAnsi="Book Antiqua"/>
          <w:sz w:val="24"/>
          <w:szCs w:val="24"/>
        </w:rPr>
        <w:t xml:space="preserve">, Dhillon MK, Lim JY, Laoui D, Shalova IN, Teo YL, Chen J, Kamaraj R, Raman L, Lum J, Thamboo TP, Chiong E, Zolezzi F, Yang H, Van Ginderachter JA, Poidinger M, Wong AS, Biswas SK. Molecular profiling reveals a tumor-promoting phenotype of monocytes and macrophages in human cancer progression. </w:t>
      </w:r>
      <w:r w:rsidRPr="002B2C64">
        <w:rPr>
          <w:rFonts w:ascii="Book Antiqua" w:hAnsi="Book Antiqua"/>
          <w:i/>
          <w:sz w:val="24"/>
          <w:szCs w:val="24"/>
        </w:rPr>
        <w:t>Immunity</w:t>
      </w:r>
      <w:r w:rsidRPr="002B2C64">
        <w:rPr>
          <w:rFonts w:ascii="Book Antiqua" w:hAnsi="Book Antiqua"/>
          <w:sz w:val="24"/>
          <w:szCs w:val="24"/>
        </w:rPr>
        <w:t xml:space="preserve"> 2014; </w:t>
      </w:r>
      <w:r w:rsidRPr="002B2C64">
        <w:rPr>
          <w:rFonts w:ascii="Book Antiqua" w:hAnsi="Book Antiqua"/>
          <w:b/>
          <w:sz w:val="24"/>
          <w:szCs w:val="24"/>
        </w:rPr>
        <w:t>41</w:t>
      </w:r>
      <w:r w:rsidRPr="002B2C64">
        <w:rPr>
          <w:rFonts w:ascii="Book Antiqua" w:hAnsi="Book Antiqua"/>
          <w:sz w:val="24"/>
          <w:szCs w:val="24"/>
        </w:rPr>
        <w:t>: 815-829 [PMID: 25453823 DOI: 10.1016/j.immuni.2014.09.014]</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28 </w:t>
      </w:r>
      <w:r w:rsidRPr="002B2C64">
        <w:rPr>
          <w:rFonts w:ascii="Book Antiqua" w:hAnsi="Book Antiqua"/>
          <w:b/>
          <w:sz w:val="24"/>
          <w:szCs w:val="24"/>
        </w:rPr>
        <w:t>Mitchem JB</w:t>
      </w:r>
      <w:r w:rsidRPr="002B2C64">
        <w:rPr>
          <w:rFonts w:ascii="Book Antiqua" w:hAnsi="Book Antiqua"/>
          <w:sz w:val="24"/>
          <w:szCs w:val="24"/>
        </w:rPr>
        <w:t xml:space="preserve">, Brennan DJ, Knolhoff BL, Belt BA, Zhu Y, Sanford DE, Belaygorod L, Carpenter D, Collins L, Piwnica-Worms D, Hewitt S, Udupi GM, Gallagher WM, Wegner C, West BL, Wang-Gillam A, Goedegebuure P, Linehan DC, DeNardo DG. Targeting tumor-infiltrating macrophages decreases tumor-initiating cells, relieves immunosuppression, and improves chemotherapeutic responses. </w:t>
      </w:r>
      <w:r w:rsidRPr="002B2C64">
        <w:rPr>
          <w:rFonts w:ascii="Book Antiqua" w:hAnsi="Book Antiqua"/>
          <w:i/>
          <w:sz w:val="24"/>
          <w:szCs w:val="24"/>
        </w:rPr>
        <w:t>Cancer Res</w:t>
      </w:r>
      <w:r w:rsidRPr="002B2C64">
        <w:rPr>
          <w:rFonts w:ascii="Book Antiqua" w:hAnsi="Book Antiqua"/>
          <w:sz w:val="24"/>
          <w:szCs w:val="24"/>
        </w:rPr>
        <w:t xml:space="preserve"> 2013; </w:t>
      </w:r>
      <w:r w:rsidRPr="002B2C64">
        <w:rPr>
          <w:rFonts w:ascii="Book Antiqua" w:hAnsi="Book Antiqua"/>
          <w:b/>
          <w:sz w:val="24"/>
          <w:szCs w:val="24"/>
        </w:rPr>
        <w:t>73</w:t>
      </w:r>
      <w:r w:rsidRPr="002B2C64">
        <w:rPr>
          <w:rFonts w:ascii="Book Antiqua" w:hAnsi="Book Antiqua"/>
          <w:sz w:val="24"/>
          <w:szCs w:val="24"/>
        </w:rPr>
        <w:t>: 1128-1141 [PMID: 23221383 DOI: 10.1158/0008-5472.CAN-12-2731]</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29 </w:t>
      </w:r>
      <w:r w:rsidRPr="002B2C64">
        <w:rPr>
          <w:rFonts w:ascii="Book Antiqua" w:hAnsi="Book Antiqua"/>
          <w:b/>
          <w:sz w:val="24"/>
          <w:szCs w:val="24"/>
        </w:rPr>
        <w:t>Li X</w:t>
      </w:r>
      <w:r w:rsidRPr="002B2C64">
        <w:rPr>
          <w:rFonts w:ascii="Book Antiqua" w:hAnsi="Book Antiqua"/>
          <w:sz w:val="24"/>
          <w:szCs w:val="24"/>
        </w:rPr>
        <w:t xml:space="preserve">, Yao W, Yuan Y, Chen P, Li B, Li J, Chu R, Song H, Xie D, Jiang X, Wang H. Targeting of tumour-infiltrating macrophages via CCL2/CCR2 signalling as a therapeutic strategy against hepatocellular carcinoma. </w:t>
      </w:r>
      <w:r w:rsidRPr="002B2C64">
        <w:rPr>
          <w:rFonts w:ascii="Book Antiqua" w:hAnsi="Book Antiqua"/>
          <w:i/>
          <w:sz w:val="24"/>
          <w:szCs w:val="24"/>
        </w:rPr>
        <w:t>Gut</w:t>
      </w:r>
      <w:r w:rsidRPr="002B2C64">
        <w:rPr>
          <w:rFonts w:ascii="Book Antiqua" w:hAnsi="Book Antiqua"/>
          <w:sz w:val="24"/>
          <w:szCs w:val="24"/>
        </w:rPr>
        <w:t xml:space="preserve"> 2017; </w:t>
      </w:r>
      <w:r w:rsidRPr="002B2C64">
        <w:rPr>
          <w:rFonts w:ascii="Book Antiqua" w:hAnsi="Book Antiqua"/>
          <w:b/>
          <w:sz w:val="24"/>
          <w:szCs w:val="24"/>
        </w:rPr>
        <w:t>66</w:t>
      </w:r>
      <w:r w:rsidRPr="002B2C64">
        <w:rPr>
          <w:rFonts w:ascii="Book Antiqua" w:hAnsi="Book Antiqua"/>
          <w:sz w:val="24"/>
          <w:szCs w:val="24"/>
        </w:rPr>
        <w:t>: 157-167 [PMID: 26452628 DOI: 10.1136/gutjnl-2015-310514]</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30 </w:t>
      </w:r>
      <w:r w:rsidRPr="002B2C64">
        <w:rPr>
          <w:rFonts w:ascii="Book Antiqua" w:hAnsi="Book Antiqua"/>
          <w:b/>
          <w:sz w:val="24"/>
          <w:szCs w:val="24"/>
        </w:rPr>
        <w:t>Schlecker E</w:t>
      </w:r>
      <w:r w:rsidRPr="002B2C64">
        <w:rPr>
          <w:rFonts w:ascii="Book Antiqua" w:hAnsi="Book Antiqua"/>
          <w:sz w:val="24"/>
          <w:szCs w:val="24"/>
        </w:rPr>
        <w:t xml:space="preserve">, Stojanovic A, Eisen C, Quack C, Falk CS, Umansky V, Cerwenka A. Tumor-infiltrating monocytic myeloid-derived suppressor cells mediate CCR5-dependent recruitment of regulatory T cells favoring tumor growth. </w:t>
      </w:r>
      <w:r w:rsidRPr="002B2C64">
        <w:rPr>
          <w:rFonts w:ascii="Book Antiqua" w:hAnsi="Book Antiqua"/>
          <w:i/>
          <w:sz w:val="24"/>
          <w:szCs w:val="24"/>
        </w:rPr>
        <w:t>J Immunol</w:t>
      </w:r>
      <w:r w:rsidRPr="002B2C64">
        <w:rPr>
          <w:rFonts w:ascii="Book Antiqua" w:hAnsi="Book Antiqua"/>
          <w:sz w:val="24"/>
          <w:szCs w:val="24"/>
        </w:rPr>
        <w:t xml:space="preserve"> 2012; </w:t>
      </w:r>
      <w:r w:rsidRPr="002B2C64">
        <w:rPr>
          <w:rFonts w:ascii="Book Antiqua" w:hAnsi="Book Antiqua"/>
          <w:b/>
          <w:sz w:val="24"/>
          <w:szCs w:val="24"/>
        </w:rPr>
        <w:t>189</w:t>
      </w:r>
      <w:r w:rsidRPr="002B2C64">
        <w:rPr>
          <w:rFonts w:ascii="Book Antiqua" w:hAnsi="Book Antiqua"/>
          <w:sz w:val="24"/>
          <w:szCs w:val="24"/>
        </w:rPr>
        <w:t>: 5602-5611 [PMID: 23152559 DOI: 10.4049/jimmunol.1201018]</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31 </w:t>
      </w:r>
      <w:r w:rsidRPr="002B2C64">
        <w:rPr>
          <w:rFonts w:ascii="Book Antiqua" w:hAnsi="Book Antiqua"/>
          <w:b/>
          <w:sz w:val="24"/>
          <w:szCs w:val="24"/>
        </w:rPr>
        <w:t>Kubo H</w:t>
      </w:r>
      <w:r w:rsidRPr="002B2C64">
        <w:rPr>
          <w:rFonts w:ascii="Book Antiqua" w:hAnsi="Book Antiqua"/>
          <w:sz w:val="24"/>
          <w:szCs w:val="24"/>
        </w:rPr>
        <w:t xml:space="preserve">, Mensurado S, Gonçalves-Sousa N, Serre K, Silva-Santos B. Primary Tumors Limit Metastasis Formation through Induction of IL15-Mediated Cross-Talk between Patrolling Monocytes and NK Cells. </w:t>
      </w:r>
      <w:r w:rsidRPr="002B2C64">
        <w:rPr>
          <w:rFonts w:ascii="Book Antiqua" w:hAnsi="Book Antiqua"/>
          <w:i/>
          <w:sz w:val="24"/>
          <w:szCs w:val="24"/>
        </w:rPr>
        <w:t>Cancer Immunol Res</w:t>
      </w:r>
      <w:r w:rsidRPr="002B2C64">
        <w:rPr>
          <w:rFonts w:ascii="Book Antiqua" w:hAnsi="Book Antiqua"/>
          <w:sz w:val="24"/>
          <w:szCs w:val="24"/>
        </w:rPr>
        <w:t xml:space="preserve"> 2017; </w:t>
      </w:r>
      <w:r w:rsidRPr="002B2C64">
        <w:rPr>
          <w:rFonts w:ascii="Book Antiqua" w:hAnsi="Book Antiqua"/>
          <w:b/>
          <w:sz w:val="24"/>
          <w:szCs w:val="24"/>
        </w:rPr>
        <w:t>5</w:t>
      </w:r>
      <w:r w:rsidRPr="002B2C64">
        <w:rPr>
          <w:rFonts w:ascii="Book Antiqua" w:hAnsi="Book Antiqua"/>
          <w:sz w:val="24"/>
          <w:szCs w:val="24"/>
        </w:rPr>
        <w:t>: 812-820 [PMID: 28811289 DOI: 10.1158/2326-6066.CIR-17-0082]</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32 </w:t>
      </w:r>
      <w:r w:rsidRPr="002B2C64">
        <w:rPr>
          <w:rFonts w:ascii="Book Antiqua" w:hAnsi="Book Antiqua"/>
          <w:b/>
          <w:sz w:val="24"/>
          <w:szCs w:val="24"/>
        </w:rPr>
        <w:t>Hanna RN</w:t>
      </w:r>
      <w:r w:rsidRPr="002B2C64">
        <w:rPr>
          <w:rFonts w:ascii="Book Antiqua" w:hAnsi="Book Antiqua"/>
          <w:sz w:val="24"/>
          <w:szCs w:val="24"/>
        </w:rPr>
        <w:t xml:space="preserve">, Cekic C, Sag D, Tacke R, Thomas GD, Nowyhed H, Herrley E, Rasquinha N, McArdle S, Wu R, Peluso E, Metzger D, Ichinose H, Shaked I, Chodaczek G, Biswas SK, Hedrick CC. Patrolling monocytes control tumor </w:t>
      </w:r>
      <w:r w:rsidRPr="002B2C64">
        <w:rPr>
          <w:rFonts w:ascii="Book Antiqua" w:hAnsi="Book Antiqua"/>
          <w:sz w:val="24"/>
          <w:szCs w:val="24"/>
        </w:rPr>
        <w:lastRenderedPageBreak/>
        <w:t xml:space="preserve">metastasis to the lung. </w:t>
      </w:r>
      <w:r w:rsidRPr="002B2C64">
        <w:rPr>
          <w:rFonts w:ascii="Book Antiqua" w:hAnsi="Book Antiqua"/>
          <w:i/>
          <w:sz w:val="24"/>
          <w:szCs w:val="24"/>
        </w:rPr>
        <w:t>Science</w:t>
      </w:r>
      <w:r w:rsidRPr="002B2C64">
        <w:rPr>
          <w:rFonts w:ascii="Book Antiqua" w:hAnsi="Book Antiqua"/>
          <w:sz w:val="24"/>
          <w:szCs w:val="24"/>
        </w:rPr>
        <w:t xml:space="preserve"> 2015; </w:t>
      </w:r>
      <w:r w:rsidRPr="002B2C64">
        <w:rPr>
          <w:rFonts w:ascii="Book Antiqua" w:hAnsi="Book Antiqua"/>
          <w:b/>
          <w:sz w:val="24"/>
          <w:szCs w:val="24"/>
        </w:rPr>
        <w:t>350</w:t>
      </w:r>
      <w:r w:rsidRPr="002B2C64">
        <w:rPr>
          <w:rFonts w:ascii="Book Antiqua" w:hAnsi="Book Antiqua"/>
          <w:sz w:val="24"/>
          <w:szCs w:val="24"/>
        </w:rPr>
        <w:t>: 985-990 [PMID: 26494174 DOI: 10.1126/science.aac9407]</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33 </w:t>
      </w:r>
      <w:r w:rsidRPr="002B2C64">
        <w:rPr>
          <w:rFonts w:ascii="Book Antiqua" w:hAnsi="Book Antiqua"/>
          <w:b/>
          <w:sz w:val="24"/>
          <w:szCs w:val="24"/>
        </w:rPr>
        <w:t>Zhu Z</w:t>
      </w:r>
      <w:r w:rsidRPr="002B2C64">
        <w:rPr>
          <w:rFonts w:ascii="Book Antiqua" w:hAnsi="Book Antiqua"/>
          <w:sz w:val="24"/>
          <w:szCs w:val="24"/>
        </w:rPr>
        <w:t xml:space="preserve">, Xu L, Zhuang L, Ning Z, Zhang C, Yan X, Lin J, Shen Y, Wang P, Meng Z. Role of monocyte-to-lymphocyte ratio in predicting sorafenib response in patients with advanced hepatocellular carcinoma. </w:t>
      </w:r>
      <w:r w:rsidRPr="002B2C64">
        <w:rPr>
          <w:rFonts w:ascii="Book Antiqua" w:hAnsi="Book Antiqua"/>
          <w:i/>
          <w:sz w:val="24"/>
          <w:szCs w:val="24"/>
        </w:rPr>
        <w:t>Onco Targets Ther</w:t>
      </w:r>
      <w:r w:rsidRPr="002B2C64">
        <w:rPr>
          <w:rFonts w:ascii="Book Antiqua" w:hAnsi="Book Antiqua"/>
          <w:sz w:val="24"/>
          <w:szCs w:val="24"/>
        </w:rPr>
        <w:t xml:space="preserve"> 2018; </w:t>
      </w:r>
      <w:r w:rsidRPr="002B2C64">
        <w:rPr>
          <w:rFonts w:ascii="Book Antiqua" w:hAnsi="Book Antiqua"/>
          <w:b/>
          <w:sz w:val="24"/>
          <w:szCs w:val="24"/>
        </w:rPr>
        <w:t>11</w:t>
      </w:r>
      <w:r w:rsidRPr="002B2C64">
        <w:rPr>
          <w:rFonts w:ascii="Book Antiqua" w:hAnsi="Book Antiqua"/>
          <w:sz w:val="24"/>
          <w:szCs w:val="24"/>
        </w:rPr>
        <w:t>: 6731-6740 [PMID: 30349306 DOI: 10.2147/OTT.S173275]</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34 </w:t>
      </w:r>
      <w:r w:rsidRPr="002B2C64">
        <w:rPr>
          <w:rFonts w:ascii="Book Antiqua" w:hAnsi="Book Antiqua"/>
          <w:b/>
          <w:sz w:val="24"/>
          <w:szCs w:val="24"/>
        </w:rPr>
        <w:t>Chen L</w:t>
      </w:r>
      <w:r w:rsidRPr="002B2C64">
        <w:rPr>
          <w:rFonts w:ascii="Book Antiqua" w:hAnsi="Book Antiqua"/>
          <w:sz w:val="24"/>
          <w:szCs w:val="24"/>
        </w:rPr>
        <w:t xml:space="preserve">, Hao Y, Zhu L, Li S, Zuo Y, Zhang Y, Song H, Xue Y. Monocyte to lymphocyte ratio predicts survival in patients with advanced gastric cancer undergoing neoadjuvant chemotherapy. </w:t>
      </w:r>
      <w:r w:rsidRPr="002B2C64">
        <w:rPr>
          <w:rFonts w:ascii="Book Antiqua" w:hAnsi="Book Antiqua"/>
          <w:i/>
          <w:sz w:val="24"/>
          <w:szCs w:val="24"/>
        </w:rPr>
        <w:t>Onco Targets Ther</w:t>
      </w:r>
      <w:r w:rsidRPr="002B2C64">
        <w:rPr>
          <w:rFonts w:ascii="Book Antiqua" w:hAnsi="Book Antiqua"/>
          <w:sz w:val="24"/>
          <w:szCs w:val="24"/>
        </w:rPr>
        <w:t xml:space="preserve"> 2017; </w:t>
      </w:r>
      <w:r w:rsidRPr="002B2C64">
        <w:rPr>
          <w:rFonts w:ascii="Book Antiqua" w:hAnsi="Book Antiqua"/>
          <w:b/>
          <w:sz w:val="24"/>
          <w:szCs w:val="24"/>
        </w:rPr>
        <w:t>10</w:t>
      </w:r>
      <w:r w:rsidRPr="002B2C64">
        <w:rPr>
          <w:rFonts w:ascii="Book Antiqua" w:hAnsi="Book Antiqua"/>
          <w:sz w:val="24"/>
          <w:szCs w:val="24"/>
        </w:rPr>
        <w:t>: 4007-4016 [PMID: 28860808 DOI: 10.2147/OTT.S140118]</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35 </w:t>
      </w:r>
      <w:r w:rsidRPr="002B2C64">
        <w:rPr>
          <w:rFonts w:ascii="Book Antiqua" w:hAnsi="Book Antiqua"/>
          <w:b/>
          <w:sz w:val="24"/>
          <w:szCs w:val="24"/>
        </w:rPr>
        <w:t>Chen X</w:t>
      </w:r>
      <w:r w:rsidRPr="002B2C64">
        <w:rPr>
          <w:rFonts w:ascii="Book Antiqua" w:hAnsi="Book Antiqua"/>
          <w:sz w:val="24"/>
          <w:szCs w:val="24"/>
        </w:rPr>
        <w:t xml:space="preserve">, Wu J, Zhang F, Ying L, Chen Y. Prognostic Significance of Pre-Operative Monocyte-to-Lymphocyte Ratio in Lung Cancer Patients Undergoing Radical Surgery. </w:t>
      </w:r>
      <w:r w:rsidRPr="002B2C64">
        <w:rPr>
          <w:rFonts w:ascii="Book Antiqua" w:hAnsi="Book Antiqua"/>
          <w:i/>
          <w:sz w:val="24"/>
          <w:szCs w:val="24"/>
        </w:rPr>
        <w:t>Lab Med</w:t>
      </w:r>
      <w:r w:rsidRPr="002B2C64">
        <w:rPr>
          <w:rFonts w:ascii="Book Antiqua" w:hAnsi="Book Antiqua"/>
          <w:sz w:val="24"/>
          <w:szCs w:val="24"/>
        </w:rPr>
        <w:t xml:space="preserve"> 2018; </w:t>
      </w:r>
      <w:r w:rsidRPr="002B2C64">
        <w:rPr>
          <w:rFonts w:ascii="Book Antiqua" w:hAnsi="Book Antiqua"/>
          <w:b/>
          <w:sz w:val="24"/>
          <w:szCs w:val="24"/>
        </w:rPr>
        <w:t>49</w:t>
      </w:r>
      <w:r w:rsidRPr="002B2C64">
        <w:rPr>
          <w:rFonts w:ascii="Book Antiqua" w:hAnsi="Book Antiqua"/>
          <w:sz w:val="24"/>
          <w:szCs w:val="24"/>
        </w:rPr>
        <w:t>: e29-e39 [PMID: 29361036 DOI: 10.1093/labmed/lmx069]</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36 </w:t>
      </w:r>
      <w:r w:rsidRPr="002B2C64">
        <w:rPr>
          <w:rFonts w:ascii="Book Antiqua" w:hAnsi="Book Antiqua"/>
          <w:b/>
          <w:sz w:val="24"/>
          <w:szCs w:val="24"/>
        </w:rPr>
        <w:t>Zhu X</w:t>
      </w:r>
      <w:r w:rsidRPr="002B2C64">
        <w:rPr>
          <w:rFonts w:ascii="Book Antiqua" w:hAnsi="Book Antiqua"/>
          <w:sz w:val="24"/>
          <w:szCs w:val="24"/>
        </w:rPr>
        <w:t xml:space="preserve">, Wu SQ, Xu R, Wang YH, Zhong ZH, Zhang L, Zhao XK. The evaluation of monocyte lymphocyte ratio as a preoperative predictor in urothelial malignancies: a pooled analysis based on comparative studies. </w:t>
      </w:r>
      <w:r w:rsidRPr="002B2C64">
        <w:rPr>
          <w:rFonts w:ascii="Book Antiqua" w:hAnsi="Book Antiqua"/>
          <w:i/>
          <w:sz w:val="24"/>
          <w:szCs w:val="24"/>
        </w:rPr>
        <w:t>Sci Rep</w:t>
      </w:r>
      <w:r w:rsidRPr="002B2C64">
        <w:rPr>
          <w:rFonts w:ascii="Book Antiqua" w:hAnsi="Book Antiqua"/>
          <w:sz w:val="24"/>
          <w:szCs w:val="24"/>
        </w:rPr>
        <w:t xml:space="preserve"> 2019; </w:t>
      </w:r>
      <w:r w:rsidRPr="002B2C64">
        <w:rPr>
          <w:rFonts w:ascii="Book Antiqua" w:hAnsi="Book Antiqua"/>
          <w:b/>
          <w:sz w:val="24"/>
          <w:szCs w:val="24"/>
        </w:rPr>
        <w:t>9</w:t>
      </w:r>
      <w:r w:rsidRPr="002B2C64">
        <w:rPr>
          <w:rFonts w:ascii="Book Antiqua" w:hAnsi="Book Antiqua"/>
          <w:sz w:val="24"/>
          <w:szCs w:val="24"/>
        </w:rPr>
        <w:t>: 6280 [PMID: 31000754 DOI: 10.1038/s41598-019-42781-y]</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37 </w:t>
      </w:r>
      <w:r w:rsidRPr="002B2C64">
        <w:rPr>
          <w:rFonts w:ascii="Book Antiqua" w:hAnsi="Book Antiqua"/>
          <w:b/>
          <w:sz w:val="24"/>
          <w:szCs w:val="24"/>
        </w:rPr>
        <w:t>Cananzi FCM</w:t>
      </w:r>
      <w:r w:rsidRPr="002B2C64">
        <w:rPr>
          <w:rFonts w:ascii="Book Antiqua" w:hAnsi="Book Antiqua"/>
          <w:sz w:val="24"/>
          <w:szCs w:val="24"/>
        </w:rPr>
        <w:t xml:space="preserve">, Minerva EM, Samà L, Ruspi L, Sicoli F, Conti L, Fumagalli Romario U, Quagliuolo VL. Preoperative monocyte-to-lymphocyte ratio predicts recurrence in gastrointestinal stromal tumors. </w:t>
      </w:r>
      <w:r w:rsidRPr="002B2C64">
        <w:rPr>
          <w:rFonts w:ascii="Book Antiqua" w:hAnsi="Book Antiqua"/>
          <w:i/>
          <w:sz w:val="24"/>
          <w:szCs w:val="24"/>
        </w:rPr>
        <w:t>J Surg Oncol</w:t>
      </w:r>
      <w:r w:rsidRPr="002B2C64">
        <w:rPr>
          <w:rFonts w:ascii="Book Antiqua" w:hAnsi="Book Antiqua"/>
          <w:sz w:val="24"/>
          <w:szCs w:val="24"/>
        </w:rPr>
        <w:t xml:space="preserve"> 2019; </w:t>
      </w:r>
      <w:r w:rsidRPr="002B2C64">
        <w:rPr>
          <w:rFonts w:ascii="Book Antiqua" w:hAnsi="Book Antiqua"/>
          <w:b/>
          <w:sz w:val="24"/>
          <w:szCs w:val="24"/>
        </w:rPr>
        <w:t>119</w:t>
      </w:r>
      <w:r w:rsidRPr="002B2C64">
        <w:rPr>
          <w:rFonts w:ascii="Book Antiqua" w:hAnsi="Book Antiqua"/>
          <w:sz w:val="24"/>
          <w:szCs w:val="24"/>
        </w:rPr>
        <w:t>: 12-20 [PMID: 30426498 DOI: 10.1002/jso.25290]</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38 </w:t>
      </w:r>
      <w:r w:rsidRPr="002B2C64">
        <w:rPr>
          <w:rFonts w:ascii="Book Antiqua" w:hAnsi="Book Antiqua"/>
          <w:b/>
          <w:sz w:val="24"/>
          <w:szCs w:val="24"/>
        </w:rPr>
        <w:t>Huang L</w:t>
      </w:r>
      <w:r w:rsidRPr="002B2C64">
        <w:rPr>
          <w:rFonts w:ascii="Book Antiqua" w:hAnsi="Book Antiqua"/>
          <w:sz w:val="24"/>
          <w:szCs w:val="24"/>
        </w:rPr>
        <w:t xml:space="preserve">, Fang J, Wu J, Zhou X, Wei H. [Prognostic value of combining preoperative serum tumor markers and peripheral blood routine indexes in patients with colorectal cancer]. </w:t>
      </w:r>
      <w:r w:rsidRPr="002B2C64">
        <w:rPr>
          <w:rFonts w:ascii="Book Antiqua" w:hAnsi="Book Antiqua"/>
          <w:i/>
          <w:sz w:val="24"/>
          <w:szCs w:val="24"/>
        </w:rPr>
        <w:t>Zhonghua Wei Chang Wai Ke Za Zhi</w:t>
      </w:r>
      <w:r w:rsidRPr="002B2C64">
        <w:rPr>
          <w:rFonts w:ascii="Book Antiqua" w:hAnsi="Book Antiqua"/>
          <w:sz w:val="24"/>
          <w:szCs w:val="24"/>
        </w:rPr>
        <w:t xml:space="preserve"> 2018; </w:t>
      </w:r>
      <w:r w:rsidRPr="002B2C64">
        <w:rPr>
          <w:rFonts w:ascii="Book Antiqua" w:hAnsi="Book Antiqua"/>
          <w:b/>
          <w:sz w:val="24"/>
          <w:szCs w:val="24"/>
        </w:rPr>
        <w:t>21</w:t>
      </w:r>
      <w:r w:rsidRPr="002B2C64">
        <w:rPr>
          <w:rFonts w:ascii="Book Antiqua" w:hAnsi="Book Antiqua"/>
          <w:sz w:val="24"/>
          <w:szCs w:val="24"/>
        </w:rPr>
        <w:t>: 1421-1426 [PMID: 30588596]</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39 </w:t>
      </w:r>
      <w:r w:rsidRPr="002B2C64">
        <w:rPr>
          <w:rFonts w:ascii="Book Antiqua" w:hAnsi="Book Antiqua"/>
          <w:b/>
          <w:sz w:val="24"/>
          <w:szCs w:val="24"/>
        </w:rPr>
        <w:t>Recio-Boiles A</w:t>
      </w:r>
      <w:r w:rsidRPr="002B2C64">
        <w:rPr>
          <w:rFonts w:ascii="Book Antiqua" w:hAnsi="Book Antiqua"/>
          <w:sz w:val="24"/>
          <w:szCs w:val="24"/>
        </w:rPr>
        <w:t xml:space="preserve">, Nallagangula A, Veeravelli S, Vondrak J, Saboda K, Roe D, Elquza E, McBride A, Babiker HM. Neutrophil-to-lymphocyte and platelet-to-lymphocyte ratios inversely correlate to clinical and pathologic stage in patients with resectable pancreatic ductal adenocarcinoma. </w:t>
      </w:r>
      <w:r w:rsidRPr="002B2C64">
        <w:rPr>
          <w:rFonts w:ascii="Book Antiqua" w:hAnsi="Book Antiqua"/>
          <w:i/>
          <w:sz w:val="24"/>
          <w:szCs w:val="24"/>
        </w:rPr>
        <w:t>Ann Pancreat Cancer</w:t>
      </w:r>
      <w:r w:rsidRPr="002B2C64">
        <w:rPr>
          <w:rFonts w:ascii="Book Antiqua" w:hAnsi="Book Antiqua"/>
          <w:sz w:val="24"/>
          <w:szCs w:val="24"/>
        </w:rPr>
        <w:t xml:space="preserve"> 2019; </w:t>
      </w:r>
      <w:r w:rsidRPr="002B2C64">
        <w:rPr>
          <w:rFonts w:ascii="Book Antiqua" w:hAnsi="Book Antiqua"/>
          <w:b/>
          <w:sz w:val="24"/>
          <w:szCs w:val="24"/>
        </w:rPr>
        <w:t>2</w:t>
      </w:r>
      <w:r w:rsidRPr="002B2C64">
        <w:rPr>
          <w:rFonts w:ascii="Book Antiqua" w:hAnsi="Book Antiqua"/>
          <w:sz w:val="24"/>
          <w:szCs w:val="24"/>
        </w:rPr>
        <w:t xml:space="preserve"> [PMID: 31360919 DOI: 10.21037/apc.2019.06.01]</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lastRenderedPageBreak/>
        <w:t xml:space="preserve">40 </w:t>
      </w:r>
      <w:r w:rsidRPr="002B2C64">
        <w:rPr>
          <w:rFonts w:ascii="Book Antiqua" w:hAnsi="Book Antiqua"/>
          <w:b/>
          <w:sz w:val="24"/>
          <w:szCs w:val="24"/>
        </w:rPr>
        <w:t>Zhu GS</w:t>
      </w:r>
      <w:r w:rsidRPr="002B2C64">
        <w:rPr>
          <w:rFonts w:ascii="Book Antiqua" w:hAnsi="Book Antiqua"/>
          <w:sz w:val="24"/>
          <w:szCs w:val="24"/>
        </w:rPr>
        <w:t xml:space="preserve">, Tian SB, Wang H, Ma MG, Liu Y, Du HS, Long YP. Preoperative Neutrophil Lymphocyte Ratio and Platelet Lymphocyte Ratio Cannot Predict Lymph Node Metastasis and Prognosis in Patients with Early Gastric Cancer: a Single Institution Investigation in China. </w:t>
      </w:r>
      <w:r w:rsidRPr="002B2C64">
        <w:rPr>
          <w:rFonts w:ascii="Book Antiqua" w:hAnsi="Book Antiqua"/>
          <w:i/>
          <w:sz w:val="24"/>
          <w:szCs w:val="24"/>
        </w:rPr>
        <w:t>Curr Med Sci</w:t>
      </w:r>
      <w:r w:rsidRPr="002B2C64">
        <w:rPr>
          <w:rFonts w:ascii="Book Antiqua" w:hAnsi="Book Antiqua"/>
          <w:sz w:val="24"/>
          <w:szCs w:val="24"/>
        </w:rPr>
        <w:t xml:space="preserve"> 2018; </w:t>
      </w:r>
      <w:r w:rsidRPr="002B2C64">
        <w:rPr>
          <w:rFonts w:ascii="Book Antiqua" w:hAnsi="Book Antiqua"/>
          <w:b/>
          <w:sz w:val="24"/>
          <w:szCs w:val="24"/>
        </w:rPr>
        <w:t>38</w:t>
      </w:r>
      <w:r w:rsidRPr="002B2C64">
        <w:rPr>
          <w:rFonts w:ascii="Book Antiqua" w:hAnsi="Book Antiqua"/>
          <w:sz w:val="24"/>
          <w:szCs w:val="24"/>
        </w:rPr>
        <w:t>: 78-84 [PMID: 30074155 DOI: 10.1007/s11596-018-1849-6]</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41 </w:t>
      </w:r>
      <w:r w:rsidRPr="002B2C64">
        <w:rPr>
          <w:rFonts w:ascii="Book Antiqua" w:hAnsi="Book Antiqua"/>
          <w:b/>
          <w:sz w:val="24"/>
          <w:szCs w:val="24"/>
        </w:rPr>
        <w:t>Kabir T</w:t>
      </w:r>
      <w:r w:rsidRPr="002B2C64">
        <w:rPr>
          <w:rFonts w:ascii="Book Antiqua" w:hAnsi="Book Antiqua"/>
          <w:sz w:val="24"/>
          <w:szCs w:val="24"/>
        </w:rPr>
        <w:t xml:space="preserve">, Ye M, Mohd Noor NA, Woon W, Junnarkar SP, Shelat VG. Preoperative Neutrophil-to-Lymphocyte Ratio Plus Platelet-to-Lymphocyte Ratio Predicts the Outcomes after Curative Resection for Hepatocellular Carcinoma. </w:t>
      </w:r>
      <w:r w:rsidRPr="002B2C64">
        <w:rPr>
          <w:rFonts w:ascii="Book Antiqua" w:hAnsi="Book Antiqua"/>
          <w:i/>
          <w:sz w:val="24"/>
          <w:szCs w:val="24"/>
        </w:rPr>
        <w:t>Int J Hepatol</w:t>
      </w:r>
      <w:r w:rsidRPr="002B2C64">
        <w:rPr>
          <w:rFonts w:ascii="Book Antiqua" w:hAnsi="Book Antiqua"/>
          <w:sz w:val="24"/>
          <w:szCs w:val="24"/>
        </w:rPr>
        <w:t xml:space="preserve"> 2019; </w:t>
      </w:r>
      <w:r w:rsidRPr="002B2C64">
        <w:rPr>
          <w:rFonts w:ascii="Book Antiqua" w:hAnsi="Book Antiqua"/>
          <w:b/>
          <w:sz w:val="24"/>
          <w:szCs w:val="24"/>
        </w:rPr>
        <w:t>2019</w:t>
      </w:r>
      <w:r w:rsidRPr="002B2C64">
        <w:rPr>
          <w:rFonts w:ascii="Book Antiqua" w:hAnsi="Book Antiqua"/>
          <w:sz w:val="24"/>
          <w:szCs w:val="24"/>
        </w:rPr>
        <w:t>: 4239463 [PMID: 31065387 DOI: 10.1155/2019/4239463]</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42 </w:t>
      </w:r>
      <w:r w:rsidRPr="002B2C64">
        <w:rPr>
          <w:rFonts w:ascii="Book Antiqua" w:hAnsi="Book Antiqua"/>
          <w:b/>
          <w:sz w:val="24"/>
          <w:szCs w:val="24"/>
        </w:rPr>
        <w:t>Li C</w:t>
      </w:r>
      <w:r w:rsidRPr="002B2C64">
        <w:rPr>
          <w:rFonts w:ascii="Book Antiqua" w:hAnsi="Book Antiqua"/>
          <w:sz w:val="24"/>
          <w:szCs w:val="24"/>
        </w:rPr>
        <w:t xml:space="preserve">, Wen TF, Yan LN, Li B, Wang WT, Yang JY, Xu MQ. Postoperative neutrophil-to-lymphocyte ratio plus platelet-to-lymphocyte ratio predicts the outcomes of hepatocellular carcinoma. </w:t>
      </w:r>
      <w:r w:rsidRPr="002B2C64">
        <w:rPr>
          <w:rFonts w:ascii="Book Antiqua" w:hAnsi="Book Antiqua"/>
          <w:i/>
          <w:sz w:val="24"/>
          <w:szCs w:val="24"/>
        </w:rPr>
        <w:t>J Surg Res</w:t>
      </w:r>
      <w:r w:rsidRPr="002B2C64">
        <w:rPr>
          <w:rFonts w:ascii="Book Antiqua" w:hAnsi="Book Antiqua"/>
          <w:sz w:val="24"/>
          <w:szCs w:val="24"/>
        </w:rPr>
        <w:t xml:space="preserve"> 2015; </w:t>
      </w:r>
      <w:r w:rsidRPr="002B2C64">
        <w:rPr>
          <w:rFonts w:ascii="Book Antiqua" w:hAnsi="Book Antiqua"/>
          <w:b/>
          <w:sz w:val="24"/>
          <w:szCs w:val="24"/>
        </w:rPr>
        <w:t>198</w:t>
      </w:r>
      <w:r w:rsidRPr="002B2C64">
        <w:rPr>
          <w:rFonts w:ascii="Book Antiqua" w:hAnsi="Book Antiqua"/>
          <w:sz w:val="24"/>
          <w:szCs w:val="24"/>
        </w:rPr>
        <w:t>: 73-79 [PMID: 26022997 DOI: 10.1016/j.jss.2015.05.003]</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43 </w:t>
      </w:r>
      <w:r w:rsidRPr="002B2C64">
        <w:rPr>
          <w:rFonts w:ascii="Book Antiqua" w:hAnsi="Book Antiqua"/>
          <w:b/>
          <w:sz w:val="24"/>
          <w:szCs w:val="24"/>
        </w:rPr>
        <w:t>Rao XD</w:t>
      </w:r>
      <w:r w:rsidRPr="002B2C64">
        <w:rPr>
          <w:rFonts w:ascii="Book Antiqua" w:hAnsi="Book Antiqua"/>
          <w:sz w:val="24"/>
          <w:szCs w:val="24"/>
        </w:rPr>
        <w:t xml:space="preserve">, Zhang H, Xu ZS, Cheng H, Shen W, Wang XP. Poor prognostic role of the pretreatment platelet counts in colorectal cancer: A meta-analysis. </w:t>
      </w:r>
      <w:r w:rsidRPr="002B2C64">
        <w:rPr>
          <w:rFonts w:ascii="Book Antiqua" w:hAnsi="Book Antiqua"/>
          <w:i/>
          <w:sz w:val="24"/>
          <w:szCs w:val="24"/>
        </w:rPr>
        <w:t>Medicine (Baltimore)</w:t>
      </w:r>
      <w:r w:rsidRPr="002B2C64">
        <w:rPr>
          <w:rFonts w:ascii="Book Antiqua" w:hAnsi="Book Antiqua"/>
          <w:sz w:val="24"/>
          <w:szCs w:val="24"/>
        </w:rPr>
        <w:t xml:space="preserve"> 2018; </w:t>
      </w:r>
      <w:r w:rsidRPr="002B2C64">
        <w:rPr>
          <w:rFonts w:ascii="Book Antiqua" w:hAnsi="Book Antiqua"/>
          <w:b/>
          <w:sz w:val="24"/>
          <w:szCs w:val="24"/>
        </w:rPr>
        <w:t>97</w:t>
      </w:r>
      <w:r w:rsidRPr="002B2C64">
        <w:rPr>
          <w:rFonts w:ascii="Book Antiqua" w:hAnsi="Book Antiqua"/>
          <w:sz w:val="24"/>
          <w:szCs w:val="24"/>
        </w:rPr>
        <w:t>: e10831 [PMID: 29879017 DOI: 10.1097/MD.0000000000010831]</w:t>
      </w:r>
    </w:p>
    <w:p w:rsidR="00301BC8" w:rsidRPr="002B2C64" w:rsidRDefault="00301BC8" w:rsidP="0083105B">
      <w:pPr>
        <w:snapToGrid w:val="0"/>
        <w:spacing w:after="0" w:line="360" w:lineRule="auto"/>
        <w:jc w:val="both"/>
        <w:rPr>
          <w:rFonts w:ascii="Book Antiqua" w:hAnsi="Book Antiqua"/>
          <w:sz w:val="24"/>
          <w:szCs w:val="24"/>
        </w:rPr>
      </w:pPr>
      <w:r w:rsidRPr="002B2C64">
        <w:rPr>
          <w:rFonts w:ascii="Book Antiqua" w:hAnsi="Book Antiqua"/>
          <w:sz w:val="24"/>
          <w:szCs w:val="24"/>
        </w:rPr>
        <w:t xml:space="preserve">44 </w:t>
      </w:r>
      <w:r w:rsidRPr="002B2C64">
        <w:rPr>
          <w:rFonts w:ascii="Book Antiqua" w:hAnsi="Book Antiqua"/>
          <w:b/>
          <w:sz w:val="24"/>
          <w:szCs w:val="24"/>
        </w:rPr>
        <w:t>Xu XR</w:t>
      </w:r>
      <w:r w:rsidRPr="002B2C64">
        <w:rPr>
          <w:rFonts w:ascii="Book Antiqua" w:hAnsi="Book Antiqua"/>
          <w:sz w:val="24"/>
          <w:szCs w:val="24"/>
        </w:rPr>
        <w:t xml:space="preserve">, Yousef GM, Ni H. Cancer and platelet crosstalk: opportunities and challenges for aspirin and other antiplatelet agents. </w:t>
      </w:r>
      <w:r w:rsidRPr="002B2C64">
        <w:rPr>
          <w:rFonts w:ascii="Book Antiqua" w:hAnsi="Book Antiqua"/>
          <w:i/>
          <w:sz w:val="24"/>
          <w:szCs w:val="24"/>
        </w:rPr>
        <w:t>Blood</w:t>
      </w:r>
      <w:r w:rsidRPr="002B2C64">
        <w:rPr>
          <w:rFonts w:ascii="Book Antiqua" w:hAnsi="Book Antiqua"/>
          <w:sz w:val="24"/>
          <w:szCs w:val="24"/>
        </w:rPr>
        <w:t xml:space="preserve"> 2018; </w:t>
      </w:r>
      <w:r w:rsidRPr="002B2C64">
        <w:rPr>
          <w:rFonts w:ascii="Book Antiqua" w:hAnsi="Book Antiqua"/>
          <w:b/>
          <w:sz w:val="24"/>
          <w:szCs w:val="24"/>
        </w:rPr>
        <w:t>131</w:t>
      </w:r>
      <w:r w:rsidRPr="002B2C64">
        <w:rPr>
          <w:rFonts w:ascii="Book Antiqua" w:hAnsi="Book Antiqua"/>
          <w:sz w:val="24"/>
          <w:szCs w:val="24"/>
        </w:rPr>
        <w:t>: 1777-1789 [PMID: 29519806 DOI: 10.1182/blood-2017-05-743187]</w:t>
      </w:r>
    </w:p>
    <w:p w:rsidR="00F545EB" w:rsidRPr="002B2C64" w:rsidRDefault="004C333A" w:rsidP="0083105B">
      <w:pPr>
        <w:adjustRightInd w:val="0"/>
        <w:snapToGrid w:val="0"/>
        <w:spacing w:after="0" w:line="360" w:lineRule="auto"/>
        <w:jc w:val="both"/>
        <w:rPr>
          <w:rFonts w:ascii="Book Antiqua" w:hAnsi="Book Antiqua"/>
          <w:b/>
          <w:sz w:val="24"/>
          <w:szCs w:val="24"/>
        </w:rPr>
      </w:pPr>
      <w:r w:rsidRPr="002B2C64">
        <w:rPr>
          <w:rFonts w:ascii="Book Antiqua" w:hAnsi="Book Antiqua"/>
          <w:sz w:val="24"/>
          <w:szCs w:val="24"/>
          <w:lang w:val="en-GB"/>
        </w:rPr>
        <w:br w:type="page"/>
      </w:r>
      <w:r w:rsidR="00F545EB" w:rsidRPr="002B2C64">
        <w:rPr>
          <w:rFonts w:ascii="Book Antiqua" w:hAnsi="Book Antiqua"/>
          <w:b/>
          <w:sz w:val="24"/>
          <w:szCs w:val="24"/>
        </w:rPr>
        <w:lastRenderedPageBreak/>
        <w:t>Footnotes</w:t>
      </w:r>
    </w:p>
    <w:p w:rsidR="00F545EB" w:rsidRPr="002B2C64" w:rsidRDefault="00F545EB" w:rsidP="0083105B">
      <w:pPr>
        <w:adjustRightInd w:val="0"/>
        <w:snapToGrid w:val="0"/>
        <w:spacing w:after="0" w:line="360" w:lineRule="auto"/>
        <w:jc w:val="both"/>
        <w:rPr>
          <w:rFonts w:ascii="Book Antiqua" w:hAnsi="Book Antiqua" w:cs="等线"/>
          <w:sz w:val="24"/>
          <w:szCs w:val="24"/>
        </w:rPr>
      </w:pPr>
      <w:r w:rsidRPr="002B2C64">
        <w:rPr>
          <w:rFonts w:ascii="Book Antiqua" w:hAnsi="Book Antiqua"/>
          <w:b/>
          <w:color w:val="000000"/>
          <w:sz w:val="24"/>
          <w:szCs w:val="24"/>
          <w:lang w:val="hu-HU"/>
        </w:rPr>
        <w:t>Institutional review board statement:</w:t>
      </w:r>
      <w:r w:rsidRPr="002B2C64">
        <w:rPr>
          <w:rFonts w:ascii="Book Antiqua" w:hAnsi="Book Antiqua"/>
          <w:color w:val="000000"/>
          <w:sz w:val="24"/>
          <w:szCs w:val="24"/>
          <w:lang w:val="hu-HU"/>
        </w:rPr>
        <w:t xml:space="preserve"> </w:t>
      </w:r>
      <w:r w:rsidRPr="002B2C64">
        <w:rPr>
          <w:rFonts w:ascii="Book Antiqua" w:hAnsi="Book Antiqua"/>
          <w:color w:val="000000"/>
          <w:sz w:val="24"/>
          <w:szCs w:val="24"/>
          <w:u w:color="000000"/>
        </w:rPr>
        <w:t xml:space="preserve">This study was reviewed and approved by the Ethics Committee of the Medical </w:t>
      </w:r>
      <w:r w:rsidRPr="002B2C64">
        <w:rPr>
          <w:rFonts w:ascii="Book Antiqua" w:hAnsi="Book Antiqua"/>
          <w:caps/>
          <w:color w:val="000000"/>
          <w:sz w:val="24"/>
          <w:szCs w:val="24"/>
          <w:u w:color="000000"/>
        </w:rPr>
        <w:t>u</w:t>
      </w:r>
      <w:r w:rsidRPr="002B2C64">
        <w:rPr>
          <w:rFonts w:ascii="Book Antiqua" w:hAnsi="Book Antiqua"/>
          <w:color w:val="000000"/>
          <w:sz w:val="24"/>
          <w:szCs w:val="24"/>
          <w:u w:color="000000"/>
        </w:rPr>
        <w:t>niversity of Bialystok, Poland.</w:t>
      </w:r>
    </w:p>
    <w:p w:rsidR="00F545EB" w:rsidRPr="002B2C64" w:rsidRDefault="00F545EB" w:rsidP="0083105B">
      <w:pPr>
        <w:autoSpaceDE w:val="0"/>
        <w:autoSpaceDN w:val="0"/>
        <w:adjustRightInd w:val="0"/>
        <w:snapToGrid w:val="0"/>
        <w:spacing w:after="0" w:line="360" w:lineRule="auto"/>
        <w:jc w:val="both"/>
        <w:rPr>
          <w:rFonts w:ascii="Book Antiqua" w:hAnsi="Book Antiqua"/>
          <w:color w:val="000000"/>
          <w:sz w:val="24"/>
          <w:szCs w:val="24"/>
          <w:u w:color="000000"/>
        </w:rPr>
      </w:pPr>
    </w:p>
    <w:p w:rsidR="004D326A" w:rsidRPr="002B2C64" w:rsidRDefault="004D326A" w:rsidP="0083105B">
      <w:pPr>
        <w:autoSpaceDE w:val="0"/>
        <w:autoSpaceDN w:val="0"/>
        <w:adjustRightInd w:val="0"/>
        <w:snapToGrid w:val="0"/>
        <w:spacing w:after="0" w:line="360" w:lineRule="auto"/>
        <w:jc w:val="both"/>
        <w:rPr>
          <w:rFonts w:ascii="Book Antiqua" w:hAnsi="Book Antiqua"/>
          <w:color w:val="000000"/>
          <w:sz w:val="24"/>
          <w:szCs w:val="24"/>
          <w:u w:color="000000"/>
        </w:rPr>
      </w:pPr>
      <w:r w:rsidRPr="002B2C64">
        <w:rPr>
          <w:rFonts w:ascii="Book Antiqua" w:hAnsi="Book Antiqua"/>
          <w:b/>
          <w:bCs/>
          <w:sz w:val="24"/>
          <w:szCs w:val="24"/>
        </w:rPr>
        <w:t>Informed consent statement:</w:t>
      </w:r>
      <w:r w:rsidRPr="002B2C64">
        <w:rPr>
          <w:rFonts w:ascii="Book Antiqua" w:hAnsi="Book Antiqua"/>
          <w:color w:val="000000"/>
          <w:sz w:val="24"/>
          <w:szCs w:val="24"/>
          <w:u w:color="000000"/>
        </w:rPr>
        <w:t xml:space="preserve"> Written informed consent was not required, and informed consent included an opt-out clause approved by the Medical Ethics Committee.</w:t>
      </w:r>
    </w:p>
    <w:p w:rsidR="004D326A" w:rsidRPr="002B2C64" w:rsidRDefault="004D326A" w:rsidP="0083105B">
      <w:pPr>
        <w:adjustRightInd w:val="0"/>
        <w:snapToGrid w:val="0"/>
        <w:spacing w:after="0" w:line="360" w:lineRule="auto"/>
        <w:jc w:val="both"/>
        <w:rPr>
          <w:rFonts w:ascii="Book Antiqua" w:hAnsi="Book Antiqua"/>
          <w:sz w:val="24"/>
          <w:szCs w:val="24"/>
        </w:rPr>
      </w:pPr>
    </w:p>
    <w:p w:rsidR="00F545EB" w:rsidRPr="002B2C64" w:rsidRDefault="00F545EB" w:rsidP="0083105B">
      <w:pPr>
        <w:adjustRightInd w:val="0"/>
        <w:snapToGrid w:val="0"/>
        <w:spacing w:after="0" w:line="360" w:lineRule="auto"/>
        <w:jc w:val="both"/>
        <w:rPr>
          <w:rFonts w:ascii="Book Antiqua" w:hAnsi="Book Antiqua"/>
          <w:sz w:val="24"/>
          <w:szCs w:val="24"/>
        </w:rPr>
      </w:pPr>
      <w:r w:rsidRPr="002B2C64">
        <w:rPr>
          <w:rFonts w:ascii="Book Antiqua" w:hAnsi="Book Antiqua"/>
          <w:b/>
          <w:sz w:val="24"/>
          <w:szCs w:val="24"/>
          <w:lang w:val="hu-HU"/>
        </w:rPr>
        <w:t>Conflict-of-interest statement:</w:t>
      </w:r>
      <w:r w:rsidRPr="002B2C64">
        <w:rPr>
          <w:rFonts w:ascii="Book Antiqua" w:hAnsi="Book Antiqua"/>
          <w:sz w:val="24"/>
          <w:szCs w:val="24"/>
          <w:lang w:eastAsia="zh-CN"/>
        </w:rPr>
        <w:t xml:space="preserve"> </w:t>
      </w:r>
      <w:r w:rsidRPr="002B2C64">
        <w:rPr>
          <w:rFonts w:ascii="Book Antiqua" w:hAnsi="Book Antiqua"/>
          <w:color w:val="000000"/>
          <w:sz w:val="24"/>
          <w:szCs w:val="24"/>
          <w:lang w:val="en-GB"/>
        </w:rPr>
        <w:t>The authors declare that they have no competing interests.</w:t>
      </w:r>
      <w:r w:rsidRPr="002B2C64">
        <w:rPr>
          <w:rFonts w:ascii="Book Antiqua" w:hAnsi="Book Antiqua"/>
          <w:color w:val="000000"/>
          <w:sz w:val="24"/>
          <w:szCs w:val="24"/>
          <w:lang w:val="en-GB"/>
        </w:rPr>
        <w:cr/>
      </w:r>
    </w:p>
    <w:p w:rsidR="00F545EB" w:rsidRPr="002B2C64" w:rsidRDefault="00F545EB" w:rsidP="0083105B">
      <w:pPr>
        <w:adjustRightInd w:val="0"/>
        <w:snapToGrid w:val="0"/>
        <w:spacing w:after="0" w:line="360" w:lineRule="auto"/>
        <w:jc w:val="both"/>
        <w:rPr>
          <w:rFonts w:ascii="Book Antiqua" w:hAnsi="Book Antiqua" w:cs="等线"/>
          <w:sz w:val="24"/>
          <w:szCs w:val="24"/>
        </w:rPr>
      </w:pPr>
      <w:r w:rsidRPr="002B2C64">
        <w:rPr>
          <w:rFonts w:ascii="Book Antiqua" w:hAnsi="Book Antiqua" w:cs="等线"/>
          <w:b/>
          <w:sz w:val="24"/>
          <w:szCs w:val="24"/>
        </w:rPr>
        <w:t>Data sharing statement</w:t>
      </w:r>
      <w:r w:rsidRPr="002B2C64">
        <w:rPr>
          <w:rFonts w:ascii="Book Antiqua" w:hAnsi="Book Antiqua" w:cs="等线"/>
          <w:sz w:val="24"/>
          <w:szCs w:val="24"/>
        </w:rPr>
        <w:t>: No additional data are available.</w:t>
      </w:r>
    </w:p>
    <w:p w:rsidR="00F545EB" w:rsidRPr="002B2C64" w:rsidRDefault="00F545EB" w:rsidP="0083105B">
      <w:pPr>
        <w:adjustRightInd w:val="0"/>
        <w:snapToGrid w:val="0"/>
        <w:spacing w:after="0" w:line="360" w:lineRule="auto"/>
        <w:jc w:val="both"/>
        <w:rPr>
          <w:rFonts w:ascii="Book Antiqua" w:hAnsi="Book Antiqua" w:cs="等线"/>
          <w:sz w:val="24"/>
          <w:szCs w:val="24"/>
        </w:rPr>
      </w:pPr>
    </w:p>
    <w:p w:rsidR="00F545EB" w:rsidRPr="002B2C64" w:rsidRDefault="00F545EB" w:rsidP="0083105B">
      <w:pPr>
        <w:adjustRightInd w:val="0"/>
        <w:snapToGrid w:val="0"/>
        <w:spacing w:after="0" w:line="360" w:lineRule="auto"/>
        <w:jc w:val="both"/>
        <w:rPr>
          <w:rFonts w:ascii="Book Antiqua" w:hAnsi="Book Antiqua"/>
          <w:color w:val="000000"/>
          <w:sz w:val="24"/>
          <w:szCs w:val="24"/>
          <w:lang w:val="hu-HU"/>
        </w:rPr>
      </w:pPr>
      <w:bookmarkStart w:id="36" w:name="OLE_LINK856"/>
      <w:r w:rsidRPr="002B2C64">
        <w:rPr>
          <w:rFonts w:ascii="Book Antiqua" w:hAnsi="Book Antiqua"/>
          <w:b/>
          <w:color w:val="000000"/>
          <w:sz w:val="24"/>
          <w:szCs w:val="24"/>
        </w:rPr>
        <w:t>Open-Access:</w:t>
      </w:r>
      <w:r w:rsidRPr="002B2C64">
        <w:rPr>
          <w:rFonts w:ascii="Book Antiqua" w:hAnsi="Book Antiqua"/>
          <w:color w:val="000000"/>
          <w:sz w:val="24"/>
          <w:szCs w:val="24"/>
        </w:rPr>
        <w:t xml:space="preserve"> </w:t>
      </w:r>
      <w:bookmarkStart w:id="37" w:name="_Hlk44946367"/>
      <w:bookmarkStart w:id="38" w:name="OLE_LINK12"/>
      <w:r w:rsidRPr="002B2C64">
        <w:rPr>
          <w:rFonts w:ascii="Book Antiqua" w:hAnsi="Book Antiqua"/>
          <w:color w:val="000000"/>
          <w:sz w:val="24"/>
          <w:szCs w:val="24"/>
        </w:rPr>
        <w:t xml:space="preserve">This article is an open-access </w:t>
      </w:r>
      <w:r w:rsidRPr="002B2C64">
        <w:rPr>
          <w:rFonts w:ascii="Book Antiqua" w:hAnsi="Book Antiqua"/>
          <w:sz w:val="24"/>
          <w:szCs w:val="24"/>
        </w:rPr>
        <w:t xml:space="preserve">article that was selected </w:t>
      </w:r>
      <w:r w:rsidRPr="002B2C64">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7"/>
    <w:p w:rsidR="00F545EB" w:rsidRPr="002B2C64" w:rsidRDefault="00F545EB" w:rsidP="0083105B">
      <w:pPr>
        <w:adjustRightInd w:val="0"/>
        <w:snapToGrid w:val="0"/>
        <w:spacing w:after="0" w:line="360" w:lineRule="auto"/>
        <w:jc w:val="both"/>
        <w:rPr>
          <w:rFonts w:ascii="Book Antiqua" w:hAnsi="Book Antiqua"/>
          <w:color w:val="000000"/>
          <w:sz w:val="24"/>
          <w:szCs w:val="24"/>
          <w:lang w:val="hu-HU"/>
        </w:rPr>
      </w:pPr>
    </w:p>
    <w:bookmarkEnd w:id="38"/>
    <w:p w:rsidR="00F545EB" w:rsidRPr="002B2C64" w:rsidRDefault="00F545EB" w:rsidP="0083105B">
      <w:pPr>
        <w:adjustRightInd w:val="0"/>
        <w:snapToGrid w:val="0"/>
        <w:spacing w:after="0" w:line="360" w:lineRule="auto"/>
        <w:jc w:val="both"/>
        <w:rPr>
          <w:rFonts w:ascii="Book Antiqua" w:hAnsi="Book Antiqua"/>
          <w:b/>
          <w:bCs/>
          <w:color w:val="000000"/>
          <w:sz w:val="24"/>
          <w:szCs w:val="24"/>
          <w:lang w:eastAsia="zh-CN"/>
        </w:rPr>
      </w:pPr>
      <w:r w:rsidRPr="002B2C64">
        <w:rPr>
          <w:rFonts w:ascii="Book Antiqua" w:hAnsi="Book Antiqua"/>
          <w:b/>
          <w:bCs/>
          <w:color w:val="000000"/>
          <w:sz w:val="24"/>
          <w:szCs w:val="24"/>
          <w:lang w:eastAsia="pl-PL"/>
        </w:rPr>
        <w:t>Manuscript source:</w:t>
      </w:r>
      <w:r w:rsidRPr="002B2C64">
        <w:rPr>
          <w:rFonts w:ascii="Book Antiqua" w:hAnsi="Book Antiqua"/>
          <w:b/>
          <w:bCs/>
          <w:color w:val="000000"/>
          <w:sz w:val="24"/>
          <w:szCs w:val="24"/>
          <w:lang w:eastAsia="zh-CN"/>
        </w:rPr>
        <w:t xml:space="preserve"> </w:t>
      </w:r>
      <w:r w:rsidRPr="002B2C64">
        <w:rPr>
          <w:rFonts w:ascii="Book Antiqua" w:hAnsi="Book Antiqua"/>
          <w:bCs/>
          <w:color w:val="000000"/>
          <w:sz w:val="24"/>
          <w:szCs w:val="24"/>
          <w:lang w:eastAsia="pl-PL"/>
        </w:rPr>
        <w:t>Unsolicited manuscript</w:t>
      </w:r>
    </w:p>
    <w:bookmarkEnd w:id="36"/>
    <w:p w:rsidR="00F545EB" w:rsidRPr="002B2C64" w:rsidRDefault="00F545EB" w:rsidP="0083105B">
      <w:pPr>
        <w:widowControl w:val="0"/>
        <w:adjustRightInd w:val="0"/>
        <w:snapToGrid w:val="0"/>
        <w:spacing w:after="0" w:line="360" w:lineRule="auto"/>
        <w:jc w:val="both"/>
        <w:rPr>
          <w:rFonts w:ascii="Book Antiqua" w:eastAsia="等线" w:hAnsi="Book Antiqua"/>
          <w:b/>
          <w:bCs/>
          <w:color w:val="000000"/>
          <w:sz w:val="24"/>
          <w:szCs w:val="24"/>
          <w:lang w:eastAsia="zh-CN"/>
        </w:rPr>
      </w:pPr>
    </w:p>
    <w:p w:rsidR="00F545EB" w:rsidRPr="002B2C64" w:rsidRDefault="00F545EB" w:rsidP="0083105B">
      <w:pPr>
        <w:widowControl w:val="0"/>
        <w:adjustRightInd w:val="0"/>
        <w:snapToGrid w:val="0"/>
        <w:spacing w:after="0" w:line="360" w:lineRule="auto"/>
        <w:jc w:val="both"/>
        <w:rPr>
          <w:rFonts w:ascii="Book Antiqua" w:hAnsi="Book Antiqua"/>
          <w:b/>
          <w:kern w:val="2"/>
          <w:sz w:val="24"/>
          <w:szCs w:val="24"/>
          <w:lang w:eastAsia="zh-CN"/>
        </w:rPr>
      </w:pPr>
      <w:r w:rsidRPr="002B2C64">
        <w:rPr>
          <w:rFonts w:ascii="Book Antiqua" w:hAnsi="Book Antiqua"/>
          <w:b/>
          <w:kern w:val="2"/>
          <w:sz w:val="24"/>
          <w:szCs w:val="24"/>
          <w:lang w:eastAsia="zh-CN"/>
        </w:rPr>
        <w:t xml:space="preserve">Peer-review started: </w:t>
      </w:r>
      <w:bookmarkStart w:id="39" w:name="_Hlk44946910"/>
      <w:r w:rsidR="004D326A" w:rsidRPr="002B2C64">
        <w:rPr>
          <w:rFonts w:ascii="Book Antiqua" w:hAnsi="Book Antiqua"/>
          <w:kern w:val="2"/>
          <w:sz w:val="24"/>
          <w:szCs w:val="24"/>
          <w:lang w:eastAsia="zh-CN"/>
        </w:rPr>
        <w:fldChar w:fldCharType="begin"/>
      </w:r>
      <w:r w:rsidR="004D326A" w:rsidRPr="002B2C64">
        <w:rPr>
          <w:rFonts w:ascii="Book Antiqua" w:hAnsi="Book Antiqua"/>
          <w:kern w:val="2"/>
          <w:sz w:val="24"/>
          <w:szCs w:val="24"/>
          <w:lang w:eastAsia="zh-CN"/>
        </w:rPr>
        <w:instrText xml:space="preserve"> HYPERLINK "javascript:;" </w:instrText>
      </w:r>
      <w:r w:rsidR="004D326A" w:rsidRPr="002B2C64">
        <w:rPr>
          <w:rFonts w:ascii="Book Antiqua" w:hAnsi="Book Antiqua"/>
          <w:kern w:val="2"/>
          <w:sz w:val="24"/>
          <w:szCs w:val="24"/>
          <w:lang w:eastAsia="zh-CN"/>
        </w:rPr>
        <w:fldChar w:fldCharType="separate"/>
      </w:r>
      <w:r w:rsidR="004D326A" w:rsidRPr="002B2C64">
        <w:rPr>
          <w:rFonts w:ascii="Book Antiqua" w:hAnsi="Book Antiqua"/>
          <w:kern w:val="2"/>
          <w:sz w:val="24"/>
          <w:szCs w:val="24"/>
          <w:lang w:eastAsia="zh-CN"/>
        </w:rPr>
        <w:t>February</w:t>
      </w:r>
      <w:r w:rsidR="004D326A" w:rsidRPr="002B2C64">
        <w:rPr>
          <w:rFonts w:ascii="Book Antiqua" w:hAnsi="Book Antiqua"/>
          <w:kern w:val="2"/>
          <w:sz w:val="24"/>
          <w:szCs w:val="24"/>
          <w:lang w:eastAsia="zh-CN"/>
        </w:rPr>
        <w:fldChar w:fldCharType="end"/>
      </w:r>
      <w:r w:rsidRPr="002B2C64">
        <w:rPr>
          <w:rFonts w:ascii="Book Antiqua" w:hAnsi="Book Antiqua"/>
          <w:kern w:val="2"/>
          <w:sz w:val="24"/>
          <w:szCs w:val="24"/>
          <w:lang w:eastAsia="zh-CN"/>
        </w:rPr>
        <w:t xml:space="preserve"> 2</w:t>
      </w:r>
      <w:r w:rsidR="004D326A" w:rsidRPr="002B2C64">
        <w:rPr>
          <w:rFonts w:ascii="Book Antiqua" w:hAnsi="Book Antiqua"/>
          <w:kern w:val="2"/>
          <w:sz w:val="24"/>
          <w:szCs w:val="24"/>
          <w:lang w:eastAsia="zh-CN"/>
        </w:rPr>
        <w:t>0</w:t>
      </w:r>
      <w:r w:rsidRPr="002B2C64">
        <w:rPr>
          <w:rFonts w:ascii="Book Antiqua" w:hAnsi="Book Antiqua"/>
          <w:kern w:val="2"/>
          <w:sz w:val="24"/>
          <w:szCs w:val="24"/>
          <w:lang w:eastAsia="zh-CN"/>
        </w:rPr>
        <w:t>, 20</w:t>
      </w:r>
      <w:bookmarkEnd w:id="39"/>
      <w:r w:rsidR="004D326A" w:rsidRPr="002B2C64">
        <w:rPr>
          <w:rFonts w:ascii="Book Antiqua" w:hAnsi="Book Antiqua"/>
          <w:kern w:val="2"/>
          <w:sz w:val="24"/>
          <w:szCs w:val="24"/>
          <w:lang w:eastAsia="zh-CN"/>
        </w:rPr>
        <w:t>20</w:t>
      </w:r>
    </w:p>
    <w:p w:rsidR="00F545EB" w:rsidRPr="002B2C64" w:rsidRDefault="00F545EB" w:rsidP="0083105B">
      <w:pPr>
        <w:widowControl w:val="0"/>
        <w:adjustRightInd w:val="0"/>
        <w:snapToGrid w:val="0"/>
        <w:spacing w:after="0" w:line="360" w:lineRule="auto"/>
        <w:jc w:val="both"/>
        <w:rPr>
          <w:rFonts w:ascii="Book Antiqua" w:hAnsi="Book Antiqua"/>
          <w:b/>
          <w:kern w:val="2"/>
          <w:sz w:val="24"/>
          <w:szCs w:val="24"/>
          <w:lang w:eastAsia="zh-CN"/>
        </w:rPr>
      </w:pPr>
      <w:r w:rsidRPr="002B2C64">
        <w:rPr>
          <w:rFonts w:ascii="Book Antiqua" w:hAnsi="Book Antiqua"/>
          <w:b/>
          <w:kern w:val="2"/>
          <w:sz w:val="24"/>
          <w:szCs w:val="24"/>
          <w:lang w:eastAsia="zh-CN"/>
        </w:rPr>
        <w:t xml:space="preserve">First decision: </w:t>
      </w:r>
      <w:r w:rsidRPr="002B2C64">
        <w:rPr>
          <w:rFonts w:ascii="Book Antiqua" w:hAnsi="Book Antiqua"/>
          <w:kern w:val="2"/>
          <w:sz w:val="24"/>
          <w:szCs w:val="24"/>
          <w:lang w:eastAsia="zh-CN"/>
        </w:rPr>
        <w:t>M</w:t>
      </w:r>
      <w:r w:rsidR="004D326A" w:rsidRPr="002B2C64">
        <w:rPr>
          <w:rFonts w:ascii="Book Antiqua" w:hAnsi="Book Antiqua"/>
          <w:kern w:val="2"/>
          <w:sz w:val="24"/>
          <w:szCs w:val="24"/>
          <w:lang w:eastAsia="zh-CN"/>
        </w:rPr>
        <w:t>arch</w:t>
      </w:r>
      <w:r w:rsidRPr="002B2C64">
        <w:rPr>
          <w:rFonts w:ascii="Book Antiqua" w:hAnsi="Book Antiqua"/>
          <w:kern w:val="2"/>
          <w:sz w:val="24"/>
          <w:szCs w:val="24"/>
          <w:lang w:eastAsia="zh-CN"/>
        </w:rPr>
        <w:t xml:space="preserve"> 24, 20</w:t>
      </w:r>
      <w:r w:rsidR="004D326A" w:rsidRPr="002B2C64">
        <w:rPr>
          <w:rFonts w:ascii="Book Antiqua" w:hAnsi="Book Antiqua"/>
          <w:kern w:val="2"/>
          <w:sz w:val="24"/>
          <w:szCs w:val="24"/>
          <w:lang w:eastAsia="zh-CN"/>
        </w:rPr>
        <w:t>20</w:t>
      </w:r>
    </w:p>
    <w:p w:rsidR="00F545EB" w:rsidRPr="002B2C64" w:rsidRDefault="00F545EB" w:rsidP="0083105B">
      <w:pPr>
        <w:widowControl w:val="0"/>
        <w:adjustRightInd w:val="0"/>
        <w:snapToGrid w:val="0"/>
        <w:spacing w:after="0" w:line="360" w:lineRule="auto"/>
        <w:jc w:val="both"/>
        <w:rPr>
          <w:rFonts w:ascii="Book Antiqua" w:hAnsi="Book Antiqua"/>
          <w:b/>
          <w:kern w:val="2"/>
          <w:sz w:val="24"/>
          <w:szCs w:val="24"/>
          <w:lang w:eastAsia="zh-CN"/>
        </w:rPr>
      </w:pPr>
      <w:r w:rsidRPr="002B2C64">
        <w:rPr>
          <w:rFonts w:ascii="Book Antiqua" w:hAnsi="Book Antiqua"/>
          <w:b/>
          <w:kern w:val="2"/>
          <w:sz w:val="24"/>
          <w:szCs w:val="24"/>
          <w:lang w:eastAsia="zh-CN"/>
        </w:rPr>
        <w:t>Article in press:</w:t>
      </w:r>
      <w:r w:rsidR="002B2C64" w:rsidRPr="002B2C64">
        <w:rPr>
          <w:rFonts w:ascii="Book Antiqua" w:hAnsi="Book Antiqua"/>
          <w:sz w:val="24"/>
          <w:szCs w:val="24"/>
        </w:rPr>
        <w:t xml:space="preserve"> July 18, 2020</w:t>
      </w:r>
    </w:p>
    <w:p w:rsidR="00F545EB" w:rsidRPr="002B2C64" w:rsidRDefault="00F545EB" w:rsidP="0083105B">
      <w:pPr>
        <w:adjustRightInd w:val="0"/>
        <w:snapToGrid w:val="0"/>
        <w:spacing w:after="0" w:line="360" w:lineRule="auto"/>
        <w:jc w:val="both"/>
        <w:rPr>
          <w:rFonts w:ascii="Book Antiqua" w:hAnsi="Book Antiqua" w:cs="等线"/>
          <w:b/>
          <w:sz w:val="24"/>
          <w:szCs w:val="24"/>
          <w:lang w:val="hu-HU"/>
        </w:rPr>
      </w:pPr>
    </w:p>
    <w:p w:rsidR="00F545EB" w:rsidRPr="002B2C64" w:rsidRDefault="00F545EB" w:rsidP="0083105B">
      <w:pPr>
        <w:widowControl w:val="0"/>
        <w:adjustRightInd w:val="0"/>
        <w:snapToGrid w:val="0"/>
        <w:spacing w:after="0" w:line="360" w:lineRule="auto"/>
        <w:jc w:val="both"/>
        <w:rPr>
          <w:rFonts w:ascii="Book Antiqua" w:eastAsia="微软雅黑" w:hAnsi="Book Antiqua" w:cs="宋体"/>
          <w:sz w:val="24"/>
          <w:szCs w:val="24"/>
          <w:lang w:eastAsia="zh-CN"/>
        </w:rPr>
      </w:pPr>
      <w:r w:rsidRPr="002B2C64">
        <w:rPr>
          <w:rFonts w:ascii="Book Antiqua" w:hAnsi="Book Antiqua" w:cs="宋体"/>
          <w:b/>
          <w:sz w:val="24"/>
          <w:szCs w:val="24"/>
          <w:lang w:eastAsia="zh-CN"/>
        </w:rPr>
        <w:t xml:space="preserve">Specialty type: </w:t>
      </w:r>
      <w:r w:rsidRPr="002B2C64">
        <w:rPr>
          <w:rFonts w:ascii="Book Antiqua" w:eastAsia="微软雅黑" w:hAnsi="Book Antiqua" w:cs="宋体"/>
          <w:sz w:val="24"/>
          <w:szCs w:val="24"/>
          <w:lang w:eastAsia="zh-CN"/>
        </w:rPr>
        <w:t>Gastroenterology and hepatology</w:t>
      </w:r>
    </w:p>
    <w:p w:rsidR="00F545EB" w:rsidRPr="002B2C64" w:rsidRDefault="00F545EB" w:rsidP="0083105B">
      <w:pPr>
        <w:widowControl w:val="0"/>
        <w:adjustRightInd w:val="0"/>
        <w:snapToGrid w:val="0"/>
        <w:spacing w:after="0" w:line="360" w:lineRule="auto"/>
        <w:jc w:val="both"/>
        <w:rPr>
          <w:rFonts w:ascii="Book Antiqua" w:hAnsi="Book Antiqua" w:cs="宋体"/>
          <w:sz w:val="24"/>
          <w:szCs w:val="24"/>
          <w:lang w:eastAsia="zh-CN"/>
        </w:rPr>
      </w:pPr>
      <w:r w:rsidRPr="002B2C64">
        <w:rPr>
          <w:rFonts w:ascii="Book Antiqua" w:hAnsi="Book Antiqua" w:cs="宋体"/>
          <w:b/>
          <w:sz w:val="24"/>
          <w:szCs w:val="24"/>
          <w:lang w:eastAsia="zh-CN"/>
        </w:rPr>
        <w:t xml:space="preserve">Country/Territory of origin: </w:t>
      </w:r>
      <w:r w:rsidR="00F04A34" w:rsidRPr="002B2C64">
        <w:rPr>
          <w:rFonts w:ascii="Book Antiqua" w:hAnsi="Book Antiqua" w:cs="宋体"/>
          <w:sz w:val="24"/>
          <w:szCs w:val="24"/>
          <w:lang w:eastAsia="zh-CN"/>
        </w:rPr>
        <w:t>Poland</w:t>
      </w:r>
    </w:p>
    <w:p w:rsidR="00F545EB" w:rsidRPr="002B2C64" w:rsidRDefault="00F545EB" w:rsidP="0083105B">
      <w:pPr>
        <w:widowControl w:val="0"/>
        <w:adjustRightInd w:val="0"/>
        <w:snapToGrid w:val="0"/>
        <w:spacing w:after="0" w:line="360" w:lineRule="auto"/>
        <w:jc w:val="both"/>
        <w:rPr>
          <w:rFonts w:ascii="Book Antiqua" w:hAnsi="Book Antiqua" w:cs="宋体"/>
          <w:b/>
          <w:sz w:val="24"/>
          <w:szCs w:val="24"/>
          <w:lang w:eastAsia="zh-CN"/>
        </w:rPr>
      </w:pPr>
      <w:r w:rsidRPr="002B2C64">
        <w:rPr>
          <w:rFonts w:ascii="Book Antiqua" w:hAnsi="Book Antiqua" w:cs="宋体"/>
          <w:b/>
          <w:sz w:val="24"/>
          <w:szCs w:val="24"/>
          <w:lang w:eastAsia="zh-CN"/>
        </w:rPr>
        <w:t>Peer-review report’s scientific quality classification</w:t>
      </w:r>
    </w:p>
    <w:p w:rsidR="00F545EB" w:rsidRPr="002B2C64" w:rsidRDefault="00F545EB" w:rsidP="0083105B">
      <w:pPr>
        <w:widowControl w:val="0"/>
        <w:adjustRightInd w:val="0"/>
        <w:snapToGrid w:val="0"/>
        <w:spacing w:after="0" w:line="360" w:lineRule="auto"/>
        <w:jc w:val="both"/>
        <w:rPr>
          <w:rFonts w:ascii="Book Antiqua" w:hAnsi="Book Antiqua" w:cs="宋体"/>
          <w:sz w:val="24"/>
          <w:szCs w:val="24"/>
          <w:lang w:eastAsia="zh-CN"/>
        </w:rPr>
      </w:pPr>
      <w:r w:rsidRPr="002B2C64">
        <w:rPr>
          <w:rFonts w:ascii="Book Antiqua" w:hAnsi="Book Antiqua" w:cs="宋体"/>
          <w:sz w:val="24"/>
          <w:szCs w:val="24"/>
          <w:lang w:eastAsia="zh-CN"/>
        </w:rPr>
        <w:lastRenderedPageBreak/>
        <w:t xml:space="preserve">Grade A (Excellent): </w:t>
      </w:r>
      <w:r w:rsidR="00F04A34" w:rsidRPr="002B2C64">
        <w:rPr>
          <w:rFonts w:ascii="Book Antiqua" w:hAnsi="Book Antiqua" w:cs="宋体"/>
          <w:sz w:val="24"/>
          <w:szCs w:val="24"/>
          <w:lang w:eastAsia="zh-CN"/>
        </w:rPr>
        <w:t>0</w:t>
      </w:r>
    </w:p>
    <w:p w:rsidR="00F545EB" w:rsidRPr="002B2C64" w:rsidRDefault="00F545EB" w:rsidP="0083105B">
      <w:pPr>
        <w:widowControl w:val="0"/>
        <w:adjustRightInd w:val="0"/>
        <w:snapToGrid w:val="0"/>
        <w:spacing w:after="0" w:line="360" w:lineRule="auto"/>
        <w:jc w:val="both"/>
        <w:rPr>
          <w:rFonts w:ascii="Book Antiqua" w:hAnsi="Book Antiqua" w:cs="宋体"/>
          <w:sz w:val="24"/>
          <w:szCs w:val="24"/>
          <w:lang w:eastAsia="zh-CN"/>
        </w:rPr>
      </w:pPr>
      <w:r w:rsidRPr="002B2C64">
        <w:rPr>
          <w:rFonts w:ascii="Book Antiqua" w:hAnsi="Book Antiqua" w:cs="宋体"/>
          <w:sz w:val="24"/>
          <w:szCs w:val="24"/>
          <w:lang w:eastAsia="zh-CN"/>
        </w:rPr>
        <w:t>Grade B (Very good): 0</w:t>
      </w:r>
    </w:p>
    <w:p w:rsidR="00F545EB" w:rsidRPr="002B2C64" w:rsidRDefault="00F545EB" w:rsidP="0083105B">
      <w:pPr>
        <w:widowControl w:val="0"/>
        <w:adjustRightInd w:val="0"/>
        <w:snapToGrid w:val="0"/>
        <w:spacing w:after="0" w:line="360" w:lineRule="auto"/>
        <w:jc w:val="both"/>
        <w:rPr>
          <w:rFonts w:ascii="Book Antiqua" w:hAnsi="Book Antiqua" w:cs="宋体"/>
          <w:sz w:val="24"/>
          <w:szCs w:val="24"/>
          <w:lang w:eastAsia="zh-CN"/>
        </w:rPr>
      </w:pPr>
      <w:r w:rsidRPr="002B2C64">
        <w:rPr>
          <w:rFonts w:ascii="Book Antiqua" w:hAnsi="Book Antiqua" w:cs="宋体"/>
          <w:sz w:val="24"/>
          <w:szCs w:val="24"/>
          <w:lang w:eastAsia="zh-CN"/>
        </w:rPr>
        <w:t>Grade C (Good): C</w:t>
      </w:r>
      <w:r w:rsidR="00F04A34" w:rsidRPr="002B2C64">
        <w:rPr>
          <w:rFonts w:ascii="Book Antiqua" w:hAnsi="Book Antiqua" w:cs="宋体"/>
          <w:sz w:val="24"/>
          <w:szCs w:val="24"/>
          <w:lang w:eastAsia="zh-CN"/>
        </w:rPr>
        <w:t>,</w:t>
      </w:r>
      <w:r w:rsidR="002802C5" w:rsidRPr="002B2C64">
        <w:rPr>
          <w:rFonts w:ascii="Book Antiqua" w:hAnsi="Book Antiqua" w:cs="宋体"/>
          <w:sz w:val="24"/>
          <w:szCs w:val="24"/>
          <w:lang w:eastAsia="zh-CN"/>
        </w:rPr>
        <w:t xml:space="preserve"> </w:t>
      </w:r>
      <w:r w:rsidR="00F04A34" w:rsidRPr="002B2C64">
        <w:rPr>
          <w:rFonts w:ascii="Book Antiqua" w:hAnsi="Book Antiqua" w:cs="宋体"/>
          <w:sz w:val="24"/>
          <w:szCs w:val="24"/>
          <w:lang w:eastAsia="zh-CN"/>
        </w:rPr>
        <w:t>C</w:t>
      </w:r>
    </w:p>
    <w:p w:rsidR="00F545EB" w:rsidRPr="002B2C64" w:rsidRDefault="00F545EB" w:rsidP="0083105B">
      <w:pPr>
        <w:widowControl w:val="0"/>
        <w:adjustRightInd w:val="0"/>
        <w:snapToGrid w:val="0"/>
        <w:spacing w:after="0" w:line="360" w:lineRule="auto"/>
        <w:jc w:val="both"/>
        <w:rPr>
          <w:rFonts w:ascii="Book Antiqua" w:hAnsi="Book Antiqua" w:cs="宋体"/>
          <w:sz w:val="24"/>
          <w:szCs w:val="24"/>
          <w:lang w:eastAsia="zh-CN"/>
        </w:rPr>
      </w:pPr>
      <w:r w:rsidRPr="002B2C64">
        <w:rPr>
          <w:rFonts w:ascii="Book Antiqua" w:hAnsi="Book Antiqua" w:cs="宋体"/>
          <w:sz w:val="24"/>
          <w:szCs w:val="24"/>
          <w:lang w:eastAsia="zh-CN"/>
        </w:rPr>
        <w:t xml:space="preserve">Grade D (Fair): </w:t>
      </w:r>
      <w:r w:rsidR="00F04A34" w:rsidRPr="002B2C64">
        <w:rPr>
          <w:rFonts w:ascii="Book Antiqua" w:hAnsi="Book Antiqua" w:cs="宋体"/>
          <w:sz w:val="24"/>
          <w:szCs w:val="24"/>
          <w:lang w:eastAsia="zh-CN"/>
        </w:rPr>
        <w:t>D</w:t>
      </w:r>
    </w:p>
    <w:p w:rsidR="00F545EB" w:rsidRPr="002B2C64" w:rsidRDefault="00F545EB" w:rsidP="0083105B">
      <w:pPr>
        <w:widowControl w:val="0"/>
        <w:tabs>
          <w:tab w:val="right" w:pos="8312"/>
        </w:tabs>
        <w:adjustRightInd w:val="0"/>
        <w:snapToGrid w:val="0"/>
        <w:spacing w:after="0" w:line="360" w:lineRule="auto"/>
        <w:jc w:val="both"/>
        <w:rPr>
          <w:rFonts w:ascii="Book Antiqua" w:eastAsia="等线" w:hAnsi="Book Antiqua"/>
          <w:kern w:val="2"/>
          <w:sz w:val="24"/>
          <w:szCs w:val="24"/>
          <w:lang w:val="hu-HU" w:eastAsia="zh-CN"/>
        </w:rPr>
      </w:pPr>
      <w:r w:rsidRPr="002B2C64">
        <w:rPr>
          <w:rFonts w:ascii="Book Antiqua" w:hAnsi="Book Antiqua" w:cs="宋体"/>
          <w:sz w:val="24"/>
          <w:szCs w:val="24"/>
          <w:lang w:eastAsia="zh-CN"/>
        </w:rPr>
        <w:t>Grade E (Poor): 0</w:t>
      </w:r>
      <w:r w:rsidRPr="002B2C64">
        <w:rPr>
          <w:rFonts w:ascii="Book Antiqua" w:hAnsi="Book Antiqua" w:cs="宋体"/>
          <w:sz w:val="24"/>
          <w:szCs w:val="24"/>
          <w:lang w:eastAsia="zh-CN"/>
        </w:rPr>
        <w:tab/>
      </w:r>
    </w:p>
    <w:p w:rsidR="00F545EB" w:rsidRPr="002B2C64" w:rsidRDefault="00F545EB" w:rsidP="0083105B">
      <w:pPr>
        <w:widowControl w:val="0"/>
        <w:adjustRightInd w:val="0"/>
        <w:snapToGrid w:val="0"/>
        <w:spacing w:after="0" w:line="360" w:lineRule="auto"/>
        <w:jc w:val="both"/>
        <w:rPr>
          <w:rFonts w:ascii="Book Antiqua" w:eastAsia="等线" w:hAnsi="Book Antiqua"/>
          <w:kern w:val="2"/>
          <w:sz w:val="24"/>
          <w:szCs w:val="24"/>
          <w:lang w:eastAsia="zh-CN"/>
        </w:rPr>
      </w:pPr>
    </w:p>
    <w:p w:rsidR="00F545EB" w:rsidRPr="002B2C64" w:rsidRDefault="00F545EB" w:rsidP="0083105B">
      <w:pPr>
        <w:widowControl w:val="0"/>
        <w:adjustRightInd w:val="0"/>
        <w:snapToGrid w:val="0"/>
        <w:spacing w:after="0" w:line="360" w:lineRule="auto"/>
        <w:jc w:val="both"/>
        <w:rPr>
          <w:rFonts w:ascii="Book Antiqua" w:hAnsi="Book Antiqua"/>
          <w:bCs/>
          <w:color w:val="000000"/>
          <w:kern w:val="2"/>
          <w:sz w:val="24"/>
          <w:szCs w:val="24"/>
          <w:lang w:eastAsia="zh-CN"/>
        </w:rPr>
      </w:pPr>
      <w:bookmarkStart w:id="40" w:name="OLE_LINK139"/>
      <w:bookmarkStart w:id="41" w:name="OLE_LINK140"/>
      <w:r w:rsidRPr="002B2C64">
        <w:rPr>
          <w:rFonts w:ascii="Book Antiqua" w:hAnsi="Book Antiqua"/>
          <w:b/>
          <w:bCs/>
          <w:color w:val="000000"/>
          <w:kern w:val="2"/>
          <w:sz w:val="24"/>
          <w:szCs w:val="24"/>
          <w:lang w:eastAsia="zh-CN"/>
        </w:rPr>
        <w:t>P-Reviewer:</w:t>
      </w:r>
      <w:r w:rsidRPr="002B2C64">
        <w:rPr>
          <w:rFonts w:ascii="Book Antiqua" w:hAnsi="Book Antiqua"/>
          <w:bCs/>
          <w:color w:val="000000"/>
          <w:kern w:val="2"/>
          <w:sz w:val="24"/>
          <w:szCs w:val="24"/>
          <w:lang w:eastAsia="zh-CN"/>
        </w:rPr>
        <w:t xml:space="preserve"> </w:t>
      </w:r>
      <w:r w:rsidR="005341B7" w:rsidRPr="002B2C64">
        <w:rPr>
          <w:rFonts w:ascii="Book Antiqua" w:hAnsi="Book Antiqua"/>
          <w:color w:val="000000"/>
          <w:kern w:val="2"/>
          <w:sz w:val="24"/>
          <w:szCs w:val="24"/>
          <w:lang w:eastAsia="zh-CN"/>
        </w:rPr>
        <w:t>Fei XM, Ji</w:t>
      </w:r>
      <w:r w:rsidR="001A26F9" w:rsidRPr="002B2C64">
        <w:rPr>
          <w:rFonts w:ascii="Book Antiqua" w:hAnsi="Book Antiqua"/>
          <w:color w:val="000000"/>
          <w:kern w:val="2"/>
          <w:sz w:val="24"/>
          <w:szCs w:val="24"/>
          <w:lang w:eastAsia="zh-CN"/>
        </w:rPr>
        <w:t xml:space="preserve"> G, Perse M</w:t>
      </w:r>
      <w:r w:rsidR="001A26F9" w:rsidRPr="002B2C64">
        <w:rPr>
          <w:rFonts w:ascii="Book Antiqua" w:hAnsi="Book Antiqua"/>
          <w:bCs/>
          <w:color w:val="000000"/>
          <w:kern w:val="2"/>
          <w:sz w:val="24"/>
          <w:szCs w:val="24"/>
          <w:lang w:eastAsia="zh-CN"/>
        </w:rPr>
        <w:t xml:space="preserve"> </w:t>
      </w:r>
      <w:r w:rsidRPr="002B2C64">
        <w:rPr>
          <w:rFonts w:ascii="Book Antiqua" w:hAnsi="Book Antiqua"/>
          <w:b/>
          <w:bCs/>
          <w:color w:val="000000"/>
          <w:kern w:val="2"/>
          <w:sz w:val="24"/>
          <w:szCs w:val="24"/>
          <w:lang w:eastAsia="zh-CN"/>
        </w:rPr>
        <w:t>S-Editor:</w:t>
      </w:r>
      <w:r w:rsidRPr="002B2C64">
        <w:rPr>
          <w:rFonts w:ascii="Book Antiqua" w:hAnsi="Book Antiqua"/>
          <w:color w:val="000000"/>
          <w:kern w:val="2"/>
          <w:sz w:val="24"/>
          <w:szCs w:val="24"/>
          <w:lang w:eastAsia="zh-CN"/>
        </w:rPr>
        <w:t xml:space="preserve"> </w:t>
      </w:r>
      <w:bookmarkStart w:id="42" w:name="_Hlk44947868"/>
      <w:bookmarkStart w:id="43" w:name="OLE_LINK6"/>
      <w:r w:rsidRPr="002B2C64">
        <w:rPr>
          <w:rFonts w:ascii="Book Antiqua" w:hAnsi="Book Antiqua"/>
          <w:color w:val="000000"/>
          <w:kern w:val="2"/>
          <w:sz w:val="24"/>
          <w:szCs w:val="24"/>
          <w:lang w:eastAsia="zh-CN"/>
        </w:rPr>
        <w:t>Zhang L</w:t>
      </w:r>
      <w:bookmarkEnd w:id="42"/>
      <w:bookmarkEnd w:id="43"/>
      <w:r w:rsidRPr="002B2C64">
        <w:rPr>
          <w:rFonts w:ascii="Book Antiqua" w:hAnsi="Book Antiqua"/>
          <w:color w:val="000000"/>
          <w:kern w:val="2"/>
          <w:sz w:val="24"/>
          <w:szCs w:val="24"/>
          <w:lang w:eastAsia="zh-CN"/>
        </w:rPr>
        <w:t xml:space="preserve"> </w:t>
      </w:r>
      <w:r w:rsidRPr="002B2C64">
        <w:rPr>
          <w:rFonts w:ascii="Book Antiqua" w:hAnsi="Book Antiqua"/>
          <w:b/>
          <w:bCs/>
          <w:color w:val="000000"/>
          <w:kern w:val="2"/>
          <w:sz w:val="24"/>
          <w:szCs w:val="24"/>
          <w:lang w:eastAsia="zh-CN"/>
        </w:rPr>
        <w:t>L-Editor:</w:t>
      </w:r>
      <w:r w:rsidRPr="002B2C64">
        <w:rPr>
          <w:rFonts w:ascii="Book Antiqua" w:hAnsi="Book Antiqua"/>
          <w:color w:val="000000"/>
          <w:kern w:val="2"/>
          <w:sz w:val="24"/>
          <w:szCs w:val="24"/>
          <w:lang w:eastAsia="zh-CN"/>
        </w:rPr>
        <w:t xml:space="preserve"> </w:t>
      </w:r>
      <w:r w:rsidR="00172AAC" w:rsidRPr="002B2C64">
        <w:rPr>
          <w:rFonts w:ascii="Book Antiqua" w:hAnsi="Book Antiqua"/>
          <w:color w:val="000000"/>
          <w:kern w:val="2"/>
          <w:sz w:val="24"/>
          <w:szCs w:val="24"/>
          <w:lang w:eastAsia="zh-CN"/>
        </w:rPr>
        <w:t xml:space="preserve">Webster JR </w:t>
      </w:r>
      <w:r w:rsidRPr="002B2C64">
        <w:rPr>
          <w:rFonts w:ascii="Book Antiqua" w:hAnsi="Book Antiqua"/>
          <w:b/>
          <w:bCs/>
          <w:color w:val="000000"/>
          <w:kern w:val="2"/>
          <w:sz w:val="24"/>
          <w:szCs w:val="24"/>
          <w:lang w:eastAsia="zh-CN"/>
        </w:rPr>
        <w:t>E-Editor:</w:t>
      </w:r>
      <w:r w:rsidR="002B2C64" w:rsidRPr="002B2C64">
        <w:rPr>
          <w:rFonts w:ascii="Book Antiqua" w:hAnsi="Book Antiqua" w:hint="eastAsia"/>
          <w:b/>
          <w:bCs/>
          <w:color w:val="000000"/>
          <w:kern w:val="2"/>
          <w:sz w:val="24"/>
          <w:szCs w:val="24"/>
          <w:lang w:eastAsia="zh-CN"/>
        </w:rPr>
        <w:t xml:space="preserve"> </w:t>
      </w:r>
      <w:r w:rsidR="002B2C64" w:rsidRPr="002B2C64">
        <w:rPr>
          <w:rFonts w:ascii="Book Antiqua" w:hAnsi="Book Antiqua" w:hint="eastAsia"/>
          <w:bCs/>
          <w:color w:val="000000"/>
          <w:kern w:val="2"/>
          <w:sz w:val="24"/>
          <w:szCs w:val="24"/>
          <w:lang w:eastAsia="zh-CN"/>
        </w:rPr>
        <w:t>Ma YJ</w:t>
      </w:r>
    </w:p>
    <w:bookmarkEnd w:id="40"/>
    <w:bookmarkEnd w:id="41"/>
    <w:p w:rsidR="00D4539F" w:rsidRPr="002B2C64" w:rsidRDefault="00F545EB" w:rsidP="001D5A4A">
      <w:pPr>
        <w:snapToGrid w:val="0"/>
        <w:spacing w:after="0" w:line="360" w:lineRule="auto"/>
        <w:jc w:val="both"/>
        <w:rPr>
          <w:rFonts w:ascii="Book Antiqua" w:hAnsi="Book Antiqua"/>
          <w:b/>
          <w:sz w:val="24"/>
          <w:szCs w:val="24"/>
        </w:rPr>
      </w:pPr>
      <w:r w:rsidRPr="002B2C64">
        <w:rPr>
          <w:rFonts w:ascii="Book Antiqua" w:hAnsi="Book Antiqua"/>
          <w:color w:val="000000"/>
          <w:kern w:val="2"/>
          <w:sz w:val="24"/>
          <w:szCs w:val="24"/>
          <w:lang w:eastAsia="zh-CN"/>
        </w:rPr>
        <w:br w:type="page"/>
      </w:r>
      <w:r w:rsidR="00D4539F" w:rsidRPr="002B2C64">
        <w:rPr>
          <w:rFonts w:ascii="Book Antiqua" w:hAnsi="Book Antiqua"/>
          <w:b/>
          <w:sz w:val="24"/>
          <w:szCs w:val="24"/>
        </w:rPr>
        <w:lastRenderedPageBreak/>
        <w:t>Figure Legends</w:t>
      </w:r>
    </w:p>
    <w:p w:rsidR="008740F9" w:rsidRPr="002B2C64" w:rsidRDefault="002B2C64" w:rsidP="0083105B">
      <w:pPr>
        <w:adjustRightInd w:val="0"/>
        <w:snapToGrid w:val="0"/>
        <w:spacing w:after="0" w:line="360" w:lineRule="auto"/>
        <w:jc w:val="both"/>
        <w:rPr>
          <w:rFonts w:ascii="Book Antiqua" w:hAnsi="Book Antiqua"/>
          <w:b/>
          <w:sz w:val="24"/>
          <w:szCs w:val="24"/>
          <w:lang w:eastAsia="zh-CN"/>
        </w:rPr>
      </w:pPr>
      <w:r>
        <w:rPr>
          <w:noProof/>
          <w:lang w:eastAsia="zh-CN"/>
        </w:rPr>
        <w:drawing>
          <wp:inline distT="0" distB="0" distL="0" distR="0">
            <wp:extent cx="5271770" cy="406336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770" cy="4063365"/>
                    </a:xfrm>
                    <a:prstGeom prst="rect">
                      <a:avLst/>
                    </a:prstGeom>
                    <a:noFill/>
                    <a:ln>
                      <a:noFill/>
                    </a:ln>
                  </pic:spPr>
                </pic:pic>
              </a:graphicData>
            </a:graphic>
          </wp:inline>
        </w:drawing>
      </w:r>
    </w:p>
    <w:p w:rsidR="008740F9" w:rsidRPr="002B2C64" w:rsidRDefault="001D6095" w:rsidP="0083105B">
      <w:pPr>
        <w:snapToGrid w:val="0"/>
        <w:spacing w:after="0" w:line="360" w:lineRule="auto"/>
        <w:jc w:val="both"/>
        <w:rPr>
          <w:rFonts w:ascii="Book Antiqua" w:hAnsi="Book Antiqua"/>
          <w:sz w:val="24"/>
          <w:szCs w:val="24"/>
          <w:lang w:val="en-GB"/>
        </w:rPr>
      </w:pPr>
      <w:r w:rsidRPr="002B2C64">
        <w:rPr>
          <w:rFonts w:ascii="Book Antiqua" w:eastAsia="Calibri" w:hAnsi="Book Antiqua"/>
          <w:b/>
          <w:noProof/>
          <w:color w:val="000000"/>
          <w:kern w:val="1"/>
          <w:sz w:val="24"/>
          <w:szCs w:val="24"/>
          <w:lang w:val="en-GB" w:eastAsia="pl-PL"/>
        </w:rPr>
        <w:t xml:space="preserve">Figure 1 </w:t>
      </w:r>
      <w:r w:rsidR="00A800B9" w:rsidRPr="002B2C64">
        <w:rPr>
          <w:rFonts w:ascii="Book Antiqua" w:hAnsi="Book Antiqua"/>
          <w:b/>
          <w:bCs/>
          <w:sz w:val="24"/>
          <w:szCs w:val="24"/>
          <w:lang w:val="en-GB"/>
        </w:rPr>
        <w:t xml:space="preserve">Three- and five-year disease-free survival rates according to monocyte count and </w:t>
      </w:r>
      <w:r w:rsidR="0087211B" w:rsidRPr="002B2C64">
        <w:rPr>
          <w:rFonts w:ascii="Book Antiqua" w:hAnsi="Book Antiqua"/>
          <w:b/>
          <w:bCs/>
          <w:sz w:val="24"/>
          <w:szCs w:val="24"/>
          <w:lang w:val="en-GB"/>
        </w:rPr>
        <w:t>monocyte to lymphocyte ratio</w:t>
      </w:r>
      <w:r w:rsidR="00A800B9" w:rsidRPr="002B2C64">
        <w:rPr>
          <w:rFonts w:ascii="Book Antiqua" w:hAnsi="Book Antiqua"/>
          <w:b/>
          <w:bCs/>
          <w:sz w:val="24"/>
          <w:szCs w:val="24"/>
          <w:lang w:val="en-GB"/>
        </w:rPr>
        <w:t xml:space="preserve"> in </w:t>
      </w:r>
      <w:r w:rsidR="0087211B" w:rsidRPr="002B2C64">
        <w:rPr>
          <w:rFonts w:ascii="Book Antiqua" w:hAnsi="Book Antiqua"/>
          <w:b/>
          <w:bCs/>
          <w:sz w:val="24"/>
          <w:szCs w:val="24"/>
          <w:lang w:val="en-GB"/>
        </w:rPr>
        <w:t>colorectal cancer</w:t>
      </w:r>
      <w:r w:rsidR="00A800B9" w:rsidRPr="002B2C64">
        <w:rPr>
          <w:rFonts w:ascii="Book Antiqua" w:hAnsi="Book Antiqua"/>
          <w:b/>
          <w:bCs/>
          <w:sz w:val="24"/>
          <w:szCs w:val="24"/>
          <w:lang w:val="en-GB"/>
        </w:rPr>
        <w:t xml:space="preserve"> patients, before and after surgery, respectively. </w:t>
      </w:r>
      <w:r w:rsidR="00172AAC" w:rsidRPr="002B2C64">
        <w:rPr>
          <w:rFonts w:ascii="Book Antiqua" w:hAnsi="Book Antiqua"/>
          <w:sz w:val="24"/>
          <w:szCs w:val="24"/>
          <w:lang w:val="en-GB"/>
        </w:rPr>
        <w:t>Kaplan-Meier curves were used t</w:t>
      </w:r>
      <w:r w:rsidR="00A800B9" w:rsidRPr="002B2C64">
        <w:rPr>
          <w:rFonts w:ascii="Book Antiqua" w:hAnsi="Book Antiqua"/>
          <w:sz w:val="24"/>
          <w:szCs w:val="24"/>
          <w:lang w:val="en-GB"/>
        </w:rPr>
        <w:t xml:space="preserve">o identify factors for </w:t>
      </w:r>
      <w:r w:rsidR="0087211B" w:rsidRPr="002B2C64">
        <w:rPr>
          <w:rFonts w:ascii="Book Antiqua" w:hAnsi="Book Antiqua"/>
          <w:sz w:val="24"/>
          <w:szCs w:val="24"/>
          <w:lang w:val="en-GB"/>
        </w:rPr>
        <w:t>colorectal cancer</w:t>
      </w:r>
      <w:r w:rsidR="00A800B9" w:rsidRPr="002B2C64">
        <w:rPr>
          <w:rFonts w:ascii="Book Antiqua" w:hAnsi="Book Antiqua"/>
          <w:sz w:val="24"/>
          <w:szCs w:val="24"/>
          <w:lang w:val="en-GB"/>
        </w:rPr>
        <w:t xml:space="preserve"> survival.</w:t>
      </w:r>
      <w:r w:rsidR="002802C5" w:rsidRPr="002B2C64">
        <w:rPr>
          <w:rFonts w:ascii="Book Antiqua" w:hAnsi="Book Antiqua"/>
          <w:sz w:val="24"/>
          <w:szCs w:val="24"/>
          <w:lang w:val="en-GB"/>
        </w:rPr>
        <w:t xml:space="preserve"> A and</w:t>
      </w:r>
      <w:r w:rsidR="00907300" w:rsidRPr="002B2C64">
        <w:rPr>
          <w:rFonts w:ascii="Book Antiqua" w:hAnsi="Book Antiqua"/>
          <w:sz w:val="24"/>
          <w:szCs w:val="24"/>
          <w:lang w:val="en-GB"/>
        </w:rPr>
        <w:t xml:space="preserve"> B: </w:t>
      </w:r>
      <w:r w:rsidR="002802C5" w:rsidRPr="002B2C64">
        <w:rPr>
          <w:rFonts w:ascii="Book Antiqua" w:hAnsi="Book Antiqua"/>
          <w:sz w:val="24"/>
          <w:szCs w:val="24"/>
          <w:lang w:val="en-GB"/>
        </w:rPr>
        <w:t xml:space="preserve">Monocyte </w:t>
      </w:r>
      <w:r w:rsidR="00907300" w:rsidRPr="002B2C64">
        <w:rPr>
          <w:rFonts w:ascii="Book Antiqua" w:hAnsi="Book Antiqua"/>
          <w:sz w:val="24"/>
          <w:szCs w:val="24"/>
          <w:lang w:val="en-GB"/>
        </w:rPr>
        <w:t xml:space="preserve">count before surgery </w:t>
      </w:r>
      <w:r w:rsidR="002802C5" w:rsidRPr="002B2C64">
        <w:rPr>
          <w:rFonts w:ascii="Book Antiqua" w:hAnsi="Book Antiqua"/>
          <w:sz w:val="24"/>
          <w:szCs w:val="24"/>
          <w:lang w:val="en-GB" w:eastAsia="zh-CN"/>
        </w:rPr>
        <w:t>[</w:t>
      </w:r>
      <w:r w:rsidR="002802C5" w:rsidRPr="002B2C64">
        <w:rPr>
          <w:rFonts w:ascii="Book Antiqua" w:hAnsi="Book Antiqua"/>
          <w:sz w:val="24"/>
          <w:szCs w:val="24"/>
          <w:lang w:val="en-GB"/>
        </w:rPr>
        <w:t>3- and 5-y</w:t>
      </w:r>
      <w:r w:rsidR="00B74997" w:rsidRPr="002B2C64">
        <w:rPr>
          <w:rFonts w:ascii="Book Antiqua" w:hAnsi="Book Antiqua"/>
          <w:sz w:val="24"/>
          <w:szCs w:val="24"/>
          <w:lang w:val="en-GB"/>
        </w:rPr>
        <w:t xml:space="preserve">r </w:t>
      </w:r>
      <w:r w:rsidR="002802C5" w:rsidRPr="002B2C64">
        <w:rPr>
          <w:rFonts w:ascii="Book Antiqua" w:hAnsi="Book Antiqua"/>
          <w:sz w:val="24"/>
          <w:szCs w:val="24"/>
          <w:lang w:val="en-GB"/>
        </w:rPr>
        <w:t>disease-free survival (</w:t>
      </w:r>
      <w:r w:rsidR="00B74997" w:rsidRPr="002B2C64">
        <w:rPr>
          <w:rFonts w:ascii="Book Antiqua" w:hAnsi="Book Antiqua"/>
          <w:sz w:val="24"/>
          <w:szCs w:val="24"/>
          <w:lang w:val="en-GB"/>
        </w:rPr>
        <w:t>DFS)</w:t>
      </w:r>
      <w:r w:rsidR="002802C5" w:rsidRPr="002B2C64">
        <w:rPr>
          <w:rFonts w:ascii="Book Antiqua" w:hAnsi="Book Antiqua"/>
          <w:sz w:val="24"/>
          <w:szCs w:val="24"/>
          <w:lang w:val="en-GB"/>
        </w:rPr>
        <w:t>]</w:t>
      </w:r>
      <w:r w:rsidR="00B74997" w:rsidRPr="002B2C64">
        <w:rPr>
          <w:rFonts w:ascii="Book Antiqua" w:hAnsi="Book Antiqua"/>
          <w:sz w:val="24"/>
          <w:szCs w:val="24"/>
          <w:lang w:val="en-GB"/>
        </w:rPr>
        <w:t>;</w:t>
      </w:r>
      <w:r w:rsidR="002802C5" w:rsidRPr="002B2C64">
        <w:rPr>
          <w:rFonts w:ascii="Book Antiqua" w:hAnsi="Book Antiqua"/>
          <w:sz w:val="24"/>
          <w:szCs w:val="24"/>
          <w:lang w:val="en-GB"/>
        </w:rPr>
        <w:t xml:space="preserve"> C and</w:t>
      </w:r>
      <w:r w:rsidR="00907300" w:rsidRPr="002B2C64">
        <w:rPr>
          <w:rFonts w:ascii="Book Antiqua" w:hAnsi="Book Antiqua"/>
          <w:sz w:val="24"/>
          <w:szCs w:val="24"/>
          <w:lang w:val="en-GB"/>
        </w:rPr>
        <w:t xml:space="preserve"> D: </w:t>
      </w:r>
      <w:r w:rsidR="002802C5" w:rsidRPr="002B2C64">
        <w:rPr>
          <w:rFonts w:ascii="Book Antiqua" w:hAnsi="Book Antiqua"/>
          <w:sz w:val="24"/>
          <w:szCs w:val="24"/>
          <w:lang w:val="en-GB"/>
        </w:rPr>
        <w:t xml:space="preserve">Monocyte </w:t>
      </w:r>
      <w:r w:rsidR="00907300" w:rsidRPr="002B2C64">
        <w:rPr>
          <w:rFonts w:ascii="Book Antiqua" w:hAnsi="Book Antiqua"/>
          <w:sz w:val="24"/>
          <w:szCs w:val="24"/>
          <w:lang w:val="en-GB"/>
        </w:rPr>
        <w:t>cou</w:t>
      </w:r>
      <w:r w:rsidR="002802C5" w:rsidRPr="002B2C64">
        <w:rPr>
          <w:rFonts w:ascii="Book Antiqua" w:hAnsi="Book Antiqua"/>
          <w:sz w:val="24"/>
          <w:szCs w:val="24"/>
          <w:lang w:val="en-GB"/>
        </w:rPr>
        <w:t>nt after surgery (3- and 5-y</w:t>
      </w:r>
      <w:r w:rsidR="00907300" w:rsidRPr="002B2C64">
        <w:rPr>
          <w:rFonts w:ascii="Book Antiqua" w:hAnsi="Book Antiqua"/>
          <w:sz w:val="24"/>
          <w:szCs w:val="24"/>
          <w:lang w:val="en-GB"/>
        </w:rPr>
        <w:t>r DFS)</w:t>
      </w:r>
      <w:r w:rsidR="00B74997" w:rsidRPr="002B2C64">
        <w:rPr>
          <w:rFonts w:ascii="Book Antiqua" w:hAnsi="Book Antiqua"/>
          <w:sz w:val="24"/>
          <w:szCs w:val="24"/>
          <w:lang w:val="en-GB"/>
        </w:rPr>
        <w:t xml:space="preserve">; </w:t>
      </w:r>
      <w:r w:rsidR="002802C5" w:rsidRPr="002B2C64">
        <w:rPr>
          <w:rFonts w:ascii="Book Antiqua" w:hAnsi="Book Antiqua"/>
          <w:sz w:val="24"/>
          <w:szCs w:val="24"/>
          <w:lang w:val="en-GB"/>
        </w:rPr>
        <w:t>E and F</w:t>
      </w:r>
      <w:r w:rsidR="00907300" w:rsidRPr="002B2C64">
        <w:rPr>
          <w:rFonts w:ascii="Book Antiqua" w:hAnsi="Book Antiqua"/>
          <w:sz w:val="24"/>
          <w:szCs w:val="24"/>
          <w:lang w:val="en-GB"/>
        </w:rPr>
        <w:t>:</w:t>
      </w:r>
      <w:r w:rsidR="00101B7E" w:rsidRPr="002B2C64">
        <w:rPr>
          <w:rFonts w:ascii="Book Antiqua" w:hAnsi="Book Antiqua"/>
          <w:sz w:val="24"/>
          <w:szCs w:val="24"/>
          <w:lang w:val="en-GB"/>
        </w:rPr>
        <w:t xml:space="preserve"> </w:t>
      </w:r>
      <w:r w:rsidR="002802C5" w:rsidRPr="002B2C64">
        <w:rPr>
          <w:rFonts w:ascii="Book Antiqua" w:hAnsi="Book Antiqua"/>
          <w:sz w:val="24"/>
          <w:szCs w:val="24"/>
          <w:lang w:val="en-GB"/>
        </w:rPr>
        <w:t>Monocyte to lymphocyte ratio</w:t>
      </w:r>
      <w:r w:rsidR="00101B7E" w:rsidRPr="002B2C64">
        <w:rPr>
          <w:rFonts w:ascii="Book Antiqua" w:hAnsi="Book Antiqua"/>
          <w:sz w:val="24"/>
          <w:szCs w:val="24"/>
          <w:lang w:val="en-GB"/>
        </w:rPr>
        <w:t xml:space="preserve"> before surgery (</w:t>
      </w:r>
      <w:r w:rsidR="002802C5" w:rsidRPr="002B2C64">
        <w:rPr>
          <w:rFonts w:ascii="Book Antiqua" w:hAnsi="Book Antiqua"/>
          <w:sz w:val="24"/>
          <w:szCs w:val="24"/>
          <w:lang w:val="en-GB"/>
        </w:rPr>
        <w:t>3- and 5-y</w:t>
      </w:r>
      <w:r w:rsidR="00B74997" w:rsidRPr="002B2C64">
        <w:rPr>
          <w:rFonts w:ascii="Book Antiqua" w:hAnsi="Book Antiqua"/>
          <w:sz w:val="24"/>
          <w:szCs w:val="24"/>
          <w:lang w:val="en-GB"/>
        </w:rPr>
        <w:t>r DFS);</w:t>
      </w:r>
      <w:r w:rsidR="002802C5" w:rsidRPr="002B2C64">
        <w:rPr>
          <w:rFonts w:ascii="Book Antiqua" w:hAnsi="Book Antiqua"/>
          <w:sz w:val="24"/>
          <w:szCs w:val="24"/>
          <w:lang w:val="en-GB"/>
        </w:rPr>
        <w:t xml:space="preserve"> G and </w:t>
      </w:r>
      <w:r w:rsidR="00101B7E" w:rsidRPr="002B2C64">
        <w:rPr>
          <w:rFonts w:ascii="Book Antiqua" w:hAnsi="Book Antiqua"/>
          <w:sz w:val="24"/>
          <w:szCs w:val="24"/>
          <w:lang w:val="en-GB"/>
        </w:rPr>
        <w:t>H:</w:t>
      </w:r>
      <w:r w:rsidR="002802C5" w:rsidRPr="002B2C64">
        <w:rPr>
          <w:rFonts w:ascii="Book Antiqua" w:hAnsi="Book Antiqua"/>
          <w:sz w:val="24"/>
          <w:szCs w:val="24"/>
          <w:lang w:val="en-GB"/>
        </w:rPr>
        <w:t xml:space="preserve"> Monocyte to lymphocyte ratio after surgery (3- and 5-y</w:t>
      </w:r>
      <w:r w:rsidR="00101B7E" w:rsidRPr="002B2C64">
        <w:rPr>
          <w:rFonts w:ascii="Book Antiqua" w:hAnsi="Book Antiqua"/>
          <w:sz w:val="24"/>
          <w:szCs w:val="24"/>
          <w:lang w:val="en-GB"/>
        </w:rPr>
        <w:t>r DFS)</w:t>
      </w:r>
      <w:r w:rsidR="00B74997" w:rsidRPr="002B2C64">
        <w:rPr>
          <w:rFonts w:ascii="Book Antiqua" w:hAnsi="Book Antiqua"/>
          <w:sz w:val="24"/>
          <w:szCs w:val="24"/>
          <w:lang w:val="en-GB"/>
        </w:rPr>
        <w:t>.</w:t>
      </w:r>
      <w:r w:rsidR="0087211B" w:rsidRPr="002B2C64">
        <w:rPr>
          <w:rFonts w:ascii="Book Antiqua" w:hAnsi="Book Antiqua"/>
          <w:sz w:val="24"/>
          <w:szCs w:val="24"/>
          <w:lang w:val="en-GB"/>
        </w:rPr>
        <w:t xml:space="preserve"> </w:t>
      </w:r>
    </w:p>
    <w:p w:rsidR="001D6095" w:rsidRPr="002B2C64" w:rsidRDefault="008740F9"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br w:type="page"/>
      </w:r>
      <w:r w:rsidR="002B2C64">
        <w:rPr>
          <w:noProof/>
          <w:lang w:eastAsia="zh-CN"/>
        </w:rPr>
        <w:lastRenderedPageBreak/>
        <w:drawing>
          <wp:inline distT="0" distB="0" distL="0" distR="0">
            <wp:extent cx="5271770" cy="4070985"/>
            <wp:effectExtent l="0" t="0" r="5080" b="57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1770" cy="4070985"/>
                    </a:xfrm>
                    <a:prstGeom prst="rect">
                      <a:avLst/>
                    </a:prstGeom>
                    <a:noFill/>
                    <a:ln>
                      <a:noFill/>
                    </a:ln>
                  </pic:spPr>
                </pic:pic>
              </a:graphicData>
            </a:graphic>
          </wp:inline>
        </w:drawing>
      </w:r>
    </w:p>
    <w:p w:rsidR="008740F9" w:rsidRPr="002B2C64" w:rsidRDefault="001D6095" w:rsidP="0083105B">
      <w:pPr>
        <w:snapToGrid w:val="0"/>
        <w:spacing w:after="0" w:line="360" w:lineRule="auto"/>
        <w:jc w:val="both"/>
        <w:rPr>
          <w:rFonts w:ascii="Book Antiqua" w:hAnsi="Book Antiqua"/>
          <w:sz w:val="24"/>
          <w:szCs w:val="24"/>
          <w:lang w:val="en-GB"/>
        </w:rPr>
      </w:pPr>
      <w:r w:rsidRPr="002B2C64">
        <w:rPr>
          <w:rFonts w:ascii="Book Antiqua" w:eastAsia="Calibri" w:hAnsi="Book Antiqua"/>
          <w:b/>
          <w:noProof/>
          <w:color w:val="000000"/>
          <w:kern w:val="1"/>
          <w:sz w:val="24"/>
          <w:szCs w:val="24"/>
          <w:lang w:val="en-GB" w:eastAsia="pl-PL"/>
        </w:rPr>
        <w:t xml:space="preserve">Figure 2 </w:t>
      </w:r>
      <w:r w:rsidR="003816BE" w:rsidRPr="002B2C64">
        <w:rPr>
          <w:rFonts w:ascii="Book Antiqua" w:hAnsi="Book Antiqua"/>
          <w:b/>
          <w:bCs/>
          <w:sz w:val="24"/>
          <w:szCs w:val="24"/>
          <w:lang w:val="en-GB"/>
        </w:rPr>
        <w:t xml:space="preserve">Three- and five-year disease-free survival rates according to </w:t>
      </w:r>
      <w:r w:rsidR="0087211B" w:rsidRPr="002B2C64">
        <w:rPr>
          <w:rFonts w:ascii="Book Antiqua" w:hAnsi="Book Antiqua"/>
          <w:b/>
          <w:bCs/>
          <w:sz w:val="24"/>
          <w:szCs w:val="24"/>
          <w:lang w:val="en-GB"/>
        </w:rPr>
        <w:t>neutrophil-to-lymphocyte ratio and platelet-to-lymphocyte ratio</w:t>
      </w:r>
      <w:r w:rsidR="003816BE" w:rsidRPr="002B2C64">
        <w:rPr>
          <w:rFonts w:ascii="Book Antiqua" w:hAnsi="Book Antiqua"/>
          <w:b/>
          <w:bCs/>
          <w:sz w:val="24"/>
          <w:szCs w:val="24"/>
          <w:lang w:val="en-GB"/>
        </w:rPr>
        <w:t xml:space="preserve"> status and </w:t>
      </w:r>
      <w:r w:rsidR="0087211B" w:rsidRPr="002B2C64">
        <w:rPr>
          <w:rFonts w:ascii="Book Antiqua" w:hAnsi="Book Antiqua"/>
          <w:b/>
          <w:bCs/>
          <w:sz w:val="24"/>
          <w:szCs w:val="24"/>
          <w:lang w:val="en-GB"/>
        </w:rPr>
        <w:t>platelet and neutrophil-to-lymphocyte ratio</w:t>
      </w:r>
      <w:r w:rsidR="003816BE" w:rsidRPr="002B2C64">
        <w:rPr>
          <w:rFonts w:ascii="Book Antiqua" w:hAnsi="Book Antiqua"/>
          <w:b/>
          <w:bCs/>
          <w:sz w:val="24"/>
          <w:szCs w:val="24"/>
          <w:lang w:val="en-GB"/>
        </w:rPr>
        <w:t xml:space="preserve"> status in </w:t>
      </w:r>
      <w:r w:rsidR="0087211B" w:rsidRPr="002B2C64">
        <w:rPr>
          <w:rFonts w:ascii="Book Antiqua" w:hAnsi="Book Antiqua"/>
          <w:b/>
          <w:bCs/>
          <w:sz w:val="24"/>
          <w:szCs w:val="24"/>
          <w:lang w:val="en-GB"/>
        </w:rPr>
        <w:t>colorectal cancer</w:t>
      </w:r>
      <w:r w:rsidR="003816BE" w:rsidRPr="002B2C64">
        <w:rPr>
          <w:rFonts w:ascii="Book Antiqua" w:hAnsi="Book Antiqua"/>
          <w:b/>
          <w:bCs/>
          <w:sz w:val="24"/>
          <w:szCs w:val="24"/>
          <w:lang w:val="en-GB"/>
        </w:rPr>
        <w:t xml:space="preserve"> patients, before and after surgery</w:t>
      </w:r>
      <w:r w:rsidR="00172AAC" w:rsidRPr="002B2C64">
        <w:rPr>
          <w:rFonts w:ascii="Book Antiqua" w:hAnsi="Book Antiqua"/>
          <w:b/>
          <w:bCs/>
          <w:sz w:val="24"/>
          <w:szCs w:val="24"/>
          <w:lang w:val="en-GB"/>
        </w:rPr>
        <w:t>,</w:t>
      </w:r>
      <w:r w:rsidR="003816BE" w:rsidRPr="002B2C64">
        <w:rPr>
          <w:rFonts w:ascii="Book Antiqua" w:hAnsi="Book Antiqua"/>
          <w:b/>
          <w:bCs/>
          <w:sz w:val="24"/>
          <w:szCs w:val="24"/>
          <w:lang w:val="en-GB"/>
        </w:rPr>
        <w:t xml:space="preserve"> respectively.</w:t>
      </w:r>
      <w:r w:rsidR="003816BE" w:rsidRPr="002B2C64">
        <w:rPr>
          <w:rFonts w:ascii="Book Antiqua" w:hAnsi="Book Antiqua"/>
          <w:sz w:val="24"/>
          <w:szCs w:val="24"/>
          <w:lang w:val="en-GB"/>
        </w:rPr>
        <w:t xml:space="preserve"> </w:t>
      </w:r>
      <w:r w:rsidR="00172AAC" w:rsidRPr="002B2C64">
        <w:rPr>
          <w:rFonts w:ascii="Book Antiqua" w:hAnsi="Book Antiqua"/>
          <w:sz w:val="24"/>
          <w:szCs w:val="24"/>
          <w:lang w:val="en-GB"/>
        </w:rPr>
        <w:t>Kaplan-Meier curves were used t</w:t>
      </w:r>
      <w:r w:rsidR="003816BE" w:rsidRPr="002B2C64">
        <w:rPr>
          <w:rFonts w:ascii="Book Antiqua" w:hAnsi="Book Antiqua"/>
          <w:sz w:val="24"/>
          <w:szCs w:val="24"/>
          <w:lang w:val="en-GB"/>
        </w:rPr>
        <w:t xml:space="preserve">o identify factors for </w:t>
      </w:r>
      <w:r w:rsidR="0087211B" w:rsidRPr="002B2C64">
        <w:rPr>
          <w:rFonts w:ascii="Book Antiqua" w:hAnsi="Book Antiqua"/>
          <w:sz w:val="24"/>
          <w:szCs w:val="24"/>
          <w:lang w:val="en-GB"/>
        </w:rPr>
        <w:t>colorectal cancer</w:t>
      </w:r>
      <w:r w:rsidR="003816BE" w:rsidRPr="002B2C64">
        <w:rPr>
          <w:rFonts w:ascii="Book Antiqua" w:hAnsi="Book Antiqua"/>
          <w:sz w:val="24"/>
          <w:szCs w:val="24"/>
          <w:lang w:val="en-GB"/>
        </w:rPr>
        <w:t xml:space="preserve"> survival.</w:t>
      </w:r>
      <w:r w:rsidR="002802C5" w:rsidRPr="002B2C64">
        <w:rPr>
          <w:rFonts w:ascii="Book Antiqua" w:hAnsi="Book Antiqua"/>
          <w:sz w:val="24"/>
          <w:szCs w:val="24"/>
          <w:lang w:val="en-GB"/>
        </w:rPr>
        <w:t xml:space="preserve"> A and</w:t>
      </w:r>
      <w:r w:rsidR="00E12D4C" w:rsidRPr="002B2C64">
        <w:rPr>
          <w:rFonts w:ascii="Book Antiqua" w:hAnsi="Book Antiqua"/>
          <w:sz w:val="24"/>
          <w:szCs w:val="24"/>
          <w:lang w:val="en-GB"/>
        </w:rPr>
        <w:t xml:space="preserve"> B: </w:t>
      </w:r>
      <w:r w:rsidR="002802C5" w:rsidRPr="002B2C64">
        <w:rPr>
          <w:rFonts w:ascii="Book Antiqua" w:hAnsi="Book Antiqua"/>
          <w:sz w:val="24"/>
          <w:szCs w:val="24"/>
          <w:lang w:val="en-GB"/>
        </w:rPr>
        <w:t>Neutrophil</w:t>
      </w:r>
      <w:r w:rsidR="0087211B" w:rsidRPr="002B2C64">
        <w:rPr>
          <w:rFonts w:ascii="Book Antiqua" w:hAnsi="Book Antiqua"/>
          <w:sz w:val="24"/>
          <w:szCs w:val="24"/>
          <w:lang w:val="en-GB"/>
        </w:rPr>
        <w:t>-to-lymphocyte ratio and platelet-to-lymphocyte ratio</w:t>
      </w:r>
      <w:r w:rsidR="00E12D4C" w:rsidRPr="002B2C64">
        <w:rPr>
          <w:rFonts w:ascii="Book Antiqua" w:hAnsi="Book Antiqua"/>
          <w:sz w:val="24"/>
          <w:szCs w:val="24"/>
          <w:lang w:val="en-GB"/>
        </w:rPr>
        <w:t xml:space="preserve"> status before surgery </w:t>
      </w:r>
      <w:r w:rsidR="002802C5" w:rsidRPr="002B2C64">
        <w:rPr>
          <w:rFonts w:ascii="Book Antiqua" w:hAnsi="Book Antiqua"/>
          <w:sz w:val="24"/>
          <w:szCs w:val="24"/>
          <w:lang w:val="en-GB" w:eastAsia="zh-CN"/>
        </w:rPr>
        <w:t>[</w:t>
      </w:r>
      <w:r w:rsidR="002802C5" w:rsidRPr="002B2C64">
        <w:rPr>
          <w:rFonts w:ascii="Book Antiqua" w:hAnsi="Book Antiqua"/>
          <w:sz w:val="24"/>
          <w:szCs w:val="24"/>
          <w:lang w:val="en-GB"/>
        </w:rPr>
        <w:t>3- and 5-yr disease-free survival (DFS)]; C and</w:t>
      </w:r>
      <w:r w:rsidR="00E12D4C" w:rsidRPr="002B2C64">
        <w:rPr>
          <w:rFonts w:ascii="Book Antiqua" w:hAnsi="Book Antiqua"/>
          <w:sz w:val="24"/>
          <w:szCs w:val="24"/>
          <w:lang w:val="en-GB"/>
        </w:rPr>
        <w:t xml:space="preserve"> D</w:t>
      </w:r>
      <w:r w:rsidR="00C267DC" w:rsidRPr="002B2C64">
        <w:rPr>
          <w:rFonts w:ascii="Book Antiqua" w:hAnsi="Book Antiqua"/>
          <w:sz w:val="24"/>
          <w:szCs w:val="24"/>
          <w:lang w:val="en-GB"/>
        </w:rPr>
        <w:t>:</w:t>
      </w:r>
      <w:r w:rsidR="00E12D4C" w:rsidRPr="002B2C64">
        <w:rPr>
          <w:rFonts w:ascii="Book Antiqua" w:hAnsi="Book Antiqua"/>
          <w:sz w:val="24"/>
          <w:szCs w:val="24"/>
          <w:lang w:val="en-GB"/>
        </w:rPr>
        <w:t xml:space="preserve"> </w:t>
      </w:r>
      <w:r w:rsidR="00C267DC" w:rsidRPr="002B2C64">
        <w:rPr>
          <w:rFonts w:ascii="Book Antiqua" w:hAnsi="Book Antiqua"/>
          <w:sz w:val="24"/>
          <w:szCs w:val="24"/>
          <w:lang w:val="en-GB"/>
        </w:rPr>
        <w:t>Neutrophil</w:t>
      </w:r>
      <w:r w:rsidR="0087211B" w:rsidRPr="002B2C64">
        <w:rPr>
          <w:rFonts w:ascii="Book Antiqua" w:hAnsi="Book Antiqua"/>
          <w:sz w:val="24"/>
          <w:szCs w:val="24"/>
          <w:lang w:val="en-GB"/>
        </w:rPr>
        <w:t>-to-lymphocyte ratio and platelet-to-lymphocyte ratio</w:t>
      </w:r>
      <w:r w:rsidR="00E12D4C" w:rsidRPr="002B2C64">
        <w:rPr>
          <w:rFonts w:ascii="Book Antiqua" w:hAnsi="Book Antiqua"/>
          <w:sz w:val="24"/>
          <w:szCs w:val="24"/>
          <w:lang w:val="en-GB"/>
        </w:rPr>
        <w:t xml:space="preserve"> status after surger</w:t>
      </w:r>
      <w:r w:rsidR="00DC7399" w:rsidRPr="002B2C64">
        <w:rPr>
          <w:rFonts w:ascii="Book Antiqua" w:hAnsi="Book Antiqua"/>
          <w:sz w:val="24"/>
          <w:szCs w:val="24"/>
          <w:lang w:val="en-GB"/>
        </w:rPr>
        <w:t>y (3- and 5-y</w:t>
      </w:r>
      <w:r w:rsidR="00C267DC" w:rsidRPr="002B2C64">
        <w:rPr>
          <w:rFonts w:ascii="Book Antiqua" w:hAnsi="Book Antiqua"/>
          <w:sz w:val="24"/>
          <w:szCs w:val="24"/>
          <w:lang w:val="en-GB"/>
        </w:rPr>
        <w:t xml:space="preserve">r DFS); E and </w:t>
      </w:r>
      <w:r w:rsidR="00E12D4C" w:rsidRPr="002B2C64">
        <w:rPr>
          <w:rFonts w:ascii="Book Antiqua" w:hAnsi="Book Antiqua"/>
          <w:sz w:val="24"/>
          <w:szCs w:val="24"/>
          <w:lang w:val="en-GB"/>
        </w:rPr>
        <w:t xml:space="preserve">F: </w:t>
      </w:r>
      <w:r w:rsidR="00C267DC" w:rsidRPr="002B2C64">
        <w:rPr>
          <w:rFonts w:ascii="Book Antiqua" w:hAnsi="Book Antiqua"/>
          <w:sz w:val="24"/>
          <w:szCs w:val="24"/>
          <w:lang w:val="en-GB"/>
        </w:rPr>
        <w:t xml:space="preserve">Platelet </w:t>
      </w:r>
      <w:r w:rsidR="0087211B" w:rsidRPr="002B2C64">
        <w:rPr>
          <w:rFonts w:ascii="Book Antiqua" w:hAnsi="Book Antiqua"/>
          <w:sz w:val="24"/>
          <w:szCs w:val="24"/>
          <w:lang w:val="en-GB"/>
        </w:rPr>
        <w:t>and neutrophil-to-lymphocyte ratio</w:t>
      </w:r>
      <w:r w:rsidR="00E12D4C" w:rsidRPr="002B2C64">
        <w:rPr>
          <w:rFonts w:ascii="Book Antiqua" w:hAnsi="Book Antiqua"/>
          <w:sz w:val="24"/>
          <w:szCs w:val="24"/>
          <w:lang w:val="en-GB"/>
        </w:rPr>
        <w:t xml:space="preserve"> status before surgery (3- an</w:t>
      </w:r>
      <w:r w:rsidR="00DC7399" w:rsidRPr="002B2C64">
        <w:rPr>
          <w:rFonts w:ascii="Book Antiqua" w:hAnsi="Book Antiqua"/>
          <w:sz w:val="24"/>
          <w:szCs w:val="24"/>
          <w:lang w:val="en-GB"/>
        </w:rPr>
        <w:t>d 5-y</w:t>
      </w:r>
      <w:r w:rsidR="00C267DC" w:rsidRPr="002B2C64">
        <w:rPr>
          <w:rFonts w:ascii="Book Antiqua" w:hAnsi="Book Antiqua"/>
          <w:sz w:val="24"/>
          <w:szCs w:val="24"/>
          <w:lang w:val="en-GB"/>
        </w:rPr>
        <w:t xml:space="preserve">r DFS); G and </w:t>
      </w:r>
      <w:r w:rsidR="00E12D4C" w:rsidRPr="002B2C64">
        <w:rPr>
          <w:rFonts w:ascii="Book Antiqua" w:hAnsi="Book Antiqua"/>
          <w:sz w:val="24"/>
          <w:szCs w:val="24"/>
          <w:lang w:val="en-GB"/>
        </w:rPr>
        <w:t xml:space="preserve">H: </w:t>
      </w:r>
      <w:r w:rsidR="00C267DC" w:rsidRPr="002B2C64">
        <w:rPr>
          <w:rFonts w:ascii="Book Antiqua" w:hAnsi="Book Antiqua"/>
          <w:sz w:val="24"/>
          <w:szCs w:val="24"/>
          <w:lang w:val="en-GB"/>
        </w:rPr>
        <w:t>Platelet and neutrophil-to-lymphocyte ratio</w:t>
      </w:r>
      <w:r w:rsidR="00E12D4C" w:rsidRPr="002B2C64">
        <w:rPr>
          <w:rFonts w:ascii="Book Antiqua" w:hAnsi="Book Antiqua"/>
          <w:sz w:val="24"/>
          <w:szCs w:val="24"/>
          <w:lang w:val="en-GB"/>
        </w:rPr>
        <w:t xml:space="preserve"> status after surgery (3- and 5-year DFS).</w:t>
      </w:r>
    </w:p>
    <w:p w:rsidR="007C4FED" w:rsidRPr="002B2C64" w:rsidRDefault="008740F9"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br w:type="page"/>
      </w:r>
      <w:r w:rsidR="004C333A" w:rsidRPr="002B2C64">
        <w:rPr>
          <w:rFonts w:ascii="Book Antiqua" w:hAnsi="Book Antiqua"/>
          <w:b/>
          <w:bCs/>
          <w:sz w:val="24"/>
          <w:szCs w:val="24"/>
          <w:lang w:val="en-GB"/>
        </w:rPr>
        <w:lastRenderedPageBreak/>
        <w:t>T</w:t>
      </w:r>
      <w:r w:rsidR="007C4FED" w:rsidRPr="002B2C64">
        <w:rPr>
          <w:rFonts w:ascii="Book Antiqua" w:hAnsi="Book Antiqua"/>
          <w:b/>
          <w:bCs/>
          <w:sz w:val="24"/>
          <w:szCs w:val="24"/>
          <w:lang w:val="en-GB"/>
        </w:rPr>
        <w:t>abl</w:t>
      </w:r>
      <w:r w:rsidR="007C4FED" w:rsidRPr="002B2C64">
        <w:rPr>
          <w:rFonts w:ascii="Book Antiqua" w:hAnsi="Book Antiqua"/>
          <w:b/>
          <w:sz w:val="24"/>
          <w:szCs w:val="24"/>
          <w:lang w:val="en-GB"/>
        </w:rPr>
        <w:t xml:space="preserve">e 1 </w:t>
      </w:r>
      <w:r w:rsidR="007C4FED" w:rsidRPr="002B2C64">
        <w:rPr>
          <w:rFonts w:ascii="Book Antiqua" w:hAnsi="Book Antiqua"/>
          <w:b/>
          <w:bCs/>
          <w:sz w:val="24"/>
          <w:szCs w:val="24"/>
          <w:lang w:val="en-GB"/>
        </w:rPr>
        <w:t xml:space="preserve">Characteristics of </w:t>
      </w:r>
      <w:r w:rsidR="00D13F8A" w:rsidRPr="002B2C64">
        <w:rPr>
          <w:rFonts w:ascii="Book Antiqua" w:hAnsi="Book Antiqua"/>
          <w:b/>
          <w:bCs/>
          <w:sz w:val="24"/>
          <w:szCs w:val="24"/>
          <w:lang w:val="en-GB"/>
        </w:rPr>
        <w:t xml:space="preserve">the </w:t>
      </w:r>
      <w:r w:rsidR="007C4FED" w:rsidRPr="002B2C64">
        <w:rPr>
          <w:rFonts w:ascii="Book Antiqua" w:hAnsi="Book Antiqua"/>
          <w:b/>
          <w:bCs/>
          <w:sz w:val="24"/>
          <w:szCs w:val="24"/>
          <w:lang w:val="en-GB"/>
        </w:rPr>
        <w:t>study group (</w:t>
      </w:r>
      <w:r w:rsidR="00C267DC" w:rsidRPr="002B2C64">
        <w:rPr>
          <w:rFonts w:ascii="Book Antiqua" w:hAnsi="Book Antiqua"/>
          <w:b/>
          <w:bCs/>
          <w:i/>
          <w:iCs/>
          <w:sz w:val="24"/>
          <w:szCs w:val="24"/>
          <w:lang w:val="en-GB"/>
        </w:rPr>
        <w:t xml:space="preserve">n </w:t>
      </w:r>
      <w:r w:rsidR="007C4FED" w:rsidRPr="002B2C64">
        <w:rPr>
          <w:rFonts w:ascii="Book Antiqua" w:hAnsi="Book Antiqua"/>
          <w:b/>
          <w:bCs/>
          <w:sz w:val="24"/>
          <w:szCs w:val="24"/>
          <w:lang w:val="en-GB"/>
        </w:rPr>
        <w:t>=</w:t>
      </w:r>
      <w:r w:rsidR="0087211B" w:rsidRPr="002B2C64">
        <w:rPr>
          <w:rFonts w:ascii="Book Antiqua" w:hAnsi="Book Antiqua"/>
          <w:b/>
          <w:bCs/>
          <w:sz w:val="24"/>
          <w:szCs w:val="24"/>
          <w:lang w:val="en-GB"/>
        </w:rPr>
        <w:t xml:space="preserve"> </w:t>
      </w:r>
      <w:r w:rsidR="007C4FED" w:rsidRPr="002B2C64">
        <w:rPr>
          <w:rFonts w:ascii="Book Antiqua" w:hAnsi="Book Antiqua"/>
          <w:b/>
          <w:bCs/>
          <w:sz w:val="24"/>
          <w:szCs w:val="24"/>
          <w:lang w:val="en-GB"/>
        </w:rPr>
        <w:t>160)</w:t>
      </w:r>
    </w:p>
    <w:tbl>
      <w:tblPr>
        <w:tblW w:w="5000" w:type="pct"/>
        <w:jc w:val="center"/>
        <w:tblBorders>
          <w:top w:val="single" w:sz="4" w:space="0" w:color="auto"/>
          <w:bottom w:val="single" w:sz="4" w:space="0" w:color="auto"/>
        </w:tblBorders>
        <w:tblLook w:val="04A0" w:firstRow="1" w:lastRow="0" w:firstColumn="1" w:lastColumn="0" w:noHBand="0" w:noVBand="1"/>
      </w:tblPr>
      <w:tblGrid>
        <w:gridCol w:w="3996"/>
        <w:gridCol w:w="1567"/>
        <w:gridCol w:w="1299"/>
        <w:gridCol w:w="1660"/>
      </w:tblGrid>
      <w:tr w:rsidR="000A74DA" w:rsidRPr="002B2C64" w:rsidTr="00C267DC">
        <w:trPr>
          <w:trHeight w:val="267"/>
          <w:jc w:val="center"/>
        </w:trPr>
        <w:tc>
          <w:tcPr>
            <w:tcW w:w="2344" w:type="pct"/>
            <w:tcBorders>
              <w:top w:val="single" w:sz="4" w:space="0" w:color="auto"/>
              <w:bottom w:val="single" w:sz="4" w:space="0" w:color="auto"/>
            </w:tcBorders>
          </w:tcPr>
          <w:p w:rsidR="007C4FED" w:rsidRPr="002B2C64" w:rsidRDefault="007C4FED"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Parameter</w:t>
            </w:r>
          </w:p>
        </w:tc>
        <w:tc>
          <w:tcPr>
            <w:tcW w:w="919" w:type="pct"/>
            <w:tcBorders>
              <w:top w:val="single" w:sz="4" w:space="0" w:color="auto"/>
              <w:bottom w:val="single" w:sz="4" w:space="0" w:color="auto"/>
            </w:tcBorders>
          </w:tcPr>
          <w:p w:rsidR="007C4FED" w:rsidRPr="002B2C64" w:rsidRDefault="007C4FED" w:rsidP="0083105B">
            <w:pPr>
              <w:snapToGrid w:val="0"/>
              <w:spacing w:after="0" w:line="360" w:lineRule="auto"/>
              <w:jc w:val="both"/>
              <w:rPr>
                <w:rFonts w:ascii="Book Antiqua" w:eastAsia="Calibri" w:hAnsi="Book Antiqua"/>
                <w:b/>
                <w:color w:val="auto"/>
                <w:sz w:val="24"/>
                <w:szCs w:val="24"/>
                <w:lang w:val="en-GB"/>
              </w:rPr>
            </w:pPr>
          </w:p>
        </w:tc>
        <w:tc>
          <w:tcPr>
            <w:tcW w:w="762" w:type="pct"/>
            <w:tcBorders>
              <w:top w:val="single" w:sz="4" w:space="0" w:color="auto"/>
              <w:bottom w:val="single" w:sz="4" w:space="0" w:color="auto"/>
            </w:tcBorders>
          </w:tcPr>
          <w:p w:rsidR="007C4FED" w:rsidRPr="002B2C64" w:rsidRDefault="00C267DC" w:rsidP="0083105B">
            <w:pPr>
              <w:snapToGrid w:val="0"/>
              <w:spacing w:after="0" w:line="360" w:lineRule="auto"/>
              <w:jc w:val="both"/>
              <w:rPr>
                <w:rFonts w:ascii="Book Antiqua" w:eastAsia="Calibri" w:hAnsi="Book Antiqua"/>
                <w:b/>
                <w:i/>
                <w:color w:val="auto"/>
                <w:sz w:val="24"/>
                <w:szCs w:val="24"/>
                <w:lang w:val="en-GB"/>
              </w:rPr>
            </w:pPr>
            <w:r w:rsidRPr="002B2C64">
              <w:rPr>
                <w:rFonts w:ascii="Book Antiqua" w:eastAsia="Calibri" w:hAnsi="Book Antiqua"/>
                <w:b/>
                <w:i/>
                <w:color w:val="auto"/>
                <w:sz w:val="24"/>
                <w:szCs w:val="24"/>
                <w:lang w:val="en-GB"/>
              </w:rPr>
              <w:t>n</w:t>
            </w:r>
          </w:p>
        </w:tc>
        <w:tc>
          <w:tcPr>
            <w:tcW w:w="974" w:type="pct"/>
            <w:tcBorders>
              <w:top w:val="single" w:sz="4" w:space="0" w:color="auto"/>
              <w:bottom w:val="single" w:sz="4" w:space="0" w:color="auto"/>
            </w:tcBorders>
          </w:tcPr>
          <w:p w:rsidR="007C4FED" w:rsidRPr="002B2C64" w:rsidRDefault="007C4FED"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Percentage (%)</w:t>
            </w:r>
          </w:p>
        </w:tc>
      </w:tr>
      <w:tr w:rsidR="000A74DA" w:rsidRPr="002B2C64" w:rsidTr="00C267DC">
        <w:trPr>
          <w:trHeight w:val="267"/>
          <w:jc w:val="center"/>
        </w:trPr>
        <w:tc>
          <w:tcPr>
            <w:tcW w:w="2344" w:type="pct"/>
            <w:vMerge w:val="restart"/>
            <w:tcBorders>
              <w:top w:val="single" w:sz="4" w:space="0" w:color="auto"/>
            </w:tcBorders>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Age</w:t>
            </w:r>
            <w:r w:rsidR="00172AAC" w:rsidRPr="002B2C64">
              <w:rPr>
                <w:rFonts w:ascii="Book Antiqua" w:eastAsia="Calibri" w:hAnsi="Book Antiqua"/>
                <w:color w:val="auto"/>
                <w:sz w:val="24"/>
                <w:szCs w:val="24"/>
                <w:lang w:val="en-GB"/>
              </w:rPr>
              <w:t xml:space="preserve"> (yr)</w:t>
            </w:r>
          </w:p>
        </w:tc>
        <w:tc>
          <w:tcPr>
            <w:tcW w:w="919" w:type="pct"/>
            <w:tcBorders>
              <w:top w:val="single" w:sz="4" w:space="0" w:color="auto"/>
            </w:tcBorders>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&lt;</w:t>
            </w:r>
            <w:r w:rsidR="0087211B"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60</w:t>
            </w:r>
          </w:p>
        </w:tc>
        <w:tc>
          <w:tcPr>
            <w:tcW w:w="762" w:type="pct"/>
            <w:tcBorders>
              <w:top w:val="single" w:sz="4" w:space="0" w:color="auto"/>
            </w:tcBorders>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40</w:t>
            </w:r>
          </w:p>
        </w:tc>
        <w:tc>
          <w:tcPr>
            <w:tcW w:w="974" w:type="pct"/>
            <w:tcBorders>
              <w:top w:val="single" w:sz="4" w:space="0" w:color="auto"/>
            </w:tcBorders>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25.0</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BE7A3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r w:rsidR="0087211B" w:rsidRPr="002B2C64">
              <w:rPr>
                <w:rFonts w:ascii="Book Antiqua" w:eastAsia="Calibri" w:hAnsi="Book Antiqua"/>
                <w:color w:val="auto"/>
                <w:sz w:val="24"/>
                <w:szCs w:val="24"/>
                <w:lang w:val="en-GB"/>
              </w:rPr>
              <w:t xml:space="preserve"> </w:t>
            </w:r>
            <w:r w:rsidR="007C4FED" w:rsidRPr="002B2C64">
              <w:rPr>
                <w:rFonts w:ascii="Book Antiqua" w:eastAsia="Calibri" w:hAnsi="Book Antiqua"/>
                <w:color w:val="auto"/>
                <w:sz w:val="24"/>
                <w:szCs w:val="24"/>
                <w:lang w:val="en-GB"/>
              </w:rPr>
              <w:t>60</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120</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75.0</w:t>
            </w:r>
          </w:p>
        </w:tc>
      </w:tr>
      <w:tr w:rsidR="000A74DA" w:rsidRPr="002B2C64" w:rsidTr="00C267DC">
        <w:trPr>
          <w:trHeight w:val="267"/>
          <w:jc w:val="center"/>
        </w:trPr>
        <w:tc>
          <w:tcPr>
            <w:tcW w:w="2344" w:type="pct"/>
            <w:vMerge w:val="restart"/>
          </w:tcPr>
          <w:p w:rsidR="007C4FED" w:rsidRPr="002B2C64" w:rsidRDefault="00D13F8A"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Sex</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Female</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64</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40.0</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Male</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96</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60.0</w:t>
            </w:r>
          </w:p>
        </w:tc>
      </w:tr>
      <w:tr w:rsidR="000A74DA" w:rsidRPr="002B2C64" w:rsidTr="00C267DC">
        <w:trPr>
          <w:trHeight w:val="267"/>
          <w:jc w:val="center"/>
        </w:trPr>
        <w:tc>
          <w:tcPr>
            <w:tcW w:w="2344" w:type="pct"/>
            <w:vMerge w:val="restart"/>
          </w:tcPr>
          <w:p w:rsidR="007C4FED" w:rsidRPr="002B2C64" w:rsidRDefault="00D13F8A"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Location</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Right-side</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20</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Transverse</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8.75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Left-side</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15</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9.375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Sigmoid</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29</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18.125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Rectum</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82</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51.25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Tumour growth</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Expanding</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133</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83.125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Infiltrate</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27</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16.875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Tumour size</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&lt;</w:t>
            </w:r>
            <w:r w:rsidR="0087211B"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2.5 cm</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27</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16.875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2.5-5.0 cm</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106</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66.25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5.0 cm</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27</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16.875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TNM stage</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42</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26.25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31</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19.375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69</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43.125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18</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11.25</w:t>
            </w:r>
          </w:p>
        </w:tc>
      </w:tr>
      <w:tr w:rsidR="000A74DA" w:rsidRPr="002B2C64" w:rsidTr="00C267DC">
        <w:trPr>
          <w:trHeight w:val="267"/>
          <w:jc w:val="center"/>
        </w:trPr>
        <w:tc>
          <w:tcPr>
            <w:tcW w:w="2344" w:type="pct"/>
            <w:vMerge w:val="restart"/>
          </w:tcPr>
          <w:p w:rsidR="007C4FED" w:rsidRPr="002B2C64" w:rsidRDefault="007C4FED" w:rsidP="00172AAC">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Grade of malignanc</w:t>
            </w:r>
            <w:r w:rsidR="00172AAC" w:rsidRPr="002B2C64">
              <w:rPr>
                <w:rFonts w:ascii="Book Antiqua" w:eastAsia="Calibri" w:hAnsi="Book Antiqua"/>
                <w:color w:val="auto"/>
                <w:sz w:val="24"/>
                <w:szCs w:val="24"/>
                <w:lang w:val="en-GB"/>
              </w:rPr>
              <w:t>y</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148</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92.5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7.5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pT stage</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65</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40.625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3-4</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95</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59.375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Venous invasion</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113</w:t>
            </w:r>
          </w:p>
        </w:tc>
        <w:tc>
          <w:tcPr>
            <w:tcW w:w="974"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70.625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46</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28.75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Lymphatic invasion</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121</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75.625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38</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23.75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Lymph-node metastasis</w:t>
            </w:r>
          </w:p>
        </w:tc>
        <w:tc>
          <w:tcPr>
            <w:tcW w:w="919" w:type="pc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762" w:type="pc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81</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50.625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762" w:type="pc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79</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49.375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eastAsia="pl-PL"/>
              </w:rPr>
              <w:lastRenderedPageBreak/>
              <w:t>Distant metastasis</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143</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89.375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17</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10.625</w:t>
            </w:r>
          </w:p>
        </w:tc>
      </w:tr>
      <w:tr w:rsidR="000A74DA" w:rsidRPr="002B2C64" w:rsidTr="00C267DC">
        <w:trPr>
          <w:trHeight w:val="267"/>
          <w:jc w:val="center"/>
        </w:trPr>
        <w:tc>
          <w:tcPr>
            <w:tcW w:w="2344" w:type="pct"/>
            <w:vMerge w:val="restart"/>
          </w:tcPr>
          <w:p w:rsidR="007C4FED" w:rsidRPr="002B2C64" w:rsidRDefault="007C4FED" w:rsidP="00172AAC">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 xml:space="preserve">Tumour </w:t>
            </w:r>
            <w:r w:rsidR="00172AAC" w:rsidRPr="002B2C64">
              <w:rPr>
                <w:rFonts w:ascii="Book Antiqua" w:eastAsia="Calibri" w:hAnsi="Book Antiqua"/>
                <w:color w:val="auto"/>
                <w:sz w:val="24"/>
                <w:szCs w:val="24"/>
                <w:lang w:val="en-GB" w:eastAsia="pl-PL"/>
              </w:rPr>
              <w:t>d</w:t>
            </w:r>
            <w:r w:rsidRPr="002B2C64">
              <w:rPr>
                <w:rFonts w:ascii="Book Antiqua" w:eastAsia="Calibri" w:hAnsi="Book Antiqua"/>
                <w:color w:val="auto"/>
                <w:sz w:val="24"/>
                <w:szCs w:val="24"/>
                <w:lang w:val="en-GB" w:eastAsia="pl-PL"/>
              </w:rPr>
              <w:t xml:space="preserve">eposits </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133</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83.125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27</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16.875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CEA levels (ng/mL)</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&lt;</w:t>
            </w:r>
            <w:r w:rsidR="0087211B"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3.5</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124</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77.5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&gt;</w:t>
            </w:r>
            <w:r w:rsidR="0087211B"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3.5</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36</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22.5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CA19-9 levels (U/mL)</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&lt;</w:t>
            </w:r>
            <w:r w:rsidR="0087211B"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27</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150</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93.75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&gt;</w:t>
            </w:r>
            <w:r w:rsidR="0087211B"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27</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6.25</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Monocyte count</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Low group</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152</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95.0</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High group</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8</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5.0</w:t>
            </w:r>
          </w:p>
        </w:tc>
      </w:tr>
      <w:tr w:rsidR="000A74DA" w:rsidRPr="002B2C64" w:rsidTr="00C267DC">
        <w:trPr>
          <w:trHeight w:val="267"/>
          <w:jc w:val="center"/>
        </w:trPr>
        <w:tc>
          <w:tcPr>
            <w:tcW w:w="2344" w:type="pct"/>
            <w:vMerge w:val="restart"/>
            <w:vAlign w:val="center"/>
          </w:tcPr>
          <w:p w:rsidR="007C4FED" w:rsidRPr="002B2C64" w:rsidRDefault="007C4FED" w:rsidP="0083105B">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MLR</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Low group</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112</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70.0</w:t>
            </w:r>
          </w:p>
        </w:tc>
      </w:tr>
      <w:tr w:rsidR="000A74DA" w:rsidRPr="002B2C64" w:rsidTr="00C267DC">
        <w:trPr>
          <w:trHeight w:val="267"/>
          <w:jc w:val="center"/>
        </w:trPr>
        <w:tc>
          <w:tcPr>
            <w:tcW w:w="2344" w:type="pct"/>
            <w:vMerge/>
            <w:vAlign w:val="center"/>
          </w:tcPr>
          <w:p w:rsidR="007C4FED" w:rsidRPr="002B2C64" w:rsidRDefault="007C4FED" w:rsidP="0083105B">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High group</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48</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30.0</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PLT-NLR status</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Score 0</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46</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28.75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Score 1</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82</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51.25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Score 2</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32</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20.0</w:t>
            </w:r>
          </w:p>
        </w:tc>
      </w:tr>
      <w:tr w:rsidR="000A74DA" w:rsidRPr="002B2C64" w:rsidTr="00C267DC">
        <w:trPr>
          <w:trHeight w:val="267"/>
          <w:jc w:val="center"/>
        </w:trPr>
        <w:tc>
          <w:tcPr>
            <w:tcW w:w="2344" w:type="pct"/>
            <w:vMerge w:val="restart"/>
          </w:tcPr>
          <w:p w:rsidR="007C4FED" w:rsidRPr="002B2C64" w:rsidRDefault="007C4FED" w:rsidP="0083105B">
            <w:pPr>
              <w:snapToGrid w:val="0"/>
              <w:spacing w:after="0" w:line="360" w:lineRule="auto"/>
              <w:jc w:val="both"/>
              <w:rPr>
                <w:rFonts w:ascii="Book Antiqua" w:eastAsia="Calibri" w:hAnsi="Book Antiqua"/>
                <w:bCs/>
                <w:color w:val="auto"/>
                <w:sz w:val="24"/>
                <w:szCs w:val="24"/>
                <w:lang w:val="en-GB"/>
              </w:rPr>
            </w:pPr>
            <w:r w:rsidRPr="002B2C64">
              <w:rPr>
                <w:rFonts w:ascii="Book Antiqua" w:eastAsia="Calibri" w:hAnsi="Book Antiqua"/>
                <w:bCs/>
                <w:color w:val="auto"/>
                <w:sz w:val="24"/>
                <w:szCs w:val="24"/>
                <w:lang w:val="en-GB"/>
              </w:rPr>
              <w:t>NLR-PLR status</w:t>
            </w: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Score 0</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16</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10.0</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Score 1</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21</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13.125</w:t>
            </w:r>
          </w:p>
        </w:tc>
      </w:tr>
      <w:tr w:rsidR="000A74DA" w:rsidRPr="002B2C64" w:rsidTr="00C267DC">
        <w:trPr>
          <w:trHeight w:val="267"/>
          <w:jc w:val="center"/>
        </w:trPr>
        <w:tc>
          <w:tcPr>
            <w:tcW w:w="2344" w:type="pct"/>
            <w:vMerge/>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19"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Score 2</w:t>
            </w:r>
          </w:p>
        </w:tc>
        <w:tc>
          <w:tcPr>
            <w:tcW w:w="76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123</w:t>
            </w:r>
          </w:p>
        </w:tc>
        <w:tc>
          <w:tcPr>
            <w:tcW w:w="974" w:type="pct"/>
            <w:vAlign w:val="bottom"/>
          </w:tcPr>
          <w:p w:rsidR="007C4FED" w:rsidRPr="002B2C64" w:rsidRDefault="007C4FED" w:rsidP="0083105B">
            <w:pPr>
              <w:snapToGrid w:val="0"/>
              <w:spacing w:after="0" w:line="360" w:lineRule="auto"/>
              <w:jc w:val="both"/>
              <w:rPr>
                <w:rFonts w:ascii="Book Antiqua" w:eastAsia="Calibri" w:hAnsi="Book Antiqua"/>
                <w:color w:val="000000"/>
                <w:sz w:val="24"/>
                <w:szCs w:val="24"/>
                <w:lang w:val="en-GB"/>
              </w:rPr>
            </w:pPr>
            <w:r w:rsidRPr="002B2C64">
              <w:rPr>
                <w:rFonts w:ascii="Book Antiqua" w:eastAsia="Calibri" w:hAnsi="Book Antiqua"/>
                <w:color w:val="000000"/>
                <w:sz w:val="24"/>
                <w:szCs w:val="24"/>
                <w:lang w:val="en-GB"/>
              </w:rPr>
              <w:t>76.875</w:t>
            </w:r>
          </w:p>
        </w:tc>
      </w:tr>
    </w:tbl>
    <w:p w:rsidR="00C267DC" w:rsidRPr="002B2C64" w:rsidRDefault="00FC15F7"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t>TN</w:t>
      </w:r>
      <w:r w:rsidR="00172AAC" w:rsidRPr="002B2C64">
        <w:rPr>
          <w:rFonts w:ascii="Book Antiqua" w:hAnsi="Book Antiqua"/>
          <w:sz w:val="24"/>
          <w:szCs w:val="24"/>
          <w:lang w:val="en-GB"/>
        </w:rPr>
        <w:t>M</w:t>
      </w:r>
      <w:r w:rsidRPr="002B2C64">
        <w:rPr>
          <w:rFonts w:ascii="Book Antiqua" w:hAnsi="Book Antiqua"/>
          <w:sz w:val="24"/>
          <w:szCs w:val="24"/>
          <w:lang w:val="en-GB"/>
        </w:rPr>
        <w:t xml:space="preserve"> stage: Tumo</w:t>
      </w:r>
      <w:r w:rsidR="009B4998" w:rsidRPr="002B2C64">
        <w:rPr>
          <w:rFonts w:ascii="Book Antiqua" w:hAnsi="Book Antiqua"/>
          <w:sz w:val="24"/>
          <w:szCs w:val="24"/>
          <w:lang w:val="en-GB"/>
        </w:rPr>
        <w:t>u</w:t>
      </w:r>
      <w:r w:rsidRPr="002B2C64">
        <w:rPr>
          <w:rFonts w:ascii="Book Antiqua" w:hAnsi="Book Antiqua"/>
          <w:sz w:val="24"/>
          <w:szCs w:val="24"/>
          <w:lang w:val="en-GB"/>
        </w:rPr>
        <w:t xml:space="preserve">r-Node-Metastasis; </w:t>
      </w:r>
      <w:r w:rsidRPr="002B2C64">
        <w:rPr>
          <w:rFonts w:ascii="Book Antiqua" w:hAnsi="Book Antiqua"/>
          <w:color w:val="auto"/>
          <w:sz w:val="24"/>
          <w:szCs w:val="24"/>
          <w:lang w:val="en-GB"/>
        </w:rPr>
        <w:t xml:space="preserve">CEA: </w:t>
      </w:r>
      <w:r w:rsidR="00F15682" w:rsidRPr="002B2C64">
        <w:rPr>
          <w:rFonts w:ascii="Book Antiqua" w:hAnsi="Book Antiqua"/>
          <w:color w:val="auto"/>
          <w:sz w:val="24"/>
          <w:szCs w:val="24"/>
          <w:lang w:val="en-GB"/>
        </w:rPr>
        <w:t>C</w:t>
      </w:r>
      <w:r w:rsidRPr="002B2C64">
        <w:rPr>
          <w:rFonts w:ascii="Book Antiqua" w:hAnsi="Book Antiqua"/>
          <w:color w:val="auto"/>
          <w:sz w:val="24"/>
          <w:szCs w:val="24"/>
          <w:lang w:val="en-GB"/>
        </w:rPr>
        <w:t>arcinoembryonic antigen; CA19</w:t>
      </w:r>
      <w:r w:rsidRPr="002B2C64">
        <w:rPr>
          <w:rFonts w:ascii="MS Gothic" w:eastAsia="MS Mincho" w:hAnsi="MS Gothic" w:cs="MS Gothic"/>
          <w:color w:val="auto"/>
          <w:sz w:val="24"/>
          <w:szCs w:val="24"/>
          <w:lang w:val="en-GB"/>
        </w:rPr>
        <w:t>‑</w:t>
      </w:r>
      <w:r w:rsidRPr="002B2C64">
        <w:rPr>
          <w:rFonts w:ascii="Book Antiqua" w:hAnsi="Book Antiqua"/>
          <w:color w:val="auto"/>
          <w:sz w:val="24"/>
          <w:szCs w:val="24"/>
          <w:lang w:val="en-GB"/>
        </w:rPr>
        <w:t xml:space="preserve">9: Carbohydrate antigen 19-9; </w:t>
      </w:r>
      <w:r w:rsidRPr="002B2C64">
        <w:rPr>
          <w:rFonts w:ascii="Book Antiqua" w:eastAsia="Calibri" w:hAnsi="Book Antiqua"/>
          <w:color w:val="auto"/>
          <w:sz w:val="24"/>
          <w:szCs w:val="24"/>
          <w:lang w:val="en-GB" w:eastAsia="pl-PL"/>
        </w:rPr>
        <w:t>MLR: Monocyte-to-lymphocyte ratio</w:t>
      </w:r>
      <w:r w:rsidR="00111517" w:rsidRPr="002B2C64">
        <w:rPr>
          <w:rFonts w:ascii="Book Antiqua" w:eastAsia="Calibri" w:hAnsi="Book Antiqua"/>
          <w:color w:val="auto"/>
          <w:sz w:val="24"/>
          <w:szCs w:val="24"/>
          <w:lang w:val="en-GB" w:eastAsia="pl-PL"/>
        </w:rPr>
        <w:t>; PLT-NLR status:</w:t>
      </w:r>
      <w:r w:rsidR="00F15682" w:rsidRPr="002B2C64">
        <w:rPr>
          <w:rFonts w:ascii="Book Antiqua" w:eastAsia="Calibri" w:hAnsi="Book Antiqua"/>
          <w:color w:val="auto"/>
          <w:sz w:val="24"/>
          <w:szCs w:val="24"/>
          <w:lang w:val="en-GB" w:eastAsia="pl-PL"/>
        </w:rPr>
        <w:t xml:space="preserve"> </w:t>
      </w:r>
      <w:r w:rsidR="00F15682" w:rsidRPr="002B2C64">
        <w:rPr>
          <w:rFonts w:ascii="Book Antiqua" w:hAnsi="Book Antiqua"/>
          <w:sz w:val="24"/>
          <w:szCs w:val="24"/>
          <w:lang w:val="en-GB"/>
        </w:rPr>
        <w:t>Platelet and neutrophil-to-lymphocyte ratio</w:t>
      </w:r>
      <w:r w:rsidR="00111517" w:rsidRPr="002B2C64">
        <w:rPr>
          <w:rFonts w:ascii="Book Antiqua" w:hAnsi="Book Antiqua"/>
          <w:sz w:val="24"/>
          <w:szCs w:val="24"/>
          <w:lang w:val="en-GB"/>
        </w:rPr>
        <w:t>;</w:t>
      </w:r>
      <w:r w:rsidR="00111517" w:rsidRPr="002B2C64">
        <w:rPr>
          <w:rFonts w:ascii="Book Antiqua" w:eastAsia="Calibri" w:hAnsi="Book Antiqua"/>
          <w:color w:val="auto"/>
          <w:sz w:val="24"/>
          <w:szCs w:val="24"/>
          <w:lang w:val="en-GB" w:eastAsia="pl-PL"/>
        </w:rPr>
        <w:t xml:space="preserve"> </w:t>
      </w:r>
      <w:r w:rsidR="00111517" w:rsidRPr="002B2C64">
        <w:rPr>
          <w:rFonts w:ascii="Book Antiqua" w:eastAsia="Calibri" w:hAnsi="Book Antiqua"/>
          <w:color w:val="auto"/>
          <w:sz w:val="24"/>
          <w:szCs w:val="24"/>
          <w:lang w:val="en-GB"/>
        </w:rPr>
        <w:t>NLR-PLR status:</w:t>
      </w:r>
      <w:r w:rsidR="00F15682" w:rsidRPr="002B2C64">
        <w:rPr>
          <w:rFonts w:ascii="Book Antiqua" w:eastAsia="Calibri" w:hAnsi="Book Antiqua"/>
          <w:color w:val="auto"/>
          <w:sz w:val="24"/>
          <w:szCs w:val="24"/>
          <w:lang w:val="en-GB" w:eastAsia="pl-PL"/>
        </w:rPr>
        <w:t xml:space="preserve"> </w:t>
      </w:r>
      <w:r w:rsidR="00F15682" w:rsidRPr="002B2C64">
        <w:rPr>
          <w:rFonts w:ascii="Book Antiqua" w:hAnsi="Book Antiqua"/>
          <w:sz w:val="24"/>
          <w:szCs w:val="24"/>
          <w:lang w:val="en-GB"/>
        </w:rPr>
        <w:t>Neutrophil-to-lymphocyte ratio and platelet-to-lymphocyte ratio.</w:t>
      </w:r>
    </w:p>
    <w:p w:rsidR="007C4FED" w:rsidRPr="002B2C64" w:rsidRDefault="008740F9"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lang w:val="en-GB"/>
        </w:rPr>
        <w:br w:type="page"/>
      </w:r>
      <w:r w:rsidR="007C4FED" w:rsidRPr="002B2C64">
        <w:rPr>
          <w:rFonts w:ascii="Book Antiqua" w:hAnsi="Book Antiqua"/>
          <w:b/>
          <w:bCs/>
          <w:sz w:val="24"/>
          <w:szCs w:val="24"/>
          <w:lang w:val="en-GB"/>
        </w:rPr>
        <w:lastRenderedPageBreak/>
        <w:t xml:space="preserve">Table 2 Correlations between </w:t>
      </w:r>
      <w:r w:rsidR="00430F67" w:rsidRPr="002B2C64">
        <w:rPr>
          <w:rFonts w:ascii="Book Antiqua" w:hAnsi="Book Antiqua"/>
          <w:b/>
          <w:bCs/>
          <w:sz w:val="24"/>
          <w:szCs w:val="24"/>
          <w:lang w:val="en-GB"/>
        </w:rPr>
        <w:t>neutrophil-to-lymphocyte ratio and platelet-to-lymphocyte ratio</w:t>
      </w:r>
      <w:r w:rsidR="007C4FED" w:rsidRPr="002B2C64">
        <w:rPr>
          <w:rFonts w:ascii="Book Antiqua" w:hAnsi="Book Antiqua"/>
          <w:b/>
          <w:bCs/>
          <w:sz w:val="24"/>
          <w:szCs w:val="24"/>
          <w:lang w:val="en-GB"/>
        </w:rPr>
        <w:t xml:space="preserve"> status and </w:t>
      </w:r>
      <w:r w:rsidR="00430F67" w:rsidRPr="002B2C64">
        <w:rPr>
          <w:rFonts w:ascii="Book Antiqua" w:hAnsi="Book Antiqua"/>
          <w:b/>
          <w:bCs/>
          <w:sz w:val="24"/>
          <w:szCs w:val="24"/>
          <w:lang w:val="en-GB"/>
        </w:rPr>
        <w:t>platelet and neutrophil-to-lymphocyte ratio</w:t>
      </w:r>
      <w:r w:rsidR="007C4FED" w:rsidRPr="002B2C64">
        <w:rPr>
          <w:rFonts w:ascii="Book Antiqua" w:hAnsi="Book Antiqua"/>
          <w:b/>
          <w:bCs/>
          <w:sz w:val="24"/>
          <w:szCs w:val="24"/>
          <w:lang w:val="en-GB"/>
        </w:rPr>
        <w:t xml:space="preserve"> status in pre and postoperative whole blood samples and clin</w:t>
      </w:r>
      <w:r w:rsidR="005D2CC2" w:rsidRPr="002B2C64">
        <w:rPr>
          <w:rFonts w:ascii="Book Antiqua" w:hAnsi="Book Antiqua"/>
          <w:b/>
          <w:bCs/>
          <w:sz w:val="24"/>
          <w:szCs w:val="24"/>
          <w:lang w:val="en-GB"/>
        </w:rPr>
        <w:t>i</w:t>
      </w:r>
      <w:r w:rsidR="007C4FED" w:rsidRPr="002B2C64">
        <w:rPr>
          <w:rFonts w:ascii="Book Antiqua" w:hAnsi="Book Antiqua"/>
          <w:b/>
          <w:bCs/>
          <w:sz w:val="24"/>
          <w:szCs w:val="24"/>
          <w:lang w:val="en-GB"/>
        </w:rPr>
        <w:t>copathologic</w:t>
      </w:r>
      <w:r w:rsidR="00111517" w:rsidRPr="002B2C64">
        <w:rPr>
          <w:rFonts w:ascii="Book Antiqua" w:hAnsi="Book Antiqua"/>
          <w:b/>
          <w:bCs/>
          <w:sz w:val="24"/>
          <w:szCs w:val="24"/>
          <w:lang w:val="en-GB"/>
        </w:rPr>
        <w:t>al features of patients with colorectal cancer</w:t>
      </w:r>
    </w:p>
    <w:tbl>
      <w:tblPr>
        <w:tblW w:w="5316" w:type="pct"/>
        <w:jc w:val="center"/>
        <w:tblBorders>
          <w:top w:val="single" w:sz="4" w:space="0" w:color="auto"/>
          <w:bottom w:val="single" w:sz="4" w:space="0" w:color="auto"/>
        </w:tblBorders>
        <w:tblLayout w:type="fixed"/>
        <w:tblLook w:val="04A0" w:firstRow="1" w:lastRow="0" w:firstColumn="1" w:lastColumn="0" w:noHBand="0" w:noVBand="1"/>
      </w:tblPr>
      <w:tblGrid>
        <w:gridCol w:w="1542"/>
        <w:gridCol w:w="1689"/>
        <w:gridCol w:w="779"/>
        <w:gridCol w:w="1172"/>
        <w:gridCol w:w="1171"/>
        <w:gridCol w:w="1171"/>
        <w:gridCol w:w="1537"/>
      </w:tblGrid>
      <w:tr w:rsidR="00DC7399" w:rsidRPr="002B2C64" w:rsidTr="006F0451">
        <w:trPr>
          <w:trHeight w:val="422"/>
          <w:jc w:val="center"/>
        </w:trPr>
        <w:tc>
          <w:tcPr>
            <w:tcW w:w="851" w:type="pct"/>
            <w:vMerge w:val="restart"/>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Parameter</w:t>
            </w:r>
          </w:p>
        </w:tc>
        <w:tc>
          <w:tcPr>
            <w:tcW w:w="932" w:type="pct"/>
            <w:tcBorders>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p>
        </w:tc>
        <w:tc>
          <w:tcPr>
            <w:tcW w:w="430" w:type="pct"/>
            <w:tcBorders>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i/>
                <w:iCs/>
                <w:color w:val="auto"/>
                <w:sz w:val="24"/>
                <w:szCs w:val="24"/>
                <w:lang w:val="en-GB"/>
              </w:rPr>
            </w:pPr>
            <w:r w:rsidRPr="002B2C64">
              <w:rPr>
                <w:rFonts w:ascii="Book Antiqua" w:eastAsia="Calibri" w:hAnsi="Book Antiqua"/>
                <w:b/>
                <w:i/>
                <w:iCs/>
                <w:color w:val="auto"/>
                <w:sz w:val="24"/>
                <w:szCs w:val="24"/>
                <w:lang w:val="en-GB"/>
              </w:rPr>
              <w:t>n</w:t>
            </w:r>
          </w:p>
        </w:tc>
        <w:tc>
          <w:tcPr>
            <w:tcW w:w="1293" w:type="pct"/>
            <w:gridSpan w:val="2"/>
            <w:tcBorders>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NLR-PLR status</w:t>
            </w:r>
          </w:p>
        </w:tc>
        <w:tc>
          <w:tcPr>
            <w:tcW w:w="1494" w:type="pct"/>
            <w:gridSpan w:val="2"/>
            <w:tcBorders>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PLT-NLR status</w:t>
            </w:r>
          </w:p>
        </w:tc>
      </w:tr>
      <w:tr w:rsidR="00DC7399" w:rsidRPr="002B2C64" w:rsidTr="006F0451">
        <w:trPr>
          <w:trHeight w:val="288"/>
          <w:jc w:val="center"/>
        </w:trPr>
        <w:tc>
          <w:tcPr>
            <w:tcW w:w="851" w:type="pct"/>
            <w:vMerge/>
            <w:tcBorders>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p>
        </w:tc>
        <w:tc>
          <w:tcPr>
            <w:tcW w:w="932" w:type="pct"/>
            <w:tcBorders>
              <w:top w:val="single" w:sz="4" w:space="0" w:color="auto"/>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p>
        </w:tc>
        <w:tc>
          <w:tcPr>
            <w:tcW w:w="430" w:type="pct"/>
            <w:tcBorders>
              <w:top w:val="single" w:sz="4" w:space="0" w:color="auto"/>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160</w:t>
            </w:r>
          </w:p>
        </w:tc>
        <w:tc>
          <w:tcPr>
            <w:tcW w:w="647" w:type="pct"/>
            <w:tcBorders>
              <w:top w:val="single" w:sz="4" w:space="0" w:color="auto"/>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Pre-</w:t>
            </w:r>
            <w:r w:rsidRPr="002B2C64">
              <w:rPr>
                <w:rFonts w:ascii="Book Antiqua" w:hAnsi="Book Antiqua"/>
                <w:b/>
                <w:color w:val="auto"/>
                <w:sz w:val="24"/>
                <w:szCs w:val="24"/>
                <w:lang w:val="en-GB" w:eastAsia="zh-CN"/>
              </w:rPr>
              <w:t xml:space="preserve"> </w:t>
            </w:r>
            <w:r w:rsidRPr="002B2C64">
              <w:rPr>
                <w:rFonts w:ascii="Book Antiqua" w:eastAsia="Calibri" w:hAnsi="Book Antiqua"/>
                <w:b/>
                <w:i/>
                <w:iCs/>
                <w:color w:val="auto"/>
                <w:sz w:val="24"/>
                <w:szCs w:val="24"/>
                <w:lang w:val="en-GB"/>
              </w:rPr>
              <w:t xml:space="preserve">P </w:t>
            </w:r>
            <w:r w:rsidRPr="002B2C64">
              <w:rPr>
                <w:rFonts w:ascii="Book Antiqua" w:eastAsia="Calibri" w:hAnsi="Book Antiqua"/>
                <w:b/>
                <w:color w:val="auto"/>
                <w:sz w:val="24"/>
                <w:szCs w:val="24"/>
                <w:lang w:val="en-GB"/>
              </w:rPr>
              <w:t>value</w:t>
            </w:r>
          </w:p>
        </w:tc>
        <w:tc>
          <w:tcPr>
            <w:tcW w:w="646" w:type="pct"/>
            <w:tcBorders>
              <w:top w:val="single" w:sz="4" w:space="0" w:color="auto"/>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Post-</w:t>
            </w:r>
            <w:r w:rsidRPr="002B2C64">
              <w:rPr>
                <w:rFonts w:ascii="Book Antiqua" w:hAnsi="Book Antiqua"/>
                <w:b/>
                <w:color w:val="auto"/>
                <w:sz w:val="24"/>
                <w:szCs w:val="24"/>
                <w:lang w:val="en-GB" w:eastAsia="zh-CN"/>
              </w:rPr>
              <w:t xml:space="preserve"> </w:t>
            </w:r>
            <w:r w:rsidRPr="002B2C64">
              <w:rPr>
                <w:rFonts w:ascii="Book Antiqua" w:eastAsia="Calibri" w:hAnsi="Book Antiqua"/>
                <w:b/>
                <w:i/>
                <w:iCs/>
                <w:color w:val="auto"/>
                <w:sz w:val="24"/>
                <w:szCs w:val="24"/>
                <w:lang w:val="en-GB"/>
              </w:rPr>
              <w:t xml:space="preserve">P </w:t>
            </w:r>
            <w:r w:rsidRPr="002B2C64">
              <w:rPr>
                <w:rFonts w:ascii="Book Antiqua" w:eastAsia="Calibri" w:hAnsi="Book Antiqua"/>
                <w:b/>
                <w:color w:val="auto"/>
                <w:sz w:val="24"/>
                <w:szCs w:val="24"/>
                <w:lang w:val="en-GB"/>
              </w:rPr>
              <w:t>value</w:t>
            </w:r>
          </w:p>
        </w:tc>
        <w:tc>
          <w:tcPr>
            <w:tcW w:w="646" w:type="pct"/>
            <w:tcBorders>
              <w:top w:val="single" w:sz="4" w:space="0" w:color="auto"/>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 xml:space="preserve">Pre- </w:t>
            </w:r>
            <w:r w:rsidRPr="002B2C64">
              <w:rPr>
                <w:rFonts w:ascii="Book Antiqua" w:eastAsia="Calibri" w:hAnsi="Book Antiqua"/>
                <w:b/>
                <w:i/>
                <w:iCs/>
                <w:color w:val="auto"/>
                <w:sz w:val="24"/>
                <w:szCs w:val="24"/>
                <w:lang w:val="en-GB"/>
              </w:rPr>
              <w:t>P</w:t>
            </w:r>
            <w:r w:rsidRPr="002B2C64">
              <w:rPr>
                <w:rFonts w:ascii="Book Antiqua" w:eastAsia="Calibri" w:hAnsi="Book Antiqua"/>
                <w:b/>
                <w:color w:val="auto"/>
                <w:sz w:val="24"/>
                <w:szCs w:val="24"/>
                <w:lang w:val="en-GB"/>
              </w:rPr>
              <w:t xml:space="preserve"> value</w:t>
            </w:r>
          </w:p>
        </w:tc>
        <w:tc>
          <w:tcPr>
            <w:tcW w:w="848" w:type="pct"/>
            <w:tcBorders>
              <w:top w:val="single" w:sz="4" w:space="0" w:color="auto"/>
              <w:bottom w:val="single" w:sz="4" w:space="0" w:color="auto"/>
            </w:tcBorders>
          </w:tcPr>
          <w:p w:rsidR="00DC7399" w:rsidRPr="002B2C64" w:rsidRDefault="00DC7399"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Post-</w:t>
            </w:r>
            <w:r w:rsidRPr="002B2C64">
              <w:rPr>
                <w:rFonts w:ascii="Book Antiqua" w:hAnsi="Book Antiqua"/>
                <w:b/>
                <w:color w:val="auto"/>
                <w:sz w:val="24"/>
                <w:szCs w:val="24"/>
                <w:lang w:val="en-GB" w:eastAsia="zh-CN"/>
              </w:rPr>
              <w:t xml:space="preserve"> </w:t>
            </w:r>
            <w:r w:rsidRPr="002B2C64">
              <w:rPr>
                <w:rFonts w:ascii="Book Antiqua" w:eastAsia="Calibri" w:hAnsi="Book Antiqua"/>
                <w:b/>
                <w:i/>
                <w:iCs/>
                <w:color w:val="auto"/>
                <w:sz w:val="24"/>
                <w:szCs w:val="24"/>
                <w:lang w:val="en-GB"/>
              </w:rPr>
              <w:t>P</w:t>
            </w:r>
            <w:r w:rsidRPr="002B2C64">
              <w:rPr>
                <w:rFonts w:ascii="Book Antiqua" w:eastAsia="Calibri" w:hAnsi="Book Antiqua"/>
                <w:b/>
                <w:color w:val="auto"/>
                <w:sz w:val="24"/>
                <w:szCs w:val="24"/>
                <w:lang w:val="en-GB"/>
              </w:rPr>
              <w:t xml:space="preserve"> value</w:t>
            </w:r>
          </w:p>
        </w:tc>
      </w:tr>
      <w:tr w:rsidR="0083105B" w:rsidRPr="002B2C64" w:rsidTr="00C267DC">
        <w:trPr>
          <w:jc w:val="center"/>
        </w:trPr>
        <w:tc>
          <w:tcPr>
            <w:tcW w:w="851" w:type="pct"/>
            <w:tcBorders>
              <w:top w:val="single" w:sz="4" w:space="0" w:color="auto"/>
            </w:tcBorders>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Age</w:t>
            </w:r>
            <w:r w:rsidR="00172AAC" w:rsidRPr="002B2C64">
              <w:rPr>
                <w:rFonts w:ascii="Book Antiqua" w:eastAsia="Calibri" w:hAnsi="Book Antiqua"/>
                <w:color w:val="auto"/>
                <w:sz w:val="24"/>
                <w:szCs w:val="24"/>
                <w:lang w:val="en-GB"/>
              </w:rPr>
              <w:t xml:space="preserve"> (yr)</w:t>
            </w:r>
          </w:p>
        </w:tc>
        <w:tc>
          <w:tcPr>
            <w:tcW w:w="932" w:type="pct"/>
            <w:tcBorders>
              <w:top w:val="single" w:sz="4" w:space="0" w:color="auto"/>
            </w:tcBorders>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&lt;</w:t>
            </w:r>
            <w:r w:rsidR="00741EB0"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60</w:t>
            </w:r>
          </w:p>
        </w:tc>
        <w:tc>
          <w:tcPr>
            <w:tcW w:w="430" w:type="pct"/>
            <w:tcBorders>
              <w:top w:val="single" w:sz="4" w:space="0" w:color="auto"/>
            </w:tcBorders>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40</w:t>
            </w:r>
          </w:p>
        </w:tc>
        <w:tc>
          <w:tcPr>
            <w:tcW w:w="647" w:type="pct"/>
            <w:vMerge w:val="restart"/>
            <w:tcBorders>
              <w:top w:val="single" w:sz="4" w:space="0" w:color="auto"/>
            </w:tcBorders>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0.326</w:t>
            </w:r>
          </w:p>
        </w:tc>
        <w:tc>
          <w:tcPr>
            <w:tcW w:w="646" w:type="pct"/>
            <w:vMerge w:val="restart"/>
            <w:tcBorders>
              <w:top w:val="single" w:sz="4" w:space="0" w:color="auto"/>
            </w:tcBorders>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0.120</w:t>
            </w:r>
          </w:p>
        </w:tc>
        <w:tc>
          <w:tcPr>
            <w:tcW w:w="646" w:type="pct"/>
            <w:vMerge w:val="restart"/>
            <w:tcBorders>
              <w:top w:val="single" w:sz="4" w:space="0" w:color="auto"/>
            </w:tcBorders>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0.427</w:t>
            </w:r>
          </w:p>
        </w:tc>
        <w:tc>
          <w:tcPr>
            <w:tcW w:w="848" w:type="pct"/>
            <w:vMerge w:val="restart"/>
            <w:tcBorders>
              <w:top w:val="single" w:sz="4" w:space="0" w:color="auto"/>
            </w:tcBorders>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0.155</w:t>
            </w:r>
          </w:p>
        </w:tc>
      </w:tr>
      <w:tr w:rsidR="0083105B" w:rsidRPr="002B2C64" w:rsidTr="00C267DC">
        <w:trPr>
          <w:jc w:val="center"/>
        </w:trPr>
        <w:tc>
          <w:tcPr>
            <w:tcW w:w="851"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&gt;</w:t>
            </w:r>
            <w:r w:rsidR="00741EB0"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60</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120</w:t>
            </w:r>
          </w:p>
        </w:tc>
        <w:tc>
          <w:tcPr>
            <w:tcW w:w="647"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DC7399">
        <w:trPr>
          <w:jc w:val="center"/>
        </w:trPr>
        <w:tc>
          <w:tcPr>
            <w:tcW w:w="851" w:type="pct"/>
          </w:tcPr>
          <w:p w:rsidR="007C4FED" w:rsidRPr="002B2C64" w:rsidRDefault="00D13F8A"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Sex</w:t>
            </w: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Female</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64</w:t>
            </w:r>
          </w:p>
        </w:tc>
        <w:tc>
          <w:tcPr>
            <w:tcW w:w="647"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0.729</w:t>
            </w:r>
          </w:p>
        </w:tc>
        <w:tc>
          <w:tcPr>
            <w:tcW w:w="646"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0.370</w:t>
            </w:r>
          </w:p>
        </w:tc>
        <w:tc>
          <w:tcPr>
            <w:tcW w:w="646"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0.258</w:t>
            </w:r>
          </w:p>
        </w:tc>
        <w:tc>
          <w:tcPr>
            <w:tcW w:w="848"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0.435</w:t>
            </w:r>
          </w:p>
        </w:tc>
      </w:tr>
      <w:tr w:rsidR="0083105B" w:rsidRPr="002B2C64" w:rsidTr="00DC7399">
        <w:trPr>
          <w:jc w:val="center"/>
        </w:trPr>
        <w:tc>
          <w:tcPr>
            <w:tcW w:w="851"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Male</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96</w:t>
            </w:r>
          </w:p>
        </w:tc>
        <w:tc>
          <w:tcPr>
            <w:tcW w:w="647"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DC7399">
        <w:trPr>
          <w:jc w:val="center"/>
        </w:trPr>
        <w:tc>
          <w:tcPr>
            <w:tcW w:w="851" w:type="pct"/>
          </w:tcPr>
          <w:p w:rsidR="007C4FED" w:rsidRPr="002B2C64" w:rsidRDefault="00D13F8A"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Location</w:t>
            </w: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Right-side</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20</w:t>
            </w:r>
          </w:p>
        </w:tc>
        <w:tc>
          <w:tcPr>
            <w:tcW w:w="647"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0.963</w:t>
            </w:r>
          </w:p>
        </w:tc>
        <w:tc>
          <w:tcPr>
            <w:tcW w:w="646"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0.167</w:t>
            </w:r>
          </w:p>
        </w:tc>
        <w:tc>
          <w:tcPr>
            <w:tcW w:w="646"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0.475</w:t>
            </w:r>
          </w:p>
        </w:tc>
        <w:tc>
          <w:tcPr>
            <w:tcW w:w="848"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0.183</w:t>
            </w:r>
          </w:p>
        </w:tc>
      </w:tr>
      <w:tr w:rsidR="0083105B" w:rsidRPr="002B2C64" w:rsidTr="00DC7399">
        <w:trPr>
          <w:jc w:val="center"/>
        </w:trPr>
        <w:tc>
          <w:tcPr>
            <w:tcW w:w="851"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Transverse</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w:t>
            </w:r>
          </w:p>
        </w:tc>
        <w:tc>
          <w:tcPr>
            <w:tcW w:w="647"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DC7399">
        <w:trPr>
          <w:jc w:val="center"/>
        </w:trPr>
        <w:tc>
          <w:tcPr>
            <w:tcW w:w="851"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Left-side</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15</w:t>
            </w:r>
          </w:p>
        </w:tc>
        <w:tc>
          <w:tcPr>
            <w:tcW w:w="647"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DC7399">
        <w:trPr>
          <w:jc w:val="center"/>
        </w:trPr>
        <w:tc>
          <w:tcPr>
            <w:tcW w:w="851"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Sigmoid</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29</w:t>
            </w:r>
          </w:p>
        </w:tc>
        <w:tc>
          <w:tcPr>
            <w:tcW w:w="647"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DC7399">
        <w:trPr>
          <w:jc w:val="center"/>
        </w:trPr>
        <w:tc>
          <w:tcPr>
            <w:tcW w:w="851"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Rectum</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82</w:t>
            </w:r>
          </w:p>
        </w:tc>
        <w:tc>
          <w:tcPr>
            <w:tcW w:w="647"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DC7399">
        <w:trPr>
          <w:jc w:val="center"/>
        </w:trPr>
        <w:tc>
          <w:tcPr>
            <w:tcW w:w="851"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Tumo</w:t>
            </w:r>
            <w:r w:rsidR="00D13F8A" w:rsidRPr="002B2C64">
              <w:rPr>
                <w:rFonts w:ascii="Book Antiqua" w:eastAsia="Calibri" w:hAnsi="Book Antiqua"/>
                <w:color w:val="auto"/>
                <w:sz w:val="24"/>
                <w:szCs w:val="24"/>
                <w:lang w:val="en-GB"/>
              </w:rPr>
              <w:t>u</w:t>
            </w:r>
            <w:r w:rsidRPr="002B2C64">
              <w:rPr>
                <w:rFonts w:ascii="Book Antiqua" w:eastAsia="Calibri" w:hAnsi="Book Antiqua"/>
                <w:color w:val="auto"/>
                <w:sz w:val="24"/>
                <w:szCs w:val="24"/>
                <w:lang w:val="en-GB"/>
              </w:rPr>
              <w:t>r growth</w:t>
            </w: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Expanding</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133</w:t>
            </w:r>
          </w:p>
        </w:tc>
        <w:tc>
          <w:tcPr>
            <w:tcW w:w="647"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0.671</w:t>
            </w:r>
          </w:p>
        </w:tc>
        <w:tc>
          <w:tcPr>
            <w:tcW w:w="646"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0.776</w:t>
            </w:r>
          </w:p>
        </w:tc>
        <w:tc>
          <w:tcPr>
            <w:tcW w:w="646"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0.349</w:t>
            </w:r>
          </w:p>
        </w:tc>
        <w:tc>
          <w:tcPr>
            <w:tcW w:w="848" w:type="pct"/>
            <w:vMerge w:val="restart"/>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0.728</w:t>
            </w:r>
          </w:p>
        </w:tc>
      </w:tr>
      <w:tr w:rsidR="0083105B" w:rsidRPr="002B2C64" w:rsidTr="00DC7399">
        <w:trPr>
          <w:trHeight w:val="134"/>
          <w:jc w:val="center"/>
        </w:trPr>
        <w:tc>
          <w:tcPr>
            <w:tcW w:w="851"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932"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Infiltrate</w:t>
            </w:r>
          </w:p>
        </w:tc>
        <w:tc>
          <w:tcPr>
            <w:tcW w:w="430" w:type="pct"/>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27</w:t>
            </w:r>
          </w:p>
        </w:tc>
        <w:tc>
          <w:tcPr>
            <w:tcW w:w="647"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7C4FED" w:rsidRPr="002B2C64" w:rsidRDefault="007C4FED" w:rsidP="0083105B">
            <w:pPr>
              <w:snapToGrid w:val="0"/>
              <w:spacing w:after="0" w:line="360" w:lineRule="auto"/>
              <w:jc w:val="both"/>
              <w:rPr>
                <w:rFonts w:ascii="Book Antiqua" w:eastAsia="Calibri" w:hAnsi="Book Antiqua"/>
                <w:color w:val="auto"/>
                <w:sz w:val="24"/>
                <w:szCs w:val="24"/>
                <w:lang w:val="en-GB"/>
              </w:rPr>
            </w:pPr>
          </w:p>
        </w:tc>
      </w:tr>
      <w:tr w:rsidR="00C267DC" w:rsidRPr="002B2C64" w:rsidTr="00DC7399">
        <w:trPr>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Tumour size</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&lt; 2.5 cm</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27</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0.359</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0.401</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0.015a</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0.554</w:t>
            </w:r>
          </w:p>
        </w:tc>
      </w:tr>
      <w:tr w:rsidR="00C267DC" w:rsidRPr="002B2C64" w:rsidTr="00C267DC">
        <w:trPr>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2.5-5.0 cm</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106</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C267DC" w:rsidRPr="002B2C64" w:rsidTr="00C267DC">
        <w:trPr>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&gt; 5.0 cm</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27</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468"/>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Histological type</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Mucinous </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30</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0.226</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0.002</w:t>
            </w:r>
            <w:r w:rsidRPr="002B2C64">
              <w:rPr>
                <w:rFonts w:ascii="Book Antiqua" w:eastAsia="Calibri" w:hAnsi="Book Antiqua"/>
                <w:color w:val="auto"/>
                <w:sz w:val="24"/>
                <w:szCs w:val="24"/>
                <w:vertAlign w:val="superscript"/>
                <w:lang w:val="en-GB"/>
              </w:rPr>
              <w:t>a</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0.895</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0.002</w:t>
            </w:r>
            <w:r w:rsidRPr="002B2C64">
              <w:rPr>
                <w:rFonts w:ascii="Book Antiqua" w:eastAsia="Calibri" w:hAnsi="Book Antiqua"/>
                <w:color w:val="auto"/>
                <w:sz w:val="24"/>
                <w:szCs w:val="24"/>
                <w:vertAlign w:val="superscript"/>
                <w:lang w:val="en-GB"/>
              </w:rPr>
              <w:t>a</w:t>
            </w:r>
          </w:p>
        </w:tc>
      </w:tr>
      <w:tr w:rsidR="0083105B" w:rsidRPr="002B2C64" w:rsidTr="00C267DC">
        <w:trPr>
          <w:trHeight w:val="876"/>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Adenocarcinoma</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130</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420"/>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Percentage of mucinous component</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10%-30%</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15</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0.730</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0.009</w:t>
            </w:r>
            <w:r w:rsidRPr="002B2C64">
              <w:rPr>
                <w:rFonts w:ascii="Book Antiqua" w:eastAsia="Calibri" w:hAnsi="Book Antiqua"/>
                <w:color w:val="auto"/>
                <w:sz w:val="24"/>
                <w:szCs w:val="24"/>
                <w:vertAlign w:val="superscript"/>
                <w:lang w:val="en-GB"/>
              </w:rPr>
              <w:t>a</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0.810</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0.007</w:t>
            </w:r>
            <w:r w:rsidRPr="002B2C64">
              <w:rPr>
                <w:rFonts w:ascii="Book Antiqua" w:eastAsia="Calibri" w:hAnsi="Book Antiqua"/>
                <w:color w:val="auto"/>
                <w:sz w:val="24"/>
                <w:szCs w:val="24"/>
                <w:vertAlign w:val="superscript"/>
                <w:lang w:val="en-GB"/>
              </w:rPr>
              <w:t>a</w:t>
            </w:r>
          </w:p>
        </w:tc>
      </w:tr>
      <w:tr w:rsidR="0083105B" w:rsidRPr="002B2C64" w:rsidTr="00C267DC">
        <w:trPr>
          <w:trHeight w:val="924"/>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30%-50%</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15</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C267DC" w:rsidRPr="002B2C64" w:rsidTr="00C267DC">
        <w:trPr>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TNM stage</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42</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0.722</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0.583</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0.266</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0.703</w:t>
            </w:r>
          </w:p>
        </w:tc>
      </w:tr>
      <w:tr w:rsidR="00C267DC" w:rsidRPr="002B2C64" w:rsidTr="00C267DC">
        <w:trPr>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31</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C267DC" w:rsidRPr="002B2C64" w:rsidTr="00C267DC">
        <w:trPr>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69</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C267DC" w:rsidRPr="002B2C64" w:rsidTr="00C267DC">
        <w:trPr>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18</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384"/>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Grade of</w:t>
            </w:r>
          </w:p>
          <w:p w:rsidR="00C267DC" w:rsidRPr="002B2C64" w:rsidRDefault="00C267DC" w:rsidP="00172AAC">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malignanc</w:t>
            </w:r>
            <w:r w:rsidR="00172AAC" w:rsidRPr="002B2C64">
              <w:rPr>
                <w:rFonts w:ascii="Book Antiqua" w:eastAsia="Calibri" w:hAnsi="Book Antiqua"/>
                <w:color w:val="auto"/>
                <w:sz w:val="24"/>
                <w:szCs w:val="24"/>
                <w:lang w:val="en-GB"/>
              </w:rPr>
              <w:t>y</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148</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0.687</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0.883</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0.464</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0.864</w:t>
            </w:r>
          </w:p>
        </w:tc>
      </w:tr>
      <w:tr w:rsidR="0083105B" w:rsidRPr="002B2C64" w:rsidTr="00C267DC">
        <w:trPr>
          <w:trHeight w:val="516"/>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C267DC" w:rsidRPr="002B2C64" w:rsidTr="00C267DC">
        <w:trPr>
          <w:trHeight w:val="56"/>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pT stage</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0.590</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0.196</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0.853</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0.253</w:t>
            </w:r>
          </w:p>
        </w:tc>
      </w:tr>
      <w:tr w:rsidR="00C267DC" w:rsidRPr="002B2C64" w:rsidTr="00C267DC">
        <w:trPr>
          <w:trHeight w:val="56"/>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62</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C267DC" w:rsidRPr="002B2C64" w:rsidTr="00C267DC">
        <w:trPr>
          <w:trHeight w:val="56"/>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91</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C267DC" w:rsidRPr="002B2C64" w:rsidTr="00C267DC">
        <w:trPr>
          <w:trHeight w:val="56"/>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331"/>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Venous invasion</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113</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0.437</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0.993</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color w:val="auto"/>
                <w:sz w:val="24"/>
                <w:szCs w:val="24"/>
                <w:lang w:val="en-GB"/>
              </w:rPr>
              <w:t>0.618</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0.917</w:t>
            </w:r>
          </w:p>
        </w:tc>
      </w:tr>
      <w:tr w:rsidR="0083105B" w:rsidRPr="002B2C64" w:rsidTr="00C267DC">
        <w:trPr>
          <w:trHeight w:val="552"/>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46</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415"/>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Lymphatic invasion</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121</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0.917</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0.994</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color w:val="auto"/>
                <w:sz w:val="24"/>
                <w:szCs w:val="24"/>
                <w:lang w:val="en-GB"/>
              </w:rPr>
              <w:t>0.414</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0.940</w:t>
            </w:r>
          </w:p>
        </w:tc>
      </w:tr>
      <w:tr w:rsidR="0083105B" w:rsidRPr="002B2C64" w:rsidTr="00C267DC">
        <w:trPr>
          <w:trHeight w:val="468"/>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38</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391"/>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Perineural invasion</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Absent </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143</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0.714</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0.343</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0.037</w:t>
            </w:r>
            <w:r w:rsidRPr="002B2C64">
              <w:rPr>
                <w:rFonts w:ascii="Book Antiqua" w:eastAsia="Calibri" w:hAnsi="Book Antiqua"/>
                <w:color w:val="auto"/>
                <w:sz w:val="24"/>
                <w:szCs w:val="24"/>
                <w:vertAlign w:val="superscript"/>
                <w:lang w:val="en-GB"/>
              </w:rPr>
              <w:t>a</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0.368</w:t>
            </w:r>
          </w:p>
        </w:tc>
      </w:tr>
      <w:tr w:rsidR="0083105B" w:rsidRPr="002B2C64" w:rsidTr="00C267DC">
        <w:trPr>
          <w:trHeight w:val="492"/>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17</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403"/>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Lymph node</w:t>
            </w:r>
          </w:p>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metastasis</w:t>
            </w:r>
          </w:p>
        </w:tc>
        <w:tc>
          <w:tcPr>
            <w:tcW w:w="932" w:type="pc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430" w:type="pc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81</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color w:val="auto"/>
                <w:sz w:val="24"/>
                <w:szCs w:val="24"/>
                <w:lang w:val="en-GB"/>
              </w:rPr>
              <w:t>0.292</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color w:val="auto"/>
                <w:sz w:val="24"/>
                <w:szCs w:val="24"/>
                <w:lang w:val="en-GB"/>
              </w:rPr>
              <w:t>0.913</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0.070</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0.995</w:t>
            </w:r>
          </w:p>
        </w:tc>
      </w:tr>
      <w:tr w:rsidR="0083105B" w:rsidRPr="002B2C64" w:rsidTr="00C267DC">
        <w:trPr>
          <w:trHeight w:val="480"/>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430" w:type="pc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79</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403"/>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eastAsia="pl-PL"/>
              </w:rPr>
              <w:t>Distant metastasis</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Absent </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143</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0.152</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0.354</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0.157</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color w:val="auto"/>
                <w:sz w:val="24"/>
                <w:szCs w:val="24"/>
                <w:lang w:val="en-GB"/>
              </w:rPr>
              <w:t>0.378</w:t>
            </w:r>
          </w:p>
        </w:tc>
      </w:tr>
      <w:tr w:rsidR="0083105B" w:rsidRPr="002B2C64" w:rsidTr="00C267DC">
        <w:trPr>
          <w:trHeight w:val="480"/>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eastAsia="pl-PL"/>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17</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312"/>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Tumour deposits</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133</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0.910</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0.320</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color w:val="auto"/>
                <w:sz w:val="24"/>
                <w:szCs w:val="24"/>
                <w:lang w:val="en-GB"/>
              </w:rPr>
              <w:t>0.670</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color w:val="auto"/>
                <w:sz w:val="24"/>
                <w:szCs w:val="24"/>
                <w:lang w:val="en-GB"/>
              </w:rPr>
              <w:t>0.293</w:t>
            </w:r>
          </w:p>
        </w:tc>
      </w:tr>
      <w:tr w:rsidR="0083105B" w:rsidRPr="002B2C64" w:rsidTr="00C267DC">
        <w:trPr>
          <w:trHeight w:val="576"/>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eastAsia="pl-PL"/>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27</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420"/>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Tumour budding</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94</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0.771</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0.575</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0.302</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0.692</w:t>
            </w:r>
          </w:p>
        </w:tc>
      </w:tr>
      <w:tr w:rsidR="0083105B" w:rsidRPr="002B2C64" w:rsidTr="00C267DC">
        <w:trPr>
          <w:trHeight w:val="468"/>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66</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337"/>
          <w:jc w:val="center"/>
        </w:trPr>
        <w:tc>
          <w:tcPr>
            <w:tcW w:w="851" w:type="pct"/>
            <w:vMerge w:val="restart"/>
            <w:vAlign w:val="center"/>
          </w:tcPr>
          <w:p w:rsidR="00C267DC" w:rsidRPr="002B2C64" w:rsidRDefault="00C267DC" w:rsidP="0083105B">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Necrosis</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45</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0.599</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0.521</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0.273</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0.449</w:t>
            </w:r>
          </w:p>
        </w:tc>
      </w:tr>
      <w:tr w:rsidR="0083105B" w:rsidRPr="002B2C64" w:rsidTr="00C267DC">
        <w:trPr>
          <w:trHeight w:val="372"/>
          <w:jc w:val="center"/>
        </w:trPr>
        <w:tc>
          <w:tcPr>
            <w:tcW w:w="851" w:type="pct"/>
            <w:vMerge/>
            <w:vAlign w:val="center"/>
          </w:tcPr>
          <w:p w:rsidR="00C267DC" w:rsidRPr="002B2C64" w:rsidRDefault="00C267DC" w:rsidP="0083105B">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eastAsia="pl-PL"/>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Focal</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61</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360"/>
          <w:jc w:val="center"/>
        </w:trPr>
        <w:tc>
          <w:tcPr>
            <w:tcW w:w="851" w:type="pct"/>
            <w:vMerge/>
            <w:vAlign w:val="center"/>
          </w:tcPr>
          <w:p w:rsidR="00C267DC" w:rsidRPr="002B2C64" w:rsidRDefault="00C267DC" w:rsidP="0083105B">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eastAsia="pl-PL"/>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Moderate</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36</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438"/>
          <w:jc w:val="center"/>
        </w:trPr>
        <w:tc>
          <w:tcPr>
            <w:tcW w:w="851" w:type="pct"/>
            <w:vMerge/>
            <w:vAlign w:val="center"/>
          </w:tcPr>
          <w:p w:rsidR="00C267DC" w:rsidRPr="002B2C64" w:rsidRDefault="00C267DC" w:rsidP="0083105B">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eastAsia="pl-PL"/>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Extensive</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18</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384"/>
          <w:jc w:val="center"/>
        </w:trPr>
        <w:tc>
          <w:tcPr>
            <w:tcW w:w="851" w:type="pct"/>
            <w:vMerge w:val="restar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Fibrosis</w:t>
            </w: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Absent</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w:t>
            </w:r>
          </w:p>
        </w:tc>
        <w:tc>
          <w:tcPr>
            <w:tcW w:w="647"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0.258</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0.390</w:t>
            </w:r>
          </w:p>
        </w:tc>
        <w:tc>
          <w:tcPr>
            <w:tcW w:w="646"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0.400</w:t>
            </w:r>
          </w:p>
        </w:tc>
        <w:tc>
          <w:tcPr>
            <w:tcW w:w="848" w:type="pct"/>
            <w:vMerge w:val="restart"/>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0.282</w:t>
            </w:r>
          </w:p>
        </w:tc>
      </w:tr>
      <w:tr w:rsidR="0083105B" w:rsidRPr="002B2C64" w:rsidTr="00C267DC">
        <w:trPr>
          <w:trHeight w:val="372"/>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Focal</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72</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202"/>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Moderate</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43</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r w:rsidR="0083105B" w:rsidRPr="002B2C64" w:rsidTr="00C267DC">
        <w:trPr>
          <w:trHeight w:val="439"/>
          <w:jc w:val="center"/>
        </w:trPr>
        <w:tc>
          <w:tcPr>
            <w:tcW w:w="851" w:type="pct"/>
            <w:vMerge/>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932"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Extensive</w:t>
            </w:r>
          </w:p>
        </w:tc>
        <w:tc>
          <w:tcPr>
            <w:tcW w:w="430" w:type="pct"/>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34</w:t>
            </w:r>
          </w:p>
        </w:tc>
        <w:tc>
          <w:tcPr>
            <w:tcW w:w="647"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646"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c>
          <w:tcPr>
            <w:tcW w:w="848" w:type="pct"/>
            <w:vMerge/>
            <w:vAlign w:val="center"/>
          </w:tcPr>
          <w:p w:rsidR="00C267DC" w:rsidRPr="002B2C64" w:rsidRDefault="00C267DC" w:rsidP="0083105B">
            <w:pPr>
              <w:snapToGrid w:val="0"/>
              <w:spacing w:after="0" w:line="360" w:lineRule="auto"/>
              <w:jc w:val="both"/>
              <w:rPr>
                <w:rFonts w:ascii="Book Antiqua" w:eastAsia="Calibri" w:hAnsi="Book Antiqua"/>
                <w:color w:val="auto"/>
                <w:sz w:val="24"/>
                <w:szCs w:val="24"/>
                <w:lang w:val="en-GB"/>
              </w:rPr>
            </w:pPr>
          </w:p>
        </w:tc>
      </w:tr>
    </w:tbl>
    <w:p w:rsidR="007C4FED" w:rsidRPr="002B2C64" w:rsidRDefault="00111517"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vertAlign w:val="superscript"/>
        </w:rPr>
        <w:lastRenderedPageBreak/>
        <w:t>a</w:t>
      </w:r>
      <w:r w:rsidRPr="002B2C64">
        <w:rPr>
          <w:rFonts w:ascii="Book Antiqua" w:hAnsi="Book Antiqua"/>
          <w:i/>
          <w:sz w:val="24"/>
          <w:szCs w:val="24"/>
        </w:rPr>
        <w:t>P</w:t>
      </w:r>
      <w:r w:rsidR="00741EB0" w:rsidRPr="002B2C64">
        <w:rPr>
          <w:rFonts w:ascii="Book Antiqua" w:hAnsi="Book Antiqua"/>
          <w:i/>
          <w:sz w:val="24"/>
          <w:szCs w:val="24"/>
        </w:rPr>
        <w:t xml:space="preserve"> </w:t>
      </w:r>
      <w:r w:rsidRPr="002B2C64">
        <w:rPr>
          <w:rFonts w:ascii="Book Antiqua" w:hAnsi="Book Antiqua"/>
          <w:sz w:val="24"/>
          <w:szCs w:val="24"/>
        </w:rPr>
        <w:t>&lt;</w:t>
      </w:r>
      <w:r w:rsidR="00741EB0" w:rsidRPr="002B2C64">
        <w:rPr>
          <w:rFonts w:ascii="Book Antiqua" w:hAnsi="Book Antiqua"/>
          <w:sz w:val="24"/>
          <w:szCs w:val="24"/>
        </w:rPr>
        <w:t xml:space="preserve"> </w:t>
      </w:r>
      <w:r w:rsidRPr="002B2C64">
        <w:rPr>
          <w:rFonts w:ascii="Book Antiqua" w:hAnsi="Book Antiqua"/>
          <w:sz w:val="24"/>
          <w:szCs w:val="24"/>
        </w:rPr>
        <w:t xml:space="preserve">0.05. </w:t>
      </w:r>
      <w:r w:rsidRPr="002B2C64">
        <w:rPr>
          <w:rFonts w:ascii="Book Antiqua" w:hAnsi="Book Antiqua"/>
          <w:sz w:val="24"/>
          <w:szCs w:val="24"/>
          <w:lang w:val="en-GB"/>
        </w:rPr>
        <w:t>TN</w:t>
      </w:r>
      <w:r w:rsidR="00172AAC" w:rsidRPr="002B2C64">
        <w:rPr>
          <w:rFonts w:ascii="Book Antiqua" w:hAnsi="Book Antiqua"/>
          <w:sz w:val="24"/>
          <w:szCs w:val="24"/>
          <w:lang w:val="en-GB"/>
        </w:rPr>
        <w:t>M</w:t>
      </w:r>
      <w:r w:rsidRPr="002B2C64">
        <w:rPr>
          <w:rFonts w:ascii="Book Antiqua" w:hAnsi="Book Antiqua"/>
          <w:sz w:val="24"/>
          <w:szCs w:val="24"/>
          <w:lang w:val="en-GB"/>
        </w:rPr>
        <w:t xml:space="preserve"> stage: Tumo</w:t>
      </w:r>
      <w:r w:rsidR="009B4998" w:rsidRPr="002B2C64">
        <w:rPr>
          <w:rFonts w:ascii="Book Antiqua" w:hAnsi="Book Antiqua"/>
          <w:sz w:val="24"/>
          <w:szCs w:val="24"/>
          <w:lang w:val="en-GB"/>
        </w:rPr>
        <w:t>u</w:t>
      </w:r>
      <w:r w:rsidRPr="002B2C64">
        <w:rPr>
          <w:rFonts w:ascii="Book Antiqua" w:hAnsi="Book Antiqua"/>
          <w:sz w:val="24"/>
          <w:szCs w:val="24"/>
          <w:lang w:val="en-GB"/>
        </w:rPr>
        <w:t xml:space="preserve">r-Node-Metastasis; </w:t>
      </w:r>
      <w:r w:rsidRPr="002B2C64">
        <w:rPr>
          <w:rFonts w:ascii="Book Antiqua" w:eastAsia="Calibri" w:hAnsi="Book Antiqua"/>
          <w:color w:val="auto"/>
          <w:sz w:val="24"/>
          <w:szCs w:val="24"/>
          <w:lang w:val="en-GB" w:eastAsia="pl-PL"/>
        </w:rPr>
        <w:t xml:space="preserve">PLT-NLR status: </w:t>
      </w:r>
      <w:r w:rsidR="00741EB0" w:rsidRPr="002B2C64">
        <w:rPr>
          <w:rFonts w:ascii="Book Antiqua" w:hAnsi="Book Antiqua"/>
          <w:sz w:val="24"/>
          <w:szCs w:val="24"/>
          <w:lang w:val="en-GB"/>
        </w:rPr>
        <w:t>Platelet and neutrophil-to-lymphocyte ratio</w:t>
      </w:r>
      <w:r w:rsidRPr="002B2C64">
        <w:rPr>
          <w:rFonts w:ascii="Book Antiqua" w:hAnsi="Book Antiqua"/>
          <w:sz w:val="24"/>
          <w:szCs w:val="24"/>
          <w:lang w:val="en-GB"/>
        </w:rPr>
        <w:t>;</w:t>
      </w:r>
      <w:r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rPr>
        <w:t xml:space="preserve">NLR-PLR status: </w:t>
      </w:r>
      <w:r w:rsidR="00741EB0" w:rsidRPr="002B2C64">
        <w:rPr>
          <w:rFonts w:ascii="Book Antiqua" w:hAnsi="Book Antiqua"/>
          <w:sz w:val="24"/>
          <w:szCs w:val="24"/>
          <w:lang w:val="en-GB"/>
        </w:rPr>
        <w:t>Neutrophil-to-lymphocyte ratio and platelet-to-lymphocyte ratio</w:t>
      </w:r>
      <w:r w:rsidRPr="002B2C64">
        <w:rPr>
          <w:rFonts w:ascii="Book Antiqua" w:hAnsi="Book Antiqua"/>
          <w:sz w:val="24"/>
          <w:szCs w:val="24"/>
          <w:lang w:val="en-GB"/>
        </w:rPr>
        <w:t xml:space="preserve">; Pre: </w:t>
      </w:r>
      <w:r w:rsidR="00741EB0" w:rsidRPr="002B2C64">
        <w:rPr>
          <w:rFonts w:ascii="Book Antiqua" w:hAnsi="Book Antiqua"/>
          <w:sz w:val="24"/>
          <w:szCs w:val="24"/>
          <w:lang w:val="en-GB"/>
        </w:rPr>
        <w:t>P</w:t>
      </w:r>
      <w:r w:rsidR="00D13F8A" w:rsidRPr="002B2C64">
        <w:rPr>
          <w:rFonts w:ascii="Book Antiqua" w:hAnsi="Book Antiqua"/>
          <w:sz w:val="24"/>
          <w:szCs w:val="24"/>
          <w:lang w:val="en-GB"/>
        </w:rPr>
        <w:t xml:space="preserve">reoperative </w:t>
      </w:r>
      <w:r w:rsidRPr="002B2C64">
        <w:rPr>
          <w:rFonts w:ascii="Book Antiqua" w:hAnsi="Book Antiqua"/>
          <w:sz w:val="24"/>
          <w:szCs w:val="24"/>
          <w:lang w:val="en-GB"/>
        </w:rPr>
        <w:t xml:space="preserve">blood samples; Post: </w:t>
      </w:r>
      <w:r w:rsidR="00741EB0" w:rsidRPr="002B2C64">
        <w:rPr>
          <w:rFonts w:ascii="Book Antiqua" w:hAnsi="Book Antiqua"/>
          <w:sz w:val="24"/>
          <w:szCs w:val="24"/>
          <w:lang w:val="en-GB"/>
        </w:rPr>
        <w:t>P</w:t>
      </w:r>
      <w:r w:rsidR="007C4FED" w:rsidRPr="002B2C64">
        <w:rPr>
          <w:rFonts w:ascii="Book Antiqua" w:hAnsi="Book Antiqua"/>
          <w:sz w:val="24"/>
          <w:szCs w:val="24"/>
          <w:lang w:val="en-GB"/>
        </w:rPr>
        <w:t>ostoperative blood samples</w:t>
      </w:r>
      <w:r w:rsidRPr="002B2C64">
        <w:rPr>
          <w:rFonts w:ascii="Book Antiqua" w:hAnsi="Book Antiqua"/>
          <w:sz w:val="24"/>
          <w:szCs w:val="24"/>
          <w:lang w:val="en-GB"/>
        </w:rPr>
        <w:t>.</w:t>
      </w:r>
    </w:p>
    <w:p w:rsidR="008263A4" w:rsidRPr="002B2C64" w:rsidRDefault="00043298" w:rsidP="0083105B">
      <w:pPr>
        <w:snapToGrid w:val="0"/>
        <w:spacing w:after="0" w:line="360" w:lineRule="auto"/>
        <w:jc w:val="both"/>
        <w:rPr>
          <w:rFonts w:ascii="Book Antiqua" w:hAnsi="Book Antiqua"/>
          <w:b/>
          <w:sz w:val="24"/>
          <w:szCs w:val="24"/>
          <w:lang w:val="en-GB"/>
        </w:rPr>
      </w:pPr>
      <w:r w:rsidRPr="002B2C64">
        <w:rPr>
          <w:rFonts w:ascii="Book Antiqua" w:hAnsi="Book Antiqua"/>
          <w:b/>
          <w:sz w:val="24"/>
          <w:szCs w:val="24"/>
          <w:lang w:val="en-GB"/>
        </w:rPr>
        <w:br w:type="page"/>
      </w:r>
      <w:r w:rsidR="008263A4" w:rsidRPr="002B2C64">
        <w:rPr>
          <w:rFonts w:ascii="Book Antiqua" w:hAnsi="Book Antiqua"/>
          <w:b/>
          <w:sz w:val="24"/>
          <w:szCs w:val="24"/>
          <w:lang w:val="en-GB"/>
        </w:rPr>
        <w:lastRenderedPageBreak/>
        <w:t xml:space="preserve">Table 3 </w:t>
      </w:r>
      <w:r w:rsidR="008263A4" w:rsidRPr="002B2C64">
        <w:rPr>
          <w:rFonts w:ascii="Book Antiqua" w:hAnsi="Book Antiqua"/>
          <w:b/>
          <w:bCs/>
          <w:sz w:val="24"/>
          <w:szCs w:val="24"/>
          <w:lang w:val="en-GB"/>
        </w:rPr>
        <w:t xml:space="preserve">Prognostic factors of </w:t>
      </w:r>
      <w:r w:rsidR="005D2CC2" w:rsidRPr="002B2C64">
        <w:rPr>
          <w:rFonts w:ascii="Book Antiqua" w:hAnsi="Book Antiqua"/>
          <w:b/>
          <w:bCs/>
          <w:sz w:val="24"/>
          <w:szCs w:val="24"/>
          <w:lang w:val="en-GB"/>
        </w:rPr>
        <w:t>3</w:t>
      </w:r>
      <w:r w:rsidR="00A42268" w:rsidRPr="002B2C64">
        <w:rPr>
          <w:rFonts w:ascii="Book Antiqua" w:hAnsi="Book Antiqua"/>
          <w:b/>
          <w:bCs/>
          <w:sz w:val="24"/>
          <w:szCs w:val="24"/>
          <w:lang w:val="en-GB"/>
        </w:rPr>
        <w:t>-yr disease-</w:t>
      </w:r>
      <w:r w:rsidR="00836CD3" w:rsidRPr="002B2C64">
        <w:rPr>
          <w:rFonts w:ascii="Book Antiqua" w:hAnsi="Book Antiqua"/>
          <w:b/>
          <w:bCs/>
          <w:sz w:val="24"/>
          <w:szCs w:val="24"/>
          <w:lang w:val="en-GB"/>
        </w:rPr>
        <w:t>free survival in patients with colorectal cancer</w:t>
      </w:r>
    </w:p>
    <w:tbl>
      <w:tblPr>
        <w:tblW w:w="9351" w:type="dxa"/>
        <w:tblBorders>
          <w:top w:val="single" w:sz="4" w:space="0" w:color="auto"/>
          <w:bottom w:val="single" w:sz="4" w:space="0" w:color="auto"/>
        </w:tblBorders>
        <w:tblLook w:val="04A0" w:firstRow="1" w:lastRow="0" w:firstColumn="1" w:lastColumn="0" w:noHBand="0" w:noVBand="1"/>
      </w:tblPr>
      <w:tblGrid>
        <w:gridCol w:w="4026"/>
        <w:gridCol w:w="1376"/>
        <w:gridCol w:w="1590"/>
        <w:gridCol w:w="2359"/>
      </w:tblGrid>
      <w:tr w:rsidR="000A74DA" w:rsidRPr="002B2C64" w:rsidTr="00E46D92">
        <w:tc>
          <w:tcPr>
            <w:tcW w:w="4026" w:type="dxa"/>
            <w:tcBorders>
              <w:top w:val="single" w:sz="4" w:space="0" w:color="auto"/>
              <w:bottom w:val="single" w:sz="4" w:space="0" w:color="auto"/>
            </w:tcBorders>
          </w:tcPr>
          <w:p w:rsidR="008263A4" w:rsidRPr="002B2C64" w:rsidRDefault="008263A4"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Variables</w:t>
            </w:r>
          </w:p>
        </w:tc>
        <w:tc>
          <w:tcPr>
            <w:tcW w:w="1376" w:type="dxa"/>
            <w:tcBorders>
              <w:top w:val="single" w:sz="4" w:space="0" w:color="auto"/>
              <w:bottom w:val="single" w:sz="4" w:space="0" w:color="auto"/>
            </w:tcBorders>
          </w:tcPr>
          <w:p w:rsidR="008263A4" w:rsidRPr="002B2C64" w:rsidRDefault="00E46D92"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 xml:space="preserve">Univariate </w:t>
            </w:r>
            <w:r w:rsidR="008263A4" w:rsidRPr="002B2C64">
              <w:rPr>
                <w:rFonts w:ascii="Book Antiqua" w:eastAsia="Calibri" w:hAnsi="Book Antiqua"/>
                <w:b/>
                <w:i/>
                <w:iCs/>
                <w:color w:val="auto"/>
                <w:sz w:val="24"/>
                <w:szCs w:val="24"/>
                <w:lang w:val="en-GB"/>
              </w:rPr>
              <w:t>P</w:t>
            </w:r>
            <w:r w:rsidR="008263A4" w:rsidRPr="002B2C64">
              <w:rPr>
                <w:rFonts w:ascii="Book Antiqua" w:eastAsia="Calibri" w:hAnsi="Book Antiqua"/>
                <w:b/>
                <w:color w:val="auto"/>
                <w:sz w:val="24"/>
                <w:szCs w:val="24"/>
                <w:lang w:val="en-GB"/>
              </w:rPr>
              <w:t xml:space="preserve"> value</w:t>
            </w:r>
          </w:p>
        </w:tc>
        <w:tc>
          <w:tcPr>
            <w:tcW w:w="1590" w:type="dxa"/>
            <w:tcBorders>
              <w:top w:val="single" w:sz="4" w:space="0" w:color="auto"/>
              <w:bottom w:val="single" w:sz="4" w:space="0" w:color="auto"/>
            </w:tcBorders>
          </w:tcPr>
          <w:p w:rsidR="008263A4" w:rsidRPr="002B2C64" w:rsidRDefault="00E46D92"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 xml:space="preserve">Multivariate </w:t>
            </w:r>
            <w:r w:rsidR="008263A4" w:rsidRPr="002B2C64">
              <w:rPr>
                <w:rFonts w:ascii="Book Antiqua" w:eastAsia="Calibri" w:hAnsi="Book Antiqua"/>
                <w:b/>
                <w:i/>
                <w:iCs/>
                <w:color w:val="auto"/>
                <w:sz w:val="24"/>
                <w:szCs w:val="24"/>
                <w:lang w:val="en-GB"/>
              </w:rPr>
              <w:t>P</w:t>
            </w:r>
            <w:r w:rsidRPr="002B2C64">
              <w:rPr>
                <w:rFonts w:ascii="Book Antiqua" w:eastAsia="Calibri" w:hAnsi="Book Antiqua"/>
                <w:b/>
                <w:color w:val="auto"/>
                <w:sz w:val="24"/>
                <w:szCs w:val="24"/>
                <w:lang w:val="en-GB"/>
              </w:rPr>
              <w:t xml:space="preserve"> value</w:t>
            </w:r>
          </w:p>
        </w:tc>
        <w:tc>
          <w:tcPr>
            <w:tcW w:w="2359" w:type="dxa"/>
            <w:tcBorders>
              <w:top w:val="single" w:sz="4" w:space="0" w:color="auto"/>
              <w:bottom w:val="single" w:sz="4" w:space="0" w:color="auto"/>
            </w:tcBorders>
          </w:tcPr>
          <w:p w:rsidR="008263A4" w:rsidRPr="002B2C64" w:rsidRDefault="008263A4"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HR (95%CI)</w:t>
            </w:r>
          </w:p>
        </w:tc>
      </w:tr>
      <w:tr w:rsidR="000A74DA" w:rsidRPr="002B2C64" w:rsidTr="00E46D92">
        <w:tc>
          <w:tcPr>
            <w:tcW w:w="4026" w:type="dxa"/>
            <w:tcBorders>
              <w:top w:val="single" w:sz="4" w:space="0" w:color="auto"/>
            </w:tcBorders>
          </w:tcPr>
          <w:p w:rsidR="008263A4" w:rsidRPr="002B2C64" w:rsidRDefault="00E46D92"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Age </w:t>
            </w:r>
            <w:r w:rsidR="008263A4" w:rsidRPr="002B2C64">
              <w:rPr>
                <w:rFonts w:ascii="Book Antiqua" w:eastAsia="Calibri" w:hAnsi="Book Antiqua"/>
                <w:color w:val="auto"/>
                <w:sz w:val="24"/>
                <w:szCs w:val="24"/>
                <w:lang w:val="en-GB"/>
              </w:rPr>
              <w:t>(</w:t>
            </w:r>
            <w:r w:rsidR="0094150A" w:rsidRPr="002B2C64">
              <w:rPr>
                <w:rFonts w:ascii="Book Antiqua" w:eastAsia="Calibri" w:hAnsi="Book Antiqua"/>
                <w:color w:val="auto"/>
                <w:sz w:val="24"/>
                <w:szCs w:val="24"/>
                <w:lang w:val="en-GB"/>
              </w:rPr>
              <w:t xml:space="preserve"> </w:t>
            </w:r>
            <w:r w:rsidR="008263A4" w:rsidRPr="002B2C64">
              <w:rPr>
                <w:rFonts w:ascii="Book Antiqua" w:eastAsia="Calibri" w:hAnsi="Book Antiqua"/>
                <w:color w:val="auto"/>
                <w:sz w:val="24"/>
                <w:szCs w:val="24"/>
                <w:lang w:val="en-GB"/>
              </w:rPr>
              <w:t>≤</w:t>
            </w:r>
            <w:r w:rsidR="0094150A" w:rsidRPr="002B2C64">
              <w:rPr>
                <w:rFonts w:ascii="Book Antiqua" w:eastAsia="Calibri" w:hAnsi="Book Antiqua"/>
                <w:color w:val="auto"/>
                <w:sz w:val="24"/>
                <w:szCs w:val="24"/>
                <w:lang w:val="en-GB"/>
              </w:rPr>
              <w:t xml:space="preserve"> </w:t>
            </w:r>
            <w:r w:rsidR="008263A4" w:rsidRPr="002B2C64">
              <w:rPr>
                <w:rFonts w:ascii="Book Antiqua" w:eastAsia="Calibri" w:hAnsi="Book Antiqua"/>
                <w:color w:val="auto"/>
                <w:sz w:val="24"/>
                <w:szCs w:val="24"/>
                <w:lang w:val="en-GB"/>
              </w:rPr>
              <w:t xml:space="preserve">60 </w:t>
            </w:r>
            <w:r w:rsidR="008263A4" w:rsidRPr="002B2C64">
              <w:rPr>
                <w:rFonts w:ascii="Book Antiqua" w:eastAsia="Calibri" w:hAnsi="Book Antiqua"/>
                <w:i/>
                <w:iCs/>
                <w:color w:val="auto"/>
                <w:sz w:val="24"/>
                <w:szCs w:val="24"/>
                <w:lang w:val="en-GB"/>
              </w:rPr>
              <w:t>vs</w:t>
            </w:r>
            <w:r w:rsidR="0094150A" w:rsidRPr="002B2C64">
              <w:rPr>
                <w:rFonts w:ascii="Book Antiqua" w:eastAsia="Calibri" w:hAnsi="Book Antiqua"/>
                <w:color w:val="auto"/>
                <w:sz w:val="24"/>
                <w:szCs w:val="24"/>
                <w:lang w:val="en-GB"/>
              </w:rPr>
              <w:t xml:space="preserve"> </w:t>
            </w:r>
            <w:r w:rsidR="008263A4" w:rsidRPr="002B2C64">
              <w:rPr>
                <w:rFonts w:ascii="Book Antiqua" w:eastAsia="Calibri" w:hAnsi="Book Antiqua"/>
                <w:color w:val="auto"/>
                <w:sz w:val="24"/>
                <w:szCs w:val="24"/>
                <w:lang w:val="en-GB"/>
              </w:rPr>
              <w:t>≥</w:t>
            </w:r>
            <w:r w:rsidR="0094150A" w:rsidRPr="002B2C64">
              <w:rPr>
                <w:rFonts w:ascii="Book Antiqua" w:eastAsia="Calibri" w:hAnsi="Book Antiqua"/>
                <w:color w:val="auto"/>
                <w:sz w:val="24"/>
                <w:szCs w:val="24"/>
                <w:lang w:val="en-GB"/>
              </w:rPr>
              <w:t xml:space="preserve"> </w:t>
            </w:r>
            <w:r w:rsidR="008263A4" w:rsidRPr="002B2C64">
              <w:rPr>
                <w:rFonts w:ascii="Book Antiqua" w:eastAsia="Calibri" w:hAnsi="Book Antiqua"/>
                <w:color w:val="auto"/>
                <w:sz w:val="24"/>
                <w:szCs w:val="24"/>
                <w:lang w:val="en-GB"/>
              </w:rPr>
              <w:t>60</w:t>
            </w:r>
            <w:r w:rsidR="00172AAC" w:rsidRPr="002B2C64">
              <w:rPr>
                <w:rFonts w:ascii="Book Antiqua" w:eastAsia="Calibri" w:hAnsi="Book Antiqua"/>
                <w:color w:val="auto"/>
                <w:sz w:val="24"/>
                <w:szCs w:val="24"/>
                <w:lang w:val="en-GB"/>
              </w:rPr>
              <w:t xml:space="preserve"> yr</w:t>
            </w:r>
            <w:r w:rsidR="008263A4" w:rsidRPr="002B2C64">
              <w:rPr>
                <w:rFonts w:ascii="Book Antiqua" w:eastAsia="Calibri" w:hAnsi="Book Antiqua"/>
                <w:color w:val="auto"/>
                <w:sz w:val="24"/>
                <w:szCs w:val="24"/>
                <w:lang w:val="en-GB"/>
              </w:rPr>
              <w:t>)</w:t>
            </w:r>
          </w:p>
        </w:tc>
        <w:tc>
          <w:tcPr>
            <w:tcW w:w="1376" w:type="dxa"/>
            <w:tcBorders>
              <w:top w:val="single" w:sz="4" w:space="0" w:color="auto"/>
            </w:tcBorders>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0.554</w:t>
            </w:r>
          </w:p>
        </w:tc>
        <w:tc>
          <w:tcPr>
            <w:tcW w:w="1590" w:type="dxa"/>
            <w:tcBorders>
              <w:top w:val="single" w:sz="4" w:space="0" w:color="auto"/>
            </w:tcBorders>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Borders>
              <w:top w:val="single" w:sz="4" w:space="0" w:color="auto"/>
            </w:tcBorders>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1.020 (0.953-1.093)</w:t>
            </w:r>
          </w:p>
        </w:tc>
      </w:tr>
      <w:tr w:rsidR="000A74DA" w:rsidRPr="002B2C64" w:rsidTr="00E46D92">
        <w:tc>
          <w:tcPr>
            <w:tcW w:w="4026" w:type="dxa"/>
          </w:tcPr>
          <w:p w:rsidR="008263A4" w:rsidRPr="002B2C64" w:rsidRDefault="00D13F8A"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Sex </w:t>
            </w:r>
            <w:r w:rsidR="008263A4" w:rsidRPr="002B2C64">
              <w:rPr>
                <w:rFonts w:ascii="Book Antiqua" w:eastAsia="Calibri" w:hAnsi="Book Antiqua"/>
                <w:color w:val="auto"/>
                <w:sz w:val="24"/>
                <w:szCs w:val="24"/>
                <w:lang w:val="en-GB"/>
              </w:rPr>
              <w:t>(female</w:t>
            </w:r>
            <w:r w:rsidR="0094150A" w:rsidRPr="002B2C64">
              <w:rPr>
                <w:rFonts w:ascii="Book Antiqua" w:eastAsia="Calibri" w:hAnsi="Book Antiqua"/>
                <w:color w:val="auto"/>
                <w:sz w:val="24"/>
                <w:szCs w:val="24"/>
                <w:lang w:val="en-GB"/>
              </w:rPr>
              <w:t xml:space="preserve"> </w:t>
            </w:r>
            <w:r w:rsidR="008263A4" w:rsidRPr="002B2C64">
              <w:rPr>
                <w:rFonts w:ascii="Book Antiqua" w:eastAsia="Calibri" w:hAnsi="Book Antiqua"/>
                <w:i/>
                <w:iCs/>
                <w:color w:val="auto"/>
                <w:sz w:val="24"/>
                <w:szCs w:val="24"/>
                <w:lang w:val="en-GB"/>
              </w:rPr>
              <w:t>vs</w:t>
            </w:r>
            <w:r w:rsidR="0094150A" w:rsidRPr="002B2C64">
              <w:rPr>
                <w:rFonts w:ascii="Book Antiqua" w:eastAsia="Calibri" w:hAnsi="Book Antiqua"/>
                <w:i/>
                <w:iCs/>
                <w:color w:val="auto"/>
                <w:sz w:val="24"/>
                <w:szCs w:val="24"/>
                <w:lang w:val="en-GB"/>
              </w:rPr>
              <w:t xml:space="preserve"> </w:t>
            </w:r>
            <w:r w:rsidR="008263A4" w:rsidRPr="002B2C64">
              <w:rPr>
                <w:rFonts w:ascii="Book Antiqua" w:eastAsia="Calibri" w:hAnsi="Book Antiqua"/>
                <w:color w:val="auto"/>
                <w:sz w:val="24"/>
                <w:szCs w:val="24"/>
                <w:lang w:val="en-GB"/>
              </w:rPr>
              <w:t>male)</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0.971</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1.015 (0.426-2.421)</w:t>
            </w:r>
          </w:p>
        </w:tc>
      </w:tr>
      <w:tr w:rsidR="000A74DA" w:rsidRPr="002B2C64" w:rsidTr="00E46D92">
        <w:tc>
          <w:tcPr>
            <w:tcW w:w="4026" w:type="dxa"/>
          </w:tcPr>
          <w:p w:rsidR="008263A4" w:rsidRPr="002B2C64" w:rsidRDefault="00E46D92"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Tumour growth </w:t>
            </w:r>
            <w:r w:rsidR="008263A4" w:rsidRPr="002B2C64">
              <w:rPr>
                <w:rFonts w:ascii="Book Antiqua" w:eastAsia="Calibri" w:hAnsi="Book Antiqua"/>
                <w:color w:val="auto"/>
                <w:sz w:val="24"/>
                <w:szCs w:val="24"/>
                <w:lang w:val="en-GB"/>
              </w:rPr>
              <w:t xml:space="preserve">(expanding </w:t>
            </w:r>
            <w:r w:rsidR="008263A4" w:rsidRPr="002B2C64">
              <w:rPr>
                <w:rFonts w:ascii="Book Antiqua" w:eastAsia="Calibri" w:hAnsi="Book Antiqua"/>
                <w:i/>
                <w:iCs/>
                <w:color w:val="auto"/>
                <w:sz w:val="24"/>
                <w:szCs w:val="24"/>
                <w:lang w:val="en-GB"/>
              </w:rPr>
              <w:t xml:space="preserve">vs </w:t>
            </w:r>
            <w:r w:rsidR="008263A4" w:rsidRPr="002B2C64">
              <w:rPr>
                <w:rFonts w:ascii="Book Antiqua" w:eastAsia="Calibri" w:hAnsi="Book Antiqua"/>
                <w:color w:val="auto"/>
                <w:sz w:val="24"/>
                <w:szCs w:val="24"/>
                <w:lang w:val="en-GB"/>
              </w:rPr>
              <w:t>infiltrate)</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0.902</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0.925 (0.265-3.223)</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Tumo</w:t>
            </w:r>
            <w:r w:rsidR="00D13F8A" w:rsidRPr="002B2C64">
              <w:rPr>
                <w:rFonts w:ascii="Book Antiqua" w:eastAsia="Calibri" w:hAnsi="Book Antiqua"/>
                <w:color w:val="auto"/>
                <w:sz w:val="24"/>
                <w:szCs w:val="24"/>
                <w:lang w:val="en-GB"/>
              </w:rPr>
              <w:t>u</w:t>
            </w:r>
            <w:r w:rsidR="00E46D92" w:rsidRPr="002B2C64">
              <w:rPr>
                <w:rFonts w:ascii="Book Antiqua" w:eastAsia="Calibri" w:hAnsi="Book Antiqua"/>
                <w:color w:val="auto"/>
                <w:sz w:val="24"/>
                <w:szCs w:val="24"/>
                <w:lang w:val="en-GB"/>
              </w:rPr>
              <w:t xml:space="preserve">r size, </w:t>
            </w:r>
            <w:r w:rsidRPr="002B2C64">
              <w:rPr>
                <w:rFonts w:ascii="Book Antiqua" w:eastAsia="Calibri" w:hAnsi="Book Antiqua"/>
                <w:color w:val="auto"/>
                <w:sz w:val="24"/>
                <w:szCs w:val="24"/>
                <w:lang w:val="en-GB"/>
              </w:rPr>
              <w:t>&lt;</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2.5</w:t>
            </w:r>
            <w:r w:rsidR="0094150A" w:rsidRPr="002B2C64">
              <w:rPr>
                <w:rFonts w:ascii="Book Antiqua" w:eastAsia="Calibri" w:hAnsi="Book Antiqua"/>
                <w:color w:val="auto"/>
                <w:sz w:val="24"/>
                <w:szCs w:val="24"/>
                <w:lang w:val="en-GB"/>
              </w:rPr>
              <w:t xml:space="preserve"> </w:t>
            </w:r>
            <w:r w:rsidR="00A42268" w:rsidRPr="002B2C64">
              <w:rPr>
                <w:rFonts w:ascii="Book Antiqua" w:eastAsia="Calibri" w:hAnsi="Book Antiqua"/>
                <w:color w:val="auto"/>
                <w:sz w:val="24"/>
                <w:szCs w:val="24"/>
                <w:lang w:val="en-GB"/>
              </w:rPr>
              <w:t>cm</w:t>
            </w:r>
            <w:r w:rsidR="00A42268" w:rsidRPr="002B2C64">
              <w:rPr>
                <w:rFonts w:ascii="Book Antiqua" w:eastAsia="Calibri" w:hAnsi="Book Antiqua"/>
                <w:i/>
                <w:iCs/>
                <w:color w:val="auto"/>
                <w:sz w:val="24"/>
                <w:szCs w:val="24"/>
                <w:lang w:val="en-GB"/>
              </w:rPr>
              <w:t xml:space="preserve"> </w:t>
            </w:r>
            <w:r w:rsidRPr="002B2C64">
              <w:rPr>
                <w:rFonts w:ascii="Book Antiqua" w:eastAsia="Calibri" w:hAnsi="Book Antiqua"/>
                <w:i/>
                <w:iCs/>
                <w:color w:val="auto"/>
                <w:sz w:val="24"/>
                <w:szCs w:val="24"/>
                <w:lang w:val="en-GB"/>
              </w:rPr>
              <w:t>vs</w:t>
            </w:r>
            <w:r w:rsidRPr="002B2C64">
              <w:rPr>
                <w:rFonts w:ascii="Book Antiqua" w:eastAsia="Calibri" w:hAnsi="Book Antiqua"/>
                <w:color w:val="auto"/>
                <w:sz w:val="24"/>
                <w:szCs w:val="24"/>
                <w:lang w:val="en-GB"/>
              </w:rPr>
              <w:t xml:space="preserve"> 2.5-5 </w:t>
            </w:r>
            <w:r w:rsidR="00A42268" w:rsidRPr="002B2C64">
              <w:rPr>
                <w:rFonts w:ascii="Book Antiqua" w:eastAsia="Calibri" w:hAnsi="Book Antiqua"/>
                <w:color w:val="auto"/>
                <w:sz w:val="24"/>
                <w:szCs w:val="24"/>
                <w:lang w:val="en-GB"/>
              </w:rPr>
              <w:t>cm</w:t>
            </w:r>
            <w:r w:rsidR="00A42268" w:rsidRPr="002B2C64">
              <w:rPr>
                <w:rFonts w:ascii="Book Antiqua" w:eastAsia="Calibri" w:hAnsi="Book Antiqua"/>
                <w:i/>
                <w:iCs/>
                <w:color w:val="auto"/>
                <w:sz w:val="24"/>
                <w:szCs w:val="24"/>
                <w:lang w:val="en-GB"/>
              </w:rPr>
              <w:t xml:space="preserve"> </w:t>
            </w:r>
            <w:r w:rsidRPr="002B2C64">
              <w:rPr>
                <w:rFonts w:ascii="Book Antiqua" w:eastAsia="Calibri" w:hAnsi="Book Antiqua"/>
                <w:i/>
                <w:iCs/>
                <w:color w:val="auto"/>
                <w:sz w:val="24"/>
                <w:szCs w:val="24"/>
                <w:lang w:val="en-GB"/>
              </w:rPr>
              <w:t>vs</w:t>
            </w:r>
            <w:r w:rsidR="0094150A" w:rsidRPr="002B2C64">
              <w:rPr>
                <w:rFonts w:ascii="Book Antiqua" w:eastAsia="Calibri" w:hAnsi="Book Antiqua"/>
                <w:i/>
                <w:iCs/>
                <w:color w:val="auto"/>
                <w:sz w:val="24"/>
                <w:szCs w:val="24"/>
                <w:lang w:val="en-GB"/>
              </w:rPr>
              <w:t xml:space="preserve"> </w:t>
            </w:r>
            <w:r w:rsidRPr="002B2C64">
              <w:rPr>
                <w:rFonts w:ascii="Book Antiqua" w:eastAsia="Calibri" w:hAnsi="Book Antiqua"/>
                <w:color w:val="auto"/>
                <w:sz w:val="24"/>
                <w:szCs w:val="24"/>
                <w:lang w:val="en-GB"/>
              </w:rPr>
              <w:t>&gt;</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5</w:t>
            </w:r>
            <w:r w:rsidR="00E46D92"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cm</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0.313</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1.472 (0.694-3.123)</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TNM stage (I-IV)</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0.328</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1.011 (0.988-1.033)</w:t>
            </w:r>
          </w:p>
        </w:tc>
      </w:tr>
      <w:tr w:rsidR="000A74DA" w:rsidRPr="002B2C64" w:rsidTr="00E46D92">
        <w:tc>
          <w:tcPr>
            <w:tcW w:w="4026" w:type="dxa"/>
          </w:tcPr>
          <w:p w:rsidR="008263A4" w:rsidRPr="002B2C64" w:rsidRDefault="00E46D92"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Adenocarcinoma type </w:t>
            </w:r>
            <w:r w:rsidR="008263A4" w:rsidRPr="002B2C64">
              <w:rPr>
                <w:rFonts w:ascii="Book Antiqua" w:eastAsia="Calibri" w:hAnsi="Book Antiqua"/>
                <w:color w:val="auto"/>
                <w:sz w:val="24"/>
                <w:szCs w:val="24"/>
                <w:lang w:val="en-GB"/>
              </w:rPr>
              <w:t>(nonmuc</w:t>
            </w:r>
            <w:r w:rsidR="008263A4" w:rsidRPr="002B2C64">
              <w:rPr>
                <w:rFonts w:ascii="Book Antiqua" w:eastAsia="Calibri" w:hAnsi="Book Antiqua"/>
                <w:i/>
                <w:iCs/>
                <w:color w:val="auto"/>
                <w:sz w:val="24"/>
                <w:szCs w:val="24"/>
                <w:lang w:val="en-GB"/>
              </w:rPr>
              <w:t xml:space="preserve"> vs </w:t>
            </w:r>
            <w:r w:rsidR="008263A4" w:rsidRPr="002B2C64">
              <w:rPr>
                <w:rFonts w:ascii="Book Antiqua" w:eastAsia="Calibri" w:hAnsi="Book Antiqua"/>
                <w:color w:val="auto"/>
                <w:sz w:val="24"/>
                <w:szCs w:val="24"/>
                <w:lang w:val="en-GB"/>
              </w:rPr>
              <w:t>partim mucin)</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0.182</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0.026 (0.000-5.528)</w:t>
            </w:r>
          </w:p>
        </w:tc>
      </w:tr>
      <w:tr w:rsidR="000A74DA" w:rsidRPr="002B2C64" w:rsidTr="00E46D92">
        <w:tc>
          <w:tcPr>
            <w:tcW w:w="4026" w:type="dxa"/>
          </w:tcPr>
          <w:p w:rsidR="008263A4" w:rsidRPr="002B2C64" w:rsidRDefault="00E46D92" w:rsidP="00172AAC">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Grade of malignanc</w:t>
            </w:r>
            <w:r w:rsidR="00172AAC" w:rsidRPr="002B2C64">
              <w:rPr>
                <w:rFonts w:ascii="Book Antiqua" w:eastAsia="Calibri" w:hAnsi="Book Antiqua"/>
                <w:color w:val="auto"/>
                <w:sz w:val="24"/>
                <w:szCs w:val="24"/>
                <w:lang w:val="en-GB"/>
              </w:rPr>
              <w:t>y</w:t>
            </w:r>
            <w:r w:rsidRPr="002B2C64">
              <w:rPr>
                <w:rFonts w:ascii="Book Antiqua" w:eastAsia="Calibri" w:hAnsi="Book Antiqua"/>
                <w:color w:val="auto"/>
                <w:sz w:val="24"/>
                <w:szCs w:val="24"/>
                <w:lang w:val="en-GB"/>
              </w:rPr>
              <w:t xml:space="preserve"> </w:t>
            </w:r>
            <w:r w:rsidR="008263A4" w:rsidRPr="002B2C64">
              <w:rPr>
                <w:rFonts w:ascii="Book Antiqua" w:eastAsia="Calibri" w:hAnsi="Book Antiqua"/>
                <w:color w:val="auto"/>
                <w:sz w:val="24"/>
                <w:szCs w:val="24"/>
                <w:lang w:val="en-GB"/>
              </w:rPr>
              <w:t xml:space="preserve">(2 </w:t>
            </w:r>
            <w:r w:rsidR="008263A4" w:rsidRPr="002B2C64">
              <w:rPr>
                <w:rFonts w:ascii="Book Antiqua" w:eastAsia="Calibri" w:hAnsi="Book Antiqua"/>
                <w:i/>
                <w:iCs/>
                <w:color w:val="auto"/>
                <w:sz w:val="24"/>
                <w:szCs w:val="24"/>
                <w:lang w:val="en-GB"/>
              </w:rPr>
              <w:t>vs</w:t>
            </w:r>
            <w:r w:rsidR="0094150A" w:rsidRPr="002B2C64">
              <w:rPr>
                <w:rFonts w:ascii="Book Antiqua" w:eastAsia="Calibri" w:hAnsi="Book Antiqua"/>
                <w:i/>
                <w:iCs/>
                <w:color w:val="auto"/>
                <w:sz w:val="24"/>
                <w:szCs w:val="24"/>
                <w:lang w:val="en-GB"/>
              </w:rPr>
              <w:t xml:space="preserve"> </w:t>
            </w:r>
            <w:r w:rsidR="008263A4" w:rsidRPr="002B2C64">
              <w:rPr>
                <w:rFonts w:ascii="Book Antiqua" w:eastAsia="Calibri" w:hAnsi="Book Antiqua"/>
                <w:color w:val="auto"/>
                <w:sz w:val="24"/>
                <w:szCs w:val="24"/>
                <w:lang w:val="en-GB"/>
              </w:rPr>
              <w:t>3)</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0.196</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0.288 (0.043-1.893)</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Preoperative treatment (yes</w:t>
            </w:r>
            <w:r w:rsidRPr="002B2C64">
              <w:rPr>
                <w:rFonts w:ascii="Book Antiqua" w:eastAsia="Calibri" w:hAnsi="Book Antiqua"/>
                <w:i/>
                <w:iCs/>
                <w:color w:val="auto"/>
                <w:sz w:val="24"/>
                <w:szCs w:val="24"/>
                <w:lang w:val="en-GB"/>
              </w:rPr>
              <w:t xml:space="preserve"> vs </w:t>
            </w:r>
            <w:r w:rsidRPr="002B2C64">
              <w:rPr>
                <w:rFonts w:ascii="Book Antiqua" w:eastAsia="Calibri" w:hAnsi="Book Antiqua"/>
                <w:color w:val="auto"/>
                <w:sz w:val="24"/>
                <w:szCs w:val="24"/>
                <w:lang w:val="en-GB"/>
              </w:rPr>
              <w:t>no)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0.097</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2.153 (0.869-5.335)</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pT stage (1-4)</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0.234</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1.723 (0.702-4.226)</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Venous invasion (yes </w:t>
            </w:r>
            <w:r w:rsidRPr="002B2C64">
              <w:rPr>
                <w:rFonts w:ascii="Book Antiqua" w:eastAsia="Calibri" w:hAnsi="Book Antiqua"/>
                <w:i/>
                <w:iCs/>
                <w:color w:val="auto"/>
                <w:sz w:val="24"/>
                <w:szCs w:val="24"/>
                <w:lang w:val="en-GB"/>
              </w:rPr>
              <w:t xml:space="preserve">vs </w:t>
            </w:r>
            <w:r w:rsidRPr="002B2C64">
              <w:rPr>
                <w:rFonts w:ascii="Book Antiqua" w:eastAsia="Calibri" w:hAnsi="Book Antiqua"/>
                <w:color w:val="auto"/>
                <w:sz w:val="24"/>
                <w:szCs w:val="24"/>
                <w:lang w:val="en-GB"/>
              </w:rPr>
              <w:t>no)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0.379</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0.358 (0.003-3.535)</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Lymphatic invasion (yes </w:t>
            </w:r>
            <w:r w:rsidRPr="002B2C64">
              <w:rPr>
                <w:rFonts w:ascii="Book Antiqua" w:eastAsia="Calibri" w:hAnsi="Book Antiqua"/>
                <w:i/>
                <w:iCs/>
                <w:color w:val="auto"/>
                <w:sz w:val="24"/>
                <w:szCs w:val="24"/>
                <w:lang w:val="en-GB"/>
              </w:rPr>
              <w:t>vs</w:t>
            </w:r>
            <w:r w:rsidRPr="002B2C64">
              <w:rPr>
                <w:rFonts w:ascii="Book Antiqua" w:eastAsia="Calibri" w:hAnsi="Book Antiqua"/>
                <w:color w:val="auto"/>
                <w:sz w:val="24"/>
                <w:szCs w:val="24"/>
                <w:lang w:val="en-GB"/>
              </w:rPr>
              <w:t xml:space="preserve"> no)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0.194</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4.737 (0.451-49.770)</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Perineural invasion (yes </w:t>
            </w:r>
            <w:r w:rsidRPr="002B2C64">
              <w:rPr>
                <w:rFonts w:ascii="Book Antiqua" w:eastAsia="Calibri" w:hAnsi="Book Antiqua"/>
                <w:i/>
                <w:iCs/>
                <w:color w:val="auto"/>
                <w:sz w:val="24"/>
                <w:szCs w:val="24"/>
                <w:lang w:val="en-GB"/>
              </w:rPr>
              <w:t>vs</w:t>
            </w:r>
            <w:r w:rsidRPr="002B2C64">
              <w:rPr>
                <w:rFonts w:ascii="Book Antiqua" w:eastAsia="Calibri" w:hAnsi="Book Antiqua"/>
                <w:color w:val="auto"/>
                <w:sz w:val="24"/>
                <w:szCs w:val="24"/>
                <w:lang w:val="en-GB"/>
              </w:rPr>
              <w:t xml:space="preserve"> no)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0.100</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0.134 (0.012-1.474)</w:t>
            </w:r>
          </w:p>
        </w:tc>
      </w:tr>
      <w:tr w:rsidR="000A74DA" w:rsidRPr="002B2C64" w:rsidTr="00E46D92">
        <w:tc>
          <w:tcPr>
            <w:tcW w:w="4026" w:type="dxa"/>
            <w:vAlign w:val="center"/>
          </w:tcPr>
          <w:p w:rsidR="008263A4" w:rsidRPr="002B2C64" w:rsidRDefault="008263A4" w:rsidP="0083105B">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Number of lymph nodes</w:t>
            </w:r>
            <w:r w:rsidR="00172AAC" w:rsidRPr="002B2C64">
              <w:rPr>
                <w:rFonts w:ascii="Book Antiqua" w:eastAsia="Calibri" w:hAnsi="Book Antiqua"/>
                <w:color w:val="auto"/>
                <w:sz w:val="24"/>
                <w:szCs w:val="24"/>
                <w:lang w:val="en-GB" w:eastAsia="pl-PL"/>
              </w:rPr>
              <w:t xml:space="preserve"> removed</w:t>
            </w:r>
          </w:p>
          <w:p w:rsidR="008263A4" w:rsidRPr="002B2C64" w:rsidRDefault="008263A4" w:rsidP="0083105B">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(&lt;</w:t>
            </w:r>
            <w:r w:rsidR="0094150A"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eastAsia="pl-PL"/>
              </w:rPr>
              <w:t>5</w:t>
            </w:r>
            <w:r w:rsidRPr="002B2C64">
              <w:rPr>
                <w:rFonts w:ascii="Book Antiqua" w:eastAsia="Calibri" w:hAnsi="Book Antiqua"/>
                <w:i/>
                <w:iCs/>
                <w:color w:val="auto"/>
                <w:sz w:val="24"/>
                <w:szCs w:val="24"/>
                <w:lang w:val="en-GB" w:eastAsia="pl-PL"/>
              </w:rPr>
              <w:t xml:space="preserve"> vs</w:t>
            </w:r>
            <w:r w:rsidRPr="002B2C64">
              <w:rPr>
                <w:rFonts w:ascii="Book Antiqua" w:eastAsia="Calibri" w:hAnsi="Book Antiqua"/>
                <w:color w:val="auto"/>
                <w:sz w:val="24"/>
                <w:szCs w:val="24"/>
                <w:lang w:val="en-GB" w:eastAsia="pl-PL"/>
              </w:rPr>
              <w:t xml:space="preserve"> 5-10 </w:t>
            </w:r>
            <w:r w:rsidRPr="002B2C64">
              <w:rPr>
                <w:rFonts w:ascii="Book Antiqua" w:eastAsia="Calibri" w:hAnsi="Book Antiqua"/>
                <w:i/>
                <w:iCs/>
                <w:color w:val="auto"/>
                <w:sz w:val="24"/>
                <w:szCs w:val="24"/>
                <w:lang w:val="en-GB" w:eastAsia="pl-PL"/>
              </w:rPr>
              <w:t xml:space="preserve">vs </w:t>
            </w:r>
            <w:r w:rsidRPr="002B2C64">
              <w:rPr>
                <w:rFonts w:ascii="Book Antiqua" w:eastAsia="Calibri" w:hAnsi="Book Antiqua"/>
                <w:color w:val="auto"/>
                <w:sz w:val="24"/>
                <w:szCs w:val="24"/>
                <w:lang w:val="en-GB" w:eastAsia="pl-PL"/>
              </w:rPr>
              <w:t>&lt;</w:t>
            </w:r>
            <w:r w:rsidR="0094150A"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eastAsia="pl-PL"/>
              </w:rPr>
              <w:t>10)</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0.023</w:t>
            </w:r>
            <w:r w:rsidR="005C2F82" w:rsidRPr="002B2C64">
              <w:rPr>
                <w:rFonts w:ascii="Book Antiqua" w:eastAsia="Calibri" w:hAnsi="Book Antiqua"/>
                <w:color w:val="auto"/>
                <w:sz w:val="24"/>
                <w:szCs w:val="24"/>
                <w:lang w:val="en-GB"/>
              </w:rPr>
              <w:t>a</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0.020</w:t>
            </w:r>
            <w:r w:rsidR="005C2F82" w:rsidRPr="002B2C64">
              <w:rPr>
                <w:rFonts w:ascii="Book Antiqua" w:eastAsia="Calibri" w:hAnsi="Book Antiqua"/>
                <w:color w:val="auto"/>
                <w:sz w:val="24"/>
                <w:szCs w:val="24"/>
                <w:vertAlign w:val="superscript"/>
                <w:lang w:val="en-GB"/>
              </w:rPr>
              <w:t>a</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0.415 (0.193-0.890)</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Lymph node metastasis (yes </w:t>
            </w:r>
            <w:r w:rsidRPr="002B2C64">
              <w:rPr>
                <w:rFonts w:ascii="Book Antiqua" w:eastAsia="Calibri" w:hAnsi="Book Antiqua"/>
                <w:i/>
                <w:iCs/>
                <w:color w:val="auto"/>
                <w:sz w:val="24"/>
                <w:szCs w:val="24"/>
                <w:lang w:val="en-GB"/>
              </w:rPr>
              <w:t xml:space="preserve">vs </w:t>
            </w:r>
            <w:r w:rsidRPr="002B2C64">
              <w:rPr>
                <w:rFonts w:ascii="Book Antiqua" w:eastAsia="Calibri" w:hAnsi="Book Antiqua"/>
                <w:color w:val="auto"/>
                <w:sz w:val="24"/>
                <w:szCs w:val="24"/>
                <w:lang w:val="en-GB"/>
              </w:rPr>
              <w:t>no)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0.145</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0.091 (0.003-2.286)</w:t>
            </w:r>
          </w:p>
        </w:tc>
      </w:tr>
      <w:tr w:rsidR="000A74DA" w:rsidRPr="002B2C64" w:rsidTr="00E46D92">
        <w:tc>
          <w:tcPr>
            <w:tcW w:w="4026" w:type="dxa"/>
          </w:tcPr>
          <w:p w:rsidR="008263A4" w:rsidRPr="002B2C64" w:rsidRDefault="00E46D92"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Type of lymph node metastasis </w:t>
            </w:r>
            <w:r w:rsidR="008263A4" w:rsidRPr="002B2C64">
              <w:rPr>
                <w:rFonts w:ascii="Book Antiqua" w:eastAsia="Calibri" w:hAnsi="Book Antiqua"/>
                <w:color w:val="auto"/>
                <w:sz w:val="24"/>
                <w:szCs w:val="24"/>
                <w:lang w:val="en-GB"/>
              </w:rPr>
              <w:t>(micro</w:t>
            </w:r>
            <w:r w:rsidR="008263A4" w:rsidRPr="002B2C64">
              <w:rPr>
                <w:rFonts w:ascii="Book Antiqua" w:eastAsia="Calibri" w:hAnsi="Book Antiqua"/>
                <w:i/>
                <w:iCs/>
                <w:color w:val="auto"/>
                <w:sz w:val="24"/>
                <w:szCs w:val="24"/>
                <w:lang w:val="en-GB"/>
              </w:rPr>
              <w:t xml:space="preserve"> vs </w:t>
            </w:r>
            <w:r w:rsidR="008263A4" w:rsidRPr="002B2C64">
              <w:rPr>
                <w:rFonts w:ascii="Book Antiqua" w:eastAsia="Calibri" w:hAnsi="Book Antiqua"/>
                <w:color w:val="auto"/>
                <w:sz w:val="24"/>
                <w:szCs w:val="24"/>
                <w:lang w:val="en-GB"/>
              </w:rPr>
              <w:t>macro)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0.256</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0.480 (0.135-1.703)</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Number of metastatic lymph n</w:t>
            </w:r>
            <w:r w:rsidR="00E46D92" w:rsidRPr="002B2C64">
              <w:rPr>
                <w:rFonts w:ascii="Book Antiqua" w:eastAsia="Calibri" w:hAnsi="Book Antiqua"/>
                <w:color w:val="auto"/>
                <w:sz w:val="24"/>
                <w:szCs w:val="24"/>
                <w:lang w:val="en-GB" w:eastAsia="pl-PL"/>
              </w:rPr>
              <w:t xml:space="preserve">odes </w:t>
            </w:r>
            <w:r w:rsidRPr="002B2C64">
              <w:rPr>
                <w:rFonts w:ascii="Book Antiqua" w:eastAsia="Calibri" w:hAnsi="Book Antiqua"/>
                <w:color w:val="auto"/>
                <w:sz w:val="24"/>
                <w:szCs w:val="24"/>
                <w:lang w:val="en-GB" w:eastAsia="pl-PL"/>
              </w:rPr>
              <w:t>(&lt;</w:t>
            </w:r>
            <w:r w:rsidR="0094150A"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eastAsia="pl-PL"/>
              </w:rPr>
              <w:t>5</w:t>
            </w:r>
            <w:r w:rsidRPr="002B2C64">
              <w:rPr>
                <w:rFonts w:ascii="Book Antiqua" w:eastAsia="Calibri" w:hAnsi="Book Antiqua"/>
                <w:i/>
                <w:iCs/>
                <w:color w:val="auto"/>
                <w:sz w:val="24"/>
                <w:szCs w:val="24"/>
                <w:lang w:val="en-GB" w:eastAsia="pl-PL"/>
              </w:rPr>
              <w:t xml:space="preserve"> vs</w:t>
            </w:r>
            <w:r w:rsidRPr="002B2C64">
              <w:rPr>
                <w:rFonts w:ascii="Book Antiqua" w:eastAsia="Calibri" w:hAnsi="Book Antiqua"/>
                <w:color w:val="auto"/>
                <w:sz w:val="24"/>
                <w:szCs w:val="24"/>
                <w:lang w:val="en-GB" w:eastAsia="pl-PL"/>
              </w:rPr>
              <w:t xml:space="preserve"> &gt;</w:t>
            </w:r>
            <w:r w:rsidR="0094150A"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eastAsia="pl-PL"/>
              </w:rPr>
              <w:t>5)</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0.060</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1.768 (0.974-3.201)</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Lymph node pouc</w:t>
            </w:r>
            <w:r w:rsidR="00E46D92" w:rsidRPr="002B2C64">
              <w:rPr>
                <w:rFonts w:ascii="Book Antiqua" w:eastAsia="Calibri" w:hAnsi="Book Antiqua"/>
                <w:color w:val="auto"/>
                <w:sz w:val="24"/>
                <w:szCs w:val="24"/>
                <w:lang w:val="en-GB"/>
              </w:rPr>
              <w:t>h invasion</w:t>
            </w:r>
            <w:r w:rsidR="00E46D92" w:rsidRPr="002B2C64">
              <w:rPr>
                <w:rFonts w:ascii="Book Antiqua" w:hAnsi="Book Antiqua"/>
                <w:color w:val="auto"/>
                <w:sz w:val="24"/>
                <w:szCs w:val="24"/>
                <w:lang w:val="en-GB" w:eastAsia="zh-CN"/>
              </w:rPr>
              <w:t xml:space="preserve"> </w:t>
            </w:r>
            <w:r w:rsidRPr="002B2C64">
              <w:rPr>
                <w:rFonts w:ascii="Book Antiqua" w:eastAsia="Calibri" w:hAnsi="Book Antiqua"/>
                <w:color w:val="auto"/>
                <w:sz w:val="24"/>
                <w:szCs w:val="24"/>
                <w:lang w:val="en-GB"/>
              </w:rPr>
              <w:t xml:space="preserve">(yes </w:t>
            </w:r>
            <w:r w:rsidRPr="002B2C64">
              <w:rPr>
                <w:rFonts w:ascii="Book Antiqua" w:eastAsia="Calibri" w:hAnsi="Book Antiqua"/>
                <w:i/>
                <w:iCs/>
                <w:color w:val="auto"/>
                <w:sz w:val="24"/>
                <w:szCs w:val="24"/>
                <w:lang w:val="en-GB"/>
              </w:rPr>
              <w:t>vs</w:t>
            </w:r>
            <w:r w:rsidRPr="002B2C64">
              <w:rPr>
                <w:rFonts w:ascii="Book Antiqua" w:eastAsia="Calibri" w:hAnsi="Book Antiqua"/>
                <w:color w:val="auto"/>
                <w:sz w:val="24"/>
                <w:szCs w:val="24"/>
                <w:lang w:val="en-GB"/>
              </w:rPr>
              <w:t xml:space="preserve"> no)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0.022</w:t>
            </w:r>
            <w:r w:rsidR="005C2F82" w:rsidRPr="002B2C64">
              <w:rPr>
                <w:rFonts w:ascii="Book Antiqua" w:eastAsia="Calibri" w:hAnsi="Book Antiqua"/>
                <w:color w:val="auto"/>
                <w:sz w:val="24"/>
                <w:szCs w:val="24"/>
                <w:lang w:val="en-GB"/>
              </w:rPr>
              <w:t>a</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0.385</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14.191</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(1.458-138.08)</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eastAsia="pl-PL"/>
              </w:rPr>
              <w:t xml:space="preserve">Distant metastasis (yes </w:t>
            </w:r>
            <w:r w:rsidRPr="002B2C64">
              <w:rPr>
                <w:rFonts w:ascii="Book Antiqua" w:eastAsia="Calibri" w:hAnsi="Book Antiqua"/>
                <w:i/>
                <w:iCs/>
                <w:color w:val="auto"/>
                <w:sz w:val="24"/>
                <w:szCs w:val="24"/>
                <w:lang w:val="en-GB" w:eastAsia="pl-PL"/>
              </w:rPr>
              <w:t>vs</w:t>
            </w:r>
            <w:r w:rsidRPr="002B2C64">
              <w:rPr>
                <w:rFonts w:ascii="Book Antiqua" w:eastAsia="Calibri" w:hAnsi="Book Antiqua"/>
                <w:color w:val="auto"/>
                <w:sz w:val="24"/>
                <w:szCs w:val="24"/>
                <w:lang w:val="en-GB" w:eastAsia="pl-PL"/>
              </w:rPr>
              <w:t xml:space="preserve"> no)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0.847</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1.186 (0.209-6.729)</w:t>
            </w:r>
          </w:p>
        </w:tc>
      </w:tr>
      <w:tr w:rsidR="000A74DA" w:rsidRPr="002B2C64" w:rsidTr="00E46D92">
        <w:tc>
          <w:tcPr>
            <w:tcW w:w="4026" w:type="dxa"/>
          </w:tcPr>
          <w:p w:rsidR="008263A4" w:rsidRPr="002B2C64" w:rsidRDefault="00E46D92"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Distant metastasis size</w:t>
            </w:r>
          </w:p>
          <w:p w:rsidR="008263A4" w:rsidRPr="002B2C64" w:rsidRDefault="008263A4"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(&lt;</w:t>
            </w:r>
            <w:r w:rsidR="0094150A"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eastAsia="pl-PL"/>
              </w:rPr>
              <w:t>10</w:t>
            </w:r>
            <w:r w:rsidRPr="002B2C64">
              <w:rPr>
                <w:rFonts w:ascii="Book Antiqua" w:eastAsia="Calibri" w:hAnsi="Book Antiqua"/>
                <w:i/>
                <w:iCs/>
                <w:color w:val="auto"/>
                <w:sz w:val="24"/>
                <w:szCs w:val="24"/>
                <w:lang w:val="en-GB" w:eastAsia="pl-PL"/>
              </w:rPr>
              <w:t xml:space="preserve"> </w:t>
            </w:r>
            <w:r w:rsidR="00A36390" w:rsidRPr="002B2C64">
              <w:rPr>
                <w:rFonts w:ascii="Book Antiqua" w:eastAsia="Calibri" w:hAnsi="Book Antiqua"/>
                <w:color w:val="auto"/>
                <w:sz w:val="24"/>
                <w:szCs w:val="24"/>
                <w:lang w:val="en-GB" w:eastAsia="pl-PL"/>
              </w:rPr>
              <w:t>mm</w:t>
            </w:r>
            <w:r w:rsidR="00A36390" w:rsidRPr="002B2C64">
              <w:rPr>
                <w:rFonts w:ascii="Book Antiqua" w:eastAsia="Calibri" w:hAnsi="Book Antiqua"/>
                <w:i/>
                <w:iCs/>
                <w:color w:val="auto"/>
                <w:sz w:val="24"/>
                <w:szCs w:val="24"/>
                <w:lang w:val="en-GB" w:eastAsia="pl-PL"/>
              </w:rPr>
              <w:t xml:space="preserve"> </w:t>
            </w:r>
            <w:r w:rsidRPr="002B2C64">
              <w:rPr>
                <w:rFonts w:ascii="Book Antiqua" w:eastAsia="Calibri" w:hAnsi="Book Antiqua"/>
                <w:i/>
                <w:iCs/>
                <w:color w:val="auto"/>
                <w:sz w:val="24"/>
                <w:szCs w:val="24"/>
                <w:lang w:val="en-GB" w:eastAsia="pl-PL"/>
              </w:rPr>
              <w:t>vs</w:t>
            </w:r>
            <w:r w:rsidRPr="002B2C64">
              <w:rPr>
                <w:rFonts w:ascii="Book Antiqua" w:eastAsia="Calibri" w:hAnsi="Book Antiqua"/>
                <w:color w:val="auto"/>
                <w:sz w:val="24"/>
                <w:szCs w:val="24"/>
                <w:lang w:val="en-GB" w:eastAsia="pl-PL"/>
              </w:rPr>
              <w:t xml:space="preserve"> &gt; 10 mm)</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0.333</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0.829 (0.568-1.211)</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lastRenderedPageBreak/>
              <w:t xml:space="preserve">Tumour </w:t>
            </w:r>
            <w:r w:rsidR="00D13F8A" w:rsidRPr="002B2C64">
              <w:rPr>
                <w:rFonts w:ascii="Book Antiqua" w:eastAsia="Calibri" w:hAnsi="Book Antiqua"/>
                <w:color w:val="auto"/>
                <w:sz w:val="24"/>
                <w:szCs w:val="24"/>
                <w:lang w:val="en-GB" w:eastAsia="pl-PL"/>
              </w:rPr>
              <w:t xml:space="preserve">deposits </w:t>
            </w:r>
            <w:r w:rsidRPr="002B2C64">
              <w:rPr>
                <w:rFonts w:ascii="Book Antiqua" w:eastAsia="Calibri" w:hAnsi="Book Antiqua"/>
                <w:color w:val="auto"/>
                <w:sz w:val="24"/>
                <w:szCs w:val="24"/>
                <w:lang w:val="en-GB" w:eastAsia="pl-PL"/>
              </w:rPr>
              <w:t>(yes</w:t>
            </w:r>
            <w:r w:rsidRPr="002B2C64">
              <w:rPr>
                <w:rFonts w:ascii="Book Antiqua" w:eastAsia="Calibri" w:hAnsi="Book Antiqua"/>
                <w:i/>
                <w:iCs/>
                <w:color w:val="auto"/>
                <w:sz w:val="24"/>
                <w:szCs w:val="24"/>
                <w:lang w:val="en-GB" w:eastAsia="pl-PL"/>
              </w:rPr>
              <w:t xml:space="preserve"> vs </w:t>
            </w:r>
            <w:r w:rsidRPr="002B2C64">
              <w:rPr>
                <w:rFonts w:ascii="Book Antiqua" w:eastAsia="Calibri" w:hAnsi="Book Antiqua"/>
                <w:color w:val="auto"/>
                <w:sz w:val="24"/>
                <w:szCs w:val="24"/>
                <w:lang w:val="en-GB" w:eastAsia="pl-PL"/>
              </w:rPr>
              <w:t>no)</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0.074</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1.996 (0.933-4.270)</w:t>
            </w:r>
          </w:p>
        </w:tc>
      </w:tr>
      <w:tr w:rsidR="000A74DA" w:rsidRPr="002B2C64" w:rsidTr="00E46D92">
        <w:tc>
          <w:tcPr>
            <w:tcW w:w="402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Inflammatory cell infiltration in the invasive front (present </w:t>
            </w:r>
            <w:r w:rsidRPr="002B2C64">
              <w:rPr>
                <w:rFonts w:ascii="Book Antiqua" w:eastAsia="Calibri" w:hAnsi="Book Antiqua"/>
                <w:i/>
                <w:iCs/>
                <w:color w:val="auto"/>
                <w:sz w:val="24"/>
                <w:szCs w:val="24"/>
                <w:lang w:val="en-GB"/>
              </w:rPr>
              <w:t xml:space="preserve">vs </w:t>
            </w:r>
            <w:r w:rsidRPr="002B2C64">
              <w:rPr>
                <w:rFonts w:ascii="Book Antiqua" w:eastAsia="Calibri" w:hAnsi="Book Antiqua"/>
                <w:color w:val="auto"/>
                <w:sz w:val="24"/>
                <w:szCs w:val="24"/>
                <w:lang w:val="en-GB"/>
              </w:rPr>
              <w:t>absent)</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0.044</w:t>
            </w:r>
            <w:r w:rsidR="005C2F82" w:rsidRPr="002B2C64">
              <w:rPr>
                <w:rFonts w:ascii="Book Antiqua" w:eastAsia="Calibri" w:hAnsi="Book Antiqua"/>
                <w:color w:val="auto"/>
                <w:sz w:val="24"/>
                <w:szCs w:val="24"/>
                <w:lang w:val="en-GB"/>
              </w:rPr>
              <w:t>a</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0.015</w:t>
            </w:r>
            <w:r w:rsidR="005C2F82" w:rsidRPr="002B2C64">
              <w:rPr>
                <w:rFonts w:ascii="Book Antiqua" w:eastAsia="Calibri" w:hAnsi="Book Antiqua"/>
                <w:color w:val="auto"/>
                <w:sz w:val="24"/>
                <w:szCs w:val="24"/>
                <w:lang w:val="en-GB"/>
              </w:rPr>
              <w:t>a</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1.590 (1.011-2.525)</w:t>
            </w:r>
          </w:p>
        </w:tc>
      </w:tr>
      <w:tr w:rsidR="000A74DA" w:rsidRPr="002B2C64" w:rsidTr="00E46D92">
        <w:tc>
          <w:tcPr>
            <w:tcW w:w="4026" w:type="dxa"/>
            <w:vAlign w:val="center"/>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eastAsia="pl-PL"/>
              </w:rPr>
              <w:t>Monocyte-to-lymphocyte ratio (MLR)</w:t>
            </w:r>
            <w:r w:rsidR="00E46D92" w:rsidRPr="002B2C64">
              <w:rPr>
                <w:rFonts w:ascii="Book Antiqua" w:eastAsia="Calibri" w:hAnsi="Book Antiqua"/>
                <w:color w:val="auto"/>
                <w:sz w:val="24"/>
                <w:szCs w:val="24"/>
                <w:lang w:val="en-GB"/>
              </w:rPr>
              <w:t xml:space="preserve"> before surgery</w:t>
            </w:r>
            <w:r w:rsidR="00E46D92" w:rsidRPr="002B2C64">
              <w:rPr>
                <w:rFonts w:ascii="Book Antiqua" w:hAnsi="Book Antiqua"/>
                <w:color w:val="auto"/>
                <w:sz w:val="24"/>
                <w:szCs w:val="24"/>
                <w:lang w:val="en-GB" w:eastAsia="zh-CN"/>
              </w:rPr>
              <w:t xml:space="preserve"> </w:t>
            </w:r>
            <w:r w:rsidRPr="002B2C64">
              <w:rPr>
                <w:rFonts w:ascii="Book Antiqua" w:eastAsia="Calibri" w:hAnsi="Book Antiqua"/>
                <w:color w:val="auto"/>
                <w:sz w:val="24"/>
                <w:szCs w:val="24"/>
                <w:lang w:val="en-GB"/>
              </w:rPr>
              <w:t>(</w:t>
            </w:r>
            <w:r w:rsidR="00E35775" w:rsidRPr="002B2C64">
              <w:rPr>
                <w:rFonts w:ascii="Book Antiqua" w:eastAsia="Calibri" w:hAnsi="Book Antiqua"/>
                <w:color w:val="auto"/>
                <w:sz w:val="24"/>
                <w:szCs w:val="24"/>
                <w:lang w:val="en-GB"/>
              </w:rPr>
              <w:t>l</w:t>
            </w:r>
            <w:r w:rsidRPr="002B2C64">
              <w:rPr>
                <w:rFonts w:ascii="Book Antiqua" w:eastAsia="Calibri" w:hAnsi="Book Antiqua"/>
                <w:color w:val="auto"/>
                <w:sz w:val="24"/>
                <w:szCs w:val="24"/>
                <w:lang w:val="en-GB"/>
              </w:rPr>
              <w:t>ow</w:t>
            </w:r>
            <w:r w:rsidRPr="002B2C64">
              <w:rPr>
                <w:rFonts w:ascii="Book Antiqua" w:eastAsia="Calibri" w:hAnsi="Book Antiqua"/>
                <w:i/>
                <w:iCs/>
                <w:color w:val="auto"/>
                <w:sz w:val="24"/>
                <w:szCs w:val="24"/>
                <w:lang w:val="en-GB"/>
              </w:rPr>
              <w:t xml:space="preserve"> vs</w:t>
            </w:r>
            <w:r w:rsidRPr="002B2C64">
              <w:rPr>
                <w:rFonts w:ascii="Book Antiqua" w:eastAsia="Calibri" w:hAnsi="Book Antiqua"/>
                <w:color w:val="auto"/>
                <w:sz w:val="24"/>
                <w:szCs w:val="24"/>
                <w:lang w:val="en-GB"/>
              </w:rPr>
              <w:t xml:space="preserve"> </w:t>
            </w:r>
            <w:r w:rsidR="00E35775" w:rsidRPr="002B2C64">
              <w:rPr>
                <w:rFonts w:ascii="Book Antiqua" w:eastAsia="Calibri" w:hAnsi="Book Antiqua"/>
                <w:color w:val="auto"/>
                <w:sz w:val="24"/>
                <w:szCs w:val="24"/>
                <w:lang w:val="en-GB"/>
              </w:rPr>
              <w:t>h</w:t>
            </w:r>
            <w:r w:rsidRPr="002B2C64">
              <w:rPr>
                <w:rFonts w:ascii="Book Antiqua" w:eastAsia="Calibri" w:hAnsi="Book Antiqua"/>
                <w:color w:val="auto"/>
                <w:sz w:val="24"/>
                <w:szCs w:val="24"/>
                <w:lang w:val="en-GB"/>
              </w:rPr>
              <w:t>igh)</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0.015</w:t>
            </w:r>
            <w:r w:rsidR="005C2F82" w:rsidRPr="002B2C64">
              <w:rPr>
                <w:rFonts w:ascii="Book Antiqua" w:eastAsia="Calibri" w:hAnsi="Book Antiqua"/>
                <w:color w:val="auto"/>
                <w:sz w:val="24"/>
                <w:szCs w:val="24"/>
                <w:lang w:val="en-GB"/>
              </w:rPr>
              <w:t>a</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0.214</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2.000 (0.814-5.063)</w:t>
            </w:r>
          </w:p>
        </w:tc>
      </w:tr>
      <w:tr w:rsidR="000A74DA" w:rsidRPr="002B2C64" w:rsidTr="00E46D92">
        <w:tc>
          <w:tcPr>
            <w:tcW w:w="4026" w:type="dxa"/>
            <w:vAlign w:val="center"/>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eastAsia="pl-PL"/>
              </w:rPr>
              <w:t>Monocyte-to-lymphocyte ratio (MLR)</w:t>
            </w:r>
            <w:r w:rsidR="00E46D92" w:rsidRPr="002B2C64">
              <w:rPr>
                <w:rFonts w:ascii="Book Antiqua" w:eastAsia="Calibri" w:hAnsi="Book Antiqua"/>
                <w:color w:val="auto"/>
                <w:sz w:val="24"/>
                <w:szCs w:val="24"/>
                <w:lang w:val="en-GB"/>
              </w:rPr>
              <w:t xml:space="preserve"> after surgery</w:t>
            </w:r>
            <w:r w:rsidR="00E46D92" w:rsidRPr="002B2C64">
              <w:rPr>
                <w:rFonts w:ascii="Book Antiqua" w:hAnsi="Book Antiqua"/>
                <w:color w:val="auto"/>
                <w:sz w:val="24"/>
                <w:szCs w:val="24"/>
                <w:lang w:val="en-GB" w:eastAsia="zh-CN"/>
              </w:rPr>
              <w:t xml:space="preserve"> </w:t>
            </w:r>
            <w:r w:rsidRPr="002B2C64">
              <w:rPr>
                <w:rFonts w:ascii="Book Antiqua" w:eastAsia="Calibri" w:hAnsi="Book Antiqua"/>
                <w:color w:val="auto"/>
                <w:sz w:val="24"/>
                <w:szCs w:val="24"/>
                <w:lang w:val="en-GB"/>
              </w:rPr>
              <w:t>(</w:t>
            </w:r>
            <w:r w:rsidR="00C766BE" w:rsidRPr="002B2C64">
              <w:rPr>
                <w:rFonts w:ascii="Book Antiqua" w:eastAsia="Calibri" w:hAnsi="Book Antiqua"/>
                <w:color w:val="auto"/>
                <w:sz w:val="24"/>
                <w:szCs w:val="24"/>
                <w:lang w:val="en-GB"/>
              </w:rPr>
              <w:t>l</w:t>
            </w:r>
            <w:r w:rsidRPr="002B2C64">
              <w:rPr>
                <w:rFonts w:ascii="Book Antiqua" w:eastAsia="Calibri" w:hAnsi="Book Antiqua"/>
                <w:color w:val="auto"/>
                <w:sz w:val="24"/>
                <w:szCs w:val="24"/>
                <w:lang w:val="en-GB"/>
              </w:rPr>
              <w:t>ow</w:t>
            </w:r>
            <w:r w:rsidRPr="002B2C64">
              <w:rPr>
                <w:rFonts w:ascii="Book Antiqua" w:eastAsia="Calibri" w:hAnsi="Book Antiqua"/>
                <w:i/>
                <w:iCs/>
                <w:color w:val="auto"/>
                <w:sz w:val="24"/>
                <w:szCs w:val="24"/>
                <w:lang w:val="en-GB"/>
              </w:rPr>
              <w:t xml:space="preserve"> vs</w:t>
            </w:r>
            <w:r w:rsidRPr="002B2C64">
              <w:rPr>
                <w:rFonts w:ascii="Book Antiqua" w:eastAsia="Calibri" w:hAnsi="Book Antiqua"/>
                <w:color w:val="auto"/>
                <w:sz w:val="24"/>
                <w:szCs w:val="24"/>
                <w:lang w:val="en-GB"/>
              </w:rPr>
              <w:t xml:space="preserve"> </w:t>
            </w:r>
            <w:r w:rsidR="00C766BE" w:rsidRPr="002B2C64">
              <w:rPr>
                <w:rFonts w:ascii="Book Antiqua" w:eastAsia="Calibri" w:hAnsi="Book Antiqua"/>
                <w:color w:val="auto"/>
                <w:sz w:val="24"/>
                <w:szCs w:val="24"/>
                <w:lang w:val="en-GB"/>
              </w:rPr>
              <w:t>h</w:t>
            </w:r>
            <w:r w:rsidRPr="002B2C64">
              <w:rPr>
                <w:rFonts w:ascii="Book Antiqua" w:eastAsia="Calibri" w:hAnsi="Book Antiqua"/>
                <w:color w:val="auto"/>
                <w:sz w:val="24"/>
                <w:szCs w:val="24"/>
                <w:lang w:val="en-GB"/>
              </w:rPr>
              <w:t>igh)</w:t>
            </w:r>
          </w:p>
        </w:tc>
        <w:tc>
          <w:tcPr>
            <w:tcW w:w="137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0.265</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359"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1.000 (0.265-4.302)</w:t>
            </w:r>
          </w:p>
        </w:tc>
      </w:tr>
    </w:tbl>
    <w:p w:rsidR="008263A4" w:rsidRPr="002B2C64" w:rsidRDefault="00E46D92"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vertAlign w:val="superscript"/>
        </w:rPr>
        <w:t>a</w:t>
      </w:r>
      <w:r w:rsidR="005C0CC6" w:rsidRPr="002B2C64">
        <w:rPr>
          <w:rFonts w:ascii="Book Antiqua" w:hAnsi="Book Antiqua"/>
          <w:i/>
          <w:sz w:val="24"/>
          <w:szCs w:val="24"/>
        </w:rPr>
        <w:t>P</w:t>
      </w:r>
      <w:r w:rsidR="0094150A" w:rsidRPr="002B2C64">
        <w:rPr>
          <w:rFonts w:ascii="Book Antiqua" w:hAnsi="Book Antiqua"/>
          <w:i/>
          <w:sz w:val="24"/>
          <w:szCs w:val="24"/>
        </w:rPr>
        <w:t xml:space="preserve"> </w:t>
      </w:r>
      <w:r w:rsidR="005C0CC6" w:rsidRPr="002B2C64">
        <w:rPr>
          <w:rFonts w:ascii="Book Antiqua" w:hAnsi="Book Antiqua"/>
          <w:sz w:val="24"/>
          <w:szCs w:val="24"/>
        </w:rPr>
        <w:t>&lt;</w:t>
      </w:r>
      <w:r w:rsidR="0094150A" w:rsidRPr="002B2C64">
        <w:rPr>
          <w:rFonts w:ascii="Book Antiqua" w:hAnsi="Book Antiqua"/>
          <w:sz w:val="24"/>
          <w:szCs w:val="24"/>
        </w:rPr>
        <w:t xml:space="preserve"> </w:t>
      </w:r>
      <w:r w:rsidR="005C0CC6" w:rsidRPr="002B2C64">
        <w:rPr>
          <w:rFonts w:ascii="Book Antiqua" w:hAnsi="Book Antiqua"/>
          <w:sz w:val="24"/>
          <w:szCs w:val="24"/>
        </w:rPr>
        <w:t xml:space="preserve">0.05. </w:t>
      </w:r>
      <w:r w:rsidR="005C0CC6" w:rsidRPr="002B2C64">
        <w:rPr>
          <w:rFonts w:ascii="Book Antiqua" w:hAnsi="Book Antiqua"/>
          <w:sz w:val="24"/>
          <w:szCs w:val="24"/>
          <w:lang w:val="en-GB"/>
        </w:rPr>
        <w:t>TN</w:t>
      </w:r>
      <w:r w:rsidR="00172AAC" w:rsidRPr="002B2C64">
        <w:rPr>
          <w:rFonts w:ascii="Book Antiqua" w:hAnsi="Book Antiqua"/>
          <w:sz w:val="24"/>
          <w:szCs w:val="24"/>
          <w:lang w:val="en-GB"/>
        </w:rPr>
        <w:t>M</w:t>
      </w:r>
      <w:r w:rsidR="005C0CC6" w:rsidRPr="002B2C64">
        <w:rPr>
          <w:rFonts w:ascii="Book Antiqua" w:hAnsi="Book Antiqua"/>
          <w:sz w:val="24"/>
          <w:szCs w:val="24"/>
          <w:lang w:val="en-GB"/>
        </w:rPr>
        <w:t xml:space="preserve"> stage: Tumo</w:t>
      </w:r>
      <w:r w:rsidR="009B4998" w:rsidRPr="002B2C64">
        <w:rPr>
          <w:rFonts w:ascii="Book Antiqua" w:hAnsi="Book Antiqua"/>
          <w:sz w:val="24"/>
          <w:szCs w:val="24"/>
          <w:lang w:val="en-GB"/>
        </w:rPr>
        <w:t>u</w:t>
      </w:r>
      <w:r w:rsidR="005C0CC6" w:rsidRPr="002B2C64">
        <w:rPr>
          <w:rFonts w:ascii="Book Antiqua" w:hAnsi="Book Antiqua"/>
          <w:sz w:val="24"/>
          <w:szCs w:val="24"/>
          <w:lang w:val="en-GB"/>
        </w:rPr>
        <w:t xml:space="preserve">r-Node-Metastasis; </w:t>
      </w:r>
      <w:r w:rsidR="005C0CC6" w:rsidRPr="002B2C64">
        <w:rPr>
          <w:rFonts w:ascii="Book Antiqua" w:eastAsia="Calibri" w:hAnsi="Book Antiqua"/>
          <w:color w:val="auto"/>
          <w:sz w:val="24"/>
          <w:szCs w:val="24"/>
          <w:lang w:val="en-GB" w:eastAsia="pl-PL"/>
        </w:rPr>
        <w:t>MLR: Monocyte-to-lymphocyte ratio.</w:t>
      </w:r>
    </w:p>
    <w:p w:rsidR="008263A4" w:rsidRPr="002B2C64" w:rsidRDefault="00043298" w:rsidP="0083105B">
      <w:pPr>
        <w:snapToGrid w:val="0"/>
        <w:spacing w:after="0" w:line="360" w:lineRule="auto"/>
        <w:jc w:val="both"/>
        <w:rPr>
          <w:rFonts w:ascii="Book Antiqua" w:hAnsi="Book Antiqua"/>
          <w:b/>
          <w:sz w:val="24"/>
          <w:szCs w:val="24"/>
          <w:lang w:val="en-GB"/>
        </w:rPr>
      </w:pPr>
      <w:r w:rsidRPr="002B2C64">
        <w:rPr>
          <w:rFonts w:ascii="Book Antiqua" w:hAnsi="Book Antiqua"/>
          <w:b/>
          <w:sz w:val="24"/>
          <w:szCs w:val="24"/>
          <w:lang w:val="en-GB"/>
        </w:rPr>
        <w:br w:type="page"/>
      </w:r>
      <w:r w:rsidR="008263A4" w:rsidRPr="002B2C64">
        <w:rPr>
          <w:rFonts w:ascii="Book Antiqua" w:hAnsi="Book Antiqua"/>
          <w:b/>
          <w:sz w:val="24"/>
          <w:szCs w:val="24"/>
          <w:lang w:val="en-GB"/>
        </w:rPr>
        <w:lastRenderedPageBreak/>
        <w:t>Table 4</w:t>
      </w:r>
      <w:r w:rsidR="008263A4" w:rsidRPr="002B2C64">
        <w:rPr>
          <w:rFonts w:ascii="Book Antiqua" w:hAnsi="Book Antiqua"/>
          <w:b/>
          <w:bCs/>
          <w:sz w:val="24"/>
          <w:szCs w:val="24"/>
          <w:lang w:val="en-GB"/>
        </w:rPr>
        <w:t xml:space="preserve"> Pro</w:t>
      </w:r>
      <w:r w:rsidR="007F784D" w:rsidRPr="002B2C64">
        <w:rPr>
          <w:rFonts w:ascii="Book Antiqua" w:hAnsi="Book Antiqua"/>
          <w:b/>
          <w:bCs/>
          <w:sz w:val="24"/>
          <w:szCs w:val="24"/>
          <w:lang w:val="en-GB"/>
        </w:rPr>
        <w:t>gnostic factors of 5-y</w:t>
      </w:r>
      <w:r w:rsidR="005C0CC6" w:rsidRPr="002B2C64">
        <w:rPr>
          <w:rFonts w:ascii="Book Antiqua" w:hAnsi="Book Antiqua"/>
          <w:b/>
          <w:bCs/>
          <w:sz w:val="24"/>
          <w:szCs w:val="24"/>
          <w:lang w:val="en-GB"/>
        </w:rPr>
        <w:t>r disease-free survival in patients with colorectal cancer</w:t>
      </w:r>
    </w:p>
    <w:tbl>
      <w:tblPr>
        <w:tblW w:w="9209" w:type="dxa"/>
        <w:tblBorders>
          <w:top w:val="single" w:sz="4" w:space="0" w:color="auto"/>
          <w:bottom w:val="single" w:sz="4" w:space="0" w:color="auto"/>
        </w:tblBorders>
        <w:tblLook w:val="04A0" w:firstRow="1" w:lastRow="0" w:firstColumn="1" w:lastColumn="0" w:noHBand="0" w:noVBand="1"/>
      </w:tblPr>
      <w:tblGrid>
        <w:gridCol w:w="3945"/>
        <w:gridCol w:w="1418"/>
        <w:gridCol w:w="1590"/>
        <w:gridCol w:w="2256"/>
      </w:tblGrid>
      <w:tr w:rsidR="000A74DA" w:rsidRPr="002B2C64" w:rsidTr="00E46D92">
        <w:tc>
          <w:tcPr>
            <w:tcW w:w="3945" w:type="dxa"/>
            <w:tcBorders>
              <w:top w:val="single" w:sz="4" w:space="0" w:color="auto"/>
              <w:bottom w:val="single" w:sz="4" w:space="0" w:color="auto"/>
            </w:tcBorders>
          </w:tcPr>
          <w:p w:rsidR="008263A4" w:rsidRPr="002B2C64" w:rsidRDefault="008263A4"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Variables</w:t>
            </w:r>
          </w:p>
        </w:tc>
        <w:tc>
          <w:tcPr>
            <w:tcW w:w="1418" w:type="dxa"/>
            <w:tcBorders>
              <w:top w:val="single" w:sz="4" w:space="0" w:color="auto"/>
              <w:bottom w:val="single" w:sz="4" w:space="0" w:color="auto"/>
            </w:tcBorders>
          </w:tcPr>
          <w:p w:rsidR="008263A4" w:rsidRPr="002B2C64" w:rsidRDefault="00E46D92"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 xml:space="preserve">Univariate </w:t>
            </w:r>
            <w:r w:rsidR="008263A4" w:rsidRPr="002B2C64">
              <w:rPr>
                <w:rFonts w:ascii="Book Antiqua" w:eastAsia="Calibri" w:hAnsi="Book Antiqua"/>
                <w:b/>
                <w:i/>
                <w:iCs/>
                <w:color w:val="auto"/>
                <w:sz w:val="24"/>
                <w:szCs w:val="24"/>
                <w:lang w:val="en-GB"/>
              </w:rPr>
              <w:t>P</w:t>
            </w:r>
            <w:r w:rsidR="008263A4" w:rsidRPr="002B2C64">
              <w:rPr>
                <w:rFonts w:ascii="Book Antiqua" w:eastAsia="Calibri" w:hAnsi="Book Antiqua"/>
                <w:b/>
                <w:color w:val="auto"/>
                <w:sz w:val="24"/>
                <w:szCs w:val="24"/>
                <w:lang w:val="en-GB"/>
              </w:rPr>
              <w:t xml:space="preserve"> value</w:t>
            </w:r>
          </w:p>
        </w:tc>
        <w:tc>
          <w:tcPr>
            <w:tcW w:w="1590" w:type="dxa"/>
            <w:tcBorders>
              <w:top w:val="single" w:sz="4" w:space="0" w:color="auto"/>
              <w:bottom w:val="single" w:sz="4" w:space="0" w:color="auto"/>
            </w:tcBorders>
          </w:tcPr>
          <w:p w:rsidR="008263A4" w:rsidRPr="002B2C64" w:rsidRDefault="008263A4"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Multivari</w:t>
            </w:r>
            <w:r w:rsidR="00E46D92" w:rsidRPr="002B2C64">
              <w:rPr>
                <w:rFonts w:ascii="Book Antiqua" w:eastAsia="Calibri" w:hAnsi="Book Antiqua"/>
                <w:b/>
                <w:color w:val="auto"/>
                <w:sz w:val="24"/>
                <w:szCs w:val="24"/>
                <w:lang w:val="en-GB"/>
              </w:rPr>
              <w:t xml:space="preserve">ate </w:t>
            </w:r>
            <w:r w:rsidRPr="002B2C64">
              <w:rPr>
                <w:rFonts w:ascii="Book Antiqua" w:eastAsia="Calibri" w:hAnsi="Book Antiqua"/>
                <w:b/>
                <w:i/>
                <w:iCs/>
                <w:color w:val="auto"/>
                <w:sz w:val="24"/>
                <w:szCs w:val="24"/>
                <w:lang w:val="en-GB"/>
              </w:rPr>
              <w:t>P</w:t>
            </w:r>
            <w:r w:rsidRPr="002B2C64">
              <w:rPr>
                <w:rFonts w:ascii="Book Antiqua" w:eastAsia="Calibri" w:hAnsi="Book Antiqua"/>
                <w:b/>
                <w:color w:val="auto"/>
                <w:sz w:val="24"/>
                <w:szCs w:val="24"/>
                <w:lang w:val="en-GB"/>
              </w:rPr>
              <w:t xml:space="preserve"> value </w:t>
            </w:r>
          </w:p>
        </w:tc>
        <w:tc>
          <w:tcPr>
            <w:tcW w:w="2256" w:type="dxa"/>
            <w:tcBorders>
              <w:top w:val="single" w:sz="4" w:space="0" w:color="auto"/>
              <w:bottom w:val="single" w:sz="4" w:space="0" w:color="auto"/>
            </w:tcBorders>
          </w:tcPr>
          <w:p w:rsidR="008263A4" w:rsidRPr="002B2C64" w:rsidRDefault="008263A4" w:rsidP="0083105B">
            <w:pPr>
              <w:snapToGrid w:val="0"/>
              <w:spacing w:after="0" w:line="360" w:lineRule="auto"/>
              <w:jc w:val="both"/>
              <w:rPr>
                <w:rFonts w:ascii="Book Antiqua" w:eastAsia="Calibri" w:hAnsi="Book Antiqua"/>
                <w:b/>
                <w:color w:val="auto"/>
                <w:sz w:val="24"/>
                <w:szCs w:val="24"/>
                <w:lang w:val="en-GB"/>
              </w:rPr>
            </w:pPr>
            <w:r w:rsidRPr="002B2C64">
              <w:rPr>
                <w:rFonts w:ascii="Book Antiqua" w:eastAsia="Calibri" w:hAnsi="Book Antiqua"/>
                <w:b/>
                <w:color w:val="auto"/>
                <w:sz w:val="24"/>
                <w:szCs w:val="24"/>
                <w:lang w:val="en-GB"/>
              </w:rPr>
              <w:t>HR (95%CI)</w:t>
            </w:r>
          </w:p>
        </w:tc>
      </w:tr>
      <w:tr w:rsidR="000A74DA" w:rsidRPr="002B2C64" w:rsidTr="00E46D92">
        <w:tc>
          <w:tcPr>
            <w:tcW w:w="3945" w:type="dxa"/>
            <w:tcBorders>
              <w:top w:val="single" w:sz="4" w:space="0" w:color="auto"/>
            </w:tcBorders>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Age</w:t>
            </w:r>
            <w:r w:rsidR="00E46D92" w:rsidRPr="002B2C64">
              <w:rPr>
                <w:rFonts w:ascii="Book Antiqua" w:eastAsia="Calibri" w:hAnsi="Book Antiqua"/>
                <w:color w:val="auto"/>
                <w:sz w:val="24"/>
                <w:szCs w:val="24"/>
                <w:lang w:val="en-GB"/>
              </w:rPr>
              <w:t>,</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 xml:space="preserve">60 </w:t>
            </w:r>
            <w:r w:rsidRPr="002B2C64">
              <w:rPr>
                <w:rFonts w:ascii="Book Antiqua" w:eastAsia="Calibri" w:hAnsi="Book Antiqua"/>
                <w:i/>
                <w:iCs/>
                <w:color w:val="auto"/>
                <w:sz w:val="24"/>
                <w:szCs w:val="24"/>
                <w:lang w:val="en-GB"/>
              </w:rPr>
              <w:t>vs</w:t>
            </w:r>
            <w:r w:rsidRPr="002B2C64">
              <w:rPr>
                <w:rFonts w:ascii="Book Antiqua" w:eastAsia="Calibri" w:hAnsi="Book Antiqua"/>
                <w:color w:val="auto"/>
                <w:sz w:val="24"/>
                <w:szCs w:val="24"/>
                <w:lang w:val="en-GB"/>
              </w:rPr>
              <w:t xml:space="preserve"> ≥</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60</w:t>
            </w:r>
            <w:r w:rsidR="009B4998" w:rsidRPr="002B2C64">
              <w:rPr>
                <w:rFonts w:ascii="Book Antiqua" w:eastAsia="Calibri" w:hAnsi="Book Antiqua"/>
                <w:color w:val="auto"/>
                <w:sz w:val="24"/>
                <w:szCs w:val="24"/>
                <w:lang w:val="en-GB"/>
              </w:rPr>
              <w:t xml:space="preserve"> yr</w:t>
            </w:r>
          </w:p>
        </w:tc>
        <w:tc>
          <w:tcPr>
            <w:tcW w:w="1418" w:type="dxa"/>
            <w:tcBorders>
              <w:top w:val="single" w:sz="4" w:space="0" w:color="auto"/>
            </w:tcBorders>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0.207</w:t>
            </w:r>
          </w:p>
        </w:tc>
        <w:tc>
          <w:tcPr>
            <w:tcW w:w="1590" w:type="dxa"/>
            <w:tcBorders>
              <w:top w:val="single" w:sz="4" w:space="0" w:color="auto"/>
            </w:tcBorders>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Borders>
              <w:top w:val="single" w:sz="4" w:space="0" w:color="auto"/>
            </w:tcBorders>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0.665 (0.325-1.253)</w:t>
            </w:r>
          </w:p>
        </w:tc>
      </w:tr>
      <w:tr w:rsidR="000A74DA" w:rsidRPr="002B2C64" w:rsidTr="00E46D92">
        <w:tc>
          <w:tcPr>
            <w:tcW w:w="3945" w:type="dxa"/>
          </w:tcPr>
          <w:p w:rsidR="008263A4" w:rsidRPr="002B2C64" w:rsidRDefault="00D13F8A"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Sex </w:t>
            </w:r>
            <w:r w:rsidR="008263A4" w:rsidRPr="002B2C64">
              <w:rPr>
                <w:rFonts w:ascii="Book Antiqua" w:eastAsia="Calibri" w:hAnsi="Book Antiqua"/>
                <w:color w:val="auto"/>
                <w:sz w:val="24"/>
                <w:szCs w:val="24"/>
                <w:lang w:val="en-GB"/>
              </w:rPr>
              <w:t>(femal</w:t>
            </w:r>
            <w:r w:rsidR="008263A4" w:rsidRPr="002B2C64">
              <w:rPr>
                <w:rFonts w:ascii="Book Antiqua" w:eastAsia="Calibri" w:hAnsi="Book Antiqua"/>
                <w:i/>
                <w:iCs/>
                <w:color w:val="auto"/>
                <w:sz w:val="24"/>
                <w:szCs w:val="24"/>
                <w:lang w:val="en-GB"/>
              </w:rPr>
              <w:t xml:space="preserve">e vs </w:t>
            </w:r>
            <w:r w:rsidR="008263A4" w:rsidRPr="002B2C64">
              <w:rPr>
                <w:rFonts w:ascii="Book Antiqua" w:eastAsia="Calibri" w:hAnsi="Book Antiqua"/>
                <w:color w:val="auto"/>
                <w:sz w:val="24"/>
                <w:szCs w:val="24"/>
                <w:lang w:val="en-GB"/>
              </w:rPr>
              <w:t>male)</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0.466</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0.982 (0.937-1.030)</w:t>
            </w:r>
          </w:p>
        </w:tc>
      </w:tr>
      <w:tr w:rsidR="000A74DA" w:rsidRPr="002B2C64" w:rsidTr="00E46D92">
        <w:tc>
          <w:tcPr>
            <w:tcW w:w="3945" w:type="dxa"/>
          </w:tcPr>
          <w:p w:rsidR="008263A4" w:rsidRPr="002B2C64" w:rsidRDefault="00E46D92"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Tumour growth</w:t>
            </w:r>
            <w:r w:rsidRPr="002B2C64">
              <w:rPr>
                <w:rFonts w:ascii="Book Antiqua" w:hAnsi="Book Antiqua"/>
                <w:color w:val="auto"/>
                <w:sz w:val="24"/>
                <w:szCs w:val="24"/>
                <w:lang w:val="en-GB" w:eastAsia="zh-CN"/>
              </w:rPr>
              <w:t xml:space="preserve"> </w:t>
            </w:r>
            <w:r w:rsidR="008263A4" w:rsidRPr="002B2C64">
              <w:rPr>
                <w:rFonts w:ascii="Book Antiqua" w:eastAsia="Calibri" w:hAnsi="Book Antiqua"/>
                <w:color w:val="auto"/>
                <w:sz w:val="24"/>
                <w:szCs w:val="24"/>
                <w:lang w:val="en-GB"/>
              </w:rPr>
              <w:t xml:space="preserve">(expanding </w:t>
            </w:r>
            <w:r w:rsidR="008263A4" w:rsidRPr="002B2C64">
              <w:rPr>
                <w:rFonts w:ascii="Book Antiqua" w:eastAsia="Calibri" w:hAnsi="Book Antiqua"/>
                <w:i/>
                <w:iCs/>
                <w:color w:val="auto"/>
                <w:sz w:val="24"/>
                <w:szCs w:val="24"/>
                <w:lang w:val="en-GB"/>
              </w:rPr>
              <w:t>vs</w:t>
            </w:r>
            <w:r w:rsidR="008263A4" w:rsidRPr="002B2C64">
              <w:rPr>
                <w:rFonts w:ascii="Book Antiqua" w:eastAsia="Calibri" w:hAnsi="Book Antiqua"/>
                <w:color w:val="auto"/>
                <w:sz w:val="24"/>
                <w:szCs w:val="24"/>
                <w:lang w:val="en-GB"/>
              </w:rPr>
              <w:t xml:space="preserve"> infiltrate)</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0.815</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1.103 (0.484- 2.514)</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Tumo</w:t>
            </w:r>
            <w:r w:rsidR="00D13F8A" w:rsidRPr="002B2C64">
              <w:rPr>
                <w:rFonts w:ascii="Book Antiqua" w:eastAsia="Calibri" w:hAnsi="Book Antiqua"/>
                <w:color w:val="auto"/>
                <w:sz w:val="24"/>
                <w:szCs w:val="24"/>
                <w:lang w:val="en-GB"/>
              </w:rPr>
              <w:t>u</w:t>
            </w:r>
            <w:r w:rsidR="00E46D92" w:rsidRPr="002B2C64">
              <w:rPr>
                <w:rFonts w:ascii="Book Antiqua" w:eastAsia="Calibri" w:hAnsi="Book Antiqua"/>
                <w:color w:val="auto"/>
                <w:sz w:val="24"/>
                <w:szCs w:val="24"/>
                <w:lang w:val="en-GB"/>
              </w:rPr>
              <w:t>r size</w:t>
            </w:r>
            <w:r w:rsidR="00E46D92" w:rsidRPr="002B2C64">
              <w:rPr>
                <w:rFonts w:ascii="Book Antiqua" w:hAnsi="Book Antiqua"/>
                <w:color w:val="auto"/>
                <w:sz w:val="24"/>
                <w:szCs w:val="24"/>
                <w:lang w:val="en-GB" w:eastAsia="zh-CN"/>
              </w:rPr>
              <w:t xml:space="preserve"> </w:t>
            </w:r>
            <w:r w:rsidRPr="002B2C64">
              <w:rPr>
                <w:rFonts w:ascii="Book Antiqua" w:eastAsia="Calibri" w:hAnsi="Book Antiqua"/>
                <w:color w:val="auto"/>
                <w:sz w:val="24"/>
                <w:szCs w:val="24"/>
                <w:lang w:val="en-GB"/>
              </w:rPr>
              <w:t>(&lt;</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2.5</w:t>
            </w:r>
            <w:r w:rsidR="0094150A" w:rsidRPr="002B2C64">
              <w:rPr>
                <w:rFonts w:ascii="Book Antiqua" w:eastAsia="Calibri" w:hAnsi="Book Antiqua"/>
                <w:color w:val="auto"/>
                <w:sz w:val="24"/>
                <w:szCs w:val="24"/>
                <w:lang w:val="en-GB"/>
              </w:rPr>
              <w:t xml:space="preserve"> </w:t>
            </w:r>
            <w:r w:rsidR="00327DC9" w:rsidRPr="002B2C64">
              <w:rPr>
                <w:rFonts w:ascii="Book Antiqua" w:eastAsia="Calibri" w:hAnsi="Book Antiqua"/>
                <w:color w:val="auto"/>
                <w:sz w:val="24"/>
                <w:szCs w:val="24"/>
                <w:lang w:val="en-GB"/>
              </w:rPr>
              <w:t>cm</w:t>
            </w:r>
            <w:r w:rsidR="00327DC9" w:rsidRPr="002B2C64">
              <w:rPr>
                <w:rFonts w:ascii="Book Antiqua" w:eastAsia="Calibri" w:hAnsi="Book Antiqua"/>
                <w:i/>
                <w:iCs/>
                <w:color w:val="auto"/>
                <w:sz w:val="24"/>
                <w:szCs w:val="24"/>
                <w:lang w:val="en-GB"/>
              </w:rPr>
              <w:t xml:space="preserve"> </w:t>
            </w:r>
            <w:r w:rsidRPr="002B2C64">
              <w:rPr>
                <w:rFonts w:ascii="Book Antiqua" w:eastAsia="Calibri" w:hAnsi="Book Antiqua"/>
                <w:i/>
                <w:iCs/>
                <w:color w:val="auto"/>
                <w:sz w:val="24"/>
                <w:szCs w:val="24"/>
                <w:lang w:val="en-GB"/>
              </w:rPr>
              <w:t xml:space="preserve">vs </w:t>
            </w:r>
            <w:r w:rsidRPr="002B2C64">
              <w:rPr>
                <w:rFonts w:ascii="Book Antiqua" w:eastAsia="Calibri" w:hAnsi="Book Antiqua"/>
                <w:color w:val="auto"/>
                <w:sz w:val="24"/>
                <w:szCs w:val="24"/>
                <w:lang w:val="en-GB"/>
              </w:rPr>
              <w:t xml:space="preserve">2.5-5 </w:t>
            </w:r>
            <w:r w:rsidR="00327DC9" w:rsidRPr="002B2C64">
              <w:rPr>
                <w:rFonts w:ascii="Book Antiqua" w:eastAsia="Calibri" w:hAnsi="Book Antiqua"/>
                <w:color w:val="auto"/>
                <w:sz w:val="24"/>
                <w:szCs w:val="24"/>
                <w:lang w:val="en-GB"/>
              </w:rPr>
              <w:t>cm</w:t>
            </w:r>
            <w:r w:rsidR="00327DC9" w:rsidRPr="002B2C64">
              <w:rPr>
                <w:rFonts w:ascii="Book Antiqua" w:eastAsia="Calibri" w:hAnsi="Book Antiqua"/>
                <w:i/>
                <w:iCs/>
                <w:color w:val="auto"/>
                <w:sz w:val="24"/>
                <w:szCs w:val="24"/>
                <w:lang w:val="en-GB"/>
              </w:rPr>
              <w:t xml:space="preserve"> </w:t>
            </w:r>
            <w:r w:rsidRPr="002B2C64">
              <w:rPr>
                <w:rFonts w:ascii="Book Antiqua" w:eastAsia="Calibri" w:hAnsi="Book Antiqua"/>
                <w:i/>
                <w:iCs/>
                <w:color w:val="auto"/>
                <w:sz w:val="24"/>
                <w:szCs w:val="24"/>
                <w:lang w:val="en-GB"/>
              </w:rPr>
              <w:t xml:space="preserve">vs </w:t>
            </w:r>
            <w:r w:rsidRPr="002B2C64">
              <w:rPr>
                <w:rFonts w:ascii="Book Antiqua" w:eastAsia="Calibri" w:hAnsi="Book Antiqua"/>
                <w:color w:val="auto"/>
                <w:sz w:val="24"/>
                <w:szCs w:val="24"/>
                <w:lang w:val="en-GB"/>
              </w:rPr>
              <w:t>&gt;</w:t>
            </w:r>
            <w:r w:rsidR="00F15682"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5</w:t>
            </w:r>
            <w:r w:rsidR="00327DC9"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cm)</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0.082</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0.613 (0.354-1.064)</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TNM stage (I-IV)</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0.487</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0.919 (0.726-1.164)</w:t>
            </w:r>
          </w:p>
        </w:tc>
      </w:tr>
      <w:tr w:rsidR="000A74DA" w:rsidRPr="002B2C64" w:rsidTr="00E46D92">
        <w:tc>
          <w:tcPr>
            <w:tcW w:w="3945" w:type="dxa"/>
          </w:tcPr>
          <w:p w:rsidR="008263A4" w:rsidRPr="002B2C64" w:rsidRDefault="00E46D92"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Adenocarcinoma type </w:t>
            </w:r>
            <w:r w:rsidR="008263A4" w:rsidRPr="002B2C64">
              <w:rPr>
                <w:rFonts w:ascii="Book Antiqua" w:eastAsia="Calibri" w:hAnsi="Book Antiqua"/>
                <w:color w:val="auto"/>
                <w:sz w:val="24"/>
                <w:szCs w:val="24"/>
                <w:lang w:val="en-GB"/>
              </w:rPr>
              <w:t xml:space="preserve">(nonmucin </w:t>
            </w:r>
            <w:r w:rsidR="008263A4" w:rsidRPr="002B2C64">
              <w:rPr>
                <w:rFonts w:ascii="Book Antiqua" w:eastAsia="Calibri" w:hAnsi="Book Antiqua"/>
                <w:i/>
                <w:iCs/>
                <w:color w:val="auto"/>
                <w:sz w:val="24"/>
                <w:szCs w:val="24"/>
                <w:lang w:val="en-GB"/>
              </w:rPr>
              <w:t>vs</w:t>
            </w:r>
            <w:r w:rsidR="008263A4" w:rsidRPr="002B2C64">
              <w:rPr>
                <w:rFonts w:ascii="Book Antiqua" w:eastAsia="Calibri" w:hAnsi="Book Antiqua"/>
                <w:color w:val="auto"/>
                <w:sz w:val="24"/>
                <w:szCs w:val="24"/>
                <w:lang w:val="en-GB"/>
              </w:rPr>
              <w:t xml:space="preserve"> partim mucin)</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0.701</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1.326 (0.312-5.627)</w:t>
            </w:r>
          </w:p>
        </w:tc>
      </w:tr>
      <w:tr w:rsidR="000A74DA" w:rsidRPr="002B2C64" w:rsidTr="00E46D92">
        <w:tc>
          <w:tcPr>
            <w:tcW w:w="3945" w:type="dxa"/>
          </w:tcPr>
          <w:p w:rsidR="008263A4" w:rsidRPr="002B2C64" w:rsidRDefault="00E46D92" w:rsidP="009B4998">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Grade of malignanc</w:t>
            </w:r>
            <w:r w:rsidR="009B4998" w:rsidRPr="002B2C64">
              <w:rPr>
                <w:rFonts w:ascii="Book Antiqua" w:eastAsia="Calibri" w:hAnsi="Book Antiqua"/>
                <w:color w:val="auto"/>
                <w:sz w:val="24"/>
                <w:szCs w:val="24"/>
                <w:lang w:val="en-GB"/>
              </w:rPr>
              <w:t>y</w:t>
            </w:r>
            <w:r w:rsidRPr="002B2C64">
              <w:rPr>
                <w:rFonts w:ascii="Book Antiqua" w:eastAsia="Calibri" w:hAnsi="Book Antiqua"/>
                <w:color w:val="auto"/>
                <w:sz w:val="24"/>
                <w:szCs w:val="24"/>
                <w:lang w:val="en-GB"/>
              </w:rPr>
              <w:t xml:space="preserve"> </w:t>
            </w:r>
            <w:r w:rsidR="008263A4" w:rsidRPr="002B2C64">
              <w:rPr>
                <w:rFonts w:ascii="Book Antiqua" w:eastAsia="Calibri" w:hAnsi="Book Antiqua"/>
                <w:color w:val="auto"/>
                <w:sz w:val="24"/>
                <w:szCs w:val="24"/>
                <w:lang w:val="en-GB"/>
              </w:rPr>
              <w:t>(2</w:t>
            </w:r>
            <w:r w:rsidR="008263A4" w:rsidRPr="002B2C64">
              <w:rPr>
                <w:rFonts w:ascii="Book Antiqua" w:eastAsia="Calibri" w:hAnsi="Book Antiqua"/>
                <w:i/>
                <w:iCs/>
                <w:color w:val="auto"/>
                <w:sz w:val="24"/>
                <w:szCs w:val="24"/>
                <w:lang w:val="en-GB"/>
              </w:rPr>
              <w:t xml:space="preserve"> vs</w:t>
            </w:r>
            <w:r w:rsidR="0094150A" w:rsidRPr="002B2C64">
              <w:rPr>
                <w:rFonts w:ascii="Book Antiqua" w:eastAsia="Calibri" w:hAnsi="Book Antiqua"/>
                <w:i/>
                <w:iCs/>
                <w:color w:val="auto"/>
                <w:sz w:val="24"/>
                <w:szCs w:val="24"/>
                <w:lang w:val="en-GB"/>
              </w:rPr>
              <w:t xml:space="preserve"> </w:t>
            </w:r>
            <w:r w:rsidR="008263A4" w:rsidRPr="002B2C64">
              <w:rPr>
                <w:rFonts w:ascii="Book Antiqua" w:eastAsia="Calibri" w:hAnsi="Book Antiqua"/>
                <w:color w:val="auto"/>
                <w:sz w:val="24"/>
                <w:szCs w:val="24"/>
                <w:lang w:val="en-GB"/>
              </w:rPr>
              <w:t>3)</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0.489</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0.575 (0.119-2.762)</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Preoperative treatment (yes </w:t>
            </w:r>
            <w:r w:rsidRPr="002B2C64">
              <w:rPr>
                <w:rFonts w:ascii="Book Antiqua" w:eastAsia="Calibri" w:hAnsi="Book Antiqua"/>
                <w:i/>
                <w:iCs/>
                <w:color w:val="auto"/>
                <w:sz w:val="24"/>
                <w:szCs w:val="24"/>
                <w:lang w:val="en-GB"/>
              </w:rPr>
              <w:t>vs</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no)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pT stage (1-4)</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0.074</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1.895 (0.937-3.832)</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Venous invasion (yes </w:t>
            </w:r>
            <w:r w:rsidRPr="002B2C64">
              <w:rPr>
                <w:rFonts w:ascii="Book Antiqua" w:eastAsia="Calibri" w:hAnsi="Book Antiqua"/>
                <w:i/>
                <w:iCs/>
                <w:color w:val="auto"/>
                <w:sz w:val="24"/>
                <w:szCs w:val="24"/>
                <w:lang w:val="en-GB"/>
              </w:rPr>
              <w:t>vs</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no)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0.315</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0.453 (0.096-2.121)</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Lymphatic invasion (yes </w:t>
            </w:r>
            <w:r w:rsidR="0094150A" w:rsidRPr="002B2C64">
              <w:rPr>
                <w:rFonts w:ascii="Book Antiqua" w:eastAsia="Calibri" w:hAnsi="Book Antiqua"/>
                <w:i/>
                <w:iCs/>
                <w:color w:val="auto"/>
                <w:sz w:val="24"/>
                <w:szCs w:val="24"/>
                <w:lang w:val="en-GB"/>
              </w:rPr>
              <w:t>vs</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no)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0.633</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1.486 (0.290-7.599)</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Perineural invasion (yes </w:t>
            </w:r>
            <w:r w:rsidR="0094150A" w:rsidRPr="002B2C64">
              <w:rPr>
                <w:rFonts w:ascii="Book Antiqua" w:eastAsia="Calibri" w:hAnsi="Book Antiqua"/>
                <w:i/>
                <w:iCs/>
                <w:color w:val="auto"/>
                <w:sz w:val="24"/>
                <w:szCs w:val="24"/>
                <w:lang w:val="en-GB"/>
              </w:rPr>
              <w:t>vs</w:t>
            </w:r>
            <w:r w:rsidRPr="002B2C64">
              <w:rPr>
                <w:rFonts w:ascii="Book Antiqua" w:eastAsia="Calibri" w:hAnsi="Book Antiqua"/>
                <w:color w:val="auto"/>
                <w:sz w:val="24"/>
                <w:szCs w:val="24"/>
                <w:lang w:val="en-GB"/>
              </w:rPr>
              <w:t xml:space="preserve"> no)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0.677</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0.776 (0.236-2.552)</w:t>
            </w:r>
          </w:p>
        </w:tc>
      </w:tr>
      <w:tr w:rsidR="000A74DA" w:rsidRPr="002B2C64" w:rsidTr="00E46D92">
        <w:tc>
          <w:tcPr>
            <w:tcW w:w="3945" w:type="dxa"/>
            <w:vAlign w:val="center"/>
          </w:tcPr>
          <w:p w:rsidR="008263A4" w:rsidRPr="002B2C64" w:rsidRDefault="00E46D92" w:rsidP="009B4998">
            <w:pPr>
              <w:widowControl w:val="0"/>
              <w:suppressAutoHyphens/>
              <w:overflowPunct w:val="0"/>
              <w:autoSpaceDE w:val="0"/>
              <w:autoSpaceDN w:val="0"/>
              <w:adjustRightInd w:val="0"/>
              <w:snapToGrid w:val="0"/>
              <w:spacing w:after="0" w:line="360" w:lineRule="auto"/>
              <w:jc w:val="both"/>
              <w:textAlignment w:val="baseline"/>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 xml:space="preserve">Number of lymph nodes </w:t>
            </w:r>
            <w:r w:rsidR="009B4998" w:rsidRPr="002B2C64">
              <w:rPr>
                <w:rFonts w:ascii="Book Antiqua" w:eastAsia="Calibri" w:hAnsi="Book Antiqua"/>
                <w:color w:val="auto"/>
                <w:sz w:val="24"/>
                <w:szCs w:val="24"/>
                <w:lang w:val="en-GB" w:eastAsia="pl-PL"/>
              </w:rPr>
              <w:t xml:space="preserve">removed </w:t>
            </w:r>
            <w:r w:rsidR="008263A4" w:rsidRPr="002B2C64">
              <w:rPr>
                <w:rFonts w:ascii="Book Antiqua" w:eastAsia="Calibri" w:hAnsi="Book Antiqua"/>
                <w:color w:val="auto"/>
                <w:sz w:val="24"/>
                <w:szCs w:val="24"/>
                <w:lang w:val="en-GB" w:eastAsia="pl-PL"/>
              </w:rPr>
              <w:t>(&lt;</w:t>
            </w:r>
            <w:r w:rsidR="00F15682" w:rsidRPr="002B2C64">
              <w:rPr>
                <w:rFonts w:ascii="Book Antiqua" w:eastAsia="Calibri" w:hAnsi="Book Antiqua"/>
                <w:color w:val="auto"/>
                <w:sz w:val="24"/>
                <w:szCs w:val="24"/>
                <w:lang w:val="en-GB" w:eastAsia="pl-PL"/>
              </w:rPr>
              <w:t xml:space="preserve"> </w:t>
            </w:r>
            <w:r w:rsidR="008263A4" w:rsidRPr="002B2C64">
              <w:rPr>
                <w:rFonts w:ascii="Book Antiqua" w:eastAsia="Calibri" w:hAnsi="Book Antiqua"/>
                <w:color w:val="auto"/>
                <w:sz w:val="24"/>
                <w:szCs w:val="24"/>
                <w:lang w:val="en-GB" w:eastAsia="pl-PL"/>
              </w:rPr>
              <w:t>5</w:t>
            </w:r>
            <w:r w:rsidR="0094150A" w:rsidRPr="002B2C64">
              <w:rPr>
                <w:rFonts w:ascii="Book Antiqua" w:eastAsia="Calibri" w:hAnsi="Book Antiqua"/>
                <w:i/>
                <w:iCs/>
                <w:color w:val="auto"/>
                <w:sz w:val="24"/>
                <w:szCs w:val="24"/>
                <w:lang w:val="en-GB"/>
              </w:rPr>
              <w:t xml:space="preserve"> vs</w:t>
            </w:r>
            <w:r w:rsidR="008263A4" w:rsidRPr="002B2C64">
              <w:rPr>
                <w:rFonts w:ascii="Book Antiqua" w:eastAsia="Calibri" w:hAnsi="Book Antiqua"/>
                <w:color w:val="auto"/>
                <w:sz w:val="24"/>
                <w:szCs w:val="24"/>
                <w:lang w:val="en-GB" w:eastAsia="pl-PL"/>
              </w:rPr>
              <w:t xml:space="preserve"> 5-10</w:t>
            </w:r>
            <w:r w:rsidR="0094150A" w:rsidRPr="002B2C64">
              <w:rPr>
                <w:rFonts w:ascii="Book Antiqua" w:eastAsia="Calibri" w:hAnsi="Book Antiqua"/>
                <w:i/>
                <w:iCs/>
                <w:color w:val="auto"/>
                <w:sz w:val="24"/>
                <w:szCs w:val="24"/>
                <w:lang w:val="en-GB"/>
              </w:rPr>
              <w:t xml:space="preserve"> vs</w:t>
            </w:r>
            <w:r w:rsidR="00F15682" w:rsidRPr="002B2C64">
              <w:rPr>
                <w:rFonts w:ascii="Book Antiqua" w:eastAsia="Calibri" w:hAnsi="Book Antiqua"/>
                <w:i/>
                <w:iCs/>
                <w:color w:val="auto"/>
                <w:sz w:val="24"/>
                <w:szCs w:val="24"/>
                <w:lang w:val="en-GB"/>
              </w:rPr>
              <w:t xml:space="preserve"> </w:t>
            </w:r>
            <w:r w:rsidR="008263A4" w:rsidRPr="002B2C64">
              <w:rPr>
                <w:rFonts w:ascii="Book Antiqua" w:eastAsia="Calibri" w:hAnsi="Book Antiqua"/>
                <w:color w:val="auto"/>
                <w:sz w:val="24"/>
                <w:szCs w:val="24"/>
                <w:lang w:val="en-GB" w:eastAsia="pl-PL"/>
              </w:rPr>
              <w:t>&lt;</w:t>
            </w:r>
            <w:r w:rsidR="00F15682" w:rsidRPr="002B2C64">
              <w:rPr>
                <w:rFonts w:ascii="Book Antiqua" w:eastAsia="Calibri" w:hAnsi="Book Antiqua"/>
                <w:color w:val="auto"/>
                <w:sz w:val="24"/>
                <w:szCs w:val="24"/>
                <w:lang w:val="en-GB" w:eastAsia="pl-PL"/>
              </w:rPr>
              <w:t xml:space="preserve"> </w:t>
            </w:r>
            <w:r w:rsidR="008263A4" w:rsidRPr="002B2C64">
              <w:rPr>
                <w:rFonts w:ascii="Book Antiqua" w:eastAsia="Calibri" w:hAnsi="Book Antiqua"/>
                <w:color w:val="auto"/>
                <w:sz w:val="24"/>
                <w:szCs w:val="24"/>
                <w:lang w:val="en-GB" w:eastAsia="pl-PL"/>
              </w:rPr>
              <w:t>10)</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0.140</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1.036 (0.988-1.087)</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Lymph node metastasis (yes </w:t>
            </w:r>
            <w:r w:rsidR="0094150A" w:rsidRPr="002B2C64">
              <w:rPr>
                <w:rFonts w:ascii="Book Antiqua" w:eastAsia="Calibri" w:hAnsi="Book Antiqua"/>
                <w:i/>
                <w:iCs/>
                <w:color w:val="auto"/>
                <w:sz w:val="24"/>
                <w:szCs w:val="24"/>
                <w:lang w:val="en-GB"/>
              </w:rPr>
              <w:t>vs</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no)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0.050</w:t>
            </w:r>
            <w:r w:rsidR="005C2F82" w:rsidRPr="002B2C64">
              <w:rPr>
                <w:rFonts w:ascii="Book Antiqua" w:eastAsia="Calibri" w:hAnsi="Book Antiqua"/>
                <w:color w:val="auto"/>
                <w:sz w:val="24"/>
                <w:szCs w:val="24"/>
                <w:vertAlign w:val="superscript"/>
                <w:lang w:val="en-GB"/>
              </w:rPr>
              <w:t>a</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0.105</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0.813 (0.653-1.013)</w:t>
            </w:r>
          </w:p>
        </w:tc>
      </w:tr>
      <w:tr w:rsidR="000A74DA" w:rsidRPr="002B2C64" w:rsidTr="00E46D92">
        <w:tc>
          <w:tcPr>
            <w:tcW w:w="3945" w:type="dxa"/>
          </w:tcPr>
          <w:p w:rsidR="008263A4" w:rsidRPr="002B2C64" w:rsidRDefault="00E46D92"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Type of lymph node metastasis </w:t>
            </w:r>
            <w:r w:rsidR="008263A4" w:rsidRPr="002B2C64">
              <w:rPr>
                <w:rFonts w:ascii="Book Antiqua" w:eastAsia="Calibri" w:hAnsi="Book Antiqua"/>
                <w:color w:val="auto"/>
                <w:sz w:val="24"/>
                <w:szCs w:val="24"/>
                <w:lang w:val="en-GB"/>
              </w:rPr>
              <w:t>(micro</w:t>
            </w:r>
            <w:r w:rsidR="0094150A" w:rsidRPr="002B2C64">
              <w:rPr>
                <w:rFonts w:ascii="Book Antiqua" w:eastAsia="Calibri" w:hAnsi="Book Antiqua"/>
                <w:i/>
                <w:iCs/>
                <w:color w:val="auto"/>
                <w:sz w:val="24"/>
                <w:szCs w:val="24"/>
                <w:lang w:val="en-GB"/>
              </w:rPr>
              <w:t xml:space="preserve"> vs</w:t>
            </w:r>
            <w:r w:rsidR="0094150A" w:rsidRPr="002B2C64">
              <w:rPr>
                <w:rFonts w:ascii="Book Antiqua" w:eastAsia="Calibri" w:hAnsi="Book Antiqua"/>
                <w:color w:val="auto"/>
                <w:sz w:val="24"/>
                <w:szCs w:val="24"/>
                <w:lang w:val="en-GB"/>
              </w:rPr>
              <w:t xml:space="preserve"> </w:t>
            </w:r>
            <w:r w:rsidR="008263A4" w:rsidRPr="002B2C64">
              <w:rPr>
                <w:rFonts w:ascii="Book Antiqua" w:eastAsia="Calibri" w:hAnsi="Book Antiqua"/>
                <w:color w:val="auto"/>
                <w:sz w:val="24"/>
                <w:szCs w:val="24"/>
                <w:lang w:val="en-GB"/>
              </w:rPr>
              <w:t>macro)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0.369</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0.747 (0.369-1.411)</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Number of metastatic lymph n</w:t>
            </w:r>
            <w:r w:rsidR="00E46D92" w:rsidRPr="002B2C64">
              <w:rPr>
                <w:rFonts w:ascii="Book Antiqua" w:eastAsia="Calibri" w:hAnsi="Book Antiqua"/>
                <w:color w:val="auto"/>
                <w:sz w:val="24"/>
                <w:szCs w:val="24"/>
                <w:lang w:val="en-GB" w:eastAsia="pl-PL"/>
              </w:rPr>
              <w:t xml:space="preserve">odes </w:t>
            </w:r>
            <w:r w:rsidRPr="002B2C64">
              <w:rPr>
                <w:rFonts w:ascii="Book Antiqua" w:eastAsia="Calibri" w:hAnsi="Book Antiqua"/>
                <w:color w:val="auto"/>
                <w:sz w:val="24"/>
                <w:szCs w:val="24"/>
                <w:lang w:val="en-GB" w:eastAsia="pl-PL"/>
              </w:rPr>
              <w:t>(&lt;</w:t>
            </w:r>
            <w:r w:rsidR="00F15682"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eastAsia="pl-PL"/>
              </w:rPr>
              <w:t xml:space="preserve">5 </w:t>
            </w:r>
            <w:r w:rsidR="0094150A" w:rsidRPr="002B2C64">
              <w:rPr>
                <w:rFonts w:ascii="Book Antiqua" w:eastAsia="Calibri" w:hAnsi="Book Antiqua"/>
                <w:i/>
                <w:iCs/>
                <w:color w:val="auto"/>
                <w:sz w:val="24"/>
                <w:szCs w:val="24"/>
                <w:lang w:val="en-GB"/>
              </w:rPr>
              <w:t>vs</w:t>
            </w:r>
            <w:r w:rsidRPr="002B2C64">
              <w:rPr>
                <w:rFonts w:ascii="Book Antiqua" w:eastAsia="Calibri" w:hAnsi="Book Antiqua"/>
                <w:color w:val="auto"/>
                <w:sz w:val="24"/>
                <w:szCs w:val="24"/>
                <w:lang w:val="en-GB" w:eastAsia="pl-PL"/>
              </w:rPr>
              <w:t xml:space="preserve"> &gt;</w:t>
            </w:r>
            <w:r w:rsidR="00F15682" w:rsidRPr="002B2C64">
              <w:rPr>
                <w:rFonts w:ascii="Book Antiqua" w:eastAsia="Calibri" w:hAnsi="Book Antiqua"/>
                <w:color w:val="auto"/>
                <w:sz w:val="24"/>
                <w:szCs w:val="24"/>
                <w:lang w:val="en-GB" w:eastAsia="pl-PL"/>
              </w:rPr>
              <w:t xml:space="preserve"> </w:t>
            </w:r>
            <w:r w:rsidRPr="002B2C64">
              <w:rPr>
                <w:rFonts w:ascii="Book Antiqua" w:eastAsia="Calibri" w:hAnsi="Book Antiqua"/>
                <w:color w:val="auto"/>
                <w:sz w:val="24"/>
                <w:szCs w:val="24"/>
                <w:lang w:val="en-GB" w:eastAsia="pl-PL"/>
              </w:rPr>
              <w:t>5)</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0.806</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1.188 (0.290-4.741)</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Lymph no</w:t>
            </w:r>
            <w:r w:rsidR="00E46D92" w:rsidRPr="002B2C64">
              <w:rPr>
                <w:rFonts w:ascii="Book Antiqua" w:eastAsia="Calibri" w:hAnsi="Book Antiqua"/>
                <w:color w:val="auto"/>
                <w:sz w:val="24"/>
                <w:szCs w:val="24"/>
                <w:lang w:val="en-GB"/>
              </w:rPr>
              <w:t>de pouch invasion</w:t>
            </w:r>
            <w:r w:rsidR="00E46D92" w:rsidRPr="002B2C64">
              <w:rPr>
                <w:rFonts w:ascii="Book Antiqua" w:hAnsi="Book Antiqua"/>
                <w:color w:val="auto"/>
                <w:sz w:val="24"/>
                <w:szCs w:val="24"/>
                <w:lang w:val="en-GB" w:eastAsia="zh-CN"/>
              </w:rPr>
              <w:t xml:space="preserve"> </w:t>
            </w:r>
            <w:r w:rsidRPr="002B2C64">
              <w:rPr>
                <w:rFonts w:ascii="Book Antiqua" w:eastAsia="Calibri" w:hAnsi="Book Antiqua"/>
                <w:color w:val="auto"/>
                <w:sz w:val="24"/>
                <w:szCs w:val="24"/>
                <w:lang w:val="en-GB"/>
              </w:rPr>
              <w:t xml:space="preserve">(yes </w:t>
            </w:r>
            <w:r w:rsidR="0094150A" w:rsidRPr="002B2C64">
              <w:rPr>
                <w:rFonts w:ascii="Book Antiqua" w:eastAsia="Calibri" w:hAnsi="Book Antiqua"/>
                <w:i/>
                <w:iCs/>
                <w:color w:val="auto"/>
                <w:sz w:val="24"/>
                <w:szCs w:val="24"/>
                <w:lang w:val="en-GB"/>
              </w:rPr>
              <w:t>vs</w:t>
            </w:r>
            <w:r w:rsidRPr="002B2C64">
              <w:rPr>
                <w:rFonts w:ascii="Book Antiqua" w:eastAsia="Calibri" w:hAnsi="Book Antiqua"/>
                <w:color w:val="auto"/>
                <w:sz w:val="24"/>
                <w:szCs w:val="24"/>
                <w:lang w:val="en-GB"/>
              </w:rPr>
              <w:t xml:space="preserve"> no)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0.529 </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0.719 (0.257-2.006)</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eastAsia="pl-PL"/>
              </w:rPr>
              <w:t>Distant metastasis (yes</w:t>
            </w:r>
            <w:r w:rsidR="0094150A" w:rsidRPr="002B2C64">
              <w:rPr>
                <w:rFonts w:ascii="Book Antiqua" w:eastAsia="Calibri" w:hAnsi="Book Antiqua"/>
                <w:i/>
                <w:iCs/>
                <w:color w:val="auto"/>
                <w:sz w:val="24"/>
                <w:szCs w:val="24"/>
                <w:lang w:val="en-GB"/>
              </w:rPr>
              <w:t xml:space="preserve"> vs</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eastAsia="pl-PL"/>
              </w:rPr>
              <w:t>no)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0.933</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0.954 (0.324-2.812)</w:t>
            </w:r>
          </w:p>
        </w:tc>
      </w:tr>
      <w:tr w:rsidR="000A74DA" w:rsidRPr="002B2C64" w:rsidTr="00E46D92">
        <w:tc>
          <w:tcPr>
            <w:tcW w:w="3945" w:type="dxa"/>
          </w:tcPr>
          <w:p w:rsidR="008263A4" w:rsidRPr="002B2C64" w:rsidRDefault="00E46D92"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t xml:space="preserve">Distant metastasis size </w:t>
            </w:r>
            <w:r w:rsidR="008263A4" w:rsidRPr="002B2C64">
              <w:rPr>
                <w:rFonts w:ascii="Book Antiqua" w:eastAsia="Calibri" w:hAnsi="Book Antiqua"/>
                <w:color w:val="auto"/>
                <w:sz w:val="24"/>
                <w:szCs w:val="24"/>
                <w:lang w:val="en-GB" w:eastAsia="pl-PL"/>
              </w:rPr>
              <w:t>(&lt;</w:t>
            </w:r>
            <w:r w:rsidR="00F15682" w:rsidRPr="002B2C64">
              <w:rPr>
                <w:rFonts w:ascii="Book Antiqua" w:eastAsia="Calibri" w:hAnsi="Book Antiqua"/>
                <w:color w:val="auto"/>
                <w:sz w:val="24"/>
                <w:szCs w:val="24"/>
                <w:lang w:val="en-GB" w:eastAsia="pl-PL"/>
              </w:rPr>
              <w:t xml:space="preserve"> </w:t>
            </w:r>
            <w:r w:rsidR="008263A4" w:rsidRPr="002B2C64">
              <w:rPr>
                <w:rFonts w:ascii="Book Antiqua" w:eastAsia="Calibri" w:hAnsi="Book Antiqua"/>
                <w:color w:val="auto"/>
                <w:sz w:val="24"/>
                <w:szCs w:val="24"/>
                <w:lang w:val="en-GB" w:eastAsia="pl-PL"/>
              </w:rPr>
              <w:t>10</w:t>
            </w:r>
            <w:r w:rsidR="0094150A" w:rsidRPr="002B2C64">
              <w:rPr>
                <w:rFonts w:ascii="Book Antiqua" w:eastAsia="Calibri" w:hAnsi="Book Antiqua"/>
                <w:i/>
                <w:iCs/>
                <w:color w:val="auto"/>
                <w:sz w:val="24"/>
                <w:szCs w:val="24"/>
                <w:lang w:val="en-GB"/>
              </w:rPr>
              <w:t xml:space="preserve"> </w:t>
            </w:r>
            <w:r w:rsidR="00F45722" w:rsidRPr="002B2C64">
              <w:rPr>
                <w:rFonts w:ascii="Book Antiqua" w:eastAsia="Calibri" w:hAnsi="Book Antiqua"/>
                <w:color w:val="auto"/>
                <w:sz w:val="24"/>
                <w:szCs w:val="24"/>
                <w:lang w:val="en-GB" w:eastAsia="pl-PL"/>
              </w:rPr>
              <w:t>mm</w:t>
            </w:r>
            <w:r w:rsidR="00F45722" w:rsidRPr="002B2C64">
              <w:rPr>
                <w:rFonts w:ascii="Book Antiqua" w:eastAsia="Calibri" w:hAnsi="Book Antiqua"/>
                <w:i/>
                <w:iCs/>
                <w:color w:val="auto"/>
                <w:sz w:val="24"/>
                <w:szCs w:val="24"/>
                <w:lang w:val="en-GB"/>
              </w:rPr>
              <w:t xml:space="preserve"> </w:t>
            </w:r>
            <w:r w:rsidR="0094150A" w:rsidRPr="002B2C64">
              <w:rPr>
                <w:rFonts w:ascii="Book Antiqua" w:eastAsia="Calibri" w:hAnsi="Book Antiqua"/>
                <w:i/>
                <w:iCs/>
                <w:color w:val="auto"/>
                <w:sz w:val="24"/>
                <w:szCs w:val="24"/>
                <w:lang w:val="en-GB"/>
              </w:rPr>
              <w:t>vs</w:t>
            </w:r>
            <w:r w:rsidR="008263A4" w:rsidRPr="002B2C64">
              <w:rPr>
                <w:rFonts w:ascii="Book Antiqua" w:eastAsia="Calibri" w:hAnsi="Book Antiqua"/>
                <w:color w:val="auto"/>
                <w:sz w:val="24"/>
                <w:szCs w:val="24"/>
                <w:lang w:val="en-GB" w:eastAsia="pl-PL"/>
              </w:rPr>
              <w:t xml:space="preserve"> &gt; 10 mm)</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0.371</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1.109 (0.883-1.394)</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eastAsia="pl-PL"/>
              </w:rPr>
            </w:pPr>
            <w:r w:rsidRPr="002B2C64">
              <w:rPr>
                <w:rFonts w:ascii="Book Antiqua" w:eastAsia="Calibri" w:hAnsi="Book Antiqua"/>
                <w:color w:val="auto"/>
                <w:sz w:val="24"/>
                <w:szCs w:val="24"/>
                <w:lang w:val="en-GB" w:eastAsia="pl-PL"/>
              </w:rPr>
              <w:lastRenderedPageBreak/>
              <w:t xml:space="preserve">Tumour </w:t>
            </w:r>
            <w:r w:rsidR="00D13F8A" w:rsidRPr="002B2C64">
              <w:rPr>
                <w:rFonts w:ascii="Book Antiqua" w:eastAsia="Calibri" w:hAnsi="Book Antiqua"/>
                <w:color w:val="auto"/>
                <w:sz w:val="24"/>
                <w:szCs w:val="24"/>
                <w:lang w:val="en-GB" w:eastAsia="pl-PL"/>
              </w:rPr>
              <w:t xml:space="preserve">deposits </w:t>
            </w:r>
            <w:r w:rsidRPr="002B2C64">
              <w:rPr>
                <w:rFonts w:ascii="Book Antiqua" w:eastAsia="Calibri" w:hAnsi="Book Antiqua"/>
                <w:color w:val="auto"/>
                <w:sz w:val="24"/>
                <w:szCs w:val="24"/>
                <w:lang w:val="en-GB" w:eastAsia="pl-PL"/>
              </w:rPr>
              <w:t>(yes</w:t>
            </w:r>
            <w:r w:rsidR="0094150A" w:rsidRPr="002B2C64">
              <w:rPr>
                <w:rFonts w:ascii="Book Antiqua" w:eastAsia="Calibri" w:hAnsi="Book Antiqua"/>
                <w:i/>
                <w:iCs/>
                <w:color w:val="auto"/>
                <w:sz w:val="24"/>
                <w:szCs w:val="24"/>
                <w:lang w:val="en-GB"/>
              </w:rPr>
              <w:t xml:space="preserve"> vs</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eastAsia="pl-PL"/>
              </w:rPr>
              <w:t>no)</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0.536</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1.242 (0.623-2.475)</w:t>
            </w:r>
          </w:p>
        </w:tc>
      </w:tr>
      <w:tr w:rsidR="000A74DA" w:rsidRPr="002B2C64" w:rsidTr="00E46D92">
        <w:tc>
          <w:tcPr>
            <w:tcW w:w="3945"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 xml:space="preserve">Inflammatory cell infiltration in the invasive front (present </w:t>
            </w:r>
            <w:r w:rsidR="0094150A" w:rsidRPr="002B2C64">
              <w:rPr>
                <w:rFonts w:ascii="Book Antiqua" w:eastAsia="Calibri" w:hAnsi="Book Antiqua"/>
                <w:i/>
                <w:iCs/>
                <w:color w:val="auto"/>
                <w:sz w:val="24"/>
                <w:szCs w:val="24"/>
                <w:lang w:val="en-GB"/>
              </w:rPr>
              <w:t>vs</w:t>
            </w:r>
            <w:r w:rsidR="0094150A" w:rsidRPr="002B2C64">
              <w:rPr>
                <w:rFonts w:ascii="Book Antiqua" w:eastAsia="Calibri" w:hAnsi="Book Antiqua"/>
                <w:color w:val="auto"/>
                <w:sz w:val="24"/>
                <w:szCs w:val="24"/>
                <w:lang w:val="en-GB"/>
              </w:rPr>
              <w:t xml:space="preserve"> </w:t>
            </w:r>
            <w:r w:rsidRPr="002B2C64">
              <w:rPr>
                <w:rFonts w:ascii="Book Antiqua" w:eastAsia="Calibri" w:hAnsi="Book Antiqua"/>
                <w:color w:val="auto"/>
                <w:sz w:val="24"/>
                <w:szCs w:val="24"/>
                <w:lang w:val="en-GB"/>
              </w:rPr>
              <w:t>absent)</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0.991</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0.997 (0.642-1.549)</w:t>
            </w:r>
          </w:p>
        </w:tc>
      </w:tr>
      <w:tr w:rsidR="000A74DA" w:rsidRPr="002B2C64" w:rsidTr="00E46D92">
        <w:tc>
          <w:tcPr>
            <w:tcW w:w="3945" w:type="dxa"/>
            <w:vAlign w:val="center"/>
          </w:tcPr>
          <w:p w:rsidR="008263A4" w:rsidRPr="002B2C64" w:rsidRDefault="00E46D92"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eastAsia="pl-PL"/>
              </w:rPr>
              <w:t>Monocyte-to-lymphocyte ratio</w:t>
            </w:r>
            <w:r w:rsidRPr="002B2C64">
              <w:rPr>
                <w:rFonts w:ascii="Book Antiqua" w:eastAsia="Calibri" w:hAnsi="Book Antiqua"/>
                <w:color w:val="auto"/>
                <w:sz w:val="24"/>
                <w:szCs w:val="24"/>
                <w:lang w:val="en-GB"/>
              </w:rPr>
              <w:t xml:space="preserve"> before surgery</w:t>
            </w:r>
            <w:r w:rsidRPr="002B2C64">
              <w:rPr>
                <w:rFonts w:ascii="Book Antiqua" w:hAnsi="Book Antiqua"/>
                <w:color w:val="auto"/>
                <w:sz w:val="24"/>
                <w:szCs w:val="24"/>
                <w:lang w:val="en-GB" w:eastAsia="zh-CN"/>
              </w:rPr>
              <w:t xml:space="preserve"> </w:t>
            </w:r>
            <w:r w:rsidR="008263A4" w:rsidRPr="002B2C64">
              <w:rPr>
                <w:rFonts w:ascii="Book Antiqua" w:eastAsia="Calibri" w:hAnsi="Book Antiqua"/>
                <w:color w:val="auto"/>
                <w:sz w:val="24"/>
                <w:szCs w:val="24"/>
                <w:lang w:val="en-GB"/>
              </w:rPr>
              <w:t>(</w:t>
            </w:r>
            <w:r w:rsidR="00595E69" w:rsidRPr="002B2C64">
              <w:rPr>
                <w:rFonts w:ascii="Book Antiqua" w:eastAsia="Calibri" w:hAnsi="Book Antiqua"/>
                <w:color w:val="auto"/>
                <w:sz w:val="24"/>
                <w:szCs w:val="24"/>
                <w:lang w:val="en-GB"/>
              </w:rPr>
              <w:t>l</w:t>
            </w:r>
            <w:r w:rsidR="008263A4" w:rsidRPr="002B2C64">
              <w:rPr>
                <w:rFonts w:ascii="Book Antiqua" w:eastAsia="Calibri" w:hAnsi="Book Antiqua"/>
                <w:color w:val="auto"/>
                <w:sz w:val="24"/>
                <w:szCs w:val="24"/>
                <w:lang w:val="en-GB"/>
              </w:rPr>
              <w:t xml:space="preserve">ow </w:t>
            </w:r>
            <w:r w:rsidR="0094150A" w:rsidRPr="002B2C64">
              <w:rPr>
                <w:rFonts w:ascii="Book Antiqua" w:eastAsia="Calibri" w:hAnsi="Book Antiqua"/>
                <w:i/>
                <w:iCs/>
                <w:color w:val="auto"/>
                <w:sz w:val="24"/>
                <w:szCs w:val="24"/>
                <w:lang w:val="en-GB"/>
              </w:rPr>
              <w:t>vs</w:t>
            </w:r>
            <w:r w:rsidR="0094150A" w:rsidRPr="002B2C64">
              <w:rPr>
                <w:rFonts w:ascii="Book Antiqua" w:eastAsia="Calibri" w:hAnsi="Book Antiqua"/>
                <w:color w:val="auto"/>
                <w:sz w:val="24"/>
                <w:szCs w:val="24"/>
                <w:lang w:val="en-GB"/>
              </w:rPr>
              <w:t xml:space="preserve"> </w:t>
            </w:r>
            <w:r w:rsidR="00595E69" w:rsidRPr="002B2C64">
              <w:rPr>
                <w:rFonts w:ascii="Book Antiqua" w:eastAsia="Calibri" w:hAnsi="Book Antiqua"/>
                <w:color w:val="auto"/>
                <w:sz w:val="24"/>
                <w:szCs w:val="24"/>
                <w:lang w:val="en-GB"/>
              </w:rPr>
              <w:t>h</w:t>
            </w:r>
            <w:r w:rsidR="008263A4" w:rsidRPr="002B2C64">
              <w:rPr>
                <w:rFonts w:ascii="Book Antiqua" w:eastAsia="Calibri" w:hAnsi="Book Antiqua"/>
                <w:color w:val="auto"/>
                <w:sz w:val="24"/>
                <w:szCs w:val="24"/>
                <w:lang w:val="en-GB"/>
              </w:rPr>
              <w:t>igh)</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0.996</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1.001 (0.548-1.826)</w:t>
            </w:r>
          </w:p>
        </w:tc>
      </w:tr>
      <w:tr w:rsidR="000A74DA" w:rsidRPr="002B2C64" w:rsidTr="00E46D92">
        <w:tc>
          <w:tcPr>
            <w:tcW w:w="3945" w:type="dxa"/>
            <w:vAlign w:val="center"/>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eastAsia="pl-PL"/>
              </w:rPr>
              <w:t>Monocyte-t</w:t>
            </w:r>
            <w:r w:rsidR="00E46D92" w:rsidRPr="002B2C64">
              <w:rPr>
                <w:rFonts w:ascii="Book Antiqua" w:eastAsia="Calibri" w:hAnsi="Book Antiqua"/>
                <w:color w:val="auto"/>
                <w:sz w:val="24"/>
                <w:szCs w:val="24"/>
                <w:lang w:val="en-GB" w:eastAsia="pl-PL"/>
              </w:rPr>
              <w:t>o-lymphocyte ratio</w:t>
            </w:r>
            <w:r w:rsidR="00E46D92" w:rsidRPr="002B2C64">
              <w:rPr>
                <w:rFonts w:ascii="Book Antiqua" w:eastAsia="Calibri" w:hAnsi="Book Antiqua"/>
                <w:color w:val="auto"/>
                <w:sz w:val="24"/>
                <w:szCs w:val="24"/>
                <w:lang w:val="en-GB"/>
              </w:rPr>
              <w:t xml:space="preserve"> after surgery</w:t>
            </w:r>
            <w:r w:rsidR="00E46D92" w:rsidRPr="002B2C64">
              <w:rPr>
                <w:rFonts w:ascii="Book Antiqua" w:hAnsi="Book Antiqua"/>
                <w:color w:val="auto"/>
                <w:sz w:val="24"/>
                <w:szCs w:val="24"/>
                <w:lang w:val="en-GB" w:eastAsia="zh-CN"/>
              </w:rPr>
              <w:t xml:space="preserve"> </w:t>
            </w:r>
            <w:r w:rsidRPr="002B2C64">
              <w:rPr>
                <w:rFonts w:ascii="Book Antiqua" w:eastAsia="Calibri" w:hAnsi="Book Antiqua"/>
                <w:color w:val="auto"/>
                <w:sz w:val="24"/>
                <w:szCs w:val="24"/>
                <w:lang w:val="en-GB"/>
              </w:rPr>
              <w:t>(</w:t>
            </w:r>
            <w:r w:rsidR="00DB00F2" w:rsidRPr="002B2C64">
              <w:rPr>
                <w:rFonts w:ascii="Book Antiqua" w:eastAsia="Calibri" w:hAnsi="Book Antiqua"/>
                <w:color w:val="auto"/>
                <w:sz w:val="24"/>
                <w:szCs w:val="24"/>
                <w:lang w:val="en-GB"/>
              </w:rPr>
              <w:t>l</w:t>
            </w:r>
            <w:r w:rsidRPr="002B2C64">
              <w:rPr>
                <w:rFonts w:ascii="Book Antiqua" w:eastAsia="Calibri" w:hAnsi="Book Antiqua"/>
                <w:color w:val="auto"/>
                <w:sz w:val="24"/>
                <w:szCs w:val="24"/>
                <w:lang w:val="en-GB"/>
              </w:rPr>
              <w:t xml:space="preserve">ow </w:t>
            </w:r>
            <w:r w:rsidR="0094150A" w:rsidRPr="002B2C64">
              <w:rPr>
                <w:rFonts w:ascii="Book Antiqua" w:eastAsia="Calibri" w:hAnsi="Book Antiqua"/>
                <w:i/>
                <w:iCs/>
                <w:color w:val="auto"/>
                <w:sz w:val="24"/>
                <w:szCs w:val="24"/>
                <w:lang w:val="en-GB"/>
              </w:rPr>
              <w:t>vs</w:t>
            </w:r>
            <w:r w:rsidR="0094150A" w:rsidRPr="002B2C64">
              <w:rPr>
                <w:rFonts w:ascii="Book Antiqua" w:eastAsia="Calibri" w:hAnsi="Book Antiqua"/>
                <w:color w:val="auto"/>
                <w:sz w:val="24"/>
                <w:szCs w:val="24"/>
                <w:lang w:val="en-GB"/>
              </w:rPr>
              <w:t xml:space="preserve"> </w:t>
            </w:r>
            <w:r w:rsidR="00DB00F2" w:rsidRPr="002B2C64">
              <w:rPr>
                <w:rFonts w:ascii="Book Antiqua" w:eastAsia="Calibri" w:hAnsi="Book Antiqua"/>
                <w:color w:val="auto"/>
                <w:sz w:val="24"/>
                <w:szCs w:val="24"/>
                <w:lang w:val="en-GB"/>
              </w:rPr>
              <w:t>h</w:t>
            </w:r>
            <w:r w:rsidRPr="002B2C64">
              <w:rPr>
                <w:rFonts w:ascii="Book Antiqua" w:eastAsia="Calibri" w:hAnsi="Book Antiqua"/>
                <w:color w:val="auto"/>
                <w:sz w:val="24"/>
                <w:szCs w:val="24"/>
                <w:lang w:val="en-GB"/>
              </w:rPr>
              <w:t>igh)</w:t>
            </w:r>
          </w:p>
        </w:tc>
        <w:tc>
          <w:tcPr>
            <w:tcW w:w="1418"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0.005</w:t>
            </w:r>
            <w:r w:rsidR="005C2F82" w:rsidRPr="002B2C64">
              <w:rPr>
                <w:rFonts w:ascii="Book Antiqua" w:eastAsia="Calibri" w:hAnsi="Book Antiqua"/>
                <w:color w:val="auto"/>
                <w:sz w:val="24"/>
                <w:szCs w:val="24"/>
                <w:vertAlign w:val="superscript"/>
                <w:lang w:val="en-GB"/>
              </w:rPr>
              <w:t>a</w:t>
            </w:r>
          </w:p>
        </w:tc>
        <w:tc>
          <w:tcPr>
            <w:tcW w:w="1590"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0.034</w:t>
            </w:r>
            <w:r w:rsidR="005C2F82" w:rsidRPr="002B2C64">
              <w:rPr>
                <w:rFonts w:ascii="Book Antiqua" w:eastAsia="Calibri" w:hAnsi="Book Antiqua"/>
                <w:color w:val="auto"/>
                <w:sz w:val="24"/>
                <w:szCs w:val="24"/>
                <w:vertAlign w:val="superscript"/>
                <w:lang w:val="en-GB"/>
              </w:rPr>
              <w:t>a</w:t>
            </w:r>
          </w:p>
        </w:tc>
        <w:tc>
          <w:tcPr>
            <w:tcW w:w="2256" w:type="dxa"/>
          </w:tcPr>
          <w:p w:rsidR="008263A4" w:rsidRPr="002B2C64" w:rsidRDefault="008263A4" w:rsidP="0083105B">
            <w:pPr>
              <w:snapToGrid w:val="0"/>
              <w:spacing w:after="0" w:line="360" w:lineRule="auto"/>
              <w:jc w:val="both"/>
              <w:rPr>
                <w:rFonts w:ascii="Book Antiqua" w:eastAsia="Calibri" w:hAnsi="Book Antiqua"/>
                <w:color w:val="auto"/>
                <w:sz w:val="24"/>
                <w:szCs w:val="24"/>
                <w:lang w:val="en-GB"/>
              </w:rPr>
            </w:pPr>
            <w:r w:rsidRPr="002B2C64">
              <w:rPr>
                <w:rFonts w:ascii="Book Antiqua" w:eastAsia="Calibri" w:hAnsi="Book Antiqua"/>
                <w:color w:val="auto"/>
                <w:sz w:val="24"/>
                <w:szCs w:val="24"/>
                <w:lang w:val="en-GB"/>
              </w:rPr>
              <w:t>2.903 (1.368-6.158)</w:t>
            </w:r>
          </w:p>
        </w:tc>
      </w:tr>
    </w:tbl>
    <w:p w:rsidR="00C36BF8" w:rsidRPr="0083105B" w:rsidRDefault="005C0CC6" w:rsidP="0083105B">
      <w:pPr>
        <w:snapToGrid w:val="0"/>
        <w:spacing w:after="0" w:line="360" w:lineRule="auto"/>
        <w:jc w:val="both"/>
        <w:rPr>
          <w:rFonts w:ascii="Book Antiqua" w:hAnsi="Book Antiqua"/>
          <w:sz w:val="24"/>
          <w:szCs w:val="24"/>
          <w:lang w:val="en-GB"/>
        </w:rPr>
      </w:pPr>
      <w:r w:rsidRPr="002B2C64">
        <w:rPr>
          <w:rFonts w:ascii="Book Antiqua" w:hAnsi="Book Antiqua"/>
          <w:sz w:val="24"/>
          <w:szCs w:val="24"/>
          <w:vertAlign w:val="superscript"/>
        </w:rPr>
        <w:t>a</w:t>
      </w:r>
      <w:r w:rsidRPr="002B2C64">
        <w:rPr>
          <w:rFonts w:ascii="Book Antiqua" w:hAnsi="Book Antiqua"/>
          <w:i/>
          <w:sz w:val="24"/>
          <w:szCs w:val="24"/>
        </w:rPr>
        <w:t>P</w:t>
      </w:r>
      <w:r w:rsidR="0094150A" w:rsidRPr="002B2C64">
        <w:rPr>
          <w:rFonts w:ascii="Book Antiqua" w:hAnsi="Book Antiqua"/>
          <w:i/>
          <w:sz w:val="24"/>
          <w:szCs w:val="24"/>
        </w:rPr>
        <w:t xml:space="preserve"> </w:t>
      </w:r>
      <w:r w:rsidRPr="002B2C64">
        <w:rPr>
          <w:rFonts w:ascii="Book Antiqua" w:hAnsi="Book Antiqua"/>
          <w:sz w:val="24"/>
          <w:szCs w:val="24"/>
        </w:rPr>
        <w:t>&lt;</w:t>
      </w:r>
      <w:r w:rsidR="0094150A" w:rsidRPr="002B2C64">
        <w:rPr>
          <w:rFonts w:ascii="Book Antiqua" w:hAnsi="Book Antiqua"/>
          <w:sz w:val="24"/>
          <w:szCs w:val="24"/>
        </w:rPr>
        <w:t xml:space="preserve"> </w:t>
      </w:r>
      <w:r w:rsidRPr="002B2C64">
        <w:rPr>
          <w:rFonts w:ascii="Book Antiqua" w:hAnsi="Book Antiqua"/>
          <w:sz w:val="24"/>
          <w:szCs w:val="24"/>
        </w:rPr>
        <w:t xml:space="preserve">0.05. </w:t>
      </w:r>
      <w:r w:rsidRPr="002B2C64">
        <w:rPr>
          <w:rFonts w:ascii="Book Antiqua" w:hAnsi="Book Antiqua"/>
          <w:sz w:val="24"/>
          <w:szCs w:val="24"/>
          <w:lang w:val="en-GB"/>
        </w:rPr>
        <w:t>TN</w:t>
      </w:r>
      <w:r w:rsidR="009B4998" w:rsidRPr="002B2C64">
        <w:rPr>
          <w:rFonts w:ascii="Book Antiqua" w:hAnsi="Book Antiqua"/>
          <w:sz w:val="24"/>
          <w:szCs w:val="24"/>
          <w:lang w:val="en-GB"/>
        </w:rPr>
        <w:t>M</w:t>
      </w:r>
      <w:r w:rsidRPr="002B2C64">
        <w:rPr>
          <w:rFonts w:ascii="Book Antiqua" w:hAnsi="Book Antiqua"/>
          <w:sz w:val="24"/>
          <w:szCs w:val="24"/>
          <w:lang w:val="en-GB"/>
        </w:rPr>
        <w:t xml:space="preserve"> stage: Tumo</w:t>
      </w:r>
      <w:r w:rsidR="009B4998" w:rsidRPr="002B2C64">
        <w:rPr>
          <w:rFonts w:ascii="Book Antiqua" w:hAnsi="Book Antiqua"/>
          <w:sz w:val="24"/>
          <w:szCs w:val="24"/>
          <w:lang w:val="en-GB"/>
        </w:rPr>
        <w:t>u</w:t>
      </w:r>
      <w:r w:rsidRPr="002B2C64">
        <w:rPr>
          <w:rFonts w:ascii="Book Antiqua" w:hAnsi="Book Antiqua"/>
          <w:sz w:val="24"/>
          <w:szCs w:val="24"/>
          <w:lang w:val="en-GB"/>
        </w:rPr>
        <w:t xml:space="preserve">r-Node-Metastasis; </w:t>
      </w:r>
      <w:r w:rsidRPr="002B2C64">
        <w:rPr>
          <w:rFonts w:ascii="Book Antiqua" w:eastAsia="Calibri" w:hAnsi="Book Antiqua"/>
          <w:color w:val="auto"/>
          <w:sz w:val="24"/>
          <w:szCs w:val="24"/>
          <w:lang w:val="en-GB" w:eastAsia="pl-PL"/>
        </w:rPr>
        <w:t>MLR: Monocyte-to-lymphocyte ratio.</w:t>
      </w:r>
      <w:bookmarkStart w:id="44" w:name="_GoBack"/>
      <w:bookmarkEnd w:id="44"/>
      <w:r w:rsidRPr="0083105B">
        <w:rPr>
          <w:rFonts w:ascii="Book Antiqua" w:eastAsia="Calibri" w:hAnsi="Book Antiqua"/>
          <w:color w:val="auto"/>
          <w:sz w:val="24"/>
          <w:szCs w:val="24"/>
          <w:lang w:val="en-GB" w:eastAsia="pl-PL"/>
        </w:rPr>
        <w:t xml:space="preserve"> </w:t>
      </w:r>
    </w:p>
    <w:sectPr w:rsidR="00C36BF8" w:rsidRPr="0083105B" w:rsidSect="0083105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ED" w:rsidRDefault="004A04ED" w:rsidP="008428B6">
      <w:pPr>
        <w:spacing w:after="0" w:line="240" w:lineRule="auto"/>
      </w:pPr>
      <w:r>
        <w:separator/>
      </w:r>
    </w:p>
  </w:endnote>
  <w:endnote w:type="continuationSeparator" w:id="0">
    <w:p w:rsidR="004A04ED" w:rsidRDefault="004A04ED" w:rsidP="0084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B1" w:rsidRPr="00F61DB1" w:rsidRDefault="00F61DB1" w:rsidP="00F61DB1">
    <w:pPr>
      <w:pStyle w:val="a8"/>
      <w:jc w:val="right"/>
    </w:pPr>
    <w:r w:rsidRPr="00F61DB1">
      <w:rPr>
        <w:lang w:val="zh-CN" w:eastAsia="zh-CN"/>
      </w:rPr>
      <w:t xml:space="preserve"> </w:t>
    </w:r>
    <w:r w:rsidRPr="00F61DB1">
      <w:rPr>
        <w:bCs/>
        <w:sz w:val="24"/>
        <w:szCs w:val="24"/>
      </w:rPr>
      <w:fldChar w:fldCharType="begin"/>
    </w:r>
    <w:r w:rsidRPr="00F61DB1">
      <w:rPr>
        <w:bCs/>
      </w:rPr>
      <w:instrText>PAGE</w:instrText>
    </w:r>
    <w:r w:rsidRPr="00F61DB1">
      <w:rPr>
        <w:bCs/>
        <w:sz w:val="24"/>
        <w:szCs w:val="24"/>
      </w:rPr>
      <w:fldChar w:fldCharType="separate"/>
    </w:r>
    <w:r w:rsidR="002B2C64">
      <w:rPr>
        <w:bCs/>
        <w:noProof/>
      </w:rPr>
      <w:t>25</w:t>
    </w:r>
    <w:r w:rsidRPr="00F61DB1">
      <w:rPr>
        <w:bCs/>
        <w:sz w:val="24"/>
        <w:szCs w:val="24"/>
      </w:rPr>
      <w:fldChar w:fldCharType="end"/>
    </w:r>
    <w:r w:rsidRPr="00F61DB1">
      <w:rPr>
        <w:lang w:val="zh-CN" w:eastAsia="zh-CN"/>
      </w:rPr>
      <w:t xml:space="preserve"> / </w:t>
    </w:r>
    <w:r w:rsidRPr="00F61DB1">
      <w:rPr>
        <w:bCs/>
        <w:sz w:val="24"/>
        <w:szCs w:val="24"/>
      </w:rPr>
      <w:fldChar w:fldCharType="begin"/>
    </w:r>
    <w:r w:rsidRPr="00F61DB1">
      <w:rPr>
        <w:bCs/>
      </w:rPr>
      <w:instrText>NUMPAGES</w:instrText>
    </w:r>
    <w:r w:rsidRPr="00F61DB1">
      <w:rPr>
        <w:bCs/>
        <w:sz w:val="24"/>
        <w:szCs w:val="24"/>
      </w:rPr>
      <w:fldChar w:fldCharType="separate"/>
    </w:r>
    <w:r w:rsidR="002B2C64">
      <w:rPr>
        <w:bCs/>
        <w:noProof/>
      </w:rPr>
      <w:t>36</w:t>
    </w:r>
    <w:r w:rsidRPr="00F61DB1">
      <w:rPr>
        <w:bCs/>
        <w:sz w:val="24"/>
        <w:szCs w:val="24"/>
      </w:rPr>
      <w:fldChar w:fldCharType="end"/>
    </w:r>
  </w:p>
  <w:p w:rsidR="00CC0188" w:rsidRDefault="00CC01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ED" w:rsidRDefault="004A04ED" w:rsidP="008428B6">
      <w:pPr>
        <w:spacing w:after="0" w:line="240" w:lineRule="auto"/>
      </w:pPr>
      <w:r>
        <w:separator/>
      </w:r>
    </w:p>
  </w:footnote>
  <w:footnote w:type="continuationSeparator" w:id="0">
    <w:p w:rsidR="004A04ED" w:rsidRDefault="004A04ED" w:rsidP="00842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35E8"/>
    <w:multiLevelType w:val="hybridMultilevel"/>
    <w:tmpl w:val="460CC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45717B"/>
    <w:multiLevelType w:val="hybridMultilevel"/>
    <w:tmpl w:val="926CA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DE5956"/>
    <w:multiLevelType w:val="hybridMultilevel"/>
    <w:tmpl w:val="6074B10A"/>
    <w:lvl w:ilvl="0" w:tplc="9F840C68">
      <w:start w:val="66"/>
      <w:numFmt w:val="bullet"/>
      <w:lvlText w:val=""/>
      <w:lvlJc w:val="left"/>
      <w:pPr>
        <w:ind w:left="360" w:hanging="360"/>
      </w:pPr>
      <w:rPr>
        <w:rFonts w:ascii="Wingdings" w:eastAsia="Calibr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F6"/>
    <w:rsid w:val="000000B4"/>
    <w:rsid w:val="00004D2C"/>
    <w:rsid w:val="0001043B"/>
    <w:rsid w:val="000110E9"/>
    <w:rsid w:val="00011133"/>
    <w:rsid w:val="0001114F"/>
    <w:rsid w:val="00012C31"/>
    <w:rsid w:val="00016092"/>
    <w:rsid w:val="000269CC"/>
    <w:rsid w:val="00031F30"/>
    <w:rsid w:val="00035553"/>
    <w:rsid w:val="000360F6"/>
    <w:rsid w:val="000367A7"/>
    <w:rsid w:val="0003717F"/>
    <w:rsid w:val="00041C2A"/>
    <w:rsid w:val="00043141"/>
    <w:rsid w:val="00043298"/>
    <w:rsid w:val="00043329"/>
    <w:rsid w:val="00044246"/>
    <w:rsid w:val="0004553B"/>
    <w:rsid w:val="00047EEB"/>
    <w:rsid w:val="0005086C"/>
    <w:rsid w:val="00052888"/>
    <w:rsid w:val="00057882"/>
    <w:rsid w:val="00062AD0"/>
    <w:rsid w:val="000709CC"/>
    <w:rsid w:val="0008211F"/>
    <w:rsid w:val="00083984"/>
    <w:rsid w:val="000844FC"/>
    <w:rsid w:val="00096C04"/>
    <w:rsid w:val="00096EB6"/>
    <w:rsid w:val="000A3CA9"/>
    <w:rsid w:val="000A5CD5"/>
    <w:rsid w:val="000A74DA"/>
    <w:rsid w:val="000B0892"/>
    <w:rsid w:val="000B14F8"/>
    <w:rsid w:val="000B1635"/>
    <w:rsid w:val="000B61AD"/>
    <w:rsid w:val="000C0279"/>
    <w:rsid w:val="000C3010"/>
    <w:rsid w:val="000C3A39"/>
    <w:rsid w:val="000C5F71"/>
    <w:rsid w:val="000E1B6D"/>
    <w:rsid w:val="000E5008"/>
    <w:rsid w:val="000E7271"/>
    <w:rsid w:val="000F38B9"/>
    <w:rsid w:val="000F41F6"/>
    <w:rsid w:val="000F6183"/>
    <w:rsid w:val="001008F8"/>
    <w:rsid w:val="00101B7E"/>
    <w:rsid w:val="0010278D"/>
    <w:rsid w:val="00104122"/>
    <w:rsid w:val="0010556A"/>
    <w:rsid w:val="00106408"/>
    <w:rsid w:val="00106D54"/>
    <w:rsid w:val="00111517"/>
    <w:rsid w:val="00111827"/>
    <w:rsid w:val="00112A96"/>
    <w:rsid w:val="00113BD8"/>
    <w:rsid w:val="00116578"/>
    <w:rsid w:val="00117093"/>
    <w:rsid w:val="0011768C"/>
    <w:rsid w:val="0011796B"/>
    <w:rsid w:val="00120BAF"/>
    <w:rsid w:val="0012162F"/>
    <w:rsid w:val="00124331"/>
    <w:rsid w:val="0013255F"/>
    <w:rsid w:val="00133627"/>
    <w:rsid w:val="001359B0"/>
    <w:rsid w:val="00136389"/>
    <w:rsid w:val="001364A5"/>
    <w:rsid w:val="001411FF"/>
    <w:rsid w:val="00142022"/>
    <w:rsid w:val="00143D95"/>
    <w:rsid w:val="00145D55"/>
    <w:rsid w:val="00150A8F"/>
    <w:rsid w:val="00153628"/>
    <w:rsid w:val="00154C62"/>
    <w:rsid w:val="001573E1"/>
    <w:rsid w:val="00157C0C"/>
    <w:rsid w:val="00162130"/>
    <w:rsid w:val="00165D08"/>
    <w:rsid w:val="00172AAC"/>
    <w:rsid w:val="00172B8D"/>
    <w:rsid w:val="001777C4"/>
    <w:rsid w:val="001808ED"/>
    <w:rsid w:val="00181F21"/>
    <w:rsid w:val="00184819"/>
    <w:rsid w:val="00184FAF"/>
    <w:rsid w:val="001861D9"/>
    <w:rsid w:val="00190221"/>
    <w:rsid w:val="00191F18"/>
    <w:rsid w:val="00194426"/>
    <w:rsid w:val="0019738E"/>
    <w:rsid w:val="001A26F9"/>
    <w:rsid w:val="001B18B6"/>
    <w:rsid w:val="001B348B"/>
    <w:rsid w:val="001C04FC"/>
    <w:rsid w:val="001C0566"/>
    <w:rsid w:val="001C222A"/>
    <w:rsid w:val="001C333B"/>
    <w:rsid w:val="001C3CDB"/>
    <w:rsid w:val="001D03EC"/>
    <w:rsid w:val="001D2CD0"/>
    <w:rsid w:val="001D43AF"/>
    <w:rsid w:val="001D5A4A"/>
    <w:rsid w:val="001D6095"/>
    <w:rsid w:val="001E20F3"/>
    <w:rsid w:val="001E67CD"/>
    <w:rsid w:val="001E6D6D"/>
    <w:rsid w:val="001F5C7F"/>
    <w:rsid w:val="00200331"/>
    <w:rsid w:val="00203630"/>
    <w:rsid w:val="00203FCB"/>
    <w:rsid w:val="00210BE0"/>
    <w:rsid w:val="00212056"/>
    <w:rsid w:val="00220D39"/>
    <w:rsid w:val="00220F0A"/>
    <w:rsid w:val="002227A3"/>
    <w:rsid w:val="002248AB"/>
    <w:rsid w:val="00224E7E"/>
    <w:rsid w:val="00225640"/>
    <w:rsid w:val="00230677"/>
    <w:rsid w:val="00230F99"/>
    <w:rsid w:val="00233BAB"/>
    <w:rsid w:val="00235733"/>
    <w:rsid w:val="00235860"/>
    <w:rsid w:val="00246489"/>
    <w:rsid w:val="002538A3"/>
    <w:rsid w:val="00257423"/>
    <w:rsid w:val="00261A3E"/>
    <w:rsid w:val="00265244"/>
    <w:rsid w:val="002652C7"/>
    <w:rsid w:val="002802C5"/>
    <w:rsid w:val="00282792"/>
    <w:rsid w:val="002827D4"/>
    <w:rsid w:val="00285E6F"/>
    <w:rsid w:val="00291F1D"/>
    <w:rsid w:val="00293BCD"/>
    <w:rsid w:val="00296112"/>
    <w:rsid w:val="00296998"/>
    <w:rsid w:val="002A05CB"/>
    <w:rsid w:val="002B2C64"/>
    <w:rsid w:val="002B2CC8"/>
    <w:rsid w:val="002B61FA"/>
    <w:rsid w:val="002B73D6"/>
    <w:rsid w:val="002C2D6A"/>
    <w:rsid w:val="002C30F6"/>
    <w:rsid w:val="002C7AF0"/>
    <w:rsid w:val="002D109B"/>
    <w:rsid w:val="002D26B1"/>
    <w:rsid w:val="002D2F6B"/>
    <w:rsid w:val="002D46D2"/>
    <w:rsid w:val="002E412F"/>
    <w:rsid w:val="002E48FB"/>
    <w:rsid w:val="002E56DC"/>
    <w:rsid w:val="002E7E3C"/>
    <w:rsid w:val="002F07B3"/>
    <w:rsid w:val="002F0826"/>
    <w:rsid w:val="002F0844"/>
    <w:rsid w:val="002F772A"/>
    <w:rsid w:val="00301B97"/>
    <w:rsid w:val="00301BC8"/>
    <w:rsid w:val="0031110A"/>
    <w:rsid w:val="00313E41"/>
    <w:rsid w:val="0031633D"/>
    <w:rsid w:val="00316FC1"/>
    <w:rsid w:val="00317F91"/>
    <w:rsid w:val="00320198"/>
    <w:rsid w:val="00320B64"/>
    <w:rsid w:val="00327DA3"/>
    <w:rsid w:val="00327DC9"/>
    <w:rsid w:val="00332308"/>
    <w:rsid w:val="0033245D"/>
    <w:rsid w:val="00332FC0"/>
    <w:rsid w:val="00333826"/>
    <w:rsid w:val="00335F5F"/>
    <w:rsid w:val="00336054"/>
    <w:rsid w:val="00340997"/>
    <w:rsid w:val="00340EC3"/>
    <w:rsid w:val="003425B7"/>
    <w:rsid w:val="00343258"/>
    <w:rsid w:val="00350536"/>
    <w:rsid w:val="003521DD"/>
    <w:rsid w:val="0036212A"/>
    <w:rsid w:val="003661FB"/>
    <w:rsid w:val="00366E61"/>
    <w:rsid w:val="00366E83"/>
    <w:rsid w:val="00367516"/>
    <w:rsid w:val="00372A41"/>
    <w:rsid w:val="00373739"/>
    <w:rsid w:val="00373988"/>
    <w:rsid w:val="003816BE"/>
    <w:rsid w:val="00381C67"/>
    <w:rsid w:val="00384114"/>
    <w:rsid w:val="0039055D"/>
    <w:rsid w:val="00392F95"/>
    <w:rsid w:val="00394F64"/>
    <w:rsid w:val="003953E7"/>
    <w:rsid w:val="003962A4"/>
    <w:rsid w:val="00397FC2"/>
    <w:rsid w:val="003A118B"/>
    <w:rsid w:val="003A3369"/>
    <w:rsid w:val="003A454F"/>
    <w:rsid w:val="003A4712"/>
    <w:rsid w:val="003A63F6"/>
    <w:rsid w:val="003A72B6"/>
    <w:rsid w:val="003B2240"/>
    <w:rsid w:val="003B7720"/>
    <w:rsid w:val="003C09E3"/>
    <w:rsid w:val="003C1FA7"/>
    <w:rsid w:val="003D35FD"/>
    <w:rsid w:val="003D3C6E"/>
    <w:rsid w:val="003D4414"/>
    <w:rsid w:val="003D67CC"/>
    <w:rsid w:val="003D7C99"/>
    <w:rsid w:val="003E1239"/>
    <w:rsid w:val="003E1F54"/>
    <w:rsid w:val="003E3F53"/>
    <w:rsid w:val="003E52BA"/>
    <w:rsid w:val="003E5745"/>
    <w:rsid w:val="003F2A20"/>
    <w:rsid w:val="003F42E2"/>
    <w:rsid w:val="003F72C9"/>
    <w:rsid w:val="00401FE2"/>
    <w:rsid w:val="00404A0B"/>
    <w:rsid w:val="004178C7"/>
    <w:rsid w:val="00420670"/>
    <w:rsid w:val="00427243"/>
    <w:rsid w:val="0043085F"/>
    <w:rsid w:val="00430B71"/>
    <w:rsid w:val="00430F67"/>
    <w:rsid w:val="004319B5"/>
    <w:rsid w:val="00431E4E"/>
    <w:rsid w:val="00455C69"/>
    <w:rsid w:val="00462061"/>
    <w:rsid w:val="00470656"/>
    <w:rsid w:val="00470B1F"/>
    <w:rsid w:val="004737D5"/>
    <w:rsid w:val="004748D9"/>
    <w:rsid w:val="0047500A"/>
    <w:rsid w:val="0047567F"/>
    <w:rsid w:val="004769D7"/>
    <w:rsid w:val="00480A3E"/>
    <w:rsid w:val="00485F9C"/>
    <w:rsid w:val="0048650F"/>
    <w:rsid w:val="00490960"/>
    <w:rsid w:val="00492ED5"/>
    <w:rsid w:val="004931C6"/>
    <w:rsid w:val="00495BB2"/>
    <w:rsid w:val="00496315"/>
    <w:rsid w:val="00496EC8"/>
    <w:rsid w:val="00497915"/>
    <w:rsid w:val="004A04ED"/>
    <w:rsid w:val="004A136B"/>
    <w:rsid w:val="004A178E"/>
    <w:rsid w:val="004A2AD0"/>
    <w:rsid w:val="004A42BE"/>
    <w:rsid w:val="004A6326"/>
    <w:rsid w:val="004A76D4"/>
    <w:rsid w:val="004B32F0"/>
    <w:rsid w:val="004B4726"/>
    <w:rsid w:val="004B575C"/>
    <w:rsid w:val="004B5FAF"/>
    <w:rsid w:val="004B670E"/>
    <w:rsid w:val="004C0467"/>
    <w:rsid w:val="004C333A"/>
    <w:rsid w:val="004C3BEB"/>
    <w:rsid w:val="004C4604"/>
    <w:rsid w:val="004C75E1"/>
    <w:rsid w:val="004D0E14"/>
    <w:rsid w:val="004D326A"/>
    <w:rsid w:val="004D4A60"/>
    <w:rsid w:val="004E0336"/>
    <w:rsid w:val="004E1655"/>
    <w:rsid w:val="004E1736"/>
    <w:rsid w:val="004E76D6"/>
    <w:rsid w:val="004F10AA"/>
    <w:rsid w:val="004F5A6F"/>
    <w:rsid w:val="004F5E36"/>
    <w:rsid w:val="00501A69"/>
    <w:rsid w:val="00503220"/>
    <w:rsid w:val="00504CC9"/>
    <w:rsid w:val="00505212"/>
    <w:rsid w:val="0051533B"/>
    <w:rsid w:val="005163C3"/>
    <w:rsid w:val="005258CC"/>
    <w:rsid w:val="00525AED"/>
    <w:rsid w:val="00533315"/>
    <w:rsid w:val="005341B7"/>
    <w:rsid w:val="00535914"/>
    <w:rsid w:val="00547CA8"/>
    <w:rsid w:val="0055101D"/>
    <w:rsid w:val="00553691"/>
    <w:rsid w:val="0055721B"/>
    <w:rsid w:val="00565BF3"/>
    <w:rsid w:val="00566A21"/>
    <w:rsid w:val="00570F88"/>
    <w:rsid w:val="00571C68"/>
    <w:rsid w:val="005723EE"/>
    <w:rsid w:val="005763DB"/>
    <w:rsid w:val="0058418A"/>
    <w:rsid w:val="0059042F"/>
    <w:rsid w:val="00593375"/>
    <w:rsid w:val="005954D3"/>
    <w:rsid w:val="005958F9"/>
    <w:rsid w:val="00595E69"/>
    <w:rsid w:val="005A225D"/>
    <w:rsid w:val="005A2D9C"/>
    <w:rsid w:val="005A68B1"/>
    <w:rsid w:val="005A78CA"/>
    <w:rsid w:val="005A7D3E"/>
    <w:rsid w:val="005B22EB"/>
    <w:rsid w:val="005B2E97"/>
    <w:rsid w:val="005B530A"/>
    <w:rsid w:val="005B6941"/>
    <w:rsid w:val="005B7579"/>
    <w:rsid w:val="005C0277"/>
    <w:rsid w:val="005C086E"/>
    <w:rsid w:val="005C0CC6"/>
    <w:rsid w:val="005C2843"/>
    <w:rsid w:val="005C2F82"/>
    <w:rsid w:val="005C3A71"/>
    <w:rsid w:val="005C5986"/>
    <w:rsid w:val="005C6BD4"/>
    <w:rsid w:val="005D0F0A"/>
    <w:rsid w:val="005D2CC2"/>
    <w:rsid w:val="005D4F0A"/>
    <w:rsid w:val="005E15C8"/>
    <w:rsid w:val="005E2223"/>
    <w:rsid w:val="005E660E"/>
    <w:rsid w:val="005F1E5D"/>
    <w:rsid w:val="005F32BA"/>
    <w:rsid w:val="00602498"/>
    <w:rsid w:val="006033D5"/>
    <w:rsid w:val="00604ACA"/>
    <w:rsid w:val="00607689"/>
    <w:rsid w:val="00612FD3"/>
    <w:rsid w:val="0061493E"/>
    <w:rsid w:val="00616D32"/>
    <w:rsid w:val="00623DBD"/>
    <w:rsid w:val="00625098"/>
    <w:rsid w:val="00627F69"/>
    <w:rsid w:val="006350C9"/>
    <w:rsid w:val="00635F4C"/>
    <w:rsid w:val="0064350A"/>
    <w:rsid w:val="006450DA"/>
    <w:rsid w:val="00645AC3"/>
    <w:rsid w:val="006501B4"/>
    <w:rsid w:val="00651870"/>
    <w:rsid w:val="00651BEE"/>
    <w:rsid w:val="00653B33"/>
    <w:rsid w:val="00655E32"/>
    <w:rsid w:val="00657390"/>
    <w:rsid w:val="00657AB1"/>
    <w:rsid w:val="0066034A"/>
    <w:rsid w:val="00662CC4"/>
    <w:rsid w:val="00662F15"/>
    <w:rsid w:val="00670181"/>
    <w:rsid w:val="00673748"/>
    <w:rsid w:val="00673CD2"/>
    <w:rsid w:val="0067459B"/>
    <w:rsid w:val="00675E29"/>
    <w:rsid w:val="0068236B"/>
    <w:rsid w:val="00683E52"/>
    <w:rsid w:val="00685533"/>
    <w:rsid w:val="006A130F"/>
    <w:rsid w:val="006A1A84"/>
    <w:rsid w:val="006A3FFA"/>
    <w:rsid w:val="006A6118"/>
    <w:rsid w:val="006A66D5"/>
    <w:rsid w:val="006A7EFA"/>
    <w:rsid w:val="006B0F91"/>
    <w:rsid w:val="006B1AD5"/>
    <w:rsid w:val="006B2B54"/>
    <w:rsid w:val="006B72F1"/>
    <w:rsid w:val="006C025B"/>
    <w:rsid w:val="006C0534"/>
    <w:rsid w:val="006C1D72"/>
    <w:rsid w:val="006C29EE"/>
    <w:rsid w:val="006C5C5C"/>
    <w:rsid w:val="006C613B"/>
    <w:rsid w:val="006D0E01"/>
    <w:rsid w:val="006D10A2"/>
    <w:rsid w:val="006D3432"/>
    <w:rsid w:val="006D6850"/>
    <w:rsid w:val="006D6F84"/>
    <w:rsid w:val="006E2E96"/>
    <w:rsid w:val="006E4151"/>
    <w:rsid w:val="006E718A"/>
    <w:rsid w:val="006F0451"/>
    <w:rsid w:val="006F0634"/>
    <w:rsid w:val="006F2720"/>
    <w:rsid w:val="006F2CAE"/>
    <w:rsid w:val="006F546B"/>
    <w:rsid w:val="006F603F"/>
    <w:rsid w:val="006F6673"/>
    <w:rsid w:val="006F797A"/>
    <w:rsid w:val="007001AF"/>
    <w:rsid w:val="00701815"/>
    <w:rsid w:val="00702AF3"/>
    <w:rsid w:val="00704234"/>
    <w:rsid w:val="00712E0A"/>
    <w:rsid w:val="007204AD"/>
    <w:rsid w:val="00721940"/>
    <w:rsid w:val="00722CCA"/>
    <w:rsid w:val="00723B3F"/>
    <w:rsid w:val="00733F5E"/>
    <w:rsid w:val="00735B31"/>
    <w:rsid w:val="00736534"/>
    <w:rsid w:val="00736B69"/>
    <w:rsid w:val="007373B7"/>
    <w:rsid w:val="00741EB0"/>
    <w:rsid w:val="00742BF3"/>
    <w:rsid w:val="007520E8"/>
    <w:rsid w:val="007528F5"/>
    <w:rsid w:val="00754C8B"/>
    <w:rsid w:val="00754FAB"/>
    <w:rsid w:val="00755E22"/>
    <w:rsid w:val="00756890"/>
    <w:rsid w:val="0075775E"/>
    <w:rsid w:val="007607E9"/>
    <w:rsid w:val="00761971"/>
    <w:rsid w:val="007631FD"/>
    <w:rsid w:val="007709A7"/>
    <w:rsid w:val="00770A86"/>
    <w:rsid w:val="00771AE7"/>
    <w:rsid w:val="00771FC6"/>
    <w:rsid w:val="007732C7"/>
    <w:rsid w:val="00773D89"/>
    <w:rsid w:val="007814DF"/>
    <w:rsid w:val="00781722"/>
    <w:rsid w:val="0078299A"/>
    <w:rsid w:val="007845E5"/>
    <w:rsid w:val="007857A2"/>
    <w:rsid w:val="00786A74"/>
    <w:rsid w:val="0079079C"/>
    <w:rsid w:val="00792A2B"/>
    <w:rsid w:val="00794276"/>
    <w:rsid w:val="00795A6B"/>
    <w:rsid w:val="007A199D"/>
    <w:rsid w:val="007A5673"/>
    <w:rsid w:val="007B2B07"/>
    <w:rsid w:val="007B74CB"/>
    <w:rsid w:val="007C3139"/>
    <w:rsid w:val="007C4718"/>
    <w:rsid w:val="007C4FED"/>
    <w:rsid w:val="007C5D8E"/>
    <w:rsid w:val="007D0BEA"/>
    <w:rsid w:val="007D1B88"/>
    <w:rsid w:val="007D244D"/>
    <w:rsid w:val="007D387F"/>
    <w:rsid w:val="007D3A56"/>
    <w:rsid w:val="007D43E0"/>
    <w:rsid w:val="007D6515"/>
    <w:rsid w:val="007E06A6"/>
    <w:rsid w:val="007E36F2"/>
    <w:rsid w:val="007E49A9"/>
    <w:rsid w:val="007E6D84"/>
    <w:rsid w:val="007F6F06"/>
    <w:rsid w:val="007F784D"/>
    <w:rsid w:val="007F7C42"/>
    <w:rsid w:val="008015E8"/>
    <w:rsid w:val="00804897"/>
    <w:rsid w:val="00804E19"/>
    <w:rsid w:val="00805A5A"/>
    <w:rsid w:val="00810E63"/>
    <w:rsid w:val="008126F2"/>
    <w:rsid w:val="00815F91"/>
    <w:rsid w:val="00816526"/>
    <w:rsid w:val="0081799C"/>
    <w:rsid w:val="008217A9"/>
    <w:rsid w:val="008263A4"/>
    <w:rsid w:val="008267E9"/>
    <w:rsid w:val="0083105B"/>
    <w:rsid w:val="00832A28"/>
    <w:rsid w:val="0083476E"/>
    <w:rsid w:val="00836CD3"/>
    <w:rsid w:val="00840CDE"/>
    <w:rsid w:val="008428B6"/>
    <w:rsid w:val="00846066"/>
    <w:rsid w:val="00847F3C"/>
    <w:rsid w:val="00871287"/>
    <w:rsid w:val="0087211B"/>
    <w:rsid w:val="00872791"/>
    <w:rsid w:val="008740F9"/>
    <w:rsid w:val="008755C5"/>
    <w:rsid w:val="00876627"/>
    <w:rsid w:val="0088049F"/>
    <w:rsid w:val="00880E8C"/>
    <w:rsid w:val="0088184B"/>
    <w:rsid w:val="00881B87"/>
    <w:rsid w:val="00885498"/>
    <w:rsid w:val="008858F0"/>
    <w:rsid w:val="008861F6"/>
    <w:rsid w:val="00891126"/>
    <w:rsid w:val="00891659"/>
    <w:rsid w:val="00891CEB"/>
    <w:rsid w:val="00893155"/>
    <w:rsid w:val="008979B0"/>
    <w:rsid w:val="008A120D"/>
    <w:rsid w:val="008A42A8"/>
    <w:rsid w:val="008A696F"/>
    <w:rsid w:val="008A74FE"/>
    <w:rsid w:val="008B01B9"/>
    <w:rsid w:val="008B15FF"/>
    <w:rsid w:val="008B2F5F"/>
    <w:rsid w:val="008B3731"/>
    <w:rsid w:val="008B5398"/>
    <w:rsid w:val="008C18D1"/>
    <w:rsid w:val="008C19B2"/>
    <w:rsid w:val="008C1DD4"/>
    <w:rsid w:val="008C69FC"/>
    <w:rsid w:val="008D4390"/>
    <w:rsid w:val="008D4876"/>
    <w:rsid w:val="008D73BA"/>
    <w:rsid w:val="008E17D8"/>
    <w:rsid w:val="008E4A04"/>
    <w:rsid w:val="008E74BD"/>
    <w:rsid w:val="008F4DC6"/>
    <w:rsid w:val="008F5CE5"/>
    <w:rsid w:val="008F6F47"/>
    <w:rsid w:val="00902AB2"/>
    <w:rsid w:val="00904625"/>
    <w:rsid w:val="00907300"/>
    <w:rsid w:val="00907D4E"/>
    <w:rsid w:val="009119E4"/>
    <w:rsid w:val="009151D7"/>
    <w:rsid w:val="00915AE3"/>
    <w:rsid w:val="00917046"/>
    <w:rsid w:val="00921A3C"/>
    <w:rsid w:val="00922B2F"/>
    <w:rsid w:val="00922E18"/>
    <w:rsid w:val="00923D6E"/>
    <w:rsid w:val="00926856"/>
    <w:rsid w:val="0092692C"/>
    <w:rsid w:val="00926D7E"/>
    <w:rsid w:val="00926FB6"/>
    <w:rsid w:val="009315D3"/>
    <w:rsid w:val="009316E1"/>
    <w:rsid w:val="009336B6"/>
    <w:rsid w:val="00936704"/>
    <w:rsid w:val="009372D1"/>
    <w:rsid w:val="0094150A"/>
    <w:rsid w:val="00941839"/>
    <w:rsid w:val="00943406"/>
    <w:rsid w:val="00944229"/>
    <w:rsid w:val="00946F3B"/>
    <w:rsid w:val="00950237"/>
    <w:rsid w:val="00950D2D"/>
    <w:rsid w:val="00952949"/>
    <w:rsid w:val="009531AC"/>
    <w:rsid w:val="00957F20"/>
    <w:rsid w:val="0096024B"/>
    <w:rsid w:val="00970A03"/>
    <w:rsid w:val="00972645"/>
    <w:rsid w:val="00982FB4"/>
    <w:rsid w:val="0098416A"/>
    <w:rsid w:val="00985799"/>
    <w:rsid w:val="0098725F"/>
    <w:rsid w:val="00987CA3"/>
    <w:rsid w:val="009902E7"/>
    <w:rsid w:val="00991755"/>
    <w:rsid w:val="0099280E"/>
    <w:rsid w:val="00994655"/>
    <w:rsid w:val="00996011"/>
    <w:rsid w:val="009A02B6"/>
    <w:rsid w:val="009B20B1"/>
    <w:rsid w:val="009B4998"/>
    <w:rsid w:val="009B66AD"/>
    <w:rsid w:val="009C2BAB"/>
    <w:rsid w:val="009C55FC"/>
    <w:rsid w:val="009C5714"/>
    <w:rsid w:val="009D4C3A"/>
    <w:rsid w:val="009E0312"/>
    <w:rsid w:val="009E4737"/>
    <w:rsid w:val="009E49E1"/>
    <w:rsid w:val="009F1552"/>
    <w:rsid w:val="009F30F8"/>
    <w:rsid w:val="009F31BF"/>
    <w:rsid w:val="009F3BCF"/>
    <w:rsid w:val="009F3E55"/>
    <w:rsid w:val="009F4ED7"/>
    <w:rsid w:val="009F54CF"/>
    <w:rsid w:val="009F5F4C"/>
    <w:rsid w:val="009F7DA1"/>
    <w:rsid w:val="00A04AEA"/>
    <w:rsid w:val="00A05528"/>
    <w:rsid w:val="00A05850"/>
    <w:rsid w:val="00A12F64"/>
    <w:rsid w:val="00A13BC6"/>
    <w:rsid w:val="00A15E8A"/>
    <w:rsid w:val="00A2053B"/>
    <w:rsid w:val="00A2599F"/>
    <w:rsid w:val="00A32F2E"/>
    <w:rsid w:val="00A36390"/>
    <w:rsid w:val="00A42268"/>
    <w:rsid w:val="00A46872"/>
    <w:rsid w:val="00A47F2A"/>
    <w:rsid w:val="00A503DE"/>
    <w:rsid w:val="00A5144A"/>
    <w:rsid w:val="00A5199C"/>
    <w:rsid w:val="00A51D0E"/>
    <w:rsid w:val="00A531AF"/>
    <w:rsid w:val="00A54B48"/>
    <w:rsid w:val="00A55E81"/>
    <w:rsid w:val="00A60FDA"/>
    <w:rsid w:val="00A623F9"/>
    <w:rsid w:val="00A626E3"/>
    <w:rsid w:val="00A62BDD"/>
    <w:rsid w:val="00A65054"/>
    <w:rsid w:val="00A65729"/>
    <w:rsid w:val="00A70E16"/>
    <w:rsid w:val="00A7572B"/>
    <w:rsid w:val="00A76D1C"/>
    <w:rsid w:val="00A800B9"/>
    <w:rsid w:val="00A815DB"/>
    <w:rsid w:val="00A83D1A"/>
    <w:rsid w:val="00A90FAF"/>
    <w:rsid w:val="00A92E94"/>
    <w:rsid w:val="00AA38B0"/>
    <w:rsid w:val="00AA3E1C"/>
    <w:rsid w:val="00AB2717"/>
    <w:rsid w:val="00AB44CD"/>
    <w:rsid w:val="00AB5E46"/>
    <w:rsid w:val="00AB7D6C"/>
    <w:rsid w:val="00AC049B"/>
    <w:rsid w:val="00AC07A4"/>
    <w:rsid w:val="00AC1E4C"/>
    <w:rsid w:val="00AC7D1C"/>
    <w:rsid w:val="00AD0C0E"/>
    <w:rsid w:val="00AD2549"/>
    <w:rsid w:val="00AD4017"/>
    <w:rsid w:val="00AD4116"/>
    <w:rsid w:val="00AD799C"/>
    <w:rsid w:val="00AE026D"/>
    <w:rsid w:val="00AE2562"/>
    <w:rsid w:val="00AE3365"/>
    <w:rsid w:val="00AE3833"/>
    <w:rsid w:val="00AE4A63"/>
    <w:rsid w:val="00AE528E"/>
    <w:rsid w:val="00AF0CDB"/>
    <w:rsid w:val="00AF0D65"/>
    <w:rsid w:val="00AF4132"/>
    <w:rsid w:val="00AF7D47"/>
    <w:rsid w:val="00B02586"/>
    <w:rsid w:val="00B030E7"/>
    <w:rsid w:val="00B0502D"/>
    <w:rsid w:val="00B05CDB"/>
    <w:rsid w:val="00B10D7D"/>
    <w:rsid w:val="00B1631A"/>
    <w:rsid w:val="00B21D74"/>
    <w:rsid w:val="00B22CBD"/>
    <w:rsid w:val="00B3131A"/>
    <w:rsid w:val="00B347B5"/>
    <w:rsid w:val="00B3575C"/>
    <w:rsid w:val="00B41FC6"/>
    <w:rsid w:val="00B44C23"/>
    <w:rsid w:val="00B512E9"/>
    <w:rsid w:val="00B53CE1"/>
    <w:rsid w:val="00B5467C"/>
    <w:rsid w:val="00B553EB"/>
    <w:rsid w:val="00B554BA"/>
    <w:rsid w:val="00B57C31"/>
    <w:rsid w:val="00B604C5"/>
    <w:rsid w:val="00B677EA"/>
    <w:rsid w:val="00B715FF"/>
    <w:rsid w:val="00B74997"/>
    <w:rsid w:val="00B75068"/>
    <w:rsid w:val="00B809DF"/>
    <w:rsid w:val="00B81A08"/>
    <w:rsid w:val="00B8251D"/>
    <w:rsid w:val="00B82691"/>
    <w:rsid w:val="00B83545"/>
    <w:rsid w:val="00B83DA6"/>
    <w:rsid w:val="00B84375"/>
    <w:rsid w:val="00B919E6"/>
    <w:rsid w:val="00B9541A"/>
    <w:rsid w:val="00BA10BA"/>
    <w:rsid w:val="00BA2521"/>
    <w:rsid w:val="00BB1337"/>
    <w:rsid w:val="00BB220E"/>
    <w:rsid w:val="00BB5FCD"/>
    <w:rsid w:val="00BB7B1B"/>
    <w:rsid w:val="00BC2B06"/>
    <w:rsid w:val="00BC3725"/>
    <w:rsid w:val="00BC582F"/>
    <w:rsid w:val="00BD0165"/>
    <w:rsid w:val="00BD31E3"/>
    <w:rsid w:val="00BD63D9"/>
    <w:rsid w:val="00BE1453"/>
    <w:rsid w:val="00BE5980"/>
    <w:rsid w:val="00BE7A3C"/>
    <w:rsid w:val="00BF13D9"/>
    <w:rsid w:val="00BF249C"/>
    <w:rsid w:val="00BF59E5"/>
    <w:rsid w:val="00C01E90"/>
    <w:rsid w:val="00C02802"/>
    <w:rsid w:val="00C03B7B"/>
    <w:rsid w:val="00C05B1C"/>
    <w:rsid w:val="00C05FCC"/>
    <w:rsid w:val="00C0747D"/>
    <w:rsid w:val="00C11E88"/>
    <w:rsid w:val="00C15401"/>
    <w:rsid w:val="00C165AC"/>
    <w:rsid w:val="00C16E8E"/>
    <w:rsid w:val="00C2090F"/>
    <w:rsid w:val="00C20EF0"/>
    <w:rsid w:val="00C221F2"/>
    <w:rsid w:val="00C22597"/>
    <w:rsid w:val="00C23E00"/>
    <w:rsid w:val="00C248C6"/>
    <w:rsid w:val="00C252AF"/>
    <w:rsid w:val="00C25D3F"/>
    <w:rsid w:val="00C267DC"/>
    <w:rsid w:val="00C31BA9"/>
    <w:rsid w:val="00C32B3C"/>
    <w:rsid w:val="00C34747"/>
    <w:rsid w:val="00C35609"/>
    <w:rsid w:val="00C35B1E"/>
    <w:rsid w:val="00C36595"/>
    <w:rsid w:val="00C3675E"/>
    <w:rsid w:val="00C36BF8"/>
    <w:rsid w:val="00C37326"/>
    <w:rsid w:val="00C42B78"/>
    <w:rsid w:val="00C513E5"/>
    <w:rsid w:val="00C51E82"/>
    <w:rsid w:val="00C55917"/>
    <w:rsid w:val="00C61C57"/>
    <w:rsid w:val="00C61F4B"/>
    <w:rsid w:val="00C633E3"/>
    <w:rsid w:val="00C639EE"/>
    <w:rsid w:val="00C72152"/>
    <w:rsid w:val="00C73615"/>
    <w:rsid w:val="00C74360"/>
    <w:rsid w:val="00C743B0"/>
    <w:rsid w:val="00C766BE"/>
    <w:rsid w:val="00C77362"/>
    <w:rsid w:val="00C86E5C"/>
    <w:rsid w:val="00C9645D"/>
    <w:rsid w:val="00C96A88"/>
    <w:rsid w:val="00CA6120"/>
    <w:rsid w:val="00CA6278"/>
    <w:rsid w:val="00CA7B70"/>
    <w:rsid w:val="00CB0B0E"/>
    <w:rsid w:val="00CC0188"/>
    <w:rsid w:val="00CC09C9"/>
    <w:rsid w:val="00CC6BBA"/>
    <w:rsid w:val="00CC79E5"/>
    <w:rsid w:val="00CD16D6"/>
    <w:rsid w:val="00CD170B"/>
    <w:rsid w:val="00CD20DC"/>
    <w:rsid w:val="00CD3EAC"/>
    <w:rsid w:val="00CD4522"/>
    <w:rsid w:val="00CD5EF4"/>
    <w:rsid w:val="00CD62A5"/>
    <w:rsid w:val="00CE0B13"/>
    <w:rsid w:val="00CE0F0C"/>
    <w:rsid w:val="00CF1FB7"/>
    <w:rsid w:val="00CF5832"/>
    <w:rsid w:val="00CF7C1D"/>
    <w:rsid w:val="00D01251"/>
    <w:rsid w:val="00D04486"/>
    <w:rsid w:val="00D04779"/>
    <w:rsid w:val="00D0619E"/>
    <w:rsid w:val="00D13F8A"/>
    <w:rsid w:val="00D16386"/>
    <w:rsid w:val="00D2163B"/>
    <w:rsid w:val="00D23118"/>
    <w:rsid w:val="00D239E9"/>
    <w:rsid w:val="00D244E9"/>
    <w:rsid w:val="00D26E47"/>
    <w:rsid w:val="00D344A6"/>
    <w:rsid w:val="00D378CA"/>
    <w:rsid w:val="00D40CF6"/>
    <w:rsid w:val="00D420C4"/>
    <w:rsid w:val="00D45318"/>
    <w:rsid w:val="00D4539F"/>
    <w:rsid w:val="00D46B1A"/>
    <w:rsid w:val="00D46ECD"/>
    <w:rsid w:val="00D51EF4"/>
    <w:rsid w:val="00D61286"/>
    <w:rsid w:val="00D624C6"/>
    <w:rsid w:val="00D650E6"/>
    <w:rsid w:val="00D66499"/>
    <w:rsid w:val="00D679A0"/>
    <w:rsid w:val="00D705BD"/>
    <w:rsid w:val="00D70F4B"/>
    <w:rsid w:val="00D720C3"/>
    <w:rsid w:val="00D73369"/>
    <w:rsid w:val="00D76009"/>
    <w:rsid w:val="00D80EDF"/>
    <w:rsid w:val="00D81E36"/>
    <w:rsid w:val="00D92401"/>
    <w:rsid w:val="00D955E2"/>
    <w:rsid w:val="00D96631"/>
    <w:rsid w:val="00D970FD"/>
    <w:rsid w:val="00D97617"/>
    <w:rsid w:val="00DA082B"/>
    <w:rsid w:val="00DA18DE"/>
    <w:rsid w:val="00DA1B06"/>
    <w:rsid w:val="00DA3B64"/>
    <w:rsid w:val="00DB00F2"/>
    <w:rsid w:val="00DB16F5"/>
    <w:rsid w:val="00DB22C6"/>
    <w:rsid w:val="00DB2F6C"/>
    <w:rsid w:val="00DC4656"/>
    <w:rsid w:val="00DC4CD2"/>
    <w:rsid w:val="00DC514D"/>
    <w:rsid w:val="00DC54A1"/>
    <w:rsid w:val="00DC7399"/>
    <w:rsid w:val="00DC74D5"/>
    <w:rsid w:val="00DD0B0A"/>
    <w:rsid w:val="00DD0ECF"/>
    <w:rsid w:val="00DD16E5"/>
    <w:rsid w:val="00DE0015"/>
    <w:rsid w:val="00DE3251"/>
    <w:rsid w:val="00DE4F6E"/>
    <w:rsid w:val="00DE57EF"/>
    <w:rsid w:val="00DE6EB8"/>
    <w:rsid w:val="00DF78CA"/>
    <w:rsid w:val="00E01DF8"/>
    <w:rsid w:val="00E0476D"/>
    <w:rsid w:val="00E12D4C"/>
    <w:rsid w:val="00E15B91"/>
    <w:rsid w:val="00E16684"/>
    <w:rsid w:val="00E17C11"/>
    <w:rsid w:val="00E217E4"/>
    <w:rsid w:val="00E224D6"/>
    <w:rsid w:val="00E25124"/>
    <w:rsid w:val="00E263FC"/>
    <w:rsid w:val="00E27DE1"/>
    <w:rsid w:val="00E31868"/>
    <w:rsid w:val="00E34B67"/>
    <w:rsid w:val="00E35775"/>
    <w:rsid w:val="00E357CE"/>
    <w:rsid w:val="00E35A7F"/>
    <w:rsid w:val="00E37FEC"/>
    <w:rsid w:val="00E40469"/>
    <w:rsid w:val="00E4490F"/>
    <w:rsid w:val="00E44D28"/>
    <w:rsid w:val="00E45650"/>
    <w:rsid w:val="00E46D92"/>
    <w:rsid w:val="00E51D7A"/>
    <w:rsid w:val="00E5723C"/>
    <w:rsid w:val="00E63059"/>
    <w:rsid w:val="00E668F0"/>
    <w:rsid w:val="00E74A07"/>
    <w:rsid w:val="00E83643"/>
    <w:rsid w:val="00E84D3C"/>
    <w:rsid w:val="00E84DF2"/>
    <w:rsid w:val="00E94271"/>
    <w:rsid w:val="00E94460"/>
    <w:rsid w:val="00E95E11"/>
    <w:rsid w:val="00E97D86"/>
    <w:rsid w:val="00EA0B81"/>
    <w:rsid w:val="00EA4B85"/>
    <w:rsid w:val="00EA5CA5"/>
    <w:rsid w:val="00EA6F56"/>
    <w:rsid w:val="00EA7DEA"/>
    <w:rsid w:val="00EB3F05"/>
    <w:rsid w:val="00EB4916"/>
    <w:rsid w:val="00EB6984"/>
    <w:rsid w:val="00EB722B"/>
    <w:rsid w:val="00EC27C4"/>
    <w:rsid w:val="00EC7EDD"/>
    <w:rsid w:val="00ED220E"/>
    <w:rsid w:val="00ED35ED"/>
    <w:rsid w:val="00ED4F2D"/>
    <w:rsid w:val="00EE4969"/>
    <w:rsid w:val="00EE54F4"/>
    <w:rsid w:val="00EE5C80"/>
    <w:rsid w:val="00EF1831"/>
    <w:rsid w:val="00EF1E83"/>
    <w:rsid w:val="00EF2923"/>
    <w:rsid w:val="00EF55BF"/>
    <w:rsid w:val="00EF598B"/>
    <w:rsid w:val="00EF6F01"/>
    <w:rsid w:val="00F00F07"/>
    <w:rsid w:val="00F01E65"/>
    <w:rsid w:val="00F02B21"/>
    <w:rsid w:val="00F04A34"/>
    <w:rsid w:val="00F15682"/>
    <w:rsid w:val="00F158C3"/>
    <w:rsid w:val="00F16A84"/>
    <w:rsid w:val="00F20402"/>
    <w:rsid w:val="00F25971"/>
    <w:rsid w:val="00F26A07"/>
    <w:rsid w:val="00F31661"/>
    <w:rsid w:val="00F32BF6"/>
    <w:rsid w:val="00F405F1"/>
    <w:rsid w:val="00F40704"/>
    <w:rsid w:val="00F41CD7"/>
    <w:rsid w:val="00F45722"/>
    <w:rsid w:val="00F45876"/>
    <w:rsid w:val="00F476AC"/>
    <w:rsid w:val="00F537C2"/>
    <w:rsid w:val="00F545EB"/>
    <w:rsid w:val="00F55D49"/>
    <w:rsid w:val="00F56A76"/>
    <w:rsid w:val="00F573CD"/>
    <w:rsid w:val="00F60626"/>
    <w:rsid w:val="00F61DB1"/>
    <w:rsid w:val="00F6316C"/>
    <w:rsid w:val="00F6410D"/>
    <w:rsid w:val="00F65132"/>
    <w:rsid w:val="00F66268"/>
    <w:rsid w:val="00F66A5E"/>
    <w:rsid w:val="00F70884"/>
    <w:rsid w:val="00F7171B"/>
    <w:rsid w:val="00F73E41"/>
    <w:rsid w:val="00F75176"/>
    <w:rsid w:val="00F80B97"/>
    <w:rsid w:val="00F84B20"/>
    <w:rsid w:val="00F86093"/>
    <w:rsid w:val="00F87172"/>
    <w:rsid w:val="00F87A5D"/>
    <w:rsid w:val="00F90724"/>
    <w:rsid w:val="00F90A2A"/>
    <w:rsid w:val="00F916A0"/>
    <w:rsid w:val="00FA1128"/>
    <w:rsid w:val="00FA1FA9"/>
    <w:rsid w:val="00FA4A40"/>
    <w:rsid w:val="00FA4B4E"/>
    <w:rsid w:val="00FB0E0B"/>
    <w:rsid w:val="00FC15F7"/>
    <w:rsid w:val="00FC3509"/>
    <w:rsid w:val="00FC61DF"/>
    <w:rsid w:val="00FC6B9D"/>
    <w:rsid w:val="00FD2342"/>
    <w:rsid w:val="00FD445C"/>
    <w:rsid w:val="00FE0F23"/>
    <w:rsid w:val="00FE1358"/>
    <w:rsid w:val="00FE2801"/>
    <w:rsid w:val="00FE7768"/>
    <w:rsid w:val="00FF1A93"/>
    <w:rsid w:val="00FF1B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82"/>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C049B"/>
    <w:pPr>
      <w:spacing w:after="0" w:line="240" w:lineRule="auto"/>
    </w:pPr>
    <w:rPr>
      <w:rFonts w:ascii="Arial" w:eastAsia="Times New Roman" w:hAnsi="Arial" w:cs="Arial"/>
      <w:color w:val="auto"/>
      <w:sz w:val="20"/>
      <w:szCs w:val="20"/>
      <w:lang w:val="pl-PL" w:eastAsia="pl-PL"/>
    </w:rPr>
  </w:style>
  <w:style w:type="character" w:customStyle="1" w:styleId="result">
    <w:name w:val="result"/>
    <w:rsid w:val="00AC049B"/>
    <w:rPr>
      <w:color w:val="000080"/>
    </w:rPr>
  </w:style>
  <w:style w:type="table" w:customStyle="1" w:styleId="Tabela-Siatka1">
    <w:name w:val="Tabela - Siatka1"/>
    <w:basedOn w:val="a1"/>
    <w:next w:val="a3"/>
    <w:uiPriority w:val="59"/>
    <w:rsid w:val="00AB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815DB"/>
    <w:pPr>
      <w:spacing w:after="0" w:line="240" w:lineRule="auto"/>
    </w:pPr>
    <w:rPr>
      <w:rFonts w:ascii="Segoe UI" w:hAnsi="Segoe UI" w:cs="Segoe UI"/>
      <w:sz w:val="18"/>
      <w:szCs w:val="18"/>
    </w:rPr>
  </w:style>
  <w:style w:type="character" w:customStyle="1" w:styleId="Char">
    <w:name w:val="批注框文本 Char"/>
    <w:link w:val="a5"/>
    <w:uiPriority w:val="99"/>
    <w:semiHidden/>
    <w:rsid w:val="00A815DB"/>
    <w:rPr>
      <w:rFonts w:ascii="Segoe UI" w:eastAsia="宋体" w:hAnsi="Segoe UI" w:cs="Segoe UI"/>
      <w:color w:val="00000A"/>
      <w:sz w:val="18"/>
      <w:szCs w:val="18"/>
      <w:lang w:val="en-US"/>
    </w:rPr>
  </w:style>
  <w:style w:type="paragraph" w:customStyle="1" w:styleId="Pa1">
    <w:name w:val="Pa1"/>
    <w:basedOn w:val="a"/>
    <w:next w:val="a"/>
    <w:uiPriority w:val="99"/>
    <w:rsid w:val="00AF7D47"/>
    <w:pPr>
      <w:autoSpaceDE w:val="0"/>
      <w:autoSpaceDN w:val="0"/>
      <w:adjustRightInd w:val="0"/>
      <w:spacing w:after="0" w:line="201" w:lineRule="atLeast"/>
    </w:pPr>
    <w:rPr>
      <w:rFonts w:ascii="Times" w:eastAsia="Calibri" w:hAnsi="Times" w:cs="Times"/>
      <w:color w:val="auto"/>
      <w:sz w:val="24"/>
      <w:szCs w:val="24"/>
      <w:lang w:val="pl-PL"/>
    </w:rPr>
  </w:style>
  <w:style w:type="table" w:customStyle="1" w:styleId="Tabela-Siatka2">
    <w:name w:val="Tabela - Siatka2"/>
    <w:basedOn w:val="a1"/>
    <w:next w:val="a3"/>
    <w:uiPriority w:val="59"/>
    <w:rsid w:val="00C1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04FC"/>
    <w:pPr>
      <w:ind w:left="720"/>
      <w:contextualSpacing/>
    </w:pPr>
  </w:style>
  <w:style w:type="paragraph" w:styleId="a7">
    <w:name w:val="header"/>
    <w:basedOn w:val="a"/>
    <w:link w:val="Char0"/>
    <w:uiPriority w:val="99"/>
    <w:unhideWhenUsed/>
    <w:rsid w:val="008428B6"/>
    <w:pPr>
      <w:tabs>
        <w:tab w:val="center" w:pos="4536"/>
        <w:tab w:val="right" w:pos="9072"/>
      </w:tabs>
      <w:spacing w:after="0" w:line="240" w:lineRule="auto"/>
    </w:pPr>
  </w:style>
  <w:style w:type="character" w:customStyle="1" w:styleId="Char0">
    <w:name w:val="页眉 Char"/>
    <w:link w:val="a7"/>
    <w:uiPriority w:val="99"/>
    <w:rsid w:val="008428B6"/>
    <w:rPr>
      <w:rFonts w:eastAsia="宋体"/>
      <w:color w:val="00000A"/>
      <w:lang w:val="en-US"/>
    </w:rPr>
  </w:style>
  <w:style w:type="paragraph" w:styleId="a8">
    <w:name w:val="footer"/>
    <w:basedOn w:val="a"/>
    <w:link w:val="Char1"/>
    <w:uiPriority w:val="99"/>
    <w:unhideWhenUsed/>
    <w:rsid w:val="008428B6"/>
    <w:pPr>
      <w:tabs>
        <w:tab w:val="center" w:pos="4536"/>
        <w:tab w:val="right" w:pos="9072"/>
      </w:tabs>
      <w:spacing w:after="0" w:line="240" w:lineRule="auto"/>
    </w:pPr>
  </w:style>
  <w:style w:type="character" w:customStyle="1" w:styleId="Char1">
    <w:name w:val="页脚 Char"/>
    <w:link w:val="a8"/>
    <w:uiPriority w:val="99"/>
    <w:rsid w:val="008428B6"/>
    <w:rPr>
      <w:rFonts w:eastAsia="宋体"/>
      <w:color w:val="00000A"/>
      <w:lang w:val="en-US"/>
    </w:rPr>
  </w:style>
  <w:style w:type="table" w:customStyle="1" w:styleId="Tabela-Siatka11">
    <w:name w:val="Tabela - Siatka11"/>
    <w:basedOn w:val="a1"/>
    <w:next w:val="a3"/>
    <w:uiPriority w:val="59"/>
    <w:rsid w:val="007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a1"/>
    <w:next w:val="a3"/>
    <w:uiPriority w:val="59"/>
    <w:rsid w:val="007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qFormat/>
    <w:rsid w:val="00EA5CA5"/>
    <w:rPr>
      <w:sz w:val="16"/>
      <w:szCs w:val="16"/>
    </w:rPr>
  </w:style>
  <w:style w:type="paragraph" w:styleId="aa">
    <w:name w:val="annotation text"/>
    <w:basedOn w:val="a"/>
    <w:link w:val="Char2"/>
    <w:uiPriority w:val="99"/>
    <w:unhideWhenUsed/>
    <w:qFormat/>
    <w:rsid w:val="00EA5CA5"/>
    <w:pPr>
      <w:spacing w:line="240" w:lineRule="auto"/>
    </w:pPr>
    <w:rPr>
      <w:sz w:val="20"/>
      <w:szCs w:val="20"/>
    </w:rPr>
  </w:style>
  <w:style w:type="character" w:customStyle="1" w:styleId="Char2">
    <w:name w:val="批注文字 Char"/>
    <w:link w:val="aa"/>
    <w:uiPriority w:val="99"/>
    <w:qFormat/>
    <w:rsid w:val="00EA5CA5"/>
    <w:rPr>
      <w:rFonts w:eastAsia="宋体"/>
      <w:color w:val="00000A"/>
      <w:sz w:val="20"/>
      <w:szCs w:val="20"/>
      <w:lang w:val="en-US"/>
    </w:rPr>
  </w:style>
  <w:style w:type="paragraph" w:styleId="ab">
    <w:name w:val="annotation subject"/>
    <w:basedOn w:val="aa"/>
    <w:next w:val="aa"/>
    <w:link w:val="Char3"/>
    <w:uiPriority w:val="99"/>
    <w:semiHidden/>
    <w:unhideWhenUsed/>
    <w:rsid w:val="00EA5CA5"/>
    <w:rPr>
      <w:b/>
      <w:bCs/>
    </w:rPr>
  </w:style>
  <w:style w:type="character" w:customStyle="1" w:styleId="Char3">
    <w:name w:val="批注主题 Char"/>
    <w:link w:val="ab"/>
    <w:uiPriority w:val="99"/>
    <w:semiHidden/>
    <w:rsid w:val="00EA5CA5"/>
    <w:rPr>
      <w:rFonts w:eastAsia="宋体"/>
      <w:b/>
      <w:bCs/>
      <w:color w:val="00000A"/>
      <w:sz w:val="20"/>
      <w:szCs w:val="20"/>
      <w:lang w:val="en-US"/>
    </w:rPr>
  </w:style>
  <w:style w:type="paragraph" w:styleId="ac">
    <w:name w:val="Revision"/>
    <w:hidden/>
    <w:uiPriority w:val="99"/>
    <w:semiHidden/>
    <w:rsid w:val="00BC2B06"/>
    <w:rPr>
      <w:color w:val="00000A"/>
      <w:sz w:val="22"/>
      <w:szCs w:val="22"/>
      <w:lang w:eastAsia="en-US"/>
    </w:rPr>
  </w:style>
  <w:style w:type="character" w:customStyle="1" w:styleId="orcid-id-https">
    <w:name w:val="orcid-id-https"/>
    <w:basedOn w:val="a0"/>
    <w:rsid w:val="00AE3833"/>
  </w:style>
  <w:style w:type="character" w:customStyle="1" w:styleId="fao8">
    <w:name w:val="f_ao8"/>
    <w:basedOn w:val="a0"/>
    <w:rsid w:val="00D720C3"/>
  </w:style>
  <w:style w:type="character" w:styleId="ad">
    <w:name w:val="Hyperlink"/>
    <w:uiPriority w:val="99"/>
    <w:unhideWhenUsed/>
    <w:rsid w:val="008A696F"/>
    <w:rPr>
      <w:color w:val="0563C1"/>
      <w:u w:val="single"/>
    </w:rPr>
  </w:style>
  <w:style w:type="paragraph" w:customStyle="1" w:styleId="1">
    <w:name w:val="正文1"/>
    <w:uiPriority w:val="99"/>
    <w:rsid w:val="005C2843"/>
    <w:pPr>
      <w:spacing w:line="276" w:lineRule="auto"/>
    </w:pPr>
    <w:rPr>
      <w:rFonts w:ascii="Arial" w:hAnsi="Arial" w:cs="Arial"/>
      <w:color w:val="000000"/>
      <w:sz w:val="22"/>
      <w:lang w:val="pl-PL" w:eastAsia="pl-PL"/>
    </w:rPr>
  </w:style>
  <w:style w:type="character" w:customStyle="1" w:styleId="apple-converted-space">
    <w:name w:val="apple-converted-space"/>
    <w:rsid w:val="00B22CBD"/>
  </w:style>
  <w:style w:type="character" w:customStyle="1" w:styleId="ae">
    <w:name w:val="批注文字 字符"/>
    <w:uiPriority w:val="99"/>
    <w:rsid w:val="00B22CBD"/>
    <w:rPr>
      <w:sz w:val="20"/>
      <w:szCs w:val="20"/>
    </w:rPr>
  </w:style>
  <w:style w:type="character" w:customStyle="1" w:styleId="normaltextrun">
    <w:name w:val="normaltextrun"/>
    <w:rsid w:val="008755C5"/>
  </w:style>
  <w:style w:type="paragraph" w:customStyle="1" w:styleId="paragraph">
    <w:name w:val="paragraph"/>
    <w:basedOn w:val="a"/>
    <w:rsid w:val="008755C5"/>
    <w:pPr>
      <w:spacing w:before="100" w:beforeAutospacing="1" w:after="100" w:afterAutospacing="1" w:line="240" w:lineRule="auto"/>
    </w:pPr>
    <w:rPr>
      <w:rFonts w:ascii="Times New Roman" w:hAnsi="Times New Roman"/>
      <w:color w:val="auto"/>
      <w:sz w:val="24"/>
      <w:szCs w:val="24"/>
    </w:rPr>
  </w:style>
  <w:style w:type="character" w:styleId="af">
    <w:name w:val="Strong"/>
    <w:uiPriority w:val="22"/>
    <w:qFormat/>
    <w:rsid w:val="008015E8"/>
    <w:rPr>
      <w:b/>
      <w:bCs/>
    </w:rPr>
  </w:style>
  <w:style w:type="character" w:customStyle="1" w:styleId="identifier">
    <w:name w:val="identifier"/>
    <w:rsid w:val="008015E8"/>
  </w:style>
  <w:style w:type="character" w:customStyle="1" w:styleId="skip">
    <w:name w:val="skip"/>
    <w:rsid w:val="004D326A"/>
  </w:style>
  <w:style w:type="character" w:customStyle="1" w:styleId="af0">
    <w:name w:val="页眉 字符"/>
    <w:uiPriority w:val="99"/>
    <w:rsid w:val="00721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82"/>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C049B"/>
    <w:pPr>
      <w:spacing w:after="0" w:line="240" w:lineRule="auto"/>
    </w:pPr>
    <w:rPr>
      <w:rFonts w:ascii="Arial" w:eastAsia="Times New Roman" w:hAnsi="Arial" w:cs="Arial"/>
      <w:color w:val="auto"/>
      <w:sz w:val="20"/>
      <w:szCs w:val="20"/>
      <w:lang w:val="pl-PL" w:eastAsia="pl-PL"/>
    </w:rPr>
  </w:style>
  <w:style w:type="character" w:customStyle="1" w:styleId="result">
    <w:name w:val="result"/>
    <w:rsid w:val="00AC049B"/>
    <w:rPr>
      <w:color w:val="000080"/>
    </w:rPr>
  </w:style>
  <w:style w:type="table" w:customStyle="1" w:styleId="Tabela-Siatka1">
    <w:name w:val="Tabela - Siatka1"/>
    <w:basedOn w:val="a1"/>
    <w:next w:val="a3"/>
    <w:uiPriority w:val="59"/>
    <w:rsid w:val="00AB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A815DB"/>
    <w:pPr>
      <w:spacing w:after="0" w:line="240" w:lineRule="auto"/>
    </w:pPr>
    <w:rPr>
      <w:rFonts w:ascii="Segoe UI" w:hAnsi="Segoe UI" w:cs="Segoe UI"/>
      <w:sz w:val="18"/>
      <w:szCs w:val="18"/>
    </w:rPr>
  </w:style>
  <w:style w:type="character" w:customStyle="1" w:styleId="Char">
    <w:name w:val="批注框文本 Char"/>
    <w:link w:val="a5"/>
    <w:uiPriority w:val="99"/>
    <w:semiHidden/>
    <w:rsid w:val="00A815DB"/>
    <w:rPr>
      <w:rFonts w:ascii="Segoe UI" w:eastAsia="宋体" w:hAnsi="Segoe UI" w:cs="Segoe UI"/>
      <w:color w:val="00000A"/>
      <w:sz w:val="18"/>
      <w:szCs w:val="18"/>
      <w:lang w:val="en-US"/>
    </w:rPr>
  </w:style>
  <w:style w:type="paragraph" w:customStyle="1" w:styleId="Pa1">
    <w:name w:val="Pa1"/>
    <w:basedOn w:val="a"/>
    <w:next w:val="a"/>
    <w:uiPriority w:val="99"/>
    <w:rsid w:val="00AF7D47"/>
    <w:pPr>
      <w:autoSpaceDE w:val="0"/>
      <w:autoSpaceDN w:val="0"/>
      <w:adjustRightInd w:val="0"/>
      <w:spacing w:after="0" w:line="201" w:lineRule="atLeast"/>
    </w:pPr>
    <w:rPr>
      <w:rFonts w:ascii="Times" w:eastAsia="Calibri" w:hAnsi="Times" w:cs="Times"/>
      <w:color w:val="auto"/>
      <w:sz w:val="24"/>
      <w:szCs w:val="24"/>
      <w:lang w:val="pl-PL"/>
    </w:rPr>
  </w:style>
  <w:style w:type="table" w:customStyle="1" w:styleId="Tabela-Siatka2">
    <w:name w:val="Tabela - Siatka2"/>
    <w:basedOn w:val="a1"/>
    <w:next w:val="a3"/>
    <w:uiPriority w:val="59"/>
    <w:rsid w:val="00C11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C04FC"/>
    <w:pPr>
      <w:ind w:left="720"/>
      <w:contextualSpacing/>
    </w:pPr>
  </w:style>
  <w:style w:type="paragraph" w:styleId="a7">
    <w:name w:val="header"/>
    <w:basedOn w:val="a"/>
    <w:link w:val="Char0"/>
    <w:uiPriority w:val="99"/>
    <w:unhideWhenUsed/>
    <w:rsid w:val="008428B6"/>
    <w:pPr>
      <w:tabs>
        <w:tab w:val="center" w:pos="4536"/>
        <w:tab w:val="right" w:pos="9072"/>
      </w:tabs>
      <w:spacing w:after="0" w:line="240" w:lineRule="auto"/>
    </w:pPr>
  </w:style>
  <w:style w:type="character" w:customStyle="1" w:styleId="Char0">
    <w:name w:val="页眉 Char"/>
    <w:link w:val="a7"/>
    <w:uiPriority w:val="99"/>
    <w:rsid w:val="008428B6"/>
    <w:rPr>
      <w:rFonts w:eastAsia="宋体"/>
      <w:color w:val="00000A"/>
      <w:lang w:val="en-US"/>
    </w:rPr>
  </w:style>
  <w:style w:type="paragraph" w:styleId="a8">
    <w:name w:val="footer"/>
    <w:basedOn w:val="a"/>
    <w:link w:val="Char1"/>
    <w:uiPriority w:val="99"/>
    <w:unhideWhenUsed/>
    <w:rsid w:val="008428B6"/>
    <w:pPr>
      <w:tabs>
        <w:tab w:val="center" w:pos="4536"/>
        <w:tab w:val="right" w:pos="9072"/>
      </w:tabs>
      <w:spacing w:after="0" w:line="240" w:lineRule="auto"/>
    </w:pPr>
  </w:style>
  <w:style w:type="character" w:customStyle="1" w:styleId="Char1">
    <w:name w:val="页脚 Char"/>
    <w:link w:val="a8"/>
    <w:uiPriority w:val="99"/>
    <w:rsid w:val="008428B6"/>
    <w:rPr>
      <w:rFonts w:eastAsia="宋体"/>
      <w:color w:val="00000A"/>
      <w:lang w:val="en-US"/>
    </w:rPr>
  </w:style>
  <w:style w:type="table" w:customStyle="1" w:styleId="Tabela-Siatka11">
    <w:name w:val="Tabela - Siatka11"/>
    <w:basedOn w:val="a1"/>
    <w:next w:val="a3"/>
    <w:uiPriority w:val="59"/>
    <w:rsid w:val="007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a1"/>
    <w:next w:val="a3"/>
    <w:uiPriority w:val="59"/>
    <w:rsid w:val="007C4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qFormat/>
    <w:rsid w:val="00EA5CA5"/>
    <w:rPr>
      <w:sz w:val="16"/>
      <w:szCs w:val="16"/>
    </w:rPr>
  </w:style>
  <w:style w:type="paragraph" w:styleId="aa">
    <w:name w:val="annotation text"/>
    <w:basedOn w:val="a"/>
    <w:link w:val="Char2"/>
    <w:uiPriority w:val="99"/>
    <w:unhideWhenUsed/>
    <w:qFormat/>
    <w:rsid w:val="00EA5CA5"/>
    <w:pPr>
      <w:spacing w:line="240" w:lineRule="auto"/>
    </w:pPr>
    <w:rPr>
      <w:sz w:val="20"/>
      <w:szCs w:val="20"/>
    </w:rPr>
  </w:style>
  <w:style w:type="character" w:customStyle="1" w:styleId="Char2">
    <w:name w:val="批注文字 Char"/>
    <w:link w:val="aa"/>
    <w:uiPriority w:val="99"/>
    <w:qFormat/>
    <w:rsid w:val="00EA5CA5"/>
    <w:rPr>
      <w:rFonts w:eastAsia="宋体"/>
      <w:color w:val="00000A"/>
      <w:sz w:val="20"/>
      <w:szCs w:val="20"/>
      <w:lang w:val="en-US"/>
    </w:rPr>
  </w:style>
  <w:style w:type="paragraph" w:styleId="ab">
    <w:name w:val="annotation subject"/>
    <w:basedOn w:val="aa"/>
    <w:next w:val="aa"/>
    <w:link w:val="Char3"/>
    <w:uiPriority w:val="99"/>
    <w:semiHidden/>
    <w:unhideWhenUsed/>
    <w:rsid w:val="00EA5CA5"/>
    <w:rPr>
      <w:b/>
      <w:bCs/>
    </w:rPr>
  </w:style>
  <w:style w:type="character" w:customStyle="1" w:styleId="Char3">
    <w:name w:val="批注主题 Char"/>
    <w:link w:val="ab"/>
    <w:uiPriority w:val="99"/>
    <w:semiHidden/>
    <w:rsid w:val="00EA5CA5"/>
    <w:rPr>
      <w:rFonts w:eastAsia="宋体"/>
      <w:b/>
      <w:bCs/>
      <w:color w:val="00000A"/>
      <w:sz w:val="20"/>
      <w:szCs w:val="20"/>
      <w:lang w:val="en-US"/>
    </w:rPr>
  </w:style>
  <w:style w:type="paragraph" w:styleId="ac">
    <w:name w:val="Revision"/>
    <w:hidden/>
    <w:uiPriority w:val="99"/>
    <w:semiHidden/>
    <w:rsid w:val="00BC2B06"/>
    <w:rPr>
      <w:color w:val="00000A"/>
      <w:sz w:val="22"/>
      <w:szCs w:val="22"/>
      <w:lang w:eastAsia="en-US"/>
    </w:rPr>
  </w:style>
  <w:style w:type="character" w:customStyle="1" w:styleId="orcid-id-https">
    <w:name w:val="orcid-id-https"/>
    <w:basedOn w:val="a0"/>
    <w:rsid w:val="00AE3833"/>
  </w:style>
  <w:style w:type="character" w:customStyle="1" w:styleId="fao8">
    <w:name w:val="f_ao8"/>
    <w:basedOn w:val="a0"/>
    <w:rsid w:val="00D720C3"/>
  </w:style>
  <w:style w:type="character" w:styleId="ad">
    <w:name w:val="Hyperlink"/>
    <w:uiPriority w:val="99"/>
    <w:unhideWhenUsed/>
    <w:rsid w:val="008A696F"/>
    <w:rPr>
      <w:color w:val="0563C1"/>
      <w:u w:val="single"/>
    </w:rPr>
  </w:style>
  <w:style w:type="paragraph" w:customStyle="1" w:styleId="1">
    <w:name w:val="正文1"/>
    <w:uiPriority w:val="99"/>
    <w:rsid w:val="005C2843"/>
    <w:pPr>
      <w:spacing w:line="276" w:lineRule="auto"/>
    </w:pPr>
    <w:rPr>
      <w:rFonts w:ascii="Arial" w:hAnsi="Arial" w:cs="Arial"/>
      <w:color w:val="000000"/>
      <w:sz w:val="22"/>
      <w:lang w:val="pl-PL" w:eastAsia="pl-PL"/>
    </w:rPr>
  </w:style>
  <w:style w:type="character" w:customStyle="1" w:styleId="apple-converted-space">
    <w:name w:val="apple-converted-space"/>
    <w:rsid w:val="00B22CBD"/>
  </w:style>
  <w:style w:type="character" w:customStyle="1" w:styleId="ae">
    <w:name w:val="批注文字 字符"/>
    <w:uiPriority w:val="99"/>
    <w:rsid w:val="00B22CBD"/>
    <w:rPr>
      <w:sz w:val="20"/>
      <w:szCs w:val="20"/>
    </w:rPr>
  </w:style>
  <w:style w:type="character" w:customStyle="1" w:styleId="normaltextrun">
    <w:name w:val="normaltextrun"/>
    <w:rsid w:val="008755C5"/>
  </w:style>
  <w:style w:type="paragraph" w:customStyle="1" w:styleId="paragraph">
    <w:name w:val="paragraph"/>
    <w:basedOn w:val="a"/>
    <w:rsid w:val="008755C5"/>
    <w:pPr>
      <w:spacing w:before="100" w:beforeAutospacing="1" w:after="100" w:afterAutospacing="1" w:line="240" w:lineRule="auto"/>
    </w:pPr>
    <w:rPr>
      <w:rFonts w:ascii="Times New Roman" w:hAnsi="Times New Roman"/>
      <w:color w:val="auto"/>
      <w:sz w:val="24"/>
      <w:szCs w:val="24"/>
    </w:rPr>
  </w:style>
  <w:style w:type="character" w:styleId="af">
    <w:name w:val="Strong"/>
    <w:uiPriority w:val="22"/>
    <w:qFormat/>
    <w:rsid w:val="008015E8"/>
    <w:rPr>
      <w:b/>
      <w:bCs/>
    </w:rPr>
  </w:style>
  <w:style w:type="character" w:customStyle="1" w:styleId="identifier">
    <w:name w:val="identifier"/>
    <w:rsid w:val="008015E8"/>
  </w:style>
  <w:style w:type="character" w:customStyle="1" w:styleId="skip">
    <w:name w:val="skip"/>
    <w:rsid w:val="004D326A"/>
  </w:style>
  <w:style w:type="character" w:customStyle="1" w:styleId="af0">
    <w:name w:val="页眉 字符"/>
    <w:uiPriority w:val="99"/>
    <w:rsid w:val="0072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923">
      <w:bodyDiv w:val="1"/>
      <w:marLeft w:val="0"/>
      <w:marRight w:val="0"/>
      <w:marTop w:val="0"/>
      <w:marBottom w:val="0"/>
      <w:divBdr>
        <w:top w:val="none" w:sz="0" w:space="0" w:color="auto"/>
        <w:left w:val="none" w:sz="0" w:space="0" w:color="auto"/>
        <w:bottom w:val="none" w:sz="0" w:space="0" w:color="auto"/>
        <w:right w:val="none" w:sz="0" w:space="0" w:color="auto"/>
      </w:divBdr>
    </w:div>
    <w:div w:id="46685036">
      <w:bodyDiv w:val="1"/>
      <w:marLeft w:val="0"/>
      <w:marRight w:val="0"/>
      <w:marTop w:val="0"/>
      <w:marBottom w:val="0"/>
      <w:divBdr>
        <w:top w:val="none" w:sz="0" w:space="0" w:color="auto"/>
        <w:left w:val="none" w:sz="0" w:space="0" w:color="auto"/>
        <w:bottom w:val="none" w:sz="0" w:space="0" w:color="auto"/>
        <w:right w:val="none" w:sz="0" w:space="0" w:color="auto"/>
      </w:divBdr>
      <w:divsChild>
        <w:div w:id="370422107">
          <w:marLeft w:val="0"/>
          <w:marRight w:val="0"/>
          <w:marTop w:val="0"/>
          <w:marBottom w:val="0"/>
          <w:divBdr>
            <w:top w:val="none" w:sz="0" w:space="0" w:color="auto"/>
            <w:left w:val="none" w:sz="0" w:space="0" w:color="auto"/>
            <w:bottom w:val="none" w:sz="0" w:space="0" w:color="auto"/>
            <w:right w:val="none" w:sz="0" w:space="0" w:color="auto"/>
          </w:divBdr>
        </w:div>
      </w:divsChild>
    </w:div>
    <w:div w:id="53504735">
      <w:bodyDiv w:val="1"/>
      <w:marLeft w:val="0"/>
      <w:marRight w:val="0"/>
      <w:marTop w:val="0"/>
      <w:marBottom w:val="0"/>
      <w:divBdr>
        <w:top w:val="none" w:sz="0" w:space="0" w:color="auto"/>
        <w:left w:val="none" w:sz="0" w:space="0" w:color="auto"/>
        <w:bottom w:val="none" w:sz="0" w:space="0" w:color="auto"/>
        <w:right w:val="none" w:sz="0" w:space="0" w:color="auto"/>
      </w:divBdr>
      <w:divsChild>
        <w:div w:id="1822382106">
          <w:marLeft w:val="0"/>
          <w:marRight w:val="0"/>
          <w:marTop w:val="0"/>
          <w:marBottom w:val="0"/>
          <w:divBdr>
            <w:top w:val="none" w:sz="0" w:space="0" w:color="auto"/>
            <w:left w:val="none" w:sz="0" w:space="0" w:color="auto"/>
            <w:bottom w:val="none" w:sz="0" w:space="0" w:color="auto"/>
            <w:right w:val="none" w:sz="0" w:space="0" w:color="auto"/>
          </w:divBdr>
        </w:div>
      </w:divsChild>
    </w:div>
    <w:div w:id="96214343">
      <w:bodyDiv w:val="1"/>
      <w:marLeft w:val="0"/>
      <w:marRight w:val="0"/>
      <w:marTop w:val="0"/>
      <w:marBottom w:val="0"/>
      <w:divBdr>
        <w:top w:val="none" w:sz="0" w:space="0" w:color="auto"/>
        <w:left w:val="none" w:sz="0" w:space="0" w:color="auto"/>
        <w:bottom w:val="none" w:sz="0" w:space="0" w:color="auto"/>
        <w:right w:val="none" w:sz="0" w:space="0" w:color="auto"/>
      </w:divBdr>
      <w:divsChild>
        <w:div w:id="216091490">
          <w:marLeft w:val="0"/>
          <w:marRight w:val="0"/>
          <w:marTop w:val="0"/>
          <w:marBottom w:val="0"/>
          <w:divBdr>
            <w:top w:val="none" w:sz="0" w:space="0" w:color="auto"/>
            <w:left w:val="none" w:sz="0" w:space="0" w:color="auto"/>
            <w:bottom w:val="none" w:sz="0" w:space="0" w:color="auto"/>
            <w:right w:val="none" w:sz="0" w:space="0" w:color="auto"/>
          </w:divBdr>
        </w:div>
      </w:divsChild>
    </w:div>
    <w:div w:id="158889748">
      <w:bodyDiv w:val="1"/>
      <w:marLeft w:val="0"/>
      <w:marRight w:val="0"/>
      <w:marTop w:val="0"/>
      <w:marBottom w:val="0"/>
      <w:divBdr>
        <w:top w:val="none" w:sz="0" w:space="0" w:color="auto"/>
        <w:left w:val="none" w:sz="0" w:space="0" w:color="auto"/>
        <w:bottom w:val="none" w:sz="0" w:space="0" w:color="auto"/>
        <w:right w:val="none" w:sz="0" w:space="0" w:color="auto"/>
      </w:divBdr>
      <w:divsChild>
        <w:div w:id="1867133635">
          <w:marLeft w:val="0"/>
          <w:marRight w:val="0"/>
          <w:marTop w:val="0"/>
          <w:marBottom w:val="0"/>
          <w:divBdr>
            <w:top w:val="none" w:sz="0" w:space="0" w:color="auto"/>
            <w:left w:val="none" w:sz="0" w:space="0" w:color="auto"/>
            <w:bottom w:val="none" w:sz="0" w:space="0" w:color="auto"/>
            <w:right w:val="none" w:sz="0" w:space="0" w:color="auto"/>
          </w:divBdr>
        </w:div>
      </w:divsChild>
    </w:div>
    <w:div w:id="189876774">
      <w:bodyDiv w:val="1"/>
      <w:marLeft w:val="0"/>
      <w:marRight w:val="0"/>
      <w:marTop w:val="0"/>
      <w:marBottom w:val="0"/>
      <w:divBdr>
        <w:top w:val="none" w:sz="0" w:space="0" w:color="auto"/>
        <w:left w:val="none" w:sz="0" w:space="0" w:color="auto"/>
        <w:bottom w:val="none" w:sz="0" w:space="0" w:color="auto"/>
        <w:right w:val="none" w:sz="0" w:space="0" w:color="auto"/>
      </w:divBdr>
      <w:divsChild>
        <w:div w:id="1619340111">
          <w:marLeft w:val="0"/>
          <w:marRight w:val="0"/>
          <w:marTop w:val="0"/>
          <w:marBottom w:val="0"/>
          <w:divBdr>
            <w:top w:val="none" w:sz="0" w:space="0" w:color="auto"/>
            <w:left w:val="none" w:sz="0" w:space="0" w:color="auto"/>
            <w:bottom w:val="none" w:sz="0" w:space="0" w:color="auto"/>
            <w:right w:val="none" w:sz="0" w:space="0" w:color="auto"/>
          </w:divBdr>
        </w:div>
      </w:divsChild>
    </w:div>
    <w:div w:id="195047299">
      <w:bodyDiv w:val="1"/>
      <w:marLeft w:val="0"/>
      <w:marRight w:val="0"/>
      <w:marTop w:val="0"/>
      <w:marBottom w:val="0"/>
      <w:divBdr>
        <w:top w:val="none" w:sz="0" w:space="0" w:color="auto"/>
        <w:left w:val="none" w:sz="0" w:space="0" w:color="auto"/>
        <w:bottom w:val="none" w:sz="0" w:space="0" w:color="auto"/>
        <w:right w:val="none" w:sz="0" w:space="0" w:color="auto"/>
      </w:divBdr>
    </w:div>
    <w:div w:id="259342293">
      <w:bodyDiv w:val="1"/>
      <w:marLeft w:val="0"/>
      <w:marRight w:val="0"/>
      <w:marTop w:val="0"/>
      <w:marBottom w:val="0"/>
      <w:divBdr>
        <w:top w:val="none" w:sz="0" w:space="0" w:color="auto"/>
        <w:left w:val="none" w:sz="0" w:space="0" w:color="auto"/>
        <w:bottom w:val="none" w:sz="0" w:space="0" w:color="auto"/>
        <w:right w:val="none" w:sz="0" w:space="0" w:color="auto"/>
      </w:divBdr>
    </w:div>
    <w:div w:id="274875514">
      <w:bodyDiv w:val="1"/>
      <w:marLeft w:val="0"/>
      <w:marRight w:val="0"/>
      <w:marTop w:val="0"/>
      <w:marBottom w:val="0"/>
      <w:divBdr>
        <w:top w:val="none" w:sz="0" w:space="0" w:color="auto"/>
        <w:left w:val="none" w:sz="0" w:space="0" w:color="auto"/>
        <w:bottom w:val="none" w:sz="0" w:space="0" w:color="auto"/>
        <w:right w:val="none" w:sz="0" w:space="0" w:color="auto"/>
      </w:divBdr>
      <w:divsChild>
        <w:div w:id="1701933875">
          <w:marLeft w:val="0"/>
          <w:marRight w:val="0"/>
          <w:marTop w:val="0"/>
          <w:marBottom w:val="0"/>
          <w:divBdr>
            <w:top w:val="none" w:sz="0" w:space="0" w:color="auto"/>
            <w:left w:val="none" w:sz="0" w:space="0" w:color="auto"/>
            <w:bottom w:val="none" w:sz="0" w:space="0" w:color="auto"/>
            <w:right w:val="none" w:sz="0" w:space="0" w:color="auto"/>
          </w:divBdr>
        </w:div>
      </w:divsChild>
    </w:div>
    <w:div w:id="302391773">
      <w:bodyDiv w:val="1"/>
      <w:marLeft w:val="0"/>
      <w:marRight w:val="0"/>
      <w:marTop w:val="0"/>
      <w:marBottom w:val="0"/>
      <w:divBdr>
        <w:top w:val="none" w:sz="0" w:space="0" w:color="auto"/>
        <w:left w:val="none" w:sz="0" w:space="0" w:color="auto"/>
        <w:bottom w:val="none" w:sz="0" w:space="0" w:color="auto"/>
        <w:right w:val="none" w:sz="0" w:space="0" w:color="auto"/>
      </w:divBdr>
    </w:div>
    <w:div w:id="330988870">
      <w:bodyDiv w:val="1"/>
      <w:marLeft w:val="0"/>
      <w:marRight w:val="0"/>
      <w:marTop w:val="0"/>
      <w:marBottom w:val="0"/>
      <w:divBdr>
        <w:top w:val="none" w:sz="0" w:space="0" w:color="auto"/>
        <w:left w:val="none" w:sz="0" w:space="0" w:color="auto"/>
        <w:bottom w:val="none" w:sz="0" w:space="0" w:color="auto"/>
        <w:right w:val="none" w:sz="0" w:space="0" w:color="auto"/>
      </w:divBdr>
      <w:divsChild>
        <w:div w:id="2108571082">
          <w:marLeft w:val="0"/>
          <w:marRight w:val="0"/>
          <w:marTop w:val="0"/>
          <w:marBottom w:val="0"/>
          <w:divBdr>
            <w:top w:val="none" w:sz="0" w:space="0" w:color="auto"/>
            <w:left w:val="none" w:sz="0" w:space="0" w:color="auto"/>
            <w:bottom w:val="none" w:sz="0" w:space="0" w:color="auto"/>
            <w:right w:val="none" w:sz="0" w:space="0" w:color="auto"/>
          </w:divBdr>
        </w:div>
      </w:divsChild>
    </w:div>
    <w:div w:id="349642340">
      <w:bodyDiv w:val="1"/>
      <w:marLeft w:val="0"/>
      <w:marRight w:val="0"/>
      <w:marTop w:val="0"/>
      <w:marBottom w:val="0"/>
      <w:divBdr>
        <w:top w:val="none" w:sz="0" w:space="0" w:color="auto"/>
        <w:left w:val="none" w:sz="0" w:space="0" w:color="auto"/>
        <w:bottom w:val="none" w:sz="0" w:space="0" w:color="auto"/>
        <w:right w:val="none" w:sz="0" w:space="0" w:color="auto"/>
      </w:divBdr>
      <w:divsChild>
        <w:div w:id="331296191">
          <w:marLeft w:val="0"/>
          <w:marRight w:val="0"/>
          <w:marTop w:val="0"/>
          <w:marBottom w:val="0"/>
          <w:divBdr>
            <w:top w:val="none" w:sz="0" w:space="0" w:color="auto"/>
            <w:left w:val="none" w:sz="0" w:space="0" w:color="auto"/>
            <w:bottom w:val="none" w:sz="0" w:space="0" w:color="auto"/>
            <w:right w:val="none" w:sz="0" w:space="0" w:color="auto"/>
          </w:divBdr>
        </w:div>
      </w:divsChild>
    </w:div>
    <w:div w:id="358118518">
      <w:bodyDiv w:val="1"/>
      <w:marLeft w:val="0"/>
      <w:marRight w:val="0"/>
      <w:marTop w:val="0"/>
      <w:marBottom w:val="0"/>
      <w:divBdr>
        <w:top w:val="none" w:sz="0" w:space="0" w:color="auto"/>
        <w:left w:val="none" w:sz="0" w:space="0" w:color="auto"/>
        <w:bottom w:val="none" w:sz="0" w:space="0" w:color="auto"/>
        <w:right w:val="none" w:sz="0" w:space="0" w:color="auto"/>
      </w:divBdr>
    </w:div>
    <w:div w:id="364798198">
      <w:bodyDiv w:val="1"/>
      <w:marLeft w:val="0"/>
      <w:marRight w:val="0"/>
      <w:marTop w:val="0"/>
      <w:marBottom w:val="0"/>
      <w:divBdr>
        <w:top w:val="none" w:sz="0" w:space="0" w:color="auto"/>
        <w:left w:val="none" w:sz="0" w:space="0" w:color="auto"/>
        <w:bottom w:val="none" w:sz="0" w:space="0" w:color="auto"/>
        <w:right w:val="none" w:sz="0" w:space="0" w:color="auto"/>
      </w:divBdr>
      <w:divsChild>
        <w:div w:id="1804808723">
          <w:marLeft w:val="0"/>
          <w:marRight w:val="0"/>
          <w:marTop w:val="0"/>
          <w:marBottom w:val="0"/>
          <w:divBdr>
            <w:top w:val="none" w:sz="0" w:space="0" w:color="auto"/>
            <w:left w:val="none" w:sz="0" w:space="0" w:color="auto"/>
            <w:bottom w:val="none" w:sz="0" w:space="0" w:color="auto"/>
            <w:right w:val="none" w:sz="0" w:space="0" w:color="auto"/>
          </w:divBdr>
        </w:div>
      </w:divsChild>
    </w:div>
    <w:div w:id="386881760">
      <w:bodyDiv w:val="1"/>
      <w:marLeft w:val="0"/>
      <w:marRight w:val="0"/>
      <w:marTop w:val="0"/>
      <w:marBottom w:val="0"/>
      <w:divBdr>
        <w:top w:val="none" w:sz="0" w:space="0" w:color="auto"/>
        <w:left w:val="none" w:sz="0" w:space="0" w:color="auto"/>
        <w:bottom w:val="none" w:sz="0" w:space="0" w:color="auto"/>
        <w:right w:val="none" w:sz="0" w:space="0" w:color="auto"/>
      </w:divBdr>
      <w:divsChild>
        <w:div w:id="1821269913">
          <w:marLeft w:val="0"/>
          <w:marRight w:val="0"/>
          <w:marTop w:val="0"/>
          <w:marBottom w:val="0"/>
          <w:divBdr>
            <w:top w:val="none" w:sz="0" w:space="0" w:color="auto"/>
            <w:left w:val="none" w:sz="0" w:space="0" w:color="auto"/>
            <w:bottom w:val="none" w:sz="0" w:space="0" w:color="auto"/>
            <w:right w:val="none" w:sz="0" w:space="0" w:color="auto"/>
          </w:divBdr>
        </w:div>
      </w:divsChild>
    </w:div>
    <w:div w:id="442117280">
      <w:bodyDiv w:val="1"/>
      <w:marLeft w:val="0"/>
      <w:marRight w:val="0"/>
      <w:marTop w:val="0"/>
      <w:marBottom w:val="0"/>
      <w:divBdr>
        <w:top w:val="none" w:sz="0" w:space="0" w:color="auto"/>
        <w:left w:val="none" w:sz="0" w:space="0" w:color="auto"/>
        <w:bottom w:val="none" w:sz="0" w:space="0" w:color="auto"/>
        <w:right w:val="none" w:sz="0" w:space="0" w:color="auto"/>
      </w:divBdr>
    </w:div>
    <w:div w:id="470755151">
      <w:bodyDiv w:val="1"/>
      <w:marLeft w:val="0"/>
      <w:marRight w:val="0"/>
      <w:marTop w:val="0"/>
      <w:marBottom w:val="0"/>
      <w:divBdr>
        <w:top w:val="none" w:sz="0" w:space="0" w:color="auto"/>
        <w:left w:val="none" w:sz="0" w:space="0" w:color="auto"/>
        <w:bottom w:val="none" w:sz="0" w:space="0" w:color="auto"/>
        <w:right w:val="none" w:sz="0" w:space="0" w:color="auto"/>
      </w:divBdr>
      <w:divsChild>
        <w:div w:id="296373758">
          <w:marLeft w:val="0"/>
          <w:marRight w:val="0"/>
          <w:marTop w:val="0"/>
          <w:marBottom w:val="0"/>
          <w:divBdr>
            <w:top w:val="none" w:sz="0" w:space="0" w:color="auto"/>
            <w:left w:val="none" w:sz="0" w:space="0" w:color="auto"/>
            <w:bottom w:val="none" w:sz="0" w:space="0" w:color="auto"/>
            <w:right w:val="none" w:sz="0" w:space="0" w:color="auto"/>
          </w:divBdr>
        </w:div>
      </w:divsChild>
    </w:div>
    <w:div w:id="481432351">
      <w:bodyDiv w:val="1"/>
      <w:marLeft w:val="0"/>
      <w:marRight w:val="0"/>
      <w:marTop w:val="0"/>
      <w:marBottom w:val="0"/>
      <w:divBdr>
        <w:top w:val="none" w:sz="0" w:space="0" w:color="auto"/>
        <w:left w:val="none" w:sz="0" w:space="0" w:color="auto"/>
        <w:bottom w:val="none" w:sz="0" w:space="0" w:color="auto"/>
        <w:right w:val="none" w:sz="0" w:space="0" w:color="auto"/>
      </w:divBdr>
      <w:divsChild>
        <w:div w:id="1237781369">
          <w:marLeft w:val="0"/>
          <w:marRight w:val="0"/>
          <w:marTop w:val="0"/>
          <w:marBottom w:val="0"/>
          <w:divBdr>
            <w:top w:val="none" w:sz="0" w:space="0" w:color="auto"/>
            <w:left w:val="none" w:sz="0" w:space="0" w:color="auto"/>
            <w:bottom w:val="none" w:sz="0" w:space="0" w:color="auto"/>
            <w:right w:val="none" w:sz="0" w:space="0" w:color="auto"/>
          </w:divBdr>
        </w:div>
      </w:divsChild>
    </w:div>
    <w:div w:id="610431812">
      <w:bodyDiv w:val="1"/>
      <w:marLeft w:val="0"/>
      <w:marRight w:val="0"/>
      <w:marTop w:val="0"/>
      <w:marBottom w:val="0"/>
      <w:divBdr>
        <w:top w:val="none" w:sz="0" w:space="0" w:color="auto"/>
        <w:left w:val="none" w:sz="0" w:space="0" w:color="auto"/>
        <w:bottom w:val="none" w:sz="0" w:space="0" w:color="auto"/>
        <w:right w:val="none" w:sz="0" w:space="0" w:color="auto"/>
      </w:divBdr>
      <w:divsChild>
        <w:div w:id="109472783">
          <w:marLeft w:val="0"/>
          <w:marRight w:val="0"/>
          <w:marTop w:val="0"/>
          <w:marBottom w:val="0"/>
          <w:divBdr>
            <w:top w:val="none" w:sz="0" w:space="0" w:color="auto"/>
            <w:left w:val="none" w:sz="0" w:space="0" w:color="auto"/>
            <w:bottom w:val="none" w:sz="0" w:space="0" w:color="auto"/>
            <w:right w:val="none" w:sz="0" w:space="0" w:color="auto"/>
          </w:divBdr>
        </w:div>
      </w:divsChild>
    </w:div>
    <w:div w:id="692727017">
      <w:bodyDiv w:val="1"/>
      <w:marLeft w:val="0"/>
      <w:marRight w:val="0"/>
      <w:marTop w:val="0"/>
      <w:marBottom w:val="0"/>
      <w:divBdr>
        <w:top w:val="none" w:sz="0" w:space="0" w:color="auto"/>
        <w:left w:val="none" w:sz="0" w:space="0" w:color="auto"/>
        <w:bottom w:val="none" w:sz="0" w:space="0" w:color="auto"/>
        <w:right w:val="none" w:sz="0" w:space="0" w:color="auto"/>
      </w:divBdr>
      <w:divsChild>
        <w:div w:id="487941325">
          <w:marLeft w:val="0"/>
          <w:marRight w:val="0"/>
          <w:marTop w:val="0"/>
          <w:marBottom w:val="0"/>
          <w:divBdr>
            <w:top w:val="none" w:sz="0" w:space="0" w:color="auto"/>
            <w:left w:val="none" w:sz="0" w:space="0" w:color="auto"/>
            <w:bottom w:val="none" w:sz="0" w:space="0" w:color="auto"/>
            <w:right w:val="none" w:sz="0" w:space="0" w:color="auto"/>
          </w:divBdr>
        </w:div>
      </w:divsChild>
    </w:div>
    <w:div w:id="716930147">
      <w:bodyDiv w:val="1"/>
      <w:marLeft w:val="0"/>
      <w:marRight w:val="0"/>
      <w:marTop w:val="0"/>
      <w:marBottom w:val="0"/>
      <w:divBdr>
        <w:top w:val="none" w:sz="0" w:space="0" w:color="auto"/>
        <w:left w:val="none" w:sz="0" w:space="0" w:color="auto"/>
        <w:bottom w:val="none" w:sz="0" w:space="0" w:color="auto"/>
        <w:right w:val="none" w:sz="0" w:space="0" w:color="auto"/>
      </w:divBdr>
      <w:divsChild>
        <w:div w:id="740373860">
          <w:marLeft w:val="0"/>
          <w:marRight w:val="0"/>
          <w:marTop w:val="0"/>
          <w:marBottom w:val="0"/>
          <w:divBdr>
            <w:top w:val="none" w:sz="0" w:space="0" w:color="auto"/>
            <w:left w:val="none" w:sz="0" w:space="0" w:color="auto"/>
            <w:bottom w:val="none" w:sz="0" w:space="0" w:color="auto"/>
            <w:right w:val="none" w:sz="0" w:space="0" w:color="auto"/>
          </w:divBdr>
        </w:div>
        <w:div w:id="1536843830">
          <w:marLeft w:val="0"/>
          <w:marRight w:val="0"/>
          <w:marTop w:val="0"/>
          <w:marBottom w:val="0"/>
          <w:divBdr>
            <w:top w:val="none" w:sz="0" w:space="0" w:color="auto"/>
            <w:left w:val="none" w:sz="0" w:space="0" w:color="auto"/>
            <w:bottom w:val="none" w:sz="0" w:space="0" w:color="auto"/>
            <w:right w:val="none" w:sz="0" w:space="0" w:color="auto"/>
          </w:divBdr>
        </w:div>
      </w:divsChild>
    </w:div>
    <w:div w:id="766536297">
      <w:bodyDiv w:val="1"/>
      <w:marLeft w:val="0"/>
      <w:marRight w:val="0"/>
      <w:marTop w:val="0"/>
      <w:marBottom w:val="0"/>
      <w:divBdr>
        <w:top w:val="none" w:sz="0" w:space="0" w:color="auto"/>
        <w:left w:val="none" w:sz="0" w:space="0" w:color="auto"/>
        <w:bottom w:val="none" w:sz="0" w:space="0" w:color="auto"/>
        <w:right w:val="none" w:sz="0" w:space="0" w:color="auto"/>
      </w:divBdr>
      <w:divsChild>
        <w:div w:id="1247113875">
          <w:marLeft w:val="0"/>
          <w:marRight w:val="0"/>
          <w:marTop w:val="0"/>
          <w:marBottom w:val="0"/>
          <w:divBdr>
            <w:top w:val="none" w:sz="0" w:space="0" w:color="auto"/>
            <w:left w:val="none" w:sz="0" w:space="0" w:color="auto"/>
            <w:bottom w:val="none" w:sz="0" w:space="0" w:color="auto"/>
            <w:right w:val="none" w:sz="0" w:space="0" w:color="auto"/>
          </w:divBdr>
        </w:div>
        <w:div w:id="1427968697">
          <w:marLeft w:val="0"/>
          <w:marRight w:val="0"/>
          <w:marTop w:val="0"/>
          <w:marBottom w:val="0"/>
          <w:divBdr>
            <w:top w:val="none" w:sz="0" w:space="0" w:color="auto"/>
            <w:left w:val="none" w:sz="0" w:space="0" w:color="auto"/>
            <w:bottom w:val="none" w:sz="0" w:space="0" w:color="auto"/>
            <w:right w:val="none" w:sz="0" w:space="0" w:color="auto"/>
          </w:divBdr>
        </w:div>
      </w:divsChild>
    </w:div>
    <w:div w:id="772893783">
      <w:bodyDiv w:val="1"/>
      <w:marLeft w:val="0"/>
      <w:marRight w:val="0"/>
      <w:marTop w:val="0"/>
      <w:marBottom w:val="0"/>
      <w:divBdr>
        <w:top w:val="none" w:sz="0" w:space="0" w:color="auto"/>
        <w:left w:val="none" w:sz="0" w:space="0" w:color="auto"/>
        <w:bottom w:val="none" w:sz="0" w:space="0" w:color="auto"/>
        <w:right w:val="none" w:sz="0" w:space="0" w:color="auto"/>
      </w:divBdr>
      <w:divsChild>
        <w:div w:id="61755372">
          <w:marLeft w:val="0"/>
          <w:marRight w:val="0"/>
          <w:marTop w:val="0"/>
          <w:marBottom w:val="0"/>
          <w:divBdr>
            <w:top w:val="none" w:sz="0" w:space="0" w:color="auto"/>
            <w:left w:val="none" w:sz="0" w:space="0" w:color="auto"/>
            <w:bottom w:val="none" w:sz="0" w:space="0" w:color="auto"/>
            <w:right w:val="none" w:sz="0" w:space="0" w:color="auto"/>
          </w:divBdr>
        </w:div>
      </w:divsChild>
    </w:div>
    <w:div w:id="783160655">
      <w:bodyDiv w:val="1"/>
      <w:marLeft w:val="0"/>
      <w:marRight w:val="0"/>
      <w:marTop w:val="0"/>
      <w:marBottom w:val="0"/>
      <w:divBdr>
        <w:top w:val="none" w:sz="0" w:space="0" w:color="auto"/>
        <w:left w:val="none" w:sz="0" w:space="0" w:color="auto"/>
        <w:bottom w:val="none" w:sz="0" w:space="0" w:color="auto"/>
        <w:right w:val="none" w:sz="0" w:space="0" w:color="auto"/>
      </w:divBdr>
      <w:divsChild>
        <w:div w:id="129321523">
          <w:marLeft w:val="0"/>
          <w:marRight w:val="0"/>
          <w:marTop w:val="0"/>
          <w:marBottom w:val="0"/>
          <w:divBdr>
            <w:top w:val="none" w:sz="0" w:space="0" w:color="auto"/>
            <w:left w:val="none" w:sz="0" w:space="0" w:color="auto"/>
            <w:bottom w:val="none" w:sz="0" w:space="0" w:color="auto"/>
            <w:right w:val="none" w:sz="0" w:space="0" w:color="auto"/>
          </w:divBdr>
        </w:div>
      </w:divsChild>
    </w:div>
    <w:div w:id="804087260">
      <w:bodyDiv w:val="1"/>
      <w:marLeft w:val="0"/>
      <w:marRight w:val="0"/>
      <w:marTop w:val="0"/>
      <w:marBottom w:val="0"/>
      <w:divBdr>
        <w:top w:val="none" w:sz="0" w:space="0" w:color="auto"/>
        <w:left w:val="none" w:sz="0" w:space="0" w:color="auto"/>
        <w:bottom w:val="none" w:sz="0" w:space="0" w:color="auto"/>
        <w:right w:val="none" w:sz="0" w:space="0" w:color="auto"/>
      </w:divBdr>
      <w:divsChild>
        <w:div w:id="1647926927">
          <w:marLeft w:val="0"/>
          <w:marRight w:val="0"/>
          <w:marTop w:val="0"/>
          <w:marBottom w:val="0"/>
          <w:divBdr>
            <w:top w:val="none" w:sz="0" w:space="0" w:color="auto"/>
            <w:left w:val="none" w:sz="0" w:space="0" w:color="auto"/>
            <w:bottom w:val="none" w:sz="0" w:space="0" w:color="auto"/>
            <w:right w:val="none" w:sz="0" w:space="0" w:color="auto"/>
          </w:divBdr>
        </w:div>
      </w:divsChild>
    </w:div>
    <w:div w:id="833571778">
      <w:bodyDiv w:val="1"/>
      <w:marLeft w:val="0"/>
      <w:marRight w:val="0"/>
      <w:marTop w:val="0"/>
      <w:marBottom w:val="0"/>
      <w:divBdr>
        <w:top w:val="none" w:sz="0" w:space="0" w:color="auto"/>
        <w:left w:val="none" w:sz="0" w:space="0" w:color="auto"/>
        <w:bottom w:val="none" w:sz="0" w:space="0" w:color="auto"/>
        <w:right w:val="none" w:sz="0" w:space="0" w:color="auto"/>
      </w:divBdr>
      <w:divsChild>
        <w:div w:id="948124354">
          <w:marLeft w:val="0"/>
          <w:marRight w:val="0"/>
          <w:marTop w:val="0"/>
          <w:marBottom w:val="0"/>
          <w:divBdr>
            <w:top w:val="none" w:sz="0" w:space="0" w:color="auto"/>
            <w:left w:val="none" w:sz="0" w:space="0" w:color="auto"/>
            <w:bottom w:val="none" w:sz="0" w:space="0" w:color="auto"/>
            <w:right w:val="none" w:sz="0" w:space="0" w:color="auto"/>
          </w:divBdr>
        </w:div>
      </w:divsChild>
    </w:div>
    <w:div w:id="838693934">
      <w:bodyDiv w:val="1"/>
      <w:marLeft w:val="0"/>
      <w:marRight w:val="0"/>
      <w:marTop w:val="0"/>
      <w:marBottom w:val="0"/>
      <w:divBdr>
        <w:top w:val="none" w:sz="0" w:space="0" w:color="auto"/>
        <w:left w:val="none" w:sz="0" w:space="0" w:color="auto"/>
        <w:bottom w:val="none" w:sz="0" w:space="0" w:color="auto"/>
        <w:right w:val="none" w:sz="0" w:space="0" w:color="auto"/>
      </w:divBdr>
      <w:divsChild>
        <w:div w:id="169684363">
          <w:marLeft w:val="0"/>
          <w:marRight w:val="0"/>
          <w:marTop w:val="0"/>
          <w:marBottom w:val="0"/>
          <w:divBdr>
            <w:top w:val="none" w:sz="0" w:space="0" w:color="auto"/>
            <w:left w:val="none" w:sz="0" w:space="0" w:color="auto"/>
            <w:bottom w:val="none" w:sz="0" w:space="0" w:color="auto"/>
            <w:right w:val="none" w:sz="0" w:space="0" w:color="auto"/>
          </w:divBdr>
        </w:div>
        <w:div w:id="1297644871">
          <w:marLeft w:val="0"/>
          <w:marRight w:val="0"/>
          <w:marTop w:val="0"/>
          <w:marBottom w:val="0"/>
          <w:divBdr>
            <w:top w:val="none" w:sz="0" w:space="0" w:color="auto"/>
            <w:left w:val="none" w:sz="0" w:space="0" w:color="auto"/>
            <w:bottom w:val="none" w:sz="0" w:space="0" w:color="auto"/>
            <w:right w:val="none" w:sz="0" w:space="0" w:color="auto"/>
          </w:divBdr>
        </w:div>
      </w:divsChild>
    </w:div>
    <w:div w:id="859470765">
      <w:bodyDiv w:val="1"/>
      <w:marLeft w:val="0"/>
      <w:marRight w:val="0"/>
      <w:marTop w:val="0"/>
      <w:marBottom w:val="0"/>
      <w:divBdr>
        <w:top w:val="none" w:sz="0" w:space="0" w:color="auto"/>
        <w:left w:val="none" w:sz="0" w:space="0" w:color="auto"/>
        <w:bottom w:val="none" w:sz="0" w:space="0" w:color="auto"/>
        <w:right w:val="none" w:sz="0" w:space="0" w:color="auto"/>
      </w:divBdr>
      <w:divsChild>
        <w:div w:id="199318979">
          <w:marLeft w:val="0"/>
          <w:marRight w:val="0"/>
          <w:marTop w:val="0"/>
          <w:marBottom w:val="0"/>
          <w:divBdr>
            <w:top w:val="none" w:sz="0" w:space="0" w:color="auto"/>
            <w:left w:val="none" w:sz="0" w:space="0" w:color="auto"/>
            <w:bottom w:val="none" w:sz="0" w:space="0" w:color="auto"/>
            <w:right w:val="none" w:sz="0" w:space="0" w:color="auto"/>
          </w:divBdr>
        </w:div>
      </w:divsChild>
    </w:div>
    <w:div w:id="921259902">
      <w:bodyDiv w:val="1"/>
      <w:marLeft w:val="0"/>
      <w:marRight w:val="0"/>
      <w:marTop w:val="0"/>
      <w:marBottom w:val="0"/>
      <w:divBdr>
        <w:top w:val="none" w:sz="0" w:space="0" w:color="auto"/>
        <w:left w:val="none" w:sz="0" w:space="0" w:color="auto"/>
        <w:bottom w:val="none" w:sz="0" w:space="0" w:color="auto"/>
        <w:right w:val="none" w:sz="0" w:space="0" w:color="auto"/>
      </w:divBdr>
    </w:div>
    <w:div w:id="956528705">
      <w:bodyDiv w:val="1"/>
      <w:marLeft w:val="0"/>
      <w:marRight w:val="0"/>
      <w:marTop w:val="0"/>
      <w:marBottom w:val="0"/>
      <w:divBdr>
        <w:top w:val="none" w:sz="0" w:space="0" w:color="auto"/>
        <w:left w:val="none" w:sz="0" w:space="0" w:color="auto"/>
        <w:bottom w:val="none" w:sz="0" w:space="0" w:color="auto"/>
        <w:right w:val="none" w:sz="0" w:space="0" w:color="auto"/>
      </w:divBdr>
      <w:divsChild>
        <w:div w:id="2063164538">
          <w:marLeft w:val="0"/>
          <w:marRight w:val="0"/>
          <w:marTop w:val="0"/>
          <w:marBottom w:val="0"/>
          <w:divBdr>
            <w:top w:val="none" w:sz="0" w:space="0" w:color="auto"/>
            <w:left w:val="none" w:sz="0" w:space="0" w:color="auto"/>
            <w:bottom w:val="none" w:sz="0" w:space="0" w:color="auto"/>
            <w:right w:val="none" w:sz="0" w:space="0" w:color="auto"/>
          </w:divBdr>
        </w:div>
      </w:divsChild>
    </w:div>
    <w:div w:id="959921469">
      <w:bodyDiv w:val="1"/>
      <w:marLeft w:val="0"/>
      <w:marRight w:val="0"/>
      <w:marTop w:val="0"/>
      <w:marBottom w:val="0"/>
      <w:divBdr>
        <w:top w:val="none" w:sz="0" w:space="0" w:color="auto"/>
        <w:left w:val="none" w:sz="0" w:space="0" w:color="auto"/>
        <w:bottom w:val="none" w:sz="0" w:space="0" w:color="auto"/>
        <w:right w:val="none" w:sz="0" w:space="0" w:color="auto"/>
      </w:divBdr>
      <w:divsChild>
        <w:div w:id="50009354">
          <w:marLeft w:val="0"/>
          <w:marRight w:val="0"/>
          <w:marTop w:val="0"/>
          <w:marBottom w:val="0"/>
          <w:divBdr>
            <w:top w:val="none" w:sz="0" w:space="0" w:color="auto"/>
            <w:left w:val="none" w:sz="0" w:space="0" w:color="auto"/>
            <w:bottom w:val="none" w:sz="0" w:space="0" w:color="auto"/>
            <w:right w:val="none" w:sz="0" w:space="0" w:color="auto"/>
          </w:divBdr>
        </w:div>
      </w:divsChild>
    </w:div>
    <w:div w:id="993528581">
      <w:bodyDiv w:val="1"/>
      <w:marLeft w:val="0"/>
      <w:marRight w:val="0"/>
      <w:marTop w:val="0"/>
      <w:marBottom w:val="0"/>
      <w:divBdr>
        <w:top w:val="none" w:sz="0" w:space="0" w:color="auto"/>
        <w:left w:val="none" w:sz="0" w:space="0" w:color="auto"/>
        <w:bottom w:val="none" w:sz="0" w:space="0" w:color="auto"/>
        <w:right w:val="none" w:sz="0" w:space="0" w:color="auto"/>
      </w:divBdr>
    </w:div>
    <w:div w:id="1012151206">
      <w:bodyDiv w:val="1"/>
      <w:marLeft w:val="0"/>
      <w:marRight w:val="0"/>
      <w:marTop w:val="0"/>
      <w:marBottom w:val="0"/>
      <w:divBdr>
        <w:top w:val="none" w:sz="0" w:space="0" w:color="auto"/>
        <w:left w:val="none" w:sz="0" w:space="0" w:color="auto"/>
        <w:bottom w:val="none" w:sz="0" w:space="0" w:color="auto"/>
        <w:right w:val="none" w:sz="0" w:space="0" w:color="auto"/>
      </w:divBdr>
      <w:divsChild>
        <w:div w:id="1517111216">
          <w:marLeft w:val="0"/>
          <w:marRight w:val="0"/>
          <w:marTop w:val="0"/>
          <w:marBottom w:val="0"/>
          <w:divBdr>
            <w:top w:val="none" w:sz="0" w:space="0" w:color="auto"/>
            <w:left w:val="none" w:sz="0" w:space="0" w:color="auto"/>
            <w:bottom w:val="none" w:sz="0" w:space="0" w:color="auto"/>
            <w:right w:val="none" w:sz="0" w:space="0" w:color="auto"/>
          </w:divBdr>
        </w:div>
      </w:divsChild>
    </w:div>
    <w:div w:id="1041855701">
      <w:bodyDiv w:val="1"/>
      <w:marLeft w:val="0"/>
      <w:marRight w:val="0"/>
      <w:marTop w:val="0"/>
      <w:marBottom w:val="0"/>
      <w:divBdr>
        <w:top w:val="none" w:sz="0" w:space="0" w:color="auto"/>
        <w:left w:val="none" w:sz="0" w:space="0" w:color="auto"/>
        <w:bottom w:val="none" w:sz="0" w:space="0" w:color="auto"/>
        <w:right w:val="none" w:sz="0" w:space="0" w:color="auto"/>
      </w:divBdr>
      <w:divsChild>
        <w:div w:id="573978099">
          <w:marLeft w:val="0"/>
          <w:marRight w:val="0"/>
          <w:marTop w:val="0"/>
          <w:marBottom w:val="0"/>
          <w:divBdr>
            <w:top w:val="none" w:sz="0" w:space="0" w:color="auto"/>
            <w:left w:val="none" w:sz="0" w:space="0" w:color="auto"/>
            <w:bottom w:val="none" w:sz="0" w:space="0" w:color="auto"/>
            <w:right w:val="none" w:sz="0" w:space="0" w:color="auto"/>
          </w:divBdr>
        </w:div>
      </w:divsChild>
    </w:div>
    <w:div w:id="1062168897">
      <w:bodyDiv w:val="1"/>
      <w:marLeft w:val="0"/>
      <w:marRight w:val="0"/>
      <w:marTop w:val="0"/>
      <w:marBottom w:val="0"/>
      <w:divBdr>
        <w:top w:val="none" w:sz="0" w:space="0" w:color="auto"/>
        <w:left w:val="none" w:sz="0" w:space="0" w:color="auto"/>
        <w:bottom w:val="none" w:sz="0" w:space="0" w:color="auto"/>
        <w:right w:val="none" w:sz="0" w:space="0" w:color="auto"/>
      </w:divBdr>
      <w:divsChild>
        <w:div w:id="812989684">
          <w:marLeft w:val="0"/>
          <w:marRight w:val="0"/>
          <w:marTop w:val="0"/>
          <w:marBottom w:val="0"/>
          <w:divBdr>
            <w:top w:val="none" w:sz="0" w:space="0" w:color="auto"/>
            <w:left w:val="none" w:sz="0" w:space="0" w:color="auto"/>
            <w:bottom w:val="none" w:sz="0" w:space="0" w:color="auto"/>
            <w:right w:val="none" w:sz="0" w:space="0" w:color="auto"/>
          </w:divBdr>
        </w:div>
        <w:div w:id="2053455968">
          <w:marLeft w:val="0"/>
          <w:marRight w:val="0"/>
          <w:marTop w:val="0"/>
          <w:marBottom w:val="0"/>
          <w:divBdr>
            <w:top w:val="none" w:sz="0" w:space="0" w:color="auto"/>
            <w:left w:val="none" w:sz="0" w:space="0" w:color="auto"/>
            <w:bottom w:val="none" w:sz="0" w:space="0" w:color="auto"/>
            <w:right w:val="none" w:sz="0" w:space="0" w:color="auto"/>
          </w:divBdr>
        </w:div>
      </w:divsChild>
    </w:div>
    <w:div w:id="1122533152">
      <w:bodyDiv w:val="1"/>
      <w:marLeft w:val="0"/>
      <w:marRight w:val="0"/>
      <w:marTop w:val="0"/>
      <w:marBottom w:val="0"/>
      <w:divBdr>
        <w:top w:val="none" w:sz="0" w:space="0" w:color="auto"/>
        <w:left w:val="none" w:sz="0" w:space="0" w:color="auto"/>
        <w:bottom w:val="none" w:sz="0" w:space="0" w:color="auto"/>
        <w:right w:val="none" w:sz="0" w:space="0" w:color="auto"/>
      </w:divBdr>
      <w:divsChild>
        <w:div w:id="1485464083">
          <w:marLeft w:val="0"/>
          <w:marRight w:val="0"/>
          <w:marTop w:val="0"/>
          <w:marBottom w:val="0"/>
          <w:divBdr>
            <w:top w:val="none" w:sz="0" w:space="0" w:color="auto"/>
            <w:left w:val="none" w:sz="0" w:space="0" w:color="auto"/>
            <w:bottom w:val="none" w:sz="0" w:space="0" w:color="auto"/>
            <w:right w:val="none" w:sz="0" w:space="0" w:color="auto"/>
          </w:divBdr>
        </w:div>
        <w:div w:id="2125617473">
          <w:marLeft w:val="0"/>
          <w:marRight w:val="0"/>
          <w:marTop w:val="0"/>
          <w:marBottom w:val="0"/>
          <w:divBdr>
            <w:top w:val="none" w:sz="0" w:space="0" w:color="auto"/>
            <w:left w:val="none" w:sz="0" w:space="0" w:color="auto"/>
            <w:bottom w:val="none" w:sz="0" w:space="0" w:color="auto"/>
            <w:right w:val="none" w:sz="0" w:space="0" w:color="auto"/>
          </w:divBdr>
          <w:divsChild>
            <w:div w:id="287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833">
      <w:bodyDiv w:val="1"/>
      <w:marLeft w:val="0"/>
      <w:marRight w:val="0"/>
      <w:marTop w:val="0"/>
      <w:marBottom w:val="0"/>
      <w:divBdr>
        <w:top w:val="none" w:sz="0" w:space="0" w:color="auto"/>
        <w:left w:val="none" w:sz="0" w:space="0" w:color="auto"/>
        <w:bottom w:val="none" w:sz="0" w:space="0" w:color="auto"/>
        <w:right w:val="none" w:sz="0" w:space="0" w:color="auto"/>
      </w:divBdr>
      <w:divsChild>
        <w:div w:id="1693142870">
          <w:marLeft w:val="0"/>
          <w:marRight w:val="0"/>
          <w:marTop w:val="0"/>
          <w:marBottom w:val="0"/>
          <w:divBdr>
            <w:top w:val="none" w:sz="0" w:space="0" w:color="auto"/>
            <w:left w:val="none" w:sz="0" w:space="0" w:color="auto"/>
            <w:bottom w:val="none" w:sz="0" w:space="0" w:color="auto"/>
            <w:right w:val="none" w:sz="0" w:space="0" w:color="auto"/>
          </w:divBdr>
        </w:div>
      </w:divsChild>
    </w:div>
    <w:div w:id="1135954327">
      <w:bodyDiv w:val="1"/>
      <w:marLeft w:val="0"/>
      <w:marRight w:val="0"/>
      <w:marTop w:val="0"/>
      <w:marBottom w:val="0"/>
      <w:divBdr>
        <w:top w:val="none" w:sz="0" w:space="0" w:color="auto"/>
        <w:left w:val="none" w:sz="0" w:space="0" w:color="auto"/>
        <w:bottom w:val="none" w:sz="0" w:space="0" w:color="auto"/>
        <w:right w:val="none" w:sz="0" w:space="0" w:color="auto"/>
      </w:divBdr>
      <w:divsChild>
        <w:div w:id="350692810">
          <w:marLeft w:val="0"/>
          <w:marRight w:val="0"/>
          <w:marTop w:val="0"/>
          <w:marBottom w:val="0"/>
          <w:divBdr>
            <w:top w:val="none" w:sz="0" w:space="0" w:color="auto"/>
            <w:left w:val="none" w:sz="0" w:space="0" w:color="auto"/>
            <w:bottom w:val="none" w:sz="0" w:space="0" w:color="auto"/>
            <w:right w:val="none" w:sz="0" w:space="0" w:color="auto"/>
          </w:divBdr>
          <w:divsChild>
            <w:div w:id="1479759335">
              <w:marLeft w:val="0"/>
              <w:marRight w:val="0"/>
              <w:marTop w:val="0"/>
              <w:marBottom w:val="0"/>
              <w:divBdr>
                <w:top w:val="none" w:sz="0" w:space="0" w:color="auto"/>
                <w:left w:val="none" w:sz="0" w:space="0" w:color="auto"/>
                <w:bottom w:val="none" w:sz="0" w:space="0" w:color="auto"/>
                <w:right w:val="none" w:sz="0" w:space="0" w:color="auto"/>
              </w:divBdr>
            </w:div>
          </w:divsChild>
        </w:div>
        <w:div w:id="804589645">
          <w:marLeft w:val="0"/>
          <w:marRight w:val="0"/>
          <w:marTop w:val="0"/>
          <w:marBottom w:val="0"/>
          <w:divBdr>
            <w:top w:val="none" w:sz="0" w:space="0" w:color="auto"/>
            <w:left w:val="none" w:sz="0" w:space="0" w:color="auto"/>
            <w:bottom w:val="none" w:sz="0" w:space="0" w:color="auto"/>
            <w:right w:val="none" w:sz="0" w:space="0" w:color="auto"/>
          </w:divBdr>
        </w:div>
      </w:divsChild>
    </w:div>
    <w:div w:id="1163551485">
      <w:bodyDiv w:val="1"/>
      <w:marLeft w:val="0"/>
      <w:marRight w:val="0"/>
      <w:marTop w:val="0"/>
      <w:marBottom w:val="0"/>
      <w:divBdr>
        <w:top w:val="none" w:sz="0" w:space="0" w:color="auto"/>
        <w:left w:val="none" w:sz="0" w:space="0" w:color="auto"/>
        <w:bottom w:val="none" w:sz="0" w:space="0" w:color="auto"/>
        <w:right w:val="none" w:sz="0" w:space="0" w:color="auto"/>
      </w:divBdr>
      <w:divsChild>
        <w:div w:id="697124003">
          <w:marLeft w:val="0"/>
          <w:marRight w:val="0"/>
          <w:marTop w:val="0"/>
          <w:marBottom w:val="0"/>
          <w:divBdr>
            <w:top w:val="none" w:sz="0" w:space="0" w:color="auto"/>
            <w:left w:val="none" w:sz="0" w:space="0" w:color="auto"/>
            <w:bottom w:val="none" w:sz="0" w:space="0" w:color="auto"/>
            <w:right w:val="none" w:sz="0" w:space="0" w:color="auto"/>
          </w:divBdr>
        </w:div>
      </w:divsChild>
    </w:div>
    <w:div w:id="1172842431">
      <w:bodyDiv w:val="1"/>
      <w:marLeft w:val="0"/>
      <w:marRight w:val="0"/>
      <w:marTop w:val="0"/>
      <w:marBottom w:val="0"/>
      <w:divBdr>
        <w:top w:val="none" w:sz="0" w:space="0" w:color="auto"/>
        <w:left w:val="none" w:sz="0" w:space="0" w:color="auto"/>
        <w:bottom w:val="none" w:sz="0" w:space="0" w:color="auto"/>
        <w:right w:val="none" w:sz="0" w:space="0" w:color="auto"/>
      </w:divBdr>
      <w:divsChild>
        <w:div w:id="1840078830">
          <w:marLeft w:val="0"/>
          <w:marRight w:val="0"/>
          <w:marTop w:val="0"/>
          <w:marBottom w:val="0"/>
          <w:divBdr>
            <w:top w:val="none" w:sz="0" w:space="0" w:color="auto"/>
            <w:left w:val="none" w:sz="0" w:space="0" w:color="auto"/>
            <w:bottom w:val="none" w:sz="0" w:space="0" w:color="auto"/>
            <w:right w:val="none" w:sz="0" w:space="0" w:color="auto"/>
          </w:divBdr>
        </w:div>
      </w:divsChild>
    </w:div>
    <w:div w:id="1186478323">
      <w:bodyDiv w:val="1"/>
      <w:marLeft w:val="0"/>
      <w:marRight w:val="0"/>
      <w:marTop w:val="0"/>
      <w:marBottom w:val="0"/>
      <w:divBdr>
        <w:top w:val="none" w:sz="0" w:space="0" w:color="auto"/>
        <w:left w:val="none" w:sz="0" w:space="0" w:color="auto"/>
        <w:bottom w:val="none" w:sz="0" w:space="0" w:color="auto"/>
        <w:right w:val="none" w:sz="0" w:space="0" w:color="auto"/>
      </w:divBdr>
    </w:div>
    <w:div w:id="1230843078">
      <w:bodyDiv w:val="1"/>
      <w:marLeft w:val="0"/>
      <w:marRight w:val="0"/>
      <w:marTop w:val="0"/>
      <w:marBottom w:val="0"/>
      <w:divBdr>
        <w:top w:val="none" w:sz="0" w:space="0" w:color="auto"/>
        <w:left w:val="none" w:sz="0" w:space="0" w:color="auto"/>
        <w:bottom w:val="none" w:sz="0" w:space="0" w:color="auto"/>
        <w:right w:val="none" w:sz="0" w:space="0" w:color="auto"/>
      </w:divBdr>
      <w:divsChild>
        <w:div w:id="1772579726">
          <w:marLeft w:val="0"/>
          <w:marRight w:val="0"/>
          <w:marTop w:val="0"/>
          <w:marBottom w:val="0"/>
          <w:divBdr>
            <w:top w:val="none" w:sz="0" w:space="0" w:color="auto"/>
            <w:left w:val="none" w:sz="0" w:space="0" w:color="auto"/>
            <w:bottom w:val="none" w:sz="0" w:space="0" w:color="auto"/>
            <w:right w:val="none" w:sz="0" w:space="0" w:color="auto"/>
          </w:divBdr>
        </w:div>
      </w:divsChild>
    </w:div>
    <w:div w:id="1234463407">
      <w:bodyDiv w:val="1"/>
      <w:marLeft w:val="0"/>
      <w:marRight w:val="0"/>
      <w:marTop w:val="0"/>
      <w:marBottom w:val="0"/>
      <w:divBdr>
        <w:top w:val="none" w:sz="0" w:space="0" w:color="auto"/>
        <w:left w:val="none" w:sz="0" w:space="0" w:color="auto"/>
        <w:bottom w:val="none" w:sz="0" w:space="0" w:color="auto"/>
        <w:right w:val="none" w:sz="0" w:space="0" w:color="auto"/>
      </w:divBdr>
      <w:divsChild>
        <w:div w:id="1375080841">
          <w:marLeft w:val="0"/>
          <w:marRight w:val="0"/>
          <w:marTop w:val="0"/>
          <w:marBottom w:val="0"/>
          <w:divBdr>
            <w:top w:val="none" w:sz="0" w:space="0" w:color="auto"/>
            <w:left w:val="none" w:sz="0" w:space="0" w:color="auto"/>
            <w:bottom w:val="none" w:sz="0" w:space="0" w:color="auto"/>
            <w:right w:val="none" w:sz="0" w:space="0" w:color="auto"/>
          </w:divBdr>
        </w:div>
      </w:divsChild>
    </w:div>
    <w:div w:id="1252853044">
      <w:bodyDiv w:val="1"/>
      <w:marLeft w:val="0"/>
      <w:marRight w:val="0"/>
      <w:marTop w:val="0"/>
      <w:marBottom w:val="0"/>
      <w:divBdr>
        <w:top w:val="none" w:sz="0" w:space="0" w:color="auto"/>
        <w:left w:val="none" w:sz="0" w:space="0" w:color="auto"/>
        <w:bottom w:val="none" w:sz="0" w:space="0" w:color="auto"/>
        <w:right w:val="none" w:sz="0" w:space="0" w:color="auto"/>
      </w:divBdr>
      <w:divsChild>
        <w:div w:id="1576936689">
          <w:marLeft w:val="0"/>
          <w:marRight w:val="0"/>
          <w:marTop w:val="0"/>
          <w:marBottom w:val="0"/>
          <w:divBdr>
            <w:top w:val="none" w:sz="0" w:space="0" w:color="auto"/>
            <w:left w:val="none" w:sz="0" w:space="0" w:color="auto"/>
            <w:bottom w:val="none" w:sz="0" w:space="0" w:color="auto"/>
            <w:right w:val="none" w:sz="0" w:space="0" w:color="auto"/>
          </w:divBdr>
        </w:div>
      </w:divsChild>
    </w:div>
    <w:div w:id="1267422466">
      <w:bodyDiv w:val="1"/>
      <w:marLeft w:val="0"/>
      <w:marRight w:val="0"/>
      <w:marTop w:val="0"/>
      <w:marBottom w:val="0"/>
      <w:divBdr>
        <w:top w:val="none" w:sz="0" w:space="0" w:color="auto"/>
        <w:left w:val="none" w:sz="0" w:space="0" w:color="auto"/>
        <w:bottom w:val="none" w:sz="0" w:space="0" w:color="auto"/>
        <w:right w:val="none" w:sz="0" w:space="0" w:color="auto"/>
      </w:divBdr>
      <w:divsChild>
        <w:div w:id="180556002">
          <w:marLeft w:val="0"/>
          <w:marRight w:val="0"/>
          <w:marTop w:val="0"/>
          <w:marBottom w:val="0"/>
          <w:divBdr>
            <w:top w:val="none" w:sz="0" w:space="0" w:color="auto"/>
            <w:left w:val="none" w:sz="0" w:space="0" w:color="auto"/>
            <w:bottom w:val="none" w:sz="0" w:space="0" w:color="auto"/>
            <w:right w:val="none" w:sz="0" w:space="0" w:color="auto"/>
          </w:divBdr>
        </w:div>
      </w:divsChild>
    </w:div>
    <w:div w:id="1276865908">
      <w:bodyDiv w:val="1"/>
      <w:marLeft w:val="0"/>
      <w:marRight w:val="0"/>
      <w:marTop w:val="0"/>
      <w:marBottom w:val="0"/>
      <w:divBdr>
        <w:top w:val="none" w:sz="0" w:space="0" w:color="auto"/>
        <w:left w:val="none" w:sz="0" w:space="0" w:color="auto"/>
        <w:bottom w:val="none" w:sz="0" w:space="0" w:color="auto"/>
        <w:right w:val="none" w:sz="0" w:space="0" w:color="auto"/>
      </w:divBdr>
      <w:divsChild>
        <w:div w:id="8995143">
          <w:marLeft w:val="0"/>
          <w:marRight w:val="0"/>
          <w:marTop w:val="0"/>
          <w:marBottom w:val="0"/>
          <w:divBdr>
            <w:top w:val="none" w:sz="0" w:space="0" w:color="auto"/>
            <w:left w:val="none" w:sz="0" w:space="0" w:color="auto"/>
            <w:bottom w:val="none" w:sz="0" w:space="0" w:color="auto"/>
            <w:right w:val="none" w:sz="0" w:space="0" w:color="auto"/>
          </w:divBdr>
        </w:div>
      </w:divsChild>
    </w:div>
    <w:div w:id="1278026242">
      <w:bodyDiv w:val="1"/>
      <w:marLeft w:val="0"/>
      <w:marRight w:val="0"/>
      <w:marTop w:val="0"/>
      <w:marBottom w:val="0"/>
      <w:divBdr>
        <w:top w:val="none" w:sz="0" w:space="0" w:color="auto"/>
        <w:left w:val="none" w:sz="0" w:space="0" w:color="auto"/>
        <w:bottom w:val="none" w:sz="0" w:space="0" w:color="auto"/>
        <w:right w:val="none" w:sz="0" w:space="0" w:color="auto"/>
      </w:divBdr>
      <w:divsChild>
        <w:div w:id="801771476">
          <w:marLeft w:val="0"/>
          <w:marRight w:val="0"/>
          <w:marTop w:val="0"/>
          <w:marBottom w:val="0"/>
          <w:divBdr>
            <w:top w:val="none" w:sz="0" w:space="0" w:color="auto"/>
            <w:left w:val="none" w:sz="0" w:space="0" w:color="auto"/>
            <w:bottom w:val="none" w:sz="0" w:space="0" w:color="auto"/>
            <w:right w:val="none" w:sz="0" w:space="0" w:color="auto"/>
          </w:divBdr>
        </w:div>
      </w:divsChild>
    </w:div>
    <w:div w:id="1301422229">
      <w:bodyDiv w:val="1"/>
      <w:marLeft w:val="0"/>
      <w:marRight w:val="0"/>
      <w:marTop w:val="0"/>
      <w:marBottom w:val="0"/>
      <w:divBdr>
        <w:top w:val="none" w:sz="0" w:space="0" w:color="auto"/>
        <w:left w:val="none" w:sz="0" w:space="0" w:color="auto"/>
        <w:bottom w:val="none" w:sz="0" w:space="0" w:color="auto"/>
        <w:right w:val="none" w:sz="0" w:space="0" w:color="auto"/>
      </w:divBdr>
      <w:divsChild>
        <w:div w:id="392896009">
          <w:marLeft w:val="0"/>
          <w:marRight w:val="0"/>
          <w:marTop w:val="0"/>
          <w:marBottom w:val="0"/>
          <w:divBdr>
            <w:top w:val="none" w:sz="0" w:space="0" w:color="auto"/>
            <w:left w:val="none" w:sz="0" w:space="0" w:color="auto"/>
            <w:bottom w:val="none" w:sz="0" w:space="0" w:color="auto"/>
            <w:right w:val="none" w:sz="0" w:space="0" w:color="auto"/>
          </w:divBdr>
        </w:div>
      </w:divsChild>
    </w:div>
    <w:div w:id="1302660065">
      <w:bodyDiv w:val="1"/>
      <w:marLeft w:val="0"/>
      <w:marRight w:val="0"/>
      <w:marTop w:val="0"/>
      <w:marBottom w:val="0"/>
      <w:divBdr>
        <w:top w:val="none" w:sz="0" w:space="0" w:color="auto"/>
        <w:left w:val="none" w:sz="0" w:space="0" w:color="auto"/>
        <w:bottom w:val="none" w:sz="0" w:space="0" w:color="auto"/>
        <w:right w:val="none" w:sz="0" w:space="0" w:color="auto"/>
      </w:divBdr>
      <w:divsChild>
        <w:div w:id="1092821944">
          <w:marLeft w:val="0"/>
          <w:marRight w:val="0"/>
          <w:marTop w:val="0"/>
          <w:marBottom w:val="0"/>
          <w:divBdr>
            <w:top w:val="none" w:sz="0" w:space="0" w:color="auto"/>
            <w:left w:val="none" w:sz="0" w:space="0" w:color="auto"/>
            <w:bottom w:val="none" w:sz="0" w:space="0" w:color="auto"/>
            <w:right w:val="none" w:sz="0" w:space="0" w:color="auto"/>
          </w:divBdr>
        </w:div>
      </w:divsChild>
    </w:div>
    <w:div w:id="1310592144">
      <w:bodyDiv w:val="1"/>
      <w:marLeft w:val="0"/>
      <w:marRight w:val="0"/>
      <w:marTop w:val="0"/>
      <w:marBottom w:val="0"/>
      <w:divBdr>
        <w:top w:val="none" w:sz="0" w:space="0" w:color="auto"/>
        <w:left w:val="none" w:sz="0" w:space="0" w:color="auto"/>
        <w:bottom w:val="none" w:sz="0" w:space="0" w:color="auto"/>
        <w:right w:val="none" w:sz="0" w:space="0" w:color="auto"/>
      </w:divBdr>
      <w:divsChild>
        <w:div w:id="16858792">
          <w:marLeft w:val="0"/>
          <w:marRight w:val="0"/>
          <w:marTop w:val="0"/>
          <w:marBottom w:val="0"/>
          <w:divBdr>
            <w:top w:val="none" w:sz="0" w:space="0" w:color="auto"/>
            <w:left w:val="none" w:sz="0" w:space="0" w:color="auto"/>
            <w:bottom w:val="none" w:sz="0" w:space="0" w:color="auto"/>
            <w:right w:val="none" w:sz="0" w:space="0" w:color="auto"/>
          </w:divBdr>
        </w:div>
        <w:div w:id="989359926">
          <w:marLeft w:val="0"/>
          <w:marRight w:val="0"/>
          <w:marTop w:val="0"/>
          <w:marBottom w:val="0"/>
          <w:divBdr>
            <w:top w:val="none" w:sz="0" w:space="0" w:color="auto"/>
            <w:left w:val="none" w:sz="0" w:space="0" w:color="auto"/>
            <w:bottom w:val="none" w:sz="0" w:space="0" w:color="auto"/>
            <w:right w:val="none" w:sz="0" w:space="0" w:color="auto"/>
          </w:divBdr>
        </w:div>
      </w:divsChild>
    </w:div>
    <w:div w:id="1332753360">
      <w:bodyDiv w:val="1"/>
      <w:marLeft w:val="0"/>
      <w:marRight w:val="0"/>
      <w:marTop w:val="0"/>
      <w:marBottom w:val="0"/>
      <w:divBdr>
        <w:top w:val="none" w:sz="0" w:space="0" w:color="auto"/>
        <w:left w:val="none" w:sz="0" w:space="0" w:color="auto"/>
        <w:bottom w:val="none" w:sz="0" w:space="0" w:color="auto"/>
        <w:right w:val="none" w:sz="0" w:space="0" w:color="auto"/>
      </w:divBdr>
      <w:divsChild>
        <w:div w:id="53814527">
          <w:marLeft w:val="0"/>
          <w:marRight w:val="0"/>
          <w:marTop w:val="0"/>
          <w:marBottom w:val="0"/>
          <w:divBdr>
            <w:top w:val="none" w:sz="0" w:space="0" w:color="auto"/>
            <w:left w:val="none" w:sz="0" w:space="0" w:color="auto"/>
            <w:bottom w:val="none" w:sz="0" w:space="0" w:color="auto"/>
            <w:right w:val="none" w:sz="0" w:space="0" w:color="auto"/>
          </w:divBdr>
        </w:div>
      </w:divsChild>
    </w:div>
    <w:div w:id="1377467661">
      <w:bodyDiv w:val="1"/>
      <w:marLeft w:val="0"/>
      <w:marRight w:val="0"/>
      <w:marTop w:val="0"/>
      <w:marBottom w:val="0"/>
      <w:divBdr>
        <w:top w:val="none" w:sz="0" w:space="0" w:color="auto"/>
        <w:left w:val="none" w:sz="0" w:space="0" w:color="auto"/>
        <w:bottom w:val="none" w:sz="0" w:space="0" w:color="auto"/>
        <w:right w:val="none" w:sz="0" w:space="0" w:color="auto"/>
      </w:divBdr>
    </w:div>
    <w:div w:id="1388189820">
      <w:bodyDiv w:val="1"/>
      <w:marLeft w:val="0"/>
      <w:marRight w:val="0"/>
      <w:marTop w:val="0"/>
      <w:marBottom w:val="0"/>
      <w:divBdr>
        <w:top w:val="none" w:sz="0" w:space="0" w:color="auto"/>
        <w:left w:val="none" w:sz="0" w:space="0" w:color="auto"/>
        <w:bottom w:val="none" w:sz="0" w:space="0" w:color="auto"/>
        <w:right w:val="none" w:sz="0" w:space="0" w:color="auto"/>
      </w:divBdr>
      <w:divsChild>
        <w:div w:id="709108053">
          <w:marLeft w:val="0"/>
          <w:marRight w:val="0"/>
          <w:marTop w:val="0"/>
          <w:marBottom w:val="0"/>
          <w:divBdr>
            <w:top w:val="none" w:sz="0" w:space="0" w:color="auto"/>
            <w:left w:val="none" w:sz="0" w:space="0" w:color="auto"/>
            <w:bottom w:val="none" w:sz="0" w:space="0" w:color="auto"/>
            <w:right w:val="none" w:sz="0" w:space="0" w:color="auto"/>
          </w:divBdr>
        </w:div>
      </w:divsChild>
    </w:div>
    <w:div w:id="1439835059">
      <w:bodyDiv w:val="1"/>
      <w:marLeft w:val="0"/>
      <w:marRight w:val="0"/>
      <w:marTop w:val="0"/>
      <w:marBottom w:val="0"/>
      <w:divBdr>
        <w:top w:val="none" w:sz="0" w:space="0" w:color="auto"/>
        <w:left w:val="none" w:sz="0" w:space="0" w:color="auto"/>
        <w:bottom w:val="none" w:sz="0" w:space="0" w:color="auto"/>
        <w:right w:val="none" w:sz="0" w:space="0" w:color="auto"/>
      </w:divBdr>
    </w:div>
    <w:div w:id="1447888033">
      <w:bodyDiv w:val="1"/>
      <w:marLeft w:val="0"/>
      <w:marRight w:val="0"/>
      <w:marTop w:val="0"/>
      <w:marBottom w:val="0"/>
      <w:divBdr>
        <w:top w:val="none" w:sz="0" w:space="0" w:color="auto"/>
        <w:left w:val="none" w:sz="0" w:space="0" w:color="auto"/>
        <w:bottom w:val="none" w:sz="0" w:space="0" w:color="auto"/>
        <w:right w:val="none" w:sz="0" w:space="0" w:color="auto"/>
      </w:divBdr>
      <w:divsChild>
        <w:div w:id="419134101">
          <w:marLeft w:val="0"/>
          <w:marRight w:val="0"/>
          <w:marTop w:val="0"/>
          <w:marBottom w:val="0"/>
          <w:divBdr>
            <w:top w:val="none" w:sz="0" w:space="0" w:color="auto"/>
            <w:left w:val="none" w:sz="0" w:space="0" w:color="auto"/>
            <w:bottom w:val="none" w:sz="0" w:space="0" w:color="auto"/>
            <w:right w:val="none" w:sz="0" w:space="0" w:color="auto"/>
          </w:divBdr>
        </w:div>
      </w:divsChild>
    </w:div>
    <w:div w:id="1453861723">
      <w:bodyDiv w:val="1"/>
      <w:marLeft w:val="0"/>
      <w:marRight w:val="0"/>
      <w:marTop w:val="0"/>
      <w:marBottom w:val="0"/>
      <w:divBdr>
        <w:top w:val="none" w:sz="0" w:space="0" w:color="auto"/>
        <w:left w:val="none" w:sz="0" w:space="0" w:color="auto"/>
        <w:bottom w:val="none" w:sz="0" w:space="0" w:color="auto"/>
        <w:right w:val="none" w:sz="0" w:space="0" w:color="auto"/>
      </w:divBdr>
      <w:divsChild>
        <w:div w:id="467236748">
          <w:marLeft w:val="0"/>
          <w:marRight w:val="0"/>
          <w:marTop w:val="0"/>
          <w:marBottom w:val="0"/>
          <w:divBdr>
            <w:top w:val="none" w:sz="0" w:space="0" w:color="auto"/>
            <w:left w:val="none" w:sz="0" w:space="0" w:color="auto"/>
            <w:bottom w:val="none" w:sz="0" w:space="0" w:color="auto"/>
            <w:right w:val="none" w:sz="0" w:space="0" w:color="auto"/>
          </w:divBdr>
        </w:div>
      </w:divsChild>
    </w:div>
    <w:div w:id="1518496912">
      <w:bodyDiv w:val="1"/>
      <w:marLeft w:val="0"/>
      <w:marRight w:val="0"/>
      <w:marTop w:val="0"/>
      <w:marBottom w:val="0"/>
      <w:divBdr>
        <w:top w:val="none" w:sz="0" w:space="0" w:color="auto"/>
        <w:left w:val="none" w:sz="0" w:space="0" w:color="auto"/>
        <w:bottom w:val="none" w:sz="0" w:space="0" w:color="auto"/>
        <w:right w:val="none" w:sz="0" w:space="0" w:color="auto"/>
      </w:divBdr>
      <w:divsChild>
        <w:div w:id="190607674">
          <w:marLeft w:val="0"/>
          <w:marRight w:val="0"/>
          <w:marTop w:val="0"/>
          <w:marBottom w:val="0"/>
          <w:divBdr>
            <w:top w:val="none" w:sz="0" w:space="0" w:color="auto"/>
            <w:left w:val="none" w:sz="0" w:space="0" w:color="auto"/>
            <w:bottom w:val="none" w:sz="0" w:space="0" w:color="auto"/>
            <w:right w:val="none" w:sz="0" w:space="0" w:color="auto"/>
          </w:divBdr>
        </w:div>
      </w:divsChild>
    </w:div>
    <w:div w:id="1522433148">
      <w:bodyDiv w:val="1"/>
      <w:marLeft w:val="0"/>
      <w:marRight w:val="0"/>
      <w:marTop w:val="0"/>
      <w:marBottom w:val="0"/>
      <w:divBdr>
        <w:top w:val="none" w:sz="0" w:space="0" w:color="auto"/>
        <w:left w:val="none" w:sz="0" w:space="0" w:color="auto"/>
        <w:bottom w:val="none" w:sz="0" w:space="0" w:color="auto"/>
        <w:right w:val="none" w:sz="0" w:space="0" w:color="auto"/>
      </w:divBdr>
      <w:divsChild>
        <w:div w:id="708922376">
          <w:marLeft w:val="0"/>
          <w:marRight w:val="0"/>
          <w:marTop w:val="0"/>
          <w:marBottom w:val="0"/>
          <w:divBdr>
            <w:top w:val="none" w:sz="0" w:space="0" w:color="auto"/>
            <w:left w:val="none" w:sz="0" w:space="0" w:color="auto"/>
            <w:bottom w:val="none" w:sz="0" w:space="0" w:color="auto"/>
            <w:right w:val="none" w:sz="0" w:space="0" w:color="auto"/>
          </w:divBdr>
        </w:div>
      </w:divsChild>
    </w:div>
    <w:div w:id="1526213021">
      <w:bodyDiv w:val="1"/>
      <w:marLeft w:val="0"/>
      <w:marRight w:val="0"/>
      <w:marTop w:val="0"/>
      <w:marBottom w:val="0"/>
      <w:divBdr>
        <w:top w:val="none" w:sz="0" w:space="0" w:color="auto"/>
        <w:left w:val="none" w:sz="0" w:space="0" w:color="auto"/>
        <w:bottom w:val="none" w:sz="0" w:space="0" w:color="auto"/>
        <w:right w:val="none" w:sz="0" w:space="0" w:color="auto"/>
      </w:divBdr>
      <w:divsChild>
        <w:div w:id="1592621243">
          <w:marLeft w:val="0"/>
          <w:marRight w:val="0"/>
          <w:marTop w:val="0"/>
          <w:marBottom w:val="0"/>
          <w:divBdr>
            <w:top w:val="none" w:sz="0" w:space="0" w:color="auto"/>
            <w:left w:val="none" w:sz="0" w:space="0" w:color="auto"/>
            <w:bottom w:val="none" w:sz="0" w:space="0" w:color="auto"/>
            <w:right w:val="none" w:sz="0" w:space="0" w:color="auto"/>
          </w:divBdr>
          <w:divsChild>
            <w:div w:id="1015617917">
              <w:marLeft w:val="0"/>
              <w:marRight w:val="0"/>
              <w:marTop w:val="0"/>
              <w:marBottom w:val="0"/>
              <w:divBdr>
                <w:top w:val="none" w:sz="0" w:space="0" w:color="auto"/>
                <w:left w:val="none" w:sz="0" w:space="0" w:color="auto"/>
                <w:bottom w:val="none" w:sz="0" w:space="0" w:color="auto"/>
                <w:right w:val="none" w:sz="0" w:space="0" w:color="auto"/>
              </w:divBdr>
              <w:divsChild>
                <w:div w:id="1122501457">
                  <w:marLeft w:val="0"/>
                  <w:marRight w:val="0"/>
                  <w:marTop w:val="0"/>
                  <w:marBottom w:val="0"/>
                  <w:divBdr>
                    <w:top w:val="none" w:sz="0" w:space="0" w:color="auto"/>
                    <w:left w:val="none" w:sz="0" w:space="0" w:color="auto"/>
                    <w:bottom w:val="none" w:sz="0" w:space="0" w:color="auto"/>
                    <w:right w:val="none" w:sz="0" w:space="0" w:color="auto"/>
                  </w:divBdr>
                  <w:divsChild>
                    <w:div w:id="10138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5373">
      <w:bodyDiv w:val="1"/>
      <w:marLeft w:val="0"/>
      <w:marRight w:val="0"/>
      <w:marTop w:val="0"/>
      <w:marBottom w:val="0"/>
      <w:divBdr>
        <w:top w:val="none" w:sz="0" w:space="0" w:color="auto"/>
        <w:left w:val="none" w:sz="0" w:space="0" w:color="auto"/>
        <w:bottom w:val="none" w:sz="0" w:space="0" w:color="auto"/>
        <w:right w:val="none" w:sz="0" w:space="0" w:color="auto"/>
      </w:divBdr>
      <w:divsChild>
        <w:div w:id="1653094099">
          <w:marLeft w:val="0"/>
          <w:marRight w:val="0"/>
          <w:marTop w:val="0"/>
          <w:marBottom w:val="0"/>
          <w:divBdr>
            <w:top w:val="none" w:sz="0" w:space="0" w:color="auto"/>
            <w:left w:val="none" w:sz="0" w:space="0" w:color="auto"/>
            <w:bottom w:val="none" w:sz="0" w:space="0" w:color="auto"/>
            <w:right w:val="none" w:sz="0" w:space="0" w:color="auto"/>
          </w:divBdr>
        </w:div>
      </w:divsChild>
    </w:div>
    <w:div w:id="1532458113">
      <w:bodyDiv w:val="1"/>
      <w:marLeft w:val="0"/>
      <w:marRight w:val="0"/>
      <w:marTop w:val="0"/>
      <w:marBottom w:val="0"/>
      <w:divBdr>
        <w:top w:val="none" w:sz="0" w:space="0" w:color="auto"/>
        <w:left w:val="none" w:sz="0" w:space="0" w:color="auto"/>
        <w:bottom w:val="none" w:sz="0" w:space="0" w:color="auto"/>
        <w:right w:val="none" w:sz="0" w:space="0" w:color="auto"/>
      </w:divBdr>
      <w:divsChild>
        <w:div w:id="1902398141">
          <w:marLeft w:val="0"/>
          <w:marRight w:val="0"/>
          <w:marTop w:val="0"/>
          <w:marBottom w:val="0"/>
          <w:divBdr>
            <w:top w:val="none" w:sz="0" w:space="0" w:color="auto"/>
            <w:left w:val="none" w:sz="0" w:space="0" w:color="auto"/>
            <w:bottom w:val="none" w:sz="0" w:space="0" w:color="auto"/>
            <w:right w:val="none" w:sz="0" w:space="0" w:color="auto"/>
          </w:divBdr>
        </w:div>
      </w:divsChild>
    </w:div>
    <w:div w:id="1580287875">
      <w:bodyDiv w:val="1"/>
      <w:marLeft w:val="0"/>
      <w:marRight w:val="0"/>
      <w:marTop w:val="0"/>
      <w:marBottom w:val="0"/>
      <w:divBdr>
        <w:top w:val="none" w:sz="0" w:space="0" w:color="auto"/>
        <w:left w:val="none" w:sz="0" w:space="0" w:color="auto"/>
        <w:bottom w:val="none" w:sz="0" w:space="0" w:color="auto"/>
        <w:right w:val="none" w:sz="0" w:space="0" w:color="auto"/>
      </w:divBdr>
      <w:divsChild>
        <w:div w:id="883098887">
          <w:marLeft w:val="0"/>
          <w:marRight w:val="0"/>
          <w:marTop w:val="0"/>
          <w:marBottom w:val="0"/>
          <w:divBdr>
            <w:top w:val="none" w:sz="0" w:space="0" w:color="auto"/>
            <w:left w:val="none" w:sz="0" w:space="0" w:color="auto"/>
            <w:bottom w:val="none" w:sz="0" w:space="0" w:color="auto"/>
            <w:right w:val="none" w:sz="0" w:space="0" w:color="auto"/>
          </w:divBdr>
        </w:div>
      </w:divsChild>
    </w:div>
    <w:div w:id="1619991657">
      <w:bodyDiv w:val="1"/>
      <w:marLeft w:val="0"/>
      <w:marRight w:val="0"/>
      <w:marTop w:val="0"/>
      <w:marBottom w:val="0"/>
      <w:divBdr>
        <w:top w:val="none" w:sz="0" w:space="0" w:color="auto"/>
        <w:left w:val="none" w:sz="0" w:space="0" w:color="auto"/>
        <w:bottom w:val="none" w:sz="0" w:space="0" w:color="auto"/>
        <w:right w:val="none" w:sz="0" w:space="0" w:color="auto"/>
      </w:divBdr>
      <w:divsChild>
        <w:div w:id="1606615523">
          <w:marLeft w:val="0"/>
          <w:marRight w:val="0"/>
          <w:marTop w:val="0"/>
          <w:marBottom w:val="0"/>
          <w:divBdr>
            <w:top w:val="none" w:sz="0" w:space="0" w:color="auto"/>
            <w:left w:val="none" w:sz="0" w:space="0" w:color="auto"/>
            <w:bottom w:val="none" w:sz="0" w:space="0" w:color="auto"/>
            <w:right w:val="none" w:sz="0" w:space="0" w:color="auto"/>
          </w:divBdr>
        </w:div>
      </w:divsChild>
    </w:div>
    <w:div w:id="1689990691">
      <w:bodyDiv w:val="1"/>
      <w:marLeft w:val="0"/>
      <w:marRight w:val="0"/>
      <w:marTop w:val="0"/>
      <w:marBottom w:val="0"/>
      <w:divBdr>
        <w:top w:val="none" w:sz="0" w:space="0" w:color="auto"/>
        <w:left w:val="none" w:sz="0" w:space="0" w:color="auto"/>
        <w:bottom w:val="none" w:sz="0" w:space="0" w:color="auto"/>
        <w:right w:val="none" w:sz="0" w:space="0" w:color="auto"/>
      </w:divBdr>
      <w:divsChild>
        <w:div w:id="88937896">
          <w:marLeft w:val="0"/>
          <w:marRight w:val="0"/>
          <w:marTop w:val="0"/>
          <w:marBottom w:val="0"/>
          <w:divBdr>
            <w:top w:val="none" w:sz="0" w:space="0" w:color="auto"/>
            <w:left w:val="none" w:sz="0" w:space="0" w:color="auto"/>
            <w:bottom w:val="none" w:sz="0" w:space="0" w:color="auto"/>
            <w:right w:val="none" w:sz="0" w:space="0" w:color="auto"/>
          </w:divBdr>
        </w:div>
      </w:divsChild>
    </w:div>
    <w:div w:id="1701515159">
      <w:bodyDiv w:val="1"/>
      <w:marLeft w:val="0"/>
      <w:marRight w:val="0"/>
      <w:marTop w:val="0"/>
      <w:marBottom w:val="0"/>
      <w:divBdr>
        <w:top w:val="none" w:sz="0" w:space="0" w:color="auto"/>
        <w:left w:val="none" w:sz="0" w:space="0" w:color="auto"/>
        <w:bottom w:val="none" w:sz="0" w:space="0" w:color="auto"/>
        <w:right w:val="none" w:sz="0" w:space="0" w:color="auto"/>
      </w:divBdr>
      <w:divsChild>
        <w:div w:id="1537346994">
          <w:marLeft w:val="0"/>
          <w:marRight w:val="0"/>
          <w:marTop w:val="0"/>
          <w:marBottom w:val="0"/>
          <w:divBdr>
            <w:top w:val="none" w:sz="0" w:space="0" w:color="auto"/>
            <w:left w:val="none" w:sz="0" w:space="0" w:color="auto"/>
            <w:bottom w:val="none" w:sz="0" w:space="0" w:color="auto"/>
            <w:right w:val="none" w:sz="0" w:space="0" w:color="auto"/>
          </w:divBdr>
        </w:div>
      </w:divsChild>
    </w:div>
    <w:div w:id="1763339029">
      <w:bodyDiv w:val="1"/>
      <w:marLeft w:val="0"/>
      <w:marRight w:val="0"/>
      <w:marTop w:val="0"/>
      <w:marBottom w:val="0"/>
      <w:divBdr>
        <w:top w:val="none" w:sz="0" w:space="0" w:color="auto"/>
        <w:left w:val="none" w:sz="0" w:space="0" w:color="auto"/>
        <w:bottom w:val="none" w:sz="0" w:space="0" w:color="auto"/>
        <w:right w:val="none" w:sz="0" w:space="0" w:color="auto"/>
      </w:divBdr>
      <w:divsChild>
        <w:div w:id="1989362629">
          <w:marLeft w:val="0"/>
          <w:marRight w:val="0"/>
          <w:marTop w:val="0"/>
          <w:marBottom w:val="0"/>
          <w:divBdr>
            <w:top w:val="none" w:sz="0" w:space="0" w:color="auto"/>
            <w:left w:val="none" w:sz="0" w:space="0" w:color="auto"/>
            <w:bottom w:val="none" w:sz="0" w:space="0" w:color="auto"/>
            <w:right w:val="none" w:sz="0" w:space="0" w:color="auto"/>
          </w:divBdr>
        </w:div>
      </w:divsChild>
    </w:div>
    <w:div w:id="1768234328">
      <w:bodyDiv w:val="1"/>
      <w:marLeft w:val="0"/>
      <w:marRight w:val="0"/>
      <w:marTop w:val="0"/>
      <w:marBottom w:val="0"/>
      <w:divBdr>
        <w:top w:val="none" w:sz="0" w:space="0" w:color="auto"/>
        <w:left w:val="none" w:sz="0" w:space="0" w:color="auto"/>
        <w:bottom w:val="none" w:sz="0" w:space="0" w:color="auto"/>
        <w:right w:val="none" w:sz="0" w:space="0" w:color="auto"/>
      </w:divBdr>
      <w:divsChild>
        <w:div w:id="2117669702">
          <w:marLeft w:val="0"/>
          <w:marRight w:val="0"/>
          <w:marTop w:val="0"/>
          <w:marBottom w:val="0"/>
          <w:divBdr>
            <w:top w:val="none" w:sz="0" w:space="0" w:color="auto"/>
            <w:left w:val="none" w:sz="0" w:space="0" w:color="auto"/>
            <w:bottom w:val="none" w:sz="0" w:space="0" w:color="auto"/>
            <w:right w:val="none" w:sz="0" w:space="0" w:color="auto"/>
          </w:divBdr>
        </w:div>
      </w:divsChild>
    </w:div>
    <w:div w:id="1778140557">
      <w:bodyDiv w:val="1"/>
      <w:marLeft w:val="0"/>
      <w:marRight w:val="0"/>
      <w:marTop w:val="0"/>
      <w:marBottom w:val="0"/>
      <w:divBdr>
        <w:top w:val="none" w:sz="0" w:space="0" w:color="auto"/>
        <w:left w:val="none" w:sz="0" w:space="0" w:color="auto"/>
        <w:bottom w:val="none" w:sz="0" w:space="0" w:color="auto"/>
        <w:right w:val="none" w:sz="0" w:space="0" w:color="auto"/>
      </w:divBdr>
      <w:divsChild>
        <w:div w:id="1517498594">
          <w:marLeft w:val="0"/>
          <w:marRight w:val="0"/>
          <w:marTop w:val="0"/>
          <w:marBottom w:val="0"/>
          <w:divBdr>
            <w:top w:val="none" w:sz="0" w:space="0" w:color="auto"/>
            <w:left w:val="none" w:sz="0" w:space="0" w:color="auto"/>
            <w:bottom w:val="none" w:sz="0" w:space="0" w:color="auto"/>
            <w:right w:val="none" w:sz="0" w:space="0" w:color="auto"/>
          </w:divBdr>
        </w:div>
        <w:div w:id="1914729486">
          <w:marLeft w:val="0"/>
          <w:marRight w:val="0"/>
          <w:marTop w:val="0"/>
          <w:marBottom w:val="0"/>
          <w:divBdr>
            <w:top w:val="none" w:sz="0" w:space="0" w:color="auto"/>
            <w:left w:val="none" w:sz="0" w:space="0" w:color="auto"/>
            <w:bottom w:val="none" w:sz="0" w:space="0" w:color="auto"/>
            <w:right w:val="none" w:sz="0" w:space="0" w:color="auto"/>
          </w:divBdr>
        </w:div>
      </w:divsChild>
    </w:div>
    <w:div w:id="1886673973">
      <w:bodyDiv w:val="1"/>
      <w:marLeft w:val="0"/>
      <w:marRight w:val="0"/>
      <w:marTop w:val="0"/>
      <w:marBottom w:val="0"/>
      <w:divBdr>
        <w:top w:val="none" w:sz="0" w:space="0" w:color="auto"/>
        <w:left w:val="none" w:sz="0" w:space="0" w:color="auto"/>
        <w:bottom w:val="none" w:sz="0" w:space="0" w:color="auto"/>
        <w:right w:val="none" w:sz="0" w:space="0" w:color="auto"/>
      </w:divBdr>
      <w:divsChild>
        <w:div w:id="542256040">
          <w:marLeft w:val="0"/>
          <w:marRight w:val="0"/>
          <w:marTop w:val="0"/>
          <w:marBottom w:val="0"/>
          <w:divBdr>
            <w:top w:val="none" w:sz="0" w:space="0" w:color="auto"/>
            <w:left w:val="none" w:sz="0" w:space="0" w:color="auto"/>
            <w:bottom w:val="none" w:sz="0" w:space="0" w:color="auto"/>
            <w:right w:val="none" w:sz="0" w:space="0" w:color="auto"/>
          </w:divBdr>
        </w:div>
      </w:divsChild>
    </w:div>
    <w:div w:id="1926568008">
      <w:bodyDiv w:val="1"/>
      <w:marLeft w:val="0"/>
      <w:marRight w:val="0"/>
      <w:marTop w:val="0"/>
      <w:marBottom w:val="0"/>
      <w:divBdr>
        <w:top w:val="none" w:sz="0" w:space="0" w:color="auto"/>
        <w:left w:val="none" w:sz="0" w:space="0" w:color="auto"/>
        <w:bottom w:val="none" w:sz="0" w:space="0" w:color="auto"/>
        <w:right w:val="none" w:sz="0" w:space="0" w:color="auto"/>
      </w:divBdr>
      <w:divsChild>
        <w:div w:id="223225340">
          <w:marLeft w:val="0"/>
          <w:marRight w:val="0"/>
          <w:marTop w:val="0"/>
          <w:marBottom w:val="0"/>
          <w:divBdr>
            <w:top w:val="none" w:sz="0" w:space="0" w:color="auto"/>
            <w:left w:val="none" w:sz="0" w:space="0" w:color="auto"/>
            <w:bottom w:val="none" w:sz="0" w:space="0" w:color="auto"/>
            <w:right w:val="none" w:sz="0" w:space="0" w:color="auto"/>
          </w:divBdr>
        </w:div>
        <w:div w:id="1256792753">
          <w:marLeft w:val="0"/>
          <w:marRight w:val="0"/>
          <w:marTop w:val="0"/>
          <w:marBottom w:val="0"/>
          <w:divBdr>
            <w:top w:val="none" w:sz="0" w:space="0" w:color="auto"/>
            <w:left w:val="none" w:sz="0" w:space="0" w:color="auto"/>
            <w:bottom w:val="none" w:sz="0" w:space="0" w:color="auto"/>
            <w:right w:val="none" w:sz="0" w:space="0" w:color="auto"/>
          </w:divBdr>
        </w:div>
      </w:divsChild>
    </w:div>
    <w:div w:id="1936476071">
      <w:bodyDiv w:val="1"/>
      <w:marLeft w:val="0"/>
      <w:marRight w:val="0"/>
      <w:marTop w:val="0"/>
      <w:marBottom w:val="0"/>
      <w:divBdr>
        <w:top w:val="none" w:sz="0" w:space="0" w:color="auto"/>
        <w:left w:val="none" w:sz="0" w:space="0" w:color="auto"/>
        <w:bottom w:val="none" w:sz="0" w:space="0" w:color="auto"/>
        <w:right w:val="none" w:sz="0" w:space="0" w:color="auto"/>
      </w:divBdr>
      <w:divsChild>
        <w:div w:id="517891999">
          <w:marLeft w:val="0"/>
          <w:marRight w:val="0"/>
          <w:marTop w:val="0"/>
          <w:marBottom w:val="0"/>
          <w:divBdr>
            <w:top w:val="none" w:sz="0" w:space="0" w:color="auto"/>
            <w:left w:val="none" w:sz="0" w:space="0" w:color="auto"/>
            <w:bottom w:val="none" w:sz="0" w:space="0" w:color="auto"/>
            <w:right w:val="none" w:sz="0" w:space="0" w:color="auto"/>
          </w:divBdr>
        </w:div>
      </w:divsChild>
    </w:div>
    <w:div w:id="1971857967">
      <w:bodyDiv w:val="1"/>
      <w:marLeft w:val="0"/>
      <w:marRight w:val="0"/>
      <w:marTop w:val="0"/>
      <w:marBottom w:val="0"/>
      <w:divBdr>
        <w:top w:val="none" w:sz="0" w:space="0" w:color="auto"/>
        <w:left w:val="none" w:sz="0" w:space="0" w:color="auto"/>
        <w:bottom w:val="none" w:sz="0" w:space="0" w:color="auto"/>
        <w:right w:val="none" w:sz="0" w:space="0" w:color="auto"/>
      </w:divBdr>
      <w:divsChild>
        <w:div w:id="2036299641">
          <w:marLeft w:val="0"/>
          <w:marRight w:val="0"/>
          <w:marTop w:val="0"/>
          <w:marBottom w:val="0"/>
          <w:divBdr>
            <w:top w:val="none" w:sz="0" w:space="0" w:color="auto"/>
            <w:left w:val="none" w:sz="0" w:space="0" w:color="auto"/>
            <w:bottom w:val="none" w:sz="0" w:space="0" w:color="auto"/>
            <w:right w:val="none" w:sz="0" w:space="0" w:color="auto"/>
          </w:divBdr>
          <w:divsChild>
            <w:div w:id="1335261502">
              <w:marLeft w:val="0"/>
              <w:marRight w:val="0"/>
              <w:marTop w:val="0"/>
              <w:marBottom w:val="0"/>
              <w:divBdr>
                <w:top w:val="none" w:sz="0" w:space="0" w:color="auto"/>
                <w:left w:val="none" w:sz="0" w:space="0" w:color="auto"/>
                <w:bottom w:val="none" w:sz="0" w:space="0" w:color="auto"/>
                <w:right w:val="none" w:sz="0" w:space="0" w:color="auto"/>
              </w:divBdr>
              <w:divsChild>
                <w:div w:id="641664209">
                  <w:marLeft w:val="0"/>
                  <w:marRight w:val="0"/>
                  <w:marTop w:val="0"/>
                  <w:marBottom w:val="0"/>
                  <w:divBdr>
                    <w:top w:val="none" w:sz="0" w:space="0" w:color="auto"/>
                    <w:left w:val="none" w:sz="0" w:space="0" w:color="auto"/>
                    <w:bottom w:val="none" w:sz="0" w:space="0" w:color="auto"/>
                    <w:right w:val="none" w:sz="0" w:space="0" w:color="auto"/>
                  </w:divBdr>
                  <w:divsChild>
                    <w:div w:id="203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730217">
      <w:bodyDiv w:val="1"/>
      <w:marLeft w:val="0"/>
      <w:marRight w:val="0"/>
      <w:marTop w:val="0"/>
      <w:marBottom w:val="0"/>
      <w:divBdr>
        <w:top w:val="none" w:sz="0" w:space="0" w:color="auto"/>
        <w:left w:val="none" w:sz="0" w:space="0" w:color="auto"/>
        <w:bottom w:val="none" w:sz="0" w:space="0" w:color="auto"/>
        <w:right w:val="none" w:sz="0" w:space="0" w:color="auto"/>
      </w:divBdr>
    </w:div>
    <w:div w:id="2039772660">
      <w:bodyDiv w:val="1"/>
      <w:marLeft w:val="0"/>
      <w:marRight w:val="0"/>
      <w:marTop w:val="0"/>
      <w:marBottom w:val="0"/>
      <w:divBdr>
        <w:top w:val="none" w:sz="0" w:space="0" w:color="auto"/>
        <w:left w:val="none" w:sz="0" w:space="0" w:color="auto"/>
        <w:bottom w:val="none" w:sz="0" w:space="0" w:color="auto"/>
        <w:right w:val="none" w:sz="0" w:space="0" w:color="auto"/>
      </w:divBdr>
      <w:divsChild>
        <w:div w:id="1061828975">
          <w:marLeft w:val="0"/>
          <w:marRight w:val="0"/>
          <w:marTop w:val="0"/>
          <w:marBottom w:val="0"/>
          <w:divBdr>
            <w:top w:val="none" w:sz="0" w:space="0" w:color="auto"/>
            <w:left w:val="none" w:sz="0" w:space="0" w:color="auto"/>
            <w:bottom w:val="none" w:sz="0" w:space="0" w:color="auto"/>
            <w:right w:val="none" w:sz="0" w:space="0" w:color="auto"/>
          </w:divBdr>
        </w:div>
      </w:divsChild>
    </w:div>
    <w:div w:id="2046515585">
      <w:bodyDiv w:val="1"/>
      <w:marLeft w:val="0"/>
      <w:marRight w:val="0"/>
      <w:marTop w:val="0"/>
      <w:marBottom w:val="0"/>
      <w:divBdr>
        <w:top w:val="none" w:sz="0" w:space="0" w:color="auto"/>
        <w:left w:val="none" w:sz="0" w:space="0" w:color="auto"/>
        <w:bottom w:val="none" w:sz="0" w:space="0" w:color="auto"/>
        <w:right w:val="none" w:sz="0" w:space="0" w:color="auto"/>
      </w:divBdr>
      <w:divsChild>
        <w:div w:id="1064530391">
          <w:marLeft w:val="0"/>
          <w:marRight w:val="0"/>
          <w:marTop w:val="0"/>
          <w:marBottom w:val="0"/>
          <w:divBdr>
            <w:top w:val="none" w:sz="0" w:space="0" w:color="auto"/>
            <w:left w:val="none" w:sz="0" w:space="0" w:color="auto"/>
            <w:bottom w:val="none" w:sz="0" w:space="0" w:color="auto"/>
            <w:right w:val="none" w:sz="0" w:space="0" w:color="auto"/>
          </w:divBdr>
        </w:div>
      </w:divsChild>
    </w:div>
    <w:div w:id="2057585281">
      <w:bodyDiv w:val="1"/>
      <w:marLeft w:val="0"/>
      <w:marRight w:val="0"/>
      <w:marTop w:val="0"/>
      <w:marBottom w:val="0"/>
      <w:divBdr>
        <w:top w:val="none" w:sz="0" w:space="0" w:color="auto"/>
        <w:left w:val="none" w:sz="0" w:space="0" w:color="auto"/>
        <w:bottom w:val="none" w:sz="0" w:space="0" w:color="auto"/>
        <w:right w:val="none" w:sz="0" w:space="0" w:color="auto"/>
      </w:divBdr>
      <w:divsChild>
        <w:div w:id="1941527999">
          <w:marLeft w:val="0"/>
          <w:marRight w:val="0"/>
          <w:marTop w:val="0"/>
          <w:marBottom w:val="0"/>
          <w:divBdr>
            <w:top w:val="none" w:sz="0" w:space="0" w:color="auto"/>
            <w:left w:val="none" w:sz="0" w:space="0" w:color="auto"/>
            <w:bottom w:val="none" w:sz="0" w:space="0" w:color="auto"/>
            <w:right w:val="none" w:sz="0" w:space="0" w:color="auto"/>
          </w:divBdr>
          <w:divsChild>
            <w:div w:id="508561295">
              <w:marLeft w:val="0"/>
              <w:marRight w:val="0"/>
              <w:marTop w:val="0"/>
              <w:marBottom w:val="0"/>
              <w:divBdr>
                <w:top w:val="none" w:sz="0" w:space="0" w:color="auto"/>
                <w:left w:val="none" w:sz="0" w:space="0" w:color="auto"/>
                <w:bottom w:val="none" w:sz="0" w:space="0" w:color="auto"/>
                <w:right w:val="none" w:sz="0" w:space="0" w:color="auto"/>
              </w:divBdr>
              <w:divsChild>
                <w:div w:id="2057315194">
                  <w:marLeft w:val="0"/>
                  <w:marRight w:val="0"/>
                  <w:marTop w:val="0"/>
                  <w:marBottom w:val="0"/>
                  <w:divBdr>
                    <w:top w:val="none" w:sz="0" w:space="0" w:color="auto"/>
                    <w:left w:val="none" w:sz="0" w:space="0" w:color="auto"/>
                    <w:bottom w:val="none" w:sz="0" w:space="0" w:color="auto"/>
                    <w:right w:val="none" w:sz="0" w:space="0" w:color="auto"/>
                  </w:divBdr>
                  <w:divsChild>
                    <w:div w:id="11314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18737">
      <w:bodyDiv w:val="1"/>
      <w:marLeft w:val="0"/>
      <w:marRight w:val="0"/>
      <w:marTop w:val="0"/>
      <w:marBottom w:val="0"/>
      <w:divBdr>
        <w:top w:val="none" w:sz="0" w:space="0" w:color="auto"/>
        <w:left w:val="none" w:sz="0" w:space="0" w:color="auto"/>
        <w:bottom w:val="none" w:sz="0" w:space="0" w:color="auto"/>
        <w:right w:val="none" w:sz="0" w:space="0" w:color="auto"/>
      </w:divBdr>
      <w:divsChild>
        <w:div w:id="868614467">
          <w:marLeft w:val="0"/>
          <w:marRight w:val="0"/>
          <w:marTop w:val="0"/>
          <w:marBottom w:val="0"/>
          <w:divBdr>
            <w:top w:val="none" w:sz="0" w:space="0" w:color="auto"/>
            <w:left w:val="none" w:sz="0" w:space="0" w:color="auto"/>
            <w:bottom w:val="none" w:sz="0" w:space="0" w:color="auto"/>
            <w:right w:val="none" w:sz="0" w:space="0" w:color="auto"/>
          </w:divBdr>
        </w:div>
        <w:div w:id="2044938323">
          <w:marLeft w:val="0"/>
          <w:marRight w:val="0"/>
          <w:marTop w:val="0"/>
          <w:marBottom w:val="0"/>
          <w:divBdr>
            <w:top w:val="none" w:sz="0" w:space="0" w:color="auto"/>
            <w:left w:val="none" w:sz="0" w:space="0" w:color="auto"/>
            <w:bottom w:val="none" w:sz="0" w:space="0" w:color="auto"/>
            <w:right w:val="none" w:sz="0" w:space="0" w:color="auto"/>
          </w:divBdr>
        </w:div>
      </w:divsChild>
    </w:div>
    <w:div w:id="21145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athian@wp.p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9F17-E04E-4506-9D7B-1B886C7C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7838</Words>
  <Characters>44682</Characters>
  <Application>Microsoft Office Word</Application>
  <DocSecurity>0</DocSecurity>
  <Lines>372</Lines>
  <Paragraphs>104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Sil-art Rycho444</Company>
  <LinksUpToDate>false</LinksUpToDate>
  <CharactersWithSpaces>52416</CharactersWithSpaces>
  <SharedDoc>false</SharedDoc>
  <HLinks>
    <vt:vector size="12" baseType="variant">
      <vt:variant>
        <vt:i4>4522071</vt:i4>
      </vt:variant>
      <vt:variant>
        <vt:i4>3</vt:i4>
      </vt:variant>
      <vt:variant>
        <vt:i4>0</vt:i4>
      </vt:variant>
      <vt:variant>
        <vt:i4>5</vt:i4>
      </vt:variant>
      <vt:variant>
        <vt:lpwstr>javascript:;</vt:lpwstr>
      </vt:variant>
      <vt:variant>
        <vt:lpwstr/>
      </vt:variant>
      <vt:variant>
        <vt:i4>5177442</vt:i4>
      </vt:variant>
      <vt:variant>
        <vt:i4>0</vt:i4>
      </vt:variant>
      <vt:variant>
        <vt:i4>0</vt:i4>
      </vt:variant>
      <vt:variant>
        <vt:i4>5</vt:i4>
      </vt:variant>
      <vt:variant>
        <vt:lpwstr>mailto:kathian@wp.pl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kjakubowska</dc:creator>
  <cp:lastModifiedBy>Lenovo</cp:lastModifiedBy>
  <cp:revision>2</cp:revision>
  <cp:lastPrinted>2020-01-21T01:54:00Z</cp:lastPrinted>
  <dcterms:created xsi:type="dcterms:W3CDTF">2020-08-20T03:03:00Z</dcterms:created>
  <dcterms:modified xsi:type="dcterms:W3CDTF">2020-08-20T03:03:00Z</dcterms:modified>
</cp:coreProperties>
</file>