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CF0CE"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 xml:space="preserve">Name of Journal: </w:t>
      </w:r>
      <w:r w:rsidRPr="00CF1A02">
        <w:rPr>
          <w:rFonts w:ascii="Book Antiqua" w:eastAsia="Book Antiqua" w:hAnsi="Book Antiqua" w:cs="Book Antiqua"/>
          <w:i/>
          <w:color w:val="000000"/>
        </w:rPr>
        <w:t>World Journal of Gastroenterology</w:t>
      </w:r>
    </w:p>
    <w:p w14:paraId="191EDBB7"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 xml:space="preserve">Manuscript NO: </w:t>
      </w:r>
      <w:r w:rsidRPr="00CF1A02">
        <w:rPr>
          <w:rFonts w:ascii="Book Antiqua" w:eastAsia="Book Antiqua" w:hAnsi="Book Antiqua" w:cs="Book Antiqua"/>
          <w:color w:val="000000"/>
        </w:rPr>
        <w:t>58746</w:t>
      </w:r>
    </w:p>
    <w:p w14:paraId="4FDFBCE4"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 xml:space="preserve">Manuscript Type: </w:t>
      </w:r>
      <w:r w:rsidRPr="00CF1A02">
        <w:rPr>
          <w:rFonts w:ascii="Book Antiqua" w:eastAsia="Book Antiqua" w:hAnsi="Book Antiqua" w:cs="Book Antiqua"/>
          <w:color w:val="000000"/>
        </w:rPr>
        <w:t>ORIGINAL ARTICLE</w:t>
      </w:r>
    </w:p>
    <w:p w14:paraId="555E669F" w14:textId="77777777" w:rsidR="00A77B3E" w:rsidRPr="00CF1A02" w:rsidRDefault="00A77B3E" w:rsidP="00CF1A02">
      <w:pPr>
        <w:adjustRightInd w:val="0"/>
        <w:snapToGrid w:val="0"/>
        <w:spacing w:line="360" w:lineRule="auto"/>
        <w:jc w:val="both"/>
        <w:rPr>
          <w:rFonts w:ascii="Book Antiqua" w:hAnsi="Book Antiqua"/>
        </w:rPr>
      </w:pPr>
    </w:p>
    <w:p w14:paraId="2193BBE7"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i/>
          <w:color w:val="000000"/>
        </w:rPr>
        <w:t>Retrospective Study</w:t>
      </w:r>
    </w:p>
    <w:p w14:paraId="3B9C541A" w14:textId="77777777" w:rsidR="00A77B3E" w:rsidRPr="00CF1A02" w:rsidRDefault="003F4D3A" w:rsidP="00CF1A02">
      <w:pPr>
        <w:adjustRightInd w:val="0"/>
        <w:snapToGrid w:val="0"/>
        <w:spacing w:line="360" w:lineRule="auto"/>
        <w:jc w:val="both"/>
        <w:rPr>
          <w:rFonts w:ascii="Book Antiqua" w:hAnsi="Book Antiqua"/>
        </w:rPr>
      </w:pPr>
      <w:bookmarkStart w:id="0" w:name="OLE_LINK5"/>
      <w:bookmarkStart w:id="1" w:name="OLE_LINK6"/>
      <w:r w:rsidRPr="00CF1A02">
        <w:rPr>
          <w:rFonts w:ascii="Book Antiqua" w:eastAsia="Book Antiqua" w:hAnsi="Book Antiqua" w:cs="Book Antiqua"/>
          <w:b/>
          <w:bCs/>
          <w:color w:val="000000"/>
        </w:rPr>
        <w:t>Prognostic value of changes in serum carcinoembryonic antigen levels for preoperative chemoradiotherapy response in locally advanced rectal cancer</w:t>
      </w:r>
    </w:p>
    <w:bookmarkEnd w:id="0"/>
    <w:bookmarkEnd w:id="1"/>
    <w:p w14:paraId="77533259" w14:textId="77777777" w:rsidR="00A77B3E" w:rsidRPr="00CF1A02" w:rsidRDefault="00A77B3E" w:rsidP="00CF1A02">
      <w:pPr>
        <w:adjustRightInd w:val="0"/>
        <w:snapToGrid w:val="0"/>
        <w:spacing w:line="360" w:lineRule="auto"/>
        <w:jc w:val="both"/>
        <w:rPr>
          <w:rFonts w:ascii="Book Antiqua" w:hAnsi="Book Antiqua"/>
        </w:rPr>
      </w:pPr>
    </w:p>
    <w:p w14:paraId="4DBF766B" w14:textId="789C994D"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Cheong C </w:t>
      </w:r>
      <w:r w:rsidRPr="00CF1A02">
        <w:rPr>
          <w:rFonts w:ascii="Book Antiqua" w:eastAsia="Book Antiqua" w:hAnsi="Book Antiqua" w:cs="Book Antiqua"/>
          <w:i/>
          <w:iCs/>
          <w:color w:val="000000"/>
        </w:rPr>
        <w:t>et al</w:t>
      </w:r>
      <w:r w:rsidR="0013377F" w:rsidRPr="00CF1A02">
        <w:rPr>
          <w:rFonts w:ascii="Book Antiqua" w:eastAsia="Book Antiqua" w:hAnsi="Book Antiqua" w:cs="Book Antiqua"/>
          <w:i/>
          <w:iCs/>
          <w:color w:val="000000"/>
        </w:rPr>
        <w:t>.</w:t>
      </w:r>
      <w:r w:rsidRPr="00CF1A02">
        <w:rPr>
          <w:rFonts w:ascii="Book Antiqua" w:eastAsia="Book Antiqua" w:hAnsi="Book Antiqua" w:cs="Book Antiqua"/>
          <w:color w:val="000000"/>
        </w:rPr>
        <w:t xml:space="preserve"> </w:t>
      </w:r>
      <w:bookmarkStart w:id="2" w:name="OLE_LINK16"/>
      <w:bookmarkStart w:id="3" w:name="OLE_LINK17"/>
      <w:r w:rsidRPr="00CF1A02">
        <w:rPr>
          <w:rFonts w:ascii="Book Antiqua" w:eastAsia="Book Antiqua" w:hAnsi="Book Antiqua" w:cs="Book Antiqua"/>
          <w:color w:val="000000"/>
        </w:rPr>
        <w:t>CEA levels for prognosis in rectal cancer</w:t>
      </w:r>
      <w:bookmarkEnd w:id="2"/>
      <w:bookmarkEnd w:id="3"/>
    </w:p>
    <w:p w14:paraId="452ECAE6" w14:textId="77777777" w:rsidR="00A77B3E" w:rsidRPr="00CF1A02" w:rsidRDefault="00A77B3E" w:rsidP="00CF1A02">
      <w:pPr>
        <w:adjustRightInd w:val="0"/>
        <w:snapToGrid w:val="0"/>
        <w:spacing w:line="360" w:lineRule="auto"/>
        <w:jc w:val="both"/>
        <w:rPr>
          <w:rFonts w:ascii="Book Antiqua" w:hAnsi="Book Antiqua"/>
        </w:rPr>
      </w:pPr>
    </w:p>
    <w:p w14:paraId="2F2AC634"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Chinock Cheong, Jun Sang Shin, Kwang Wook Suh</w:t>
      </w:r>
    </w:p>
    <w:p w14:paraId="17027AE8" w14:textId="77777777" w:rsidR="00A77B3E" w:rsidRPr="00CF1A02" w:rsidRDefault="00A77B3E" w:rsidP="00CF1A02">
      <w:pPr>
        <w:adjustRightInd w:val="0"/>
        <w:snapToGrid w:val="0"/>
        <w:spacing w:line="360" w:lineRule="auto"/>
        <w:jc w:val="both"/>
        <w:rPr>
          <w:rFonts w:ascii="Book Antiqua" w:hAnsi="Book Antiqua"/>
        </w:rPr>
      </w:pPr>
    </w:p>
    <w:p w14:paraId="5531CABB" w14:textId="7E026DCC" w:rsidR="00A77B3E" w:rsidRPr="00CF1A02" w:rsidRDefault="00A4655D"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 xml:space="preserve">Chinock Cheong, Jun Sang Shin, Kwang Wook Suh, </w:t>
      </w:r>
      <w:bookmarkStart w:id="4" w:name="OLE_LINK9"/>
      <w:bookmarkStart w:id="5" w:name="OLE_LINK10"/>
      <w:r w:rsidR="003F4D3A" w:rsidRPr="00CF1A02">
        <w:rPr>
          <w:rFonts w:ascii="Book Antiqua" w:eastAsia="Book Antiqua" w:hAnsi="Book Antiqua" w:cs="Book Antiqua"/>
          <w:color w:val="000000"/>
        </w:rPr>
        <w:t>Department of Surgery</w:t>
      </w:r>
      <w:bookmarkEnd w:id="4"/>
      <w:bookmarkEnd w:id="5"/>
      <w:r w:rsidR="003F4D3A" w:rsidRPr="00CF1A02">
        <w:rPr>
          <w:rFonts w:ascii="Book Antiqua" w:eastAsia="Book Antiqua" w:hAnsi="Book Antiqua" w:cs="Book Antiqua"/>
          <w:color w:val="000000"/>
        </w:rPr>
        <w:t xml:space="preserve">, </w:t>
      </w:r>
      <w:bookmarkStart w:id="6" w:name="OLE_LINK11"/>
      <w:bookmarkStart w:id="7" w:name="OLE_LINK12"/>
      <w:r w:rsidR="003F4D3A" w:rsidRPr="00CF1A02">
        <w:rPr>
          <w:rFonts w:ascii="Book Antiqua" w:eastAsia="Book Antiqua" w:hAnsi="Book Antiqua" w:cs="Book Antiqua"/>
          <w:color w:val="000000"/>
        </w:rPr>
        <w:t>Ajou University School of Medicine</w:t>
      </w:r>
      <w:bookmarkEnd w:id="6"/>
      <w:bookmarkEnd w:id="7"/>
      <w:r w:rsidR="003F4D3A" w:rsidRPr="00CF1A02">
        <w:rPr>
          <w:rFonts w:ascii="Book Antiqua" w:eastAsia="Book Antiqua" w:hAnsi="Book Antiqua" w:cs="Book Antiqua"/>
          <w:color w:val="000000"/>
        </w:rPr>
        <w:t xml:space="preserve">, </w:t>
      </w:r>
      <w:bookmarkStart w:id="8" w:name="OLE_LINK13"/>
      <w:bookmarkStart w:id="9" w:name="OLE_LINK14"/>
      <w:r w:rsidR="003F4D3A" w:rsidRPr="00CF1A02">
        <w:rPr>
          <w:rFonts w:ascii="Book Antiqua" w:eastAsia="Book Antiqua" w:hAnsi="Book Antiqua" w:cs="Book Antiqua"/>
          <w:color w:val="000000"/>
        </w:rPr>
        <w:t>Suwon</w:t>
      </w:r>
      <w:bookmarkEnd w:id="8"/>
      <w:bookmarkEnd w:id="9"/>
      <w:r w:rsidR="003F4D3A" w:rsidRPr="00CF1A02">
        <w:rPr>
          <w:rFonts w:ascii="Book Antiqua" w:eastAsia="Book Antiqua" w:hAnsi="Book Antiqua" w:cs="Book Antiqua"/>
          <w:color w:val="000000"/>
        </w:rPr>
        <w:t xml:space="preserve"> 16499, </w:t>
      </w:r>
      <w:bookmarkStart w:id="10" w:name="OLE_LINK3"/>
      <w:bookmarkStart w:id="11" w:name="OLE_LINK4"/>
      <w:bookmarkStart w:id="12" w:name="OLE_LINK15"/>
      <w:r w:rsidR="003F4D3A" w:rsidRPr="00CF1A02">
        <w:rPr>
          <w:rFonts w:ascii="Book Antiqua" w:eastAsia="Book Antiqua" w:hAnsi="Book Antiqua" w:cs="Book Antiqua"/>
          <w:color w:val="000000"/>
        </w:rPr>
        <w:t>Gyeonggi-do</w:t>
      </w:r>
      <w:bookmarkEnd w:id="10"/>
      <w:bookmarkEnd w:id="11"/>
      <w:bookmarkEnd w:id="12"/>
      <w:r w:rsidR="003F4D3A" w:rsidRPr="00CF1A02">
        <w:rPr>
          <w:rFonts w:ascii="Book Antiqua" w:eastAsia="Book Antiqua" w:hAnsi="Book Antiqua" w:cs="Book Antiqua"/>
          <w:color w:val="000000"/>
        </w:rPr>
        <w:t>, South Korea</w:t>
      </w:r>
    </w:p>
    <w:p w14:paraId="3A386F52" w14:textId="77777777" w:rsidR="00A77B3E" w:rsidRPr="00CF1A02" w:rsidRDefault="00A77B3E" w:rsidP="00CF1A02">
      <w:pPr>
        <w:adjustRightInd w:val="0"/>
        <w:snapToGrid w:val="0"/>
        <w:spacing w:line="360" w:lineRule="auto"/>
        <w:jc w:val="both"/>
        <w:rPr>
          <w:rFonts w:ascii="Book Antiqua" w:hAnsi="Book Antiqua"/>
        </w:rPr>
      </w:pPr>
    </w:p>
    <w:p w14:paraId="22137E59" w14:textId="7481B66B"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Author contributions: </w:t>
      </w:r>
      <w:bookmarkStart w:id="13" w:name="OLE_LINK18"/>
      <w:bookmarkStart w:id="14" w:name="OLE_LINK19"/>
      <w:r w:rsidR="001A1D17" w:rsidRPr="00CF1A02">
        <w:rPr>
          <w:rFonts w:ascii="Book Antiqua" w:eastAsia="Book Antiqua" w:hAnsi="Book Antiqua" w:cs="Book Antiqua"/>
          <w:color w:val="000000"/>
        </w:rPr>
        <w:t>Cheong C</w:t>
      </w:r>
      <w:r w:rsidRPr="00CF1A02">
        <w:rPr>
          <w:rFonts w:ascii="Book Antiqua" w:eastAsia="Book Antiqua" w:hAnsi="Book Antiqua" w:cs="Book Antiqua"/>
          <w:color w:val="000000"/>
        </w:rPr>
        <w:t xml:space="preserve"> conceived and designed the study, collected the data, and drafted the manuscript; Shin </w:t>
      </w:r>
      <w:r w:rsidR="001A1D17" w:rsidRPr="00CF1A02">
        <w:rPr>
          <w:rFonts w:ascii="Book Antiqua" w:eastAsia="Book Antiqua" w:hAnsi="Book Antiqua" w:cs="Book Antiqua"/>
          <w:color w:val="000000"/>
        </w:rPr>
        <w:t xml:space="preserve">JS </w:t>
      </w:r>
      <w:r w:rsidRPr="00CF1A02">
        <w:rPr>
          <w:rFonts w:ascii="Book Antiqua" w:eastAsia="Book Antiqua" w:hAnsi="Book Antiqua" w:cs="Book Antiqua"/>
          <w:color w:val="000000"/>
        </w:rPr>
        <w:t xml:space="preserve">conducted and reviewed the research; Suh </w:t>
      </w:r>
      <w:r w:rsidR="001A1D17" w:rsidRPr="00CF1A02">
        <w:rPr>
          <w:rFonts w:ascii="Book Antiqua" w:eastAsia="Book Antiqua" w:hAnsi="Book Antiqua" w:cs="Book Antiqua"/>
          <w:color w:val="000000"/>
        </w:rPr>
        <w:t xml:space="preserve">KW </w:t>
      </w:r>
      <w:r w:rsidRPr="00CF1A02">
        <w:rPr>
          <w:rFonts w:ascii="Book Antiqua" w:eastAsia="Book Antiqua" w:hAnsi="Book Antiqua" w:cs="Book Antiqua"/>
          <w:color w:val="000000"/>
        </w:rPr>
        <w:t>reviewed the draft.</w:t>
      </w:r>
    </w:p>
    <w:bookmarkEnd w:id="13"/>
    <w:bookmarkEnd w:id="14"/>
    <w:p w14:paraId="60E2E2D6" w14:textId="77777777" w:rsidR="00A77B3E" w:rsidRPr="00CF1A02" w:rsidRDefault="00A77B3E" w:rsidP="00CF1A02">
      <w:pPr>
        <w:adjustRightInd w:val="0"/>
        <w:snapToGrid w:val="0"/>
        <w:spacing w:line="360" w:lineRule="auto"/>
        <w:jc w:val="both"/>
        <w:rPr>
          <w:rFonts w:ascii="Book Antiqua" w:hAnsi="Book Antiqua"/>
        </w:rPr>
      </w:pPr>
    </w:p>
    <w:p w14:paraId="7B252905" w14:textId="7A8EE179"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Corresponding author: Kwang Wook Suh, MD, PhD, Professor, </w:t>
      </w:r>
      <w:r w:rsidR="00E17007">
        <w:rPr>
          <w:rFonts w:ascii="Book Antiqua" w:eastAsia="Book Antiqua" w:hAnsi="Book Antiqua" w:cs="Book Antiqua"/>
          <w:color w:val="000000"/>
        </w:rPr>
        <w:t>Department</w:t>
      </w:r>
      <w:r w:rsidRPr="00CF1A02">
        <w:rPr>
          <w:rFonts w:ascii="Book Antiqua" w:eastAsia="Book Antiqua" w:hAnsi="Book Antiqua" w:cs="Book Antiqua"/>
          <w:color w:val="000000"/>
        </w:rPr>
        <w:t xml:space="preserve"> of Surgery, Ajou University School of Medicine, 164 World Cup-ro, Yeongtong-gu,</w:t>
      </w:r>
      <w:r w:rsidR="00A4655D" w:rsidRPr="00CF1A02">
        <w:rPr>
          <w:rFonts w:ascii="Book Antiqua" w:eastAsia="Book Antiqua" w:hAnsi="Book Antiqua" w:cs="Book Antiqua"/>
          <w:color w:val="000000"/>
        </w:rPr>
        <w:t xml:space="preserve"> Suwon 16499, Gyeonggi-do, South Korea</w:t>
      </w:r>
      <w:r w:rsidR="00A4655D" w:rsidRPr="00CF1A02">
        <w:rPr>
          <w:rFonts w:ascii="Book Antiqua" w:hAnsi="Book Antiqua" w:cs="Book Antiqua"/>
          <w:color w:val="000000"/>
          <w:lang w:eastAsia="zh-CN"/>
        </w:rPr>
        <w:t>.</w:t>
      </w:r>
      <w:r w:rsidRPr="00CF1A02">
        <w:rPr>
          <w:rFonts w:ascii="Book Antiqua" w:eastAsia="Book Antiqua" w:hAnsi="Book Antiqua" w:cs="Book Antiqua"/>
          <w:color w:val="000000"/>
        </w:rPr>
        <w:t xml:space="preserve"> suhkw@ajou.ac.kr</w:t>
      </w:r>
    </w:p>
    <w:p w14:paraId="5BA399A1" w14:textId="77777777" w:rsidR="00A77B3E" w:rsidRPr="00CF1A02" w:rsidRDefault="00A77B3E" w:rsidP="00CF1A02">
      <w:pPr>
        <w:adjustRightInd w:val="0"/>
        <w:snapToGrid w:val="0"/>
        <w:spacing w:line="360" w:lineRule="auto"/>
        <w:jc w:val="both"/>
        <w:rPr>
          <w:rFonts w:ascii="Book Antiqua" w:hAnsi="Book Antiqua"/>
        </w:rPr>
      </w:pPr>
    </w:p>
    <w:p w14:paraId="2E499639"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Received: </w:t>
      </w:r>
      <w:r w:rsidRPr="00CF1A02">
        <w:rPr>
          <w:rFonts w:ascii="Book Antiqua" w:eastAsia="Book Antiqua" w:hAnsi="Book Antiqua" w:cs="Book Antiqua"/>
          <w:color w:val="000000"/>
        </w:rPr>
        <w:t>August 6, 2020</w:t>
      </w:r>
    </w:p>
    <w:p w14:paraId="5814CF4A"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Revised: </w:t>
      </w:r>
      <w:r w:rsidRPr="00CF1A02">
        <w:rPr>
          <w:rFonts w:ascii="Book Antiqua" w:eastAsia="Book Antiqua" w:hAnsi="Book Antiqua" w:cs="Book Antiqua"/>
          <w:color w:val="000000"/>
        </w:rPr>
        <w:t>October 31, 2020</w:t>
      </w:r>
    </w:p>
    <w:p w14:paraId="316127C5" w14:textId="14AC748C"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Accepted: </w:t>
      </w:r>
      <w:r w:rsidR="001706F9" w:rsidRPr="001706F9">
        <w:rPr>
          <w:rFonts w:ascii="Book Antiqua" w:eastAsia="Book Antiqua" w:hAnsi="Book Antiqua" w:cs="Book Antiqua"/>
          <w:color w:val="000000"/>
        </w:rPr>
        <w:t>November 13, 2020</w:t>
      </w:r>
    </w:p>
    <w:p w14:paraId="773F7AE4" w14:textId="2C28BF2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Published online: </w:t>
      </w:r>
      <w:r w:rsidR="00017F74" w:rsidRPr="00267559">
        <w:rPr>
          <w:rFonts w:ascii="Book Antiqua" w:eastAsia="Book Antiqua" w:hAnsi="Book Antiqua" w:cs="Book Antiqua"/>
          <w:bCs/>
        </w:rPr>
        <w:t>November</w:t>
      </w:r>
      <w:r w:rsidR="00017F74" w:rsidRPr="00267559">
        <w:rPr>
          <w:rFonts w:ascii="Book Antiqua" w:hAnsi="Book Antiqua" w:cs="Book Antiqua" w:hint="eastAsia"/>
          <w:bCs/>
          <w:lang w:eastAsia="zh-CN"/>
        </w:rPr>
        <w:t xml:space="preserve"> </w:t>
      </w:r>
      <w:r w:rsidR="00017F74">
        <w:rPr>
          <w:rFonts w:ascii="Book Antiqua" w:hAnsi="Book Antiqua" w:cs="Book Antiqua" w:hint="eastAsia"/>
          <w:bCs/>
          <w:lang w:eastAsia="zh-CN"/>
        </w:rPr>
        <w:t>28</w:t>
      </w:r>
      <w:r w:rsidR="00017F74" w:rsidRPr="00267559">
        <w:rPr>
          <w:rFonts w:ascii="Book Antiqua" w:hAnsi="Book Antiqua" w:cs="Book Antiqua" w:hint="eastAsia"/>
          <w:bCs/>
          <w:lang w:eastAsia="zh-CN"/>
        </w:rPr>
        <w:t>, 2020</w:t>
      </w:r>
    </w:p>
    <w:p w14:paraId="595A8439" w14:textId="77777777" w:rsidR="00A77B3E" w:rsidRPr="00CF1A02" w:rsidRDefault="00A77B3E" w:rsidP="00CF1A02">
      <w:pPr>
        <w:adjustRightInd w:val="0"/>
        <w:snapToGrid w:val="0"/>
        <w:spacing w:line="360" w:lineRule="auto"/>
        <w:jc w:val="both"/>
        <w:rPr>
          <w:rFonts w:ascii="Book Antiqua" w:hAnsi="Book Antiqua"/>
        </w:rPr>
        <w:sectPr w:rsidR="00A77B3E" w:rsidRPr="00CF1A02" w:rsidSect="00266F1E">
          <w:footerReference w:type="default" r:id="rId8"/>
          <w:type w:val="continuous"/>
          <w:pgSz w:w="12240" w:h="15840"/>
          <w:pgMar w:top="1440" w:right="1800" w:bottom="1440" w:left="1800" w:header="720" w:footer="720" w:gutter="0"/>
          <w:cols w:space="720"/>
          <w:docGrid w:linePitch="360"/>
        </w:sectPr>
      </w:pPr>
    </w:p>
    <w:p w14:paraId="008F613E" w14:textId="1D34B5C5" w:rsidR="00A77B3E" w:rsidRPr="00CF1A02" w:rsidRDefault="00266F1E"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lastRenderedPageBreak/>
        <w:br w:type="page"/>
      </w:r>
      <w:r w:rsidR="003F4D3A" w:rsidRPr="00CF1A02">
        <w:rPr>
          <w:rFonts w:ascii="Book Antiqua" w:eastAsia="Book Antiqua" w:hAnsi="Book Antiqua" w:cs="Book Antiqua"/>
          <w:b/>
          <w:color w:val="000000"/>
        </w:rPr>
        <w:lastRenderedPageBreak/>
        <w:t>Abstract</w:t>
      </w:r>
    </w:p>
    <w:p w14:paraId="17923588"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BACKGROUND</w:t>
      </w:r>
    </w:p>
    <w:p w14:paraId="5F1C6A1D" w14:textId="77777777" w:rsidR="00A77B3E" w:rsidRPr="00CF1A02" w:rsidRDefault="003F4D3A" w:rsidP="00CF1A02">
      <w:pPr>
        <w:adjustRightInd w:val="0"/>
        <w:snapToGrid w:val="0"/>
        <w:spacing w:line="360" w:lineRule="auto"/>
        <w:jc w:val="both"/>
        <w:rPr>
          <w:rFonts w:ascii="Book Antiqua" w:hAnsi="Book Antiqua"/>
        </w:rPr>
      </w:pPr>
      <w:bookmarkStart w:id="15" w:name="OLE_LINK23"/>
      <w:bookmarkStart w:id="16" w:name="OLE_LINK24"/>
      <w:r w:rsidRPr="00CF1A02">
        <w:rPr>
          <w:rFonts w:ascii="Book Antiqua" w:eastAsia="Book Antiqua" w:hAnsi="Book Antiqua" w:cs="Book Antiqua"/>
          <w:color w:val="000000"/>
        </w:rPr>
        <w:t>Preoperative chemoradiotherapy (CRT) is a standard treatment modality for locally advanced rectal cancer. However, CRT alone cannot improve overall survival. Approximately 20% of patients with CRT-resistant tumors show disease progression. Therefore, predictive factors for treatment response are needed to identify patients who will benefit from CRT. We theorized that the prognosis may vary if patients are classified according to pre- to post-CRT changes in carcinoembryonic antigen (</w:t>
      </w:r>
      <w:bookmarkStart w:id="17" w:name="OLE_LINK1"/>
      <w:bookmarkStart w:id="18" w:name="OLE_LINK2"/>
      <w:r w:rsidRPr="00CF1A02">
        <w:rPr>
          <w:rFonts w:ascii="Book Antiqua" w:eastAsia="Book Antiqua" w:hAnsi="Book Antiqua" w:cs="Book Antiqua"/>
          <w:color w:val="000000"/>
        </w:rPr>
        <w:t>CEA</w:t>
      </w:r>
      <w:bookmarkEnd w:id="17"/>
      <w:bookmarkEnd w:id="18"/>
      <w:r w:rsidRPr="00CF1A02">
        <w:rPr>
          <w:rFonts w:ascii="Book Antiqua" w:eastAsia="Book Antiqua" w:hAnsi="Book Antiqua" w:cs="Book Antiqua"/>
          <w:color w:val="000000"/>
        </w:rPr>
        <w:t>) levels.</w:t>
      </w:r>
    </w:p>
    <w:bookmarkEnd w:id="15"/>
    <w:bookmarkEnd w:id="16"/>
    <w:p w14:paraId="601FB95B" w14:textId="77777777" w:rsidR="00A77B3E" w:rsidRPr="00CF1A02" w:rsidRDefault="00A77B3E" w:rsidP="00CF1A02">
      <w:pPr>
        <w:adjustRightInd w:val="0"/>
        <w:snapToGrid w:val="0"/>
        <w:spacing w:line="360" w:lineRule="auto"/>
        <w:jc w:val="both"/>
        <w:rPr>
          <w:rFonts w:ascii="Book Antiqua" w:hAnsi="Book Antiqua"/>
        </w:rPr>
      </w:pPr>
    </w:p>
    <w:p w14:paraId="3C16BFE9"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AIM</w:t>
      </w:r>
    </w:p>
    <w:p w14:paraId="4FCD1E0B" w14:textId="77777777" w:rsidR="00A77B3E" w:rsidRPr="00CF1A02" w:rsidRDefault="003F4D3A" w:rsidP="00CF1A02">
      <w:pPr>
        <w:adjustRightInd w:val="0"/>
        <w:snapToGrid w:val="0"/>
        <w:spacing w:line="360" w:lineRule="auto"/>
        <w:jc w:val="both"/>
        <w:rPr>
          <w:rFonts w:ascii="Book Antiqua" w:hAnsi="Book Antiqua"/>
        </w:rPr>
      </w:pPr>
      <w:bookmarkStart w:id="19" w:name="OLE_LINK25"/>
      <w:bookmarkStart w:id="20" w:name="OLE_LINK26"/>
      <w:r w:rsidRPr="00CF1A02">
        <w:rPr>
          <w:rFonts w:ascii="Book Antiqua" w:eastAsia="Book Antiqua" w:hAnsi="Book Antiqua" w:cs="Book Antiqua"/>
          <w:color w:val="000000"/>
        </w:rPr>
        <w:t>To identify patients with locally advanced rectal cancer for preoperative chemoradiotherapy based on carcinoembryonic antigen levels.</w:t>
      </w:r>
    </w:p>
    <w:bookmarkEnd w:id="19"/>
    <w:bookmarkEnd w:id="20"/>
    <w:p w14:paraId="0B066204" w14:textId="77777777" w:rsidR="00A77B3E" w:rsidRPr="00CF1A02" w:rsidRDefault="00A77B3E" w:rsidP="00CF1A02">
      <w:pPr>
        <w:adjustRightInd w:val="0"/>
        <w:snapToGrid w:val="0"/>
        <w:spacing w:line="360" w:lineRule="auto"/>
        <w:jc w:val="both"/>
        <w:rPr>
          <w:rFonts w:ascii="Book Antiqua" w:hAnsi="Book Antiqua"/>
        </w:rPr>
      </w:pPr>
    </w:p>
    <w:p w14:paraId="0EEAFB0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METHODS</w:t>
      </w:r>
    </w:p>
    <w:p w14:paraId="67AC6779" w14:textId="4B9906FC" w:rsidR="00A77B3E" w:rsidRPr="00CF1A02" w:rsidRDefault="003F4D3A" w:rsidP="00CF1A02">
      <w:pPr>
        <w:adjustRightInd w:val="0"/>
        <w:snapToGrid w:val="0"/>
        <w:spacing w:line="360" w:lineRule="auto"/>
        <w:jc w:val="both"/>
        <w:rPr>
          <w:rFonts w:ascii="Book Antiqua" w:hAnsi="Book Antiqua"/>
        </w:rPr>
      </w:pPr>
      <w:bookmarkStart w:id="21" w:name="OLE_LINK27"/>
      <w:bookmarkStart w:id="22" w:name="OLE_LINK28"/>
      <w:r w:rsidRPr="00CF1A02">
        <w:rPr>
          <w:rFonts w:ascii="Book Antiqua" w:eastAsia="Book Antiqua" w:hAnsi="Book Antiqua" w:cs="Book Antiqua"/>
          <w:color w:val="000000"/>
        </w:rPr>
        <w:t>We</w:t>
      </w:r>
      <w:r w:rsidRPr="00CF1A02">
        <w:rPr>
          <w:rFonts w:ascii="Book Antiqua" w:eastAsia="Book Antiqua" w:hAnsi="Book Antiqua" w:cs="Book Antiqua"/>
          <w:b/>
          <w:bCs/>
          <w:color w:val="000000"/>
        </w:rPr>
        <w:t xml:space="preserve"> </w:t>
      </w:r>
      <w:r w:rsidRPr="00CF1A02">
        <w:rPr>
          <w:rFonts w:ascii="Book Antiqua" w:eastAsia="Book Antiqua" w:hAnsi="Book Antiqua" w:cs="Book Antiqua"/>
          <w:color w:val="000000"/>
        </w:rPr>
        <w:t xml:space="preserve">retrospectively included locally advanced rectal cancer patients who underwent preoperative CRT and curative resection between 2011 and 2017. Patients were assigned to groups A, B, and C based on pre- and post-CRT serum CEA levels: both &gt; 5; pre &gt; 5 and post ≤ 5; and both ≤ 5 ng/mL, respectively. We compared the response to CRT based on changes in serum CEA levels. Receiver operating characteristic curve analysis was performed to determine optimal cutoff </w:t>
      </w:r>
      <w:r w:rsidR="00A4655D" w:rsidRPr="00CF1A02">
        <w:rPr>
          <w:rFonts w:ascii="Book Antiqua" w:eastAsia="Book Antiqua" w:hAnsi="Book Antiqua" w:cs="Book Antiqua"/>
          <w:color w:val="000000"/>
        </w:rPr>
        <w:t xml:space="preserve">for neutrophil–lymphocyte ratio </w:t>
      </w:r>
      <w:r w:rsidRPr="00CF1A02">
        <w:rPr>
          <w:rFonts w:ascii="Book Antiqua" w:eastAsia="Book Antiqua" w:hAnsi="Book Antiqua" w:cs="Book Antiqua"/>
          <w:color w:val="000000"/>
        </w:rPr>
        <w:t>and platelet–lymphocyte ratio. Multivariate logistic regression analysis was used to evaluate the prognostic factors for pathologic complete response (pCR)/good response.</w:t>
      </w:r>
    </w:p>
    <w:bookmarkEnd w:id="21"/>
    <w:bookmarkEnd w:id="22"/>
    <w:p w14:paraId="5C0A6E70" w14:textId="77777777" w:rsidR="00A77B3E" w:rsidRPr="00CF1A02" w:rsidRDefault="00A77B3E" w:rsidP="00CF1A02">
      <w:pPr>
        <w:adjustRightInd w:val="0"/>
        <w:snapToGrid w:val="0"/>
        <w:spacing w:line="360" w:lineRule="auto"/>
        <w:jc w:val="both"/>
        <w:rPr>
          <w:rFonts w:ascii="Book Antiqua" w:hAnsi="Book Antiqua"/>
        </w:rPr>
      </w:pPr>
    </w:p>
    <w:p w14:paraId="173BA498"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RESULTS</w:t>
      </w:r>
    </w:p>
    <w:p w14:paraId="66260FE4" w14:textId="5F27401D" w:rsidR="00A77B3E" w:rsidRPr="00CF1A02" w:rsidRDefault="003F4D3A" w:rsidP="00CF1A02">
      <w:pPr>
        <w:adjustRightInd w:val="0"/>
        <w:snapToGrid w:val="0"/>
        <w:spacing w:line="360" w:lineRule="auto"/>
        <w:jc w:val="both"/>
        <w:rPr>
          <w:rFonts w:ascii="Book Antiqua" w:hAnsi="Book Antiqua"/>
        </w:rPr>
      </w:pPr>
      <w:bookmarkStart w:id="23" w:name="OLE_LINK29"/>
      <w:bookmarkStart w:id="24" w:name="OLE_LINK30"/>
      <w:r w:rsidRPr="00CF1A02">
        <w:rPr>
          <w:rFonts w:ascii="Book Antiqua" w:eastAsia="Book Antiqua" w:hAnsi="Book Antiqua" w:cs="Book Antiqua"/>
          <w:color w:val="000000"/>
        </w:rPr>
        <w:t>The cohort comprised 145 patients; of them, 27, 43, and 65 belonged to groups A, B, and C, respectively, according to changes in serum CEA levels before and after CRT. Pre-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&lt; 0.001) and post-CRT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&lt; 0.001) CEA levels and the ratio of down-staging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0.013) were higher in Groups B and C than in Group A. The ratio of pathologic tumor regression grade 0/1 significantly differed among the groups (</w:t>
      </w:r>
      <w:r w:rsidRPr="00CF1A02">
        <w:rPr>
          <w:rFonts w:ascii="Book Antiqua" w:eastAsia="Book Antiqua" w:hAnsi="Book Antiqua" w:cs="Book Antiqua"/>
          <w:i/>
          <w:iCs/>
          <w:color w:val="000000"/>
        </w:rPr>
        <w:t xml:space="preserve">P = </w:t>
      </w:r>
      <w:r w:rsidRPr="00CF1A02">
        <w:rPr>
          <w:rFonts w:ascii="Book Antiqua" w:eastAsia="Book Antiqua" w:hAnsi="Book Antiqua" w:cs="Book Antiqua"/>
          <w:color w:val="000000"/>
        </w:rPr>
        <w:t>0.003). Group C had the highest number of patients showing pCR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&lt; 0.001). Most patients with pCR showed pre- and post-CRT CEA levels &lt; 5 ng/mL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xml:space="preserve">&lt; 0.001,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0.008). Pre- and post-CRT CEA levels were important r</w:t>
      </w:r>
      <w:r w:rsidR="00A4655D" w:rsidRPr="00CF1A02">
        <w:rPr>
          <w:rFonts w:ascii="Book Antiqua" w:eastAsia="Book Antiqua" w:hAnsi="Book Antiqua" w:cs="Book Antiqua"/>
          <w:color w:val="000000"/>
        </w:rPr>
        <w:t>isk factors for pCR (</w:t>
      </w:r>
      <w:r w:rsidR="009C5EF7">
        <w:rPr>
          <w:rFonts w:ascii="Book Antiqua" w:hAnsi="Book Antiqua" w:cs="Book Antiqua" w:hint="eastAsia"/>
          <w:color w:val="000000"/>
          <w:lang w:eastAsia="zh-CN"/>
        </w:rPr>
        <w:t>OR =</w:t>
      </w:r>
      <w:r w:rsidRPr="00CF1A02">
        <w:rPr>
          <w:rFonts w:ascii="Book Antiqua" w:eastAsia="Book Antiqua" w:hAnsi="Book Antiqua" w:cs="Book Antiqua"/>
          <w:color w:val="000000"/>
        </w:rPr>
        <w:t xml:space="preserve"> 18.71; 95%</w:t>
      </w:r>
      <w:r w:rsidR="009C5EF7">
        <w:rPr>
          <w:rFonts w:ascii="Book Antiqua" w:hAnsi="Book Antiqua" w:cs="Book Antiqua" w:hint="eastAsia"/>
          <w:color w:val="000000"/>
          <w:lang w:eastAsia="zh-CN"/>
        </w:rPr>
        <w:t>CI</w:t>
      </w:r>
      <w:r w:rsidR="00A4655D"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4.62–129.51,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&lt; 0.001</w:t>
      </w:r>
      <w:r w:rsidR="00A4655D"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and good response (</w:t>
      </w:r>
      <w:r w:rsidR="009C5EF7">
        <w:rPr>
          <w:rFonts w:ascii="Book Antiqua" w:hAnsi="Book Antiqua" w:cs="Book Antiqua" w:hint="eastAsia"/>
          <w:color w:val="000000"/>
          <w:lang w:eastAsia="zh-CN"/>
        </w:rPr>
        <w:t xml:space="preserve">OR = </w:t>
      </w:r>
      <w:r w:rsidRPr="00CF1A02">
        <w:rPr>
          <w:rFonts w:ascii="Book Antiqua" w:eastAsia="Book Antiqua" w:hAnsi="Book Antiqua" w:cs="Book Antiqua"/>
          <w:color w:val="000000"/>
        </w:rPr>
        <w:t>5.07; 95%</w:t>
      </w:r>
      <w:r w:rsidR="009C5EF7">
        <w:rPr>
          <w:rFonts w:ascii="Book Antiqua" w:hAnsi="Book Antiqua" w:cs="Book Antiqua" w:hint="eastAsia"/>
          <w:color w:val="000000"/>
          <w:lang w:eastAsia="zh-CN"/>
        </w:rPr>
        <w:t>CI</w:t>
      </w:r>
      <w:r w:rsidR="00A4655D"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1.92–14.83,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 0.002), respectively. Pre-CRT </w:t>
      </w:r>
      <w:r w:rsidR="00A4655D" w:rsidRPr="00CF1A02">
        <w:rPr>
          <w:rFonts w:ascii="Book Antiqua" w:eastAsia="Book Antiqua" w:hAnsi="Book Antiqua" w:cs="Book Antiqua"/>
          <w:color w:val="000000"/>
        </w:rPr>
        <w:t>neutrophil–lymphocyte ratio</w:t>
      </w:r>
      <w:r w:rsidRPr="00CF1A02">
        <w:rPr>
          <w:rFonts w:ascii="Book Antiqua" w:eastAsia="Book Antiqua" w:hAnsi="Book Antiqua" w:cs="Book Antiqua"/>
          <w:color w:val="000000"/>
        </w:rPr>
        <w:t xml:space="preserve"> and post-CRT T ≥ 3 stage were also prognostic factors for pCR or good response.</w:t>
      </w:r>
    </w:p>
    <w:bookmarkEnd w:id="23"/>
    <w:bookmarkEnd w:id="24"/>
    <w:p w14:paraId="5D3C9244" w14:textId="77777777" w:rsidR="00A77B3E" w:rsidRPr="00CF1A02" w:rsidRDefault="00A77B3E" w:rsidP="00CF1A02">
      <w:pPr>
        <w:adjustRightInd w:val="0"/>
        <w:snapToGrid w:val="0"/>
        <w:spacing w:line="360" w:lineRule="auto"/>
        <w:jc w:val="both"/>
        <w:rPr>
          <w:rFonts w:ascii="Book Antiqua" w:hAnsi="Book Antiqua"/>
        </w:rPr>
      </w:pPr>
    </w:p>
    <w:p w14:paraId="77C41EE1"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CONCLUSION</w:t>
      </w:r>
    </w:p>
    <w:p w14:paraId="39E19852"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Pre- and post-CRT CEA levels, as well as change in CEA levels, were prognostic markers for treatment response to CRT and may facilitate treatment individualization for rectal cancer.</w:t>
      </w:r>
    </w:p>
    <w:p w14:paraId="1E9D61ED" w14:textId="77777777" w:rsidR="00A77B3E" w:rsidRPr="00CF1A02" w:rsidRDefault="00A77B3E" w:rsidP="00CF1A02">
      <w:pPr>
        <w:adjustRightInd w:val="0"/>
        <w:snapToGrid w:val="0"/>
        <w:spacing w:line="360" w:lineRule="auto"/>
        <w:jc w:val="both"/>
        <w:rPr>
          <w:rFonts w:ascii="Book Antiqua" w:hAnsi="Book Antiqua"/>
        </w:rPr>
      </w:pPr>
    </w:p>
    <w:p w14:paraId="16C2764D"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Key Words: </w:t>
      </w:r>
      <w:bookmarkStart w:id="25" w:name="OLE_LINK20"/>
      <w:bookmarkStart w:id="26" w:name="OLE_LINK21"/>
      <w:r w:rsidRPr="00CF1A02">
        <w:rPr>
          <w:rFonts w:ascii="Book Antiqua" w:eastAsia="Book Antiqua" w:hAnsi="Book Antiqua" w:cs="Book Antiqua"/>
          <w:color w:val="000000"/>
        </w:rPr>
        <w:t>Rectal cancer; Neoadjuvant chemoradiation therapy; Carcinoembryonic antigen levels; Prognostic factor; Change in serum carcinoembryonic antigen; Response of chemoradiotherapy</w:t>
      </w:r>
    </w:p>
    <w:bookmarkEnd w:id="25"/>
    <w:bookmarkEnd w:id="26"/>
    <w:p w14:paraId="3D411A1A" w14:textId="77777777" w:rsidR="00A77B3E" w:rsidRPr="00CF1A02" w:rsidRDefault="00A77B3E" w:rsidP="00CF1A02">
      <w:pPr>
        <w:adjustRightInd w:val="0"/>
        <w:snapToGrid w:val="0"/>
        <w:spacing w:line="360" w:lineRule="auto"/>
        <w:jc w:val="both"/>
        <w:rPr>
          <w:rFonts w:ascii="Book Antiqua" w:hAnsi="Book Antiqua"/>
        </w:rPr>
      </w:pPr>
    </w:p>
    <w:p w14:paraId="62A7F478" w14:textId="4D407431" w:rsidR="003A683F" w:rsidRDefault="003A683F" w:rsidP="00CF1A02">
      <w:pPr>
        <w:adjustRightInd w:val="0"/>
        <w:snapToGrid w:val="0"/>
        <w:spacing w:line="360" w:lineRule="auto"/>
        <w:jc w:val="both"/>
        <w:rPr>
          <w:rFonts w:ascii="Book Antiqua" w:hAnsi="Book Antiqua" w:cs="Book Antiqua" w:hint="eastAsia"/>
          <w:color w:val="000000"/>
          <w:lang w:eastAsia="zh-CN"/>
        </w:rPr>
      </w:pPr>
      <w:bookmarkStart w:id="27" w:name="OLE_LINK8"/>
      <w:r w:rsidRPr="003A683F">
        <w:rPr>
          <w:rFonts w:ascii="Book Antiqua" w:hAnsi="Book Antiqua" w:cs="Book Antiqua" w:hint="eastAsia"/>
          <w:b/>
          <w:color w:val="000000"/>
          <w:lang w:eastAsia="zh-CN"/>
        </w:rPr>
        <w:t xml:space="preserve">Citation: </w:t>
      </w:r>
      <w:r w:rsidR="003F4D3A" w:rsidRPr="00CF1A02">
        <w:rPr>
          <w:rFonts w:ascii="Book Antiqua" w:eastAsia="Book Antiqua" w:hAnsi="Book Antiqua" w:cs="Book Antiqua"/>
          <w:color w:val="000000"/>
        </w:rPr>
        <w:t xml:space="preserve">Cheong C, Shin JS, Suh KW. Prognostic value of changes in serum carcinoembryonic antigen levels for preoperative chemoradiotherapy response in locally advanced rectal cancer. </w:t>
      </w:r>
      <w:r w:rsidR="003F4D3A" w:rsidRPr="00CF1A02">
        <w:rPr>
          <w:rFonts w:ascii="Book Antiqua" w:eastAsia="Book Antiqua" w:hAnsi="Book Antiqua" w:cs="Book Antiqua"/>
          <w:i/>
          <w:iCs/>
          <w:color w:val="000000"/>
        </w:rPr>
        <w:t>World J Gastroenterol</w:t>
      </w:r>
      <w:r w:rsidR="003F4D3A" w:rsidRPr="00CF1A02">
        <w:rPr>
          <w:rFonts w:ascii="Book Antiqua" w:eastAsia="Book Antiqua" w:hAnsi="Book Antiqua" w:cs="Book Antiqua"/>
          <w:color w:val="000000"/>
        </w:rPr>
        <w:t xml:space="preserve"> </w:t>
      </w:r>
      <w:r w:rsidR="00BC5D0E" w:rsidRPr="00E42B4F">
        <w:rPr>
          <w:rFonts w:ascii="Book Antiqua" w:eastAsia="Book Antiqua" w:hAnsi="Book Antiqua" w:cs="Book Antiqua"/>
          <w:color w:val="000000"/>
        </w:rPr>
        <w:t>2020; 26(</w:t>
      </w:r>
      <w:r w:rsidR="00BC5D0E">
        <w:rPr>
          <w:rFonts w:ascii="Book Antiqua" w:hAnsi="Book Antiqua" w:cs="Book Antiqua" w:hint="eastAsia"/>
          <w:color w:val="000000"/>
          <w:lang w:eastAsia="zh-CN"/>
        </w:rPr>
        <w:t>44</w:t>
      </w:r>
      <w:r w:rsidR="00BC5D0E" w:rsidRPr="00E42B4F">
        <w:rPr>
          <w:rFonts w:ascii="Book Antiqua" w:eastAsia="Book Antiqua" w:hAnsi="Book Antiqua" w:cs="Book Antiqua"/>
          <w:color w:val="000000"/>
        </w:rPr>
        <w:t xml:space="preserve">): </w:t>
      </w:r>
      <w:r w:rsidRPr="003A683F">
        <w:rPr>
          <w:rFonts w:ascii="Book Antiqua" w:hAnsi="Book Antiqua" w:cs="Book Antiqua"/>
          <w:color w:val="000000"/>
          <w:lang w:eastAsia="zh-CN"/>
        </w:rPr>
        <w:t>7022-7035</w:t>
      </w:r>
      <w:r w:rsidR="00BC5D0E">
        <w:rPr>
          <w:rFonts w:ascii="Book Antiqua" w:hAnsi="Book Antiqua" w:cs="Book Antiqua" w:hint="eastAsia"/>
          <w:color w:val="000000"/>
          <w:lang w:eastAsia="zh-CN"/>
        </w:rPr>
        <w:t xml:space="preserve">  </w:t>
      </w:r>
    </w:p>
    <w:p w14:paraId="564C1D57" w14:textId="605A9A06" w:rsidR="003A683F" w:rsidRDefault="00BC5D0E" w:rsidP="00CF1A02">
      <w:pPr>
        <w:adjustRightInd w:val="0"/>
        <w:snapToGrid w:val="0"/>
        <w:spacing w:line="360" w:lineRule="auto"/>
        <w:jc w:val="both"/>
        <w:rPr>
          <w:rFonts w:ascii="Book Antiqua" w:hAnsi="Book Antiqua" w:cs="Book Antiqua" w:hint="eastAsia"/>
          <w:color w:val="000000"/>
          <w:lang w:eastAsia="zh-CN"/>
        </w:rPr>
      </w:pPr>
      <w:r w:rsidRPr="003A683F">
        <w:rPr>
          <w:rFonts w:ascii="Book Antiqua" w:eastAsia="Book Antiqua" w:hAnsi="Book Antiqua" w:cs="Book Antiqua"/>
          <w:b/>
          <w:color w:val="000000"/>
        </w:rPr>
        <w:t>URL:</w:t>
      </w:r>
      <w:r w:rsidRPr="00E42B4F">
        <w:rPr>
          <w:rFonts w:ascii="Book Antiqua" w:eastAsia="Book Antiqua" w:hAnsi="Book Antiqua" w:cs="Book Antiqua"/>
          <w:color w:val="000000"/>
        </w:rPr>
        <w:t xml:space="preserve"> https://www.wjgnet.com/1007-9327/full/v26/i</w:t>
      </w:r>
      <w:r>
        <w:rPr>
          <w:rFonts w:ascii="Book Antiqua" w:hAnsi="Book Antiqua" w:cs="Book Antiqua" w:hint="eastAsia"/>
          <w:color w:val="000000"/>
          <w:lang w:eastAsia="zh-CN"/>
        </w:rPr>
        <w:t>44</w:t>
      </w:r>
      <w:r w:rsidRPr="00E42B4F">
        <w:rPr>
          <w:rFonts w:ascii="Book Antiqua" w:eastAsia="Book Antiqua" w:hAnsi="Book Antiqua" w:cs="Book Antiqua"/>
          <w:color w:val="000000"/>
        </w:rPr>
        <w:t>/</w:t>
      </w:r>
      <w:r w:rsidR="003A683F">
        <w:rPr>
          <w:rFonts w:ascii="Book Antiqua" w:hAnsi="Book Antiqua" w:cs="Book Antiqua" w:hint="eastAsia"/>
          <w:color w:val="000000"/>
          <w:lang w:eastAsia="zh-CN"/>
        </w:rPr>
        <w:t>7022</w:t>
      </w:r>
      <w:r w:rsidRPr="00E42B4F">
        <w:rPr>
          <w:rFonts w:ascii="Book Antiqua" w:eastAsia="Book Antiqua" w:hAnsi="Book Antiqua" w:cs="Book Antiqua"/>
          <w:color w:val="000000"/>
        </w:rPr>
        <w:t>.htm</w:t>
      </w:r>
      <w:r>
        <w:rPr>
          <w:rFonts w:ascii="Book Antiqua" w:hAnsi="Book Antiqua" w:cs="Book Antiqua" w:hint="eastAsia"/>
          <w:color w:val="000000"/>
          <w:lang w:eastAsia="zh-CN"/>
        </w:rPr>
        <w:t xml:space="preserve">  </w:t>
      </w:r>
    </w:p>
    <w:p w14:paraId="05931EC8" w14:textId="410E74E9" w:rsidR="00A77B3E" w:rsidRPr="00CF1A02" w:rsidRDefault="00BC5D0E" w:rsidP="00CF1A02">
      <w:pPr>
        <w:adjustRightInd w:val="0"/>
        <w:snapToGrid w:val="0"/>
        <w:spacing w:line="360" w:lineRule="auto"/>
        <w:jc w:val="both"/>
        <w:rPr>
          <w:rFonts w:ascii="Book Antiqua" w:hAnsi="Book Antiqua"/>
        </w:rPr>
      </w:pPr>
      <w:bookmarkStart w:id="28" w:name="_GoBack"/>
      <w:r w:rsidRPr="003A683F">
        <w:rPr>
          <w:rFonts w:ascii="Book Antiqua" w:eastAsia="Book Antiqua" w:hAnsi="Book Antiqua" w:cs="Book Antiqua"/>
          <w:b/>
          <w:color w:val="000000"/>
        </w:rPr>
        <w:t>DOI:</w:t>
      </w:r>
      <w:bookmarkEnd w:id="28"/>
      <w:r w:rsidRPr="00E42B4F">
        <w:rPr>
          <w:rFonts w:ascii="Book Antiqua" w:eastAsia="Book Antiqua" w:hAnsi="Book Antiqua" w:cs="Book Antiqua"/>
          <w:color w:val="000000"/>
        </w:rPr>
        <w:t xml:space="preserve"> https://dx.doi.org/10.3748/wjg.v26.i</w:t>
      </w:r>
      <w:r>
        <w:rPr>
          <w:rFonts w:ascii="Book Antiqua" w:hAnsi="Book Antiqua" w:cs="Book Antiqua" w:hint="eastAsia"/>
          <w:color w:val="000000"/>
          <w:lang w:eastAsia="zh-CN"/>
        </w:rPr>
        <w:t>44</w:t>
      </w:r>
      <w:r w:rsidRPr="00E42B4F">
        <w:rPr>
          <w:rFonts w:ascii="Book Antiqua" w:eastAsia="Book Antiqua" w:hAnsi="Book Antiqua" w:cs="Book Antiqua"/>
          <w:color w:val="000000"/>
        </w:rPr>
        <w:t>.</w:t>
      </w:r>
      <w:r w:rsidR="003A683F">
        <w:rPr>
          <w:rFonts w:ascii="Book Antiqua" w:hAnsi="Book Antiqua" w:cs="Book Antiqua" w:hint="eastAsia"/>
          <w:color w:val="000000"/>
          <w:lang w:eastAsia="zh-CN"/>
        </w:rPr>
        <w:t>7022</w:t>
      </w:r>
    </w:p>
    <w:bookmarkEnd w:id="27"/>
    <w:p w14:paraId="78108F22" w14:textId="77777777" w:rsidR="00A77B3E" w:rsidRPr="00CF1A02" w:rsidRDefault="00A77B3E" w:rsidP="00CF1A02">
      <w:pPr>
        <w:adjustRightInd w:val="0"/>
        <w:snapToGrid w:val="0"/>
        <w:spacing w:line="360" w:lineRule="auto"/>
        <w:jc w:val="both"/>
        <w:rPr>
          <w:rFonts w:ascii="Book Antiqua" w:hAnsi="Book Antiqua"/>
        </w:rPr>
      </w:pPr>
    </w:p>
    <w:p w14:paraId="2E4FF933" w14:textId="77777777" w:rsidR="00A77B3E" w:rsidRDefault="003F4D3A" w:rsidP="00CF1A02">
      <w:pPr>
        <w:adjustRightInd w:val="0"/>
        <w:snapToGrid w:val="0"/>
        <w:spacing w:line="360" w:lineRule="auto"/>
        <w:jc w:val="both"/>
        <w:rPr>
          <w:rFonts w:ascii="Book Antiqua" w:hAnsi="Book Antiqua" w:cs="Book Antiqua"/>
          <w:color w:val="000000"/>
          <w:lang w:eastAsia="zh-CN"/>
        </w:rPr>
      </w:pPr>
      <w:r w:rsidRPr="00CF1A02">
        <w:rPr>
          <w:rFonts w:ascii="Book Antiqua" w:eastAsia="Book Antiqua" w:hAnsi="Book Antiqua" w:cs="Book Antiqua"/>
          <w:b/>
          <w:bCs/>
          <w:color w:val="000000"/>
        </w:rPr>
        <w:t xml:space="preserve">Core Tip: </w:t>
      </w:r>
      <w:bookmarkStart w:id="29" w:name="OLE_LINK7"/>
      <w:bookmarkStart w:id="30" w:name="OLE_LINK22"/>
      <w:r w:rsidRPr="00CF1A02">
        <w:rPr>
          <w:rFonts w:ascii="Book Antiqua" w:eastAsia="Book Antiqua" w:hAnsi="Book Antiqua" w:cs="Book Antiqua"/>
          <w:color w:val="000000"/>
        </w:rPr>
        <w:t>The response of preoperative chemoradiotherapy (CRT) for rectal cancer varies from pathologic complete response to disease progression. Pre- and post-CRT levels of carcinoembryonic antigen can indicate treatment response to CRT in patients with locally advanced rectal cancer. Carcinoembryonic antigen can be used as a prognostic marker to facilitate treatment individualization in rectal cancer.</w:t>
      </w:r>
    </w:p>
    <w:p w14:paraId="7D3A4676" w14:textId="77777777" w:rsidR="0056116F" w:rsidRPr="0056116F" w:rsidRDefault="0056116F" w:rsidP="00CF1A02">
      <w:pPr>
        <w:adjustRightInd w:val="0"/>
        <w:snapToGrid w:val="0"/>
        <w:spacing w:line="360" w:lineRule="auto"/>
        <w:jc w:val="both"/>
        <w:rPr>
          <w:rFonts w:ascii="Book Antiqua" w:hAnsi="Book Antiqua"/>
          <w:lang w:eastAsia="zh-CN"/>
        </w:rPr>
      </w:pPr>
    </w:p>
    <w:bookmarkEnd w:id="29"/>
    <w:bookmarkEnd w:id="30"/>
    <w:p w14:paraId="26C9DDE6" w14:textId="0A2E000A"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aps/>
          <w:color w:val="000000"/>
          <w:u w:val="single"/>
        </w:rPr>
        <w:t>INTRODUCTION</w:t>
      </w:r>
    </w:p>
    <w:p w14:paraId="2952777B" w14:textId="4A1694E0" w:rsidR="00A77B3E" w:rsidRPr="00CF1A02" w:rsidRDefault="003F4D3A" w:rsidP="00CF1A02">
      <w:pPr>
        <w:adjustRightInd w:val="0"/>
        <w:snapToGrid w:val="0"/>
        <w:spacing w:line="360" w:lineRule="auto"/>
        <w:jc w:val="both"/>
        <w:rPr>
          <w:rFonts w:ascii="Book Antiqua" w:hAnsi="Book Antiqua"/>
        </w:rPr>
      </w:pPr>
      <w:bookmarkStart w:id="31" w:name="OLE_LINK31"/>
      <w:bookmarkStart w:id="32" w:name="OLE_LINK32"/>
      <w:r w:rsidRPr="00CF1A02">
        <w:rPr>
          <w:rFonts w:ascii="Book Antiqua" w:eastAsia="Book Antiqua" w:hAnsi="Book Antiqua" w:cs="Book Antiqua"/>
          <w:color w:val="000000"/>
        </w:rPr>
        <w:t>Preoperative chemoradiotherapy (CRT) is a standard treatment modality for locally advanced rectal cancer (LARC) based on findings from randomized controlled trials</w:t>
      </w:r>
      <w:r w:rsidRPr="00CF1A02">
        <w:rPr>
          <w:rFonts w:ascii="Book Antiqua" w:eastAsia="Book Antiqua" w:hAnsi="Book Antiqua" w:cs="Book Antiqua"/>
          <w:color w:val="000000"/>
          <w:vertAlign w:val="superscript"/>
        </w:rPr>
        <w:t>[1-3]</w:t>
      </w:r>
      <w:r w:rsidRPr="00CF1A02">
        <w:rPr>
          <w:rFonts w:ascii="Book Antiqua" w:eastAsia="Book Antiqua" w:hAnsi="Book Antiqua" w:cs="Book Antiqua"/>
          <w:color w:val="000000"/>
        </w:rPr>
        <w:t>. Advances in CRT and surgical modalities have resulted in better oncologic outcomes for rectal cancer, including a local recurrence rate of &lt; 10%. However, CRT alone cannot improve overall survival</w:t>
      </w:r>
      <w:r w:rsidRPr="00CF1A02">
        <w:rPr>
          <w:rFonts w:ascii="Book Antiqua" w:eastAsia="Book Antiqua" w:hAnsi="Book Antiqua" w:cs="Book Antiqua"/>
          <w:color w:val="000000"/>
          <w:vertAlign w:val="superscript"/>
        </w:rPr>
        <w:t>[1]</w:t>
      </w:r>
      <w:r w:rsidRPr="00CF1A02">
        <w:rPr>
          <w:rFonts w:ascii="Book Antiqua" w:eastAsia="Book Antiqua" w:hAnsi="Book Antiqua" w:cs="Book Antiqua"/>
          <w:color w:val="000000"/>
        </w:rPr>
        <w:t xml:space="preserve"> and treatment response to CRT can vary from pathologic complete response (pCR) to disease progression</w:t>
      </w:r>
      <w:r w:rsidRPr="00CF1A02">
        <w:rPr>
          <w:rFonts w:ascii="Book Antiqua" w:eastAsia="Book Antiqua" w:hAnsi="Book Antiqua" w:cs="Book Antiqua"/>
          <w:color w:val="000000"/>
          <w:vertAlign w:val="superscript"/>
        </w:rPr>
        <w:t>[4]</w:t>
      </w:r>
      <w:r w:rsidRPr="00CF1A02">
        <w:rPr>
          <w:rFonts w:ascii="Book Antiqua" w:eastAsia="Book Antiqua" w:hAnsi="Book Antiqua" w:cs="Book Antiqua"/>
          <w:color w:val="000000"/>
        </w:rPr>
        <w:t xml:space="preserve"> Tumor sensitivity to CRT causes tumor regression after delayed surgery; approximately 40% of patients with CRT-sensitive tumors achieve partial response, and 8</w:t>
      </w:r>
      <w:r w:rsidR="00A4655D" w:rsidRPr="00CF1A02">
        <w:rPr>
          <w:rFonts w:ascii="Book Antiqua" w:eastAsia="Book Antiqua" w:hAnsi="Book Antiqua" w:cs="Book Antiqua"/>
          <w:color w:val="000000"/>
        </w:rPr>
        <w:t>%</w:t>
      </w:r>
      <w:r w:rsidRPr="00CF1A02">
        <w:rPr>
          <w:rFonts w:ascii="Book Antiqua" w:eastAsia="Book Antiqua" w:hAnsi="Book Antiqua" w:cs="Book Antiqua"/>
          <w:color w:val="000000"/>
        </w:rPr>
        <w:t>–20% achieve pCR</w:t>
      </w:r>
      <w:r w:rsidRPr="00CF1A02">
        <w:rPr>
          <w:rFonts w:ascii="Book Antiqua" w:eastAsia="Book Antiqua" w:hAnsi="Book Antiqua" w:cs="Book Antiqua"/>
          <w:color w:val="000000"/>
          <w:vertAlign w:val="superscript"/>
        </w:rPr>
        <w:t>[4-6]</w:t>
      </w:r>
      <w:r w:rsidRPr="00CF1A02">
        <w:rPr>
          <w:rFonts w:ascii="Book Antiqua" w:eastAsia="Book Antiqua" w:hAnsi="Book Antiqua" w:cs="Book Antiqua"/>
          <w:color w:val="000000"/>
        </w:rPr>
        <w:t>. However, approximately 20% of patients with CRT-resistant tumors show disease progression</w:t>
      </w:r>
      <w:r w:rsidRPr="00CF1A02">
        <w:rPr>
          <w:rFonts w:ascii="Book Antiqua" w:eastAsia="Book Antiqua" w:hAnsi="Book Antiqua" w:cs="Book Antiqua"/>
          <w:color w:val="000000"/>
          <w:vertAlign w:val="superscript"/>
        </w:rPr>
        <w:t>[4]</w:t>
      </w:r>
      <w:r w:rsidRPr="00CF1A02">
        <w:rPr>
          <w:rFonts w:ascii="Book Antiqua" w:eastAsia="Book Antiqua" w:hAnsi="Book Antiqua" w:cs="Book Antiqua"/>
          <w:color w:val="000000"/>
        </w:rPr>
        <w:t>. Therefore, predictive factors for treatment response are needed to identify patients who will benefit from CRT.</w:t>
      </w:r>
    </w:p>
    <w:p w14:paraId="5BBE62A1" w14:textId="014C2E5B"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Serum carcinoembryonic antigen (CEA) is an established biomarker for predicting prognosis and monitoring progression of colorectal cancer. Several studies have shown that the pretreatment serum level of CEA is associated with post-CRT pCR, dow</w:t>
      </w:r>
      <w:r w:rsidR="00C44517" w:rsidRPr="00CF1A02">
        <w:rPr>
          <w:rFonts w:ascii="Book Antiqua" w:eastAsia="Book Antiqua" w:hAnsi="Book Antiqua" w:cs="Book Antiqua"/>
          <w:color w:val="000000"/>
        </w:rPr>
        <w:t xml:space="preserve">n-staging, and survival (Table </w:t>
      </w:r>
      <w:r w:rsidR="00C44517" w:rsidRPr="00CF1A02">
        <w:rPr>
          <w:rFonts w:ascii="Book Antiqua" w:hAnsi="Book Antiqua" w:cs="Book Antiqua"/>
          <w:color w:val="000000"/>
          <w:lang w:eastAsia="zh-CN"/>
        </w:rPr>
        <w:t>1</w:t>
      </w:r>
      <w:r w:rsidRPr="00CF1A02">
        <w:rPr>
          <w:rFonts w:ascii="Book Antiqua" w:eastAsia="Book Antiqua" w:hAnsi="Book Antiqua" w:cs="Book Antiqua"/>
          <w:color w:val="000000"/>
        </w:rPr>
        <w:t>)</w:t>
      </w:r>
      <w:r w:rsidRPr="00CF1A02">
        <w:rPr>
          <w:rFonts w:ascii="Book Antiqua" w:eastAsia="Book Antiqua" w:hAnsi="Book Antiqua" w:cs="Book Antiqua"/>
          <w:color w:val="000000"/>
          <w:vertAlign w:val="superscript"/>
        </w:rPr>
        <w:t>[7-12]</w:t>
      </w:r>
      <w:r w:rsidRPr="00CF1A02">
        <w:rPr>
          <w:rFonts w:ascii="Book Antiqua" w:eastAsia="Book Antiqua" w:hAnsi="Book Antiqua" w:cs="Book Antiqua"/>
          <w:color w:val="000000"/>
        </w:rPr>
        <w:t>. However, previous studies focused on the fact that patients</w:t>
      </w:r>
      <w:r w:rsidR="00C44517" w:rsidRPr="00CF1A02">
        <w:rPr>
          <w:rFonts w:ascii="Book Antiqua" w:eastAsia="Book Antiqua" w:hAnsi="Book Antiqua" w:cs="Book Antiqua"/>
          <w:color w:val="000000"/>
        </w:rPr>
        <w:t xml:space="preserve"> with higher pretreatment CEA (</w:t>
      </w:r>
      <w:r w:rsidRPr="00CF1A02">
        <w:rPr>
          <w:rFonts w:ascii="Book Antiqua" w:eastAsia="Book Antiqua" w:hAnsi="Book Antiqua" w:cs="Book Antiqua"/>
          <w:color w:val="000000"/>
        </w:rPr>
        <w:t>&gt; 5 ng/mL) have poor prognosis and did not concentrate with the change of CEA levels.</w:t>
      </w:r>
    </w:p>
    <w:p w14:paraId="31DA9620" w14:textId="26AA2F8B"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We theorized that variations in prognosis may be observed if patients are classified by pre- to post-CRT changes in CEA levels. Early identification of poor responders or patients with tumor resistance to CRT will allow clinicians to provide more aggressive treatment, such as intensified chemotherapy.</w:t>
      </w:r>
    </w:p>
    <w:p w14:paraId="29BE2916" w14:textId="068A5CC8"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Therefore, in this study, we evaluated whether CEA levels change from before to after CRT and analyzed the relationship between serum CEA and treatment response to CRT. We investigated the effect of preoperative CEA level before and after CRT on treatment response to CRT in patients with LARC.</w:t>
      </w:r>
    </w:p>
    <w:bookmarkEnd w:id="31"/>
    <w:bookmarkEnd w:id="32"/>
    <w:p w14:paraId="7F3AF433" w14:textId="77777777" w:rsidR="00A77B3E" w:rsidRPr="00CF1A02" w:rsidRDefault="00A77B3E" w:rsidP="00CF1A02">
      <w:pPr>
        <w:adjustRightInd w:val="0"/>
        <w:snapToGrid w:val="0"/>
        <w:spacing w:line="360" w:lineRule="auto"/>
        <w:jc w:val="both"/>
        <w:rPr>
          <w:rFonts w:ascii="Book Antiqua" w:hAnsi="Book Antiqua"/>
        </w:rPr>
      </w:pPr>
    </w:p>
    <w:p w14:paraId="13B7461C"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aps/>
          <w:color w:val="000000"/>
          <w:u w:val="single"/>
        </w:rPr>
        <w:t>MATERIALS AND METHODS</w:t>
      </w:r>
    </w:p>
    <w:p w14:paraId="79096421" w14:textId="77777777" w:rsidR="00A77B3E" w:rsidRPr="00CF1A02" w:rsidRDefault="003F4D3A" w:rsidP="00CF1A02">
      <w:pPr>
        <w:adjustRightInd w:val="0"/>
        <w:snapToGrid w:val="0"/>
        <w:spacing w:line="360" w:lineRule="auto"/>
        <w:jc w:val="both"/>
        <w:rPr>
          <w:rFonts w:ascii="Book Antiqua" w:hAnsi="Book Antiqua"/>
        </w:rPr>
      </w:pPr>
      <w:bookmarkStart w:id="33" w:name="OLE_LINK33"/>
      <w:bookmarkStart w:id="34" w:name="OLE_LINK34"/>
      <w:r w:rsidRPr="00CF1A02">
        <w:rPr>
          <w:rFonts w:ascii="Book Antiqua" w:eastAsia="Book Antiqua" w:hAnsi="Book Antiqua" w:cs="Book Antiqua"/>
          <w:b/>
          <w:bCs/>
          <w:i/>
          <w:iCs/>
          <w:color w:val="000000"/>
        </w:rPr>
        <w:t>Patients and ethical considerations</w:t>
      </w:r>
    </w:p>
    <w:p w14:paraId="78533C86" w14:textId="05161896" w:rsidR="00A77B3E" w:rsidRPr="00CF1A02" w:rsidRDefault="003F4D3A" w:rsidP="00CF1A02">
      <w:pPr>
        <w:adjustRightInd w:val="0"/>
        <w:snapToGrid w:val="0"/>
        <w:spacing w:line="360" w:lineRule="auto"/>
        <w:jc w:val="both"/>
        <w:rPr>
          <w:rFonts w:ascii="Book Antiqua" w:eastAsia="Book Antiqua" w:hAnsi="Book Antiqua" w:cs="Book Antiqua"/>
          <w:color w:val="000000"/>
        </w:rPr>
      </w:pPr>
      <w:r w:rsidRPr="00CF1A02">
        <w:rPr>
          <w:rFonts w:ascii="Book Antiqua" w:eastAsia="Book Antiqua" w:hAnsi="Book Antiqua" w:cs="Book Antiqua"/>
          <w:color w:val="000000"/>
        </w:rPr>
        <w:t>We retrospectively evaluated the medical data of 145 patients who were diagnosed with rectal adenocarcinoma and underwent preoperative CRT and curative resection at Ajou Hospital between January 2011 and December 2017. Based on the clinical stage, such as in the case of clinical T3 or T4 tumors, node-positive disease, and suspected diagnosis of invasion into the mesorectal fascia on preoperative imaging, some patients with advanced rectal cancer were offered concomitant CRT. We excluded patients with synchronous distant metastasis, clinical stage T2 disease, or without post-treatment magnetic resonance imaging (MRI). We included 135 patients in the final study sample. Long-course preoperative CRT was carried out with a total radiation dose of 5040 cGy delivered in 25 fractions over 5 wk; neoadjuvant chemotherapy with 5-fluorouracil and leucovorin was administered during the first and fifth weeks of radiotherapy. Patients were divided into three groups according to pre- and post-CRT serum CEA levels above/below 5 ng/mL. Groups A, B, and C comprised patients with pre- and post-CRT CEA levels &gt; 5; &gt; 5 and ≤ 5, and ≤ 5 ng/mL, respectively. This study was approved by the Institutional Review Board of Ajou Hospital (approval number: MED-MDB-18-329), and the need for informed consent was waived in view of the retrospective study design.</w:t>
      </w:r>
    </w:p>
    <w:p w14:paraId="3BB9E13F" w14:textId="77777777" w:rsidR="00D45730" w:rsidRPr="00CF1A02" w:rsidRDefault="00D45730" w:rsidP="00CF1A02">
      <w:pPr>
        <w:adjustRightInd w:val="0"/>
        <w:snapToGrid w:val="0"/>
        <w:spacing w:line="360" w:lineRule="auto"/>
        <w:jc w:val="both"/>
        <w:rPr>
          <w:rFonts w:ascii="Book Antiqua" w:hAnsi="Book Antiqua"/>
        </w:rPr>
      </w:pPr>
    </w:p>
    <w:p w14:paraId="2C45C84F"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i/>
          <w:iCs/>
          <w:color w:val="000000"/>
        </w:rPr>
        <w:t>Evaluation of tumor and treatment response</w:t>
      </w:r>
    </w:p>
    <w:p w14:paraId="0C223A45" w14:textId="53BDBDA4" w:rsidR="00A77B3E" w:rsidRPr="00CF1A02" w:rsidRDefault="003F4D3A" w:rsidP="00CF1A02">
      <w:pPr>
        <w:adjustRightInd w:val="0"/>
        <w:snapToGrid w:val="0"/>
        <w:spacing w:line="360" w:lineRule="auto"/>
        <w:jc w:val="both"/>
        <w:rPr>
          <w:rFonts w:ascii="Book Antiqua" w:eastAsia="Book Antiqua" w:hAnsi="Book Antiqua" w:cs="Book Antiqua"/>
          <w:color w:val="000000"/>
        </w:rPr>
      </w:pPr>
      <w:r w:rsidRPr="00CF1A02">
        <w:rPr>
          <w:rFonts w:ascii="Book Antiqua" w:eastAsia="Book Antiqua" w:hAnsi="Book Antiqua" w:cs="Book Antiqua"/>
          <w:color w:val="000000"/>
        </w:rPr>
        <w:t>All patients were preoperatively evaluated by physical examination, colonoscopy, abdominopelvic computed tomography (APCT), chest CT, pelvic MRI, and routine laboratory tests, including serum CEA measurements. The tumor location was defined as the distance from the anal verge (AV) to the lowest margin of the tumor on MRI or sigmoidoscopy. Treatment response to CRT was assessed using APCT, pelvic MRI, sigmoidoscopy, and routine laboratory tests at 4–5 wk after CRT. Surgery was performed 6–8 wk after CRT and included low anterior resection with colorectal or coloanal anastomosis, abdominoperineal resection, Hartmann’s operation, and total proctocolectomy. Pathologic results were reported according to the Seventh Ame</w:t>
      </w:r>
      <w:r w:rsidR="009A6E87" w:rsidRPr="00CF1A02">
        <w:rPr>
          <w:rFonts w:ascii="Book Antiqua" w:eastAsia="Book Antiqua" w:hAnsi="Book Antiqua" w:cs="Book Antiqua"/>
          <w:color w:val="000000"/>
        </w:rPr>
        <w:t xml:space="preserve">rican Joint Committee on Cancer </w:t>
      </w:r>
      <w:r w:rsidRPr="00CF1A02">
        <w:rPr>
          <w:rFonts w:ascii="Book Antiqua" w:eastAsia="Book Antiqua" w:hAnsi="Book Antiqua" w:cs="Book Antiqua"/>
          <w:color w:val="000000"/>
        </w:rPr>
        <w:t>TNM staging system. Treatment response to CRT and tumor regression grade (TRG) were evaluated by experienced pathologists at the study center in accordance with the American Joint Committee on Cancer TRG system</w:t>
      </w:r>
      <w:r w:rsidRPr="00CF1A02">
        <w:rPr>
          <w:rFonts w:ascii="Book Antiqua" w:eastAsia="Book Antiqua" w:hAnsi="Book Antiqua" w:cs="Book Antiqua"/>
          <w:color w:val="000000"/>
          <w:vertAlign w:val="superscript"/>
        </w:rPr>
        <w:t>[13,14]</w:t>
      </w:r>
      <w:r w:rsidRPr="00CF1A02">
        <w:rPr>
          <w:rFonts w:ascii="Book Antiqua" w:eastAsia="Book Antiqua" w:hAnsi="Book Antiqua" w:cs="Book Antiqua"/>
          <w:color w:val="000000"/>
        </w:rPr>
        <w:t>.</w:t>
      </w:r>
    </w:p>
    <w:p w14:paraId="599F177D" w14:textId="77777777" w:rsidR="00D45730" w:rsidRPr="00CF1A02" w:rsidRDefault="00D45730" w:rsidP="00CF1A02">
      <w:pPr>
        <w:adjustRightInd w:val="0"/>
        <w:snapToGrid w:val="0"/>
        <w:spacing w:line="360" w:lineRule="auto"/>
        <w:jc w:val="both"/>
        <w:rPr>
          <w:rFonts w:ascii="Book Antiqua" w:hAnsi="Book Antiqua"/>
        </w:rPr>
      </w:pPr>
    </w:p>
    <w:p w14:paraId="18222C0E"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i/>
          <w:iCs/>
          <w:color w:val="000000"/>
        </w:rPr>
        <w:t>Statistical analysis</w:t>
      </w:r>
    </w:p>
    <w:p w14:paraId="7200D765" w14:textId="3966BD76"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Continuous variables were analyzed using the Student’s </w:t>
      </w:r>
      <w:r w:rsidRPr="00CF1A02">
        <w:rPr>
          <w:rFonts w:ascii="Book Antiqua" w:eastAsia="Book Antiqua" w:hAnsi="Book Antiqua" w:cs="Book Antiqua"/>
          <w:i/>
          <w:iCs/>
          <w:color w:val="000000"/>
        </w:rPr>
        <w:t>t</w:t>
      </w:r>
      <w:r w:rsidRPr="00CF1A02">
        <w:rPr>
          <w:rFonts w:ascii="Book Antiqua" w:eastAsia="Book Antiqua" w:hAnsi="Book Antiqua" w:cs="Book Antiqua"/>
          <w:color w:val="000000"/>
        </w:rPr>
        <w:t>-test and analysis of variance,</w:t>
      </w:r>
      <w:r w:rsidR="00F04FD1">
        <w:rPr>
          <w:rFonts w:ascii="Book Antiqua" w:eastAsia="Book Antiqua" w:hAnsi="Book Antiqua" w:cs="Book Antiqua"/>
          <w:color w:val="000000"/>
        </w:rPr>
        <w:t xml:space="preserve"> and data are presented as mean</w:t>
      </w:r>
      <w:r w:rsidRPr="00CF1A02">
        <w:rPr>
          <w:rFonts w:ascii="Book Antiqua" w:eastAsia="Book Antiqua" w:hAnsi="Book Antiqua" w:cs="Book Antiqua"/>
          <w:color w:val="000000"/>
        </w:rPr>
        <w:t xml:space="preserve"> ±</w:t>
      </w:r>
      <w:r w:rsidR="00F04FD1">
        <w:rPr>
          <w:rFonts w:ascii="Book Antiqua" w:hAnsi="Book Antiqua" w:cs="Book Antiqua" w:hint="eastAsia"/>
          <w:color w:val="000000"/>
          <w:lang w:eastAsia="zh-CN"/>
        </w:rPr>
        <w:t xml:space="preserve"> </w:t>
      </w:r>
      <w:r w:rsidR="00F04FD1">
        <w:rPr>
          <w:rFonts w:ascii="Book Antiqua" w:eastAsia="Book Antiqua" w:hAnsi="Book Antiqua" w:cs="Book Antiqua"/>
          <w:color w:val="000000"/>
        </w:rPr>
        <w:t>SD</w:t>
      </w:r>
      <w:r w:rsidRPr="00CF1A02">
        <w:rPr>
          <w:rFonts w:ascii="Book Antiqua" w:eastAsia="Book Antiqua" w:hAnsi="Book Antiqua" w:cs="Book Antiqua"/>
          <w:color w:val="000000"/>
        </w:rPr>
        <w:t xml:space="preserve"> or medians with ranges. Categorical variables were analyzed using the chi-square</w:t>
      </w:r>
      <w:r w:rsidRPr="00CF1A02">
        <w:rPr>
          <w:rFonts w:ascii="Book Antiqua" w:eastAsia="Book Antiqua" w:hAnsi="Book Antiqua" w:cs="Book Antiqua"/>
          <w:i/>
          <w:iCs/>
          <w:color w:val="000000"/>
        </w:rPr>
        <w:t xml:space="preserve"> </w:t>
      </w:r>
      <w:r w:rsidRPr="00CF1A02">
        <w:rPr>
          <w:rFonts w:ascii="Book Antiqua" w:eastAsia="Book Antiqua" w:hAnsi="Book Antiqua" w:cs="Book Antiqua"/>
          <w:color w:val="000000"/>
        </w:rPr>
        <w:t xml:space="preserve">or Fisher’s exact test. The optimal cutoff values for neutrophil–lymphocyte ratio (NLR) and platelet–lymphocyte ratio (PLR) were calculated using receiver operating characteristic (ROC) analysis. The cutoff value was determined by the point on the ROC curve with the minimum distance from the 0% false-positive rate and 100% true-positive rate. Multivariate analyses for pCR or good response were undertaken using multiple logistic regression. The Kaplan–Meier method and log-rank test were used to analyze disease-free survival (DFS) and overall survival. All analyses were conducted in R package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3.6.2 (R Foundation for Statistical Computing, Vienna, Austria). A </w:t>
      </w:r>
      <w:r w:rsidRPr="00CF1A02">
        <w:rPr>
          <w:rFonts w:ascii="Book Antiqua" w:eastAsia="Book Antiqua" w:hAnsi="Book Antiqua" w:cs="Book Antiqua"/>
          <w:i/>
          <w:iCs/>
          <w:color w:val="000000"/>
        </w:rPr>
        <w:t>P</w:t>
      </w:r>
      <w:r w:rsidR="009A6E87" w:rsidRPr="00CF1A02">
        <w:rPr>
          <w:rFonts w:ascii="Book Antiqua" w:eastAsia="Book Antiqua" w:hAnsi="Book Antiqua" w:cs="Book Antiqua"/>
          <w:color w:val="000000"/>
        </w:rPr>
        <w:t xml:space="preserve"> </w:t>
      </w:r>
      <w:r w:rsidRPr="00CF1A02">
        <w:rPr>
          <w:rFonts w:ascii="Book Antiqua" w:eastAsia="Book Antiqua" w:hAnsi="Book Antiqua" w:cs="Book Antiqua"/>
          <w:color w:val="000000"/>
        </w:rPr>
        <w:t>value &lt; 0.05 was considered statistically significant.</w:t>
      </w:r>
    </w:p>
    <w:bookmarkEnd w:id="33"/>
    <w:bookmarkEnd w:id="34"/>
    <w:p w14:paraId="25543461" w14:textId="77777777" w:rsidR="00A77B3E" w:rsidRPr="00CF1A02" w:rsidRDefault="00A77B3E" w:rsidP="00CF1A02">
      <w:pPr>
        <w:adjustRightInd w:val="0"/>
        <w:snapToGrid w:val="0"/>
        <w:spacing w:line="360" w:lineRule="auto"/>
        <w:jc w:val="both"/>
        <w:rPr>
          <w:rFonts w:ascii="Book Antiqua" w:hAnsi="Book Antiqua"/>
        </w:rPr>
      </w:pPr>
    </w:p>
    <w:p w14:paraId="2A6A3C4A"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aps/>
          <w:color w:val="000000"/>
          <w:u w:val="single"/>
        </w:rPr>
        <w:t>RESULTS</w:t>
      </w:r>
    </w:p>
    <w:p w14:paraId="4897AE8F" w14:textId="77777777" w:rsidR="00A77B3E" w:rsidRPr="00CF1A02" w:rsidRDefault="003F4D3A" w:rsidP="00CF1A02">
      <w:pPr>
        <w:adjustRightInd w:val="0"/>
        <w:snapToGrid w:val="0"/>
        <w:spacing w:line="360" w:lineRule="auto"/>
        <w:jc w:val="both"/>
        <w:rPr>
          <w:rFonts w:ascii="Book Antiqua" w:hAnsi="Book Antiqua"/>
        </w:rPr>
      </w:pPr>
      <w:bookmarkStart w:id="35" w:name="OLE_LINK35"/>
      <w:bookmarkStart w:id="36" w:name="OLE_LINK36"/>
      <w:r w:rsidRPr="00CF1A02">
        <w:rPr>
          <w:rFonts w:ascii="Book Antiqua" w:eastAsia="Book Antiqua" w:hAnsi="Book Antiqua" w:cs="Book Antiqua"/>
          <w:b/>
          <w:bCs/>
          <w:i/>
          <w:iCs/>
          <w:color w:val="000000"/>
        </w:rPr>
        <w:t>Patient characteristics</w:t>
      </w:r>
    </w:p>
    <w:p w14:paraId="7E108F51" w14:textId="42BA0133" w:rsidR="00A77B3E" w:rsidRPr="00CF1A02" w:rsidRDefault="003F4D3A" w:rsidP="00CF1A02">
      <w:pPr>
        <w:adjustRightInd w:val="0"/>
        <w:snapToGrid w:val="0"/>
        <w:spacing w:line="360" w:lineRule="auto"/>
        <w:jc w:val="both"/>
        <w:rPr>
          <w:rFonts w:ascii="Book Antiqua" w:eastAsia="Book Antiqua" w:hAnsi="Book Antiqua" w:cs="Book Antiqua"/>
          <w:color w:val="000000"/>
        </w:rPr>
      </w:pPr>
      <w:r w:rsidRPr="00CF1A02">
        <w:rPr>
          <w:rFonts w:ascii="Book Antiqua" w:eastAsia="Book Antiqua" w:hAnsi="Book Antiqua" w:cs="Book Antiqua"/>
          <w:color w:val="000000"/>
        </w:rPr>
        <w:t xml:space="preserve">Data from 135 patients [men, </w:t>
      </w:r>
      <w:r w:rsidRPr="00CF1A02">
        <w:rPr>
          <w:rFonts w:ascii="Book Antiqua" w:eastAsia="Book Antiqua" w:hAnsi="Book Antiqua" w:cs="Book Antiqua"/>
          <w:i/>
          <w:iCs/>
          <w:color w:val="000000"/>
        </w:rPr>
        <w:t>n</w:t>
      </w:r>
      <w:r w:rsidRPr="00CF1A02">
        <w:rPr>
          <w:rFonts w:ascii="Book Antiqua" w:eastAsia="Book Antiqua" w:hAnsi="Book Antiqua" w:cs="Book Antiqua"/>
          <w:color w:val="000000"/>
        </w:rPr>
        <w:t xml:space="preserve"> = 99 (73.3%); age, 60.1 ± 10.9 (mean ± SD) years] were included in the final analysis; 34.1% (</w:t>
      </w:r>
      <w:r w:rsidRPr="00CF1A02">
        <w:rPr>
          <w:rFonts w:ascii="Book Antiqua" w:eastAsia="Book Antiqua" w:hAnsi="Book Antiqua" w:cs="Book Antiqua"/>
          <w:i/>
          <w:iCs/>
          <w:color w:val="000000"/>
        </w:rPr>
        <w:t>n</w:t>
      </w:r>
      <w:r w:rsidRPr="00CF1A02">
        <w:rPr>
          <w:rFonts w:ascii="Book Antiqua" w:eastAsia="Book Antiqua" w:hAnsi="Book Antiqua" w:cs="Book Antiqua"/>
          <w:color w:val="000000"/>
        </w:rPr>
        <w:t xml:space="preserve"> = 46) of the patients were smokers. The mean (S</w:t>
      </w:r>
      <w:r w:rsidR="009A6E87" w:rsidRPr="00CF1A02">
        <w:rPr>
          <w:rFonts w:ascii="Book Antiqua" w:eastAsia="Book Antiqua" w:hAnsi="Book Antiqua" w:cs="Book Antiqua"/>
          <w:color w:val="000000"/>
        </w:rPr>
        <w:t>D) pre-CRT tumor size was 4.6 (</w:t>
      </w:r>
      <w:r w:rsidRPr="00CF1A02">
        <w:rPr>
          <w:rFonts w:ascii="Book Antiqua" w:eastAsia="Book Antiqua" w:hAnsi="Book Antiqua" w:cs="Book Antiqua"/>
          <w:color w:val="000000"/>
        </w:rPr>
        <w:t xml:space="preserve">± 1.4) cm on MRI images, and tumor </w:t>
      </w:r>
      <w:r w:rsidR="009A6E87" w:rsidRPr="00CF1A02">
        <w:rPr>
          <w:rFonts w:ascii="Book Antiqua" w:eastAsia="Book Antiqua" w:hAnsi="Book Antiqua" w:cs="Book Antiqua"/>
          <w:color w:val="000000"/>
        </w:rPr>
        <w:t>distance from AV was 6.4 (</w:t>
      </w:r>
      <w:r w:rsidRPr="00CF1A02">
        <w:rPr>
          <w:rFonts w:ascii="Book Antiqua" w:eastAsia="Book Antiqua" w:hAnsi="Book Antiqua" w:cs="Book Antiqua"/>
          <w:color w:val="000000"/>
        </w:rPr>
        <w:t>± 3.0) cm. The mean serum CEA level was significantly reduced from 18.1 to 4.8 ng/mL after CRT (Table 2).</w:t>
      </w:r>
    </w:p>
    <w:p w14:paraId="21EA8968" w14:textId="77777777" w:rsidR="00D45730" w:rsidRPr="00CF1A02" w:rsidRDefault="00D45730" w:rsidP="00CF1A02">
      <w:pPr>
        <w:adjustRightInd w:val="0"/>
        <w:snapToGrid w:val="0"/>
        <w:spacing w:line="360" w:lineRule="auto"/>
        <w:jc w:val="both"/>
        <w:rPr>
          <w:rFonts w:ascii="Book Antiqua" w:hAnsi="Book Antiqua"/>
        </w:rPr>
      </w:pPr>
    </w:p>
    <w:p w14:paraId="5C5721CA"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i/>
          <w:iCs/>
          <w:color w:val="000000"/>
        </w:rPr>
        <w:t>Intergroup comparisons</w:t>
      </w:r>
      <w:r w:rsidRPr="00CF1A02">
        <w:rPr>
          <w:rFonts w:ascii="Book Antiqua" w:eastAsia="Book Antiqua" w:hAnsi="Book Antiqua" w:cs="Book Antiqua"/>
          <w:b/>
          <w:bCs/>
          <w:color w:val="000000"/>
        </w:rPr>
        <w:t xml:space="preserve"> </w:t>
      </w:r>
    </w:p>
    <w:p w14:paraId="049B2DB3" w14:textId="77777777" w:rsidR="00D45730"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Groups A, B, and C comprised 27, 43, and 65 patients, respectively. Intergroup comparisons of baseline parameters, such as age, sex, pre-CRT size of tumor, and clinical T stage, based on change in the CEA level from before to after CRT showed no significant differences. However, the analysis showed large intergroup differences in the pre-CRT CEA level [mean (range): Group A, 25.8 (10.6–70.7)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Group B, 11.3 (6.8–21.3)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Group C, 2.4 (1.8–3.3);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xml:space="preserve">&lt; 0.001]. Post-CRT CEA levels dramatically decreased in each group but was significantly different for Group A [A, 8.4 (6.0–13.7)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B, 2.9 (2.0–4.0)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C, 1.8 (1.2–2.9); </w:t>
      </w:r>
      <w:r w:rsidRPr="00CF1A02">
        <w:rPr>
          <w:rFonts w:ascii="Book Antiqua" w:eastAsia="Book Antiqua" w:hAnsi="Book Antiqua" w:cs="Book Antiqua"/>
          <w:i/>
          <w:iCs/>
          <w:color w:val="000000"/>
        </w:rPr>
        <w:t xml:space="preserve">P </w:t>
      </w:r>
      <w:r w:rsidR="00C44517" w:rsidRPr="00CF1A02">
        <w:rPr>
          <w:rFonts w:ascii="Book Antiqua" w:eastAsia="Book Antiqua" w:hAnsi="Book Antiqua" w:cs="Book Antiqua"/>
          <w:color w:val="000000"/>
        </w:rPr>
        <w:t>&lt; 0.001]</w:t>
      </w:r>
      <w:r w:rsidR="00C44517" w:rsidRPr="00CF1A02">
        <w:rPr>
          <w:rFonts w:ascii="Book Antiqua" w:hAnsi="Book Antiqua" w:cs="Book Antiqua"/>
          <w:color w:val="000000"/>
          <w:lang w:eastAsia="zh-CN"/>
        </w:rPr>
        <w:t xml:space="preserve">. </w:t>
      </w:r>
      <w:r w:rsidRPr="00CF1A02">
        <w:rPr>
          <w:rFonts w:ascii="Book Antiqua" w:eastAsia="Book Antiqua" w:hAnsi="Book Antiqua" w:cs="Book Antiqua"/>
          <w:color w:val="000000"/>
        </w:rPr>
        <w:t>The cutoff values of NLR and PLR for pCR were determined as 2.8 and 138.2, respectively, and there were no intergroup differences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xml:space="preserve">= 0.983,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xml:space="preserve">= 0.132). Moreover, the ratio of post-CRT down-staging was lower in Group A than in groups B and C (A, 22.2%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B, 41.9%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C, 55.4%;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0.013; Table 3).</w:t>
      </w:r>
    </w:p>
    <w:p w14:paraId="5804CFFE" w14:textId="03057D0E"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 xml:space="preserve">After preoperative CRT, three patients were clinically suspected to have distant metastasis on evaluation with APCT or chest CT (Table 3). One patient in Group B was confirmed to have no distant metastasis after curative resection. Intraoperatively, one patient in Group A was found to have liver metastasis, which was not detected on preoperative imaging (Table 4). TRG showed that the response of CRT was superior in groups B and C than in Group A [TRG, 0, 1: A, 8 (29.6%)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B, 26 (60.5%)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C, 44 (67.7%);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xml:space="preserve">= 0.003]. Moreover, the ratio of pCR was significantly higher in Group C (A, 0%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B, 4.7%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C, 38.5%;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&lt; 0.001; Table 4).</w:t>
      </w:r>
    </w:p>
    <w:p w14:paraId="4BAC22F5" w14:textId="270D852F"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Comparisons between the non-pCR and pCR groups showed a lower ratio of pre-CRT CEA &gt; 5 ng/mL in the pCR group than in the non-pCR group (</w:t>
      </w:r>
      <w:r w:rsidRPr="00CF1A02">
        <w:rPr>
          <w:rFonts w:ascii="Book Antiqua" w:eastAsia="Book Antiqua" w:hAnsi="Book Antiqua" w:cs="Book Antiqua"/>
          <w:i/>
          <w:iCs/>
          <w:color w:val="000000"/>
        </w:rPr>
        <w:t xml:space="preserve">P &lt; </w:t>
      </w:r>
      <w:r w:rsidRPr="00CF1A02">
        <w:rPr>
          <w:rFonts w:ascii="Book Antiqua" w:eastAsia="Book Antiqua" w:hAnsi="Book Antiqua" w:cs="Book Antiqua"/>
          <w:color w:val="000000"/>
        </w:rPr>
        <w:t xml:space="preserve">0.001). All patients with pCR did not show post-CRT CEA levels &gt; 5 ng/mL (non-pCR: 25.7%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pCR: 0%; </w:t>
      </w:r>
      <w:r w:rsidRPr="00CF1A02">
        <w:rPr>
          <w:rFonts w:ascii="Book Antiqua" w:eastAsia="Book Antiqua" w:hAnsi="Book Antiqua" w:cs="Book Antiqua"/>
          <w:i/>
          <w:iCs/>
          <w:color w:val="000000"/>
        </w:rPr>
        <w:t xml:space="preserve">P = </w:t>
      </w:r>
      <w:r w:rsidRPr="00CF1A02">
        <w:rPr>
          <w:rFonts w:ascii="Book Antiqua" w:eastAsia="Book Antiqua" w:hAnsi="Book Antiqua" w:cs="Book Antiqua"/>
          <w:color w:val="000000"/>
        </w:rPr>
        <w:t>0.008</w:t>
      </w:r>
      <w:r w:rsidRPr="00CF1A02">
        <w:rPr>
          <w:rFonts w:ascii="Book Antiqua" w:eastAsia="Book Antiqua" w:hAnsi="Book Antiqua" w:cs="Book Antiqua"/>
          <w:i/>
          <w:iCs/>
          <w:color w:val="000000"/>
        </w:rPr>
        <w:t xml:space="preserve">). </w:t>
      </w:r>
      <w:r w:rsidRPr="00CF1A02">
        <w:rPr>
          <w:rFonts w:ascii="Book Antiqua" w:eastAsia="Book Antiqua" w:hAnsi="Book Antiqua" w:cs="Book Antiqua"/>
          <w:color w:val="000000"/>
        </w:rPr>
        <w:t>The pCR group had a higher ratio of down-staging after CRT, but the finding was not significant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 0.051). There were no patients with lymphovascular or perineural invasion in the pCR group, and the distribution of differentiation after operation was similar between the study groups (Table 5).</w:t>
      </w:r>
    </w:p>
    <w:p w14:paraId="25C5E91F" w14:textId="77777777" w:rsidR="00A77B3E" w:rsidRPr="00CF1A02" w:rsidRDefault="00A77B3E" w:rsidP="00CF1A02">
      <w:pPr>
        <w:adjustRightInd w:val="0"/>
        <w:snapToGrid w:val="0"/>
        <w:spacing w:line="360" w:lineRule="auto"/>
        <w:jc w:val="both"/>
        <w:rPr>
          <w:rFonts w:ascii="Book Antiqua" w:hAnsi="Book Antiqua"/>
        </w:rPr>
      </w:pPr>
    </w:p>
    <w:p w14:paraId="348D151E"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i/>
          <w:iCs/>
          <w:color w:val="000000"/>
        </w:rPr>
        <w:t>Prognostic markers</w:t>
      </w:r>
    </w:p>
    <w:p w14:paraId="236FE4FC" w14:textId="78A8EC2A"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Multivariate analysis showed that sex (OR</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0.26, 95%CI</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0.08–0.80;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0.022), pre-CRT CEA levels ≤ 5 ng/mL (OR</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18.71, 95%CI</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4.62–129.51;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&lt; 0.001), pre-CRT NLR &lt; 2.8 (OR</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5.27, 95%CI</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1.55–22.55;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 0.013), and post-CRT T stage &lt; 3 (OR</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3.25, 95%CI</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1.09–9.97;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0.036) were prognostic markers for pCR. Meanwhile, post-CRT CEA levels ≤ 5 ng/mL (OR</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5.07, 95%CI</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1.92–14.83;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0.002) and well or moderate differentiation (OR</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3.41, 95%CI</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1.35–9.48;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xml:space="preserve">= 0.013) were associated with good response. Pre-CRT NLR &lt; 2.8 and post-CRT T stage &lt; 3 were common prognostic factors in pCR and good response (Table 6). Despite no differences in the 5-year DFS between groups A, B, and C, we found that Group A showed a tendency of worse survival than </w:t>
      </w:r>
      <w:r w:rsidR="009A6E87" w:rsidRPr="00CF1A02">
        <w:rPr>
          <w:rFonts w:ascii="Book Antiqua" w:eastAsia="Book Antiqua" w:hAnsi="Book Antiqua" w:cs="Book Antiqua"/>
          <w:color w:val="000000"/>
        </w:rPr>
        <w:t xml:space="preserve">the other study groups (Figure </w:t>
      </w:r>
      <w:r w:rsidRPr="00CF1A02">
        <w:rPr>
          <w:rFonts w:ascii="Book Antiqua" w:eastAsia="Book Antiqua" w:hAnsi="Book Antiqua" w:cs="Book Antiqua"/>
          <w:color w:val="000000"/>
        </w:rPr>
        <w:t>1</w:t>
      </w:r>
      <w:r w:rsidR="009A6E87" w:rsidRPr="00CF1A02">
        <w:rPr>
          <w:rFonts w:ascii="Book Antiqua" w:eastAsia="Book Antiqua" w:hAnsi="Book Antiqua" w:cs="Book Antiqua"/>
          <w:color w:val="000000"/>
        </w:rPr>
        <w:t>A</w:t>
      </w:r>
      <w:r w:rsidRPr="00CF1A02">
        <w:rPr>
          <w:rFonts w:ascii="Book Antiqua" w:eastAsia="Book Antiqua" w:hAnsi="Book Antiqua" w:cs="Book Antiqua"/>
          <w:color w:val="000000"/>
        </w:rPr>
        <w:t xml:space="preserve">;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 0.145). Furthermore, the 5-year overall survival was significantly lower in Group A</w:t>
      </w:r>
      <w:r w:rsidR="009A6E87" w:rsidRPr="00CF1A02">
        <w:rPr>
          <w:rFonts w:ascii="Book Antiqua" w:eastAsia="Book Antiqua" w:hAnsi="Book Antiqua" w:cs="Book Antiqua"/>
          <w:color w:val="000000"/>
        </w:rPr>
        <w:t xml:space="preserve"> (Figure</w:t>
      </w:r>
      <w:r w:rsidRPr="00CF1A02">
        <w:rPr>
          <w:rFonts w:ascii="Book Antiqua" w:eastAsia="Book Antiqua" w:hAnsi="Book Antiqua" w:cs="Book Antiqua"/>
          <w:color w:val="000000"/>
        </w:rPr>
        <w:t xml:space="preserve"> 1</w:t>
      </w:r>
      <w:r w:rsidR="009A6E87" w:rsidRPr="00CF1A02">
        <w:rPr>
          <w:rFonts w:ascii="Book Antiqua" w:eastAsia="Book Antiqua" w:hAnsi="Book Antiqua" w:cs="Book Antiqua"/>
          <w:color w:val="000000"/>
        </w:rPr>
        <w:t>B</w:t>
      </w:r>
      <w:r w:rsidRPr="00CF1A02">
        <w:rPr>
          <w:rFonts w:ascii="Book Antiqua" w:eastAsia="Book Antiqua" w:hAnsi="Book Antiqua" w:cs="Book Antiqua"/>
          <w:color w:val="000000"/>
        </w:rPr>
        <w:t xml:space="preserve">;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 0.005).</w:t>
      </w:r>
    </w:p>
    <w:bookmarkEnd w:id="35"/>
    <w:bookmarkEnd w:id="36"/>
    <w:p w14:paraId="16B05D28" w14:textId="77777777" w:rsidR="00A77B3E" w:rsidRPr="00CF1A02" w:rsidRDefault="00A77B3E" w:rsidP="00CF1A02">
      <w:pPr>
        <w:adjustRightInd w:val="0"/>
        <w:snapToGrid w:val="0"/>
        <w:spacing w:line="360" w:lineRule="auto"/>
        <w:jc w:val="both"/>
        <w:rPr>
          <w:rFonts w:ascii="Book Antiqua" w:hAnsi="Book Antiqua"/>
        </w:rPr>
      </w:pPr>
    </w:p>
    <w:p w14:paraId="06F2978F"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aps/>
          <w:color w:val="000000"/>
          <w:u w:val="single"/>
        </w:rPr>
        <w:t>DISCUSSION</w:t>
      </w:r>
    </w:p>
    <w:p w14:paraId="23ACFC21" w14:textId="77777777" w:rsidR="00A77B3E" w:rsidRPr="00CF1A02" w:rsidRDefault="003F4D3A" w:rsidP="00CF1A02">
      <w:pPr>
        <w:adjustRightInd w:val="0"/>
        <w:snapToGrid w:val="0"/>
        <w:spacing w:line="360" w:lineRule="auto"/>
        <w:jc w:val="both"/>
        <w:rPr>
          <w:rFonts w:ascii="Book Antiqua" w:hAnsi="Book Antiqua"/>
        </w:rPr>
      </w:pPr>
      <w:bookmarkStart w:id="37" w:name="OLE_LINK37"/>
      <w:bookmarkStart w:id="38" w:name="OLE_LINK38"/>
      <w:r w:rsidRPr="00CF1A02">
        <w:rPr>
          <w:rFonts w:ascii="Book Antiqua" w:eastAsia="Book Antiqua" w:hAnsi="Book Antiqua" w:cs="Book Antiqua"/>
          <w:color w:val="000000"/>
        </w:rPr>
        <w:t>This study aimed to identify the clinical factors associated with treatment response to CRT for rectal cancer. Our findings showed that pre-CRT CEA was a prognostic factor for pCR. Patients with preoperative serum CEA levels ≤ 5 ng/mL showed a good treatment response, with 20.0% of patients achieving pCR. Moreover, pre- and post-CRT CEA levels ≥ 5 ng/mL were independently associated with a good response. Patients without changes in CEA levels (pre- and post-CRT CEA &gt; 5 ng/mL) after CRT showed a lower ratio of down-staging and poor results in terms of TRG.</w:t>
      </w:r>
    </w:p>
    <w:p w14:paraId="3E5133CA" w14:textId="03790A76"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Serum CEA is a well-known prognostic factor and has been used as a surveillance marker for colorectal cancer</w:t>
      </w:r>
      <w:r w:rsidRPr="00CF1A02">
        <w:rPr>
          <w:rFonts w:ascii="Book Antiqua" w:eastAsia="Book Antiqua" w:hAnsi="Book Antiqua" w:cs="Book Antiqua"/>
          <w:color w:val="000000"/>
          <w:vertAlign w:val="superscript"/>
        </w:rPr>
        <w:t>[15-17]</w:t>
      </w:r>
      <w:r w:rsidRPr="00CF1A02">
        <w:rPr>
          <w:rFonts w:ascii="Book Antiqua" w:eastAsia="Book Antiqua" w:hAnsi="Book Antiqua" w:cs="Book Antiqua"/>
          <w:color w:val="000000"/>
        </w:rPr>
        <w:t>. Several studies have shown that patients with rectal cancer with pos</w:t>
      </w:r>
      <w:r w:rsidR="00C44517" w:rsidRPr="00CF1A02">
        <w:rPr>
          <w:rFonts w:ascii="Book Antiqua" w:eastAsia="Book Antiqua" w:hAnsi="Book Antiqua" w:cs="Book Antiqua"/>
          <w:color w:val="000000"/>
        </w:rPr>
        <w:t>itive preoperative CEA levels (</w:t>
      </w:r>
      <w:r w:rsidRPr="00CF1A02">
        <w:rPr>
          <w:rFonts w:ascii="Book Antiqua" w:eastAsia="Book Antiqua" w:hAnsi="Book Antiqua" w:cs="Book Antiqua"/>
          <w:color w:val="000000"/>
        </w:rPr>
        <w:t>&gt; 5 ng/mL) have poor outcomes, thereby indicating the prognostic significance of serum CEA for colorectal cancer</w:t>
      </w:r>
      <w:r w:rsidRPr="00CF1A02">
        <w:rPr>
          <w:rFonts w:ascii="Book Antiqua" w:eastAsia="Book Antiqua" w:hAnsi="Book Antiqua" w:cs="Book Antiqua"/>
          <w:color w:val="000000"/>
          <w:vertAlign w:val="superscript"/>
        </w:rPr>
        <w:t>[18-20]</w:t>
      </w:r>
      <w:r w:rsidRPr="00CF1A02">
        <w:rPr>
          <w:rFonts w:ascii="Book Antiqua" w:eastAsia="Book Antiqua" w:hAnsi="Book Antiqua" w:cs="Book Antiqua"/>
          <w:color w:val="000000"/>
        </w:rPr>
        <w:t>. Moreover, other studies have reported that the post-CRT serum CEA is related to and is a predictive factor for treatment response</w:t>
      </w:r>
      <w:r w:rsidRPr="00CF1A02">
        <w:rPr>
          <w:rFonts w:ascii="Book Antiqua" w:eastAsia="Book Antiqua" w:hAnsi="Book Antiqua" w:cs="Book Antiqua"/>
          <w:color w:val="000000"/>
          <w:vertAlign w:val="superscript"/>
        </w:rPr>
        <w:t>[17-19]</w:t>
      </w:r>
      <w:r w:rsidRPr="00CF1A02">
        <w:rPr>
          <w:rFonts w:ascii="Book Antiqua" w:eastAsia="Book Antiqua" w:hAnsi="Book Antiqua" w:cs="Book Antiqua"/>
          <w:color w:val="000000"/>
        </w:rPr>
        <w:t xml:space="preserve">. Preoperative CRT has been established as a standard treatment for LARC. However, treatment response to CRT varies from clinical complete response to resistance or progression. An individualized treatment strategy based on treatment response to CRT may be helpful to optimize outcomes for patients with LARC. Thus, prognostic factors to predict treatment response are needed. </w:t>
      </w:r>
    </w:p>
    <w:p w14:paraId="4C3C8FE5" w14:textId="15CB936A"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 xml:space="preserve">Several studies have reported predictors of treatment response to preoperative CRT for LARC. Restivo </w:t>
      </w:r>
      <w:r w:rsidRPr="00CF1A02">
        <w:rPr>
          <w:rFonts w:ascii="Book Antiqua" w:eastAsia="Book Antiqua" w:hAnsi="Book Antiqua" w:cs="Book Antiqua"/>
          <w:i/>
          <w:iCs/>
          <w:color w:val="000000"/>
        </w:rPr>
        <w:t>et al</w:t>
      </w:r>
      <w:r w:rsidRPr="00CF1A02">
        <w:rPr>
          <w:rFonts w:ascii="Book Antiqua" w:eastAsia="Book Antiqua" w:hAnsi="Book Antiqua" w:cs="Book Antiqua"/>
          <w:color w:val="000000"/>
          <w:vertAlign w:val="superscript"/>
        </w:rPr>
        <w:t>[7]</w:t>
      </w:r>
      <w:r w:rsidRPr="00CF1A02">
        <w:rPr>
          <w:rFonts w:ascii="Book Antiqua" w:eastAsia="Book Antiqua" w:hAnsi="Book Antiqua" w:cs="Book Antiqua"/>
          <w:color w:val="000000"/>
        </w:rPr>
        <w:t xml:space="preserve"> suggested that pretreatment CEA levels and tumor distance from the AV were predictors of treatment response to CRT for rectal cancer. Huh </w:t>
      </w:r>
      <w:r w:rsidRPr="00CF1A02">
        <w:rPr>
          <w:rFonts w:ascii="Book Antiqua" w:eastAsia="Book Antiqua" w:hAnsi="Book Antiqua" w:cs="Book Antiqua"/>
          <w:i/>
          <w:iCs/>
          <w:color w:val="000000"/>
        </w:rPr>
        <w:t>et al</w:t>
      </w:r>
      <w:r w:rsidRPr="00CF1A02">
        <w:rPr>
          <w:rFonts w:ascii="Book Antiqua" w:eastAsia="Book Antiqua" w:hAnsi="Book Antiqua" w:cs="Book Antiqua"/>
          <w:color w:val="000000"/>
          <w:vertAlign w:val="superscript"/>
        </w:rPr>
        <w:t>[8]</w:t>
      </w:r>
      <w:r w:rsidRPr="00CF1A02">
        <w:rPr>
          <w:rFonts w:ascii="Book Antiqua" w:eastAsia="Book Antiqua" w:hAnsi="Book Antiqua" w:cs="Book Antiqua"/>
          <w:color w:val="000000"/>
        </w:rPr>
        <w:t xml:space="preserve"> reported that pretreatment CEA levels, tumor circumferentiality, and macroscopic ulceration on rigid sigmoidoscopy were clinical parameters for pCR, and they proposed a prediction model that used these three risk factors. However, evaluating the treatment response to CRT using sigmoidoscopy would be difficult and may yield inaccurate results, particularly with regard to post-radiation effects, because of the fibrosis and edema that develop after CRT. Habr-Gamma advocated a “watch and wait” policy for complete clinical response after CRT, but she also reported that follow-up for evaluating treatment for response is difficult</w:t>
      </w:r>
      <w:r w:rsidRPr="00CF1A02">
        <w:rPr>
          <w:rFonts w:ascii="Book Antiqua" w:eastAsia="Book Antiqua" w:hAnsi="Book Antiqua" w:cs="Book Antiqua"/>
          <w:color w:val="000000"/>
          <w:vertAlign w:val="superscript"/>
        </w:rPr>
        <w:t>[21]</w:t>
      </w:r>
      <w:r w:rsidRPr="00CF1A02">
        <w:rPr>
          <w:rFonts w:ascii="Book Antiqua" w:eastAsia="Book Antiqua" w:hAnsi="Book Antiqua" w:cs="Book Antiqua"/>
          <w:color w:val="000000"/>
        </w:rPr>
        <w:t>. Others showed the relationship between pretreatment systemic inflammation and pathologic response after CRT for rectal cancer</w:t>
      </w:r>
      <w:r w:rsidRPr="00CF1A02">
        <w:rPr>
          <w:rFonts w:ascii="Book Antiqua" w:eastAsia="Book Antiqua" w:hAnsi="Book Antiqua" w:cs="Book Antiqua"/>
          <w:color w:val="000000"/>
          <w:vertAlign w:val="superscript"/>
        </w:rPr>
        <w:t>[12,22]</w:t>
      </w:r>
      <w:r w:rsidRPr="00CF1A02">
        <w:rPr>
          <w:rFonts w:ascii="Book Antiqua" w:eastAsia="Book Antiqua" w:hAnsi="Book Antiqua" w:cs="Book Antiqua"/>
          <w:color w:val="000000"/>
        </w:rPr>
        <w:t xml:space="preserve">. Heo </w:t>
      </w:r>
      <w:r w:rsidRPr="00CF1A02">
        <w:rPr>
          <w:rFonts w:ascii="Book Antiqua" w:eastAsia="Book Antiqua" w:hAnsi="Book Antiqua" w:cs="Book Antiqua"/>
          <w:i/>
          <w:iCs/>
          <w:color w:val="000000"/>
        </w:rPr>
        <w:t>et al</w:t>
      </w:r>
      <w:r w:rsidRPr="00CF1A02">
        <w:rPr>
          <w:rFonts w:ascii="Book Antiqua" w:eastAsia="Book Antiqua" w:hAnsi="Book Antiqua" w:cs="Book Antiqua"/>
          <w:color w:val="000000"/>
          <w:vertAlign w:val="superscript"/>
        </w:rPr>
        <w:t>[23]</w:t>
      </w:r>
      <w:r w:rsidRPr="00CF1A02">
        <w:rPr>
          <w:rFonts w:ascii="Book Antiqua" w:eastAsia="Book Antiqua" w:hAnsi="Book Antiqua" w:cs="Book Antiqua"/>
          <w:color w:val="000000"/>
        </w:rPr>
        <w:t xml:space="preserve"> reported that blood lymphocyte count was a useful predictive marker for pCR in LARC.</w:t>
      </w:r>
    </w:p>
    <w:p w14:paraId="4A6910EB" w14:textId="23383250"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Our study identified clinical factors that were associated with pCR and good response after preoperative CRT for rectal cancer. Pre-CRT CEA levels were an apparent predictive marker for pCR, and this result is consistent with previous research that identified preoperative CEA as a prognostic factor associated with treatment response to CRT for rectal cancer</w:t>
      </w:r>
      <w:r w:rsidR="009A6E87" w:rsidRPr="00CF1A02">
        <w:rPr>
          <w:rFonts w:ascii="Book Antiqua" w:eastAsia="Book Antiqua" w:hAnsi="Book Antiqua" w:cs="Book Antiqua"/>
          <w:color w:val="000000"/>
          <w:vertAlign w:val="superscript"/>
        </w:rPr>
        <w:t>[9,</w:t>
      </w:r>
      <w:r w:rsidRPr="00CF1A02">
        <w:rPr>
          <w:rFonts w:ascii="Book Antiqua" w:eastAsia="Book Antiqua" w:hAnsi="Book Antiqua" w:cs="Book Antiqua"/>
          <w:color w:val="000000"/>
          <w:vertAlign w:val="superscript"/>
        </w:rPr>
        <w:t>10,24]</w:t>
      </w:r>
      <w:r w:rsidRPr="00CF1A02">
        <w:rPr>
          <w:rFonts w:ascii="Book Antiqua" w:eastAsia="Book Antiqua" w:hAnsi="Book Antiqua" w:cs="Book Antiqua"/>
          <w:color w:val="000000"/>
        </w:rPr>
        <w:t>. In the multivariate analysis, the pretreatment CEA level was an important factor for pCR, and the post-treatment CEA level was a significant factor for good response. We focused on the difference in the pre- and post-CRT serum CEA levels, because a post-treatment CEA level ≤ 5 ng/mL could indicate good response among patients with a pretreatment CEA level &gt; 5 ng/mL. Thus, we compared treatment response to CRT between those with pre- and post-treatment CEA &gt; 5 ng/mL (Group A); pre- and post-treatment CEA &gt; 5 and ≤ 5 ng/mL, respectively (Group B), and pre- and post-treatment CEA ≤ 5 ng/mL (Group C). Groups B and C showed good response. Although patients with pretreatment CEA &gt; 5 ng/mL did not achieve pCR regardless of the post-CRT changes in CEA, our results showed that post-CRT CEA was associated with good response on multivariate analysis.</w:t>
      </w:r>
    </w:p>
    <w:p w14:paraId="3BBAE136" w14:textId="739F005F"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Furthermore, we identified other clinical factors, such as pretreatment tumor size, down-staging on MRI, and pre- and post-treatment NLR and PLR, that were associated with treatment response. The tumor distance from the AV did not show any correlation to treatment response. Only pretreatment NLR correlated with complete or good response to CRT on multivariate analysis.</w:t>
      </w:r>
    </w:p>
    <w:p w14:paraId="0B5EA64B" w14:textId="3DEEE853"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As previously described, treatment response to CRT for LARC varies, with ≥ 40% of patients achieving partial response, 8</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–20% of patients achieving pCR after surgery, and ≥ 20% of patients being resistant to treatment or developing progressive disease</w:t>
      </w:r>
      <w:r w:rsidRPr="00CF1A02">
        <w:rPr>
          <w:rFonts w:ascii="Book Antiqua" w:eastAsia="Book Antiqua" w:hAnsi="Book Antiqua" w:cs="Book Antiqua"/>
          <w:color w:val="000000"/>
          <w:vertAlign w:val="superscript"/>
        </w:rPr>
        <w:t>[5,6,25]</w:t>
      </w:r>
      <w:r w:rsidRPr="00CF1A02">
        <w:rPr>
          <w:rFonts w:ascii="Book Antiqua" w:eastAsia="Book Antiqua" w:hAnsi="Book Antiqua" w:cs="Book Antiqua"/>
          <w:color w:val="000000"/>
        </w:rPr>
        <w:t>. Achieving pCR is important because it is associated with DFS and distant metastasis</w:t>
      </w:r>
      <w:r w:rsidRPr="00CF1A02">
        <w:rPr>
          <w:rFonts w:ascii="Book Antiqua" w:eastAsia="Book Antiqua" w:hAnsi="Book Antiqua" w:cs="Book Antiqua"/>
          <w:color w:val="000000"/>
          <w:vertAlign w:val="superscript"/>
        </w:rPr>
        <w:t>[26]</w:t>
      </w:r>
      <w:r w:rsidRPr="00CF1A02">
        <w:rPr>
          <w:rFonts w:ascii="Book Antiqua" w:eastAsia="Book Antiqua" w:hAnsi="Book Antiqua" w:cs="Book Antiqua"/>
          <w:color w:val="000000"/>
        </w:rPr>
        <w:t>. Thus, several recent studies attempted to identify markers, including clinical factors, pathological features, imaging findings, and molecular biomarkers, associated with treatment response to CRT for rectal cancer. Moreover, gene expression profiles</w:t>
      </w:r>
      <w:r w:rsidRPr="00CF1A02">
        <w:rPr>
          <w:rFonts w:ascii="Book Antiqua" w:eastAsia="Book Antiqua" w:hAnsi="Book Antiqua" w:cs="Book Antiqua"/>
          <w:color w:val="000000"/>
          <w:vertAlign w:val="superscript"/>
        </w:rPr>
        <w:t>[27-29]</w:t>
      </w:r>
      <w:r w:rsidRPr="00CF1A02">
        <w:rPr>
          <w:rFonts w:ascii="Book Antiqua" w:eastAsia="Book Antiqua" w:hAnsi="Book Antiqua" w:cs="Book Antiqua"/>
          <w:color w:val="000000"/>
        </w:rPr>
        <w:t xml:space="preserve">, proteins, microRNAs, and other biomarkers, such as tumor-infiltrating lymphocytes and immune checkpoint molecules, have been investigated. Kundel </w:t>
      </w:r>
      <w:r w:rsidRPr="00CF1A02">
        <w:rPr>
          <w:rFonts w:ascii="Book Antiqua" w:eastAsia="Book Antiqua" w:hAnsi="Book Antiqua" w:cs="Book Antiqua"/>
          <w:i/>
          <w:iCs/>
          <w:color w:val="000000"/>
        </w:rPr>
        <w:t>et al</w:t>
      </w:r>
      <w:r w:rsidRPr="00CF1A02">
        <w:rPr>
          <w:rFonts w:ascii="Book Antiqua" w:eastAsia="Book Antiqua" w:hAnsi="Book Antiqua" w:cs="Book Antiqua"/>
          <w:color w:val="000000"/>
          <w:vertAlign w:val="superscript"/>
        </w:rPr>
        <w:t>[27]</w:t>
      </w:r>
      <w:r w:rsidRPr="00CF1A02">
        <w:rPr>
          <w:rFonts w:ascii="Book Antiqua" w:eastAsia="Book Antiqua" w:hAnsi="Book Antiqua" w:cs="Book Antiqua"/>
          <w:color w:val="000000"/>
        </w:rPr>
        <w:t xml:space="preserve"> reported the expression of EGFR in pretreatment biopsies between TRG groups (TRG 1</w:t>
      </w:r>
      <w:r w:rsidRPr="00CF1A02">
        <w:rPr>
          <w:rFonts w:ascii="Book Antiqua" w:eastAsia="Book Antiqua" w:hAnsi="Book Antiqua" w:cs="Book Antiqua"/>
          <w:i/>
          <w:iCs/>
          <w:color w:val="000000"/>
        </w:rPr>
        <w:t xml:space="preserve"> vs</w:t>
      </w:r>
      <w:r w:rsidRPr="00CF1A02">
        <w:rPr>
          <w:rFonts w:ascii="Book Antiqua" w:eastAsia="Book Antiqua" w:hAnsi="Book Antiqua" w:cs="Book Antiqua"/>
          <w:color w:val="000000"/>
        </w:rPr>
        <w:t xml:space="preserve"> 3;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xml:space="preserve">= 0.003, TRG 1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TRG 4;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 0.033) were significantly different. Kamran </w:t>
      </w:r>
      <w:r w:rsidRPr="00CF1A02">
        <w:rPr>
          <w:rFonts w:ascii="Book Antiqua" w:eastAsia="Book Antiqua" w:hAnsi="Book Antiqua" w:cs="Book Antiqua"/>
          <w:i/>
          <w:iCs/>
          <w:color w:val="000000"/>
        </w:rPr>
        <w:t>et al</w:t>
      </w:r>
      <w:r w:rsidRPr="00CF1A02">
        <w:rPr>
          <w:rFonts w:ascii="Book Antiqua" w:eastAsia="Book Antiqua" w:hAnsi="Book Antiqua" w:cs="Book Antiqua"/>
          <w:color w:val="000000"/>
          <w:vertAlign w:val="superscript"/>
        </w:rPr>
        <w:t>[28]</w:t>
      </w:r>
      <w:r w:rsidRPr="00CF1A02">
        <w:rPr>
          <w:rFonts w:ascii="Book Antiqua" w:eastAsia="Book Antiqua" w:hAnsi="Book Antiqua" w:cs="Book Antiqua"/>
          <w:color w:val="000000"/>
        </w:rPr>
        <w:t xml:space="preserve"> demonstrated </w:t>
      </w:r>
      <w:r w:rsidRPr="00CF1A02">
        <w:rPr>
          <w:rFonts w:ascii="Book Antiqua" w:eastAsia="Book Antiqua" w:hAnsi="Book Antiqua" w:cs="Book Antiqua"/>
          <w:i/>
          <w:iCs/>
          <w:color w:val="000000"/>
        </w:rPr>
        <w:t>KRAS/TP53</w:t>
      </w:r>
      <w:r w:rsidRPr="00CF1A02">
        <w:rPr>
          <w:rFonts w:ascii="Book Antiqua" w:eastAsia="Book Antiqua" w:hAnsi="Book Antiqua" w:cs="Book Antiqua"/>
          <w:color w:val="000000"/>
        </w:rPr>
        <w:t xml:space="preserve"> mutation was associated with non-response and Sendoya </w:t>
      </w:r>
      <w:r w:rsidRPr="00CF1A02">
        <w:rPr>
          <w:rFonts w:ascii="Book Antiqua" w:eastAsia="Book Antiqua" w:hAnsi="Book Antiqua" w:cs="Book Antiqua"/>
          <w:i/>
          <w:iCs/>
          <w:color w:val="000000"/>
        </w:rPr>
        <w:t>et al</w:t>
      </w:r>
      <w:r w:rsidRPr="00CF1A02">
        <w:rPr>
          <w:rFonts w:ascii="Book Antiqua" w:eastAsia="Book Antiqua" w:hAnsi="Book Antiqua" w:cs="Book Antiqua"/>
          <w:color w:val="000000"/>
          <w:vertAlign w:val="superscript"/>
        </w:rPr>
        <w:t>[29]</w:t>
      </w:r>
      <w:r w:rsidRPr="00CF1A02">
        <w:rPr>
          <w:rFonts w:ascii="Book Antiqua" w:eastAsia="Book Antiqua" w:hAnsi="Book Antiqua" w:cs="Book Antiqua"/>
          <w:color w:val="000000"/>
        </w:rPr>
        <w:t xml:space="preserve"> also found similar result which RAS/TP53 were associated with poor outcome in prospective study. Akiyoshi </w:t>
      </w:r>
      <w:r w:rsidRPr="00CF1A02">
        <w:rPr>
          <w:rFonts w:ascii="Book Antiqua" w:eastAsia="Book Antiqua" w:hAnsi="Book Antiqua" w:cs="Book Antiqua"/>
          <w:i/>
          <w:iCs/>
          <w:color w:val="000000"/>
        </w:rPr>
        <w:t>et al</w:t>
      </w:r>
      <w:r w:rsidRPr="00CF1A02">
        <w:rPr>
          <w:rFonts w:ascii="Book Antiqua" w:eastAsia="Book Antiqua" w:hAnsi="Book Antiqua" w:cs="Book Antiqua"/>
          <w:color w:val="000000"/>
          <w:vertAlign w:val="superscript"/>
        </w:rPr>
        <w:t>[30]</w:t>
      </w:r>
      <w:r w:rsidRPr="00CF1A02">
        <w:rPr>
          <w:rFonts w:ascii="Book Antiqua" w:eastAsia="Book Antiqua" w:hAnsi="Book Antiqua" w:cs="Book Antiqua"/>
          <w:color w:val="000000"/>
        </w:rPr>
        <w:t xml:space="preserve"> showed pretreatment neoantigen-specific CD8+ T cell is a key event in CRT response and immune check point can be useful target to enhance tumor regression. However, these studies were usually conducted in small cohorts and retrospective. Therefore, further investigation in a large cohort study is needed for validation. Molecular biomarkers are expected to have sufficient sensitivity and specificity, but none have yet been applied in clinical settings. In addition, cost-effectiveness is an important consideration.</w:t>
      </w:r>
    </w:p>
    <w:p w14:paraId="491E3E46" w14:textId="42575B66" w:rsidR="00A77B3E" w:rsidRPr="00CF1A02" w:rsidRDefault="003F4D3A" w:rsidP="00CF1A02">
      <w:pPr>
        <w:adjustRightInd w:val="0"/>
        <w:snapToGrid w:val="0"/>
        <w:spacing w:line="360" w:lineRule="auto"/>
        <w:ind w:firstLineChars="100" w:firstLine="240"/>
        <w:jc w:val="both"/>
        <w:rPr>
          <w:rFonts w:ascii="Book Antiqua" w:eastAsia="Book Antiqua" w:hAnsi="Book Antiqua" w:cs="Book Antiqua"/>
          <w:color w:val="000000"/>
        </w:rPr>
      </w:pPr>
      <w:r w:rsidRPr="00CF1A02">
        <w:rPr>
          <w:rFonts w:ascii="Book Antiqua" w:eastAsia="Book Antiqua" w:hAnsi="Book Antiqua" w:cs="Book Antiqua"/>
          <w:color w:val="000000"/>
        </w:rPr>
        <w:t>An individualized treatment strategy based on sensitivity or resistance to preoperative CRT for LARC is needed. Understanding the relationship between each marker and treatment response can help achieve better patient outcomes. Serum CEA levels can be easily measured before and after CRT as part of the routine evaluation. However, a single assessment for CEA is insufficient to predict treatment response to CRT. Variations in prognosis may be observed if patients are classified according to changes in serum CEA levels from before to after CRT. The early identification of poor responders or patients with tumor resistance to CRT will allow clinicians to provide more aggressive treatment, such as intensified chemotherapy.</w:t>
      </w:r>
    </w:p>
    <w:p w14:paraId="08E9F19D" w14:textId="77777777" w:rsidR="009A6E87" w:rsidRPr="00CF1A02" w:rsidRDefault="009A6E87" w:rsidP="00CF1A02">
      <w:pPr>
        <w:adjustRightInd w:val="0"/>
        <w:snapToGrid w:val="0"/>
        <w:spacing w:line="360" w:lineRule="auto"/>
        <w:ind w:firstLineChars="100" w:firstLine="240"/>
        <w:jc w:val="both"/>
        <w:rPr>
          <w:rFonts w:ascii="Book Antiqua" w:hAnsi="Book Antiqua"/>
        </w:rPr>
      </w:pPr>
    </w:p>
    <w:p w14:paraId="2847D1A8"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i/>
          <w:iCs/>
          <w:color w:val="000000"/>
        </w:rPr>
        <w:t>Limitations of the study</w:t>
      </w:r>
    </w:p>
    <w:p w14:paraId="6642E5C8"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This study has several limitations. Our results were based on 135 patients from a single institution and need to be validated in larger cohorts and multicenter studies. Another limitation was the appropriate timing of pre- and post-CRT measurement of serum CEA levels. The pretreatment serum CEA levels were first measured at the time of the first patient visit to the study center. However, the interval between the measurement of CEA levels and time to CRT commencement can vary because some patients postpone the CRT schedule because of personal reasons. In addition, post-treatment CEA levels can be followed up differently, from 4 to 5 wk after CRT, depending on the clinician’s preference. Therefore, a clear standard interval needs to be defined between the measurement of serum CEA levels and CRT administration.</w:t>
      </w:r>
    </w:p>
    <w:bookmarkEnd w:id="37"/>
    <w:bookmarkEnd w:id="38"/>
    <w:p w14:paraId="2F761C00" w14:textId="77777777" w:rsidR="00A77B3E" w:rsidRPr="00CF1A02" w:rsidRDefault="00A77B3E" w:rsidP="00CF1A02">
      <w:pPr>
        <w:adjustRightInd w:val="0"/>
        <w:snapToGrid w:val="0"/>
        <w:spacing w:line="360" w:lineRule="auto"/>
        <w:jc w:val="both"/>
        <w:rPr>
          <w:rFonts w:ascii="Book Antiqua" w:hAnsi="Book Antiqua"/>
        </w:rPr>
      </w:pPr>
    </w:p>
    <w:p w14:paraId="611CE684"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aps/>
          <w:color w:val="000000"/>
          <w:u w:val="single"/>
        </w:rPr>
        <w:t>CONCLUSION</w:t>
      </w:r>
    </w:p>
    <w:p w14:paraId="2CC450D6"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Pretreatment clinical factors such as lymphocyte counts and pre- and post-treatment CEA levels, are important markers in the prediction of treatment response to CRT for LARC. The change in serum CEA levels from before to after CRT, in addition with the pre- and post-treatment CEA levels, can be used to the predict treatment response to CRT for LARC. These clinical factors may facilitate individualized treatment strategies for LARC.</w:t>
      </w:r>
    </w:p>
    <w:p w14:paraId="025DF764" w14:textId="77777777" w:rsidR="00A77B3E" w:rsidRPr="00CF1A02" w:rsidRDefault="00A77B3E" w:rsidP="00CF1A02">
      <w:pPr>
        <w:adjustRightInd w:val="0"/>
        <w:snapToGrid w:val="0"/>
        <w:spacing w:line="360" w:lineRule="auto"/>
        <w:jc w:val="both"/>
        <w:rPr>
          <w:rFonts w:ascii="Book Antiqua" w:hAnsi="Book Antiqua"/>
        </w:rPr>
      </w:pPr>
    </w:p>
    <w:p w14:paraId="69E85C0A"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aps/>
          <w:color w:val="000000"/>
          <w:u w:val="single"/>
        </w:rPr>
        <w:t>ARTICLE HIGHLIGHTS</w:t>
      </w:r>
    </w:p>
    <w:p w14:paraId="121FEBFE"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i/>
          <w:color w:val="000000"/>
        </w:rPr>
        <w:t>Research background</w:t>
      </w:r>
    </w:p>
    <w:p w14:paraId="6DAD1928"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Preoperative chemoradiotherapy (CRT) is a standard treatment modality for locally advanced rectal cancer. Although advances in CRT and surgical treatment have helped achieve better outcomes for rectal cancer, the overall survival of patients remains an issue. Moreover, the response to CRT varies from pathologic complete response to disease progression. As preoperative CRT is a time-consuming modality, it is important to determine the predictive factors for treatment response to preoperative CRT.</w:t>
      </w:r>
    </w:p>
    <w:p w14:paraId="24AB01FA" w14:textId="77777777" w:rsidR="00A77B3E" w:rsidRPr="00CF1A02" w:rsidRDefault="00A77B3E" w:rsidP="00CF1A02">
      <w:pPr>
        <w:adjustRightInd w:val="0"/>
        <w:snapToGrid w:val="0"/>
        <w:spacing w:line="360" w:lineRule="auto"/>
        <w:jc w:val="both"/>
        <w:rPr>
          <w:rFonts w:ascii="Book Antiqua" w:hAnsi="Book Antiqua"/>
        </w:rPr>
      </w:pPr>
    </w:p>
    <w:p w14:paraId="4F77A3C5"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i/>
          <w:color w:val="000000"/>
        </w:rPr>
        <w:t>Research motivation</w:t>
      </w:r>
    </w:p>
    <w:p w14:paraId="3BD28F2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Carcinoembryonic antigen (CEA) has been reported to be an important surveillance biomarker for colorectal cancer. Although various biomolecular or immune-molecular markers have been recently introduced, they are unable to show sufficiency for clinical application or cost-effectiveness. If we can prove the relationship between changes in CEA levels before and after chemoradiotherapy and the response to CRT for rectal cancer, we can provide personalized treatment for each patient with rectal cancer to ensure a better prognosis.</w:t>
      </w:r>
    </w:p>
    <w:p w14:paraId="17CA1200" w14:textId="77777777" w:rsidR="00A77B3E" w:rsidRPr="00CF1A02" w:rsidRDefault="00A77B3E" w:rsidP="00CF1A02">
      <w:pPr>
        <w:adjustRightInd w:val="0"/>
        <w:snapToGrid w:val="0"/>
        <w:spacing w:line="360" w:lineRule="auto"/>
        <w:jc w:val="both"/>
        <w:rPr>
          <w:rFonts w:ascii="Book Antiqua" w:hAnsi="Book Antiqua"/>
        </w:rPr>
      </w:pPr>
    </w:p>
    <w:p w14:paraId="3E214D2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i/>
          <w:color w:val="000000"/>
        </w:rPr>
        <w:t>Research objectives</w:t>
      </w:r>
    </w:p>
    <w:p w14:paraId="1E9907F7"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This study aimed to identify patients with locally advanced rectal cancer eligible for preoperative CRT according to changes in CEA levels before and after preoperative CRT.</w:t>
      </w:r>
    </w:p>
    <w:p w14:paraId="6FD356CF" w14:textId="77777777" w:rsidR="00A77B3E" w:rsidRPr="00CF1A02" w:rsidRDefault="00A77B3E" w:rsidP="00CF1A02">
      <w:pPr>
        <w:adjustRightInd w:val="0"/>
        <w:snapToGrid w:val="0"/>
        <w:spacing w:line="360" w:lineRule="auto"/>
        <w:jc w:val="both"/>
        <w:rPr>
          <w:rFonts w:ascii="Book Antiqua" w:hAnsi="Book Antiqua"/>
        </w:rPr>
      </w:pPr>
    </w:p>
    <w:p w14:paraId="19B6395D"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i/>
          <w:color w:val="000000"/>
        </w:rPr>
        <w:t>Research methods</w:t>
      </w:r>
    </w:p>
    <w:p w14:paraId="7EC3697E"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We included 145 patients with locally advanced rectal cancer who underwent preoperative CRT and curative resection. Patients were assigned to three groups according to pre- and post-CRT serum CEA levels: both &gt; 5; pre &gt; 5 and post ≤ 5; and both ≤ 5 ng/mL, respectively. We compared the response to CRT depending on changes in serum CEA levels between the groups. Multivariate logistic regression analysis was used to evaluate the prognostic factors for pathologic complete response/good response.</w:t>
      </w:r>
    </w:p>
    <w:p w14:paraId="29B2F645" w14:textId="77777777" w:rsidR="00A77B3E" w:rsidRPr="00CF1A02" w:rsidRDefault="00A77B3E" w:rsidP="00CF1A02">
      <w:pPr>
        <w:adjustRightInd w:val="0"/>
        <w:snapToGrid w:val="0"/>
        <w:spacing w:line="360" w:lineRule="auto"/>
        <w:jc w:val="both"/>
        <w:rPr>
          <w:rFonts w:ascii="Book Antiqua" w:hAnsi="Book Antiqua"/>
        </w:rPr>
      </w:pPr>
    </w:p>
    <w:p w14:paraId="519E7355"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i/>
          <w:color w:val="000000"/>
        </w:rPr>
        <w:t>Research results</w:t>
      </w:r>
    </w:p>
    <w:p w14:paraId="46BB5B8C" w14:textId="77777777" w:rsidR="00A77B3E" w:rsidRPr="00CF1A02" w:rsidRDefault="003F4D3A" w:rsidP="00CF1A02">
      <w:pPr>
        <w:adjustRightInd w:val="0"/>
        <w:snapToGrid w:val="0"/>
        <w:spacing w:line="360" w:lineRule="auto"/>
        <w:jc w:val="both"/>
        <w:rPr>
          <w:rFonts w:ascii="Book Antiqua" w:hAnsi="Book Antiqua"/>
        </w:rPr>
      </w:pPr>
      <w:bookmarkStart w:id="39" w:name="OLE_LINK39"/>
      <w:bookmarkStart w:id="40" w:name="OLE_LINK40"/>
      <w:r w:rsidRPr="00CF1A02">
        <w:rPr>
          <w:rFonts w:ascii="Book Antiqua" w:eastAsia="Book Antiqua" w:hAnsi="Book Antiqua" w:cs="Book Antiqua"/>
          <w:color w:val="000000"/>
        </w:rPr>
        <w:t>There were 27, 43, and 65 patients in groups A, B, and C, respectively, according to changes in serum CEA levels before and after CRT. Pre-CRT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&lt; 0.001) and post-CRT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&lt; 0.001) CEA levels and the ratio of down-staging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0.013) were higher in Groups B and C than in Group A. The ratio of pathologic tumor regression grade 0/1 significantly differed among the groups (</w:t>
      </w:r>
      <w:r w:rsidRPr="00CF1A02">
        <w:rPr>
          <w:rFonts w:ascii="Book Antiqua" w:eastAsia="Book Antiqua" w:hAnsi="Book Antiqua" w:cs="Book Antiqua"/>
          <w:i/>
          <w:iCs/>
          <w:color w:val="000000"/>
        </w:rPr>
        <w:t xml:space="preserve">P = </w:t>
      </w:r>
      <w:r w:rsidRPr="00CF1A02">
        <w:rPr>
          <w:rFonts w:ascii="Book Antiqua" w:eastAsia="Book Antiqua" w:hAnsi="Book Antiqua" w:cs="Book Antiqua"/>
          <w:color w:val="000000"/>
        </w:rPr>
        <w:t xml:space="preserve">0.003). Group C had the highest number of patients showing pathologic complete response (pCR;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&lt; 0.001). Most patients with pCR showed pre- and post-CRT CEA levels of &lt; 5 ng/mL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&lt; 0.001,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 0.008). Pre- and post-CRT CEA levels were important risk factors for pCR (odds ratio 18.71; 95% confidence interval 4.62–129.51,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&lt; 0.001) and good response (odds ratio 5.07; 95% confidence interval 1.92–14.83,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 0.002). Pre-CRT neutrophil-to-lymphocyte ratio and post-CRT T ≥ 3 stage were also prognostic factors for pCR or good response.</w:t>
      </w:r>
    </w:p>
    <w:bookmarkEnd w:id="39"/>
    <w:bookmarkEnd w:id="40"/>
    <w:p w14:paraId="1CB3D145" w14:textId="77777777" w:rsidR="00A77B3E" w:rsidRPr="00CF1A02" w:rsidRDefault="00A77B3E" w:rsidP="00CF1A02">
      <w:pPr>
        <w:adjustRightInd w:val="0"/>
        <w:snapToGrid w:val="0"/>
        <w:spacing w:line="360" w:lineRule="auto"/>
        <w:jc w:val="both"/>
        <w:rPr>
          <w:rFonts w:ascii="Book Antiqua" w:hAnsi="Book Antiqua"/>
        </w:rPr>
      </w:pPr>
    </w:p>
    <w:p w14:paraId="396FFB84"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i/>
          <w:color w:val="000000"/>
        </w:rPr>
        <w:t>Research conclusions</w:t>
      </w:r>
    </w:p>
    <w:p w14:paraId="1810BA51"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Pre- and post-CRT CEA levels as well as changes in CEA levels were prognostic markers for the response to CRT and may facilitate treatment individualization for rectal cancer.</w:t>
      </w:r>
    </w:p>
    <w:p w14:paraId="54C87437" w14:textId="77777777" w:rsidR="00A77B3E" w:rsidRPr="00CF1A02" w:rsidRDefault="00A77B3E" w:rsidP="00CF1A02">
      <w:pPr>
        <w:adjustRightInd w:val="0"/>
        <w:snapToGrid w:val="0"/>
        <w:spacing w:line="360" w:lineRule="auto"/>
        <w:jc w:val="both"/>
        <w:rPr>
          <w:rFonts w:ascii="Book Antiqua" w:hAnsi="Book Antiqua"/>
        </w:rPr>
      </w:pPr>
    </w:p>
    <w:p w14:paraId="291F4410"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i/>
          <w:color w:val="000000"/>
        </w:rPr>
        <w:t>Research perspectives</w:t>
      </w:r>
    </w:p>
    <w:p w14:paraId="2F82EABD"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Pretreatment clinical factors such as lymphocyte counts and pre- and post-treatment CEA levels are important markers that predict the response to CRT for locally advanced rectal cancer. These clinical factors may facilitate the development of individualized treatment strategies for advanced rectal cancer.</w:t>
      </w:r>
    </w:p>
    <w:p w14:paraId="4C740EBB" w14:textId="77777777" w:rsidR="00A77B3E" w:rsidRPr="00CF1A02" w:rsidRDefault="00A77B3E" w:rsidP="00CF1A02">
      <w:pPr>
        <w:adjustRightInd w:val="0"/>
        <w:snapToGrid w:val="0"/>
        <w:spacing w:line="360" w:lineRule="auto"/>
        <w:jc w:val="both"/>
        <w:rPr>
          <w:rFonts w:ascii="Book Antiqua" w:hAnsi="Book Antiqua"/>
        </w:rPr>
      </w:pPr>
    </w:p>
    <w:p w14:paraId="1B65ED02"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REFERENCES</w:t>
      </w:r>
    </w:p>
    <w:p w14:paraId="30422DBC" w14:textId="77777777" w:rsidR="00A77B3E" w:rsidRPr="00CF1A02" w:rsidRDefault="003F4D3A" w:rsidP="00CF1A02">
      <w:pPr>
        <w:adjustRightInd w:val="0"/>
        <w:snapToGrid w:val="0"/>
        <w:spacing w:line="360" w:lineRule="auto"/>
        <w:jc w:val="both"/>
        <w:rPr>
          <w:rFonts w:ascii="Book Antiqua" w:hAnsi="Book Antiqua"/>
        </w:rPr>
      </w:pPr>
      <w:bookmarkStart w:id="41" w:name="OLE_LINK41"/>
      <w:bookmarkStart w:id="42" w:name="OLE_LINK42"/>
      <w:r w:rsidRPr="00CF1A02">
        <w:rPr>
          <w:rFonts w:ascii="Book Antiqua" w:eastAsia="Book Antiqua" w:hAnsi="Book Antiqua" w:cs="Book Antiqua"/>
          <w:color w:val="000000"/>
        </w:rPr>
        <w:t xml:space="preserve">1 </w:t>
      </w:r>
      <w:r w:rsidRPr="00CF1A02">
        <w:rPr>
          <w:rFonts w:ascii="Book Antiqua" w:eastAsia="Book Antiqua" w:hAnsi="Book Antiqua" w:cs="Book Antiqua"/>
          <w:b/>
          <w:bCs/>
          <w:color w:val="000000"/>
        </w:rPr>
        <w:t>Sauer R</w:t>
      </w:r>
      <w:r w:rsidRPr="00CF1A02">
        <w:rPr>
          <w:rFonts w:ascii="Book Antiqua" w:eastAsia="Book Antiqua" w:hAnsi="Book Antiqua" w:cs="Book Antiqua"/>
          <w:color w:val="000000"/>
        </w:rPr>
        <w:t xml:space="preserve">, Becker H, Hohenberger W, Rödel C, Wittekind C, Fietkau R, Martus P, Tschmelitsch J, Hager E, Hess CF, Karstens JH, Liersch T, Schmidberger H, Raab R; German Rectal Cancer Study Group. Preoperative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postoperative chemoradiotherapy for rectal cancer. </w:t>
      </w:r>
      <w:r w:rsidRPr="00CF1A02">
        <w:rPr>
          <w:rFonts w:ascii="Book Antiqua" w:eastAsia="Book Antiqua" w:hAnsi="Book Antiqua" w:cs="Book Antiqua"/>
          <w:i/>
          <w:iCs/>
          <w:color w:val="000000"/>
        </w:rPr>
        <w:t>N Engl J Med</w:t>
      </w:r>
      <w:r w:rsidRPr="00CF1A02">
        <w:rPr>
          <w:rFonts w:ascii="Book Antiqua" w:eastAsia="Book Antiqua" w:hAnsi="Book Antiqua" w:cs="Book Antiqua"/>
          <w:color w:val="000000"/>
        </w:rPr>
        <w:t xml:space="preserve"> 2004; </w:t>
      </w:r>
      <w:r w:rsidRPr="00CF1A02">
        <w:rPr>
          <w:rFonts w:ascii="Book Antiqua" w:eastAsia="Book Antiqua" w:hAnsi="Book Antiqua" w:cs="Book Antiqua"/>
          <w:b/>
          <w:bCs/>
          <w:color w:val="000000"/>
        </w:rPr>
        <w:t>351</w:t>
      </w:r>
      <w:r w:rsidRPr="00CF1A02">
        <w:rPr>
          <w:rFonts w:ascii="Book Antiqua" w:eastAsia="Book Antiqua" w:hAnsi="Book Antiqua" w:cs="Book Antiqua"/>
          <w:color w:val="000000"/>
        </w:rPr>
        <w:t>: 1731-1740 [PMID: 15496622 DOI: 10.1056/NEJMoa040694]</w:t>
      </w:r>
    </w:p>
    <w:p w14:paraId="75E14E20"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 </w:t>
      </w:r>
      <w:r w:rsidRPr="00CF1A02">
        <w:rPr>
          <w:rFonts w:ascii="Book Antiqua" w:eastAsia="Book Antiqua" w:hAnsi="Book Antiqua" w:cs="Book Antiqua"/>
          <w:b/>
          <w:bCs/>
          <w:color w:val="000000"/>
        </w:rPr>
        <w:t>Bosset JF</w:t>
      </w:r>
      <w:r w:rsidRPr="00CF1A02">
        <w:rPr>
          <w:rFonts w:ascii="Book Antiqua" w:eastAsia="Book Antiqua" w:hAnsi="Book Antiqua" w:cs="Book Antiqua"/>
          <w:color w:val="000000"/>
        </w:rPr>
        <w:t xml:space="preserve">, Collette L, Calais G, Mineur L, Maingon P, Radosevic-Jelic L, Daban A, Bardet E, Beny A, Ollier JC; EORTC Radiotherapy Group Trial 22921. Chemotherapy with preoperative radiotherapy in rectal cancer. </w:t>
      </w:r>
      <w:r w:rsidRPr="00CF1A02">
        <w:rPr>
          <w:rFonts w:ascii="Book Antiqua" w:eastAsia="Book Antiqua" w:hAnsi="Book Antiqua" w:cs="Book Antiqua"/>
          <w:i/>
          <w:iCs/>
          <w:color w:val="000000"/>
        </w:rPr>
        <w:t>N Engl J Med</w:t>
      </w:r>
      <w:r w:rsidRPr="00CF1A02">
        <w:rPr>
          <w:rFonts w:ascii="Book Antiqua" w:eastAsia="Book Antiqua" w:hAnsi="Book Antiqua" w:cs="Book Antiqua"/>
          <w:color w:val="000000"/>
        </w:rPr>
        <w:t xml:space="preserve"> 2006; </w:t>
      </w:r>
      <w:r w:rsidRPr="00CF1A02">
        <w:rPr>
          <w:rFonts w:ascii="Book Antiqua" w:eastAsia="Book Antiqua" w:hAnsi="Book Antiqua" w:cs="Book Antiqua"/>
          <w:b/>
          <w:bCs/>
          <w:color w:val="000000"/>
        </w:rPr>
        <w:t>355</w:t>
      </w:r>
      <w:r w:rsidRPr="00CF1A02">
        <w:rPr>
          <w:rFonts w:ascii="Book Antiqua" w:eastAsia="Book Antiqua" w:hAnsi="Book Antiqua" w:cs="Book Antiqua"/>
          <w:color w:val="000000"/>
        </w:rPr>
        <w:t>: 1114-1123 [PMID: 16971718 DOI: 10.1056/NEJMoa060829]</w:t>
      </w:r>
    </w:p>
    <w:p w14:paraId="5F7F10BE"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3 </w:t>
      </w:r>
      <w:r w:rsidRPr="00CF1A02">
        <w:rPr>
          <w:rFonts w:ascii="Book Antiqua" w:eastAsia="Book Antiqua" w:hAnsi="Book Antiqua" w:cs="Book Antiqua"/>
          <w:b/>
          <w:bCs/>
          <w:color w:val="000000"/>
        </w:rPr>
        <w:t>Gérard JP</w:t>
      </w:r>
      <w:r w:rsidRPr="00CF1A02">
        <w:rPr>
          <w:rFonts w:ascii="Book Antiqua" w:eastAsia="Book Antiqua" w:hAnsi="Book Antiqua" w:cs="Book Antiqua"/>
          <w:color w:val="000000"/>
        </w:rPr>
        <w:t xml:space="preserve">, Conroy T, Bonnetain F, Bouché O, Chapet O, Closon-Dejardin MT, Untereiner M, Leduc B, Francois E, Maurel J, Seitz JF, Buecher B, Mackiewicz R, Ducreux M, Bedenne L. Preoperative radiotherapy with or without concurrent fluorouracil and leucovorin in T3-4 rectal cancers: results of FFCD 9203. </w:t>
      </w:r>
      <w:r w:rsidRPr="00CF1A02">
        <w:rPr>
          <w:rFonts w:ascii="Book Antiqua" w:eastAsia="Book Antiqua" w:hAnsi="Book Antiqua" w:cs="Book Antiqua"/>
          <w:i/>
          <w:iCs/>
          <w:color w:val="000000"/>
        </w:rPr>
        <w:t>J Clin Oncol</w:t>
      </w:r>
      <w:r w:rsidRPr="00CF1A02">
        <w:rPr>
          <w:rFonts w:ascii="Book Antiqua" w:eastAsia="Book Antiqua" w:hAnsi="Book Antiqua" w:cs="Book Antiqua"/>
          <w:color w:val="000000"/>
        </w:rPr>
        <w:t xml:space="preserve"> 2006; </w:t>
      </w:r>
      <w:r w:rsidRPr="00CF1A02">
        <w:rPr>
          <w:rFonts w:ascii="Book Antiqua" w:eastAsia="Book Antiqua" w:hAnsi="Book Antiqua" w:cs="Book Antiqua"/>
          <w:b/>
          <w:bCs/>
          <w:color w:val="000000"/>
        </w:rPr>
        <w:t>24</w:t>
      </w:r>
      <w:r w:rsidRPr="00CF1A02">
        <w:rPr>
          <w:rFonts w:ascii="Book Antiqua" w:eastAsia="Book Antiqua" w:hAnsi="Book Antiqua" w:cs="Book Antiqua"/>
          <w:color w:val="000000"/>
        </w:rPr>
        <w:t>: 4620-4625 [PMID: 17008704 DOI: 10.1200/JCO.2006.06.7629]</w:t>
      </w:r>
    </w:p>
    <w:p w14:paraId="28B23140"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4 </w:t>
      </w:r>
      <w:r w:rsidRPr="00CF1A02">
        <w:rPr>
          <w:rFonts w:ascii="Book Antiqua" w:eastAsia="Book Antiqua" w:hAnsi="Book Antiqua" w:cs="Book Antiqua"/>
          <w:b/>
          <w:bCs/>
          <w:color w:val="000000"/>
        </w:rPr>
        <w:t>Dayde D</w:t>
      </w:r>
      <w:r w:rsidRPr="00CF1A02">
        <w:rPr>
          <w:rFonts w:ascii="Book Antiqua" w:eastAsia="Book Antiqua" w:hAnsi="Book Antiqua" w:cs="Book Antiqua"/>
          <w:color w:val="000000"/>
        </w:rPr>
        <w:t xml:space="preserve">, Tanaka I, Jain R, Tai MC, Taguchi A. Predictive and Prognostic Molecular Biomarkers for Response to Neoadjuvant Chemoradiation in Rectal Cancer. </w:t>
      </w:r>
      <w:r w:rsidRPr="00CF1A02">
        <w:rPr>
          <w:rFonts w:ascii="Book Antiqua" w:eastAsia="Book Antiqua" w:hAnsi="Book Antiqua" w:cs="Book Antiqua"/>
          <w:i/>
          <w:iCs/>
          <w:color w:val="000000"/>
        </w:rPr>
        <w:t>Int J Mol Sci</w:t>
      </w:r>
      <w:r w:rsidRPr="00CF1A02">
        <w:rPr>
          <w:rFonts w:ascii="Book Antiqua" w:eastAsia="Book Antiqua" w:hAnsi="Book Antiqua" w:cs="Book Antiqua"/>
          <w:color w:val="000000"/>
        </w:rPr>
        <w:t xml:space="preserve"> 2017; </w:t>
      </w:r>
      <w:r w:rsidRPr="00CF1A02">
        <w:rPr>
          <w:rFonts w:ascii="Book Antiqua" w:eastAsia="Book Antiqua" w:hAnsi="Book Antiqua" w:cs="Book Antiqua"/>
          <w:b/>
          <w:bCs/>
          <w:color w:val="000000"/>
        </w:rPr>
        <w:t>18</w:t>
      </w:r>
      <w:r w:rsidRPr="00CF1A02">
        <w:rPr>
          <w:rFonts w:ascii="Book Antiqua" w:eastAsia="Book Antiqua" w:hAnsi="Book Antiqua" w:cs="Book Antiqua"/>
          <w:color w:val="000000"/>
        </w:rPr>
        <w:t>: [PMID: 28272347 DOI: 10.3390/ijms18030573]</w:t>
      </w:r>
    </w:p>
    <w:p w14:paraId="57183120"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5 </w:t>
      </w:r>
      <w:r w:rsidRPr="00CF1A02">
        <w:rPr>
          <w:rFonts w:ascii="Book Antiqua" w:eastAsia="Book Antiqua" w:hAnsi="Book Antiqua" w:cs="Book Antiqua"/>
          <w:b/>
          <w:bCs/>
          <w:color w:val="000000"/>
        </w:rPr>
        <w:t>Collette L</w:t>
      </w:r>
      <w:r w:rsidRPr="00CF1A02">
        <w:rPr>
          <w:rFonts w:ascii="Book Antiqua" w:eastAsia="Book Antiqua" w:hAnsi="Book Antiqua" w:cs="Book Antiqua"/>
          <w:color w:val="000000"/>
        </w:rPr>
        <w:t xml:space="preserve">, Bosset JF, den Dulk M, Nguyen F, Mineur L, Maingon P, Radosevic-Jelic L, Piérart M, Calais G; European Organisation for Research and Treatment of Cancer Radiation Oncology Group. Patients with curative resection of cT3-4 rectal cancer after preoperative radiotherapy or radiochemotherapy: does anybody benefit from adjuvant fluorouracil-based chemotherapy? A trial of the European Organisation for Research and Treatment of Cancer Radiation Oncology Group. </w:t>
      </w:r>
      <w:r w:rsidRPr="00CF1A02">
        <w:rPr>
          <w:rFonts w:ascii="Book Antiqua" w:eastAsia="Book Antiqua" w:hAnsi="Book Antiqua" w:cs="Book Antiqua"/>
          <w:i/>
          <w:iCs/>
          <w:color w:val="000000"/>
        </w:rPr>
        <w:t>J Clin Oncol</w:t>
      </w:r>
      <w:r w:rsidRPr="00CF1A02">
        <w:rPr>
          <w:rFonts w:ascii="Book Antiqua" w:eastAsia="Book Antiqua" w:hAnsi="Book Antiqua" w:cs="Book Antiqua"/>
          <w:color w:val="000000"/>
        </w:rPr>
        <w:t xml:space="preserve"> 2007; </w:t>
      </w:r>
      <w:r w:rsidRPr="00CF1A02">
        <w:rPr>
          <w:rFonts w:ascii="Book Antiqua" w:eastAsia="Book Antiqua" w:hAnsi="Book Antiqua" w:cs="Book Antiqua"/>
          <w:b/>
          <w:bCs/>
          <w:color w:val="000000"/>
        </w:rPr>
        <w:t>25</w:t>
      </w:r>
      <w:r w:rsidRPr="00CF1A02">
        <w:rPr>
          <w:rFonts w:ascii="Book Antiqua" w:eastAsia="Book Antiqua" w:hAnsi="Book Antiqua" w:cs="Book Antiqua"/>
          <w:color w:val="000000"/>
        </w:rPr>
        <w:t>: 4379-4386 [PMID: 17906203 DOI: 10.1200/JCO.2007.11.9685]</w:t>
      </w:r>
    </w:p>
    <w:p w14:paraId="56218066"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6 </w:t>
      </w:r>
      <w:r w:rsidRPr="00CF1A02">
        <w:rPr>
          <w:rFonts w:ascii="Book Antiqua" w:eastAsia="Book Antiqua" w:hAnsi="Book Antiqua" w:cs="Book Antiqua"/>
          <w:b/>
          <w:bCs/>
          <w:color w:val="000000"/>
        </w:rPr>
        <w:t>Park IJ</w:t>
      </w:r>
      <w:r w:rsidRPr="00CF1A02">
        <w:rPr>
          <w:rFonts w:ascii="Book Antiqua" w:eastAsia="Book Antiqua" w:hAnsi="Book Antiqua" w:cs="Book Antiqua"/>
          <w:color w:val="000000"/>
        </w:rPr>
        <w:t xml:space="preserve">, You YN, Agarwal A, Skibber JM, Rodriguez-Bigas MA, Eng C, Feig BW, Das P, Krishnan S, Crane CH, Hu CY, Chang GJ. Neoadjuvant treatment response as an early response indicator for patients with rectal cancer. </w:t>
      </w:r>
      <w:r w:rsidRPr="00CF1A02">
        <w:rPr>
          <w:rFonts w:ascii="Book Antiqua" w:eastAsia="Book Antiqua" w:hAnsi="Book Antiqua" w:cs="Book Antiqua"/>
          <w:i/>
          <w:iCs/>
          <w:color w:val="000000"/>
        </w:rPr>
        <w:t>J Clin Oncol</w:t>
      </w:r>
      <w:r w:rsidRPr="00CF1A02">
        <w:rPr>
          <w:rFonts w:ascii="Book Antiqua" w:eastAsia="Book Antiqua" w:hAnsi="Book Antiqua" w:cs="Book Antiqua"/>
          <w:color w:val="000000"/>
        </w:rPr>
        <w:t xml:space="preserve"> 2012; </w:t>
      </w:r>
      <w:r w:rsidRPr="00CF1A02">
        <w:rPr>
          <w:rFonts w:ascii="Book Antiqua" w:eastAsia="Book Antiqua" w:hAnsi="Book Antiqua" w:cs="Book Antiqua"/>
          <w:b/>
          <w:bCs/>
          <w:color w:val="000000"/>
        </w:rPr>
        <w:t>30</w:t>
      </w:r>
      <w:r w:rsidRPr="00CF1A02">
        <w:rPr>
          <w:rFonts w:ascii="Book Antiqua" w:eastAsia="Book Antiqua" w:hAnsi="Book Antiqua" w:cs="Book Antiqua"/>
          <w:color w:val="000000"/>
        </w:rPr>
        <w:t>: 1770-1776 [PMID: 22493423 DOI: 10.1200/JCO.2011.39.7901]</w:t>
      </w:r>
    </w:p>
    <w:p w14:paraId="5E47B8D9"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7 </w:t>
      </w:r>
      <w:r w:rsidRPr="00CF1A02">
        <w:rPr>
          <w:rFonts w:ascii="Book Antiqua" w:eastAsia="Book Antiqua" w:hAnsi="Book Antiqua" w:cs="Book Antiqua"/>
          <w:b/>
          <w:bCs/>
          <w:color w:val="000000"/>
        </w:rPr>
        <w:t>Restivo A</w:t>
      </w:r>
      <w:r w:rsidRPr="00CF1A02">
        <w:rPr>
          <w:rFonts w:ascii="Book Antiqua" w:eastAsia="Book Antiqua" w:hAnsi="Book Antiqua" w:cs="Book Antiqua"/>
          <w:color w:val="000000"/>
        </w:rPr>
        <w:t xml:space="preserve">, Zorcolo L, Cocco IM, Manunza R, Margiani C, Marongiu L, Casula G. Elevated CEA levels and low distance of the tumor from the anal verge are predictors of incomplete response to chemoradiation in patients with rectal cancer. </w:t>
      </w:r>
      <w:r w:rsidRPr="00CF1A02">
        <w:rPr>
          <w:rFonts w:ascii="Book Antiqua" w:eastAsia="Book Antiqua" w:hAnsi="Book Antiqua" w:cs="Book Antiqua"/>
          <w:i/>
          <w:iCs/>
          <w:color w:val="000000"/>
        </w:rPr>
        <w:t>Ann Surg Oncol</w:t>
      </w:r>
      <w:r w:rsidRPr="00CF1A02">
        <w:rPr>
          <w:rFonts w:ascii="Book Antiqua" w:eastAsia="Book Antiqua" w:hAnsi="Book Antiqua" w:cs="Book Antiqua"/>
          <w:color w:val="000000"/>
        </w:rPr>
        <w:t xml:space="preserve"> 2013; </w:t>
      </w:r>
      <w:r w:rsidRPr="00CF1A02">
        <w:rPr>
          <w:rFonts w:ascii="Book Antiqua" w:eastAsia="Book Antiqua" w:hAnsi="Book Antiqua" w:cs="Book Antiqua"/>
          <w:b/>
          <w:bCs/>
          <w:color w:val="000000"/>
        </w:rPr>
        <w:t>20</w:t>
      </w:r>
      <w:r w:rsidRPr="00CF1A02">
        <w:rPr>
          <w:rFonts w:ascii="Book Antiqua" w:eastAsia="Book Antiqua" w:hAnsi="Book Antiqua" w:cs="Book Antiqua"/>
          <w:color w:val="000000"/>
        </w:rPr>
        <w:t>: 864-871 [PMID: 23010737 DOI: 10.1245/s10434-012-2669-8]</w:t>
      </w:r>
    </w:p>
    <w:p w14:paraId="008B36FA"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8 </w:t>
      </w:r>
      <w:r w:rsidRPr="00CF1A02">
        <w:rPr>
          <w:rFonts w:ascii="Book Antiqua" w:eastAsia="Book Antiqua" w:hAnsi="Book Antiqua" w:cs="Book Antiqua"/>
          <w:b/>
          <w:bCs/>
          <w:color w:val="000000"/>
        </w:rPr>
        <w:t>Huh JW</w:t>
      </w:r>
      <w:r w:rsidRPr="00CF1A02">
        <w:rPr>
          <w:rFonts w:ascii="Book Antiqua" w:eastAsia="Book Antiqua" w:hAnsi="Book Antiqua" w:cs="Book Antiqua"/>
          <w:color w:val="000000"/>
        </w:rPr>
        <w:t xml:space="preserve">, Kim HR, Kim YJ. Clinical prediction of pathological complete response after preoperative chemoradiotherapy for rectal cancer. </w:t>
      </w:r>
      <w:r w:rsidRPr="00CF1A02">
        <w:rPr>
          <w:rFonts w:ascii="Book Antiqua" w:eastAsia="Book Antiqua" w:hAnsi="Book Antiqua" w:cs="Book Antiqua"/>
          <w:i/>
          <w:iCs/>
          <w:color w:val="000000"/>
        </w:rPr>
        <w:t>Dis Colon Rectum</w:t>
      </w:r>
      <w:r w:rsidRPr="00CF1A02">
        <w:rPr>
          <w:rFonts w:ascii="Book Antiqua" w:eastAsia="Book Antiqua" w:hAnsi="Book Antiqua" w:cs="Book Antiqua"/>
          <w:color w:val="000000"/>
        </w:rPr>
        <w:t xml:space="preserve"> 2013; </w:t>
      </w:r>
      <w:r w:rsidRPr="00CF1A02">
        <w:rPr>
          <w:rFonts w:ascii="Book Antiqua" w:eastAsia="Book Antiqua" w:hAnsi="Book Antiqua" w:cs="Book Antiqua"/>
          <w:b/>
          <w:bCs/>
          <w:color w:val="000000"/>
        </w:rPr>
        <w:t>56</w:t>
      </w:r>
      <w:r w:rsidRPr="00CF1A02">
        <w:rPr>
          <w:rFonts w:ascii="Book Antiqua" w:eastAsia="Book Antiqua" w:hAnsi="Book Antiqua" w:cs="Book Antiqua"/>
          <w:color w:val="000000"/>
        </w:rPr>
        <w:t>: 698-703 [PMID: 23652742 DOI: 10.1097/DCR.0b013e3182837e5b]</w:t>
      </w:r>
    </w:p>
    <w:p w14:paraId="77C8B5A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9 </w:t>
      </w:r>
      <w:r w:rsidRPr="00CF1A02">
        <w:rPr>
          <w:rFonts w:ascii="Book Antiqua" w:eastAsia="Book Antiqua" w:hAnsi="Book Antiqua" w:cs="Book Antiqua"/>
          <w:b/>
          <w:bCs/>
          <w:color w:val="000000"/>
        </w:rPr>
        <w:t>Wallin U</w:t>
      </w:r>
      <w:r w:rsidRPr="00CF1A02">
        <w:rPr>
          <w:rFonts w:ascii="Book Antiqua" w:eastAsia="Book Antiqua" w:hAnsi="Book Antiqua" w:cs="Book Antiqua"/>
          <w:color w:val="000000"/>
        </w:rPr>
        <w:t xml:space="preserve">, Rothenberger D, Lowry A, Luepker R, Mellgren A. CEA - a predictor for pathologic complete response after neoadjuvant therapy for rectal cancer. </w:t>
      </w:r>
      <w:r w:rsidRPr="00CF1A02">
        <w:rPr>
          <w:rFonts w:ascii="Book Antiqua" w:eastAsia="Book Antiqua" w:hAnsi="Book Antiqua" w:cs="Book Antiqua"/>
          <w:i/>
          <w:iCs/>
          <w:color w:val="000000"/>
        </w:rPr>
        <w:t>Dis Colon Rectum</w:t>
      </w:r>
      <w:r w:rsidRPr="00CF1A02">
        <w:rPr>
          <w:rFonts w:ascii="Book Antiqua" w:eastAsia="Book Antiqua" w:hAnsi="Book Antiqua" w:cs="Book Antiqua"/>
          <w:color w:val="000000"/>
        </w:rPr>
        <w:t xml:space="preserve"> 2013; </w:t>
      </w:r>
      <w:r w:rsidRPr="00CF1A02">
        <w:rPr>
          <w:rFonts w:ascii="Book Antiqua" w:eastAsia="Book Antiqua" w:hAnsi="Book Antiqua" w:cs="Book Antiqua"/>
          <w:b/>
          <w:bCs/>
          <w:color w:val="000000"/>
        </w:rPr>
        <w:t>56</w:t>
      </w:r>
      <w:r w:rsidRPr="00CF1A02">
        <w:rPr>
          <w:rFonts w:ascii="Book Antiqua" w:eastAsia="Book Antiqua" w:hAnsi="Book Antiqua" w:cs="Book Antiqua"/>
          <w:color w:val="000000"/>
        </w:rPr>
        <w:t>: 859-868 [PMID: 23739192 DOI: 10.1097/DCR.0b013e31828e5a72]</w:t>
      </w:r>
    </w:p>
    <w:p w14:paraId="69ED1D7B"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10 </w:t>
      </w:r>
      <w:r w:rsidRPr="00CF1A02">
        <w:rPr>
          <w:rFonts w:ascii="Book Antiqua" w:eastAsia="Book Antiqua" w:hAnsi="Book Antiqua" w:cs="Book Antiqua"/>
          <w:b/>
          <w:bCs/>
          <w:color w:val="000000"/>
        </w:rPr>
        <w:t>Kleiman A</w:t>
      </w:r>
      <w:r w:rsidRPr="00CF1A02">
        <w:rPr>
          <w:rFonts w:ascii="Book Antiqua" w:eastAsia="Book Antiqua" w:hAnsi="Book Antiqua" w:cs="Book Antiqua"/>
          <w:color w:val="000000"/>
        </w:rPr>
        <w:t xml:space="preserve">, Al-Khamis A, Farsi A, Kezouh A, Vuong T, Gordon PH, Vasilevsky CA, Morin N, Faria J, Ghitulescu G, Boutros M. Normalization of CEA Levels Post-Neoadjuvant Therapy is a Strong Predictor of Pathologic Complete Response in Rectal Cancer. </w:t>
      </w:r>
      <w:r w:rsidRPr="00CF1A02">
        <w:rPr>
          <w:rFonts w:ascii="Book Antiqua" w:eastAsia="Book Antiqua" w:hAnsi="Book Antiqua" w:cs="Book Antiqua"/>
          <w:i/>
          <w:iCs/>
          <w:color w:val="000000"/>
        </w:rPr>
        <w:t>J Gastrointest Surg</w:t>
      </w:r>
      <w:r w:rsidRPr="00CF1A02">
        <w:rPr>
          <w:rFonts w:ascii="Book Antiqua" w:eastAsia="Book Antiqua" w:hAnsi="Book Antiqua" w:cs="Book Antiqua"/>
          <w:color w:val="000000"/>
        </w:rPr>
        <w:t xml:space="preserve"> 2015; </w:t>
      </w:r>
      <w:r w:rsidRPr="00CF1A02">
        <w:rPr>
          <w:rFonts w:ascii="Book Antiqua" w:eastAsia="Book Antiqua" w:hAnsi="Book Antiqua" w:cs="Book Antiqua"/>
          <w:b/>
          <w:bCs/>
          <w:color w:val="000000"/>
        </w:rPr>
        <w:t>19</w:t>
      </w:r>
      <w:r w:rsidRPr="00CF1A02">
        <w:rPr>
          <w:rFonts w:ascii="Book Antiqua" w:eastAsia="Book Antiqua" w:hAnsi="Book Antiqua" w:cs="Book Antiqua"/>
          <w:color w:val="000000"/>
        </w:rPr>
        <w:t>: 1106-1112 [PMID: 25859755 DOI: 10.1007/s11605-015-2814-3]</w:t>
      </w:r>
    </w:p>
    <w:p w14:paraId="4890F962"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11 </w:t>
      </w:r>
      <w:r w:rsidRPr="00CF1A02">
        <w:rPr>
          <w:rFonts w:ascii="Book Antiqua" w:eastAsia="Book Antiqua" w:hAnsi="Book Antiqua" w:cs="Book Antiqua"/>
          <w:b/>
          <w:bCs/>
          <w:color w:val="000000"/>
        </w:rPr>
        <w:t>Hu H</w:t>
      </w:r>
      <w:r w:rsidRPr="00CF1A02">
        <w:rPr>
          <w:rFonts w:ascii="Book Antiqua" w:eastAsia="Book Antiqua" w:hAnsi="Book Antiqua" w:cs="Book Antiqua"/>
          <w:color w:val="000000"/>
        </w:rPr>
        <w:t xml:space="preserve">, Huang J, Lan P, Wang L, Huang M, Wang J, Deng Y. CEA clearance pattern as a predictor of tumor response to neoadjuvant treatment in rectal cancer: a post-hoc analysis of FOWARC trial. </w:t>
      </w:r>
      <w:r w:rsidRPr="00CF1A02">
        <w:rPr>
          <w:rFonts w:ascii="Book Antiqua" w:eastAsia="Book Antiqua" w:hAnsi="Book Antiqua" w:cs="Book Antiqua"/>
          <w:i/>
          <w:iCs/>
          <w:color w:val="000000"/>
        </w:rPr>
        <w:t>BMC Cancer</w:t>
      </w:r>
      <w:r w:rsidRPr="00CF1A02">
        <w:rPr>
          <w:rFonts w:ascii="Book Antiqua" w:eastAsia="Book Antiqua" w:hAnsi="Book Antiqua" w:cs="Book Antiqua"/>
          <w:color w:val="000000"/>
        </w:rPr>
        <w:t xml:space="preserve"> 2018; </w:t>
      </w:r>
      <w:r w:rsidRPr="00CF1A02">
        <w:rPr>
          <w:rFonts w:ascii="Book Antiqua" w:eastAsia="Book Antiqua" w:hAnsi="Book Antiqua" w:cs="Book Antiqua"/>
          <w:b/>
          <w:bCs/>
          <w:color w:val="000000"/>
        </w:rPr>
        <w:t>18</w:t>
      </w:r>
      <w:r w:rsidRPr="00CF1A02">
        <w:rPr>
          <w:rFonts w:ascii="Book Antiqua" w:eastAsia="Book Antiqua" w:hAnsi="Book Antiqua" w:cs="Book Antiqua"/>
          <w:color w:val="000000"/>
        </w:rPr>
        <w:t>: 1145 [PMID: 30458734 DOI: 10.1186/s12885-018-4997-y]</w:t>
      </w:r>
    </w:p>
    <w:p w14:paraId="7CBC0E8C"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12 </w:t>
      </w:r>
      <w:r w:rsidRPr="00CF1A02">
        <w:rPr>
          <w:rFonts w:ascii="Book Antiqua" w:eastAsia="Book Antiqua" w:hAnsi="Book Antiqua" w:cs="Book Antiqua"/>
          <w:b/>
          <w:bCs/>
          <w:color w:val="000000"/>
        </w:rPr>
        <w:t>Yamamoto A</w:t>
      </w:r>
      <w:r w:rsidRPr="00CF1A02">
        <w:rPr>
          <w:rFonts w:ascii="Book Antiqua" w:eastAsia="Book Antiqua" w:hAnsi="Book Antiqua" w:cs="Book Antiqua"/>
          <w:color w:val="000000"/>
        </w:rPr>
        <w:t xml:space="preserve">, Toiyama Y, Okugawa Y, Oki S, Ide S, Saigusa S, Araki T, Kusunoki M. Clinical Implications of Pretreatment: Lymphocyte-to-Monocyte Ratio in Patients With Rectal Cancer Receiving Preoperative Chemoradiotherapy. </w:t>
      </w:r>
      <w:r w:rsidRPr="00CF1A02">
        <w:rPr>
          <w:rFonts w:ascii="Book Antiqua" w:eastAsia="Book Antiqua" w:hAnsi="Book Antiqua" w:cs="Book Antiqua"/>
          <w:i/>
          <w:iCs/>
          <w:color w:val="000000"/>
        </w:rPr>
        <w:t>Dis Colon Rectum</w:t>
      </w:r>
      <w:r w:rsidRPr="00CF1A02">
        <w:rPr>
          <w:rFonts w:ascii="Book Antiqua" w:eastAsia="Book Antiqua" w:hAnsi="Book Antiqua" w:cs="Book Antiqua"/>
          <w:color w:val="000000"/>
        </w:rPr>
        <w:t xml:space="preserve"> 2019; </w:t>
      </w:r>
      <w:r w:rsidRPr="00CF1A02">
        <w:rPr>
          <w:rFonts w:ascii="Book Antiqua" w:eastAsia="Book Antiqua" w:hAnsi="Book Antiqua" w:cs="Book Antiqua"/>
          <w:b/>
          <w:bCs/>
          <w:color w:val="000000"/>
        </w:rPr>
        <w:t>62</w:t>
      </w:r>
      <w:r w:rsidRPr="00CF1A02">
        <w:rPr>
          <w:rFonts w:ascii="Book Antiqua" w:eastAsia="Book Antiqua" w:hAnsi="Book Antiqua" w:cs="Book Antiqua"/>
          <w:color w:val="000000"/>
        </w:rPr>
        <w:t>: 171-180 [PMID: 30451750 DOI: 10.1097/DCR.0000000000001245]</w:t>
      </w:r>
    </w:p>
    <w:p w14:paraId="55870AEB"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13 </w:t>
      </w:r>
      <w:r w:rsidRPr="00CF1A02">
        <w:rPr>
          <w:rFonts w:ascii="Book Antiqua" w:eastAsia="Book Antiqua" w:hAnsi="Book Antiqua" w:cs="Book Antiqua"/>
          <w:b/>
          <w:bCs/>
          <w:color w:val="000000"/>
        </w:rPr>
        <w:t>Ryan R</w:t>
      </w:r>
      <w:r w:rsidRPr="00CF1A02">
        <w:rPr>
          <w:rFonts w:ascii="Book Antiqua" w:eastAsia="Book Antiqua" w:hAnsi="Book Antiqua" w:cs="Book Antiqua"/>
          <w:color w:val="000000"/>
        </w:rPr>
        <w:t xml:space="preserve">, Gibbons D, Hyland JM, Treanor D, White A, Mulcahy HE, O'Donoghue DP, Moriarty M, Fennelly D, Sheahan K. Pathological response following long-course neoadjuvant chemoradiotherapy for locally advanced rectal cancer. </w:t>
      </w:r>
      <w:r w:rsidRPr="00CF1A02">
        <w:rPr>
          <w:rFonts w:ascii="Book Antiqua" w:eastAsia="Book Antiqua" w:hAnsi="Book Antiqua" w:cs="Book Antiqua"/>
          <w:i/>
          <w:iCs/>
          <w:color w:val="000000"/>
        </w:rPr>
        <w:t>Histopathology</w:t>
      </w:r>
      <w:r w:rsidRPr="00CF1A02">
        <w:rPr>
          <w:rFonts w:ascii="Book Antiqua" w:eastAsia="Book Antiqua" w:hAnsi="Book Antiqua" w:cs="Book Antiqua"/>
          <w:color w:val="000000"/>
        </w:rPr>
        <w:t xml:space="preserve"> 2005; </w:t>
      </w:r>
      <w:r w:rsidRPr="00CF1A02">
        <w:rPr>
          <w:rFonts w:ascii="Book Antiqua" w:eastAsia="Book Antiqua" w:hAnsi="Book Antiqua" w:cs="Book Antiqua"/>
          <w:b/>
          <w:bCs/>
          <w:color w:val="000000"/>
        </w:rPr>
        <w:t>47</w:t>
      </w:r>
      <w:r w:rsidRPr="00CF1A02">
        <w:rPr>
          <w:rFonts w:ascii="Book Antiqua" w:eastAsia="Book Antiqua" w:hAnsi="Book Antiqua" w:cs="Book Antiqua"/>
          <w:color w:val="000000"/>
        </w:rPr>
        <w:t>: 141-146 [PMID: 16045774 DOI: 10.1111/j.1365-2559.2005.02176.x]</w:t>
      </w:r>
    </w:p>
    <w:p w14:paraId="38BAAF2A"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14 </w:t>
      </w:r>
      <w:r w:rsidRPr="00CF1A02">
        <w:rPr>
          <w:rFonts w:ascii="Book Antiqua" w:eastAsia="Book Antiqua" w:hAnsi="Book Antiqua" w:cs="Book Antiqua"/>
          <w:b/>
          <w:bCs/>
          <w:color w:val="000000"/>
        </w:rPr>
        <w:t>Kim SH</w:t>
      </w:r>
      <w:r w:rsidRPr="00CF1A02">
        <w:rPr>
          <w:rFonts w:ascii="Book Antiqua" w:eastAsia="Book Antiqua" w:hAnsi="Book Antiqua" w:cs="Book Antiqua"/>
          <w:color w:val="000000"/>
        </w:rPr>
        <w:t xml:space="preserve">, Chang HJ, Kim DY, Park JW, Baek JY, Kim SY, Park SC, Oh JH, Yu A, Nam BH. What Is the Ideal Tumor Regression Grading System in Rectal Cancer Patients after Preoperative Chemoradiotherapy? </w:t>
      </w:r>
      <w:r w:rsidRPr="00CF1A02">
        <w:rPr>
          <w:rFonts w:ascii="Book Antiqua" w:eastAsia="Book Antiqua" w:hAnsi="Book Antiqua" w:cs="Book Antiqua"/>
          <w:i/>
          <w:iCs/>
          <w:color w:val="000000"/>
        </w:rPr>
        <w:t>Cancer Res Treat</w:t>
      </w:r>
      <w:r w:rsidRPr="00CF1A02">
        <w:rPr>
          <w:rFonts w:ascii="Book Antiqua" w:eastAsia="Book Antiqua" w:hAnsi="Book Antiqua" w:cs="Book Antiqua"/>
          <w:color w:val="000000"/>
        </w:rPr>
        <w:t xml:space="preserve"> 2016; </w:t>
      </w:r>
      <w:r w:rsidRPr="00CF1A02">
        <w:rPr>
          <w:rFonts w:ascii="Book Antiqua" w:eastAsia="Book Antiqua" w:hAnsi="Book Antiqua" w:cs="Book Antiqua"/>
          <w:b/>
          <w:bCs/>
          <w:color w:val="000000"/>
        </w:rPr>
        <w:t>48</w:t>
      </w:r>
      <w:r w:rsidRPr="00CF1A02">
        <w:rPr>
          <w:rFonts w:ascii="Book Antiqua" w:eastAsia="Book Antiqua" w:hAnsi="Book Antiqua" w:cs="Book Antiqua"/>
          <w:color w:val="000000"/>
        </w:rPr>
        <w:t>: 998-1009 [PMID: 26511803 DOI: 10.4143/crt.2015.254]</w:t>
      </w:r>
    </w:p>
    <w:p w14:paraId="6CDEB745"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15 </w:t>
      </w:r>
      <w:r w:rsidRPr="00CF1A02">
        <w:rPr>
          <w:rFonts w:ascii="Book Antiqua" w:eastAsia="Book Antiqua" w:hAnsi="Book Antiqua" w:cs="Book Antiqua"/>
          <w:b/>
          <w:bCs/>
          <w:color w:val="000000"/>
        </w:rPr>
        <w:t>Gold P</w:t>
      </w:r>
      <w:r w:rsidRPr="00CF1A02">
        <w:rPr>
          <w:rFonts w:ascii="Book Antiqua" w:eastAsia="Book Antiqua" w:hAnsi="Book Antiqua" w:cs="Book Antiqua"/>
          <w:color w:val="000000"/>
        </w:rPr>
        <w:t xml:space="preserve">, Freedman SO. Specific carcinoembryonic antigens of the human digestive system. </w:t>
      </w:r>
      <w:r w:rsidRPr="00CF1A02">
        <w:rPr>
          <w:rFonts w:ascii="Book Antiqua" w:eastAsia="Book Antiqua" w:hAnsi="Book Antiqua" w:cs="Book Antiqua"/>
          <w:i/>
          <w:iCs/>
          <w:color w:val="000000"/>
        </w:rPr>
        <w:t>J Exp Med</w:t>
      </w:r>
      <w:r w:rsidRPr="00CF1A02">
        <w:rPr>
          <w:rFonts w:ascii="Book Antiqua" w:eastAsia="Book Antiqua" w:hAnsi="Book Antiqua" w:cs="Book Antiqua"/>
          <w:color w:val="000000"/>
        </w:rPr>
        <w:t xml:space="preserve"> 1965; </w:t>
      </w:r>
      <w:r w:rsidRPr="00CF1A02">
        <w:rPr>
          <w:rFonts w:ascii="Book Antiqua" w:eastAsia="Book Antiqua" w:hAnsi="Book Antiqua" w:cs="Book Antiqua"/>
          <w:b/>
          <w:bCs/>
          <w:color w:val="000000"/>
        </w:rPr>
        <w:t>122</w:t>
      </w:r>
      <w:r w:rsidRPr="00CF1A02">
        <w:rPr>
          <w:rFonts w:ascii="Book Antiqua" w:eastAsia="Book Antiqua" w:hAnsi="Book Antiqua" w:cs="Book Antiqua"/>
          <w:color w:val="000000"/>
        </w:rPr>
        <w:t>: 467-481 [PMID: 4953873 DOI: 10.1084/jem.122.3.467]</w:t>
      </w:r>
    </w:p>
    <w:p w14:paraId="3729CA2D"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16 </w:t>
      </w:r>
      <w:r w:rsidRPr="00CF1A02">
        <w:rPr>
          <w:rFonts w:ascii="Book Antiqua" w:eastAsia="Book Antiqua" w:hAnsi="Book Antiqua" w:cs="Book Antiqua"/>
          <w:b/>
          <w:bCs/>
          <w:color w:val="000000"/>
        </w:rPr>
        <w:t>Locker GY</w:t>
      </w:r>
      <w:r w:rsidRPr="00CF1A02">
        <w:rPr>
          <w:rFonts w:ascii="Book Antiqua" w:eastAsia="Book Antiqua" w:hAnsi="Book Antiqua" w:cs="Book Antiqua"/>
          <w:color w:val="000000"/>
        </w:rPr>
        <w:t xml:space="preserve">, Hamilton S, Harris J, Jessup JM, Kemeny N, Macdonald JS, Somerfield MR, Hayes DF, Bast RC Jr; ASCO. ASCO 2006 update of recommendations for the use of tumor markers in gastrointestinal cancer. </w:t>
      </w:r>
      <w:r w:rsidRPr="00CF1A02">
        <w:rPr>
          <w:rFonts w:ascii="Book Antiqua" w:eastAsia="Book Antiqua" w:hAnsi="Book Antiqua" w:cs="Book Antiqua"/>
          <w:i/>
          <w:iCs/>
          <w:color w:val="000000"/>
        </w:rPr>
        <w:t>J Clin Oncol</w:t>
      </w:r>
      <w:r w:rsidRPr="00CF1A02">
        <w:rPr>
          <w:rFonts w:ascii="Book Antiqua" w:eastAsia="Book Antiqua" w:hAnsi="Book Antiqua" w:cs="Book Antiqua"/>
          <w:color w:val="000000"/>
        </w:rPr>
        <w:t xml:space="preserve"> 2006; </w:t>
      </w:r>
      <w:r w:rsidRPr="00CF1A02">
        <w:rPr>
          <w:rFonts w:ascii="Book Antiqua" w:eastAsia="Book Antiqua" w:hAnsi="Book Antiqua" w:cs="Book Antiqua"/>
          <w:b/>
          <w:bCs/>
          <w:color w:val="000000"/>
        </w:rPr>
        <w:t>24</w:t>
      </w:r>
      <w:r w:rsidRPr="00CF1A02">
        <w:rPr>
          <w:rFonts w:ascii="Book Antiqua" w:eastAsia="Book Antiqua" w:hAnsi="Book Antiqua" w:cs="Book Antiqua"/>
          <w:color w:val="000000"/>
        </w:rPr>
        <w:t>: 5313-5327 [PMID: 17060676 DOI: 10.1200/JCO.2006.08.2644]</w:t>
      </w:r>
    </w:p>
    <w:p w14:paraId="593E00C7"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17 </w:t>
      </w:r>
      <w:r w:rsidRPr="00CF1A02">
        <w:rPr>
          <w:rFonts w:ascii="Book Antiqua" w:eastAsia="Book Antiqua" w:hAnsi="Book Antiqua" w:cs="Book Antiqua"/>
          <w:b/>
          <w:bCs/>
          <w:color w:val="000000"/>
        </w:rPr>
        <w:t>Labianca R</w:t>
      </w:r>
      <w:r w:rsidRPr="00CF1A02">
        <w:rPr>
          <w:rFonts w:ascii="Book Antiqua" w:eastAsia="Book Antiqua" w:hAnsi="Book Antiqua" w:cs="Book Antiqua"/>
          <w:color w:val="000000"/>
        </w:rPr>
        <w:t xml:space="preserve">, Nordlinger B, Beretta GD, Brouquet A, Cervantes A; ESMO Guidelines Working Group. Primary colon cancer: ESMO Clinical Practice Guidelines for diagnosis, adjuvant treatment and follow-up. </w:t>
      </w:r>
      <w:r w:rsidRPr="00CF1A02">
        <w:rPr>
          <w:rFonts w:ascii="Book Antiqua" w:eastAsia="Book Antiqua" w:hAnsi="Book Antiqua" w:cs="Book Antiqua"/>
          <w:i/>
          <w:iCs/>
          <w:color w:val="000000"/>
        </w:rPr>
        <w:t>Ann Oncol</w:t>
      </w:r>
      <w:r w:rsidRPr="00CF1A02">
        <w:rPr>
          <w:rFonts w:ascii="Book Antiqua" w:eastAsia="Book Antiqua" w:hAnsi="Book Antiqua" w:cs="Book Antiqua"/>
          <w:color w:val="000000"/>
        </w:rPr>
        <w:t xml:space="preserve"> 2010; </w:t>
      </w:r>
      <w:r w:rsidRPr="00CF1A02">
        <w:rPr>
          <w:rFonts w:ascii="Book Antiqua" w:eastAsia="Book Antiqua" w:hAnsi="Book Antiqua" w:cs="Book Antiqua"/>
          <w:b/>
          <w:bCs/>
          <w:color w:val="000000"/>
        </w:rPr>
        <w:t>21 Suppl 5</w:t>
      </w:r>
      <w:r w:rsidRPr="00CF1A02">
        <w:rPr>
          <w:rFonts w:ascii="Book Antiqua" w:eastAsia="Book Antiqua" w:hAnsi="Book Antiqua" w:cs="Book Antiqua"/>
          <w:color w:val="000000"/>
        </w:rPr>
        <w:t>: v70-v77 [PMID: 20555107 DOI: 10.1093/annonc/mdq168]</w:t>
      </w:r>
    </w:p>
    <w:p w14:paraId="3AB0C9BB"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18 </w:t>
      </w:r>
      <w:r w:rsidRPr="00CF1A02">
        <w:rPr>
          <w:rFonts w:ascii="Book Antiqua" w:eastAsia="Book Antiqua" w:hAnsi="Book Antiqua" w:cs="Book Antiqua"/>
          <w:b/>
          <w:bCs/>
          <w:color w:val="000000"/>
        </w:rPr>
        <w:t>Park YA</w:t>
      </w:r>
      <w:r w:rsidRPr="00CF1A02">
        <w:rPr>
          <w:rFonts w:ascii="Book Antiqua" w:eastAsia="Book Antiqua" w:hAnsi="Book Antiqua" w:cs="Book Antiqua"/>
          <w:color w:val="000000"/>
        </w:rPr>
        <w:t xml:space="preserve">, Lee KY, Kim NK, Baik SH, Sohn SK, Cho CW. Prognostic effect of perioperative change of serum carcinoembryonic antigen level: a useful tool for detection of systemic recurrence in rectal cancer. </w:t>
      </w:r>
      <w:r w:rsidRPr="00CF1A02">
        <w:rPr>
          <w:rFonts w:ascii="Book Antiqua" w:eastAsia="Book Antiqua" w:hAnsi="Book Antiqua" w:cs="Book Antiqua"/>
          <w:i/>
          <w:iCs/>
          <w:color w:val="000000"/>
        </w:rPr>
        <w:t>Ann Surg Oncol</w:t>
      </w:r>
      <w:r w:rsidRPr="00CF1A02">
        <w:rPr>
          <w:rFonts w:ascii="Book Antiqua" w:eastAsia="Book Antiqua" w:hAnsi="Book Antiqua" w:cs="Book Antiqua"/>
          <w:color w:val="000000"/>
        </w:rPr>
        <w:t xml:space="preserve"> 2006; </w:t>
      </w:r>
      <w:r w:rsidRPr="00CF1A02">
        <w:rPr>
          <w:rFonts w:ascii="Book Antiqua" w:eastAsia="Book Antiqua" w:hAnsi="Book Antiqua" w:cs="Book Antiqua"/>
          <w:b/>
          <w:bCs/>
          <w:color w:val="000000"/>
        </w:rPr>
        <w:t>13</w:t>
      </w:r>
      <w:r w:rsidRPr="00CF1A02">
        <w:rPr>
          <w:rFonts w:ascii="Book Antiqua" w:eastAsia="Book Antiqua" w:hAnsi="Book Antiqua" w:cs="Book Antiqua"/>
          <w:color w:val="000000"/>
        </w:rPr>
        <w:t>: 645-650 [PMID: 16538413 DOI: 10.1245/ASO.2006.03.090]</w:t>
      </w:r>
    </w:p>
    <w:p w14:paraId="2B37D2F1"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19 </w:t>
      </w:r>
      <w:r w:rsidRPr="00CF1A02">
        <w:rPr>
          <w:rFonts w:ascii="Book Antiqua" w:eastAsia="Book Antiqua" w:hAnsi="Book Antiqua" w:cs="Book Antiqua"/>
          <w:b/>
          <w:bCs/>
          <w:color w:val="000000"/>
        </w:rPr>
        <w:t>Wang JY</w:t>
      </w:r>
      <w:r w:rsidRPr="00CF1A02">
        <w:rPr>
          <w:rFonts w:ascii="Book Antiqua" w:eastAsia="Book Antiqua" w:hAnsi="Book Antiqua" w:cs="Book Antiqua"/>
          <w:color w:val="000000"/>
        </w:rPr>
        <w:t xml:space="preserve">, Lu CY, Chu KS, Ma CJ, Wu DC, Tsai HL, Yu FJ, Hsieh JS. Prognostic significance of pre- and postoperative serum carcinoembryonic antigen levels in patients with colorectal cancer. </w:t>
      </w:r>
      <w:r w:rsidRPr="00CF1A02">
        <w:rPr>
          <w:rFonts w:ascii="Book Antiqua" w:eastAsia="Book Antiqua" w:hAnsi="Book Antiqua" w:cs="Book Antiqua"/>
          <w:i/>
          <w:iCs/>
          <w:color w:val="000000"/>
        </w:rPr>
        <w:t>Eur Surg Res</w:t>
      </w:r>
      <w:r w:rsidRPr="00CF1A02">
        <w:rPr>
          <w:rFonts w:ascii="Book Antiqua" w:eastAsia="Book Antiqua" w:hAnsi="Book Antiqua" w:cs="Book Antiqua"/>
          <w:color w:val="000000"/>
        </w:rPr>
        <w:t xml:space="preserve"> 2007; </w:t>
      </w:r>
      <w:r w:rsidRPr="00CF1A02">
        <w:rPr>
          <w:rFonts w:ascii="Book Antiqua" w:eastAsia="Book Antiqua" w:hAnsi="Book Antiqua" w:cs="Book Antiqua"/>
          <w:b/>
          <w:bCs/>
          <w:color w:val="000000"/>
        </w:rPr>
        <w:t>39</w:t>
      </w:r>
      <w:r w:rsidRPr="00CF1A02">
        <w:rPr>
          <w:rFonts w:ascii="Book Antiqua" w:eastAsia="Book Antiqua" w:hAnsi="Book Antiqua" w:cs="Book Antiqua"/>
          <w:color w:val="000000"/>
        </w:rPr>
        <w:t>: 245-250 [PMID: 17457032 DOI: 10.1159/000101952]</w:t>
      </w:r>
    </w:p>
    <w:p w14:paraId="17A43062"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20 </w:t>
      </w:r>
      <w:r w:rsidRPr="00CF1A02">
        <w:rPr>
          <w:rFonts w:ascii="Book Antiqua" w:eastAsia="Book Antiqua" w:hAnsi="Book Antiqua" w:cs="Book Antiqua"/>
          <w:b/>
          <w:bCs/>
          <w:color w:val="000000"/>
        </w:rPr>
        <w:t>Park IJ</w:t>
      </w:r>
      <w:r w:rsidRPr="00CF1A02">
        <w:rPr>
          <w:rFonts w:ascii="Book Antiqua" w:eastAsia="Book Antiqua" w:hAnsi="Book Antiqua" w:cs="Book Antiqua"/>
          <w:color w:val="000000"/>
        </w:rPr>
        <w:t xml:space="preserve">, Choi GS, Lim KH, Kang BM, Jun SH. Serum carcinoembryonic antigen monitoring after curative resection for colorectal cancer: clinical significance of the preoperative level. </w:t>
      </w:r>
      <w:r w:rsidRPr="00CF1A02">
        <w:rPr>
          <w:rFonts w:ascii="Book Antiqua" w:eastAsia="Book Antiqua" w:hAnsi="Book Antiqua" w:cs="Book Antiqua"/>
          <w:i/>
          <w:iCs/>
          <w:color w:val="000000"/>
        </w:rPr>
        <w:t>Ann Surg Oncol</w:t>
      </w:r>
      <w:r w:rsidRPr="00CF1A02">
        <w:rPr>
          <w:rFonts w:ascii="Book Antiqua" w:eastAsia="Book Antiqua" w:hAnsi="Book Antiqua" w:cs="Book Antiqua"/>
          <w:color w:val="000000"/>
        </w:rPr>
        <w:t xml:space="preserve"> 2009; </w:t>
      </w:r>
      <w:r w:rsidRPr="00CF1A02">
        <w:rPr>
          <w:rFonts w:ascii="Book Antiqua" w:eastAsia="Book Antiqua" w:hAnsi="Book Antiqua" w:cs="Book Antiqua"/>
          <w:b/>
          <w:bCs/>
          <w:color w:val="000000"/>
        </w:rPr>
        <w:t>16</w:t>
      </w:r>
      <w:r w:rsidRPr="00CF1A02">
        <w:rPr>
          <w:rFonts w:ascii="Book Antiqua" w:eastAsia="Book Antiqua" w:hAnsi="Book Antiqua" w:cs="Book Antiqua"/>
          <w:color w:val="000000"/>
        </w:rPr>
        <w:t>: 3087-3093 [PMID: 19629600 DOI: 10.1245/s10434-009-0625-z]</w:t>
      </w:r>
    </w:p>
    <w:p w14:paraId="10E0E85C"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21 </w:t>
      </w:r>
      <w:r w:rsidRPr="00CF1A02">
        <w:rPr>
          <w:rFonts w:ascii="Book Antiqua" w:eastAsia="Book Antiqua" w:hAnsi="Book Antiqua" w:cs="Book Antiqua"/>
          <w:b/>
          <w:bCs/>
          <w:color w:val="000000"/>
        </w:rPr>
        <w:t>Habr-Gama A</w:t>
      </w:r>
      <w:r w:rsidRPr="00CF1A02">
        <w:rPr>
          <w:rFonts w:ascii="Book Antiqua" w:eastAsia="Book Antiqua" w:hAnsi="Book Antiqua" w:cs="Book Antiqua"/>
          <w:color w:val="000000"/>
        </w:rPr>
        <w:t xml:space="preserve">, Perez RO, Wynn G, Marks J, Kessler H, Gama-Rodrigues J. Complete clinical response after neoadjuvant chemoradiation therapy for distal rectal cancer: characterization of clinical and endoscopic findings for standardization. </w:t>
      </w:r>
      <w:r w:rsidRPr="00CF1A02">
        <w:rPr>
          <w:rFonts w:ascii="Book Antiqua" w:eastAsia="Book Antiqua" w:hAnsi="Book Antiqua" w:cs="Book Antiqua"/>
          <w:i/>
          <w:iCs/>
          <w:color w:val="000000"/>
        </w:rPr>
        <w:t>Dis Colon Rectum</w:t>
      </w:r>
      <w:r w:rsidRPr="00CF1A02">
        <w:rPr>
          <w:rFonts w:ascii="Book Antiqua" w:eastAsia="Book Antiqua" w:hAnsi="Book Antiqua" w:cs="Book Antiqua"/>
          <w:color w:val="000000"/>
        </w:rPr>
        <w:t xml:space="preserve"> 2010; </w:t>
      </w:r>
      <w:r w:rsidRPr="00CF1A02">
        <w:rPr>
          <w:rFonts w:ascii="Book Antiqua" w:eastAsia="Book Antiqua" w:hAnsi="Book Antiqua" w:cs="Book Antiqua"/>
          <w:b/>
          <w:bCs/>
          <w:color w:val="000000"/>
        </w:rPr>
        <w:t>53</w:t>
      </w:r>
      <w:r w:rsidRPr="00CF1A02">
        <w:rPr>
          <w:rFonts w:ascii="Book Antiqua" w:eastAsia="Book Antiqua" w:hAnsi="Book Antiqua" w:cs="Book Antiqua"/>
          <w:color w:val="000000"/>
        </w:rPr>
        <w:t>: 1692-1698 [PMID: 21178866 DOI: 10.1007/DCR.0b013e3181f42b89]</w:t>
      </w:r>
    </w:p>
    <w:p w14:paraId="1F3ED336"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22 </w:t>
      </w:r>
      <w:r w:rsidRPr="00CF1A02">
        <w:rPr>
          <w:rFonts w:ascii="Book Antiqua" w:eastAsia="Book Antiqua" w:hAnsi="Book Antiqua" w:cs="Book Antiqua"/>
          <w:b/>
          <w:bCs/>
          <w:color w:val="000000"/>
        </w:rPr>
        <w:t>Dreyer SB</w:t>
      </w:r>
      <w:r w:rsidRPr="00CF1A02">
        <w:rPr>
          <w:rFonts w:ascii="Book Antiqua" w:eastAsia="Book Antiqua" w:hAnsi="Book Antiqua" w:cs="Book Antiqua"/>
          <w:color w:val="000000"/>
        </w:rPr>
        <w:t xml:space="preserve">, Powell AG, McSorley ST, Waterston A, Going JJ, Edwards J, McMillan DC, Horgan PG. The Pretreatment Systemic Inflammatory Response is an Important Determinant of Poor Pathologic Response for Patients Undergoing Neoadjuvant Therapy for Rectal Cancer. </w:t>
      </w:r>
      <w:r w:rsidRPr="00CF1A02">
        <w:rPr>
          <w:rFonts w:ascii="Book Antiqua" w:eastAsia="Book Antiqua" w:hAnsi="Book Antiqua" w:cs="Book Antiqua"/>
          <w:i/>
          <w:iCs/>
          <w:color w:val="000000"/>
        </w:rPr>
        <w:t>Ann Surg Oncol</w:t>
      </w:r>
      <w:r w:rsidRPr="00CF1A02">
        <w:rPr>
          <w:rFonts w:ascii="Book Antiqua" w:eastAsia="Book Antiqua" w:hAnsi="Book Antiqua" w:cs="Book Antiqua"/>
          <w:color w:val="000000"/>
        </w:rPr>
        <w:t xml:space="preserve"> 2017; </w:t>
      </w:r>
      <w:r w:rsidRPr="00CF1A02">
        <w:rPr>
          <w:rFonts w:ascii="Book Antiqua" w:eastAsia="Book Antiqua" w:hAnsi="Book Antiqua" w:cs="Book Antiqua"/>
          <w:b/>
          <w:bCs/>
          <w:color w:val="000000"/>
        </w:rPr>
        <w:t>24</w:t>
      </w:r>
      <w:r w:rsidRPr="00CF1A02">
        <w:rPr>
          <w:rFonts w:ascii="Book Antiqua" w:eastAsia="Book Antiqua" w:hAnsi="Book Antiqua" w:cs="Book Antiqua"/>
          <w:color w:val="000000"/>
        </w:rPr>
        <w:t>: 1295-1303 [PMID: 27873100 DOI: 10.1245/s10434-016-5684-3]</w:t>
      </w:r>
    </w:p>
    <w:p w14:paraId="48398486"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23 </w:t>
      </w:r>
      <w:r w:rsidRPr="00CF1A02">
        <w:rPr>
          <w:rFonts w:ascii="Book Antiqua" w:eastAsia="Book Antiqua" w:hAnsi="Book Antiqua" w:cs="Book Antiqua"/>
          <w:b/>
          <w:bCs/>
          <w:color w:val="000000"/>
        </w:rPr>
        <w:t>Heo J</w:t>
      </w:r>
      <w:r w:rsidRPr="00CF1A02">
        <w:rPr>
          <w:rFonts w:ascii="Book Antiqua" w:eastAsia="Book Antiqua" w:hAnsi="Book Antiqua" w:cs="Book Antiqua"/>
          <w:color w:val="000000"/>
        </w:rPr>
        <w:t xml:space="preserve">, Chun M, Noh OK, Oh YT, Suh KW, Park JE, Cho O. Sustaining Blood Lymphocyte Count during Preoperative Chemoradiotherapy as a Predictive Marker for Pathologic Complete Response in Locally Advanced Rectal Cancer. </w:t>
      </w:r>
      <w:r w:rsidRPr="00CF1A02">
        <w:rPr>
          <w:rFonts w:ascii="Book Antiqua" w:eastAsia="Book Antiqua" w:hAnsi="Book Antiqua" w:cs="Book Antiqua"/>
          <w:i/>
          <w:iCs/>
          <w:color w:val="000000"/>
        </w:rPr>
        <w:t>Cancer Res Treat</w:t>
      </w:r>
      <w:r w:rsidRPr="00CF1A02">
        <w:rPr>
          <w:rFonts w:ascii="Book Antiqua" w:eastAsia="Book Antiqua" w:hAnsi="Book Antiqua" w:cs="Book Antiqua"/>
          <w:color w:val="000000"/>
        </w:rPr>
        <w:t xml:space="preserve"> 2016; </w:t>
      </w:r>
      <w:r w:rsidRPr="00CF1A02">
        <w:rPr>
          <w:rFonts w:ascii="Book Antiqua" w:eastAsia="Book Antiqua" w:hAnsi="Book Antiqua" w:cs="Book Antiqua"/>
          <w:b/>
          <w:bCs/>
          <w:color w:val="000000"/>
        </w:rPr>
        <w:t>48</w:t>
      </w:r>
      <w:r w:rsidRPr="00CF1A02">
        <w:rPr>
          <w:rFonts w:ascii="Book Antiqua" w:eastAsia="Book Antiqua" w:hAnsi="Book Antiqua" w:cs="Book Antiqua"/>
          <w:color w:val="000000"/>
        </w:rPr>
        <w:t>: 232-239 [PMID: 25779365 DOI: 10.4143/crt.2014.351]</w:t>
      </w:r>
    </w:p>
    <w:p w14:paraId="619DF49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24 </w:t>
      </w:r>
      <w:r w:rsidRPr="00CF1A02">
        <w:rPr>
          <w:rFonts w:ascii="Book Antiqua" w:eastAsia="Book Antiqua" w:hAnsi="Book Antiqua" w:cs="Book Antiqua"/>
          <w:b/>
          <w:bCs/>
          <w:color w:val="000000"/>
        </w:rPr>
        <w:t>Perez RO</w:t>
      </w:r>
      <w:r w:rsidRPr="00CF1A02">
        <w:rPr>
          <w:rFonts w:ascii="Book Antiqua" w:eastAsia="Book Antiqua" w:hAnsi="Book Antiqua" w:cs="Book Antiqua"/>
          <w:color w:val="000000"/>
        </w:rPr>
        <w:t xml:space="preserve">, São Julião GP, Habr-Gama A, Kiss D, Proscurshim I, Campos FG, Gama-Rodrigues JJ, Cecconello I. The role of carcinoembriogenic antigen in predicting response and survival to neoadjuvant chemoradiotherapy for distal rectal cancer. </w:t>
      </w:r>
      <w:r w:rsidRPr="00CF1A02">
        <w:rPr>
          <w:rFonts w:ascii="Book Antiqua" w:eastAsia="Book Antiqua" w:hAnsi="Book Antiqua" w:cs="Book Antiqua"/>
          <w:i/>
          <w:iCs/>
          <w:color w:val="000000"/>
        </w:rPr>
        <w:t>Dis Colon Rectum</w:t>
      </w:r>
      <w:r w:rsidRPr="00CF1A02">
        <w:rPr>
          <w:rFonts w:ascii="Book Antiqua" w:eastAsia="Book Antiqua" w:hAnsi="Book Antiqua" w:cs="Book Antiqua"/>
          <w:color w:val="000000"/>
        </w:rPr>
        <w:t xml:space="preserve"> 2009; </w:t>
      </w:r>
      <w:r w:rsidRPr="00CF1A02">
        <w:rPr>
          <w:rFonts w:ascii="Book Antiqua" w:eastAsia="Book Antiqua" w:hAnsi="Book Antiqua" w:cs="Book Antiqua"/>
          <w:b/>
          <w:bCs/>
          <w:color w:val="000000"/>
        </w:rPr>
        <w:t>52</w:t>
      </w:r>
      <w:r w:rsidRPr="00CF1A02">
        <w:rPr>
          <w:rFonts w:ascii="Book Antiqua" w:eastAsia="Book Antiqua" w:hAnsi="Book Antiqua" w:cs="Book Antiqua"/>
          <w:color w:val="000000"/>
        </w:rPr>
        <w:t>: 1137-1143 [PMID: 19581858 DOI: 10.1007/DCR.0b013e31819ef76b]</w:t>
      </w:r>
    </w:p>
    <w:p w14:paraId="03BC9AD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25 </w:t>
      </w:r>
      <w:r w:rsidRPr="00CF1A02">
        <w:rPr>
          <w:rFonts w:ascii="Book Antiqua" w:eastAsia="Book Antiqua" w:hAnsi="Book Antiqua" w:cs="Book Antiqua"/>
          <w:b/>
          <w:bCs/>
          <w:color w:val="000000"/>
        </w:rPr>
        <w:t>Ryan JE</w:t>
      </w:r>
      <w:r w:rsidRPr="00CF1A02">
        <w:rPr>
          <w:rFonts w:ascii="Book Antiqua" w:eastAsia="Book Antiqua" w:hAnsi="Book Antiqua" w:cs="Book Antiqua"/>
          <w:color w:val="000000"/>
        </w:rPr>
        <w:t xml:space="preserve">, Warrier SK, Lynch AC, Heriot AG. Assessing pathological complete response to neoadjuvant chemoradiotherapy in locally advanced rectal cancer: a systematic review. </w:t>
      </w:r>
      <w:r w:rsidRPr="00CF1A02">
        <w:rPr>
          <w:rFonts w:ascii="Book Antiqua" w:eastAsia="Book Antiqua" w:hAnsi="Book Antiqua" w:cs="Book Antiqua"/>
          <w:i/>
          <w:iCs/>
          <w:color w:val="000000"/>
        </w:rPr>
        <w:t>Colorectal Dis</w:t>
      </w:r>
      <w:r w:rsidRPr="00CF1A02">
        <w:rPr>
          <w:rFonts w:ascii="Book Antiqua" w:eastAsia="Book Antiqua" w:hAnsi="Book Antiqua" w:cs="Book Antiqua"/>
          <w:color w:val="000000"/>
        </w:rPr>
        <w:t xml:space="preserve"> 2015; </w:t>
      </w:r>
      <w:r w:rsidRPr="00CF1A02">
        <w:rPr>
          <w:rFonts w:ascii="Book Antiqua" w:eastAsia="Book Antiqua" w:hAnsi="Book Antiqua" w:cs="Book Antiqua"/>
          <w:b/>
          <w:bCs/>
          <w:color w:val="000000"/>
        </w:rPr>
        <w:t>17</w:t>
      </w:r>
      <w:r w:rsidRPr="00CF1A02">
        <w:rPr>
          <w:rFonts w:ascii="Book Antiqua" w:eastAsia="Book Antiqua" w:hAnsi="Book Antiqua" w:cs="Book Antiqua"/>
          <w:color w:val="000000"/>
        </w:rPr>
        <w:t>: 849-861 [PMID: 26260213 DOI: 10.1111/codi.13081]</w:t>
      </w:r>
    </w:p>
    <w:p w14:paraId="758C47F2"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26 </w:t>
      </w:r>
      <w:r w:rsidRPr="00CF1A02">
        <w:rPr>
          <w:rFonts w:ascii="Book Antiqua" w:eastAsia="Book Antiqua" w:hAnsi="Book Antiqua" w:cs="Book Antiqua"/>
          <w:b/>
          <w:bCs/>
          <w:color w:val="000000"/>
        </w:rPr>
        <w:t>Fokas E</w:t>
      </w:r>
      <w:r w:rsidRPr="00CF1A02">
        <w:rPr>
          <w:rFonts w:ascii="Book Antiqua" w:eastAsia="Book Antiqua" w:hAnsi="Book Antiqua" w:cs="Book Antiqua"/>
          <w:color w:val="000000"/>
        </w:rPr>
        <w:t xml:space="preserve">, Liersch T, Fietkau R, Hohenberger W, Beissbarth T, Hess C, Becker H, Ghadimi M, Mrak K, Merkel S, Raab HR, Sauer R, Wittekind C, Rödel C. Tumor regression grading after preoperative chemoradiotherapy for locally advanced rectal carcinoma revisited: updated results of the CAO/ARO/AIO-94 trial. </w:t>
      </w:r>
      <w:r w:rsidRPr="00CF1A02">
        <w:rPr>
          <w:rFonts w:ascii="Book Antiqua" w:eastAsia="Book Antiqua" w:hAnsi="Book Antiqua" w:cs="Book Antiqua"/>
          <w:i/>
          <w:iCs/>
          <w:color w:val="000000"/>
        </w:rPr>
        <w:t>J Clin Oncol</w:t>
      </w:r>
      <w:r w:rsidRPr="00CF1A02">
        <w:rPr>
          <w:rFonts w:ascii="Book Antiqua" w:eastAsia="Book Antiqua" w:hAnsi="Book Antiqua" w:cs="Book Antiqua"/>
          <w:color w:val="000000"/>
        </w:rPr>
        <w:t xml:space="preserve"> 2014; </w:t>
      </w:r>
      <w:r w:rsidRPr="00CF1A02">
        <w:rPr>
          <w:rFonts w:ascii="Book Antiqua" w:eastAsia="Book Antiqua" w:hAnsi="Book Antiqua" w:cs="Book Antiqua"/>
          <w:b/>
          <w:bCs/>
          <w:color w:val="000000"/>
        </w:rPr>
        <w:t>32</w:t>
      </w:r>
      <w:r w:rsidRPr="00CF1A02">
        <w:rPr>
          <w:rFonts w:ascii="Book Antiqua" w:eastAsia="Book Antiqua" w:hAnsi="Book Antiqua" w:cs="Book Antiqua"/>
          <w:color w:val="000000"/>
        </w:rPr>
        <w:t>: 1554-1562 [PMID: 24752056 DOI: 10.1200/JCO.2013.54.3769]</w:t>
      </w:r>
    </w:p>
    <w:p w14:paraId="21B11111"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27 </w:t>
      </w:r>
      <w:r w:rsidRPr="00CF1A02">
        <w:rPr>
          <w:rFonts w:ascii="Book Antiqua" w:eastAsia="Book Antiqua" w:hAnsi="Book Antiqua" w:cs="Book Antiqua"/>
          <w:b/>
          <w:bCs/>
          <w:color w:val="000000"/>
        </w:rPr>
        <w:t>Kundel Y</w:t>
      </w:r>
      <w:r w:rsidRPr="00CF1A02">
        <w:rPr>
          <w:rFonts w:ascii="Book Antiqua" w:eastAsia="Book Antiqua" w:hAnsi="Book Antiqua" w:cs="Book Antiqua"/>
          <w:color w:val="000000"/>
        </w:rPr>
        <w:t xml:space="preserve">, Nasser NJ, Rath-Wolfson L, Purim O, Yanichkin N, Brenner R, Zehavi T, Nardi Y, Fenig E, Sulkes A, Brenner B. Molecular Predictors of Response to Neoadjuvant Chemoradiation for Rectal Cancer. </w:t>
      </w:r>
      <w:r w:rsidRPr="00CF1A02">
        <w:rPr>
          <w:rFonts w:ascii="Book Antiqua" w:eastAsia="Book Antiqua" w:hAnsi="Book Antiqua" w:cs="Book Antiqua"/>
          <w:i/>
          <w:iCs/>
          <w:color w:val="000000"/>
        </w:rPr>
        <w:t>Am J Clin Oncol</w:t>
      </w:r>
      <w:r w:rsidRPr="00CF1A02">
        <w:rPr>
          <w:rFonts w:ascii="Book Antiqua" w:eastAsia="Book Antiqua" w:hAnsi="Book Antiqua" w:cs="Book Antiqua"/>
          <w:color w:val="000000"/>
        </w:rPr>
        <w:t xml:space="preserve"> 2018; </w:t>
      </w:r>
      <w:r w:rsidRPr="00CF1A02">
        <w:rPr>
          <w:rFonts w:ascii="Book Antiqua" w:eastAsia="Book Antiqua" w:hAnsi="Book Antiqua" w:cs="Book Antiqua"/>
          <w:b/>
          <w:bCs/>
          <w:color w:val="000000"/>
        </w:rPr>
        <w:t>41</w:t>
      </w:r>
      <w:r w:rsidRPr="00CF1A02">
        <w:rPr>
          <w:rFonts w:ascii="Book Antiqua" w:eastAsia="Book Antiqua" w:hAnsi="Book Antiqua" w:cs="Book Antiqua"/>
          <w:color w:val="000000"/>
        </w:rPr>
        <w:t>: 613-618 [PMID: 27740975 DOI: 10.1097/COC.0000000000000337]</w:t>
      </w:r>
    </w:p>
    <w:p w14:paraId="20E88049"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28 </w:t>
      </w:r>
      <w:r w:rsidRPr="00CF1A02">
        <w:rPr>
          <w:rFonts w:ascii="Book Antiqua" w:eastAsia="Book Antiqua" w:hAnsi="Book Antiqua" w:cs="Book Antiqua"/>
          <w:b/>
          <w:bCs/>
          <w:color w:val="000000"/>
        </w:rPr>
        <w:t>Kamran SC</w:t>
      </w:r>
      <w:r w:rsidRPr="00CF1A02">
        <w:rPr>
          <w:rFonts w:ascii="Book Antiqua" w:eastAsia="Book Antiqua" w:hAnsi="Book Antiqua" w:cs="Book Antiqua"/>
          <w:color w:val="000000"/>
        </w:rPr>
        <w:t xml:space="preserve">, Lennerz JK, Margolis CA, Liu D, Reardon B, Wankowicz SA, Van Seventer EE, Tracy A, Wo JY, Carter SL, Willers H, Corcoran RB, Hong TS, Van Allen EM. Integrative Molecular Characterization of Resistance to Neoadjuvant Chemoradiation in Rectal Cancer. </w:t>
      </w:r>
      <w:r w:rsidRPr="00CF1A02">
        <w:rPr>
          <w:rFonts w:ascii="Book Antiqua" w:eastAsia="Book Antiqua" w:hAnsi="Book Antiqua" w:cs="Book Antiqua"/>
          <w:i/>
          <w:iCs/>
          <w:color w:val="000000"/>
        </w:rPr>
        <w:t>Clin Cancer Res</w:t>
      </w:r>
      <w:r w:rsidRPr="00CF1A02">
        <w:rPr>
          <w:rFonts w:ascii="Book Antiqua" w:eastAsia="Book Antiqua" w:hAnsi="Book Antiqua" w:cs="Book Antiqua"/>
          <w:color w:val="000000"/>
        </w:rPr>
        <w:t xml:space="preserve"> 2019; </w:t>
      </w:r>
      <w:r w:rsidRPr="00CF1A02">
        <w:rPr>
          <w:rFonts w:ascii="Book Antiqua" w:eastAsia="Book Antiqua" w:hAnsi="Book Antiqua" w:cs="Book Antiqua"/>
          <w:b/>
          <w:bCs/>
          <w:color w:val="000000"/>
        </w:rPr>
        <w:t>25</w:t>
      </w:r>
      <w:r w:rsidRPr="00CF1A02">
        <w:rPr>
          <w:rFonts w:ascii="Book Antiqua" w:eastAsia="Book Antiqua" w:hAnsi="Book Antiqua" w:cs="Book Antiqua"/>
          <w:color w:val="000000"/>
        </w:rPr>
        <w:t>: 5561-5571 [PMID: 31253631 DOI: 10.1158/1078-0432.CCR-19-0908]</w:t>
      </w:r>
    </w:p>
    <w:p w14:paraId="128E3276" w14:textId="49507983"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29 </w:t>
      </w:r>
      <w:r w:rsidRPr="00CF1A02">
        <w:rPr>
          <w:rFonts w:ascii="Book Antiqua" w:eastAsia="Book Antiqua" w:hAnsi="Book Antiqua" w:cs="Book Antiqua"/>
          <w:b/>
          <w:bCs/>
          <w:color w:val="000000"/>
        </w:rPr>
        <w:t>Sendoya JM</w:t>
      </w:r>
      <w:r w:rsidRPr="00CF1A02">
        <w:rPr>
          <w:rFonts w:ascii="Book Antiqua" w:eastAsia="Book Antiqua" w:hAnsi="Book Antiqua" w:cs="Book Antiqua"/>
          <w:color w:val="000000"/>
        </w:rPr>
        <w:t xml:space="preserve">, Iseas S, Coraglio M, Golubicki M, Robbio J, Salanova R, Kujaruk M, Mikolaitis V, Rizzolo M, Ruiz G, Cabanne A, Gualdrini U, Mendez G, Hirmas S, Rotondaro C, Viglino J, Eleta M, Fernandez E, Abba M, Podhajcer O, Roca E, Llera AS. Pre-Existing Tumoral B </w:t>
      </w:r>
      <w:r w:rsidR="00ED56E1">
        <w:rPr>
          <w:rFonts w:ascii="Book Antiqua" w:eastAsia="Book Antiqua" w:hAnsi="Book Antiqua" w:cs="Book Antiqua"/>
          <w:color w:val="000000"/>
        </w:rPr>
        <w:t>c</w:t>
      </w:r>
      <w:r w:rsidRPr="00CF1A02">
        <w:rPr>
          <w:rFonts w:ascii="Book Antiqua" w:eastAsia="Book Antiqua" w:hAnsi="Book Antiqua" w:cs="Book Antiqua"/>
          <w:color w:val="000000"/>
        </w:rPr>
        <w:t xml:space="preserve">ell Infiltration and Impaired Genome Maintenance Correlate with Response to Chemoradiotherapy in Locally Advanced Rectal Cancer. </w:t>
      </w:r>
      <w:r w:rsidRPr="00CF1A02">
        <w:rPr>
          <w:rFonts w:ascii="Book Antiqua" w:eastAsia="Book Antiqua" w:hAnsi="Book Antiqua" w:cs="Book Antiqua"/>
          <w:i/>
          <w:iCs/>
          <w:color w:val="000000"/>
        </w:rPr>
        <w:t>Cancers (Basel)</w:t>
      </w:r>
      <w:r w:rsidRPr="00CF1A02">
        <w:rPr>
          <w:rFonts w:ascii="Book Antiqua" w:eastAsia="Book Antiqua" w:hAnsi="Book Antiqua" w:cs="Book Antiqua"/>
          <w:color w:val="000000"/>
        </w:rPr>
        <w:t xml:space="preserve"> 2020; </w:t>
      </w:r>
      <w:r w:rsidRPr="00CF1A02">
        <w:rPr>
          <w:rFonts w:ascii="Book Antiqua" w:eastAsia="Book Antiqua" w:hAnsi="Book Antiqua" w:cs="Book Antiqua"/>
          <w:b/>
          <w:bCs/>
          <w:color w:val="000000"/>
        </w:rPr>
        <w:t>12</w:t>
      </w:r>
      <w:r w:rsidR="00BB4BB9" w:rsidRPr="00CF1A02">
        <w:rPr>
          <w:rFonts w:ascii="Book Antiqua" w:eastAsia="Book Antiqua" w:hAnsi="Book Antiqua" w:cs="Book Antiqua"/>
          <w:color w:val="000000"/>
        </w:rPr>
        <w:t xml:space="preserve"> </w:t>
      </w:r>
      <w:r w:rsidRPr="00CF1A02">
        <w:rPr>
          <w:rFonts w:ascii="Book Antiqua" w:eastAsia="Book Antiqua" w:hAnsi="Book Antiqua" w:cs="Book Antiqua"/>
          <w:color w:val="000000"/>
        </w:rPr>
        <w:t>[PMID: 32784964 DOI: 10.3390/cancers12082227]</w:t>
      </w:r>
    </w:p>
    <w:p w14:paraId="74328659"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30 </w:t>
      </w:r>
      <w:r w:rsidRPr="00CF1A02">
        <w:rPr>
          <w:rFonts w:ascii="Book Antiqua" w:eastAsia="Book Antiqua" w:hAnsi="Book Antiqua" w:cs="Book Antiqua"/>
          <w:b/>
          <w:bCs/>
          <w:color w:val="000000"/>
        </w:rPr>
        <w:t>Akiyoshi T</w:t>
      </w:r>
      <w:r w:rsidRPr="00CF1A02">
        <w:rPr>
          <w:rFonts w:ascii="Book Antiqua" w:eastAsia="Book Antiqua" w:hAnsi="Book Antiqua" w:cs="Book Antiqua"/>
          <w:color w:val="000000"/>
        </w:rPr>
        <w:t xml:space="preserve">, Tanaka N, Kiyotani K, Gotoh O, Yamamoto N, Oba K, Fukunaga Y, Ueno M, Mori S. Immunogenomic profiles associated with response to neoadjuvant chemoradiotherapy in patients with rectal cancer. </w:t>
      </w:r>
      <w:r w:rsidRPr="00CF1A02">
        <w:rPr>
          <w:rFonts w:ascii="Book Antiqua" w:eastAsia="Book Antiqua" w:hAnsi="Book Antiqua" w:cs="Book Antiqua"/>
          <w:i/>
          <w:iCs/>
          <w:color w:val="000000"/>
        </w:rPr>
        <w:t>Br J Surg</w:t>
      </w:r>
      <w:r w:rsidRPr="00CF1A02">
        <w:rPr>
          <w:rFonts w:ascii="Book Antiqua" w:eastAsia="Book Antiqua" w:hAnsi="Book Antiqua" w:cs="Book Antiqua"/>
          <w:color w:val="000000"/>
        </w:rPr>
        <w:t xml:space="preserve"> 2019; </w:t>
      </w:r>
      <w:r w:rsidRPr="00CF1A02">
        <w:rPr>
          <w:rFonts w:ascii="Book Antiqua" w:eastAsia="Book Antiqua" w:hAnsi="Book Antiqua" w:cs="Book Antiqua"/>
          <w:b/>
          <w:bCs/>
          <w:color w:val="000000"/>
        </w:rPr>
        <w:t>106</w:t>
      </w:r>
      <w:r w:rsidRPr="00CF1A02">
        <w:rPr>
          <w:rFonts w:ascii="Book Antiqua" w:eastAsia="Book Antiqua" w:hAnsi="Book Antiqua" w:cs="Book Antiqua"/>
          <w:color w:val="000000"/>
        </w:rPr>
        <w:t>: 1381-1392 [PMID: 31197828 DOI: 10.1002/bjs.11179]</w:t>
      </w:r>
    </w:p>
    <w:p w14:paraId="5158E7FC" w14:textId="77777777" w:rsidR="00A77B3E" w:rsidRPr="00CF1A02" w:rsidRDefault="00A77B3E" w:rsidP="00CF1A02">
      <w:pPr>
        <w:adjustRightInd w:val="0"/>
        <w:snapToGrid w:val="0"/>
        <w:spacing w:line="360" w:lineRule="auto"/>
        <w:jc w:val="both"/>
        <w:rPr>
          <w:rFonts w:ascii="Book Antiqua" w:hAnsi="Book Antiqua"/>
        </w:rPr>
        <w:sectPr w:rsidR="00A77B3E" w:rsidRPr="00CF1A02" w:rsidSect="00266F1E">
          <w:type w:val="continuous"/>
          <w:pgSz w:w="12240" w:h="15840"/>
          <w:pgMar w:top="1440" w:right="1800" w:bottom="1440" w:left="1800" w:header="720" w:footer="720" w:gutter="0"/>
          <w:cols w:space="720"/>
          <w:docGrid w:linePitch="360"/>
        </w:sectPr>
      </w:pPr>
    </w:p>
    <w:bookmarkEnd w:id="41"/>
    <w:bookmarkEnd w:id="42"/>
    <w:p w14:paraId="5AC89EDD" w14:textId="457F444F" w:rsidR="00A77B3E" w:rsidRPr="00CF1A02" w:rsidRDefault="00BB4BB9"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br w:type="page"/>
      </w:r>
      <w:r w:rsidR="003F4D3A" w:rsidRPr="00CF1A02">
        <w:rPr>
          <w:rFonts w:ascii="Book Antiqua" w:eastAsia="Book Antiqua" w:hAnsi="Book Antiqua" w:cs="Book Antiqua"/>
          <w:b/>
          <w:color w:val="000000"/>
        </w:rPr>
        <w:t>Footnotes</w:t>
      </w:r>
    </w:p>
    <w:p w14:paraId="5D8368D6"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Institutional review board statement: </w:t>
      </w:r>
      <w:bookmarkStart w:id="43" w:name="OLE_LINK43"/>
      <w:bookmarkStart w:id="44" w:name="OLE_LINK44"/>
      <w:r w:rsidRPr="00CF1A02">
        <w:rPr>
          <w:rFonts w:ascii="Book Antiqua" w:eastAsia="Book Antiqua" w:hAnsi="Book Antiqua" w:cs="Book Antiqua"/>
          <w:color w:val="000000"/>
        </w:rPr>
        <w:t>This study</w:t>
      </w:r>
      <w:r w:rsidRPr="00CF1A02">
        <w:rPr>
          <w:rFonts w:ascii="Book Antiqua" w:eastAsia="Book Antiqua" w:hAnsi="Book Antiqua" w:cs="Book Antiqua"/>
          <w:b/>
          <w:bCs/>
          <w:color w:val="000000"/>
        </w:rPr>
        <w:t xml:space="preserve"> </w:t>
      </w:r>
      <w:r w:rsidRPr="00CF1A02">
        <w:rPr>
          <w:rFonts w:ascii="Book Antiqua" w:eastAsia="Book Antiqua" w:hAnsi="Book Antiqua" w:cs="Book Antiqua"/>
          <w:color w:val="000000"/>
        </w:rPr>
        <w:t>was approved by the Institutional Review Boards of the Ajou University School of Medicine (MED-MDB-18-329).</w:t>
      </w:r>
    </w:p>
    <w:bookmarkEnd w:id="43"/>
    <w:bookmarkEnd w:id="44"/>
    <w:p w14:paraId="1559D0CE" w14:textId="77777777" w:rsidR="00A77B3E" w:rsidRPr="00CF1A02" w:rsidRDefault="00A77B3E" w:rsidP="00CF1A02">
      <w:pPr>
        <w:adjustRightInd w:val="0"/>
        <w:snapToGrid w:val="0"/>
        <w:spacing w:line="360" w:lineRule="auto"/>
        <w:jc w:val="both"/>
        <w:rPr>
          <w:rFonts w:ascii="Book Antiqua" w:hAnsi="Book Antiqua"/>
        </w:rPr>
      </w:pPr>
    </w:p>
    <w:p w14:paraId="31AC3A5D" w14:textId="4313C19B"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Conflict-of-interest statement: </w:t>
      </w:r>
      <w:r w:rsidRPr="00CF1A02">
        <w:rPr>
          <w:rFonts w:ascii="Book Antiqua" w:eastAsia="Book Antiqua" w:hAnsi="Book Antiqua" w:cs="Book Antiqua"/>
          <w:color w:val="000000"/>
        </w:rPr>
        <w:t>There are no conflicts of interest to declare</w:t>
      </w:r>
      <w:r w:rsidR="00137AC1">
        <w:rPr>
          <w:rFonts w:ascii="Book Antiqua" w:eastAsia="Book Antiqua" w:hAnsi="Book Antiqua" w:cs="Book Antiqua"/>
          <w:color w:val="000000"/>
        </w:rPr>
        <w:t>.</w:t>
      </w:r>
    </w:p>
    <w:p w14:paraId="3747DF39" w14:textId="77777777" w:rsidR="00A77B3E" w:rsidRPr="00CF1A02" w:rsidRDefault="00A77B3E" w:rsidP="00CF1A02">
      <w:pPr>
        <w:adjustRightInd w:val="0"/>
        <w:snapToGrid w:val="0"/>
        <w:spacing w:line="360" w:lineRule="auto"/>
        <w:jc w:val="both"/>
        <w:rPr>
          <w:rFonts w:ascii="Book Antiqua" w:hAnsi="Book Antiqua"/>
        </w:rPr>
      </w:pPr>
    </w:p>
    <w:p w14:paraId="5B4B5496" w14:textId="132AB933"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Data sharing statement: </w:t>
      </w:r>
      <w:bookmarkStart w:id="45" w:name="OLE_LINK45"/>
      <w:bookmarkStart w:id="46" w:name="OLE_LINK46"/>
      <w:r w:rsidRPr="00CF1A02">
        <w:rPr>
          <w:rFonts w:ascii="Book Antiqua" w:eastAsia="Book Antiqua" w:hAnsi="Book Antiqua" w:cs="Book Antiqua"/>
          <w:color w:val="000000"/>
        </w:rPr>
        <w:t>No additional data are available</w:t>
      </w:r>
      <w:r w:rsidR="00137AC1">
        <w:rPr>
          <w:rFonts w:asciiTheme="minorEastAsia" w:hAnsiTheme="minorEastAsia" w:cs="Book Antiqua" w:hint="eastAsia"/>
          <w:color w:val="000000"/>
          <w:lang w:eastAsia="zh-CN"/>
        </w:rPr>
        <w:t>.</w:t>
      </w:r>
      <w:bookmarkEnd w:id="45"/>
      <w:bookmarkEnd w:id="46"/>
    </w:p>
    <w:p w14:paraId="2D845E09" w14:textId="77777777" w:rsidR="00A77B3E" w:rsidRPr="00CF1A02" w:rsidRDefault="00A77B3E" w:rsidP="00CF1A02">
      <w:pPr>
        <w:adjustRightInd w:val="0"/>
        <w:snapToGrid w:val="0"/>
        <w:spacing w:line="360" w:lineRule="auto"/>
        <w:jc w:val="both"/>
        <w:rPr>
          <w:rFonts w:ascii="Book Antiqua" w:hAnsi="Book Antiqua"/>
        </w:rPr>
      </w:pPr>
    </w:p>
    <w:p w14:paraId="4A1853A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Open-Access: </w:t>
      </w:r>
      <w:r w:rsidRPr="00CF1A0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4D8249" w14:textId="77777777" w:rsidR="00A77B3E" w:rsidRPr="00CF1A02" w:rsidRDefault="00A77B3E" w:rsidP="00CF1A02">
      <w:pPr>
        <w:adjustRightInd w:val="0"/>
        <w:snapToGrid w:val="0"/>
        <w:spacing w:line="360" w:lineRule="auto"/>
        <w:jc w:val="both"/>
        <w:rPr>
          <w:rFonts w:ascii="Book Antiqua" w:hAnsi="Book Antiqua"/>
        </w:rPr>
      </w:pPr>
    </w:p>
    <w:p w14:paraId="128BFDD8" w14:textId="5FE98D56"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 xml:space="preserve">Manuscript source: </w:t>
      </w:r>
      <w:r w:rsidRPr="00CF1A02">
        <w:rPr>
          <w:rFonts w:ascii="Book Antiqua" w:eastAsia="Book Antiqua" w:hAnsi="Book Antiqua" w:cs="Book Antiqua"/>
          <w:color w:val="000000"/>
        </w:rPr>
        <w:t xml:space="preserve">Unsolicited </w:t>
      </w:r>
      <w:r w:rsidR="00BB4BB9" w:rsidRPr="00CF1A02">
        <w:rPr>
          <w:rFonts w:ascii="Book Antiqua" w:eastAsia="Book Antiqua" w:hAnsi="Book Antiqua" w:cs="Book Antiqua"/>
          <w:color w:val="000000"/>
        </w:rPr>
        <w:t>m</w:t>
      </w:r>
      <w:r w:rsidRPr="00CF1A02">
        <w:rPr>
          <w:rFonts w:ascii="Book Antiqua" w:eastAsia="Book Antiqua" w:hAnsi="Book Antiqua" w:cs="Book Antiqua"/>
          <w:color w:val="000000"/>
        </w:rPr>
        <w:t>anuscript</w:t>
      </w:r>
    </w:p>
    <w:p w14:paraId="1F95FA59" w14:textId="77777777" w:rsidR="00A77B3E" w:rsidRPr="00CF1A02" w:rsidRDefault="00A77B3E" w:rsidP="00CF1A02">
      <w:pPr>
        <w:adjustRightInd w:val="0"/>
        <w:snapToGrid w:val="0"/>
        <w:spacing w:line="360" w:lineRule="auto"/>
        <w:jc w:val="both"/>
        <w:rPr>
          <w:rFonts w:ascii="Book Antiqua" w:hAnsi="Book Antiqua"/>
        </w:rPr>
      </w:pPr>
    </w:p>
    <w:p w14:paraId="57B1E89F"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 xml:space="preserve">Peer-review started: </w:t>
      </w:r>
      <w:r w:rsidRPr="00CF1A02">
        <w:rPr>
          <w:rFonts w:ascii="Book Antiqua" w:eastAsia="Book Antiqua" w:hAnsi="Book Antiqua" w:cs="Book Antiqua"/>
          <w:color w:val="000000"/>
        </w:rPr>
        <w:t>August 6, 2020</w:t>
      </w:r>
    </w:p>
    <w:p w14:paraId="5F35EFC1"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 xml:space="preserve">First decision: </w:t>
      </w:r>
      <w:r w:rsidRPr="00CF1A02">
        <w:rPr>
          <w:rFonts w:ascii="Book Antiqua" w:eastAsia="Book Antiqua" w:hAnsi="Book Antiqua" w:cs="Book Antiqua"/>
          <w:color w:val="000000"/>
        </w:rPr>
        <w:t>October 18, 2020</w:t>
      </w:r>
    </w:p>
    <w:p w14:paraId="333BB0B5" w14:textId="68E68198" w:rsidR="00A77B3E" w:rsidRPr="00CF1A02" w:rsidRDefault="003F4D3A" w:rsidP="00CF1A02">
      <w:pPr>
        <w:adjustRightInd w:val="0"/>
        <w:snapToGrid w:val="0"/>
        <w:spacing w:line="360" w:lineRule="auto"/>
        <w:jc w:val="both"/>
        <w:rPr>
          <w:rFonts w:ascii="Book Antiqua" w:hAnsi="Book Antiqua"/>
          <w:lang w:eastAsia="zh-CN"/>
        </w:rPr>
      </w:pPr>
      <w:r w:rsidRPr="00CF1A02">
        <w:rPr>
          <w:rFonts w:ascii="Book Antiqua" w:eastAsia="Book Antiqua" w:hAnsi="Book Antiqua" w:cs="Book Antiqua"/>
          <w:b/>
          <w:color w:val="000000"/>
        </w:rPr>
        <w:t xml:space="preserve">Article in press: </w:t>
      </w:r>
      <w:r w:rsidR="00017F74" w:rsidRPr="001706F9">
        <w:rPr>
          <w:rFonts w:ascii="Book Antiqua" w:eastAsia="Book Antiqua" w:hAnsi="Book Antiqua" w:cs="Book Antiqua"/>
          <w:color w:val="000000"/>
        </w:rPr>
        <w:t>November 13, 2020</w:t>
      </w:r>
    </w:p>
    <w:p w14:paraId="13F6D152" w14:textId="77777777" w:rsidR="00A77B3E" w:rsidRPr="00CF1A02" w:rsidRDefault="00A77B3E" w:rsidP="00CF1A02">
      <w:pPr>
        <w:adjustRightInd w:val="0"/>
        <w:snapToGrid w:val="0"/>
        <w:spacing w:line="360" w:lineRule="auto"/>
        <w:jc w:val="both"/>
        <w:rPr>
          <w:rFonts w:ascii="Book Antiqua" w:hAnsi="Book Antiqua"/>
        </w:rPr>
      </w:pPr>
    </w:p>
    <w:p w14:paraId="7EC8E7CA" w14:textId="5160F3C4"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 xml:space="preserve">Specialty type: </w:t>
      </w:r>
      <w:r w:rsidR="00BB4BB9" w:rsidRPr="00CF1A02">
        <w:rPr>
          <w:rFonts w:ascii="Book Antiqua" w:eastAsia="Book Antiqua" w:hAnsi="Book Antiqua" w:cs="Book Antiqua"/>
          <w:color w:val="000000"/>
        </w:rPr>
        <w:t>Gastroenterology and hepatology</w:t>
      </w:r>
    </w:p>
    <w:p w14:paraId="7C7128A4"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 xml:space="preserve">Country/Territory of origin: </w:t>
      </w:r>
      <w:r w:rsidRPr="00CF1A02">
        <w:rPr>
          <w:rFonts w:ascii="Book Antiqua" w:eastAsia="Book Antiqua" w:hAnsi="Book Antiqua" w:cs="Book Antiqua"/>
          <w:color w:val="000000"/>
        </w:rPr>
        <w:t>South Korea</w:t>
      </w:r>
    </w:p>
    <w:p w14:paraId="1C3109F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Peer-review report’s scientific quality classification</w:t>
      </w:r>
    </w:p>
    <w:p w14:paraId="2057782F"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Grade A (Excellent): 0</w:t>
      </w:r>
    </w:p>
    <w:p w14:paraId="56AA72CC"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Grade B (Very good): 0</w:t>
      </w:r>
    </w:p>
    <w:p w14:paraId="6402E02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Grade C (Good): C</w:t>
      </w:r>
    </w:p>
    <w:p w14:paraId="5D5D8B5C"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Grade D (Fair): 0</w:t>
      </w:r>
    </w:p>
    <w:p w14:paraId="68B830CB"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Grade E (Poor): 0</w:t>
      </w:r>
    </w:p>
    <w:p w14:paraId="7D34DCEB" w14:textId="77777777" w:rsidR="00A77B3E" w:rsidRPr="00CF1A02" w:rsidRDefault="00A77B3E" w:rsidP="00CF1A02">
      <w:pPr>
        <w:adjustRightInd w:val="0"/>
        <w:snapToGrid w:val="0"/>
        <w:spacing w:line="360" w:lineRule="auto"/>
        <w:jc w:val="both"/>
        <w:rPr>
          <w:rFonts w:ascii="Book Antiqua" w:hAnsi="Book Antiqua"/>
        </w:rPr>
      </w:pPr>
    </w:p>
    <w:p w14:paraId="700C2944" w14:textId="1130457E" w:rsidR="00A77B3E" w:rsidRPr="00970A3C" w:rsidRDefault="003F4D3A" w:rsidP="00CF1A02">
      <w:pPr>
        <w:adjustRightInd w:val="0"/>
        <w:snapToGrid w:val="0"/>
        <w:spacing w:line="360" w:lineRule="auto"/>
        <w:jc w:val="both"/>
        <w:rPr>
          <w:rFonts w:ascii="Book Antiqua" w:hAnsi="Book Antiqua" w:cs="Book Antiqua"/>
          <w:b/>
          <w:color w:val="000000"/>
          <w:lang w:eastAsia="zh-CN"/>
        </w:rPr>
      </w:pPr>
      <w:r w:rsidRPr="00CF1A02">
        <w:rPr>
          <w:rFonts w:ascii="Book Antiqua" w:eastAsia="Book Antiqua" w:hAnsi="Book Antiqua" w:cs="Book Antiqua"/>
          <w:b/>
          <w:color w:val="000000"/>
        </w:rPr>
        <w:t xml:space="preserve">P-Reviewer: </w:t>
      </w:r>
      <w:r w:rsidRPr="00CF1A02">
        <w:rPr>
          <w:rFonts w:ascii="Book Antiqua" w:eastAsia="Book Antiqua" w:hAnsi="Book Antiqua" w:cs="Book Antiqua"/>
          <w:color w:val="000000"/>
        </w:rPr>
        <w:t>Watanabe T</w:t>
      </w:r>
      <w:r w:rsidRPr="00CF1A02">
        <w:rPr>
          <w:rFonts w:ascii="Book Antiqua" w:eastAsia="Book Antiqua" w:hAnsi="Book Antiqua" w:cs="Book Antiqua"/>
          <w:b/>
          <w:color w:val="000000"/>
        </w:rPr>
        <w:t xml:space="preserve"> S-Editor: </w:t>
      </w:r>
      <w:r w:rsidRPr="00CF1A02">
        <w:rPr>
          <w:rFonts w:ascii="Book Antiqua" w:eastAsia="Book Antiqua" w:hAnsi="Book Antiqua" w:cs="Book Antiqua"/>
          <w:color w:val="000000"/>
        </w:rPr>
        <w:t>Zhang L</w:t>
      </w:r>
      <w:r w:rsidR="00CF1A02" w:rsidRPr="00CF1A02">
        <w:rPr>
          <w:rFonts w:ascii="Book Antiqua" w:eastAsia="Book Antiqua" w:hAnsi="Book Antiqua" w:cs="Book Antiqua"/>
          <w:b/>
          <w:color w:val="000000"/>
        </w:rPr>
        <w:t xml:space="preserve"> L-Editor: </w:t>
      </w:r>
      <w:r w:rsidRPr="00CF1A02">
        <w:rPr>
          <w:rFonts w:ascii="Book Antiqua" w:eastAsia="Book Antiqua" w:hAnsi="Book Antiqua" w:cs="Book Antiqua"/>
          <w:b/>
          <w:color w:val="000000"/>
        </w:rPr>
        <w:t xml:space="preserve">P-Editor: </w:t>
      </w:r>
      <w:r w:rsidR="00970A3C" w:rsidRPr="00970A3C">
        <w:rPr>
          <w:rFonts w:ascii="Book Antiqua" w:hAnsi="Book Antiqua" w:cs="Book Antiqua" w:hint="eastAsia"/>
          <w:color w:val="000000"/>
          <w:lang w:eastAsia="zh-CN"/>
        </w:rPr>
        <w:t>Liu JH</w:t>
      </w:r>
    </w:p>
    <w:p w14:paraId="0F7495C6" w14:textId="77777777" w:rsidR="00BB4BB9" w:rsidRDefault="00BB4BB9" w:rsidP="00CF1A02">
      <w:pPr>
        <w:adjustRightInd w:val="0"/>
        <w:snapToGrid w:val="0"/>
        <w:spacing w:line="360" w:lineRule="auto"/>
        <w:jc w:val="both"/>
        <w:rPr>
          <w:rFonts w:ascii="Book Antiqua" w:hAnsi="Book Antiqua"/>
          <w:lang w:eastAsia="zh-CN"/>
        </w:rPr>
      </w:pPr>
    </w:p>
    <w:p w14:paraId="50D70F6A" w14:textId="77777777" w:rsidR="00970A3C" w:rsidRPr="00CF1A02" w:rsidRDefault="00970A3C" w:rsidP="00CF1A02">
      <w:pPr>
        <w:adjustRightInd w:val="0"/>
        <w:snapToGrid w:val="0"/>
        <w:spacing w:line="360" w:lineRule="auto"/>
        <w:jc w:val="both"/>
        <w:rPr>
          <w:rFonts w:ascii="Book Antiqua" w:hAnsi="Book Antiqua"/>
          <w:lang w:eastAsia="zh-CN"/>
        </w:rPr>
        <w:sectPr w:rsidR="00970A3C" w:rsidRPr="00CF1A02" w:rsidSect="00266F1E">
          <w:type w:val="continuous"/>
          <w:pgSz w:w="12240" w:h="15840"/>
          <w:pgMar w:top="1440" w:right="1800" w:bottom="1440" w:left="1800" w:header="720" w:footer="720" w:gutter="0"/>
          <w:cols w:space="720"/>
          <w:docGrid w:linePitch="360"/>
        </w:sectPr>
      </w:pPr>
    </w:p>
    <w:p w14:paraId="1D98065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Figure Legends</w:t>
      </w:r>
    </w:p>
    <w:p w14:paraId="6C3751ED" w14:textId="71002E9D" w:rsidR="00FC6F31" w:rsidRPr="00CF1A02" w:rsidRDefault="00BB4BB9" w:rsidP="00CF1A02">
      <w:pPr>
        <w:adjustRightInd w:val="0"/>
        <w:snapToGrid w:val="0"/>
        <w:spacing w:line="360" w:lineRule="auto"/>
        <w:jc w:val="both"/>
        <w:rPr>
          <w:rFonts w:ascii="Book Antiqua" w:eastAsia="Book Antiqua" w:hAnsi="Book Antiqua" w:cs="Book Antiqua"/>
          <w:b/>
          <w:bCs/>
          <w:color w:val="000000"/>
        </w:rPr>
      </w:pPr>
      <w:r w:rsidRPr="00CF1A02">
        <w:rPr>
          <w:rFonts w:ascii="Book Antiqua" w:eastAsia="Book Antiqua" w:hAnsi="Book Antiqua" w:cs="Book Antiqua"/>
          <w:b/>
          <w:bCs/>
          <w:noProof/>
          <w:color w:val="000000"/>
          <w:lang w:eastAsia="zh-CN"/>
        </w:rPr>
        <w:drawing>
          <wp:inline distT="0" distB="0" distL="0" distR="0" wp14:anchorId="2F093DB0" wp14:editId="0BE2D536">
            <wp:extent cx="4351020" cy="4820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2436" cy="4822474"/>
                    </a:xfrm>
                    <a:prstGeom prst="rect">
                      <a:avLst/>
                    </a:prstGeom>
                  </pic:spPr>
                </pic:pic>
              </a:graphicData>
            </a:graphic>
          </wp:inline>
        </w:drawing>
      </w:r>
    </w:p>
    <w:p w14:paraId="4F05EB65" w14:textId="308880DA" w:rsidR="003F4D3A" w:rsidRPr="00CF1A02" w:rsidRDefault="00FC6F31" w:rsidP="00CF1A02">
      <w:pPr>
        <w:adjustRightInd w:val="0"/>
        <w:snapToGrid w:val="0"/>
        <w:spacing w:line="360" w:lineRule="auto"/>
        <w:jc w:val="both"/>
        <w:rPr>
          <w:rFonts w:ascii="Book Antiqua" w:hAnsi="Book Antiqua"/>
        </w:rPr>
      </w:pPr>
      <w:bookmarkStart w:id="47" w:name="OLE_LINK47"/>
      <w:r w:rsidRPr="00CF1A02">
        <w:rPr>
          <w:rFonts w:ascii="Book Antiqua" w:eastAsia="Book Antiqua" w:hAnsi="Book Antiqua" w:cs="Book Antiqua"/>
          <w:b/>
          <w:bCs/>
          <w:color w:val="000000"/>
        </w:rPr>
        <w:t>Figure 1</w:t>
      </w:r>
      <w:r w:rsidR="003F4D3A" w:rsidRPr="00CF1A02">
        <w:rPr>
          <w:rFonts w:ascii="Book Antiqua" w:eastAsia="Book Antiqua" w:hAnsi="Book Antiqua" w:cs="Book Antiqua"/>
          <w:b/>
          <w:bCs/>
          <w:color w:val="000000"/>
        </w:rPr>
        <w:t xml:space="preserve"> Survival in study groups according to pre- and post-chemoradiotherapy serum levels of carcinoembryonic antigen</w:t>
      </w:r>
      <w:r w:rsidR="00D45730" w:rsidRPr="00CF1A02">
        <w:rPr>
          <w:rFonts w:ascii="Book Antiqua" w:eastAsia="Book Antiqua" w:hAnsi="Book Antiqua" w:cs="Book Antiqua"/>
          <w:b/>
          <w:bCs/>
          <w:color w:val="000000"/>
        </w:rPr>
        <w:t xml:space="preserve">. </w:t>
      </w:r>
      <w:r w:rsidR="003F4D3A" w:rsidRPr="00CF1A02">
        <w:rPr>
          <w:rFonts w:ascii="Book Antiqua" w:eastAsia="Book Antiqua" w:hAnsi="Book Antiqua" w:cs="Book Antiqua"/>
          <w:color w:val="000000"/>
        </w:rPr>
        <w:t>A</w:t>
      </w:r>
      <w:r w:rsidRPr="00CF1A02">
        <w:rPr>
          <w:rFonts w:ascii="Book Antiqua" w:eastAsia="Book Antiqua" w:hAnsi="Book Antiqua" w:cs="Book Antiqua"/>
          <w:color w:val="000000"/>
        </w:rPr>
        <w:t>:</w:t>
      </w:r>
      <w:r w:rsidR="003F4D3A" w:rsidRPr="00CF1A02">
        <w:rPr>
          <w:rFonts w:ascii="Book Antiqua" w:eastAsia="Book Antiqua" w:hAnsi="Book Antiqua" w:cs="Book Antiqua"/>
          <w:color w:val="000000"/>
        </w:rPr>
        <w:t xml:space="preserve"> Five-year disease-free survival in the groups according to pre- and post-</w:t>
      </w:r>
      <w:r w:rsidR="00BB4BB9" w:rsidRPr="00CF1A02">
        <w:rPr>
          <w:rFonts w:ascii="Book Antiqua" w:hAnsi="Book Antiqua"/>
        </w:rPr>
        <w:t>chemoradiotherapy</w:t>
      </w:r>
      <w:r w:rsidR="00BB4BB9" w:rsidRPr="00CF1A02">
        <w:rPr>
          <w:rFonts w:ascii="Book Antiqua" w:eastAsia="Book Antiqua" w:hAnsi="Book Antiqua" w:cs="Book Antiqua"/>
          <w:color w:val="000000"/>
        </w:rPr>
        <w:t xml:space="preserve"> (</w:t>
      </w:r>
      <w:r w:rsidR="003F4D3A" w:rsidRPr="00CF1A02">
        <w:rPr>
          <w:rFonts w:ascii="Book Antiqua" w:eastAsia="Book Antiqua" w:hAnsi="Book Antiqua" w:cs="Book Antiqua"/>
          <w:color w:val="000000"/>
        </w:rPr>
        <w:t>CRT</w:t>
      </w:r>
      <w:r w:rsidR="00BB4BB9" w:rsidRPr="00CF1A02">
        <w:rPr>
          <w:rFonts w:ascii="Book Antiqua" w:eastAsia="Book Antiqua" w:hAnsi="Book Antiqua" w:cs="Book Antiqua"/>
          <w:color w:val="000000"/>
        </w:rPr>
        <w:t>)</w:t>
      </w:r>
      <w:r w:rsidR="003F4D3A" w:rsidRPr="00CF1A02">
        <w:rPr>
          <w:rFonts w:ascii="Book Antiqua" w:eastAsia="Book Antiqua" w:hAnsi="Book Antiqua" w:cs="Book Antiqua"/>
          <w:color w:val="000000"/>
        </w:rPr>
        <w:t xml:space="preserve"> serum </w:t>
      </w:r>
      <w:r w:rsidR="00BB4BB9" w:rsidRPr="00CF1A02">
        <w:rPr>
          <w:rFonts w:ascii="Book Antiqua" w:hAnsi="Book Antiqua"/>
        </w:rPr>
        <w:t>carcinoembryonic antigen</w:t>
      </w:r>
      <w:r w:rsidR="00BB4BB9" w:rsidRPr="00CF1A02">
        <w:rPr>
          <w:rFonts w:ascii="Book Antiqua" w:eastAsia="Book Antiqua" w:hAnsi="Book Antiqua" w:cs="Book Antiqua"/>
          <w:color w:val="000000"/>
        </w:rPr>
        <w:t xml:space="preserve"> (</w:t>
      </w:r>
      <w:r w:rsidR="003F4D3A" w:rsidRPr="00CF1A02">
        <w:rPr>
          <w:rFonts w:ascii="Book Antiqua" w:eastAsia="Book Antiqua" w:hAnsi="Book Antiqua" w:cs="Book Antiqua"/>
          <w:color w:val="000000"/>
        </w:rPr>
        <w:t>CEA</w:t>
      </w:r>
      <w:r w:rsidR="00BB4BB9" w:rsidRPr="00CF1A02">
        <w:rPr>
          <w:rFonts w:ascii="Book Antiqua" w:eastAsia="Book Antiqua" w:hAnsi="Book Antiqua" w:cs="Book Antiqua"/>
          <w:color w:val="000000"/>
        </w:rPr>
        <w:t>)</w:t>
      </w:r>
      <w:r w:rsidR="003F4D3A" w:rsidRPr="00CF1A02">
        <w:rPr>
          <w:rFonts w:ascii="Book Antiqua" w:eastAsia="Book Antiqua" w:hAnsi="Book Antiqua" w:cs="Book Antiqua"/>
          <w:color w:val="000000"/>
        </w:rPr>
        <w:t xml:space="preserve"> levels (Group A</w:t>
      </w:r>
      <w:r w:rsidRPr="00CF1A02">
        <w:rPr>
          <w:rFonts w:ascii="Book Antiqua" w:eastAsia="Book Antiqua" w:hAnsi="Book Antiqua" w:cs="Book Antiqua"/>
          <w:color w:val="000000"/>
        </w:rPr>
        <w:t xml:space="preserve"> </w:t>
      </w:r>
      <w:r w:rsidR="003F4D3A"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w:t>
      </w:r>
      <w:r w:rsidR="003F4D3A" w:rsidRPr="00CF1A02">
        <w:rPr>
          <w:rFonts w:ascii="Book Antiqua" w:eastAsia="Book Antiqua" w:hAnsi="Book Antiqua" w:cs="Book Antiqua"/>
          <w:color w:val="000000"/>
        </w:rPr>
        <w:t xml:space="preserve">Group B </w:t>
      </w:r>
      <w:r w:rsidR="003F4D3A" w:rsidRPr="00CF1A02">
        <w:rPr>
          <w:rFonts w:ascii="Book Antiqua" w:eastAsia="Book Antiqua" w:hAnsi="Book Antiqua" w:cs="Book Antiqua"/>
          <w:i/>
          <w:iCs/>
          <w:color w:val="000000"/>
        </w:rPr>
        <w:t>vs</w:t>
      </w:r>
      <w:r w:rsidR="003F4D3A" w:rsidRPr="00CF1A02">
        <w:rPr>
          <w:rFonts w:ascii="Book Antiqua" w:eastAsia="Book Antiqua" w:hAnsi="Book Antiqua" w:cs="Book Antiqua"/>
          <w:color w:val="000000"/>
        </w:rPr>
        <w:t xml:space="preserve"> Group C; </w:t>
      </w:r>
      <w:r w:rsidR="003F4D3A" w:rsidRPr="00CF1A02">
        <w:rPr>
          <w:rFonts w:ascii="Book Antiqua" w:eastAsia="Book Antiqua" w:hAnsi="Book Antiqua" w:cs="Book Antiqua"/>
          <w:i/>
          <w:iCs/>
          <w:color w:val="000000"/>
        </w:rPr>
        <w:t xml:space="preserve">P </w:t>
      </w:r>
      <w:r w:rsidR="003F4D3A" w:rsidRPr="00CF1A02">
        <w:rPr>
          <w:rFonts w:ascii="Book Antiqua" w:eastAsia="Book Antiqua" w:hAnsi="Book Antiqua" w:cs="Book Antiqua"/>
          <w:color w:val="000000"/>
        </w:rPr>
        <w:t>= 0.145)</w:t>
      </w:r>
      <w:r w:rsidRPr="00CF1A02">
        <w:rPr>
          <w:rFonts w:ascii="Book Antiqua" w:eastAsia="Book Antiqua" w:hAnsi="Book Antiqua" w:cs="Book Antiqua"/>
          <w:color w:val="000000"/>
        </w:rPr>
        <w:t xml:space="preserve">; and </w:t>
      </w:r>
      <w:r w:rsidR="003F4D3A" w:rsidRPr="00CF1A02">
        <w:rPr>
          <w:rFonts w:ascii="Book Antiqua" w:eastAsia="Book Antiqua" w:hAnsi="Book Antiqua" w:cs="Book Antiqua"/>
          <w:color w:val="000000"/>
        </w:rPr>
        <w:t>B</w:t>
      </w:r>
      <w:r w:rsidRPr="00CF1A02">
        <w:rPr>
          <w:rFonts w:ascii="Book Antiqua" w:eastAsia="Book Antiqua" w:hAnsi="Book Antiqua" w:cs="Book Antiqua"/>
          <w:color w:val="000000"/>
        </w:rPr>
        <w:t>:</w:t>
      </w:r>
      <w:r w:rsidR="003F4D3A" w:rsidRPr="00CF1A02">
        <w:rPr>
          <w:rFonts w:ascii="Book Antiqua" w:eastAsia="Book Antiqua" w:hAnsi="Book Antiqua" w:cs="Book Antiqua"/>
          <w:color w:val="000000"/>
        </w:rPr>
        <w:t xml:space="preserve"> Five-year overall survival in the groups according to pre- and post-C</w:t>
      </w:r>
      <w:r w:rsidRPr="00CF1A02">
        <w:rPr>
          <w:rFonts w:ascii="Book Antiqua" w:eastAsia="Book Antiqua" w:hAnsi="Book Antiqua" w:cs="Book Antiqua"/>
          <w:color w:val="000000"/>
        </w:rPr>
        <w:t xml:space="preserve">RT serum CEA levels (Group A </w:t>
      </w:r>
      <w:r w:rsidRPr="00CF1A02">
        <w:rPr>
          <w:rFonts w:ascii="Book Antiqua" w:eastAsia="Book Antiqua" w:hAnsi="Book Antiqua" w:cs="Book Antiqua"/>
          <w:i/>
          <w:color w:val="000000"/>
        </w:rPr>
        <w:t>vs</w:t>
      </w:r>
      <w:r w:rsidR="003F4D3A" w:rsidRPr="00CF1A02">
        <w:rPr>
          <w:rFonts w:ascii="Book Antiqua" w:eastAsia="Book Antiqua" w:hAnsi="Book Antiqua" w:cs="Book Antiqua"/>
          <w:color w:val="000000"/>
        </w:rPr>
        <w:t xml:space="preserve"> Group B </w:t>
      </w:r>
      <w:r w:rsidR="003F4D3A" w:rsidRPr="00CF1A02">
        <w:rPr>
          <w:rFonts w:ascii="Book Antiqua" w:eastAsia="Book Antiqua" w:hAnsi="Book Antiqua" w:cs="Book Antiqua"/>
          <w:i/>
          <w:iCs/>
          <w:color w:val="000000"/>
        </w:rPr>
        <w:t>vs</w:t>
      </w:r>
      <w:r w:rsidR="003F4D3A" w:rsidRPr="00CF1A02">
        <w:rPr>
          <w:rFonts w:ascii="Book Antiqua" w:eastAsia="Book Antiqua" w:hAnsi="Book Antiqua" w:cs="Book Antiqua"/>
          <w:color w:val="000000"/>
        </w:rPr>
        <w:t xml:space="preserve"> Group C; </w:t>
      </w:r>
      <w:r w:rsidR="003F4D3A" w:rsidRPr="00CF1A02">
        <w:rPr>
          <w:rFonts w:ascii="Book Antiqua" w:eastAsia="Book Antiqua" w:hAnsi="Book Antiqua" w:cs="Book Antiqua"/>
          <w:i/>
          <w:iCs/>
          <w:color w:val="000000"/>
        </w:rPr>
        <w:t>P</w:t>
      </w:r>
      <w:r w:rsidRPr="00CF1A02">
        <w:rPr>
          <w:rFonts w:ascii="Book Antiqua" w:eastAsia="Book Antiqua" w:hAnsi="Book Antiqua" w:cs="Book Antiqua"/>
          <w:i/>
          <w:iCs/>
          <w:color w:val="000000"/>
        </w:rPr>
        <w:t xml:space="preserve"> </w:t>
      </w:r>
      <w:r w:rsidR="003F4D3A"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w:t>
      </w:r>
      <w:r w:rsidR="00BB4BB9" w:rsidRPr="00CF1A02">
        <w:rPr>
          <w:rFonts w:ascii="Book Antiqua" w:eastAsia="Book Antiqua" w:hAnsi="Book Antiqua" w:cs="Book Antiqua"/>
          <w:color w:val="000000"/>
        </w:rPr>
        <w:t>0.005).</w:t>
      </w:r>
      <w:r w:rsidR="00BB4BB9" w:rsidRPr="00CF1A02">
        <w:rPr>
          <w:rFonts w:ascii="Book Antiqua" w:hAnsi="Book Antiqua" w:cs="Book Antiqua"/>
          <w:color w:val="000000"/>
          <w:lang w:eastAsia="zh-CN"/>
        </w:rPr>
        <w:t xml:space="preserve"> </w:t>
      </w:r>
      <w:r w:rsidR="003F4D3A" w:rsidRPr="00CF1A02">
        <w:rPr>
          <w:rFonts w:ascii="Book Antiqua" w:eastAsia="Book Antiqua" w:hAnsi="Book Antiqua" w:cs="Book Antiqua"/>
          <w:color w:val="000000"/>
        </w:rPr>
        <w:t>Group A: patients with pre- and post-CRT CEA levels &gt;</w:t>
      </w:r>
      <w:r w:rsidR="00F3109D" w:rsidRPr="00CF1A02">
        <w:rPr>
          <w:rFonts w:ascii="Book Antiqua" w:eastAsia="Book Antiqua" w:hAnsi="Book Antiqua" w:cs="Book Antiqua"/>
          <w:color w:val="000000"/>
        </w:rPr>
        <w:t xml:space="preserve"> </w:t>
      </w:r>
      <w:r w:rsidR="003F4D3A" w:rsidRPr="00CF1A02">
        <w:rPr>
          <w:rFonts w:ascii="Book Antiqua" w:eastAsia="Book Antiqua" w:hAnsi="Book Antiqua" w:cs="Book Antiqua"/>
          <w:color w:val="000000"/>
        </w:rPr>
        <w:t>5 ng/mL; Group B: patients with pre- and post-CRT CEA levels &gt;</w:t>
      </w:r>
      <w:r w:rsidR="00F3109D" w:rsidRPr="00CF1A02">
        <w:rPr>
          <w:rFonts w:ascii="Book Antiqua" w:eastAsia="Book Antiqua" w:hAnsi="Book Antiqua" w:cs="Book Antiqua"/>
          <w:color w:val="000000"/>
        </w:rPr>
        <w:t xml:space="preserve"> </w:t>
      </w:r>
      <w:r w:rsidR="003F4D3A" w:rsidRPr="00CF1A02">
        <w:rPr>
          <w:rFonts w:ascii="Book Antiqua" w:eastAsia="Book Antiqua" w:hAnsi="Book Antiqua" w:cs="Book Antiqua"/>
          <w:color w:val="000000"/>
        </w:rPr>
        <w:t>5 and ≤</w:t>
      </w:r>
      <w:r w:rsidR="00F3109D" w:rsidRPr="00CF1A02">
        <w:rPr>
          <w:rFonts w:ascii="Book Antiqua" w:eastAsia="Book Antiqua" w:hAnsi="Book Antiqua" w:cs="Book Antiqua"/>
          <w:color w:val="000000"/>
        </w:rPr>
        <w:t xml:space="preserve"> </w:t>
      </w:r>
      <w:r w:rsidR="003F4D3A" w:rsidRPr="00CF1A02">
        <w:rPr>
          <w:rFonts w:ascii="Book Antiqua" w:eastAsia="Book Antiqua" w:hAnsi="Book Antiqua" w:cs="Book Antiqua"/>
          <w:color w:val="000000"/>
        </w:rPr>
        <w:t>5 ng/mL, respectively;</w:t>
      </w:r>
      <w:r w:rsidR="00F3109D" w:rsidRPr="00CF1A02">
        <w:rPr>
          <w:rFonts w:ascii="Book Antiqua" w:eastAsia="Book Antiqua" w:hAnsi="Book Antiqua" w:cs="Book Antiqua"/>
          <w:color w:val="000000"/>
        </w:rPr>
        <w:t xml:space="preserve"> and</w:t>
      </w:r>
      <w:r w:rsidR="003F4D3A" w:rsidRPr="00CF1A02">
        <w:rPr>
          <w:rFonts w:ascii="Book Antiqua" w:eastAsia="Book Antiqua" w:hAnsi="Book Antiqua" w:cs="Book Antiqua"/>
          <w:color w:val="000000"/>
        </w:rPr>
        <w:t xml:space="preserve"> Group C: patients with pre- and post-CRT CEA levels &lt;</w:t>
      </w:r>
      <w:r w:rsidR="00F3109D" w:rsidRPr="00CF1A02">
        <w:rPr>
          <w:rFonts w:ascii="Book Antiqua" w:eastAsia="Book Antiqua" w:hAnsi="Book Antiqua" w:cs="Book Antiqua"/>
          <w:color w:val="000000"/>
        </w:rPr>
        <w:t xml:space="preserve"> </w:t>
      </w:r>
      <w:r w:rsidR="003F4D3A" w:rsidRPr="00CF1A02">
        <w:rPr>
          <w:rFonts w:ascii="Book Antiqua" w:eastAsia="Book Antiqua" w:hAnsi="Book Antiqua" w:cs="Book Antiqua"/>
          <w:color w:val="000000"/>
        </w:rPr>
        <w:t>5 ng/mL</w:t>
      </w:r>
      <w:r w:rsidR="00F3109D" w:rsidRPr="00CF1A02">
        <w:rPr>
          <w:rFonts w:ascii="Book Antiqua" w:eastAsia="Book Antiqua" w:hAnsi="Book Antiqua" w:cs="Book Antiqua"/>
          <w:bCs/>
          <w:color w:val="000000"/>
        </w:rPr>
        <w:t>.</w:t>
      </w:r>
      <w:r w:rsidR="00D45730" w:rsidRPr="00CF1A02">
        <w:rPr>
          <w:rFonts w:ascii="Book Antiqua" w:hAnsi="Book Antiqua" w:cs="Book Antiqua"/>
          <w:b/>
          <w:bCs/>
          <w:color w:val="000000"/>
          <w:lang w:eastAsia="zh-CN"/>
        </w:rPr>
        <w:t xml:space="preserve"> </w:t>
      </w:r>
    </w:p>
    <w:p w14:paraId="7FC3F43F" w14:textId="77777777" w:rsidR="00BB4BB9" w:rsidRPr="00CF1A02" w:rsidRDefault="00BB4BB9" w:rsidP="00CF1A02">
      <w:pPr>
        <w:adjustRightInd w:val="0"/>
        <w:snapToGrid w:val="0"/>
        <w:spacing w:line="360" w:lineRule="auto"/>
        <w:jc w:val="both"/>
        <w:rPr>
          <w:rFonts w:ascii="Book Antiqua" w:eastAsia="Book Antiqua" w:hAnsi="Book Antiqua" w:cs="Book Antiqua"/>
          <w:color w:val="000000"/>
        </w:rPr>
        <w:sectPr w:rsidR="00BB4BB9" w:rsidRPr="00CF1A02" w:rsidSect="00266F1E">
          <w:type w:val="continuous"/>
          <w:pgSz w:w="11906" w:h="16838"/>
          <w:pgMar w:top="1440" w:right="1800" w:bottom="1440" w:left="1800" w:header="851" w:footer="992" w:gutter="0"/>
          <w:cols w:space="425"/>
          <w:docGrid w:linePitch="360"/>
        </w:sectPr>
      </w:pPr>
    </w:p>
    <w:bookmarkEnd w:id="47"/>
    <w:p w14:paraId="31246F17" w14:textId="77777777" w:rsidR="003F4D3A" w:rsidRPr="00CF1A02" w:rsidRDefault="003F4D3A" w:rsidP="00CF1A02">
      <w:pPr>
        <w:adjustRightInd w:val="0"/>
        <w:snapToGrid w:val="0"/>
        <w:spacing w:line="360" w:lineRule="auto"/>
        <w:jc w:val="both"/>
        <w:rPr>
          <w:rFonts w:ascii="Book Antiqua" w:hAnsi="Book Antiqua"/>
          <w:b/>
        </w:rPr>
      </w:pPr>
      <w:r w:rsidRPr="00CF1A02">
        <w:rPr>
          <w:rFonts w:ascii="Book Antiqua" w:hAnsi="Book Antiqua"/>
          <w:b/>
        </w:rPr>
        <w:t>Table 1 Predictive factor for response of preoperative chemoradiation therapy for rectal cancer in the literature</w:t>
      </w:r>
    </w:p>
    <w:tbl>
      <w:tblPr>
        <w:tblW w:w="13149" w:type="dxa"/>
        <w:tblBorders>
          <w:top w:val="single" w:sz="4" w:space="0" w:color="auto"/>
          <w:bottom w:val="single" w:sz="4" w:space="0" w:color="auto"/>
        </w:tblBorders>
        <w:tblLayout w:type="fixed"/>
        <w:tblLook w:val="04A0" w:firstRow="1" w:lastRow="0" w:firstColumn="1" w:lastColumn="0" w:noHBand="0" w:noVBand="1"/>
      </w:tblPr>
      <w:tblGrid>
        <w:gridCol w:w="1696"/>
        <w:gridCol w:w="1701"/>
        <w:gridCol w:w="1673"/>
        <w:gridCol w:w="3969"/>
        <w:gridCol w:w="4110"/>
      </w:tblGrid>
      <w:tr w:rsidR="003F4D3A" w:rsidRPr="00CF1A02" w14:paraId="24215E44" w14:textId="77777777" w:rsidTr="00F413AC">
        <w:tc>
          <w:tcPr>
            <w:tcW w:w="1696" w:type="dxa"/>
            <w:tcBorders>
              <w:top w:val="single" w:sz="4" w:space="0" w:color="auto"/>
              <w:bottom w:val="single" w:sz="4" w:space="0" w:color="auto"/>
            </w:tcBorders>
            <w:vAlign w:val="center"/>
          </w:tcPr>
          <w:p w14:paraId="5DC68053" w14:textId="7BC34FB2" w:rsidR="003F4D3A" w:rsidRPr="00CF1A02" w:rsidRDefault="00BB4BB9" w:rsidP="00CF1A02">
            <w:pPr>
              <w:adjustRightInd w:val="0"/>
              <w:snapToGrid w:val="0"/>
              <w:spacing w:line="360" w:lineRule="auto"/>
              <w:jc w:val="both"/>
              <w:rPr>
                <w:rFonts w:ascii="Book Antiqua" w:hAnsi="Book Antiqua"/>
              </w:rPr>
            </w:pPr>
            <w:r w:rsidRPr="00CF1A02">
              <w:rPr>
                <w:rFonts w:ascii="Book Antiqua" w:hAnsi="Book Antiqua"/>
                <w:b/>
              </w:rPr>
              <w:t>Ref.</w:t>
            </w:r>
          </w:p>
        </w:tc>
        <w:tc>
          <w:tcPr>
            <w:tcW w:w="1701" w:type="dxa"/>
            <w:tcBorders>
              <w:top w:val="single" w:sz="4" w:space="0" w:color="auto"/>
              <w:bottom w:val="single" w:sz="4" w:space="0" w:color="auto"/>
            </w:tcBorders>
            <w:vAlign w:val="center"/>
          </w:tcPr>
          <w:p w14:paraId="614B0A2D" w14:textId="0ED56244" w:rsidR="003F4D3A" w:rsidRPr="00CF1A02" w:rsidRDefault="003F4D3A" w:rsidP="00CF1A02">
            <w:pPr>
              <w:adjustRightInd w:val="0"/>
              <w:snapToGrid w:val="0"/>
              <w:spacing w:line="360" w:lineRule="auto"/>
              <w:jc w:val="both"/>
              <w:rPr>
                <w:rFonts w:ascii="Book Antiqua" w:hAnsi="Book Antiqua"/>
                <w:b/>
              </w:rPr>
            </w:pPr>
            <w:r w:rsidRPr="00CF1A02">
              <w:rPr>
                <w:rFonts w:ascii="Book Antiqua" w:hAnsi="Book Antiqua"/>
                <w:b/>
              </w:rPr>
              <w:t>Study design</w:t>
            </w:r>
          </w:p>
        </w:tc>
        <w:tc>
          <w:tcPr>
            <w:tcW w:w="1673" w:type="dxa"/>
            <w:tcBorders>
              <w:top w:val="single" w:sz="4" w:space="0" w:color="auto"/>
              <w:bottom w:val="single" w:sz="4" w:space="0" w:color="auto"/>
            </w:tcBorders>
            <w:vAlign w:val="center"/>
          </w:tcPr>
          <w:p w14:paraId="16D2540A" w14:textId="7777777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b/>
              </w:rPr>
              <w:t>pCR (%)</w:t>
            </w:r>
          </w:p>
        </w:tc>
        <w:tc>
          <w:tcPr>
            <w:tcW w:w="3969" w:type="dxa"/>
            <w:tcBorders>
              <w:top w:val="single" w:sz="4" w:space="0" w:color="auto"/>
              <w:bottom w:val="single" w:sz="4" w:space="0" w:color="auto"/>
            </w:tcBorders>
            <w:vAlign w:val="center"/>
          </w:tcPr>
          <w:p w14:paraId="6C8E60D6" w14:textId="2895D48D" w:rsidR="003F4D3A" w:rsidRPr="00CF1A02" w:rsidRDefault="003F4D3A" w:rsidP="00CF1A02">
            <w:pPr>
              <w:adjustRightInd w:val="0"/>
              <w:snapToGrid w:val="0"/>
              <w:spacing w:line="360" w:lineRule="auto"/>
              <w:jc w:val="both"/>
              <w:rPr>
                <w:rFonts w:ascii="Book Antiqua" w:hAnsi="Book Antiqua"/>
                <w:b/>
              </w:rPr>
            </w:pPr>
            <w:r w:rsidRPr="00CF1A02">
              <w:rPr>
                <w:rFonts w:ascii="Book Antiqua" w:hAnsi="Book Antiqua"/>
                <w:b/>
              </w:rPr>
              <w:t>Related factor with response</w:t>
            </w:r>
            <w:r w:rsidR="00BB4BB9" w:rsidRPr="00CF1A02">
              <w:rPr>
                <w:rFonts w:ascii="Book Antiqua" w:hAnsi="Book Antiqua"/>
                <w:b/>
                <w:lang w:eastAsia="zh-CN"/>
              </w:rPr>
              <w:t xml:space="preserve"> </w:t>
            </w:r>
            <w:r w:rsidRPr="00CF1A02">
              <w:rPr>
                <w:rFonts w:ascii="Book Antiqua" w:hAnsi="Book Antiqua"/>
                <w:b/>
              </w:rPr>
              <w:t>of preoperative CRT</w:t>
            </w:r>
          </w:p>
        </w:tc>
        <w:tc>
          <w:tcPr>
            <w:tcW w:w="4110" w:type="dxa"/>
            <w:tcBorders>
              <w:top w:val="single" w:sz="4" w:space="0" w:color="auto"/>
              <w:bottom w:val="single" w:sz="4" w:space="0" w:color="auto"/>
            </w:tcBorders>
            <w:vAlign w:val="center"/>
          </w:tcPr>
          <w:p w14:paraId="2D25F47E" w14:textId="7777777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b/>
              </w:rPr>
              <w:t>Independent factor for pCR</w:t>
            </w:r>
          </w:p>
        </w:tc>
      </w:tr>
      <w:tr w:rsidR="003F4D3A" w:rsidRPr="00CF1A02" w14:paraId="75066197" w14:textId="77777777" w:rsidTr="00F413AC">
        <w:trPr>
          <w:trHeight w:val="761"/>
        </w:trPr>
        <w:tc>
          <w:tcPr>
            <w:tcW w:w="1696" w:type="dxa"/>
            <w:tcBorders>
              <w:top w:val="single" w:sz="4" w:space="0" w:color="auto"/>
            </w:tcBorders>
            <w:vAlign w:val="center"/>
          </w:tcPr>
          <w:p w14:paraId="7DCF161C" w14:textId="7A32A52F" w:rsidR="003F4D3A" w:rsidRPr="00CF1A02" w:rsidRDefault="003F4D3A"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 xml:space="preserve">Restivo </w:t>
            </w:r>
            <w:r w:rsidRPr="00CF1A02">
              <w:rPr>
                <w:rFonts w:ascii="Book Antiqua" w:hAnsi="Book Antiqua"/>
                <w:i/>
                <w:color w:val="000000" w:themeColor="text1"/>
              </w:rPr>
              <w:t>et al</w:t>
            </w:r>
            <w:r w:rsidR="00BB4BB9" w:rsidRPr="00CF1A02">
              <w:rPr>
                <w:rFonts w:ascii="Book Antiqua" w:hAnsi="Book Antiqua"/>
                <w:color w:val="000000" w:themeColor="text1"/>
                <w:vertAlign w:val="superscript"/>
              </w:rPr>
              <w:t>[7]</w:t>
            </w:r>
            <w:r w:rsidR="00BB4BB9" w:rsidRPr="00CF1A02">
              <w:rPr>
                <w:rFonts w:ascii="Book Antiqua" w:hAnsi="Book Antiqua"/>
                <w:color w:val="000000" w:themeColor="text1"/>
              </w:rPr>
              <w:t>,</w:t>
            </w:r>
            <w:r w:rsidR="00BB4BB9" w:rsidRPr="00CF1A02">
              <w:rPr>
                <w:rFonts w:ascii="Book Antiqua" w:hAnsi="Book Antiqua"/>
                <w:color w:val="000000" w:themeColor="text1"/>
                <w:lang w:eastAsia="zh-CN"/>
              </w:rPr>
              <w:t xml:space="preserve"> </w:t>
            </w:r>
            <w:r w:rsidRPr="00CF1A02">
              <w:rPr>
                <w:rFonts w:ascii="Book Antiqua" w:hAnsi="Book Antiqua"/>
                <w:color w:val="000000" w:themeColor="text1"/>
              </w:rPr>
              <w:t>2013</w:t>
            </w:r>
          </w:p>
        </w:tc>
        <w:tc>
          <w:tcPr>
            <w:tcW w:w="1701" w:type="dxa"/>
            <w:tcBorders>
              <w:top w:val="single" w:sz="4" w:space="0" w:color="auto"/>
            </w:tcBorders>
            <w:vAlign w:val="center"/>
          </w:tcPr>
          <w:p w14:paraId="0FDC6463" w14:textId="1E435896"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Prospective</w:t>
            </w:r>
            <w:r w:rsidR="00F413AC" w:rsidRPr="00CF1A02">
              <w:rPr>
                <w:rFonts w:ascii="Book Antiqua" w:hAnsi="Book Antiqua"/>
                <w:lang w:eastAsia="zh-CN"/>
              </w:rPr>
              <w:t xml:space="preserve"> </w:t>
            </w:r>
            <w:r w:rsidRPr="00CF1A02">
              <w:rPr>
                <w:rFonts w:ascii="Book Antiqua" w:hAnsi="Book Antiqua"/>
              </w:rPr>
              <w:t>(</w:t>
            </w:r>
            <w:r w:rsidR="00F413AC" w:rsidRPr="00CF1A02">
              <w:rPr>
                <w:rFonts w:ascii="Book Antiqua" w:hAnsi="Book Antiqua"/>
                <w:i/>
              </w:rPr>
              <w:t>n</w:t>
            </w:r>
            <w:r w:rsidR="00B41107" w:rsidRPr="00CF1A02">
              <w:rPr>
                <w:rFonts w:ascii="Book Antiqua" w:hAnsi="Book Antiqua"/>
              </w:rPr>
              <w:t xml:space="preserve"> </w:t>
            </w:r>
            <w:r w:rsidRPr="00CF1A02">
              <w:rPr>
                <w:rFonts w:ascii="Book Antiqua" w:hAnsi="Book Antiqua"/>
              </w:rPr>
              <w:t>=</w:t>
            </w:r>
            <w:r w:rsidR="00B41107" w:rsidRPr="00CF1A02">
              <w:rPr>
                <w:rFonts w:ascii="Book Antiqua" w:hAnsi="Book Antiqua"/>
              </w:rPr>
              <w:t xml:space="preserve"> </w:t>
            </w:r>
            <w:r w:rsidRPr="00CF1A02">
              <w:rPr>
                <w:rFonts w:ascii="Book Antiqua" w:hAnsi="Book Antiqua"/>
              </w:rPr>
              <w:t>260)</w:t>
            </w:r>
          </w:p>
        </w:tc>
        <w:tc>
          <w:tcPr>
            <w:tcW w:w="1673" w:type="dxa"/>
            <w:tcBorders>
              <w:top w:val="single" w:sz="4" w:space="0" w:color="auto"/>
            </w:tcBorders>
            <w:vAlign w:val="center"/>
          </w:tcPr>
          <w:p w14:paraId="1503D0C8" w14:textId="7777777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16.5%</w:t>
            </w:r>
          </w:p>
        </w:tc>
        <w:tc>
          <w:tcPr>
            <w:tcW w:w="3969" w:type="dxa"/>
            <w:tcBorders>
              <w:top w:val="single" w:sz="4" w:space="0" w:color="auto"/>
            </w:tcBorders>
            <w:vAlign w:val="center"/>
          </w:tcPr>
          <w:p w14:paraId="4E6D3F94" w14:textId="77777777" w:rsidR="003F4D3A" w:rsidRPr="00CF1A02" w:rsidRDefault="003F4D3A" w:rsidP="00CF1A02">
            <w:pPr>
              <w:adjustRightInd w:val="0"/>
              <w:snapToGrid w:val="0"/>
              <w:spacing w:line="360" w:lineRule="auto"/>
              <w:jc w:val="both"/>
              <w:rPr>
                <w:rFonts w:ascii="Book Antiqua" w:hAnsi="Book Antiqua"/>
              </w:rPr>
            </w:pPr>
          </w:p>
        </w:tc>
        <w:tc>
          <w:tcPr>
            <w:tcW w:w="4110" w:type="dxa"/>
            <w:tcBorders>
              <w:top w:val="single" w:sz="4" w:space="0" w:color="auto"/>
            </w:tcBorders>
            <w:vAlign w:val="center"/>
          </w:tcPr>
          <w:p w14:paraId="6702E48A" w14:textId="42F57478" w:rsidR="003F4D3A" w:rsidRPr="00CF1A02" w:rsidRDefault="00F413AC" w:rsidP="00CF1A02">
            <w:pPr>
              <w:adjustRightInd w:val="0"/>
              <w:snapToGrid w:val="0"/>
              <w:spacing w:line="360" w:lineRule="auto"/>
              <w:jc w:val="both"/>
              <w:rPr>
                <w:rFonts w:ascii="Book Antiqua" w:hAnsi="Book Antiqua"/>
              </w:rPr>
            </w:pPr>
            <w:r w:rsidRPr="00CF1A02">
              <w:rPr>
                <w:rFonts w:ascii="Book Antiqua" w:hAnsi="Book Antiqua"/>
              </w:rPr>
              <w:t>CEA &lt; 5 ng/mL and distance</w:t>
            </w:r>
            <w:r w:rsidRPr="00CF1A02">
              <w:rPr>
                <w:rFonts w:ascii="Book Antiqua" w:hAnsi="Book Antiqua"/>
                <w:lang w:eastAsia="zh-CN"/>
              </w:rPr>
              <w:t xml:space="preserve"> </w:t>
            </w:r>
            <w:r w:rsidR="003F4D3A" w:rsidRPr="00CF1A02">
              <w:rPr>
                <w:rFonts w:ascii="Book Antiqua" w:hAnsi="Book Antiqua"/>
              </w:rPr>
              <w:t>from anal verge &gt; 5 cm</w:t>
            </w:r>
          </w:p>
        </w:tc>
      </w:tr>
      <w:tr w:rsidR="003F4D3A" w:rsidRPr="00CF1A02" w14:paraId="0F2DFC10" w14:textId="77777777" w:rsidTr="00F413AC">
        <w:tc>
          <w:tcPr>
            <w:tcW w:w="1696" w:type="dxa"/>
            <w:vAlign w:val="center"/>
          </w:tcPr>
          <w:p w14:paraId="34219E41" w14:textId="40B6AB15" w:rsidR="003F4D3A" w:rsidRPr="00CF1A02" w:rsidRDefault="003F4D3A"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 xml:space="preserve">Huh </w:t>
            </w:r>
            <w:r w:rsidRPr="00CF1A02">
              <w:rPr>
                <w:rFonts w:ascii="Book Antiqua" w:hAnsi="Book Antiqua"/>
                <w:i/>
                <w:color w:val="000000" w:themeColor="text1"/>
              </w:rPr>
              <w:t>et al</w:t>
            </w:r>
            <w:r w:rsidR="00BB4BB9" w:rsidRPr="00CF1A02">
              <w:rPr>
                <w:rFonts w:ascii="Book Antiqua" w:hAnsi="Book Antiqua"/>
                <w:color w:val="000000" w:themeColor="text1"/>
                <w:vertAlign w:val="superscript"/>
              </w:rPr>
              <w:t>[8]</w:t>
            </w:r>
            <w:r w:rsidR="00BB4BB9" w:rsidRPr="00CF1A02">
              <w:rPr>
                <w:rFonts w:ascii="Book Antiqua" w:hAnsi="Book Antiqua"/>
                <w:color w:val="000000" w:themeColor="text1"/>
              </w:rPr>
              <w:t>,</w:t>
            </w:r>
            <w:r w:rsidR="00BB4BB9" w:rsidRPr="00CF1A02">
              <w:rPr>
                <w:rFonts w:ascii="Book Antiqua" w:hAnsi="Book Antiqua"/>
                <w:color w:val="000000" w:themeColor="text1"/>
                <w:lang w:eastAsia="zh-CN"/>
              </w:rPr>
              <w:t xml:space="preserve"> </w:t>
            </w:r>
            <w:r w:rsidRPr="00CF1A02">
              <w:rPr>
                <w:rFonts w:ascii="Book Antiqua" w:hAnsi="Book Antiqua"/>
                <w:color w:val="000000" w:themeColor="text1"/>
              </w:rPr>
              <w:t>2013</w:t>
            </w:r>
          </w:p>
        </w:tc>
        <w:tc>
          <w:tcPr>
            <w:tcW w:w="1701" w:type="dxa"/>
            <w:vAlign w:val="center"/>
          </w:tcPr>
          <w:p w14:paraId="6C8C168C" w14:textId="5FFC2EC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Retrospective(</w:t>
            </w:r>
            <w:r w:rsidR="00F413AC" w:rsidRPr="00CF1A02">
              <w:rPr>
                <w:rFonts w:ascii="Book Antiqua" w:hAnsi="Book Antiqua"/>
                <w:i/>
              </w:rPr>
              <w:t>n</w:t>
            </w:r>
            <w:r w:rsidR="00B41107" w:rsidRPr="00CF1A02">
              <w:rPr>
                <w:rFonts w:ascii="Book Antiqua" w:hAnsi="Book Antiqua"/>
              </w:rPr>
              <w:t xml:space="preserve"> </w:t>
            </w:r>
            <w:r w:rsidRPr="00CF1A02">
              <w:rPr>
                <w:rFonts w:ascii="Book Antiqua" w:hAnsi="Book Antiqua"/>
              </w:rPr>
              <w:t>=</w:t>
            </w:r>
            <w:r w:rsidR="00B41107" w:rsidRPr="00CF1A02">
              <w:rPr>
                <w:rFonts w:ascii="Book Antiqua" w:hAnsi="Book Antiqua"/>
              </w:rPr>
              <w:t xml:space="preserve"> </w:t>
            </w:r>
            <w:r w:rsidRPr="00CF1A02">
              <w:rPr>
                <w:rFonts w:ascii="Book Antiqua" w:hAnsi="Book Antiqua"/>
              </w:rPr>
              <w:t>391)</w:t>
            </w:r>
          </w:p>
        </w:tc>
        <w:tc>
          <w:tcPr>
            <w:tcW w:w="1673" w:type="dxa"/>
            <w:vAlign w:val="center"/>
          </w:tcPr>
          <w:p w14:paraId="5549E0B6" w14:textId="7777777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14.6%</w:t>
            </w:r>
          </w:p>
        </w:tc>
        <w:tc>
          <w:tcPr>
            <w:tcW w:w="3969" w:type="dxa"/>
            <w:vAlign w:val="center"/>
          </w:tcPr>
          <w:p w14:paraId="0D5B3BB7" w14:textId="7588276A"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Noncircumferential tumors,</w:t>
            </w:r>
            <w:r w:rsidR="00F413AC" w:rsidRPr="00CF1A02">
              <w:rPr>
                <w:rFonts w:ascii="Book Antiqua" w:hAnsi="Book Antiqua"/>
                <w:lang w:eastAsia="zh-CN"/>
              </w:rPr>
              <w:t xml:space="preserve"> </w:t>
            </w:r>
            <w:r w:rsidRPr="00CF1A02">
              <w:rPr>
                <w:rFonts w:ascii="Book Antiqua" w:hAnsi="Book Antiqua"/>
              </w:rPr>
              <w:t>Nonmacroscopic ulceration, Well differentiation, Early T, N stage, Low level of pretreatment CEA</w:t>
            </w:r>
          </w:p>
        </w:tc>
        <w:tc>
          <w:tcPr>
            <w:tcW w:w="4110" w:type="dxa"/>
            <w:vAlign w:val="center"/>
          </w:tcPr>
          <w:p w14:paraId="220E06F7" w14:textId="5100E156"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Tumor circumferentiality</w:t>
            </w:r>
            <w:r w:rsidR="00F413AC" w:rsidRPr="00CF1A02">
              <w:rPr>
                <w:rFonts w:ascii="Book Antiqua" w:hAnsi="Book Antiqua"/>
              </w:rPr>
              <w:t>;</w:t>
            </w:r>
            <w:r w:rsidR="00F413AC" w:rsidRPr="00CF1A02">
              <w:rPr>
                <w:rFonts w:ascii="Book Antiqua" w:hAnsi="Book Antiqua"/>
                <w:lang w:eastAsia="zh-CN"/>
              </w:rPr>
              <w:t xml:space="preserve"> </w:t>
            </w:r>
            <w:r w:rsidRPr="00CF1A02">
              <w:rPr>
                <w:rFonts w:ascii="Book Antiqua" w:hAnsi="Book Antiqua"/>
              </w:rPr>
              <w:t>Macroscopic ulceration</w:t>
            </w:r>
            <w:r w:rsidR="00F413AC" w:rsidRPr="00CF1A02">
              <w:rPr>
                <w:rFonts w:ascii="Book Antiqua" w:hAnsi="Book Antiqua"/>
              </w:rPr>
              <w:t>;</w:t>
            </w:r>
            <w:r w:rsidR="00F413AC" w:rsidRPr="00CF1A02">
              <w:rPr>
                <w:rFonts w:ascii="Book Antiqua" w:hAnsi="Book Antiqua"/>
                <w:lang w:eastAsia="zh-CN"/>
              </w:rPr>
              <w:t xml:space="preserve"> </w:t>
            </w:r>
            <w:r w:rsidRPr="00CF1A02">
              <w:rPr>
                <w:rFonts w:ascii="Book Antiqua" w:hAnsi="Book Antiqua"/>
              </w:rPr>
              <w:t>Pretreatment serum CEA &lt; 5 ng/mL</w:t>
            </w:r>
          </w:p>
        </w:tc>
      </w:tr>
      <w:tr w:rsidR="003F4D3A" w:rsidRPr="00CF1A02" w14:paraId="6533F0FB" w14:textId="77777777" w:rsidTr="00F413AC">
        <w:tc>
          <w:tcPr>
            <w:tcW w:w="1696" w:type="dxa"/>
            <w:vAlign w:val="center"/>
          </w:tcPr>
          <w:p w14:paraId="1084CD25" w14:textId="2EDBBD7C" w:rsidR="003F4D3A" w:rsidRPr="00CF1A02" w:rsidRDefault="003F4D3A"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 xml:space="preserve">Wallin </w:t>
            </w:r>
            <w:r w:rsidRPr="00CF1A02">
              <w:rPr>
                <w:rFonts w:ascii="Book Antiqua" w:hAnsi="Book Antiqua"/>
                <w:i/>
                <w:color w:val="000000" w:themeColor="text1"/>
              </w:rPr>
              <w:t>et al</w:t>
            </w:r>
            <w:r w:rsidR="00BB4BB9" w:rsidRPr="00CF1A02">
              <w:rPr>
                <w:rFonts w:ascii="Book Antiqua" w:hAnsi="Book Antiqua"/>
                <w:color w:val="000000" w:themeColor="text1"/>
                <w:vertAlign w:val="superscript"/>
              </w:rPr>
              <w:t>[9]</w:t>
            </w:r>
            <w:r w:rsidR="00BB4BB9" w:rsidRPr="00CF1A02">
              <w:rPr>
                <w:rFonts w:ascii="Book Antiqua" w:hAnsi="Book Antiqua"/>
                <w:color w:val="000000" w:themeColor="text1"/>
              </w:rPr>
              <w:t>,</w:t>
            </w:r>
            <w:r w:rsidR="00BB4BB9" w:rsidRPr="00CF1A02">
              <w:rPr>
                <w:rFonts w:ascii="Book Antiqua" w:hAnsi="Book Antiqua"/>
                <w:color w:val="000000" w:themeColor="text1"/>
                <w:lang w:eastAsia="zh-CN"/>
              </w:rPr>
              <w:t xml:space="preserve"> </w:t>
            </w:r>
            <w:r w:rsidRPr="00CF1A02">
              <w:rPr>
                <w:rFonts w:ascii="Book Antiqua" w:hAnsi="Book Antiqua"/>
                <w:color w:val="000000" w:themeColor="text1"/>
              </w:rPr>
              <w:t>2013</w:t>
            </w:r>
          </w:p>
        </w:tc>
        <w:tc>
          <w:tcPr>
            <w:tcW w:w="1701" w:type="dxa"/>
            <w:vAlign w:val="center"/>
          </w:tcPr>
          <w:p w14:paraId="1ACB1941" w14:textId="45560178"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Retrospective(</w:t>
            </w:r>
            <w:r w:rsidR="00F413AC" w:rsidRPr="00CF1A02">
              <w:rPr>
                <w:rFonts w:ascii="Book Antiqua" w:hAnsi="Book Antiqua"/>
                <w:i/>
              </w:rPr>
              <w:t>n</w:t>
            </w:r>
            <w:r w:rsidR="00B41107" w:rsidRPr="00CF1A02">
              <w:rPr>
                <w:rFonts w:ascii="Book Antiqua" w:hAnsi="Book Antiqua"/>
                <w:i/>
              </w:rPr>
              <w:t xml:space="preserve"> </w:t>
            </w:r>
            <w:r w:rsidRPr="00CF1A02">
              <w:rPr>
                <w:rFonts w:ascii="Book Antiqua" w:hAnsi="Book Antiqua"/>
              </w:rPr>
              <w:t>=</w:t>
            </w:r>
            <w:r w:rsidR="00B41107" w:rsidRPr="00CF1A02">
              <w:rPr>
                <w:rFonts w:ascii="Book Antiqua" w:hAnsi="Book Antiqua"/>
              </w:rPr>
              <w:t xml:space="preserve"> </w:t>
            </w:r>
            <w:r w:rsidRPr="00CF1A02">
              <w:rPr>
                <w:rFonts w:ascii="Book Antiqua" w:hAnsi="Book Antiqua"/>
              </w:rPr>
              <w:t>469)</w:t>
            </w:r>
          </w:p>
        </w:tc>
        <w:tc>
          <w:tcPr>
            <w:tcW w:w="1673" w:type="dxa"/>
            <w:vAlign w:val="center"/>
          </w:tcPr>
          <w:p w14:paraId="7C949D50" w14:textId="7777777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20.0%</w:t>
            </w:r>
          </w:p>
        </w:tc>
        <w:tc>
          <w:tcPr>
            <w:tcW w:w="3969" w:type="dxa"/>
            <w:vAlign w:val="center"/>
          </w:tcPr>
          <w:p w14:paraId="6C6409EF" w14:textId="77777777" w:rsidR="003F4D3A" w:rsidRPr="00CF1A02" w:rsidRDefault="003F4D3A" w:rsidP="00CF1A02">
            <w:pPr>
              <w:adjustRightInd w:val="0"/>
              <w:snapToGrid w:val="0"/>
              <w:spacing w:line="360" w:lineRule="auto"/>
              <w:jc w:val="both"/>
              <w:rPr>
                <w:rFonts w:ascii="Book Antiqua" w:hAnsi="Book Antiqua"/>
              </w:rPr>
            </w:pPr>
          </w:p>
        </w:tc>
        <w:tc>
          <w:tcPr>
            <w:tcW w:w="4110" w:type="dxa"/>
            <w:vAlign w:val="center"/>
          </w:tcPr>
          <w:p w14:paraId="54DE0A09" w14:textId="7777777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 xml:space="preserve">Pretreatment CEA </w:t>
            </w:r>
            <w:r w:rsidRPr="00CF1A02">
              <w:rPr>
                <w:rFonts w:ascii="Book Antiqua" w:eastAsia="Malgun Gothic" w:hAnsi="Book Antiqua"/>
              </w:rPr>
              <w:t>≤</w:t>
            </w:r>
            <w:r w:rsidRPr="00CF1A02">
              <w:rPr>
                <w:rFonts w:ascii="Book Antiqua" w:hAnsi="Book Antiqua"/>
                <w:lang w:eastAsia="zh-CN"/>
              </w:rPr>
              <w:t xml:space="preserve"> </w:t>
            </w:r>
            <w:r w:rsidRPr="00CF1A02">
              <w:rPr>
                <w:rFonts w:ascii="Book Antiqua" w:hAnsi="Book Antiqua"/>
              </w:rPr>
              <w:t>5 ng/mL</w:t>
            </w:r>
          </w:p>
        </w:tc>
      </w:tr>
      <w:tr w:rsidR="003F4D3A" w:rsidRPr="00CF1A02" w14:paraId="156C9D9C" w14:textId="77777777" w:rsidTr="00F413AC">
        <w:tc>
          <w:tcPr>
            <w:tcW w:w="1696" w:type="dxa"/>
            <w:vAlign w:val="center"/>
          </w:tcPr>
          <w:p w14:paraId="5A126B2F" w14:textId="4B63E3D1" w:rsidR="003F4D3A" w:rsidRPr="00CF1A02" w:rsidRDefault="003F4D3A"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 xml:space="preserve">Kleiman </w:t>
            </w:r>
            <w:r w:rsidRPr="00CF1A02">
              <w:rPr>
                <w:rFonts w:ascii="Book Antiqua" w:hAnsi="Book Antiqua"/>
                <w:i/>
                <w:color w:val="000000" w:themeColor="text1"/>
              </w:rPr>
              <w:t>et al</w:t>
            </w:r>
            <w:r w:rsidR="00F413AC" w:rsidRPr="00CF1A02">
              <w:rPr>
                <w:rFonts w:ascii="Book Antiqua" w:hAnsi="Book Antiqua"/>
                <w:color w:val="000000" w:themeColor="text1"/>
                <w:vertAlign w:val="superscript"/>
              </w:rPr>
              <w:t>[10]</w:t>
            </w:r>
            <w:r w:rsidR="00F413AC" w:rsidRPr="00CF1A02">
              <w:rPr>
                <w:rFonts w:ascii="Book Antiqua" w:hAnsi="Book Antiqua"/>
                <w:color w:val="000000" w:themeColor="text1"/>
              </w:rPr>
              <w:t>,</w:t>
            </w:r>
            <w:r w:rsidR="00F413AC" w:rsidRPr="00CF1A02">
              <w:rPr>
                <w:rFonts w:ascii="Book Antiqua" w:hAnsi="Book Antiqua"/>
                <w:color w:val="000000" w:themeColor="text1"/>
                <w:lang w:eastAsia="zh-CN"/>
              </w:rPr>
              <w:t xml:space="preserve"> </w:t>
            </w:r>
            <w:r w:rsidRPr="00CF1A02">
              <w:rPr>
                <w:rFonts w:ascii="Book Antiqua" w:hAnsi="Book Antiqua"/>
                <w:color w:val="000000" w:themeColor="text1"/>
              </w:rPr>
              <w:t>2015</w:t>
            </w:r>
          </w:p>
        </w:tc>
        <w:tc>
          <w:tcPr>
            <w:tcW w:w="1701" w:type="dxa"/>
            <w:vAlign w:val="center"/>
          </w:tcPr>
          <w:p w14:paraId="0D9C83D4" w14:textId="2F412B5D"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Prospective</w:t>
            </w:r>
            <w:r w:rsidR="00F413AC" w:rsidRPr="00CF1A02">
              <w:rPr>
                <w:rFonts w:ascii="Book Antiqua" w:hAnsi="Book Antiqua"/>
                <w:lang w:eastAsia="zh-CN"/>
              </w:rPr>
              <w:t xml:space="preserve"> </w:t>
            </w:r>
            <w:r w:rsidRPr="00CF1A02">
              <w:rPr>
                <w:rFonts w:ascii="Book Antiqua" w:hAnsi="Book Antiqua"/>
              </w:rPr>
              <w:t>(</w:t>
            </w:r>
            <w:r w:rsidR="00F413AC" w:rsidRPr="00CF1A02">
              <w:rPr>
                <w:rFonts w:ascii="Book Antiqua" w:hAnsi="Book Antiqua"/>
                <w:i/>
              </w:rPr>
              <w:t>n</w:t>
            </w:r>
            <w:r w:rsidR="00B41107" w:rsidRPr="00CF1A02">
              <w:rPr>
                <w:rFonts w:ascii="Book Antiqua" w:hAnsi="Book Antiqua"/>
                <w:i/>
              </w:rPr>
              <w:t xml:space="preserve"> </w:t>
            </w:r>
            <w:r w:rsidRPr="00CF1A02">
              <w:rPr>
                <w:rFonts w:ascii="Book Antiqua" w:hAnsi="Book Antiqua"/>
              </w:rPr>
              <w:t>=</w:t>
            </w:r>
            <w:r w:rsidR="00B41107" w:rsidRPr="00CF1A02">
              <w:rPr>
                <w:rFonts w:ascii="Book Antiqua" w:hAnsi="Book Antiqua"/>
              </w:rPr>
              <w:t xml:space="preserve"> </w:t>
            </w:r>
            <w:r w:rsidRPr="00CF1A02">
              <w:rPr>
                <w:rFonts w:ascii="Book Antiqua" w:hAnsi="Book Antiqua"/>
              </w:rPr>
              <w:t>141)</w:t>
            </w:r>
          </w:p>
        </w:tc>
        <w:tc>
          <w:tcPr>
            <w:tcW w:w="1673" w:type="dxa"/>
            <w:vAlign w:val="center"/>
          </w:tcPr>
          <w:p w14:paraId="487A091F" w14:textId="7777777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13.5%</w:t>
            </w:r>
          </w:p>
        </w:tc>
        <w:tc>
          <w:tcPr>
            <w:tcW w:w="3969" w:type="dxa"/>
            <w:vAlign w:val="center"/>
          </w:tcPr>
          <w:p w14:paraId="0CBCD171" w14:textId="77777777" w:rsidR="003F4D3A" w:rsidRPr="00CF1A02" w:rsidRDefault="003F4D3A" w:rsidP="00CF1A02">
            <w:pPr>
              <w:adjustRightInd w:val="0"/>
              <w:snapToGrid w:val="0"/>
              <w:spacing w:line="360" w:lineRule="auto"/>
              <w:jc w:val="both"/>
              <w:rPr>
                <w:rFonts w:ascii="Book Antiqua" w:hAnsi="Book Antiqua"/>
              </w:rPr>
            </w:pPr>
          </w:p>
        </w:tc>
        <w:tc>
          <w:tcPr>
            <w:tcW w:w="4110" w:type="dxa"/>
            <w:vAlign w:val="center"/>
          </w:tcPr>
          <w:p w14:paraId="338F2434" w14:textId="28DF00E6"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Low post CRT CEA level</w:t>
            </w:r>
            <w:r w:rsidR="00F413AC" w:rsidRPr="00CF1A02">
              <w:rPr>
                <w:rFonts w:ascii="Book Antiqua" w:hAnsi="Book Antiqua"/>
              </w:rPr>
              <w:t>;</w:t>
            </w:r>
            <w:r w:rsidR="00F413AC" w:rsidRPr="00CF1A02">
              <w:rPr>
                <w:rFonts w:ascii="Book Antiqua" w:hAnsi="Book Antiqua"/>
                <w:lang w:eastAsia="zh-CN"/>
              </w:rPr>
              <w:t xml:space="preserve"> </w:t>
            </w:r>
            <w:r w:rsidRPr="00CF1A02">
              <w:rPr>
                <w:rFonts w:ascii="Book Antiqua" w:hAnsi="Book Antiqua"/>
              </w:rPr>
              <w:t>Normalization of CEA from initial elevated</w:t>
            </w:r>
            <w:r w:rsidR="00F413AC" w:rsidRPr="00CF1A02">
              <w:rPr>
                <w:rFonts w:ascii="Book Antiqua" w:hAnsi="Book Antiqua"/>
              </w:rPr>
              <w:t>;</w:t>
            </w:r>
            <w:r w:rsidR="00F413AC" w:rsidRPr="00CF1A02">
              <w:rPr>
                <w:rFonts w:ascii="Book Antiqua" w:hAnsi="Book Antiqua"/>
                <w:lang w:eastAsia="zh-CN"/>
              </w:rPr>
              <w:t xml:space="preserve"> </w:t>
            </w:r>
            <w:r w:rsidRPr="00CF1A02">
              <w:rPr>
                <w:rFonts w:ascii="Book Antiqua" w:hAnsi="Book Antiqua"/>
              </w:rPr>
              <w:t>CEA level</w:t>
            </w:r>
          </w:p>
        </w:tc>
      </w:tr>
      <w:tr w:rsidR="003F4D3A" w:rsidRPr="00CF1A02" w14:paraId="3765EB12" w14:textId="77777777" w:rsidTr="00F413AC">
        <w:tc>
          <w:tcPr>
            <w:tcW w:w="1696" w:type="dxa"/>
            <w:vAlign w:val="center"/>
          </w:tcPr>
          <w:p w14:paraId="7786EA46" w14:textId="30C8F0EB"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 xml:space="preserve">Hu </w:t>
            </w:r>
            <w:r w:rsidRPr="00CF1A02">
              <w:rPr>
                <w:rFonts w:ascii="Book Antiqua" w:hAnsi="Book Antiqua"/>
                <w:i/>
              </w:rPr>
              <w:t>et al</w:t>
            </w:r>
            <w:r w:rsidR="00F413AC" w:rsidRPr="00CF1A02">
              <w:rPr>
                <w:rFonts w:ascii="Book Antiqua" w:hAnsi="Book Antiqua"/>
                <w:vertAlign w:val="superscript"/>
              </w:rPr>
              <w:t>[11]</w:t>
            </w:r>
            <w:r w:rsidR="00F413AC" w:rsidRPr="00CF1A02">
              <w:rPr>
                <w:rFonts w:ascii="Book Antiqua" w:hAnsi="Book Antiqua"/>
              </w:rPr>
              <w:t>,</w:t>
            </w:r>
            <w:r w:rsidR="00F413AC" w:rsidRPr="00CF1A02">
              <w:rPr>
                <w:rFonts w:ascii="Book Antiqua" w:hAnsi="Book Antiqua"/>
                <w:lang w:eastAsia="zh-CN"/>
              </w:rPr>
              <w:t xml:space="preserve"> </w:t>
            </w:r>
            <w:r w:rsidRPr="00CF1A02">
              <w:rPr>
                <w:rFonts w:ascii="Book Antiqua" w:hAnsi="Book Antiqua"/>
              </w:rPr>
              <w:t>2018</w:t>
            </w:r>
          </w:p>
        </w:tc>
        <w:tc>
          <w:tcPr>
            <w:tcW w:w="1701" w:type="dxa"/>
            <w:vAlign w:val="center"/>
          </w:tcPr>
          <w:p w14:paraId="79D9E7DD" w14:textId="03A4DDDA"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Prospective</w:t>
            </w:r>
            <w:r w:rsidR="00F413AC" w:rsidRPr="00CF1A02">
              <w:rPr>
                <w:rFonts w:ascii="Book Antiqua" w:hAnsi="Book Antiqua"/>
                <w:lang w:eastAsia="zh-CN"/>
              </w:rPr>
              <w:t xml:space="preserve"> </w:t>
            </w:r>
            <w:r w:rsidRPr="00CF1A02">
              <w:rPr>
                <w:rFonts w:ascii="Book Antiqua" w:hAnsi="Book Antiqua"/>
              </w:rPr>
              <w:t>(</w:t>
            </w:r>
            <w:r w:rsidR="00F413AC" w:rsidRPr="00CF1A02">
              <w:rPr>
                <w:rFonts w:ascii="Book Antiqua" w:hAnsi="Book Antiqua"/>
                <w:i/>
              </w:rPr>
              <w:t>n</w:t>
            </w:r>
            <w:r w:rsidR="00B41107" w:rsidRPr="00CF1A02">
              <w:rPr>
                <w:rFonts w:ascii="Book Antiqua" w:hAnsi="Book Antiqua"/>
                <w:i/>
              </w:rPr>
              <w:t xml:space="preserve"> </w:t>
            </w:r>
            <w:r w:rsidRPr="00CF1A02">
              <w:rPr>
                <w:rFonts w:ascii="Book Antiqua" w:hAnsi="Book Antiqua"/>
              </w:rPr>
              <w:t>=</w:t>
            </w:r>
            <w:r w:rsidR="00B41107" w:rsidRPr="00CF1A02">
              <w:rPr>
                <w:rFonts w:ascii="Book Antiqua" w:hAnsi="Book Antiqua"/>
              </w:rPr>
              <w:t xml:space="preserve"> </w:t>
            </w:r>
            <w:r w:rsidRPr="00CF1A02">
              <w:rPr>
                <w:rFonts w:ascii="Book Antiqua" w:hAnsi="Book Antiqua"/>
              </w:rPr>
              <w:t>146)</w:t>
            </w:r>
          </w:p>
        </w:tc>
        <w:tc>
          <w:tcPr>
            <w:tcW w:w="1673" w:type="dxa"/>
            <w:vAlign w:val="center"/>
          </w:tcPr>
          <w:p w14:paraId="37A10A2A" w14:textId="7777777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15.0%</w:t>
            </w:r>
          </w:p>
        </w:tc>
        <w:tc>
          <w:tcPr>
            <w:tcW w:w="3969" w:type="dxa"/>
            <w:vAlign w:val="center"/>
          </w:tcPr>
          <w:p w14:paraId="4D030209" w14:textId="59709A0D"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CEA exponential decrease group betw</w:t>
            </w:r>
            <w:r w:rsidR="00F413AC" w:rsidRPr="00CF1A02">
              <w:rPr>
                <w:rFonts w:ascii="Book Antiqua" w:hAnsi="Book Antiqua"/>
              </w:rPr>
              <w:t>een pretreatment and during-CRT</w:t>
            </w:r>
            <w:r w:rsidRPr="00CF1A02">
              <w:rPr>
                <w:rFonts w:ascii="Book Antiqua" w:hAnsi="Book Antiqua"/>
              </w:rPr>
              <w:t>: higher rates of downstaging and pCR</w:t>
            </w:r>
          </w:p>
        </w:tc>
        <w:tc>
          <w:tcPr>
            <w:tcW w:w="4110" w:type="dxa"/>
            <w:vAlign w:val="center"/>
          </w:tcPr>
          <w:p w14:paraId="0771E4DF" w14:textId="7777777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CEA clearance pattern</w:t>
            </w:r>
          </w:p>
        </w:tc>
      </w:tr>
      <w:tr w:rsidR="003F4D3A" w:rsidRPr="00CF1A02" w14:paraId="04EB605D" w14:textId="77777777" w:rsidTr="00F413AC">
        <w:tc>
          <w:tcPr>
            <w:tcW w:w="1696" w:type="dxa"/>
            <w:vAlign w:val="center"/>
          </w:tcPr>
          <w:p w14:paraId="4FEE46D8" w14:textId="2B5AF7EC"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 xml:space="preserve">Yamamoto </w:t>
            </w:r>
            <w:r w:rsidRPr="00CF1A02">
              <w:rPr>
                <w:rFonts w:ascii="Book Antiqua" w:hAnsi="Book Antiqua"/>
                <w:i/>
              </w:rPr>
              <w:t xml:space="preserve">et </w:t>
            </w:r>
            <w:r w:rsidR="00F413AC" w:rsidRPr="00CF1A02">
              <w:rPr>
                <w:rFonts w:ascii="Book Antiqua" w:hAnsi="Book Antiqua"/>
                <w:i/>
              </w:rPr>
              <w:t>al</w:t>
            </w:r>
            <w:r w:rsidR="00F413AC" w:rsidRPr="00CF1A02">
              <w:rPr>
                <w:rFonts w:ascii="Book Antiqua" w:hAnsi="Book Antiqua"/>
                <w:vertAlign w:val="superscript"/>
              </w:rPr>
              <w:t>[12]</w:t>
            </w:r>
            <w:r w:rsidR="00F413AC" w:rsidRPr="00CF1A02">
              <w:rPr>
                <w:rFonts w:ascii="Book Antiqua" w:hAnsi="Book Antiqua"/>
              </w:rPr>
              <w:t>,</w:t>
            </w:r>
            <w:r w:rsidR="00F413AC" w:rsidRPr="00CF1A02">
              <w:rPr>
                <w:rFonts w:ascii="Book Antiqua" w:hAnsi="Book Antiqua"/>
                <w:lang w:eastAsia="zh-CN"/>
              </w:rPr>
              <w:t xml:space="preserve"> </w:t>
            </w:r>
            <w:r w:rsidRPr="00CF1A02">
              <w:rPr>
                <w:rFonts w:ascii="Book Antiqua" w:hAnsi="Book Antiqua"/>
              </w:rPr>
              <w:t>2019</w:t>
            </w:r>
          </w:p>
        </w:tc>
        <w:tc>
          <w:tcPr>
            <w:tcW w:w="1701" w:type="dxa"/>
            <w:vAlign w:val="center"/>
          </w:tcPr>
          <w:p w14:paraId="150C4839" w14:textId="05F4960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Prospective</w:t>
            </w:r>
            <w:r w:rsidR="00F413AC" w:rsidRPr="00CF1A02">
              <w:rPr>
                <w:rFonts w:ascii="Book Antiqua" w:hAnsi="Book Antiqua"/>
                <w:lang w:eastAsia="zh-CN"/>
              </w:rPr>
              <w:t xml:space="preserve"> </w:t>
            </w:r>
            <w:r w:rsidRPr="00CF1A02">
              <w:rPr>
                <w:rFonts w:ascii="Book Antiqua" w:hAnsi="Book Antiqua"/>
              </w:rPr>
              <w:t>(</w:t>
            </w:r>
            <w:r w:rsidR="00F413AC" w:rsidRPr="00CF1A02">
              <w:rPr>
                <w:rFonts w:ascii="Book Antiqua" w:hAnsi="Book Antiqua"/>
                <w:i/>
              </w:rPr>
              <w:t>n</w:t>
            </w:r>
            <w:r w:rsidR="00B41107" w:rsidRPr="00CF1A02">
              <w:rPr>
                <w:rFonts w:ascii="Book Antiqua" w:hAnsi="Book Antiqua"/>
              </w:rPr>
              <w:t xml:space="preserve"> </w:t>
            </w:r>
            <w:r w:rsidRPr="00CF1A02">
              <w:rPr>
                <w:rFonts w:ascii="Book Antiqua" w:hAnsi="Book Antiqua"/>
              </w:rPr>
              <w:t>=</w:t>
            </w:r>
            <w:r w:rsidR="00B41107" w:rsidRPr="00CF1A02">
              <w:rPr>
                <w:rFonts w:ascii="Book Antiqua" w:hAnsi="Book Antiqua"/>
              </w:rPr>
              <w:t xml:space="preserve"> </w:t>
            </w:r>
            <w:r w:rsidRPr="00CF1A02">
              <w:rPr>
                <w:rFonts w:ascii="Book Antiqua" w:hAnsi="Book Antiqua"/>
              </w:rPr>
              <w:t>111)</w:t>
            </w:r>
          </w:p>
        </w:tc>
        <w:tc>
          <w:tcPr>
            <w:tcW w:w="1673" w:type="dxa"/>
            <w:vAlign w:val="center"/>
          </w:tcPr>
          <w:p w14:paraId="133B5EFF" w14:textId="77777777" w:rsidR="003F4D3A" w:rsidRPr="00CF1A02" w:rsidRDefault="003F4D3A" w:rsidP="00CF1A02">
            <w:pPr>
              <w:adjustRightInd w:val="0"/>
              <w:snapToGrid w:val="0"/>
              <w:spacing w:line="360" w:lineRule="auto"/>
              <w:jc w:val="both"/>
              <w:rPr>
                <w:rFonts w:ascii="Book Antiqua" w:hAnsi="Book Antiqua"/>
              </w:rPr>
            </w:pPr>
          </w:p>
        </w:tc>
        <w:tc>
          <w:tcPr>
            <w:tcW w:w="3969" w:type="dxa"/>
            <w:vAlign w:val="center"/>
          </w:tcPr>
          <w:p w14:paraId="0CBADB7D" w14:textId="3865DEEC"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Combination of lymphocyte to</w:t>
            </w:r>
            <w:r w:rsidR="00F413AC" w:rsidRPr="00CF1A02">
              <w:rPr>
                <w:rFonts w:ascii="Book Antiqua" w:hAnsi="Book Antiqua"/>
                <w:lang w:eastAsia="zh-CN"/>
              </w:rPr>
              <w:t xml:space="preserve"> </w:t>
            </w:r>
            <w:r w:rsidR="00F413AC" w:rsidRPr="00CF1A02">
              <w:rPr>
                <w:rFonts w:ascii="Book Antiqua" w:hAnsi="Book Antiqua"/>
              </w:rPr>
              <w:t>monocyte ratio (LMR) and ypN;</w:t>
            </w:r>
            <w:r w:rsidR="00F413AC" w:rsidRPr="00CF1A02">
              <w:rPr>
                <w:rFonts w:ascii="Book Antiqua" w:hAnsi="Book Antiqua"/>
                <w:lang w:eastAsia="zh-CN"/>
              </w:rPr>
              <w:t xml:space="preserve"> </w:t>
            </w:r>
            <w:r w:rsidRPr="00CF1A02">
              <w:rPr>
                <w:rFonts w:ascii="Book Antiqua" w:hAnsi="Book Antiqua"/>
              </w:rPr>
              <w:t>status: poor prognosis</w:t>
            </w:r>
          </w:p>
        </w:tc>
        <w:tc>
          <w:tcPr>
            <w:tcW w:w="4110" w:type="dxa"/>
            <w:vAlign w:val="center"/>
          </w:tcPr>
          <w:p w14:paraId="79DF41C7" w14:textId="371C72E5"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Low pretreatment LMR</w:t>
            </w:r>
            <w:r w:rsidR="00F413AC" w:rsidRPr="00CF1A02">
              <w:rPr>
                <w:rFonts w:ascii="Book Antiqua" w:hAnsi="Book Antiqua"/>
                <w:lang w:eastAsia="zh-CN"/>
              </w:rPr>
              <w:t xml:space="preserve"> </w:t>
            </w:r>
            <w:r w:rsidRPr="00CF1A02">
              <w:rPr>
                <w:rFonts w:ascii="Book Antiqua" w:hAnsi="Book Antiqua"/>
              </w:rPr>
              <w:t>ypN(+)</w:t>
            </w:r>
          </w:p>
        </w:tc>
      </w:tr>
    </w:tbl>
    <w:p w14:paraId="4898AD54" w14:textId="7D95FE29" w:rsidR="00C04C45" w:rsidRPr="00CF1A02" w:rsidRDefault="00C04C45" w:rsidP="00CF1A02">
      <w:pPr>
        <w:adjustRightInd w:val="0"/>
        <w:snapToGrid w:val="0"/>
        <w:spacing w:line="360" w:lineRule="auto"/>
        <w:jc w:val="both"/>
        <w:rPr>
          <w:rFonts w:ascii="Book Antiqua" w:hAnsi="Book Antiqua"/>
        </w:rPr>
      </w:pPr>
      <w:r w:rsidRPr="00CF1A02">
        <w:rPr>
          <w:rFonts w:ascii="Book Antiqua" w:hAnsi="Book Antiqua"/>
        </w:rPr>
        <w:t>pCR: Pathologic complete response; CEA: Carcinoembryonic antigen; CRT: Chemoradiation treatment</w:t>
      </w:r>
      <w:r w:rsidR="00F413AC" w:rsidRPr="00CF1A02">
        <w:rPr>
          <w:rFonts w:ascii="Book Antiqua" w:hAnsi="Book Antiqua"/>
        </w:rPr>
        <w:t>.</w:t>
      </w:r>
    </w:p>
    <w:p w14:paraId="7E44622D" w14:textId="77777777" w:rsidR="00F413AC" w:rsidRPr="00CF1A02" w:rsidRDefault="00F413AC" w:rsidP="00CF1A02">
      <w:pPr>
        <w:adjustRightInd w:val="0"/>
        <w:snapToGrid w:val="0"/>
        <w:spacing w:line="360" w:lineRule="auto"/>
        <w:jc w:val="both"/>
        <w:rPr>
          <w:rFonts w:ascii="Book Antiqua" w:hAnsi="Book Antiqua"/>
        </w:rPr>
        <w:sectPr w:rsidR="00F413AC" w:rsidRPr="00CF1A02" w:rsidSect="00266F1E">
          <w:type w:val="continuous"/>
          <w:pgSz w:w="16838" w:h="11906" w:orient="landscape"/>
          <w:pgMar w:top="1440" w:right="1800" w:bottom="1440" w:left="1800" w:header="851" w:footer="992" w:gutter="0"/>
          <w:cols w:space="425"/>
          <w:docGrid w:linePitch="360"/>
        </w:sectPr>
      </w:pPr>
    </w:p>
    <w:p w14:paraId="5EA1CB96"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Table 2 Patient characteristics</w:t>
      </w:r>
    </w:p>
    <w:tbl>
      <w:tblPr>
        <w:tblW w:w="8926" w:type="dxa"/>
        <w:tblBorders>
          <w:top w:val="single" w:sz="4" w:space="0" w:color="auto"/>
          <w:bottom w:val="single" w:sz="4" w:space="0" w:color="auto"/>
        </w:tblBorders>
        <w:tblLook w:val="04A0" w:firstRow="1" w:lastRow="0" w:firstColumn="1" w:lastColumn="0" w:noHBand="0" w:noVBand="1"/>
      </w:tblPr>
      <w:tblGrid>
        <w:gridCol w:w="5665"/>
        <w:gridCol w:w="3261"/>
      </w:tblGrid>
      <w:tr w:rsidR="009F6668" w:rsidRPr="00CF1A02" w14:paraId="1F585C1D" w14:textId="77777777" w:rsidTr="00A4655D">
        <w:trPr>
          <w:trHeight w:val="20"/>
        </w:trPr>
        <w:tc>
          <w:tcPr>
            <w:tcW w:w="5665" w:type="dxa"/>
            <w:tcBorders>
              <w:top w:val="single" w:sz="4" w:space="0" w:color="auto"/>
              <w:bottom w:val="single" w:sz="4" w:space="0" w:color="auto"/>
            </w:tcBorders>
            <w:vAlign w:val="center"/>
          </w:tcPr>
          <w:p w14:paraId="000C2D09"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Characteristics</w:t>
            </w:r>
          </w:p>
        </w:tc>
        <w:tc>
          <w:tcPr>
            <w:tcW w:w="3261" w:type="dxa"/>
            <w:tcBorders>
              <w:top w:val="single" w:sz="4" w:space="0" w:color="auto"/>
              <w:bottom w:val="single" w:sz="4" w:space="0" w:color="auto"/>
            </w:tcBorders>
            <w:vAlign w:val="center"/>
          </w:tcPr>
          <w:p w14:paraId="6E286931"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Distribution</w:t>
            </w:r>
          </w:p>
        </w:tc>
      </w:tr>
      <w:tr w:rsidR="009F6668" w:rsidRPr="00CF1A02" w14:paraId="4322077D" w14:textId="77777777" w:rsidTr="00A4655D">
        <w:trPr>
          <w:trHeight w:val="20"/>
        </w:trPr>
        <w:tc>
          <w:tcPr>
            <w:tcW w:w="5665" w:type="dxa"/>
            <w:tcBorders>
              <w:top w:val="single" w:sz="4" w:space="0" w:color="auto"/>
            </w:tcBorders>
            <w:vAlign w:val="center"/>
          </w:tcPr>
          <w:p w14:paraId="1BD28799" w14:textId="19D27843" w:rsidR="009F6668" w:rsidRPr="00CF1A02" w:rsidRDefault="00F413AC" w:rsidP="00CF1A02">
            <w:pPr>
              <w:adjustRightInd w:val="0"/>
              <w:snapToGrid w:val="0"/>
              <w:spacing w:line="360" w:lineRule="auto"/>
              <w:jc w:val="both"/>
              <w:rPr>
                <w:rFonts w:ascii="Book Antiqua" w:hAnsi="Book Antiqua"/>
              </w:rPr>
            </w:pPr>
            <w:r w:rsidRPr="00CF1A02">
              <w:rPr>
                <w:rFonts w:ascii="Book Antiqua" w:hAnsi="Book Antiqua"/>
              </w:rPr>
              <w:t>Age (yr</w:t>
            </w:r>
            <w:r w:rsidR="009F6668" w:rsidRPr="00CF1A02">
              <w:rPr>
                <w:rFonts w:ascii="Book Antiqua" w:hAnsi="Book Antiqua"/>
              </w:rPr>
              <w:t>, mean ± SD)</w:t>
            </w:r>
          </w:p>
        </w:tc>
        <w:tc>
          <w:tcPr>
            <w:tcW w:w="3261" w:type="dxa"/>
            <w:tcBorders>
              <w:top w:val="single" w:sz="4" w:space="0" w:color="auto"/>
            </w:tcBorders>
            <w:vAlign w:val="center"/>
          </w:tcPr>
          <w:p w14:paraId="76A8C1D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60.1 ± 10.9</w:t>
            </w:r>
          </w:p>
        </w:tc>
      </w:tr>
      <w:tr w:rsidR="009F6668" w:rsidRPr="00CF1A02" w14:paraId="45BE0A36" w14:textId="77777777" w:rsidTr="00A4655D">
        <w:trPr>
          <w:trHeight w:val="20"/>
        </w:trPr>
        <w:tc>
          <w:tcPr>
            <w:tcW w:w="5665" w:type="dxa"/>
            <w:vAlign w:val="center"/>
          </w:tcPr>
          <w:p w14:paraId="0B8615E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Sex</w:t>
            </w:r>
          </w:p>
        </w:tc>
        <w:tc>
          <w:tcPr>
            <w:tcW w:w="3261" w:type="dxa"/>
            <w:vAlign w:val="center"/>
          </w:tcPr>
          <w:p w14:paraId="32035AC5"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2C96BF2B" w14:textId="77777777" w:rsidTr="00A4655D">
        <w:trPr>
          <w:trHeight w:val="20"/>
        </w:trPr>
        <w:tc>
          <w:tcPr>
            <w:tcW w:w="5665" w:type="dxa"/>
            <w:vAlign w:val="center"/>
          </w:tcPr>
          <w:p w14:paraId="269AA0DF"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Male</w:t>
            </w:r>
          </w:p>
        </w:tc>
        <w:tc>
          <w:tcPr>
            <w:tcW w:w="3261" w:type="dxa"/>
            <w:vAlign w:val="center"/>
          </w:tcPr>
          <w:p w14:paraId="151A4A0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99 (73.3%)</w:t>
            </w:r>
          </w:p>
        </w:tc>
      </w:tr>
      <w:tr w:rsidR="009F6668" w:rsidRPr="00CF1A02" w14:paraId="2CC72C93" w14:textId="77777777" w:rsidTr="00A4655D">
        <w:trPr>
          <w:trHeight w:val="20"/>
        </w:trPr>
        <w:tc>
          <w:tcPr>
            <w:tcW w:w="5665" w:type="dxa"/>
            <w:vAlign w:val="center"/>
          </w:tcPr>
          <w:p w14:paraId="2E30992F"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Female</w:t>
            </w:r>
          </w:p>
        </w:tc>
        <w:tc>
          <w:tcPr>
            <w:tcW w:w="3261" w:type="dxa"/>
            <w:vAlign w:val="center"/>
          </w:tcPr>
          <w:p w14:paraId="19715B4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36 (26.7%)</w:t>
            </w:r>
          </w:p>
        </w:tc>
      </w:tr>
      <w:tr w:rsidR="009F6668" w:rsidRPr="00CF1A02" w14:paraId="194DE6E5" w14:textId="77777777" w:rsidTr="00A4655D">
        <w:trPr>
          <w:trHeight w:val="20"/>
        </w:trPr>
        <w:tc>
          <w:tcPr>
            <w:tcW w:w="5665" w:type="dxa"/>
            <w:vAlign w:val="center"/>
          </w:tcPr>
          <w:p w14:paraId="7005DA5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BMI (kg/m</w:t>
            </w:r>
            <w:r w:rsidRPr="00CF1A02">
              <w:rPr>
                <w:rFonts w:ascii="Book Antiqua" w:hAnsi="Book Antiqua"/>
                <w:vertAlign w:val="superscript"/>
              </w:rPr>
              <w:t>2</w:t>
            </w:r>
            <w:r w:rsidRPr="00DB5AA7">
              <w:rPr>
                <w:rFonts w:ascii="Book Antiqua" w:hAnsi="Book Antiqua"/>
              </w:rPr>
              <w:t xml:space="preserve">, </w:t>
            </w:r>
            <w:r w:rsidRPr="00CF1A02">
              <w:rPr>
                <w:rFonts w:ascii="Book Antiqua" w:hAnsi="Book Antiqua"/>
              </w:rPr>
              <w:t>mean ± SD)</w:t>
            </w:r>
          </w:p>
        </w:tc>
        <w:tc>
          <w:tcPr>
            <w:tcW w:w="3261" w:type="dxa"/>
            <w:vAlign w:val="center"/>
          </w:tcPr>
          <w:p w14:paraId="2B954A3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22.9 ± 3.1</w:t>
            </w:r>
          </w:p>
        </w:tc>
      </w:tr>
      <w:tr w:rsidR="009F6668" w:rsidRPr="00CF1A02" w14:paraId="7B1F6E40" w14:textId="77777777" w:rsidTr="00A4655D">
        <w:trPr>
          <w:trHeight w:val="20"/>
        </w:trPr>
        <w:tc>
          <w:tcPr>
            <w:tcW w:w="5665" w:type="dxa"/>
            <w:vAlign w:val="center"/>
          </w:tcPr>
          <w:p w14:paraId="5C9FA5C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Smoker</w:t>
            </w:r>
          </w:p>
        </w:tc>
        <w:tc>
          <w:tcPr>
            <w:tcW w:w="3261" w:type="dxa"/>
            <w:vAlign w:val="center"/>
          </w:tcPr>
          <w:p w14:paraId="73A77AD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46 (34.1%)</w:t>
            </w:r>
          </w:p>
        </w:tc>
      </w:tr>
      <w:tr w:rsidR="009F6668" w:rsidRPr="00CF1A02" w14:paraId="05E5D668" w14:textId="77777777" w:rsidTr="00A4655D">
        <w:trPr>
          <w:trHeight w:val="20"/>
        </w:trPr>
        <w:tc>
          <w:tcPr>
            <w:tcW w:w="5665" w:type="dxa"/>
            <w:vAlign w:val="center"/>
          </w:tcPr>
          <w:p w14:paraId="7FD594A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ASA</w:t>
            </w:r>
          </w:p>
        </w:tc>
        <w:tc>
          <w:tcPr>
            <w:tcW w:w="3261" w:type="dxa"/>
            <w:vAlign w:val="center"/>
          </w:tcPr>
          <w:p w14:paraId="3FB46079"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530F57FC" w14:textId="77777777" w:rsidTr="00A4655D">
        <w:trPr>
          <w:trHeight w:val="20"/>
        </w:trPr>
        <w:tc>
          <w:tcPr>
            <w:tcW w:w="5665" w:type="dxa"/>
            <w:vAlign w:val="center"/>
          </w:tcPr>
          <w:p w14:paraId="5D5EFC17"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1</w:t>
            </w:r>
          </w:p>
        </w:tc>
        <w:tc>
          <w:tcPr>
            <w:tcW w:w="3261" w:type="dxa"/>
            <w:vAlign w:val="center"/>
          </w:tcPr>
          <w:p w14:paraId="1FF9F3E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80 (59.3%)</w:t>
            </w:r>
          </w:p>
        </w:tc>
      </w:tr>
      <w:tr w:rsidR="009F6668" w:rsidRPr="00CF1A02" w14:paraId="2501340C" w14:textId="77777777" w:rsidTr="00A4655D">
        <w:trPr>
          <w:trHeight w:val="20"/>
        </w:trPr>
        <w:tc>
          <w:tcPr>
            <w:tcW w:w="5665" w:type="dxa"/>
            <w:vAlign w:val="center"/>
          </w:tcPr>
          <w:p w14:paraId="0EAF41AE"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2</w:t>
            </w:r>
          </w:p>
        </w:tc>
        <w:tc>
          <w:tcPr>
            <w:tcW w:w="3261" w:type="dxa"/>
            <w:vAlign w:val="center"/>
          </w:tcPr>
          <w:p w14:paraId="74776F9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40 (29.6%)</w:t>
            </w:r>
          </w:p>
        </w:tc>
      </w:tr>
      <w:tr w:rsidR="009F6668" w:rsidRPr="00CF1A02" w14:paraId="1914AEF3" w14:textId="77777777" w:rsidTr="00A4655D">
        <w:trPr>
          <w:trHeight w:val="20"/>
        </w:trPr>
        <w:tc>
          <w:tcPr>
            <w:tcW w:w="5665" w:type="dxa"/>
            <w:vAlign w:val="center"/>
          </w:tcPr>
          <w:p w14:paraId="3A3686C1"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3</w:t>
            </w:r>
          </w:p>
        </w:tc>
        <w:tc>
          <w:tcPr>
            <w:tcW w:w="3261" w:type="dxa"/>
            <w:vAlign w:val="center"/>
          </w:tcPr>
          <w:p w14:paraId="58DC5E2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14 (10.4%)</w:t>
            </w:r>
          </w:p>
        </w:tc>
      </w:tr>
      <w:tr w:rsidR="009F6668" w:rsidRPr="00CF1A02" w14:paraId="2EA15486" w14:textId="77777777" w:rsidTr="00A4655D">
        <w:trPr>
          <w:trHeight w:val="20"/>
        </w:trPr>
        <w:tc>
          <w:tcPr>
            <w:tcW w:w="5665" w:type="dxa"/>
            <w:vAlign w:val="center"/>
          </w:tcPr>
          <w:p w14:paraId="49885D45"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4</w:t>
            </w:r>
          </w:p>
        </w:tc>
        <w:tc>
          <w:tcPr>
            <w:tcW w:w="3261" w:type="dxa"/>
            <w:vAlign w:val="center"/>
          </w:tcPr>
          <w:p w14:paraId="0F6EF45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 (0.7%)</w:t>
            </w:r>
          </w:p>
        </w:tc>
      </w:tr>
      <w:tr w:rsidR="009F6668" w:rsidRPr="00CF1A02" w14:paraId="66FC6BF2" w14:textId="77777777" w:rsidTr="00A4655D">
        <w:trPr>
          <w:trHeight w:val="20"/>
        </w:trPr>
        <w:tc>
          <w:tcPr>
            <w:tcW w:w="5665" w:type="dxa"/>
            <w:vAlign w:val="center"/>
          </w:tcPr>
          <w:p w14:paraId="7E34701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Distance of tumor from the anal verge (cm, mean ± SD)</w:t>
            </w:r>
          </w:p>
        </w:tc>
        <w:tc>
          <w:tcPr>
            <w:tcW w:w="3261" w:type="dxa"/>
            <w:vAlign w:val="center"/>
          </w:tcPr>
          <w:p w14:paraId="3CBE2E2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6.4 ± 3.0</w:t>
            </w:r>
          </w:p>
        </w:tc>
      </w:tr>
      <w:tr w:rsidR="009F6668" w:rsidRPr="00CF1A02" w14:paraId="4D39E99B" w14:textId="77777777" w:rsidTr="00A4655D">
        <w:trPr>
          <w:trHeight w:val="20"/>
        </w:trPr>
        <w:tc>
          <w:tcPr>
            <w:tcW w:w="5665" w:type="dxa"/>
            <w:vAlign w:val="center"/>
          </w:tcPr>
          <w:p w14:paraId="7CC6197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CEA (ng/mL, mean ± SD)</w:t>
            </w:r>
          </w:p>
        </w:tc>
        <w:tc>
          <w:tcPr>
            <w:tcW w:w="3261" w:type="dxa"/>
            <w:vAlign w:val="center"/>
          </w:tcPr>
          <w:p w14:paraId="56CB384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18.1 ± 45.0</w:t>
            </w:r>
          </w:p>
        </w:tc>
      </w:tr>
      <w:tr w:rsidR="009F6668" w:rsidRPr="00CF1A02" w14:paraId="66BD190C" w14:textId="77777777" w:rsidTr="00A4655D">
        <w:trPr>
          <w:trHeight w:val="20"/>
        </w:trPr>
        <w:tc>
          <w:tcPr>
            <w:tcW w:w="5665" w:type="dxa"/>
            <w:vAlign w:val="center"/>
          </w:tcPr>
          <w:p w14:paraId="41C3D0E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tumor size (cm, mean ± SD)</w:t>
            </w:r>
          </w:p>
        </w:tc>
        <w:tc>
          <w:tcPr>
            <w:tcW w:w="3261" w:type="dxa"/>
            <w:vAlign w:val="center"/>
          </w:tcPr>
          <w:p w14:paraId="1031EF7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4.6 ± 1.4</w:t>
            </w:r>
          </w:p>
        </w:tc>
      </w:tr>
      <w:tr w:rsidR="009F6668" w:rsidRPr="00CF1A02" w14:paraId="1FFB1E87" w14:textId="77777777" w:rsidTr="00A4655D">
        <w:trPr>
          <w:trHeight w:val="20"/>
        </w:trPr>
        <w:tc>
          <w:tcPr>
            <w:tcW w:w="5665" w:type="dxa"/>
            <w:vAlign w:val="center"/>
          </w:tcPr>
          <w:p w14:paraId="7F76D99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TNM stage</w:t>
            </w:r>
          </w:p>
        </w:tc>
        <w:tc>
          <w:tcPr>
            <w:tcW w:w="3261" w:type="dxa"/>
            <w:vAlign w:val="center"/>
          </w:tcPr>
          <w:p w14:paraId="0D8770B2"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198D350" w14:textId="77777777" w:rsidTr="00A4655D">
        <w:trPr>
          <w:trHeight w:val="20"/>
        </w:trPr>
        <w:tc>
          <w:tcPr>
            <w:tcW w:w="5665" w:type="dxa"/>
            <w:vAlign w:val="center"/>
          </w:tcPr>
          <w:p w14:paraId="7FCEEDEA"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w:t>
            </w:r>
          </w:p>
        </w:tc>
        <w:tc>
          <w:tcPr>
            <w:tcW w:w="3261" w:type="dxa"/>
            <w:vAlign w:val="center"/>
          </w:tcPr>
          <w:p w14:paraId="408A382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 (0.7%)</w:t>
            </w:r>
          </w:p>
        </w:tc>
      </w:tr>
      <w:tr w:rsidR="009F6668" w:rsidRPr="00CF1A02" w14:paraId="2E05499F" w14:textId="77777777" w:rsidTr="00A4655D">
        <w:trPr>
          <w:trHeight w:val="20"/>
        </w:trPr>
        <w:tc>
          <w:tcPr>
            <w:tcW w:w="5665" w:type="dxa"/>
            <w:vAlign w:val="center"/>
          </w:tcPr>
          <w:p w14:paraId="2EEF5ECF"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II</w:t>
            </w:r>
          </w:p>
        </w:tc>
        <w:tc>
          <w:tcPr>
            <w:tcW w:w="3261" w:type="dxa"/>
            <w:vAlign w:val="center"/>
          </w:tcPr>
          <w:p w14:paraId="3014EE4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13 (9.6%)</w:t>
            </w:r>
          </w:p>
        </w:tc>
      </w:tr>
      <w:tr w:rsidR="009F6668" w:rsidRPr="00CF1A02" w14:paraId="0DC4B1B1" w14:textId="77777777" w:rsidTr="00A4655D">
        <w:trPr>
          <w:trHeight w:val="20"/>
        </w:trPr>
        <w:tc>
          <w:tcPr>
            <w:tcW w:w="5665" w:type="dxa"/>
            <w:vAlign w:val="center"/>
          </w:tcPr>
          <w:p w14:paraId="1BE624F7"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III</w:t>
            </w:r>
          </w:p>
        </w:tc>
        <w:tc>
          <w:tcPr>
            <w:tcW w:w="3261" w:type="dxa"/>
            <w:vAlign w:val="center"/>
          </w:tcPr>
          <w:p w14:paraId="6724E72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121 (89.6%)</w:t>
            </w:r>
          </w:p>
        </w:tc>
      </w:tr>
      <w:tr w:rsidR="009F6668" w:rsidRPr="00CF1A02" w14:paraId="449A549A" w14:textId="77777777" w:rsidTr="00A4655D">
        <w:trPr>
          <w:trHeight w:val="20"/>
        </w:trPr>
        <w:tc>
          <w:tcPr>
            <w:tcW w:w="5665" w:type="dxa"/>
            <w:vAlign w:val="center"/>
          </w:tcPr>
          <w:p w14:paraId="4DE183B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Curative resection after CRT</w:t>
            </w:r>
          </w:p>
        </w:tc>
        <w:tc>
          <w:tcPr>
            <w:tcW w:w="3261" w:type="dxa"/>
            <w:vAlign w:val="center"/>
          </w:tcPr>
          <w:p w14:paraId="5F867744" w14:textId="77777777" w:rsidR="009F6668" w:rsidRPr="00CF1A02" w:rsidRDefault="009F6668" w:rsidP="00CF1A02">
            <w:pPr>
              <w:adjustRightInd w:val="0"/>
              <w:snapToGrid w:val="0"/>
              <w:spacing w:line="360" w:lineRule="auto"/>
              <w:jc w:val="both"/>
              <w:rPr>
                <w:rFonts w:ascii="Book Antiqua" w:hAnsi="Book Antiqua"/>
                <w:color w:val="FF0000"/>
              </w:rPr>
            </w:pPr>
          </w:p>
        </w:tc>
      </w:tr>
      <w:tr w:rsidR="009F6668" w:rsidRPr="00CF1A02" w14:paraId="20012839" w14:textId="77777777" w:rsidTr="00A4655D">
        <w:trPr>
          <w:trHeight w:val="20"/>
        </w:trPr>
        <w:tc>
          <w:tcPr>
            <w:tcW w:w="5665" w:type="dxa"/>
            <w:vAlign w:val="center"/>
          </w:tcPr>
          <w:p w14:paraId="6FAC7D2C"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Low anterior resection</w:t>
            </w:r>
          </w:p>
        </w:tc>
        <w:tc>
          <w:tcPr>
            <w:tcW w:w="3261" w:type="dxa"/>
            <w:vAlign w:val="center"/>
          </w:tcPr>
          <w:p w14:paraId="474AEA0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64 (47.4%)</w:t>
            </w:r>
          </w:p>
        </w:tc>
      </w:tr>
      <w:tr w:rsidR="009F6668" w:rsidRPr="00CF1A02" w14:paraId="467F4245" w14:textId="77777777" w:rsidTr="00A4655D">
        <w:trPr>
          <w:trHeight w:val="20"/>
        </w:trPr>
        <w:tc>
          <w:tcPr>
            <w:tcW w:w="5665" w:type="dxa"/>
            <w:vAlign w:val="center"/>
          </w:tcPr>
          <w:p w14:paraId="6770DB16"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Ultra-low anterior resection</w:t>
            </w:r>
          </w:p>
        </w:tc>
        <w:tc>
          <w:tcPr>
            <w:tcW w:w="3261" w:type="dxa"/>
            <w:vAlign w:val="center"/>
          </w:tcPr>
          <w:p w14:paraId="6F91C6A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17 (12.6%)</w:t>
            </w:r>
          </w:p>
        </w:tc>
      </w:tr>
      <w:tr w:rsidR="009F6668" w:rsidRPr="00CF1A02" w14:paraId="7CB2DD69" w14:textId="77777777" w:rsidTr="00A4655D">
        <w:trPr>
          <w:trHeight w:val="20"/>
        </w:trPr>
        <w:tc>
          <w:tcPr>
            <w:tcW w:w="5665" w:type="dxa"/>
            <w:vAlign w:val="center"/>
          </w:tcPr>
          <w:p w14:paraId="1B1E3B18"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Abdominoperineal resection</w:t>
            </w:r>
          </w:p>
        </w:tc>
        <w:tc>
          <w:tcPr>
            <w:tcW w:w="3261" w:type="dxa"/>
            <w:vAlign w:val="center"/>
          </w:tcPr>
          <w:p w14:paraId="71CDBC0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46 (34.1%)</w:t>
            </w:r>
          </w:p>
        </w:tc>
      </w:tr>
      <w:tr w:rsidR="009F6668" w:rsidRPr="00CF1A02" w14:paraId="360DCB6A" w14:textId="77777777" w:rsidTr="00A4655D">
        <w:trPr>
          <w:trHeight w:val="20"/>
        </w:trPr>
        <w:tc>
          <w:tcPr>
            <w:tcW w:w="5665" w:type="dxa"/>
            <w:vAlign w:val="center"/>
          </w:tcPr>
          <w:p w14:paraId="74E4FE00"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Hartmann operation</w:t>
            </w:r>
          </w:p>
        </w:tc>
        <w:tc>
          <w:tcPr>
            <w:tcW w:w="3261" w:type="dxa"/>
            <w:vAlign w:val="center"/>
          </w:tcPr>
          <w:p w14:paraId="0FF145C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7 (5.2%)</w:t>
            </w:r>
          </w:p>
        </w:tc>
      </w:tr>
      <w:tr w:rsidR="009F6668" w:rsidRPr="00CF1A02" w14:paraId="5394CF24" w14:textId="77777777" w:rsidTr="00A4655D">
        <w:trPr>
          <w:trHeight w:val="20"/>
        </w:trPr>
        <w:tc>
          <w:tcPr>
            <w:tcW w:w="5665" w:type="dxa"/>
            <w:vAlign w:val="center"/>
          </w:tcPr>
          <w:p w14:paraId="4A41743A"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Total colectomy</w:t>
            </w:r>
          </w:p>
        </w:tc>
        <w:tc>
          <w:tcPr>
            <w:tcW w:w="3261" w:type="dxa"/>
            <w:vAlign w:val="center"/>
          </w:tcPr>
          <w:p w14:paraId="4C14C34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 (0.7%)</w:t>
            </w:r>
          </w:p>
        </w:tc>
      </w:tr>
      <w:tr w:rsidR="009F6668" w:rsidRPr="00CF1A02" w14:paraId="441BAE4A" w14:textId="77777777" w:rsidTr="00A4655D">
        <w:trPr>
          <w:trHeight w:val="20"/>
        </w:trPr>
        <w:tc>
          <w:tcPr>
            <w:tcW w:w="5665" w:type="dxa"/>
            <w:vAlign w:val="center"/>
          </w:tcPr>
          <w:p w14:paraId="0EDB691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Radiation dose, cGy</w:t>
            </w:r>
          </w:p>
        </w:tc>
        <w:tc>
          <w:tcPr>
            <w:tcW w:w="3261" w:type="dxa"/>
            <w:vAlign w:val="center"/>
          </w:tcPr>
          <w:p w14:paraId="125AE54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5040</w:t>
            </w:r>
          </w:p>
        </w:tc>
      </w:tr>
      <w:tr w:rsidR="009F6668" w:rsidRPr="00CF1A02" w14:paraId="7FC428AD" w14:textId="77777777" w:rsidTr="00A4655D">
        <w:trPr>
          <w:trHeight w:val="20"/>
        </w:trPr>
        <w:tc>
          <w:tcPr>
            <w:tcW w:w="5665" w:type="dxa"/>
            <w:vAlign w:val="center"/>
          </w:tcPr>
          <w:p w14:paraId="74FA154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Interval from preoperative CRT to operation (wk)</w:t>
            </w:r>
          </w:p>
        </w:tc>
        <w:tc>
          <w:tcPr>
            <w:tcW w:w="3261" w:type="dxa"/>
            <w:vAlign w:val="center"/>
          </w:tcPr>
          <w:p w14:paraId="390E970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7.8 ± 1.7</w:t>
            </w:r>
          </w:p>
        </w:tc>
      </w:tr>
      <w:tr w:rsidR="009F6668" w:rsidRPr="00CF1A02" w14:paraId="46591547" w14:textId="77777777" w:rsidTr="00A4655D">
        <w:trPr>
          <w:trHeight w:val="20"/>
        </w:trPr>
        <w:tc>
          <w:tcPr>
            <w:tcW w:w="5665" w:type="dxa"/>
            <w:vAlign w:val="center"/>
          </w:tcPr>
          <w:p w14:paraId="235965D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Post-CRT CEA (ng/mL)</w:t>
            </w:r>
          </w:p>
        </w:tc>
        <w:tc>
          <w:tcPr>
            <w:tcW w:w="3261" w:type="dxa"/>
            <w:vAlign w:val="center"/>
          </w:tcPr>
          <w:p w14:paraId="37A4BFA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4.8 ± 8.1</w:t>
            </w:r>
          </w:p>
        </w:tc>
      </w:tr>
      <w:tr w:rsidR="009F6668" w:rsidRPr="00CF1A02" w14:paraId="3BE1D008" w14:textId="77777777" w:rsidTr="00A4655D">
        <w:trPr>
          <w:trHeight w:val="20"/>
        </w:trPr>
        <w:tc>
          <w:tcPr>
            <w:tcW w:w="5665" w:type="dxa"/>
            <w:vAlign w:val="center"/>
          </w:tcPr>
          <w:p w14:paraId="629213B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Down-staging after preoperative CRT</w:t>
            </w:r>
          </w:p>
        </w:tc>
        <w:tc>
          <w:tcPr>
            <w:tcW w:w="3261" w:type="dxa"/>
            <w:vAlign w:val="center"/>
          </w:tcPr>
          <w:p w14:paraId="190A516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60 (44.4%)</w:t>
            </w:r>
          </w:p>
        </w:tc>
      </w:tr>
      <w:tr w:rsidR="009F6668" w:rsidRPr="00CF1A02" w14:paraId="16EB20A5" w14:textId="77777777" w:rsidTr="00A4655D">
        <w:trPr>
          <w:trHeight w:val="20"/>
        </w:trPr>
        <w:tc>
          <w:tcPr>
            <w:tcW w:w="5665" w:type="dxa"/>
            <w:vAlign w:val="center"/>
          </w:tcPr>
          <w:p w14:paraId="60F6A72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Pathologic complete response</w:t>
            </w:r>
          </w:p>
        </w:tc>
        <w:tc>
          <w:tcPr>
            <w:tcW w:w="3261" w:type="dxa"/>
            <w:vAlign w:val="center"/>
          </w:tcPr>
          <w:p w14:paraId="7177AB1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27 (20.0%)</w:t>
            </w:r>
          </w:p>
        </w:tc>
      </w:tr>
      <w:tr w:rsidR="009F6668" w:rsidRPr="00CF1A02" w14:paraId="151FA9D4" w14:textId="77777777" w:rsidTr="00A4655D">
        <w:trPr>
          <w:trHeight w:val="20"/>
        </w:trPr>
        <w:tc>
          <w:tcPr>
            <w:tcW w:w="5665" w:type="dxa"/>
            <w:vAlign w:val="center"/>
          </w:tcPr>
          <w:p w14:paraId="55500F8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Adjuvant chemotherapy</w:t>
            </w:r>
          </w:p>
        </w:tc>
        <w:tc>
          <w:tcPr>
            <w:tcW w:w="3261" w:type="dxa"/>
            <w:vAlign w:val="center"/>
          </w:tcPr>
          <w:p w14:paraId="7B700FE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121 (89.6%)</w:t>
            </w:r>
          </w:p>
        </w:tc>
      </w:tr>
      <w:tr w:rsidR="009F6668" w:rsidRPr="00CF1A02" w14:paraId="4582B056" w14:textId="77777777" w:rsidTr="00A4655D">
        <w:trPr>
          <w:trHeight w:val="20"/>
        </w:trPr>
        <w:tc>
          <w:tcPr>
            <w:tcW w:w="5665" w:type="dxa"/>
            <w:vAlign w:val="center"/>
          </w:tcPr>
          <w:p w14:paraId="7AC2DC70" w14:textId="02694F35" w:rsidR="009F6668" w:rsidRPr="00CF1A02" w:rsidRDefault="00F413AC" w:rsidP="00CF1A02">
            <w:pPr>
              <w:adjustRightInd w:val="0"/>
              <w:snapToGrid w:val="0"/>
              <w:spacing w:line="360" w:lineRule="auto"/>
              <w:jc w:val="both"/>
              <w:rPr>
                <w:rFonts w:ascii="Book Antiqua" w:hAnsi="Book Antiqua"/>
              </w:rPr>
            </w:pPr>
            <w:r w:rsidRPr="00CF1A02">
              <w:rPr>
                <w:rFonts w:ascii="Book Antiqua" w:hAnsi="Book Antiqua"/>
              </w:rPr>
              <w:t>Follow-up (mo</w:t>
            </w:r>
            <w:r w:rsidR="009F6668" w:rsidRPr="00CF1A02">
              <w:rPr>
                <w:rFonts w:ascii="Book Antiqua" w:hAnsi="Book Antiqua"/>
              </w:rPr>
              <w:t>)</w:t>
            </w:r>
          </w:p>
        </w:tc>
        <w:tc>
          <w:tcPr>
            <w:tcW w:w="3261" w:type="dxa"/>
            <w:vAlign w:val="center"/>
          </w:tcPr>
          <w:p w14:paraId="208FBE4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60.4 ± 24.3</w:t>
            </w:r>
          </w:p>
        </w:tc>
      </w:tr>
    </w:tbl>
    <w:p w14:paraId="41B39C39" w14:textId="23336F4A" w:rsidR="009F6668" w:rsidRPr="00CF1A02" w:rsidRDefault="009F6668" w:rsidP="00CF1A02">
      <w:pPr>
        <w:adjustRightInd w:val="0"/>
        <w:snapToGrid w:val="0"/>
        <w:spacing w:line="360" w:lineRule="auto"/>
        <w:jc w:val="both"/>
        <w:rPr>
          <w:rFonts w:ascii="Book Antiqua" w:hAnsi="Book Antiqua"/>
          <w:lang w:eastAsia="zh-CN"/>
        </w:rPr>
      </w:pPr>
      <w:r w:rsidRPr="00CF1A02">
        <w:rPr>
          <w:rFonts w:ascii="Book Antiqua" w:hAnsi="Book Antiqua"/>
        </w:rPr>
        <w:t>SD: Standard deviation; BMI: Body mass index; ASA: American Society of Anesthesiology; CEA: Carcinoembryonic antigen; TNM: Tumor Node Metastasis; CRT: Chemoradiotherapy.</w:t>
      </w:r>
      <w:r w:rsidR="005D588C">
        <w:rPr>
          <w:rFonts w:ascii="Book Antiqua" w:hAnsi="Book Antiqua" w:hint="eastAsia"/>
          <w:lang w:eastAsia="zh-CN"/>
        </w:rPr>
        <w:t xml:space="preserve">   I</w:t>
      </w:r>
    </w:p>
    <w:p w14:paraId="227D0D6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br w:type="page"/>
      </w:r>
      <w:r w:rsidRPr="00CF1A02">
        <w:rPr>
          <w:rFonts w:ascii="Book Antiqua" w:hAnsi="Book Antiqua"/>
          <w:b/>
        </w:rPr>
        <w:t>Table 3 Comparison of the changes in the carcinoembryonic antigen level before and after chemoradiotherapy</w:t>
      </w:r>
    </w:p>
    <w:tbl>
      <w:tblPr>
        <w:tblW w:w="8618" w:type="dxa"/>
        <w:tblInd w:w="-5" w:type="dxa"/>
        <w:tblBorders>
          <w:top w:val="single" w:sz="4" w:space="0" w:color="auto"/>
          <w:bottom w:val="single" w:sz="4" w:space="0" w:color="auto"/>
        </w:tblBorders>
        <w:tblLook w:val="04A0" w:firstRow="1" w:lastRow="0" w:firstColumn="1" w:lastColumn="0" w:noHBand="0" w:noVBand="1"/>
      </w:tblPr>
      <w:tblGrid>
        <w:gridCol w:w="2240"/>
        <w:gridCol w:w="1842"/>
        <w:gridCol w:w="1701"/>
        <w:gridCol w:w="1701"/>
        <w:gridCol w:w="1134"/>
      </w:tblGrid>
      <w:tr w:rsidR="009F6668" w:rsidRPr="00B1679E" w14:paraId="2FF6FD12" w14:textId="77777777" w:rsidTr="00F413AC">
        <w:trPr>
          <w:trHeight w:val="454"/>
        </w:trPr>
        <w:tc>
          <w:tcPr>
            <w:tcW w:w="2240" w:type="dxa"/>
            <w:tcBorders>
              <w:top w:val="single" w:sz="4" w:space="0" w:color="auto"/>
              <w:bottom w:val="single" w:sz="4" w:space="0" w:color="auto"/>
            </w:tcBorders>
          </w:tcPr>
          <w:p w14:paraId="3277E1F7" w14:textId="77777777" w:rsidR="009F6668" w:rsidRPr="00B1679E" w:rsidRDefault="009F6668" w:rsidP="00B1679E">
            <w:pPr>
              <w:rPr>
                <w:rFonts w:ascii="Book Antiqua" w:hAnsi="Book Antiqua"/>
              </w:rPr>
            </w:pPr>
            <w:r w:rsidRPr="00B1679E">
              <w:rPr>
                <w:rFonts w:ascii="Book Antiqua" w:hAnsi="Book Antiqua"/>
              </w:rPr>
              <w:t>Variables</w:t>
            </w:r>
          </w:p>
        </w:tc>
        <w:tc>
          <w:tcPr>
            <w:tcW w:w="1842" w:type="dxa"/>
            <w:tcBorders>
              <w:top w:val="single" w:sz="4" w:space="0" w:color="auto"/>
              <w:bottom w:val="single" w:sz="4" w:space="0" w:color="auto"/>
            </w:tcBorders>
          </w:tcPr>
          <w:p w14:paraId="606AC5D1" w14:textId="32FA32CC" w:rsidR="009F6668" w:rsidRPr="00B1679E" w:rsidRDefault="009F6668" w:rsidP="00B1679E">
            <w:pPr>
              <w:rPr>
                <w:rFonts w:ascii="Book Antiqua" w:hAnsi="Book Antiqua"/>
              </w:rPr>
            </w:pPr>
            <w:r w:rsidRPr="00B1679E">
              <w:rPr>
                <w:rFonts w:ascii="Book Antiqua" w:hAnsi="Book Antiqua"/>
              </w:rPr>
              <w:t>Group A</w:t>
            </w:r>
            <w:r w:rsidR="00F413AC" w:rsidRPr="00B1679E">
              <w:rPr>
                <w:rFonts w:ascii="Book Antiqua" w:hAnsi="Book Antiqua"/>
                <w:lang w:eastAsia="zh-CN"/>
              </w:rPr>
              <w:t xml:space="preserve"> </w:t>
            </w:r>
            <w:r w:rsidRPr="00B1679E">
              <w:rPr>
                <w:rFonts w:ascii="Book Antiqua" w:hAnsi="Book Antiqua"/>
              </w:rPr>
              <w:t>(</w:t>
            </w:r>
            <w:r w:rsidR="00F413AC" w:rsidRPr="00B1679E">
              <w:rPr>
                <w:rFonts w:ascii="Book Antiqua" w:hAnsi="Book Antiqua"/>
                <w:i/>
              </w:rPr>
              <w:t>n</w:t>
            </w:r>
            <w:r w:rsidRPr="00B1679E">
              <w:rPr>
                <w:rFonts w:ascii="Book Antiqua" w:hAnsi="Book Antiqua"/>
              </w:rPr>
              <w:t xml:space="preserve"> = 27)</w:t>
            </w:r>
          </w:p>
        </w:tc>
        <w:tc>
          <w:tcPr>
            <w:tcW w:w="1701" w:type="dxa"/>
            <w:tcBorders>
              <w:top w:val="single" w:sz="4" w:space="0" w:color="auto"/>
              <w:bottom w:val="single" w:sz="4" w:space="0" w:color="auto"/>
            </w:tcBorders>
          </w:tcPr>
          <w:p w14:paraId="0DAC1C8C" w14:textId="2FE30E62" w:rsidR="009F6668" w:rsidRPr="00B1679E" w:rsidRDefault="009F6668" w:rsidP="00B1679E">
            <w:pPr>
              <w:rPr>
                <w:rFonts w:ascii="Book Antiqua" w:hAnsi="Book Antiqua"/>
              </w:rPr>
            </w:pPr>
            <w:r w:rsidRPr="00B1679E">
              <w:rPr>
                <w:rFonts w:ascii="Book Antiqua" w:hAnsi="Book Antiqua"/>
              </w:rPr>
              <w:t>Group B</w:t>
            </w:r>
            <w:r w:rsidR="00F413AC" w:rsidRPr="00B1679E">
              <w:rPr>
                <w:rFonts w:ascii="Book Antiqua" w:hAnsi="Book Antiqua"/>
                <w:lang w:eastAsia="zh-CN"/>
              </w:rPr>
              <w:t xml:space="preserve"> </w:t>
            </w:r>
            <w:r w:rsidRPr="00B1679E">
              <w:rPr>
                <w:rFonts w:ascii="Book Antiqua" w:hAnsi="Book Antiqua"/>
              </w:rPr>
              <w:t>(</w:t>
            </w:r>
            <w:r w:rsidR="00F413AC" w:rsidRPr="00B1679E">
              <w:rPr>
                <w:rFonts w:ascii="Book Antiqua" w:hAnsi="Book Antiqua"/>
                <w:i/>
              </w:rPr>
              <w:t>n</w:t>
            </w:r>
            <w:r w:rsidRPr="00B1679E">
              <w:rPr>
                <w:rFonts w:ascii="Book Antiqua" w:hAnsi="Book Antiqua"/>
              </w:rPr>
              <w:t xml:space="preserve"> = 43)</w:t>
            </w:r>
          </w:p>
        </w:tc>
        <w:tc>
          <w:tcPr>
            <w:tcW w:w="1701" w:type="dxa"/>
            <w:tcBorders>
              <w:top w:val="single" w:sz="4" w:space="0" w:color="auto"/>
              <w:bottom w:val="single" w:sz="4" w:space="0" w:color="auto"/>
            </w:tcBorders>
          </w:tcPr>
          <w:p w14:paraId="27BB5E1F" w14:textId="23C90375" w:rsidR="009F6668" w:rsidRPr="00B1679E" w:rsidRDefault="009F6668" w:rsidP="00B1679E">
            <w:pPr>
              <w:rPr>
                <w:rFonts w:ascii="Book Antiqua" w:hAnsi="Book Antiqua"/>
              </w:rPr>
            </w:pPr>
            <w:r w:rsidRPr="00B1679E">
              <w:rPr>
                <w:rFonts w:ascii="Book Antiqua" w:hAnsi="Book Antiqua"/>
              </w:rPr>
              <w:t>Group C</w:t>
            </w:r>
            <w:r w:rsidR="00F413AC" w:rsidRPr="00B1679E">
              <w:rPr>
                <w:rFonts w:ascii="Book Antiqua" w:hAnsi="Book Antiqua"/>
                <w:lang w:eastAsia="zh-CN"/>
              </w:rPr>
              <w:t xml:space="preserve"> </w:t>
            </w:r>
            <w:r w:rsidRPr="00B1679E">
              <w:rPr>
                <w:rFonts w:ascii="Book Antiqua" w:hAnsi="Book Antiqua"/>
              </w:rPr>
              <w:t>(</w:t>
            </w:r>
            <w:r w:rsidR="00F413AC" w:rsidRPr="00B1679E">
              <w:rPr>
                <w:rFonts w:ascii="Book Antiqua" w:hAnsi="Book Antiqua"/>
                <w:i/>
              </w:rPr>
              <w:t>n</w:t>
            </w:r>
            <w:r w:rsidRPr="00B1679E">
              <w:rPr>
                <w:rFonts w:ascii="Book Antiqua" w:hAnsi="Book Antiqua"/>
              </w:rPr>
              <w:t xml:space="preserve"> = 65)</w:t>
            </w:r>
          </w:p>
        </w:tc>
        <w:tc>
          <w:tcPr>
            <w:tcW w:w="1134" w:type="dxa"/>
            <w:tcBorders>
              <w:top w:val="single" w:sz="4" w:space="0" w:color="auto"/>
              <w:bottom w:val="single" w:sz="4" w:space="0" w:color="auto"/>
            </w:tcBorders>
          </w:tcPr>
          <w:p w14:paraId="5A1698F6" w14:textId="48AAE4F4" w:rsidR="009F6668" w:rsidRPr="00B1679E" w:rsidRDefault="009F6668" w:rsidP="00B1679E">
            <w:pPr>
              <w:rPr>
                <w:rFonts w:ascii="Book Antiqua" w:hAnsi="Book Antiqua"/>
              </w:rPr>
            </w:pPr>
            <w:r w:rsidRPr="00B1679E">
              <w:rPr>
                <w:rFonts w:ascii="Book Antiqua" w:hAnsi="Book Antiqua"/>
                <w:i/>
              </w:rPr>
              <w:t>P</w:t>
            </w:r>
            <w:r w:rsidR="00F413AC" w:rsidRPr="00B1679E">
              <w:rPr>
                <w:rFonts w:ascii="Book Antiqua" w:hAnsi="Book Antiqua"/>
              </w:rPr>
              <w:t xml:space="preserve"> </w:t>
            </w:r>
            <w:r w:rsidRPr="00B1679E">
              <w:rPr>
                <w:rFonts w:ascii="Book Antiqua" w:hAnsi="Book Antiqua"/>
              </w:rPr>
              <w:t>value</w:t>
            </w:r>
          </w:p>
        </w:tc>
      </w:tr>
      <w:tr w:rsidR="009F6668" w:rsidRPr="00B1679E" w14:paraId="6019BAE3" w14:textId="77777777" w:rsidTr="00F413AC">
        <w:trPr>
          <w:trHeight w:val="20"/>
        </w:trPr>
        <w:tc>
          <w:tcPr>
            <w:tcW w:w="2240" w:type="dxa"/>
            <w:tcBorders>
              <w:top w:val="single" w:sz="4" w:space="0" w:color="auto"/>
            </w:tcBorders>
          </w:tcPr>
          <w:p w14:paraId="31575E00" w14:textId="3938DC1E" w:rsidR="009F6668" w:rsidRPr="00B1679E" w:rsidRDefault="00F413AC" w:rsidP="00B1679E">
            <w:pPr>
              <w:rPr>
                <w:rFonts w:ascii="Book Antiqua" w:hAnsi="Book Antiqua"/>
              </w:rPr>
            </w:pPr>
            <w:r w:rsidRPr="00B1679E">
              <w:rPr>
                <w:rFonts w:ascii="Book Antiqua" w:hAnsi="Book Antiqua"/>
              </w:rPr>
              <w:t>Age, yr</w:t>
            </w:r>
          </w:p>
        </w:tc>
        <w:tc>
          <w:tcPr>
            <w:tcW w:w="1842" w:type="dxa"/>
            <w:tcBorders>
              <w:top w:val="single" w:sz="4" w:space="0" w:color="auto"/>
            </w:tcBorders>
            <w:vAlign w:val="center"/>
          </w:tcPr>
          <w:p w14:paraId="7FBE0442" w14:textId="77777777" w:rsidR="009F6668" w:rsidRPr="00B1679E" w:rsidRDefault="009F6668" w:rsidP="00B1679E">
            <w:pPr>
              <w:rPr>
                <w:rFonts w:ascii="Book Antiqua" w:hAnsi="Book Antiqua"/>
              </w:rPr>
            </w:pPr>
          </w:p>
        </w:tc>
        <w:tc>
          <w:tcPr>
            <w:tcW w:w="1701" w:type="dxa"/>
            <w:tcBorders>
              <w:top w:val="single" w:sz="4" w:space="0" w:color="auto"/>
            </w:tcBorders>
            <w:vAlign w:val="center"/>
          </w:tcPr>
          <w:p w14:paraId="37B64526" w14:textId="77777777" w:rsidR="009F6668" w:rsidRPr="00B1679E" w:rsidRDefault="009F6668" w:rsidP="00B1679E">
            <w:pPr>
              <w:rPr>
                <w:rFonts w:ascii="Book Antiqua" w:hAnsi="Book Antiqua"/>
              </w:rPr>
            </w:pPr>
          </w:p>
        </w:tc>
        <w:tc>
          <w:tcPr>
            <w:tcW w:w="1701" w:type="dxa"/>
            <w:tcBorders>
              <w:top w:val="single" w:sz="4" w:space="0" w:color="auto"/>
            </w:tcBorders>
            <w:vAlign w:val="center"/>
          </w:tcPr>
          <w:p w14:paraId="66878F4E" w14:textId="77777777" w:rsidR="009F6668" w:rsidRPr="00B1679E" w:rsidRDefault="009F6668" w:rsidP="00B1679E">
            <w:pPr>
              <w:rPr>
                <w:rFonts w:ascii="Book Antiqua" w:hAnsi="Book Antiqua"/>
              </w:rPr>
            </w:pPr>
          </w:p>
        </w:tc>
        <w:tc>
          <w:tcPr>
            <w:tcW w:w="1134" w:type="dxa"/>
            <w:tcBorders>
              <w:top w:val="single" w:sz="4" w:space="0" w:color="auto"/>
            </w:tcBorders>
            <w:vAlign w:val="center"/>
          </w:tcPr>
          <w:p w14:paraId="79918EA1" w14:textId="77777777" w:rsidR="009F6668" w:rsidRPr="00B1679E" w:rsidRDefault="009F6668" w:rsidP="00B1679E">
            <w:pPr>
              <w:rPr>
                <w:rFonts w:ascii="Book Antiqua" w:hAnsi="Book Antiqua"/>
              </w:rPr>
            </w:pPr>
            <w:r w:rsidRPr="00B1679E">
              <w:rPr>
                <w:rFonts w:ascii="Book Antiqua" w:hAnsi="Book Antiqua"/>
              </w:rPr>
              <w:t>&gt; 0.999</w:t>
            </w:r>
          </w:p>
        </w:tc>
      </w:tr>
      <w:tr w:rsidR="009F6668" w:rsidRPr="00B1679E" w14:paraId="1DAAFB17" w14:textId="77777777" w:rsidTr="00F413AC">
        <w:trPr>
          <w:trHeight w:val="561"/>
        </w:trPr>
        <w:tc>
          <w:tcPr>
            <w:tcW w:w="2240" w:type="dxa"/>
            <w:vAlign w:val="center"/>
          </w:tcPr>
          <w:p w14:paraId="56236ECE" w14:textId="77777777" w:rsidR="009F6668" w:rsidRPr="00B1679E" w:rsidRDefault="009F6668" w:rsidP="00B1679E">
            <w:pPr>
              <w:rPr>
                <w:rFonts w:ascii="Book Antiqua" w:hAnsi="Book Antiqua"/>
              </w:rPr>
            </w:pPr>
            <w:r w:rsidRPr="00B1679E">
              <w:rPr>
                <w:rFonts w:ascii="Book Antiqua" w:hAnsi="Book Antiqua"/>
              </w:rPr>
              <w:t>&lt; 65</w:t>
            </w:r>
          </w:p>
        </w:tc>
        <w:tc>
          <w:tcPr>
            <w:tcW w:w="1842" w:type="dxa"/>
            <w:vAlign w:val="center"/>
          </w:tcPr>
          <w:p w14:paraId="285EB499" w14:textId="77777777" w:rsidR="009F6668" w:rsidRPr="00B1679E" w:rsidRDefault="009F6668" w:rsidP="00B1679E">
            <w:pPr>
              <w:rPr>
                <w:rFonts w:ascii="Book Antiqua" w:hAnsi="Book Antiqua"/>
              </w:rPr>
            </w:pPr>
            <w:r w:rsidRPr="00B1679E">
              <w:rPr>
                <w:rFonts w:ascii="Book Antiqua" w:hAnsi="Book Antiqua"/>
              </w:rPr>
              <w:t>17 (63.0%)</w:t>
            </w:r>
          </w:p>
        </w:tc>
        <w:tc>
          <w:tcPr>
            <w:tcW w:w="1701" w:type="dxa"/>
            <w:vAlign w:val="center"/>
          </w:tcPr>
          <w:p w14:paraId="54430A4D" w14:textId="77777777" w:rsidR="009F6668" w:rsidRPr="00B1679E" w:rsidRDefault="009F6668" w:rsidP="00B1679E">
            <w:pPr>
              <w:rPr>
                <w:rFonts w:ascii="Book Antiqua" w:hAnsi="Book Antiqua"/>
              </w:rPr>
            </w:pPr>
            <w:r w:rsidRPr="00B1679E">
              <w:rPr>
                <w:rFonts w:ascii="Book Antiqua" w:hAnsi="Book Antiqua"/>
              </w:rPr>
              <w:t>27 (62.8%)</w:t>
            </w:r>
          </w:p>
        </w:tc>
        <w:tc>
          <w:tcPr>
            <w:tcW w:w="1701" w:type="dxa"/>
            <w:vAlign w:val="center"/>
          </w:tcPr>
          <w:p w14:paraId="2AEF1912" w14:textId="77777777" w:rsidR="009F6668" w:rsidRPr="00B1679E" w:rsidRDefault="009F6668" w:rsidP="00B1679E">
            <w:pPr>
              <w:rPr>
                <w:rFonts w:ascii="Book Antiqua" w:hAnsi="Book Antiqua"/>
              </w:rPr>
            </w:pPr>
            <w:r w:rsidRPr="00B1679E">
              <w:rPr>
                <w:rFonts w:ascii="Book Antiqua" w:hAnsi="Book Antiqua"/>
              </w:rPr>
              <w:t>41 (63.1%)</w:t>
            </w:r>
          </w:p>
        </w:tc>
        <w:tc>
          <w:tcPr>
            <w:tcW w:w="1134" w:type="dxa"/>
            <w:vAlign w:val="center"/>
          </w:tcPr>
          <w:p w14:paraId="31A18D00" w14:textId="77777777" w:rsidR="009F6668" w:rsidRPr="00B1679E" w:rsidRDefault="009F6668" w:rsidP="00B1679E">
            <w:pPr>
              <w:rPr>
                <w:rFonts w:ascii="Book Antiqua" w:hAnsi="Book Antiqua"/>
              </w:rPr>
            </w:pPr>
          </w:p>
        </w:tc>
      </w:tr>
      <w:tr w:rsidR="009F6668" w:rsidRPr="00B1679E" w14:paraId="45D79E47" w14:textId="77777777" w:rsidTr="00F413AC">
        <w:trPr>
          <w:trHeight w:val="20"/>
        </w:trPr>
        <w:tc>
          <w:tcPr>
            <w:tcW w:w="2240" w:type="dxa"/>
            <w:vAlign w:val="center"/>
          </w:tcPr>
          <w:p w14:paraId="436F5CC6" w14:textId="77777777" w:rsidR="009F6668" w:rsidRPr="00B1679E" w:rsidRDefault="009F6668" w:rsidP="00B1679E">
            <w:pPr>
              <w:rPr>
                <w:rFonts w:ascii="Book Antiqua" w:hAnsi="Book Antiqua"/>
              </w:rPr>
            </w:pPr>
            <w:r w:rsidRPr="00B1679E">
              <w:rPr>
                <w:rFonts w:ascii="Book Antiqua" w:hAnsi="Book Antiqua"/>
              </w:rPr>
              <w:t>≥</w:t>
            </w:r>
            <w:r w:rsidRPr="00B1679E">
              <w:rPr>
                <w:rFonts w:ascii="Book Antiqua" w:hAnsi="Book Antiqua"/>
                <w:lang w:eastAsia="zh-CN"/>
              </w:rPr>
              <w:t xml:space="preserve"> </w:t>
            </w:r>
            <w:r w:rsidRPr="00B1679E">
              <w:rPr>
                <w:rFonts w:ascii="Book Antiqua" w:hAnsi="Book Antiqua"/>
              </w:rPr>
              <w:t>65</w:t>
            </w:r>
          </w:p>
        </w:tc>
        <w:tc>
          <w:tcPr>
            <w:tcW w:w="1842" w:type="dxa"/>
            <w:vAlign w:val="center"/>
          </w:tcPr>
          <w:p w14:paraId="2246F358" w14:textId="77777777" w:rsidR="009F6668" w:rsidRPr="00B1679E" w:rsidRDefault="009F6668" w:rsidP="00B1679E">
            <w:pPr>
              <w:rPr>
                <w:rFonts w:ascii="Book Antiqua" w:hAnsi="Book Antiqua"/>
              </w:rPr>
            </w:pPr>
            <w:r w:rsidRPr="00B1679E">
              <w:rPr>
                <w:rFonts w:ascii="Book Antiqua" w:hAnsi="Book Antiqua"/>
              </w:rPr>
              <w:t>10 (37.0%)</w:t>
            </w:r>
          </w:p>
        </w:tc>
        <w:tc>
          <w:tcPr>
            <w:tcW w:w="1701" w:type="dxa"/>
            <w:vAlign w:val="center"/>
          </w:tcPr>
          <w:p w14:paraId="16F24186" w14:textId="77777777" w:rsidR="009F6668" w:rsidRPr="00B1679E" w:rsidRDefault="009F6668" w:rsidP="00B1679E">
            <w:pPr>
              <w:rPr>
                <w:rFonts w:ascii="Book Antiqua" w:hAnsi="Book Antiqua"/>
              </w:rPr>
            </w:pPr>
            <w:r w:rsidRPr="00B1679E">
              <w:rPr>
                <w:rFonts w:ascii="Book Antiqua" w:hAnsi="Book Antiqua"/>
              </w:rPr>
              <w:t>16 (37.2%)</w:t>
            </w:r>
          </w:p>
        </w:tc>
        <w:tc>
          <w:tcPr>
            <w:tcW w:w="1701" w:type="dxa"/>
            <w:vAlign w:val="center"/>
          </w:tcPr>
          <w:p w14:paraId="66C88140" w14:textId="77777777" w:rsidR="009F6668" w:rsidRPr="00B1679E" w:rsidRDefault="009F6668" w:rsidP="00B1679E">
            <w:pPr>
              <w:rPr>
                <w:rFonts w:ascii="Book Antiqua" w:hAnsi="Book Antiqua"/>
              </w:rPr>
            </w:pPr>
            <w:r w:rsidRPr="00B1679E">
              <w:rPr>
                <w:rFonts w:ascii="Book Antiqua" w:hAnsi="Book Antiqua"/>
              </w:rPr>
              <w:t>24 (36.9%)</w:t>
            </w:r>
          </w:p>
        </w:tc>
        <w:tc>
          <w:tcPr>
            <w:tcW w:w="1134" w:type="dxa"/>
            <w:vAlign w:val="center"/>
          </w:tcPr>
          <w:p w14:paraId="351370B5" w14:textId="77777777" w:rsidR="009F6668" w:rsidRPr="00B1679E" w:rsidRDefault="009F6668" w:rsidP="00B1679E">
            <w:pPr>
              <w:rPr>
                <w:rFonts w:ascii="Book Antiqua" w:hAnsi="Book Antiqua"/>
              </w:rPr>
            </w:pPr>
          </w:p>
        </w:tc>
      </w:tr>
      <w:tr w:rsidR="009F6668" w:rsidRPr="00B1679E" w14:paraId="6101612C" w14:textId="77777777" w:rsidTr="00F413AC">
        <w:tc>
          <w:tcPr>
            <w:tcW w:w="2240" w:type="dxa"/>
          </w:tcPr>
          <w:p w14:paraId="7BDFF16A" w14:textId="77777777" w:rsidR="009F6668" w:rsidRPr="00B1679E" w:rsidRDefault="009F6668" w:rsidP="00B1679E">
            <w:pPr>
              <w:rPr>
                <w:rFonts w:ascii="Book Antiqua" w:hAnsi="Book Antiqua"/>
              </w:rPr>
            </w:pPr>
            <w:r w:rsidRPr="00B1679E">
              <w:rPr>
                <w:rFonts w:ascii="Book Antiqua" w:hAnsi="Book Antiqua"/>
              </w:rPr>
              <w:t>Sex</w:t>
            </w:r>
          </w:p>
        </w:tc>
        <w:tc>
          <w:tcPr>
            <w:tcW w:w="1842" w:type="dxa"/>
            <w:vAlign w:val="center"/>
          </w:tcPr>
          <w:p w14:paraId="593D77BA" w14:textId="77777777" w:rsidR="009F6668" w:rsidRPr="00B1679E" w:rsidRDefault="009F6668" w:rsidP="00B1679E">
            <w:pPr>
              <w:rPr>
                <w:rFonts w:ascii="Book Antiqua" w:hAnsi="Book Antiqua"/>
              </w:rPr>
            </w:pPr>
          </w:p>
        </w:tc>
        <w:tc>
          <w:tcPr>
            <w:tcW w:w="1701" w:type="dxa"/>
            <w:vAlign w:val="center"/>
          </w:tcPr>
          <w:p w14:paraId="2626FD1A" w14:textId="77777777" w:rsidR="009F6668" w:rsidRPr="00B1679E" w:rsidRDefault="009F6668" w:rsidP="00B1679E">
            <w:pPr>
              <w:rPr>
                <w:rFonts w:ascii="Book Antiqua" w:hAnsi="Book Antiqua"/>
              </w:rPr>
            </w:pPr>
          </w:p>
        </w:tc>
        <w:tc>
          <w:tcPr>
            <w:tcW w:w="1701" w:type="dxa"/>
            <w:vAlign w:val="center"/>
          </w:tcPr>
          <w:p w14:paraId="40C8A2D1" w14:textId="77777777" w:rsidR="009F6668" w:rsidRPr="00B1679E" w:rsidRDefault="009F6668" w:rsidP="00B1679E">
            <w:pPr>
              <w:rPr>
                <w:rFonts w:ascii="Book Antiqua" w:hAnsi="Book Antiqua"/>
              </w:rPr>
            </w:pPr>
          </w:p>
        </w:tc>
        <w:tc>
          <w:tcPr>
            <w:tcW w:w="1134" w:type="dxa"/>
            <w:vAlign w:val="center"/>
          </w:tcPr>
          <w:p w14:paraId="6C1AF3A1" w14:textId="77777777" w:rsidR="009F6668" w:rsidRPr="00B1679E" w:rsidRDefault="009F6668" w:rsidP="00B1679E">
            <w:pPr>
              <w:rPr>
                <w:rFonts w:ascii="Book Antiqua" w:hAnsi="Book Antiqua"/>
              </w:rPr>
            </w:pPr>
            <w:r w:rsidRPr="00B1679E">
              <w:rPr>
                <w:rFonts w:ascii="Book Antiqua" w:hAnsi="Book Antiqua"/>
              </w:rPr>
              <w:t>0.358</w:t>
            </w:r>
          </w:p>
        </w:tc>
      </w:tr>
      <w:tr w:rsidR="009F6668" w:rsidRPr="00B1679E" w14:paraId="601DAB17" w14:textId="77777777" w:rsidTr="00F413AC">
        <w:tc>
          <w:tcPr>
            <w:tcW w:w="2240" w:type="dxa"/>
          </w:tcPr>
          <w:p w14:paraId="0CF9AE3A" w14:textId="77777777" w:rsidR="009F6668" w:rsidRPr="00B1679E" w:rsidRDefault="009F6668" w:rsidP="00B1679E">
            <w:pPr>
              <w:rPr>
                <w:rFonts w:ascii="Book Antiqua" w:hAnsi="Book Antiqua"/>
              </w:rPr>
            </w:pPr>
            <w:r w:rsidRPr="00B1679E">
              <w:rPr>
                <w:rFonts w:ascii="Book Antiqua" w:hAnsi="Book Antiqua"/>
              </w:rPr>
              <w:t>Male</w:t>
            </w:r>
          </w:p>
        </w:tc>
        <w:tc>
          <w:tcPr>
            <w:tcW w:w="1842" w:type="dxa"/>
            <w:vAlign w:val="center"/>
          </w:tcPr>
          <w:p w14:paraId="619DA75B" w14:textId="77777777" w:rsidR="009F6668" w:rsidRPr="00B1679E" w:rsidRDefault="009F6668" w:rsidP="00B1679E">
            <w:pPr>
              <w:rPr>
                <w:rFonts w:ascii="Book Antiqua" w:hAnsi="Book Antiqua"/>
              </w:rPr>
            </w:pPr>
            <w:r w:rsidRPr="00B1679E">
              <w:rPr>
                <w:rFonts w:ascii="Book Antiqua" w:hAnsi="Book Antiqua"/>
              </w:rPr>
              <w:t>21 (77.8%)</w:t>
            </w:r>
          </w:p>
        </w:tc>
        <w:tc>
          <w:tcPr>
            <w:tcW w:w="1701" w:type="dxa"/>
            <w:vAlign w:val="center"/>
          </w:tcPr>
          <w:p w14:paraId="782A486A" w14:textId="77777777" w:rsidR="009F6668" w:rsidRPr="00B1679E" w:rsidRDefault="009F6668" w:rsidP="00B1679E">
            <w:pPr>
              <w:rPr>
                <w:rFonts w:ascii="Book Antiqua" w:hAnsi="Book Antiqua"/>
              </w:rPr>
            </w:pPr>
            <w:r w:rsidRPr="00B1679E">
              <w:rPr>
                <w:rFonts w:ascii="Book Antiqua" w:hAnsi="Book Antiqua"/>
              </w:rPr>
              <w:t>34 (79.1%)</w:t>
            </w:r>
          </w:p>
        </w:tc>
        <w:tc>
          <w:tcPr>
            <w:tcW w:w="1701" w:type="dxa"/>
            <w:vAlign w:val="center"/>
          </w:tcPr>
          <w:p w14:paraId="0928FC1A" w14:textId="77777777" w:rsidR="009F6668" w:rsidRPr="00B1679E" w:rsidRDefault="009F6668" w:rsidP="00B1679E">
            <w:pPr>
              <w:rPr>
                <w:rFonts w:ascii="Book Antiqua" w:hAnsi="Book Antiqua"/>
              </w:rPr>
            </w:pPr>
            <w:r w:rsidRPr="00B1679E">
              <w:rPr>
                <w:rFonts w:ascii="Book Antiqua" w:hAnsi="Book Antiqua"/>
              </w:rPr>
              <w:t>44 (67.7%)</w:t>
            </w:r>
          </w:p>
        </w:tc>
        <w:tc>
          <w:tcPr>
            <w:tcW w:w="1134" w:type="dxa"/>
            <w:vAlign w:val="center"/>
          </w:tcPr>
          <w:p w14:paraId="045C3303" w14:textId="77777777" w:rsidR="009F6668" w:rsidRPr="00B1679E" w:rsidRDefault="009F6668" w:rsidP="00B1679E">
            <w:pPr>
              <w:rPr>
                <w:rFonts w:ascii="Book Antiqua" w:hAnsi="Book Antiqua"/>
              </w:rPr>
            </w:pPr>
          </w:p>
        </w:tc>
      </w:tr>
      <w:tr w:rsidR="009F6668" w:rsidRPr="00B1679E" w14:paraId="06670650" w14:textId="77777777" w:rsidTr="00DB5AA7">
        <w:trPr>
          <w:trHeight w:val="301"/>
        </w:trPr>
        <w:tc>
          <w:tcPr>
            <w:tcW w:w="2240" w:type="dxa"/>
          </w:tcPr>
          <w:p w14:paraId="6D39899D" w14:textId="77777777" w:rsidR="009F6668" w:rsidRPr="00B1679E" w:rsidRDefault="009F6668" w:rsidP="00B1679E">
            <w:pPr>
              <w:rPr>
                <w:rFonts w:ascii="Book Antiqua" w:hAnsi="Book Antiqua"/>
              </w:rPr>
            </w:pPr>
            <w:r w:rsidRPr="00B1679E">
              <w:rPr>
                <w:rFonts w:ascii="Book Antiqua" w:hAnsi="Book Antiqua"/>
              </w:rPr>
              <w:t>Female</w:t>
            </w:r>
          </w:p>
        </w:tc>
        <w:tc>
          <w:tcPr>
            <w:tcW w:w="1842" w:type="dxa"/>
            <w:vAlign w:val="center"/>
          </w:tcPr>
          <w:p w14:paraId="53613A54" w14:textId="77777777" w:rsidR="009F6668" w:rsidRPr="00B1679E" w:rsidRDefault="009F6668" w:rsidP="00B1679E">
            <w:pPr>
              <w:rPr>
                <w:rFonts w:ascii="Book Antiqua" w:hAnsi="Book Antiqua"/>
              </w:rPr>
            </w:pPr>
            <w:r w:rsidRPr="00B1679E">
              <w:rPr>
                <w:rFonts w:ascii="Book Antiqua" w:hAnsi="Book Antiqua"/>
              </w:rPr>
              <w:t>6 (22.2%)</w:t>
            </w:r>
          </w:p>
        </w:tc>
        <w:tc>
          <w:tcPr>
            <w:tcW w:w="1701" w:type="dxa"/>
            <w:vAlign w:val="center"/>
          </w:tcPr>
          <w:p w14:paraId="540790BD" w14:textId="77777777" w:rsidR="009F6668" w:rsidRPr="00B1679E" w:rsidRDefault="009F6668" w:rsidP="00B1679E">
            <w:pPr>
              <w:rPr>
                <w:rFonts w:ascii="Book Antiqua" w:hAnsi="Book Antiqua"/>
              </w:rPr>
            </w:pPr>
            <w:r w:rsidRPr="00B1679E">
              <w:rPr>
                <w:rFonts w:ascii="Book Antiqua" w:hAnsi="Book Antiqua"/>
              </w:rPr>
              <w:t>9 (20.9%)</w:t>
            </w:r>
          </w:p>
        </w:tc>
        <w:tc>
          <w:tcPr>
            <w:tcW w:w="1701" w:type="dxa"/>
            <w:vAlign w:val="center"/>
          </w:tcPr>
          <w:p w14:paraId="414895E6" w14:textId="77777777" w:rsidR="009F6668" w:rsidRPr="00B1679E" w:rsidRDefault="009F6668" w:rsidP="00B1679E">
            <w:pPr>
              <w:rPr>
                <w:rFonts w:ascii="Book Antiqua" w:hAnsi="Book Antiqua"/>
              </w:rPr>
            </w:pPr>
            <w:r w:rsidRPr="00B1679E">
              <w:rPr>
                <w:rFonts w:ascii="Book Antiqua" w:hAnsi="Book Antiqua"/>
              </w:rPr>
              <w:t>21 (32.3%)</w:t>
            </w:r>
          </w:p>
        </w:tc>
        <w:tc>
          <w:tcPr>
            <w:tcW w:w="1134" w:type="dxa"/>
            <w:vAlign w:val="center"/>
          </w:tcPr>
          <w:p w14:paraId="18AB8055" w14:textId="77777777" w:rsidR="009F6668" w:rsidRPr="00B1679E" w:rsidRDefault="009F6668" w:rsidP="00B1679E">
            <w:pPr>
              <w:rPr>
                <w:rFonts w:ascii="Book Antiqua" w:hAnsi="Book Antiqua"/>
              </w:rPr>
            </w:pPr>
          </w:p>
        </w:tc>
      </w:tr>
      <w:tr w:rsidR="009F6668" w:rsidRPr="00B1679E" w14:paraId="31315E64" w14:textId="77777777" w:rsidTr="00F413AC">
        <w:trPr>
          <w:trHeight w:val="495"/>
        </w:trPr>
        <w:tc>
          <w:tcPr>
            <w:tcW w:w="2240" w:type="dxa"/>
          </w:tcPr>
          <w:p w14:paraId="3969DED7" w14:textId="77777777" w:rsidR="009F6668" w:rsidRPr="00B1679E" w:rsidRDefault="009F6668" w:rsidP="00B1679E">
            <w:pPr>
              <w:rPr>
                <w:rFonts w:ascii="Book Antiqua" w:hAnsi="Book Antiqua"/>
              </w:rPr>
            </w:pPr>
            <w:r w:rsidRPr="00B1679E">
              <w:rPr>
                <w:rFonts w:ascii="Book Antiqua" w:hAnsi="Book Antiqua"/>
              </w:rPr>
              <w:t>ASA</w:t>
            </w:r>
          </w:p>
        </w:tc>
        <w:tc>
          <w:tcPr>
            <w:tcW w:w="1842" w:type="dxa"/>
            <w:vAlign w:val="center"/>
          </w:tcPr>
          <w:p w14:paraId="2D96A54A" w14:textId="77777777" w:rsidR="009F6668" w:rsidRPr="00B1679E" w:rsidRDefault="009F6668" w:rsidP="00B1679E">
            <w:pPr>
              <w:rPr>
                <w:rFonts w:ascii="Book Antiqua" w:hAnsi="Book Antiqua"/>
              </w:rPr>
            </w:pPr>
          </w:p>
        </w:tc>
        <w:tc>
          <w:tcPr>
            <w:tcW w:w="1701" w:type="dxa"/>
            <w:vAlign w:val="center"/>
          </w:tcPr>
          <w:p w14:paraId="074FD0CB" w14:textId="77777777" w:rsidR="009F6668" w:rsidRPr="00B1679E" w:rsidRDefault="009F6668" w:rsidP="00B1679E">
            <w:pPr>
              <w:rPr>
                <w:rFonts w:ascii="Book Antiqua" w:hAnsi="Book Antiqua"/>
              </w:rPr>
            </w:pPr>
          </w:p>
        </w:tc>
        <w:tc>
          <w:tcPr>
            <w:tcW w:w="1701" w:type="dxa"/>
            <w:vAlign w:val="center"/>
          </w:tcPr>
          <w:p w14:paraId="1C09A51C" w14:textId="77777777" w:rsidR="009F6668" w:rsidRPr="00B1679E" w:rsidRDefault="009F6668" w:rsidP="00B1679E">
            <w:pPr>
              <w:rPr>
                <w:rFonts w:ascii="Book Antiqua" w:hAnsi="Book Antiqua"/>
              </w:rPr>
            </w:pPr>
          </w:p>
        </w:tc>
        <w:tc>
          <w:tcPr>
            <w:tcW w:w="1134" w:type="dxa"/>
            <w:vAlign w:val="center"/>
          </w:tcPr>
          <w:p w14:paraId="390FE0D7" w14:textId="77777777" w:rsidR="009F6668" w:rsidRPr="00B1679E" w:rsidRDefault="009F6668" w:rsidP="00B1679E">
            <w:pPr>
              <w:rPr>
                <w:rFonts w:ascii="Book Antiqua" w:hAnsi="Book Antiqua"/>
              </w:rPr>
            </w:pPr>
            <w:r w:rsidRPr="00B1679E">
              <w:rPr>
                <w:rFonts w:ascii="Book Antiqua" w:hAnsi="Book Antiqua"/>
              </w:rPr>
              <w:t>0.734</w:t>
            </w:r>
          </w:p>
        </w:tc>
      </w:tr>
      <w:tr w:rsidR="009F6668" w:rsidRPr="00B1679E" w14:paraId="34CDE091" w14:textId="77777777" w:rsidTr="00F413AC">
        <w:trPr>
          <w:trHeight w:val="495"/>
        </w:trPr>
        <w:tc>
          <w:tcPr>
            <w:tcW w:w="2240" w:type="dxa"/>
          </w:tcPr>
          <w:p w14:paraId="4DFEE457" w14:textId="77777777" w:rsidR="009F6668" w:rsidRPr="00B1679E" w:rsidRDefault="009F6668" w:rsidP="00B1679E">
            <w:pPr>
              <w:rPr>
                <w:rFonts w:ascii="Book Antiqua" w:hAnsi="Book Antiqua"/>
              </w:rPr>
            </w:pPr>
            <w:r w:rsidRPr="00B1679E">
              <w:rPr>
                <w:rFonts w:ascii="Book Antiqua" w:hAnsi="Book Antiqua"/>
              </w:rPr>
              <w:t>&lt; 3</w:t>
            </w:r>
          </w:p>
        </w:tc>
        <w:tc>
          <w:tcPr>
            <w:tcW w:w="1842" w:type="dxa"/>
            <w:vAlign w:val="center"/>
          </w:tcPr>
          <w:p w14:paraId="468AB86B" w14:textId="77777777" w:rsidR="009F6668" w:rsidRPr="00B1679E" w:rsidRDefault="009F6668" w:rsidP="00B1679E">
            <w:pPr>
              <w:rPr>
                <w:rFonts w:ascii="Book Antiqua" w:hAnsi="Book Antiqua"/>
              </w:rPr>
            </w:pPr>
            <w:r w:rsidRPr="00B1679E">
              <w:rPr>
                <w:rFonts w:ascii="Book Antiqua" w:hAnsi="Book Antiqua"/>
              </w:rPr>
              <w:t>23 (85.2%)</w:t>
            </w:r>
          </w:p>
        </w:tc>
        <w:tc>
          <w:tcPr>
            <w:tcW w:w="1701" w:type="dxa"/>
            <w:vAlign w:val="center"/>
          </w:tcPr>
          <w:p w14:paraId="52D1C067" w14:textId="77777777" w:rsidR="009F6668" w:rsidRPr="00B1679E" w:rsidRDefault="009F6668" w:rsidP="00B1679E">
            <w:pPr>
              <w:rPr>
                <w:rFonts w:ascii="Book Antiqua" w:hAnsi="Book Antiqua"/>
              </w:rPr>
            </w:pPr>
            <w:r w:rsidRPr="00B1679E">
              <w:rPr>
                <w:rFonts w:ascii="Book Antiqua" w:hAnsi="Book Antiqua"/>
              </w:rPr>
              <w:t>38 (88.4%)</w:t>
            </w:r>
          </w:p>
        </w:tc>
        <w:tc>
          <w:tcPr>
            <w:tcW w:w="1701" w:type="dxa"/>
            <w:vAlign w:val="center"/>
          </w:tcPr>
          <w:p w14:paraId="53CF1FF6" w14:textId="77777777" w:rsidR="009F6668" w:rsidRPr="00B1679E" w:rsidRDefault="009F6668" w:rsidP="00B1679E">
            <w:pPr>
              <w:rPr>
                <w:rFonts w:ascii="Book Antiqua" w:hAnsi="Book Antiqua"/>
              </w:rPr>
            </w:pPr>
            <w:r w:rsidRPr="00B1679E">
              <w:rPr>
                <w:rFonts w:ascii="Book Antiqua" w:hAnsi="Book Antiqua"/>
              </w:rPr>
              <w:t>59 (90.8%)</w:t>
            </w:r>
          </w:p>
        </w:tc>
        <w:tc>
          <w:tcPr>
            <w:tcW w:w="1134" w:type="dxa"/>
            <w:vAlign w:val="center"/>
          </w:tcPr>
          <w:p w14:paraId="4C09F376" w14:textId="77777777" w:rsidR="009F6668" w:rsidRPr="00B1679E" w:rsidRDefault="009F6668" w:rsidP="00B1679E">
            <w:pPr>
              <w:rPr>
                <w:rFonts w:ascii="Book Antiqua" w:hAnsi="Book Antiqua"/>
              </w:rPr>
            </w:pPr>
          </w:p>
        </w:tc>
      </w:tr>
      <w:tr w:rsidR="009F6668" w:rsidRPr="00B1679E" w14:paraId="5EF543AC" w14:textId="77777777" w:rsidTr="00F413AC">
        <w:trPr>
          <w:trHeight w:val="495"/>
        </w:trPr>
        <w:tc>
          <w:tcPr>
            <w:tcW w:w="2240" w:type="dxa"/>
          </w:tcPr>
          <w:p w14:paraId="592CE754" w14:textId="77777777" w:rsidR="009F6668" w:rsidRPr="00B1679E" w:rsidRDefault="009F6668" w:rsidP="00B1679E">
            <w:pPr>
              <w:rPr>
                <w:rFonts w:ascii="Book Antiqua" w:hAnsi="Book Antiqua"/>
              </w:rPr>
            </w:pPr>
            <w:r w:rsidRPr="00B1679E">
              <w:rPr>
                <w:rFonts w:ascii="Book Antiqua" w:hAnsi="Book Antiqua"/>
              </w:rPr>
              <w:t>≥</w:t>
            </w:r>
            <w:r w:rsidRPr="00B1679E">
              <w:rPr>
                <w:rFonts w:ascii="Book Antiqua" w:hAnsi="Book Antiqua"/>
                <w:lang w:eastAsia="zh-CN"/>
              </w:rPr>
              <w:t xml:space="preserve"> </w:t>
            </w:r>
            <w:r w:rsidRPr="00B1679E">
              <w:rPr>
                <w:rFonts w:ascii="Book Antiqua" w:hAnsi="Book Antiqua"/>
              </w:rPr>
              <w:t>3</w:t>
            </w:r>
          </w:p>
        </w:tc>
        <w:tc>
          <w:tcPr>
            <w:tcW w:w="1842" w:type="dxa"/>
            <w:vAlign w:val="center"/>
          </w:tcPr>
          <w:p w14:paraId="2AB35463" w14:textId="77777777" w:rsidR="009F6668" w:rsidRPr="00B1679E" w:rsidRDefault="009F6668" w:rsidP="00B1679E">
            <w:pPr>
              <w:rPr>
                <w:rFonts w:ascii="Book Antiqua" w:hAnsi="Book Antiqua"/>
              </w:rPr>
            </w:pPr>
            <w:r w:rsidRPr="00B1679E">
              <w:rPr>
                <w:rFonts w:ascii="Book Antiqua" w:hAnsi="Book Antiqua"/>
              </w:rPr>
              <w:t>4 (14.8%)</w:t>
            </w:r>
          </w:p>
        </w:tc>
        <w:tc>
          <w:tcPr>
            <w:tcW w:w="1701" w:type="dxa"/>
            <w:vAlign w:val="center"/>
          </w:tcPr>
          <w:p w14:paraId="3CB92FC2" w14:textId="77777777" w:rsidR="009F6668" w:rsidRPr="00B1679E" w:rsidRDefault="009F6668" w:rsidP="00B1679E">
            <w:pPr>
              <w:rPr>
                <w:rFonts w:ascii="Book Antiqua" w:hAnsi="Book Antiqua"/>
              </w:rPr>
            </w:pPr>
            <w:r w:rsidRPr="00B1679E">
              <w:rPr>
                <w:rFonts w:ascii="Book Antiqua" w:hAnsi="Book Antiqua"/>
              </w:rPr>
              <w:t>5 (11.6%)</w:t>
            </w:r>
          </w:p>
        </w:tc>
        <w:tc>
          <w:tcPr>
            <w:tcW w:w="1701" w:type="dxa"/>
            <w:vAlign w:val="center"/>
          </w:tcPr>
          <w:p w14:paraId="2769FE7E" w14:textId="77777777" w:rsidR="009F6668" w:rsidRPr="00B1679E" w:rsidRDefault="009F6668" w:rsidP="00B1679E">
            <w:pPr>
              <w:rPr>
                <w:rFonts w:ascii="Book Antiqua" w:hAnsi="Book Antiqua"/>
              </w:rPr>
            </w:pPr>
            <w:r w:rsidRPr="00B1679E">
              <w:rPr>
                <w:rFonts w:ascii="Book Antiqua" w:hAnsi="Book Antiqua"/>
              </w:rPr>
              <w:t>6 (9.2%)</w:t>
            </w:r>
          </w:p>
        </w:tc>
        <w:tc>
          <w:tcPr>
            <w:tcW w:w="1134" w:type="dxa"/>
            <w:vAlign w:val="center"/>
          </w:tcPr>
          <w:p w14:paraId="2854F986" w14:textId="77777777" w:rsidR="009F6668" w:rsidRPr="00B1679E" w:rsidRDefault="009F6668" w:rsidP="00B1679E">
            <w:pPr>
              <w:rPr>
                <w:rFonts w:ascii="Book Antiqua" w:hAnsi="Book Antiqua"/>
              </w:rPr>
            </w:pPr>
          </w:p>
        </w:tc>
      </w:tr>
      <w:tr w:rsidR="009F6668" w:rsidRPr="00B1679E" w14:paraId="6BBCCB05" w14:textId="77777777" w:rsidTr="00F413AC">
        <w:trPr>
          <w:trHeight w:val="495"/>
        </w:trPr>
        <w:tc>
          <w:tcPr>
            <w:tcW w:w="2240" w:type="dxa"/>
          </w:tcPr>
          <w:p w14:paraId="02320DF5"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Pre-CRT tumor size (cm)</w:t>
            </w:r>
          </w:p>
        </w:tc>
        <w:tc>
          <w:tcPr>
            <w:tcW w:w="1842" w:type="dxa"/>
            <w:vAlign w:val="center"/>
          </w:tcPr>
          <w:p w14:paraId="554E15C4" w14:textId="17492DEE" w:rsidR="009F6668" w:rsidRPr="00B1679E" w:rsidRDefault="009F6668" w:rsidP="000A294C">
            <w:pPr>
              <w:rPr>
                <w:rFonts w:ascii="Book Antiqua" w:hAnsi="Book Antiqua"/>
                <w:color w:val="000000" w:themeColor="text1"/>
              </w:rPr>
            </w:pPr>
            <w:r w:rsidRPr="00B1679E">
              <w:rPr>
                <w:rFonts w:ascii="Book Antiqua" w:hAnsi="Book Antiqua"/>
                <w:color w:val="000000" w:themeColor="text1"/>
              </w:rPr>
              <w:t>4.6 (3.7</w:t>
            </w:r>
            <w:r w:rsidR="000A294C">
              <w:rPr>
                <w:rFonts w:ascii="Book Antiqua" w:hAnsi="Book Antiqua" w:hint="eastAsia"/>
                <w:color w:val="000000"/>
                <w:lang w:eastAsia="zh-CN"/>
              </w:rPr>
              <w:t>-</w:t>
            </w:r>
            <w:r w:rsidRPr="00B1679E">
              <w:rPr>
                <w:rFonts w:ascii="Book Antiqua" w:hAnsi="Book Antiqua"/>
                <w:color w:val="000000" w:themeColor="text1"/>
              </w:rPr>
              <w:t>5.0)</w:t>
            </w:r>
          </w:p>
        </w:tc>
        <w:tc>
          <w:tcPr>
            <w:tcW w:w="1701" w:type="dxa"/>
            <w:vAlign w:val="center"/>
          </w:tcPr>
          <w:p w14:paraId="2FA5EF07" w14:textId="26BD8BAF"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4.5 (4.0</w:t>
            </w:r>
            <w:r w:rsidR="001C7DE0">
              <w:rPr>
                <w:rFonts w:ascii="Book Antiqua" w:hAnsi="Book Antiqua" w:hint="eastAsia"/>
                <w:color w:val="000000"/>
                <w:lang w:eastAsia="zh-CN"/>
              </w:rPr>
              <w:t>-</w:t>
            </w:r>
            <w:r w:rsidRPr="00B1679E">
              <w:rPr>
                <w:rFonts w:ascii="Book Antiqua" w:hAnsi="Book Antiqua"/>
                <w:color w:val="000000" w:themeColor="text1"/>
              </w:rPr>
              <w:t>5.1)</w:t>
            </w:r>
          </w:p>
        </w:tc>
        <w:tc>
          <w:tcPr>
            <w:tcW w:w="1701" w:type="dxa"/>
            <w:vAlign w:val="center"/>
          </w:tcPr>
          <w:p w14:paraId="0BCF9C77" w14:textId="5086ECBC"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4.3 (3.8</w:t>
            </w:r>
            <w:r w:rsidR="001C7DE0">
              <w:rPr>
                <w:rFonts w:ascii="Book Antiqua" w:hAnsi="Book Antiqua" w:hint="eastAsia"/>
                <w:color w:val="000000"/>
                <w:lang w:eastAsia="zh-CN"/>
              </w:rPr>
              <w:t>-</w:t>
            </w:r>
            <w:r w:rsidRPr="00B1679E">
              <w:rPr>
                <w:rFonts w:ascii="Book Antiqua" w:hAnsi="Book Antiqua"/>
                <w:color w:val="000000" w:themeColor="text1"/>
              </w:rPr>
              <w:t>5.0)</w:t>
            </w:r>
          </w:p>
        </w:tc>
        <w:tc>
          <w:tcPr>
            <w:tcW w:w="1134" w:type="dxa"/>
            <w:vAlign w:val="center"/>
          </w:tcPr>
          <w:p w14:paraId="36B22832"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0.515</w:t>
            </w:r>
          </w:p>
        </w:tc>
      </w:tr>
      <w:tr w:rsidR="009F6668" w:rsidRPr="00B1679E" w14:paraId="425A3BD5" w14:textId="77777777" w:rsidTr="00F413AC">
        <w:trPr>
          <w:trHeight w:val="495"/>
        </w:trPr>
        <w:tc>
          <w:tcPr>
            <w:tcW w:w="2240" w:type="dxa"/>
          </w:tcPr>
          <w:p w14:paraId="44C57C3F"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Pre-CRT CEA (ng/mL)</w:t>
            </w:r>
          </w:p>
        </w:tc>
        <w:tc>
          <w:tcPr>
            <w:tcW w:w="1842" w:type="dxa"/>
            <w:vAlign w:val="center"/>
          </w:tcPr>
          <w:p w14:paraId="673C596C" w14:textId="7DD41EAC"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25.8 (10.6</w:t>
            </w:r>
            <w:r w:rsidR="001C7DE0">
              <w:rPr>
                <w:rFonts w:ascii="Book Antiqua" w:hAnsi="Book Antiqua" w:hint="eastAsia"/>
                <w:color w:val="000000"/>
                <w:lang w:eastAsia="zh-CN"/>
              </w:rPr>
              <w:t>-</w:t>
            </w:r>
            <w:r w:rsidRPr="00B1679E">
              <w:rPr>
                <w:rFonts w:ascii="Book Antiqua" w:hAnsi="Book Antiqua"/>
                <w:color w:val="000000" w:themeColor="text1"/>
              </w:rPr>
              <w:t>70.7)</w:t>
            </w:r>
          </w:p>
        </w:tc>
        <w:tc>
          <w:tcPr>
            <w:tcW w:w="1701" w:type="dxa"/>
            <w:vAlign w:val="center"/>
          </w:tcPr>
          <w:p w14:paraId="113F6A97" w14:textId="7F7B42E4"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11.3 (6.8</w:t>
            </w:r>
            <w:r w:rsidR="001C7DE0">
              <w:rPr>
                <w:rFonts w:ascii="Book Antiqua" w:hAnsi="Book Antiqua" w:hint="eastAsia"/>
                <w:color w:val="000000"/>
                <w:lang w:eastAsia="zh-CN"/>
              </w:rPr>
              <w:t>-</w:t>
            </w:r>
            <w:r w:rsidRPr="00B1679E">
              <w:rPr>
                <w:rFonts w:ascii="Book Antiqua" w:hAnsi="Book Antiqua"/>
                <w:color w:val="000000" w:themeColor="text1"/>
              </w:rPr>
              <w:t>21.3)</w:t>
            </w:r>
          </w:p>
        </w:tc>
        <w:tc>
          <w:tcPr>
            <w:tcW w:w="1701" w:type="dxa"/>
            <w:vAlign w:val="center"/>
          </w:tcPr>
          <w:p w14:paraId="48E8DAFA" w14:textId="4FDA23AD"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2.4 (1.8</w:t>
            </w:r>
            <w:r w:rsidR="001C7DE0">
              <w:rPr>
                <w:rFonts w:ascii="Book Antiqua" w:hAnsi="Book Antiqua" w:hint="eastAsia"/>
                <w:color w:val="000000"/>
                <w:lang w:eastAsia="zh-CN"/>
              </w:rPr>
              <w:t>-</w:t>
            </w:r>
            <w:r w:rsidRPr="00B1679E">
              <w:rPr>
                <w:rFonts w:ascii="Book Antiqua" w:hAnsi="Book Antiqua"/>
                <w:color w:val="000000" w:themeColor="text1"/>
              </w:rPr>
              <w:t>3.3)</w:t>
            </w:r>
          </w:p>
        </w:tc>
        <w:tc>
          <w:tcPr>
            <w:tcW w:w="1134" w:type="dxa"/>
            <w:vAlign w:val="center"/>
          </w:tcPr>
          <w:p w14:paraId="28258489"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&lt; 0.001</w:t>
            </w:r>
          </w:p>
        </w:tc>
      </w:tr>
      <w:tr w:rsidR="009F6668" w:rsidRPr="00B1679E" w14:paraId="725DEF58" w14:textId="77777777" w:rsidTr="00F413AC">
        <w:trPr>
          <w:trHeight w:val="495"/>
        </w:trPr>
        <w:tc>
          <w:tcPr>
            <w:tcW w:w="2240" w:type="dxa"/>
          </w:tcPr>
          <w:p w14:paraId="1AB63FD6" w14:textId="77777777" w:rsidR="009F6668" w:rsidRPr="00B1679E" w:rsidRDefault="009F6668" w:rsidP="00B1679E">
            <w:pPr>
              <w:rPr>
                <w:rFonts w:ascii="Book Antiqua" w:hAnsi="Book Antiqua"/>
              </w:rPr>
            </w:pPr>
            <w:r w:rsidRPr="00B1679E">
              <w:rPr>
                <w:rFonts w:ascii="Book Antiqua" w:hAnsi="Book Antiqua"/>
              </w:rPr>
              <w:t>Pre-CRT NLR</w:t>
            </w:r>
          </w:p>
        </w:tc>
        <w:tc>
          <w:tcPr>
            <w:tcW w:w="1842" w:type="dxa"/>
            <w:vAlign w:val="center"/>
          </w:tcPr>
          <w:p w14:paraId="5CBBA5F8" w14:textId="77777777" w:rsidR="009F6668" w:rsidRPr="00B1679E" w:rsidRDefault="009F6668" w:rsidP="00B1679E">
            <w:pPr>
              <w:rPr>
                <w:rFonts w:ascii="Book Antiqua" w:hAnsi="Book Antiqua"/>
              </w:rPr>
            </w:pPr>
          </w:p>
        </w:tc>
        <w:tc>
          <w:tcPr>
            <w:tcW w:w="1701" w:type="dxa"/>
            <w:vAlign w:val="center"/>
          </w:tcPr>
          <w:p w14:paraId="25DB01E6" w14:textId="77777777" w:rsidR="009F6668" w:rsidRPr="00B1679E" w:rsidRDefault="009F6668" w:rsidP="00B1679E">
            <w:pPr>
              <w:rPr>
                <w:rFonts w:ascii="Book Antiqua" w:hAnsi="Book Antiqua"/>
              </w:rPr>
            </w:pPr>
          </w:p>
        </w:tc>
        <w:tc>
          <w:tcPr>
            <w:tcW w:w="1701" w:type="dxa"/>
            <w:vAlign w:val="center"/>
          </w:tcPr>
          <w:p w14:paraId="5DE4901F" w14:textId="77777777" w:rsidR="009F6668" w:rsidRPr="00B1679E" w:rsidRDefault="009F6668" w:rsidP="00B1679E">
            <w:pPr>
              <w:rPr>
                <w:rFonts w:ascii="Book Antiqua" w:hAnsi="Book Antiqua"/>
              </w:rPr>
            </w:pPr>
          </w:p>
        </w:tc>
        <w:tc>
          <w:tcPr>
            <w:tcW w:w="1134" w:type="dxa"/>
            <w:vAlign w:val="center"/>
          </w:tcPr>
          <w:p w14:paraId="2479DE9D" w14:textId="77777777" w:rsidR="009F6668" w:rsidRPr="00B1679E" w:rsidRDefault="009F6668" w:rsidP="00B1679E">
            <w:pPr>
              <w:rPr>
                <w:rFonts w:ascii="Book Antiqua" w:hAnsi="Book Antiqua"/>
              </w:rPr>
            </w:pPr>
            <w:r w:rsidRPr="00B1679E">
              <w:rPr>
                <w:rFonts w:ascii="Book Antiqua" w:hAnsi="Book Antiqua"/>
              </w:rPr>
              <w:t>0.983</w:t>
            </w:r>
          </w:p>
        </w:tc>
      </w:tr>
      <w:tr w:rsidR="009F6668" w:rsidRPr="00B1679E" w14:paraId="5784039F" w14:textId="77777777" w:rsidTr="00F413AC">
        <w:trPr>
          <w:trHeight w:val="495"/>
        </w:trPr>
        <w:tc>
          <w:tcPr>
            <w:tcW w:w="2240" w:type="dxa"/>
          </w:tcPr>
          <w:p w14:paraId="18B3F9A8" w14:textId="77777777" w:rsidR="009F6668" w:rsidRPr="00B1679E" w:rsidRDefault="009F6668" w:rsidP="00B1679E">
            <w:pPr>
              <w:rPr>
                <w:rFonts w:ascii="Book Antiqua" w:hAnsi="Book Antiqua"/>
              </w:rPr>
            </w:pPr>
            <w:r w:rsidRPr="00B1679E">
              <w:rPr>
                <w:rFonts w:ascii="Book Antiqua" w:hAnsi="Book Antiqua"/>
              </w:rPr>
              <w:t>&lt; 2.8</w:t>
            </w:r>
          </w:p>
        </w:tc>
        <w:tc>
          <w:tcPr>
            <w:tcW w:w="1842" w:type="dxa"/>
            <w:vAlign w:val="center"/>
          </w:tcPr>
          <w:p w14:paraId="4B7D7115" w14:textId="77777777" w:rsidR="009F6668" w:rsidRPr="00B1679E" w:rsidRDefault="009F6668" w:rsidP="00B1679E">
            <w:pPr>
              <w:rPr>
                <w:rFonts w:ascii="Book Antiqua" w:hAnsi="Book Antiqua"/>
              </w:rPr>
            </w:pPr>
            <w:r w:rsidRPr="00B1679E">
              <w:rPr>
                <w:rFonts w:ascii="Book Antiqua" w:hAnsi="Book Antiqua"/>
              </w:rPr>
              <w:t>17 (63.0%)</w:t>
            </w:r>
          </w:p>
        </w:tc>
        <w:tc>
          <w:tcPr>
            <w:tcW w:w="1701" w:type="dxa"/>
            <w:vAlign w:val="center"/>
          </w:tcPr>
          <w:p w14:paraId="2667FE4F" w14:textId="77777777" w:rsidR="009F6668" w:rsidRPr="00B1679E" w:rsidRDefault="009F6668" w:rsidP="00B1679E">
            <w:pPr>
              <w:rPr>
                <w:rFonts w:ascii="Book Antiqua" w:hAnsi="Book Antiqua"/>
              </w:rPr>
            </w:pPr>
            <w:r w:rsidRPr="00B1679E">
              <w:rPr>
                <w:rFonts w:ascii="Book Antiqua" w:hAnsi="Book Antiqua"/>
              </w:rPr>
              <w:t>28 (65.1%)</w:t>
            </w:r>
          </w:p>
        </w:tc>
        <w:tc>
          <w:tcPr>
            <w:tcW w:w="1701" w:type="dxa"/>
            <w:vAlign w:val="center"/>
          </w:tcPr>
          <w:p w14:paraId="7E93E1B4" w14:textId="77777777" w:rsidR="009F6668" w:rsidRPr="00B1679E" w:rsidRDefault="009F6668" w:rsidP="00B1679E">
            <w:pPr>
              <w:rPr>
                <w:rFonts w:ascii="Book Antiqua" w:hAnsi="Book Antiqua"/>
              </w:rPr>
            </w:pPr>
            <w:r w:rsidRPr="00B1679E">
              <w:rPr>
                <w:rFonts w:ascii="Book Antiqua" w:hAnsi="Book Antiqua"/>
              </w:rPr>
              <w:t>42 (64.6%)</w:t>
            </w:r>
          </w:p>
        </w:tc>
        <w:tc>
          <w:tcPr>
            <w:tcW w:w="1134" w:type="dxa"/>
            <w:vAlign w:val="center"/>
          </w:tcPr>
          <w:p w14:paraId="0A46C1C3" w14:textId="77777777" w:rsidR="009F6668" w:rsidRPr="00B1679E" w:rsidRDefault="009F6668" w:rsidP="00B1679E">
            <w:pPr>
              <w:rPr>
                <w:rFonts w:ascii="Book Antiqua" w:hAnsi="Book Antiqua"/>
              </w:rPr>
            </w:pPr>
          </w:p>
        </w:tc>
      </w:tr>
      <w:tr w:rsidR="009F6668" w:rsidRPr="00B1679E" w14:paraId="5B82059E" w14:textId="77777777" w:rsidTr="00F413AC">
        <w:trPr>
          <w:trHeight w:val="495"/>
        </w:trPr>
        <w:tc>
          <w:tcPr>
            <w:tcW w:w="2240" w:type="dxa"/>
          </w:tcPr>
          <w:p w14:paraId="7E8BC3EC" w14:textId="77777777" w:rsidR="009F6668" w:rsidRPr="00B1679E" w:rsidRDefault="009F6668" w:rsidP="00B1679E">
            <w:pPr>
              <w:rPr>
                <w:rFonts w:ascii="Book Antiqua" w:hAnsi="Book Antiqua"/>
              </w:rPr>
            </w:pPr>
            <w:r w:rsidRPr="00B1679E">
              <w:rPr>
                <w:rFonts w:ascii="Book Antiqua" w:hAnsi="Book Antiqua"/>
              </w:rPr>
              <w:t>≥</w:t>
            </w:r>
            <w:r w:rsidRPr="00B1679E">
              <w:rPr>
                <w:rFonts w:ascii="Book Antiqua" w:hAnsi="Book Antiqua"/>
                <w:lang w:eastAsia="zh-CN"/>
              </w:rPr>
              <w:t xml:space="preserve"> </w:t>
            </w:r>
            <w:r w:rsidRPr="00B1679E">
              <w:rPr>
                <w:rFonts w:ascii="Book Antiqua" w:hAnsi="Book Antiqua"/>
              </w:rPr>
              <w:t>2.8</w:t>
            </w:r>
          </w:p>
        </w:tc>
        <w:tc>
          <w:tcPr>
            <w:tcW w:w="1842" w:type="dxa"/>
            <w:vAlign w:val="center"/>
          </w:tcPr>
          <w:p w14:paraId="52E83AC8" w14:textId="77777777" w:rsidR="009F6668" w:rsidRPr="00B1679E" w:rsidRDefault="009F6668" w:rsidP="00B1679E">
            <w:pPr>
              <w:rPr>
                <w:rFonts w:ascii="Book Antiqua" w:hAnsi="Book Antiqua"/>
              </w:rPr>
            </w:pPr>
            <w:r w:rsidRPr="00B1679E">
              <w:rPr>
                <w:rFonts w:ascii="Book Antiqua" w:hAnsi="Book Antiqua"/>
              </w:rPr>
              <w:t>10 (37.0%)</w:t>
            </w:r>
          </w:p>
        </w:tc>
        <w:tc>
          <w:tcPr>
            <w:tcW w:w="1701" w:type="dxa"/>
            <w:vAlign w:val="center"/>
          </w:tcPr>
          <w:p w14:paraId="3223E2D9" w14:textId="77777777" w:rsidR="009F6668" w:rsidRPr="00B1679E" w:rsidRDefault="009F6668" w:rsidP="00B1679E">
            <w:pPr>
              <w:rPr>
                <w:rFonts w:ascii="Book Antiqua" w:hAnsi="Book Antiqua"/>
              </w:rPr>
            </w:pPr>
            <w:r w:rsidRPr="00B1679E">
              <w:rPr>
                <w:rFonts w:ascii="Book Antiqua" w:hAnsi="Book Antiqua"/>
              </w:rPr>
              <w:t>15 (34.9%)</w:t>
            </w:r>
          </w:p>
        </w:tc>
        <w:tc>
          <w:tcPr>
            <w:tcW w:w="1701" w:type="dxa"/>
            <w:vAlign w:val="center"/>
          </w:tcPr>
          <w:p w14:paraId="25C270A8" w14:textId="77777777" w:rsidR="009F6668" w:rsidRPr="00B1679E" w:rsidRDefault="009F6668" w:rsidP="00B1679E">
            <w:pPr>
              <w:rPr>
                <w:rFonts w:ascii="Book Antiqua" w:hAnsi="Book Antiqua"/>
              </w:rPr>
            </w:pPr>
            <w:r w:rsidRPr="00B1679E">
              <w:rPr>
                <w:rFonts w:ascii="Book Antiqua" w:hAnsi="Book Antiqua"/>
              </w:rPr>
              <w:t>23 (35.4%)</w:t>
            </w:r>
          </w:p>
        </w:tc>
        <w:tc>
          <w:tcPr>
            <w:tcW w:w="1134" w:type="dxa"/>
            <w:vAlign w:val="center"/>
          </w:tcPr>
          <w:p w14:paraId="2F689DFF" w14:textId="77777777" w:rsidR="009F6668" w:rsidRPr="00B1679E" w:rsidRDefault="009F6668" w:rsidP="00B1679E">
            <w:pPr>
              <w:rPr>
                <w:rFonts w:ascii="Book Antiqua" w:hAnsi="Book Antiqua"/>
              </w:rPr>
            </w:pPr>
          </w:p>
        </w:tc>
      </w:tr>
      <w:tr w:rsidR="009F6668" w:rsidRPr="00B1679E" w14:paraId="4A68261E" w14:textId="77777777" w:rsidTr="00F413AC">
        <w:trPr>
          <w:trHeight w:val="495"/>
        </w:trPr>
        <w:tc>
          <w:tcPr>
            <w:tcW w:w="2240" w:type="dxa"/>
          </w:tcPr>
          <w:p w14:paraId="261E7144"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Pre-CRT PLR</w:t>
            </w:r>
          </w:p>
        </w:tc>
        <w:tc>
          <w:tcPr>
            <w:tcW w:w="1842" w:type="dxa"/>
            <w:vAlign w:val="center"/>
          </w:tcPr>
          <w:p w14:paraId="78EC02A2" w14:textId="77777777" w:rsidR="009F6668" w:rsidRPr="00B1679E" w:rsidRDefault="009F6668" w:rsidP="00B1679E">
            <w:pPr>
              <w:rPr>
                <w:rFonts w:ascii="Book Antiqua" w:hAnsi="Book Antiqua"/>
                <w:color w:val="000000" w:themeColor="text1"/>
              </w:rPr>
            </w:pPr>
          </w:p>
        </w:tc>
        <w:tc>
          <w:tcPr>
            <w:tcW w:w="1701" w:type="dxa"/>
            <w:vAlign w:val="center"/>
          </w:tcPr>
          <w:p w14:paraId="112E0541" w14:textId="77777777" w:rsidR="009F6668" w:rsidRPr="00B1679E" w:rsidRDefault="009F6668" w:rsidP="00B1679E">
            <w:pPr>
              <w:rPr>
                <w:rFonts w:ascii="Book Antiqua" w:hAnsi="Book Antiqua"/>
                <w:color w:val="000000" w:themeColor="text1"/>
              </w:rPr>
            </w:pPr>
          </w:p>
        </w:tc>
        <w:tc>
          <w:tcPr>
            <w:tcW w:w="1701" w:type="dxa"/>
            <w:vAlign w:val="center"/>
          </w:tcPr>
          <w:p w14:paraId="2D8C4098" w14:textId="77777777" w:rsidR="009F6668" w:rsidRPr="00B1679E" w:rsidRDefault="009F6668" w:rsidP="00B1679E">
            <w:pPr>
              <w:rPr>
                <w:rFonts w:ascii="Book Antiqua" w:hAnsi="Book Antiqua"/>
                <w:color w:val="000000" w:themeColor="text1"/>
              </w:rPr>
            </w:pPr>
          </w:p>
        </w:tc>
        <w:tc>
          <w:tcPr>
            <w:tcW w:w="1134" w:type="dxa"/>
            <w:vAlign w:val="center"/>
          </w:tcPr>
          <w:p w14:paraId="7896C09C"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0.132</w:t>
            </w:r>
          </w:p>
        </w:tc>
      </w:tr>
      <w:tr w:rsidR="009F6668" w:rsidRPr="00B1679E" w14:paraId="0F270BD8" w14:textId="77777777" w:rsidTr="00F413AC">
        <w:trPr>
          <w:trHeight w:val="495"/>
        </w:trPr>
        <w:tc>
          <w:tcPr>
            <w:tcW w:w="2240" w:type="dxa"/>
          </w:tcPr>
          <w:p w14:paraId="188B3A12"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&lt; 138.2</w:t>
            </w:r>
          </w:p>
        </w:tc>
        <w:tc>
          <w:tcPr>
            <w:tcW w:w="1842" w:type="dxa"/>
            <w:vAlign w:val="center"/>
          </w:tcPr>
          <w:p w14:paraId="303F90F8"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11 (40.7%)</w:t>
            </w:r>
          </w:p>
        </w:tc>
        <w:tc>
          <w:tcPr>
            <w:tcW w:w="1701" w:type="dxa"/>
            <w:vAlign w:val="center"/>
          </w:tcPr>
          <w:p w14:paraId="11A93810"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19 (44.2%)</w:t>
            </w:r>
          </w:p>
        </w:tc>
        <w:tc>
          <w:tcPr>
            <w:tcW w:w="1701" w:type="dxa"/>
            <w:vAlign w:val="center"/>
          </w:tcPr>
          <w:p w14:paraId="23D8799B"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39 (60.0%)</w:t>
            </w:r>
          </w:p>
        </w:tc>
        <w:tc>
          <w:tcPr>
            <w:tcW w:w="1134" w:type="dxa"/>
            <w:vAlign w:val="center"/>
          </w:tcPr>
          <w:p w14:paraId="42BE0733" w14:textId="77777777" w:rsidR="009F6668" w:rsidRPr="00B1679E" w:rsidRDefault="009F6668" w:rsidP="00B1679E">
            <w:pPr>
              <w:rPr>
                <w:rFonts w:ascii="Book Antiqua" w:hAnsi="Book Antiqua"/>
                <w:color w:val="000000" w:themeColor="text1"/>
              </w:rPr>
            </w:pPr>
          </w:p>
        </w:tc>
      </w:tr>
      <w:tr w:rsidR="009F6668" w:rsidRPr="00B1679E" w14:paraId="01C21787" w14:textId="77777777" w:rsidTr="00F413AC">
        <w:trPr>
          <w:trHeight w:val="495"/>
        </w:trPr>
        <w:tc>
          <w:tcPr>
            <w:tcW w:w="2240" w:type="dxa"/>
          </w:tcPr>
          <w:p w14:paraId="67FE088D"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w:t>
            </w:r>
            <w:r w:rsidRPr="00B1679E">
              <w:rPr>
                <w:rFonts w:ascii="Book Antiqua" w:hAnsi="Book Antiqua"/>
                <w:color w:val="000000" w:themeColor="text1"/>
                <w:lang w:eastAsia="zh-CN"/>
              </w:rPr>
              <w:t xml:space="preserve"> </w:t>
            </w:r>
            <w:r w:rsidRPr="00B1679E">
              <w:rPr>
                <w:rFonts w:ascii="Book Antiqua" w:hAnsi="Book Antiqua"/>
                <w:color w:val="000000" w:themeColor="text1"/>
              </w:rPr>
              <w:t>138.2</w:t>
            </w:r>
          </w:p>
        </w:tc>
        <w:tc>
          <w:tcPr>
            <w:tcW w:w="1842" w:type="dxa"/>
            <w:vAlign w:val="center"/>
          </w:tcPr>
          <w:p w14:paraId="179AF413"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16 (59.3%)</w:t>
            </w:r>
          </w:p>
        </w:tc>
        <w:tc>
          <w:tcPr>
            <w:tcW w:w="1701" w:type="dxa"/>
            <w:vAlign w:val="center"/>
          </w:tcPr>
          <w:p w14:paraId="2E923121"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24 (55.8%)</w:t>
            </w:r>
          </w:p>
        </w:tc>
        <w:tc>
          <w:tcPr>
            <w:tcW w:w="1701" w:type="dxa"/>
            <w:vAlign w:val="center"/>
          </w:tcPr>
          <w:p w14:paraId="3973899E"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26 (40.0%)</w:t>
            </w:r>
          </w:p>
        </w:tc>
        <w:tc>
          <w:tcPr>
            <w:tcW w:w="1134" w:type="dxa"/>
            <w:vAlign w:val="center"/>
          </w:tcPr>
          <w:p w14:paraId="207348F1" w14:textId="77777777" w:rsidR="009F6668" w:rsidRPr="00B1679E" w:rsidRDefault="009F6668" w:rsidP="00B1679E">
            <w:pPr>
              <w:rPr>
                <w:rFonts w:ascii="Book Antiqua" w:hAnsi="Book Antiqua"/>
                <w:color w:val="000000" w:themeColor="text1"/>
              </w:rPr>
            </w:pPr>
          </w:p>
        </w:tc>
      </w:tr>
      <w:tr w:rsidR="009F6668" w:rsidRPr="00B1679E" w14:paraId="093EB70C" w14:textId="77777777" w:rsidTr="00F413AC">
        <w:tc>
          <w:tcPr>
            <w:tcW w:w="2240" w:type="dxa"/>
          </w:tcPr>
          <w:p w14:paraId="0E0D3E95"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Pre-CRT T stage</w:t>
            </w:r>
          </w:p>
        </w:tc>
        <w:tc>
          <w:tcPr>
            <w:tcW w:w="1842" w:type="dxa"/>
            <w:vAlign w:val="center"/>
          </w:tcPr>
          <w:p w14:paraId="2D2697E0" w14:textId="77777777" w:rsidR="009F6668" w:rsidRPr="00B1679E" w:rsidRDefault="009F6668" w:rsidP="00B1679E">
            <w:pPr>
              <w:rPr>
                <w:rFonts w:ascii="Book Antiqua" w:hAnsi="Book Antiqua"/>
                <w:color w:val="000000" w:themeColor="text1"/>
              </w:rPr>
            </w:pPr>
          </w:p>
        </w:tc>
        <w:tc>
          <w:tcPr>
            <w:tcW w:w="1701" w:type="dxa"/>
            <w:vAlign w:val="center"/>
          </w:tcPr>
          <w:p w14:paraId="3C9D2A44" w14:textId="77777777" w:rsidR="009F6668" w:rsidRPr="00B1679E" w:rsidRDefault="009F6668" w:rsidP="00B1679E">
            <w:pPr>
              <w:rPr>
                <w:rFonts w:ascii="Book Antiqua" w:hAnsi="Book Antiqua"/>
                <w:color w:val="000000" w:themeColor="text1"/>
              </w:rPr>
            </w:pPr>
          </w:p>
        </w:tc>
        <w:tc>
          <w:tcPr>
            <w:tcW w:w="1701" w:type="dxa"/>
            <w:vAlign w:val="center"/>
          </w:tcPr>
          <w:p w14:paraId="746B4DE3" w14:textId="77777777" w:rsidR="009F6668" w:rsidRPr="00B1679E" w:rsidRDefault="009F6668" w:rsidP="00B1679E">
            <w:pPr>
              <w:rPr>
                <w:rFonts w:ascii="Book Antiqua" w:hAnsi="Book Antiqua"/>
                <w:color w:val="000000" w:themeColor="text1"/>
              </w:rPr>
            </w:pPr>
          </w:p>
        </w:tc>
        <w:tc>
          <w:tcPr>
            <w:tcW w:w="1134" w:type="dxa"/>
            <w:vAlign w:val="center"/>
          </w:tcPr>
          <w:p w14:paraId="5397FFD7"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0.217</w:t>
            </w:r>
          </w:p>
        </w:tc>
      </w:tr>
      <w:tr w:rsidR="009F6668" w:rsidRPr="00B1679E" w14:paraId="55F65834" w14:textId="77777777" w:rsidTr="00F413AC">
        <w:tc>
          <w:tcPr>
            <w:tcW w:w="2240" w:type="dxa"/>
          </w:tcPr>
          <w:p w14:paraId="4600F5F7"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T3</w:t>
            </w:r>
          </w:p>
        </w:tc>
        <w:tc>
          <w:tcPr>
            <w:tcW w:w="1842" w:type="dxa"/>
            <w:vAlign w:val="center"/>
          </w:tcPr>
          <w:p w14:paraId="2DE8DDD2"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18 (66.7%)</w:t>
            </w:r>
          </w:p>
        </w:tc>
        <w:tc>
          <w:tcPr>
            <w:tcW w:w="1701" w:type="dxa"/>
            <w:vAlign w:val="center"/>
          </w:tcPr>
          <w:p w14:paraId="59929A01"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34 (79.1%)</w:t>
            </w:r>
          </w:p>
        </w:tc>
        <w:tc>
          <w:tcPr>
            <w:tcW w:w="1701" w:type="dxa"/>
            <w:vAlign w:val="center"/>
          </w:tcPr>
          <w:p w14:paraId="682AF499"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54 (83.1%)</w:t>
            </w:r>
          </w:p>
        </w:tc>
        <w:tc>
          <w:tcPr>
            <w:tcW w:w="1134" w:type="dxa"/>
            <w:vAlign w:val="center"/>
          </w:tcPr>
          <w:p w14:paraId="52F6826C" w14:textId="77777777" w:rsidR="009F6668" w:rsidRPr="00B1679E" w:rsidRDefault="009F6668" w:rsidP="00B1679E">
            <w:pPr>
              <w:rPr>
                <w:rFonts w:ascii="Book Antiqua" w:hAnsi="Book Antiqua"/>
                <w:color w:val="000000" w:themeColor="text1"/>
              </w:rPr>
            </w:pPr>
          </w:p>
        </w:tc>
      </w:tr>
      <w:tr w:rsidR="009F6668" w:rsidRPr="00B1679E" w14:paraId="3919B0A9" w14:textId="77777777" w:rsidTr="00F413AC">
        <w:tc>
          <w:tcPr>
            <w:tcW w:w="2240" w:type="dxa"/>
          </w:tcPr>
          <w:p w14:paraId="66A29D1A"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T4</w:t>
            </w:r>
          </w:p>
        </w:tc>
        <w:tc>
          <w:tcPr>
            <w:tcW w:w="1842" w:type="dxa"/>
            <w:vAlign w:val="center"/>
          </w:tcPr>
          <w:p w14:paraId="0771E2F6"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9 (33.3%)</w:t>
            </w:r>
          </w:p>
        </w:tc>
        <w:tc>
          <w:tcPr>
            <w:tcW w:w="1701" w:type="dxa"/>
            <w:vAlign w:val="center"/>
          </w:tcPr>
          <w:p w14:paraId="371CBC27"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9 (20.9%)</w:t>
            </w:r>
          </w:p>
        </w:tc>
        <w:tc>
          <w:tcPr>
            <w:tcW w:w="1701" w:type="dxa"/>
            <w:vAlign w:val="center"/>
          </w:tcPr>
          <w:p w14:paraId="646AF444"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11 (16.9%)</w:t>
            </w:r>
          </w:p>
        </w:tc>
        <w:tc>
          <w:tcPr>
            <w:tcW w:w="1134" w:type="dxa"/>
            <w:vAlign w:val="center"/>
          </w:tcPr>
          <w:p w14:paraId="7629B535" w14:textId="77777777" w:rsidR="009F6668" w:rsidRPr="00B1679E" w:rsidRDefault="009F6668" w:rsidP="00B1679E">
            <w:pPr>
              <w:rPr>
                <w:rFonts w:ascii="Book Antiqua" w:hAnsi="Book Antiqua"/>
                <w:color w:val="000000" w:themeColor="text1"/>
              </w:rPr>
            </w:pPr>
          </w:p>
        </w:tc>
      </w:tr>
      <w:tr w:rsidR="009F6668" w:rsidRPr="00B1679E" w14:paraId="5191C4F2" w14:textId="77777777" w:rsidTr="00F413AC">
        <w:tc>
          <w:tcPr>
            <w:tcW w:w="2240" w:type="dxa"/>
          </w:tcPr>
          <w:p w14:paraId="299B075B"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Pre-CRT N stage</w:t>
            </w:r>
          </w:p>
        </w:tc>
        <w:tc>
          <w:tcPr>
            <w:tcW w:w="1842" w:type="dxa"/>
            <w:vAlign w:val="center"/>
          </w:tcPr>
          <w:p w14:paraId="3B75FE3C" w14:textId="77777777" w:rsidR="009F6668" w:rsidRPr="00B1679E" w:rsidRDefault="009F6668" w:rsidP="00B1679E">
            <w:pPr>
              <w:rPr>
                <w:rFonts w:ascii="Book Antiqua" w:hAnsi="Book Antiqua"/>
                <w:color w:val="000000" w:themeColor="text1"/>
              </w:rPr>
            </w:pPr>
          </w:p>
        </w:tc>
        <w:tc>
          <w:tcPr>
            <w:tcW w:w="1701" w:type="dxa"/>
            <w:vAlign w:val="center"/>
          </w:tcPr>
          <w:p w14:paraId="38A704E9" w14:textId="77777777" w:rsidR="009F6668" w:rsidRPr="00B1679E" w:rsidRDefault="009F6668" w:rsidP="00B1679E">
            <w:pPr>
              <w:rPr>
                <w:rFonts w:ascii="Book Antiqua" w:hAnsi="Book Antiqua"/>
                <w:color w:val="000000" w:themeColor="text1"/>
              </w:rPr>
            </w:pPr>
          </w:p>
        </w:tc>
        <w:tc>
          <w:tcPr>
            <w:tcW w:w="1701" w:type="dxa"/>
            <w:vAlign w:val="center"/>
          </w:tcPr>
          <w:p w14:paraId="7A743290" w14:textId="77777777" w:rsidR="009F6668" w:rsidRPr="00B1679E" w:rsidRDefault="009F6668" w:rsidP="00B1679E">
            <w:pPr>
              <w:rPr>
                <w:rFonts w:ascii="Book Antiqua" w:hAnsi="Book Antiqua"/>
                <w:color w:val="000000" w:themeColor="text1"/>
              </w:rPr>
            </w:pPr>
          </w:p>
        </w:tc>
        <w:tc>
          <w:tcPr>
            <w:tcW w:w="1134" w:type="dxa"/>
            <w:vAlign w:val="center"/>
          </w:tcPr>
          <w:p w14:paraId="56C4A8EF"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0.021</w:t>
            </w:r>
          </w:p>
        </w:tc>
      </w:tr>
      <w:tr w:rsidR="009F6668" w:rsidRPr="00B1679E" w14:paraId="1E50C089" w14:textId="77777777" w:rsidTr="00F413AC">
        <w:tc>
          <w:tcPr>
            <w:tcW w:w="2240" w:type="dxa"/>
          </w:tcPr>
          <w:p w14:paraId="603D55DF"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N0</w:t>
            </w:r>
          </w:p>
        </w:tc>
        <w:tc>
          <w:tcPr>
            <w:tcW w:w="1842" w:type="dxa"/>
            <w:vAlign w:val="center"/>
          </w:tcPr>
          <w:p w14:paraId="2C1443AC"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1 (3.7%)</w:t>
            </w:r>
          </w:p>
        </w:tc>
        <w:tc>
          <w:tcPr>
            <w:tcW w:w="1701" w:type="dxa"/>
            <w:vAlign w:val="center"/>
          </w:tcPr>
          <w:p w14:paraId="2074FA66"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1 (2.3%)</w:t>
            </w:r>
          </w:p>
        </w:tc>
        <w:tc>
          <w:tcPr>
            <w:tcW w:w="1701" w:type="dxa"/>
            <w:vAlign w:val="center"/>
          </w:tcPr>
          <w:p w14:paraId="42B6D786"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11 (16.9%)</w:t>
            </w:r>
          </w:p>
        </w:tc>
        <w:tc>
          <w:tcPr>
            <w:tcW w:w="1134" w:type="dxa"/>
            <w:vAlign w:val="center"/>
          </w:tcPr>
          <w:p w14:paraId="7B76F98E" w14:textId="77777777" w:rsidR="009F6668" w:rsidRPr="00B1679E" w:rsidRDefault="009F6668" w:rsidP="00B1679E">
            <w:pPr>
              <w:rPr>
                <w:rFonts w:ascii="Book Antiqua" w:hAnsi="Book Antiqua"/>
                <w:color w:val="000000" w:themeColor="text1"/>
              </w:rPr>
            </w:pPr>
          </w:p>
        </w:tc>
      </w:tr>
      <w:tr w:rsidR="009F6668" w:rsidRPr="00B1679E" w14:paraId="1A7F629B" w14:textId="77777777" w:rsidTr="00F413AC">
        <w:tc>
          <w:tcPr>
            <w:tcW w:w="2240" w:type="dxa"/>
          </w:tcPr>
          <w:p w14:paraId="1AF71CAA"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N+</w:t>
            </w:r>
          </w:p>
        </w:tc>
        <w:tc>
          <w:tcPr>
            <w:tcW w:w="1842" w:type="dxa"/>
            <w:vAlign w:val="center"/>
          </w:tcPr>
          <w:p w14:paraId="151377E2"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26 (96.3%)</w:t>
            </w:r>
          </w:p>
        </w:tc>
        <w:tc>
          <w:tcPr>
            <w:tcW w:w="1701" w:type="dxa"/>
            <w:vAlign w:val="center"/>
          </w:tcPr>
          <w:p w14:paraId="26EACF94"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42 (97.7%)</w:t>
            </w:r>
          </w:p>
        </w:tc>
        <w:tc>
          <w:tcPr>
            <w:tcW w:w="1701" w:type="dxa"/>
            <w:vAlign w:val="center"/>
          </w:tcPr>
          <w:p w14:paraId="192A1644"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54 (83.1%)</w:t>
            </w:r>
          </w:p>
        </w:tc>
        <w:tc>
          <w:tcPr>
            <w:tcW w:w="1134" w:type="dxa"/>
            <w:vAlign w:val="center"/>
          </w:tcPr>
          <w:p w14:paraId="7EA4FCB3" w14:textId="77777777" w:rsidR="009F6668" w:rsidRPr="00B1679E" w:rsidRDefault="009F6668" w:rsidP="00B1679E">
            <w:pPr>
              <w:rPr>
                <w:rFonts w:ascii="Book Antiqua" w:hAnsi="Book Antiqua"/>
                <w:color w:val="000000" w:themeColor="text1"/>
              </w:rPr>
            </w:pPr>
          </w:p>
        </w:tc>
      </w:tr>
      <w:tr w:rsidR="009F6668" w:rsidRPr="00B1679E" w14:paraId="5FF00BF5" w14:textId="77777777" w:rsidTr="00F413AC">
        <w:tc>
          <w:tcPr>
            <w:tcW w:w="2240" w:type="dxa"/>
          </w:tcPr>
          <w:p w14:paraId="23F6864A" w14:textId="77777777" w:rsidR="009F6668" w:rsidRPr="00B1679E" w:rsidRDefault="009F6668" w:rsidP="00B1679E">
            <w:pPr>
              <w:rPr>
                <w:rFonts w:ascii="Book Antiqua" w:hAnsi="Book Antiqua"/>
              </w:rPr>
            </w:pPr>
            <w:r w:rsidRPr="00B1679E">
              <w:rPr>
                <w:rFonts w:ascii="Book Antiqua" w:hAnsi="Book Antiqua"/>
              </w:rPr>
              <w:t>Pre-CRT TNM stage</w:t>
            </w:r>
          </w:p>
        </w:tc>
        <w:tc>
          <w:tcPr>
            <w:tcW w:w="1842" w:type="dxa"/>
            <w:vAlign w:val="center"/>
          </w:tcPr>
          <w:p w14:paraId="438A7E47" w14:textId="77777777" w:rsidR="009F6668" w:rsidRPr="00B1679E" w:rsidRDefault="009F6668" w:rsidP="00B1679E">
            <w:pPr>
              <w:rPr>
                <w:rFonts w:ascii="Book Antiqua" w:hAnsi="Book Antiqua"/>
              </w:rPr>
            </w:pPr>
          </w:p>
        </w:tc>
        <w:tc>
          <w:tcPr>
            <w:tcW w:w="1701" w:type="dxa"/>
            <w:vAlign w:val="center"/>
          </w:tcPr>
          <w:p w14:paraId="331B48E1" w14:textId="77777777" w:rsidR="009F6668" w:rsidRPr="00B1679E" w:rsidRDefault="009F6668" w:rsidP="00B1679E">
            <w:pPr>
              <w:rPr>
                <w:rFonts w:ascii="Book Antiqua" w:hAnsi="Book Antiqua"/>
              </w:rPr>
            </w:pPr>
          </w:p>
        </w:tc>
        <w:tc>
          <w:tcPr>
            <w:tcW w:w="1701" w:type="dxa"/>
            <w:vAlign w:val="center"/>
          </w:tcPr>
          <w:p w14:paraId="38C7A679" w14:textId="77777777" w:rsidR="009F6668" w:rsidRPr="00B1679E" w:rsidRDefault="009F6668" w:rsidP="00B1679E">
            <w:pPr>
              <w:rPr>
                <w:rFonts w:ascii="Book Antiqua" w:hAnsi="Book Antiqua"/>
              </w:rPr>
            </w:pPr>
          </w:p>
        </w:tc>
        <w:tc>
          <w:tcPr>
            <w:tcW w:w="1134" w:type="dxa"/>
            <w:vAlign w:val="center"/>
          </w:tcPr>
          <w:p w14:paraId="5E4A356A" w14:textId="77777777" w:rsidR="009F6668" w:rsidRPr="00B1679E" w:rsidRDefault="009F6668" w:rsidP="00B1679E">
            <w:pPr>
              <w:rPr>
                <w:rFonts w:ascii="Book Antiqua" w:hAnsi="Book Antiqua"/>
              </w:rPr>
            </w:pPr>
            <w:r w:rsidRPr="00B1679E">
              <w:rPr>
                <w:rFonts w:ascii="Book Antiqua" w:hAnsi="Book Antiqua"/>
              </w:rPr>
              <w:t>0.021</w:t>
            </w:r>
          </w:p>
        </w:tc>
      </w:tr>
      <w:tr w:rsidR="009F6668" w:rsidRPr="00B1679E" w14:paraId="5426740E" w14:textId="77777777" w:rsidTr="00F413AC">
        <w:tc>
          <w:tcPr>
            <w:tcW w:w="2240" w:type="dxa"/>
          </w:tcPr>
          <w:p w14:paraId="170797CA" w14:textId="77777777" w:rsidR="009F6668" w:rsidRPr="00B1679E" w:rsidRDefault="009F6668" w:rsidP="00B1679E">
            <w:pPr>
              <w:rPr>
                <w:rFonts w:ascii="Book Antiqua" w:hAnsi="Book Antiqua"/>
              </w:rPr>
            </w:pPr>
            <w:r w:rsidRPr="00B1679E">
              <w:rPr>
                <w:rFonts w:ascii="Book Antiqua" w:hAnsi="Book Antiqua"/>
              </w:rPr>
              <w:t>I</w:t>
            </w:r>
          </w:p>
        </w:tc>
        <w:tc>
          <w:tcPr>
            <w:tcW w:w="1842" w:type="dxa"/>
            <w:vAlign w:val="center"/>
          </w:tcPr>
          <w:p w14:paraId="1956D56F" w14:textId="77777777" w:rsidR="009F6668" w:rsidRPr="00B1679E" w:rsidRDefault="009F6668" w:rsidP="00B1679E">
            <w:pPr>
              <w:rPr>
                <w:rFonts w:ascii="Book Antiqua" w:hAnsi="Book Antiqua"/>
              </w:rPr>
            </w:pPr>
            <w:r w:rsidRPr="00B1679E">
              <w:rPr>
                <w:rFonts w:ascii="Book Antiqua" w:hAnsi="Book Antiqua"/>
              </w:rPr>
              <w:t>1 (3.7%)</w:t>
            </w:r>
          </w:p>
        </w:tc>
        <w:tc>
          <w:tcPr>
            <w:tcW w:w="1701" w:type="dxa"/>
            <w:vAlign w:val="center"/>
          </w:tcPr>
          <w:p w14:paraId="3346CDE1" w14:textId="77777777" w:rsidR="009F6668" w:rsidRPr="00B1679E" w:rsidRDefault="009F6668" w:rsidP="00B1679E">
            <w:pPr>
              <w:rPr>
                <w:rFonts w:ascii="Book Antiqua" w:hAnsi="Book Antiqua"/>
              </w:rPr>
            </w:pPr>
            <w:r w:rsidRPr="00B1679E">
              <w:rPr>
                <w:rFonts w:ascii="Book Antiqua" w:hAnsi="Book Antiqua"/>
              </w:rPr>
              <w:t>0</w:t>
            </w:r>
          </w:p>
        </w:tc>
        <w:tc>
          <w:tcPr>
            <w:tcW w:w="1701" w:type="dxa"/>
            <w:vAlign w:val="center"/>
          </w:tcPr>
          <w:p w14:paraId="3E550050" w14:textId="77777777" w:rsidR="009F6668" w:rsidRPr="00B1679E" w:rsidRDefault="009F6668" w:rsidP="00B1679E">
            <w:pPr>
              <w:rPr>
                <w:rFonts w:ascii="Book Antiqua" w:hAnsi="Book Antiqua"/>
              </w:rPr>
            </w:pPr>
            <w:r w:rsidRPr="00B1679E">
              <w:rPr>
                <w:rFonts w:ascii="Book Antiqua" w:hAnsi="Book Antiqua"/>
              </w:rPr>
              <w:t>0</w:t>
            </w:r>
          </w:p>
        </w:tc>
        <w:tc>
          <w:tcPr>
            <w:tcW w:w="1134" w:type="dxa"/>
            <w:vAlign w:val="center"/>
          </w:tcPr>
          <w:p w14:paraId="5DF9D327" w14:textId="77777777" w:rsidR="009F6668" w:rsidRPr="00B1679E" w:rsidRDefault="009F6668" w:rsidP="00B1679E">
            <w:pPr>
              <w:rPr>
                <w:rFonts w:ascii="Book Antiqua" w:hAnsi="Book Antiqua"/>
              </w:rPr>
            </w:pPr>
          </w:p>
        </w:tc>
      </w:tr>
      <w:tr w:rsidR="009F6668" w:rsidRPr="00B1679E" w14:paraId="72305146" w14:textId="77777777" w:rsidTr="00F413AC">
        <w:tc>
          <w:tcPr>
            <w:tcW w:w="2240" w:type="dxa"/>
          </w:tcPr>
          <w:p w14:paraId="623F24B6" w14:textId="77777777" w:rsidR="009F6668" w:rsidRPr="00B1679E" w:rsidRDefault="009F6668" w:rsidP="00B1679E">
            <w:pPr>
              <w:rPr>
                <w:rFonts w:ascii="Book Antiqua" w:hAnsi="Book Antiqua"/>
              </w:rPr>
            </w:pPr>
            <w:r w:rsidRPr="00B1679E">
              <w:rPr>
                <w:rFonts w:ascii="Book Antiqua" w:hAnsi="Book Antiqua"/>
              </w:rPr>
              <w:t>II</w:t>
            </w:r>
          </w:p>
        </w:tc>
        <w:tc>
          <w:tcPr>
            <w:tcW w:w="1842" w:type="dxa"/>
            <w:vAlign w:val="center"/>
          </w:tcPr>
          <w:p w14:paraId="2B703BFA" w14:textId="77777777" w:rsidR="009F6668" w:rsidRPr="00B1679E" w:rsidRDefault="009F6668" w:rsidP="00B1679E">
            <w:pPr>
              <w:rPr>
                <w:rFonts w:ascii="Book Antiqua" w:hAnsi="Book Antiqua"/>
              </w:rPr>
            </w:pPr>
            <w:r w:rsidRPr="00B1679E">
              <w:rPr>
                <w:rFonts w:ascii="Book Antiqua" w:hAnsi="Book Antiqua"/>
              </w:rPr>
              <w:t>1 (3.7%)</w:t>
            </w:r>
          </w:p>
        </w:tc>
        <w:tc>
          <w:tcPr>
            <w:tcW w:w="1701" w:type="dxa"/>
            <w:vAlign w:val="center"/>
          </w:tcPr>
          <w:p w14:paraId="0BB9A1D7" w14:textId="77777777" w:rsidR="009F6668" w:rsidRPr="00B1679E" w:rsidRDefault="009F6668" w:rsidP="00B1679E">
            <w:pPr>
              <w:rPr>
                <w:rFonts w:ascii="Book Antiqua" w:hAnsi="Book Antiqua"/>
              </w:rPr>
            </w:pPr>
            <w:r w:rsidRPr="00B1679E">
              <w:rPr>
                <w:rFonts w:ascii="Book Antiqua" w:hAnsi="Book Antiqua"/>
              </w:rPr>
              <w:t>1 (2.3%)</w:t>
            </w:r>
          </w:p>
        </w:tc>
        <w:tc>
          <w:tcPr>
            <w:tcW w:w="1701" w:type="dxa"/>
            <w:vAlign w:val="center"/>
          </w:tcPr>
          <w:p w14:paraId="6B827B89" w14:textId="77777777" w:rsidR="009F6668" w:rsidRPr="00B1679E" w:rsidRDefault="009F6668" w:rsidP="00B1679E">
            <w:pPr>
              <w:rPr>
                <w:rFonts w:ascii="Book Antiqua" w:hAnsi="Book Antiqua"/>
              </w:rPr>
            </w:pPr>
            <w:r w:rsidRPr="00B1679E">
              <w:rPr>
                <w:rFonts w:ascii="Book Antiqua" w:hAnsi="Book Antiqua"/>
              </w:rPr>
              <w:t>11 (16.9%)</w:t>
            </w:r>
          </w:p>
        </w:tc>
        <w:tc>
          <w:tcPr>
            <w:tcW w:w="1134" w:type="dxa"/>
            <w:vAlign w:val="center"/>
          </w:tcPr>
          <w:p w14:paraId="07CA2D16" w14:textId="77777777" w:rsidR="009F6668" w:rsidRPr="00B1679E" w:rsidRDefault="009F6668" w:rsidP="00B1679E">
            <w:pPr>
              <w:rPr>
                <w:rFonts w:ascii="Book Antiqua" w:hAnsi="Book Antiqua"/>
              </w:rPr>
            </w:pPr>
          </w:p>
        </w:tc>
      </w:tr>
      <w:tr w:rsidR="009F6668" w:rsidRPr="00B1679E" w14:paraId="163ECBE1" w14:textId="77777777" w:rsidTr="00F413AC">
        <w:tc>
          <w:tcPr>
            <w:tcW w:w="2240" w:type="dxa"/>
          </w:tcPr>
          <w:p w14:paraId="42AAD1AE" w14:textId="77777777" w:rsidR="009F6668" w:rsidRPr="00B1679E" w:rsidRDefault="009F6668" w:rsidP="00B1679E">
            <w:pPr>
              <w:rPr>
                <w:rFonts w:ascii="Book Antiqua" w:hAnsi="Book Antiqua"/>
              </w:rPr>
            </w:pPr>
            <w:r w:rsidRPr="00B1679E">
              <w:rPr>
                <w:rFonts w:ascii="Book Antiqua" w:hAnsi="Book Antiqua"/>
              </w:rPr>
              <w:t>III</w:t>
            </w:r>
          </w:p>
        </w:tc>
        <w:tc>
          <w:tcPr>
            <w:tcW w:w="1842" w:type="dxa"/>
            <w:vAlign w:val="center"/>
          </w:tcPr>
          <w:p w14:paraId="2E3AE5BD" w14:textId="77777777" w:rsidR="009F6668" w:rsidRPr="00B1679E" w:rsidRDefault="009F6668" w:rsidP="00B1679E">
            <w:pPr>
              <w:rPr>
                <w:rFonts w:ascii="Book Antiqua" w:hAnsi="Book Antiqua"/>
              </w:rPr>
            </w:pPr>
            <w:r w:rsidRPr="00B1679E">
              <w:rPr>
                <w:rFonts w:ascii="Book Antiqua" w:hAnsi="Book Antiqua"/>
              </w:rPr>
              <w:t>25 (92.6%)</w:t>
            </w:r>
          </w:p>
        </w:tc>
        <w:tc>
          <w:tcPr>
            <w:tcW w:w="1701" w:type="dxa"/>
            <w:vAlign w:val="center"/>
          </w:tcPr>
          <w:p w14:paraId="248C6239" w14:textId="77777777" w:rsidR="009F6668" w:rsidRPr="00B1679E" w:rsidRDefault="009F6668" w:rsidP="00B1679E">
            <w:pPr>
              <w:rPr>
                <w:rFonts w:ascii="Book Antiqua" w:hAnsi="Book Antiqua"/>
              </w:rPr>
            </w:pPr>
            <w:r w:rsidRPr="00B1679E">
              <w:rPr>
                <w:rFonts w:ascii="Book Antiqua" w:hAnsi="Book Antiqua"/>
              </w:rPr>
              <w:t>42 (97.7%)</w:t>
            </w:r>
          </w:p>
        </w:tc>
        <w:tc>
          <w:tcPr>
            <w:tcW w:w="1701" w:type="dxa"/>
            <w:vAlign w:val="center"/>
          </w:tcPr>
          <w:p w14:paraId="38A0E106" w14:textId="77777777" w:rsidR="009F6668" w:rsidRPr="00B1679E" w:rsidRDefault="009F6668" w:rsidP="00B1679E">
            <w:pPr>
              <w:rPr>
                <w:rFonts w:ascii="Book Antiqua" w:hAnsi="Book Antiqua"/>
              </w:rPr>
            </w:pPr>
            <w:r w:rsidRPr="00B1679E">
              <w:rPr>
                <w:rFonts w:ascii="Book Antiqua" w:hAnsi="Book Antiqua"/>
              </w:rPr>
              <w:t>54 (83.1%)</w:t>
            </w:r>
          </w:p>
        </w:tc>
        <w:tc>
          <w:tcPr>
            <w:tcW w:w="1134" w:type="dxa"/>
            <w:vAlign w:val="center"/>
          </w:tcPr>
          <w:p w14:paraId="0EE5857D" w14:textId="77777777" w:rsidR="009F6668" w:rsidRPr="00B1679E" w:rsidRDefault="009F6668" w:rsidP="00B1679E">
            <w:pPr>
              <w:rPr>
                <w:rFonts w:ascii="Book Antiqua" w:hAnsi="Book Antiqua"/>
              </w:rPr>
            </w:pPr>
          </w:p>
        </w:tc>
      </w:tr>
      <w:tr w:rsidR="009F6668" w:rsidRPr="00B1679E" w14:paraId="14344A90" w14:textId="77777777" w:rsidTr="00F413AC">
        <w:tc>
          <w:tcPr>
            <w:tcW w:w="2240" w:type="dxa"/>
          </w:tcPr>
          <w:p w14:paraId="02202473"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Post-CRT CEA (ng/dL)</w:t>
            </w:r>
          </w:p>
        </w:tc>
        <w:tc>
          <w:tcPr>
            <w:tcW w:w="1842" w:type="dxa"/>
            <w:vAlign w:val="center"/>
          </w:tcPr>
          <w:p w14:paraId="2622FB9D"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8.4 (6.0</w:t>
            </w:r>
            <w:r w:rsidRPr="00B1679E">
              <w:rPr>
                <w:rFonts w:ascii="Book Antiqua" w:hAnsi="Book Antiqua"/>
                <w:color w:val="000000"/>
              </w:rPr>
              <w:t>–</w:t>
            </w:r>
            <w:r w:rsidRPr="00B1679E">
              <w:rPr>
                <w:rFonts w:ascii="Book Antiqua" w:hAnsi="Book Antiqua"/>
                <w:color w:val="000000" w:themeColor="text1"/>
              </w:rPr>
              <w:t>13.7)</w:t>
            </w:r>
          </w:p>
        </w:tc>
        <w:tc>
          <w:tcPr>
            <w:tcW w:w="1701" w:type="dxa"/>
            <w:vAlign w:val="center"/>
          </w:tcPr>
          <w:p w14:paraId="271B737B"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2.9 (2.0</w:t>
            </w:r>
            <w:r w:rsidRPr="00B1679E">
              <w:rPr>
                <w:rFonts w:ascii="Book Antiqua" w:hAnsi="Book Antiqua"/>
                <w:color w:val="000000"/>
              </w:rPr>
              <w:t>–</w:t>
            </w:r>
            <w:r w:rsidRPr="00B1679E">
              <w:rPr>
                <w:rFonts w:ascii="Book Antiqua" w:hAnsi="Book Antiqua"/>
                <w:color w:val="000000" w:themeColor="text1"/>
              </w:rPr>
              <w:t>4.0)</w:t>
            </w:r>
          </w:p>
        </w:tc>
        <w:tc>
          <w:tcPr>
            <w:tcW w:w="1701" w:type="dxa"/>
            <w:vAlign w:val="center"/>
          </w:tcPr>
          <w:p w14:paraId="6329FE10"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1.8 (1.2</w:t>
            </w:r>
            <w:r w:rsidRPr="00B1679E">
              <w:rPr>
                <w:rFonts w:ascii="Book Antiqua" w:hAnsi="Book Antiqua"/>
                <w:color w:val="000000"/>
              </w:rPr>
              <w:t>–</w:t>
            </w:r>
            <w:r w:rsidRPr="00B1679E">
              <w:rPr>
                <w:rFonts w:ascii="Book Antiqua" w:hAnsi="Book Antiqua"/>
                <w:color w:val="000000" w:themeColor="text1"/>
              </w:rPr>
              <w:t>2.9)</w:t>
            </w:r>
          </w:p>
        </w:tc>
        <w:tc>
          <w:tcPr>
            <w:tcW w:w="1134" w:type="dxa"/>
            <w:vAlign w:val="center"/>
          </w:tcPr>
          <w:p w14:paraId="5D04977C" w14:textId="77777777" w:rsidR="009F6668" w:rsidRPr="00B1679E" w:rsidRDefault="009F6668" w:rsidP="00B1679E">
            <w:pPr>
              <w:rPr>
                <w:rFonts w:ascii="Book Antiqua" w:hAnsi="Book Antiqua"/>
                <w:color w:val="000000" w:themeColor="text1"/>
              </w:rPr>
            </w:pPr>
            <w:r w:rsidRPr="00B1679E">
              <w:rPr>
                <w:rFonts w:ascii="Book Antiqua" w:hAnsi="Book Antiqua"/>
                <w:color w:val="000000" w:themeColor="text1"/>
              </w:rPr>
              <w:t>&lt; 0.001</w:t>
            </w:r>
          </w:p>
        </w:tc>
      </w:tr>
      <w:tr w:rsidR="009F6668" w:rsidRPr="00B1679E" w14:paraId="3BA070CE" w14:textId="77777777" w:rsidTr="00F413AC">
        <w:tc>
          <w:tcPr>
            <w:tcW w:w="2240" w:type="dxa"/>
          </w:tcPr>
          <w:p w14:paraId="351D39F9" w14:textId="77777777" w:rsidR="009F6668" w:rsidRPr="00B1679E" w:rsidRDefault="009F6668" w:rsidP="00B1679E">
            <w:pPr>
              <w:rPr>
                <w:rFonts w:ascii="Book Antiqua" w:hAnsi="Book Antiqua"/>
              </w:rPr>
            </w:pPr>
            <w:r w:rsidRPr="00B1679E">
              <w:rPr>
                <w:rFonts w:ascii="Book Antiqua" w:hAnsi="Book Antiqua"/>
              </w:rPr>
              <w:t>Post-CRT T stage</w:t>
            </w:r>
          </w:p>
        </w:tc>
        <w:tc>
          <w:tcPr>
            <w:tcW w:w="1842" w:type="dxa"/>
            <w:vAlign w:val="center"/>
          </w:tcPr>
          <w:p w14:paraId="3D45E01F" w14:textId="77777777" w:rsidR="009F6668" w:rsidRPr="00B1679E" w:rsidRDefault="009F6668" w:rsidP="00B1679E">
            <w:pPr>
              <w:rPr>
                <w:rFonts w:ascii="Book Antiqua" w:hAnsi="Book Antiqua"/>
              </w:rPr>
            </w:pPr>
          </w:p>
        </w:tc>
        <w:tc>
          <w:tcPr>
            <w:tcW w:w="1701" w:type="dxa"/>
            <w:vAlign w:val="center"/>
          </w:tcPr>
          <w:p w14:paraId="3CB3D6DC" w14:textId="77777777" w:rsidR="009F6668" w:rsidRPr="00B1679E" w:rsidRDefault="009F6668" w:rsidP="00B1679E">
            <w:pPr>
              <w:rPr>
                <w:rFonts w:ascii="Book Antiqua" w:hAnsi="Book Antiqua"/>
              </w:rPr>
            </w:pPr>
          </w:p>
        </w:tc>
        <w:tc>
          <w:tcPr>
            <w:tcW w:w="1701" w:type="dxa"/>
            <w:vAlign w:val="center"/>
          </w:tcPr>
          <w:p w14:paraId="5A468857" w14:textId="77777777" w:rsidR="009F6668" w:rsidRPr="00B1679E" w:rsidRDefault="009F6668" w:rsidP="00B1679E">
            <w:pPr>
              <w:rPr>
                <w:rFonts w:ascii="Book Antiqua" w:hAnsi="Book Antiqua"/>
              </w:rPr>
            </w:pPr>
          </w:p>
        </w:tc>
        <w:tc>
          <w:tcPr>
            <w:tcW w:w="1134" w:type="dxa"/>
            <w:vAlign w:val="center"/>
          </w:tcPr>
          <w:p w14:paraId="5EE96A50" w14:textId="77777777" w:rsidR="009F6668" w:rsidRPr="00B1679E" w:rsidRDefault="009F6668" w:rsidP="00B1679E">
            <w:pPr>
              <w:rPr>
                <w:rFonts w:ascii="Book Antiqua" w:hAnsi="Book Antiqua"/>
              </w:rPr>
            </w:pPr>
            <w:r w:rsidRPr="00B1679E">
              <w:rPr>
                <w:rFonts w:ascii="Book Antiqua" w:hAnsi="Book Antiqua"/>
              </w:rPr>
              <w:t>0.001</w:t>
            </w:r>
          </w:p>
        </w:tc>
      </w:tr>
      <w:tr w:rsidR="009F6668" w:rsidRPr="00B1679E" w14:paraId="699B97D1" w14:textId="77777777" w:rsidTr="00F413AC">
        <w:tc>
          <w:tcPr>
            <w:tcW w:w="2240" w:type="dxa"/>
          </w:tcPr>
          <w:p w14:paraId="15145E56" w14:textId="77777777" w:rsidR="009F6668" w:rsidRPr="00B1679E" w:rsidRDefault="009F6668" w:rsidP="00B1679E">
            <w:pPr>
              <w:rPr>
                <w:rFonts w:ascii="Book Antiqua" w:hAnsi="Book Antiqua"/>
              </w:rPr>
            </w:pPr>
            <w:r w:rsidRPr="00B1679E">
              <w:rPr>
                <w:rFonts w:ascii="Book Antiqua" w:hAnsi="Book Antiqua"/>
              </w:rPr>
              <w:t>0–2</w:t>
            </w:r>
          </w:p>
        </w:tc>
        <w:tc>
          <w:tcPr>
            <w:tcW w:w="1842" w:type="dxa"/>
            <w:vAlign w:val="center"/>
          </w:tcPr>
          <w:p w14:paraId="4973D85E" w14:textId="77777777" w:rsidR="009F6668" w:rsidRPr="00B1679E" w:rsidRDefault="009F6668" w:rsidP="00B1679E">
            <w:pPr>
              <w:rPr>
                <w:rFonts w:ascii="Book Antiqua" w:hAnsi="Book Antiqua"/>
              </w:rPr>
            </w:pPr>
            <w:r w:rsidRPr="00B1679E">
              <w:rPr>
                <w:rFonts w:ascii="Book Antiqua" w:hAnsi="Book Antiqua"/>
              </w:rPr>
              <w:t>3 (11.1%)</w:t>
            </w:r>
          </w:p>
        </w:tc>
        <w:tc>
          <w:tcPr>
            <w:tcW w:w="1701" w:type="dxa"/>
            <w:vAlign w:val="center"/>
          </w:tcPr>
          <w:p w14:paraId="7C4060CA" w14:textId="77777777" w:rsidR="009F6668" w:rsidRPr="00B1679E" w:rsidRDefault="009F6668" w:rsidP="00B1679E">
            <w:pPr>
              <w:rPr>
                <w:rFonts w:ascii="Book Antiqua" w:hAnsi="Book Antiqua"/>
              </w:rPr>
            </w:pPr>
            <w:r w:rsidRPr="00B1679E">
              <w:rPr>
                <w:rFonts w:ascii="Book Antiqua" w:hAnsi="Book Antiqua"/>
              </w:rPr>
              <w:t>5 (11.6%)</w:t>
            </w:r>
          </w:p>
        </w:tc>
        <w:tc>
          <w:tcPr>
            <w:tcW w:w="1701" w:type="dxa"/>
            <w:vAlign w:val="center"/>
          </w:tcPr>
          <w:p w14:paraId="4CCE32FF" w14:textId="77777777" w:rsidR="009F6668" w:rsidRPr="00B1679E" w:rsidRDefault="009F6668" w:rsidP="00B1679E">
            <w:pPr>
              <w:rPr>
                <w:rFonts w:ascii="Book Antiqua" w:hAnsi="Book Antiqua"/>
              </w:rPr>
            </w:pPr>
            <w:r w:rsidRPr="00B1679E">
              <w:rPr>
                <w:rFonts w:ascii="Book Antiqua" w:hAnsi="Book Antiqua"/>
              </w:rPr>
              <w:t>25 (38.5%)</w:t>
            </w:r>
          </w:p>
        </w:tc>
        <w:tc>
          <w:tcPr>
            <w:tcW w:w="1134" w:type="dxa"/>
            <w:vAlign w:val="center"/>
          </w:tcPr>
          <w:p w14:paraId="1D87462B" w14:textId="77777777" w:rsidR="009F6668" w:rsidRPr="00B1679E" w:rsidRDefault="009F6668" w:rsidP="00B1679E">
            <w:pPr>
              <w:rPr>
                <w:rFonts w:ascii="Book Antiqua" w:hAnsi="Book Antiqua"/>
              </w:rPr>
            </w:pPr>
          </w:p>
        </w:tc>
      </w:tr>
      <w:tr w:rsidR="009F6668" w:rsidRPr="00B1679E" w14:paraId="73E7694E" w14:textId="77777777" w:rsidTr="00F413AC">
        <w:tc>
          <w:tcPr>
            <w:tcW w:w="2240" w:type="dxa"/>
          </w:tcPr>
          <w:p w14:paraId="111C0F9C" w14:textId="77777777" w:rsidR="009F6668" w:rsidRPr="00B1679E" w:rsidRDefault="009F6668" w:rsidP="00B1679E">
            <w:pPr>
              <w:rPr>
                <w:rFonts w:ascii="Book Antiqua" w:hAnsi="Book Antiqua"/>
              </w:rPr>
            </w:pPr>
            <w:r w:rsidRPr="00B1679E">
              <w:rPr>
                <w:rFonts w:ascii="Book Antiqua" w:hAnsi="Book Antiqua"/>
              </w:rPr>
              <w:t>3–4</w:t>
            </w:r>
          </w:p>
        </w:tc>
        <w:tc>
          <w:tcPr>
            <w:tcW w:w="1842" w:type="dxa"/>
            <w:vAlign w:val="center"/>
          </w:tcPr>
          <w:p w14:paraId="7C8F8F9C" w14:textId="77777777" w:rsidR="009F6668" w:rsidRPr="00B1679E" w:rsidRDefault="009F6668" w:rsidP="00B1679E">
            <w:pPr>
              <w:rPr>
                <w:rFonts w:ascii="Book Antiqua" w:hAnsi="Book Antiqua"/>
              </w:rPr>
            </w:pPr>
            <w:r w:rsidRPr="00B1679E">
              <w:rPr>
                <w:rFonts w:ascii="Book Antiqua" w:hAnsi="Book Antiqua"/>
              </w:rPr>
              <w:t>24 (88.9%)</w:t>
            </w:r>
          </w:p>
        </w:tc>
        <w:tc>
          <w:tcPr>
            <w:tcW w:w="1701" w:type="dxa"/>
            <w:vAlign w:val="center"/>
          </w:tcPr>
          <w:p w14:paraId="2A855FDD" w14:textId="77777777" w:rsidR="009F6668" w:rsidRPr="00B1679E" w:rsidRDefault="009F6668" w:rsidP="00B1679E">
            <w:pPr>
              <w:rPr>
                <w:rFonts w:ascii="Book Antiqua" w:hAnsi="Book Antiqua"/>
              </w:rPr>
            </w:pPr>
            <w:r w:rsidRPr="00B1679E">
              <w:rPr>
                <w:rFonts w:ascii="Book Antiqua" w:hAnsi="Book Antiqua"/>
              </w:rPr>
              <w:t>38 (88.4%)</w:t>
            </w:r>
          </w:p>
        </w:tc>
        <w:tc>
          <w:tcPr>
            <w:tcW w:w="1701" w:type="dxa"/>
            <w:vAlign w:val="center"/>
          </w:tcPr>
          <w:p w14:paraId="59BB756E" w14:textId="77777777" w:rsidR="009F6668" w:rsidRPr="00B1679E" w:rsidRDefault="009F6668" w:rsidP="00B1679E">
            <w:pPr>
              <w:rPr>
                <w:rFonts w:ascii="Book Antiqua" w:hAnsi="Book Antiqua"/>
              </w:rPr>
            </w:pPr>
            <w:r w:rsidRPr="00B1679E">
              <w:rPr>
                <w:rFonts w:ascii="Book Antiqua" w:hAnsi="Book Antiqua"/>
              </w:rPr>
              <w:t>40 (61.5%)</w:t>
            </w:r>
          </w:p>
        </w:tc>
        <w:tc>
          <w:tcPr>
            <w:tcW w:w="1134" w:type="dxa"/>
            <w:vAlign w:val="center"/>
          </w:tcPr>
          <w:p w14:paraId="0794D621" w14:textId="77777777" w:rsidR="009F6668" w:rsidRPr="00B1679E" w:rsidRDefault="009F6668" w:rsidP="00B1679E">
            <w:pPr>
              <w:rPr>
                <w:rFonts w:ascii="Book Antiqua" w:hAnsi="Book Antiqua"/>
              </w:rPr>
            </w:pPr>
          </w:p>
        </w:tc>
      </w:tr>
      <w:tr w:rsidR="009F6668" w:rsidRPr="00B1679E" w14:paraId="7F64DAC8" w14:textId="77777777" w:rsidTr="00F413AC">
        <w:tc>
          <w:tcPr>
            <w:tcW w:w="2240" w:type="dxa"/>
          </w:tcPr>
          <w:p w14:paraId="0FBFD3D1" w14:textId="77777777" w:rsidR="009F6668" w:rsidRPr="00B1679E" w:rsidRDefault="009F6668" w:rsidP="00B1679E">
            <w:pPr>
              <w:rPr>
                <w:rFonts w:ascii="Book Antiqua" w:hAnsi="Book Antiqua"/>
              </w:rPr>
            </w:pPr>
            <w:r w:rsidRPr="00B1679E">
              <w:rPr>
                <w:rFonts w:ascii="Book Antiqua" w:hAnsi="Book Antiqua"/>
              </w:rPr>
              <w:t>Post-CRT N stage</w:t>
            </w:r>
          </w:p>
        </w:tc>
        <w:tc>
          <w:tcPr>
            <w:tcW w:w="1842" w:type="dxa"/>
            <w:vAlign w:val="center"/>
          </w:tcPr>
          <w:p w14:paraId="4D2DC3C7" w14:textId="77777777" w:rsidR="009F6668" w:rsidRPr="00B1679E" w:rsidRDefault="009F6668" w:rsidP="00B1679E">
            <w:pPr>
              <w:rPr>
                <w:rFonts w:ascii="Book Antiqua" w:hAnsi="Book Antiqua"/>
              </w:rPr>
            </w:pPr>
          </w:p>
        </w:tc>
        <w:tc>
          <w:tcPr>
            <w:tcW w:w="1701" w:type="dxa"/>
            <w:vAlign w:val="center"/>
          </w:tcPr>
          <w:p w14:paraId="6FBC94BD" w14:textId="77777777" w:rsidR="009F6668" w:rsidRPr="00B1679E" w:rsidRDefault="009F6668" w:rsidP="00B1679E">
            <w:pPr>
              <w:rPr>
                <w:rFonts w:ascii="Book Antiqua" w:hAnsi="Book Antiqua"/>
              </w:rPr>
            </w:pPr>
          </w:p>
        </w:tc>
        <w:tc>
          <w:tcPr>
            <w:tcW w:w="1701" w:type="dxa"/>
            <w:vAlign w:val="center"/>
          </w:tcPr>
          <w:p w14:paraId="30A302A2" w14:textId="77777777" w:rsidR="009F6668" w:rsidRPr="00B1679E" w:rsidRDefault="009F6668" w:rsidP="00B1679E">
            <w:pPr>
              <w:rPr>
                <w:rFonts w:ascii="Book Antiqua" w:hAnsi="Book Antiqua"/>
              </w:rPr>
            </w:pPr>
          </w:p>
        </w:tc>
        <w:tc>
          <w:tcPr>
            <w:tcW w:w="1134" w:type="dxa"/>
            <w:vAlign w:val="center"/>
          </w:tcPr>
          <w:p w14:paraId="78A8D0F2" w14:textId="77777777" w:rsidR="009F6668" w:rsidRPr="00B1679E" w:rsidRDefault="009F6668" w:rsidP="00B1679E">
            <w:pPr>
              <w:rPr>
                <w:rFonts w:ascii="Book Antiqua" w:hAnsi="Book Antiqua"/>
              </w:rPr>
            </w:pPr>
            <w:r w:rsidRPr="00B1679E">
              <w:rPr>
                <w:rFonts w:ascii="Book Antiqua" w:hAnsi="Book Antiqua"/>
              </w:rPr>
              <w:t>0.006</w:t>
            </w:r>
          </w:p>
        </w:tc>
      </w:tr>
      <w:tr w:rsidR="009F6668" w:rsidRPr="00B1679E" w14:paraId="520177F1" w14:textId="77777777" w:rsidTr="00F413AC">
        <w:tc>
          <w:tcPr>
            <w:tcW w:w="2240" w:type="dxa"/>
          </w:tcPr>
          <w:p w14:paraId="5B2A290F" w14:textId="77777777" w:rsidR="009F6668" w:rsidRPr="00B1679E" w:rsidRDefault="009F6668" w:rsidP="00B1679E">
            <w:pPr>
              <w:rPr>
                <w:rFonts w:ascii="Book Antiqua" w:hAnsi="Book Antiqua"/>
              </w:rPr>
            </w:pPr>
            <w:r w:rsidRPr="00B1679E">
              <w:rPr>
                <w:rFonts w:ascii="Book Antiqua" w:hAnsi="Book Antiqua"/>
              </w:rPr>
              <w:t>N0</w:t>
            </w:r>
          </w:p>
        </w:tc>
        <w:tc>
          <w:tcPr>
            <w:tcW w:w="1842" w:type="dxa"/>
            <w:vAlign w:val="center"/>
          </w:tcPr>
          <w:p w14:paraId="7B760EC5" w14:textId="77777777" w:rsidR="009F6668" w:rsidRPr="00B1679E" w:rsidRDefault="009F6668" w:rsidP="00B1679E">
            <w:pPr>
              <w:rPr>
                <w:rFonts w:ascii="Book Antiqua" w:hAnsi="Book Antiqua"/>
              </w:rPr>
            </w:pPr>
            <w:r w:rsidRPr="00B1679E">
              <w:rPr>
                <w:rFonts w:ascii="Book Antiqua" w:hAnsi="Book Antiqua"/>
              </w:rPr>
              <w:t>8 (29.6%)</w:t>
            </w:r>
          </w:p>
        </w:tc>
        <w:tc>
          <w:tcPr>
            <w:tcW w:w="1701" w:type="dxa"/>
            <w:vAlign w:val="center"/>
          </w:tcPr>
          <w:p w14:paraId="7B21921A" w14:textId="77777777" w:rsidR="009F6668" w:rsidRPr="00B1679E" w:rsidRDefault="009F6668" w:rsidP="00B1679E">
            <w:pPr>
              <w:rPr>
                <w:rFonts w:ascii="Book Antiqua" w:hAnsi="Book Antiqua"/>
              </w:rPr>
            </w:pPr>
            <w:r w:rsidRPr="00B1679E">
              <w:rPr>
                <w:rFonts w:ascii="Book Antiqua" w:hAnsi="Book Antiqua"/>
              </w:rPr>
              <w:t>20 (46.5%)</w:t>
            </w:r>
          </w:p>
        </w:tc>
        <w:tc>
          <w:tcPr>
            <w:tcW w:w="1701" w:type="dxa"/>
            <w:vAlign w:val="center"/>
          </w:tcPr>
          <w:p w14:paraId="51EED712" w14:textId="77777777" w:rsidR="009F6668" w:rsidRPr="00B1679E" w:rsidRDefault="009F6668" w:rsidP="00B1679E">
            <w:pPr>
              <w:rPr>
                <w:rFonts w:ascii="Book Antiqua" w:hAnsi="Book Antiqua"/>
              </w:rPr>
            </w:pPr>
            <w:r w:rsidRPr="00B1679E">
              <w:rPr>
                <w:rFonts w:ascii="Book Antiqua" w:hAnsi="Book Antiqua"/>
              </w:rPr>
              <w:t>42 (64.6%)</w:t>
            </w:r>
          </w:p>
        </w:tc>
        <w:tc>
          <w:tcPr>
            <w:tcW w:w="1134" w:type="dxa"/>
            <w:vAlign w:val="center"/>
          </w:tcPr>
          <w:p w14:paraId="52BDAF78" w14:textId="77777777" w:rsidR="009F6668" w:rsidRPr="00B1679E" w:rsidRDefault="009F6668" w:rsidP="00B1679E">
            <w:pPr>
              <w:rPr>
                <w:rFonts w:ascii="Book Antiqua" w:hAnsi="Book Antiqua"/>
              </w:rPr>
            </w:pPr>
          </w:p>
        </w:tc>
      </w:tr>
      <w:tr w:rsidR="009F6668" w:rsidRPr="00B1679E" w14:paraId="0E488ACD" w14:textId="77777777" w:rsidTr="00F413AC">
        <w:tc>
          <w:tcPr>
            <w:tcW w:w="2240" w:type="dxa"/>
          </w:tcPr>
          <w:p w14:paraId="1D63413A" w14:textId="77777777" w:rsidR="009F6668" w:rsidRPr="00B1679E" w:rsidRDefault="009F6668" w:rsidP="00B1679E">
            <w:pPr>
              <w:rPr>
                <w:rFonts w:ascii="Book Antiqua" w:hAnsi="Book Antiqua"/>
              </w:rPr>
            </w:pPr>
            <w:r w:rsidRPr="00B1679E">
              <w:rPr>
                <w:rFonts w:ascii="Book Antiqua" w:hAnsi="Book Antiqua"/>
              </w:rPr>
              <w:t>N+</w:t>
            </w:r>
          </w:p>
        </w:tc>
        <w:tc>
          <w:tcPr>
            <w:tcW w:w="1842" w:type="dxa"/>
            <w:vAlign w:val="center"/>
          </w:tcPr>
          <w:p w14:paraId="03CA1E66" w14:textId="77777777" w:rsidR="009F6668" w:rsidRPr="00B1679E" w:rsidRDefault="009F6668" w:rsidP="00B1679E">
            <w:pPr>
              <w:rPr>
                <w:rFonts w:ascii="Book Antiqua" w:hAnsi="Book Antiqua"/>
              </w:rPr>
            </w:pPr>
            <w:r w:rsidRPr="00B1679E">
              <w:rPr>
                <w:rFonts w:ascii="Book Antiqua" w:hAnsi="Book Antiqua"/>
              </w:rPr>
              <w:t>19 (70.4%)</w:t>
            </w:r>
          </w:p>
        </w:tc>
        <w:tc>
          <w:tcPr>
            <w:tcW w:w="1701" w:type="dxa"/>
            <w:vAlign w:val="center"/>
          </w:tcPr>
          <w:p w14:paraId="7BFCD7BD" w14:textId="77777777" w:rsidR="009F6668" w:rsidRPr="00B1679E" w:rsidRDefault="009F6668" w:rsidP="00B1679E">
            <w:pPr>
              <w:rPr>
                <w:rFonts w:ascii="Book Antiqua" w:hAnsi="Book Antiqua"/>
              </w:rPr>
            </w:pPr>
            <w:r w:rsidRPr="00B1679E">
              <w:rPr>
                <w:rFonts w:ascii="Book Antiqua" w:hAnsi="Book Antiqua"/>
              </w:rPr>
              <w:t>23 (53.5%)</w:t>
            </w:r>
          </w:p>
        </w:tc>
        <w:tc>
          <w:tcPr>
            <w:tcW w:w="1701" w:type="dxa"/>
            <w:vAlign w:val="center"/>
          </w:tcPr>
          <w:p w14:paraId="2DED5FB4" w14:textId="77777777" w:rsidR="009F6668" w:rsidRPr="00B1679E" w:rsidRDefault="009F6668" w:rsidP="00B1679E">
            <w:pPr>
              <w:rPr>
                <w:rFonts w:ascii="Book Antiqua" w:hAnsi="Book Antiqua"/>
              </w:rPr>
            </w:pPr>
            <w:r w:rsidRPr="00B1679E">
              <w:rPr>
                <w:rFonts w:ascii="Book Antiqua" w:hAnsi="Book Antiqua"/>
              </w:rPr>
              <w:t>23 (35.4%)</w:t>
            </w:r>
          </w:p>
        </w:tc>
        <w:tc>
          <w:tcPr>
            <w:tcW w:w="1134" w:type="dxa"/>
            <w:vAlign w:val="center"/>
          </w:tcPr>
          <w:p w14:paraId="067D418E" w14:textId="77777777" w:rsidR="009F6668" w:rsidRPr="00B1679E" w:rsidRDefault="009F6668" w:rsidP="00B1679E">
            <w:pPr>
              <w:rPr>
                <w:rFonts w:ascii="Book Antiqua" w:hAnsi="Book Antiqua"/>
              </w:rPr>
            </w:pPr>
          </w:p>
        </w:tc>
      </w:tr>
      <w:tr w:rsidR="009F6668" w:rsidRPr="00B1679E" w14:paraId="336E068C" w14:textId="77777777" w:rsidTr="00F413AC">
        <w:tc>
          <w:tcPr>
            <w:tcW w:w="2240" w:type="dxa"/>
          </w:tcPr>
          <w:p w14:paraId="1001A661" w14:textId="77777777" w:rsidR="009F6668" w:rsidRPr="00B1679E" w:rsidRDefault="009F6668" w:rsidP="00B1679E">
            <w:pPr>
              <w:rPr>
                <w:rFonts w:ascii="Book Antiqua" w:hAnsi="Book Antiqua"/>
              </w:rPr>
            </w:pPr>
            <w:r w:rsidRPr="00B1679E">
              <w:rPr>
                <w:rFonts w:ascii="Book Antiqua" w:hAnsi="Book Antiqua"/>
              </w:rPr>
              <w:t>Post-CRT M stage</w:t>
            </w:r>
          </w:p>
        </w:tc>
        <w:tc>
          <w:tcPr>
            <w:tcW w:w="1842" w:type="dxa"/>
            <w:vAlign w:val="center"/>
          </w:tcPr>
          <w:p w14:paraId="2A588ACA" w14:textId="77777777" w:rsidR="009F6668" w:rsidRPr="00B1679E" w:rsidRDefault="009F6668" w:rsidP="00B1679E">
            <w:pPr>
              <w:rPr>
                <w:rFonts w:ascii="Book Antiqua" w:hAnsi="Book Antiqua"/>
              </w:rPr>
            </w:pPr>
          </w:p>
        </w:tc>
        <w:tc>
          <w:tcPr>
            <w:tcW w:w="1701" w:type="dxa"/>
            <w:vAlign w:val="center"/>
          </w:tcPr>
          <w:p w14:paraId="21D14006" w14:textId="77777777" w:rsidR="009F6668" w:rsidRPr="00B1679E" w:rsidRDefault="009F6668" w:rsidP="00B1679E">
            <w:pPr>
              <w:rPr>
                <w:rFonts w:ascii="Book Antiqua" w:hAnsi="Book Antiqua"/>
              </w:rPr>
            </w:pPr>
          </w:p>
        </w:tc>
        <w:tc>
          <w:tcPr>
            <w:tcW w:w="1701" w:type="dxa"/>
            <w:vAlign w:val="center"/>
          </w:tcPr>
          <w:p w14:paraId="7391FB72" w14:textId="77777777" w:rsidR="009F6668" w:rsidRPr="00B1679E" w:rsidRDefault="009F6668" w:rsidP="00B1679E">
            <w:pPr>
              <w:rPr>
                <w:rFonts w:ascii="Book Antiqua" w:hAnsi="Book Antiqua"/>
              </w:rPr>
            </w:pPr>
          </w:p>
        </w:tc>
        <w:tc>
          <w:tcPr>
            <w:tcW w:w="1134" w:type="dxa"/>
            <w:vAlign w:val="center"/>
          </w:tcPr>
          <w:p w14:paraId="42683961" w14:textId="77777777" w:rsidR="009F6668" w:rsidRPr="00B1679E" w:rsidRDefault="009F6668" w:rsidP="00B1679E">
            <w:pPr>
              <w:rPr>
                <w:rFonts w:ascii="Book Antiqua" w:hAnsi="Book Antiqua"/>
              </w:rPr>
            </w:pPr>
            <w:r w:rsidRPr="00B1679E">
              <w:rPr>
                <w:rFonts w:ascii="Book Antiqua" w:hAnsi="Book Antiqua"/>
              </w:rPr>
              <w:t>0.090</w:t>
            </w:r>
          </w:p>
        </w:tc>
      </w:tr>
      <w:tr w:rsidR="009F6668" w:rsidRPr="00B1679E" w14:paraId="168FFE0F" w14:textId="77777777" w:rsidTr="00F413AC">
        <w:tc>
          <w:tcPr>
            <w:tcW w:w="2240" w:type="dxa"/>
          </w:tcPr>
          <w:p w14:paraId="1EFDE734" w14:textId="77777777" w:rsidR="009F6668" w:rsidRPr="00B1679E" w:rsidRDefault="009F6668" w:rsidP="00B1679E">
            <w:pPr>
              <w:rPr>
                <w:rFonts w:ascii="Book Antiqua" w:hAnsi="Book Antiqua"/>
              </w:rPr>
            </w:pPr>
            <w:r w:rsidRPr="00B1679E">
              <w:rPr>
                <w:rFonts w:ascii="Book Antiqua" w:hAnsi="Book Antiqua"/>
              </w:rPr>
              <w:t>0</w:t>
            </w:r>
          </w:p>
        </w:tc>
        <w:tc>
          <w:tcPr>
            <w:tcW w:w="1842" w:type="dxa"/>
            <w:vAlign w:val="center"/>
          </w:tcPr>
          <w:p w14:paraId="0D9B6E2A" w14:textId="77777777" w:rsidR="009F6668" w:rsidRPr="00B1679E" w:rsidRDefault="009F6668" w:rsidP="00B1679E">
            <w:pPr>
              <w:rPr>
                <w:rFonts w:ascii="Book Antiqua" w:hAnsi="Book Antiqua"/>
              </w:rPr>
            </w:pPr>
            <w:r w:rsidRPr="00B1679E">
              <w:rPr>
                <w:rFonts w:ascii="Book Antiqua" w:hAnsi="Book Antiqua"/>
              </w:rPr>
              <w:t>25 (92.6%)</w:t>
            </w:r>
          </w:p>
        </w:tc>
        <w:tc>
          <w:tcPr>
            <w:tcW w:w="1701" w:type="dxa"/>
            <w:vAlign w:val="center"/>
          </w:tcPr>
          <w:p w14:paraId="1EDE048C" w14:textId="77777777" w:rsidR="009F6668" w:rsidRPr="00B1679E" w:rsidRDefault="009F6668" w:rsidP="00B1679E">
            <w:pPr>
              <w:rPr>
                <w:rFonts w:ascii="Book Antiqua" w:hAnsi="Book Antiqua"/>
              </w:rPr>
            </w:pPr>
            <w:r w:rsidRPr="00B1679E">
              <w:rPr>
                <w:rFonts w:ascii="Book Antiqua" w:hAnsi="Book Antiqua"/>
              </w:rPr>
              <w:t>42 (97.7%)</w:t>
            </w:r>
          </w:p>
        </w:tc>
        <w:tc>
          <w:tcPr>
            <w:tcW w:w="1701" w:type="dxa"/>
            <w:vAlign w:val="center"/>
          </w:tcPr>
          <w:p w14:paraId="466126AE" w14:textId="77777777" w:rsidR="009F6668" w:rsidRPr="00B1679E" w:rsidRDefault="009F6668" w:rsidP="00B1679E">
            <w:pPr>
              <w:rPr>
                <w:rFonts w:ascii="Book Antiqua" w:hAnsi="Book Antiqua"/>
              </w:rPr>
            </w:pPr>
            <w:r w:rsidRPr="00B1679E">
              <w:rPr>
                <w:rFonts w:ascii="Book Antiqua" w:hAnsi="Book Antiqua"/>
              </w:rPr>
              <w:t>65 (100%)</w:t>
            </w:r>
          </w:p>
        </w:tc>
        <w:tc>
          <w:tcPr>
            <w:tcW w:w="1134" w:type="dxa"/>
            <w:vAlign w:val="center"/>
          </w:tcPr>
          <w:p w14:paraId="1815C76A" w14:textId="77777777" w:rsidR="009F6668" w:rsidRPr="00B1679E" w:rsidRDefault="009F6668" w:rsidP="00B1679E">
            <w:pPr>
              <w:rPr>
                <w:rFonts w:ascii="Book Antiqua" w:hAnsi="Book Antiqua"/>
              </w:rPr>
            </w:pPr>
          </w:p>
        </w:tc>
      </w:tr>
      <w:tr w:rsidR="009F6668" w:rsidRPr="00B1679E" w14:paraId="050EDCA9" w14:textId="77777777" w:rsidTr="00F413AC">
        <w:tc>
          <w:tcPr>
            <w:tcW w:w="2240" w:type="dxa"/>
          </w:tcPr>
          <w:p w14:paraId="2D12430B" w14:textId="77777777" w:rsidR="009F6668" w:rsidRPr="00B1679E" w:rsidRDefault="009F6668" w:rsidP="00B1679E">
            <w:pPr>
              <w:rPr>
                <w:rFonts w:ascii="Book Antiqua" w:hAnsi="Book Antiqua"/>
              </w:rPr>
            </w:pPr>
            <w:r w:rsidRPr="00B1679E">
              <w:rPr>
                <w:rFonts w:ascii="Book Antiqua" w:hAnsi="Book Antiqua"/>
              </w:rPr>
              <w:t>1</w:t>
            </w:r>
          </w:p>
        </w:tc>
        <w:tc>
          <w:tcPr>
            <w:tcW w:w="1842" w:type="dxa"/>
            <w:vAlign w:val="center"/>
          </w:tcPr>
          <w:p w14:paraId="30A2BC50" w14:textId="77777777" w:rsidR="009F6668" w:rsidRPr="00B1679E" w:rsidRDefault="009F6668" w:rsidP="00B1679E">
            <w:pPr>
              <w:rPr>
                <w:rFonts w:ascii="Book Antiqua" w:hAnsi="Book Antiqua"/>
              </w:rPr>
            </w:pPr>
            <w:r w:rsidRPr="00B1679E">
              <w:rPr>
                <w:rFonts w:ascii="Book Antiqua" w:hAnsi="Book Antiqua"/>
              </w:rPr>
              <w:t>2 (7.4%)</w:t>
            </w:r>
          </w:p>
        </w:tc>
        <w:tc>
          <w:tcPr>
            <w:tcW w:w="1701" w:type="dxa"/>
            <w:vAlign w:val="center"/>
          </w:tcPr>
          <w:p w14:paraId="6E1F0F31" w14:textId="77777777" w:rsidR="009F6668" w:rsidRPr="00B1679E" w:rsidRDefault="009F6668" w:rsidP="00B1679E">
            <w:pPr>
              <w:rPr>
                <w:rFonts w:ascii="Book Antiqua" w:hAnsi="Book Antiqua"/>
              </w:rPr>
            </w:pPr>
            <w:r w:rsidRPr="00B1679E">
              <w:rPr>
                <w:rFonts w:ascii="Book Antiqua" w:hAnsi="Book Antiqua"/>
              </w:rPr>
              <w:t>1 (2.3%)</w:t>
            </w:r>
          </w:p>
        </w:tc>
        <w:tc>
          <w:tcPr>
            <w:tcW w:w="1701" w:type="dxa"/>
            <w:vAlign w:val="center"/>
          </w:tcPr>
          <w:p w14:paraId="3896CB9A" w14:textId="77777777" w:rsidR="009F6668" w:rsidRPr="00B1679E" w:rsidRDefault="009F6668" w:rsidP="00B1679E">
            <w:pPr>
              <w:rPr>
                <w:rFonts w:ascii="Book Antiqua" w:hAnsi="Book Antiqua"/>
              </w:rPr>
            </w:pPr>
            <w:r w:rsidRPr="00B1679E">
              <w:rPr>
                <w:rFonts w:ascii="Book Antiqua" w:hAnsi="Book Antiqua"/>
              </w:rPr>
              <w:t>0</w:t>
            </w:r>
          </w:p>
        </w:tc>
        <w:tc>
          <w:tcPr>
            <w:tcW w:w="1134" w:type="dxa"/>
            <w:vAlign w:val="center"/>
          </w:tcPr>
          <w:p w14:paraId="0C0DB614" w14:textId="77777777" w:rsidR="009F6668" w:rsidRPr="00B1679E" w:rsidRDefault="009F6668" w:rsidP="00B1679E">
            <w:pPr>
              <w:rPr>
                <w:rFonts w:ascii="Book Antiqua" w:hAnsi="Book Antiqua"/>
              </w:rPr>
            </w:pPr>
          </w:p>
        </w:tc>
      </w:tr>
      <w:tr w:rsidR="009F6668" w:rsidRPr="00B1679E" w14:paraId="0079235D" w14:textId="77777777" w:rsidTr="00F413AC">
        <w:tc>
          <w:tcPr>
            <w:tcW w:w="2240" w:type="dxa"/>
          </w:tcPr>
          <w:p w14:paraId="2633E622" w14:textId="77777777" w:rsidR="009F6668" w:rsidRPr="00B1679E" w:rsidRDefault="009F6668" w:rsidP="00B1679E">
            <w:pPr>
              <w:rPr>
                <w:rFonts w:ascii="Book Antiqua" w:hAnsi="Book Antiqua"/>
              </w:rPr>
            </w:pPr>
            <w:r w:rsidRPr="00B1679E">
              <w:rPr>
                <w:rFonts w:ascii="Book Antiqua" w:hAnsi="Book Antiqua"/>
              </w:rPr>
              <w:t>Post-CRT TNM Stage</w:t>
            </w:r>
          </w:p>
        </w:tc>
        <w:tc>
          <w:tcPr>
            <w:tcW w:w="1842" w:type="dxa"/>
            <w:vAlign w:val="center"/>
          </w:tcPr>
          <w:p w14:paraId="30107CAC" w14:textId="77777777" w:rsidR="009F6668" w:rsidRPr="00B1679E" w:rsidRDefault="009F6668" w:rsidP="00B1679E">
            <w:pPr>
              <w:rPr>
                <w:rFonts w:ascii="Book Antiqua" w:hAnsi="Book Antiqua"/>
              </w:rPr>
            </w:pPr>
          </w:p>
        </w:tc>
        <w:tc>
          <w:tcPr>
            <w:tcW w:w="1701" w:type="dxa"/>
            <w:vAlign w:val="center"/>
          </w:tcPr>
          <w:p w14:paraId="038B8F8E" w14:textId="77777777" w:rsidR="009F6668" w:rsidRPr="00B1679E" w:rsidRDefault="009F6668" w:rsidP="00B1679E">
            <w:pPr>
              <w:rPr>
                <w:rFonts w:ascii="Book Antiqua" w:hAnsi="Book Antiqua"/>
              </w:rPr>
            </w:pPr>
          </w:p>
        </w:tc>
        <w:tc>
          <w:tcPr>
            <w:tcW w:w="1701" w:type="dxa"/>
            <w:vAlign w:val="center"/>
          </w:tcPr>
          <w:p w14:paraId="1C0EEF7D" w14:textId="77777777" w:rsidR="009F6668" w:rsidRPr="00B1679E" w:rsidRDefault="009F6668" w:rsidP="00B1679E">
            <w:pPr>
              <w:rPr>
                <w:rFonts w:ascii="Book Antiqua" w:hAnsi="Book Antiqua"/>
              </w:rPr>
            </w:pPr>
          </w:p>
        </w:tc>
        <w:tc>
          <w:tcPr>
            <w:tcW w:w="1134" w:type="dxa"/>
            <w:vAlign w:val="center"/>
          </w:tcPr>
          <w:p w14:paraId="04064B08" w14:textId="77777777" w:rsidR="009F6668" w:rsidRPr="00B1679E" w:rsidRDefault="009F6668" w:rsidP="00B1679E">
            <w:pPr>
              <w:rPr>
                <w:rFonts w:ascii="Book Antiqua" w:hAnsi="Book Antiqua"/>
              </w:rPr>
            </w:pPr>
            <w:r w:rsidRPr="00B1679E">
              <w:rPr>
                <w:rFonts w:ascii="Book Antiqua" w:hAnsi="Book Antiqua"/>
              </w:rPr>
              <w:t>0.008</w:t>
            </w:r>
          </w:p>
        </w:tc>
      </w:tr>
      <w:tr w:rsidR="009F6668" w:rsidRPr="00B1679E" w14:paraId="275CF9AC" w14:textId="77777777" w:rsidTr="00F413AC">
        <w:tc>
          <w:tcPr>
            <w:tcW w:w="2240" w:type="dxa"/>
          </w:tcPr>
          <w:p w14:paraId="424E55C4" w14:textId="77777777" w:rsidR="009F6668" w:rsidRPr="00B1679E" w:rsidRDefault="009F6668" w:rsidP="00B1679E">
            <w:pPr>
              <w:rPr>
                <w:rFonts w:ascii="Book Antiqua" w:hAnsi="Book Antiqua"/>
              </w:rPr>
            </w:pPr>
            <w:r w:rsidRPr="00B1679E">
              <w:rPr>
                <w:rFonts w:ascii="Book Antiqua" w:hAnsi="Book Antiqua"/>
              </w:rPr>
              <w:t>0</w:t>
            </w:r>
          </w:p>
        </w:tc>
        <w:tc>
          <w:tcPr>
            <w:tcW w:w="1842" w:type="dxa"/>
            <w:vAlign w:val="center"/>
          </w:tcPr>
          <w:p w14:paraId="523D15C6" w14:textId="77777777" w:rsidR="009F6668" w:rsidRPr="00B1679E" w:rsidRDefault="009F6668" w:rsidP="00B1679E">
            <w:pPr>
              <w:rPr>
                <w:rFonts w:ascii="Book Antiqua" w:hAnsi="Book Antiqua"/>
              </w:rPr>
            </w:pPr>
            <w:r w:rsidRPr="00B1679E">
              <w:rPr>
                <w:rFonts w:ascii="Book Antiqua" w:hAnsi="Book Antiqua"/>
              </w:rPr>
              <w:t>0</w:t>
            </w:r>
          </w:p>
        </w:tc>
        <w:tc>
          <w:tcPr>
            <w:tcW w:w="1701" w:type="dxa"/>
            <w:vAlign w:val="center"/>
          </w:tcPr>
          <w:p w14:paraId="0C791C82" w14:textId="77777777" w:rsidR="009F6668" w:rsidRPr="00B1679E" w:rsidRDefault="009F6668" w:rsidP="00B1679E">
            <w:pPr>
              <w:rPr>
                <w:rFonts w:ascii="Book Antiqua" w:hAnsi="Book Antiqua"/>
              </w:rPr>
            </w:pPr>
            <w:r w:rsidRPr="00B1679E">
              <w:rPr>
                <w:rFonts w:ascii="Book Antiqua" w:hAnsi="Book Antiqua"/>
              </w:rPr>
              <w:t>0</w:t>
            </w:r>
          </w:p>
        </w:tc>
        <w:tc>
          <w:tcPr>
            <w:tcW w:w="1701" w:type="dxa"/>
            <w:vAlign w:val="center"/>
          </w:tcPr>
          <w:p w14:paraId="1D4756F5" w14:textId="77777777" w:rsidR="009F6668" w:rsidRPr="00B1679E" w:rsidRDefault="009F6668" w:rsidP="00B1679E">
            <w:pPr>
              <w:rPr>
                <w:rFonts w:ascii="Book Antiqua" w:hAnsi="Book Antiqua"/>
              </w:rPr>
            </w:pPr>
            <w:r w:rsidRPr="00B1679E">
              <w:rPr>
                <w:rFonts w:ascii="Book Antiqua" w:hAnsi="Book Antiqua"/>
              </w:rPr>
              <w:t>2 (3.1%)</w:t>
            </w:r>
          </w:p>
        </w:tc>
        <w:tc>
          <w:tcPr>
            <w:tcW w:w="1134" w:type="dxa"/>
            <w:vAlign w:val="center"/>
          </w:tcPr>
          <w:p w14:paraId="54DFC387" w14:textId="77777777" w:rsidR="009F6668" w:rsidRPr="00B1679E" w:rsidRDefault="009F6668" w:rsidP="00B1679E">
            <w:pPr>
              <w:rPr>
                <w:rFonts w:ascii="Book Antiqua" w:hAnsi="Book Antiqua"/>
              </w:rPr>
            </w:pPr>
          </w:p>
        </w:tc>
      </w:tr>
      <w:tr w:rsidR="009F6668" w:rsidRPr="00B1679E" w14:paraId="22544609" w14:textId="77777777" w:rsidTr="00F413AC">
        <w:tc>
          <w:tcPr>
            <w:tcW w:w="2240" w:type="dxa"/>
          </w:tcPr>
          <w:p w14:paraId="34E2F6FA" w14:textId="77777777" w:rsidR="009F6668" w:rsidRPr="00B1679E" w:rsidRDefault="009F6668" w:rsidP="00B1679E">
            <w:pPr>
              <w:rPr>
                <w:rFonts w:ascii="Book Antiqua" w:hAnsi="Book Antiqua"/>
              </w:rPr>
            </w:pPr>
            <w:r w:rsidRPr="00B1679E">
              <w:rPr>
                <w:rFonts w:ascii="Book Antiqua" w:hAnsi="Book Antiqua"/>
              </w:rPr>
              <w:t>I</w:t>
            </w:r>
          </w:p>
        </w:tc>
        <w:tc>
          <w:tcPr>
            <w:tcW w:w="1842" w:type="dxa"/>
            <w:vAlign w:val="center"/>
          </w:tcPr>
          <w:p w14:paraId="0229B735" w14:textId="77777777" w:rsidR="009F6668" w:rsidRPr="00B1679E" w:rsidRDefault="009F6668" w:rsidP="00B1679E">
            <w:pPr>
              <w:rPr>
                <w:rFonts w:ascii="Book Antiqua" w:hAnsi="Book Antiqua"/>
              </w:rPr>
            </w:pPr>
            <w:r w:rsidRPr="00B1679E">
              <w:rPr>
                <w:rFonts w:ascii="Book Antiqua" w:hAnsi="Book Antiqua"/>
              </w:rPr>
              <w:t>2 (7.4%)</w:t>
            </w:r>
          </w:p>
        </w:tc>
        <w:tc>
          <w:tcPr>
            <w:tcW w:w="1701" w:type="dxa"/>
            <w:vAlign w:val="center"/>
          </w:tcPr>
          <w:p w14:paraId="15660C53" w14:textId="77777777" w:rsidR="009F6668" w:rsidRPr="00B1679E" w:rsidRDefault="009F6668" w:rsidP="00B1679E">
            <w:pPr>
              <w:rPr>
                <w:rFonts w:ascii="Book Antiqua" w:hAnsi="Book Antiqua"/>
              </w:rPr>
            </w:pPr>
            <w:r w:rsidRPr="00B1679E">
              <w:rPr>
                <w:rFonts w:ascii="Book Antiqua" w:hAnsi="Book Antiqua"/>
              </w:rPr>
              <w:t>4 (9.3%)</w:t>
            </w:r>
          </w:p>
        </w:tc>
        <w:tc>
          <w:tcPr>
            <w:tcW w:w="1701" w:type="dxa"/>
            <w:vAlign w:val="center"/>
          </w:tcPr>
          <w:p w14:paraId="06F39C1B" w14:textId="77777777" w:rsidR="009F6668" w:rsidRPr="00B1679E" w:rsidRDefault="009F6668" w:rsidP="00B1679E">
            <w:pPr>
              <w:rPr>
                <w:rFonts w:ascii="Book Antiqua" w:hAnsi="Book Antiqua"/>
              </w:rPr>
            </w:pPr>
            <w:r w:rsidRPr="00B1679E">
              <w:rPr>
                <w:rFonts w:ascii="Book Antiqua" w:hAnsi="Book Antiqua"/>
              </w:rPr>
              <w:t>19 (29.2%)</w:t>
            </w:r>
          </w:p>
        </w:tc>
        <w:tc>
          <w:tcPr>
            <w:tcW w:w="1134" w:type="dxa"/>
          </w:tcPr>
          <w:p w14:paraId="4AB87B05" w14:textId="77777777" w:rsidR="009F6668" w:rsidRPr="00B1679E" w:rsidRDefault="009F6668" w:rsidP="00B1679E">
            <w:pPr>
              <w:rPr>
                <w:rFonts w:ascii="Book Antiqua" w:hAnsi="Book Antiqua"/>
              </w:rPr>
            </w:pPr>
          </w:p>
        </w:tc>
      </w:tr>
      <w:tr w:rsidR="009F6668" w:rsidRPr="00B1679E" w14:paraId="3ACEC523" w14:textId="77777777" w:rsidTr="00F413AC">
        <w:tc>
          <w:tcPr>
            <w:tcW w:w="2240" w:type="dxa"/>
          </w:tcPr>
          <w:p w14:paraId="160F8B3B" w14:textId="77777777" w:rsidR="009F6668" w:rsidRPr="00B1679E" w:rsidRDefault="009F6668" w:rsidP="00B1679E">
            <w:pPr>
              <w:rPr>
                <w:rFonts w:ascii="Book Antiqua" w:hAnsi="Book Antiqua"/>
              </w:rPr>
            </w:pPr>
            <w:r w:rsidRPr="00B1679E">
              <w:rPr>
                <w:rFonts w:ascii="Book Antiqua" w:hAnsi="Book Antiqua"/>
              </w:rPr>
              <w:t>II</w:t>
            </w:r>
          </w:p>
        </w:tc>
        <w:tc>
          <w:tcPr>
            <w:tcW w:w="1842" w:type="dxa"/>
            <w:vAlign w:val="center"/>
          </w:tcPr>
          <w:p w14:paraId="6D5D269B" w14:textId="77777777" w:rsidR="009F6668" w:rsidRPr="00B1679E" w:rsidRDefault="009F6668" w:rsidP="00B1679E">
            <w:pPr>
              <w:rPr>
                <w:rFonts w:ascii="Book Antiqua" w:hAnsi="Book Antiqua"/>
              </w:rPr>
            </w:pPr>
            <w:r w:rsidRPr="00B1679E">
              <w:rPr>
                <w:rFonts w:ascii="Book Antiqua" w:hAnsi="Book Antiqua"/>
              </w:rPr>
              <w:t>5 (18.5%)</w:t>
            </w:r>
          </w:p>
        </w:tc>
        <w:tc>
          <w:tcPr>
            <w:tcW w:w="1701" w:type="dxa"/>
            <w:vAlign w:val="center"/>
          </w:tcPr>
          <w:p w14:paraId="299EEFC9" w14:textId="77777777" w:rsidR="009F6668" w:rsidRPr="00B1679E" w:rsidRDefault="009F6668" w:rsidP="00B1679E">
            <w:pPr>
              <w:rPr>
                <w:rFonts w:ascii="Book Antiqua" w:hAnsi="Book Antiqua"/>
              </w:rPr>
            </w:pPr>
            <w:r w:rsidRPr="00B1679E">
              <w:rPr>
                <w:rFonts w:ascii="Book Antiqua" w:hAnsi="Book Antiqua"/>
              </w:rPr>
              <w:t>15 (34.9%)</w:t>
            </w:r>
          </w:p>
        </w:tc>
        <w:tc>
          <w:tcPr>
            <w:tcW w:w="1701" w:type="dxa"/>
            <w:vAlign w:val="center"/>
          </w:tcPr>
          <w:p w14:paraId="5161C603" w14:textId="77777777" w:rsidR="009F6668" w:rsidRPr="00B1679E" w:rsidRDefault="009F6668" w:rsidP="00B1679E">
            <w:pPr>
              <w:rPr>
                <w:rFonts w:ascii="Book Antiqua" w:hAnsi="Book Antiqua"/>
              </w:rPr>
            </w:pPr>
            <w:r w:rsidRPr="00B1679E">
              <w:rPr>
                <w:rFonts w:ascii="Book Antiqua" w:hAnsi="Book Antiqua"/>
              </w:rPr>
              <w:t>21 (32.3%)</w:t>
            </w:r>
          </w:p>
        </w:tc>
        <w:tc>
          <w:tcPr>
            <w:tcW w:w="1134" w:type="dxa"/>
          </w:tcPr>
          <w:p w14:paraId="2EF652AF" w14:textId="77777777" w:rsidR="009F6668" w:rsidRPr="00B1679E" w:rsidRDefault="009F6668" w:rsidP="00B1679E">
            <w:pPr>
              <w:rPr>
                <w:rFonts w:ascii="Book Antiqua" w:hAnsi="Book Antiqua"/>
              </w:rPr>
            </w:pPr>
          </w:p>
        </w:tc>
      </w:tr>
      <w:tr w:rsidR="009F6668" w:rsidRPr="00B1679E" w14:paraId="37BB958E" w14:textId="77777777" w:rsidTr="00F413AC">
        <w:tc>
          <w:tcPr>
            <w:tcW w:w="2240" w:type="dxa"/>
          </w:tcPr>
          <w:p w14:paraId="296DA715" w14:textId="77777777" w:rsidR="009F6668" w:rsidRPr="00B1679E" w:rsidRDefault="009F6668" w:rsidP="00B1679E">
            <w:pPr>
              <w:rPr>
                <w:rFonts w:ascii="Book Antiqua" w:hAnsi="Book Antiqua"/>
              </w:rPr>
            </w:pPr>
            <w:r w:rsidRPr="00B1679E">
              <w:rPr>
                <w:rFonts w:ascii="Book Antiqua" w:hAnsi="Book Antiqua"/>
              </w:rPr>
              <w:t>III</w:t>
            </w:r>
          </w:p>
        </w:tc>
        <w:tc>
          <w:tcPr>
            <w:tcW w:w="1842" w:type="dxa"/>
            <w:vAlign w:val="center"/>
          </w:tcPr>
          <w:p w14:paraId="6EAFA286" w14:textId="77777777" w:rsidR="009F6668" w:rsidRPr="00B1679E" w:rsidRDefault="009F6668" w:rsidP="00B1679E">
            <w:pPr>
              <w:rPr>
                <w:rFonts w:ascii="Book Antiqua" w:hAnsi="Book Antiqua"/>
              </w:rPr>
            </w:pPr>
            <w:r w:rsidRPr="00B1679E">
              <w:rPr>
                <w:rFonts w:ascii="Book Antiqua" w:hAnsi="Book Antiqua"/>
              </w:rPr>
              <w:t>19 (66.7%)</w:t>
            </w:r>
          </w:p>
        </w:tc>
        <w:tc>
          <w:tcPr>
            <w:tcW w:w="1701" w:type="dxa"/>
            <w:vAlign w:val="center"/>
          </w:tcPr>
          <w:p w14:paraId="62FADCF9" w14:textId="77777777" w:rsidR="009F6668" w:rsidRPr="00B1679E" w:rsidRDefault="009F6668" w:rsidP="00B1679E">
            <w:pPr>
              <w:rPr>
                <w:rFonts w:ascii="Book Antiqua" w:hAnsi="Book Antiqua"/>
              </w:rPr>
            </w:pPr>
            <w:r w:rsidRPr="00B1679E">
              <w:rPr>
                <w:rFonts w:ascii="Book Antiqua" w:hAnsi="Book Antiqua"/>
              </w:rPr>
              <w:t>23 (53.5%)</w:t>
            </w:r>
          </w:p>
        </w:tc>
        <w:tc>
          <w:tcPr>
            <w:tcW w:w="1701" w:type="dxa"/>
            <w:vAlign w:val="center"/>
          </w:tcPr>
          <w:p w14:paraId="4CFC24AF" w14:textId="77777777" w:rsidR="009F6668" w:rsidRPr="00B1679E" w:rsidRDefault="009F6668" w:rsidP="00B1679E">
            <w:pPr>
              <w:rPr>
                <w:rFonts w:ascii="Book Antiqua" w:hAnsi="Book Antiqua"/>
              </w:rPr>
            </w:pPr>
            <w:r w:rsidRPr="00B1679E">
              <w:rPr>
                <w:rFonts w:ascii="Book Antiqua" w:hAnsi="Book Antiqua"/>
              </w:rPr>
              <w:t>23 (35.4%)</w:t>
            </w:r>
          </w:p>
        </w:tc>
        <w:tc>
          <w:tcPr>
            <w:tcW w:w="1134" w:type="dxa"/>
          </w:tcPr>
          <w:p w14:paraId="00181A74" w14:textId="77777777" w:rsidR="009F6668" w:rsidRPr="00B1679E" w:rsidRDefault="009F6668" w:rsidP="00B1679E">
            <w:pPr>
              <w:rPr>
                <w:rFonts w:ascii="Book Antiqua" w:hAnsi="Book Antiqua"/>
              </w:rPr>
            </w:pPr>
          </w:p>
        </w:tc>
      </w:tr>
      <w:tr w:rsidR="009F6668" w:rsidRPr="00B1679E" w14:paraId="7BD6608F" w14:textId="77777777" w:rsidTr="00F413AC">
        <w:tc>
          <w:tcPr>
            <w:tcW w:w="2240" w:type="dxa"/>
          </w:tcPr>
          <w:p w14:paraId="32653205" w14:textId="77777777" w:rsidR="009F6668" w:rsidRPr="00B1679E" w:rsidRDefault="009F6668" w:rsidP="00B1679E">
            <w:pPr>
              <w:rPr>
                <w:rFonts w:ascii="Book Antiqua" w:hAnsi="Book Antiqua"/>
              </w:rPr>
            </w:pPr>
            <w:r w:rsidRPr="00B1679E">
              <w:rPr>
                <w:rFonts w:ascii="Book Antiqua" w:hAnsi="Book Antiqua"/>
              </w:rPr>
              <w:t>IV</w:t>
            </w:r>
          </w:p>
        </w:tc>
        <w:tc>
          <w:tcPr>
            <w:tcW w:w="1842" w:type="dxa"/>
            <w:vAlign w:val="center"/>
          </w:tcPr>
          <w:p w14:paraId="6F3CAB3A" w14:textId="77777777" w:rsidR="009F6668" w:rsidRPr="00B1679E" w:rsidRDefault="009F6668" w:rsidP="00B1679E">
            <w:pPr>
              <w:rPr>
                <w:rFonts w:ascii="Book Antiqua" w:hAnsi="Book Antiqua"/>
              </w:rPr>
            </w:pPr>
            <w:r w:rsidRPr="00B1679E">
              <w:rPr>
                <w:rFonts w:ascii="Book Antiqua" w:hAnsi="Book Antiqua"/>
              </w:rPr>
              <w:t>2 (7.4%)</w:t>
            </w:r>
          </w:p>
        </w:tc>
        <w:tc>
          <w:tcPr>
            <w:tcW w:w="1701" w:type="dxa"/>
            <w:vAlign w:val="center"/>
          </w:tcPr>
          <w:p w14:paraId="0581BFDE" w14:textId="77777777" w:rsidR="009F6668" w:rsidRPr="00B1679E" w:rsidRDefault="009F6668" w:rsidP="00B1679E">
            <w:pPr>
              <w:rPr>
                <w:rFonts w:ascii="Book Antiqua" w:hAnsi="Book Antiqua"/>
              </w:rPr>
            </w:pPr>
            <w:r w:rsidRPr="00B1679E">
              <w:rPr>
                <w:rFonts w:ascii="Book Antiqua" w:hAnsi="Book Antiqua"/>
              </w:rPr>
              <w:t>1 (2.3%)</w:t>
            </w:r>
          </w:p>
        </w:tc>
        <w:tc>
          <w:tcPr>
            <w:tcW w:w="1701" w:type="dxa"/>
            <w:vAlign w:val="center"/>
          </w:tcPr>
          <w:p w14:paraId="5DAA5B6C" w14:textId="77777777" w:rsidR="009F6668" w:rsidRPr="00B1679E" w:rsidRDefault="009F6668" w:rsidP="00B1679E">
            <w:pPr>
              <w:rPr>
                <w:rFonts w:ascii="Book Antiqua" w:hAnsi="Book Antiqua"/>
              </w:rPr>
            </w:pPr>
            <w:r w:rsidRPr="00B1679E">
              <w:rPr>
                <w:rFonts w:ascii="Book Antiqua" w:hAnsi="Book Antiqua"/>
              </w:rPr>
              <w:t>0</w:t>
            </w:r>
          </w:p>
        </w:tc>
        <w:tc>
          <w:tcPr>
            <w:tcW w:w="1134" w:type="dxa"/>
          </w:tcPr>
          <w:p w14:paraId="6B822BC7" w14:textId="77777777" w:rsidR="009F6668" w:rsidRPr="00B1679E" w:rsidRDefault="009F6668" w:rsidP="00B1679E">
            <w:pPr>
              <w:rPr>
                <w:rFonts w:ascii="Book Antiqua" w:hAnsi="Book Antiqua"/>
              </w:rPr>
            </w:pPr>
          </w:p>
        </w:tc>
      </w:tr>
      <w:tr w:rsidR="009F6668" w:rsidRPr="00B1679E" w14:paraId="51ABC52A" w14:textId="77777777" w:rsidTr="00F413AC">
        <w:tc>
          <w:tcPr>
            <w:tcW w:w="2240" w:type="dxa"/>
            <w:vAlign w:val="center"/>
          </w:tcPr>
          <w:p w14:paraId="6A43441C" w14:textId="77777777" w:rsidR="009F6668" w:rsidRPr="00B1679E" w:rsidRDefault="009F6668" w:rsidP="00B1679E">
            <w:pPr>
              <w:rPr>
                <w:rFonts w:ascii="Book Antiqua" w:hAnsi="Book Antiqua"/>
              </w:rPr>
            </w:pPr>
            <w:r w:rsidRPr="00B1679E">
              <w:rPr>
                <w:rFonts w:ascii="Book Antiqua" w:hAnsi="Book Antiqua"/>
              </w:rPr>
              <w:t>Down-staging on MRI after CRT</w:t>
            </w:r>
          </w:p>
        </w:tc>
        <w:tc>
          <w:tcPr>
            <w:tcW w:w="1842" w:type="dxa"/>
            <w:vAlign w:val="center"/>
          </w:tcPr>
          <w:p w14:paraId="3198D13F" w14:textId="77777777" w:rsidR="009F6668" w:rsidRPr="00B1679E" w:rsidRDefault="009F6668" w:rsidP="00B1679E">
            <w:pPr>
              <w:rPr>
                <w:rFonts w:ascii="Book Antiqua" w:hAnsi="Book Antiqua"/>
              </w:rPr>
            </w:pPr>
          </w:p>
        </w:tc>
        <w:tc>
          <w:tcPr>
            <w:tcW w:w="1701" w:type="dxa"/>
            <w:vAlign w:val="center"/>
          </w:tcPr>
          <w:p w14:paraId="4EA02704" w14:textId="77777777" w:rsidR="009F6668" w:rsidRPr="00B1679E" w:rsidRDefault="009F6668" w:rsidP="00B1679E">
            <w:pPr>
              <w:rPr>
                <w:rFonts w:ascii="Book Antiqua" w:hAnsi="Book Antiqua"/>
              </w:rPr>
            </w:pPr>
          </w:p>
        </w:tc>
        <w:tc>
          <w:tcPr>
            <w:tcW w:w="1701" w:type="dxa"/>
            <w:vAlign w:val="center"/>
          </w:tcPr>
          <w:p w14:paraId="7105A914" w14:textId="77777777" w:rsidR="009F6668" w:rsidRPr="00B1679E" w:rsidRDefault="009F6668" w:rsidP="00B1679E">
            <w:pPr>
              <w:rPr>
                <w:rFonts w:ascii="Book Antiqua" w:hAnsi="Book Antiqua"/>
              </w:rPr>
            </w:pPr>
          </w:p>
        </w:tc>
        <w:tc>
          <w:tcPr>
            <w:tcW w:w="1134" w:type="dxa"/>
            <w:vAlign w:val="center"/>
          </w:tcPr>
          <w:p w14:paraId="0134624D" w14:textId="77777777" w:rsidR="009F6668" w:rsidRPr="00B1679E" w:rsidRDefault="009F6668" w:rsidP="00B1679E">
            <w:pPr>
              <w:rPr>
                <w:rFonts w:ascii="Book Antiqua" w:hAnsi="Book Antiqua"/>
              </w:rPr>
            </w:pPr>
            <w:r w:rsidRPr="00B1679E">
              <w:rPr>
                <w:rFonts w:ascii="Book Antiqua" w:hAnsi="Book Antiqua"/>
              </w:rPr>
              <w:t>0.013</w:t>
            </w:r>
          </w:p>
        </w:tc>
      </w:tr>
      <w:tr w:rsidR="009F6668" w:rsidRPr="00B1679E" w14:paraId="7DC11451" w14:textId="77777777" w:rsidTr="00F413AC">
        <w:tc>
          <w:tcPr>
            <w:tcW w:w="2240" w:type="dxa"/>
          </w:tcPr>
          <w:p w14:paraId="45B7C801" w14:textId="77777777" w:rsidR="009F6668" w:rsidRPr="00B1679E" w:rsidRDefault="009F6668" w:rsidP="00B1679E">
            <w:pPr>
              <w:rPr>
                <w:rFonts w:ascii="Book Antiqua" w:hAnsi="Book Antiqua"/>
              </w:rPr>
            </w:pPr>
            <w:r w:rsidRPr="00B1679E">
              <w:rPr>
                <w:rFonts w:ascii="Book Antiqua" w:hAnsi="Book Antiqua"/>
              </w:rPr>
              <w:t>No</w:t>
            </w:r>
          </w:p>
        </w:tc>
        <w:tc>
          <w:tcPr>
            <w:tcW w:w="1842" w:type="dxa"/>
            <w:vAlign w:val="center"/>
          </w:tcPr>
          <w:p w14:paraId="3680BB4F" w14:textId="77777777" w:rsidR="009F6668" w:rsidRPr="00B1679E" w:rsidRDefault="009F6668" w:rsidP="00B1679E">
            <w:pPr>
              <w:rPr>
                <w:rFonts w:ascii="Book Antiqua" w:hAnsi="Book Antiqua"/>
              </w:rPr>
            </w:pPr>
            <w:r w:rsidRPr="00B1679E">
              <w:rPr>
                <w:rFonts w:ascii="Book Antiqua" w:hAnsi="Book Antiqua"/>
              </w:rPr>
              <w:t>21 (77.8%)</w:t>
            </w:r>
          </w:p>
        </w:tc>
        <w:tc>
          <w:tcPr>
            <w:tcW w:w="1701" w:type="dxa"/>
            <w:vAlign w:val="center"/>
          </w:tcPr>
          <w:p w14:paraId="039EA397" w14:textId="77777777" w:rsidR="009F6668" w:rsidRPr="00B1679E" w:rsidRDefault="009F6668" w:rsidP="00B1679E">
            <w:pPr>
              <w:rPr>
                <w:rFonts w:ascii="Book Antiqua" w:hAnsi="Book Antiqua"/>
              </w:rPr>
            </w:pPr>
            <w:r w:rsidRPr="00B1679E">
              <w:rPr>
                <w:rFonts w:ascii="Book Antiqua" w:hAnsi="Book Antiqua"/>
              </w:rPr>
              <w:t>25 (58.1%)</w:t>
            </w:r>
          </w:p>
        </w:tc>
        <w:tc>
          <w:tcPr>
            <w:tcW w:w="1701" w:type="dxa"/>
            <w:vAlign w:val="center"/>
          </w:tcPr>
          <w:p w14:paraId="77F67BD1" w14:textId="77777777" w:rsidR="009F6668" w:rsidRPr="00B1679E" w:rsidRDefault="009F6668" w:rsidP="00B1679E">
            <w:pPr>
              <w:rPr>
                <w:rFonts w:ascii="Book Antiqua" w:hAnsi="Book Antiqua"/>
              </w:rPr>
            </w:pPr>
            <w:r w:rsidRPr="00B1679E">
              <w:rPr>
                <w:rFonts w:ascii="Book Antiqua" w:hAnsi="Book Antiqua"/>
              </w:rPr>
              <w:t>29 (44.6%)</w:t>
            </w:r>
          </w:p>
        </w:tc>
        <w:tc>
          <w:tcPr>
            <w:tcW w:w="1134" w:type="dxa"/>
          </w:tcPr>
          <w:p w14:paraId="45F90852" w14:textId="77777777" w:rsidR="009F6668" w:rsidRPr="00B1679E" w:rsidRDefault="009F6668" w:rsidP="00B1679E">
            <w:pPr>
              <w:rPr>
                <w:rFonts w:ascii="Book Antiqua" w:hAnsi="Book Antiqua"/>
              </w:rPr>
            </w:pPr>
          </w:p>
        </w:tc>
      </w:tr>
      <w:tr w:rsidR="009F6668" w:rsidRPr="00B1679E" w14:paraId="79BA0BD3" w14:textId="77777777" w:rsidTr="00F413AC">
        <w:tc>
          <w:tcPr>
            <w:tcW w:w="2240" w:type="dxa"/>
          </w:tcPr>
          <w:p w14:paraId="73356228" w14:textId="77777777" w:rsidR="009F6668" w:rsidRPr="00B1679E" w:rsidRDefault="009F6668" w:rsidP="00B1679E">
            <w:pPr>
              <w:rPr>
                <w:rFonts w:ascii="Book Antiqua" w:hAnsi="Book Antiqua"/>
              </w:rPr>
            </w:pPr>
            <w:r w:rsidRPr="00B1679E">
              <w:rPr>
                <w:rFonts w:ascii="Book Antiqua" w:hAnsi="Book Antiqua"/>
              </w:rPr>
              <w:t>Yes</w:t>
            </w:r>
          </w:p>
        </w:tc>
        <w:tc>
          <w:tcPr>
            <w:tcW w:w="1842" w:type="dxa"/>
            <w:vAlign w:val="center"/>
          </w:tcPr>
          <w:p w14:paraId="620386C0" w14:textId="77777777" w:rsidR="009F6668" w:rsidRPr="00B1679E" w:rsidRDefault="009F6668" w:rsidP="00B1679E">
            <w:pPr>
              <w:rPr>
                <w:rFonts w:ascii="Book Antiqua" w:hAnsi="Book Antiqua"/>
              </w:rPr>
            </w:pPr>
            <w:r w:rsidRPr="00B1679E">
              <w:rPr>
                <w:rFonts w:ascii="Book Antiqua" w:hAnsi="Book Antiqua"/>
              </w:rPr>
              <w:t>6 (22.2%)</w:t>
            </w:r>
          </w:p>
        </w:tc>
        <w:tc>
          <w:tcPr>
            <w:tcW w:w="1701" w:type="dxa"/>
            <w:vAlign w:val="center"/>
          </w:tcPr>
          <w:p w14:paraId="3C555515" w14:textId="77777777" w:rsidR="009F6668" w:rsidRPr="00B1679E" w:rsidRDefault="009F6668" w:rsidP="00B1679E">
            <w:pPr>
              <w:rPr>
                <w:rFonts w:ascii="Book Antiqua" w:hAnsi="Book Antiqua"/>
              </w:rPr>
            </w:pPr>
            <w:r w:rsidRPr="00B1679E">
              <w:rPr>
                <w:rFonts w:ascii="Book Antiqua" w:hAnsi="Book Antiqua"/>
              </w:rPr>
              <w:t>18 (41.9%)</w:t>
            </w:r>
          </w:p>
        </w:tc>
        <w:tc>
          <w:tcPr>
            <w:tcW w:w="1701" w:type="dxa"/>
            <w:vAlign w:val="center"/>
          </w:tcPr>
          <w:p w14:paraId="30ADDE99" w14:textId="77777777" w:rsidR="009F6668" w:rsidRPr="00B1679E" w:rsidRDefault="009F6668" w:rsidP="00B1679E">
            <w:pPr>
              <w:rPr>
                <w:rFonts w:ascii="Book Antiqua" w:hAnsi="Book Antiqua"/>
              </w:rPr>
            </w:pPr>
            <w:r w:rsidRPr="00B1679E">
              <w:rPr>
                <w:rFonts w:ascii="Book Antiqua" w:hAnsi="Book Antiqua"/>
              </w:rPr>
              <w:t>36 (55.4%)</w:t>
            </w:r>
          </w:p>
        </w:tc>
        <w:tc>
          <w:tcPr>
            <w:tcW w:w="1134" w:type="dxa"/>
          </w:tcPr>
          <w:p w14:paraId="19415080" w14:textId="77777777" w:rsidR="009F6668" w:rsidRPr="00B1679E" w:rsidRDefault="009F6668" w:rsidP="00B1679E">
            <w:pPr>
              <w:rPr>
                <w:rFonts w:ascii="Book Antiqua" w:hAnsi="Book Antiqua"/>
              </w:rPr>
            </w:pPr>
          </w:p>
        </w:tc>
      </w:tr>
    </w:tbl>
    <w:p w14:paraId="716488DF" w14:textId="15298CA1"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Group A: </w:t>
      </w:r>
      <w:r w:rsidR="00F413AC" w:rsidRPr="00CF1A02">
        <w:rPr>
          <w:rFonts w:ascii="Book Antiqua" w:hAnsi="Book Antiqua"/>
        </w:rPr>
        <w:t xml:space="preserve">Patients </w:t>
      </w:r>
      <w:r w:rsidRPr="00CF1A02">
        <w:rPr>
          <w:rFonts w:ascii="Book Antiqua" w:hAnsi="Book Antiqua"/>
        </w:rPr>
        <w:t xml:space="preserve">with pre- and post-CRT CEA levels &gt; 5 ng/mL; Group B: </w:t>
      </w:r>
      <w:r w:rsidR="00F413AC" w:rsidRPr="00CF1A02">
        <w:rPr>
          <w:rFonts w:ascii="Book Antiqua" w:hAnsi="Book Antiqua"/>
        </w:rPr>
        <w:t xml:space="preserve">Patients </w:t>
      </w:r>
      <w:r w:rsidRPr="00CF1A02">
        <w:rPr>
          <w:rFonts w:ascii="Book Antiqua" w:hAnsi="Book Antiqua"/>
        </w:rPr>
        <w:t xml:space="preserve">with pre- and post-CRT CEA levels &gt; 5 and ≤ 5 ng/mL, respectively; Group C: </w:t>
      </w:r>
      <w:r w:rsidR="00F413AC" w:rsidRPr="00CF1A02">
        <w:rPr>
          <w:rFonts w:ascii="Book Antiqua" w:hAnsi="Book Antiqua"/>
        </w:rPr>
        <w:t xml:space="preserve">Patients </w:t>
      </w:r>
      <w:r w:rsidRPr="00CF1A02">
        <w:rPr>
          <w:rFonts w:ascii="Book Antiqua" w:hAnsi="Book Antiqua"/>
        </w:rPr>
        <w:t>with pre- and post-CRT CEA levels ≤ 5 ng/mL.</w:t>
      </w:r>
      <w:r w:rsidRPr="00CF1A02">
        <w:rPr>
          <w:rFonts w:ascii="Book Antiqua" w:hAnsi="Book Antiqua"/>
          <w:lang w:eastAsia="zh-CN"/>
        </w:rPr>
        <w:t xml:space="preserve"> </w:t>
      </w:r>
      <w:r w:rsidRPr="00CF1A02">
        <w:rPr>
          <w:rFonts w:ascii="Book Antiqua" w:hAnsi="Book Antiqua"/>
        </w:rPr>
        <w:t>ASA: American Society of Anesthesiology; CRT: Chemoradiotherapy; CEA: Carcinoembryonic antigen; NLR: Neutrophil–lymphocyte ratio; PLR: Platelet</w:t>
      </w:r>
      <w:r w:rsidRPr="00CF1A02">
        <w:rPr>
          <w:rFonts w:ascii="Book Antiqua" w:hAnsi="Book Antiqua"/>
          <w:color w:val="000000"/>
        </w:rPr>
        <w:t>–</w:t>
      </w:r>
      <w:r w:rsidRPr="00CF1A02">
        <w:rPr>
          <w:rFonts w:ascii="Book Antiqua" w:hAnsi="Book Antiqua"/>
        </w:rPr>
        <w:t>lymphocyte ratio; TNM: Tumor Node Metastasis; MRI: Magnetic resonance imaging.</w:t>
      </w:r>
    </w:p>
    <w:p w14:paraId="38E3D084"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br w:type="page"/>
        <w:t>Table 4 Comparison of the changes in the carcinoembryonic antigen level after curative resection</w:t>
      </w:r>
    </w:p>
    <w:tbl>
      <w:tblPr>
        <w:tblW w:w="0" w:type="auto"/>
        <w:tblInd w:w="-5" w:type="dxa"/>
        <w:tblBorders>
          <w:top w:val="single" w:sz="4" w:space="0" w:color="auto"/>
          <w:bottom w:val="single" w:sz="4" w:space="0" w:color="auto"/>
        </w:tblBorders>
        <w:tblLook w:val="04A0" w:firstRow="1" w:lastRow="0" w:firstColumn="1" w:lastColumn="0" w:noHBand="0" w:noVBand="1"/>
      </w:tblPr>
      <w:tblGrid>
        <w:gridCol w:w="3007"/>
        <w:gridCol w:w="1590"/>
        <w:gridCol w:w="1591"/>
        <w:gridCol w:w="1591"/>
        <w:gridCol w:w="1082"/>
      </w:tblGrid>
      <w:tr w:rsidR="009F6668" w:rsidRPr="00CF1A02" w14:paraId="5EBD9609" w14:textId="77777777" w:rsidTr="00CF1A02">
        <w:trPr>
          <w:trHeight w:val="454"/>
        </w:trPr>
        <w:tc>
          <w:tcPr>
            <w:tcW w:w="3114" w:type="dxa"/>
            <w:tcBorders>
              <w:top w:val="single" w:sz="4" w:space="0" w:color="auto"/>
              <w:bottom w:val="single" w:sz="4" w:space="0" w:color="auto"/>
            </w:tcBorders>
            <w:vAlign w:val="center"/>
          </w:tcPr>
          <w:p w14:paraId="16C33B63"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Variables</w:t>
            </w:r>
          </w:p>
        </w:tc>
        <w:tc>
          <w:tcPr>
            <w:tcW w:w="1653" w:type="dxa"/>
            <w:tcBorders>
              <w:top w:val="single" w:sz="4" w:space="0" w:color="auto"/>
              <w:bottom w:val="single" w:sz="4" w:space="0" w:color="auto"/>
            </w:tcBorders>
            <w:vAlign w:val="center"/>
          </w:tcPr>
          <w:p w14:paraId="5AC9F9DD" w14:textId="182A25BD"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Group A (</w:t>
            </w:r>
            <w:r w:rsidR="002C49A8" w:rsidRPr="00CF1A02">
              <w:rPr>
                <w:rFonts w:ascii="Book Antiqua" w:hAnsi="Book Antiqua"/>
                <w:b/>
                <w:i/>
              </w:rPr>
              <w:t>n</w:t>
            </w:r>
            <w:r w:rsidRPr="00CF1A02">
              <w:rPr>
                <w:rFonts w:ascii="Book Antiqua" w:hAnsi="Book Antiqua"/>
                <w:b/>
                <w:i/>
              </w:rPr>
              <w:t xml:space="preserve"> </w:t>
            </w:r>
            <w:r w:rsidRPr="00CF1A02">
              <w:rPr>
                <w:rFonts w:ascii="Book Antiqua" w:hAnsi="Book Antiqua"/>
                <w:b/>
              </w:rPr>
              <w:t>= 27)</w:t>
            </w:r>
          </w:p>
        </w:tc>
        <w:tc>
          <w:tcPr>
            <w:tcW w:w="1654" w:type="dxa"/>
            <w:tcBorders>
              <w:top w:val="single" w:sz="4" w:space="0" w:color="auto"/>
              <w:bottom w:val="single" w:sz="4" w:space="0" w:color="auto"/>
            </w:tcBorders>
            <w:vAlign w:val="center"/>
          </w:tcPr>
          <w:p w14:paraId="11837645" w14:textId="42703DF0"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Group B (</w:t>
            </w:r>
            <w:r w:rsidR="002C49A8" w:rsidRPr="00CF1A02">
              <w:rPr>
                <w:rFonts w:ascii="Book Antiqua" w:hAnsi="Book Antiqua"/>
                <w:b/>
                <w:i/>
              </w:rPr>
              <w:t>n</w:t>
            </w:r>
            <w:r w:rsidRPr="00CF1A02">
              <w:rPr>
                <w:rFonts w:ascii="Book Antiqua" w:hAnsi="Book Antiqua"/>
                <w:b/>
                <w:i/>
              </w:rPr>
              <w:t xml:space="preserve"> </w:t>
            </w:r>
            <w:r w:rsidRPr="00CF1A02">
              <w:rPr>
                <w:rFonts w:ascii="Book Antiqua" w:hAnsi="Book Antiqua"/>
                <w:b/>
              </w:rPr>
              <w:t>= 43)</w:t>
            </w:r>
          </w:p>
        </w:tc>
        <w:tc>
          <w:tcPr>
            <w:tcW w:w="1654" w:type="dxa"/>
            <w:tcBorders>
              <w:top w:val="single" w:sz="4" w:space="0" w:color="auto"/>
              <w:bottom w:val="single" w:sz="4" w:space="0" w:color="auto"/>
            </w:tcBorders>
            <w:vAlign w:val="center"/>
          </w:tcPr>
          <w:p w14:paraId="7B5CE684" w14:textId="43EA7C5F"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Group C (</w:t>
            </w:r>
            <w:r w:rsidR="002C49A8" w:rsidRPr="00CF1A02">
              <w:rPr>
                <w:rFonts w:ascii="Book Antiqua" w:hAnsi="Book Antiqua"/>
                <w:b/>
                <w:i/>
              </w:rPr>
              <w:t>n</w:t>
            </w:r>
            <w:r w:rsidRPr="00CF1A02">
              <w:rPr>
                <w:rFonts w:ascii="Book Antiqua" w:hAnsi="Book Antiqua"/>
                <w:b/>
                <w:i/>
              </w:rPr>
              <w:t xml:space="preserve"> </w:t>
            </w:r>
            <w:r w:rsidRPr="00CF1A02">
              <w:rPr>
                <w:rFonts w:ascii="Book Antiqua" w:hAnsi="Book Antiqua"/>
                <w:b/>
              </w:rPr>
              <w:t>= 65)</w:t>
            </w:r>
          </w:p>
        </w:tc>
        <w:tc>
          <w:tcPr>
            <w:tcW w:w="1110" w:type="dxa"/>
            <w:tcBorders>
              <w:top w:val="single" w:sz="4" w:space="0" w:color="auto"/>
              <w:bottom w:val="single" w:sz="4" w:space="0" w:color="auto"/>
            </w:tcBorders>
            <w:vAlign w:val="center"/>
          </w:tcPr>
          <w:p w14:paraId="360451A9" w14:textId="6E5B22AD"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i/>
              </w:rPr>
              <w:t>P</w:t>
            </w:r>
            <w:r w:rsidR="002C49A8" w:rsidRPr="00CF1A02">
              <w:rPr>
                <w:rFonts w:ascii="Book Antiqua" w:hAnsi="Book Antiqua"/>
                <w:b/>
              </w:rPr>
              <w:t xml:space="preserve"> </w:t>
            </w:r>
            <w:r w:rsidRPr="00CF1A02">
              <w:rPr>
                <w:rFonts w:ascii="Book Antiqua" w:hAnsi="Book Antiqua"/>
                <w:b/>
              </w:rPr>
              <w:t>value</w:t>
            </w:r>
          </w:p>
        </w:tc>
      </w:tr>
      <w:tr w:rsidR="009F6668" w:rsidRPr="00CF1A02" w14:paraId="7E49CF74" w14:textId="77777777" w:rsidTr="00CF1A02">
        <w:tc>
          <w:tcPr>
            <w:tcW w:w="3114" w:type="dxa"/>
            <w:tcBorders>
              <w:top w:val="single" w:sz="4" w:space="0" w:color="auto"/>
            </w:tcBorders>
          </w:tcPr>
          <w:p w14:paraId="2A31C8B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Name of surgery</w:t>
            </w:r>
          </w:p>
        </w:tc>
        <w:tc>
          <w:tcPr>
            <w:tcW w:w="1653" w:type="dxa"/>
            <w:tcBorders>
              <w:top w:val="single" w:sz="4" w:space="0" w:color="auto"/>
            </w:tcBorders>
            <w:vAlign w:val="center"/>
          </w:tcPr>
          <w:p w14:paraId="52EDC81B" w14:textId="77777777" w:rsidR="009F6668" w:rsidRPr="00CF1A02" w:rsidRDefault="009F6668" w:rsidP="00CF1A02">
            <w:pPr>
              <w:adjustRightInd w:val="0"/>
              <w:snapToGrid w:val="0"/>
              <w:spacing w:line="360" w:lineRule="auto"/>
              <w:jc w:val="both"/>
              <w:rPr>
                <w:rFonts w:ascii="Book Antiqua" w:hAnsi="Book Antiqua"/>
              </w:rPr>
            </w:pPr>
          </w:p>
        </w:tc>
        <w:tc>
          <w:tcPr>
            <w:tcW w:w="1654" w:type="dxa"/>
            <w:tcBorders>
              <w:top w:val="single" w:sz="4" w:space="0" w:color="auto"/>
            </w:tcBorders>
            <w:vAlign w:val="center"/>
          </w:tcPr>
          <w:p w14:paraId="0722936C" w14:textId="77777777" w:rsidR="009F6668" w:rsidRPr="00CF1A02" w:rsidRDefault="009F6668" w:rsidP="00CF1A02">
            <w:pPr>
              <w:adjustRightInd w:val="0"/>
              <w:snapToGrid w:val="0"/>
              <w:spacing w:line="360" w:lineRule="auto"/>
              <w:jc w:val="both"/>
              <w:rPr>
                <w:rFonts w:ascii="Book Antiqua" w:hAnsi="Book Antiqua"/>
              </w:rPr>
            </w:pPr>
          </w:p>
        </w:tc>
        <w:tc>
          <w:tcPr>
            <w:tcW w:w="1654" w:type="dxa"/>
            <w:tcBorders>
              <w:top w:val="single" w:sz="4" w:space="0" w:color="auto"/>
            </w:tcBorders>
            <w:vAlign w:val="center"/>
          </w:tcPr>
          <w:p w14:paraId="547E4104" w14:textId="77777777" w:rsidR="009F6668" w:rsidRPr="00CF1A02" w:rsidRDefault="009F6668" w:rsidP="00CF1A02">
            <w:pPr>
              <w:adjustRightInd w:val="0"/>
              <w:snapToGrid w:val="0"/>
              <w:spacing w:line="360" w:lineRule="auto"/>
              <w:jc w:val="both"/>
              <w:rPr>
                <w:rFonts w:ascii="Book Antiqua" w:hAnsi="Book Antiqua"/>
              </w:rPr>
            </w:pPr>
          </w:p>
        </w:tc>
        <w:tc>
          <w:tcPr>
            <w:tcW w:w="1110" w:type="dxa"/>
            <w:tcBorders>
              <w:top w:val="single" w:sz="4" w:space="0" w:color="auto"/>
            </w:tcBorders>
          </w:tcPr>
          <w:p w14:paraId="0A912BC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0.272</w:t>
            </w:r>
          </w:p>
        </w:tc>
      </w:tr>
      <w:tr w:rsidR="009F6668" w:rsidRPr="00CF1A02" w14:paraId="4322DF8A" w14:textId="77777777" w:rsidTr="00CF1A02">
        <w:tc>
          <w:tcPr>
            <w:tcW w:w="3114" w:type="dxa"/>
          </w:tcPr>
          <w:p w14:paraId="70A884A2"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Low anterior resection</w:t>
            </w:r>
          </w:p>
        </w:tc>
        <w:tc>
          <w:tcPr>
            <w:tcW w:w="1653" w:type="dxa"/>
            <w:vAlign w:val="center"/>
          </w:tcPr>
          <w:p w14:paraId="0BF51F7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15 (55.6%)</w:t>
            </w:r>
          </w:p>
        </w:tc>
        <w:tc>
          <w:tcPr>
            <w:tcW w:w="1654" w:type="dxa"/>
            <w:vAlign w:val="center"/>
          </w:tcPr>
          <w:p w14:paraId="55C5896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22 (51.2%)</w:t>
            </w:r>
          </w:p>
        </w:tc>
        <w:tc>
          <w:tcPr>
            <w:tcW w:w="1654" w:type="dxa"/>
            <w:vAlign w:val="center"/>
          </w:tcPr>
          <w:p w14:paraId="1635E8F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43 (66.2%)</w:t>
            </w:r>
          </w:p>
        </w:tc>
        <w:tc>
          <w:tcPr>
            <w:tcW w:w="1110" w:type="dxa"/>
          </w:tcPr>
          <w:p w14:paraId="2D377226"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67A2A7CB" w14:textId="77777777" w:rsidTr="00CF1A02">
        <w:tc>
          <w:tcPr>
            <w:tcW w:w="3114" w:type="dxa"/>
          </w:tcPr>
          <w:p w14:paraId="2BE692C4" w14:textId="76B86FB1"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Others</w:t>
            </w:r>
            <w:r w:rsidR="002C49A8" w:rsidRPr="00CF1A02">
              <w:rPr>
                <w:rFonts w:ascii="Book Antiqua" w:hAnsi="Book Antiqua"/>
                <w:vertAlign w:val="superscript"/>
              </w:rPr>
              <w:t>1</w:t>
            </w:r>
          </w:p>
        </w:tc>
        <w:tc>
          <w:tcPr>
            <w:tcW w:w="1653" w:type="dxa"/>
            <w:vAlign w:val="center"/>
          </w:tcPr>
          <w:p w14:paraId="479936A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12 (44.4%)</w:t>
            </w:r>
          </w:p>
        </w:tc>
        <w:tc>
          <w:tcPr>
            <w:tcW w:w="1654" w:type="dxa"/>
            <w:vAlign w:val="center"/>
          </w:tcPr>
          <w:p w14:paraId="5BD3840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21 (48.8%)</w:t>
            </w:r>
          </w:p>
        </w:tc>
        <w:tc>
          <w:tcPr>
            <w:tcW w:w="1654" w:type="dxa"/>
            <w:vAlign w:val="center"/>
          </w:tcPr>
          <w:p w14:paraId="5C7C0F8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22 (33.8%)</w:t>
            </w:r>
          </w:p>
        </w:tc>
        <w:tc>
          <w:tcPr>
            <w:tcW w:w="1110" w:type="dxa"/>
          </w:tcPr>
          <w:p w14:paraId="1E6D715C"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0ADC271A" w14:textId="77777777" w:rsidTr="00CF1A02">
        <w:trPr>
          <w:trHeight w:val="453"/>
        </w:trPr>
        <w:tc>
          <w:tcPr>
            <w:tcW w:w="3114" w:type="dxa"/>
          </w:tcPr>
          <w:p w14:paraId="660BFAA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Differentiation</w:t>
            </w:r>
          </w:p>
        </w:tc>
        <w:tc>
          <w:tcPr>
            <w:tcW w:w="1653" w:type="dxa"/>
            <w:vAlign w:val="center"/>
          </w:tcPr>
          <w:p w14:paraId="749AAAD5"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6C989DFE"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35F219C7" w14:textId="77777777" w:rsidR="009F6668" w:rsidRPr="00CF1A02" w:rsidRDefault="009F6668" w:rsidP="00CF1A02">
            <w:pPr>
              <w:adjustRightInd w:val="0"/>
              <w:snapToGrid w:val="0"/>
              <w:spacing w:line="360" w:lineRule="auto"/>
              <w:jc w:val="both"/>
              <w:rPr>
                <w:rFonts w:ascii="Book Antiqua" w:hAnsi="Book Antiqua"/>
              </w:rPr>
            </w:pPr>
          </w:p>
        </w:tc>
        <w:tc>
          <w:tcPr>
            <w:tcW w:w="1110" w:type="dxa"/>
          </w:tcPr>
          <w:p w14:paraId="23D3AE8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0.781</w:t>
            </w:r>
          </w:p>
        </w:tc>
      </w:tr>
      <w:tr w:rsidR="009F6668" w:rsidRPr="00CF1A02" w14:paraId="6EB8FE43" w14:textId="77777777" w:rsidTr="00CF1A02">
        <w:trPr>
          <w:trHeight w:val="453"/>
        </w:trPr>
        <w:tc>
          <w:tcPr>
            <w:tcW w:w="3114" w:type="dxa"/>
          </w:tcPr>
          <w:p w14:paraId="3AD4B5AF"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Well–Moderate</w:t>
            </w:r>
          </w:p>
        </w:tc>
        <w:tc>
          <w:tcPr>
            <w:tcW w:w="1653" w:type="dxa"/>
            <w:vAlign w:val="center"/>
          </w:tcPr>
          <w:p w14:paraId="0D4ADEF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 (29.6%)</w:t>
            </w:r>
          </w:p>
        </w:tc>
        <w:tc>
          <w:tcPr>
            <w:tcW w:w="1654" w:type="dxa"/>
            <w:vAlign w:val="center"/>
          </w:tcPr>
          <w:p w14:paraId="0C5905F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13 (30.2%)</w:t>
            </w:r>
          </w:p>
        </w:tc>
        <w:tc>
          <w:tcPr>
            <w:tcW w:w="1654" w:type="dxa"/>
            <w:vAlign w:val="center"/>
          </w:tcPr>
          <w:p w14:paraId="4E45E8A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16 (24.6%)</w:t>
            </w:r>
          </w:p>
        </w:tc>
        <w:tc>
          <w:tcPr>
            <w:tcW w:w="1110" w:type="dxa"/>
          </w:tcPr>
          <w:p w14:paraId="6AFC5E42"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5ACDE58C" w14:textId="77777777" w:rsidTr="00CF1A02">
        <w:trPr>
          <w:trHeight w:val="453"/>
        </w:trPr>
        <w:tc>
          <w:tcPr>
            <w:tcW w:w="3114" w:type="dxa"/>
          </w:tcPr>
          <w:p w14:paraId="49FF4CF2" w14:textId="00BE453A"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Poorly + others</w:t>
            </w:r>
            <w:r w:rsidR="00CF1A02" w:rsidRPr="00CF1A02">
              <w:rPr>
                <w:rFonts w:ascii="Book Antiqua" w:hAnsi="Book Antiqua"/>
                <w:vertAlign w:val="superscript"/>
              </w:rPr>
              <w:t>2</w:t>
            </w:r>
          </w:p>
        </w:tc>
        <w:tc>
          <w:tcPr>
            <w:tcW w:w="1653" w:type="dxa"/>
            <w:vAlign w:val="center"/>
          </w:tcPr>
          <w:p w14:paraId="6237BC7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19 (70.4%)</w:t>
            </w:r>
          </w:p>
        </w:tc>
        <w:tc>
          <w:tcPr>
            <w:tcW w:w="1654" w:type="dxa"/>
            <w:vAlign w:val="center"/>
          </w:tcPr>
          <w:p w14:paraId="0F456E2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30 (69.8%)</w:t>
            </w:r>
          </w:p>
        </w:tc>
        <w:tc>
          <w:tcPr>
            <w:tcW w:w="1654" w:type="dxa"/>
            <w:vAlign w:val="center"/>
          </w:tcPr>
          <w:p w14:paraId="759EC67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49 (75.4%)</w:t>
            </w:r>
          </w:p>
        </w:tc>
        <w:tc>
          <w:tcPr>
            <w:tcW w:w="1110" w:type="dxa"/>
          </w:tcPr>
          <w:p w14:paraId="6730EBAB"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4FA41216" w14:textId="77777777" w:rsidTr="00CF1A02">
        <w:trPr>
          <w:trHeight w:val="877"/>
        </w:trPr>
        <w:tc>
          <w:tcPr>
            <w:tcW w:w="3114" w:type="dxa"/>
            <w:vAlign w:val="center"/>
          </w:tcPr>
          <w:p w14:paraId="27EC115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Lymphovascular invasion</w:t>
            </w:r>
          </w:p>
        </w:tc>
        <w:tc>
          <w:tcPr>
            <w:tcW w:w="1653" w:type="dxa"/>
            <w:vAlign w:val="center"/>
          </w:tcPr>
          <w:p w14:paraId="266101A8"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72894A78"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17FABF87" w14:textId="77777777" w:rsidR="009F6668" w:rsidRPr="00CF1A02" w:rsidRDefault="009F6668" w:rsidP="00CF1A02">
            <w:pPr>
              <w:adjustRightInd w:val="0"/>
              <w:snapToGrid w:val="0"/>
              <w:spacing w:line="360" w:lineRule="auto"/>
              <w:jc w:val="both"/>
              <w:rPr>
                <w:rFonts w:ascii="Book Antiqua" w:hAnsi="Book Antiqua"/>
              </w:rPr>
            </w:pPr>
          </w:p>
        </w:tc>
        <w:tc>
          <w:tcPr>
            <w:tcW w:w="1110" w:type="dxa"/>
            <w:vAlign w:val="center"/>
          </w:tcPr>
          <w:p w14:paraId="0992611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0.444</w:t>
            </w:r>
          </w:p>
        </w:tc>
      </w:tr>
      <w:tr w:rsidR="009F6668" w:rsidRPr="00CF1A02" w14:paraId="449BD236" w14:textId="77777777" w:rsidTr="00CF1A02">
        <w:trPr>
          <w:trHeight w:val="453"/>
        </w:trPr>
        <w:tc>
          <w:tcPr>
            <w:tcW w:w="3114" w:type="dxa"/>
          </w:tcPr>
          <w:p w14:paraId="6456C88E"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No</w:t>
            </w:r>
          </w:p>
        </w:tc>
        <w:tc>
          <w:tcPr>
            <w:tcW w:w="1653" w:type="dxa"/>
            <w:vAlign w:val="center"/>
          </w:tcPr>
          <w:p w14:paraId="7058E55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22 (81.5%)</w:t>
            </w:r>
          </w:p>
        </w:tc>
        <w:tc>
          <w:tcPr>
            <w:tcW w:w="1654" w:type="dxa"/>
            <w:vAlign w:val="center"/>
          </w:tcPr>
          <w:p w14:paraId="1D645C0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35 (81.4%)</w:t>
            </w:r>
          </w:p>
        </w:tc>
        <w:tc>
          <w:tcPr>
            <w:tcW w:w="1654" w:type="dxa"/>
            <w:vAlign w:val="center"/>
          </w:tcPr>
          <w:p w14:paraId="2E2B75C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58 (89.2%)</w:t>
            </w:r>
          </w:p>
        </w:tc>
        <w:tc>
          <w:tcPr>
            <w:tcW w:w="1110" w:type="dxa"/>
          </w:tcPr>
          <w:p w14:paraId="54510E3B"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225F4A1" w14:textId="77777777" w:rsidTr="00CF1A02">
        <w:trPr>
          <w:trHeight w:val="453"/>
        </w:trPr>
        <w:tc>
          <w:tcPr>
            <w:tcW w:w="3114" w:type="dxa"/>
          </w:tcPr>
          <w:p w14:paraId="28DC4739"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Yes</w:t>
            </w:r>
          </w:p>
        </w:tc>
        <w:tc>
          <w:tcPr>
            <w:tcW w:w="1653" w:type="dxa"/>
            <w:vAlign w:val="center"/>
          </w:tcPr>
          <w:p w14:paraId="25A514E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 (18.5%)</w:t>
            </w:r>
          </w:p>
        </w:tc>
        <w:tc>
          <w:tcPr>
            <w:tcW w:w="1654" w:type="dxa"/>
            <w:vAlign w:val="center"/>
          </w:tcPr>
          <w:p w14:paraId="491E8D9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 (18.6%)</w:t>
            </w:r>
          </w:p>
        </w:tc>
        <w:tc>
          <w:tcPr>
            <w:tcW w:w="1654" w:type="dxa"/>
            <w:vAlign w:val="center"/>
          </w:tcPr>
          <w:p w14:paraId="3429FCB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7 (10.8%)</w:t>
            </w:r>
          </w:p>
        </w:tc>
        <w:tc>
          <w:tcPr>
            <w:tcW w:w="1110" w:type="dxa"/>
          </w:tcPr>
          <w:p w14:paraId="49D10126"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27F97CF" w14:textId="77777777" w:rsidTr="00CF1A02">
        <w:trPr>
          <w:trHeight w:val="453"/>
        </w:trPr>
        <w:tc>
          <w:tcPr>
            <w:tcW w:w="3114" w:type="dxa"/>
          </w:tcPr>
          <w:p w14:paraId="3526BEE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Perineural invasion</w:t>
            </w:r>
          </w:p>
        </w:tc>
        <w:tc>
          <w:tcPr>
            <w:tcW w:w="1653" w:type="dxa"/>
            <w:vAlign w:val="center"/>
          </w:tcPr>
          <w:p w14:paraId="2A773615"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3A628F02"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72150F39" w14:textId="77777777" w:rsidR="009F6668" w:rsidRPr="00CF1A02" w:rsidRDefault="009F6668" w:rsidP="00CF1A02">
            <w:pPr>
              <w:adjustRightInd w:val="0"/>
              <w:snapToGrid w:val="0"/>
              <w:spacing w:line="360" w:lineRule="auto"/>
              <w:jc w:val="both"/>
              <w:rPr>
                <w:rFonts w:ascii="Book Antiqua" w:hAnsi="Book Antiqua"/>
              </w:rPr>
            </w:pPr>
          </w:p>
        </w:tc>
        <w:tc>
          <w:tcPr>
            <w:tcW w:w="1110" w:type="dxa"/>
          </w:tcPr>
          <w:p w14:paraId="2CF5F33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0.005</w:t>
            </w:r>
          </w:p>
        </w:tc>
      </w:tr>
      <w:tr w:rsidR="009F6668" w:rsidRPr="00CF1A02" w14:paraId="5878FF41" w14:textId="77777777" w:rsidTr="00CF1A02">
        <w:trPr>
          <w:trHeight w:val="453"/>
        </w:trPr>
        <w:tc>
          <w:tcPr>
            <w:tcW w:w="3114" w:type="dxa"/>
          </w:tcPr>
          <w:p w14:paraId="23EFC774"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No</w:t>
            </w:r>
          </w:p>
        </w:tc>
        <w:tc>
          <w:tcPr>
            <w:tcW w:w="1653" w:type="dxa"/>
            <w:vAlign w:val="center"/>
          </w:tcPr>
          <w:p w14:paraId="40C36C4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21 (77.8%)</w:t>
            </w:r>
          </w:p>
        </w:tc>
        <w:tc>
          <w:tcPr>
            <w:tcW w:w="1654" w:type="dxa"/>
            <w:vAlign w:val="center"/>
          </w:tcPr>
          <w:p w14:paraId="241ECAE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38 (88.4%)</w:t>
            </w:r>
          </w:p>
        </w:tc>
        <w:tc>
          <w:tcPr>
            <w:tcW w:w="1654" w:type="dxa"/>
            <w:vAlign w:val="center"/>
          </w:tcPr>
          <w:p w14:paraId="4C5A95D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64 (98.5%)</w:t>
            </w:r>
          </w:p>
        </w:tc>
        <w:tc>
          <w:tcPr>
            <w:tcW w:w="1110" w:type="dxa"/>
          </w:tcPr>
          <w:p w14:paraId="4A346E51"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496229A" w14:textId="77777777" w:rsidTr="00CF1A02">
        <w:trPr>
          <w:trHeight w:val="453"/>
        </w:trPr>
        <w:tc>
          <w:tcPr>
            <w:tcW w:w="3114" w:type="dxa"/>
          </w:tcPr>
          <w:p w14:paraId="34E534AF"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Yes</w:t>
            </w:r>
          </w:p>
        </w:tc>
        <w:tc>
          <w:tcPr>
            <w:tcW w:w="1653" w:type="dxa"/>
            <w:vAlign w:val="center"/>
          </w:tcPr>
          <w:p w14:paraId="5822EFC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 (22.2%)</w:t>
            </w:r>
          </w:p>
        </w:tc>
        <w:tc>
          <w:tcPr>
            <w:tcW w:w="1654" w:type="dxa"/>
            <w:vAlign w:val="center"/>
          </w:tcPr>
          <w:p w14:paraId="4F553C5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 (11.6%)</w:t>
            </w:r>
          </w:p>
        </w:tc>
        <w:tc>
          <w:tcPr>
            <w:tcW w:w="1654" w:type="dxa"/>
            <w:vAlign w:val="center"/>
          </w:tcPr>
          <w:p w14:paraId="13F9E04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 (1.5%)</w:t>
            </w:r>
          </w:p>
        </w:tc>
        <w:tc>
          <w:tcPr>
            <w:tcW w:w="1110" w:type="dxa"/>
          </w:tcPr>
          <w:p w14:paraId="741CEBFC"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0AB52F99" w14:textId="77777777" w:rsidTr="00CF1A02">
        <w:trPr>
          <w:trHeight w:val="453"/>
        </w:trPr>
        <w:tc>
          <w:tcPr>
            <w:tcW w:w="3114" w:type="dxa"/>
          </w:tcPr>
          <w:p w14:paraId="5EBA31C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Postoperative T stage</w:t>
            </w:r>
          </w:p>
        </w:tc>
        <w:tc>
          <w:tcPr>
            <w:tcW w:w="1653" w:type="dxa"/>
            <w:vAlign w:val="center"/>
          </w:tcPr>
          <w:p w14:paraId="2813A1B7"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142FB2D7"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04EC8EEB" w14:textId="77777777" w:rsidR="009F6668" w:rsidRPr="00CF1A02" w:rsidRDefault="009F6668" w:rsidP="00CF1A02">
            <w:pPr>
              <w:adjustRightInd w:val="0"/>
              <w:snapToGrid w:val="0"/>
              <w:spacing w:line="360" w:lineRule="auto"/>
              <w:jc w:val="both"/>
              <w:rPr>
                <w:rFonts w:ascii="Book Antiqua" w:hAnsi="Book Antiqua"/>
              </w:rPr>
            </w:pPr>
          </w:p>
        </w:tc>
        <w:tc>
          <w:tcPr>
            <w:tcW w:w="1110" w:type="dxa"/>
          </w:tcPr>
          <w:p w14:paraId="0233725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&lt; 0.001</w:t>
            </w:r>
          </w:p>
        </w:tc>
      </w:tr>
      <w:tr w:rsidR="009F6668" w:rsidRPr="00CF1A02" w14:paraId="595D4F69" w14:textId="77777777" w:rsidTr="00CF1A02">
        <w:trPr>
          <w:trHeight w:val="453"/>
        </w:trPr>
        <w:tc>
          <w:tcPr>
            <w:tcW w:w="3114" w:type="dxa"/>
          </w:tcPr>
          <w:p w14:paraId="63EFAD77"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0–2</w:t>
            </w:r>
          </w:p>
        </w:tc>
        <w:tc>
          <w:tcPr>
            <w:tcW w:w="1653" w:type="dxa"/>
            <w:vAlign w:val="center"/>
          </w:tcPr>
          <w:p w14:paraId="7CDE977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 (7.4%)</w:t>
            </w:r>
          </w:p>
        </w:tc>
        <w:tc>
          <w:tcPr>
            <w:tcW w:w="1654" w:type="dxa"/>
            <w:vAlign w:val="center"/>
          </w:tcPr>
          <w:p w14:paraId="0266B59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11 (25.6%)</w:t>
            </w:r>
          </w:p>
        </w:tc>
        <w:tc>
          <w:tcPr>
            <w:tcW w:w="1654" w:type="dxa"/>
            <w:vAlign w:val="center"/>
          </w:tcPr>
          <w:p w14:paraId="3950014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38 (58.5%)</w:t>
            </w:r>
          </w:p>
        </w:tc>
        <w:tc>
          <w:tcPr>
            <w:tcW w:w="1110" w:type="dxa"/>
          </w:tcPr>
          <w:p w14:paraId="4D4E8BFD"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21360782" w14:textId="77777777" w:rsidTr="00CF1A02">
        <w:trPr>
          <w:trHeight w:val="453"/>
        </w:trPr>
        <w:tc>
          <w:tcPr>
            <w:tcW w:w="3114" w:type="dxa"/>
          </w:tcPr>
          <w:p w14:paraId="6BBC5B90"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3–4</w:t>
            </w:r>
          </w:p>
        </w:tc>
        <w:tc>
          <w:tcPr>
            <w:tcW w:w="1653" w:type="dxa"/>
            <w:vAlign w:val="center"/>
          </w:tcPr>
          <w:p w14:paraId="34119D2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25 (92.6%)</w:t>
            </w:r>
          </w:p>
        </w:tc>
        <w:tc>
          <w:tcPr>
            <w:tcW w:w="1654" w:type="dxa"/>
            <w:vAlign w:val="center"/>
          </w:tcPr>
          <w:p w14:paraId="22C67BC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32 (74.4%)</w:t>
            </w:r>
          </w:p>
        </w:tc>
        <w:tc>
          <w:tcPr>
            <w:tcW w:w="1654" w:type="dxa"/>
            <w:vAlign w:val="center"/>
          </w:tcPr>
          <w:p w14:paraId="3386FA8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27 (41.5%)</w:t>
            </w:r>
          </w:p>
        </w:tc>
        <w:tc>
          <w:tcPr>
            <w:tcW w:w="1110" w:type="dxa"/>
          </w:tcPr>
          <w:p w14:paraId="5C46BFB9"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A6728C3" w14:textId="77777777" w:rsidTr="00CF1A02">
        <w:trPr>
          <w:trHeight w:val="561"/>
        </w:trPr>
        <w:tc>
          <w:tcPr>
            <w:tcW w:w="3114" w:type="dxa"/>
          </w:tcPr>
          <w:p w14:paraId="30CABDE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Postoperative N stage</w:t>
            </w:r>
          </w:p>
        </w:tc>
        <w:tc>
          <w:tcPr>
            <w:tcW w:w="1653" w:type="dxa"/>
            <w:vAlign w:val="center"/>
          </w:tcPr>
          <w:p w14:paraId="6CE3F8D1"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00CD6915"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6345078B" w14:textId="77777777" w:rsidR="009F6668" w:rsidRPr="00CF1A02" w:rsidRDefault="009F6668" w:rsidP="00CF1A02">
            <w:pPr>
              <w:adjustRightInd w:val="0"/>
              <w:snapToGrid w:val="0"/>
              <w:spacing w:line="360" w:lineRule="auto"/>
              <w:jc w:val="both"/>
              <w:rPr>
                <w:rFonts w:ascii="Book Antiqua" w:hAnsi="Book Antiqua"/>
              </w:rPr>
            </w:pPr>
          </w:p>
        </w:tc>
        <w:tc>
          <w:tcPr>
            <w:tcW w:w="1110" w:type="dxa"/>
          </w:tcPr>
          <w:p w14:paraId="6A3F532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0.538</w:t>
            </w:r>
          </w:p>
        </w:tc>
      </w:tr>
      <w:tr w:rsidR="009F6668" w:rsidRPr="00CF1A02" w14:paraId="7AC94A25" w14:textId="77777777" w:rsidTr="00CF1A02">
        <w:trPr>
          <w:trHeight w:val="453"/>
        </w:trPr>
        <w:tc>
          <w:tcPr>
            <w:tcW w:w="3114" w:type="dxa"/>
            <w:vAlign w:val="center"/>
          </w:tcPr>
          <w:p w14:paraId="02938FE5"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N0</w:t>
            </w:r>
          </w:p>
        </w:tc>
        <w:tc>
          <w:tcPr>
            <w:tcW w:w="1653" w:type="dxa"/>
            <w:vAlign w:val="center"/>
          </w:tcPr>
          <w:p w14:paraId="7203E98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15 (55.6%)</w:t>
            </w:r>
          </w:p>
        </w:tc>
        <w:tc>
          <w:tcPr>
            <w:tcW w:w="1654" w:type="dxa"/>
            <w:vAlign w:val="center"/>
          </w:tcPr>
          <w:p w14:paraId="1B21E53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27 (62.8%)</w:t>
            </w:r>
          </w:p>
        </w:tc>
        <w:tc>
          <w:tcPr>
            <w:tcW w:w="1654" w:type="dxa"/>
            <w:vAlign w:val="center"/>
          </w:tcPr>
          <w:p w14:paraId="7E642AC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44 (67.7%)</w:t>
            </w:r>
          </w:p>
        </w:tc>
        <w:tc>
          <w:tcPr>
            <w:tcW w:w="1110" w:type="dxa"/>
            <w:vAlign w:val="center"/>
          </w:tcPr>
          <w:p w14:paraId="63CAEBEA"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8CD3DCA" w14:textId="77777777" w:rsidTr="00CF1A02">
        <w:trPr>
          <w:trHeight w:val="453"/>
        </w:trPr>
        <w:tc>
          <w:tcPr>
            <w:tcW w:w="3114" w:type="dxa"/>
            <w:vAlign w:val="center"/>
          </w:tcPr>
          <w:p w14:paraId="172E5AFD"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N+</w:t>
            </w:r>
          </w:p>
        </w:tc>
        <w:tc>
          <w:tcPr>
            <w:tcW w:w="1653" w:type="dxa"/>
            <w:vAlign w:val="center"/>
          </w:tcPr>
          <w:p w14:paraId="686564F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12 (44.4%)</w:t>
            </w:r>
          </w:p>
        </w:tc>
        <w:tc>
          <w:tcPr>
            <w:tcW w:w="1654" w:type="dxa"/>
            <w:vAlign w:val="center"/>
          </w:tcPr>
          <w:p w14:paraId="14DF356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16 (37.2%)</w:t>
            </w:r>
          </w:p>
        </w:tc>
        <w:tc>
          <w:tcPr>
            <w:tcW w:w="1654" w:type="dxa"/>
            <w:vAlign w:val="center"/>
          </w:tcPr>
          <w:p w14:paraId="5210191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21 (32.3%)</w:t>
            </w:r>
          </w:p>
        </w:tc>
        <w:tc>
          <w:tcPr>
            <w:tcW w:w="1110" w:type="dxa"/>
            <w:vAlign w:val="center"/>
          </w:tcPr>
          <w:p w14:paraId="4EA05AEE"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6AA5F439" w14:textId="77777777" w:rsidTr="00CF1A02">
        <w:trPr>
          <w:trHeight w:val="453"/>
        </w:trPr>
        <w:tc>
          <w:tcPr>
            <w:tcW w:w="3114" w:type="dxa"/>
          </w:tcPr>
          <w:p w14:paraId="74C86CB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Postoperative M stage</w:t>
            </w:r>
          </w:p>
        </w:tc>
        <w:tc>
          <w:tcPr>
            <w:tcW w:w="1653" w:type="dxa"/>
            <w:vAlign w:val="center"/>
          </w:tcPr>
          <w:p w14:paraId="47FF658C"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2BE78733"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6C3A731C" w14:textId="77777777" w:rsidR="009F6668" w:rsidRPr="00CF1A02" w:rsidRDefault="009F6668" w:rsidP="00CF1A02">
            <w:pPr>
              <w:adjustRightInd w:val="0"/>
              <w:snapToGrid w:val="0"/>
              <w:spacing w:line="360" w:lineRule="auto"/>
              <w:jc w:val="both"/>
              <w:rPr>
                <w:rFonts w:ascii="Book Antiqua" w:hAnsi="Book Antiqua"/>
              </w:rPr>
            </w:pPr>
          </w:p>
        </w:tc>
        <w:tc>
          <w:tcPr>
            <w:tcW w:w="1110" w:type="dxa"/>
            <w:vAlign w:val="center"/>
          </w:tcPr>
          <w:p w14:paraId="195EF33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0.002</w:t>
            </w:r>
          </w:p>
        </w:tc>
      </w:tr>
      <w:tr w:rsidR="009F6668" w:rsidRPr="00CF1A02" w14:paraId="2F5158D6" w14:textId="77777777" w:rsidTr="00CF1A02">
        <w:trPr>
          <w:trHeight w:val="453"/>
        </w:trPr>
        <w:tc>
          <w:tcPr>
            <w:tcW w:w="3114" w:type="dxa"/>
          </w:tcPr>
          <w:p w14:paraId="7B972E15"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M0</w:t>
            </w:r>
          </w:p>
        </w:tc>
        <w:tc>
          <w:tcPr>
            <w:tcW w:w="1653" w:type="dxa"/>
            <w:vAlign w:val="center"/>
          </w:tcPr>
          <w:p w14:paraId="71CFD3B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24 (88.9%)</w:t>
            </w:r>
          </w:p>
        </w:tc>
        <w:tc>
          <w:tcPr>
            <w:tcW w:w="1654" w:type="dxa"/>
            <w:vAlign w:val="center"/>
          </w:tcPr>
          <w:p w14:paraId="4CFADA1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43 (100%)</w:t>
            </w:r>
          </w:p>
        </w:tc>
        <w:tc>
          <w:tcPr>
            <w:tcW w:w="1654" w:type="dxa"/>
            <w:vAlign w:val="center"/>
          </w:tcPr>
          <w:p w14:paraId="4E8D9BD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65 (100%)</w:t>
            </w:r>
          </w:p>
        </w:tc>
        <w:tc>
          <w:tcPr>
            <w:tcW w:w="1110" w:type="dxa"/>
            <w:vAlign w:val="center"/>
          </w:tcPr>
          <w:p w14:paraId="29A162A0"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31267D77" w14:textId="77777777" w:rsidTr="00CF1A02">
        <w:trPr>
          <w:trHeight w:val="453"/>
        </w:trPr>
        <w:tc>
          <w:tcPr>
            <w:tcW w:w="3114" w:type="dxa"/>
          </w:tcPr>
          <w:p w14:paraId="5EC9D2DF"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M1</w:t>
            </w:r>
          </w:p>
        </w:tc>
        <w:tc>
          <w:tcPr>
            <w:tcW w:w="1653" w:type="dxa"/>
            <w:vAlign w:val="center"/>
          </w:tcPr>
          <w:p w14:paraId="7FAB99A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 (11.1%)</w:t>
            </w:r>
          </w:p>
        </w:tc>
        <w:tc>
          <w:tcPr>
            <w:tcW w:w="1654" w:type="dxa"/>
            <w:vAlign w:val="center"/>
          </w:tcPr>
          <w:p w14:paraId="7532003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654" w:type="dxa"/>
            <w:vAlign w:val="center"/>
          </w:tcPr>
          <w:p w14:paraId="1A40387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110" w:type="dxa"/>
            <w:vAlign w:val="center"/>
          </w:tcPr>
          <w:p w14:paraId="2CC232E0"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42BB1978" w14:textId="77777777" w:rsidTr="00CF1A02">
        <w:trPr>
          <w:trHeight w:val="453"/>
        </w:trPr>
        <w:tc>
          <w:tcPr>
            <w:tcW w:w="3114" w:type="dxa"/>
          </w:tcPr>
          <w:p w14:paraId="2CA7F9A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Postoperative TNM stage</w:t>
            </w:r>
          </w:p>
        </w:tc>
        <w:tc>
          <w:tcPr>
            <w:tcW w:w="1653" w:type="dxa"/>
            <w:vAlign w:val="center"/>
          </w:tcPr>
          <w:p w14:paraId="432130B8"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6B56CD65"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7C1291A0" w14:textId="77777777" w:rsidR="009F6668" w:rsidRPr="00CF1A02" w:rsidRDefault="009F6668" w:rsidP="00CF1A02">
            <w:pPr>
              <w:adjustRightInd w:val="0"/>
              <w:snapToGrid w:val="0"/>
              <w:spacing w:line="360" w:lineRule="auto"/>
              <w:jc w:val="both"/>
              <w:rPr>
                <w:rFonts w:ascii="Book Antiqua" w:hAnsi="Book Antiqua"/>
              </w:rPr>
            </w:pPr>
          </w:p>
        </w:tc>
        <w:tc>
          <w:tcPr>
            <w:tcW w:w="1110" w:type="dxa"/>
            <w:vAlign w:val="center"/>
          </w:tcPr>
          <w:p w14:paraId="6F69A3B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&lt; 0.001</w:t>
            </w:r>
          </w:p>
        </w:tc>
      </w:tr>
      <w:tr w:rsidR="009F6668" w:rsidRPr="00CF1A02" w14:paraId="66C86A0C" w14:textId="77777777" w:rsidTr="00CF1A02">
        <w:trPr>
          <w:trHeight w:val="453"/>
        </w:trPr>
        <w:tc>
          <w:tcPr>
            <w:tcW w:w="3114" w:type="dxa"/>
          </w:tcPr>
          <w:p w14:paraId="1ECCF706"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0</w:t>
            </w:r>
          </w:p>
        </w:tc>
        <w:tc>
          <w:tcPr>
            <w:tcW w:w="1653" w:type="dxa"/>
            <w:vAlign w:val="center"/>
          </w:tcPr>
          <w:p w14:paraId="382D604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654" w:type="dxa"/>
            <w:vAlign w:val="center"/>
          </w:tcPr>
          <w:p w14:paraId="3FD30EA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 (7.0%)</w:t>
            </w:r>
          </w:p>
        </w:tc>
        <w:tc>
          <w:tcPr>
            <w:tcW w:w="1654" w:type="dxa"/>
            <w:vAlign w:val="center"/>
          </w:tcPr>
          <w:p w14:paraId="1EE629D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25 (38.5%)</w:t>
            </w:r>
          </w:p>
        </w:tc>
        <w:tc>
          <w:tcPr>
            <w:tcW w:w="1110" w:type="dxa"/>
            <w:vAlign w:val="center"/>
          </w:tcPr>
          <w:p w14:paraId="7EDFB24F"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739E583" w14:textId="77777777" w:rsidTr="00CF1A02">
        <w:tc>
          <w:tcPr>
            <w:tcW w:w="3114" w:type="dxa"/>
          </w:tcPr>
          <w:p w14:paraId="3199372F"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w:t>
            </w:r>
          </w:p>
        </w:tc>
        <w:tc>
          <w:tcPr>
            <w:tcW w:w="1653" w:type="dxa"/>
            <w:vAlign w:val="center"/>
          </w:tcPr>
          <w:p w14:paraId="5DE6E45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 (7.4%)</w:t>
            </w:r>
          </w:p>
        </w:tc>
        <w:tc>
          <w:tcPr>
            <w:tcW w:w="1654" w:type="dxa"/>
            <w:vAlign w:val="center"/>
          </w:tcPr>
          <w:p w14:paraId="7DD27E0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 (11.6%)</w:t>
            </w:r>
          </w:p>
        </w:tc>
        <w:tc>
          <w:tcPr>
            <w:tcW w:w="1654" w:type="dxa"/>
            <w:vAlign w:val="center"/>
          </w:tcPr>
          <w:p w14:paraId="0F3A852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 (12.3%)</w:t>
            </w:r>
          </w:p>
        </w:tc>
        <w:tc>
          <w:tcPr>
            <w:tcW w:w="1110" w:type="dxa"/>
            <w:vAlign w:val="center"/>
          </w:tcPr>
          <w:p w14:paraId="5312E722"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48A5C32D" w14:textId="77777777" w:rsidTr="00CF1A02">
        <w:tc>
          <w:tcPr>
            <w:tcW w:w="3114" w:type="dxa"/>
          </w:tcPr>
          <w:p w14:paraId="2326841F"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II</w:t>
            </w:r>
          </w:p>
        </w:tc>
        <w:tc>
          <w:tcPr>
            <w:tcW w:w="1653" w:type="dxa"/>
            <w:vAlign w:val="center"/>
          </w:tcPr>
          <w:p w14:paraId="17A74F3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13 (48.1%)</w:t>
            </w:r>
          </w:p>
        </w:tc>
        <w:tc>
          <w:tcPr>
            <w:tcW w:w="1654" w:type="dxa"/>
            <w:vAlign w:val="center"/>
          </w:tcPr>
          <w:p w14:paraId="08969C1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19 (44.2%)</w:t>
            </w:r>
          </w:p>
        </w:tc>
        <w:tc>
          <w:tcPr>
            <w:tcW w:w="1654" w:type="dxa"/>
            <w:vAlign w:val="center"/>
          </w:tcPr>
          <w:p w14:paraId="14EDFCA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11 (16.9%)</w:t>
            </w:r>
          </w:p>
        </w:tc>
        <w:tc>
          <w:tcPr>
            <w:tcW w:w="1110" w:type="dxa"/>
            <w:vAlign w:val="center"/>
          </w:tcPr>
          <w:p w14:paraId="0902B9FD"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6EFA490" w14:textId="77777777" w:rsidTr="00CF1A02">
        <w:tc>
          <w:tcPr>
            <w:tcW w:w="3114" w:type="dxa"/>
          </w:tcPr>
          <w:p w14:paraId="1A3D6BE4"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III</w:t>
            </w:r>
          </w:p>
        </w:tc>
        <w:tc>
          <w:tcPr>
            <w:tcW w:w="1653" w:type="dxa"/>
            <w:vAlign w:val="center"/>
          </w:tcPr>
          <w:p w14:paraId="4160DBC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9 (33.3%)</w:t>
            </w:r>
          </w:p>
        </w:tc>
        <w:tc>
          <w:tcPr>
            <w:tcW w:w="1654" w:type="dxa"/>
            <w:vAlign w:val="center"/>
          </w:tcPr>
          <w:p w14:paraId="3BDD165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16 (37.2%)</w:t>
            </w:r>
          </w:p>
        </w:tc>
        <w:tc>
          <w:tcPr>
            <w:tcW w:w="1654" w:type="dxa"/>
            <w:vAlign w:val="center"/>
          </w:tcPr>
          <w:p w14:paraId="2BB01E9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21 (32.3%)</w:t>
            </w:r>
          </w:p>
        </w:tc>
        <w:tc>
          <w:tcPr>
            <w:tcW w:w="1110" w:type="dxa"/>
            <w:vAlign w:val="center"/>
          </w:tcPr>
          <w:p w14:paraId="1E9360A7"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3A6577C3" w14:textId="77777777" w:rsidTr="00CF1A02">
        <w:tc>
          <w:tcPr>
            <w:tcW w:w="3114" w:type="dxa"/>
          </w:tcPr>
          <w:p w14:paraId="0288DD24"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IV</w:t>
            </w:r>
          </w:p>
        </w:tc>
        <w:tc>
          <w:tcPr>
            <w:tcW w:w="1653" w:type="dxa"/>
            <w:vAlign w:val="center"/>
          </w:tcPr>
          <w:p w14:paraId="579863B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 (11.1%)</w:t>
            </w:r>
          </w:p>
        </w:tc>
        <w:tc>
          <w:tcPr>
            <w:tcW w:w="1654" w:type="dxa"/>
            <w:vAlign w:val="center"/>
          </w:tcPr>
          <w:p w14:paraId="0C36B28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654" w:type="dxa"/>
            <w:vAlign w:val="center"/>
          </w:tcPr>
          <w:p w14:paraId="296B113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110" w:type="dxa"/>
            <w:vAlign w:val="center"/>
          </w:tcPr>
          <w:p w14:paraId="0B7FA18E"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0545C132" w14:textId="77777777" w:rsidTr="00CF1A02">
        <w:tc>
          <w:tcPr>
            <w:tcW w:w="3114" w:type="dxa"/>
          </w:tcPr>
          <w:p w14:paraId="61B0500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CEA on postoperative day 7</w:t>
            </w:r>
          </w:p>
        </w:tc>
        <w:tc>
          <w:tcPr>
            <w:tcW w:w="1653" w:type="dxa"/>
            <w:vAlign w:val="center"/>
          </w:tcPr>
          <w:p w14:paraId="43F9F9E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3.7 (2.8-5.2)</w:t>
            </w:r>
          </w:p>
        </w:tc>
        <w:tc>
          <w:tcPr>
            <w:tcW w:w="1654" w:type="dxa"/>
            <w:vAlign w:val="center"/>
          </w:tcPr>
          <w:p w14:paraId="67F3D31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1.6 (1.1-2.2)</w:t>
            </w:r>
          </w:p>
        </w:tc>
        <w:tc>
          <w:tcPr>
            <w:tcW w:w="1654" w:type="dxa"/>
            <w:vAlign w:val="center"/>
          </w:tcPr>
          <w:p w14:paraId="0FF6664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1.1 (0.7-1.7)</w:t>
            </w:r>
          </w:p>
        </w:tc>
        <w:tc>
          <w:tcPr>
            <w:tcW w:w="1110" w:type="dxa"/>
            <w:vAlign w:val="center"/>
          </w:tcPr>
          <w:p w14:paraId="7ABED03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&lt; 0.001</w:t>
            </w:r>
          </w:p>
        </w:tc>
      </w:tr>
      <w:tr w:rsidR="009F6668" w:rsidRPr="00CF1A02" w14:paraId="0D15F33F" w14:textId="77777777" w:rsidTr="00CF1A02">
        <w:tc>
          <w:tcPr>
            <w:tcW w:w="3114" w:type="dxa"/>
          </w:tcPr>
          <w:p w14:paraId="6011431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Tumor regression grade</w:t>
            </w:r>
          </w:p>
        </w:tc>
        <w:tc>
          <w:tcPr>
            <w:tcW w:w="1653" w:type="dxa"/>
            <w:vAlign w:val="center"/>
          </w:tcPr>
          <w:p w14:paraId="11480F2B"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147AAC7B"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4137A594" w14:textId="77777777" w:rsidR="009F6668" w:rsidRPr="00CF1A02" w:rsidRDefault="009F6668" w:rsidP="00CF1A02">
            <w:pPr>
              <w:adjustRightInd w:val="0"/>
              <w:snapToGrid w:val="0"/>
              <w:spacing w:line="360" w:lineRule="auto"/>
              <w:jc w:val="both"/>
              <w:rPr>
                <w:rFonts w:ascii="Book Antiqua" w:hAnsi="Book Antiqua"/>
              </w:rPr>
            </w:pPr>
          </w:p>
        </w:tc>
        <w:tc>
          <w:tcPr>
            <w:tcW w:w="1110" w:type="dxa"/>
            <w:vAlign w:val="center"/>
          </w:tcPr>
          <w:p w14:paraId="0ED7EFC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&lt; 0.001</w:t>
            </w:r>
          </w:p>
        </w:tc>
      </w:tr>
      <w:tr w:rsidR="009F6668" w:rsidRPr="00CF1A02" w14:paraId="40605E47" w14:textId="77777777" w:rsidTr="00CF1A02">
        <w:tc>
          <w:tcPr>
            <w:tcW w:w="3114" w:type="dxa"/>
          </w:tcPr>
          <w:p w14:paraId="1E215E7A"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0</w:t>
            </w:r>
          </w:p>
        </w:tc>
        <w:tc>
          <w:tcPr>
            <w:tcW w:w="1653" w:type="dxa"/>
            <w:vAlign w:val="center"/>
          </w:tcPr>
          <w:p w14:paraId="013236B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 (3.7%)</w:t>
            </w:r>
          </w:p>
        </w:tc>
        <w:tc>
          <w:tcPr>
            <w:tcW w:w="1654" w:type="dxa"/>
            <w:vAlign w:val="center"/>
          </w:tcPr>
          <w:p w14:paraId="7E695CB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 (7.0%)</w:t>
            </w:r>
          </w:p>
        </w:tc>
        <w:tc>
          <w:tcPr>
            <w:tcW w:w="1654" w:type="dxa"/>
            <w:vAlign w:val="center"/>
          </w:tcPr>
          <w:p w14:paraId="2B16198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26 (40.0%)</w:t>
            </w:r>
          </w:p>
        </w:tc>
        <w:tc>
          <w:tcPr>
            <w:tcW w:w="1110" w:type="dxa"/>
            <w:vAlign w:val="center"/>
          </w:tcPr>
          <w:p w14:paraId="09DEB8B3"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35CBD261" w14:textId="77777777" w:rsidTr="00CF1A02">
        <w:tc>
          <w:tcPr>
            <w:tcW w:w="3114" w:type="dxa"/>
          </w:tcPr>
          <w:p w14:paraId="4C0DACEC"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1</w:t>
            </w:r>
          </w:p>
        </w:tc>
        <w:tc>
          <w:tcPr>
            <w:tcW w:w="1653" w:type="dxa"/>
            <w:vAlign w:val="center"/>
          </w:tcPr>
          <w:p w14:paraId="43AFBF7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7 (25.9%)</w:t>
            </w:r>
          </w:p>
        </w:tc>
        <w:tc>
          <w:tcPr>
            <w:tcW w:w="1654" w:type="dxa"/>
            <w:vAlign w:val="center"/>
          </w:tcPr>
          <w:p w14:paraId="4851EB8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23 (53.5%)</w:t>
            </w:r>
          </w:p>
        </w:tc>
        <w:tc>
          <w:tcPr>
            <w:tcW w:w="1654" w:type="dxa"/>
            <w:vAlign w:val="center"/>
          </w:tcPr>
          <w:p w14:paraId="09C4D6E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18 (27.7%)</w:t>
            </w:r>
          </w:p>
        </w:tc>
        <w:tc>
          <w:tcPr>
            <w:tcW w:w="1110" w:type="dxa"/>
            <w:vAlign w:val="center"/>
          </w:tcPr>
          <w:p w14:paraId="5F7565B6"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629B2CFF" w14:textId="77777777" w:rsidTr="00CF1A02">
        <w:tc>
          <w:tcPr>
            <w:tcW w:w="3114" w:type="dxa"/>
          </w:tcPr>
          <w:p w14:paraId="6752B637"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2</w:t>
            </w:r>
          </w:p>
        </w:tc>
        <w:tc>
          <w:tcPr>
            <w:tcW w:w="1653" w:type="dxa"/>
            <w:vAlign w:val="center"/>
          </w:tcPr>
          <w:p w14:paraId="6B255A2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11 (40.7%)</w:t>
            </w:r>
          </w:p>
        </w:tc>
        <w:tc>
          <w:tcPr>
            <w:tcW w:w="1654" w:type="dxa"/>
            <w:vAlign w:val="center"/>
          </w:tcPr>
          <w:p w14:paraId="1300AC3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14 (32.6%)</w:t>
            </w:r>
          </w:p>
        </w:tc>
        <w:tc>
          <w:tcPr>
            <w:tcW w:w="1654" w:type="dxa"/>
            <w:vAlign w:val="center"/>
          </w:tcPr>
          <w:p w14:paraId="1BDC75C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17 (26.2%)</w:t>
            </w:r>
          </w:p>
        </w:tc>
        <w:tc>
          <w:tcPr>
            <w:tcW w:w="1110" w:type="dxa"/>
            <w:vAlign w:val="center"/>
          </w:tcPr>
          <w:p w14:paraId="73A02AE9"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58B77CA7" w14:textId="77777777" w:rsidTr="00CF1A02">
        <w:tc>
          <w:tcPr>
            <w:tcW w:w="3114" w:type="dxa"/>
          </w:tcPr>
          <w:p w14:paraId="761A1251"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3</w:t>
            </w:r>
          </w:p>
        </w:tc>
        <w:tc>
          <w:tcPr>
            <w:tcW w:w="1653" w:type="dxa"/>
            <w:vAlign w:val="center"/>
          </w:tcPr>
          <w:p w14:paraId="613DABE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 (29.6%)</w:t>
            </w:r>
          </w:p>
        </w:tc>
        <w:tc>
          <w:tcPr>
            <w:tcW w:w="1654" w:type="dxa"/>
            <w:vAlign w:val="center"/>
          </w:tcPr>
          <w:p w14:paraId="15F8AE2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 (7.0%)</w:t>
            </w:r>
          </w:p>
        </w:tc>
        <w:tc>
          <w:tcPr>
            <w:tcW w:w="1654" w:type="dxa"/>
            <w:vAlign w:val="center"/>
          </w:tcPr>
          <w:p w14:paraId="003D39C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 (6.2%)</w:t>
            </w:r>
          </w:p>
        </w:tc>
        <w:tc>
          <w:tcPr>
            <w:tcW w:w="1110" w:type="dxa"/>
            <w:vAlign w:val="center"/>
          </w:tcPr>
          <w:p w14:paraId="47DF3315"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406C83C4" w14:textId="77777777" w:rsidTr="00CF1A02">
        <w:tc>
          <w:tcPr>
            <w:tcW w:w="3114" w:type="dxa"/>
          </w:tcPr>
          <w:p w14:paraId="1235FA9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Good response (TRG 0,1)</w:t>
            </w:r>
          </w:p>
        </w:tc>
        <w:tc>
          <w:tcPr>
            <w:tcW w:w="1653" w:type="dxa"/>
            <w:vAlign w:val="center"/>
          </w:tcPr>
          <w:p w14:paraId="3BDB7096"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6C7AFC63"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45315042" w14:textId="77777777" w:rsidR="009F6668" w:rsidRPr="00CF1A02" w:rsidRDefault="009F6668" w:rsidP="00CF1A02">
            <w:pPr>
              <w:adjustRightInd w:val="0"/>
              <w:snapToGrid w:val="0"/>
              <w:spacing w:line="360" w:lineRule="auto"/>
              <w:jc w:val="both"/>
              <w:rPr>
                <w:rFonts w:ascii="Book Antiqua" w:hAnsi="Book Antiqua"/>
              </w:rPr>
            </w:pPr>
          </w:p>
        </w:tc>
        <w:tc>
          <w:tcPr>
            <w:tcW w:w="1110" w:type="dxa"/>
            <w:vAlign w:val="center"/>
          </w:tcPr>
          <w:p w14:paraId="0FE0DC3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0.003</w:t>
            </w:r>
          </w:p>
        </w:tc>
      </w:tr>
      <w:tr w:rsidR="009F6668" w:rsidRPr="00CF1A02" w14:paraId="34263FCA" w14:textId="77777777" w:rsidTr="00CF1A02">
        <w:tc>
          <w:tcPr>
            <w:tcW w:w="3114" w:type="dxa"/>
          </w:tcPr>
          <w:p w14:paraId="1E07DDFB"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TRG 0, 1</w:t>
            </w:r>
          </w:p>
        </w:tc>
        <w:tc>
          <w:tcPr>
            <w:tcW w:w="1653" w:type="dxa"/>
            <w:vAlign w:val="center"/>
          </w:tcPr>
          <w:p w14:paraId="2EDBAF9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 (29.6%)</w:t>
            </w:r>
          </w:p>
        </w:tc>
        <w:tc>
          <w:tcPr>
            <w:tcW w:w="1654" w:type="dxa"/>
            <w:vAlign w:val="center"/>
          </w:tcPr>
          <w:p w14:paraId="3CECF42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26 (60.5%)</w:t>
            </w:r>
          </w:p>
        </w:tc>
        <w:tc>
          <w:tcPr>
            <w:tcW w:w="1654" w:type="dxa"/>
            <w:vAlign w:val="center"/>
          </w:tcPr>
          <w:p w14:paraId="6960298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44 (67.7%)</w:t>
            </w:r>
          </w:p>
        </w:tc>
        <w:tc>
          <w:tcPr>
            <w:tcW w:w="1110" w:type="dxa"/>
            <w:vAlign w:val="center"/>
          </w:tcPr>
          <w:p w14:paraId="29260F50"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0AD9B06" w14:textId="77777777" w:rsidTr="00CF1A02">
        <w:tc>
          <w:tcPr>
            <w:tcW w:w="3114" w:type="dxa"/>
          </w:tcPr>
          <w:p w14:paraId="3A69E60D"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TRG 2, 3</w:t>
            </w:r>
          </w:p>
        </w:tc>
        <w:tc>
          <w:tcPr>
            <w:tcW w:w="1653" w:type="dxa"/>
            <w:vAlign w:val="center"/>
          </w:tcPr>
          <w:p w14:paraId="0BAB470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19 (70.4%)</w:t>
            </w:r>
          </w:p>
        </w:tc>
        <w:tc>
          <w:tcPr>
            <w:tcW w:w="1654" w:type="dxa"/>
            <w:vAlign w:val="center"/>
          </w:tcPr>
          <w:p w14:paraId="44CFD9B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17 (39.5%)</w:t>
            </w:r>
          </w:p>
        </w:tc>
        <w:tc>
          <w:tcPr>
            <w:tcW w:w="1654" w:type="dxa"/>
            <w:vAlign w:val="center"/>
          </w:tcPr>
          <w:p w14:paraId="74E1027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21 (32.3%)</w:t>
            </w:r>
          </w:p>
        </w:tc>
        <w:tc>
          <w:tcPr>
            <w:tcW w:w="1110" w:type="dxa"/>
            <w:vAlign w:val="center"/>
          </w:tcPr>
          <w:p w14:paraId="7728BB7D"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55271B98" w14:textId="77777777" w:rsidTr="00CF1A02">
        <w:tc>
          <w:tcPr>
            <w:tcW w:w="3114" w:type="dxa"/>
          </w:tcPr>
          <w:p w14:paraId="4F2135A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Pathologic complete response</w:t>
            </w:r>
          </w:p>
        </w:tc>
        <w:tc>
          <w:tcPr>
            <w:tcW w:w="1653" w:type="dxa"/>
            <w:vAlign w:val="center"/>
          </w:tcPr>
          <w:p w14:paraId="481541D5"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728B5840"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66C58137" w14:textId="77777777" w:rsidR="009F6668" w:rsidRPr="00CF1A02" w:rsidRDefault="009F6668" w:rsidP="00CF1A02">
            <w:pPr>
              <w:adjustRightInd w:val="0"/>
              <w:snapToGrid w:val="0"/>
              <w:spacing w:line="360" w:lineRule="auto"/>
              <w:jc w:val="both"/>
              <w:rPr>
                <w:rFonts w:ascii="Book Antiqua" w:hAnsi="Book Antiqua"/>
              </w:rPr>
            </w:pPr>
          </w:p>
        </w:tc>
        <w:tc>
          <w:tcPr>
            <w:tcW w:w="1110" w:type="dxa"/>
            <w:vAlign w:val="center"/>
          </w:tcPr>
          <w:p w14:paraId="41FAFF7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&lt; 0.001</w:t>
            </w:r>
          </w:p>
        </w:tc>
      </w:tr>
      <w:tr w:rsidR="009F6668" w:rsidRPr="00CF1A02" w14:paraId="62C4FBB6" w14:textId="77777777" w:rsidTr="00CF1A02">
        <w:tc>
          <w:tcPr>
            <w:tcW w:w="3114" w:type="dxa"/>
          </w:tcPr>
          <w:p w14:paraId="585A8C3B"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pCR (-)</w:t>
            </w:r>
          </w:p>
        </w:tc>
        <w:tc>
          <w:tcPr>
            <w:tcW w:w="1653" w:type="dxa"/>
          </w:tcPr>
          <w:p w14:paraId="24C2907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27 (100%)</w:t>
            </w:r>
          </w:p>
        </w:tc>
        <w:tc>
          <w:tcPr>
            <w:tcW w:w="1654" w:type="dxa"/>
          </w:tcPr>
          <w:p w14:paraId="572E228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41 (95.3%)</w:t>
            </w:r>
          </w:p>
        </w:tc>
        <w:tc>
          <w:tcPr>
            <w:tcW w:w="1654" w:type="dxa"/>
          </w:tcPr>
          <w:p w14:paraId="1FEFF02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40 (61.5%)</w:t>
            </w:r>
          </w:p>
        </w:tc>
        <w:tc>
          <w:tcPr>
            <w:tcW w:w="1110" w:type="dxa"/>
          </w:tcPr>
          <w:p w14:paraId="52DC26AF"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DB8A1D0" w14:textId="77777777" w:rsidTr="00CF1A02">
        <w:tc>
          <w:tcPr>
            <w:tcW w:w="3114" w:type="dxa"/>
          </w:tcPr>
          <w:p w14:paraId="39F963C9"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pCR (+)</w:t>
            </w:r>
          </w:p>
        </w:tc>
        <w:tc>
          <w:tcPr>
            <w:tcW w:w="1653" w:type="dxa"/>
          </w:tcPr>
          <w:p w14:paraId="2F75FAB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654" w:type="dxa"/>
          </w:tcPr>
          <w:p w14:paraId="5C2069D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 (4.7%)</w:t>
            </w:r>
          </w:p>
        </w:tc>
        <w:tc>
          <w:tcPr>
            <w:tcW w:w="1654" w:type="dxa"/>
          </w:tcPr>
          <w:p w14:paraId="628946C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25 (38.5%)</w:t>
            </w:r>
          </w:p>
        </w:tc>
        <w:tc>
          <w:tcPr>
            <w:tcW w:w="1110" w:type="dxa"/>
          </w:tcPr>
          <w:p w14:paraId="476C384C" w14:textId="77777777" w:rsidR="009F6668" w:rsidRPr="00CF1A02" w:rsidRDefault="009F6668" w:rsidP="00CF1A02">
            <w:pPr>
              <w:adjustRightInd w:val="0"/>
              <w:snapToGrid w:val="0"/>
              <w:spacing w:line="360" w:lineRule="auto"/>
              <w:jc w:val="both"/>
              <w:rPr>
                <w:rFonts w:ascii="Book Antiqua" w:hAnsi="Book Antiqua"/>
              </w:rPr>
            </w:pPr>
          </w:p>
        </w:tc>
      </w:tr>
    </w:tbl>
    <w:p w14:paraId="45470B20" w14:textId="6EED9D93"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Group A: patients with pre- and post-CRT CEA levels &gt; 5 ng/mL; Group B: patients with pre- and post-CRT CEA levels &gt; 5 and ≤ 5 ng/mL, respectively; </w:t>
      </w:r>
      <w:r w:rsidRPr="00CF1A02">
        <w:rPr>
          <w:rFonts w:ascii="Book Antiqua" w:hAnsi="Book Antiqua"/>
          <w:lang w:eastAsia="zh-CN"/>
        </w:rPr>
        <w:t xml:space="preserve">and </w:t>
      </w:r>
      <w:r w:rsidRPr="00CF1A02">
        <w:rPr>
          <w:rFonts w:ascii="Book Antiqua" w:hAnsi="Book Antiqua"/>
        </w:rPr>
        <w:t>Group C: patients with pre- and post-CRT CEA levels ≤ 5 ng/mL.</w:t>
      </w:r>
      <w:r w:rsidR="002C49A8" w:rsidRPr="00CF1A02">
        <w:rPr>
          <w:rFonts w:ascii="Book Antiqua" w:hAnsi="Book Antiqua"/>
          <w:lang w:eastAsia="zh-CN"/>
        </w:rPr>
        <w:t xml:space="preserve"> </w:t>
      </w:r>
      <w:r w:rsidRPr="00CF1A02">
        <w:rPr>
          <w:rFonts w:ascii="Book Antiqua" w:hAnsi="Book Antiqua"/>
        </w:rPr>
        <w:t xml:space="preserve">Name of surgery, </w:t>
      </w:r>
      <w:r w:rsidR="002C49A8" w:rsidRPr="00CF1A02">
        <w:rPr>
          <w:rFonts w:ascii="Book Antiqua" w:hAnsi="Book Antiqua"/>
          <w:vertAlign w:val="superscript"/>
        </w:rPr>
        <w:t>1</w:t>
      </w:r>
      <w:r w:rsidR="002C49A8" w:rsidRPr="00CF1A02">
        <w:rPr>
          <w:rFonts w:ascii="Book Antiqua" w:hAnsi="Book Antiqua"/>
        </w:rPr>
        <w:t>others</w:t>
      </w:r>
      <w:r w:rsidRPr="00CF1A02">
        <w:rPr>
          <w:rFonts w:ascii="Book Antiqua" w:hAnsi="Book Antiqua"/>
        </w:rPr>
        <w:t xml:space="preserve"> abdominoperineal resection, Hartmann’s operation, subtotal or t</w:t>
      </w:r>
      <w:r w:rsidR="00CF1A02" w:rsidRPr="00CF1A02">
        <w:rPr>
          <w:rFonts w:ascii="Book Antiqua" w:hAnsi="Book Antiqua"/>
        </w:rPr>
        <w:t>otal colectomy;</w:t>
      </w:r>
      <w:r w:rsidRPr="00CF1A02">
        <w:rPr>
          <w:rFonts w:ascii="Book Antiqua" w:hAnsi="Book Antiqua"/>
        </w:rPr>
        <w:t xml:space="preserve"> Differentiation, </w:t>
      </w:r>
      <w:r w:rsidR="00CF1A02" w:rsidRPr="00CF1A02">
        <w:rPr>
          <w:rFonts w:ascii="Book Antiqua" w:hAnsi="Book Antiqua"/>
          <w:vertAlign w:val="superscript"/>
        </w:rPr>
        <w:t>2</w:t>
      </w:r>
      <w:r w:rsidRPr="00CF1A02">
        <w:rPr>
          <w:rFonts w:ascii="Book Antiqua" w:hAnsi="Book Antiqua"/>
        </w:rPr>
        <w:t>others mucinous, signet ring cell. TNM: Tumor Node Metastasis; CEA: Carcinoembryonic antigen; TRG: Tumor regression grade.</w:t>
      </w:r>
    </w:p>
    <w:p w14:paraId="5182B04D"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br w:type="page"/>
        <w:t>Table 5 Comparison of the non- pathologic complete response and pathologic complete response groups after the chemoradiotherapy following surgical resection</w:t>
      </w:r>
    </w:p>
    <w:tbl>
      <w:tblPr>
        <w:tblW w:w="8618" w:type="dxa"/>
        <w:tblInd w:w="-5" w:type="dxa"/>
        <w:tblBorders>
          <w:top w:val="single" w:sz="4" w:space="0" w:color="auto"/>
          <w:bottom w:val="single" w:sz="4" w:space="0" w:color="auto"/>
        </w:tblBorders>
        <w:tblLook w:val="04A0" w:firstRow="1" w:lastRow="0" w:firstColumn="1" w:lastColumn="0" w:noHBand="0" w:noVBand="1"/>
      </w:tblPr>
      <w:tblGrid>
        <w:gridCol w:w="3090"/>
        <w:gridCol w:w="2268"/>
        <w:gridCol w:w="1701"/>
        <w:gridCol w:w="1559"/>
      </w:tblGrid>
      <w:tr w:rsidR="009F6668" w:rsidRPr="00CF1A02" w14:paraId="7314E663" w14:textId="77777777" w:rsidTr="00CF1A02">
        <w:trPr>
          <w:trHeight w:val="454"/>
        </w:trPr>
        <w:tc>
          <w:tcPr>
            <w:tcW w:w="3090" w:type="dxa"/>
            <w:tcBorders>
              <w:top w:val="single" w:sz="4" w:space="0" w:color="auto"/>
              <w:bottom w:val="single" w:sz="4" w:space="0" w:color="auto"/>
            </w:tcBorders>
          </w:tcPr>
          <w:p w14:paraId="1DB26679"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Variables</w:t>
            </w:r>
          </w:p>
        </w:tc>
        <w:tc>
          <w:tcPr>
            <w:tcW w:w="2268" w:type="dxa"/>
            <w:tcBorders>
              <w:top w:val="single" w:sz="4" w:space="0" w:color="auto"/>
              <w:bottom w:val="single" w:sz="4" w:space="0" w:color="auto"/>
            </w:tcBorders>
          </w:tcPr>
          <w:p w14:paraId="6011E408" w14:textId="20449CCC"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Non-pCR (</w:t>
            </w:r>
            <w:r w:rsidR="00CF1A02" w:rsidRPr="00CF1A02">
              <w:rPr>
                <w:rFonts w:ascii="Book Antiqua" w:hAnsi="Book Antiqua"/>
                <w:b/>
                <w:i/>
              </w:rPr>
              <w:t>n</w:t>
            </w:r>
            <w:r w:rsidRPr="00CF1A02">
              <w:rPr>
                <w:rFonts w:ascii="Book Antiqua" w:hAnsi="Book Antiqua"/>
                <w:b/>
              </w:rPr>
              <w:t xml:space="preserve"> = 108)</w:t>
            </w:r>
          </w:p>
        </w:tc>
        <w:tc>
          <w:tcPr>
            <w:tcW w:w="1701" w:type="dxa"/>
            <w:tcBorders>
              <w:top w:val="single" w:sz="4" w:space="0" w:color="auto"/>
              <w:bottom w:val="single" w:sz="4" w:space="0" w:color="auto"/>
            </w:tcBorders>
          </w:tcPr>
          <w:p w14:paraId="2965E9F7" w14:textId="4A6B336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pCR (</w:t>
            </w:r>
            <w:r w:rsidR="00CF1A02" w:rsidRPr="00CF1A02">
              <w:rPr>
                <w:rFonts w:ascii="Book Antiqua" w:hAnsi="Book Antiqua"/>
                <w:b/>
                <w:i/>
              </w:rPr>
              <w:t>n</w:t>
            </w:r>
            <w:r w:rsidRPr="00CF1A02">
              <w:rPr>
                <w:rFonts w:ascii="Book Antiqua" w:hAnsi="Book Antiqua"/>
                <w:b/>
              </w:rPr>
              <w:t xml:space="preserve"> = 27)</w:t>
            </w:r>
          </w:p>
        </w:tc>
        <w:tc>
          <w:tcPr>
            <w:tcW w:w="1559" w:type="dxa"/>
            <w:tcBorders>
              <w:top w:val="single" w:sz="4" w:space="0" w:color="auto"/>
              <w:bottom w:val="single" w:sz="4" w:space="0" w:color="auto"/>
            </w:tcBorders>
          </w:tcPr>
          <w:p w14:paraId="45CD6127" w14:textId="44D7B5BE"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i/>
              </w:rPr>
              <w:t>P</w:t>
            </w:r>
            <w:r w:rsidR="00CF1A02" w:rsidRPr="00CF1A02">
              <w:rPr>
                <w:rFonts w:ascii="Book Antiqua" w:hAnsi="Book Antiqua"/>
                <w:b/>
              </w:rPr>
              <w:t xml:space="preserve"> </w:t>
            </w:r>
            <w:r w:rsidRPr="00CF1A02">
              <w:rPr>
                <w:rFonts w:ascii="Book Antiqua" w:hAnsi="Book Antiqua"/>
                <w:b/>
              </w:rPr>
              <w:t>value</w:t>
            </w:r>
          </w:p>
        </w:tc>
      </w:tr>
      <w:tr w:rsidR="009F6668" w:rsidRPr="00CF1A02" w14:paraId="3A00B38F" w14:textId="77777777" w:rsidTr="00CF1A02">
        <w:trPr>
          <w:trHeight w:val="454"/>
        </w:trPr>
        <w:tc>
          <w:tcPr>
            <w:tcW w:w="3090" w:type="dxa"/>
            <w:tcBorders>
              <w:top w:val="single" w:sz="4" w:space="0" w:color="auto"/>
            </w:tcBorders>
          </w:tcPr>
          <w:p w14:paraId="03D76046" w14:textId="1AD83E98"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tumor size (cm</w:t>
            </w:r>
            <w:r w:rsidR="00B74139">
              <w:rPr>
                <w:rFonts w:ascii="Book Antiqua" w:hAnsi="Book Antiqua" w:hint="eastAsia"/>
                <w:lang w:eastAsia="zh-CN"/>
              </w:rPr>
              <w:t xml:space="preserve">, </w:t>
            </w:r>
            <w:r w:rsidR="00B74139">
              <w:rPr>
                <w:rFonts w:ascii="Book Antiqua" w:hAnsi="Book Antiqua"/>
                <w:lang w:eastAsia="zh-CN"/>
              </w:rPr>
              <w:t>mean</w:t>
            </w:r>
            <w:r w:rsidR="00B74139" w:rsidRPr="00CF1A02">
              <w:rPr>
                <w:rFonts w:ascii="Book Antiqua" w:hAnsi="Book Antiqua"/>
              </w:rPr>
              <w:t xml:space="preserve"> </w:t>
            </w:r>
            <w:r w:rsidRPr="00CF1A02">
              <w:rPr>
                <w:rFonts w:ascii="Book Antiqua" w:hAnsi="Book Antiqua"/>
              </w:rPr>
              <w:t>± SD)</w:t>
            </w:r>
          </w:p>
        </w:tc>
        <w:tc>
          <w:tcPr>
            <w:tcW w:w="2268" w:type="dxa"/>
            <w:tcBorders>
              <w:top w:val="single" w:sz="4" w:space="0" w:color="auto"/>
            </w:tcBorders>
          </w:tcPr>
          <w:p w14:paraId="78951E1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4.7 ± 1.5</w:t>
            </w:r>
          </w:p>
        </w:tc>
        <w:tc>
          <w:tcPr>
            <w:tcW w:w="1701" w:type="dxa"/>
            <w:tcBorders>
              <w:top w:val="single" w:sz="4" w:space="0" w:color="auto"/>
            </w:tcBorders>
          </w:tcPr>
          <w:p w14:paraId="0BB04F3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4.4 ± 1.3</w:t>
            </w:r>
          </w:p>
        </w:tc>
        <w:tc>
          <w:tcPr>
            <w:tcW w:w="1559" w:type="dxa"/>
            <w:tcBorders>
              <w:top w:val="single" w:sz="4" w:space="0" w:color="auto"/>
            </w:tcBorders>
          </w:tcPr>
          <w:p w14:paraId="05DAE7F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0.246</w:t>
            </w:r>
          </w:p>
        </w:tc>
      </w:tr>
      <w:tr w:rsidR="009F6668" w:rsidRPr="00CF1A02" w14:paraId="38BDA30F" w14:textId="77777777" w:rsidTr="00CF1A02">
        <w:trPr>
          <w:trHeight w:val="454"/>
        </w:trPr>
        <w:tc>
          <w:tcPr>
            <w:tcW w:w="3090" w:type="dxa"/>
          </w:tcPr>
          <w:p w14:paraId="47F558D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CEA, ng/mL</w:t>
            </w:r>
          </w:p>
        </w:tc>
        <w:tc>
          <w:tcPr>
            <w:tcW w:w="2268" w:type="dxa"/>
          </w:tcPr>
          <w:p w14:paraId="2A5D9BBA"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Pr>
          <w:p w14:paraId="642BF8D3" w14:textId="77777777" w:rsidR="009F6668" w:rsidRPr="00CF1A02" w:rsidRDefault="009F6668" w:rsidP="00CF1A02">
            <w:pPr>
              <w:adjustRightInd w:val="0"/>
              <w:snapToGrid w:val="0"/>
              <w:spacing w:line="360" w:lineRule="auto"/>
              <w:jc w:val="both"/>
              <w:rPr>
                <w:rFonts w:ascii="Book Antiqua" w:hAnsi="Book Antiqua"/>
              </w:rPr>
            </w:pPr>
          </w:p>
        </w:tc>
        <w:tc>
          <w:tcPr>
            <w:tcW w:w="1559" w:type="dxa"/>
          </w:tcPr>
          <w:p w14:paraId="05F590B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&lt; 0.001</w:t>
            </w:r>
          </w:p>
        </w:tc>
      </w:tr>
      <w:tr w:rsidR="009F6668" w:rsidRPr="00CF1A02" w14:paraId="30E8C517" w14:textId="77777777" w:rsidTr="00CF1A02">
        <w:trPr>
          <w:trHeight w:val="409"/>
        </w:trPr>
        <w:tc>
          <w:tcPr>
            <w:tcW w:w="3090" w:type="dxa"/>
            <w:vAlign w:val="center"/>
          </w:tcPr>
          <w:p w14:paraId="5E254379"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CEA ≤</w:t>
            </w:r>
            <w:r w:rsidRPr="00CF1A02">
              <w:rPr>
                <w:rFonts w:ascii="Book Antiqua" w:hAnsi="Book Antiqua"/>
                <w:lang w:eastAsia="zh-CN"/>
              </w:rPr>
              <w:t xml:space="preserve"> </w:t>
            </w:r>
            <w:r w:rsidRPr="00CF1A02">
              <w:rPr>
                <w:rFonts w:ascii="Book Antiqua" w:hAnsi="Book Antiqua"/>
              </w:rPr>
              <w:t>5</w:t>
            </w:r>
          </w:p>
        </w:tc>
        <w:tc>
          <w:tcPr>
            <w:tcW w:w="2268" w:type="dxa"/>
            <w:vAlign w:val="center"/>
          </w:tcPr>
          <w:p w14:paraId="569A6EA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40 (37.0%)</w:t>
            </w:r>
          </w:p>
        </w:tc>
        <w:tc>
          <w:tcPr>
            <w:tcW w:w="1701" w:type="dxa"/>
            <w:vAlign w:val="center"/>
          </w:tcPr>
          <w:p w14:paraId="7D947DA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25 (92.6%)</w:t>
            </w:r>
          </w:p>
        </w:tc>
        <w:tc>
          <w:tcPr>
            <w:tcW w:w="1559" w:type="dxa"/>
            <w:vAlign w:val="center"/>
          </w:tcPr>
          <w:p w14:paraId="44A60A5F"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358B9076" w14:textId="77777777" w:rsidTr="00CF1A02">
        <w:trPr>
          <w:trHeight w:val="454"/>
        </w:trPr>
        <w:tc>
          <w:tcPr>
            <w:tcW w:w="3090" w:type="dxa"/>
          </w:tcPr>
          <w:p w14:paraId="6CDDD061" w14:textId="63B476A3"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CEA &gt; 5</w:t>
            </w:r>
          </w:p>
        </w:tc>
        <w:tc>
          <w:tcPr>
            <w:tcW w:w="2268" w:type="dxa"/>
          </w:tcPr>
          <w:p w14:paraId="14900EF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68 (63.0%)</w:t>
            </w:r>
          </w:p>
        </w:tc>
        <w:tc>
          <w:tcPr>
            <w:tcW w:w="1701" w:type="dxa"/>
          </w:tcPr>
          <w:p w14:paraId="759A67E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 (7.4%)</w:t>
            </w:r>
          </w:p>
        </w:tc>
        <w:tc>
          <w:tcPr>
            <w:tcW w:w="1559" w:type="dxa"/>
          </w:tcPr>
          <w:p w14:paraId="3F90EAC6"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0279AF08" w14:textId="77777777" w:rsidTr="00CF1A02">
        <w:trPr>
          <w:trHeight w:val="454"/>
        </w:trPr>
        <w:tc>
          <w:tcPr>
            <w:tcW w:w="3090" w:type="dxa"/>
          </w:tcPr>
          <w:p w14:paraId="4631D33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T stage</w:t>
            </w:r>
          </w:p>
        </w:tc>
        <w:tc>
          <w:tcPr>
            <w:tcW w:w="2268" w:type="dxa"/>
          </w:tcPr>
          <w:p w14:paraId="008192DF"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Pr>
          <w:p w14:paraId="05EC21F9" w14:textId="77777777" w:rsidR="009F6668" w:rsidRPr="00CF1A02" w:rsidRDefault="009F6668" w:rsidP="00CF1A02">
            <w:pPr>
              <w:adjustRightInd w:val="0"/>
              <w:snapToGrid w:val="0"/>
              <w:spacing w:line="360" w:lineRule="auto"/>
              <w:jc w:val="both"/>
              <w:rPr>
                <w:rFonts w:ascii="Book Antiqua" w:hAnsi="Book Antiqua"/>
              </w:rPr>
            </w:pPr>
          </w:p>
        </w:tc>
        <w:tc>
          <w:tcPr>
            <w:tcW w:w="1559" w:type="dxa"/>
          </w:tcPr>
          <w:p w14:paraId="4EE0005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0.875</w:t>
            </w:r>
          </w:p>
        </w:tc>
      </w:tr>
      <w:tr w:rsidR="009F6668" w:rsidRPr="00CF1A02" w14:paraId="3D48480B" w14:textId="77777777" w:rsidTr="00CF1A02">
        <w:trPr>
          <w:trHeight w:val="454"/>
        </w:trPr>
        <w:tc>
          <w:tcPr>
            <w:tcW w:w="3090" w:type="dxa"/>
          </w:tcPr>
          <w:p w14:paraId="113C7A9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T3</w:t>
            </w:r>
          </w:p>
        </w:tc>
        <w:tc>
          <w:tcPr>
            <w:tcW w:w="2268" w:type="dxa"/>
          </w:tcPr>
          <w:p w14:paraId="5837743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84 (77.8%)</w:t>
            </w:r>
          </w:p>
        </w:tc>
        <w:tc>
          <w:tcPr>
            <w:tcW w:w="1701" w:type="dxa"/>
          </w:tcPr>
          <w:p w14:paraId="6271EA1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22 (81.5%)</w:t>
            </w:r>
          </w:p>
        </w:tc>
        <w:tc>
          <w:tcPr>
            <w:tcW w:w="1559" w:type="dxa"/>
          </w:tcPr>
          <w:p w14:paraId="472DA60E"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54F6F087" w14:textId="77777777" w:rsidTr="00CF1A02">
        <w:trPr>
          <w:trHeight w:val="454"/>
        </w:trPr>
        <w:tc>
          <w:tcPr>
            <w:tcW w:w="3090" w:type="dxa"/>
          </w:tcPr>
          <w:p w14:paraId="1900A97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T4</w:t>
            </w:r>
          </w:p>
        </w:tc>
        <w:tc>
          <w:tcPr>
            <w:tcW w:w="2268" w:type="dxa"/>
          </w:tcPr>
          <w:p w14:paraId="4972CB9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24 (22.2%)</w:t>
            </w:r>
          </w:p>
        </w:tc>
        <w:tc>
          <w:tcPr>
            <w:tcW w:w="1701" w:type="dxa"/>
          </w:tcPr>
          <w:p w14:paraId="53F86B7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 (18.5%)</w:t>
            </w:r>
          </w:p>
        </w:tc>
        <w:tc>
          <w:tcPr>
            <w:tcW w:w="1559" w:type="dxa"/>
          </w:tcPr>
          <w:p w14:paraId="7C40973D"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F50A1DE" w14:textId="77777777" w:rsidTr="00CF1A02">
        <w:trPr>
          <w:trHeight w:val="454"/>
        </w:trPr>
        <w:tc>
          <w:tcPr>
            <w:tcW w:w="3090" w:type="dxa"/>
          </w:tcPr>
          <w:p w14:paraId="20763E2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N stage</w:t>
            </w:r>
          </w:p>
        </w:tc>
        <w:tc>
          <w:tcPr>
            <w:tcW w:w="2268" w:type="dxa"/>
          </w:tcPr>
          <w:p w14:paraId="733AAF69"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Pr>
          <w:p w14:paraId="2D684229" w14:textId="77777777" w:rsidR="009F6668" w:rsidRPr="00CF1A02" w:rsidRDefault="009F6668" w:rsidP="00CF1A02">
            <w:pPr>
              <w:adjustRightInd w:val="0"/>
              <w:snapToGrid w:val="0"/>
              <w:spacing w:line="360" w:lineRule="auto"/>
              <w:jc w:val="both"/>
              <w:rPr>
                <w:rFonts w:ascii="Book Antiqua" w:hAnsi="Book Antiqua"/>
              </w:rPr>
            </w:pPr>
          </w:p>
        </w:tc>
        <w:tc>
          <w:tcPr>
            <w:tcW w:w="1559" w:type="dxa"/>
          </w:tcPr>
          <w:p w14:paraId="13BEF1D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0.004</w:t>
            </w:r>
          </w:p>
        </w:tc>
      </w:tr>
      <w:tr w:rsidR="009F6668" w:rsidRPr="00CF1A02" w14:paraId="11C90466" w14:textId="77777777" w:rsidTr="00CF1A02">
        <w:trPr>
          <w:trHeight w:val="454"/>
        </w:trPr>
        <w:tc>
          <w:tcPr>
            <w:tcW w:w="3090" w:type="dxa"/>
          </w:tcPr>
          <w:p w14:paraId="735E968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N0</w:t>
            </w:r>
          </w:p>
        </w:tc>
        <w:tc>
          <w:tcPr>
            <w:tcW w:w="2268" w:type="dxa"/>
          </w:tcPr>
          <w:p w14:paraId="0EC2249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 (5.6%)</w:t>
            </w:r>
          </w:p>
        </w:tc>
        <w:tc>
          <w:tcPr>
            <w:tcW w:w="1701" w:type="dxa"/>
          </w:tcPr>
          <w:p w14:paraId="49039E3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7 (25.9%)</w:t>
            </w:r>
          </w:p>
        </w:tc>
        <w:tc>
          <w:tcPr>
            <w:tcW w:w="1559" w:type="dxa"/>
          </w:tcPr>
          <w:p w14:paraId="2ADA3FA9"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21C8127" w14:textId="77777777" w:rsidTr="00CF1A02">
        <w:trPr>
          <w:trHeight w:val="454"/>
        </w:trPr>
        <w:tc>
          <w:tcPr>
            <w:tcW w:w="3090" w:type="dxa"/>
          </w:tcPr>
          <w:p w14:paraId="67BA73E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N+</w:t>
            </w:r>
          </w:p>
        </w:tc>
        <w:tc>
          <w:tcPr>
            <w:tcW w:w="2268" w:type="dxa"/>
          </w:tcPr>
          <w:p w14:paraId="76FD3D4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102 (94.4%)</w:t>
            </w:r>
          </w:p>
        </w:tc>
        <w:tc>
          <w:tcPr>
            <w:tcW w:w="1701" w:type="dxa"/>
          </w:tcPr>
          <w:p w14:paraId="6C23ECB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20 (74.1%)</w:t>
            </w:r>
          </w:p>
        </w:tc>
        <w:tc>
          <w:tcPr>
            <w:tcW w:w="1559" w:type="dxa"/>
          </w:tcPr>
          <w:p w14:paraId="393DC788"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702BBB2" w14:textId="77777777" w:rsidTr="00CF1A02">
        <w:trPr>
          <w:trHeight w:val="454"/>
        </w:trPr>
        <w:tc>
          <w:tcPr>
            <w:tcW w:w="3090" w:type="dxa"/>
          </w:tcPr>
          <w:p w14:paraId="6A93795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TNM stage</w:t>
            </w:r>
          </w:p>
        </w:tc>
        <w:tc>
          <w:tcPr>
            <w:tcW w:w="2268" w:type="dxa"/>
          </w:tcPr>
          <w:p w14:paraId="36A356C6"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Pr>
          <w:p w14:paraId="3344C50B" w14:textId="77777777" w:rsidR="009F6668" w:rsidRPr="00CF1A02" w:rsidRDefault="009F6668" w:rsidP="00CF1A02">
            <w:pPr>
              <w:adjustRightInd w:val="0"/>
              <w:snapToGrid w:val="0"/>
              <w:spacing w:line="360" w:lineRule="auto"/>
              <w:jc w:val="both"/>
              <w:rPr>
                <w:rFonts w:ascii="Book Antiqua" w:hAnsi="Book Antiqua"/>
              </w:rPr>
            </w:pPr>
          </w:p>
        </w:tc>
        <w:tc>
          <w:tcPr>
            <w:tcW w:w="1559" w:type="dxa"/>
          </w:tcPr>
          <w:p w14:paraId="70480C0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0.005</w:t>
            </w:r>
          </w:p>
        </w:tc>
      </w:tr>
      <w:tr w:rsidR="009F6668" w:rsidRPr="00CF1A02" w14:paraId="3FCA31FF" w14:textId="77777777" w:rsidTr="00CF1A02">
        <w:trPr>
          <w:trHeight w:val="454"/>
        </w:trPr>
        <w:tc>
          <w:tcPr>
            <w:tcW w:w="3090" w:type="dxa"/>
          </w:tcPr>
          <w:p w14:paraId="5EE74A0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I</w:t>
            </w:r>
          </w:p>
        </w:tc>
        <w:tc>
          <w:tcPr>
            <w:tcW w:w="2268" w:type="dxa"/>
          </w:tcPr>
          <w:p w14:paraId="6A10728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 (0.9%)</w:t>
            </w:r>
          </w:p>
        </w:tc>
        <w:tc>
          <w:tcPr>
            <w:tcW w:w="1701" w:type="dxa"/>
          </w:tcPr>
          <w:p w14:paraId="1407239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559" w:type="dxa"/>
          </w:tcPr>
          <w:p w14:paraId="70EC9983"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21DAC02B" w14:textId="77777777" w:rsidTr="00CF1A02">
        <w:trPr>
          <w:trHeight w:val="454"/>
        </w:trPr>
        <w:tc>
          <w:tcPr>
            <w:tcW w:w="3090" w:type="dxa"/>
          </w:tcPr>
          <w:p w14:paraId="4AECE3C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II</w:t>
            </w:r>
          </w:p>
        </w:tc>
        <w:tc>
          <w:tcPr>
            <w:tcW w:w="2268" w:type="dxa"/>
          </w:tcPr>
          <w:p w14:paraId="7CEAD82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 (5.6%)</w:t>
            </w:r>
          </w:p>
        </w:tc>
        <w:tc>
          <w:tcPr>
            <w:tcW w:w="1701" w:type="dxa"/>
          </w:tcPr>
          <w:p w14:paraId="5872427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7 (25.9%)</w:t>
            </w:r>
          </w:p>
        </w:tc>
        <w:tc>
          <w:tcPr>
            <w:tcW w:w="1559" w:type="dxa"/>
          </w:tcPr>
          <w:p w14:paraId="326D3017"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038C155" w14:textId="77777777" w:rsidTr="00CF1A02">
        <w:trPr>
          <w:trHeight w:val="454"/>
        </w:trPr>
        <w:tc>
          <w:tcPr>
            <w:tcW w:w="3090" w:type="dxa"/>
          </w:tcPr>
          <w:p w14:paraId="600AF4F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III</w:t>
            </w:r>
          </w:p>
        </w:tc>
        <w:tc>
          <w:tcPr>
            <w:tcW w:w="2268" w:type="dxa"/>
          </w:tcPr>
          <w:p w14:paraId="1F65265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101 (93.5%)</w:t>
            </w:r>
          </w:p>
        </w:tc>
        <w:tc>
          <w:tcPr>
            <w:tcW w:w="1701" w:type="dxa"/>
          </w:tcPr>
          <w:p w14:paraId="067C935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20 (74.1%)</w:t>
            </w:r>
          </w:p>
        </w:tc>
        <w:tc>
          <w:tcPr>
            <w:tcW w:w="1559" w:type="dxa"/>
          </w:tcPr>
          <w:p w14:paraId="742CA812"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033C863F" w14:textId="77777777" w:rsidTr="00CF1A02">
        <w:trPr>
          <w:trHeight w:val="454"/>
        </w:trPr>
        <w:tc>
          <w:tcPr>
            <w:tcW w:w="3090" w:type="dxa"/>
          </w:tcPr>
          <w:p w14:paraId="4C5DD16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Post-CRT CEA, ng/mL</w:t>
            </w:r>
          </w:p>
        </w:tc>
        <w:tc>
          <w:tcPr>
            <w:tcW w:w="2268" w:type="dxa"/>
          </w:tcPr>
          <w:p w14:paraId="4636B861"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Pr>
          <w:p w14:paraId="3C4C2CEB" w14:textId="77777777" w:rsidR="009F6668" w:rsidRPr="00CF1A02" w:rsidRDefault="009F6668" w:rsidP="00CF1A02">
            <w:pPr>
              <w:adjustRightInd w:val="0"/>
              <w:snapToGrid w:val="0"/>
              <w:spacing w:line="360" w:lineRule="auto"/>
              <w:jc w:val="both"/>
              <w:rPr>
                <w:rFonts w:ascii="Book Antiqua" w:hAnsi="Book Antiqua"/>
              </w:rPr>
            </w:pPr>
          </w:p>
        </w:tc>
        <w:tc>
          <w:tcPr>
            <w:tcW w:w="1559" w:type="dxa"/>
          </w:tcPr>
          <w:p w14:paraId="5163F86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0.008</w:t>
            </w:r>
          </w:p>
        </w:tc>
      </w:tr>
      <w:tr w:rsidR="009F6668" w:rsidRPr="00CF1A02" w14:paraId="644A8416" w14:textId="77777777" w:rsidTr="00CF1A02">
        <w:trPr>
          <w:trHeight w:val="454"/>
        </w:trPr>
        <w:tc>
          <w:tcPr>
            <w:tcW w:w="3090" w:type="dxa"/>
          </w:tcPr>
          <w:p w14:paraId="43F6CCAB"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w:t>
            </w:r>
            <w:r w:rsidRPr="00CF1A02">
              <w:rPr>
                <w:rFonts w:ascii="Book Antiqua" w:hAnsi="Book Antiqua"/>
                <w:lang w:eastAsia="zh-CN"/>
              </w:rPr>
              <w:t xml:space="preserve"> </w:t>
            </w:r>
            <w:r w:rsidRPr="00CF1A02">
              <w:rPr>
                <w:rFonts w:ascii="Book Antiqua" w:hAnsi="Book Antiqua"/>
              </w:rPr>
              <w:t>5</w:t>
            </w:r>
          </w:p>
        </w:tc>
        <w:tc>
          <w:tcPr>
            <w:tcW w:w="2268" w:type="dxa"/>
          </w:tcPr>
          <w:p w14:paraId="6E16954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81 (75.0%)</w:t>
            </w:r>
          </w:p>
        </w:tc>
        <w:tc>
          <w:tcPr>
            <w:tcW w:w="1701" w:type="dxa"/>
          </w:tcPr>
          <w:p w14:paraId="736A083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27 (100%)</w:t>
            </w:r>
          </w:p>
        </w:tc>
        <w:tc>
          <w:tcPr>
            <w:tcW w:w="1559" w:type="dxa"/>
          </w:tcPr>
          <w:p w14:paraId="45C9A84E"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63B3242" w14:textId="77777777" w:rsidTr="00CF1A02">
        <w:trPr>
          <w:trHeight w:val="454"/>
        </w:trPr>
        <w:tc>
          <w:tcPr>
            <w:tcW w:w="3090" w:type="dxa"/>
          </w:tcPr>
          <w:p w14:paraId="19BA3256"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&gt; 5</w:t>
            </w:r>
          </w:p>
        </w:tc>
        <w:tc>
          <w:tcPr>
            <w:tcW w:w="2268" w:type="dxa"/>
          </w:tcPr>
          <w:p w14:paraId="1729C7C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27 (25.0%)</w:t>
            </w:r>
          </w:p>
        </w:tc>
        <w:tc>
          <w:tcPr>
            <w:tcW w:w="1701" w:type="dxa"/>
          </w:tcPr>
          <w:p w14:paraId="38E1585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559" w:type="dxa"/>
          </w:tcPr>
          <w:p w14:paraId="38079711"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3FC9923" w14:textId="77777777" w:rsidTr="00CF1A02">
        <w:trPr>
          <w:trHeight w:val="454"/>
        </w:trPr>
        <w:tc>
          <w:tcPr>
            <w:tcW w:w="3090" w:type="dxa"/>
          </w:tcPr>
          <w:p w14:paraId="7803C19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Downstaging after CRT</w:t>
            </w:r>
          </w:p>
        </w:tc>
        <w:tc>
          <w:tcPr>
            <w:tcW w:w="2268" w:type="dxa"/>
          </w:tcPr>
          <w:p w14:paraId="4327108E"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Pr>
          <w:p w14:paraId="4CB2E8BC" w14:textId="77777777" w:rsidR="009F6668" w:rsidRPr="00CF1A02" w:rsidRDefault="009F6668" w:rsidP="00CF1A02">
            <w:pPr>
              <w:adjustRightInd w:val="0"/>
              <w:snapToGrid w:val="0"/>
              <w:spacing w:line="360" w:lineRule="auto"/>
              <w:jc w:val="both"/>
              <w:rPr>
                <w:rFonts w:ascii="Book Antiqua" w:hAnsi="Book Antiqua"/>
              </w:rPr>
            </w:pPr>
          </w:p>
        </w:tc>
        <w:tc>
          <w:tcPr>
            <w:tcW w:w="1559" w:type="dxa"/>
          </w:tcPr>
          <w:p w14:paraId="0697434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0.051</w:t>
            </w:r>
          </w:p>
        </w:tc>
      </w:tr>
      <w:tr w:rsidR="009F6668" w:rsidRPr="00CF1A02" w14:paraId="05844345" w14:textId="77777777" w:rsidTr="00CF1A02">
        <w:trPr>
          <w:trHeight w:val="454"/>
        </w:trPr>
        <w:tc>
          <w:tcPr>
            <w:tcW w:w="3090" w:type="dxa"/>
          </w:tcPr>
          <w:p w14:paraId="3C8BC33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No</w:t>
            </w:r>
          </w:p>
        </w:tc>
        <w:tc>
          <w:tcPr>
            <w:tcW w:w="2268" w:type="dxa"/>
          </w:tcPr>
          <w:p w14:paraId="58CCACE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65 (60.2%)</w:t>
            </w:r>
          </w:p>
        </w:tc>
        <w:tc>
          <w:tcPr>
            <w:tcW w:w="1701" w:type="dxa"/>
          </w:tcPr>
          <w:p w14:paraId="3F1131C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10 (37.0%)</w:t>
            </w:r>
          </w:p>
        </w:tc>
        <w:tc>
          <w:tcPr>
            <w:tcW w:w="1559" w:type="dxa"/>
          </w:tcPr>
          <w:p w14:paraId="11AF19FA"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661A3867" w14:textId="77777777" w:rsidTr="00CF1A02">
        <w:trPr>
          <w:trHeight w:val="454"/>
        </w:trPr>
        <w:tc>
          <w:tcPr>
            <w:tcW w:w="3090" w:type="dxa"/>
          </w:tcPr>
          <w:p w14:paraId="3E15716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Yes</w:t>
            </w:r>
          </w:p>
        </w:tc>
        <w:tc>
          <w:tcPr>
            <w:tcW w:w="2268" w:type="dxa"/>
          </w:tcPr>
          <w:p w14:paraId="57AD47C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43 (39.8%)</w:t>
            </w:r>
          </w:p>
        </w:tc>
        <w:tc>
          <w:tcPr>
            <w:tcW w:w="1701" w:type="dxa"/>
          </w:tcPr>
          <w:p w14:paraId="2DA672D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17 (63.0%)</w:t>
            </w:r>
          </w:p>
        </w:tc>
        <w:tc>
          <w:tcPr>
            <w:tcW w:w="1559" w:type="dxa"/>
          </w:tcPr>
          <w:p w14:paraId="6590264D"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2EB7D256" w14:textId="77777777" w:rsidTr="00CF1A02">
        <w:trPr>
          <w:trHeight w:val="454"/>
        </w:trPr>
        <w:tc>
          <w:tcPr>
            <w:tcW w:w="3090" w:type="dxa"/>
          </w:tcPr>
          <w:p w14:paraId="16F2BED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Differentiation</w:t>
            </w:r>
          </w:p>
        </w:tc>
        <w:tc>
          <w:tcPr>
            <w:tcW w:w="2268" w:type="dxa"/>
          </w:tcPr>
          <w:p w14:paraId="79909F90"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Pr>
          <w:p w14:paraId="3C464682" w14:textId="77777777" w:rsidR="009F6668" w:rsidRPr="00CF1A02" w:rsidRDefault="009F6668" w:rsidP="00CF1A02">
            <w:pPr>
              <w:adjustRightInd w:val="0"/>
              <w:snapToGrid w:val="0"/>
              <w:spacing w:line="360" w:lineRule="auto"/>
              <w:jc w:val="both"/>
              <w:rPr>
                <w:rFonts w:ascii="Book Antiqua" w:hAnsi="Book Antiqua"/>
              </w:rPr>
            </w:pPr>
          </w:p>
        </w:tc>
        <w:tc>
          <w:tcPr>
            <w:tcW w:w="1559" w:type="dxa"/>
          </w:tcPr>
          <w:p w14:paraId="6F0BB1F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&gt; 0.999</w:t>
            </w:r>
          </w:p>
        </w:tc>
      </w:tr>
      <w:tr w:rsidR="009F6668" w:rsidRPr="00CF1A02" w14:paraId="6512706D" w14:textId="77777777" w:rsidTr="00CF1A02">
        <w:trPr>
          <w:trHeight w:val="454"/>
        </w:trPr>
        <w:tc>
          <w:tcPr>
            <w:tcW w:w="3090" w:type="dxa"/>
          </w:tcPr>
          <w:p w14:paraId="5D0CF34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Well–Moderate</w:t>
            </w:r>
          </w:p>
        </w:tc>
        <w:tc>
          <w:tcPr>
            <w:tcW w:w="2268" w:type="dxa"/>
          </w:tcPr>
          <w:p w14:paraId="54DEA47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30 (27.8%)</w:t>
            </w:r>
          </w:p>
        </w:tc>
        <w:tc>
          <w:tcPr>
            <w:tcW w:w="1701" w:type="dxa"/>
          </w:tcPr>
          <w:p w14:paraId="7C576A3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7 (25.9%)</w:t>
            </w:r>
          </w:p>
        </w:tc>
        <w:tc>
          <w:tcPr>
            <w:tcW w:w="1559" w:type="dxa"/>
          </w:tcPr>
          <w:p w14:paraId="4093117B"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29AB646D" w14:textId="77777777" w:rsidTr="00CF1A02">
        <w:trPr>
          <w:trHeight w:val="454"/>
        </w:trPr>
        <w:tc>
          <w:tcPr>
            <w:tcW w:w="3090" w:type="dxa"/>
          </w:tcPr>
          <w:p w14:paraId="0F6FF026" w14:textId="189204B0"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Poor</w:t>
            </w:r>
            <w:r w:rsidR="00CF1A02" w:rsidRPr="00CF1A02">
              <w:rPr>
                <w:rFonts w:ascii="Book Antiqua" w:hAnsi="Book Antiqua"/>
              </w:rPr>
              <w:t xml:space="preserve"> </w:t>
            </w:r>
            <w:r w:rsidRPr="00CF1A02">
              <w:rPr>
                <w:rFonts w:ascii="Book Antiqua" w:hAnsi="Book Antiqua"/>
              </w:rPr>
              <w:t>+</w:t>
            </w:r>
            <w:r w:rsidR="00CF1A02" w:rsidRPr="00CF1A02">
              <w:rPr>
                <w:rFonts w:ascii="Book Antiqua" w:hAnsi="Book Antiqua"/>
              </w:rPr>
              <w:t xml:space="preserve"> </w:t>
            </w:r>
            <w:r w:rsidRPr="00CF1A02">
              <w:rPr>
                <w:rFonts w:ascii="Book Antiqua" w:hAnsi="Book Antiqua"/>
              </w:rPr>
              <w:t>others</w:t>
            </w:r>
            <w:r w:rsidR="00CF1A02" w:rsidRPr="00CF1A02">
              <w:rPr>
                <w:rFonts w:ascii="Book Antiqua" w:hAnsi="Book Antiqua"/>
                <w:vertAlign w:val="superscript"/>
              </w:rPr>
              <w:t>1</w:t>
            </w:r>
          </w:p>
        </w:tc>
        <w:tc>
          <w:tcPr>
            <w:tcW w:w="2268" w:type="dxa"/>
          </w:tcPr>
          <w:p w14:paraId="545CA08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78 (72.2%)</w:t>
            </w:r>
          </w:p>
        </w:tc>
        <w:tc>
          <w:tcPr>
            <w:tcW w:w="1701" w:type="dxa"/>
          </w:tcPr>
          <w:p w14:paraId="0086E96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20 (74.1%)</w:t>
            </w:r>
          </w:p>
        </w:tc>
        <w:tc>
          <w:tcPr>
            <w:tcW w:w="1559" w:type="dxa"/>
          </w:tcPr>
          <w:p w14:paraId="52B5F601"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4D0C3D5" w14:textId="77777777" w:rsidTr="00CF1A02">
        <w:trPr>
          <w:trHeight w:val="454"/>
        </w:trPr>
        <w:tc>
          <w:tcPr>
            <w:tcW w:w="3090" w:type="dxa"/>
          </w:tcPr>
          <w:p w14:paraId="2F38634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Lymphovascular invasion</w:t>
            </w:r>
          </w:p>
        </w:tc>
        <w:tc>
          <w:tcPr>
            <w:tcW w:w="2268" w:type="dxa"/>
          </w:tcPr>
          <w:p w14:paraId="214608D8"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Pr>
          <w:p w14:paraId="16CDFCB8" w14:textId="77777777" w:rsidR="009F6668" w:rsidRPr="00CF1A02" w:rsidRDefault="009F6668" w:rsidP="00CF1A02">
            <w:pPr>
              <w:adjustRightInd w:val="0"/>
              <w:snapToGrid w:val="0"/>
              <w:spacing w:line="360" w:lineRule="auto"/>
              <w:jc w:val="both"/>
              <w:rPr>
                <w:rFonts w:ascii="Book Antiqua" w:hAnsi="Book Antiqua"/>
              </w:rPr>
            </w:pPr>
          </w:p>
        </w:tc>
        <w:tc>
          <w:tcPr>
            <w:tcW w:w="1559" w:type="dxa"/>
          </w:tcPr>
          <w:p w14:paraId="7764E5C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0.034</w:t>
            </w:r>
          </w:p>
        </w:tc>
      </w:tr>
      <w:tr w:rsidR="009F6668" w:rsidRPr="00CF1A02" w14:paraId="6DCF1918" w14:textId="77777777" w:rsidTr="00CF1A02">
        <w:trPr>
          <w:trHeight w:val="454"/>
        </w:trPr>
        <w:tc>
          <w:tcPr>
            <w:tcW w:w="3090" w:type="dxa"/>
          </w:tcPr>
          <w:p w14:paraId="07F5C4F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No</w:t>
            </w:r>
          </w:p>
        </w:tc>
        <w:tc>
          <w:tcPr>
            <w:tcW w:w="2268" w:type="dxa"/>
          </w:tcPr>
          <w:p w14:paraId="7A929BB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88 (81.5%)</w:t>
            </w:r>
          </w:p>
        </w:tc>
        <w:tc>
          <w:tcPr>
            <w:tcW w:w="1701" w:type="dxa"/>
          </w:tcPr>
          <w:p w14:paraId="656D713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27 (100%)</w:t>
            </w:r>
          </w:p>
        </w:tc>
        <w:tc>
          <w:tcPr>
            <w:tcW w:w="1559" w:type="dxa"/>
          </w:tcPr>
          <w:p w14:paraId="329DE10A"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031A14F5" w14:textId="77777777" w:rsidTr="00CF1A02">
        <w:trPr>
          <w:trHeight w:val="454"/>
        </w:trPr>
        <w:tc>
          <w:tcPr>
            <w:tcW w:w="3090" w:type="dxa"/>
          </w:tcPr>
          <w:p w14:paraId="3D028D1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Yes</w:t>
            </w:r>
          </w:p>
        </w:tc>
        <w:tc>
          <w:tcPr>
            <w:tcW w:w="2268" w:type="dxa"/>
          </w:tcPr>
          <w:p w14:paraId="25EC012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20 (18.5%)</w:t>
            </w:r>
          </w:p>
        </w:tc>
        <w:tc>
          <w:tcPr>
            <w:tcW w:w="1701" w:type="dxa"/>
          </w:tcPr>
          <w:p w14:paraId="69F40AE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559" w:type="dxa"/>
          </w:tcPr>
          <w:p w14:paraId="5254324A"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02992ABB" w14:textId="77777777" w:rsidTr="00CF1A02">
        <w:trPr>
          <w:trHeight w:val="454"/>
        </w:trPr>
        <w:tc>
          <w:tcPr>
            <w:tcW w:w="3090" w:type="dxa"/>
          </w:tcPr>
          <w:p w14:paraId="1AA2A6D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Perineural invasion</w:t>
            </w:r>
          </w:p>
        </w:tc>
        <w:tc>
          <w:tcPr>
            <w:tcW w:w="2268" w:type="dxa"/>
          </w:tcPr>
          <w:p w14:paraId="6CE7438C"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Pr>
          <w:p w14:paraId="7F17409A" w14:textId="77777777" w:rsidR="009F6668" w:rsidRPr="00CF1A02" w:rsidRDefault="009F6668" w:rsidP="00CF1A02">
            <w:pPr>
              <w:adjustRightInd w:val="0"/>
              <w:snapToGrid w:val="0"/>
              <w:spacing w:line="360" w:lineRule="auto"/>
              <w:jc w:val="both"/>
              <w:rPr>
                <w:rFonts w:ascii="Book Antiqua" w:hAnsi="Book Antiqua"/>
              </w:rPr>
            </w:pPr>
          </w:p>
        </w:tc>
        <w:tc>
          <w:tcPr>
            <w:tcW w:w="1559" w:type="dxa"/>
          </w:tcPr>
          <w:p w14:paraId="3A163FC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0.151</w:t>
            </w:r>
          </w:p>
        </w:tc>
      </w:tr>
      <w:tr w:rsidR="009F6668" w:rsidRPr="00CF1A02" w14:paraId="3CEC1528" w14:textId="77777777" w:rsidTr="00CF1A02">
        <w:trPr>
          <w:trHeight w:val="454"/>
        </w:trPr>
        <w:tc>
          <w:tcPr>
            <w:tcW w:w="3090" w:type="dxa"/>
          </w:tcPr>
          <w:p w14:paraId="49090A5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No</w:t>
            </w:r>
          </w:p>
        </w:tc>
        <w:tc>
          <w:tcPr>
            <w:tcW w:w="2268" w:type="dxa"/>
          </w:tcPr>
          <w:p w14:paraId="7ADDC31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96 (88.9%)</w:t>
            </w:r>
          </w:p>
        </w:tc>
        <w:tc>
          <w:tcPr>
            <w:tcW w:w="1701" w:type="dxa"/>
          </w:tcPr>
          <w:p w14:paraId="2891DE9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27 (100%)</w:t>
            </w:r>
          </w:p>
        </w:tc>
        <w:tc>
          <w:tcPr>
            <w:tcW w:w="1559" w:type="dxa"/>
          </w:tcPr>
          <w:p w14:paraId="7F13FD5F"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56092FD6" w14:textId="77777777" w:rsidTr="00CF1A02">
        <w:trPr>
          <w:trHeight w:val="454"/>
        </w:trPr>
        <w:tc>
          <w:tcPr>
            <w:tcW w:w="3090" w:type="dxa"/>
          </w:tcPr>
          <w:p w14:paraId="47F46BE2"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Yes</w:t>
            </w:r>
          </w:p>
        </w:tc>
        <w:tc>
          <w:tcPr>
            <w:tcW w:w="2268" w:type="dxa"/>
          </w:tcPr>
          <w:p w14:paraId="06DB9A7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12 (11.1%)</w:t>
            </w:r>
          </w:p>
        </w:tc>
        <w:tc>
          <w:tcPr>
            <w:tcW w:w="1701" w:type="dxa"/>
          </w:tcPr>
          <w:p w14:paraId="31C1872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559" w:type="dxa"/>
          </w:tcPr>
          <w:p w14:paraId="686A6DF5" w14:textId="77777777" w:rsidR="009F6668" w:rsidRPr="00CF1A02" w:rsidRDefault="009F6668" w:rsidP="00CF1A02">
            <w:pPr>
              <w:adjustRightInd w:val="0"/>
              <w:snapToGrid w:val="0"/>
              <w:spacing w:line="360" w:lineRule="auto"/>
              <w:jc w:val="both"/>
              <w:rPr>
                <w:rFonts w:ascii="Book Antiqua" w:hAnsi="Book Antiqua"/>
              </w:rPr>
            </w:pPr>
          </w:p>
        </w:tc>
      </w:tr>
    </w:tbl>
    <w:p w14:paraId="397D0ACC" w14:textId="5042AF12" w:rsidR="009F6668" w:rsidRPr="00CF1A02" w:rsidRDefault="00CF1A02" w:rsidP="00CF1A02">
      <w:pPr>
        <w:adjustRightInd w:val="0"/>
        <w:snapToGrid w:val="0"/>
        <w:spacing w:line="360" w:lineRule="auto"/>
        <w:jc w:val="both"/>
        <w:rPr>
          <w:rFonts w:ascii="Book Antiqua" w:hAnsi="Book Antiqua"/>
        </w:rPr>
      </w:pPr>
      <w:r w:rsidRPr="00CF1A02">
        <w:rPr>
          <w:rFonts w:ascii="Book Antiqua" w:hAnsi="Book Antiqua"/>
          <w:vertAlign w:val="superscript"/>
        </w:rPr>
        <w:t>1</w:t>
      </w:r>
      <w:r w:rsidRPr="00CF1A02">
        <w:rPr>
          <w:rFonts w:ascii="Book Antiqua" w:hAnsi="Book Antiqua"/>
        </w:rPr>
        <w:t>M</w:t>
      </w:r>
      <w:r w:rsidR="009F6668" w:rsidRPr="00CF1A02">
        <w:rPr>
          <w:rFonts w:ascii="Book Antiqua" w:hAnsi="Book Antiqua"/>
        </w:rPr>
        <w:t>ucinous, signet ring cell, pCR: Pathologic complete response; CRT: Chemoradiotherapy; SD: Standard deviation; CEA: Carcinoembryonic antigen; TNM: Tum</w:t>
      </w:r>
      <w:r w:rsidR="00624AEE" w:rsidRPr="00CF1A02">
        <w:rPr>
          <w:rFonts w:ascii="Book Antiqua" w:hAnsi="Book Antiqua"/>
        </w:rPr>
        <w:t>or node me</w:t>
      </w:r>
      <w:r w:rsidR="009F6668" w:rsidRPr="00CF1A02">
        <w:rPr>
          <w:rFonts w:ascii="Book Antiqua" w:hAnsi="Book Antiqua"/>
        </w:rPr>
        <w:t>tastasis</w:t>
      </w:r>
      <w:r w:rsidR="00A21739" w:rsidRPr="00CF1A02">
        <w:rPr>
          <w:rFonts w:ascii="Book Antiqua" w:hAnsi="Book Antiqua"/>
        </w:rPr>
        <w:t>.</w:t>
      </w:r>
    </w:p>
    <w:p w14:paraId="3A80F6D0"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lang w:eastAsia="zh-CN"/>
        </w:rPr>
        <w:br w:type="page"/>
      </w:r>
      <w:r w:rsidRPr="00CF1A02">
        <w:rPr>
          <w:rFonts w:ascii="Book Antiqua" w:hAnsi="Book Antiqua"/>
          <w:b/>
        </w:rPr>
        <w:t>Table 6 Multivariate analysis for prognostic markers to predict the response to the chemoradiotherapy</w:t>
      </w:r>
    </w:p>
    <w:tbl>
      <w:tblPr>
        <w:tblW w:w="9069" w:type="dxa"/>
        <w:tblBorders>
          <w:top w:val="single" w:sz="4" w:space="0" w:color="auto"/>
          <w:bottom w:val="single" w:sz="4" w:space="0" w:color="auto"/>
        </w:tblBorders>
        <w:tblLayout w:type="fixed"/>
        <w:tblLook w:val="04A0" w:firstRow="1" w:lastRow="0" w:firstColumn="1" w:lastColumn="0" w:noHBand="0" w:noVBand="1"/>
      </w:tblPr>
      <w:tblGrid>
        <w:gridCol w:w="2518"/>
        <w:gridCol w:w="2126"/>
        <w:gridCol w:w="1134"/>
        <w:gridCol w:w="1985"/>
        <w:gridCol w:w="1306"/>
      </w:tblGrid>
      <w:tr w:rsidR="009F6668" w:rsidRPr="00CF1A02" w14:paraId="7B2378E3" w14:textId="77777777" w:rsidTr="00CF1A02">
        <w:trPr>
          <w:trHeight w:val="454"/>
        </w:trPr>
        <w:tc>
          <w:tcPr>
            <w:tcW w:w="2518" w:type="dxa"/>
            <w:vMerge w:val="restart"/>
            <w:tcBorders>
              <w:top w:val="single" w:sz="4" w:space="0" w:color="auto"/>
              <w:bottom w:val="single" w:sz="4" w:space="0" w:color="auto"/>
            </w:tcBorders>
          </w:tcPr>
          <w:p w14:paraId="00896FFE" w14:textId="77777777" w:rsidR="009F6668" w:rsidRPr="00CF1A02" w:rsidRDefault="009F6668" w:rsidP="00CF1A02">
            <w:pPr>
              <w:adjustRightInd w:val="0"/>
              <w:snapToGrid w:val="0"/>
              <w:spacing w:line="360" w:lineRule="auto"/>
              <w:jc w:val="both"/>
              <w:rPr>
                <w:rFonts w:ascii="Book Antiqua" w:hAnsi="Book Antiqua"/>
                <w:b/>
              </w:rPr>
            </w:pPr>
          </w:p>
        </w:tc>
        <w:tc>
          <w:tcPr>
            <w:tcW w:w="3260" w:type="dxa"/>
            <w:gridSpan w:val="2"/>
            <w:tcBorders>
              <w:top w:val="single" w:sz="4" w:space="0" w:color="auto"/>
              <w:bottom w:val="single" w:sz="4" w:space="0" w:color="auto"/>
            </w:tcBorders>
            <w:vAlign w:val="center"/>
          </w:tcPr>
          <w:p w14:paraId="339A225D"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Pathologic complete response</w:t>
            </w:r>
          </w:p>
        </w:tc>
        <w:tc>
          <w:tcPr>
            <w:tcW w:w="3291" w:type="dxa"/>
            <w:gridSpan w:val="2"/>
            <w:tcBorders>
              <w:top w:val="single" w:sz="4" w:space="0" w:color="auto"/>
              <w:bottom w:val="single" w:sz="4" w:space="0" w:color="auto"/>
            </w:tcBorders>
            <w:vAlign w:val="center"/>
          </w:tcPr>
          <w:p w14:paraId="1A7E522E" w14:textId="40A650FA" w:rsidR="009F6668" w:rsidRPr="00CF1A02" w:rsidRDefault="00CF1A02" w:rsidP="00CF1A02">
            <w:pPr>
              <w:adjustRightInd w:val="0"/>
              <w:snapToGrid w:val="0"/>
              <w:spacing w:line="360" w:lineRule="auto"/>
              <w:jc w:val="both"/>
              <w:rPr>
                <w:rFonts w:ascii="Book Antiqua" w:hAnsi="Book Antiqua"/>
                <w:b/>
              </w:rPr>
            </w:pPr>
            <w:r w:rsidRPr="00CF1A02">
              <w:rPr>
                <w:rFonts w:ascii="Book Antiqua" w:hAnsi="Book Antiqua"/>
                <w:b/>
              </w:rPr>
              <w:t xml:space="preserve">Good response </w:t>
            </w:r>
            <w:r w:rsidR="009F6668" w:rsidRPr="00CF1A02">
              <w:rPr>
                <w:rFonts w:ascii="Book Antiqua" w:hAnsi="Book Antiqua"/>
                <w:b/>
              </w:rPr>
              <w:t>(TRG 0,1)</w:t>
            </w:r>
          </w:p>
        </w:tc>
      </w:tr>
      <w:tr w:rsidR="009F6668" w:rsidRPr="00CF1A02" w14:paraId="6931C4F9" w14:textId="77777777" w:rsidTr="00CF1A02">
        <w:trPr>
          <w:trHeight w:val="454"/>
        </w:trPr>
        <w:tc>
          <w:tcPr>
            <w:tcW w:w="2518" w:type="dxa"/>
            <w:vMerge/>
            <w:tcBorders>
              <w:top w:val="single" w:sz="4" w:space="0" w:color="auto"/>
              <w:bottom w:val="single" w:sz="4" w:space="0" w:color="auto"/>
            </w:tcBorders>
          </w:tcPr>
          <w:p w14:paraId="1AE195ED" w14:textId="77777777" w:rsidR="009F6668" w:rsidRPr="00CF1A02" w:rsidRDefault="009F6668" w:rsidP="00CF1A02">
            <w:pPr>
              <w:adjustRightInd w:val="0"/>
              <w:snapToGrid w:val="0"/>
              <w:spacing w:line="360" w:lineRule="auto"/>
              <w:jc w:val="both"/>
              <w:rPr>
                <w:rFonts w:ascii="Book Antiqua" w:hAnsi="Book Antiqua"/>
                <w:b/>
              </w:rPr>
            </w:pPr>
          </w:p>
        </w:tc>
        <w:tc>
          <w:tcPr>
            <w:tcW w:w="2126" w:type="dxa"/>
            <w:tcBorders>
              <w:top w:val="single" w:sz="4" w:space="0" w:color="auto"/>
              <w:bottom w:val="single" w:sz="4" w:space="0" w:color="auto"/>
            </w:tcBorders>
            <w:vAlign w:val="center"/>
          </w:tcPr>
          <w:p w14:paraId="5B416981" w14:textId="3028A29C" w:rsidR="009F6668" w:rsidRPr="00CF1A02" w:rsidRDefault="00CF1A02" w:rsidP="00CF1A02">
            <w:pPr>
              <w:adjustRightInd w:val="0"/>
              <w:snapToGrid w:val="0"/>
              <w:spacing w:line="360" w:lineRule="auto"/>
              <w:jc w:val="both"/>
              <w:rPr>
                <w:rFonts w:ascii="Book Antiqua" w:hAnsi="Book Antiqua"/>
                <w:b/>
              </w:rPr>
            </w:pPr>
            <w:r w:rsidRPr="00CF1A02">
              <w:rPr>
                <w:rFonts w:ascii="Book Antiqua" w:hAnsi="Book Antiqua"/>
                <w:b/>
              </w:rPr>
              <w:t>OR (95%</w:t>
            </w:r>
            <w:r w:rsidR="009F6668" w:rsidRPr="00CF1A02">
              <w:rPr>
                <w:rFonts w:ascii="Book Antiqua" w:hAnsi="Book Antiqua"/>
                <w:b/>
              </w:rPr>
              <w:t>CI)</w:t>
            </w:r>
          </w:p>
        </w:tc>
        <w:tc>
          <w:tcPr>
            <w:tcW w:w="1134" w:type="dxa"/>
            <w:tcBorders>
              <w:top w:val="single" w:sz="4" w:space="0" w:color="auto"/>
              <w:bottom w:val="single" w:sz="4" w:space="0" w:color="auto"/>
            </w:tcBorders>
            <w:vAlign w:val="center"/>
          </w:tcPr>
          <w:p w14:paraId="777973D8" w14:textId="65636C15"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i/>
              </w:rPr>
              <w:t>P</w:t>
            </w:r>
            <w:r w:rsidR="00CF1A02" w:rsidRPr="00CF1A02">
              <w:rPr>
                <w:rFonts w:ascii="Book Antiqua" w:hAnsi="Book Antiqua"/>
                <w:b/>
              </w:rPr>
              <w:t xml:space="preserve"> </w:t>
            </w:r>
            <w:r w:rsidRPr="00CF1A02">
              <w:rPr>
                <w:rFonts w:ascii="Book Antiqua" w:hAnsi="Book Antiqua"/>
                <w:b/>
              </w:rPr>
              <w:t>value</w:t>
            </w:r>
          </w:p>
        </w:tc>
        <w:tc>
          <w:tcPr>
            <w:tcW w:w="1985" w:type="dxa"/>
            <w:tcBorders>
              <w:top w:val="single" w:sz="4" w:space="0" w:color="auto"/>
              <w:bottom w:val="single" w:sz="4" w:space="0" w:color="auto"/>
            </w:tcBorders>
            <w:vAlign w:val="center"/>
          </w:tcPr>
          <w:p w14:paraId="095E1A96" w14:textId="68B9180D" w:rsidR="009F6668" w:rsidRPr="00CF1A02" w:rsidRDefault="00CF1A02" w:rsidP="00CF1A02">
            <w:pPr>
              <w:adjustRightInd w:val="0"/>
              <w:snapToGrid w:val="0"/>
              <w:spacing w:line="360" w:lineRule="auto"/>
              <w:jc w:val="both"/>
              <w:rPr>
                <w:rFonts w:ascii="Book Antiqua" w:hAnsi="Book Antiqua"/>
                <w:b/>
              </w:rPr>
            </w:pPr>
            <w:r w:rsidRPr="00CF1A02">
              <w:rPr>
                <w:rFonts w:ascii="Book Antiqua" w:hAnsi="Book Antiqua"/>
                <w:b/>
              </w:rPr>
              <w:t>OR (95%</w:t>
            </w:r>
            <w:r w:rsidR="009F6668" w:rsidRPr="00CF1A02">
              <w:rPr>
                <w:rFonts w:ascii="Book Antiqua" w:hAnsi="Book Antiqua"/>
                <w:b/>
              </w:rPr>
              <w:t>CI)</w:t>
            </w:r>
          </w:p>
        </w:tc>
        <w:tc>
          <w:tcPr>
            <w:tcW w:w="1306" w:type="dxa"/>
            <w:tcBorders>
              <w:top w:val="single" w:sz="4" w:space="0" w:color="auto"/>
              <w:bottom w:val="single" w:sz="4" w:space="0" w:color="auto"/>
            </w:tcBorders>
            <w:vAlign w:val="center"/>
          </w:tcPr>
          <w:p w14:paraId="7A2E9C5E" w14:textId="5FD7BBF5"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i/>
              </w:rPr>
              <w:t>P</w:t>
            </w:r>
            <w:r w:rsidR="00CF1A02" w:rsidRPr="00CF1A02">
              <w:rPr>
                <w:rFonts w:ascii="Book Antiqua" w:hAnsi="Book Antiqua"/>
                <w:b/>
                <w:i/>
              </w:rPr>
              <w:t xml:space="preserve"> </w:t>
            </w:r>
            <w:r w:rsidRPr="00CF1A02">
              <w:rPr>
                <w:rFonts w:ascii="Book Antiqua" w:hAnsi="Book Antiqua"/>
                <w:b/>
              </w:rPr>
              <w:t>value</w:t>
            </w:r>
          </w:p>
        </w:tc>
      </w:tr>
      <w:tr w:rsidR="009F6668" w:rsidRPr="00CF1A02" w14:paraId="76B79A56" w14:textId="77777777" w:rsidTr="00CF1A02">
        <w:trPr>
          <w:trHeight w:val="454"/>
        </w:trPr>
        <w:tc>
          <w:tcPr>
            <w:tcW w:w="2518" w:type="dxa"/>
            <w:tcBorders>
              <w:top w:val="single" w:sz="4" w:space="0" w:color="auto"/>
            </w:tcBorders>
          </w:tcPr>
          <w:p w14:paraId="355E63F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Sex (female </w:t>
            </w:r>
            <w:r w:rsidRPr="00CF1A02">
              <w:rPr>
                <w:rFonts w:ascii="Book Antiqua" w:hAnsi="Book Antiqua"/>
                <w:i/>
              </w:rPr>
              <w:t>vs</w:t>
            </w:r>
            <w:r w:rsidRPr="00CF1A02">
              <w:rPr>
                <w:rFonts w:ascii="Book Antiqua" w:hAnsi="Book Antiqua"/>
              </w:rPr>
              <w:t xml:space="preserve"> male)</w:t>
            </w:r>
          </w:p>
        </w:tc>
        <w:tc>
          <w:tcPr>
            <w:tcW w:w="2126" w:type="dxa"/>
            <w:tcBorders>
              <w:top w:val="single" w:sz="4" w:space="0" w:color="auto"/>
            </w:tcBorders>
            <w:vAlign w:val="center"/>
          </w:tcPr>
          <w:p w14:paraId="012ED17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0.26 (0.08–0.80)</w:t>
            </w:r>
          </w:p>
        </w:tc>
        <w:tc>
          <w:tcPr>
            <w:tcW w:w="1134" w:type="dxa"/>
            <w:tcBorders>
              <w:top w:val="single" w:sz="4" w:space="0" w:color="auto"/>
            </w:tcBorders>
            <w:vAlign w:val="center"/>
          </w:tcPr>
          <w:p w14:paraId="7C26223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0.022</w:t>
            </w:r>
          </w:p>
        </w:tc>
        <w:tc>
          <w:tcPr>
            <w:tcW w:w="1985" w:type="dxa"/>
            <w:tcBorders>
              <w:top w:val="single" w:sz="4" w:space="0" w:color="auto"/>
            </w:tcBorders>
            <w:vAlign w:val="center"/>
          </w:tcPr>
          <w:p w14:paraId="5DFC427F" w14:textId="77777777" w:rsidR="009F6668" w:rsidRPr="00CF1A02" w:rsidRDefault="009F6668" w:rsidP="00CF1A02">
            <w:pPr>
              <w:adjustRightInd w:val="0"/>
              <w:snapToGrid w:val="0"/>
              <w:spacing w:line="360" w:lineRule="auto"/>
              <w:jc w:val="both"/>
              <w:rPr>
                <w:rFonts w:ascii="Book Antiqua" w:hAnsi="Book Antiqua"/>
              </w:rPr>
            </w:pPr>
          </w:p>
        </w:tc>
        <w:tc>
          <w:tcPr>
            <w:tcW w:w="1306" w:type="dxa"/>
            <w:tcBorders>
              <w:top w:val="single" w:sz="4" w:space="0" w:color="auto"/>
            </w:tcBorders>
            <w:vAlign w:val="center"/>
          </w:tcPr>
          <w:p w14:paraId="318FDA54"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560B793" w14:textId="77777777" w:rsidTr="00CF1A02">
        <w:trPr>
          <w:trHeight w:val="454"/>
        </w:trPr>
        <w:tc>
          <w:tcPr>
            <w:tcW w:w="2518" w:type="dxa"/>
            <w:vAlign w:val="center"/>
          </w:tcPr>
          <w:p w14:paraId="7056F318" w14:textId="710107C2"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CEA</w:t>
            </w:r>
            <w:r w:rsidR="00CF1A02" w:rsidRPr="00CF1A02">
              <w:rPr>
                <w:rFonts w:ascii="Book Antiqua" w:hAnsi="Book Antiqua"/>
                <w:lang w:eastAsia="zh-CN"/>
              </w:rPr>
              <w:t xml:space="preserve"> </w:t>
            </w:r>
            <w:r w:rsidR="00CF1A02" w:rsidRPr="00CF1A02">
              <w:rPr>
                <w:rFonts w:ascii="Book Antiqua" w:hAnsi="Book Antiqua"/>
              </w:rPr>
              <w:t>(</w:t>
            </w:r>
            <w:r w:rsidRPr="00CF1A02">
              <w:rPr>
                <w:rFonts w:ascii="Book Antiqua" w:hAnsi="Book Antiqua"/>
              </w:rPr>
              <w:t xml:space="preserve">&gt; 5 </w:t>
            </w:r>
            <w:r w:rsidRPr="00CF1A02">
              <w:rPr>
                <w:rFonts w:ascii="Book Antiqua" w:hAnsi="Book Antiqua"/>
                <w:i/>
              </w:rPr>
              <w:t>vs</w:t>
            </w:r>
            <w:r w:rsidRPr="00CF1A02">
              <w:rPr>
                <w:rFonts w:ascii="Book Antiqua" w:hAnsi="Book Antiqua"/>
              </w:rPr>
              <w:t xml:space="preserve"> ≤</w:t>
            </w:r>
            <w:r w:rsidRPr="00CF1A02">
              <w:rPr>
                <w:rFonts w:ascii="Book Antiqua" w:hAnsi="Book Antiqua"/>
                <w:lang w:eastAsia="zh-CN"/>
              </w:rPr>
              <w:t xml:space="preserve"> </w:t>
            </w:r>
            <w:r w:rsidRPr="00CF1A02">
              <w:rPr>
                <w:rFonts w:ascii="Book Antiqua" w:hAnsi="Book Antiqua"/>
              </w:rPr>
              <w:t>5 ng/mL)</w:t>
            </w:r>
          </w:p>
        </w:tc>
        <w:tc>
          <w:tcPr>
            <w:tcW w:w="2126" w:type="dxa"/>
            <w:vAlign w:val="center"/>
          </w:tcPr>
          <w:p w14:paraId="52B8D9A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18.71 (4.62–129.51)</w:t>
            </w:r>
          </w:p>
        </w:tc>
        <w:tc>
          <w:tcPr>
            <w:tcW w:w="1134" w:type="dxa"/>
            <w:vAlign w:val="center"/>
          </w:tcPr>
          <w:p w14:paraId="1881BD5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&lt; 0.001</w:t>
            </w:r>
          </w:p>
        </w:tc>
        <w:tc>
          <w:tcPr>
            <w:tcW w:w="1985" w:type="dxa"/>
            <w:vAlign w:val="center"/>
          </w:tcPr>
          <w:p w14:paraId="4449BA3A" w14:textId="77777777" w:rsidR="009F6668" w:rsidRPr="00CF1A02" w:rsidRDefault="009F6668" w:rsidP="00CF1A02">
            <w:pPr>
              <w:adjustRightInd w:val="0"/>
              <w:snapToGrid w:val="0"/>
              <w:spacing w:line="360" w:lineRule="auto"/>
              <w:jc w:val="both"/>
              <w:rPr>
                <w:rFonts w:ascii="Book Antiqua" w:hAnsi="Book Antiqua"/>
              </w:rPr>
            </w:pPr>
          </w:p>
        </w:tc>
        <w:tc>
          <w:tcPr>
            <w:tcW w:w="1306" w:type="dxa"/>
            <w:vAlign w:val="center"/>
          </w:tcPr>
          <w:p w14:paraId="5B7A1411"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4FD0E1B9" w14:textId="77777777" w:rsidTr="00CF1A02">
        <w:trPr>
          <w:trHeight w:val="454"/>
        </w:trPr>
        <w:tc>
          <w:tcPr>
            <w:tcW w:w="2518" w:type="dxa"/>
            <w:vAlign w:val="center"/>
          </w:tcPr>
          <w:p w14:paraId="4103DC4D" w14:textId="356D6835"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Pre-CRT NLR </w:t>
            </w:r>
            <w:r w:rsidR="00CF1A02" w:rsidRPr="00CF1A02">
              <w:rPr>
                <w:rFonts w:ascii="Book Antiqua" w:hAnsi="Book Antiqua"/>
              </w:rPr>
              <w:t>(</w:t>
            </w:r>
            <w:r w:rsidRPr="00CF1A02">
              <w:rPr>
                <w:rFonts w:ascii="Book Antiqua" w:hAnsi="Book Antiqua"/>
              </w:rPr>
              <w:t xml:space="preserve">≥ 2.8 </w:t>
            </w:r>
            <w:r w:rsidRPr="00CF1A02">
              <w:rPr>
                <w:rFonts w:ascii="Book Antiqua" w:hAnsi="Book Antiqua"/>
                <w:i/>
              </w:rPr>
              <w:t>vs</w:t>
            </w:r>
            <w:r w:rsidRPr="00CF1A02">
              <w:rPr>
                <w:rFonts w:ascii="Book Antiqua" w:hAnsi="Book Antiqua"/>
              </w:rPr>
              <w:t xml:space="preserve"> &lt; 2.8)</w:t>
            </w:r>
          </w:p>
        </w:tc>
        <w:tc>
          <w:tcPr>
            <w:tcW w:w="2126" w:type="dxa"/>
            <w:vAlign w:val="center"/>
          </w:tcPr>
          <w:p w14:paraId="4C27424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5.27 (1.55–22.55)</w:t>
            </w:r>
          </w:p>
        </w:tc>
        <w:tc>
          <w:tcPr>
            <w:tcW w:w="1134" w:type="dxa"/>
            <w:vAlign w:val="center"/>
          </w:tcPr>
          <w:p w14:paraId="192567A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0.013</w:t>
            </w:r>
          </w:p>
        </w:tc>
        <w:tc>
          <w:tcPr>
            <w:tcW w:w="1985" w:type="dxa"/>
            <w:vAlign w:val="center"/>
          </w:tcPr>
          <w:p w14:paraId="4B05E8F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2.82 (1.27–6.48)</w:t>
            </w:r>
          </w:p>
        </w:tc>
        <w:tc>
          <w:tcPr>
            <w:tcW w:w="1306" w:type="dxa"/>
            <w:vAlign w:val="center"/>
          </w:tcPr>
          <w:p w14:paraId="3CC795F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0.013</w:t>
            </w:r>
          </w:p>
        </w:tc>
      </w:tr>
      <w:tr w:rsidR="009F6668" w:rsidRPr="00CF1A02" w14:paraId="2D110DFD" w14:textId="77777777" w:rsidTr="00CF1A02">
        <w:trPr>
          <w:trHeight w:val="454"/>
        </w:trPr>
        <w:tc>
          <w:tcPr>
            <w:tcW w:w="2518" w:type="dxa"/>
            <w:vAlign w:val="center"/>
          </w:tcPr>
          <w:p w14:paraId="3DE6F79A" w14:textId="10E37CE8"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Post-CRT CEA </w:t>
            </w:r>
            <w:r w:rsidR="00CF1A02" w:rsidRPr="00CF1A02">
              <w:rPr>
                <w:rFonts w:ascii="Book Antiqua" w:hAnsi="Book Antiqua"/>
              </w:rPr>
              <w:t>(</w:t>
            </w:r>
            <w:r w:rsidRPr="00CF1A02">
              <w:rPr>
                <w:rFonts w:ascii="Book Antiqua" w:hAnsi="Book Antiqua"/>
              </w:rPr>
              <w:t xml:space="preserve">&gt; 5 </w:t>
            </w:r>
            <w:r w:rsidRPr="00CF1A02">
              <w:rPr>
                <w:rFonts w:ascii="Book Antiqua" w:hAnsi="Book Antiqua"/>
                <w:i/>
              </w:rPr>
              <w:t>vs</w:t>
            </w:r>
            <w:r w:rsidRPr="00CF1A02">
              <w:rPr>
                <w:rFonts w:ascii="Book Antiqua" w:hAnsi="Book Antiqua"/>
              </w:rPr>
              <w:t xml:space="preserve"> ≤</w:t>
            </w:r>
            <w:r w:rsidRPr="00CF1A02">
              <w:rPr>
                <w:rFonts w:ascii="Book Antiqua" w:hAnsi="Book Antiqua"/>
                <w:lang w:eastAsia="zh-CN"/>
              </w:rPr>
              <w:t xml:space="preserve"> </w:t>
            </w:r>
            <w:r w:rsidRPr="00CF1A02">
              <w:rPr>
                <w:rFonts w:ascii="Book Antiqua" w:hAnsi="Book Antiqua"/>
              </w:rPr>
              <w:t>5 ng/mL)</w:t>
            </w:r>
          </w:p>
        </w:tc>
        <w:tc>
          <w:tcPr>
            <w:tcW w:w="2126" w:type="dxa"/>
            <w:vAlign w:val="center"/>
          </w:tcPr>
          <w:p w14:paraId="60B5A663" w14:textId="77777777" w:rsidR="009F6668" w:rsidRPr="00CF1A02" w:rsidRDefault="009F6668" w:rsidP="00CF1A02">
            <w:pPr>
              <w:adjustRightInd w:val="0"/>
              <w:snapToGrid w:val="0"/>
              <w:spacing w:line="360" w:lineRule="auto"/>
              <w:jc w:val="both"/>
              <w:rPr>
                <w:rFonts w:ascii="Book Antiqua" w:hAnsi="Book Antiqua"/>
              </w:rPr>
            </w:pPr>
          </w:p>
        </w:tc>
        <w:tc>
          <w:tcPr>
            <w:tcW w:w="1134" w:type="dxa"/>
            <w:vAlign w:val="center"/>
          </w:tcPr>
          <w:p w14:paraId="33BCFCD5" w14:textId="77777777" w:rsidR="009F6668" w:rsidRPr="00CF1A02" w:rsidRDefault="009F6668" w:rsidP="00CF1A02">
            <w:pPr>
              <w:adjustRightInd w:val="0"/>
              <w:snapToGrid w:val="0"/>
              <w:spacing w:line="360" w:lineRule="auto"/>
              <w:jc w:val="both"/>
              <w:rPr>
                <w:rFonts w:ascii="Book Antiqua" w:hAnsi="Book Antiqua"/>
              </w:rPr>
            </w:pPr>
          </w:p>
        </w:tc>
        <w:tc>
          <w:tcPr>
            <w:tcW w:w="1985" w:type="dxa"/>
            <w:vAlign w:val="center"/>
          </w:tcPr>
          <w:p w14:paraId="743C3B3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5.07 (1.92–14.83)</w:t>
            </w:r>
          </w:p>
        </w:tc>
        <w:tc>
          <w:tcPr>
            <w:tcW w:w="1306" w:type="dxa"/>
            <w:vAlign w:val="center"/>
          </w:tcPr>
          <w:p w14:paraId="45B7890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0.002</w:t>
            </w:r>
          </w:p>
        </w:tc>
      </w:tr>
      <w:tr w:rsidR="009F6668" w:rsidRPr="00CF1A02" w14:paraId="654D775E" w14:textId="77777777" w:rsidTr="00CF1A02">
        <w:trPr>
          <w:trHeight w:val="454"/>
        </w:trPr>
        <w:tc>
          <w:tcPr>
            <w:tcW w:w="2518" w:type="dxa"/>
            <w:vAlign w:val="center"/>
          </w:tcPr>
          <w:p w14:paraId="3088CEEF" w14:textId="60C8F980"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Post-CRT T stage</w:t>
            </w:r>
            <w:r w:rsidR="00CF1A02" w:rsidRPr="00CF1A02">
              <w:rPr>
                <w:rFonts w:ascii="Book Antiqua" w:hAnsi="Book Antiqua"/>
                <w:lang w:eastAsia="zh-CN"/>
              </w:rPr>
              <w:t xml:space="preserve"> </w:t>
            </w:r>
            <w:r w:rsidR="00CF1A02" w:rsidRPr="00CF1A02">
              <w:rPr>
                <w:rFonts w:ascii="Book Antiqua" w:hAnsi="Book Antiqua"/>
              </w:rPr>
              <w:t>(</w:t>
            </w:r>
            <w:r w:rsidRPr="00CF1A02">
              <w:rPr>
                <w:rFonts w:ascii="Book Antiqua" w:hAnsi="Book Antiqua"/>
              </w:rPr>
              <w:t>≥</w:t>
            </w:r>
            <w:r w:rsidRPr="00CF1A02">
              <w:rPr>
                <w:rFonts w:ascii="Book Antiqua" w:hAnsi="Book Antiqua"/>
                <w:lang w:eastAsia="zh-CN"/>
              </w:rPr>
              <w:t xml:space="preserve"> </w:t>
            </w:r>
            <w:r w:rsidRPr="00CF1A02">
              <w:rPr>
                <w:rFonts w:ascii="Book Antiqua" w:hAnsi="Book Antiqua"/>
              </w:rPr>
              <w:t xml:space="preserve">T3 </w:t>
            </w:r>
            <w:r w:rsidRPr="00CF1A02">
              <w:rPr>
                <w:rFonts w:ascii="Book Antiqua" w:hAnsi="Book Antiqua"/>
                <w:i/>
              </w:rPr>
              <w:t>vs</w:t>
            </w:r>
            <w:r w:rsidRPr="00CF1A02">
              <w:rPr>
                <w:rFonts w:ascii="Book Antiqua" w:hAnsi="Book Antiqua"/>
              </w:rPr>
              <w:t xml:space="preserve"> &lt; T3)</w:t>
            </w:r>
          </w:p>
        </w:tc>
        <w:tc>
          <w:tcPr>
            <w:tcW w:w="2126" w:type="dxa"/>
            <w:vAlign w:val="center"/>
          </w:tcPr>
          <w:p w14:paraId="0B776F5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3.25 (1.09–9.97)</w:t>
            </w:r>
          </w:p>
        </w:tc>
        <w:tc>
          <w:tcPr>
            <w:tcW w:w="1134" w:type="dxa"/>
            <w:vAlign w:val="center"/>
          </w:tcPr>
          <w:p w14:paraId="7FF7E04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0.036</w:t>
            </w:r>
          </w:p>
        </w:tc>
        <w:tc>
          <w:tcPr>
            <w:tcW w:w="1985" w:type="dxa"/>
            <w:vAlign w:val="center"/>
          </w:tcPr>
          <w:p w14:paraId="6364FFE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3.28 (1.23–9.90)</w:t>
            </w:r>
          </w:p>
        </w:tc>
        <w:tc>
          <w:tcPr>
            <w:tcW w:w="1306" w:type="dxa"/>
            <w:vAlign w:val="center"/>
          </w:tcPr>
          <w:p w14:paraId="34BA2C9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0.023</w:t>
            </w:r>
          </w:p>
        </w:tc>
      </w:tr>
      <w:tr w:rsidR="009F6668" w:rsidRPr="00CF1A02" w14:paraId="12C53C99" w14:textId="77777777" w:rsidTr="00CF1A02">
        <w:trPr>
          <w:trHeight w:val="454"/>
        </w:trPr>
        <w:tc>
          <w:tcPr>
            <w:tcW w:w="2518" w:type="dxa"/>
            <w:vAlign w:val="center"/>
          </w:tcPr>
          <w:p w14:paraId="798FE1A5" w14:textId="31F3D4D9"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Postop differentiation</w:t>
            </w:r>
            <w:r w:rsidR="00CF1A02" w:rsidRPr="00CF1A02">
              <w:rPr>
                <w:rFonts w:ascii="Book Antiqua" w:hAnsi="Book Antiqua"/>
                <w:lang w:eastAsia="zh-CN"/>
              </w:rPr>
              <w:t xml:space="preserve"> </w:t>
            </w:r>
            <w:r w:rsidR="00CF1A02" w:rsidRPr="00CF1A02">
              <w:rPr>
                <w:rFonts w:ascii="Book Antiqua" w:hAnsi="Book Antiqua"/>
              </w:rPr>
              <w:t>(poorly</w:t>
            </w:r>
            <w:r w:rsidR="00CF1A02" w:rsidRPr="00CF1A02">
              <w:rPr>
                <w:rFonts w:ascii="Book Antiqua" w:hAnsi="Book Antiqua"/>
                <w:vertAlign w:val="superscript"/>
              </w:rPr>
              <w:t>1</w:t>
            </w:r>
            <w:r w:rsidRPr="00CF1A02">
              <w:rPr>
                <w:rFonts w:ascii="Book Antiqua" w:hAnsi="Book Antiqua"/>
              </w:rPr>
              <w:t xml:space="preserve"> </w:t>
            </w:r>
            <w:r w:rsidRPr="00CF1A02">
              <w:rPr>
                <w:rFonts w:ascii="Book Antiqua" w:hAnsi="Book Antiqua"/>
                <w:i/>
              </w:rPr>
              <w:t>vs</w:t>
            </w:r>
            <w:r w:rsidRPr="00CF1A02">
              <w:rPr>
                <w:rFonts w:ascii="Book Antiqua" w:hAnsi="Book Antiqua"/>
              </w:rPr>
              <w:t xml:space="preserve"> well-mod.)</w:t>
            </w:r>
          </w:p>
        </w:tc>
        <w:tc>
          <w:tcPr>
            <w:tcW w:w="2126" w:type="dxa"/>
            <w:vAlign w:val="center"/>
          </w:tcPr>
          <w:p w14:paraId="1FD06EE7" w14:textId="77777777" w:rsidR="009F6668" w:rsidRPr="00CF1A02" w:rsidRDefault="009F6668" w:rsidP="00CF1A02">
            <w:pPr>
              <w:adjustRightInd w:val="0"/>
              <w:snapToGrid w:val="0"/>
              <w:spacing w:line="360" w:lineRule="auto"/>
              <w:jc w:val="both"/>
              <w:rPr>
                <w:rFonts w:ascii="Book Antiqua" w:hAnsi="Book Antiqua"/>
              </w:rPr>
            </w:pPr>
          </w:p>
        </w:tc>
        <w:tc>
          <w:tcPr>
            <w:tcW w:w="1134" w:type="dxa"/>
            <w:vAlign w:val="center"/>
          </w:tcPr>
          <w:p w14:paraId="1A3B666B" w14:textId="77777777" w:rsidR="009F6668" w:rsidRPr="00CF1A02" w:rsidRDefault="009F6668" w:rsidP="00CF1A02">
            <w:pPr>
              <w:adjustRightInd w:val="0"/>
              <w:snapToGrid w:val="0"/>
              <w:spacing w:line="360" w:lineRule="auto"/>
              <w:jc w:val="both"/>
              <w:rPr>
                <w:rFonts w:ascii="Book Antiqua" w:hAnsi="Book Antiqua"/>
              </w:rPr>
            </w:pPr>
          </w:p>
        </w:tc>
        <w:tc>
          <w:tcPr>
            <w:tcW w:w="1985" w:type="dxa"/>
            <w:vAlign w:val="center"/>
          </w:tcPr>
          <w:p w14:paraId="73D4C9D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3.41 (1.35–9.48)</w:t>
            </w:r>
          </w:p>
        </w:tc>
        <w:tc>
          <w:tcPr>
            <w:tcW w:w="1306" w:type="dxa"/>
            <w:vAlign w:val="center"/>
          </w:tcPr>
          <w:p w14:paraId="454F6AE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0.013</w:t>
            </w:r>
          </w:p>
        </w:tc>
      </w:tr>
    </w:tbl>
    <w:p w14:paraId="231C73E2" w14:textId="7BDC32CA" w:rsidR="003F4D3A" w:rsidRPr="00CF1A02" w:rsidRDefault="00CF1A02" w:rsidP="00CF1A02">
      <w:pPr>
        <w:adjustRightInd w:val="0"/>
        <w:snapToGrid w:val="0"/>
        <w:spacing w:line="360" w:lineRule="auto"/>
        <w:jc w:val="both"/>
        <w:rPr>
          <w:rFonts w:ascii="Book Antiqua" w:hAnsi="Book Antiqua"/>
        </w:rPr>
      </w:pPr>
      <w:r w:rsidRPr="00CF1A02">
        <w:rPr>
          <w:rFonts w:ascii="Book Antiqua" w:hAnsi="Book Antiqua"/>
          <w:vertAlign w:val="superscript"/>
        </w:rPr>
        <w:t>1</w:t>
      </w:r>
      <w:r w:rsidRPr="00CF1A02">
        <w:rPr>
          <w:rFonts w:ascii="Book Antiqua" w:hAnsi="Book Antiqua"/>
        </w:rPr>
        <w:t>Mucinous</w:t>
      </w:r>
      <w:r w:rsidR="009F6668" w:rsidRPr="00CF1A02">
        <w:rPr>
          <w:rFonts w:ascii="Book Antiqua" w:hAnsi="Book Antiqua"/>
        </w:rPr>
        <w:t>, signet ring cell, OR: Odds ratio; CI: Confidence interval; TRG: Tumor regression grade;</w:t>
      </w:r>
      <w:r w:rsidR="009F6668" w:rsidRPr="00CF1A02" w:rsidDel="005736F7">
        <w:rPr>
          <w:rFonts w:ascii="Book Antiqua" w:hAnsi="Book Antiqua"/>
        </w:rPr>
        <w:t xml:space="preserve"> </w:t>
      </w:r>
      <w:r w:rsidR="009F6668" w:rsidRPr="00CF1A02">
        <w:rPr>
          <w:rFonts w:ascii="Book Antiqua" w:hAnsi="Book Antiqua"/>
        </w:rPr>
        <w:t xml:space="preserve">CRT: </w:t>
      </w:r>
      <w:r w:rsidR="008622CB" w:rsidRPr="00CF1A02">
        <w:rPr>
          <w:rFonts w:ascii="Book Antiqua" w:hAnsi="Book Antiqua"/>
        </w:rPr>
        <w:t>C</w:t>
      </w:r>
      <w:r w:rsidR="009F6668" w:rsidRPr="00CF1A02">
        <w:rPr>
          <w:rFonts w:ascii="Book Antiqua" w:hAnsi="Book Antiqua"/>
        </w:rPr>
        <w:t>hemoradiotherapy; CEA: Carcinoembryonic antigen; NLR: Neutrophil–lymphocyte ratio</w:t>
      </w:r>
      <w:r w:rsidR="007E477E" w:rsidRPr="00CF1A02">
        <w:rPr>
          <w:rFonts w:ascii="Book Antiqua" w:hAnsi="Book Antiqua"/>
        </w:rPr>
        <w:t>.</w:t>
      </w:r>
    </w:p>
    <w:sectPr w:rsidR="003F4D3A" w:rsidRPr="00CF1A02" w:rsidSect="00266F1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09D69" w14:textId="77777777" w:rsidR="00244E3C" w:rsidRDefault="00244E3C" w:rsidP="00F3109D">
      <w:r>
        <w:separator/>
      </w:r>
    </w:p>
  </w:endnote>
  <w:endnote w:type="continuationSeparator" w:id="0">
    <w:p w14:paraId="6DF343B2" w14:textId="77777777" w:rsidR="00244E3C" w:rsidRDefault="00244E3C" w:rsidP="00F3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197961"/>
      <w:docPartObj>
        <w:docPartGallery w:val="Page Numbers (Bottom of Page)"/>
        <w:docPartUnique/>
      </w:docPartObj>
    </w:sdtPr>
    <w:sdtEndPr/>
    <w:sdtContent>
      <w:sdt>
        <w:sdtPr>
          <w:id w:val="-1769616900"/>
          <w:docPartObj>
            <w:docPartGallery w:val="Page Numbers (Top of Page)"/>
            <w:docPartUnique/>
          </w:docPartObj>
        </w:sdtPr>
        <w:sdtEndPr/>
        <w:sdtContent>
          <w:p w14:paraId="34A0248E" w14:textId="77777777" w:rsidR="005D588C" w:rsidRDefault="005D588C">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44E3C">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44E3C">
              <w:rPr>
                <w:b/>
                <w:bCs/>
                <w:noProof/>
              </w:rPr>
              <w:t>1</w:t>
            </w:r>
            <w:r>
              <w:rPr>
                <w:b/>
                <w:bCs/>
                <w:sz w:val="24"/>
                <w:szCs w:val="24"/>
              </w:rPr>
              <w:fldChar w:fldCharType="end"/>
            </w:r>
          </w:p>
        </w:sdtContent>
      </w:sdt>
    </w:sdtContent>
  </w:sdt>
  <w:p w14:paraId="7EA73220" w14:textId="77777777" w:rsidR="005D588C" w:rsidRDefault="005D58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5B1A8" w14:textId="77777777" w:rsidR="00244E3C" w:rsidRDefault="00244E3C" w:rsidP="00F3109D">
      <w:r>
        <w:separator/>
      </w:r>
    </w:p>
  </w:footnote>
  <w:footnote w:type="continuationSeparator" w:id="0">
    <w:p w14:paraId="73C0DCD8" w14:textId="77777777" w:rsidR="00244E3C" w:rsidRDefault="00244E3C" w:rsidP="00F31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DF5"/>
    <w:rsid w:val="000171D3"/>
    <w:rsid w:val="00017F74"/>
    <w:rsid w:val="000A294C"/>
    <w:rsid w:val="0011597C"/>
    <w:rsid w:val="0013377F"/>
    <w:rsid w:val="00137AC1"/>
    <w:rsid w:val="00165422"/>
    <w:rsid w:val="001706F9"/>
    <w:rsid w:val="0018335B"/>
    <w:rsid w:val="001A1D17"/>
    <w:rsid w:val="001C7DE0"/>
    <w:rsid w:val="00244E3C"/>
    <w:rsid w:val="0025016C"/>
    <w:rsid w:val="00266F1E"/>
    <w:rsid w:val="00297BB1"/>
    <w:rsid w:val="002C49A8"/>
    <w:rsid w:val="002C4E3A"/>
    <w:rsid w:val="003221F6"/>
    <w:rsid w:val="003338A9"/>
    <w:rsid w:val="00376AD8"/>
    <w:rsid w:val="003A683F"/>
    <w:rsid w:val="003B5B9C"/>
    <w:rsid w:val="003C590A"/>
    <w:rsid w:val="003F4D3A"/>
    <w:rsid w:val="0056116F"/>
    <w:rsid w:val="005D5731"/>
    <w:rsid w:val="005D588C"/>
    <w:rsid w:val="00624AEE"/>
    <w:rsid w:val="006377F4"/>
    <w:rsid w:val="00651BCF"/>
    <w:rsid w:val="006B3369"/>
    <w:rsid w:val="007E477E"/>
    <w:rsid w:val="008622CB"/>
    <w:rsid w:val="008B07BA"/>
    <w:rsid w:val="00970A3C"/>
    <w:rsid w:val="009A6E87"/>
    <w:rsid w:val="009B6F12"/>
    <w:rsid w:val="009C5EF7"/>
    <w:rsid w:val="009F6668"/>
    <w:rsid w:val="00A21739"/>
    <w:rsid w:val="00A225F2"/>
    <w:rsid w:val="00A4655D"/>
    <w:rsid w:val="00A51BEC"/>
    <w:rsid w:val="00A77B3E"/>
    <w:rsid w:val="00AE5328"/>
    <w:rsid w:val="00AF7601"/>
    <w:rsid w:val="00B00E8D"/>
    <w:rsid w:val="00B1679E"/>
    <w:rsid w:val="00B41107"/>
    <w:rsid w:val="00B74139"/>
    <w:rsid w:val="00BB4BB9"/>
    <w:rsid w:val="00BC5D0E"/>
    <w:rsid w:val="00C04C45"/>
    <w:rsid w:val="00C30C5F"/>
    <w:rsid w:val="00C44517"/>
    <w:rsid w:val="00CA2A55"/>
    <w:rsid w:val="00CB7F57"/>
    <w:rsid w:val="00CE6BC2"/>
    <w:rsid w:val="00CF1A02"/>
    <w:rsid w:val="00D34336"/>
    <w:rsid w:val="00D40F72"/>
    <w:rsid w:val="00D45730"/>
    <w:rsid w:val="00DA173E"/>
    <w:rsid w:val="00DB5AA7"/>
    <w:rsid w:val="00DD0F0A"/>
    <w:rsid w:val="00E17007"/>
    <w:rsid w:val="00E4168D"/>
    <w:rsid w:val="00E759C7"/>
    <w:rsid w:val="00ED56E1"/>
    <w:rsid w:val="00EF500A"/>
    <w:rsid w:val="00F04FD1"/>
    <w:rsid w:val="00F1134D"/>
    <w:rsid w:val="00F16A5E"/>
    <w:rsid w:val="00F3109D"/>
    <w:rsid w:val="00F413AC"/>
    <w:rsid w:val="00F67A28"/>
    <w:rsid w:val="00F76DBD"/>
    <w:rsid w:val="00FC6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0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3F4D3A"/>
    <w:rPr>
      <w:rFonts w:asciiTheme="minorHAnsi" w:hAnsiTheme="minorHAnsi" w:cstheme="minorBidi"/>
      <w:kern w:val="2"/>
      <w:sz w:val="18"/>
      <w:szCs w:val="18"/>
      <w:lang w:eastAsia="ko-KR"/>
    </w:rPr>
  </w:style>
  <w:style w:type="paragraph" w:styleId="a3">
    <w:name w:val="header"/>
    <w:basedOn w:val="a"/>
    <w:link w:val="Char"/>
    <w:uiPriority w:val="99"/>
    <w:unhideWhenUsed/>
    <w:rsid w:val="003F4D3A"/>
    <w:pPr>
      <w:widowControl w:val="0"/>
      <w:pBdr>
        <w:bottom w:val="single" w:sz="6" w:space="1" w:color="auto"/>
      </w:pBdr>
      <w:tabs>
        <w:tab w:val="center" w:pos="4153"/>
        <w:tab w:val="right" w:pos="8306"/>
      </w:tabs>
      <w:wordWrap w:val="0"/>
      <w:autoSpaceDE w:val="0"/>
      <w:autoSpaceDN w:val="0"/>
      <w:snapToGrid w:val="0"/>
      <w:spacing w:after="160"/>
      <w:jc w:val="center"/>
    </w:pPr>
    <w:rPr>
      <w:rFonts w:asciiTheme="minorHAnsi" w:hAnsiTheme="minorHAnsi" w:cstheme="minorBidi"/>
      <w:kern w:val="2"/>
      <w:sz w:val="18"/>
      <w:szCs w:val="18"/>
      <w:lang w:eastAsia="ko-KR"/>
    </w:rPr>
  </w:style>
  <w:style w:type="character" w:customStyle="1" w:styleId="Char0">
    <w:name w:val="页脚 Char"/>
    <w:basedOn w:val="a0"/>
    <w:link w:val="a4"/>
    <w:uiPriority w:val="99"/>
    <w:rsid w:val="003F4D3A"/>
    <w:rPr>
      <w:rFonts w:asciiTheme="minorHAnsi" w:hAnsiTheme="minorHAnsi" w:cstheme="minorBidi"/>
      <w:kern w:val="2"/>
      <w:sz w:val="18"/>
      <w:szCs w:val="18"/>
      <w:lang w:eastAsia="ko-KR"/>
    </w:rPr>
  </w:style>
  <w:style w:type="paragraph" w:styleId="a4">
    <w:name w:val="footer"/>
    <w:basedOn w:val="a"/>
    <w:link w:val="Char0"/>
    <w:uiPriority w:val="99"/>
    <w:unhideWhenUsed/>
    <w:rsid w:val="003F4D3A"/>
    <w:pPr>
      <w:widowControl w:val="0"/>
      <w:tabs>
        <w:tab w:val="center" w:pos="4153"/>
        <w:tab w:val="right" w:pos="8306"/>
      </w:tabs>
      <w:wordWrap w:val="0"/>
      <w:autoSpaceDE w:val="0"/>
      <w:autoSpaceDN w:val="0"/>
      <w:snapToGrid w:val="0"/>
      <w:spacing w:after="160"/>
    </w:pPr>
    <w:rPr>
      <w:rFonts w:asciiTheme="minorHAnsi" w:hAnsiTheme="minorHAnsi" w:cstheme="minorBidi"/>
      <w:kern w:val="2"/>
      <w:sz w:val="18"/>
      <w:szCs w:val="18"/>
      <w:lang w:eastAsia="ko-KR"/>
    </w:rPr>
  </w:style>
  <w:style w:type="paragraph" w:styleId="a5">
    <w:name w:val="Balloon Text"/>
    <w:basedOn w:val="a"/>
    <w:link w:val="Char1"/>
    <w:semiHidden/>
    <w:unhideWhenUsed/>
    <w:rsid w:val="00B74139"/>
    <w:rPr>
      <w:sz w:val="18"/>
      <w:szCs w:val="18"/>
    </w:rPr>
  </w:style>
  <w:style w:type="character" w:customStyle="1" w:styleId="Char1">
    <w:name w:val="批注框文本 Char"/>
    <w:basedOn w:val="a0"/>
    <w:link w:val="a5"/>
    <w:semiHidden/>
    <w:rsid w:val="00B741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3F4D3A"/>
    <w:rPr>
      <w:rFonts w:asciiTheme="minorHAnsi" w:hAnsiTheme="minorHAnsi" w:cstheme="minorBidi"/>
      <w:kern w:val="2"/>
      <w:sz w:val="18"/>
      <w:szCs w:val="18"/>
      <w:lang w:eastAsia="ko-KR"/>
    </w:rPr>
  </w:style>
  <w:style w:type="paragraph" w:styleId="a3">
    <w:name w:val="header"/>
    <w:basedOn w:val="a"/>
    <w:link w:val="Char"/>
    <w:uiPriority w:val="99"/>
    <w:unhideWhenUsed/>
    <w:rsid w:val="003F4D3A"/>
    <w:pPr>
      <w:widowControl w:val="0"/>
      <w:pBdr>
        <w:bottom w:val="single" w:sz="6" w:space="1" w:color="auto"/>
      </w:pBdr>
      <w:tabs>
        <w:tab w:val="center" w:pos="4153"/>
        <w:tab w:val="right" w:pos="8306"/>
      </w:tabs>
      <w:wordWrap w:val="0"/>
      <w:autoSpaceDE w:val="0"/>
      <w:autoSpaceDN w:val="0"/>
      <w:snapToGrid w:val="0"/>
      <w:spacing w:after="160"/>
      <w:jc w:val="center"/>
    </w:pPr>
    <w:rPr>
      <w:rFonts w:asciiTheme="minorHAnsi" w:hAnsiTheme="minorHAnsi" w:cstheme="minorBidi"/>
      <w:kern w:val="2"/>
      <w:sz w:val="18"/>
      <w:szCs w:val="18"/>
      <w:lang w:eastAsia="ko-KR"/>
    </w:rPr>
  </w:style>
  <w:style w:type="character" w:customStyle="1" w:styleId="Char0">
    <w:name w:val="页脚 Char"/>
    <w:basedOn w:val="a0"/>
    <w:link w:val="a4"/>
    <w:uiPriority w:val="99"/>
    <w:rsid w:val="003F4D3A"/>
    <w:rPr>
      <w:rFonts w:asciiTheme="minorHAnsi" w:hAnsiTheme="minorHAnsi" w:cstheme="minorBidi"/>
      <w:kern w:val="2"/>
      <w:sz w:val="18"/>
      <w:szCs w:val="18"/>
      <w:lang w:eastAsia="ko-KR"/>
    </w:rPr>
  </w:style>
  <w:style w:type="paragraph" w:styleId="a4">
    <w:name w:val="footer"/>
    <w:basedOn w:val="a"/>
    <w:link w:val="Char0"/>
    <w:uiPriority w:val="99"/>
    <w:unhideWhenUsed/>
    <w:rsid w:val="003F4D3A"/>
    <w:pPr>
      <w:widowControl w:val="0"/>
      <w:tabs>
        <w:tab w:val="center" w:pos="4153"/>
        <w:tab w:val="right" w:pos="8306"/>
      </w:tabs>
      <w:wordWrap w:val="0"/>
      <w:autoSpaceDE w:val="0"/>
      <w:autoSpaceDN w:val="0"/>
      <w:snapToGrid w:val="0"/>
      <w:spacing w:after="160"/>
    </w:pPr>
    <w:rPr>
      <w:rFonts w:asciiTheme="minorHAnsi" w:hAnsiTheme="minorHAnsi" w:cstheme="minorBidi"/>
      <w:kern w:val="2"/>
      <w:sz w:val="18"/>
      <w:szCs w:val="18"/>
      <w:lang w:eastAsia="ko-KR"/>
    </w:rPr>
  </w:style>
  <w:style w:type="paragraph" w:styleId="a5">
    <w:name w:val="Balloon Text"/>
    <w:basedOn w:val="a"/>
    <w:link w:val="Char1"/>
    <w:semiHidden/>
    <w:unhideWhenUsed/>
    <w:rsid w:val="00B74139"/>
    <w:rPr>
      <w:sz w:val="18"/>
      <w:szCs w:val="18"/>
    </w:rPr>
  </w:style>
  <w:style w:type="character" w:customStyle="1" w:styleId="Char1">
    <w:name w:val="批注框文本 Char"/>
    <w:basedOn w:val="a0"/>
    <w:link w:val="a5"/>
    <w:semiHidden/>
    <w:rsid w:val="00B741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864AD-57A3-46D0-AA07-20D7C7AC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6586</Words>
  <Characters>37541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12</cp:revision>
  <dcterms:created xsi:type="dcterms:W3CDTF">2020-11-12T18:36:00Z</dcterms:created>
  <dcterms:modified xsi:type="dcterms:W3CDTF">2020-11-26T06:02:00Z</dcterms:modified>
</cp:coreProperties>
</file>